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1F965C6D">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3367B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PargrafodaLista"/>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PargrafodaLista"/>
        <w:ind w:left="426" w:hanging="426"/>
        <w:jc w:val="both"/>
        <w:rPr>
          <w:rFonts w:ascii="Avenir Next" w:hAnsi="Avenir Next" w:cs="Arial"/>
          <w:sz w:val="22"/>
          <w:szCs w:val="22"/>
          <w:lang w:val="en-GB"/>
        </w:rPr>
      </w:pPr>
    </w:p>
    <w:p w14:paraId="0D827F42" w14:textId="77777777" w:rsidR="00B263D0" w:rsidRPr="00B263D0" w:rsidRDefault="00B263D0" w:rsidP="00B263D0">
      <w:pPr>
        <w:pStyle w:val="PargrafodaLista"/>
        <w:numPr>
          <w:ilvl w:val="0"/>
          <w:numId w:val="14"/>
        </w:numPr>
        <w:ind w:left="426" w:hanging="426"/>
        <w:jc w:val="both"/>
        <w:rPr>
          <w:rFonts w:ascii="Avenir Next" w:hAnsi="Avenir Next" w:cs="Arial"/>
          <w:sz w:val="22"/>
          <w:szCs w:val="22"/>
          <w:lang w:val="en-GB"/>
        </w:rPr>
      </w:pPr>
      <w:r w:rsidRPr="007366B0">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PargrafodaLista"/>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PargrafodaLista"/>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PargrafodaLista"/>
        <w:ind w:left="426" w:hanging="426"/>
        <w:rPr>
          <w:rFonts w:ascii="Avenir Next" w:hAnsi="Avenir Next"/>
          <w:sz w:val="22"/>
          <w:szCs w:val="28"/>
        </w:rPr>
      </w:pPr>
    </w:p>
    <w:p w14:paraId="44D98AEA" w14:textId="77777777" w:rsidR="00AD0E59" w:rsidRDefault="00AD0E59" w:rsidP="00AD0E59">
      <w:pPr>
        <w:pStyle w:val="PargrafodaLista"/>
        <w:numPr>
          <w:ilvl w:val="0"/>
          <w:numId w:val="51"/>
        </w:numPr>
        <w:ind w:left="426" w:hanging="426"/>
        <w:rPr>
          <w:rFonts w:ascii="Avenir Next" w:hAnsi="Avenir Next"/>
          <w:sz w:val="22"/>
          <w:szCs w:val="28"/>
        </w:rPr>
      </w:pPr>
      <w:r w:rsidRPr="00D75B4B">
        <w:rPr>
          <w:rFonts w:ascii="Avenir Next" w:hAnsi="Avenir Next"/>
          <w:sz w:val="22"/>
          <w:szCs w:val="28"/>
        </w:rPr>
        <w:t>Internationalisation.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PargrafodaLista"/>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PargrafodaLista"/>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PargrafodaLista"/>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PargrafodaLista"/>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PargrafodaLista"/>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D0E59">
      <w:pPr>
        <w:pStyle w:val="PargrafodaLista"/>
        <w:numPr>
          <w:ilvl w:val="0"/>
          <w:numId w:val="5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PargrafodaLista"/>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PargrafodaLista"/>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C0633E" w:rsidRDefault="00AD0E59" w:rsidP="00AD0E59">
      <w:pPr>
        <w:pStyle w:val="PargrafodaLista"/>
        <w:numPr>
          <w:ilvl w:val="0"/>
          <w:numId w:val="50"/>
        </w:numPr>
        <w:ind w:left="426" w:hanging="426"/>
        <w:jc w:val="both"/>
        <w:rPr>
          <w:rFonts w:ascii="Avenir Next" w:hAnsi="Avenir Next" w:cs="Arial"/>
          <w:sz w:val="22"/>
          <w:szCs w:val="22"/>
          <w:highlight w:val="yellow"/>
          <w:lang w:val="en-GB"/>
        </w:rPr>
      </w:pPr>
      <w:r w:rsidRPr="00C0633E">
        <w:rPr>
          <w:rFonts w:ascii="Avenir Next" w:hAnsi="Avenir Next" w:cs="Arial"/>
          <w:sz w:val="22"/>
          <w:szCs w:val="22"/>
          <w:highlight w:val="yellow"/>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Pr="00C0633E" w:rsidRDefault="00893A03" w:rsidP="00893A03">
      <w:pPr>
        <w:pStyle w:val="PargrafodaLista"/>
        <w:numPr>
          <w:ilvl w:val="0"/>
          <w:numId w:val="52"/>
        </w:numPr>
        <w:ind w:left="426" w:hanging="426"/>
        <w:jc w:val="both"/>
        <w:rPr>
          <w:rFonts w:ascii="Avenir Next" w:hAnsi="Avenir Next"/>
          <w:sz w:val="22"/>
          <w:szCs w:val="28"/>
        </w:rPr>
      </w:pPr>
      <w:r w:rsidRPr="00C0633E">
        <w:rPr>
          <w:rFonts w:ascii="Avenir Next" w:hAnsi="Avenir Next"/>
          <w:sz w:val="22"/>
          <w:szCs w:val="28"/>
        </w:rPr>
        <w:t>It is legislation that imposes a mandatory reciprocity on the participating members.</w:t>
      </w:r>
    </w:p>
    <w:p w14:paraId="0FE2C4BF" w14:textId="77777777" w:rsidR="00893A03" w:rsidRPr="00C0633E" w:rsidRDefault="00893A03" w:rsidP="00893A03">
      <w:pPr>
        <w:pStyle w:val="PargrafodaLista"/>
        <w:ind w:left="426" w:hanging="426"/>
        <w:jc w:val="both"/>
        <w:rPr>
          <w:rFonts w:ascii="Avenir Next" w:hAnsi="Avenir Next"/>
          <w:sz w:val="22"/>
          <w:szCs w:val="28"/>
        </w:rPr>
      </w:pPr>
    </w:p>
    <w:p w14:paraId="09A2897D" w14:textId="77777777" w:rsidR="00893A03" w:rsidRPr="00C0633E" w:rsidRDefault="00893A03" w:rsidP="00893A03">
      <w:pPr>
        <w:pStyle w:val="PargrafodaLista"/>
        <w:numPr>
          <w:ilvl w:val="0"/>
          <w:numId w:val="52"/>
        </w:numPr>
        <w:ind w:left="426" w:hanging="426"/>
        <w:jc w:val="both"/>
        <w:rPr>
          <w:rFonts w:ascii="Avenir Next" w:hAnsi="Avenir Next"/>
          <w:sz w:val="22"/>
          <w:szCs w:val="28"/>
        </w:rPr>
      </w:pPr>
      <w:r w:rsidRPr="00C0633E">
        <w:rPr>
          <w:rFonts w:ascii="Avenir Next" w:hAnsi="Avenir Next"/>
          <w:sz w:val="22"/>
          <w:szCs w:val="28"/>
        </w:rPr>
        <w:t>It is a legislative text that serves as a recommendation for incorporation in national laws.</w:t>
      </w:r>
    </w:p>
    <w:p w14:paraId="3B81396E" w14:textId="77777777" w:rsidR="00893A03" w:rsidRPr="00C0633E" w:rsidRDefault="00893A03" w:rsidP="00893A03">
      <w:pPr>
        <w:ind w:left="426" w:hanging="426"/>
        <w:jc w:val="both"/>
        <w:rPr>
          <w:rFonts w:ascii="Avenir Next" w:hAnsi="Avenir Next"/>
          <w:sz w:val="22"/>
          <w:szCs w:val="28"/>
        </w:rPr>
      </w:pPr>
    </w:p>
    <w:p w14:paraId="67851391" w14:textId="77777777" w:rsidR="00893A03" w:rsidRPr="00C0633E" w:rsidRDefault="00893A03" w:rsidP="00893A03">
      <w:pPr>
        <w:pStyle w:val="PargrafodaLista"/>
        <w:numPr>
          <w:ilvl w:val="0"/>
          <w:numId w:val="52"/>
        </w:numPr>
        <w:ind w:left="426" w:hanging="426"/>
        <w:jc w:val="both"/>
        <w:rPr>
          <w:rFonts w:ascii="Avenir Next" w:hAnsi="Avenir Next"/>
          <w:sz w:val="22"/>
          <w:szCs w:val="28"/>
        </w:rPr>
      </w:pPr>
      <w:r w:rsidRPr="00C0633E">
        <w:rPr>
          <w:rFonts w:ascii="Avenir Next" w:hAnsi="Avenir Next"/>
          <w:sz w:val="22"/>
          <w:szCs w:val="28"/>
        </w:rPr>
        <w:t>It is intended to substantively unify the insolvency laws of the foreign nations.</w:t>
      </w:r>
    </w:p>
    <w:p w14:paraId="774C7D03" w14:textId="77777777" w:rsidR="00893A03" w:rsidRPr="00C0633E" w:rsidRDefault="00893A03" w:rsidP="00893A03">
      <w:pPr>
        <w:ind w:left="426" w:hanging="426"/>
        <w:jc w:val="both"/>
        <w:rPr>
          <w:rFonts w:ascii="Avenir Next" w:hAnsi="Avenir Next"/>
          <w:sz w:val="22"/>
          <w:szCs w:val="28"/>
        </w:rPr>
      </w:pPr>
    </w:p>
    <w:p w14:paraId="4C64C60A" w14:textId="77777777" w:rsidR="00893A03" w:rsidRPr="00C0633E" w:rsidRDefault="00893A03" w:rsidP="00893A03">
      <w:pPr>
        <w:pStyle w:val="PargrafodaLista"/>
        <w:numPr>
          <w:ilvl w:val="0"/>
          <w:numId w:val="52"/>
        </w:numPr>
        <w:ind w:left="426" w:hanging="426"/>
        <w:jc w:val="both"/>
        <w:rPr>
          <w:rFonts w:ascii="Avenir Next" w:hAnsi="Avenir Next"/>
          <w:sz w:val="22"/>
          <w:szCs w:val="28"/>
        </w:rPr>
      </w:pPr>
      <w:r w:rsidRPr="00C0633E">
        <w:rPr>
          <w:rFonts w:ascii="Avenir Next" w:hAnsi="Avenir Next"/>
          <w:sz w:val="22"/>
          <w:szCs w:val="28"/>
        </w:rPr>
        <w:t>It is a treaty that is binding on the participating members.</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PargrafodaLista"/>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PargrafodaLista"/>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rsidP="00893A03">
      <w:pPr>
        <w:pStyle w:val="PargrafodaLista"/>
        <w:numPr>
          <w:ilvl w:val="0"/>
          <w:numId w:val="16"/>
        </w:numPr>
        <w:ind w:left="426" w:hanging="426"/>
        <w:jc w:val="both"/>
        <w:rPr>
          <w:rFonts w:ascii="Avenir Next" w:hAnsi="Avenir Next" w:cs="Arial"/>
          <w:sz w:val="22"/>
          <w:szCs w:val="22"/>
          <w:lang w:val="en-GB"/>
        </w:rPr>
      </w:pPr>
      <w:r w:rsidRPr="00C0633E">
        <w:rPr>
          <w:rFonts w:ascii="Avenir Next" w:hAnsi="Avenir Next" w:cs="Arial"/>
          <w:sz w:val="22"/>
          <w:szCs w:val="22"/>
          <w:highlight w:val="yellow"/>
          <w:lang w:val="en-GB"/>
        </w:rPr>
        <w:t>Options (i), (iii) and (iv).</w:t>
      </w:r>
      <w:r w:rsidRPr="00893A03">
        <w:rPr>
          <w:rFonts w:ascii="Avenir Next" w:hAnsi="Avenir Next" w:cs="Arial"/>
          <w:sz w:val="22"/>
          <w:szCs w:val="22"/>
          <w:lang w:val="en-GB"/>
        </w:rPr>
        <w:t xml:space="preserve">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PargrafodaLista"/>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Pr="00B175AA" w:rsidRDefault="00812AFE" w:rsidP="00C00111">
      <w:pPr>
        <w:pStyle w:val="PargrafodaLista"/>
        <w:numPr>
          <w:ilvl w:val="0"/>
          <w:numId w:val="53"/>
        </w:numPr>
        <w:ind w:left="426" w:hanging="426"/>
        <w:jc w:val="both"/>
        <w:rPr>
          <w:rFonts w:ascii="Avenir Next" w:hAnsi="Avenir Next"/>
          <w:sz w:val="22"/>
          <w:szCs w:val="32"/>
        </w:rPr>
      </w:pPr>
      <w:r w:rsidRPr="00B175AA">
        <w:rPr>
          <w:rFonts w:ascii="Avenir Next" w:hAnsi="Avenir Next"/>
          <w:sz w:val="22"/>
          <w:szCs w:val="32"/>
        </w:rPr>
        <w:t>To provide greater legal certainty for trade and investment.</w:t>
      </w:r>
    </w:p>
    <w:p w14:paraId="6108D362" w14:textId="77777777" w:rsidR="00812AFE" w:rsidRPr="00B175AA" w:rsidRDefault="00812AFE" w:rsidP="00C00111">
      <w:pPr>
        <w:pStyle w:val="PargrafodaLista"/>
        <w:ind w:left="426" w:hanging="426"/>
        <w:jc w:val="both"/>
        <w:rPr>
          <w:rFonts w:ascii="Avenir Next" w:hAnsi="Avenir Next"/>
          <w:sz w:val="22"/>
          <w:szCs w:val="32"/>
        </w:rPr>
      </w:pPr>
    </w:p>
    <w:p w14:paraId="2AA2541C" w14:textId="3C7E8949" w:rsidR="00812AFE" w:rsidRPr="00B175AA" w:rsidRDefault="00812AFE" w:rsidP="00C00111">
      <w:pPr>
        <w:pStyle w:val="PargrafodaLista"/>
        <w:numPr>
          <w:ilvl w:val="0"/>
          <w:numId w:val="53"/>
        </w:numPr>
        <w:ind w:left="426" w:hanging="426"/>
        <w:jc w:val="both"/>
        <w:rPr>
          <w:rFonts w:ascii="Avenir Next" w:hAnsi="Avenir Next"/>
          <w:sz w:val="22"/>
          <w:szCs w:val="32"/>
        </w:rPr>
      </w:pPr>
      <w:r w:rsidRPr="00B175AA">
        <w:rPr>
          <w:rFonts w:ascii="Avenir Next" w:hAnsi="Avenir Next"/>
          <w:sz w:val="22"/>
          <w:szCs w:val="32"/>
        </w:rPr>
        <w:t>To provide protection and maximi</w:t>
      </w:r>
      <w:r w:rsidR="00B66441" w:rsidRPr="00B175AA">
        <w:rPr>
          <w:rFonts w:ascii="Avenir Next" w:hAnsi="Avenir Next"/>
          <w:sz w:val="22"/>
          <w:szCs w:val="32"/>
        </w:rPr>
        <w:t>z</w:t>
      </w:r>
      <w:r w:rsidRPr="00B175AA">
        <w:rPr>
          <w:rFonts w:ascii="Avenir Next" w:hAnsi="Avenir Next"/>
          <w:sz w:val="22"/>
          <w:szCs w:val="32"/>
        </w:rPr>
        <w:t>ation of value of the debtor’s assets.</w:t>
      </w:r>
    </w:p>
    <w:p w14:paraId="3081732A" w14:textId="77777777" w:rsidR="00812AFE" w:rsidRPr="00B175AA" w:rsidRDefault="00812AFE" w:rsidP="00C00111">
      <w:pPr>
        <w:ind w:left="426" w:hanging="426"/>
        <w:jc w:val="both"/>
        <w:rPr>
          <w:rFonts w:ascii="Avenir Next" w:hAnsi="Avenir Next"/>
          <w:sz w:val="22"/>
          <w:szCs w:val="32"/>
        </w:rPr>
      </w:pPr>
    </w:p>
    <w:p w14:paraId="712BE68D" w14:textId="77777777" w:rsidR="00812AFE" w:rsidRPr="00B175AA" w:rsidRDefault="00812AFE" w:rsidP="00C00111">
      <w:pPr>
        <w:pStyle w:val="PargrafodaLista"/>
        <w:numPr>
          <w:ilvl w:val="0"/>
          <w:numId w:val="53"/>
        </w:numPr>
        <w:ind w:left="426" w:hanging="426"/>
        <w:jc w:val="both"/>
        <w:rPr>
          <w:rFonts w:ascii="Avenir Next" w:hAnsi="Avenir Next"/>
          <w:sz w:val="22"/>
          <w:szCs w:val="32"/>
        </w:rPr>
      </w:pPr>
      <w:r w:rsidRPr="00B175AA">
        <w:rPr>
          <w:rFonts w:ascii="Avenir Next" w:hAnsi="Avenir Next"/>
          <w:sz w:val="22"/>
          <w:szCs w:val="32"/>
          <w:lang w:val="en-GB"/>
        </w:rPr>
        <w:t>To provide a fair and efficient administration of cross-border insolvencies that protects all creditors and the debtors.</w:t>
      </w:r>
    </w:p>
    <w:p w14:paraId="3C389653" w14:textId="77777777" w:rsidR="00812AFE" w:rsidRPr="00B175AA" w:rsidRDefault="00812AFE" w:rsidP="00C00111">
      <w:pPr>
        <w:ind w:left="426" w:hanging="426"/>
        <w:jc w:val="both"/>
        <w:rPr>
          <w:rFonts w:ascii="Avenir Next" w:hAnsi="Avenir Next"/>
          <w:sz w:val="22"/>
          <w:szCs w:val="32"/>
        </w:rPr>
      </w:pPr>
    </w:p>
    <w:p w14:paraId="61EBC598" w14:textId="77777777" w:rsidR="00812AFE" w:rsidRPr="00B175AA" w:rsidRDefault="00812AFE" w:rsidP="00C00111">
      <w:pPr>
        <w:pStyle w:val="PargrafodaLista"/>
        <w:numPr>
          <w:ilvl w:val="0"/>
          <w:numId w:val="53"/>
        </w:numPr>
        <w:ind w:left="426" w:hanging="426"/>
        <w:jc w:val="both"/>
        <w:rPr>
          <w:rFonts w:ascii="Avenir Next" w:hAnsi="Avenir Next"/>
          <w:sz w:val="22"/>
          <w:szCs w:val="32"/>
        </w:rPr>
      </w:pPr>
      <w:r w:rsidRPr="00B175AA">
        <w:rPr>
          <w:rFonts w:ascii="Avenir Next" w:hAnsi="Avenir Next"/>
          <w:sz w:val="22"/>
          <w:szCs w:val="32"/>
        </w:rPr>
        <w:t>To facilitate the rescue of financial troubled businesses.</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PargrafodaLista"/>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B175AA" w:rsidRDefault="00812AFE" w:rsidP="00C00111">
      <w:pPr>
        <w:pStyle w:val="PargrafodaLista"/>
        <w:numPr>
          <w:ilvl w:val="0"/>
          <w:numId w:val="18"/>
        </w:numPr>
        <w:ind w:left="426" w:hanging="426"/>
        <w:jc w:val="both"/>
        <w:rPr>
          <w:rFonts w:ascii="Avenir Next" w:hAnsi="Avenir Next" w:cs="Arial"/>
          <w:sz w:val="22"/>
          <w:szCs w:val="22"/>
          <w:highlight w:val="yellow"/>
          <w:lang w:val="en-GB"/>
        </w:rPr>
      </w:pPr>
      <w:r w:rsidRPr="00B175AA">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PargrafodaLista"/>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PargrafodaLista"/>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PargrafodaLista"/>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2B1192">
        <w:rPr>
          <w:rFonts w:ascii="Avenir Next Demi Bold" w:hAnsi="Avenir Next Demi Bold" w:cs="Arial"/>
          <w:b/>
          <w:bCs/>
          <w:sz w:val="22"/>
          <w:szCs w:val="22"/>
          <w:lang w:val="en-GB"/>
        </w:rPr>
        <w:t>Question 1.5</w:t>
      </w:r>
      <w:r w:rsidRPr="000D32A9">
        <w:rPr>
          <w:rFonts w:ascii="Avenir Next Demi Bold" w:hAnsi="Avenir Next Demi Bold" w:cs="Arial"/>
          <w:b/>
          <w:bCs/>
          <w:sz w:val="22"/>
          <w:szCs w:val="22"/>
          <w:lang w:val="en-GB"/>
        </w:rPr>
        <w:t xml:space="preserve">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PargrafodaLista"/>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PargrafodaLista"/>
        <w:ind w:left="426" w:hanging="426"/>
        <w:jc w:val="both"/>
        <w:rPr>
          <w:rFonts w:ascii="Avenir Next" w:hAnsi="Avenir Next"/>
          <w:sz w:val="22"/>
          <w:szCs w:val="28"/>
        </w:rPr>
      </w:pPr>
    </w:p>
    <w:p w14:paraId="4C73762D" w14:textId="77777777" w:rsidR="003220BA" w:rsidRDefault="003220BA" w:rsidP="00C00111">
      <w:pPr>
        <w:pStyle w:val="PargrafodaLista"/>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Pr="004C4E5A" w:rsidRDefault="003220BA" w:rsidP="00C00111">
      <w:pPr>
        <w:pStyle w:val="PargrafodaLista"/>
        <w:numPr>
          <w:ilvl w:val="0"/>
          <w:numId w:val="54"/>
        </w:numPr>
        <w:ind w:left="426" w:hanging="426"/>
        <w:jc w:val="both"/>
        <w:rPr>
          <w:rFonts w:ascii="Avenir Next" w:hAnsi="Avenir Next"/>
          <w:sz w:val="22"/>
          <w:szCs w:val="28"/>
        </w:rPr>
      </w:pPr>
      <w:r w:rsidRPr="004C4E5A">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PargrafodaLista"/>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PargrafodaLista"/>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C00111">
      <w:pPr>
        <w:pStyle w:val="PargrafodaLista"/>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PargrafodaLista"/>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PargrafodaLista"/>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2B1192" w:rsidRDefault="003220BA" w:rsidP="00C00111">
      <w:pPr>
        <w:pStyle w:val="PargrafodaLista"/>
        <w:numPr>
          <w:ilvl w:val="0"/>
          <w:numId w:val="20"/>
        </w:numPr>
        <w:ind w:left="426" w:hanging="426"/>
        <w:jc w:val="both"/>
        <w:rPr>
          <w:rFonts w:ascii="Avenir Next" w:hAnsi="Avenir Next" w:cs="Arial"/>
          <w:sz w:val="22"/>
          <w:szCs w:val="22"/>
          <w:highlight w:val="yellow"/>
          <w:lang w:val="en-GB"/>
        </w:rPr>
      </w:pPr>
      <w:r w:rsidRPr="002B1192">
        <w:rPr>
          <w:rFonts w:ascii="Avenir Next" w:hAnsi="Avenir Next" w:cs="Arial"/>
          <w:sz w:val="22"/>
          <w:szCs w:val="22"/>
          <w:highlight w:val="yellow"/>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36373C">
        <w:rPr>
          <w:rFonts w:ascii="Avenir Next Demi Bold" w:hAnsi="Avenir Next Demi Bold" w:cs="Arial"/>
          <w:b/>
          <w:bCs/>
          <w:sz w:val="22"/>
          <w:szCs w:val="22"/>
          <w:lang w:val="en-GB"/>
        </w:rPr>
        <w:t>Question 1.6</w:t>
      </w:r>
      <w:r w:rsidRPr="000D32A9">
        <w:rPr>
          <w:rFonts w:ascii="Avenir Next Demi Bold" w:hAnsi="Avenir Next Demi Bold" w:cs="Arial"/>
          <w:b/>
          <w:bCs/>
          <w:sz w:val="22"/>
          <w:szCs w:val="22"/>
          <w:lang w:val="en-GB"/>
        </w:rPr>
        <w:t xml:space="preserve">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PargrafodaLista"/>
        <w:ind w:left="426"/>
        <w:jc w:val="both"/>
        <w:rPr>
          <w:rFonts w:ascii="Avenir Next" w:hAnsi="Avenir Next" w:cs="Arial"/>
          <w:sz w:val="22"/>
          <w:szCs w:val="22"/>
          <w:lang w:val="en-GB"/>
        </w:rPr>
      </w:pPr>
    </w:p>
    <w:p w14:paraId="2F00B741" w14:textId="77777777" w:rsidR="009344C1" w:rsidRDefault="009344C1" w:rsidP="00C00111">
      <w:pPr>
        <w:pStyle w:val="PargrafodaLista"/>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PargrafodaLista"/>
        <w:ind w:left="426" w:hanging="426"/>
        <w:jc w:val="both"/>
        <w:rPr>
          <w:rFonts w:ascii="Avenir Next" w:hAnsi="Avenir Next" w:cs="Arial"/>
          <w:sz w:val="22"/>
          <w:szCs w:val="22"/>
          <w:lang w:val="en-GB"/>
        </w:rPr>
      </w:pPr>
    </w:p>
    <w:p w14:paraId="45257547" w14:textId="77777777" w:rsidR="009344C1" w:rsidRDefault="009344C1" w:rsidP="00C00111">
      <w:pPr>
        <w:pStyle w:val="PargrafodaLista"/>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36373C" w:rsidRDefault="009344C1" w:rsidP="00C00111">
      <w:pPr>
        <w:pStyle w:val="PargrafodaLista"/>
        <w:numPr>
          <w:ilvl w:val="0"/>
          <w:numId w:val="26"/>
        </w:numPr>
        <w:ind w:left="426" w:hanging="426"/>
        <w:jc w:val="both"/>
        <w:rPr>
          <w:rFonts w:ascii="Avenir Next" w:hAnsi="Avenir Next" w:cs="Arial"/>
          <w:sz w:val="22"/>
          <w:szCs w:val="22"/>
          <w:highlight w:val="yellow"/>
          <w:lang w:val="en-GB"/>
        </w:rPr>
      </w:pPr>
      <w:r w:rsidRPr="0036373C">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PargrafodaLista"/>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C00111">
      <w:pPr>
        <w:pStyle w:val="PargrafodaLista"/>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PargrafodaLista"/>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PargrafodaLista"/>
        <w:ind w:left="426"/>
        <w:jc w:val="both"/>
        <w:rPr>
          <w:rFonts w:ascii="Avenir Next" w:hAnsi="Avenir Next"/>
          <w:sz w:val="22"/>
          <w:szCs w:val="28"/>
        </w:rPr>
      </w:pPr>
    </w:p>
    <w:p w14:paraId="044236C4" w14:textId="77777777" w:rsidR="00F51EE5" w:rsidRPr="002E1C4D" w:rsidRDefault="00F51EE5" w:rsidP="00F51EE5">
      <w:pPr>
        <w:pStyle w:val="PargrafodaLista"/>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PargrafodaLista"/>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PargrafodaLista"/>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PargrafodaLista"/>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47386B" w:rsidRDefault="00F51EE5" w:rsidP="00C00111">
      <w:pPr>
        <w:pStyle w:val="PargrafodaLista"/>
        <w:numPr>
          <w:ilvl w:val="0"/>
          <w:numId w:val="27"/>
        </w:numPr>
        <w:ind w:left="426" w:hanging="426"/>
        <w:jc w:val="both"/>
        <w:rPr>
          <w:rFonts w:ascii="Avenir Next" w:hAnsi="Avenir Next" w:cs="Arial"/>
          <w:sz w:val="22"/>
          <w:szCs w:val="22"/>
          <w:highlight w:val="yellow"/>
          <w:lang w:val="en-GB"/>
        </w:rPr>
      </w:pPr>
      <w:r w:rsidRPr="0047386B">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PargrafodaLista"/>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PargrafodaLista"/>
        <w:ind w:hanging="426"/>
        <w:rPr>
          <w:rFonts w:ascii="Avenir Next" w:hAnsi="Avenir Next" w:cs="Arial"/>
          <w:sz w:val="22"/>
          <w:szCs w:val="22"/>
          <w:lang w:val="en-GB"/>
        </w:rPr>
      </w:pPr>
    </w:p>
    <w:p w14:paraId="4DC029C8" w14:textId="77777777" w:rsidR="00F51EE5" w:rsidRPr="00E2622D" w:rsidRDefault="00F51EE5" w:rsidP="00C00111">
      <w:pPr>
        <w:pStyle w:val="PargrafodaLista"/>
        <w:numPr>
          <w:ilvl w:val="0"/>
          <w:numId w:val="27"/>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PargrafodaLista"/>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DC5977" w:rsidRDefault="0097337E" w:rsidP="0097337E">
      <w:pPr>
        <w:pStyle w:val="PargrafodaLista"/>
        <w:numPr>
          <w:ilvl w:val="0"/>
          <w:numId w:val="56"/>
        </w:numPr>
        <w:ind w:left="426" w:hanging="426"/>
        <w:rPr>
          <w:rFonts w:ascii="Avenir Next" w:hAnsi="Avenir Next"/>
          <w:sz w:val="22"/>
          <w:szCs w:val="28"/>
        </w:rPr>
      </w:pPr>
      <w:r w:rsidRPr="007742D6">
        <w:rPr>
          <w:rFonts w:ascii="Avenir Next" w:hAnsi="Avenir Next"/>
          <w:sz w:val="22"/>
          <w:szCs w:val="28"/>
        </w:rPr>
        <w:t xml:space="preserve">COMI </w:t>
      </w:r>
      <w:r w:rsidRPr="00DC5977">
        <w:rPr>
          <w:rFonts w:ascii="Avenir Next" w:hAnsi="Avenir Next"/>
          <w:sz w:val="22"/>
          <w:szCs w:val="28"/>
        </w:rPr>
        <w:t>is a well-defined term in the MLCBI.</w:t>
      </w:r>
    </w:p>
    <w:p w14:paraId="6B23A10A" w14:textId="77777777" w:rsidR="0097337E" w:rsidRPr="00DC5977" w:rsidRDefault="0097337E" w:rsidP="0097337E">
      <w:pPr>
        <w:ind w:left="426" w:hanging="426"/>
        <w:rPr>
          <w:rFonts w:ascii="Avenir Next" w:hAnsi="Avenir Next"/>
          <w:sz w:val="22"/>
          <w:szCs w:val="28"/>
        </w:rPr>
      </w:pPr>
    </w:p>
    <w:p w14:paraId="50E5E1C9" w14:textId="77777777" w:rsidR="0097337E" w:rsidRPr="00DC5977" w:rsidRDefault="0097337E" w:rsidP="0097337E">
      <w:pPr>
        <w:pStyle w:val="PargrafodaLista"/>
        <w:numPr>
          <w:ilvl w:val="0"/>
          <w:numId w:val="56"/>
        </w:numPr>
        <w:ind w:left="426" w:hanging="426"/>
        <w:rPr>
          <w:rFonts w:ascii="Avenir Next" w:hAnsi="Avenir Next"/>
          <w:sz w:val="22"/>
          <w:szCs w:val="28"/>
        </w:rPr>
      </w:pPr>
      <w:r w:rsidRPr="00DC5977">
        <w:rPr>
          <w:rFonts w:ascii="Avenir Next" w:hAnsi="Avenir Next"/>
          <w:sz w:val="22"/>
          <w:szCs w:val="28"/>
        </w:rPr>
        <w:t>COMI stands for comity.</w:t>
      </w:r>
    </w:p>
    <w:p w14:paraId="1E13BE41" w14:textId="77777777" w:rsidR="0097337E" w:rsidRPr="00DC5977"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PargrafodaLista"/>
        <w:numPr>
          <w:ilvl w:val="0"/>
          <w:numId w:val="56"/>
        </w:numPr>
        <w:ind w:left="426" w:hanging="426"/>
        <w:rPr>
          <w:rFonts w:ascii="Avenir Next" w:hAnsi="Avenir Next"/>
          <w:sz w:val="22"/>
          <w:szCs w:val="28"/>
        </w:rPr>
      </w:pPr>
      <w:r w:rsidRPr="00DC5977">
        <w:rPr>
          <w:rFonts w:ascii="Avenir Next" w:hAnsi="Avenir Next"/>
          <w:sz w:val="22"/>
          <w:szCs w:val="28"/>
        </w:rPr>
        <w:t>The debtor’s registered office is irrelevant for purposes</w:t>
      </w:r>
      <w:r w:rsidRPr="007742D6">
        <w:rPr>
          <w:rFonts w:ascii="Avenir Next" w:hAnsi="Avenir Next"/>
          <w:sz w:val="22"/>
          <w:szCs w:val="28"/>
        </w:rPr>
        <w:t xml:space="preserve"> of determining COMI.</w:t>
      </w:r>
    </w:p>
    <w:p w14:paraId="3A84165D" w14:textId="77777777" w:rsidR="0097337E" w:rsidRPr="007742D6" w:rsidRDefault="0097337E" w:rsidP="0097337E">
      <w:pPr>
        <w:pStyle w:val="PargrafodaLista"/>
        <w:rPr>
          <w:rFonts w:ascii="Avenir Next" w:hAnsi="Avenir Next"/>
          <w:sz w:val="22"/>
          <w:szCs w:val="28"/>
        </w:rPr>
      </w:pPr>
    </w:p>
    <w:p w14:paraId="785ABFAE" w14:textId="77777777" w:rsidR="0097337E" w:rsidRPr="007742D6" w:rsidRDefault="0097337E" w:rsidP="0097337E">
      <w:pPr>
        <w:pStyle w:val="PargrafodaLista"/>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DC5977" w:rsidRDefault="0097337E" w:rsidP="0097337E">
      <w:pPr>
        <w:pStyle w:val="PargrafodaLista"/>
        <w:numPr>
          <w:ilvl w:val="0"/>
          <w:numId w:val="28"/>
        </w:numPr>
        <w:ind w:left="426" w:hanging="426"/>
        <w:jc w:val="both"/>
        <w:rPr>
          <w:rFonts w:ascii="Avenir Next" w:hAnsi="Avenir Next" w:cs="Arial"/>
          <w:sz w:val="22"/>
          <w:szCs w:val="22"/>
          <w:highlight w:val="yellow"/>
          <w:lang w:val="en-GB"/>
        </w:rPr>
      </w:pPr>
      <w:r w:rsidRPr="00DC5977">
        <w:rPr>
          <w:rFonts w:ascii="Avenir Next" w:hAnsi="Avenir Next" w:cs="Arial"/>
          <w:sz w:val="22"/>
          <w:szCs w:val="22"/>
          <w:highlight w:val="yellow"/>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PargrafodaLista"/>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97337E">
      <w:pPr>
        <w:pStyle w:val="PargrafodaLista"/>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PargrafodaLista"/>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PargrafodaLista"/>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PargrafodaLista"/>
        <w:ind w:left="426"/>
        <w:jc w:val="both"/>
        <w:rPr>
          <w:rFonts w:ascii="Avenir Next" w:hAnsi="Avenir Next"/>
          <w:sz w:val="22"/>
          <w:szCs w:val="28"/>
        </w:rPr>
      </w:pPr>
    </w:p>
    <w:p w14:paraId="39086E74" w14:textId="77777777" w:rsidR="009A58D1" w:rsidRDefault="009A58D1" w:rsidP="009A58D1">
      <w:pPr>
        <w:pStyle w:val="PargrafodaLista"/>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PargrafodaLista"/>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PargrafodaLista"/>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PargrafodaLista"/>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FA4F5A" w:rsidRDefault="009A58D1" w:rsidP="009A58D1">
      <w:pPr>
        <w:pStyle w:val="PargrafodaLista"/>
        <w:numPr>
          <w:ilvl w:val="0"/>
          <w:numId w:val="29"/>
        </w:numPr>
        <w:ind w:left="426" w:hanging="426"/>
        <w:jc w:val="both"/>
        <w:rPr>
          <w:rFonts w:ascii="Avenir Next" w:hAnsi="Avenir Next" w:cs="Arial"/>
          <w:sz w:val="22"/>
          <w:szCs w:val="22"/>
          <w:highlight w:val="yellow"/>
          <w:lang w:val="en-GB"/>
        </w:rPr>
      </w:pPr>
      <w:r w:rsidRPr="00FA4F5A">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PargrafodaLista"/>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PargrafodaLista"/>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PargrafodaLista"/>
        <w:ind w:left="426" w:hanging="426"/>
        <w:jc w:val="both"/>
        <w:rPr>
          <w:rFonts w:ascii="Avenir Next" w:hAnsi="Avenir Next" w:cs="Arial"/>
          <w:sz w:val="22"/>
          <w:szCs w:val="22"/>
          <w:lang w:val="en-GB"/>
        </w:rPr>
      </w:pPr>
    </w:p>
    <w:p w14:paraId="3BCC256A" w14:textId="77777777" w:rsidR="00C4510C" w:rsidRDefault="00C4510C" w:rsidP="00C00111">
      <w:pPr>
        <w:pStyle w:val="PargrafodaLista"/>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PargrafodaLista"/>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EA1AC4" w:rsidRDefault="00C4510C" w:rsidP="00C00111">
      <w:pPr>
        <w:pStyle w:val="PargrafodaLista"/>
        <w:numPr>
          <w:ilvl w:val="0"/>
          <w:numId w:val="30"/>
        </w:numPr>
        <w:ind w:left="426" w:hanging="426"/>
        <w:jc w:val="both"/>
        <w:rPr>
          <w:rFonts w:ascii="Avenir Next" w:hAnsi="Avenir Next" w:cs="Arial"/>
          <w:sz w:val="22"/>
          <w:szCs w:val="22"/>
          <w:highlight w:val="yellow"/>
          <w:lang w:val="en-GB"/>
        </w:rPr>
      </w:pPr>
      <w:r w:rsidRPr="00EA1AC4">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453CD4F0" w14:textId="32053A3F" w:rsidR="00CB7CAE" w:rsidRDefault="00CB7CAE"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distinction is related with the COMI concepts. For the European Union Regulation on Insolvency proceedings, the definition of COMI helps to define the jurisdiction of the main proceeding. However, for MLCBI, COMI definition is related with the effects of recognition, mainly with the relief that could be determined for the debtor in cases of a foreign proceeding. </w:t>
      </w:r>
    </w:p>
    <w:p w14:paraId="2B1F0A57" w14:textId="77777777" w:rsidR="00CB7CAE" w:rsidRDefault="00CB7CAE" w:rsidP="00707FC8">
      <w:pPr>
        <w:ind w:left="720" w:hanging="720"/>
        <w:jc w:val="both"/>
        <w:rPr>
          <w:rFonts w:ascii="Avenir Next" w:hAnsi="Avenir Next" w:cs="Arial"/>
          <w:color w:val="808080" w:themeColor="background1" w:themeShade="80"/>
          <w:sz w:val="22"/>
          <w:szCs w:val="22"/>
          <w:lang w:val="en-GB"/>
        </w:rPr>
      </w:pPr>
    </w:p>
    <w:p w14:paraId="654B0E66" w14:textId="098EA5CA" w:rsidR="00CB56CE" w:rsidRDefault="00C74AD7" w:rsidP="00707FC8">
      <w:pPr>
        <w:ind w:left="720" w:hanging="720"/>
        <w:jc w:val="both"/>
        <w:rPr>
          <w:rFonts w:ascii="Avenir Next" w:hAnsi="Avenir Next" w:cs="Arial"/>
          <w:color w:val="808080" w:themeColor="background1" w:themeShade="80"/>
          <w:sz w:val="22"/>
          <w:szCs w:val="22"/>
          <w:lang w:val="en-GB"/>
        </w:rPr>
      </w:pPr>
      <w:r w:rsidRPr="006B1B5D">
        <w:rPr>
          <w:rFonts w:ascii="Avenir Next" w:hAnsi="Avenir Next" w:cs="Arial"/>
          <w:color w:val="808080" w:themeColor="background1" w:themeShade="80"/>
          <w:sz w:val="22"/>
          <w:szCs w:val="22"/>
          <w:lang w:val="en-GB"/>
        </w:rPr>
        <w:t xml:space="preserve">For MLCBI, COMI definition </w:t>
      </w:r>
      <w:r w:rsidR="00F45DC6" w:rsidRPr="006B1B5D">
        <w:rPr>
          <w:rFonts w:ascii="Avenir Next" w:hAnsi="Avenir Next" w:cs="Arial"/>
          <w:color w:val="808080" w:themeColor="background1" w:themeShade="80"/>
          <w:sz w:val="22"/>
          <w:szCs w:val="22"/>
          <w:lang w:val="en-GB"/>
        </w:rPr>
        <w:t>is related to the establishment definition and the place of the activities of the debtor</w:t>
      </w:r>
      <w:r w:rsidR="006B1B5D" w:rsidRPr="006B1B5D">
        <w:rPr>
          <w:rFonts w:ascii="Avenir Next" w:hAnsi="Avenir Next" w:cs="Arial"/>
          <w:color w:val="808080" w:themeColor="background1" w:themeShade="80"/>
          <w:sz w:val="22"/>
          <w:szCs w:val="22"/>
          <w:lang w:val="en-GB"/>
        </w:rPr>
        <w:t xml:space="preserve"> are</w:t>
      </w:r>
      <w:r w:rsidR="00F45DC6" w:rsidRPr="006B1B5D">
        <w:rPr>
          <w:rFonts w:ascii="Avenir Next" w:hAnsi="Avenir Next" w:cs="Arial"/>
          <w:color w:val="808080" w:themeColor="background1" w:themeShade="80"/>
          <w:sz w:val="22"/>
          <w:szCs w:val="22"/>
          <w:lang w:val="en-GB"/>
        </w:rPr>
        <w:t xml:space="preserve"> when filing the recovery request than to the registered office. For each case, the court can define where is the correct place to open the foreign proceeding, and if it will be the main or non-main foreign proceeding.</w:t>
      </w:r>
    </w:p>
    <w:p w14:paraId="53D75D7E" w14:textId="77777777" w:rsidR="00955E4C" w:rsidRDefault="00955E4C" w:rsidP="00707FC8">
      <w:pPr>
        <w:ind w:left="720" w:hanging="720"/>
        <w:jc w:val="both"/>
        <w:rPr>
          <w:rFonts w:ascii="Avenir Next" w:hAnsi="Avenir Next" w:cs="Arial"/>
          <w:color w:val="808080" w:themeColor="background1" w:themeShade="80"/>
          <w:sz w:val="22"/>
          <w:szCs w:val="22"/>
          <w:lang w:val="en-GB"/>
        </w:rPr>
      </w:pPr>
    </w:p>
    <w:p w14:paraId="65E2E207" w14:textId="505A78EC" w:rsidR="00955E4C" w:rsidRPr="00B77352" w:rsidRDefault="00955E4C"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w:t>
      </w:r>
      <w:r>
        <w:rPr>
          <w:rFonts w:ascii="Avenir Next" w:hAnsi="Avenir Next" w:cs="Arial"/>
          <w:color w:val="808080" w:themeColor="background1" w:themeShade="80"/>
          <w:sz w:val="22"/>
          <w:szCs w:val="22"/>
          <w:lang w:val="en-GB"/>
        </w:rPr>
        <w:t>the European Union Regulation on Insolvency proceeding</w:t>
      </w:r>
      <w:r>
        <w:rPr>
          <w:rFonts w:ascii="Avenir Next" w:hAnsi="Avenir Next" w:cs="Arial"/>
          <w:color w:val="808080" w:themeColor="background1" w:themeShade="80"/>
          <w:sz w:val="22"/>
          <w:szCs w:val="22"/>
          <w:lang w:val="en-GB"/>
        </w:rPr>
        <w:t xml:space="preserve">s, the place of the registered office of the debtor is presumed as being the COMI, not necessarily the place where the foreign proceeding </w:t>
      </w:r>
      <w:proofErr w:type="gramStart"/>
      <w:r>
        <w:rPr>
          <w:rFonts w:ascii="Avenir Next" w:hAnsi="Avenir Next" w:cs="Arial"/>
          <w:color w:val="808080" w:themeColor="background1" w:themeShade="80"/>
          <w:sz w:val="22"/>
          <w:szCs w:val="22"/>
          <w:lang w:val="en-GB"/>
        </w:rPr>
        <w:t>were</w:t>
      </w:r>
      <w:proofErr w:type="gramEnd"/>
      <w:r>
        <w:rPr>
          <w:rFonts w:ascii="Avenir Next" w:hAnsi="Avenir Next" w:cs="Arial"/>
          <w:color w:val="808080" w:themeColor="background1" w:themeShade="80"/>
          <w:sz w:val="22"/>
          <w:szCs w:val="22"/>
          <w:lang w:val="en-GB"/>
        </w:rPr>
        <w:t xml:space="preserve"> opened. This can be a benefit </w:t>
      </w:r>
      <w:r w:rsidR="00B450F1">
        <w:rPr>
          <w:rFonts w:ascii="Avenir Next" w:hAnsi="Avenir Next" w:cs="Arial"/>
          <w:color w:val="808080" w:themeColor="background1" w:themeShade="80"/>
          <w:sz w:val="22"/>
          <w:szCs w:val="22"/>
          <w:lang w:val="en-GB"/>
        </w:rPr>
        <w:t xml:space="preserve">to the debtor or to the creditors, to determine where should be the main proceeding occur and if it will really be or not a foreign proceeding, and main or non-main one. Depending on the case, it can be a disadvantage for the debtor who will have the obligation to file the request where the registered office is, even if it´s assets are in somewhere else and </w:t>
      </w:r>
      <w:r w:rsidR="006B1B5D">
        <w:rPr>
          <w:rFonts w:ascii="Avenir Next" w:hAnsi="Avenir Next" w:cs="Arial"/>
          <w:color w:val="808080" w:themeColor="background1" w:themeShade="80"/>
          <w:sz w:val="22"/>
          <w:szCs w:val="22"/>
          <w:lang w:val="en-GB"/>
        </w:rPr>
        <w:t>must</w:t>
      </w:r>
      <w:r w:rsidR="00B450F1">
        <w:rPr>
          <w:rFonts w:ascii="Avenir Next" w:hAnsi="Avenir Next" w:cs="Arial"/>
          <w:color w:val="808080" w:themeColor="background1" w:themeShade="80"/>
          <w:sz w:val="22"/>
          <w:szCs w:val="22"/>
          <w:lang w:val="en-GB"/>
        </w:rPr>
        <w:t xml:space="preserve"> be considered as a non-main proceeding.</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lastRenderedPageBreak/>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59A312DC" w:rsidR="00867A8F" w:rsidRPr="00B77352" w:rsidRDefault="00EF7DB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should consider the protection of the debtor´s assets or the interest of creditors. However, primarily, the court should consider if the relief will not interfere with the administration of another insolvency proceeding, including the main proceeding.</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512B1B02" w14:textId="1880F962" w:rsidR="00995A96" w:rsidRDefault="00EF7DBE"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13, </w:t>
      </w:r>
      <w:r w:rsidR="00995A96">
        <w:rPr>
          <w:rFonts w:ascii="Avenir Next" w:hAnsi="Avenir Next" w:cs="Arial"/>
          <w:color w:val="808080" w:themeColor="background1" w:themeShade="80"/>
          <w:sz w:val="22"/>
          <w:szCs w:val="22"/>
          <w:lang w:val="en-GB"/>
        </w:rPr>
        <w:t>the protections granted to creditors in a foreign proceeding is related to establish and confirm clear criteria for recognition and enforcement of an insolvency-related judgment.</w:t>
      </w:r>
    </w:p>
    <w:p w14:paraId="14071C5A" w14:textId="77777777" w:rsidR="00995A96" w:rsidRDefault="00995A96" w:rsidP="00100E8F">
      <w:pPr>
        <w:ind w:left="720" w:hanging="720"/>
        <w:jc w:val="both"/>
        <w:rPr>
          <w:rFonts w:ascii="Avenir Next" w:hAnsi="Avenir Next" w:cs="Arial"/>
          <w:color w:val="808080" w:themeColor="background1" w:themeShade="80"/>
          <w:sz w:val="22"/>
          <w:szCs w:val="22"/>
          <w:lang w:val="en-GB"/>
        </w:rPr>
      </w:pPr>
    </w:p>
    <w:p w14:paraId="741D1873" w14:textId="4194A8F2" w:rsidR="00867A8F" w:rsidRPr="00B77352" w:rsidRDefault="00995A96"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fair insolvency-related judgment will occur if the insolvency request fills all the conditions, as not being contrary to public policy, the documents required have been provided, the judgment is not subject to any grounds of refusal, for example.</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61563266" w:rsidR="00867A8F" w:rsidRDefault="00A92BDC"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foreign proceeding is recognized as the foreign main proceeding, </w:t>
      </w:r>
      <w:r w:rsidR="009F28AA">
        <w:rPr>
          <w:rFonts w:ascii="Avenir Next" w:hAnsi="Avenir Next" w:cs="Arial"/>
          <w:color w:val="808080" w:themeColor="background1" w:themeShade="80"/>
          <w:sz w:val="22"/>
          <w:szCs w:val="22"/>
          <w:lang w:val="en-GB"/>
        </w:rPr>
        <w:t xml:space="preserve">the relief will be granted as a mandatory condition (Article 20 of the MLCBI) This is a key distinction between the relief provided on Article 21, which is a relief based on the court´s discretionary power to decide. </w:t>
      </w:r>
    </w:p>
    <w:p w14:paraId="51B548F2" w14:textId="77777777" w:rsidR="00AE2350" w:rsidRDefault="00AE2350" w:rsidP="00100E8F">
      <w:pPr>
        <w:ind w:left="720" w:hanging="720"/>
        <w:jc w:val="both"/>
        <w:rPr>
          <w:rFonts w:ascii="Avenir Next" w:hAnsi="Avenir Next" w:cs="Arial"/>
          <w:color w:val="808080" w:themeColor="background1" w:themeShade="80"/>
          <w:sz w:val="22"/>
          <w:szCs w:val="22"/>
          <w:lang w:val="en-GB"/>
        </w:rPr>
      </w:pPr>
    </w:p>
    <w:p w14:paraId="7C6527ED" w14:textId="13E73F53" w:rsidR="00AE2350" w:rsidRDefault="00AE2350"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also important that when the court grant relief to a foreign non main proceeding it should be noted that when the relief is related to asset</w:t>
      </w:r>
      <w:r w:rsidR="008F2123">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it must not interfere with the administration of another insolvency proceeding, and mainly the foreign man proceeding, to avoid conflicts with the rights of the debtor and creditors.</w:t>
      </w:r>
    </w:p>
    <w:p w14:paraId="01F8FD1D" w14:textId="56258949" w:rsidR="009F28AA" w:rsidRDefault="009F28AA" w:rsidP="00100E8F">
      <w:pPr>
        <w:ind w:left="720" w:hanging="720"/>
        <w:jc w:val="both"/>
        <w:rPr>
          <w:rFonts w:ascii="Avenir Next" w:hAnsi="Avenir Next" w:cs="Arial"/>
          <w:color w:val="808080" w:themeColor="background1" w:themeShade="80"/>
          <w:sz w:val="22"/>
          <w:szCs w:val="22"/>
          <w:lang w:val="en-GB"/>
        </w:rPr>
      </w:pPr>
    </w:p>
    <w:p w14:paraId="4127391E" w14:textId="20C4F2D6" w:rsidR="00100E8F" w:rsidRPr="00B77352" w:rsidRDefault="008F2123"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Other key distinction is related to the relief for arbitration matters. If the arbitral tribunal takes place on the same place of the foreign main proceeding, the stay will also cover the arbitration</w:t>
      </w:r>
      <w:r w:rsidR="000D09A8">
        <w:rPr>
          <w:rFonts w:ascii="Avenir Next" w:hAnsi="Avenir Next" w:cs="Arial"/>
          <w:color w:val="808080" w:themeColor="background1" w:themeShade="80"/>
          <w:sz w:val="22"/>
          <w:szCs w:val="22"/>
          <w:lang w:val="en-GB"/>
        </w:rPr>
        <w:t xml:space="preserve"> that can be considered with a mandatory limitation of the effectiveness of the arbitration agreement. But, if the arbitration takes place on another place than the foreign main proceeding, or the enacting Stante, it will be more difficult to grant the stay relief to the arbitration proceeding.</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362C2B31" w14:textId="3085CE07" w:rsidR="004171D5" w:rsidRDefault="004171D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MLCBI, t</w:t>
      </w:r>
      <w:r w:rsidR="00FD7CB2">
        <w:rPr>
          <w:rFonts w:ascii="Avenir Next" w:hAnsi="Avenir Next" w:cs="Arial"/>
          <w:color w:val="808080" w:themeColor="background1" w:themeShade="80"/>
          <w:sz w:val="22"/>
          <w:szCs w:val="22"/>
          <w:lang w:val="en-GB"/>
        </w:rPr>
        <w:t xml:space="preserve">he court of US (the enacting State) will </w:t>
      </w:r>
      <w:r>
        <w:rPr>
          <w:rFonts w:ascii="Avenir Next" w:hAnsi="Avenir Next" w:cs="Arial"/>
          <w:color w:val="808080" w:themeColor="background1" w:themeShade="80"/>
          <w:sz w:val="22"/>
          <w:szCs w:val="22"/>
          <w:lang w:val="en-GB"/>
        </w:rPr>
        <w:t>analyse</w:t>
      </w:r>
      <w:r w:rsidR="00FD7CB2">
        <w:rPr>
          <w:rFonts w:ascii="Avenir Next" w:hAnsi="Avenir Next" w:cs="Arial"/>
          <w:color w:val="808080" w:themeColor="background1" w:themeShade="80"/>
          <w:sz w:val="22"/>
          <w:szCs w:val="22"/>
          <w:lang w:val="en-GB"/>
        </w:rPr>
        <w:t xml:space="preserve"> if the foreign proceeding and the foreign representative meet all the required characteristics and if there is no invocation of the public policy exception.</w:t>
      </w:r>
      <w:r>
        <w:rPr>
          <w:rFonts w:ascii="Avenir Next" w:hAnsi="Avenir Next" w:cs="Arial"/>
          <w:color w:val="808080" w:themeColor="background1" w:themeShade="80"/>
          <w:sz w:val="22"/>
          <w:szCs w:val="22"/>
          <w:lang w:val="en-GB"/>
        </w:rPr>
        <w:t xml:space="preserve"> (Article 17, (1), (a) to (d), Article 2, and Article 16(1).</w:t>
      </w:r>
    </w:p>
    <w:p w14:paraId="08475351" w14:textId="1AD74003" w:rsidR="00867A8F" w:rsidRDefault="004171D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Next step will be to determine that the foreign</w:t>
      </w:r>
      <w:r w:rsidR="00FD7CB2">
        <w:rPr>
          <w:rFonts w:ascii="Avenir Next" w:hAnsi="Avenir Next" w:cs="Arial"/>
          <w:color w:val="808080" w:themeColor="background1" w:themeShade="80"/>
          <w:sz w:val="22"/>
          <w:szCs w:val="22"/>
          <w:lang w:val="en-GB"/>
        </w:rPr>
        <w:t xml:space="preserve"> main proceeding will be in Germany, considering that the COMI of the debtor is there</w:t>
      </w:r>
      <w:r>
        <w:rPr>
          <w:rFonts w:ascii="Avenir Next" w:hAnsi="Avenir Next" w:cs="Arial"/>
          <w:color w:val="808080" w:themeColor="background1" w:themeShade="80"/>
          <w:sz w:val="22"/>
          <w:szCs w:val="22"/>
          <w:lang w:val="en-GB"/>
        </w:rPr>
        <w:t xml:space="preserve">, and to determine that the foreign non main proceeding will be in Bermuda, considering that the debtor has an establishment there. </w:t>
      </w:r>
    </w:p>
    <w:p w14:paraId="005253F9" w14:textId="77777777" w:rsidR="004171D5" w:rsidRDefault="004171D5" w:rsidP="00867A8F">
      <w:pPr>
        <w:ind w:left="720" w:hanging="720"/>
        <w:jc w:val="both"/>
        <w:rPr>
          <w:rFonts w:ascii="Avenir Next" w:hAnsi="Avenir Next" w:cs="Arial"/>
          <w:color w:val="808080" w:themeColor="background1" w:themeShade="80"/>
          <w:sz w:val="22"/>
          <w:szCs w:val="22"/>
          <w:lang w:val="en-GB"/>
        </w:rPr>
      </w:pPr>
    </w:p>
    <w:p w14:paraId="5B9B7CCF" w14:textId="591CCB9F" w:rsidR="004171D5" w:rsidRDefault="004171D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the purposes of the foreign main proceeding</w:t>
      </w:r>
      <w:r w:rsidR="00270641">
        <w:rPr>
          <w:rFonts w:ascii="Avenir Next" w:hAnsi="Avenir Next" w:cs="Arial"/>
          <w:color w:val="808080" w:themeColor="background1" w:themeShade="80"/>
          <w:sz w:val="22"/>
          <w:szCs w:val="22"/>
          <w:lang w:val="en-GB"/>
        </w:rPr>
        <w:t xml:space="preserve"> in Germany</w:t>
      </w:r>
      <w:r>
        <w:rPr>
          <w:rFonts w:ascii="Avenir Next" w:hAnsi="Avenir Next" w:cs="Arial"/>
          <w:color w:val="808080" w:themeColor="background1" w:themeShade="80"/>
          <w:sz w:val="22"/>
          <w:szCs w:val="22"/>
          <w:lang w:val="en-GB"/>
        </w:rPr>
        <w:t>, there will be an automatic</w:t>
      </w:r>
      <w:r w:rsidR="00270641">
        <w:rPr>
          <w:rFonts w:ascii="Avenir Next" w:hAnsi="Avenir Next" w:cs="Arial"/>
          <w:color w:val="808080" w:themeColor="background1" w:themeShade="80"/>
          <w:sz w:val="22"/>
          <w:szCs w:val="22"/>
          <w:lang w:val="en-GB"/>
        </w:rPr>
        <w:t xml:space="preserve"> mandatory</w:t>
      </w:r>
      <w:r>
        <w:rPr>
          <w:rFonts w:ascii="Avenir Next" w:hAnsi="Avenir Next" w:cs="Arial"/>
          <w:color w:val="808080" w:themeColor="background1" w:themeShade="80"/>
          <w:sz w:val="22"/>
          <w:szCs w:val="22"/>
          <w:lang w:val="en-GB"/>
        </w:rPr>
        <w:t xml:space="preserve"> relief</w:t>
      </w:r>
      <w:r w:rsidR="00270641">
        <w:rPr>
          <w:rFonts w:ascii="Avenir Next" w:hAnsi="Avenir Next" w:cs="Arial"/>
          <w:color w:val="808080" w:themeColor="background1" w:themeShade="80"/>
          <w:sz w:val="22"/>
          <w:szCs w:val="22"/>
          <w:lang w:val="en-GB"/>
        </w:rPr>
        <w:t xml:space="preserve">. For the purposes of foreign non main proceeding in Bermuda, the court can grant </w:t>
      </w:r>
      <w:proofErr w:type="gramStart"/>
      <w:r w:rsidR="00270641">
        <w:rPr>
          <w:rFonts w:ascii="Avenir Next" w:hAnsi="Avenir Next" w:cs="Arial"/>
          <w:color w:val="808080" w:themeColor="background1" w:themeShade="80"/>
          <w:sz w:val="22"/>
          <w:szCs w:val="22"/>
          <w:lang w:val="en-GB"/>
        </w:rPr>
        <w:t>an</w:t>
      </w:r>
      <w:proofErr w:type="gramEnd"/>
      <w:r w:rsidR="00270641">
        <w:rPr>
          <w:rFonts w:ascii="Avenir Next" w:hAnsi="Avenir Next" w:cs="Arial"/>
          <w:color w:val="808080" w:themeColor="background1" w:themeShade="80"/>
          <w:sz w:val="22"/>
          <w:szCs w:val="22"/>
          <w:lang w:val="en-GB"/>
        </w:rPr>
        <w:t xml:space="preserve"> discretionary post-recognition relief </w:t>
      </w:r>
    </w:p>
    <w:p w14:paraId="08294949" w14:textId="77777777" w:rsidR="004171D5" w:rsidRPr="00B77352" w:rsidRDefault="004171D5" w:rsidP="00867A8F">
      <w:pPr>
        <w:ind w:left="720" w:hanging="720"/>
        <w:jc w:val="both"/>
        <w:rPr>
          <w:rFonts w:ascii="Avenir Next" w:hAnsi="Avenir Next" w:cs="Arial"/>
          <w:color w:val="808080" w:themeColor="background1" w:themeShade="80"/>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6FC4347A" w14:textId="3C86071D" w:rsidR="006230A1" w:rsidRDefault="00B43DC1" w:rsidP="006230A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case, the court will have </w:t>
      </w:r>
      <w:r w:rsidR="006230A1">
        <w:rPr>
          <w:rFonts w:ascii="Avenir Next" w:hAnsi="Avenir Next" w:cs="Arial"/>
          <w:color w:val="808080" w:themeColor="background1" w:themeShade="80"/>
          <w:sz w:val="22"/>
          <w:szCs w:val="22"/>
          <w:lang w:val="en-GB"/>
        </w:rPr>
        <w:t>to analyse the contract clauses to decide what types of relief can or cannot be granted if the foreign proceeding is recognized, even if it recognized as a main or non-main foreign proceeding.</w:t>
      </w:r>
    </w:p>
    <w:p w14:paraId="577F485B" w14:textId="77777777" w:rsidR="006230A1" w:rsidRDefault="006230A1" w:rsidP="006230A1">
      <w:pPr>
        <w:ind w:left="720" w:hanging="720"/>
        <w:jc w:val="both"/>
        <w:rPr>
          <w:rFonts w:ascii="Avenir Next" w:hAnsi="Avenir Next" w:cs="Arial"/>
          <w:color w:val="808080" w:themeColor="background1" w:themeShade="80"/>
          <w:sz w:val="22"/>
          <w:szCs w:val="22"/>
          <w:lang w:val="en-GB"/>
        </w:rPr>
      </w:pPr>
    </w:p>
    <w:p w14:paraId="3937CDFF" w14:textId="7CCBC65D" w:rsidR="00867A8F" w:rsidRPr="00B77352" w:rsidRDefault="006230A1" w:rsidP="006230A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recognition can change regarding the site of the controlling law or the law governing the main contracts of the debtor, not only for the purpose of the grant of the relief but algo for the purpose of determining the COMI of the debtor.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4E3E2142" w:rsidR="00867A8F" w:rsidRDefault="00966C4F" w:rsidP="00F31E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can make requests regarding the protection of the </w:t>
      </w:r>
      <w:r w:rsidR="00AA7E06">
        <w:rPr>
          <w:rFonts w:ascii="Avenir Next" w:hAnsi="Avenir Next" w:cs="Arial"/>
          <w:color w:val="808080" w:themeColor="background1" w:themeShade="80"/>
          <w:sz w:val="22"/>
          <w:szCs w:val="22"/>
          <w:lang w:val="en-GB"/>
        </w:rPr>
        <w:t xml:space="preserve">debtor´s </w:t>
      </w:r>
      <w:r>
        <w:rPr>
          <w:rFonts w:ascii="Avenir Next" w:hAnsi="Avenir Next" w:cs="Arial"/>
          <w:color w:val="808080" w:themeColor="background1" w:themeShade="80"/>
          <w:sz w:val="22"/>
          <w:szCs w:val="22"/>
          <w:lang w:val="en-GB"/>
        </w:rPr>
        <w:t xml:space="preserve">assets, </w:t>
      </w:r>
      <w:proofErr w:type="gramStart"/>
      <w:r>
        <w:rPr>
          <w:rFonts w:ascii="Avenir Next" w:hAnsi="Avenir Next" w:cs="Arial"/>
          <w:color w:val="808080" w:themeColor="background1" w:themeShade="80"/>
          <w:sz w:val="22"/>
          <w:szCs w:val="22"/>
          <w:lang w:val="en-GB"/>
        </w:rPr>
        <w:t>and also</w:t>
      </w:r>
      <w:proofErr w:type="gramEnd"/>
      <w:r>
        <w:rPr>
          <w:rFonts w:ascii="Avenir Next" w:hAnsi="Avenir Next" w:cs="Arial"/>
          <w:color w:val="808080" w:themeColor="background1" w:themeShade="80"/>
          <w:sz w:val="22"/>
          <w:szCs w:val="22"/>
          <w:lang w:val="en-GB"/>
        </w:rPr>
        <w:t xml:space="preserve"> can request an urgent grant relief, considering that it will be 35 days of interim until the hearing. It can include the stay of actions concerning the debtor´s assets, rights obligations or </w:t>
      </w:r>
      <w:r w:rsidR="00AA7E06">
        <w:rPr>
          <w:rFonts w:ascii="Avenir Next" w:hAnsi="Avenir Next" w:cs="Arial"/>
          <w:color w:val="808080" w:themeColor="background1" w:themeShade="80"/>
          <w:sz w:val="22"/>
          <w:szCs w:val="22"/>
          <w:lang w:val="en-GB"/>
        </w:rPr>
        <w:t>liabilities</w:t>
      </w:r>
      <w:r>
        <w:rPr>
          <w:rFonts w:ascii="Avenir Next" w:hAnsi="Avenir Next" w:cs="Arial"/>
          <w:color w:val="808080" w:themeColor="background1" w:themeShade="80"/>
          <w:sz w:val="22"/>
          <w:szCs w:val="22"/>
          <w:lang w:val="en-GB"/>
        </w:rPr>
        <w:t>, the stay of executions, transfer or dispose of the debtor´s assets (Article 19 of MLCBI)</w:t>
      </w:r>
      <w:r w:rsidR="00AA7E06">
        <w:rPr>
          <w:rFonts w:ascii="Avenir Next" w:hAnsi="Avenir Next" w:cs="Arial"/>
          <w:color w:val="808080" w:themeColor="background1" w:themeShade="80"/>
          <w:sz w:val="22"/>
          <w:szCs w:val="22"/>
          <w:lang w:val="en-GB"/>
        </w:rPr>
        <w:t>.</w:t>
      </w:r>
    </w:p>
    <w:p w14:paraId="42284CFD" w14:textId="77777777" w:rsidR="00AA7E06" w:rsidRDefault="00AA7E06" w:rsidP="00F31EE9">
      <w:pPr>
        <w:ind w:left="720" w:hanging="720"/>
        <w:jc w:val="both"/>
        <w:rPr>
          <w:rFonts w:ascii="Avenir Next" w:hAnsi="Avenir Next" w:cs="Arial"/>
          <w:color w:val="808080" w:themeColor="background1" w:themeShade="80"/>
          <w:sz w:val="22"/>
          <w:szCs w:val="22"/>
          <w:lang w:val="en-GB"/>
        </w:rPr>
      </w:pPr>
    </w:p>
    <w:p w14:paraId="6CC78959" w14:textId="7AB8CEB1" w:rsidR="00AA7E06" w:rsidRPr="00F31EE9" w:rsidRDefault="00AA7E06" w:rsidP="00F31E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can also stand for the Gibbs Rule asking the US court to </w:t>
      </w:r>
      <w:r w:rsidRPr="00AA7E06">
        <w:rPr>
          <w:rFonts w:ascii="Avenir Next" w:hAnsi="Avenir Next" w:cs="Arial"/>
          <w:color w:val="808080" w:themeColor="background1" w:themeShade="80"/>
          <w:sz w:val="22"/>
          <w:szCs w:val="22"/>
          <w:lang w:val="en-GB"/>
        </w:rPr>
        <w:t>determine that a debt governed by English law cannot be discharged or compromised by a foreign insolvency proceeding</w:t>
      </w:r>
      <w:r w:rsidR="003517A4">
        <w:rPr>
          <w:rFonts w:ascii="Avenir Next" w:hAnsi="Avenir Next" w:cs="Arial"/>
          <w:color w:val="808080" w:themeColor="background1" w:themeShade="80"/>
          <w:sz w:val="22"/>
          <w:szCs w:val="22"/>
          <w:lang w:val="en-GB"/>
        </w:rPr>
        <w:t xml:space="preserve">, protecting the rights of the restructuring proceeding in UK.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 xml:space="preserve">e the foreign proceeding as the foreign main proceeding in order to sell certain assets within the territorial jurisdiction of Country B, but unfortunately the insolvency court considering the petition for recognition denied the recognition of </w:t>
      </w:r>
      <w:r w:rsidRPr="000A7632">
        <w:rPr>
          <w:rFonts w:ascii="Avenir Next" w:hAnsi="Avenir Next" w:cs="Arial"/>
          <w:sz w:val="22"/>
          <w:szCs w:val="22"/>
          <w:lang w:val="en-GB"/>
        </w:rPr>
        <w:lastRenderedPageBreak/>
        <w:t>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0522939E" w14:textId="72EE56D4" w:rsidR="00585BA6" w:rsidRDefault="00585BA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can file an appeal to the Court of Appeal requesting the reconsideration of the decision, trying to explain why this proceeding should be </w:t>
      </w:r>
      <w:r w:rsidR="00E849A9">
        <w:rPr>
          <w:rFonts w:ascii="Avenir Next" w:hAnsi="Avenir Next" w:cs="Arial"/>
          <w:color w:val="808080" w:themeColor="background1" w:themeShade="80"/>
          <w:sz w:val="22"/>
          <w:szCs w:val="22"/>
          <w:lang w:val="en-GB"/>
        </w:rPr>
        <w:t xml:space="preserve">considered as </w:t>
      </w:r>
      <w:r>
        <w:rPr>
          <w:rFonts w:ascii="Avenir Next" w:hAnsi="Avenir Next" w:cs="Arial"/>
          <w:color w:val="808080" w:themeColor="background1" w:themeShade="80"/>
          <w:sz w:val="22"/>
          <w:szCs w:val="22"/>
          <w:lang w:val="en-GB"/>
        </w:rPr>
        <w:t>the foreign main one</w:t>
      </w:r>
      <w:r w:rsidR="00E849A9">
        <w:rPr>
          <w:rFonts w:ascii="Avenir Next" w:hAnsi="Avenir Next" w:cs="Arial"/>
          <w:color w:val="808080" w:themeColor="background1" w:themeShade="80"/>
          <w:sz w:val="22"/>
          <w:szCs w:val="22"/>
          <w:lang w:val="en-GB"/>
        </w:rPr>
        <w:t xml:space="preserve">. </w:t>
      </w:r>
    </w:p>
    <w:p w14:paraId="76642025" w14:textId="77777777" w:rsidR="00E849A9" w:rsidRDefault="00E849A9" w:rsidP="00E849A9">
      <w:pPr>
        <w:jc w:val="both"/>
        <w:rPr>
          <w:rFonts w:ascii="Avenir Next" w:hAnsi="Avenir Next" w:cs="Arial"/>
          <w:color w:val="808080" w:themeColor="background1" w:themeShade="80"/>
          <w:sz w:val="22"/>
          <w:szCs w:val="22"/>
          <w:lang w:val="en-GB"/>
        </w:rPr>
      </w:pPr>
    </w:p>
    <w:p w14:paraId="55D111B1" w14:textId="73287A72" w:rsidR="00867A8F" w:rsidRPr="00B77352" w:rsidRDefault="00E849A9" w:rsidP="00E849A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should have given to the court enough elements that could proof that the location was the right one to be considered as the COMI, such as that the company on country B represents the location where financing was authorized; the location in which the debtor´s principal assets or operations are found; the location of employees, etc.</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w:t>
      </w:r>
      <w:r w:rsidRPr="0004192A">
        <w:rPr>
          <w:rFonts w:ascii="Avenir Next" w:hAnsi="Avenir Next"/>
          <w:sz w:val="22"/>
          <w:szCs w:val="28"/>
          <w:highlight w:val="yellow"/>
        </w:rPr>
        <w:t>insurance sector</w:t>
      </w:r>
      <w:r w:rsidRPr="00E61F6E">
        <w:rPr>
          <w:rFonts w:ascii="Avenir Next" w:hAnsi="Avenir Next"/>
          <w:sz w:val="22"/>
          <w:szCs w:val="28"/>
        </w:rPr>
        <w:t xml:space="preserve">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 xml:space="preserve">announced that it was </w:t>
      </w:r>
      <w:r w:rsidRPr="00E61F6E">
        <w:rPr>
          <w:rFonts w:ascii="Avenir Next" w:hAnsi="Avenir Next"/>
          <w:sz w:val="22"/>
          <w:szCs w:val="28"/>
        </w:rPr>
        <w:lastRenderedPageBreak/>
        <w:t>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6F022549" w14:textId="39A853F0" w:rsidR="00745027" w:rsidRPr="00B31954" w:rsidRDefault="00EC6479" w:rsidP="00EC6479">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Although the company is a holding which the respective subsidiaries operates in the </w:t>
      </w:r>
      <w:r w:rsidRPr="00B31954">
        <w:rPr>
          <w:rFonts w:ascii="Avenir Next" w:hAnsi="Avenir Next"/>
          <w:color w:val="808080" w:themeColor="background1" w:themeShade="80"/>
          <w:sz w:val="22"/>
          <w:szCs w:val="28"/>
        </w:rPr>
        <w:t>commercial automobile insurance sector</w:t>
      </w:r>
      <w:r w:rsidRPr="00B31954">
        <w:rPr>
          <w:rFonts w:ascii="Avenir Next" w:hAnsi="Avenir Next"/>
          <w:color w:val="808080" w:themeColor="background1" w:themeShade="80"/>
          <w:sz w:val="22"/>
          <w:szCs w:val="28"/>
        </w:rPr>
        <w:t xml:space="preserve">, which, regarding insurance sector could require to be administered under a special regulatory regime and can be excluded from the Model Law for the enacting State, there is a information that the Company </w:t>
      </w:r>
      <w:r w:rsidRPr="00B31954">
        <w:rPr>
          <w:rFonts w:ascii="Avenir Next" w:hAnsi="Avenir Next"/>
          <w:color w:val="808080" w:themeColor="background1" w:themeShade="80"/>
          <w:sz w:val="22"/>
          <w:szCs w:val="28"/>
        </w:rPr>
        <w:t>has no business operations of its own</w:t>
      </w:r>
      <w:r w:rsidR="00745027" w:rsidRPr="00B31954">
        <w:rPr>
          <w:rFonts w:ascii="Avenir Next" w:hAnsi="Avenir Next"/>
          <w:color w:val="808080" w:themeColor="background1" w:themeShade="80"/>
          <w:sz w:val="22"/>
          <w:szCs w:val="28"/>
        </w:rPr>
        <w:t xml:space="preserve">, being </w:t>
      </w:r>
      <w:r w:rsidRPr="00B31954">
        <w:rPr>
          <w:rFonts w:ascii="Avenir Next" w:hAnsi="Avenir Next"/>
          <w:color w:val="808080" w:themeColor="background1" w:themeShade="80"/>
          <w:sz w:val="22"/>
          <w:szCs w:val="28"/>
        </w:rPr>
        <w:t xml:space="preserve">carried out through its non-insurance company non-debtor subsidiaries that are all incorporated under the US laws and operating in the US. </w:t>
      </w:r>
    </w:p>
    <w:p w14:paraId="4DF3B0FB" w14:textId="77777777" w:rsidR="00B21565" w:rsidRPr="00B31954" w:rsidRDefault="00B21565" w:rsidP="00EC6479">
      <w:pPr>
        <w:jc w:val="both"/>
        <w:rPr>
          <w:rFonts w:ascii="Avenir Next" w:hAnsi="Avenir Next"/>
          <w:color w:val="808080" w:themeColor="background1" w:themeShade="80"/>
          <w:sz w:val="22"/>
          <w:szCs w:val="28"/>
        </w:rPr>
      </w:pPr>
    </w:p>
    <w:p w14:paraId="570B0417" w14:textId="73F687CF" w:rsidR="00745027" w:rsidRPr="00B31954" w:rsidRDefault="00745027" w:rsidP="00EC6479">
      <w:pPr>
        <w:jc w:val="both"/>
        <w:rPr>
          <w:rFonts w:ascii="Avenir Next" w:hAnsi="Avenir Next"/>
          <w:color w:val="808080" w:themeColor="background1" w:themeShade="80"/>
          <w:sz w:val="22"/>
          <w:szCs w:val="28"/>
        </w:rPr>
      </w:pPr>
      <w:r w:rsidRPr="00B31954">
        <w:rPr>
          <w:rFonts w:ascii="Avenir Next" w:hAnsi="Avenir Next"/>
          <w:color w:val="808080" w:themeColor="background1" w:themeShade="80"/>
          <w:sz w:val="22"/>
          <w:szCs w:val="28"/>
        </w:rPr>
        <w:lastRenderedPageBreak/>
        <w:t>This information</w:t>
      </w:r>
      <w:r w:rsidR="00B31954">
        <w:rPr>
          <w:rFonts w:ascii="Avenir Next" w:hAnsi="Avenir Next"/>
          <w:color w:val="808080" w:themeColor="background1" w:themeShade="80"/>
          <w:sz w:val="22"/>
          <w:szCs w:val="28"/>
        </w:rPr>
        <w:t>,</w:t>
      </w:r>
      <w:r w:rsidRPr="00B31954">
        <w:rPr>
          <w:rFonts w:ascii="Avenir Next" w:hAnsi="Avenir Next"/>
          <w:color w:val="808080" w:themeColor="background1" w:themeShade="80"/>
          <w:sz w:val="22"/>
          <w:szCs w:val="28"/>
        </w:rPr>
        <w:t xml:space="preserve"> that the company works through its non-insurance subsidiaries is important because confirm that the enacting State can qualify the proceeding</w:t>
      </w:r>
      <w:r w:rsidR="00B31954">
        <w:rPr>
          <w:rFonts w:ascii="Avenir Next" w:hAnsi="Avenir Next"/>
          <w:color w:val="808080" w:themeColor="background1" w:themeShade="80"/>
          <w:sz w:val="22"/>
          <w:szCs w:val="28"/>
        </w:rPr>
        <w:t xml:space="preserve"> as a “general” one,</w:t>
      </w:r>
      <w:r w:rsidRPr="00B31954">
        <w:rPr>
          <w:rFonts w:ascii="Avenir Next" w:hAnsi="Avenir Next"/>
          <w:color w:val="808080" w:themeColor="background1" w:themeShade="80"/>
          <w:sz w:val="22"/>
          <w:szCs w:val="28"/>
        </w:rPr>
        <w:t xml:space="preserve"> with the application of the Model Law. </w:t>
      </w:r>
    </w:p>
    <w:p w14:paraId="54B083FE" w14:textId="77777777" w:rsidR="00745027" w:rsidRPr="00B31954" w:rsidRDefault="00745027" w:rsidP="00EC6479">
      <w:pPr>
        <w:jc w:val="both"/>
        <w:rPr>
          <w:rFonts w:ascii="Avenir Next" w:hAnsi="Avenir Next"/>
          <w:color w:val="808080" w:themeColor="background1" w:themeShade="80"/>
          <w:sz w:val="22"/>
          <w:szCs w:val="28"/>
        </w:rPr>
      </w:pPr>
    </w:p>
    <w:p w14:paraId="7E5F89C7" w14:textId="17AAA1AF" w:rsidR="00EC6479" w:rsidRPr="00B31954" w:rsidRDefault="00EC6479" w:rsidP="009E3CA7">
      <w:pPr>
        <w:jc w:val="both"/>
        <w:rPr>
          <w:rFonts w:ascii="Avenir Next" w:hAnsi="Avenir Next"/>
          <w:color w:val="808080" w:themeColor="background1" w:themeShade="80"/>
          <w:sz w:val="22"/>
          <w:szCs w:val="28"/>
        </w:rPr>
      </w:pPr>
    </w:p>
    <w:p w14:paraId="30D7E6F9" w14:textId="5CEB9D70" w:rsidR="009E3CA7" w:rsidRDefault="00EC6479" w:rsidP="009E3CA7">
      <w:pPr>
        <w:jc w:val="both"/>
        <w:rPr>
          <w:rFonts w:ascii="Avenir Next" w:hAnsi="Avenir Next"/>
          <w:color w:val="808080" w:themeColor="background1" w:themeShade="80"/>
          <w:sz w:val="22"/>
          <w:szCs w:val="28"/>
        </w:rPr>
      </w:pPr>
      <w:r w:rsidRPr="00B31954">
        <w:rPr>
          <w:rFonts w:ascii="Avenir Next" w:hAnsi="Avenir Next"/>
          <w:color w:val="808080" w:themeColor="background1" w:themeShade="80"/>
          <w:sz w:val="22"/>
          <w:szCs w:val="28"/>
        </w:rPr>
        <w:t xml:space="preserve">The information that </w:t>
      </w:r>
      <w:r w:rsidR="00745027" w:rsidRPr="00B31954">
        <w:rPr>
          <w:rFonts w:ascii="Avenir Next" w:hAnsi="Avenir Next"/>
          <w:color w:val="808080" w:themeColor="background1" w:themeShade="80"/>
          <w:sz w:val="22"/>
          <w:szCs w:val="28"/>
        </w:rPr>
        <w:t>(</w:t>
      </w:r>
      <w:proofErr w:type="spellStart"/>
      <w:r w:rsidR="00745027" w:rsidRPr="00B31954">
        <w:rPr>
          <w:rFonts w:ascii="Avenir Next" w:hAnsi="Avenir Next"/>
          <w:color w:val="808080" w:themeColor="background1" w:themeShade="80"/>
          <w:sz w:val="22"/>
          <w:szCs w:val="28"/>
        </w:rPr>
        <w:t>i</w:t>
      </w:r>
      <w:proofErr w:type="spellEnd"/>
      <w:r w:rsidR="00745027" w:rsidRPr="00B31954">
        <w:rPr>
          <w:rFonts w:ascii="Avenir Next" w:hAnsi="Avenir Next"/>
          <w:color w:val="808080" w:themeColor="background1" w:themeShade="80"/>
          <w:sz w:val="22"/>
          <w:szCs w:val="28"/>
        </w:rPr>
        <w:t xml:space="preserve">) </w:t>
      </w:r>
      <w:r w:rsidRPr="00B31954">
        <w:rPr>
          <w:rFonts w:ascii="Avenir Next" w:hAnsi="Avenir Next"/>
          <w:color w:val="808080" w:themeColor="background1" w:themeShade="80"/>
          <w:sz w:val="22"/>
          <w:szCs w:val="28"/>
        </w:rPr>
        <w:t>the Company has its addre</w:t>
      </w:r>
      <w:r w:rsidR="00745027" w:rsidRPr="00B31954">
        <w:rPr>
          <w:rFonts w:ascii="Avenir Next" w:hAnsi="Avenir Next"/>
          <w:color w:val="808080" w:themeColor="background1" w:themeShade="80"/>
          <w:sz w:val="22"/>
          <w:szCs w:val="28"/>
        </w:rPr>
        <w:t>s</w:t>
      </w:r>
      <w:r w:rsidRPr="00B31954">
        <w:rPr>
          <w:rFonts w:ascii="Avenir Next" w:hAnsi="Avenir Next"/>
          <w:color w:val="808080" w:themeColor="background1" w:themeShade="80"/>
          <w:sz w:val="22"/>
          <w:szCs w:val="28"/>
        </w:rPr>
        <w:t>s under Cayman´s SEC</w:t>
      </w:r>
      <w:r w:rsidR="00745027" w:rsidRPr="00B31954">
        <w:rPr>
          <w:rFonts w:ascii="Avenir Next" w:hAnsi="Avenir Next"/>
          <w:color w:val="808080" w:themeColor="background1" w:themeShade="80"/>
          <w:sz w:val="22"/>
          <w:szCs w:val="28"/>
        </w:rPr>
        <w:t>;</w:t>
      </w:r>
      <w:r w:rsidRPr="00B31954">
        <w:rPr>
          <w:rFonts w:ascii="Avenir Next" w:hAnsi="Avenir Next"/>
          <w:color w:val="808080" w:themeColor="background1" w:themeShade="80"/>
          <w:sz w:val="22"/>
          <w:szCs w:val="28"/>
        </w:rPr>
        <w:t xml:space="preserve"> </w:t>
      </w:r>
      <w:r w:rsidR="00745027" w:rsidRPr="00B31954">
        <w:rPr>
          <w:rFonts w:ascii="Avenir Next" w:hAnsi="Avenir Next"/>
          <w:color w:val="808080" w:themeColor="background1" w:themeShade="80"/>
          <w:sz w:val="22"/>
          <w:szCs w:val="28"/>
        </w:rPr>
        <w:t xml:space="preserve">(ii) the board have meeting by </w:t>
      </w:r>
      <w:r w:rsidRPr="00B31954">
        <w:rPr>
          <w:rFonts w:ascii="Avenir Next" w:hAnsi="Avenir Next"/>
          <w:color w:val="808080" w:themeColor="background1" w:themeShade="80"/>
          <w:sz w:val="22"/>
          <w:szCs w:val="28"/>
        </w:rPr>
        <w:t>videocalls</w:t>
      </w:r>
      <w:r w:rsidR="00745027" w:rsidRPr="00B31954">
        <w:rPr>
          <w:rFonts w:ascii="Avenir Next" w:hAnsi="Avenir Next"/>
          <w:color w:val="808080" w:themeColor="background1" w:themeShade="80"/>
          <w:sz w:val="22"/>
          <w:szCs w:val="28"/>
        </w:rPr>
        <w:t>; (iii) there is a recent</w:t>
      </w:r>
      <w:r w:rsidRPr="00B31954">
        <w:rPr>
          <w:rFonts w:ascii="Avenir Next" w:hAnsi="Avenir Next"/>
          <w:color w:val="808080" w:themeColor="background1" w:themeShade="80"/>
          <w:sz w:val="22"/>
          <w:szCs w:val="28"/>
        </w:rPr>
        <w:t xml:space="preserve"> bank account</w:t>
      </w:r>
      <w:r w:rsidR="00745027" w:rsidRPr="00B31954">
        <w:rPr>
          <w:rFonts w:ascii="Avenir Next" w:hAnsi="Avenir Next"/>
          <w:color w:val="808080" w:themeColor="background1" w:themeShade="80"/>
          <w:sz w:val="22"/>
          <w:szCs w:val="28"/>
        </w:rPr>
        <w:t xml:space="preserve"> opened on Cayman Islands; and that (iv)</w:t>
      </w:r>
      <w:r w:rsidRPr="00B31954">
        <w:rPr>
          <w:rFonts w:ascii="Avenir Next" w:hAnsi="Avenir Next"/>
          <w:color w:val="808080" w:themeColor="background1" w:themeShade="80"/>
          <w:sz w:val="22"/>
          <w:szCs w:val="28"/>
        </w:rPr>
        <w:t xml:space="preserve"> </w:t>
      </w:r>
      <w:r w:rsidR="00745027" w:rsidRPr="00B31954">
        <w:rPr>
          <w:rFonts w:ascii="Avenir Next" w:hAnsi="Avenir Next"/>
          <w:color w:val="808080" w:themeColor="background1" w:themeShade="80"/>
          <w:sz w:val="22"/>
          <w:szCs w:val="28"/>
        </w:rPr>
        <w:t>t</w:t>
      </w:r>
      <w:r w:rsidRPr="00B31954">
        <w:rPr>
          <w:rFonts w:ascii="Avenir Next" w:hAnsi="Avenir Next"/>
          <w:color w:val="808080" w:themeColor="background1" w:themeShade="80"/>
          <w:sz w:val="22"/>
          <w:szCs w:val="28"/>
        </w:rPr>
        <w:t>he client maintains its books and records in the Cayman Islands</w:t>
      </w:r>
      <w:r w:rsidRPr="00B31954">
        <w:rPr>
          <w:rFonts w:ascii="Avenir Next" w:hAnsi="Avenir Next"/>
          <w:color w:val="808080" w:themeColor="background1" w:themeShade="80"/>
          <w:sz w:val="22"/>
          <w:szCs w:val="28"/>
        </w:rPr>
        <w:t xml:space="preserve"> doesn´t mean that </w:t>
      </w:r>
      <w:r w:rsidR="00745027" w:rsidRPr="00B31954">
        <w:rPr>
          <w:rFonts w:ascii="Avenir Next" w:hAnsi="Avenir Next"/>
          <w:color w:val="808080" w:themeColor="background1" w:themeShade="80"/>
          <w:sz w:val="22"/>
          <w:szCs w:val="28"/>
        </w:rPr>
        <w:t>these elements</w:t>
      </w:r>
      <w:r w:rsidRPr="00B31954">
        <w:rPr>
          <w:rFonts w:ascii="Avenir Next" w:hAnsi="Avenir Next"/>
          <w:color w:val="808080" w:themeColor="background1" w:themeShade="80"/>
          <w:sz w:val="22"/>
          <w:szCs w:val="28"/>
        </w:rPr>
        <w:t xml:space="preserve"> </w:t>
      </w:r>
      <w:r w:rsidR="00745027" w:rsidRPr="00B31954">
        <w:rPr>
          <w:rFonts w:ascii="Avenir Next" w:hAnsi="Avenir Next"/>
          <w:color w:val="808080" w:themeColor="background1" w:themeShade="80"/>
          <w:sz w:val="22"/>
          <w:szCs w:val="28"/>
        </w:rPr>
        <w:t>are enough to consider Cayman Islands as the Company Cent</w:t>
      </w:r>
      <w:r w:rsidR="00B31954">
        <w:rPr>
          <w:rFonts w:ascii="Avenir Next" w:hAnsi="Avenir Next"/>
          <w:color w:val="808080" w:themeColor="background1" w:themeShade="80"/>
          <w:sz w:val="22"/>
          <w:szCs w:val="28"/>
        </w:rPr>
        <w:t>re</w:t>
      </w:r>
      <w:r w:rsidR="00745027" w:rsidRPr="00B31954">
        <w:rPr>
          <w:rFonts w:ascii="Avenir Next" w:hAnsi="Avenir Next"/>
          <w:color w:val="808080" w:themeColor="background1" w:themeShade="80"/>
          <w:sz w:val="22"/>
          <w:szCs w:val="28"/>
        </w:rPr>
        <w:t xml:space="preserve"> </w:t>
      </w:r>
      <w:r w:rsidR="00745027" w:rsidRPr="001201FD">
        <w:rPr>
          <w:rFonts w:ascii="Avenir Next" w:hAnsi="Avenir Next"/>
          <w:color w:val="808080" w:themeColor="background1" w:themeShade="80"/>
          <w:sz w:val="22"/>
          <w:szCs w:val="28"/>
        </w:rPr>
        <w:t>of Main Interest - COMI</w:t>
      </w:r>
      <w:r w:rsidRPr="00B31954">
        <w:rPr>
          <w:rFonts w:ascii="Avenir Next" w:hAnsi="Avenir Next"/>
          <w:color w:val="808080" w:themeColor="background1" w:themeShade="80"/>
          <w:sz w:val="22"/>
          <w:szCs w:val="28"/>
        </w:rPr>
        <w:t xml:space="preserve"> </w:t>
      </w:r>
    </w:p>
    <w:p w14:paraId="57596EC3" w14:textId="77777777" w:rsidR="00745027" w:rsidRDefault="00745027" w:rsidP="009E3CA7">
      <w:pPr>
        <w:jc w:val="both"/>
        <w:rPr>
          <w:rFonts w:ascii="Avenir Next" w:hAnsi="Avenir Next"/>
          <w:color w:val="808080" w:themeColor="background1" w:themeShade="80"/>
          <w:sz w:val="22"/>
          <w:szCs w:val="28"/>
        </w:rPr>
      </w:pPr>
    </w:p>
    <w:p w14:paraId="7F741A41" w14:textId="3D25599E" w:rsidR="00B31954" w:rsidRPr="00B31954" w:rsidRDefault="00745027" w:rsidP="00B31954">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fact, </w:t>
      </w:r>
      <w:r w:rsidR="003C073C">
        <w:rPr>
          <w:rFonts w:ascii="Avenir Next" w:hAnsi="Avenir Next"/>
          <w:color w:val="808080" w:themeColor="background1" w:themeShade="80"/>
          <w:sz w:val="22"/>
          <w:szCs w:val="28"/>
        </w:rPr>
        <w:t xml:space="preserve">despite the Model Law doesn´t have a specific definition of what COMI is, </w:t>
      </w:r>
      <w:r w:rsidR="00773B79">
        <w:rPr>
          <w:rFonts w:ascii="Avenir Next" w:hAnsi="Avenir Next"/>
          <w:color w:val="808080" w:themeColor="background1" w:themeShade="80"/>
          <w:sz w:val="22"/>
          <w:szCs w:val="28"/>
        </w:rPr>
        <w:t>the jurisprudence understands (the Virgos-Schmidt Report) that COMI has to be identified by reference to factors which must be objective and ascertainable by third parties,</w:t>
      </w:r>
      <w:r w:rsidR="003C073C">
        <w:rPr>
          <w:rFonts w:ascii="Avenir Next" w:hAnsi="Avenir Next"/>
          <w:color w:val="808080" w:themeColor="background1" w:themeShade="80"/>
          <w:sz w:val="22"/>
          <w:szCs w:val="28"/>
        </w:rPr>
        <w:t xml:space="preserve"> results in the conclusion that the COMI is at New York, considering (</w:t>
      </w:r>
      <w:proofErr w:type="spellStart"/>
      <w:r w:rsidR="003C073C">
        <w:rPr>
          <w:rFonts w:ascii="Avenir Next" w:hAnsi="Avenir Next"/>
          <w:color w:val="808080" w:themeColor="background1" w:themeShade="80"/>
          <w:sz w:val="22"/>
          <w:szCs w:val="28"/>
        </w:rPr>
        <w:t>i</w:t>
      </w:r>
      <w:proofErr w:type="spellEnd"/>
      <w:r w:rsidR="003C073C">
        <w:rPr>
          <w:rFonts w:ascii="Avenir Next" w:hAnsi="Avenir Next"/>
          <w:color w:val="808080" w:themeColor="background1" w:themeShade="80"/>
          <w:sz w:val="22"/>
          <w:szCs w:val="28"/>
        </w:rPr>
        <w:t xml:space="preserve">) the Notes negotiation governed under New York law; (ii) </w:t>
      </w:r>
      <w:r w:rsidR="003C073C" w:rsidRPr="00B31954">
        <w:rPr>
          <w:rFonts w:ascii="Avenir Next" w:hAnsi="Avenir Next"/>
          <w:color w:val="808080" w:themeColor="background1" w:themeShade="80"/>
          <w:sz w:val="22"/>
          <w:szCs w:val="28"/>
        </w:rPr>
        <w:t>the corporate headquarters located in New York</w:t>
      </w:r>
      <w:r w:rsidR="00B31954">
        <w:rPr>
          <w:rFonts w:ascii="Avenir Next" w:hAnsi="Avenir Next"/>
          <w:color w:val="808080" w:themeColor="background1" w:themeShade="80"/>
          <w:sz w:val="22"/>
          <w:szCs w:val="28"/>
        </w:rPr>
        <w:t>; (iii) a</w:t>
      </w:r>
      <w:r w:rsidR="00B31954" w:rsidRPr="00B31954">
        <w:rPr>
          <w:rFonts w:ascii="Avenir Next" w:hAnsi="Avenir Next"/>
          <w:color w:val="808080" w:themeColor="background1" w:themeShade="80"/>
          <w:sz w:val="22"/>
          <w:szCs w:val="28"/>
        </w:rPr>
        <w:t xml:space="preserve">ll employees are in the US. </w:t>
      </w:r>
    </w:p>
    <w:p w14:paraId="43A441E9" w14:textId="242025C7" w:rsidR="00126E19" w:rsidRPr="00B31954" w:rsidRDefault="00126E19" w:rsidP="00707FC8">
      <w:pPr>
        <w:jc w:val="both"/>
        <w:rPr>
          <w:rFonts w:ascii="Avenir Next" w:hAnsi="Avenir Next"/>
          <w:color w:val="808080" w:themeColor="background1" w:themeShade="80"/>
          <w:sz w:val="22"/>
          <w:szCs w:val="28"/>
        </w:rPr>
      </w:pPr>
    </w:p>
    <w:p w14:paraId="7BC59868" w14:textId="1C76D60A" w:rsidR="003C073C" w:rsidRPr="00B31954" w:rsidRDefault="003C073C" w:rsidP="00707FC8">
      <w:pPr>
        <w:jc w:val="both"/>
        <w:rPr>
          <w:rFonts w:ascii="Avenir Next" w:hAnsi="Avenir Next"/>
          <w:color w:val="808080" w:themeColor="background1" w:themeShade="80"/>
          <w:sz w:val="22"/>
          <w:szCs w:val="28"/>
        </w:rPr>
      </w:pPr>
      <w:r w:rsidRPr="00B31954">
        <w:rPr>
          <w:rFonts w:ascii="Avenir Next" w:hAnsi="Avenir Next"/>
          <w:color w:val="808080" w:themeColor="background1" w:themeShade="80"/>
          <w:sz w:val="22"/>
          <w:szCs w:val="28"/>
        </w:rPr>
        <w:t xml:space="preserve">In that way, the </w:t>
      </w:r>
      <w:proofErr w:type="spellStart"/>
      <w:r w:rsidRPr="00B31954">
        <w:rPr>
          <w:rFonts w:ascii="Avenir Next" w:hAnsi="Avenir Next"/>
          <w:color w:val="808080" w:themeColor="background1" w:themeShade="80"/>
          <w:sz w:val="22"/>
          <w:szCs w:val="28"/>
        </w:rPr>
        <w:t>counsel</w:t>
      </w:r>
      <w:proofErr w:type="spellEnd"/>
      <w:r w:rsidRPr="00B31954">
        <w:rPr>
          <w:rFonts w:ascii="Avenir Next" w:hAnsi="Avenir Next"/>
          <w:color w:val="808080" w:themeColor="background1" w:themeShade="80"/>
          <w:sz w:val="22"/>
          <w:szCs w:val="28"/>
        </w:rPr>
        <w:t xml:space="preserve"> decision </w:t>
      </w:r>
      <w:r w:rsidRPr="00B31954">
        <w:rPr>
          <w:rFonts w:ascii="Avenir Next" w:hAnsi="Avenir Next"/>
          <w:color w:val="808080" w:themeColor="background1" w:themeShade="80"/>
          <w:sz w:val="22"/>
          <w:szCs w:val="28"/>
        </w:rPr>
        <w:t>to commence a scheme under Cayman Islands law</w:t>
      </w:r>
      <w:r w:rsidR="00B21565" w:rsidRPr="00B31954">
        <w:rPr>
          <w:rFonts w:ascii="Avenir Next" w:hAnsi="Avenir Next"/>
          <w:color w:val="808080" w:themeColor="background1" w:themeShade="80"/>
          <w:sz w:val="22"/>
          <w:szCs w:val="28"/>
        </w:rPr>
        <w:t xml:space="preserve"> for the Noteholders</w:t>
      </w:r>
      <w:r w:rsidRPr="00B31954">
        <w:rPr>
          <w:rFonts w:ascii="Avenir Next" w:hAnsi="Avenir Next"/>
          <w:color w:val="808080" w:themeColor="background1" w:themeShade="80"/>
          <w:sz w:val="22"/>
          <w:szCs w:val="28"/>
        </w:rPr>
        <w:t>, followed by a chapter 15 recognition proceeding in the United States</w:t>
      </w:r>
      <w:r w:rsidR="00B21565" w:rsidRPr="00B31954">
        <w:rPr>
          <w:rFonts w:ascii="Avenir Next" w:hAnsi="Avenir Next"/>
          <w:color w:val="808080" w:themeColor="background1" w:themeShade="80"/>
          <w:sz w:val="22"/>
          <w:szCs w:val="28"/>
        </w:rPr>
        <w:t xml:space="preserve"> was</w:t>
      </w:r>
      <w:r w:rsidR="00B31954">
        <w:rPr>
          <w:rFonts w:ascii="Avenir Next" w:hAnsi="Avenir Next"/>
          <w:color w:val="808080" w:themeColor="background1" w:themeShade="80"/>
          <w:sz w:val="22"/>
          <w:szCs w:val="28"/>
        </w:rPr>
        <w:t xml:space="preserve"> kind of</w:t>
      </w:r>
      <w:r w:rsidR="00B21565" w:rsidRPr="00B31954">
        <w:rPr>
          <w:rFonts w:ascii="Avenir Next" w:hAnsi="Avenir Next"/>
          <w:color w:val="808080" w:themeColor="background1" w:themeShade="80"/>
          <w:sz w:val="22"/>
          <w:szCs w:val="28"/>
        </w:rPr>
        <w:t xml:space="preserve"> right, but the decision to celebrate a </w:t>
      </w:r>
      <w:r w:rsidR="00B21565" w:rsidRPr="00B31954">
        <w:rPr>
          <w:rFonts w:ascii="Avenir Next" w:hAnsi="Avenir Next"/>
          <w:color w:val="808080" w:themeColor="background1" w:themeShade="80"/>
          <w:sz w:val="22"/>
          <w:szCs w:val="28"/>
        </w:rPr>
        <w:t>Restructuring Support Agreement (RSA) governed by the New York law</w:t>
      </w:r>
      <w:r w:rsidR="00B21565" w:rsidRPr="00B31954">
        <w:rPr>
          <w:rFonts w:ascii="Avenir Next" w:hAnsi="Avenir Next"/>
          <w:color w:val="808080" w:themeColor="background1" w:themeShade="80"/>
          <w:sz w:val="22"/>
          <w:szCs w:val="28"/>
        </w:rPr>
        <w:t xml:space="preserve"> with </w:t>
      </w:r>
      <w:r w:rsidR="00B21565" w:rsidRPr="00B31954">
        <w:rPr>
          <w:rFonts w:ascii="Avenir Next" w:hAnsi="Avenir Next"/>
          <w:color w:val="808080" w:themeColor="background1" w:themeShade="80"/>
          <w:sz w:val="22"/>
          <w:szCs w:val="28"/>
        </w:rPr>
        <w:t xml:space="preserve">the expectations that any such restructuring would take place in the Cayman Islands, </w:t>
      </w:r>
      <w:r w:rsidR="00B21565" w:rsidRPr="00B31954">
        <w:rPr>
          <w:rFonts w:ascii="Avenir Next" w:hAnsi="Avenir Next"/>
          <w:color w:val="808080" w:themeColor="background1" w:themeShade="80"/>
          <w:sz w:val="22"/>
          <w:szCs w:val="28"/>
        </w:rPr>
        <w:t xml:space="preserve">because it </w:t>
      </w:r>
      <w:r w:rsidR="00B21565" w:rsidRPr="00B31954">
        <w:rPr>
          <w:rFonts w:ascii="Avenir Next" w:hAnsi="Avenir Next"/>
          <w:color w:val="808080" w:themeColor="background1" w:themeShade="80"/>
          <w:sz w:val="22"/>
          <w:szCs w:val="28"/>
        </w:rPr>
        <w:t>reflect</w:t>
      </w:r>
      <w:r w:rsidR="00B31954">
        <w:rPr>
          <w:rFonts w:ascii="Avenir Next" w:hAnsi="Avenir Next"/>
          <w:color w:val="808080" w:themeColor="background1" w:themeShade="80"/>
          <w:sz w:val="22"/>
          <w:szCs w:val="28"/>
        </w:rPr>
        <w:t>s</w:t>
      </w:r>
      <w:r w:rsidR="00B21565" w:rsidRPr="00B31954">
        <w:rPr>
          <w:rFonts w:ascii="Avenir Next" w:hAnsi="Avenir Next"/>
          <w:color w:val="808080" w:themeColor="background1" w:themeShade="80"/>
          <w:sz w:val="22"/>
          <w:szCs w:val="28"/>
        </w:rPr>
        <w:t xml:space="preserve"> the RSA</w:t>
      </w:r>
      <w:r w:rsidR="00B21565" w:rsidRPr="00B31954">
        <w:rPr>
          <w:rFonts w:ascii="Avenir Next" w:hAnsi="Avenir Next"/>
          <w:color w:val="808080" w:themeColor="background1" w:themeShade="80"/>
          <w:sz w:val="22"/>
          <w:szCs w:val="28"/>
        </w:rPr>
        <w:t>, and</w:t>
      </w:r>
      <w:r w:rsidR="00B31954">
        <w:rPr>
          <w:rFonts w:ascii="Avenir Next" w:hAnsi="Avenir Next"/>
          <w:color w:val="808080" w:themeColor="background1" w:themeShade="80"/>
          <w:sz w:val="22"/>
          <w:szCs w:val="28"/>
        </w:rPr>
        <w:t xml:space="preserve"> with that,</w:t>
      </w:r>
      <w:r w:rsidR="00B21565" w:rsidRPr="00B31954">
        <w:rPr>
          <w:rFonts w:ascii="Avenir Next" w:hAnsi="Avenir Next"/>
          <w:color w:val="808080" w:themeColor="background1" w:themeShade="80"/>
          <w:sz w:val="22"/>
          <w:szCs w:val="28"/>
        </w:rPr>
        <w:t xml:space="preserve"> </w:t>
      </w:r>
      <w:r w:rsidR="00B21565" w:rsidRPr="00B31954">
        <w:rPr>
          <w:rFonts w:ascii="Avenir Next" w:hAnsi="Avenir Next"/>
          <w:color w:val="808080" w:themeColor="background1" w:themeShade="80"/>
          <w:sz w:val="22"/>
          <w:szCs w:val="28"/>
        </w:rPr>
        <w:t>constitute a single class of creditors</w:t>
      </w:r>
      <w:r w:rsidR="00B21565" w:rsidRPr="00B31954">
        <w:rPr>
          <w:rFonts w:ascii="Avenir Next" w:hAnsi="Avenir Next"/>
          <w:color w:val="808080" w:themeColor="background1" w:themeShade="80"/>
          <w:sz w:val="22"/>
          <w:szCs w:val="28"/>
        </w:rPr>
        <w:t>,</w:t>
      </w:r>
      <w:r w:rsidR="00B21565" w:rsidRPr="00B31954">
        <w:rPr>
          <w:rFonts w:ascii="Avenir Next" w:hAnsi="Avenir Next"/>
          <w:color w:val="808080" w:themeColor="background1" w:themeShade="80"/>
          <w:sz w:val="22"/>
          <w:szCs w:val="28"/>
        </w:rPr>
        <w:t xml:space="preserve"> </w:t>
      </w:r>
      <w:r w:rsidR="00B21565" w:rsidRPr="00B31954">
        <w:rPr>
          <w:rFonts w:ascii="Avenir Next" w:hAnsi="Avenir Next"/>
          <w:color w:val="808080" w:themeColor="background1" w:themeShade="80"/>
          <w:sz w:val="22"/>
          <w:szCs w:val="28"/>
        </w:rPr>
        <w:t>was a wrong expectation.</w:t>
      </w:r>
    </w:p>
    <w:p w14:paraId="145FC255" w14:textId="77777777" w:rsidR="00940D1E" w:rsidRPr="00B31954" w:rsidRDefault="00940D1E" w:rsidP="00707FC8">
      <w:pPr>
        <w:jc w:val="both"/>
        <w:rPr>
          <w:rFonts w:ascii="Avenir Next" w:hAnsi="Avenir Next"/>
          <w:color w:val="808080" w:themeColor="background1" w:themeShade="80"/>
          <w:sz w:val="22"/>
          <w:szCs w:val="28"/>
        </w:rPr>
      </w:pPr>
    </w:p>
    <w:p w14:paraId="03F3D264" w14:textId="4078146F" w:rsidR="00940D1E" w:rsidRPr="00B31954" w:rsidRDefault="00940D1E" w:rsidP="00707FC8">
      <w:pPr>
        <w:jc w:val="both"/>
        <w:rPr>
          <w:rFonts w:ascii="Avenir Next" w:hAnsi="Avenir Next"/>
          <w:color w:val="808080" w:themeColor="background1" w:themeShade="80"/>
          <w:sz w:val="22"/>
          <w:szCs w:val="28"/>
        </w:rPr>
      </w:pPr>
      <w:r w:rsidRPr="00B31954">
        <w:rPr>
          <w:rFonts w:ascii="Avenir Next" w:hAnsi="Avenir Next"/>
          <w:color w:val="808080" w:themeColor="background1" w:themeShade="80"/>
          <w:sz w:val="22"/>
          <w:szCs w:val="28"/>
        </w:rPr>
        <w:t xml:space="preserve">Even with the Cayman Islands </w:t>
      </w:r>
      <w:r w:rsidR="00B31954">
        <w:rPr>
          <w:rFonts w:ascii="Avenir Next" w:hAnsi="Avenir Next"/>
          <w:color w:val="808080" w:themeColor="background1" w:themeShade="80"/>
          <w:sz w:val="22"/>
          <w:szCs w:val="28"/>
        </w:rPr>
        <w:t xml:space="preserve">court </w:t>
      </w:r>
      <w:r w:rsidRPr="00B31954">
        <w:rPr>
          <w:rFonts w:ascii="Avenir Next" w:hAnsi="Avenir Next"/>
          <w:color w:val="808080" w:themeColor="background1" w:themeShade="80"/>
          <w:sz w:val="22"/>
          <w:szCs w:val="28"/>
        </w:rPr>
        <w:t xml:space="preserve">Sanction Order that </w:t>
      </w:r>
      <w:r w:rsidRPr="00B31954">
        <w:rPr>
          <w:rFonts w:ascii="Avenir Next" w:hAnsi="Avenir Next"/>
          <w:color w:val="808080" w:themeColor="background1" w:themeShade="80"/>
          <w:sz w:val="22"/>
          <w:szCs w:val="28"/>
        </w:rPr>
        <w:t>sanction</w:t>
      </w:r>
      <w:r w:rsidR="00B31954">
        <w:rPr>
          <w:rFonts w:ascii="Avenir Next" w:hAnsi="Avenir Next"/>
          <w:color w:val="808080" w:themeColor="background1" w:themeShade="80"/>
          <w:sz w:val="22"/>
          <w:szCs w:val="28"/>
        </w:rPr>
        <w:t>ed</w:t>
      </w:r>
      <w:r w:rsidRPr="00B31954">
        <w:rPr>
          <w:rFonts w:ascii="Avenir Next" w:hAnsi="Avenir Next"/>
          <w:color w:val="808080" w:themeColor="background1" w:themeShade="80"/>
          <w:sz w:val="22"/>
          <w:szCs w:val="28"/>
        </w:rPr>
        <w:t xml:space="preserve"> the Scheme</w:t>
      </w:r>
      <w:r w:rsidRPr="00B31954">
        <w:rPr>
          <w:rFonts w:ascii="Avenir Next" w:hAnsi="Avenir Next"/>
          <w:color w:val="808080" w:themeColor="background1" w:themeShade="80"/>
          <w:sz w:val="22"/>
          <w:szCs w:val="28"/>
        </w:rPr>
        <w:t xml:space="preserve"> to constitute the Noteholders as a single class of creditors, this Sanction Order can </w:t>
      </w:r>
      <w:r w:rsidR="00D330F9" w:rsidRPr="00B31954">
        <w:rPr>
          <w:rFonts w:ascii="Avenir Next" w:hAnsi="Avenir Next"/>
          <w:color w:val="808080" w:themeColor="background1" w:themeShade="80"/>
          <w:sz w:val="22"/>
          <w:szCs w:val="28"/>
        </w:rPr>
        <w:t>b</w:t>
      </w:r>
      <w:r w:rsidRPr="00B31954">
        <w:rPr>
          <w:rFonts w:ascii="Avenir Next" w:hAnsi="Avenir Next"/>
          <w:color w:val="808080" w:themeColor="background1" w:themeShade="80"/>
          <w:sz w:val="22"/>
          <w:szCs w:val="28"/>
        </w:rPr>
        <w:t xml:space="preserve">e modified </w:t>
      </w:r>
      <w:r w:rsidR="00B31954">
        <w:rPr>
          <w:rFonts w:ascii="Avenir Next" w:hAnsi="Avenir Next"/>
          <w:color w:val="808080" w:themeColor="background1" w:themeShade="80"/>
          <w:sz w:val="22"/>
          <w:szCs w:val="28"/>
        </w:rPr>
        <w:t xml:space="preserve">or at least suspend </w:t>
      </w:r>
      <w:r w:rsidRPr="00B31954">
        <w:rPr>
          <w:rFonts w:ascii="Avenir Next" w:hAnsi="Avenir Next"/>
          <w:color w:val="808080" w:themeColor="background1" w:themeShade="80"/>
          <w:sz w:val="22"/>
          <w:szCs w:val="28"/>
        </w:rPr>
        <w:t xml:space="preserve">with other court decision, rendered by New York court. </w:t>
      </w:r>
    </w:p>
    <w:p w14:paraId="3E97C58F" w14:textId="77777777" w:rsidR="00940D1E" w:rsidRPr="00B31954" w:rsidRDefault="00940D1E" w:rsidP="00707FC8">
      <w:pPr>
        <w:jc w:val="both"/>
        <w:rPr>
          <w:rFonts w:ascii="Avenir Next" w:hAnsi="Avenir Next"/>
          <w:color w:val="808080" w:themeColor="background1" w:themeShade="80"/>
          <w:sz w:val="22"/>
          <w:szCs w:val="28"/>
        </w:rPr>
      </w:pPr>
    </w:p>
    <w:p w14:paraId="30241062" w14:textId="5603B69D" w:rsidR="00940D1E" w:rsidRPr="00B31954" w:rsidRDefault="00D330F9" w:rsidP="00707FC8">
      <w:pPr>
        <w:jc w:val="both"/>
        <w:rPr>
          <w:rFonts w:ascii="Avenir Next" w:hAnsi="Avenir Next"/>
          <w:color w:val="808080" w:themeColor="background1" w:themeShade="80"/>
          <w:sz w:val="22"/>
          <w:szCs w:val="28"/>
        </w:rPr>
      </w:pPr>
      <w:r w:rsidRPr="00B31954">
        <w:rPr>
          <w:rFonts w:ascii="Avenir Next" w:hAnsi="Avenir Next"/>
          <w:color w:val="808080" w:themeColor="background1" w:themeShade="80"/>
          <w:sz w:val="22"/>
          <w:szCs w:val="28"/>
        </w:rPr>
        <w:t xml:space="preserve">This is because the recognition process in the US can </w:t>
      </w:r>
      <w:r w:rsidR="002A7349" w:rsidRPr="00B31954">
        <w:rPr>
          <w:rFonts w:ascii="Avenir Next" w:hAnsi="Avenir Next"/>
          <w:color w:val="808080" w:themeColor="background1" w:themeShade="80"/>
          <w:sz w:val="22"/>
          <w:szCs w:val="28"/>
        </w:rPr>
        <w:t>result in different understanding regarding the single class of creditors and regarding the restructuring proceeding takin</w:t>
      </w:r>
      <w:r w:rsidR="00B31954">
        <w:rPr>
          <w:rFonts w:ascii="Avenir Next" w:hAnsi="Avenir Next"/>
          <w:color w:val="808080" w:themeColor="background1" w:themeShade="80"/>
          <w:sz w:val="22"/>
          <w:szCs w:val="28"/>
        </w:rPr>
        <w:t>g</w:t>
      </w:r>
      <w:r w:rsidR="002A7349" w:rsidRPr="00B31954">
        <w:rPr>
          <w:rFonts w:ascii="Avenir Next" w:hAnsi="Avenir Next"/>
          <w:color w:val="808080" w:themeColor="background1" w:themeShade="80"/>
          <w:sz w:val="22"/>
          <w:szCs w:val="28"/>
        </w:rPr>
        <w:t xml:space="preserve"> place in Cayman Islands. </w:t>
      </w:r>
    </w:p>
    <w:p w14:paraId="0A7130F1" w14:textId="77777777" w:rsidR="002A7349" w:rsidRPr="00B31954" w:rsidRDefault="002A7349" w:rsidP="00707FC8">
      <w:pPr>
        <w:jc w:val="both"/>
        <w:rPr>
          <w:rFonts w:ascii="Avenir Next" w:hAnsi="Avenir Next"/>
          <w:color w:val="808080" w:themeColor="background1" w:themeShade="80"/>
          <w:sz w:val="22"/>
          <w:szCs w:val="28"/>
        </w:rPr>
      </w:pPr>
    </w:p>
    <w:p w14:paraId="572FA55C" w14:textId="6352FE47" w:rsidR="002A7349" w:rsidRPr="00B31954" w:rsidRDefault="002A7349" w:rsidP="00707FC8">
      <w:pPr>
        <w:jc w:val="both"/>
        <w:rPr>
          <w:rFonts w:ascii="Avenir Next" w:hAnsi="Avenir Next"/>
          <w:color w:val="808080" w:themeColor="background1" w:themeShade="80"/>
          <w:sz w:val="22"/>
          <w:szCs w:val="28"/>
        </w:rPr>
      </w:pPr>
      <w:r w:rsidRPr="00B31954">
        <w:rPr>
          <w:rFonts w:ascii="Avenir Next" w:hAnsi="Avenir Next"/>
          <w:color w:val="808080" w:themeColor="background1" w:themeShade="80"/>
          <w:sz w:val="22"/>
          <w:szCs w:val="28"/>
        </w:rPr>
        <w:t xml:space="preserve">Considering that, as mentioned above, the COMI can be defined as being New York, the insolvency proceeding in New York would be considered as the insolvency foreign main proceeding and that decision changes everything. Mainly because of the </w:t>
      </w:r>
      <w:r w:rsidRPr="00B31954">
        <w:rPr>
          <w:rFonts w:ascii="Avenir Next" w:hAnsi="Avenir Next"/>
          <w:color w:val="808080" w:themeColor="background1" w:themeShade="80"/>
          <w:sz w:val="22"/>
          <w:szCs w:val="28"/>
        </w:rPr>
        <w:t>imminence</w:t>
      </w:r>
      <w:r w:rsidRPr="00B31954">
        <w:rPr>
          <w:rFonts w:ascii="Avenir Next" w:hAnsi="Avenir Next"/>
          <w:color w:val="808080" w:themeColor="background1" w:themeShade="80"/>
          <w:sz w:val="22"/>
          <w:szCs w:val="28"/>
        </w:rPr>
        <w:t xml:space="preserve"> of the filing of the </w:t>
      </w:r>
      <w:r w:rsidRPr="00B31954">
        <w:rPr>
          <w:rFonts w:ascii="Avenir Next" w:hAnsi="Avenir Next"/>
          <w:color w:val="808080" w:themeColor="background1" w:themeShade="80"/>
          <w:sz w:val="22"/>
          <w:szCs w:val="28"/>
        </w:rPr>
        <w:t>class action litigation in the US</w:t>
      </w:r>
      <w:r w:rsidRPr="00B31954">
        <w:rPr>
          <w:rFonts w:ascii="Avenir Next" w:hAnsi="Avenir Next"/>
          <w:color w:val="808080" w:themeColor="background1" w:themeShade="80"/>
          <w:sz w:val="22"/>
          <w:szCs w:val="28"/>
        </w:rPr>
        <w:t xml:space="preserve">. </w:t>
      </w:r>
    </w:p>
    <w:p w14:paraId="28F875DA" w14:textId="77777777" w:rsidR="002A7349" w:rsidRPr="00B31954" w:rsidRDefault="002A7349" w:rsidP="00707FC8">
      <w:pPr>
        <w:jc w:val="both"/>
        <w:rPr>
          <w:rFonts w:ascii="Avenir Next" w:hAnsi="Avenir Next"/>
          <w:color w:val="808080" w:themeColor="background1" w:themeShade="80"/>
          <w:sz w:val="22"/>
          <w:szCs w:val="28"/>
        </w:rPr>
      </w:pPr>
    </w:p>
    <w:p w14:paraId="722C4C17" w14:textId="69B6CA5D" w:rsidR="00756736" w:rsidRDefault="002A7349" w:rsidP="00707FC8">
      <w:pPr>
        <w:jc w:val="both"/>
        <w:rPr>
          <w:rFonts w:ascii="Avenir Next" w:hAnsi="Avenir Next"/>
          <w:color w:val="808080" w:themeColor="background1" w:themeShade="80"/>
          <w:sz w:val="22"/>
          <w:szCs w:val="28"/>
        </w:rPr>
      </w:pPr>
      <w:r w:rsidRPr="00B31954">
        <w:rPr>
          <w:rFonts w:ascii="Avenir Next" w:hAnsi="Avenir Next"/>
          <w:color w:val="808080" w:themeColor="background1" w:themeShade="80"/>
          <w:sz w:val="22"/>
          <w:szCs w:val="28"/>
        </w:rPr>
        <w:t xml:space="preserve">If the US court </w:t>
      </w:r>
      <w:r w:rsidR="00B31954">
        <w:rPr>
          <w:rFonts w:ascii="Avenir Next" w:hAnsi="Avenir Next"/>
          <w:color w:val="808080" w:themeColor="background1" w:themeShade="80"/>
          <w:sz w:val="22"/>
          <w:szCs w:val="28"/>
        </w:rPr>
        <w:t>understands</w:t>
      </w:r>
      <w:r w:rsidRPr="00B31954">
        <w:rPr>
          <w:rFonts w:ascii="Avenir Next" w:hAnsi="Avenir Next"/>
          <w:color w:val="808080" w:themeColor="background1" w:themeShade="80"/>
          <w:sz w:val="22"/>
          <w:szCs w:val="28"/>
        </w:rPr>
        <w:t xml:space="preserve"> that New York is the place of the foreign main proceeding, </w:t>
      </w:r>
      <w:r w:rsidR="00B31954">
        <w:rPr>
          <w:rFonts w:ascii="Avenir Next" w:hAnsi="Avenir Next"/>
          <w:color w:val="808080" w:themeColor="background1" w:themeShade="80"/>
          <w:sz w:val="22"/>
          <w:szCs w:val="28"/>
        </w:rPr>
        <w:t xml:space="preserve">on this process </w:t>
      </w:r>
      <w:r w:rsidRPr="00B31954">
        <w:rPr>
          <w:rFonts w:ascii="Avenir Next" w:hAnsi="Avenir Next"/>
          <w:color w:val="808080" w:themeColor="background1" w:themeShade="80"/>
          <w:sz w:val="22"/>
          <w:szCs w:val="28"/>
        </w:rPr>
        <w:t>it will be grant an automatic relief, in this case</w:t>
      </w:r>
      <w:r w:rsidR="00B31954">
        <w:rPr>
          <w:rFonts w:ascii="Avenir Next" w:hAnsi="Avenir Next"/>
          <w:color w:val="808080" w:themeColor="background1" w:themeShade="80"/>
          <w:sz w:val="22"/>
          <w:szCs w:val="28"/>
        </w:rPr>
        <w:t xml:space="preserve"> in favor</w:t>
      </w:r>
      <w:r w:rsidRPr="00B31954">
        <w:rPr>
          <w:rFonts w:ascii="Avenir Next" w:hAnsi="Avenir Next"/>
          <w:color w:val="808080" w:themeColor="background1" w:themeShade="80"/>
          <w:sz w:val="22"/>
          <w:szCs w:val="28"/>
        </w:rPr>
        <w:t xml:space="preserve"> for the creditors of the class action, to protect their rights, to prevent the </w:t>
      </w:r>
      <w:r w:rsidR="002136B5">
        <w:rPr>
          <w:rFonts w:ascii="Avenir Next" w:hAnsi="Avenir Next"/>
          <w:color w:val="808080" w:themeColor="background1" w:themeShade="80"/>
          <w:sz w:val="22"/>
          <w:szCs w:val="28"/>
        </w:rPr>
        <w:t>disposition</w:t>
      </w:r>
      <w:r w:rsidRPr="00B31954">
        <w:rPr>
          <w:rFonts w:ascii="Avenir Next" w:hAnsi="Avenir Next"/>
          <w:color w:val="808080" w:themeColor="background1" w:themeShade="80"/>
          <w:sz w:val="22"/>
          <w:szCs w:val="28"/>
        </w:rPr>
        <w:t xml:space="preserve"> of the assets of the debtor</w:t>
      </w:r>
      <w:r w:rsidR="001201FD">
        <w:rPr>
          <w:rFonts w:ascii="Avenir Next" w:hAnsi="Avenir Next"/>
          <w:color w:val="808080" w:themeColor="background1" w:themeShade="80"/>
          <w:sz w:val="22"/>
          <w:szCs w:val="28"/>
        </w:rPr>
        <w:t>, to consider the class action creditors as relevant creditors to participate on the restructuring proceeding,</w:t>
      </w:r>
      <w:r w:rsidRPr="00B31954">
        <w:rPr>
          <w:rFonts w:ascii="Avenir Next" w:hAnsi="Avenir Next"/>
          <w:color w:val="808080" w:themeColor="background1" w:themeShade="80"/>
          <w:sz w:val="22"/>
          <w:szCs w:val="28"/>
        </w:rPr>
        <w:t xml:space="preserve"> and everything that can protect the creditors from the decisions that could</w:t>
      </w:r>
      <w:r w:rsidR="00756736">
        <w:rPr>
          <w:rFonts w:ascii="Avenir Next" w:hAnsi="Avenir Next"/>
          <w:color w:val="808080" w:themeColor="background1" w:themeShade="80"/>
          <w:sz w:val="22"/>
          <w:szCs w:val="28"/>
        </w:rPr>
        <w:t xml:space="preserve"> wrongly</w:t>
      </w:r>
      <w:r w:rsidRPr="00B31954">
        <w:rPr>
          <w:rFonts w:ascii="Avenir Next" w:hAnsi="Avenir Next"/>
          <w:color w:val="808080" w:themeColor="background1" w:themeShade="80"/>
          <w:sz w:val="22"/>
          <w:szCs w:val="28"/>
        </w:rPr>
        <w:t xml:space="preserve"> favor only the Noteholders on Cayman Islands</w:t>
      </w:r>
      <w:r w:rsidR="00756736">
        <w:rPr>
          <w:rFonts w:ascii="Avenir Next" w:hAnsi="Avenir Next"/>
          <w:color w:val="808080" w:themeColor="background1" w:themeShade="80"/>
          <w:sz w:val="22"/>
          <w:szCs w:val="28"/>
        </w:rPr>
        <w:t xml:space="preserve">. </w:t>
      </w:r>
    </w:p>
    <w:p w14:paraId="6AFFF752" w14:textId="77777777" w:rsidR="00756736" w:rsidRDefault="00756736" w:rsidP="00707FC8">
      <w:pPr>
        <w:jc w:val="both"/>
        <w:rPr>
          <w:rFonts w:ascii="Avenir Next" w:hAnsi="Avenir Next"/>
          <w:color w:val="808080" w:themeColor="background1" w:themeShade="80"/>
          <w:sz w:val="22"/>
          <w:szCs w:val="28"/>
        </w:rPr>
      </w:pPr>
    </w:p>
    <w:p w14:paraId="14168ADF" w14:textId="61FAD4C1" w:rsidR="00756736" w:rsidRDefault="00756736"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Cayman Islands can </w:t>
      </w:r>
      <w:r w:rsidR="00B31954">
        <w:rPr>
          <w:rFonts w:ascii="Avenir Next" w:hAnsi="Avenir Next"/>
          <w:color w:val="808080" w:themeColor="background1" w:themeShade="80"/>
          <w:sz w:val="22"/>
          <w:szCs w:val="28"/>
        </w:rPr>
        <w:t xml:space="preserve">be considered as a foreign non-main proceeding or </w:t>
      </w:r>
      <w:r>
        <w:rPr>
          <w:rFonts w:ascii="Avenir Next" w:hAnsi="Avenir Next"/>
          <w:color w:val="808080" w:themeColor="background1" w:themeShade="80"/>
          <w:sz w:val="22"/>
          <w:szCs w:val="28"/>
        </w:rPr>
        <w:t>the court can even not recognized Cayman Island as a foreign proceeding for the purpose of the Model Law, considering what the Company can proof regarding the “establishment” definition (“any place of operations where the debtor carries out a non-transitory economic activity with human means and goods or services”) and the elements mentioned above about the Company in this place</w:t>
      </w:r>
      <w:r w:rsidR="002A7349" w:rsidRPr="00B31954">
        <w:rPr>
          <w:rFonts w:ascii="Avenir Next" w:hAnsi="Avenir Next"/>
          <w:color w:val="808080" w:themeColor="background1" w:themeShade="80"/>
          <w:sz w:val="22"/>
          <w:szCs w:val="28"/>
        </w:rPr>
        <w:t>.</w:t>
      </w:r>
    </w:p>
    <w:p w14:paraId="319B5C16" w14:textId="77777777" w:rsidR="00756736" w:rsidRDefault="00756736" w:rsidP="00707FC8">
      <w:pPr>
        <w:jc w:val="both"/>
        <w:rPr>
          <w:rFonts w:ascii="Avenir Next" w:hAnsi="Avenir Next"/>
          <w:color w:val="808080" w:themeColor="background1" w:themeShade="80"/>
          <w:sz w:val="22"/>
          <w:szCs w:val="28"/>
        </w:rPr>
      </w:pPr>
    </w:p>
    <w:p w14:paraId="3665FE35" w14:textId="08BAD7A2" w:rsidR="002A7349" w:rsidRPr="00B31954" w:rsidRDefault="00756736"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respect of the </w:t>
      </w:r>
      <w:r w:rsidR="001201FD" w:rsidRPr="002136B5">
        <w:rPr>
          <w:rFonts w:ascii="Avenir Next" w:hAnsi="Avenir Next"/>
          <w:color w:val="808080" w:themeColor="background1" w:themeShade="80"/>
          <w:sz w:val="22"/>
          <w:szCs w:val="28"/>
        </w:rPr>
        <w:t>papers need</w:t>
      </w:r>
      <w:r w:rsidR="002136B5" w:rsidRPr="002136B5">
        <w:rPr>
          <w:rFonts w:ascii="Avenir Next" w:hAnsi="Avenir Next"/>
          <w:color w:val="808080" w:themeColor="background1" w:themeShade="80"/>
          <w:sz w:val="22"/>
          <w:szCs w:val="28"/>
        </w:rPr>
        <w:t>ed</w:t>
      </w:r>
      <w:r w:rsidR="001201FD" w:rsidRPr="002136B5">
        <w:rPr>
          <w:rFonts w:ascii="Avenir Next" w:hAnsi="Avenir Next"/>
          <w:color w:val="808080" w:themeColor="background1" w:themeShade="80"/>
          <w:sz w:val="22"/>
          <w:szCs w:val="28"/>
        </w:rPr>
        <w:t xml:space="preserve"> to be submitted</w:t>
      </w:r>
      <w:r w:rsidR="002136B5" w:rsidRPr="002136B5">
        <w:rPr>
          <w:rFonts w:ascii="Avenir Next" w:hAnsi="Avenir Next"/>
          <w:color w:val="808080" w:themeColor="background1" w:themeShade="80"/>
          <w:sz w:val="22"/>
          <w:szCs w:val="28"/>
        </w:rPr>
        <w:t xml:space="preserve"> on the class action, article 15 of the Model Law states that the application must be accompanied by (</w:t>
      </w:r>
      <w:proofErr w:type="spellStart"/>
      <w:r w:rsidR="002136B5" w:rsidRPr="002136B5">
        <w:rPr>
          <w:rFonts w:ascii="Avenir Next" w:hAnsi="Avenir Next"/>
          <w:color w:val="808080" w:themeColor="background1" w:themeShade="80"/>
          <w:sz w:val="22"/>
          <w:szCs w:val="28"/>
        </w:rPr>
        <w:t>i</w:t>
      </w:r>
      <w:proofErr w:type="spellEnd"/>
      <w:r w:rsidR="002136B5" w:rsidRPr="002136B5">
        <w:rPr>
          <w:rFonts w:ascii="Avenir Next" w:hAnsi="Avenir Next"/>
          <w:color w:val="808080" w:themeColor="background1" w:themeShade="80"/>
          <w:sz w:val="22"/>
          <w:szCs w:val="28"/>
        </w:rPr>
        <w:t xml:space="preserve">) a copy of the decision commencing the foreign proceeding and appointing the foreign representative; (ii) a certificate from the foreign court affirming the existence of the foreign proceeding on Cayman Islands; (iii) a statement identifying all foreign </w:t>
      </w:r>
      <w:r w:rsidR="002136B5" w:rsidRPr="002136B5">
        <w:rPr>
          <w:rFonts w:ascii="Avenir Next" w:hAnsi="Avenir Next"/>
          <w:color w:val="808080" w:themeColor="background1" w:themeShade="80"/>
          <w:sz w:val="22"/>
          <w:szCs w:val="28"/>
        </w:rPr>
        <w:lastRenderedPageBreak/>
        <w:t>proceedings in respect of the debtor that are known to the foreign representative; (iv) the Sanction Order, (v) any other evidence.</w:t>
      </w:r>
    </w:p>
    <w:p w14:paraId="03DE5CBD" w14:textId="77777777" w:rsidR="002A7349" w:rsidRDefault="002A7349" w:rsidP="00707FC8">
      <w:pPr>
        <w:jc w:val="both"/>
        <w:rPr>
          <w:rFonts w:ascii="Avenir Next" w:hAnsi="Avenir Next"/>
          <w:sz w:val="22"/>
          <w:szCs w:val="28"/>
        </w:rPr>
      </w:pPr>
    </w:p>
    <w:p w14:paraId="0A59EF03" w14:textId="77777777" w:rsidR="002A7349" w:rsidRPr="00D330F9" w:rsidRDefault="002A7349" w:rsidP="00707FC8">
      <w:pPr>
        <w:jc w:val="both"/>
        <w:rPr>
          <w:rFonts w:ascii="Avenir Next" w:hAnsi="Avenir Next" w:cs="Arial"/>
          <w:sz w:val="22"/>
          <w:szCs w:val="22"/>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3367B6">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D911" w14:textId="77777777" w:rsidR="003367B6" w:rsidRDefault="003367B6" w:rsidP="00241B44">
      <w:r>
        <w:separator/>
      </w:r>
    </w:p>
  </w:endnote>
  <w:endnote w:type="continuationSeparator" w:id="0">
    <w:p w14:paraId="1411706E" w14:textId="77777777" w:rsidR="003367B6" w:rsidRDefault="003367B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68880920"/>
      <w:docPartObj>
        <w:docPartGallery w:val="Page Numbers (Bottom of Page)"/>
        <w:docPartUnique/>
      </w:docPartObj>
    </w:sdtPr>
    <w:sdtContent>
      <w:p w14:paraId="75DFA1A2" w14:textId="6BA13D30" w:rsidR="00A70BBC" w:rsidRDefault="00A70BBC" w:rsidP="000300E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CB4F9CA" w14:textId="77777777" w:rsidR="00A70BBC" w:rsidRDefault="00A70BBC" w:rsidP="00A70B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8D5E18">
    <w:pPr>
      <w:pStyle w:val="Rodap"/>
      <w:framePr w:wrap="none" w:vAnchor="text" w:hAnchor="margin" w:xAlign="right" w:y="1"/>
      <w:rPr>
        <w:rStyle w:val="Nmerodepgina"/>
        <w:rFonts w:ascii="Avenir Next" w:hAnsi="Avenir Next"/>
        <w:sz w:val="22"/>
        <w:szCs w:val="22"/>
      </w:rPr>
    </w:pPr>
  </w:p>
  <w:p w14:paraId="6BA38AA4" w14:textId="0591D1DD" w:rsidR="00A70BBC" w:rsidRDefault="00A70BBC" w:rsidP="000300E0">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96495926"/>
      <w:docPartObj>
        <w:docPartGallery w:val="Page Numbers (Bottom of Page)"/>
        <w:docPartUnique/>
      </w:docPartObj>
    </w:sdtPr>
    <w:sdtContent>
      <w:p w14:paraId="1F7F18A2" w14:textId="560E059B" w:rsidR="000300E0" w:rsidRDefault="000300E0" w:rsidP="008D5E18">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59D7F596" w14:textId="78E40872" w:rsidR="000300E0" w:rsidRPr="000300E0" w:rsidRDefault="000300E0" w:rsidP="000300E0">
    <w:pPr>
      <w:pStyle w:val="Rodap"/>
      <w:ind w:right="360"/>
      <w:rPr>
        <w:rFonts w:ascii="Avenir Next" w:hAnsi="Avenir Next" w:cs="Arial"/>
        <w:sz w:val="22"/>
        <w:szCs w:val="22"/>
      </w:rPr>
    </w:pPr>
  </w:p>
  <w:p w14:paraId="01028C96" w14:textId="77777777" w:rsidR="000300E0" w:rsidRDefault="000300E0">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0A4034C3" w:rsidR="000300E0" w:rsidRPr="00B46CE2" w:rsidRDefault="00773B79" w:rsidP="000300E0">
    <w:pPr>
      <w:pStyle w:val="Rodap"/>
      <w:ind w:right="360"/>
      <w:rPr>
        <w:rFonts w:ascii="Avenir Next" w:hAnsi="Avenir Next"/>
        <w:sz w:val="22"/>
        <w:szCs w:val="22"/>
      </w:rPr>
    </w:pPr>
    <w:r w:rsidRPr="00773B79">
      <w:rPr>
        <w:rFonts w:ascii="Avenir Next" w:hAnsi="Avenir Next"/>
        <w:sz w:val="22"/>
        <w:szCs w:val="22"/>
      </w:rPr>
      <w:t>FC202324-1430</w:t>
    </w:r>
    <w:r w:rsidR="00B46CE2" w:rsidRPr="00B46CE2">
      <w:rPr>
        <w:rFonts w:ascii="Avenir Next" w:hAnsi="Avenir Next"/>
        <w:sz w:val="22"/>
        <w:szCs w:val="22"/>
      </w:rPr>
      <w:t>.assessment2A</w:t>
    </w:r>
  </w:p>
  <w:sdt>
    <w:sdtPr>
      <w:rPr>
        <w:rStyle w:val="Nmerodepgina"/>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Rodap"/>
          <w:framePr w:w="1071" w:h="331" w:hRule="exact" w:wrap="none" w:vAnchor="text" w:hAnchor="page" w:x="9641" w:y="-303"/>
          <w:rPr>
            <w:rStyle w:val="Nmerodepgina"/>
            <w:rFonts w:ascii="Avenir Next" w:hAnsi="Avenir Next"/>
            <w:sz w:val="22"/>
            <w:szCs w:val="22"/>
          </w:rPr>
        </w:pPr>
        <w:r w:rsidRPr="000300E0">
          <w:rPr>
            <w:rStyle w:val="Nmerodepgina"/>
            <w:rFonts w:ascii="Avenir Next" w:hAnsi="Avenir Next"/>
            <w:sz w:val="22"/>
            <w:szCs w:val="22"/>
          </w:rPr>
          <w:t xml:space="preserve">Page </w:t>
        </w:r>
        <w:r w:rsidRPr="000300E0">
          <w:rPr>
            <w:rStyle w:val="Nmerodepgina"/>
            <w:rFonts w:ascii="Avenir Next" w:hAnsi="Avenir Next"/>
            <w:sz w:val="22"/>
            <w:szCs w:val="22"/>
          </w:rPr>
          <w:fldChar w:fldCharType="begin"/>
        </w:r>
        <w:r w:rsidRPr="000300E0">
          <w:rPr>
            <w:rStyle w:val="Nmerodepgina"/>
            <w:rFonts w:ascii="Avenir Next" w:hAnsi="Avenir Next"/>
            <w:sz w:val="22"/>
            <w:szCs w:val="22"/>
          </w:rPr>
          <w:instrText xml:space="preserve"> PAGE </w:instrText>
        </w:r>
        <w:r w:rsidRPr="000300E0">
          <w:rPr>
            <w:rStyle w:val="Nmerodepgina"/>
            <w:rFonts w:ascii="Avenir Next" w:hAnsi="Avenir Next"/>
            <w:sz w:val="22"/>
            <w:szCs w:val="22"/>
          </w:rPr>
          <w:fldChar w:fldCharType="separate"/>
        </w:r>
        <w:r w:rsidRPr="000300E0">
          <w:rPr>
            <w:rStyle w:val="Nmerodepgina"/>
            <w:rFonts w:ascii="Avenir Next" w:hAnsi="Avenir Next"/>
            <w:noProof/>
            <w:sz w:val="22"/>
            <w:szCs w:val="22"/>
          </w:rPr>
          <w:t>2</w:t>
        </w:r>
        <w:r w:rsidRPr="000300E0">
          <w:rPr>
            <w:rStyle w:val="Nmerodepgina"/>
            <w:rFonts w:ascii="Avenir Next" w:hAnsi="Avenir Next"/>
            <w:sz w:val="22"/>
            <w:szCs w:val="22"/>
          </w:rPr>
          <w:fldChar w:fldCharType="end"/>
        </w:r>
      </w:p>
    </w:sdtContent>
  </w:sdt>
  <w:p w14:paraId="4C5B12BE" w14:textId="77777777" w:rsidR="00B46CE2" w:rsidRPr="000300E0" w:rsidRDefault="00B46CE2" w:rsidP="00B46CE2">
    <w:pPr>
      <w:pStyle w:val="Rodap"/>
      <w:framePr w:w="1071" w:h="331" w:hRule="exact" w:wrap="none" w:vAnchor="text" w:hAnchor="page" w:x="9641" w:y="-303"/>
      <w:ind w:right="360"/>
      <w:rPr>
        <w:rStyle w:val="Nmerodepgina"/>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B684" w14:textId="77777777" w:rsidR="003367B6" w:rsidRDefault="003367B6" w:rsidP="00241B44">
      <w:r>
        <w:separator/>
      </w:r>
    </w:p>
  </w:footnote>
  <w:footnote w:type="continuationSeparator" w:id="0">
    <w:p w14:paraId="6B056585" w14:textId="77777777" w:rsidR="003367B6" w:rsidRDefault="003367B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2D0A" w14:textId="77777777" w:rsidR="00773B79" w:rsidRDefault="00773B7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DAF9" w14:textId="77777777" w:rsidR="00773B79" w:rsidRDefault="00773B7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527C" w14:textId="77777777" w:rsidR="00773B79" w:rsidRDefault="00773B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56"/>
  </w:num>
  <w:num w:numId="3" w16cid:durableId="1837500537">
    <w:abstractNumId w:val="41"/>
  </w:num>
  <w:num w:numId="4" w16cid:durableId="577205504">
    <w:abstractNumId w:val="51"/>
  </w:num>
  <w:num w:numId="5" w16cid:durableId="587693970">
    <w:abstractNumId w:val="8"/>
  </w:num>
  <w:num w:numId="6" w16cid:durableId="937175523">
    <w:abstractNumId w:val="49"/>
  </w:num>
  <w:num w:numId="7" w16cid:durableId="1654067440">
    <w:abstractNumId w:val="23"/>
  </w:num>
  <w:num w:numId="8" w16cid:durableId="1105736194">
    <w:abstractNumId w:val="43"/>
  </w:num>
  <w:num w:numId="9" w16cid:durableId="337470287">
    <w:abstractNumId w:val="26"/>
  </w:num>
  <w:num w:numId="10" w16cid:durableId="409736686">
    <w:abstractNumId w:val="15"/>
  </w:num>
  <w:num w:numId="11" w16cid:durableId="2113239495">
    <w:abstractNumId w:val="30"/>
  </w:num>
  <w:num w:numId="12" w16cid:durableId="277688465">
    <w:abstractNumId w:val="47"/>
  </w:num>
  <w:num w:numId="13" w16cid:durableId="2058502388">
    <w:abstractNumId w:val="6"/>
  </w:num>
  <w:num w:numId="14" w16cid:durableId="1848598104">
    <w:abstractNumId w:val="37"/>
  </w:num>
  <w:num w:numId="15" w16cid:durableId="634214434">
    <w:abstractNumId w:val="16"/>
  </w:num>
  <w:num w:numId="16" w16cid:durableId="1164055646">
    <w:abstractNumId w:val="17"/>
  </w:num>
  <w:num w:numId="17" w16cid:durableId="4065661">
    <w:abstractNumId w:val="32"/>
  </w:num>
  <w:num w:numId="18" w16cid:durableId="970591766">
    <w:abstractNumId w:val="7"/>
  </w:num>
  <w:num w:numId="19" w16cid:durableId="1299339140">
    <w:abstractNumId w:val="31"/>
  </w:num>
  <w:num w:numId="20" w16cid:durableId="1327175081">
    <w:abstractNumId w:val="55"/>
  </w:num>
  <w:num w:numId="21" w16cid:durableId="2089498112">
    <w:abstractNumId w:val="21"/>
  </w:num>
  <w:num w:numId="22" w16cid:durableId="221064104">
    <w:abstractNumId w:val="46"/>
  </w:num>
  <w:num w:numId="23" w16cid:durableId="860243873">
    <w:abstractNumId w:val="53"/>
  </w:num>
  <w:num w:numId="24" w16cid:durableId="1555506834">
    <w:abstractNumId w:val="45"/>
  </w:num>
  <w:num w:numId="25" w16cid:durableId="1954677308">
    <w:abstractNumId w:val="36"/>
  </w:num>
  <w:num w:numId="26" w16cid:durableId="998270126">
    <w:abstractNumId w:val="54"/>
  </w:num>
  <w:num w:numId="27" w16cid:durableId="657656171">
    <w:abstractNumId w:val="50"/>
  </w:num>
  <w:num w:numId="28" w16cid:durableId="1116829249">
    <w:abstractNumId w:val="11"/>
  </w:num>
  <w:num w:numId="29" w16cid:durableId="1055274873">
    <w:abstractNumId w:val="12"/>
  </w:num>
  <w:num w:numId="30" w16cid:durableId="790785319">
    <w:abstractNumId w:val="33"/>
  </w:num>
  <w:num w:numId="31" w16cid:durableId="781922295">
    <w:abstractNumId w:val="4"/>
  </w:num>
  <w:num w:numId="32" w16cid:durableId="268047206">
    <w:abstractNumId w:val="35"/>
  </w:num>
  <w:num w:numId="33" w16cid:durableId="198930779">
    <w:abstractNumId w:val="0"/>
  </w:num>
  <w:num w:numId="34" w16cid:durableId="480577945">
    <w:abstractNumId w:val="42"/>
  </w:num>
  <w:num w:numId="35" w16cid:durableId="984242224">
    <w:abstractNumId w:val="25"/>
  </w:num>
  <w:num w:numId="36" w16cid:durableId="485898662">
    <w:abstractNumId w:val="44"/>
  </w:num>
  <w:num w:numId="37" w16cid:durableId="1147433143">
    <w:abstractNumId w:val="28"/>
  </w:num>
  <w:num w:numId="38" w16cid:durableId="827285019">
    <w:abstractNumId w:val="39"/>
  </w:num>
  <w:num w:numId="39" w16cid:durableId="128666775">
    <w:abstractNumId w:val="5"/>
  </w:num>
  <w:num w:numId="40" w16cid:durableId="1339426664">
    <w:abstractNumId w:val="24"/>
  </w:num>
  <w:num w:numId="41" w16cid:durableId="1969971734">
    <w:abstractNumId w:val="48"/>
  </w:num>
  <w:num w:numId="42" w16cid:durableId="368453801">
    <w:abstractNumId w:val="20"/>
  </w:num>
  <w:num w:numId="43" w16cid:durableId="51392340">
    <w:abstractNumId w:val="34"/>
  </w:num>
  <w:num w:numId="44" w16cid:durableId="1531332188">
    <w:abstractNumId w:val="14"/>
  </w:num>
  <w:num w:numId="45" w16cid:durableId="8337133">
    <w:abstractNumId w:val="13"/>
  </w:num>
  <w:num w:numId="46" w16cid:durableId="1612931796">
    <w:abstractNumId w:val="38"/>
  </w:num>
  <w:num w:numId="47" w16cid:durableId="89930162">
    <w:abstractNumId w:val="22"/>
  </w:num>
  <w:num w:numId="48" w16cid:durableId="1477838578">
    <w:abstractNumId w:val="9"/>
  </w:num>
  <w:num w:numId="49" w16cid:durableId="2073384460">
    <w:abstractNumId w:val="52"/>
  </w:num>
  <w:num w:numId="50" w16cid:durableId="59720369">
    <w:abstractNumId w:val="29"/>
  </w:num>
  <w:num w:numId="51" w16cid:durableId="1379276728">
    <w:abstractNumId w:val="10"/>
  </w:num>
  <w:num w:numId="52" w16cid:durableId="921179279">
    <w:abstractNumId w:val="19"/>
  </w:num>
  <w:num w:numId="53" w16cid:durableId="1060514793">
    <w:abstractNumId w:val="27"/>
  </w:num>
  <w:num w:numId="54" w16cid:durableId="64230155">
    <w:abstractNumId w:val="3"/>
  </w:num>
  <w:num w:numId="55" w16cid:durableId="1681084025">
    <w:abstractNumId w:val="2"/>
  </w:num>
  <w:num w:numId="56" w16cid:durableId="1275090443">
    <w:abstractNumId w:val="18"/>
  </w:num>
  <w:num w:numId="57" w16cid:durableId="269969236">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192A"/>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09A8"/>
    <w:rsid w:val="000D32A9"/>
    <w:rsid w:val="000D55A8"/>
    <w:rsid w:val="000E4841"/>
    <w:rsid w:val="000E6325"/>
    <w:rsid w:val="000F1677"/>
    <w:rsid w:val="000F3D6C"/>
    <w:rsid w:val="000F579C"/>
    <w:rsid w:val="00100E8F"/>
    <w:rsid w:val="00101707"/>
    <w:rsid w:val="00101A9E"/>
    <w:rsid w:val="00114082"/>
    <w:rsid w:val="0011473D"/>
    <w:rsid w:val="00115C85"/>
    <w:rsid w:val="001201FD"/>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59CC"/>
    <w:rsid w:val="001F7412"/>
    <w:rsid w:val="00200FDD"/>
    <w:rsid w:val="00201874"/>
    <w:rsid w:val="00202133"/>
    <w:rsid w:val="0020264E"/>
    <w:rsid w:val="0020725B"/>
    <w:rsid w:val="002136B5"/>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0641"/>
    <w:rsid w:val="0027299F"/>
    <w:rsid w:val="00276913"/>
    <w:rsid w:val="0028135B"/>
    <w:rsid w:val="00282480"/>
    <w:rsid w:val="00284E28"/>
    <w:rsid w:val="00284EBE"/>
    <w:rsid w:val="0029433F"/>
    <w:rsid w:val="00294829"/>
    <w:rsid w:val="00294F3B"/>
    <w:rsid w:val="0029690F"/>
    <w:rsid w:val="002A1EEC"/>
    <w:rsid w:val="002A29FB"/>
    <w:rsid w:val="002A2A60"/>
    <w:rsid w:val="002A7349"/>
    <w:rsid w:val="002B0942"/>
    <w:rsid w:val="002B0FED"/>
    <w:rsid w:val="002B1192"/>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67B6"/>
    <w:rsid w:val="0033768C"/>
    <w:rsid w:val="00337938"/>
    <w:rsid w:val="00340769"/>
    <w:rsid w:val="00341AA6"/>
    <w:rsid w:val="00342459"/>
    <w:rsid w:val="003427B9"/>
    <w:rsid w:val="00346B16"/>
    <w:rsid w:val="003517A4"/>
    <w:rsid w:val="00361A0A"/>
    <w:rsid w:val="0036373C"/>
    <w:rsid w:val="0036565C"/>
    <w:rsid w:val="0036625E"/>
    <w:rsid w:val="0036760B"/>
    <w:rsid w:val="0037465A"/>
    <w:rsid w:val="0037544E"/>
    <w:rsid w:val="00380BAB"/>
    <w:rsid w:val="00382C98"/>
    <w:rsid w:val="0038533C"/>
    <w:rsid w:val="00386568"/>
    <w:rsid w:val="00387106"/>
    <w:rsid w:val="00391F3E"/>
    <w:rsid w:val="00393041"/>
    <w:rsid w:val="003948D5"/>
    <w:rsid w:val="003963D4"/>
    <w:rsid w:val="00396821"/>
    <w:rsid w:val="00397D3A"/>
    <w:rsid w:val="003A051E"/>
    <w:rsid w:val="003A2FEE"/>
    <w:rsid w:val="003B1310"/>
    <w:rsid w:val="003B170F"/>
    <w:rsid w:val="003B3C5F"/>
    <w:rsid w:val="003C073C"/>
    <w:rsid w:val="003C089D"/>
    <w:rsid w:val="003C4471"/>
    <w:rsid w:val="003C66B1"/>
    <w:rsid w:val="003D0A6D"/>
    <w:rsid w:val="003E0B16"/>
    <w:rsid w:val="003E67D1"/>
    <w:rsid w:val="00405DC1"/>
    <w:rsid w:val="0040710D"/>
    <w:rsid w:val="0041139B"/>
    <w:rsid w:val="004137C3"/>
    <w:rsid w:val="00413D3A"/>
    <w:rsid w:val="00415F1F"/>
    <w:rsid w:val="004171D5"/>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7386B"/>
    <w:rsid w:val="00491675"/>
    <w:rsid w:val="00492585"/>
    <w:rsid w:val="00493855"/>
    <w:rsid w:val="0049508F"/>
    <w:rsid w:val="004A171E"/>
    <w:rsid w:val="004A57DD"/>
    <w:rsid w:val="004A7B51"/>
    <w:rsid w:val="004A7D71"/>
    <w:rsid w:val="004A7EF3"/>
    <w:rsid w:val="004B11FD"/>
    <w:rsid w:val="004B23A2"/>
    <w:rsid w:val="004C4E5A"/>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5BA6"/>
    <w:rsid w:val="0058622F"/>
    <w:rsid w:val="00587461"/>
    <w:rsid w:val="00590023"/>
    <w:rsid w:val="00592F82"/>
    <w:rsid w:val="005A0CCA"/>
    <w:rsid w:val="005A726D"/>
    <w:rsid w:val="005B67AC"/>
    <w:rsid w:val="005C2C94"/>
    <w:rsid w:val="005C36BC"/>
    <w:rsid w:val="005C4865"/>
    <w:rsid w:val="005C6EE1"/>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30A1"/>
    <w:rsid w:val="00627CC9"/>
    <w:rsid w:val="00627E7B"/>
    <w:rsid w:val="00630542"/>
    <w:rsid w:val="00632E44"/>
    <w:rsid w:val="00634622"/>
    <w:rsid w:val="00636808"/>
    <w:rsid w:val="00641002"/>
    <w:rsid w:val="00641515"/>
    <w:rsid w:val="00641F50"/>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1B5D"/>
    <w:rsid w:val="006B29D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366B0"/>
    <w:rsid w:val="00745027"/>
    <w:rsid w:val="00751F66"/>
    <w:rsid w:val="00756736"/>
    <w:rsid w:val="007603F5"/>
    <w:rsid w:val="00764DB0"/>
    <w:rsid w:val="00766F8A"/>
    <w:rsid w:val="0076764D"/>
    <w:rsid w:val="00773B79"/>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D5E18"/>
    <w:rsid w:val="008E2DFA"/>
    <w:rsid w:val="008E3339"/>
    <w:rsid w:val="008E549B"/>
    <w:rsid w:val="008F18EF"/>
    <w:rsid w:val="008F20FC"/>
    <w:rsid w:val="008F2123"/>
    <w:rsid w:val="008F2B24"/>
    <w:rsid w:val="008F5FFE"/>
    <w:rsid w:val="0090421A"/>
    <w:rsid w:val="00905A43"/>
    <w:rsid w:val="00907DC2"/>
    <w:rsid w:val="00912C79"/>
    <w:rsid w:val="009260A2"/>
    <w:rsid w:val="009344C1"/>
    <w:rsid w:val="00940D1E"/>
    <w:rsid w:val="00942123"/>
    <w:rsid w:val="00951031"/>
    <w:rsid w:val="0095207B"/>
    <w:rsid w:val="00954461"/>
    <w:rsid w:val="00955E4C"/>
    <w:rsid w:val="00956085"/>
    <w:rsid w:val="00957951"/>
    <w:rsid w:val="00962045"/>
    <w:rsid w:val="00966C4F"/>
    <w:rsid w:val="00967EDA"/>
    <w:rsid w:val="00970897"/>
    <w:rsid w:val="0097337E"/>
    <w:rsid w:val="00980314"/>
    <w:rsid w:val="009816D0"/>
    <w:rsid w:val="00991428"/>
    <w:rsid w:val="00992676"/>
    <w:rsid w:val="00995A9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9F28AA"/>
    <w:rsid w:val="00A047EE"/>
    <w:rsid w:val="00A114EA"/>
    <w:rsid w:val="00A153F7"/>
    <w:rsid w:val="00A2274A"/>
    <w:rsid w:val="00A235B7"/>
    <w:rsid w:val="00A27A7A"/>
    <w:rsid w:val="00A407EF"/>
    <w:rsid w:val="00A46B4C"/>
    <w:rsid w:val="00A5117B"/>
    <w:rsid w:val="00A54000"/>
    <w:rsid w:val="00A54689"/>
    <w:rsid w:val="00A60074"/>
    <w:rsid w:val="00A612F2"/>
    <w:rsid w:val="00A6627C"/>
    <w:rsid w:val="00A6649C"/>
    <w:rsid w:val="00A70BBC"/>
    <w:rsid w:val="00A71019"/>
    <w:rsid w:val="00A81029"/>
    <w:rsid w:val="00A83CB5"/>
    <w:rsid w:val="00A865A7"/>
    <w:rsid w:val="00A92BDC"/>
    <w:rsid w:val="00A96489"/>
    <w:rsid w:val="00AA3A42"/>
    <w:rsid w:val="00AA5311"/>
    <w:rsid w:val="00AA7BAA"/>
    <w:rsid w:val="00AA7E06"/>
    <w:rsid w:val="00AB685C"/>
    <w:rsid w:val="00AB6C2D"/>
    <w:rsid w:val="00AC08F7"/>
    <w:rsid w:val="00AC3839"/>
    <w:rsid w:val="00AC7082"/>
    <w:rsid w:val="00AD0E59"/>
    <w:rsid w:val="00AD3FEA"/>
    <w:rsid w:val="00AD7BBD"/>
    <w:rsid w:val="00AE2350"/>
    <w:rsid w:val="00AF228E"/>
    <w:rsid w:val="00AF302B"/>
    <w:rsid w:val="00B04137"/>
    <w:rsid w:val="00B1112C"/>
    <w:rsid w:val="00B11D19"/>
    <w:rsid w:val="00B12936"/>
    <w:rsid w:val="00B12C2D"/>
    <w:rsid w:val="00B14819"/>
    <w:rsid w:val="00B15031"/>
    <w:rsid w:val="00B175AA"/>
    <w:rsid w:val="00B17AA9"/>
    <w:rsid w:val="00B21565"/>
    <w:rsid w:val="00B263D0"/>
    <w:rsid w:val="00B31954"/>
    <w:rsid w:val="00B32DE4"/>
    <w:rsid w:val="00B33578"/>
    <w:rsid w:val="00B370C3"/>
    <w:rsid w:val="00B411AE"/>
    <w:rsid w:val="00B413F5"/>
    <w:rsid w:val="00B43DC1"/>
    <w:rsid w:val="00B450F1"/>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C21BE"/>
    <w:rsid w:val="00BD0D57"/>
    <w:rsid w:val="00BE1A50"/>
    <w:rsid w:val="00BF50F7"/>
    <w:rsid w:val="00C00111"/>
    <w:rsid w:val="00C02F29"/>
    <w:rsid w:val="00C0633E"/>
    <w:rsid w:val="00C10C13"/>
    <w:rsid w:val="00C17111"/>
    <w:rsid w:val="00C20747"/>
    <w:rsid w:val="00C20AFE"/>
    <w:rsid w:val="00C22A25"/>
    <w:rsid w:val="00C23B79"/>
    <w:rsid w:val="00C33D50"/>
    <w:rsid w:val="00C34908"/>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4AD7"/>
    <w:rsid w:val="00C7736C"/>
    <w:rsid w:val="00C82D87"/>
    <w:rsid w:val="00C841ED"/>
    <w:rsid w:val="00C85F17"/>
    <w:rsid w:val="00C8712A"/>
    <w:rsid w:val="00C91324"/>
    <w:rsid w:val="00C914F7"/>
    <w:rsid w:val="00C963D3"/>
    <w:rsid w:val="00CA6E0D"/>
    <w:rsid w:val="00CB2CBB"/>
    <w:rsid w:val="00CB56CE"/>
    <w:rsid w:val="00CB7CAC"/>
    <w:rsid w:val="00CB7CAE"/>
    <w:rsid w:val="00CC0EA0"/>
    <w:rsid w:val="00CC5335"/>
    <w:rsid w:val="00CC5BA4"/>
    <w:rsid w:val="00CC70BB"/>
    <w:rsid w:val="00CD3420"/>
    <w:rsid w:val="00CD4998"/>
    <w:rsid w:val="00CD5337"/>
    <w:rsid w:val="00CE1035"/>
    <w:rsid w:val="00CE2A6A"/>
    <w:rsid w:val="00CF2819"/>
    <w:rsid w:val="00CF4F9D"/>
    <w:rsid w:val="00CF70DC"/>
    <w:rsid w:val="00D148DC"/>
    <w:rsid w:val="00D17FDC"/>
    <w:rsid w:val="00D330F9"/>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0C49"/>
    <w:rsid w:val="00DA1083"/>
    <w:rsid w:val="00DA26C8"/>
    <w:rsid w:val="00DB243C"/>
    <w:rsid w:val="00DB45DD"/>
    <w:rsid w:val="00DB482A"/>
    <w:rsid w:val="00DB56F2"/>
    <w:rsid w:val="00DB6EF5"/>
    <w:rsid w:val="00DC3089"/>
    <w:rsid w:val="00DC4420"/>
    <w:rsid w:val="00DC5977"/>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49A9"/>
    <w:rsid w:val="00E850FE"/>
    <w:rsid w:val="00E909F0"/>
    <w:rsid w:val="00E90D47"/>
    <w:rsid w:val="00E93993"/>
    <w:rsid w:val="00E9597C"/>
    <w:rsid w:val="00EA0913"/>
    <w:rsid w:val="00EA0A2F"/>
    <w:rsid w:val="00EA1AC4"/>
    <w:rsid w:val="00EA6D31"/>
    <w:rsid w:val="00EB146B"/>
    <w:rsid w:val="00EB45AC"/>
    <w:rsid w:val="00EC2AEA"/>
    <w:rsid w:val="00EC6479"/>
    <w:rsid w:val="00EC7B11"/>
    <w:rsid w:val="00EC7F95"/>
    <w:rsid w:val="00ED0BC4"/>
    <w:rsid w:val="00ED3771"/>
    <w:rsid w:val="00ED4AB7"/>
    <w:rsid w:val="00ED6A32"/>
    <w:rsid w:val="00EE4971"/>
    <w:rsid w:val="00EF090E"/>
    <w:rsid w:val="00EF7DB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45DC6"/>
    <w:rsid w:val="00F51EE5"/>
    <w:rsid w:val="00F55241"/>
    <w:rsid w:val="00F5524B"/>
    <w:rsid w:val="00F60538"/>
    <w:rsid w:val="00F61DD2"/>
    <w:rsid w:val="00F6523A"/>
    <w:rsid w:val="00F66AFF"/>
    <w:rsid w:val="00F71433"/>
    <w:rsid w:val="00F7241A"/>
    <w:rsid w:val="00F83E76"/>
    <w:rsid w:val="00F869DB"/>
    <w:rsid w:val="00F87BEA"/>
    <w:rsid w:val="00F90A57"/>
    <w:rsid w:val="00F97C5B"/>
    <w:rsid w:val="00FA05D2"/>
    <w:rsid w:val="00FA359A"/>
    <w:rsid w:val="00FA3D50"/>
    <w:rsid w:val="00FA4F5A"/>
    <w:rsid w:val="00FB009F"/>
    <w:rsid w:val="00FB25B0"/>
    <w:rsid w:val="00FB6136"/>
    <w:rsid w:val="00FC374A"/>
    <w:rsid w:val="00FC7B47"/>
    <w:rsid w:val="00FD035C"/>
    <w:rsid w:val="00FD1A35"/>
    <w:rsid w:val="00FD1FE6"/>
    <w:rsid w:val="00FD36C5"/>
    <w:rsid w:val="00FD428C"/>
    <w:rsid w:val="00FD6310"/>
    <w:rsid w:val="00FD7C7B"/>
    <w:rsid w:val="00FD7CB2"/>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4B96FA12-9867-4582-82F7-70988BC9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o">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1436521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4498</Words>
  <Characters>24293</Characters>
  <Application>Microsoft Office Word</Application>
  <DocSecurity>0</DocSecurity>
  <Lines>202</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Beatriz Mimessi</cp:lastModifiedBy>
  <cp:revision>2</cp:revision>
  <cp:lastPrinted>2019-08-27T05:42:00Z</cp:lastPrinted>
  <dcterms:created xsi:type="dcterms:W3CDTF">2024-02-27T01:09:00Z</dcterms:created>
  <dcterms:modified xsi:type="dcterms:W3CDTF">2024-02-27T01:09:00Z</dcterms:modified>
</cp:coreProperties>
</file>