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4C2ADE" w:rsidRDefault="00AE5B6F" w:rsidP="00B04033">
      <w:pPr>
        <w:pStyle w:val="ListParagraph"/>
        <w:numPr>
          <w:ilvl w:val="0"/>
          <w:numId w:val="1"/>
        </w:numPr>
        <w:ind w:left="426"/>
        <w:jc w:val="both"/>
        <w:rPr>
          <w:rFonts w:ascii="Avenir Next" w:hAnsi="Avenir Next" w:cs="Arial"/>
          <w:sz w:val="22"/>
          <w:szCs w:val="22"/>
          <w:highlight w:val="yellow"/>
          <w:lang w:val="en-GB"/>
        </w:rPr>
      </w:pPr>
      <w:r w:rsidRPr="004C2ADE">
        <w:rPr>
          <w:rFonts w:ascii="Avenir Next" w:hAnsi="Avenir Next" w:cs="Arial"/>
          <w:sz w:val="22"/>
          <w:szCs w:val="22"/>
          <w:highlight w:val="yellow"/>
          <w:lang w:val="en-GB"/>
        </w:rPr>
        <w:t>w</w:t>
      </w:r>
      <w:r w:rsidR="00C91062" w:rsidRPr="004C2ADE">
        <w:rPr>
          <w:rFonts w:ascii="Avenir Next" w:hAnsi="Avenir Next" w:cs="Arial"/>
          <w:sz w:val="22"/>
          <w:szCs w:val="22"/>
          <w:highlight w:val="yellow"/>
          <w:lang w:val="en-GB"/>
        </w:rPr>
        <w:t xml:space="preserve">ithin </w:t>
      </w:r>
      <w:r w:rsidR="00733A34" w:rsidRPr="004C2ADE">
        <w:rPr>
          <w:rFonts w:ascii="Avenir Next" w:hAnsi="Avenir Next" w:cs="Arial"/>
          <w:sz w:val="22"/>
          <w:szCs w:val="22"/>
          <w:highlight w:val="yellow"/>
          <w:lang w:val="en-GB"/>
        </w:rPr>
        <w:t>eight</w:t>
      </w:r>
      <w:r w:rsidR="00C91062" w:rsidRPr="004C2ADE">
        <w:rPr>
          <w:rFonts w:ascii="Avenir Next" w:hAnsi="Avenir Next" w:cs="Arial"/>
          <w:sz w:val="22"/>
          <w:szCs w:val="22"/>
          <w:highlight w:val="yellow"/>
          <w:lang w:val="en-GB"/>
        </w:rPr>
        <w:t xml:space="preserve"> weeks of the commencement of the administration</w:t>
      </w:r>
      <w:r w:rsidR="00763348" w:rsidRPr="004C2ADE">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4C2ADE" w:rsidRDefault="00AE5B6F" w:rsidP="00B04033">
      <w:pPr>
        <w:pStyle w:val="ListParagraph"/>
        <w:numPr>
          <w:ilvl w:val="0"/>
          <w:numId w:val="1"/>
        </w:numPr>
        <w:ind w:left="426"/>
        <w:jc w:val="both"/>
        <w:rPr>
          <w:rFonts w:ascii="Avenir Next" w:hAnsi="Avenir Next" w:cs="Arial"/>
          <w:sz w:val="22"/>
          <w:szCs w:val="22"/>
          <w:lang w:val="en-GB"/>
        </w:rPr>
      </w:pPr>
      <w:r w:rsidRPr="004C2ADE">
        <w:rPr>
          <w:rFonts w:ascii="Avenir Next" w:hAnsi="Avenir Next" w:cs="Arial"/>
          <w:sz w:val="22"/>
          <w:szCs w:val="22"/>
          <w:lang w:val="en-GB"/>
        </w:rPr>
        <w:t>o</w:t>
      </w:r>
      <w:r w:rsidR="00C91062" w:rsidRPr="004C2ADE">
        <w:rPr>
          <w:rFonts w:ascii="Avenir Next" w:hAnsi="Avenir Next" w:cs="Arial"/>
          <w:sz w:val="22"/>
          <w:szCs w:val="22"/>
          <w:lang w:val="en-GB"/>
        </w:rPr>
        <w:t>n the day the company enters administration</w:t>
      </w:r>
      <w:r w:rsidR="00763348" w:rsidRPr="004C2ADE">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2B464B" w:rsidRDefault="00E443D7" w:rsidP="00C55824">
      <w:pPr>
        <w:pStyle w:val="ListParagraph"/>
        <w:numPr>
          <w:ilvl w:val="0"/>
          <w:numId w:val="2"/>
        </w:numPr>
        <w:ind w:left="426"/>
        <w:jc w:val="both"/>
        <w:rPr>
          <w:rFonts w:ascii="Avenir Next" w:hAnsi="Avenir Next" w:cs="Arial"/>
          <w:sz w:val="22"/>
          <w:szCs w:val="22"/>
          <w:highlight w:val="yellow"/>
          <w:lang w:val="en-GB"/>
        </w:rPr>
      </w:pPr>
      <w:r w:rsidRPr="002B464B">
        <w:rPr>
          <w:rFonts w:ascii="Avenir Next" w:hAnsi="Avenir Next" w:cs="Arial"/>
          <w:sz w:val="22"/>
          <w:szCs w:val="22"/>
          <w:highlight w:val="yellow"/>
          <w:lang w:val="en-GB"/>
        </w:rPr>
        <w:t>One year</w:t>
      </w:r>
      <w:r w:rsidR="00763348" w:rsidRPr="002B464B">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5F82E897" w14:textId="77777777" w:rsidR="00EB4698"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w:t>
      </w:r>
    </w:p>
    <w:p w14:paraId="3C21D893" w14:textId="77777777" w:rsidR="00EB4698" w:rsidRPr="00EB4698" w:rsidRDefault="00EB4698" w:rsidP="00EB4698">
      <w:pPr>
        <w:pStyle w:val="ListParagraph"/>
        <w:rPr>
          <w:rFonts w:ascii="Avenir Next" w:hAnsi="Avenir Next" w:cs="Arial"/>
          <w:sz w:val="22"/>
          <w:szCs w:val="22"/>
          <w:lang w:val="en-GB"/>
        </w:rPr>
      </w:pPr>
    </w:p>
    <w:p w14:paraId="00D0F383" w14:textId="74D66238" w:rsidR="008D1616" w:rsidRPr="00197F24" w:rsidRDefault="008D1616"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97F24" w:rsidRDefault="00AE5B6F" w:rsidP="00B04033">
      <w:pPr>
        <w:pStyle w:val="ListParagraph"/>
        <w:numPr>
          <w:ilvl w:val="0"/>
          <w:numId w:val="3"/>
        </w:numPr>
        <w:ind w:left="426"/>
        <w:jc w:val="both"/>
        <w:rPr>
          <w:rFonts w:ascii="Avenir Next" w:hAnsi="Avenir Next" w:cs="Arial"/>
          <w:sz w:val="22"/>
          <w:szCs w:val="22"/>
          <w:lang w:val="en-GB"/>
        </w:rPr>
      </w:pPr>
      <w:r w:rsidRPr="009C6BA8">
        <w:rPr>
          <w:rFonts w:ascii="Avenir Next" w:hAnsi="Avenir Next" w:cs="Arial"/>
          <w:sz w:val="22"/>
          <w:szCs w:val="22"/>
          <w:highlight w:val="yellow"/>
          <w:lang w:val="en-GB"/>
        </w:rPr>
        <w:t>T</w:t>
      </w:r>
      <w:r w:rsidR="008D1616" w:rsidRPr="009C6BA8">
        <w:rPr>
          <w:rFonts w:ascii="Avenir Next" w:hAnsi="Avenir Next" w:cs="Arial"/>
          <w:sz w:val="22"/>
          <w:szCs w:val="22"/>
          <w:highlight w:val="yellow"/>
          <w:lang w:val="en-GB"/>
        </w:rPr>
        <w:t>he company is, or is likely to become, unable to pay their debts, as defined under s</w:t>
      </w:r>
      <w:r w:rsidR="00E833F4" w:rsidRPr="009C6BA8">
        <w:rPr>
          <w:rFonts w:ascii="Avenir Next" w:hAnsi="Avenir Next" w:cs="Arial"/>
          <w:sz w:val="22"/>
          <w:szCs w:val="22"/>
          <w:highlight w:val="yellow"/>
          <w:lang w:val="en-GB"/>
        </w:rPr>
        <w:t>ection</w:t>
      </w:r>
      <w:r w:rsidR="008D1616" w:rsidRPr="009C6BA8">
        <w:rPr>
          <w:rFonts w:ascii="Avenir Next" w:hAnsi="Avenir Next" w:cs="Arial"/>
          <w:sz w:val="22"/>
          <w:szCs w:val="22"/>
          <w:highlight w:val="yellow"/>
          <w:lang w:val="en-GB"/>
        </w:rPr>
        <w:t xml:space="preserve"> 123 of the Insolvency Act 1986</w:t>
      </w:r>
      <w:r w:rsidR="00763348" w:rsidRPr="00197F24">
        <w:rPr>
          <w:rFonts w:ascii="Avenir Next" w:hAnsi="Avenir Next" w:cs="Arial"/>
          <w:sz w:val="22"/>
          <w:szCs w:val="22"/>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F3716">
        <w:rPr>
          <w:rFonts w:ascii="Avenir Next" w:hAnsi="Avenir Next" w:cs="Arial"/>
          <w:sz w:val="22"/>
          <w:szCs w:val="22"/>
          <w:highlight w:val="yellow"/>
          <w:lang w:val="en-GB"/>
        </w:rPr>
        <w:t>The purchaser</w:t>
      </w:r>
      <w:r w:rsidR="00763348" w:rsidRPr="001F3716">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EB4698" w:rsidRDefault="00BA1CFD" w:rsidP="00B04033">
      <w:pPr>
        <w:pStyle w:val="ListParagraph"/>
        <w:numPr>
          <w:ilvl w:val="0"/>
          <w:numId w:val="5"/>
        </w:numPr>
        <w:ind w:left="426"/>
        <w:jc w:val="both"/>
        <w:rPr>
          <w:rFonts w:ascii="Avenir Next" w:hAnsi="Avenir Next" w:cs="Arial"/>
          <w:sz w:val="22"/>
          <w:szCs w:val="22"/>
          <w:highlight w:val="yellow"/>
          <w:lang w:val="en-GB"/>
        </w:rPr>
      </w:pPr>
      <w:r w:rsidRPr="00EB4698">
        <w:rPr>
          <w:rFonts w:ascii="Avenir Next" w:hAnsi="Avenir Next" w:cs="Arial"/>
          <w:sz w:val="22"/>
          <w:szCs w:val="22"/>
          <w:highlight w:val="yellow"/>
          <w:lang w:val="en-GB"/>
        </w:rPr>
        <w:t>Administration</w:t>
      </w:r>
      <w:r w:rsidR="00763348" w:rsidRPr="00EB4698">
        <w:rPr>
          <w:rFonts w:ascii="Avenir Next" w:hAnsi="Avenir Next" w:cs="Arial"/>
          <w:sz w:val="22"/>
          <w:szCs w:val="22"/>
          <w:highlight w:val="yellow"/>
          <w:lang w:val="en-GB"/>
        </w:rPr>
        <w:t>.</w:t>
      </w:r>
    </w:p>
    <w:p w14:paraId="1E39B630" w14:textId="77777777" w:rsidR="00763348" w:rsidRPr="00EB4698" w:rsidRDefault="00763348" w:rsidP="00763348">
      <w:pPr>
        <w:ind w:left="66"/>
        <w:jc w:val="both"/>
        <w:rPr>
          <w:rFonts w:ascii="Avenir Next" w:hAnsi="Avenir Next" w:cs="Arial"/>
          <w:color w:val="FF0000"/>
          <w:sz w:val="22"/>
          <w:szCs w:val="22"/>
          <w:lang w:val="en-GB"/>
        </w:rPr>
      </w:pPr>
    </w:p>
    <w:p w14:paraId="3A827063" w14:textId="0925B7B2" w:rsidR="00867701" w:rsidRPr="00EB4698" w:rsidRDefault="00BA1CFD" w:rsidP="00B04033">
      <w:pPr>
        <w:pStyle w:val="ListParagraph"/>
        <w:numPr>
          <w:ilvl w:val="0"/>
          <w:numId w:val="5"/>
        </w:numPr>
        <w:ind w:left="426"/>
        <w:jc w:val="both"/>
        <w:rPr>
          <w:rFonts w:ascii="Avenir Next" w:hAnsi="Avenir Next" w:cs="Arial"/>
          <w:sz w:val="22"/>
          <w:szCs w:val="22"/>
          <w:lang w:val="en-GB"/>
        </w:rPr>
      </w:pPr>
      <w:r w:rsidRPr="00EB4698">
        <w:rPr>
          <w:rFonts w:ascii="Avenir Next" w:hAnsi="Avenir Next" w:cs="Arial"/>
          <w:sz w:val="22"/>
          <w:szCs w:val="22"/>
          <w:lang w:val="en-GB"/>
        </w:rPr>
        <w:t>Restructuring Plan</w:t>
      </w:r>
      <w:r w:rsidR="00763348" w:rsidRPr="00EB4698">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0F797C" w:rsidRDefault="00221444" w:rsidP="00221444">
      <w:pPr>
        <w:pStyle w:val="ListParagraph"/>
        <w:numPr>
          <w:ilvl w:val="0"/>
          <w:numId w:val="6"/>
        </w:numPr>
        <w:ind w:left="426"/>
        <w:jc w:val="both"/>
        <w:rPr>
          <w:rFonts w:ascii="Avenir Next" w:hAnsi="Avenir Next" w:cs="Arial"/>
          <w:sz w:val="22"/>
          <w:szCs w:val="22"/>
          <w:highlight w:val="yellow"/>
          <w:lang w:val="en-GB"/>
        </w:rPr>
      </w:pPr>
      <w:r w:rsidRPr="000F797C">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7302B3" w:rsidRDefault="00BA1CFD" w:rsidP="00B04033">
      <w:pPr>
        <w:pStyle w:val="ListParagraph"/>
        <w:numPr>
          <w:ilvl w:val="0"/>
          <w:numId w:val="7"/>
        </w:numPr>
        <w:ind w:left="426"/>
        <w:jc w:val="both"/>
        <w:rPr>
          <w:rFonts w:ascii="Avenir Next" w:hAnsi="Avenir Next" w:cs="Arial"/>
          <w:sz w:val="22"/>
          <w:szCs w:val="22"/>
          <w:highlight w:val="yellow"/>
          <w:lang w:val="en-GB"/>
        </w:rPr>
      </w:pPr>
      <w:r w:rsidRPr="007302B3">
        <w:rPr>
          <w:rFonts w:ascii="Avenir Next" w:hAnsi="Avenir Next" w:cs="Arial"/>
          <w:sz w:val="22"/>
          <w:szCs w:val="22"/>
          <w:highlight w:val="yellow"/>
          <w:lang w:val="en-GB"/>
        </w:rPr>
        <w:t>Breach of fiduciary duty</w:t>
      </w:r>
      <w:r w:rsidR="00763348" w:rsidRPr="007302B3">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707FEA" w:rsidRDefault="00450393" w:rsidP="00450393">
      <w:pPr>
        <w:pStyle w:val="ListParagraph"/>
        <w:numPr>
          <w:ilvl w:val="0"/>
          <w:numId w:val="8"/>
        </w:numPr>
        <w:ind w:left="426"/>
        <w:jc w:val="both"/>
        <w:rPr>
          <w:rFonts w:ascii="Avenir Next" w:hAnsi="Avenir Next" w:cs="Arial"/>
          <w:sz w:val="22"/>
          <w:szCs w:val="22"/>
          <w:highlight w:val="yellow"/>
          <w:lang w:val="en-GB"/>
        </w:rPr>
      </w:pPr>
      <w:r w:rsidRPr="00707FEA">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A05751">
        <w:rPr>
          <w:rFonts w:ascii="Avenir Next" w:hAnsi="Avenir Next" w:cs="Arial"/>
          <w:sz w:val="22"/>
          <w:szCs w:val="22"/>
          <w:highlight w:val="yellow"/>
          <w:lang w:val="en-GB"/>
        </w:rPr>
        <w:t>A</w:t>
      </w:r>
      <w:r w:rsidR="000D10C6" w:rsidRPr="00A0575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r w:rsidR="000D10C6" w:rsidRPr="00197F24">
        <w:rPr>
          <w:rFonts w:ascii="Avenir Next" w:hAnsi="Avenir Next" w:cs="Arial"/>
          <w:sz w:val="22"/>
          <w:szCs w:val="22"/>
          <w:lang w:val="en-GB"/>
        </w:rPr>
        <w: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A05751" w:rsidRDefault="000D10C6" w:rsidP="00AE5B6F">
      <w:pPr>
        <w:pStyle w:val="ListParagraph"/>
        <w:numPr>
          <w:ilvl w:val="0"/>
          <w:numId w:val="9"/>
        </w:numPr>
        <w:ind w:left="426"/>
        <w:jc w:val="both"/>
        <w:rPr>
          <w:rFonts w:ascii="Avenir Next" w:hAnsi="Avenir Next" w:cs="Arial"/>
          <w:sz w:val="22"/>
          <w:szCs w:val="22"/>
          <w:lang w:val="en-GB"/>
        </w:rPr>
      </w:pPr>
      <w:r w:rsidRPr="00A05751">
        <w:rPr>
          <w:rFonts w:ascii="Avenir Next" w:hAnsi="Avenir Next" w:cs="Arial"/>
          <w:sz w:val="22"/>
          <w:szCs w:val="22"/>
          <w:lang w:val="en-GB"/>
        </w:rPr>
        <w:t xml:space="preserve">An insolvency officeholder from an EU Member State </w:t>
      </w:r>
      <w:r w:rsidR="00AC317D" w:rsidRPr="00A0575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8668AC" w:rsidRDefault="000D4CFA" w:rsidP="004C7A8F">
      <w:pPr>
        <w:pStyle w:val="ListParagraph"/>
        <w:numPr>
          <w:ilvl w:val="0"/>
          <w:numId w:val="10"/>
        </w:numPr>
        <w:ind w:left="426"/>
        <w:jc w:val="both"/>
        <w:rPr>
          <w:rFonts w:ascii="Avenir Next" w:hAnsi="Avenir Next" w:cs="Arial"/>
          <w:sz w:val="22"/>
          <w:szCs w:val="22"/>
          <w:highlight w:val="yellow"/>
          <w:lang w:val="en-GB"/>
        </w:rPr>
      </w:pPr>
      <w:r w:rsidRPr="008668AC">
        <w:rPr>
          <w:rFonts w:ascii="Avenir Next" w:hAnsi="Avenir Next" w:cs="Arial"/>
          <w:sz w:val="22"/>
          <w:szCs w:val="22"/>
          <w:highlight w:val="yellow"/>
          <w:lang w:val="en-GB"/>
        </w:rPr>
        <w:t>Twelve</w:t>
      </w:r>
      <w:r w:rsidR="004C7A8F" w:rsidRPr="008668AC">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5AD67C84" w14:textId="62F44602" w:rsidR="00575D37" w:rsidRDefault="00575D3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245 of the Insolvency Act (avoiding invalid floating charges): </w:t>
      </w:r>
    </w:p>
    <w:p w14:paraId="3BB5F54F" w14:textId="35195C9C" w:rsidR="00A83408" w:rsidRPr="002C1901" w:rsidRDefault="00A83408" w:rsidP="002C1901">
      <w:pPr>
        <w:pStyle w:val="ListParagraph"/>
        <w:numPr>
          <w:ilvl w:val="0"/>
          <w:numId w:val="21"/>
        </w:numPr>
        <w:jc w:val="both"/>
        <w:rPr>
          <w:rFonts w:ascii="Avenir Next" w:hAnsi="Avenir Next" w:cs="Arial"/>
          <w:color w:val="7B7B7B" w:themeColor="accent3" w:themeShade="BF"/>
          <w:sz w:val="22"/>
          <w:szCs w:val="22"/>
          <w:lang w:val="en-GB"/>
        </w:rPr>
      </w:pPr>
      <w:r w:rsidRPr="002C1901">
        <w:rPr>
          <w:rFonts w:ascii="Avenir Next" w:hAnsi="Avenir Next" w:cs="Arial"/>
          <w:color w:val="7B7B7B" w:themeColor="accent3" w:themeShade="BF"/>
          <w:sz w:val="22"/>
          <w:szCs w:val="22"/>
          <w:lang w:val="en-GB"/>
        </w:rPr>
        <w:t xml:space="preserve">Actions under this section can be brought by </w:t>
      </w:r>
      <w:r w:rsidR="002C1901" w:rsidRPr="002C1901">
        <w:rPr>
          <w:rFonts w:ascii="Avenir Next" w:hAnsi="Avenir Next" w:cs="Arial"/>
          <w:color w:val="7B7B7B" w:themeColor="accent3" w:themeShade="BF"/>
          <w:sz w:val="22"/>
          <w:szCs w:val="22"/>
          <w:lang w:val="en-GB"/>
        </w:rPr>
        <w:t>the insolvency office- holders</w:t>
      </w:r>
      <w:r w:rsidR="00982F45">
        <w:rPr>
          <w:rFonts w:ascii="Avenir Next" w:hAnsi="Avenir Next" w:cs="Arial"/>
          <w:color w:val="7B7B7B" w:themeColor="accent3" w:themeShade="BF"/>
          <w:sz w:val="22"/>
          <w:szCs w:val="22"/>
          <w:lang w:val="en-GB"/>
        </w:rPr>
        <w:t xml:space="preserve"> (administrators or liquidators)</w:t>
      </w:r>
      <w:r w:rsidR="002C1901" w:rsidRPr="002C1901">
        <w:rPr>
          <w:rFonts w:ascii="Avenir Next" w:hAnsi="Avenir Next" w:cs="Arial"/>
          <w:color w:val="7B7B7B" w:themeColor="accent3" w:themeShade="BF"/>
          <w:sz w:val="22"/>
          <w:szCs w:val="22"/>
          <w:lang w:val="en-GB"/>
        </w:rPr>
        <w:t xml:space="preserve"> in their name</w:t>
      </w:r>
      <w:r w:rsidR="002C1901">
        <w:rPr>
          <w:rFonts w:ascii="Avenir Next" w:hAnsi="Avenir Next" w:cs="Arial"/>
          <w:color w:val="7B7B7B" w:themeColor="accent3" w:themeShade="BF"/>
          <w:sz w:val="22"/>
          <w:szCs w:val="22"/>
          <w:lang w:val="en-GB"/>
        </w:rPr>
        <w:t xml:space="preserve">; or alternatively, be pursued in the name of the company in the ordinary way </w:t>
      </w:r>
    </w:p>
    <w:p w14:paraId="1DC18649" w14:textId="77777777" w:rsidR="00A83408" w:rsidRDefault="00A83408" w:rsidP="00A83408">
      <w:pPr>
        <w:jc w:val="both"/>
        <w:rPr>
          <w:rFonts w:ascii="Avenir Next" w:hAnsi="Avenir Next" w:cs="Arial"/>
          <w:color w:val="7B7B7B" w:themeColor="accent3" w:themeShade="BF"/>
          <w:sz w:val="22"/>
          <w:szCs w:val="22"/>
          <w:lang w:val="en-GB"/>
        </w:rPr>
      </w:pPr>
    </w:p>
    <w:p w14:paraId="2D9C8867" w14:textId="77777777" w:rsidR="00A83408" w:rsidRDefault="00A83408" w:rsidP="00A834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6 of the Company Directors Disqualification Act 1986</w:t>
      </w:r>
    </w:p>
    <w:p w14:paraId="0E7BCA82" w14:textId="77777777" w:rsidR="00F7522C" w:rsidRDefault="00A83408" w:rsidP="00A83408">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and administrator  can bring an action on behalf of a company to sue a director. Under section 246ZD of the Insolvency Act, office-holders have wide powers to assi</w:t>
      </w:r>
      <w:r w:rsidR="00F7522C">
        <w:rPr>
          <w:rFonts w:ascii="Avenir Next" w:hAnsi="Avenir Next" w:cs="Arial"/>
          <w:color w:val="7B7B7B" w:themeColor="accent3" w:themeShade="BF"/>
          <w:sz w:val="22"/>
          <w:szCs w:val="22"/>
          <w:lang w:val="en-GB"/>
        </w:rPr>
        <w:t>gn causes of action to a third party funder who itself may then sue the defendant.</w:t>
      </w:r>
    </w:p>
    <w:p w14:paraId="22C610C9" w14:textId="26F48AC1" w:rsidR="00DE03AF" w:rsidRDefault="00F7522C" w:rsidP="00F7522C">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116C93B3" w14:textId="63265919" w:rsidR="00F7522C" w:rsidRDefault="00F7522C" w:rsidP="00F7522C">
      <w:pPr>
        <w:jc w:val="both"/>
        <w:rPr>
          <w:rFonts w:ascii="Avenir Next" w:hAnsi="Avenir Next" w:cs="Arial"/>
          <w:color w:val="7B7B7B" w:themeColor="accent3" w:themeShade="BF"/>
          <w:sz w:val="22"/>
          <w:szCs w:val="22"/>
          <w:lang w:val="en-GB"/>
        </w:rPr>
      </w:pPr>
      <w:r w:rsidRPr="00F7522C">
        <w:rPr>
          <w:rFonts w:ascii="Avenir Next" w:hAnsi="Avenir Next" w:cs="Arial"/>
          <w:color w:val="7B7B7B" w:themeColor="accent3" w:themeShade="BF"/>
          <w:sz w:val="22"/>
          <w:szCs w:val="22"/>
          <w:lang w:val="en-GB"/>
        </w:rPr>
        <w:t>Section 246ZB</w:t>
      </w:r>
      <w:r w:rsidR="00736B8C">
        <w:rPr>
          <w:rFonts w:ascii="Avenir Next" w:hAnsi="Avenir Next" w:cs="Arial"/>
          <w:color w:val="7B7B7B" w:themeColor="accent3" w:themeShade="BF"/>
          <w:sz w:val="22"/>
          <w:szCs w:val="22"/>
          <w:lang w:val="en-GB"/>
        </w:rPr>
        <w:t xml:space="preserve"> (administration)</w:t>
      </w:r>
      <w:r w:rsidRPr="00F7522C">
        <w:rPr>
          <w:rFonts w:ascii="Avenir Next" w:hAnsi="Avenir Next" w:cs="Arial"/>
          <w:color w:val="7B7B7B" w:themeColor="accent3" w:themeShade="BF"/>
          <w:sz w:val="22"/>
          <w:szCs w:val="22"/>
          <w:lang w:val="en-GB"/>
        </w:rPr>
        <w:t xml:space="preserve"> of the Insolvency Act 1986</w:t>
      </w:r>
      <w:r>
        <w:rPr>
          <w:rFonts w:ascii="Avenir Next" w:hAnsi="Avenir Next" w:cs="Arial"/>
          <w:color w:val="7B7B7B" w:themeColor="accent3" w:themeShade="BF"/>
          <w:sz w:val="22"/>
          <w:szCs w:val="22"/>
          <w:lang w:val="en-GB"/>
        </w:rPr>
        <w:t xml:space="preserve"> (Wrongful Trading)</w:t>
      </w:r>
    </w:p>
    <w:p w14:paraId="49996B1A" w14:textId="77777777" w:rsidR="00736B8C" w:rsidRDefault="00736B8C" w:rsidP="00F7522C">
      <w:pPr>
        <w:jc w:val="both"/>
        <w:rPr>
          <w:rFonts w:ascii="Avenir Next" w:hAnsi="Avenir Next" w:cs="Arial"/>
          <w:color w:val="7B7B7B" w:themeColor="accent3" w:themeShade="BF"/>
          <w:sz w:val="22"/>
          <w:szCs w:val="22"/>
          <w:lang w:val="en-GB"/>
        </w:rPr>
      </w:pPr>
    </w:p>
    <w:p w14:paraId="4999A4C1" w14:textId="5370EE3E" w:rsidR="00132A9F" w:rsidRDefault="00132A9F" w:rsidP="00132A9F">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Administrators </w:t>
      </w:r>
      <w:r w:rsidR="002C1901">
        <w:rPr>
          <w:rFonts w:ascii="Avenir Next" w:hAnsi="Avenir Next" w:cs="Arial"/>
          <w:color w:val="7B7B7B" w:themeColor="accent3" w:themeShade="BF"/>
          <w:sz w:val="22"/>
          <w:szCs w:val="22"/>
          <w:lang w:val="en-GB"/>
        </w:rPr>
        <w:t>(claims can be brought in their name for the benefit of the company)</w:t>
      </w:r>
    </w:p>
    <w:p w14:paraId="2648952C" w14:textId="69C43DA6" w:rsidR="00736B8C" w:rsidRDefault="00390137" w:rsidP="00132A9F">
      <w:pPr>
        <w:pStyle w:val="ListParagraph"/>
        <w:numPr>
          <w:ilvl w:val="0"/>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Administrators </w:t>
      </w:r>
      <w:r w:rsidR="00736B8C">
        <w:rPr>
          <w:rFonts w:ascii="Avenir Next" w:hAnsi="Avenir Next" w:cs="Arial"/>
          <w:color w:val="7B7B7B" w:themeColor="accent3" w:themeShade="BF"/>
          <w:sz w:val="22"/>
          <w:szCs w:val="22"/>
          <w:lang w:val="en-GB"/>
        </w:rPr>
        <w:t xml:space="preserve">can also assign the right to a third party, such as a creditor. </w:t>
      </w:r>
      <w:r w:rsidRPr="00390137">
        <w:rPr>
          <w:rFonts w:ascii="Avenir Next" w:hAnsi="Avenir Next" w:cs="Arial"/>
          <w:color w:val="7B7B7B" w:themeColor="accent3" w:themeShade="BF"/>
          <w:sz w:val="22"/>
          <w:szCs w:val="22"/>
          <w:lang w:val="en-GB"/>
        </w:rPr>
        <w:t>It was confirmed in Re Totalbrand Limited that an office-holder was entitled to assign a claim including its proceeds without any requirement that the company should receive a payment from the proceeds (if ultimately successful). It was sufficient that the office-holder had received a payment in consideration for the assignment.</w:t>
      </w:r>
    </w:p>
    <w:p w14:paraId="024B9ED0" w14:textId="77777777" w:rsidR="00132A9F" w:rsidRDefault="00132A9F" w:rsidP="00132A9F">
      <w:pPr>
        <w:jc w:val="both"/>
        <w:rPr>
          <w:rFonts w:ascii="Avenir Next" w:hAnsi="Avenir Next" w:cs="Arial"/>
          <w:color w:val="7B7B7B" w:themeColor="accent3" w:themeShade="BF"/>
          <w:sz w:val="22"/>
          <w:szCs w:val="22"/>
          <w:lang w:val="en-GB"/>
        </w:rPr>
      </w:pPr>
    </w:p>
    <w:p w14:paraId="46E804DC" w14:textId="0D00DEFA" w:rsidR="009119DF" w:rsidRDefault="00132A9F" w:rsidP="00132A9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127 of the Insolvency Act</w:t>
      </w:r>
      <w:r w:rsidR="00E15835">
        <w:rPr>
          <w:rFonts w:ascii="Avenir Next" w:hAnsi="Avenir Next" w:cs="Arial"/>
          <w:color w:val="7B7B7B" w:themeColor="accent3" w:themeShade="BF"/>
          <w:sz w:val="22"/>
          <w:szCs w:val="22"/>
          <w:lang w:val="en-GB"/>
        </w:rPr>
        <w:t xml:space="preserve"> 1986 (Dispositions void, unless validated)</w:t>
      </w:r>
    </w:p>
    <w:p w14:paraId="2A27382F" w14:textId="7C847C2F" w:rsidR="00132A9F" w:rsidRDefault="00132A9F" w:rsidP="00132A9F">
      <w:pPr>
        <w:numPr>
          <w:ilvl w:val="0"/>
          <w:numId w:val="19"/>
        </w:numPr>
        <w:jc w:val="both"/>
        <w:rPr>
          <w:rFonts w:ascii="Avenir Next" w:hAnsi="Avenir Next" w:cs="Arial"/>
          <w:color w:val="7B7B7B" w:themeColor="accent3" w:themeShade="BF"/>
          <w:sz w:val="22"/>
          <w:szCs w:val="22"/>
          <w:lang w:val="en-GB"/>
        </w:rPr>
      </w:pPr>
      <w:r w:rsidRPr="00132A9F">
        <w:rPr>
          <w:rFonts w:ascii="Avenir Next" w:hAnsi="Avenir Next" w:cs="Arial"/>
          <w:color w:val="7B7B7B" w:themeColor="accent3" w:themeShade="BF"/>
          <w:sz w:val="22"/>
          <w:szCs w:val="22"/>
          <w:lang w:val="en-GB"/>
        </w:rPr>
        <w:t>Liquidators</w:t>
      </w:r>
      <w:r w:rsidR="009119DF">
        <w:rPr>
          <w:rFonts w:ascii="Avenir Next" w:hAnsi="Avenir Next" w:cs="Arial"/>
          <w:color w:val="7B7B7B" w:themeColor="accent3" w:themeShade="BF"/>
          <w:sz w:val="22"/>
          <w:szCs w:val="22"/>
          <w:lang w:val="en-GB"/>
        </w:rPr>
        <w:t>. *</w:t>
      </w:r>
      <w:r w:rsidR="009119DF" w:rsidRPr="009119DF">
        <w:rPr>
          <w:rFonts w:ascii="Source Sans Pro" w:hAnsi="Source Sans Pro"/>
          <w:color w:val="3D3D3D"/>
          <w:sz w:val="27"/>
          <w:szCs w:val="27"/>
          <w:shd w:val="clear" w:color="auto" w:fill="FFFFFF"/>
        </w:rPr>
        <w:t xml:space="preserve"> </w:t>
      </w:r>
      <w:r w:rsidR="009119DF" w:rsidRPr="009119DF">
        <w:rPr>
          <w:rFonts w:ascii="Avenir Next" w:hAnsi="Avenir Next" w:cs="Arial"/>
          <w:color w:val="7B7B7B" w:themeColor="accent3" w:themeShade="BF"/>
          <w:sz w:val="22"/>
          <w:szCs w:val="22"/>
          <w:lang w:val="en-GB"/>
        </w:rPr>
        <w:t>In theory, it is not necessary for a liquidator to apply to court for a declaration that a transaction has been made void by the operation of section 127 of the IA 1986. A transaction within the scope of section 127 of the IA 1986 will be automatically void unless the court orders otherwise. However, where the liquidator's efforts to recover property that was the subject of a void transaction are being contested, they may need the court's assistance. In this context the liquidator will often seek an order for restoration of the property, coupled with a declaration that the transaction was void</w:t>
      </w:r>
      <w:r w:rsidR="009119DF">
        <w:rPr>
          <w:rFonts w:ascii="Avenir Next" w:hAnsi="Avenir Next" w:cs="Arial"/>
          <w:color w:val="7B7B7B" w:themeColor="accent3" w:themeShade="BF"/>
          <w:sz w:val="22"/>
          <w:szCs w:val="22"/>
          <w:lang w:val="en-GB"/>
        </w:rPr>
        <w:t>.</w:t>
      </w:r>
    </w:p>
    <w:p w14:paraId="691C310C" w14:textId="77777777" w:rsidR="009119DF" w:rsidRPr="00132A9F" w:rsidRDefault="009119DF" w:rsidP="009119DF">
      <w:pPr>
        <w:ind w:left="720"/>
        <w:jc w:val="both"/>
        <w:rPr>
          <w:rFonts w:ascii="Avenir Next" w:hAnsi="Avenir Next" w:cs="Arial"/>
          <w:color w:val="7B7B7B" w:themeColor="accent3" w:themeShade="BF"/>
          <w:sz w:val="22"/>
          <w:szCs w:val="22"/>
          <w:lang w:val="en-GB"/>
        </w:rPr>
      </w:pPr>
    </w:p>
    <w:p w14:paraId="4A7C5D3A" w14:textId="4CF4DC19" w:rsidR="00132A9F" w:rsidRDefault="006C436E" w:rsidP="00132A9F">
      <w:pPr>
        <w:jc w:val="both"/>
        <w:rPr>
          <w:rFonts w:ascii="Avenir Next" w:hAnsi="Avenir Next" w:cs="Arial"/>
          <w:color w:val="7B7B7B" w:themeColor="accent3" w:themeShade="BF"/>
          <w:sz w:val="22"/>
          <w:szCs w:val="22"/>
          <w:lang w:val="en-GB"/>
        </w:rPr>
      </w:pPr>
      <w:r w:rsidRPr="006C436E">
        <w:rPr>
          <w:rFonts w:ascii="Avenir Next" w:hAnsi="Avenir Next" w:cs="Arial"/>
          <w:color w:val="7B7B7B" w:themeColor="accent3" w:themeShade="BF"/>
          <w:sz w:val="22"/>
          <w:szCs w:val="22"/>
          <w:lang w:val="en-GB"/>
        </w:rPr>
        <w:t>A transaction will not be void under </w:t>
      </w:r>
      <w:hyperlink r:id="rId12" w:history="1">
        <w:r w:rsidRPr="006C436E">
          <w:rPr>
            <w:rFonts w:ascii="Avenir Next" w:hAnsi="Avenir Next" w:cs="Arial"/>
            <w:color w:val="7B7B7B" w:themeColor="accent3" w:themeShade="BF"/>
            <w:sz w:val="22"/>
            <w:szCs w:val="22"/>
            <w:lang w:val="en-GB"/>
          </w:rPr>
          <w:t>section 127(1)</w:t>
        </w:r>
      </w:hyperlink>
      <w:r w:rsidRPr="006C436E">
        <w:rPr>
          <w:rFonts w:ascii="Avenir Next" w:hAnsi="Avenir Next" w:cs="Arial"/>
          <w:color w:val="7B7B7B" w:themeColor="accent3" w:themeShade="BF"/>
          <w:sz w:val="22"/>
          <w:szCs w:val="22"/>
          <w:lang w:val="en-GB"/>
        </w:rPr>
        <w:t xml:space="preserve"> of the </w:t>
      </w:r>
      <w:r>
        <w:rPr>
          <w:rFonts w:ascii="Avenir Next" w:hAnsi="Avenir Next" w:cs="Arial"/>
          <w:color w:val="7B7B7B" w:themeColor="accent3" w:themeShade="BF"/>
          <w:sz w:val="22"/>
          <w:szCs w:val="22"/>
          <w:lang w:val="en-GB"/>
        </w:rPr>
        <w:t>Insolvency Act</w:t>
      </w:r>
      <w:r w:rsidRPr="006C436E">
        <w:rPr>
          <w:rFonts w:ascii="Avenir Next" w:hAnsi="Avenir Next" w:cs="Arial"/>
          <w:color w:val="7B7B7B" w:themeColor="accent3" w:themeShade="BF"/>
          <w:sz w:val="22"/>
          <w:szCs w:val="22"/>
          <w:lang w:val="en-GB"/>
        </w:rPr>
        <w:t xml:space="preserve"> 1986 if the court makes an order validating the transaction. The term "validation order" refers to an order, made under section 127(1) of the </w:t>
      </w:r>
      <w:r>
        <w:rPr>
          <w:rFonts w:ascii="Avenir Next" w:hAnsi="Avenir Next" w:cs="Arial"/>
          <w:color w:val="7B7B7B" w:themeColor="accent3" w:themeShade="BF"/>
          <w:sz w:val="22"/>
          <w:szCs w:val="22"/>
          <w:lang w:val="en-GB"/>
        </w:rPr>
        <w:t xml:space="preserve">Insolvency Act </w:t>
      </w:r>
      <w:r w:rsidRPr="006C436E">
        <w:rPr>
          <w:rFonts w:ascii="Avenir Next" w:hAnsi="Avenir Next" w:cs="Arial"/>
          <w:color w:val="7B7B7B" w:themeColor="accent3" w:themeShade="BF"/>
          <w:sz w:val="22"/>
          <w:szCs w:val="22"/>
          <w:lang w:val="en-GB"/>
        </w:rPr>
        <w:t>1986, that validates a disposition of a company's property which would otherwise be void (or might become void) under that section</w:t>
      </w:r>
      <w:r>
        <w:rPr>
          <w:rFonts w:ascii="Avenir Next" w:hAnsi="Avenir Next" w:cs="Arial"/>
          <w:color w:val="7B7B7B" w:themeColor="accent3" w:themeShade="BF"/>
          <w:sz w:val="22"/>
          <w:szCs w:val="22"/>
          <w:lang w:val="en-GB"/>
        </w:rPr>
        <w:t>.</w:t>
      </w:r>
    </w:p>
    <w:p w14:paraId="3FCFC840" w14:textId="77777777" w:rsidR="006C436E" w:rsidRDefault="006C436E" w:rsidP="00132A9F">
      <w:pPr>
        <w:jc w:val="both"/>
        <w:rPr>
          <w:rFonts w:ascii="Avenir Next" w:hAnsi="Avenir Next" w:cs="Arial"/>
          <w:color w:val="7B7B7B" w:themeColor="accent3" w:themeShade="BF"/>
          <w:sz w:val="22"/>
          <w:szCs w:val="22"/>
          <w:lang w:val="en-GB"/>
        </w:rPr>
      </w:pPr>
    </w:p>
    <w:p w14:paraId="7C81FEC9" w14:textId="65E597F9" w:rsidR="006C436E" w:rsidRDefault="006C436E" w:rsidP="00132A9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following parties may apply for a validation order: </w:t>
      </w:r>
    </w:p>
    <w:p w14:paraId="656FBFF6" w14:textId="77777777" w:rsidR="006C436E" w:rsidRPr="006C436E" w:rsidRDefault="006C436E" w:rsidP="006C436E">
      <w:pPr>
        <w:numPr>
          <w:ilvl w:val="0"/>
          <w:numId w:val="20"/>
        </w:numPr>
        <w:jc w:val="both"/>
        <w:rPr>
          <w:rFonts w:ascii="Avenir Next" w:hAnsi="Avenir Next" w:cs="Arial"/>
          <w:color w:val="7B7B7B" w:themeColor="accent3" w:themeShade="BF"/>
          <w:sz w:val="22"/>
          <w:szCs w:val="22"/>
          <w:lang w:val="en-GB"/>
        </w:rPr>
      </w:pPr>
      <w:r w:rsidRPr="006C436E">
        <w:rPr>
          <w:rFonts w:ascii="Avenir Next" w:hAnsi="Avenir Next" w:cs="Arial"/>
          <w:color w:val="7B7B7B" w:themeColor="accent3" w:themeShade="BF"/>
          <w:sz w:val="22"/>
          <w:szCs w:val="22"/>
          <w:lang w:val="en-GB"/>
        </w:rPr>
        <w:t>A company against which a winding-up petition has been presented.</w:t>
      </w:r>
    </w:p>
    <w:p w14:paraId="0B241A82" w14:textId="77777777" w:rsidR="006C436E" w:rsidRPr="006C436E" w:rsidRDefault="006C436E" w:rsidP="006C436E">
      <w:pPr>
        <w:numPr>
          <w:ilvl w:val="0"/>
          <w:numId w:val="20"/>
        </w:numPr>
        <w:jc w:val="both"/>
        <w:rPr>
          <w:rFonts w:ascii="Avenir Next" w:hAnsi="Avenir Next" w:cs="Arial"/>
          <w:color w:val="7B7B7B" w:themeColor="accent3" w:themeShade="BF"/>
          <w:sz w:val="22"/>
          <w:szCs w:val="22"/>
          <w:lang w:val="en-GB"/>
        </w:rPr>
      </w:pPr>
      <w:r w:rsidRPr="006C436E">
        <w:rPr>
          <w:rFonts w:ascii="Avenir Next" w:hAnsi="Avenir Next" w:cs="Arial"/>
          <w:color w:val="7B7B7B" w:themeColor="accent3" w:themeShade="BF"/>
          <w:sz w:val="22"/>
          <w:szCs w:val="22"/>
          <w:lang w:val="en-GB"/>
        </w:rPr>
        <w:t>Any interested party to a transaction with a company against which a winding-up petition has been presented (Re Argentum Reductions (UK) Ltd [1975] 1 WLR 186).</w:t>
      </w:r>
    </w:p>
    <w:p w14:paraId="1AC49558" w14:textId="77777777" w:rsidR="006C436E" w:rsidRPr="00132A9F" w:rsidRDefault="006C436E" w:rsidP="00132A9F">
      <w:pPr>
        <w:jc w:val="both"/>
        <w:rPr>
          <w:rFonts w:ascii="Avenir Next" w:hAnsi="Avenir Next" w:cs="Arial"/>
          <w:color w:val="7B7B7B" w:themeColor="accent3" w:themeShade="BF"/>
          <w:sz w:val="22"/>
          <w:szCs w:val="22"/>
          <w:lang w:val="en-GB"/>
        </w:rPr>
      </w:pPr>
    </w:p>
    <w:p w14:paraId="674EB298" w14:textId="77777777" w:rsidR="00F7522C" w:rsidRPr="00F7522C" w:rsidRDefault="00F7522C" w:rsidP="00F7522C">
      <w:pPr>
        <w:jc w:val="both"/>
        <w:rPr>
          <w:rFonts w:ascii="Avenir Next" w:hAnsi="Avenir Next" w:cs="Arial"/>
          <w:color w:val="7B7B7B" w:themeColor="accent3" w:themeShade="BF"/>
          <w:sz w:val="22"/>
          <w:szCs w:val="22"/>
          <w:lang w:val="en-GB"/>
        </w:rPr>
      </w:pP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7A98251" w14:textId="498847D5" w:rsidR="00EB7129"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E35C31">
        <w:rPr>
          <w:rFonts w:ascii="Avenir Next" w:hAnsi="Avenir Next" w:cs="Arial"/>
          <w:color w:val="7B7B7B" w:themeColor="accent3" w:themeShade="BF"/>
          <w:sz w:val="22"/>
          <w:szCs w:val="22"/>
          <w:lang w:val="en-GB"/>
        </w:rPr>
        <w:t xml:space="preserve">The company does not have a payment holiday  in relation to </w:t>
      </w:r>
      <w:r w:rsidR="001C7A90" w:rsidRPr="001C7A90">
        <w:rPr>
          <w:rFonts w:ascii="Avenir Next" w:hAnsi="Avenir Next" w:cs="Arial"/>
          <w:color w:val="7B7B7B" w:themeColor="accent3" w:themeShade="BF"/>
          <w:sz w:val="22"/>
          <w:szCs w:val="22"/>
          <w:lang w:val="en-GB"/>
        </w:rPr>
        <w:t>pre-</w:t>
      </w:r>
      <w:r w:rsidR="00BB242A">
        <w:rPr>
          <w:rFonts w:ascii="Avenir Next" w:hAnsi="Avenir Next" w:cs="Arial"/>
          <w:color w:val="7B7B7B" w:themeColor="accent3" w:themeShade="BF"/>
          <w:sz w:val="22"/>
          <w:szCs w:val="22"/>
          <w:lang w:val="en-GB"/>
        </w:rPr>
        <w:t>M</w:t>
      </w:r>
      <w:r w:rsidR="001C7A90" w:rsidRPr="001C7A90">
        <w:rPr>
          <w:rFonts w:ascii="Avenir Next" w:hAnsi="Avenir Next" w:cs="Arial"/>
          <w:color w:val="7B7B7B" w:themeColor="accent3" w:themeShade="BF"/>
          <w:sz w:val="22"/>
          <w:szCs w:val="22"/>
          <w:lang w:val="en-GB"/>
        </w:rPr>
        <w:t xml:space="preserve">oratorium debts </w:t>
      </w:r>
      <w:r w:rsidR="00E35C31">
        <w:rPr>
          <w:rFonts w:ascii="Avenir Next" w:hAnsi="Avenir Next" w:cs="Arial"/>
          <w:color w:val="7B7B7B" w:themeColor="accent3" w:themeShade="BF"/>
          <w:sz w:val="22"/>
          <w:szCs w:val="22"/>
          <w:lang w:val="en-GB"/>
        </w:rPr>
        <w:t xml:space="preserve">which </w:t>
      </w:r>
      <w:r w:rsidR="001C7A90" w:rsidRPr="001C7A90">
        <w:rPr>
          <w:rFonts w:ascii="Avenir Next" w:hAnsi="Avenir Next" w:cs="Arial"/>
          <w:color w:val="7B7B7B" w:themeColor="accent3" w:themeShade="BF"/>
          <w:sz w:val="22"/>
          <w:szCs w:val="22"/>
          <w:lang w:val="en-GB"/>
        </w:rPr>
        <w:t xml:space="preserve">the entity subject to the </w:t>
      </w:r>
      <w:r w:rsidR="00BB242A">
        <w:rPr>
          <w:rFonts w:ascii="Avenir Next" w:hAnsi="Avenir Next" w:cs="Arial"/>
          <w:color w:val="7B7B7B" w:themeColor="accent3" w:themeShade="BF"/>
          <w:sz w:val="22"/>
          <w:szCs w:val="22"/>
          <w:lang w:val="en-GB"/>
        </w:rPr>
        <w:t>K</w:t>
      </w:r>
      <w:r w:rsidR="001C7A90" w:rsidRPr="001C7A90">
        <w:rPr>
          <w:rFonts w:ascii="Avenir Next" w:hAnsi="Avenir Next" w:cs="Arial"/>
          <w:color w:val="7B7B7B" w:themeColor="accent3" w:themeShade="BF"/>
          <w:sz w:val="22"/>
          <w:szCs w:val="22"/>
          <w:lang w:val="en-GB"/>
        </w:rPr>
        <w:t>oratorium must continue to pay as they fall due</w:t>
      </w:r>
      <w:r w:rsidR="00EB7129">
        <w:rPr>
          <w:rFonts w:ascii="Avenir Next" w:hAnsi="Avenir Next" w:cs="Arial"/>
          <w:color w:val="7B7B7B" w:themeColor="accent3" w:themeShade="BF"/>
          <w:sz w:val="22"/>
          <w:szCs w:val="22"/>
          <w:lang w:val="en-GB"/>
        </w:rPr>
        <w:t xml:space="preserve">. </w:t>
      </w:r>
      <w:r w:rsidR="00EB7129" w:rsidRPr="00EB7129">
        <w:rPr>
          <w:rFonts w:ascii="Avenir Next" w:hAnsi="Avenir Next" w:cs="Arial"/>
          <w:color w:val="7B7B7B" w:themeColor="accent3" w:themeShade="BF"/>
          <w:sz w:val="22"/>
          <w:szCs w:val="22"/>
          <w:lang w:val="en-GB"/>
        </w:rPr>
        <w:t>The types of pre-moratorium debts not subject to a payment holiday are listed in section A18(3) of the </w:t>
      </w:r>
      <w:hyperlink r:id="rId13" w:history="1">
        <w:r w:rsidR="00EB7129" w:rsidRPr="00EB7129">
          <w:rPr>
            <w:rFonts w:ascii="Avenir Next" w:hAnsi="Avenir Next" w:cs="Arial"/>
            <w:color w:val="7B7B7B" w:themeColor="accent3" w:themeShade="BF"/>
            <w:sz w:val="22"/>
            <w:szCs w:val="22"/>
            <w:lang w:val="en-GB"/>
          </w:rPr>
          <w:t>Insolvency Act 1986</w:t>
        </w:r>
      </w:hyperlink>
      <w:r w:rsidR="00EB7129">
        <w:rPr>
          <w:rFonts w:ascii="Avenir Next" w:hAnsi="Avenir Next" w:cs="Arial"/>
          <w:color w:val="7B7B7B" w:themeColor="accent3" w:themeShade="BF"/>
          <w:sz w:val="22"/>
          <w:szCs w:val="22"/>
          <w:lang w:val="en-GB"/>
        </w:rPr>
        <w:t>:</w:t>
      </w:r>
    </w:p>
    <w:p w14:paraId="5C4534C8" w14:textId="77777777" w:rsidR="00EB7129" w:rsidRPr="00EB7129" w:rsidRDefault="00EB7129" w:rsidP="00EB7129">
      <w:pPr>
        <w:jc w:val="both"/>
        <w:rPr>
          <w:rFonts w:ascii="Avenir Next" w:hAnsi="Avenir Next" w:cs="Arial"/>
          <w:color w:val="7B7B7B" w:themeColor="accent3" w:themeShade="BF"/>
          <w:sz w:val="22"/>
          <w:szCs w:val="22"/>
          <w:lang w:val="en-GB"/>
        </w:rPr>
      </w:pPr>
      <w:r w:rsidRPr="00EB7129">
        <w:rPr>
          <w:rFonts w:ascii="Avenir Next" w:hAnsi="Avenir Next" w:cs="Arial"/>
          <w:color w:val="7B7B7B" w:themeColor="accent3" w:themeShade="BF"/>
          <w:sz w:val="22"/>
          <w:szCs w:val="22"/>
          <w:lang w:val="en-GB"/>
        </w:rPr>
        <w:t>(a)the monitor’s remuneration or expenses,</w:t>
      </w:r>
    </w:p>
    <w:p w14:paraId="6606D54A" w14:textId="77777777" w:rsidR="00EB7129" w:rsidRPr="00EB7129" w:rsidRDefault="00EB7129" w:rsidP="00EB7129">
      <w:pPr>
        <w:jc w:val="both"/>
        <w:rPr>
          <w:rFonts w:ascii="Avenir Next" w:hAnsi="Avenir Next" w:cs="Arial"/>
          <w:color w:val="7B7B7B" w:themeColor="accent3" w:themeShade="BF"/>
          <w:sz w:val="22"/>
          <w:szCs w:val="22"/>
          <w:lang w:val="en-GB"/>
        </w:rPr>
      </w:pPr>
      <w:r w:rsidRPr="00EB7129">
        <w:rPr>
          <w:rFonts w:ascii="Avenir Next" w:hAnsi="Avenir Next" w:cs="Arial"/>
          <w:color w:val="7B7B7B" w:themeColor="accent3" w:themeShade="BF"/>
          <w:sz w:val="22"/>
          <w:szCs w:val="22"/>
          <w:lang w:val="en-GB"/>
        </w:rPr>
        <w:t>(b)goods or services supplied during the moratorium,</w:t>
      </w:r>
    </w:p>
    <w:p w14:paraId="2F3162A8" w14:textId="77777777" w:rsidR="00EB7129" w:rsidRPr="00EB7129" w:rsidRDefault="00EB7129" w:rsidP="00EB7129">
      <w:pPr>
        <w:jc w:val="both"/>
        <w:rPr>
          <w:rFonts w:ascii="Avenir Next" w:hAnsi="Avenir Next" w:cs="Arial"/>
          <w:color w:val="7B7B7B" w:themeColor="accent3" w:themeShade="BF"/>
          <w:sz w:val="22"/>
          <w:szCs w:val="22"/>
          <w:lang w:val="en-GB"/>
        </w:rPr>
      </w:pPr>
      <w:r w:rsidRPr="00EB7129">
        <w:rPr>
          <w:rFonts w:ascii="Avenir Next" w:hAnsi="Avenir Next" w:cs="Arial"/>
          <w:color w:val="7B7B7B" w:themeColor="accent3" w:themeShade="BF"/>
          <w:sz w:val="22"/>
          <w:szCs w:val="22"/>
          <w:lang w:val="en-GB"/>
        </w:rPr>
        <w:t>(c)rent in respect of a period during the moratorium,</w:t>
      </w:r>
    </w:p>
    <w:p w14:paraId="14A29AA7" w14:textId="77777777" w:rsidR="00EB7129" w:rsidRPr="00EB7129" w:rsidRDefault="00EB7129" w:rsidP="00EB7129">
      <w:pPr>
        <w:jc w:val="both"/>
        <w:rPr>
          <w:rFonts w:ascii="Avenir Next" w:hAnsi="Avenir Next" w:cs="Arial"/>
          <w:color w:val="7B7B7B" w:themeColor="accent3" w:themeShade="BF"/>
          <w:sz w:val="22"/>
          <w:szCs w:val="22"/>
          <w:lang w:val="en-GB"/>
        </w:rPr>
      </w:pPr>
      <w:r w:rsidRPr="00EB7129">
        <w:rPr>
          <w:rFonts w:ascii="Avenir Next" w:hAnsi="Avenir Next" w:cs="Arial"/>
          <w:color w:val="7B7B7B" w:themeColor="accent3" w:themeShade="BF"/>
          <w:sz w:val="22"/>
          <w:szCs w:val="22"/>
          <w:lang w:val="en-GB"/>
        </w:rPr>
        <w:t>(d)wages or salary arising under a contract of employment,</w:t>
      </w:r>
    </w:p>
    <w:p w14:paraId="74FF5947" w14:textId="0B5F08AD" w:rsidR="00197F24" w:rsidRPr="00197F24" w:rsidRDefault="00EB7129" w:rsidP="00197F24">
      <w:pPr>
        <w:jc w:val="both"/>
        <w:rPr>
          <w:rFonts w:ascii="Avenir Next" w:hAnsi="Avenir Next" w:cs="Arial"/>
          <w:color w:val="7B7B7B" w:themeColor="accent3" w:themeShade="BF"/>
          <w:sz w:val="22"/>
          <w:szCs w:val="22"/>
          <w:lang w:val="en-GB"/>
        </w:rPr>
      </w:pPr>
      <w:r w:rsidRPr="00EB7129">
        <w:rPr>
          <w:rFonts w:ascii="Avenir Next" w:hAnsi="Avenir Next" w:cs="Arial"/>
          <w:color w:val="7B7B7B" w:themeColor="accent3" w:themeShade="BF"/>
          <w:sz w:val="22"/>
          <w:szCs w:val="22"/>
          <w:lang w:val="en-GB"/>
        </w:rPr>
        <w:t>(e)redundancy payments</w:t>
      </w:r>
      <w:r>
        <w:rPr>
          <w:rFonts w:ascii="Avenir Next" w:hAnsi="Avenir Next" w:cs="Arial"/>
          <w:color w:val="7B7B7B" w:themeColor="accent3" w:themeShade="BF"/>
          <w:sz w:val="22"/>
          <w:szCs w:val="22"/>
          <w:lang w:val="en-GB"/>
        </w:rPr>
        <w:t>”</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0FDD5D7D" w14:textId="5AA15F7D" w:rsidR="004E6251"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F4664B">
        <w:rPr>
          <w:rFonts w:ascii="Avenir Next" w:hAnsi="Avenir Next" w:cs="Arial"/>
          <w:color w:val="7B7B7B" w:themeColor="accent3" w:themeShade="BF"/>
          <w:sz w:val="22"/>
          <w:szCs w:val="22"/>
          <w:lang w:val="en-GB"/>
        </w:rPr>
        <w:t xml:space="preserve">In short, yes, they can. </w:t>
      </w:r>
      <w:r w:rsidR="004E6251">
        <w:rPr>
          <w:rFonts w:ascii="Avenir Next" w:hAnsi="Avenir Next" w:cs="Arial"/>
          <w:color w:val="7B7B7B" w:themeColor="accent3" w:themeShade="BF"/>
          <w:sz w:val="22"/>
          <w:szCs w:val="22"/>
          <w:lang w:val="en-GB"/>
        </w:rPr>
        <w:t>The appointment of an administrator does not automatically terminate a company’s executory contract. As explained below, certain provisions of the Insolvency Act can effectively “lock-in” suppliers</w:t>
      </w:r>
      <w:r w:rsidR="00787814">
        <w:rPr>
          <w:rFonts w:ascii="Avenir Next" w:hAnsi="Avenir Next" w:cs="Arial"/>
          <w:color w:val="7B7B7B" w:themeColor="accent3" w:themeShade="BF"/>
          <w:sz w:val="22"/>
          <w:szCs w:val="22"/>
          <w:lang w:val="en-GB"/>
        </w:rPr>
        <w:t xml:space="preserve"> (with certain exceptions, depending on the type of services</w:t>
      </w:r>
      <w:r w:rsidR="00C030D2">
        <w:rPr>
          <w:rFonts w:ascii="Avenir Next" w:hAnsi="Avenir Next" w:cs="Arial"/>
          <w:color w:val="7B7B7B" w:themeColor="accent3" w:themeShade="BF"/>
          <w:sz w:val="22"/>
          <w:szCs w:val="22"/>
          <w:lang w:val="en-GB"/>
        </w:rPr>
        <w:t xml:space="preserve"> provided</w:t>
      </w:r>
      <w:r w:rsidR="00787814">
        <w:rPr>
          <w:rFonts w:ascii="Avenir Next" w:hAnsi="Avenir Next" w:cs="Arial"/>
          <w:color w:val="7B7B7B" w:themeColor="accent3" w:themeShade="BF"/>
          <w:sz w:val="22"/>
          <w:szCs w:val="22"/>
          <w:lang w:val="en-GB"/>
        </w:rPr>
        <w:t xml:space="preserve">) </w:t>
      </w:r>
      <w:r w:rsidR="004E6251">
        <w:rPr>
          <w:rFonts w:ascii="Avenir Next" w:hAnsi="Avenir Next" w:cs="Arial"/>
          <w:color w:val="7B7B7B" w:themeColor="accent3" w:themeShade="BF"/>
          <w:sz w:val="22"/>
          <w:szCs w:val="22"/>
          <w:lang w:val="en-GB"/>
        </w:rPr>
        <w:t xml:space="preserve"> in</w:t>
      </w:r>
      <w:r w:rsidR="00C030D2">
        <w:rPr>
          <w:rFonts w:ascii="Avenir Next" w:hAnsi="Avenir Next" w:cs="Arial"/>
          <w:color w:val="7B7B7B" w:themeColor="accent3" w:themeShade="BF"/>
          <w:sz w:val="22"/>
          <w:szCs w:val="22"/>
          <w:lang w:val="en-GB"/>
        </w:rPr>
        <w:t>to</w:t>
      </w:r>
      <w:r w:rsidR="004E6251">
        <w:rPr>
          <w:rFonts w:ascii="Avenir Next" w:hAnsi="Avenir Next" w:cs="Arial"/>
          <w:color w:val="7B7B7B" w:themeColor="accent3" w:themeShade="BF"/>
          <w:sz w:val="22"/>
          <w:szCs w:val="22"/>
          <w:lang w:val="en-GB"/>
        </w:rPr>
        <w:t xml:space="preserve"> continuing to </w:t>
      </w:r>
      <w:r w:rsidR="00787814">
        <w:rPr>
          <w:rFonts w:ascii="Avenir Next" w:hAnsi="Avenir Next" w:cs="Arial"/>
          <w:color w:val="7B7B7B" w:themeColor="accent3" w:themeShade="BF"/>
          <w:sz w:val="22"/>
          <w:szCs w:val="22"/>
          <w:lang w:val="en-GB"/>
        </w:rPr>
        <w:t>provide</w:t>
      </w:r>
      <w:r w:rsidR="00C030D2">
        <w:rPr>
          <w:rFonts w:ascii="Avenir Next" w:hAnsi="Avenir Next" w:cs="Arial"/>
          <w:color w:val="7B7B7B" w:themeColor="accent3" w:themeShade="BF"/>
          <w:sz w:val="22"/>
          <w:szCs w:val="22"/>
          <w:lang w:val="en-GB"/>
        </w:rPr>
        <w:t xml:space="preserve"> the</w:t>
      </w:r>
      <w:r w:rsidR="000D5E94">
        <w:rPr>
          <w:rFonts w:ascii="Avenir Next" w:hAnsi="Avenir Next" w:cs="Arial"/>
          <w:color w:val="7B7B7B" w:themeColor="accent3" w:themeShade="BF"/>
          <w:sz w:val="22"/>
          <w:szCs w:val="22"/>
          <w:lang w:val="en-GB"/>
        </w:rPr>
        <w:t xml:space="preserve"> company in administration with</w:t>
      </w:r>
      <w:r w:rsidR="004E6251">
        <w:rPr>
          <w:rFonts w:ascii="Avenir Next" w:hAnsi="Avenir Next" w:cs="Arial"/>
          <w:color w:val="7B7B7B" w:themeColor="accent3" w:themeShade="BF"/>
          <w:sz w:val="22"/>
          <w:szCs w:val="22"/>
          <w:lang w:val="en-GB"/>
        </w:rPr>
        <w:t xml:space="preserve"> certain services. </w:t>
      </w:r>
    </w:p>
    <w:p w14:paraId="6425BF7D" w14:textId="77777777" w:rsidR="004E6251" w:rsidRDefault="004E6251" w:rsidP="00197F24">
      <w:pPr>
        <w:jc w:val="both"/>
        <w:rPr>
          <w:rFonts w:ascii="Avenir Next" w:hAnsi="Avenir Next" w:cs="Arial"/>
          <w:color w:val="7B7B7B" w:themeColor="accent3" w:themeShade="BF"/>
          <w:sz w:val="22"/>
          <w:szCs w:val="22"/>
          <w:lang w:val="en-GB"/>
        </w:rPr>
      </w:pPr>
    </w:p>
    <w:p w14:paraId="008BE636" w14:textId="3AF62C18" w:rsidR="00787814" w:rsidRPr="00787814" w:rsidRDefault="00787814" w:rsidP="00197F24">
      <w:pPr>
        <w:jc w:val="both"/>
        <w:rPr>
          <w:rFonts w:ascii="Avenir Next" w:hAnsi="Avenir Next" w:cs="Arial"/>
          <w:b/>
          <w:bCs/>
          <w:i/>
          <w:iCs/>
          <w:color w:val="7B7B7B" w:themeColor="accent3" w:themeShade="BF"/>
          <w:sz w:val="22"/>
          <w:szCs w:val="22"/>
          <w:lang w:val="en-GB"/>
        </w:rPr>
      </w:pPr>
      <w:r w:rsidRPr="00787814">
        <w:rPr>
          <w:rFonts w:ascii="Avenir Next" w:hAnsi="Avenir Next" w:cs="Arial"/>
          <w:b/>
          <w:bCs/>
          <w:i/>
          <w:iCs/>
          <w:color w:val="7B7B7B" w:themeColor="accent3" w:themeShade="BF"/>
          <w:sz w:val="22"/>
          <w:szCs w:val="22"/>
          <w:lang w:val="en-GB"/>
        </w:rPr>
        <w:t>Essential Services Suppliers</w:t>
      </w:r>
    </w:p>
    <w:p w14:paraId="010AF659" w14:textId="77777777" w:rsidR="00787814" w:rsidRDefault="00787814" w:rsidP="00197F24">
      <w:pPr>
        <w:jc w:val="both"/>
        <w:rPr>
          <w:rFonts w:ascii="Avenir Next" w:hAnsi="Avenir Next" w:cs="Arial"/>
          <w:color w:val="7B7B7B" w:themeColor="accent3" w:themeShade="BF"/>
          <w:sz w:val="22"/>
          <w:szCs w:val="22"/>
          <w:lang w:val="en-GB"/>
        </w:rPr>
      </w:pPr>
    </w:p>
    <w:p w14:paraId="4814E124" w14:textId="59DE111B" w:rsidR="00787814" w:rsidRDefault="000D5E94" w:rsidP="00787814">
      <w:pPr>
        <w:jc w:val="both"/>
        <w:rPr>
          <w:rFonts w:ascii="Avenir Next" w:hAnsi="Avenir Next" w:cs="Arial"/>
          <w:color w:val="7B7B7B" w:themeColor="accent3" w:themeShade="BF"/>
          <w:sz w:val="22"/>
          <w:szCs w:val="22"/>
          <w:lang w:val="en-GB"/>
        </w:rPr>
      </w:pPr>
      <w:r w:rsidRPr="00787814">
        <w:rPr>
          <w:rFonts w:ascii="Avenir Next" w:hAnsi="Avenir Next" w:cs="Arial"/>
          <w:b/>
          <w:bCs/>
          <w:color w:val="7B7B7B" w:themeColor="accent3" w:themeShade="BF"/>
          <w:sz w:val="22"/>
          <w:szCs w:val="22"/>
          <w:lang w:val="en-GB"/>
        </w:rPr>
        <w:t xml:space="preserve">Suppliers cannot </w:t>
      </w:r>
      <w:r w:rsidR="004E6251" w:rsidRPr="00787814">
        <w:rPr>
          <w:rFonts w:ascii="Avenir Next" w:hAnsi="Avenir Next" w:cs="Arial"/>
          <w:b/>
          <w:bCs/>
          <w:color w:val="7B7B7B" w:themeColor="accent3" w:themeShade="BF"/>
          <w:sz w:val="22"/>
          <w:szCs w:val="22"/>
          <w:lang w:val="en-GB"/>
        </w:rPr>
        <w:t>terminate contracts of supply.</w:t>
      </w:r>
      <w:r w:rsidR="004E6251" w:rsidRPr="00787814">
        <w:rPr>
          <w:rFonts w:ascii="Avenir Next" w:hAnsi="Avenir Next" w:cs="Arial"/>
          <w:color w:val="7B7B7B" w:themeColor="accent3" w:themeShade="BF"/>
          <w:sz w:val="22"/>
          <w:szCs w:val="22"/>
          <w:lang w:val="en-GB"/>
        </w:rPr>
        <w:t xml:space="preserve"> Terms in contracts of supply which provide for automatic termination now become subject to increasing statutory exceptions which largely make such automatic termination  (ipso facto) </w:t>
      </w:r>
      <w:r w:rsidR="00264DEF" w:rsidRPr="00787814">
        <w:rPr>
          <w:rFonts w:ascii="Avenir Next" w:hAnsi="Avenir Next" w:cs="Arial"/>
          <w:color w:val="7B7B7B" w:themeColor="accent3" w:themeShade="BF"/>
          <w:sz w:val="22"/>
          <w:szCs w:val="22"/>
          <w:lang w:val="en-GB"/>
        </w:rPr>
        <w:t>clauses</w:t>
      </w:r>
      <w:r w:rsidR="004E6251" w:rsidRPr="00787814">
        <w:rPr>
          <w:rFonts w:ascii="Avenir Next" w:hAnsi="Avenir Next" w:cs="Arial"/>
          <w:color w:val="7B7B7B" w:themeColor="accent3" w:themeShade="BF"/>
          <w:sz w:val="22"/>
          <w:szCs w:val="22"/>
          <w:lang w:val="en-GB"/>
        </w:rPr>
        <w:t xml:space="preserve"> void.</w:t>
      </w:r>
      <w:r w:rsidRPr="00787814">
        <w:rPr>
          <w:rFonts w:ascii="Avenir Next" w:hAnsi="Avenir Next" w:cs="Arial"/>
          <w:color w:val="7B7B7B" w:themeColor="accent3" w:themeShade="BF"/>
          <w:sz w:val="22"/>
          <w:szCs w:val="22"/>
          <w:lang w:val="en-GB"/>
        </w:rPr>
        <w:t xml:space="preserve"> </w:t>
      </w:r>
      <w:r w:rsidR="004E6251" w:rsidRPr="00787814">
        <w:rPr>
          <w:rFonts w:ascii="Avenir Next" w:hAnsi="Avenir Next" w:cs="Arial"/>
          <w:color w:val="7B7B7B" w:themeColor="accent3" w:themeShade="BF"/>
          <w:sz w:val="22"/>
          <w:szCs w:val="22"/>
          <w:lang w:val="en-GB"/>
        </w:rPr>
        <w:t xml:space="preserve"> Section 233 of the Insolvency Act applies to the supply of certain essential services, such as gas, electricity, water and communication services. Communication services include the supply of goods and services such as point of </w:t>
      </w:r>
      <w:r w:rsidRPr="00787814">
        <w:rPr>
          <w:rFonts w:ascii="Avenir Next" w:hAnsi="Avenir Next" w:cs="Arial"/>
          <w:color w:val="7B7B7B" w:themeColor="accent3" w:themeShade="BF"/>
          <w:sz w:val="22"/>
          <w:szCs w:val="22"/>
          <w:lang w:val="en-GB"/>
        </w:rPr>
        <w:t xml:space="preserve">sale terminals, computer hardware and software, information, advice, technical assistance, data storage and processing and website hosting. Suppliers are not permitted to require payment of outstanding debts in order to secure a new or continued supply to the company in administration.  However, section 233 of the Insolvency Act allows  suppliers to require that the administrator must personally guarantee payment of charges in respect of the new supply. </w:t>
      </w:r>
      <w:r w:rsidR="004E6251" w:rsidRPr="00787814">
        <w:rPr>
          <w:rFonts w:ascii="Avenir Next" w:hAnsi="Avenir Next" w:cs="Arial"/>
          <w:color w:val="7B7B7B" w:themeColor="accent3" w:themeShade="BF"/>
          <w:sz w:val="22"/>
          <w:szCs w:val="22"/>
          <w:lang w:val="en-GB"/>
        </w:rPr>
        <w:t xml:space="preserve"> </w:t>
      </w:r>
      <w:r w:rsidRPr="00787814">
        <w:rPr>
          <w:rFonts w:ascii="Avenir Next" w:hAnsi="Avenir Next" w:cs="Arial"/>
          <w:color w:val="7B7B7B" w:themeColor="accent3" w:themeShade="BF"/>
          <w:sz w:val="22"/>
          <w:szCs w:val="22"/>
          <w:lang w:val="en-GB"/>
        </w:rPr>
        <w:t>Section of 233 A</w:t>
      </w:r>
      <w:r w:rsidR="00787814" w:rsidRPr="00787814">
        <w:rPr>
          <w:rFonts w:ascii="Avenir Next" w:hAnsi="Avenir Next" w:cs="Arial"/>
          <w:color w:val="7B7B7B" w:themeColor="accent3" w:themeShade="BF"/>
          <w:sz w:val="22"/>
          <w:szCs w:val="22"/>
          <w:lang w:val="en-GB"/>
        </w:rPr>
        <w:t xml:space="preserve"> provides that </w:t>
      </w:r>
      <w:r w:rsidRPr="00787814">
        <w:rPr>
          <w:rFonts w:ascii="Avenir Next" w:hAnsi="Avenir Next" w:cs="Arial"/>
          <w:color w:val="7B7B7B" w:themeColor="accent3" w:themeShade="BF"/>
          <w:sz w:val="22"/>
          <w:szCs w:val="22"/>
          <w:lang w:val="en-GB"/>
        </w:rPr>
        <w:t xml:space="preserve"> a supplier of such services is generally unable to rely upon an “insolvency-related term” in a contract </w:t>
      </w:r>
      <w:r w:rsidR="00787814" w:rsidRPr="00787814">
        <w:rPr>
          <w:rFonts w:ascii="Avenir Next" w:hAnsi="Avenir Next" w:cs="Arial"/>
          <w:color w:val="7B7B7B" w:themeColor="accent3" w:themeShade="BF"/>
          <w:sz w:val="22"/>
          <w:szCs w:val="22"/>
          <w:lang w:val="en-GB"/>
        </w:rPr>
        <w:t xml:space="preserve">of supply which would otherwise entitle the supplier to terminate the supply, alter the terms of the supply or compel higher payments for continued supply. Section 233 B complements the provisions in sections 233 and 233A of the Insolvency Act by prohibiting termination by utility, communications and IT suppliers. </w:t>
      </w:r>
    </w:p>
    <w:p w14:paraId="44418119" w14:textId="77777777" w:rsidR="00787814" w:rsidRPr="00787814" w:rsidRDefault="00787814" w:rsidP="00787814">
      <w:pPr>
        <w:jc w:val="both"/>
        <w:rPr>
          <w:rFonts w:ascii="Avenir Next" w:hAnsi="Avenir Next" w:cs="Arial"/>
          <w:b/>
          <w:bCs/>
          <w:i/>
          <w:iCs/>
          <w:color w:val="7B7B7B" w:themeColor="accent3" w:themeShade="BF"/>
          <w:sz w:val="22"/>
          <w:szCs w:val="22"/>
          <w:lang w:val="en-GB"/>
        </w:rPr>
      </w:pPr>
    </w:p>
    <w:p w14:paraId="1766180C" w14:textId="336F9426" w:rsidR="00787814" w:rsidRPr="00787814" w:rsidRDefault="00787814" w:rsidP="00787814">
      <w:pPr>
        <w:jc w:val="both"/>
        <w:rPr>
          <w:rFonts w:ascii="Avenir Next" w:hAnsi="Avenir Next" w:cs="Arial"/>
          <w:b/>
          <w:bCs/>
          <w:i/>
          <w:iCs/>
          <w:color w:val="7B7B7B" w:themeColor="accent3" w:themeShade="BF"/>
          <w:sz w:val="22"/>
          <w:szCs w:val="22"/>
          <w:lang w:val="en-GB"/>
        </w:rPr>
      </w:pPr>
      <w:r w:rsidRPr="00787814">
        <w:rPr>
          <w:rFonts w:ascii="Avenir Next" w:hAnsi="Avenir Next" w:cs="Arial"/>
          <w:b/>
          <w:bCs/>
          <w:i/>
          <w:iCs/>
          <w:color w:val="7B7B7B" w:themeColor="accent3" w:themeShade="BF"/>
          <w:sz w:val="22"/>
          <w:szCs w:val="22"/>
          <w:lang w:val="en-GB"/>
        </w:rPr>
        <w:t xml:space="preserve">Other suppliers </w:t>
      </w:r>
    </w:p>
    <w:p w14:paraId="2E92BE25" w14:textId="774BBBD7" w:rsidR="00197F24" w:rsidRPr="00787814" w:rsidRDefault="00787814" w:rsidP="0078781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Section 233 B </w:t>
      </w:r>
      <w:r w:rsidR="00EE25FB">
        <w:rPr>
          <w:rFonts w:ascii="Avenir Next" w:hAnsi="Avenir Next" w:cs="Arial"/>
          <w:color w:val="7B7B7B" w:themeColor="accent3" w:themeShade="BF"/>
          <w:sz w:val="22"/>
          <w:szCs w:val="22"/>
          <w:lang w:val="en-GB"/>
        </w:rPr>
        <w:t xml:space="preserve">of the Insolvency Act </w:t>
      </w:r>
      <w:r w:rsidR="00E45FD7">
        <w:rPr>
          <w:rFonts w:ascii="Avenir Next" w:hAnsi="Avenir Next" w:cs="Arial"/>
          <w:color w:val="7B7B7B" w:themeColor="accent3" w:themeShade="BF"/>
          <w:sz w:val="22"/>
          <w:szCs w:val="22"/>
          <w:lang w:val="en-GB"/>
        </w:rPr>
        <w:t xml:space="preserve">removes </w:t>
      </w:r>
      <w:r w:rsidR="00EE25FB">
        <w:rPr>
          <w:rFonts w:ascii="Avenir Next" w:hAnsi="Avenir Next" w:cs="Arial"/>
          <w:color w:val="7B7B7B" w:themeColor="accent3" w:themeShade="BF"/>
          <w:sz w:val="22"/>
          <w:szCs w:val="22"/>
          <w:lang w:val="en-GB"/>
        </w:rPr>
        <w:t>the restrictions on termination</w:t>
      </w:r>
      <w:r w:rsidR="00E45FD7">
        <w:rPr>
          <w:rFonts w:ascii="Avenir Next" w:hAnsi="Avenir Next" w:cs="Arial"/>
          <w:color w:val="7B7B7B" w:themeColor="accent3" w:themeShade="BF"/>
          <w:sz w:val="22"/>
          <w:szCs w:val="22"/>
          <w:lang w:val="en-GB"/>
        </w:rPr>
        <w:t xml:space="preserve"> to all other suppliers (with a limited number of exceptions which include insurers, banks, electronic money institutions, clearing houses and recognised investment exchanges; securitisation companies; and overseas companies with corresponding functions. </w:t>
      </w:r>
      <w:r w:rsidR="00EE25FB">
        <w:rPr>
          <w:rFonts w:ascii="Avenir Next" w:hAnsi="Avenir Next" w:cs="Arial"/>
          <w:color w:val="7B7B7B" w:themeColor="accent3" w:themeShade="BF"/>
          <w:sz w:val="22"/>
          <w:szCs w:val="22"/>
          <w:lang w:val="en-GB"/>
        </w:rPr>
        <w:t xml:space="preserve"> </w:t>
      </w:r>
      <w:r w:rsidR="00197F24" w:rsidRPr="00787814">
        <w:rPr>
          <w:rFonts w:ascii="Avenir Next" w:hAnsi="Avenir Next" w:cs="Arial"/>
          <w:color w:val="7B7B7B" w:themeColor="accent3" w:themeShade="BF"/>
          <w:sz w:val="22"/>
          <w:szCs w:val="22"/>
          <w:lang w:val="en-GB"/>
        </w:rPr>
        <w:t>]</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4C68049A" w14:textId="77777777" w:rsidR="00C42E50" w:rsidRDefault="004E6251" w:rsidP="00197F24">
      <w:pPr>
        <w:jc w:val="both"/>
        <w:rPr>
          <w:rFonts w:ascii="Avenir Next" w:hAnsi="Avenir Next" w:cs="Arial"/>
          <w:b/>
          <w:bCs/>
          <w:color w:val="7B7B7B" w:themeColor="accent3" w:themeShade="BF"/>
          <w:sz w:val="22"/>
          <w:szCs w:val="22"/>
          <w:lang w:val="en-GB"/>
        </w:rPr>
      </w:pPr>
      <w:r w:rsidRPr="00C42E50">
        <w:rPr>
          <w:rFonts w:ascii="Avenir Next" w:hAnsi="Avenir Next" w:cs="Arial"/>
          <w:b/>
          <w:bCs/>
          <w:color w:val="7B7B7B" w:themeColor="accent3" w:themeShade="BF"/>
          <w:sz w:val="22"/>
          <w:szCs w:val="22"/>
          <w:lang w:val="en-GB"/>
        </w:rPr>
        <w:t>[</w:t>
      </w:r>
      <w:r w:rsidR="00C42E50" w:rsidRPr="00C42E50">
        <w:rPr>
          <w:rFonts w:ascii="Avenir Next" w:hAnsi="Avenir Next" w:cs="Arial"/>
          <w:b/>
          <w:bCs/>
          <w:color w:val="7B7B7B" w:themeColor="accent3" w:themeShade="BF"/>
          <w:sz w:val="22"/>
          <w:szCs w:val="22"/>
          <w:lang w:val="en-GB"/>
        </w:rPr>
        <w:t>A.</w:t>
      </w:r>
      <w:r w:rsidR="00C42E50">
        <w:rPr>
          <w:rFonts w:ascii="Avenir Next" w:hAnsi="Avenir Next" w:cs="Arial"/>
          <w:b/>
          <w:bCs/>
          <w:color w:val="7B7B7B" w:themeColor="accent3" w:themeShade="BF"/>
          <w:sz w:val="22"/>
          <w:szCs w:val="22"/>
          <w:lang w:val="en-GB"/>
        </w:rPr>
        <w:t xml:space="preserve"> The order of priority of payments </w:t>
      </w:r>
    </w:p>
    <w:p w14:paraId="13AE6F0B" w14:textId="77777777" w:rsidR="00C42E50" w:rsidRDefault="00C42E50" w:rsidP="00197F24">
      <w:pPr>
        <w:jc w:val="both"/>
        <w:rPr>
          <w:rFonts w:ascii="Avenir Next" w:hAnsi="Avenir Next" w:cs="Arial"/>
          <w:b/>
          <w:bCs/>
          <w:color w:val="7B7B7B" w:themeColor="accent3" w:themeShade="BF"/>
          <w:sz w:val="22"/>
          <w:szCs w:val="22"/>
          <w:lang w:val="en-GB"/>
        </w:rPr>
      </w:pPr>
    </w:p>
    <w:p w14:paraId="60B6B07F" w14:textId="4D85738B" w:rsidR="00777989" w:rsidRDefault="00C42E50"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r w:rsidR="00777989">
        <w:rPr>
          <w:rFonts w:ascii="Avenir Next" w:hAnsi="Avenir Next" w:cs="Arial"/>
          <w:color w:val="7B7B7B" w:themeColor="accent3" w:themeShade="BF"/>
          <w:sz w:val="22"/>
          <w:szCs w:val="22"/>
          <w:lang w:val="en-GB"/>
        </w:rPr>
        <w:t>As a general note, a liquidator may only realise assets w</w:t>
      </w:r>
      <w:r w:rsidR="00750172">
        <w:rPr>
          <w:rFonts w:ascii="Avenir Next" w:hAnsi="Avenir Next" w:cs="Arial"/>
          <w:color w:val="7B7B7B" w:themeColor="accent3" w:themeShade="BF"/>
          <w:sz w:val="22"/>
          <w:szCs w:val="22"/>
          <w:lang w:val="en-GB"/>
        </w:rPr>
        <w:t>hich</w:t>
      </w:r>
      <w:r w:rsidR="00777989">
        <w:rPr>
          <w:rFonts w:ascii="Avenir Next" w:hAnsi="Avenir Next" w:cs="Arial"/>
          <w:color w:val="7B7B7B" w:themeColor="accent3" w:themeShade="BF"/>
          <w:sz w:val="22"/>
          <w:szCs w:val="22"/>
          <w:lang w:val="en-GB"/>
        </w:rPr>
        <w:t xml:space="preserve"> belong to the company.  If debts have been assigned or assets are subject to hire purchase or retention of title contracts, the liquidator will have no right to those assets.  The priority of payment is as follows: </w:t>
      </w:r>
    </w:p>
    <w:p w14:paraId="3C226A91" w14:textId="77777777" w:rsidR="00777989" w:rsidRPr="00777989" w:rsidRDefault="00777989" w:rsidP="00777989">
      <w:pPr>
        <w:pStyle w:val="ListParagraph"/>
        <w:numPr>
          <w:ilvl w:val="0"/>
          <w:numId w:val="23"/>
        </w:numPr>
        <w:jc w:val="both"/>
        <w:rPr>
          <w:rFonts w:ascii="Avenir Next" w:hAnsi="Avenir Next" w:cs="Arial"/>
          <w:b/>
          <w:bCs/>
          <w:color w:val="7B7B7B" w:themeColor="accent3" w:themeShade="BF"/>
          <w:sz w:val="22"/>
          <w:szCs w:val="22"/>
          <w:lang w:val="en-GB"/>
        </w:rPr>
      </w:pPr>
      <w:r w:rsidRPr="00777989">
        <w:rPr>
          <w:rFonts w:ascii="Avenir Next" w:hAnsi="Avenir Next" w:cs="Arial"/>
          <w:b/>
          <w:bCs/>
          <w:color w:val="7B7B7B" w:themeColor="accent3" w:themeShade="BF"/>
          <w:sz w:val="22"/>
          <w:szCs w:val="22"/>
          <w:lang w:val="en-GB"/>
        </w:rPr>
        <w:t>Expenses of winding up, including the liquidator’s remuneration (section of the Insolvency Act):</w:t>
      </w:r>
    </w:p>
    <w:p w14:paraId="23C54CB3" w14:textId="77777777" w:rsidR="00777989" w:rsidRDefault="00777989" w:rsidP="0077798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Expenses that are properly incurred by the liquidator in preserving, realising or getting in any of the assets of the company (including the conduct of the legal proceedings)</w:t>
      </w:r>
    </w:p>
    <w:p w14:paraId="79769C1C" w14:textId="77777777" w:rsidR="00777989" w:rsidRDefault="00777989" w:rsidP="0077798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costs of any security provided by the liquidator</w:t>
      </w:r>
    </w:p>
    <w:p w14:paraId="7DB9C863" w14:textId="77777777" w:rsidR="00777989" w:rsidRDefault="00777989" w:rsidP="0077798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amount payable to a person to assist in the preparation of a statement of affairs or accounts</w:t>
      </w:r>
    </w:p>
    <w:p w14:paraId="5A553D8E" w14:textId="77777777" w:rsidR="00777989" w:rsidRDefault="00777989" w:rsidP="0077798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necessary disbursements by the liquidator in the course of the winding up</w:t>
      </w:r>
    </w:p>
    <w:p w14:paraId="1F339170" w14:textId="77777777" w:rsidR="00777989" w:rsidRDefault="00777989" w:rsidP="0077798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remuneration of any person who has been employed by the liquidator to perform any services for the company </w:t>
      </w:r>
    </w:p>
    <w:p w14:paraId="188E7166" w14:textId="77777777" w:rsidR="00777989" w:rsidRDefault="00777989" w:rsidP="0077798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remuneration of the liquidator </w:t>
      </w:r>
    </w:p>
    <w:p w14:paraId="29537B41" w14:textId="77777777" w:rsidR="00777989" w:rsidRDefault="00777989" w:rsidP="0077798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amount of any corporation tax on chargeable gains accruing on the realisation of any assets of the company and </w:t>
      </w:r>
    </w:p>
    <w:p w14:paraId="4B381448" w14:textId="77777777" w:rsidR="00777989" w:rsidRDefault="00777989" w:rsidP="00777989">
      <w:pPr>
        <w:pStyle w:val="ListParagraph"/>
        <w:numPr>
          <w:ilvl w:val="0"/>
          <w:numId w:val="2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other expenses properly chargeable by the liquidator in carrying out the liquidator’s functions in the winding up.</w:t>
      </w:r>
    </w:p>
    <w:p w14:paraId="358E9B26" w14:textId="77777777" w:rsidR="000B11C7" w:rsidRDefault="000B11C7" w:rsidP="000B11C7">
      <w:pPr>
        <w:pStyle w:val="ListParagraph"/>
        <w:ind w:left="1335"/>
        <w:jc w:val="both"/>
        <w:rPr>
          <w:rFonts w:ascii="Avenir Next" w:hAnsi="Avenir Next" w:cs="Arial"/>
          <w:color w:val="7B7B7B" w:themeColor="accent3" w:themeShade="BF"/>
          <w:sz w:val="22"/>
          <w:szCs w:val="22"/>
          <w:lang w:val="en-GB"/>
        </w:rPr>
      </w:pPr>
    </w:p>
    <w:p w14:paraId="71DF82CB" w14:textId="2EFBCB75" w:rsidR="00605CDA" w:rsidRDefault="000B11C7" w:rsidP="00605CDA">
      <w:pPr>
        <w:jc w:val="both"/>
        <w:rPr>
          <w:rFonts w:ascii="Avenir Next" w:hAnsi="Avenir Next" w:cs="Arial"/>
          <w:i/>
          <w:iCs/>
          <w:color w:val="7B7B7B" w:themeColor="accent3" w:themeShade="BF"/>
          <w:sz w:val="22"/>
          <w:szCs w:val="22"/>
          <w:lang w:val="en-GB"/>
        </w:rPr>
      </w:pPr>
      <w:r w:rsidRPr="000B11C7">
        <w:rPr>
          <w:rFonts w:ascii="Avenir Next" w:hAnsi="Avenir Next" w:cs="Arial"/>
          <w:i/>
          <w:iCs/>
          <w:color w:val="7B7B7B" w:themeColor="accent3" w:themeShade="BF"/>
          <w:sz w:val="22"/>
          <w:szCs w:val="22"/>
          <w:lang w:val="en-GB"/>
        </w:rPr>
        <w:t>R</w:t>
      </w:r>
      <w:r>
        <w:rPr>
          <w:rFonts w:ascii="Avenir Next" w:hAnsi="Avenir Next" w:cs="Arial"/>
          <w:i/>
          <w:iCs/>
          <w:color w:val="7B7B7B" w:themeColor="accent3" w:themeShade="BF"/>
          <w:sz w:val="22"/>
          <w:szCs w:val="22"/>
          <w:lang w:val="en-GB"/>
        </w:rPr>
        <w:t xml:space="preserve">ights/Obligations </w:t>
      </w:r>
    </w:p>
    <w:p w14:paraId="2C6C17CC" w14:textId="77777777" w:rsidR="000B11C7" w:rsidRDefault="000B11C7" w:rsidP="00605CDA">
      <w:pPr>
        <w:jc w:val="both"/>
        <w:rPr>
          <w:rFonts w:ascii="Avenir Next" w:hAnsi="Avenir Next" w:cs="Arial"/>
          <w:color w:val="7B7B7B" w:themeColor="accent3" w:themeShade="BF"/>
          <w:sz w:val="22"/>
          <w:szCs w:val="22"/>
          <w:lang w:val="en-GB"/>
        </w:rPr>
      </w:pPr>
    </w:p>
    <w:p w14:paraId="3DD581F3" w14:textId="263DD3AB" w:rsidR="000B11C7" w:rsidRPr="000B11C7" w:rsidRDefault="000B11C7" w:rsidP="00605CD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cannot prioritise the payment of its own remuneration over the expenses listed under 1(a) – 1(3) of the list below. </w:t>
      </w:r>
    </w:p>
    <w:p w14:paraId="15F54FE4" w14:textId="77777777" w:rsidR="00605CDA" w:rsidRPr="00605CDA" w:rsidRDefault="00605CDA" w:rsidP="00605CDA">
      <w:pPr>
        <w:jc w:val="both"/>
        <w:rPr>
          <w:rFonts w:ascii="Avenir Next" w:hAnsi="Avenir Next" w:cs="Arial"/>
          <w:color w:val="7B7B7B" w:themeColor="accent3" w:themeShade="BF"/>
          <w:sz w:val="22"/>
          <w:szCs w:val="22"/>
          <w:lang w:val="en-GB"/>
        </w:rPr>
      </w:pPr>
    </w:p>
    <w:p w14:paraId="54845424" w14:textId="7A1AC4B2" w:rsidR="00777989" w:rsidRDefault="00777989" w:rsidP="00ED1C69">
      <w:pPr>
        <w:pStyle w:val="ListParagraph"/>
        <w:numPr>
          <w:ilvl w:val="0"/>
          <w:numId w:val="23"/>
        </w:numPr>
        <w:jc w:val="both"/>
        <w:rPr>
          <w:rFonts w:ascii="Avenir Next" w:hAnsi="Avenir Next" w:cs="Arial"/>
          <w:color w:val="7B7B7B" w:themeColor="accent3" w:themeShade="BF"/>
          <w:sz w:val="22"/>
          <w:szCs w:val="22"/>
          <w:lang w:val="en-GB"/>
        </w:rPr>
      </w:pPr>
      <w:r w:rsidRPr="00777989">
        <w:rPr>
          <w:rFonts w:ascii="Avenir Next" w:hAnsi="Avenir Next" w:cs="Arial"/>
          <w:b/>
          <w:bCs/>
          <w:color w:val="7B7B7B" w:themeColor="accent3" w:themeShade="BF"/>
          <w:sz w:val="22"/>
          <w:szCs w:val="22"/>
          <w:lang w:val="en-GB"/>
        </w:rPr>
        <w:t xml:space="preserve">Preferential creditors, </w:t>
      </w:r>
      <w:r w:rsidRPr="00ED1C69">
        <w:rPr>
          <w:rFonts w:ascii="Avenir Next" w:hAnsi="Avenir Next" w:cs="Arial"/>
          <w:color w:val="7B7B7B" w:themeColor="accent3" w:themeShade="BF"/>
          <w:sz w:val="22"/>
          <w:szCs w:val="22"/>
          <w:lang w:val="en-GB"/>
        </w:rPr>
        <w:t>as defined in sections 386, 387 and Schedule 6, which include</w:t>
      </w:r>
      <w:r w:rsidR="00ED1C69">
        <w:rPr>
          <w:rFonts w:ascii="Avenir Next" w:hAnsi="Avenir Next" w:cs="Arial"/>
          <w:b/>
          <w:bCs/>
          <w:color w:val="7B7B7B" w:themeColor="accent3" w:themeShade="BF"/>
          <w:sz w:val="22"/>
          <w:szCs w:val="22"/>
          <w:lang w:val="en-GB"/>
        </w:rPr>
        <w:t xml:space="preserve"> </w:t>
      </w:r>
      <w:r w:rsidR="00ED1C69">
        <w:rPr>
          <w:rFonts w:ascii="Avenir Next" w:hAnsi="Avenir Next" w:cs="Arial"/>
          <w:color w:val="7B7B7B" w:themeColor="accent3" w:themeShade="BF"/>
          <w:sz w:val="22"/>
          <w:szCs w:val="22"/>
          <w:lang w:val="en-GB"/>
        </w:rPr>
        <w:t>l</w:t>
      </w:r>
      <w:r w:rsidRPr="00ED1C69">
        <w:rPr>
          <w:rFonts w:ascii="Avenir Next" w:hAnsi="Avenir Next" w:cs="Arial"/>
          <w:color w:val="7B7B7B" w:themeColor="accent3" w:themeShade="BF"/>
          <w:sz w:val="22"/>
          <w:szCs w:val="22"/>
          <w:lang w:val="en-GB"/>
        </w:rPr>
        <w:t>imited claims of employees</w:t>
      </w:r>
      <w:r w:rsidR="00ED1C69">
        <w:rPr>
          <w:rFonts w:ascii="Avenir Next" w:hAnsi="Avenir Next" w:cs="Arial"/>
          <w:color w:val="7B7B7B" w:themeColor="accent3" w:themeShade="BF"/>
          <w:sz w:val="22"/>
          <w:szCs w:val="22"/>
          <w:lang w:val="en-GB"/>
        </w:rPr>
        <w:t xml:space="preserve"> and some taxation liabilities and some taxation liabilities, among others.  There are two classes of preferential debts: ordinary and secondary.  Preferential debts, in their respective classes, rank equally amongst themselves and so abate in equal proportion if the company’s assets are insufficient to pay them all. Schedule 6 of the Insolvency Act contains a list of preferential debt</w:t>
      </w:r>
      <w:r w:rsidR="00F5678C">
        <w:rPr>
          <w:rFonts w:ascii="Avenir Next" w:hAnsi="Avenir Next" w:cs="Arial"/>
          <w:color w:val="7B7B7B" w:themeColor="accent3" w:themeShade="BF"/>
          <w:sz w:val="22"/>
          <w:szCs w:val="22"/>
          <w:lang w:val="en-GB"/>
        </w:rPr>
        <w:t>s. The “</w:t>
      </w:r>
      <w:r w:rsidR="00F5678C" w:rsidRPr="00C73F56">
        <w:rPr>
          <w:rFonts w:ascii="Avenir Next" w:hAnsi="Avenir Next" w:cs="Arial"/>
          <w:b/>
          <w:bCs/>
          <w:color w:val="7B7B7B" w:themeColor="accent3" w:themeShade="BF"/>
          <w:sz w:val="22"/>
          <w:szCs w:val="22"/>
          <w:lang w:val="en-GB"/>
        </w:rPr>
        <w:t>ordinary” preferential debts</w:t>
      </w:r>
      <w:r w:rsidR="00F5678C">
        <w:rPr>
          <w:rFonts w:ascii="Avenir Next" w:hAnsi="Avenir Next" w:cs="Arial"/>
          <w:color w:val="7B7B7B" w:themeColor="accent3" w:themeShade="BF"/>
          <w:sz w:val="22"/>
          <w:szCs w:val="22"/>
          <w:lang w:val="en-GB"/>
        </w:rPr>
        <w:t xml:space="preserve"> </w:t>
      </w:r>
      <w:r w:rsidR="00ED1C69">
        <w:rPr>
          <w:rFonts w:ascii="Avenir Next" w:hAnsi="Avenir Next" w:cs="Arial"/>
          <w:color w:val="7B7B7B" w:themeColor="accent3" w:themeShade="BF"/>
          <w:sz w:val="22"/>
          <w:szCs w:val="22"/>
          <w:lang w:val="en-GB"/>
        </w:rPr>
        <w:t xml:space="preserve">include, in particular, the following categories: </w:t>
      </w:r>
    </w:p>
    <w:p w14:paraId="73C83F7E" w14:textId="51E2250A" w:rsidR="00ED1C69" w:rsidRDefault="00ED1C69" w:rsidP="00ED1C6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sum owed on account on an employee’s contribution to an occupational pension scheme</w:t>
      </w:r>
    </w:p>
    <w:p w14:paraId="6EACF01F" w14:textId="2BB239AE" w:rsidR="00ED1C69" w:rsidRDefault="00ED1C69" w:rsidP="00ED1C6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Remuneration owed by the company to a person who is or has been an employee of the debtor </w:t>
      </w:r>
    </w:p>
    <w:p w14:paraId="2587CAE2" w14:textId="196BBBC4" w:rsidR="00ED1C69" w:rsidRDefault="00ED1C69" w:rsidP="00ED1C6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Claims for monies advanced to pay wages or holiday remuneration </w:t>
      </w:r>
    </w:p>
    <w:p w14:paraId="3EABA042" w14:textId="38B52388" w:rsidR="00ED1C69" w:rsidRDefault="00ED1C69" w:rsidP="00ED1C69">
      <w:pPr>
        <w:pStyle w:val="ListParagraph"/>
        <w:numPr>
          <w:ilvl w:val="0"/>
          <w:numId w:val="2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Levies on the production of coal and steel referred to in articles 49-to of the European Coal and Steel Community Treaty </w:t>
      </w:r>
      <w:r w:rsidR="00F5678C">
        <w:rPr>
          <w:rFonts w:ascii="Avenir Next" w:hAnsi="Avenir Next" w:cs="Arial"/>
          <w:color w:val="7B7B7B" w:themeColor="accent3" w:themeShade="BF"/>
          <w:sz w:val="22"/>
          <w:szCs w:val="22"/>
          <w:lang w:val="en-GB"/>
        </w:rPr>
        <w:t>etc.</w:t>
      </w:r>
    </w:p>
    <w:p w14:paraId="44251F1C" w14:textId="503C654A" w:rsidR="00F5678C" w:rsidRDefault="00F5678C" w:rsidP="00F5678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The examples of </w:t>
      </w:r>
      <w:r w:rsidRPr="00C73F56">
        <w:rPr>
          <w:rFonts w:ascii="Avenir Next" w:hAnsi="Avenir Next" w:cs="Arial"/>
          <w:b/>
          <w:bCs/>
          <w:color w:val="7B7B7B" w:themeColor="accent3" w:themeShade="BF"/>
          <w:sz w:val="22"/>
          <w:szCs w:val="22"/>
          <w:lang w:val="en-GB"/>
        </w:rPr>
        <w:t>secondary preferential debts</w:t>
      </w:r>
      <w:r>
        <w:rPr>
          <w:rFonts w:ascii="Avenir Next" w:hAnsi="Avenir Next" w:cs="Arial"/>
          <w:color w:val="7B7B7B" w:themeColor="accent3" w:themeShade="BF"/>
          <w:sz w:val="22"/>
          <w:szCs w:val="22"/>
          <w:lang w:val="en-GB"/>
        </w:rPr>
        <w:t xml:space="preserve"> include, in particular, (i) amounts owed by the company to one or more eligible persons in respect of a deposit that was made through a non-UK branch of a credit institution authorised by the competent authority in the UK and would have been an eligible deposit if it had been made through a UK branch if that credit institution; (ii) PAYE income </w:t>
      </w:r>
      <w:r>
        <w:rPr>
          <w:rFonts w:ascii="Avenir Next" w:hAnsi="Avenir Next" w:cs="Arial"/>
          <w:color w:val="7B7B7B" w:themeColor="accent3" w:themeShade="BF"/>
          <w:sz w:val="22"/>
          <w:szCs w:val="22"/>
          <w:lang w:val="en-GB"/>
        </w:rPr>
        <w:lastRenderedPageBreak/>
        <w:t xml:space="preserve">tax deductions, national insurance deductions, VAT payment, Construction Industry Scheme deductions and student loan repayments etc. </w:t>
      </w:r>
    </w:p>
    <w:p w14:paraId="78837B5E" w14:textId="77777777" w:rsidR="00BC4C8D" w:rsidRDefault="00BC4C8D" w:rsidP="00F5678C">
      <w:pPr>
        <w:jc w:val="both"/>
        <w:rPr>
          <w:rFonts w:ascii="Avenir Next" w:hAnsi="Avenir Next" w:cs="Arial"/>
          <w:color w:val="7B7B7B" w:themeColor="accent3" w:themeShade="BF"/>
          <w:sz w:val="22"/>
          <w:szCs w:val="22"/>
          <w:lang w:val="en-GB"/>
        </w:rPr>
      </w:pPr>
    </w:p>
    <w:p w14:paraId="6F6DDD5F" w14:textId="0849F400" w:rsidR="00BC4C8D" w:rsidRPr="00BC4C8D" w:rsidRDefault="00BC4C8D" w:rsidP="00F5678C">
      <w:pPr>
        <w:jc w:val="both"/>
        <w:rPr>
          <w:rFonts w:ascii="Avenir Next" w:hAnsi="Avenir Next" w:cs="Arial"/>
          <w:i/>
          <w:iCs/>
          <w:color w:val="7B7B7B" w:themeColor="accent3" w:themeShade="BF"/>
          <w:sz w:val="22"/>
          <w:szCs w:val="22"/>
          <w:lang w:val="en-GB"/>
        </w:rPr>
      </w:pPr>
      <w:r w:rsidRPr="00BC4C8D">
        <w:rPr>
          <w:rFonts w:ascii="Avenir Next" w:hAnsi="Avenir Next" w:cs="Arial"/>
          <w:i/>
          <w:iCs/>
          <w:color w:val="7B7B7B" w:themeColor="accent3" w:themeShade="BF"/>
          <w:sz w:val="22"/>
          <w:szCs w:val="22"/>
          <w:lang w:val="en-GB"/>
        </w:rPr>
        <w:t>Rights</w:t>
      </w:r>
    </w:p>
    <w:p w14:paraId="70E18E9A" w14:textId="77777777" w:rsidR="00F5678C" w:rsidRDefault="00F5678C" w:rsidP="00F5678C">
      <w:pPr>
        <w:jc w:val="both"/>
        <w:rPr>
          <w:rFonts w:ascii="Avenir Next" w:hAnsi="Avenir Next" w:cs="Arial"/>
          <w:color w:val="7B7B7B" w:themeColor="accent3" w:themeShade="BF"/>
          <w:sz w:val="22"/>
          <w:szCs w:val="22"/>
          <w:lang w:val="en-GB"/>
        </w:rPr>
      </w:pPr>
    </w:p>
    <w:p w14:paraId="6A6807C9" w14:textId="158B5FE9" w:rsidR="00E30EC9" w:rsidRDefault="00957E76" w:rsidP="00F5678C">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payments to the employees of the company in liquidation has been given some priority. In most insolvencie</w:t>
      </w:r>
      <w:r w:rsidR="00A576CC">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s the statutory protection afforded to employees under the Employment Rights Act 1996 provides a much more extensive protection to employees. </w:t>
      </w:r>
    </w:p>
    <w:p w14:paraId="35D1EF21" w14:textId="77777777" w:rsidR="00E30EC9" w:rsidRDefault="00E30EC9" w:rsidP="00F5678C">
      <w:pPr>
        <w:jc w:val="both"/>
        <w:rPr>
          <w:rFonts w:ascii="Avenir Next" w:hAnsi="Avenir Next" w:cs="Arial"/>
          <w:color w:val="7B7B7B" w:themeColor="accent3" w:themeShade="BF"/>
          <w:sz w:val="22"/>
          <w:szCs w:val="22"/>
          <w:lang w:val="en-GB"/>
        </w:rPr>
      </w:pPr>
    </w:p>
    <w:p w14:paraId="68A1A1BE" w14:textId="4B4AFF75" w:rsidR="00F5678C" w:rsidRDefault="00F5678C" w:rsidP="00F5678C">
      <w:pPr>
        <w:pStyle w:val="ListParagraph"/>
        <w:numPr>
          <w:ilvl w:val="0"/>
          <w:numId w:val="23"/>
        </w:numPr>
        <w:jc w:val="both"/>
        <w:rPr>
          <w:rFonts w:ascii="Avenir Next" w:hAnsi="Avenir Next" w:cs="Arial"/>
          <w:b/>
          <w:bCs/>
          <w:color w:val="7B7B7B" w:themeColor="accent3" w:themeShade="BF"/>
          <w:sz w:val="22"/>
          <w:szCs w:val="22"/>
          <w:lang w:val="en-GB"/>
        </w:rPr>
      </w:pPr>
      <w:r w:rsidRPr="0088489C">
        <w:rPr>
          <w:rFonts w:ascii="Avenir Next" w:hAnsi="Avenir Next" w:cs="Arial"/>
          <w:b/>
          <w:bCs/>
          <w:color w:val="7B7B7B" w:themeColor="accent3" w:themeShade="BF"/>
          <w:sz w:val="22"/>
          <w:szCs w:val="22"/>
          <w:lang w:val="en-GB"/>
        </w:rPr>
        <w:t>Floating charge holder and “the prescribed part”</w:t>
      </w:r>
    </w:p>
    <w:p w14:paraId="0D1ABF62" w14:textId="77777777" w:rsidR="008B6A18" w:rsidRDefault="008B6A18" w:rsidP="008B6A18">
      <w:pPr>
        <w:pStyle w:val="ListParagraph"/>
        <w:jc w:val="both"/>
        <w:rPr>
          <w:rFonts w:ascii="Avenir Next" w:hAnsi="Avenir Next" w:cs="Arial"/>
          <w:b/>
          <w:bCs/>
          <w:color w:val="7B7B7B" w:themeColor="accent3" w:themeShade="BF"/>
          <w:sz w:val="22"/>
          <w:szCs w:val="22"/>
          <w:lang w:val="en-GB"/>
        </w:rPr>
      </w:pPr>
    </w:p>
    <w:p w14:paraId="4D4B3108" w14:textId="648791FC" w:rsidR="0095058A" w:rsidRPr="0095058A" w:rsidRDefault="0095058A" w:rsidP="0095058A">
      <w:pPr>
        <w:pStyle w:val="ListParagraph"/>
        <w:jc w:val="both"/>
        <w:rPr>
          <w:rFonts w:ascii="Avenir Next" w:hAnsi="Avenir Next" w:cs="Arial"/>
          <w:i/>
          <w:iCs/>
          <w:color w:val="7B7B7B" w:themeColor="accent3" w:themeShade="BF"/>
          <w:sz w:val="22"/>
          <w:szCs w:val="22"/>
          <w:lang w:val="en-GB"/>
        </w:rPr>
      </w:pPr>
      <w:r w:rsidRPr="0095058A">
        <w:rPr>
          <w:rFonts w:ascii="Avenir Next" w:hAnsi="Avenir Next" w:cs="Arial"/>
          <w:i/>
          <w:iCs/>
          <w:color w:val="7B7B7B" w:themeColor="accent3" w:themeShade="BF"/>
          <w:sz w:val="22"/>
          <w:szCs w:val="22"/>
          <w:lang w:val="en-GB"/>
        </w:rPr>
        <w:t xml:space="preserve">Floating Charge </w:t>
      </w:r>
    </w:p>
    <w:p w14:paraId="33A3A5A1" w14:textId="26EF0283" w:rsidR="0095058A" w:rsidRDefault="0088489C" w:rsidP="008B6A18">
      <w:pPr>
        <w:pStyle w:val="ListParagraph"/>
        <w:ind w:left="709"/>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there </w:t>
      </w:r>
      <w:r w:rsidR="00BD5EEE">
        <w:rPr>
          <w:rFonts w:ascii="Avenir Next" w:hAnsi="Avenir Next" w:cs="Arial"/>
          <w:color w:val="7B7B7B" w:themeColor="accent3" w:themeShade="BF"/>
          <w:sz w:val="22"/>
          <w:szCs w:val="22"/>
          <w:lang w:val="en-GB"/>
        </w:rPr>
        <w:t>is</w:t>
      </w:r>
      <w:r>
        <w:rPr>
          <w:rFonts w:ascii="Avenir Next" w:hAnsi="Avenir Next" w:cs="Arial"/>
          <w:color w:val="7B7B7B" w:themeColor="accent3" w:themeShade="BF"/>
          <w:sz w:val="22"/>
          <w:szCs w:val="22"/>
          <w:lang w:val="en-GB"/>
        </w:rPr>
        <w:t xml:space="preserve"> more than one floating charge holder, priority between them usually turns upon which floating charge was created first. </w:t>
      </w:r>
      <w:r w:rsidR="0095058A">
        <w:rPr>
          <w:rFonts w:ascii="Avenir Next" w:hAnsi="Avenir Next" w:cs="Arial"/>
          <w:color w:val="7B7B7B" w:themeColor="accent3" w:themeShade="BF"/>
          <w:sz w:val="22"/>
          <w:szCs w:val="22"/>
          <w:lang w:val="en-GB"/>
        </w:rPr>
        <w:t xml:space="preserve"> </w:t>
      </w:r>
    </w:p>
    <w:p w14:paraId="4A0D2467" w14:textId="77777777" w:rsidR="008B6A18" w:rsidRDefault="008B6A18" w:rsidP="00777989">
      <w:pPr>
        <w:pStyle w:val="ListParagraph"/>
        <w:ind w:left="1491"/>
        <w:jc w:val="both"/>
        <w:rPr>
          <w:rFonts w:ascii="Avenir Next" w:hAnsi="Avenir Next" w:cs="Arial"/>
          <w:color w:val="7B7B7B" w:themeColor="accent3" w:themeShade="BF"/>
          <w:sz w:val="22"/>
          <w:szCs w:val="22"/>
          <w:lang w:val="en-GB"/>
        </w:rPr>
      </w:pPr>
    </w:p>
    <w:p w14:paraId="69FABDD1" w14:textId="5D741E20" w:rsidR="0095058A" w:rsidRPr="0095058A" w:rsidRDefault="0095058A" w:rsidP="0095058A">
      <w:pPr>
        <w:pStyle w:val="ListParagraph"/>
        <w:ind w:left="851" w:hanging="142"/>
        <w:jc w:val="both"/>
        <w:rPr>
          <w:rFonts w:ascii="Avenir Next" w:hAnsi="Avenir Next" w:cs="Arial"/>
          <w:i/>
          <w:iCs/>
          <w:color w:val="7B7B7B" w:themeColor="accent3" w:themeShade="BF"/>
          <w:sz w:val="22"/>
          <w:szCs w:val="22"/>
          <w:lang w:val="en-GB"/>
        </w:rPr>
      </w:pPr>
      <w:r w:rsidRPr="0095058A">
        <w:rPr>
          <w:rFonts w:ascii="Avenir Next" w:hAnsi="Avenir Next" w:cs="Arial"/>
          <w:i/>
          <w:iCs/>
          <w:color w:val="7B7B7B" w:themeColor="accent3" w:themeShade="BF"/>
          <w:sz w:val="22"/>
          <w:szCs w:val="22"/>
          <w:lang w:val="en-GB"/>
        </w:rPr>
        <w:t xml:space="preserve">Prescribed Part </w:t>
      </w:r>
    </w:p>
    <w:p w14:paraId="1C2EC296" w14:textId="77777777" w:rsidR="00E76577" w:rsidRDefault="0095058A" w:rsidP="0095058A">
      <w:pPr>
        <w:pStyle w:val="ListParagraph"/>
        <w:ind w:left="709"/>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Before any payment can be made to a floating charge holder, the liquidator must first consider the application of section 176A of the Insolvency Act which applies to a company with a floating charge created on or after 15 September 2003 and the company has gone into liquidation. The liquidator</w:t>
      </w:r>
      <w:r w:rsidR="007D4798">
        <w:rPr>
          <w:rFonts w:ascii="Avenir Next" w:hAnsi="Avenir Next" w:cs="Arial"/>
          <w:color w:val="7B7B7B" w:themeColor="accent3" w:themeShade="BF"/>
          <w:sz w:val="22"/>
          <w:szCs w:val="22"/>
          <w:lang w:val="en-GB"/>
        </w:rPr>
        <w:t xml:space="preserve"> is under duty to make a “prescribed part” of the company’s net property available for the satisfaction of unsecured debts and must distribute any of this prescribed part to a gloating charge holder except insofar as it is in excess of the amount required to satisfy all the unsecured debts. </w:t>
      </w:r>
    </w:p>
    <w:p w14:paraId="456CD4C5" w14:textId="77777777" w:rsidR="008B6A18" w:rsidRDefault="008B6A18" w:rsidP="0095058A">
      <w:pPr>
        <w:pStyle w:val="ListParagraph"/>
        <w:ind w:left="709"/>
        <w:jc w:val="both"/>
        <w:rPr>
          <w:rFonts w:ascii="Avenir Next" w:hAnsi="Avenir Next" w:cs="Arial"/>
          <w:color w:val="7B7B7B" w:themeColor="accent3" w:themeShade="BF"/>
          <w:sz w:val="22"/>
          <w:szCs w:val="22"/>
          <w:lang w:val="en-GB"/>
        </w:rPr>
      </w:pPr>
    </w:p>
    <w:p w14:paraId="135B497C" w14:textId="4A91AF5B" w:rsidR="00E76577" w:rsidRDefault="00D91A66" w:rsidP="0095058A">
      <w:pPr>
        <w:pStyle w:val="ListParagraph"/>
        <w:ind w:left="709"/>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the company’s net property, which is calculated after payment of liquidation expenses and preferential debts, does </w:t>
      </w:r>
      <w:r w:rsidR="006361B7">
        <w:rPr>
          <w:rFonts w:ascii="Avenir Next" w:hAnsi="Avenir Next" w:cs="Arial"/>
          <w:color w:val="7B7B7B" w:themeColor="accent3" w:themeShade="BF"/>
          <w:sz w:val="22"/>
          <w:szCs w:val="22"/>
          <w:lang w:val="en-GB"/>
        </w:rPr>
        <w:t xml:space="preserve">not exceed GBP 10,000, the prescribed part </w:t>
      </w:r>
      <w:r>
        <w:rPr>
          <w:rFonts w:ascii="Avenir Next" w:hAnsi="Avenir Next" w:cs="Arial"/>
          <w:color w:val="7B7B7B" w:themeColor="accent3" w:themeShade="BF"/>
          <w:sz w:val="22"/>
          <w:szCs w:val="22"/>
          <w:lang w:val="en-GB"/>
        </w:rPr>
        <w:t xml:space="preserve"> amounts to</w:t>
      </w:r>
      <w:r w:rsidR="006361B7">
        <w:rPr>
          <w:rFonts w:ascii="Avenir Next" w:hAnsi="Avenir Next" w:cs="Arial"/>
          <w:color w:val="7B7B7B" w:themeColor="accent3" w:themeShade="BF"/>
          <w:sz w:val="22"/>
          <w:szCs w:val="22"/>
          <w:lang w:val="en-GB"/>
        </w:rPr>
        <w:t xml:space="preserve"> 50% of that property</w:t>
      </w:r>
      <w:r>
        <w:rPr>
          <w:rFonts w:ascii="Avenir Next" w:hAnsi="Avenir Next" w:cs="Arial"/>
          <w:color w:val="7B7B7B" w:themeColor="accent3" w:themeShade="BF"/>
          <w:sz w:val="22"/>
          <w:szCs w:val="22"/>
          <w:lang w:val="en-GB"/>
        </w:rPr>
        <w:t xml:space="preserve"> available for satisfying debts of floating charge holders. </w:t>
      </w:r>
      <w:r w:rsidR="006361B7">
        <w:rPr>
          <w:rFonts w:ascii="Avenir Next" w:hAnsi="Avenir Next" w:cs="Arial"/>
          <w:color w:val="7B7B7B" w:themeColor="accent3" w:themeShade="BF"/>
          <w:sz w:val="22"/>
          <w:szCs w:val="22"/>
          <w:lang w:val="en-GB"/>
        </w:rPr>
        <w:t xml:space="preserve"> </w:t>
      </w:r>
    </w:p>
    <w:p w14:paraId="53E65294" w14:textId="77777777" w:rsidR="008B6A18" w:rsidRDefault="008B6A18" w:rsidP="0095058A">
      <w:pPr>
        <w:pStyle w:val="ListParagraph"/>
        <w:ind w:left="709"/>
        <w:jc w:val="both"/>
        <w:rPr>
          <w:rFonts w:ascii="Avenir Next" w:hAnsi="Avenir Next" w:cs="Arial"/>
          <w:color w:val="7B7B7B" w:themeColor="accent3" w:themeShade="BF"/>
          <w:sz w:val="22"/>
          <w:szCs w:val="22"/>
          <w:lang w:val="en-GB"/>
        </w:rPr>
      </w:pPr>
    </w:p>
    <w:p w14:paraId="50DD45DE" w14:textId="2E5E1C5D" w:rsidR="00891C91" w:rsidRDefault="006361B7" w:rsidP="0095058A">
      <w:pPr>
        <w:pStyle w:val="ListParagraph"/>
        <w:ind w:left="709"/>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When the property is less than the “prescribed minimum” of GBP 10,000 and the liquidator thinks that making a distribution to unsecured creditors would be disproportionate to the benefits, then the duty to make the distribution of the prescribed part does not apply.  </w:t>
      </w:r>
      <w:r w:rsidR="00613F86">
        <w:rPr>
          <w:rFonts w:ascii="Avenir Next" w:hAnsi="Avenir Next" w:cs="Arial"/>
          <w:color w:val="7B7B7B" w:themeColor="accent3" w:themeShade="BF"/>
          <w:sz w:val="22"/>
          <w:szCs w:val="22"/>
          <w:lang w:val="en-GB"/>
        </w:rPr>
        <w:t xml:space="preserve">For </w:t>
      </w:r>
      <w:r>
        <w:rPr>
          <w:rFonts w:ascii="Avenir Next" w:hAnsi="Avenir Next" w:cs="Arial"/>
          <w:color w:val="7B7B7B" w:themeColor="accent3" w:themeShade="BF"/>
          <w:sz w:val="22"/>
          <w:szCs w:val="22"/>
          <w:lang w:val="en-GB"/>
        </w:rPr>
        <w:t xml:space="preserve">net property </w:t>
      </w:r>
      <w:r w:rsidR="00613F86">
        <w:rPr>
          <w:rFonts w:ascii="Avenir Next" w:hAnsi="Avenir Next" w:cs="Arial"/>
          <w:color w:val="7B7B7B" w:themeColor="accent3" w:themeShade="BF"/>
          <w:sz w:val="22"/>
          <w:szCs w:val="22"/>
          <w:lang w:val="en-GB"/>
        </w:rPr>
        <w:t xml:space="preserve">surpassing </w:t>
      </w:r>
      <w:r>
        <w:rPr>
          <w:rFonts w:ascii="Avenir Next" w:hAnsi="Avenir Next" w:cs="Arial"/>
          <w:color w:val="7B7B7B" w:themeColor="accent3" w:themeShade="BF"/>
          <w:sz w:val="22"/>
          <w:szCs w:val="22"/>
          <w:lang w:val="en-GB"/>
        </w:rPr>
        <w:t xml:space="preserve"> GBP 10,000, the prescribed part is the sum of 50% of the first GBP10,000 in value, </w:t>
      </w:r>
      <w:r w:rsidR="00613F86">
        <w:rPr>
          <w:rFonts w:ascii="Avenir Next" w:hAnsi="Avenir Next" w:cs="Arial"/>
          <w:color w:val="7B7B7B" w:themeColor="accent3" w:themeShade="BF"/>
          <w:sz w:val="22"/>
          <w:szCs w:val="22"/>
          <w:lang w:val="en-GB"/>
        </w:rPr>
        <w:t>with an additional</w:t>
      </w:r>
      <w:r>
        <w:rPr>
          <w:rFonts w:ascii="Avenir Next" w:hAnsi="Avenir Next" w:cs="Arial"/>
          <w:color w:val="7B7B7B" w:themeColor="accent3" w:themeShade="BF"/>
          <w:sz w:val="22"/>
          <w:szCs w:val="22"/>
          <w:lang w:val="en-GB"/>
        </w:rPr>
        <w:t xml:space="preserve"> 20% of the excess in vale above the GBP 10,000</w:t>
      </w:r>
      <w:r w:rsidR="00613F86">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subject to a maximum amount of the prescribed part of GBP 800,000.</w:t>
      </w:r>
    </w:p>
    <w:p w14:paraId="4DA15930" w14:textId="77777777" w:rsidR="00891C91" w:rsidRDefault="00891C91" w:rsidP="0095058A">
      <w:pPr>
        <w:pStyle w:val="ListParagraph"/>
        <w:ind w:left="709"/>
        <w:jc w:val="both"/>
        <w:rPr>
          <w:rFonts w:ascii="Avenir Next" w:hAnsi="Avenir Next" w:cs="Arial"/>
          <w:color w:val="7B7B7B" w:themeColor="accent3" w:themeShade="BF"/>
          <w:sz w:val="22"/>
          <w:szCs w:val="22"/>
          <w:lang w:val="en-GB"/>
        </w:rPr>
      </w:pPr>
    </w:p>
    <w:p w14:paraId="4F343865" w14:textId="0B652873" w:rsidR="00891C91" w:rsidRDefault="00891C91" w:rsidP="0095058A">
      <w:pPr>
        <w:pStyle w:val="ListParagraph"/>
        <w:ind w:left="709"/>
        <w:jc w:val="both"/>
        <w:rPr>
          <w:rFonts w:ascii="Avenir Next" w:hAnsi="Avenir Next" w:cs="Arial"/>
          <w:i/>
          <w:iCs/>
          <w:color w:val="7B7B7B" w:themeColor="accent3" w:themeShade="BF"/>
          <w:sz w:val="22"/>
          <w:szCs w:val="22"/>
          <w:lang w:val="en-GB"/>
        </w:rPr>
      </w:pPr>
      <w:r w:rsidRPr="00891C91">
        <w:rPr>
          <w:rFonts w:ascii="Avenir Next" w:hAnsi="Avenir Next" w:cs="Arial"/>
          <w:i/>
          <w:iCs/>
          <w:color w:val="7B7B7B" w:themeColor="accent3" w:themeShade="BF"/>
          <w:sz w:val="22"/>
          <w:szCs w:val="22"/>
          <w:lang w:val="en-GB"/>
        </w:rPr>
        <w:t xml:space="preserve">Rights </w:t>
      </w:r>
      <w:r w:rsidR="006361B7" w:rsidRPr="00891C91">
        <w:rPr>
          <w:rFonts w:ascii="Avenir Next" w:hAnsi="Avenir Next" w:cs="Arial"/>
          <w:i/>
          <w:iCs/>
          <w:color w:val="7B7B7B" w:themeColor="accent3" w:themeShade="BF"/>
          <w:sz w:val="22"/>
          <w:szCs w:val="22"/>
          <w:lang w:val="en-GB"/>
        </w:rPr>
        <w:t xml:space="preserve"> </w:t>
      </w:r>
    </w:p>
    <w:p w14:paraId="613F14F2" w14:textId="77777777" w:rsidR="00891C91" w:rsidRDefault="00891C91" w:rsidP="0095058A">
      <w:pPr>
        <w:pStyle w:val="ListParagraph"/>
        <w:ind w:left="709"/>
        <w:jc w:val="both"/>
        <w:rPr>
          <w:rFonts w:ascii="Avenir Next" w:hAnsi="Avenir Next" w:cs="Arial"/>
          <w:color w:val="7B7B7B" w:themeColor="accent3" w:themeShade="BF"/>
          <w:sz w:val="22"/>
          <w:szCs w:val="22"/>
          <w:lang w:val="en-GB"/>
        </w:rPr>
      </w:pPr>
    </w:p>
    <w:p w14:paraId="201E0954" w14:textId="28B6EA3A" w:rsidR="00891C91" w:rsidRPr="00891C91" w:rsidRDefault="00891C91" w:rsidP="0095058A">
      <w:pPr>
        <w:pStyle w:val="ListParagraph"/>
        <w:ind w:left="709"/>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floating charge holder (or any secured creditor), who may have an outstanding unsecured balance owing to it, is not permitted to participate in the distribution of the prescribed part.  The holder of a qualifying floating charge may choose to enforce its charge by appointing an administrator which usually prevent a liquidator being appointed until the administration is completed. If such a charge holder consents to the appointment of a liquidator rather than an administrator, the floating charge holder will be paid out according to the charge holder’s priority. </w:t>
      </w:r>
    </w:p>
    <w:p w14:paraId="2064FE95" w14:textId="77777777" w:rsidR="00891C91" w:rsidRDefault="00891C91" w:rsidP="0095058A">
      <w:pPr>
        <w:pStyle w:val="ListParagraph"/>
        <w:ind w:left="709"/>
        <w:jc w:val="both"/>
        <w:rPr>
          <w:rFonts w:ascii="Avenir Next" w:hAnsi="Avenir Next" w:cs="Arial"/>
          <w:color w:val="7B7B7B" w:themeColor="accent3" w:themeShade="BF"/>
          <w:sz w:val="22"/>
          <w:szCs w:val="22"/>
          <w:lang w:val="en-GB"/>
        </w:rPr>
      </w:pPr>
    </w:p>
    <w:p w14:paraId="30CC63DA" w14:textId="77777777" w:rsidR="00891C91" w:rsidRDefault="00891C91" w:rsidP="00891C91">
      <w:pPr>
        <w:pStyle w:val="ListParagraph"/>
        <w:numPr>
          <w:ilvl w:val="0"/>
          <w:numId w:val="23"/>
        </w:numPr>
        <w:jc w:val="both"/>
        <w:rPr>
          <w:rFonts w:ascii="Avenir Next" w:hAnsi="Avenir Next" w:cs="Arial"/>
          <w:color w:val="7B7B7B" w:themeColor="accent3" w:themeShade="BF"/>
          <w:sz w:val="22"/>
          <w:szCs w:val="22"/>
          <w:lang w:val="en-GB"/>
        </w:rPr>
      </w:pPr>
      <w:r w:rsidRPr="00891C91">
        <w:rPr>
          <w:rFonts w:ascii="Avenir Next" w:hAnsi="Avenir Next" w:cs="Arial"/>
          <w:b/>
          <w:bCs/>
          <w:color w:val="7B7B7B" w:themeColor="accent3" w:themeShade="BF"/>
          <w:sz w:val="22"/>
          <w:szCs w:val="22"/>
          <w:lang w:val="en-GB"/>
        </w:rPr>
        <w:t>Unsecured creditors</w:t>
      </w:r>
      <w:r>
        <w:rPr>
          <w:rFonts w:ascii="Avenir Next" w:hAnsi="Avenir Next" w:cs="Arial"/>
          <w:color w:val="7B7B7B" w:themeColor="accent3" w:themeShade="BF"/>
          <w:sz w:val="22"/>
          <w:szCs w:val="22"/>
          <w:lang w:val="en-GB"/>
        </w:rPr>
        <w:t xml:space="preserve"> </w:t>
      </w:r>
    </w:p>
    <w:p w14:paraId="156B624A" w14:textId="77777777" w:rsidR="00891C91" w:rsidRDefault="00891C91" w:rsidP="00891C91">
      <w:pPr>
        <w:pStyle w:val="ListParagraph"/>
        <w:jc w:val="both"/>
        <w:rPr>
          <w:rFonts w:ascii="Avenir Next" w:hAnsi="Avenir Next" w:cs="Arial"/>
          <w:color w:val="7B7B7B" w:themeColor="accent3" w:themeShade="BF"/>
          <w:sz w:val="22"/>
          <w:szCs w:val="22"/>
          <w:lang w:val="en-GB"/>
        </w:rPr>
      </w:pPr>
    </w:p>
    <w:p w14:paraId="311FF233" w14:textId="10FD4057" w:rsidR="00891C91" w:rsidRDefault="00891C91" w:rsidP="00891C91">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They are paid last in the stator order.</w:t>
      </w:r>
    </w:p>
    <w:p w14:paraId="33973C41" w14:textId="77777777" w:rsidR="00891C91" w:rsidRDefault="00891C91" w:rsidP="00891C91">
      <w:pPr>
        <w:pStyle w:val="ListParagraph"/>
        <w:jc w:val="both"/>
        <w:rPr>
          <w:rFonts w:ascii="Avenir Next" w:hAnsi="Avenir Next" w:cs="Arial"/>
          <w:color w:val="7B7B7B" w:themeColor="accent3" w:themeShade="BF"/>
          <w:sz w:val="22"/>
          <w:szCs w:val="22"/>
          <w:lang w:val="en-GB"/>
        </w:rPr>
      </w:pPr>
    </w:p>
    <w:p w14:paraId="390C5338" w14:textId="77777777" w:rsidR="00891C91" w:rsidRDefault="00891C91" w:rsidP="00891C91">
      <w:pPr>
        <w:pStyle w:val="ListParagraph"/>
        <w:numPr>
          <w:ilvl w:val="0"/>
          <w:numId w:val="23"/>
        </w:numPr>
        <w:jc w:val="both"/>
        <w:rPr>
          <w:rFonts w:ascii="Avenir Next" w:hAnsi="Avenir Next" w:cs="Arial"/>
          <w:color w:val="7B7B7B" w:themeColor="accent3" w:themeShade="BF"/>
          <w:sz w:val="22"/>
          <w:szCs w:val="22"/>
          <w:lang w:val="en-GB"/>
        </w:rPr>
      </w:pPr>
      <w:r w:rsidRPr="00891C91">
        <w:rPr>
          <w:rFonts w:ascii="Avenir Next" w:hAnsi="Avenir Next" w:cs="Arial"/>
          <w:b/>
          <w:bCs/>
          <w:color w:val="7B7B7B" w:themeColor="accent3" w:themeShade="BF"/>
          <w:sz w:val="22"/>
          <w:szCs w:val="22"/>
          <w:lang w:val="en-GB"/>
        </w:rPr>
        <w:t>Shareholders</w:t>
      </w:r>
      <w:r>
        <w:rPr>
          <w:rFonts w:ascii="Avenir Next" w:hAnsi="Avenir Next" w:cs="Arial"/>
          <w:color w:val="7B7B7B" w:themeColor="accent3" w:themeShade="BF"/>
          <w:sz w:val="22"/>
          <w:szCs w:val="22"/>
          <w:lang w:val="en-GB"/>
        </w:rPr>
        <w:t xml:space="preserve"> </w:t>
      </w:r>
    </w:p>
    <w:p w14:paraId="28E16410" w14:textId="77777777" w:rsidR="00891C91" w:rsidRPr="00891C91" w:rsidRDefault="00891C91" w:rsidP="00891C91">
      <w:pPr>
        <w:pStyle w:val="ListParagraph"/>
        <w:rPr>
          <w:rFonts w:ascii="Avenir Next" w:hAnsi="Avenir Next" w:cs="Arial"/>
          <w:color w:val="7B7B7B" w:themeColor="accent3" w:themeShade="BF"/>
          <w:sz w:val="22"/>
          <w:szCs w:val="22"/>
          <w:lang w:val="en-GB"/>
        </w:rPr>
      </w:pPr>
    </w:p>
    <w:p w14:paraId="721150AB" w14:textId="77777777" w:rsidR="00181BF0" w:rsidRDefault="00891C91" w:rsidP="00891C91">
      <w:pPr>
        <w:pStyle w:val="ListParagraph"/>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If there are sufficient funds to pay all the creditors any surplus is distributed amongst the shareholders according to the company’s constitution, which will normally permit a distribution pro rata the shareholders’ respective holdings. </w:t>
      </w:r>
    </w:p>
    <w:p w14:paraId="04920AED" w14:textId="21E6A8AE" w:rsidR="00DE7F7A" w:rsidRDefault="00181BF0" w:rsidP="00891C91">
      <w:pPr>
        <w:pStyle w:val="ListParagraph"/>
        <w:jc w:val="both"/>
        <w:rPr>
          <w:rFonts w:ascii="Avenir Next" w:hAnsi="Avenir Next" w:cs="Arial"/>
          <w:b/>
          <w:bCs/>
          <w:color w:val="7B7B7B" w:themeColor="accent3" w:themeShade="BF"/>
          <w:sz w:val="22"/>
          <w:szCs w:val="22"/>
          <w:lang w:val="en-GB"/>
        </w:rPr>
      </w:pPr>
      <w:r w:rsidRPr="00181BF0">
        <w:rPr>
          <w:rFonts w:ascii="Avenir Next" w:hAnsi="Avenir Next" w:cs="Arial"/>
          <w:b/>
          <w:bCs/>
          <w:color w:val="7B7B7B" w:themeColor="accent3" w:themeShade="BF"/>
          <w:sz w:val="22"/>
          <w:szCs w:val="22"/>
          <w:lang w:val="en-GB"/>
        </w:rPr>
        <w:t xml:space="preserve">B. </w:t>
      </w:r>
      <w:r>
        <w:rPr>
          <w:rFonts w:ascii="Avenir Next" w:hAnsi="Avenir Next" w:cs="Arial"/>
          <w:b/>
          <w:bCs/>
          <w:color w:val="7B7B7B" w:themeColor="accent3" w:themeShade="BF"/>
          <w:sz w:val="22"/>
          <w:szCs w:val="22"/>
          <w:lang w:val="en-GB"/>
        </w:rPr>
        <w:t>The effect of</w:t>
      </w:r>
      <w:r w:rsidR="00DE7F7A">
        <w:rPr>
          <w:rFonts w:ascii="Avenir Next" w:hAnsi="Avenir Next" w:cs="Arial"/>
          <w:b/>
          <w:bCs/>
          <w:color w:val="7B7B7B" w:themeColor="accent3" w:themeShade="BF"/>
          <w:sz w:val="22"/>
          <w:szCs w:val="22"/>
          <w:lang w:val="en-GB"/>
        </w:rPr>
        <w:t xml:space="preserve"> the</w:t>
      </w:r>
      <w:r>
        <w:rPr>
          <w:rFonts w:ascii="Avenir Next" w:hAnsi="Avenir Next" w:cs="Arial"/>
          <w:b/>
          <w:bCs/>
          <w:color w:val="7B7B7B" w:themeColor="accent3" w:themeShade="BF"/>
          <w:sz w:val="22"/>
          <w:szCs w:val="22"/>
          <w:lang w:val="en-GB"/>
        </w:rPr>
        <w:t xml:space="preserve"> </w:t>
      </w:r>
      <w:r w:rsidRPr="00181BF0">
        <w:rPr>
          <w:rFonts w:ascii="Avenir Next" w:hAnsi="Avenir Next" w:cs="Arial"/>
          <w:b/>
          <w:bCs/>
          <w:color w:val="7B7B7B" w:themeColor="accent3" w:themeShade="BF"/>
          <w:sz w:val="22"/>
          <w:szCs w:val="22"/>
          <w:lang w:val="en-GB"/>
        </w:rPr>
        <w:t>Moratorium</w:t>
      </w:r>
      <w:r>
        <w:rPr>
          <w:rFonts w:ascii="Avenir Next" w:hAnsi="Avenir Next" w:cs="Arial"/>
          <w:b/>
          <w:bCs/>
          <w:color w:val="7B7B7B" w:themeColor="accent3" w:themeShade="BF"/>
          <w:sz w:val="22"/>
          <w:szCs w:val="22"/>
          <w:lang w:val="en-GB"/>
        </w:rPr>
        <w:t xml:space="preserve"> on the order of priority of payments</w:t>
      </w:r>
    </w:p>
    <w:p w14:paraId="0418B458" w14:textId="77777777" w:rsidR="00DE7F7A" w:rsidRDefault="00DE7F7A" w:rsidP="00891C91">
      <w:pPr>
        <w:pStyle w:val="ListParagraph"/>
        <w:jc w:val="both"/>
        <w:rPr>
          <w:rFonts w:ascii="Avenir Next" w:hAnsi="Avenir Next" w:cs="Arial"/>
          <w:b/>
          <w:bCs/>
          <w:color w:val="7B7B7B" w:themeColor="accent3" w:themeShade="BF"/>
          <w:sz w:val="22"/>
          <w:szCs w:val="22"/>
          <w:lang w:val="en-GB"/>
        </w:rPr>
      </w:pPr>
    </w:p>
    <w:p w14:paraId="44103E57" w14:textId="33BF55E9" w:rsidR="00B52598" w:rsidRDefault="00181BF0" w:rsidP="00891C91">
      <w:pPr>
        <w:pStyle w:val="ListParagraph"/>
        <w:jc w:val="both"/>
        <w:rPr>
          <w:rFonts w:ascii="Avenir Next" w:hAnsi="Avenir Next" w:cs="Arial"/>
          <w:color w:val="7B7B7B" w:themeColor="accent3" w:themeShade="BF"/>
          <w:sz w:val="22"/>
          <w:szCs w:val="22"/>
          <w:lang w:val="en-GB"/>
        </w:rPr>
      </w:pPr>
      <w:r>
        <w:rPr>
          <w:rFonts w:ascii="Avenir Next" w:hAnsi="Avenir Next" w:cs="Arial"/>
          <w:b/>
          <w:bCs/>
          <w:color w:val="7B7B7B" w:themeColor="accent3" w:themeShade="BF"/>
          <w:sz w:val="22"/>
          <w:szCs w:val="22"/>
          <w:lang w:val="en-GB"/>
        </w:rPr>
        <w:t xml:space="preserve"> </w:t>
      </w:r>
      <w:r w:rsidR="00DE7F7A">
        <w:rPr>
          <w:rFonts w:ascii="Avenir Next" w:hAnsi="Avenir Next" w:cs="Arial"/>
          <w:color w:val="7B7B7B" w:themeColor="accent3" w:themeShade="BF"/>
          <w:sz w:val="22"/>
          <w:szCs w:val="22"/>
          <w:lang w:val="en-GB"/>
        </w:rPr>
        <w:t xml:space="preserve">The Moratorium is a standalone procedure and is not linked to any other procedures. </w:t>
      </w:r>
      <w:r w:rsidR="00F816D5">
        <w:rPr>
          <w:rFonts w:ascii="Avenir Next" w:hAnsi="Avenir Next" w:cs="Arial"/>
          <w:color w:val="7B7B7B" w:themeColor="accent3" w:themeShade="BF"/>
          <w:sz w:val="22"/>
          <w:szCs w:val="22"/>
          <w:lang w:val="en-GB"/>
        </w:rPr>
        <w:t xml:space="preserve">It is a debtor -in-possession procedure whereby the directors remain in control of the company, subject to a supervision by a monitor.  The main goal is to rescue the company as a going concern. </w:t>
      </w:r>
      <w:r w:rsidR="004D3E02">
        <w:rPr>
          <w:rFonts w:ascii="Avenir Next" w:hAnsi="Avenir Next" w:cs="Arial"/>
          <w:color w:val="7B7B7B" w:themeColor="accent3" w:themeShade="BF"/>
          <w:sz w:val="22"/>
          <w:szCs w:val="22"/>
          <w:lang w:val="en-GB"/>
        </w:rPr>
        <w:t>However, if the company is not rescued as a going concern but entered into liquidation within 12 weeks of the end of the Moratorium, the priority of debt in the subsequent liquidation changes as follows</w:t>
      </w:r>
      <w:r w:rsidR="00B52598">
        <w:rPr>
          <w:rFonts w:ascii="Avenir Next" w:hAnsi="Avenir Next" w:cs="Arial"/>
          <w:color w:val="7B7B7B" w:themeColor="accent3" w:themeShade="BF"/>
          <w:sz w:val="22"/>
          <w:szCs w:val="22"/>
          <w:lang w:val="en-GB"/>
        </w:rPr>
        <w:t>:</w:t>
      </w:r>
    </w:p>
    <w:p w14:paraId="4A38ECDD" w14:textId="77777777" w:rsidR="00AF2A19" w:rsidRDefault="00AF2A19" w:rsidP="00891C91">
      <w:pPr>
        <w:pStyle w:val="ListParagraph"/>
        <w:jc w:val="both"/>
        <w:rPr>
          <w:rFonts w:ascii="Avenir Next" w:hAnsi="Avenir Next" w:cs="Arial"/>
          <w:color w:val="7B7B7B" w:themeColor="accent3" w:themeShade="BF"/>
          <w:sz w:val="22"/>
          <w:szCs w:val="22"/>
          <w:lang w:val="en-GB"/>
        </w:rPr>
      </w:pPr>
    </w:p>
    <w:p w14:paraId="2D76528D" w14:textId="41251291" w:rsidR="00197F24" w:rsidRPr="00777989" w:rsidRDefault="00B52598" w:rsidP="00B52598">
      <w:pPr>
        <w:pStyle w:val="ListParagraph"/>
        <w:numPr>
          <w:ilvl w:val="1"/>
          <w:numId w:val="1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174 A of the Insolvency Act provides that certain unpaid pre-Moratorium or Moratorium debts (the debts which are not part of the payment holiday, for example, debts owed to employees or “</w:t>
      </w:r>
      <w:r w:rsidRPr="00B52598">
        <w:rPr>
          <w:rFonts w:ascii="Avenir Next" w:hAnsi="Avenir Next" w:cs="Arial"/>
          <w:color w:val="7B7B7B" w:themeColor="accent3" w:themeShade="BF"/>
          <w:sz w:val="22"/>
          <w:szCs w:val="22"/>
          <w:u w:val="single"/>
          <w:lang w:val="en-GB"/>
        </w:rPr>
        <w:t>financial services” debts</w:t>
      </w:r>
      <w:r w:rsidR="007445FA">
        <w:rPr>
          <w:rFonts w:ascii="Avenir Next" w:hAnsi="Avenir Next" w:cs="Arial"/>
          <w:color w:val="7B7B7B" w:themeColor="accent3" w:themeShade="BF"/>
          <w:sz w:val="22"/>
          <w:szCs w:val="22"/>
          <w:u w:val="single"/>
          <w:lang w:val="en-GB"/>
        </w:rPr>
        <w:t>)</w:t>
      </w:r>
      <w:r w:rsidRPr="00B52598">
        <w:rPr>
          <w:rFonts w:ascii="Avenir Next" w:hAnsi="Avenir Next" w:cs="Arial"/>
          <w:color w:val="7B7B7B" w:themeColor="accent3" w:themeShade="BF"/>
          <w:sz w:val="22"/>
          <w:szCs w:val="22"/>
          <w:u w:val="single"/>
          <w:lang w:val="en-GB"/>
        </w:rPr>
        <w:t xml:space="preserve"> are paid in the subsequent litigation in priority to even the liquidator’s fees and expenses</w:t>
      </w:r>
      <w:r>
        <w:rPr>
          <w:rFonts w:ascii="Avenir Next" w:hAnsi="Avenir Next" w:cs="Arial"/>
          <w:color w:val="7B7B7B" w:themeColor="accent3" w:themeShade="BF"/>
          <w:sz w:val="22"/>
          <w:szCs w:val="22"/>
          <w:lang w:val="en-GB"/>
        </w:rPr>
        <w:t xml:space="preserve">. This section therefore </w:t>
      </w:r>
      <w:r w:rsidR="007445FA">
        <w:rPr>
          <w:rFonts w:ascii="Avenir Next" w:hAnsi="Avenir Next" w:cs="Arial"/>
          <w:color w:val="7B7B7B" w:themeColor="accent3" w:themeShade="BF"/>
          <w:sz w:val="22"/>
          <w:szCs w:val="22"/>
          <w:lang w:val="en-GB"/>
        </w:rPr>
        <w:t xml:space="preserve">gives </w:t>
      </w:r>
      <w:r>
        <w:rPr>
          <w:rFonts w:ascii="Avenir Next" w:hAnsi="Avenir Next" w:cs="Arial"/>
          <w:color w:val="7B7B7B" w:themeColor="accent3" w:themeShade="BF"/>
          <w:sz w:val="22"/>
          <w:szCs w:val="22"/>
          <w:lang w:val="en-GB"/>
        </w:rPr>
        <w:t>certain unsecured debts a form of “super priority” in a subsequent liquidation. By way of illustration, unsecured (or secured) pre-Morator</w:t>
      </w:r>
      <w:r w:rsidR="00166086">
        <w:rPr>
          <w:rFonts w:ascii="Avenir Next" w:hAnsi="Avenir Next" w:cs="Arial"/>
          <w:color w:val="7B7B7B" w:themeColor="accent3" w:themeShade="BF"/>
          <w:sz w:val="22"/>
          <w:szCs w:val="22"/>
          <w:lang w:val="en-GB"/>
        </w:rPr>
        <w:t xml:space="preserve">ium bank debt, falling within the definition of “financial services”, will acquire a “super priority” in the liquidation. </w:t>
      </w:r>
      <w:r w:rsidR="00972866">
        <w:rPr>
          <w:rFonts w:ascii="Avenir Next" w:hAnsi="Avenir Next" w:cs="Arial"/>
          <w:color w:val="7B7B7B" w:themeColor="accent3" w:themeShade="BF"/>
          <w:sz w:val="22"/>
          <w:szCs w:val="22"/>
          <w:lang w:val="en-GB"/>
        </w:rPr>
        <w:t xml:space="preserve">However, there is an exception which prevents such liabilities </w:t>
      </w:r>
      <w:r w:rsidR="007445FA">
        <w:rPr>
          <w:rFonts w:ascii="Avenir Next" w:hAnsi="Avenir Next" w:cs="Arial"/>
          <w:color w:val="7B7B7B" w:themeColor="accent3" w:themeShade="BF"/>
          <w:sz w:val="22"/>
          <w:szCs w:val="22"/>
          <w:lang w:val="en-GB"/>
        </w:rPr>
        <w:t xml:space="preserve">from </w:t>
      </w:r>
      <w:r w:rsidR="00972866">
        <w:rPr>
          <w:rFonts w:ascii="Avenir Next" w:hAnsi="Avenir Next" w:cs="Arial"/>
          <w:color w:val="7B7B7B" w:themeColor="accent3" w:themeShade="BF"/>
          <w:sz w:val="22"/>
          <w:szCs w:val="22"/>
          <w:lang w:val="en-GB"/>
        </w:rPr>
        <w:t xml:space="preserve">acquiring such “super priority” where the debt is accelerated debt, i.e. any pre-moratorium financial service debt which fell due by reason of the operation of, or exercise if rights under, an acceleration or early termination provision in the financial service contract.  </w:t>
      </w:r>
      <w:r w:rsidR="00197F24" w:rsidRPr="00777989">
        <w:rPr>
          <w:rFonts w:ascii="Avenir Next" w:hAnsi="Avenir Next" w:cs="Arial"/>
          <w:color w:val="7B7B7B" w:themeColor="accent3" w:themeShade="BF"/>
          <w:sz w:val="22"/>
          <w:szCs w:val="22"/>
          <w:lang w:val="en-GB"/>
        </w:rPr>
        <w: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lastRenderedPageBreak/>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3C189096" w14:textId="4D818D4B" w:rsidR="00544BFE" w:rsidRPr="006925C1" w:rsidRDefault="00544BFE" w:rsidP="007E2919">
      <w:pPr>
        <w:rPr>
          <w:rFonts w:ascii="Avenir Next" w:hAnsi="Avenir Next" w:cs="Arial"/>
          <w:b/>
          <w:sz w:val="22"/>
          <w:szCs w:val="22"/>
        </w:rPr>
      </w:pPr>
    </w:p>
    <w:p w14:paraId="49683FD5" w14:textId="770FC29A" w:rsidR="0069112A"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971B8B">
        <w:rPr>
          <w:rFonts w:ascii="Avenir Next" w:hAnsi="Avenir Next" w:cs="Arial"/>
          <w:color w:val="7B7B7B" w:themeColor="accent3" w:themeShade="BF"/>
          <w:sz w:val="22"/>
          <w:szCs w:val="22"/>
          <w:lang w:val="en-GB"/>
        </w:rPr>
        <w:t xml:space="preserve"> </w:t>
      </w:r>
      <w:r w:rsidR="00D9006E">
        <w:rPr>
          <w:rFonts w:ascii="Avenir Next" w:hAnsi="Avenir Next" w:cs="Arial"/>
          <w:color w:val="7B7B7B" w:themeColor="accent3" w:themeShade="BF"/>
          <w:sz w:val="22"/>
          <w:szCs w:val="22"/>
          <w:lang w:val="en-GB"/>
        </w:rPr>
        <w:t xml:space="preserve">The liquidator should consider if the floating charge in favour of </w:t>
      </w:r>
      <w:r w:rsidR="00D9006E" w:rsidRPr="00D9006E">
        <w:rPr>
          <w:rFonts w:ascii="Avenir Next" w:hAnsi="Avenir Next" w:cs="Arial"/>
          <w:color w:val="7B7B7B" w:themeColor="accent3" w:themeShade="BF"/>
          <w:sz w:val="22"/>
          <w:szCs w:val="22"/>
          <w:lang w:val="en-GB"/>
        </w:rPr>
        <w:t>Ambitus Bank plc (the Bank)</w:t>
      </w:r>
      <w:r w:rsidR="00D9006E">
        <w:rPr>
          <w:rFonts w:ascii="Avenir Next" w:hAnsi="Avenir Next" w:cs="Arial"/>
          <w:color w:val="7B7B7B" w:themeColor="accent3" w:themeShade="BF"/>
          <w:sz w:val="22"/>
          <w:szCs w:val="22"/>
          <w:lang w:val="en-GB"/>
        </w:rPr>
        <w:t xml:space="preserve"> can be avoided pursuant to section 245 of the Insolvency Act</w:t>
      </w:r>
      <w:r w:rsidR="00432390">
        <w:rPr>
          <w:rFonts w:ascii="Avenir Next" w:hAnsi="Avenir Next" w:cs="Arial"/>
          <w:color w:val="7B7B7B" w:themeColor="accent3" w:themeShade="BF"/>
          <w:sz w:val="22"/>
          <w:szCs w:val="22"/>
          <w:lang w:val="en-GB"/>
        </w:rPr>
        <w:t>,</w:t>
      </w:r>
      <w:r w:rsidR="0084100C">
        <w:rPr>
          <w:rFonts w:ascii="Avenir Next" w:hAnsi="Avenir Next" w:cs="Arial"/>
          <w:color w:val="7B7B7B" w:themeColor="accent3" w:themeShade="BF"/>
          <w:sz w:val="22"/>
          <w:szCs w:val="22"/>
          <w:lang w:val="en-GB"/>
        </w:rPr>
        <w:t xml:space="preserve"> which renders invalid floating charges  given by a company at a relevant time, except to the extent, in substance, that “new consideration is provided for the charge. Section 245 does not prevent lenders who are providing fresh funding to the company from taking a floating charge for that new funding. </w:t>
      </w:r>
    </w:p>
    <w:p w14:paraId="3C5A6257" w14:textId="77777777" w:rsidR="0069112A" w:rsidRDefault="0069112A" w:rsidP="00197F24">
      <w:pPr>
        <w:jc w:val="both"/>
        <w:rPr>
          <w:rFonts w:ascii="Avenir Next" w:hAnsi="Avenir Next" w:cs="Arial"/>
          <w:color w:val="7B7B7B" w:themeColor="accent3" w:themeShade="BF"/>
          <w:sz w:val="22"/>
          <w:szCs w:val="22"/>
          <w:lang w:val="en-GB"/>
        </w:rPr>
      </w:pPr>
    </w:p>
    <w:p w14:paraId="4B134983" w14:textId="4BE40A1E" w:rsidR="00971B8B" w:rsidRDefault="0069112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 the facts, there is nothing to suggest that the Bank will be providing fresh funding</w:t>
      </w:r>
      <w:r w:rsidR="006F7154">
        <w:rPr>
          <w:rFonts w:ascii="Avenir Next" w:hAnsi="Avenir Next" w:cs="Arial"/>
          <w:color w:val="7B7B7B" w:themeColor="accent3" w:themeShade="BF"/>
          <w:sz w:val="22"/>
          <w:szCs w:val="22"/>
          <w:lang w:val="en-GB"/>
        </w:rPr>
        <w:t xml:space="preserve">. </w:t>
      </w:r>
      <w:r w:rsidR="0084100C">
        <w:rPr>
          <w:rFonts w:ascii="Avenir Next" w:hAnsi="Avenir Next" w:cs="Arial"/>
          <w:color w:val="7B7B7B" w:themeColor="accent3" w:themeShade="BF"/>
          <w:sz w:val="22"/>
          <w:szCs w:val="22"/>
          <w:lang w:val="en-GB"/>
        </w:rPr>
        <w:t xml:space="preserve"> Accordingly, the Bank</w:t>
      </w:r>
      <w:r w:rsidR="0090012F">
        <w:rPr>
          <w:rFonts w:ascii="Avenir Next" w:hAnsi="Avenir Next" w:cs="Arial"/>
          <w:color w:val="7B7B7B" w:themeColor="accent3" w:themeShade="BF"/>
          <w:sz w:val="22"/>
          <w:szCs w:val="22"/>
          <w:lang w:val="en-GB"/>
        </w:rPr>
        <w:t xml:space="preserve"> could be regarded as</w:t>
      </w:r>
      <w:r w:rsidR="0084100C">
        <w:rPr>
          <w:rFonts w:ascii="Avenir Next" w:hAnsi="Avenir Next" w:cs="Arial"/>
          <w:color w:val="7B7B7B" w:themeColor="accent3" w:themeShade="BF"/>
          <w:sz w:val="22"/>
          <w:szCs w:val="22"/>
          <w:lang w:val="en-GB"/>
        </w:rPr>
        <w:t xml:space="preserve"> a pre-existing </w:t>
      </w:r>
      <w:r w:rsidR="0090012F">
        <w:rPr>
          <w:rFonts w:ascii="Avenir Next" w:hAnsi="Avenir Next" w:cs="Arial"/>
          <w:color w:val="7B7B7B" w:themeColor="accent3" w:themeShade="BF"/>
          <w:sz w:val="22"/>
          <w:szCs w:val="22"/>
          <w:lang w:val="en-GB"/>
        </w:rPr>
        <w:t xml:space="preserve">unsecured creditor. </w:t>
      </w:r>
      <w:r w:rsidR="002F0E4C">
        <w:rPr>
          <w:rFonts w:ascii="Avenir Next" w:hAnsi="Avenir Next" w:cs="Arial"/>
          <w:color w:val="7B7B7B" w:themeColor="accent3" w:themeShade="BF"/>
          <w:sz w:val="22"/>
          <w:szCs w:val="22"/>
          <w:lang w:val="en-GB"/>
        </w:rPr>
        <w:t xml:space="preserve">There is also nothing to suggest that </w:t>
      </w:r>
      <w:r w:rsidR="002F0E4C" w:rsidRPr="002F0E4C">
        <w:rPr>
          <w:rFonts w:ascii="Avenir Next" w:hAnsi="Avenir Next" w:cs="Arial"/>
          <w:color w:val="7B7B7B" w:themeColor="accent3" w:themeShade="BF"/>
          <w:sz w:val="22"/>
          <w:szCs w:val="22"/>
          <w:lang w:val="en-GB"/>
        </w:rPr>
        <w:t>“fresh</w:t>
      </w:r>
      <w:r w:rsidR="002F0E4C">
        <w:rPr>
          <w:rFonts w:ascii="Avenir Next" w:hAnsi="Avenir Next" w:cs="Arial"/>
          <w:color w:val="7B7B7B" w:themeColor="accent3" w:themeShade="BF"/>
          <w:sz w:val="22"/>
          <w:szCs w:val="22"/>
          <w:lang w:val="en-GB"/>
        </w:rPr>
        <w:t>”</w:t>
      </w:r>
      <w:r w:rsidR="002F0E4C" w:rsidRPr="002F0E4C">
        <w:rPr>
          <w:rFonts w:ascii="Avenir Next" w:hAnsi="Avenir Next" w:cs="Arial"/>
          <w:color w:val="7B7B7B" w:themeColor="accent3" w:themeShade="BF"/>
          <w:sz w:val="22"/>
          <w:szCs w:val="22"/>
          <w:lang w:val="en-GB"/>
        </w:rPr>
        <w:t xml:space="preserve"> consideration</w:t>
      </w:r>
      <w:r w:rsidR="000309A4">
        <w:rPr>
          <w:rFonts w:ascii="Avenir Next" w:hAnsi="Avenir Next" w:cs="Arial"/>
          <w:color w:val="7B7B7B" w:themeColor="accent3" w:themeShade="BF"/>
          <w:sz w:val="22"/>
          <w:szCs w:val="22"/>
          <w:lang w:val="en-GB"/>
        </w:rPr>
        <w:t>, such as money paid at the time as or after the creation of the charge,</w:t>
      </w:r>
      <w:r w:rsidR="002F0E4C" w:rsidRPr="002F0E4C">
        <w:rPr>
          <w:rFonts w:ascii="Avenir Next" w:hAnsi="Avenir Next" w:cs="Arial"/>
          <w:color w:val="7B7B7B" w:themeColor="accent3" w:themeShade="BF"/>
          <w:sz w:val="22"/>
          <w:szCs w:val="22"/>
          <w:lang w:val="en-GB"/>
        </w:rPr>
        <w:t xml:space="preserve"> was provided for the charge.</w:t>
      </w:r>
    </w:p>
    <w:p w14:paraId="65364F0E" w14:textId="77777777" w:rsidR="00565B7D" w:rsidRDefault="00565B7D" w:rsidP="00197F24">
      <w:pPr>
        <w:jc w:val="both"/>
        <w:rPr>
          <w:rFonts w:ascii="Avenir Next" w:hAnsi="Avenir Next" w:cs="Arial"/>
          <w:color w:val="7B7B7B" w:themeColor="accent3" w:themeShade="BF"/>
          <w:sz w:val="22"/>
          <w:szCs w:val="22"/>
          <w:lang w:val="en-GB"/>
        </w:rPr>
      </w:pPr>
    </w:p>
    <w:p w14:paraId="1C347B75" w14:textId="77777777" w:rsidR="003B0387" w:rsidRDefault="00565B7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Bank is not connected with the Company, </w:t>
      </w:r>
      <w:r w:rsidR="00345C5F">
        <w:rPr>
          <w:rFonts w:ascii="Avenir Next" w:hAnsi="Avenir Next" w:cs="Arial"/>
          <w:color w:val="7B7B7B" w:themeColor="accent3" w:themeShade="BF"/>
          <w:sz w:val="22"/>
          <w:szCs w:val="22"/>
          <w:lang w:val="en-GB"/>
        </w:rPr>
        <w:t xml:space="preserve">accordingly, the revenant time for the purposes of section 245 is any time within the period of 12 months prior to the onset of insolvency, but only if at the time of the creation of the charge the Company was unable to pay its debts (as specified in section 123 of the Insolvency Act) or became unable to do so in consequence of the transaction. </w:t>
      </w:r>
      <w:r w:rsidR="00F16EAF">
        <w:rPr>
          <w:rFonts w:ascii="Avenir Next" w:hAnsi="Avenir Next" w:cs="Arial"/>
          <w:color w:val="7B7B7B" w:themeColor="accent3" w:themeShade="BF"/>
          <w:sz w:val="22"/>
          <w:szCs w:val="22"/>
          <w:lang w:val="en-GB"/>
        </w:rPr>
        <w:t xml:space="preserve"> It is not stated in the scenario whether the Company was</w:t>
      </w:r>
      <w:r w:rsidR="004A15BD">
        <w:rPr>
          <w:rFonts w:ascii="Avenir Next" w:hAnsi="Avenir Next" w:cs="Arial"/>
          <w:color w:val="7B7B7B" w:themeColor="accent3" w:themeShade="BF"/>
          <w:sz w:val="22"/>
          <w:szCs w:val="22"/>
          <w:lang w:val="en-GB"/>
        </w:rPr>
        <w:t xml:space="preserve"> either</w:t>
      </w:r>
      <w:r w:rsidR="00F16EAF">
        <w:rPr>
          <w:rFonts w:ascii="Avenir Next" w:hAnsi="Avenir Next" w:cs="Arial"/>
          <w:color w:val="7B7B7B" w:themeColor="accent3" w:themeShade="BF"/>
          <w:sz w:val="22"/>
          <w:szCs w:val="22"/>
          <w:lang w:val="en-GB"/>
        </w:rPr>
        <w:t xml:space="preserve"> “cash flow” or “balanced sheet” insolvent at the time the Bank demanded the debenture. However, the Bank’s demands certainly indicate that it had concerns </w:t>
      </w:r>
      <w:r w:rsidR="00A27DDB">
        <w:rPr>
          <w:rFonts w:ascii="Avenir Next" w:hAnsi="Avenir Next" w:cs="Arial"/>
          <w:color w:val="7B7B7B" w:themeColor="accent3" w:themeShade="BF"/>
          <w:sz w:val="22"/>
          <w:szCs w:val="22"/>
          <w:lang w:val="en-GB"/>
        </w:rPr>
        <w:t xml:space="preserve">over the financial stability of the Company. </w:t>
      </w:r>
    </w:p>
    <w:p w14:paraId="1DA271F3" w14:textId="77777777" w:rsidR="003B0387" w:rsidRDefault="003B0387" w:rsidP="00197F24">
      <w:pPr>
        <w:jc w:val="both"/>
        <w:rPr>
          <w:rFonts w:ascii="Avenir Next" w:hAnsi="Avenir Next" w:cs="Arial"/>
          <w:color w:val="7B7B7B" w:themeColor="accent3" w:themeShade="BF"/>
          <w:sz w:val="22"/>
          <w:szCs w:val="22"/>
          <w:lang w:val="en-GB"/>
        </w:rPr>
      </w:pPr>
    </w:p>
    <w:p w14:paraId="2A97EEB7" w14:textId="6A332EFE" w:rsidR="00565B7D" w:rsidRPr="00D9006E" w:rsidRDefault="00A27DD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Giving that the debenture was granted in June 2023 and the winding up order was issued on 13 June 2024, </w:t>
      </w:r>
      <w:r w:rsidR="00764098">
        <w:rPr>
          <w:rFonts w:ascii="Avenir Next" w:hAnsi="Avenir Next" w:cs="Arial"/>
          <w:color w:val="7B7B7B" w:themeColor="accent3" w:themeShade="BF"/>
          <w:sz w:val="22"/>
          <w:szCs w:val="22"/>
          <w:lang w:val="en-GB"/>
        </w:rPr>
        <w:t xml:space="preserve">which is less </w:t>
      </w:r>
      <w:r>
        <w:rPr>
          <w:rFonts w:ascii="Avenir Next" w:hAnsi="Avenir Next" w:cs="Arial"/>
          <w:color w:val="7B7B7B" w:themeColor="accent3" w:themeShade="BF"/>
          <w:sz w:val="22"/>
          <w:szCs w:val="22"/>
          <w:lang w:val="en-GB"/>
        </w:rPr>
        <w:t xml:space="preserve">than 12 months prior to the onset of insolvency, </w:t>
      </w:r>
      <w:r w:rsidR="00764098">
        <w:rPr>
          <w:rFonts w:ascii="Avenir Next" w:hAnsi="Avenir Next" w:cs="Arial"/>
          <w:color w:val="7B7B7B" w:themeColor="accent3" w:themeShade="BF"/>
          <w:sz w:val="22"/>
          <w:szCs w:val="22"/>
          <w:lang w:val="en-GB"/>
        </w:rPr>
        <w:t xml:space="preserve">provided that </w:t>
      </w:r>
      <w:r>
        <w:rPr>
          <w:rFonts w:ascii="Avenir Next" w:hAnsi="Avenir Next" w:cs="Arial"/>
          <w:color w:val="7B7B7B" w:themeColor="accent3" w:themeShade="BF"/>
          <w:sz w:val="22"/>
          <w:szCs w:val="22"/>
          <w:lang w:val="en-GB"/>
        </w:rPr>
        <w:t>the Company satisf</w:t>
      </w:r>
      <w:r w:rsidR="00764098">
        <w:rPr>
          <w:rFonts w:ascii="Avenir Next" w:hAnsi="Avenir Next" w:cs="Arial"/>
          <w:color w:val="7B7B7B" w:themeColor="accent3" w:themeShade="BF"/>
          <w:sz w:val="22"/>
          <w:szCs w:val="22"/>
          <w:lang w:val="en-GB"/>
        </w:rPr>
        <w:t>ied</w:t>
      </w:r>
      <w:r>
        <w:rPr>
          <w:rFonts w:ascii="Avenir Next" w:hAnsi="Avenir Next" w:cs="Arial"/>
          <w:color w:val="7B7B7B" w:themeColor="accent3" w:themeShade="BF"/>
          <w:sz w:val="22"/>
          <w:szCs w:val="22"/>
          <w:lang w:val="en-GB"/>
        </w:rPr>
        <w:t xml:space="preserve"> the requirements of section 123 of the Insolvency Act at the time the debenture was granted, the liquidator has a strong case to avoid the charge</w:t>
      </w:r>
      <w:r w:rsidR="007912AA">
        <w:rPr>
          <w:rFonts w:ascii="Avenir Next" w:hAnsi="Avenir Next" w:cs="Arial"/>
          <w:color w:val="7B7B7B" w:themeColor="accent3" w:themeShade="BF"/>
          <w:sz w:val="22"/>
          <w:szCs w:val="22"/>
          <w:lang w:val="en-GB"/>
        </w:rPr>
        <w:t xml:space="preserve"> by making an application to the court</w:t>
      </w:r>
      <w:r>
        <w:rPr>
          <w:rFonts w:ascii="Avenir Next" w:hAnsi="Avenir Next" w:cs="Arial"/>
          <w:color w:val="7B7B7B" w:themeColor="accent3" w:themeShade="BF"/>
          <w:sz w:val="22"/>
          <w:szCs w:val="22"/>
          <w:lang w:val="en-GB"/>
        </w:rPr>
        <w:t xml:space="preserve">. </w:t>
      </w:r>
    </w:p>
    <w:p w14:paraId="7179C7FF" w14:textId="77777777" w:rsidR="00971B8B" w:rsidRDefault="00971B8B" w:rsidP="00197F24">
      <w:pPr>
        <w:jc w:val="both"/>
        <w:rPr>
          <w:rFonts w:ascii="Avenir Next" w:hAnsi="Avenir Next" w:cs="Arial"/>
          <w:color w:val="7B7B7B" w:themeColor="accent3" w:themeShade="BF"/>
          <w:sz w:val="22"/>
          <w:szCs w:val="22"/>
          <w:lang w:val="en-GB"/>
        </w:rPr>
      </w:pPr>
    </w:p>
    <w:p w14:paraId="74C366AC" w14:textId="39F282AE" w:rsidR="007E2919" w:rsidRPr="004A15BD" w:rsidRDefault="001427E0" w:rsidP="004A15BD">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w:t>
      </w: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B7C5B1F"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p>
    <w:p w14:paraId="78CA5A7B" w14:textId="7BC31BB4" w:rsidR="007E2919" w:rsidRPr="006925C1" w:rsidRDefault="007E2919" w:rsidP="007E2919">
      <w:pPr>
        <w:rPr>
          <w:rFonts w:ascii="Avenir Next" w:hAnsi="Avenir Next" w:cs="Arial"/>
          <w:b/>
          <w:sz w:val="22"/>
          <w:szCs w:val="22"/>
        </w:rPr>
      </w:pPr>
    </w:p>
    <w:p w14:paraId="11FBDB69" w14:textId="0D57789D" w:rsidR="00BA756C"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170F8B">
        <w:rPr>
          <w:rFonts w:ascii="Avenir Next" w:hAnsi="Avenir Next" w:cs="Arial"/>
          <w:color w:val="7B7B7B" w:themeColor="accent3" w:themeShade="BF"/>
          <w:sz w:val="22"/>
          <w:szCs w:val="22"/>
          <w:lang w:val="en-GB"/>
        </w:rPr>
        <w:t xml:space="preserve">The liquidator could seek to unwind this transaction as transaction at undervalue pursuant to section 238 of the Insolvency Act. </w:t>
      </w:r>
      <w:r w:rsidR="00364ABD">
        <w:rPr>
          <w:rFonts w:ascii="Avenir Next" w:hAnsi="Avenir Next" w:cs="Arial"/>
          <w:color w:val="7B7B7B" w:themeColor="accent3" w:themeShade="BF"/>
          <w:sz w:val="22"/>
          <w:szCs w:val="22"/>
          <w:lang w:val="en-GB"/>
        </w:rPr>
        <w:t xml:space="preserve"> Under section 238, a liquidator may attack a transaction which was entered prior to the company entered into liquidation where the transaction was at an undervalue by demonstrating, in particular, that </w:t>
      </w:r>
      <w:r w:rsidR="006700A2">
        <w:rPr>
          <w:rFonts w:ascii="Avenir Next" w:hAnsi="Avenir Next" w:cs="Arial"/>
          <w:color w:val="7B7B7B" w:themeColor="accent3" w:themeShade="BF"/>
          <w:sz w:val="22"/>
          <w:szCs w:val="22"/>
          <w:lang w:val="en-GB"/>
        </w:rPr>
        <w:t xml:space="preserve">the company </w:t>
      </w:r>
      <w:r w:rsidR="004D0C79">
        <w:rPr>
          <w:rFonts w:ascii="Avenir Next" w:hAnsi="Avenir Next" w:cs="Arial"/>
          <w:color w:val="7B7B7B" w:themeColor="accent3" w:themeShade="BF"/>
          <w:sz w:val="22"/>
          <w:szCs w:val="22"/>
          <w:lang w:val="en-GB"/>
        </w:rPr>
        <w:t xml:space="preserve"> </w:t>
      </w:r>
      <w:r w:rsidR="006700A2">
        <w:rPr>
          <w:rFonts w:ascii="Avenir Next" w:hAnsi="Avenir Next" w:cs="Arial"/>
          <w:color w:val="7B7B7B" w:themeColor="accent3" w:themeShade="BF"/>
          <w:sz w:val="22"/>
          <w:szCs w:val="22"/>
          <w:lang w:val="en-GB"/>
        </w:rPr>
        <w:t xml:space="preserve">entered into a transaction </w:t>
      </w:r>
      <w:r w:rsidR="004D0C79">
        <w:rPr>
          <w:rFonts w:ascii="Avenir Next" w:hAnsi="Avenir Next" w:cs="Arial"/>
          <w:color w:val="7B7B7B" w:themeColor="accent3" w:themeShade="BF"/>
          <w:sz w:val="22"/>
          <w:szCs w:val="22"/>
          <w:lang w:val="en-GB"/>
        </w:rPr>
        <w:t>(i) at the relevant time  (ii)</w:t>
      </w:r>
      <w:r w:rsidR="006700A2">
        <w:rPr>
          <w:rFonts w:ascii="Avenir Next" w:hAnsi="Avenir Next" w:cs="Arial"/>
          <w:color w:val="7B7B7B" w:themeColor="accent3" w:themeShade="BF"/>
          <w:sz w:val="22"/>
          <w:szCs w:val="22"/>
          <w:lang w:val="en-GB"/>
        </w:rPr>
        <w:t>with another person for a consideration which, in money or money’s worth, was, at the date of that consideration, significantly less than the value, in money or money’s worth, of the consideration provided by the company.</w:t>
      </w:r>
      <w:r w:rsidR="00BA756C">
        <w:rPr>
          <w:rFonts w:ascii="Avenir Next" w:hAnsi="Avenir Next" w:cs="Arial"/>
          <w:color w:val="7B7B7B" w:themeColor="accent3" w:themeShade="BF"/>
          <w:sz w:val="22"/>
          <w:szCs w:val="22"/>
          <w:lang w:val="en-GB"/>
        </w:rPr>
        <w:t xml:space="preserve">  The relevant time for the purposes of this section is any time which is in the period of two years prior to the commencement of the liquidation. Based on the fact</w:t>
      </w:r>
      <w:r w:rsidR="005B405E">
        <w:rPr>
          <w:rFonts w:ascii="Avenir Next" w:hAnsi="Avenir Next" w:cs="Arial"/>
          <w:color w:val="7B7B7B" w:themeColor="accent3" w:themeShade="BF"/>
          <w:sz w:val="22"/>
          <w:szCs w:val="22"/>
          <w:lang w:val="en-GB"/>
        </w:rPr>
        <w:t>s</w:t>
      </w:r>
      <w:r w:rsidR="00BA756C">
        <w:rPr>
          <w:rFonts w:ascii="Avenir Next" w:hAnsi="Avenir Next" w:cs="Arial"/>
          <w:color w:val="7B7B7B" w:themeColor="accent3" w:themeShade="BF"/>
          <w:sz w:val="22"/>
          <w:szCs w:val="22"/>
          <w:lang w:val="en-GB"/>
        </w:rPr>
        <w:t xml:space="preserve">, the sale of the laser cutting machines </w:t>
      </w:r>
      <w:r w:rsidR="005B405E">
        <w:rPr>
          <w:rFonts w:ascii="Avenir Next" w:hAnsi="Avenir Next" w:cs="Arial"/>
          <w:color w:val="7B7B7B" w:themeColor="accent3" w:themeShade="BF"/>
          <w:sz w:val="22"/>
          <w:szCs w:val="22"/>
          <w:lang w:val="en-GB"/>
        </w:rPr>
        <w:t xml:space="preserve">seems to have occurred </w:t>
      </w:r>
      <w:r w:rsidR="00BA756C">
        <w:rPr>
          <w:rFonts w:ascii="Avenir Next" w:hAnsi="Avenir Next" w:cs="Arial"/>
          <w:color w:val="7B7B7B" w:themeColor="accent3" w:themeShade="BF"/>
          <w:sz w:val="22"/>
          <w:szCs w:val="22"/>
          <w:lang w:val="en-GB"/>
        </w:rPr>
        <w:t xml:space="preserve">in January 2023, </w:t>
      </w:r>
      <w:r w:rsidR="005B405E">
        <w:rPr>
          <w:rFonts w:ascii="Avenir Next" w:hAnsi="Avenir Next" w:cs="Arial"/>
          <w:color w:val="7B7B7B" w:themeColor="accent3" w:themeShade="BF"/>
          <w:sz w:val="22"/>
          <w:szCs w:val="22"/>
          <w:lang w:val="en-GB"/>
        </w:rPr>
        <w:t>which is</w:t>
      </w:r>
      <w:r w:rsidR="00BA756C">
        <w:rPr>
          <w:rFonts w:ascii="Avenir Next" w:hAnsi="Avenir Next" w:cs="Arial"/>
          <w:color w:val="7B7B7B" w:themeColor="accent3" w:themeShade="BF"/>
          <w:sz w:val="22"/>
          <w:szCs w:val="22"/>
          <w:lang w:val="en-GB"/>
        </w:rPr>
        <w:t xml:space="preserve"> 1 year prior to the onset of insolvency. </w:t>
      </w:r>
    </w:p>
    <w:p w14:paraId="1FC01E30" w14:textId="77777777" w:rsidR="00BA756C" w:rsidRDefault="00BA756C" w:rsidP="00197F24">
      <w:pPr>
        <w:jc w:val="both"/>
        <w:rPr>
          <w:rFonts w:ascii="Avenir Next" w:hAnsi="Avenir Next" w:cs="Arial"/>
          <w:color w:val="7B7B7B" w:themeColor="accent3" w:themeShade="BF"/>
          <w:sz w:val="22"/>
          <w:szCs w:val="22"/>
          <w:lang w:val="en-GB"/>
        </w:rPr>
      </w:pPr>
    </w:p>
    <w:p w14:paraId="2048FCA2" w14:textId="48A2B5D1" w:rsidR="00197F24" w:rsidRPr="00197F24" w:rsidRDefault="00BA756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238 requires that at the time the transaction was entered into, either the company was unable to pay its debts as they fell due within the meaning of section 123 or become unable to pay its debts within the meaning of that section in consequence of the transaction. </w:t>
      </w:r>
      <w:r w:rsidR="00B1508E">
        <w:rPr>
          <w:rFonts w:ascii="Avenir Next" w:hAnsi="Avenir Next" w:cs="Arial"/>
          <w:color w:val="7B7B7B" w:themeColor="accent3" w:themeShade="BF"/>
          <w:sz w:val="22"/>
          <w:szCs w:val="22"/>
          <w:lang w:val="en-GB"/>
        </w:rPr>
        <w:t xml:space="preserve"> However, in the current scenario, the sale transaction was made with the director, who is a connected person to the Company. </w:t>
      </w:r>
      <w:r w:rsidR="00644D31">
        <w:rPr>
          <w:rFonts w:ascii="Avenir Next" w:hAnsi="Avenir Next" w:cs="Arial"/>
          <w:color w:val="7B7B7B" w:themeColor="accent3" w:themeShade="BF"/>
          <w:sz w:val="22"/>
          <w:szCs w:val="22"/>
          <w:lang w:val="en-GB"/>
        </w:rPr>
        <w:lastRenderedPageBreak/>
        <w:t xml:space="preserve">In such cases the company is presumed to have been insolvent, or to have become insolvent as a result of the transaction, unless provided otherwise. On the facts, the liquidator </w:t>
      </w:r>
      <w:r w:rsidR="005E21EE">
        <w:rPr>
          <w:rFonts w:ascii="Avenir Next" w:hAnsi="Avenir Next" w:cs="Arial"/>
          <w:color w:val="7B7B7B" w:themeColor="accent3" w:themeShade="BF"/>
          <w:sz w:val="22"/>
          <w:szCs w:val="22"/>
          <w:lang w:val="en-GB"/>
        </w:rPr>
        <w:t xml:space="preserve">has a good chance to unwind this transaction by making an application to the court. However, the direction may argue that the sale was entered by the Company in good faith and for the purpose of carrying out its business, and that at the time it did so there were reasonable grounds for believing that the sale of the laser cutting machines </w:t>
      </w:r>
      <w:r w:rsidR="005746D5">
        <w:rPr>
          <w:rFonts w:ascii="Avenir Next" w:hAnsi="Avenir Next" w:cs="Arial"/>
          <w:color w:val="7B7B7B" w:themeColor="accent3" w:themeShade="BF"/>
          <w:sz w:val="22"/>
          <w:szCs w:val="22"/>
          <w:lang w:val="en-GB"/>
        </w:rPr>
        <w:t xml:space="preserve">to the director would benefit the Company. </w:t>
      </w:r>
      <w:r w:rsidR="005E21EE">
        <w:rPr>
          <w:rFonts w:ascii="Avenir Next" w:hAnsi="Avenir Next" w:cs="Arial"/>
          <w:color w:val="7B7B7B" w:themeColor="accent3" w:themeShade="BF"/>
          <w:sz w:val="22"/>
          <w:szCs w:val="22"/>
          <w:lang w:val="en-GB"/>
        </w:rPr>
        <w:t xml:space="preserve"> </w:t>
      </w:r>
      <w:r w:rsidR="00197F24" w:rsidRPr="00197F24">
        <w:rPr>
          <w:rFonts w:ascii="Avenir Next" w:hAnsi="Avenir Next" w:cs="Arial"/>
          <w:color w:val="7B7B7B" w:themeColor="accent3" w:themeShade="BF"/>
          <w:sz w:val="22"/>
          <w:szCs w:val="22"/>
          <w:lang w:val="en-GB"/>
        </w:rPr>
        <w:t>]</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2003EC20" w14:textId="6F230EE8" w:rsidR="008766AA"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w:t>
      </w:r>
      <w:r w:rsidR="006646F5">
        <w:rPr>
          <w:rFonts w:ascii="Avenir Next" w:hAnsi="Avenir Next" w:cs="Arial"/>
          <w:color w:val="7B7B7B" w:themeColor="accent3" w:themeShade="BF"/>
          <w:sz w:val="22"/>
          <w:szCs w:val="22"/>
          <w:lang w:val="en-GB"/>
        </w:rPr>
        <w:t xml:space="preserve">The liquidator could seek to argue that </w:t>
      </w:r>
      <w:r w:rsidR="00F85809">
        <w:rPr>
          <w:rFonts w:ascii="Avenir Next" w:hAnsi="Avenir Next" w:cs="Arial"/>
          <w:color w:val="7B7B7B" w:themeColor="accent3" w:themeShade="BF"/>
          <w:sz w:val="22"/>
          <w:szCs w:val="22"/>
          <w:lang w:val="en-GB"/>
        </w:rPr>
        <w:t>the payments to Aluminium Alumini ltd</w:t>
      </w:r>
      <w:r w:rsidR="008766AA">
        <w:rPr>
          <w:rFonts w:ascii="Avenir Next" w:hAnsi="Avenir Next" w:cs="Arial"/>
          <w:color w:val="7B7B7B" w:themeColor="accent3" w:themeShade="BF"/>
          <w:sz w:val="22"/>
          <w:szCs w:val="22"/>
          <w:lang w:val="en-GB"/>
        </w:rPr>
        <w:t xml:space="preserve"> (Alumini)</w:t>
      </w:r>
      <w:r w:rsidR="00F85809">
        <w:rPr>
          <w:rFonts w:ascii="Avenir Next" w:hAnsi="Avenir Next" w:cs="Arial"/>
          <w:color w:val="7B7B7B" w:themeColor="accent3" w:themeShade="BF"/>
          <w:sz w:val="22"/>
          <w:szCs w:val="22"/>
          <w:lang w:val="en-GB"/>
        </w:rPr>
        <w:t xml:space="preserve"> is a preference transaction</w:t>
      </w:r>
      <w:r w:rsidR="0062481F">
        <w:rPr>
          <w:rFonts w:ascii="Avenir Next" w:hAnsi="Avenir Next" w:cs="Arial"/>
          <w:color w:val="7B7B7B" w:themeColor="accent3" w:themeShade="BF"/>
          <w:sz w:val="22"/>
          <w:szCs w:val="22"/>
          <w:lang w:val="en-GB"/>
        </w:rPr>
        <w:t xml:space="preserve"> within the meaning of section 239 of the Insolvency Act. </w:t>
      </w:r>
      <w:r w:rsidR="00F85809">
        <w:rPr>
          <w:rFonts w:ascii="Avenir Next" w:hAnsi="Avenir Next" w:cs="Arial"/>
          <w:color w:val="7B7B7B" w:themeColor="accent3" w:themeShade="BF"/>
          <w:sz w:val="22"/>
          <w:szCs w:val="22"/>
          <w:lang w:val="en-GB"/>
        </w:rPr>
        <w:t xml:space="preserve"> </w:t>
      </w:r>
      <w:r w:rsidRPr="00197F24">
        <w:rPr>
          <w:rFonts w:ascii="Avenir Next" w:hAnsi="Avenir Next" w:cs="Arial"/>
          <w:color w:val="7B7B7B" w:themeColor="accent3" w:themeShade="BF"/>
          <w:sz w:val="22"/>
          <w:szCs w:val="22"/>
          <w:lang w:val="en-GB"/>
        </w:rPr>
        <w:t xml:space="preserve"> </w:t>
      </w:r>
      <w:r w:rsidR="008766AA">
        <w:rPr>
          <w:rFonts w:ascii="Avenir Next" w:hAnsi="Avenir Next" w:cs="Arial"/>
          <w:color w:val="7B7B7B" w:themeColor="accent3" w:themeShade="BF"/>
          <w:sz w:val="22"/>
          <w:szCs w:val="22"/>
          <w:lang w:val="en-GB"/>
        </w:rPr>
        <w:t xml:space="preserve">In order to succeed on an application under this section, the liquidator must demonstrate the following; </w:t>
      </w:r>
    </w:p>
    <w:p w14:paraId="2A2DD139" w14:textId="77777777" w:rsidR="008766AA" w:rsidRDefault="008766AA" w:rsidP="00CF3708">
      <w:pPr>
        <w:jc w:val="both"/>
        <w:rPr>
          <w:rFonts w:ascii="Avenir Next" w:hAnsi="Avenir Next" w:cs="Arial"/>
          <w:color w:val="7B7B7B" w:themeColor="accent3" w:themeShade="BF"/>
          <w:sz w:val="22"/>
          <w:szCs w:val="22"/>
          <w:lang w:val="en-GB"/>
        </w:rPr>
      </w:pPr>
    </w:p>
    <w:p w14:paraId="19D7C692" w14:textId="7F22A514" w:rsidR="008766AA" w:rsidRDefault="008766AA" w:rsidP="008766AA">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Alumini was a creditor of the Company</w:t>
      </w:r>
      <w:r w:rsidR="009B3A0F">
        <w:rPr>
          <w:rFonts w:ascii="Avenir Next" w:hAnsi="Avenir Next" w:cs="Arial"/>
          <w:color w:val="7B7B7B" w:themeColor="accent3" w:themeShade="BF"/>
          <w:sz w:val="22"/>
          <w:szCs w:val="22"/>
          <w:lang w:val="en-GB"/>
        </w:rPr>
        <w:t xml:space="preserve"> </w:t>
      </w:r>
      <w:r w:rsidR="009B3A0F">
        <w:rPr>
          <w:rFonts w:ascii="Avenir Next" w:hAnsi="Avenir Next" w:cs="Arial"/>
          <w:color w:val="7B7B7B" w:themeColor="accent3" w:themeShade="BF"/>
          <w:sz w:val="22"/>
          <w:szCs w:val="22"/>
          <w:lang w:val="en-GB"/>
        </w:rPr>
        <w:t>at the time of the payment transactions</w:t>
      </w:r>
    </w:p>
    <w:p w14:paraId="480F20EB" w14:textId="445B2907" w:rsidR="00B435CE" w:rsidRDefault="008766AA" w:rsidP="008766AA">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payments made by the Company had the effect of </w:t>
      </w:r>
      <w:r w:rsidR="009B3A0F">
        <w:rPr>
          <w:rFonts w:ascii="Avenir Next" w:hAnsi="Avenir Next" w:cs="Arial"/>
          <w:color w:val="7B7B7B" w:themeColor="accent3" w:themeShade="BF"/>
          <w:sz w:val="22"/>
          <w:szCs w:val="22"/>
          <w:lang w:val="en-GB"/>
        </w:rPr>
        <w:t xml:space="preserve">placing </w:t>
      </w:r>
      <w:r>
        <w:rPr>
          <w:rFonts w:ascii="Avenir Next" w:hAnsi="Avenir Next" w:cs="Arial"/>
          <w:color w:val="7B7B7B" w:themeColor="accent3" w:themeShade="BF"/>
          <w:sz w:val="22"/>
          <w:szCs w:val="22"/>
          <w:lang w:val="en-GB"/>
        </w:rPr>
        <w:t xml:space="preserve">Alumini in a better position </w:t>
      </w:r>
      <w:r w:rsidR="00B435CE">
        <w:rPr>
          <w:rFonts w:ascii="Avenir Next" w:hAnsi="Avenir Next" w:cs="Arial"/>
          <w:color w:val="7B7B7B" w:themeColor="accent3" w:themeShade="BF"/>
          <w:sz w:val="22"/>
          <w:szCs w:val="22"/>
          <w:lang w:val="en-GB"/>
        </w:rPr>
        <w:t xml:space="preserve">that </w:t>
      </w:r>
      <w:r w:rsidR="00F0550C">
        <w:rPr>
          <w:rFonts w:ascii="Avenir Next" w:hAnsi="Avenir Next" w:cs="Arial"/>
          <w:color w:val="7B7B7B" w:themeColor="accent3" w:themeShade="BF"/>
          <w:sz w:val="22"/>
          <w:szCs w:val="22"/>
          <w:lang w:val="en-GB"/>
        </w:rPr>
        <w:t>it would have been in if the preference had not been given</w:t>
      </w:r>
    </w:p>
    <w:p w14:paraId="2BD36D84" w14:textId="4425979D" w:rsidR="00CB3412" w:rsidRDefault="00CB3412" w:rsidP="008766AA">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Company, in making the payments, </w:t>
      </w:r>
      <w:r w:rsidR="009B3A0F">
        <w:rPr>
          <w:rFonts w:ascii="Avenir Next" w:hAnsi="Avenir Next" w:cs="Arial"/>
          <w:color w:val="7B7B7B" w:themeColor="accent3" w:themeShade="BF"/>
          <w:sz w:val="22"/>
          <w:szCs w:val="22"/>
          <w:lang w:val="en-GB"/>
        </w:rPr>
        <w:t xml:space="preserve">was </w:t>
      </w:r>
      <w:r>
        <w:rPr>
          <w:rFonts w:ascii="Avenir Next" w:hAnsi="Avenir Next" w:cs="Arial"/>
          <w:color w:val="7B7B7B" w:themeColor="accent3" w:themeShade="BF"/>
          <w:sz w:val="22"/>
          <w:szCs w:val="22"/>
          <w:lang w:val="en-GB"/>
        </w:rPr>
        <w:t xml:space="preserve">influenced by a desire to prefer Alimini over other creditors </w:t>
      </w:r>
    </w:p>
    <w:p w14:paraId="4B3BEA32" w14:textId="77777777" w:rsidR="005C5D0A" w:rsidRDefault="00CB3412" w:rsidP="008766AA">
      <w:pPr>
        <w:pStyle w:val="ListParagraph"/>
        <w:numPr>
          <w:ilvl w:val="0"/>
          <w:numId w:val="27"/>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preference was given at a relevant time. </w:t>
      </w:r>
    </w:p>
    <w:p w14:paraId="3C615F68" w14:textId="77777777" w:rsidR="005C5D0A" w:rsidRDefault="005C5D0A" w:rsidP="005C5D0A">
      <w:pPr>
        <w:ind w:left="360"/>
        <w:jc w:val="both"/>
        <w:rPr>
          <w:rFonts w:ascii="Avenir Next" w:hAnsi="Avenir Next" w:cs="Arial"/>
          <w:color w:val="7B7B7B" w:themeColor="accent3" w:themeShade="BF"/>
          <w:sz w:val="22"/>
          <w:szCs w:val="22"/>
          <w:lang w:val="en-GB"/>
        </w:rPr>
      </w:pPr>
    </w:p>
    <w:p w14:paraId="125E523C" w14:textId="59B37F83" w:rsidR="00F0550C" w:rsidRDefault="005C5D0A" w:rsidP="005C5D0A">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burden of proof in relation to the above matters will be rested on the liquidator.  </w:t>
      </w:r>
      <w:r w:rsidR="00F0550C">
        <w:rPr>
          <w:rFonts w:ascii="Avenir Next" w:hAnsi="Avenir Next" w:cs="Arial"/>
          <w:color w:val="7B7B7B" w:themeColor="accent3" w:themeShade="BF"/>
          <w:sz w:val="22"/>
          <w:szCs w:val="22"/>
          <w:lang w:val="en-GB"/>
        </w:rPr>
        <w:t>For a preference to be actionable</w:t>
      </w:r>
      <w:r w:rsidR="00C64017">
        <w:rPr>
          <w:rFonts w:ascii="Avenir Next" w:hAnsi="Avenir Next" w:cs="Arial"/>
          <w:color w:val="7B7B7B" w:themeColor="accent3" w:themeShade="BF"/>
          <w:sz w:val="22"/>
          <w:szCs w:val="22"/>
          <w:lang w:val="en-GB"/>
        </w:rPr>
        <w:t>,</w:t>
      </w:r>
      <w:r w:rsidR="00F0550C">
        <w:rPr>
          <w:rFonts w:ascii="Avenir Next" w:hAnsi="Avenir Next" w:cs="Arial"/>
          <w:color w:val="7B7B7B" w:themeColor="accent3" w:themeShade="BF"/>
          <w:sz w:val="22"/>
          <w:szCs w:val="22"/>
          <w:lang w:val="en-GB"/>
        </w:rPr>
        <w:t xml:space="preserve"> it must have occurred within the six months prior to the onset of insolvency</w:t>
      </w:r>
      <w:r w:rsidR="00C13041">
        <w:rPr>
          <w:rFonts w:ascii="Avenir Next" w:hAnsi="Avenir Next" w:cs="Arial"/>
          <w:color w:val="7B7B7B" w:themeColor="accent3" w:themeShade="BF"/>
          <w:sz w:val="22"/>
          <w:szCs w:val="22"/>
          <w:lang w:val="en-GB"/>
        </w:rPr>
        <w:t xml:space="preserve"> </w:t>
      </w:r>
      <w:r w:rsidR="00F0550C">
        <w:rPr>
          <w:rFonts w:ascii="Avenir Next" w:hAnsi="Avenir Next" w:cs="Arial"/>
          <w:color w:val="7B7B7B" w:themeColor="accent3" w:themeShade="BF"/>
          <w:sz w:val="22"/>
          <w:szCs w:val="22"/>
          <w:lang w:val="en-GB"/>
        </w:rPr>
        <w:t xml:space="preserve"> if made in favour of a person not connected to the company</w:t>
      </w:r>
      <w:r w:rsidR="00C13041">
        <w:rPr>
          <w:rFonts w:ascii="Avenir Next" w:hAnsi="Avenir Next" w:cs="Arial"/>
          <w:color w:val="7B7B7B" w:themeColor="accent3" w:themeShade="BF"/>
          <w:sz w:val="22"/>
          <w:szCs w:val="22"/>
          <w:lang w:val="en-GB"/>
        </w:rPr>
        <w:t xml:space="preserve">. In this scenario the payments were made once month before the onset of insolvency. There is nothing to suggest that Alumini is in any way connected to the Company. </w:t>
      </w:r>
    </w:p>
    <w:p w14:paraId="6A9CD2A5" w14:textId="4BABFB96" w:rsidR="00F0550C" w:rsidRDefault="0033679A" w:rsidP="005C5D0A">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w:t>
      </w:r>
    </w:p>
    <w:p w14:paraId="5AB3225B" w14:textId="49F6ECD9" w:rsidR="00CF3708" w:rsidRDefault="005C5D0A" w:rsidP="005C5D0A">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should be noted that the fact that pressure was applied by Alimini is not relevant for the purposes of determining the preference.  Pressure should be considered relevant only to whether the is the requisite desire</w:t>
      </w:r>
      <w:r w:rsidR="00FB71DF">
        <w:rPr>
          <w:rFonts w:ascii="Avenir Next" w:hAnsi="Avenir Next" w:cs="Arial"/>
          <w:color w:val="7B7B7B" w:themeColor="accent3" w:themeShade="BF"/>
          <w:sz w:val="22"/>
          <w:szCs w:val="22"/>
          <w:lang w:val="en-GB"/>
        </w:rPr>
        <w:t xml:space="preserve"> to prefer Alumini</w:t>
      </w:r>
      <w:r>
        <w:rPr>
          <w:rFonts w:ascii="Avenir Next" w:hAnsi="Avenir Next" w:cs="Arial"/>
          <w:color w:val="7B7B7B" w:themeColor="accent3" w:themeShade="BF"/>
          <w:sz w:val="22"/>
          <w:szCs w:val="22"/>
          <w:lang w:val="en-GB"/>
        </w:rPr>
        <w:t xml:space="preserve">. </w:t>
      </w:r>
      <w:r w:rsidR="00555B2B">
        <w:rPr>
          <w:rFonts w:ascii="Avenir Next" w:hAnsi="Avenir Next" w:cs="Arial"/>
          <w:color w:val="7B7B7B" w:themeColor="accent3" w:themeShade="BF"/>
          <w:sz w:val="22"/>
          <w:szCs w:val="22"/>
          <w:lang w:val="en-GB"/>
        </w:rPr>
        <w:t xml:space="preserve"> The company must have been influenced by the desire to put the preferred party into a position which, in the event of the company going into insolvent liquidation, would be better that the position it would have been in if the preference had not been given. </w:t>
      </w:r>
    </w:p>
    <w:p w14:paraId="3848BE26" w14:textId="77777777" w:rsidR="00C64017" w:rsidRDefault="00C64017" w:rsidP="005C5D0A">
      <w:pPr>
        <w:ind w:left="360"/>
        <w:jc w:val="both"/>
        <w:rPr>
          <w:rFonts w:ascii="Avenir Next" w:hAnsi="Avenir Next" w:cs="Arial"/>
          <w:color w:val="7B7B7B" w:themeColor="accent3" w:themeShade="BF"/>
          <w:sz w:val="22"/>
          <w:szCs w:val="22"/>
          <w:lang w:val="en-GB"/>
        </w:rPr>
      </w:pPr>
    </w:p>
    <w:p w14:paraId="29C24962" w14:textId="1AAB1082" w:rsidR="00555B2B" w:rsidRDefault="00555B2B" w:rsidP="005C5D0A">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 Millet J in Re MC Bacon Ltd provides guidance as to the meaning of the relevant desire, noting a distinction between intention, which is an objective concept , and desire, which is a subjective one. </w:t>
      </w:r>
      <w:r w:rsidR="00341BD5">
        <w:rPr>
          <w:rFonts w:ascii="Avenir Next" w:hAnsi="Avenir Next" w:cs="Arial"/>
          <w:color w:val="7B7B7B" w:themeColor="accent3" w:themeShade="BF"/>
          <w:sz w:val="22"/>
          <w:szCs w:val="22"/>
          <w:lang w:val="en-GB"/>
        </w:rPr>
        <w:t xml:space="preserve">Therefore, an intention to grant security to a creditor necessarily involves ab intention to prefer that creditor in the event of insolvency. </w:t>
      </w:r>
    </w:p>
    <w:p w14:paraId="67FCEEDD" w14:textId="77777777" w:rsidR="00341BD5" w:rsidRDefault="00341BD5" w:rsidP="005C5D0A">
      <w:pPr>
        <w:ind w:left="360"/>
        <w:jc w:val="both"/>
        <w:rPr>
          <w:rFonts w:ascii="Avenir Next" w:hAnsi="Avenir Next" w:cs="Arial"/>
          <w:color w:val="7B7B7B" w:themeColor="accent3" w:themeShade="BF"/>
          <w:sz w:val="22"/>
          <w:szCs w:val="22"/>
          <w:lang w:val="en-GB"/>
        </w:rPr>
      </w:pPr>
    </w:p>
    <w:p w14:paraId="41D02890" w14:textId="562F97E9" w:rsidR="00341BD5" w:rsidRPr="005C5D0A" w:rsidRDefault="00341BD5" w:rsidP="005C5D0A">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MC Bacon</w:t>
      </w:r>
      <w:r w:rsidR="00C64017">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it was found that the company was entirely dependent upon bank support for continued trading, if the bank withdrew its support, the company would be forced into immediate liquidation, the granting of the debenture was motivated not by a desire to prefer the bank, but by the desire to avoid the calling in of the overdraft and the continuation of trading by the company. </w:t>
      </w:r>
      <w:r w:rsidR="00EB51A9">
        <w:rPr>
          <w:rFonts w:ascii="Avenir Next" w:hAnsi="Avenir Next" w:cs="Arial"/>
          <w:color w:val="7B7B7B" w:themeColor="accent3" w:themeShade="BF"/>
          <w:sz w:val="22"/>
          <w:szCs w:val="22"/>
          <w:lang w:val="en-GB"/>
        </w:rPr>
        <w:t xml:space="preserve"> Furthermore, in subsequent decisions, it has been held that where the company influenced solely by the commercial considerations, specifically attempts to ensure that the company continued trading, there could be no desire to prefer. </w:t>
      </w:r>
      <w:r>
        <w:rPr>
          <w:rFonts w:ascii="Avenir Next" w:hAnsi="Avenir Next" w:cs="Arial"/>
          <w:color w:val="7B7B7B" w:themeColor="accent3" w:themeShade="BF"/>
          <w:sz w:val="22"/>
          <w:szCs w:val="22"/>
          <w:lang w:val="en-GB"/>
        </w:rPr>
        <w:t xml:space="preserve"> It is clear from the current scenario that </w:t>
      </w:r>
      <w:r w:rsidRPr="00341BD5">
        <w:rPr>
          <w:rFonts w:ascii="Avenir Next" w:hAnsi="Avenir Next" w:cs="Arial"/>
          <w:color w:val="7B7B7B" w:themeColor="accent3" w:themeShade="BF"/>
          <w:sz w:val="22"/>
          <w:szCs w:val="22"/>
          <w:lang w:val="en-GB"/>
        </w:rPr>
        <w:t xml:space="preserve">the continued supply of metal </w:t>
      </w:r>
      <w:r>
        <w:rPr>
          <w:rFonts w:ascii="Avenir Next" w:hAnsi="Avenir Next" w:cs="Arial"/>
          <w:color w:val="7B7B7B" w:themeColor="accent3" w:themeShade="BF"/>
          <w:sz w:val="22"/>
          <w:szCs w:val="22"/>
          <w:lang w:val="en-GB"/>
        </w:rPr>
        <w:t xml:space="preserve">was </w:t>
      </w:r>
      <w:r w:rsidRPr="00341BD5">
        <w:rPr>
          <w:rFonts w:ascii="Avenir Next" w:hAnsi="Avenir Next" w:cs="Arial"/>
          <w:color w:val="7B7B7B" w:themeColor="accent3" w:themeShade="BF"/>
          <w:sz w:val="22"/>
          <w:szCs w:val="22"/>
          <w:lang w:val="en-GB"/>
        </w:rPr>
        <w:t>essential for the Company</w:t>
      </w:r>
      <w:r w:rsidR="00D06275">
        <w:rPr>
          <w:rFonts w:ascii="Avenir Next" w:hAnsi="Avenir Next" w:cs="Arial"/>
          <w:color w:val="7B7B7B" w:themeColor="accent3" w:themeShade="BF"/>
          <w:sz w:val="22"/>
          <w:szCs w:val="22"/>
          <w:lang w:val="en-GB"/>
        </w:rPr>
        <w:t xml:space="preserve"> and it might be hard for the liquidator to argue that the Company was not influenced solely by commercial considerations. </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Source Sans Pro">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502B6F12" w:rsidR="00241FA3" w:rsidRPr="00A84235" w:rsidRDefault="001A08CD" w:rsidP="009B4976">
    <w:pPr>
      <w:pStyle w:val="Footer"/>
      <w:ind w:right="360"/>
      <w:rPr>
        <w:rFonts w:ascii="Avenir Next" w:hAnsi="Avenir Next" w:cs="Arial"/>
        <w:sz w:val="22"/>
        <w:szCs w:val="22"/>
        <w:lang w:val="en-GB"/>
      </w:rPr>
    </w:pPr>
    <w:r w:rsidRPr="001A08CD">
      <w:rPr>
        <w:rFonts w:ascii="Avenir Next" w:hAnsi="Avenir Next" w:cs="Arial"/>
        <w:sz w:val="22"/>
        <w:szCs w:val="22"/>
        <w:lang w:val="en-GB"/>
      </w:rPr>
      <w:t>202324-1331.</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C6AF4"/>
    <w:multiLevelType w:val="multilevel"/>
    <w:tmpl w:val="A822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96E4E"/>
    <w:multiLevelType w:val="hybridMultilevel"/>
    <w:tmpl w:val="E7F2F06C"/>
    <w:lvl w:ilvl="0" w:tplc="08090017">
      <w:start w:val="1"/>
      <w:numFmt w:val="lowerLetter"/>
      <w:lvlText w:val="%1)"/>
      <w:lvlJc w:val="left"/>
      <w:pPr>
        <w:ind w:left="1491" w:hanging="360"/>
      </w:p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5" w15:restartNumberingAfterBreak="0">
    <w:nsid w:val="0BA277FC"/>
    <w:multiLevelType w:val="hybridMultilevel"/>
    <w:tmpl w:val="8D300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C0CBB"/>
    <w:multiLevelType w:val="hybridMultilevel"/>
    <w:tmpl w:val="1592F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D6F5B"/>
    <w:multiLevelType w:val="hybridMultilevel"/>
    <w:tmpl w:val="7E46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A06AA"/>
    <w:multiLevelType w:val="hybridMultilevel"/>
    <w:tmpl w:val="C91E1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32135"/>
    <w:multiLevelType w:val="hybridMultilevel"/>
    <w:tmpl w:val="162E5C6A"/>
    <w:lvl w:ilvl="0" w:tplc="8B2C80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31ACA"/>
    <w:multiLevelType w:val="hybridMultilevel"/>
    <w:tmpl w:val="0060D7E8"/>
    <w:lvl w:ilvl="0" w:tplc="08090017">
      <w:start w:val="1"/>
      <w:numFmt w:val="lowerLetter"/>
      <w:lvlText w:val="%1)"/>
      <w:lvlJc w:val="left"/>
      <w:pPr>
        <w:ind w:left="1491" w:hanging="360"/>
      </w:p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25" w15:restartNumberingAfterBreak="0">
    <w:nsid w:val="7F0B27DF"/>
    <w:multiLevelType w:val="hybridMultilevel"/>
    <w:tmpl w:val="C33C4974"/>
    <w:lvl w:ilvl="0" w:tplc="976A269E">
      <w:start w:val="1"/>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6" w15:restartNumberingAfterBreak="0">
    <w:nsid w:val="7F886983"/>
    <w:multiLevelType w:val="hybridMultilevel"/>
    <w:tmpl w:val="1D96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630697">
    <w:abstractNumId w:val="6"/>
  </w:num>
  <w:num w:numId="2" w16cid:durableId="1279876417">
    <w:abstractNumId w:val="1"/>
  </w:num>
  <w:num w:numId="3" w16cid:durableId="100541089">
    <w:abstractNumId w:val="0"/>
  </w:num>
  <w:num w:numId="4" w16cid:durableId="14042412">
    <w:abstractNumId w:val="12"/>
  </w:num>
  <w:num w:numId="5" w16cid:durableId="1338728706">
    <w:abstractNumId w:val="15"/>
  </w:num>
  <w:num w:numId="6" w16cid:durableId="376245857">
    <w:abstractNumId w:val="2"/>
  </w:num>
  <w:num w:numId="7" w16cid:durableId="1396392877">
    <w:abstractNumId w:val="17"/>
  </w:num>
  <w:num w:numId="8" w16cid:durableId="1599950421">
    <w:abstractNumId w:val="22"/>
  </w:num>
  <w:num w:numId="9" w16cid:durableId="858857530">
    <w:abstractNumId w:val="13"/>
  </w:num>
  <w:num w:numId="10" w16cid:durableId="619802517">
    <w:abstractNumId w:val="23"/>
  </w:num>
  <w:num w:numId="11" w16cid:durableId="1831171333">
    <w:abstractNumId w:val="8"/>
  </w:num>
  <w:num w:numId="12" w16cid:durableId="84155222">
    <w:abstractNumId w:val="19"/>
  </w:num>
  <w:num w:numId="13" w16cid:durableId="1163352382">
    <w:abstractNumId w:val="14"/>
  </w:num>
  <w:num w:numId="14" w16cid:durableId="19356955">
    <w:abstractNumId w:val="7"/>
  </w:num>
  <w:num w:numId="15" w16cid:durableId="439304345">
    <w:abstractNumId w:val="18"/>
  </w:num>
  <w:num w:numId="16" w16cid:durableId="1126969584">
    <w:abstractNumId w:val="21"/>
  </w:num>
  <w:num w:numId="17" w16cid:durableId="1710716489">
    <w:abstractNumId w:val="10"/>
  </w:num>
  <w:num w:numId="18" w16cid:durableId="456722951">
    <w:abstractNumId w:val="11"/>
  </w:num>
  <w:num w:numId="19" w16cid:durableId="601498169">
    <w:abstractNumId w:val="5"/>
  </w:num>
  <w:num w:numId="20" w16cid:durableId="1068066109">
    <w:abstractNumId w:val="3"/>
  </w:num>
  <w:num w:numId="21" w16cid:durableId="1416051842">
    <w:abstractNumId w:val="26"/>
  </w:num>
  <w:num w:numId="22" w16cid:durableId="539437217">
    <w:abstractNumId w:val="16"/>
  </w:num>
  <w:num w:numId="23" w16cid:durableId="1333414566">
    <w:abstractNumId w:val="9"/>
  </w:num>
  <w:num w:numId="24" w16cid:durableId="1867399383">
    <w:abstractNumId w:val="25"/>
  </w:num>
  <w:num w:numId="25" w16cid:durableId="917904121">
    <w:abstractNumId w:val="4"/>
  </w:num>
  <w:num w:numId="26" w16cid:durableId="1812864965">
    <w:abstractNumId w:val="24"/>
  </w:num>
  <w:num w:numId="27" w16cid:durableId="127994577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09A4"/>
    <w:rsid w:val="00037621"/>
    <w:rsid w:val="0004444C"/>
    <w:rsid w:val="00044D46"/>
    <w:rsid w:val="00045088"/>
    <w:rsid w:val="00045904"/>
    <w:rsid w:val="000502FD"/>
    <w:rsid w:val="000574FF"/>
    <w:rsid w:val="00065166"/>
    <w:rsid w:val="00082609"/>
    <w:rsid w:val="000851CC"/>
    <w:rsid w:val="00086C55"/>
    <w:rsid w:val="00087F21"/>
    <w:rsid w:val="00093BE8"/>
    <w:rsid w:val="000A407B"/>
    <w:rsid w:val="000A68ED"/>
    <w:rsid w:val="000B11C7"/>
    <w:rsid w:val="000B5FF1"/>
    <w:rsid w:val="000B609F"/>
    <w:rsid w:val="000D10C6"/>
    <w:rsid w:val="000D4CFA"/>
    <w:rsid w:val="000D55A8"/>
    <w:rsid w:val="000D5E94"/>
    <w:rsid w:val="000E4841"/>
    <w:rsid w:val="000F1677"/>
    <w:rsid w:val="000F3D6C"/>
    <w:rsid w:val="000F797C"/>
    <w:rsid w:val="00101694"/>
    <w:rsid w:val="00101707"/>
    <w:rsid w:val="00102CC9"/>
    <w:rsid w:val="0010593A"/>
    <w:rsid w:val="0011473D"/>
    <w:rsid w:val="00115C85"/>
    <w:rsid w:val="00115FCB"/>
    <w:rsid w:val="00123855"/>
    <w:rsid w:val="00126A4D"/>
    <w:rsid w:val="00132A9F"/>
    <w:rsid w:val="0014171F"/>
    <w:rsid w:val="001427E0"/>
    <w:rsid w:val="0014622C"/>
    <w:rsid w:val="00152348"/>
    <w:rsid w:val="0015456D"/>
    <w:rsid w:val="00155FA2"/>
    <w:rsid w:val="00161F1B"/>
    <w:rsid w:val="00162829"/>
    <w:rsid w:val="00166086"/>
    <w:rsid w:val="00170F8B"/>
    <w:rsid w:val="00174DB5"/>
    <w:rsid w:val="00180548"/>
    <w:rsid w:val="00180AC4"/>
    <w:rsid w:val="00180CCE"/>
    <w:rsid w:val="00181BF0"/>
    <w:rsid w:val="0018267A"/>
    <w:rsid w:val="00182779"/>
    <w:rsid w:val="00182788"/>
    <w:rsid w:val="001830DF"/>
    <w:rsid w:val="001966D9"/>
    <w:rsid w:val="00197F24"/>
    <w:rsid w:val="001A007A"/>
    <w:rsid w:val="001A08CD"/>
    <w:rsid w:val="001A7E9A"/>
    <w:rsid w:val="001B0F70"/>
    <w:rsid w:val="001B210C"/>
    <w:rsid w:val="001B5016"/>
    <w:rsid w:val="001C45FC"/>
    <w:rsid w:val="001C7A90"/>
    <w:rsid w:val="001D0469"/>
    <w:rsid w:val="001D29C0"/>
    <w:rsid w:val="001D4862"/>
    <w:rsid w:val="001E25B9"/>
    <w:rsid w:val="001E49E0"/>
    <w:rsid w:val="001E7B5A"/>
    <w:rsid w:val="001F3716"/>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4DEF"/>
    <w:rsid w:val="0026647A"/>
    <w:rsid w:val="002668D3"/>
    <w:rsid w:val="0027299F"/>
    <w:rsid w:val="00284E09"/>
    <w:rsid w:val="00284EBE"/>
    <w:rsid w:val="002903A7"/>
    <w:rsid w:val="0029433F"/>
    <w:rsid w:val="00294829"/>
    <w:rsid w:val="0029690F"/>
    <w:rsid w:val="00297C8A"/>
    <w:rsid w:val="002A2A60"/>
    <w:rsid w:val="002A37BB"/>
    <w:rsid w:val="002B1C45"/>
    <w:rsid w:val="002B464B"/>
    <w:rsid w:val="002C13C8"/>
    <w:rsid w:val="002C1901"/>
    <w:rsid w:val="002C3547"/>
    <w:rsid w:val="002C46CB"/>
    <w:rsid w:val="002D0021"/>
    <w:rsid w:val="002D299D"/>
    <w:rsid w:val="002D3473"/>
    <w:rsid w:val="002F0E4C"/>
    <w:rsid w:val="002F1956"/>
    <w:rsid w:val="002F3440"/>
    <w:rsid w:val="002F75A3"/>
    <w:rsid w:val="002F77D6"/>
    <w:rsid w:val="00303C2F"/>
    <w:rsid w:val="00311816"/>
    <w:rsid w:val="003128B1"/>
    <w:rsid w:val="003144EF"/>
    <w:rsid w:val="00314F32"/>
    <w:rsid w:val="00326292"/>
    <w:rsid w:val="00326415"/>
    <w:rsid w:val="00330937"/>
    <w:rsid w:val="00330F31"/>
    <w:rsid w:val="00334648"/>
    <w:rsid w:val="0033679A"/>
    <w:rsid w:val="0033768C"/>
    <w:rsid w:val="00337938"/>
    <w:rsid w:val="00340769"/>
    <w:rsid w:val="00341AA6"/>
    <w:rsid w:val="00341BD5"/>
    <w:rsid w:val="00345C5F"/>
    <w:rsid w:val="00361A0A"/>
    <w:rsid w:val="00364836"/>
    <w:rsid w:val="00364ABD"/>
    <w:rsid w:val="0036565C"/>
    <w:rsid w:val="0036625E"/>
    <w:rsid w:val="0037465A"/>
    <w:rsid w:val="00382C98"/>
    <w:rsid w:val="0038410E"/>
    <w:rsid w:val="0038533C"/>
    <w:rsid w:val="00386568"/>
    <w:rsid w:val="00390137"/>
    <w:rsid w:val="00390B57"/>
    <w:rsid w:val="003948D5"/>
    <w:rsid w:val="00396821"/>
    <w:rsid w:val="00397D3A"/>
    <w:rsid w:val="003A051E"/>
    <w:rsid w:val="003A4482"/>
    <w:rsid w:val="003B0387"/>
    <w:rsid w:val="003B170F"/>
    <w:rsid w:val="003B3C5F"/>
    <w:rsid w:val="003C4471"/>
    <w:rsid w:val="003D0A6D"/>
    <w:rsid w:val="003E0B16"/>
    <w:rsid w:val="003E1BBF"/>
    <w:rsid w:val="003E67D1"/>
    <w:rsid w:val="00404329"/>
    <w:rsid w:val="00405DC1"/>
    <w:rsid w:val="00415F1F"/>
    <w:rsid w:val="0042108F"/>
    <w:rsid w:val="00430FED"/>
    <w:rsid w:val="00432390"/>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E79"/>
    <w:rsid w:val="00497462"/>
    <w:rsid w:val="004A15BD"/>
    <w:rsid w:val="004A2D83"/>
    <w:rsid w:val="004A57DD"/>
    <w:rsid w:val="004A7B51"/>
    <w:rsid w:val="004A7D71"/>
    <w:rsid w:val="004A7EF3"/>
    <w:rsid w:val="004B11FD"/>
    <w:rsid w:val="004B23A2"/>
    <w:rsid w:val="004C20E1"/>
    <w:rsid w:val="004C2ADE"/>
    <w:rsid w:val="004C7A8F"/>
    <w:rsid w:val="004D0C79"/>
    <w:rsid w:val="004D1A5A"/>
    <w:rsid w:val="004D1DDC"/>
    <w:rsid w:val="004D2FFF"/>
    <w:rsid w:val="004D3721"/>
    <w:rsid w:val="004D3E02"/>
    <w:rsid w:val="004D64F9"/>
    <w:rsid w:val="004E3A6B"/>
    <w:rsid w:val="004E622C"/>
    <w:rsid w:val="004E6251"/>
    <w:rsid w:val="004F5FDF"/>
    <w:rsid w:val="004F7BC9"/>
    <w:rsid w:val="005038A9"/>
    <w:rsid w:val="005177FE"/>
    <w:rsid w:val="00520242"/>
    <w:rsid w:val="0052263B"/>
    <w:rsid w:val="00524728"/>
    <w:rsid w:val="005331CA"/>
    <w:rsid w:val="00537970"/>
    <w:rsid w:val="00540E3A"/>
    <w:rsid w:val="00544127"/>
    <w:rsid w:val="00544BFE"/>
    <w:rsid w:val="005463A9"/>
    <w:rsid w:val="00553EB2"/>
    <w:rsid w:val="00555B2B"/>
    <w:rsid w:val="00560534"/>
    <w:rsid w:val="0056391B"/>
    <w:rsid w:val="005650E2"/>
    <w:rsid w:val="00565B7D"/>
    <w:rsid w:val="00567AD7"/>
    <w:rsid w:val="005746D5"/>
    <w:rsid w:val="00575B2D"/>
    <w:rsid w:val="00575D37"/>
    <w:rsid w:val="005833D0"/>
    <w:rsid w:val="005842C9"/>
    <w:rsid w:val="005846F3"/>
    <w:rsid w:val="0058622F"/>
    <w:rsid w:val="005925B5"/>
    <w:rsid w:val="00592F82"/>
    <w:rsid w:val="005A0CCA"/>
    <w:rsid w:val="005A1083"/>
    <w:rsid w:val="005A6FF2"/>
    <w:rsid w:val="005A726D"/>
    <w:rsid w:val="005B405E"/>
    <w:rsid w:val="005B67AC"/>
    <w:rsid w:val="005B79F4"/>
    <w:rsid w:val="005C5D0A"/>
    <w:rsid w:val="005D09BD"/>
    <w:rsid w:val="005D16DD"/>
    <w:rsid w:val="005D43E0"/>
    <w:rsid w:val="005D58A3"/>
    <w:rsid w:val="005E1B79"/>
    <w:rsid w:val="005E21EE"/>
    <w:rsid w:val="005E6076"/>
    <w:rsid w:val="005E7008"/>
    <w:rsid w:val="005F026D"/>
    <w:rsid w:val="005F2AEA"/>
    <w:rsid w:val="005F2D0B"/>
    <w:rsid w:val="005F4B31"/>
    <w:rsid w:val="006039EB"/>
    <w:rsid w:val="00605CDA"/>
    <w:rsid w:val="00610388"/>
    <w:rsid w:val="00610AC7"/>
    <w:rsid w:val="00612CA5"/>
    <w:rsid w:val="00613F86"/>
    <w:rsid w:val="006153EC"/>
    <w:rsid w:val="00621A17"/>
    <w:rsid w:val="0062481F"/>
    <w:rsid w:val="00627CC9"/>
    <w:rsid w:val="00627E7B"/>
    <w:rsid w:val="00630542"/>
    <w:rsid w:val="00632E44"/>
    <w:rsid w:val="0063381C"/>
    <w:rsid w:val="00634622"/>
    <w:rsid w:val="006361B7"/>
    <w:rsid w:val="00636665"/>
    <w:rsid w:val="00636808"/>
    <w:rsid w:val="00641515"/>
    <w:rsid w:val="00644D31"/>
    <w:rsid w:val="00654C2F"/>
    <w:rsid w:val="00657087"/>
    <w:rsid w:val="00657F61"/>
    <w:rsid w:val="006624AB"/>
    <w:rsid w:val="006639DB"/>
    <w:rsid w:val="006646F5"/>
    <w:rsid w:val="006661EF"/>
    <w:rsid w:val="00667F19"/>
    <w:rsid w:val="006700A2"/>
    <w:rsid w:val="00677AEB"/>
    <w:rsid w:val="00680EF2"/>
    <w:rsid w:val="00687A1D"/>
    <w:rsid w:val="0069112A"/>
    <w:rsid w:val="006925C1"/>
    <w:rsid w:val="00697EA1"/>
    <w:rsid w:val="006A2646"/>
    <w:rsid w:val="006A6530"/>
    <w:rsid w:val="006B31CE"/>
    <w:rsid w:val="006B435A"/>
    <w:rsid w:val="006B4C64"/>
    <w:rsid w:val="006C436E"/>
    <w:rsid w:val="006D282B"/>
    <w:rsid w:val="006D65FD"/>
    <w:rsid w:val="006D6BD5"/>
    <w:rsid w:val="006E0D3B"/>
    <w:rsid w:val="006E481A"/>
    <w:rsid w:val="006E5298"/>
    <w:rsid w:val="006F4A78"/>
    <w:rsid w:val="006F7154"/>
    <w:rsid w:val="006F734A"/>
    <w:rsid w:val="00700D83"/>
    <w:rsid w:val="00704852"/>
    <w:rsid w:val="0070524B"/>
    <w:rsid w:val="007074E9"/>
    <w:rsid w:val="00707FEA"/>
    <w:rsid w:val="00713DA4"/>
    <w:rsid w:val="00714BF1"/>
    <w:rsid w:val="00721383"/>
    <w:rsid w:val="007302B3"/>
    <w:rsid w:val="0073158B"/>
    <w:rsid w:val="007333CC"/>
    <w:rsid w:val="0073399A"/>
    <w:rsid w:val="00733A34"/>
    <w:rsid w:val="00736B8C"/>
    <w:rsid w:val="00740DAD"/>
    <w:rsid w:val="00741E85"/>
    <w:rsid w:val="00742AF3"/>
    <w:rsid w:val="007445FA"/>
    <w:rsid w:val="00750172"/>
    <w:rsid w:val="007603F5"/>
    <w:rsid w:val="00763348"/>
    <w:rsid w:val="00764098"/>
    <w:rsid w:val="00764DB0"/>
    <w:rsid w:val="00766D86"/>
    <w:rsid w:val="0076764D"/>
    <w:rsid w:val="0077498C"/>
    <w:rsid w:val="00774AD3"/>
    <w:rsid w:val="00777989"/>
    <w:rsid w:val="007809BC"/>
    <w:rsid w:val="00784128"/>
    <w:rsid w:val="0078570C"/>
    <w:rsid w:val="00787814"/>
    <w:rsid w:val="00787BCC"/>
    <w:rsid w:val="007912AA"/>
    <w:rsid w:val="00793173"/>
    <w:rsid w:val="007A2A33"/>
    <w:rsid w:val="007A5171"/>
    <w:rsid w:val="007B5C89"/>
    <w:rsid w:val="007C1FCC"/>
    <w:rsid w:val="007C6201"/>
    <w:rsid w:val="007D4798"/>
    <w:rsid w:val="007D7C92"/>
    <w:rsid w:val="007E1154"/>
    <w:rsid w:val="007E2919"/>
    <w:rsid w:val="007E46A8"/>
    <w:rsid w:val="007E6BA4"/>
    <w:rsid w:val="007E6BD0"/>
    <w:rsid w:val="007F41F8"/>
    <w:rsid w:val="007F659B"/>
    <w:rsid w:val="0080441E"/>
    <w:rsid w:val="0080454E"/>
    <w:rsid w:val="00804C32"/>
    <w:rsid w:val="00806302"/>
    <w:rsid w:val="00807119"/>
    <w:rsid w:val="0082483F"/>
    <w:rsid w:val="008279C0"/>
    <w:rsid w:val="00831550"/>
    <w:rsid w:val="0084100C"/>
    <w:rsid w:val="0085201B"/>
    <w:rsid w:val="008605A7"/>
    <w:rsid w:val="008668AC"/>
    <w:rsid w:val="00867319"/>
    <w:rsid w:val="00867701"/>
    <w:rsid w:val="00871C74"/>
    <w:rsid w:val="008723F3"/>
    <w:rsid w:val="008766AA"/>
    <w:rsid w:val="00876F56"/>
    <w:rsid w:val="00880059"/>
    <w:rsid w:val="00881DE6"/>
    <w:rsid w:val="008837A6"/>
    <w:rsid w:val="0088489C"/>
    <w:rsid w:val="0089145D"/>
    <w:rsid w:val="00891690"/>
    <w:rsid w:val="00891C91"/>
    <w:rsid w:val="008A4DF2"/>
    <w:rsid w:val="008A6CFE"/>
    <w:rsid w:val="008B5333"/>
    <w:rsid w:val="008B58D5"/>
    <w:rsid w:val="008B6223"/>
    <w:rsid w:val="008B6A18"/>
    <w:rsid w:val="008B72B8"/>
    <w:rsid w:val="008C66E0"/>
    <w:rsid w:val="008D1616"/>
    <w:rsid w:val="008E3339"/>
    <w:rsid w:val="008F20FC"/>
    <w:rsid w:val="008F5FFE"/>
    <w:rsid w:val="0090012F"/>
    <w:rsid w:val="00905A43"/>
    <w:rsid w:val="009119DF"/>
    <w:rsid w:val="00912C79"/>
    <w:rsid w:val="00921B8C"/>
    <w:rsid w:val="00924DAF"/>
    <w:rsid w:val="00931D14"/>
    <w:rsid w:val="00942123"/>
    <w:rsid w:val="0095058A"/>
    <w:rsid w:val="00951AA8"/>
    <w:rsid w:val="0095207B"/>
    <w:rsid w:val="00957E76"/>
    <w:rsid w:val="00962045"/>
    <w:rsid w:val="00971B8B"/>
    <w:rsid w:val="00972866"/>
    <w:rsid w:val="00980E61"/>
    <w:rsid w:val="00982F45"/>
    <w:rsid w:val="00991428"/>
    <w:rsid w:val="00992676"/>
    <w:rsid w:val="009954B2"/>
    <w:rsid w:val="00996691"/>
    <w:rsid w:val="009A3AB7"/>
    <w:rsid w:val="009A652D"/>
    <w:rsid w:val="009B0723"/>
    <w:rsid w:val="009B07AD"/>
    <w:rsid w:val="009B0883"/>
    <w:rsid w:val="009B15E2"/>
    <w:rsid w:val="009B3A0F"/>
    <w:rsid w:val="009B4976"/>
    <w:rsid w:val="009C0B8E"/>
    <w:rsid w:val="009C1BC8"/>
    <w:rsid w:val="009C2442"/>
    <w:rsid w:val="009C6BA8"/>
    <w:rsid w:val="009D0811"/>
    <w:rsid w:val="009D0EE1"/>
    <w:rsid w:val="009D3AF0"/>
    <w:rsid w:val="009E2AEB"/>
    <w:rsid w:val="009E2E27"/>
    <w:rsid w:val="009E45DF"/>
    <w:rsid w:val="009E4DE3"/>
    <w:rsid w:val="009F275E"/>
    <w:rsid w:val="009F53D8"/>
    <w:rsid w:val="00A047EE"/>
    <w:rsid w:val="00A05751"/>
    <w:rsid w:val="00A14496"/>
    <w:rsid w:val="00A2274A"/>
    <w:rsid w:val="00A235B7"/>
    <w:rsid w:val="00A27A7A"/>
    <w:rsid w:val="00A27DDB"/>
    <w:rsid w:val="00A34ABE"/>
    <w:rsid w:val="00A407EF"/>
    <w:rsid w:val="00A46B4C"/>
    <w:rsid w:val="00A5117B"/>
    <w:rsid w:val="00A56D34"/>
    <w:rsid w:val="00A576CC"/>
    <w:rsid w:val="00A60074"/>
    <w:rsid w:val="00A6627C"/>
    <w:rsid w:val="00A71019"/>
    <w:rsid w:val="00A81029"/>
    <w:rsid w:val="00A83408"/>
    <w:rsid w:val="00A84235"/>
    <w:rsid w:val="00A845F5"/>
    <w:rsid w:val="00A96489"/>
    <w:rsid w:val="00AA2435"/>
    <w:rsid w:val="00AB2425"/>
    <w:rsid w:val="00AB685C"/>
    <w:rsid w:val="00AB6C2D"/>
    <w:rsid w:val="00AC08F7"/>
    <w:rsid w:val="00AC317D"/>
    <w:rsid w:val="00AC3839"/>
    <w:rsid w:val="00AC7082"/>
    <w:rsid w:val="00AD4BE8"/>
    <w:rsid w:val="00AE5B6F"/>
    <w:rsid w:val="00AF228E"/>
    <w:rsid w:val="00AF2A19"/>
    <w:rsid w:val="00B016A8"/>
    <w:rsid w:val="00B04033"/>
    <w:rsid w:val="00B14819"/>
    <w:rsid w:val="00B1508E"/>
    <w:rsid w:val="00B15E2F"/>
    <w:rsid w:val="00B17AA9"/>
    <w:rsid w:val="00B435CE"/>
    <w:rsid w:val="00B44713"/>
    <w:rsid w:val="00B455E5"/>
    <w:rsid w:val="00B51B95"/>
    <w:rsid w:val="00B52598"/>
    <w:rsid w:val="00B56103"/>
    <w:rsid w:val="00B64929"/>
    <w:rsid w:val="00B736DF"/>
    <w:rsid w:val="00B743D6"/>
    <w:rsid w:val="00B74FBD"/>
    <w:rsid w:val="00B77F46"/>
    <w:rsid w:val="00B82586"/>
    <w:rsid w:val="00B829A3"/>
    <w:rsid w:val="00B86DB1"/>
    <w:rsid w:val="00B87869"/>
    <w:rsid w:val="00B9639B"/>
    <w:rsid w:val="00BA1CFD"/>
    <w:rsid w:val="00BA756C"/>
    <w:rsid w:val="00BB0F2B"/>
    <w:rsid w:val="00BB242A"/>
    <w:rsid w:val="00BC231B"/>
    <w:rsid w:val="00BC4C8D"/>
    <w:rsid w:val="00BD173F"/>
    <w:rsid w:val="00BD5EEE"/>
    <w:rsid w:val="00BE4FF3"/>
    <w:rsid w:val="00BF2C93"/>
    <w:rsid w:val="00BF3C3A"/>
    <w:rsid w:val="00BF50F7"/>
    <w:rsid w:val="00BF6641"/>
    <w:rsid w:val="00C02F29"/>
    <w:rsid w:val="00C030D2"/>
    <w:rsid w:val="00C13041"/>
    <w:rsid w:val="00C17718"/>
    <w:rsid w:val="00C20AFE"/>
    <w:rsid w:val="00C21A0B"/>
    <w:rsid w:val="00C22A25"/>
    <w:rsid w:val="00C305F5"/>
    <w:rsid w:val="00C35671"/>
    <w:rsid w:val="00C35B77"/>
    <w:rsid w:val="00C376EB"/>
    <w:rsid w:val="00C42E50"/>
    <w:rsid w:val="00C46A92"/>
    <w:rsid w:val="00C46EC1"/>
    <w:rsid w:val="00C52796"/>
    <w:rsid w:val="00C53E2C"/>
    <w:rsid w:val="00C550C8"/>
    <w:rsid w:val="00C55824"/>
    <w:rsid w:val="00C56B61"/>
    <w:rsid w:val="00C606C3"/>
    <w:rsid w:val="00C620F4"/>
    <w:rsid w:val="00C64017"/>
    <w:rsid w:val="00C72848"/>
    <w:rsid w:val="00C73F56"/>
    <w:rsid w:val="00C7736C"/>
    <w:rsid w:val="00C82D87"/>
    <w:rsid w:val="00C8712A"/>
    <w:rsid w:val="00C902C8"/>
    <w:rsid w:val="00C91062"/>
    <w:rsid w:val="00C919D1"/>
    <w:rsid w:val="00C963D3"/>
    <w:rsid w:val="00CB09F0"/>
    <w:rsid w:val="00CB1983"/>
    <w:rsid w:val="00CB2CBB"/>
    <w:rsid w:val="00CB3412"/>
    <w:rsid w:val="00CB7CAC"/>
    <w:rsid w:val="00CC5335"/>
    <w:rsid w:val="00CC5BA4"/>
    <w:rsid w:val="00CD4998"/>
    <w:rsid w:val="00CE1035"/>
    <w:rsid w:val="00CE6E50"/>
    <w:rsid w:val="00CF2819"/>
    <w:rsid w:val="00CF3708"/>
    <w:rsid w:val="00CF4F9D"/>
    <w:rsid w:val="00CF70DC"/>
    <w:rsid w:val="00D01697"/>
    <w:rsid w:val="00D06275"/>
    <w:rsid w:val="00D148DC"/>
    <w:rsid w:val="00D17FDC"/>
    <w:rsid w:val="00D21D8C"/>
    <w:rsid w:val="00D23625"/>
    <w:rsid w:val="00D53719"/>
    <w:rsid w:val="00D56632"/>
    <w:rsid w:val="00D63EFD"/>
    <w:rsid w:val="00D84752"/>
    <w:rsid w:val="00D86B3B"/>
    <w:rsid w:val="00D8748A"/>
    <w:rsid w:val="00D9006E"/>
    <w:rsid w:val="00D91A66"/>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E7F7A"/>
    <w:rsid w:val="00DF75F8"/>
    <w:rsid w:val="00DF7A3A"/>
    <w:rsid w:val="00E00C00"/>
    <w:rsid w:val="00E07C5A"/>
    <w:rsid w:val="00E15835"/>
    <w:rsid w:val="00E15BA9"/>
    <w:rsid w:val="00E20E9D"/>
    <w:rsid w:val="00E26E19"/>
    <w:rsid w:val="00E30EC9"/>
    <w:rsid w:val="00E31DF3"/>
    <w:rsid w:val="00E35C31"/>
    <w:rsid w:val="00E443D7"/>
    <w:rsid w:val="00E450A4"/>
    <w:rsid w:val="00E45FD7"/>
    <w:rsid w:val="00E506BE"/>
    <w:rsid w:val="00E51AF2"/>
    <w:rsid w:val="00E55547"/>
    <w:rsid w:val="00E56312"/>
    <w:rsid w:val="00E5793C"/>
    <w:rsid w:val="00E619B7"/>
    <w:rsid w:val="00E6302B"/>
    <w:rsid w:val="00E6452F"/>
    <w:rsid w:val="00E64F45"/>
    <w:rsid w:val="00E6742D"/>
    <w:rsid w:val="00E71CB0"/>
    <w:rsid w:val="00E76577"/>
    <w:rsid w:val="00E76DCE"/>
    <w:rsid w:val="00E77C3D"/>
    <w:rsid w:val="00E833F4"/>
    <w:rsid w:val="00E90991"/>
    <w:rsid w:val="00E909F0"/>
    <w:rsid w:val="00E90D47"/>
    <w:rsid w:val="00E93993"/>
    <w:rsid w:val="00E94797"/>
    <w:rsid w:val="00E9597C"/>
    <w:rsid w:val="00EA0913"/>
    <w:rsid w:val="00EA5B00"/>
    <w:rsid w:val="00EB146B"/>
    <w:rsid w:val="00EB45AC"/>
    <w:rsid w:val="00EB4698"/>
    <w:rsid w:val="00EB51A9"/>
    <w:rsid w:val="00EB7129"/>
    <w:rsid w:val="00EC441F"/>
    <w:rsid w:val="00EC4755"/>
    <w:rsid w:val="00ED0BC4"/>
    <w:rsid w:val="00ED1C69"/>
    <w:rsid w:val="00ED447D"/>
    <w:rsid w:val="00EE25FB"/>
    <w:rsid w:val="00EE4971"/>
    <w:rsid w:val="00EE6CB0"/>
    <w:rsid w:val="00EF090E"/>
    <w:rsid w:val="00EF5572"/>
    <w:rsid w:val="00F01D7D"/>
    <w:rsid w:val="00F033DA"/>
    <w:rsid w:val="00F0550C"/>
    <w:rsid w:val="00F13691"/>
    <w:rsid w:val="00F13FB1"/>
    <w:rsid w:val="00F16EAF"/>
    <w:rsid w:val="00F17F23"/>
    <w:rsid w:val="00F27CD8"/>
    <w:rsid w:val="00F30351"/>
    <w:rsid w:val="00F3323E"/>
    <w:rsid w:val="00F341F4"/>
    <w:rsid w:val="00F34F9D"/>
    <w:rsid w:val="00F35CCE"/>
    <w:rsid w:val="00F41146"/>
    <w:rsid w:val="00F422E3"/>
    <w:rsid w:val="00F4664B"/>
    <w:rsid w:val="00F5524B"/>
    <w:rsid w:val="00F56276"/>
    <w:rsid w:val="00F5678C"/>
    <w:rsid w:val="00F60538"/>
    <w:rsid w:val="00F61DD2"/>
    <w:rsid w:val="00F62E7A"/>
    <w:rsid w:val="00F66AFF"/>
    <w:rsid w:val="00F70126"/>
    <w:rsid w:val="00F71433"/>
    <w:rsid w:val="00F7522C"/>
    <w:rsid w:val="00F816D5"/>
    <w:rsid w:val="00F844EA"/>
    <w:rsid w:val="00F85809"/>
    <w:rsid w:val="00F87B04"/>
    <w:rsid w:val="00F97C5B"/>
    <w:rsid w:val="00FA12B9"/>
    <w:rsid w:val="00FA3D50"/>
    <w:rsid w:val="00FA417D"/>
    <w:rsid w:val="00FB31D6"/>
    <w:rsid w:val="00FB71DF"/>
    <w:rsid w:val="00FB7FBD"/>
    <w:rsid w:val="00FC374A"/>
    <w:rsid w:val="00FC74C8"/>
    <w:rsid w:val="00FC7B47"/>
    <w:rsid w:val="00FD035C"/>
    <w:rsid w:val="00FD1A35"/>
    <w:rsid w:val="00FD2EA4"/>
    <w:rsid w:val="00FD36C5"/>
    <w:rsid w:val="00FD6310"/>
    <w:rsid w:val="00FD73B2"/>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ssit">
    <w:name w:val="ss_it"/>
    <w:basedOn w:val="DefaultParagraphFont"/>
    <w:rsid w:val="00390137"/>
  </w:style>
  <w:style w:type="character" w:customStyle="1" w:styleId="sssh">
    <w:name w:val="ss_sh"/>
    <w:basedOn w:val="DefaultParagraphFont"/>
    <w:rsid w:val="00390137"/>
  </w:style>
  <w:style w:type="character" w:styleId="Emphasis">
    <w:name w:val="Emphasis"/>
    <w:basedOn w:val="DefaultParagraphFont"/>
    <w:uiPriority w:val="20"/>
    <w:qFormat/>
    <w:rsid w:val="006C4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97663426">
      <w:bodyDiv w:val="1"/>
      <w:marLeft w:val="0"/>
      <w:marRight w:val="0"/>
      <w:marTop w:val="0"/>
      <w:marBottom w:val="0"/>
      <w:divBdr>
        <w:top w:val="none" w:sz="0" w:space="0" w:color="auto"/>
        <w:left w:val="none" w:sz="0" w:space="0" w:color="auto"/>
        <w:bottom w:val="none" w:sz="0" w:space="0" w:color="auto"/>
        <w:right w:val="none" w:sz="0" w:space="0" w:color="auto"/>
      </w:divBdr>
      <w:divsChild>
        <w:div w:id="354113803">
          <w:marLeft w:val="0"/>
          <w:marRight w:val="0"/>
          <w:marTop w:val="0"/>
          <w:marBottom w:val="0"/>
          <w:divBdr>
            <w:top w:val="none" w:sz="0" w:space="0" w:color="auto"/>
            <w:left w:val="none" w:sz="0" w:space="0" w:color="auto"/>
            <w:bottom w:val="none" w:sz="0" w:space="0" w:color="auto"/>
            <w:right w:val="none" w:sz="0" w:space="0" w:color="auto"/>
          </w:divBdr>
          <w:divsChild>
            <w:div w:id="357125009">
              <w:marLeft w:val="0"/>
              <w:marRight w:val="0"/>
              <w:marTop w:val="0"/>
              <w:marBottom w:val="0"/>
              <w:divBdr>
                <w:top w:val="none" w:sz="0" w:space="0" w:color="auto"/>
                <w:left w:val="none" w:sz="0" w:space="0" w:color="auto"/>
                <w:bottom w:val="none" w:sz="0" w:space="0" w:color="auto"/>
                <w:right w:val="none" w:sz="0" w:space="0" w:color="auto"/>
              </w:divBdr>
              <w:divsChild>
                <w:div w:id="16381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3724">
          <w:marLeft w:val="0"/>
          <w:marRight w:val="0"/>
          <w:marTop w:val="0"/>
          <w:marBottom w:val="0"/>
          <w:divBdr>
            <w:top w:val="none" w:sz="0" w:space="0" w:color="auto"/>
            <w:left w:val="none" w:sz="0" w:space="0" w:color="auto"/>
            <w:bottom w:val="none" w:sz="0" w:space="0" w:color="auto"/>
            <w:right w:val="none" w:sz="0" w:space="0" w:color="auto"/>
          </w:divBdr>
          <w:divsChild>
            <w:div w:id="992104431">
              <w:marLeft w:val="0"/>
              <w:marRight w:val="0"/>
              <w:marTop w:val="0"/>
              <w:marBottom w:val="0"/>
              <w:divBdr>
                <w:top w:val="none" w:sz="0" w:space="0" w:color="auto"/>
                <w:left w:val="none" w:sz="0" w:space="0" w:color="auto"/>
                <w:bottom w:val="none" w:sz="0" w:space="0" w:color="auto"/>
                <w:right w:val="none" w:sz="0" w:space="0" w:color="auto"/>
              </w:divBdr>
              <w:divsChild>
                <w:div w:id="4781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0042278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practicallaw.thomsonreuters.com/9-503-9352?originationContext=document&amp;transitionType=PLDocumentLink&amp;contextData=(sc.Default)&amp;ppcid=4ac3f395483042a38e2ee4fb28b7d48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practicallaw.thomsonreuters.com/6-505-5678?originationContext=document&amp;transitionType=PLDocumentLink&amp;contextData=(sc.Default)&amp;ppcid=8066aaa4bb644d63a8cf5c42eafd3e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4999</Words>
  <Characters>25948</Characters>
  <Application>Microsoft Office Word</Application>
  <DocSecurity>0</DocSecurity>
  <Lines>508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Iarmukhametova, Julia</cp:lastModifiedBy>
  <cp:revision>4</cp:revision>
  <cp:lastPrinted>2019-08-27T05:42:00Z</cp:lastPrinted>
  <dcterms:created xsi:type="dcterms:W3CDTF">2024-02-26T23:25:00Z</dcterms:created>
  <dcterms:modified xsi:type="dcterms:W3CDTF">2024-02-26T23:25:00Z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