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1448B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C5031" w:rsidRDefault="00B263D0" w:rsidP="001448BD">
      <w:pPr>
        <w:pStyle w:val="ListParagraph"/>
        <w:numPr>
          <w:ilvl w:val="0"/>
          <w:numId w:val="1"/>
        </w:numPr>
        <w:ind w:left="426" w:hanging="426"/>
        <w:jc w:val="both"/>
        <w:rPr>
          <w:rFonts w:ascii="Avenir Next" w:hAnsi="Avenir Next" w:cs="Arial"/>
          <w:sz w:val="22"/>
          <w:szCs w:val="22"/>
          <w:highlight w:val="yellow"/>
          <w:lang w:val="en-GB"/>
        </w:rPr>
      </w:pPr>
      <w:r w:rsidRPr="005C503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1448B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1448B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5C5031" w:rsidRDefault="00AD0E59" w:rsidP="001448BD">
      <w:pPr>
        <w:pStyle w:val="ListParagraph"/>
        <w:numPr>
          <w:ilvl w:val="0"/>
          <w:numId w:val="11"/>
        </w:numPr>
        <w:ind w:left="426" w:hanging="426"/>
        <w:rPr>
          <w:rFonts w:ascii="Avenir Next" w:hAnsi="Avenir Next"/>
          <w:sz w:val="22"/>
          <w:szCs w:val="28"/>
        </w:rPr>
      </w:pPr>
      <w:proofErr w:type="spellStart"/>
      <w:r w:rsidRPr="005C5031">
        <w:rPr>
          <w:rFonts w:ascii="Avenir Next" w:hAnsi="Avenir Next"/>
          <w:sz w:val="22"/>
          <w:szCs w:val="28"/>
        </w:rPr>
        <w:t>Internationalisation</w:t>
      </w:r>
      <w:proofErr w:type="spellEnd"/>
      <w:r w:rsidRPr="005C5031">
        <w:rPr>
          <w:rFonts w:ascii="Avenir Next" w:hAnsi="Avenir Next"/>
          <w:sz w:val="22"/>
          <w:szCs w:val="28"/>
        </w:rPr>
        <w:t>.</w:t>
      </w:r>
    </w:p>
    <w:p w14:paraId="68B2FB89" w14:textId="77777777" w:rsidR="00AD0E59" w:rsidRPr="005C5031" w:rsidRDefault="00AD0E59" w:rsidP="00AD0E59">
      <w:pPr>
        <w:ind w:left="426" w:hanging="426"/>
        <w:rPr>
          <w:rFonts w:ascii="Avenir Next" w:hAnsi="Avenir Next"/>
          <w:sz w:val="22"/>
          <w:szCs w:val="28"/>
        </w:rPr>
      </w:pPr>
    </w:p>
    <w:p w14:paraId="3568B061" w14:textId="0AA438B4" w:rsidR="00AD0E59" w:rsidRPr="005C5031" w:rsidRDefault="00AD0E59" w:rsidP="001448BD">
      <w:pPr>
        <w:pStyle w:val="ListParagraph"/>
        <w:numPr>
          <w:ilvl w:val="0"/>
          <w:numId w:val="11"/>
        </w:numPr>
        <w:ind w:left="426" w:hanging="426"/>
        <w:rPr>
          <w:rFonts w:ascii="Avenir Next" w:hAnsi="Avenir Next"/>
          <w:sz w:val="22"/>
          <w:szCs w:val="28"/>
        </w:rPr>
      </w:pPr>
      <w:r w:rsidRPr="005C5031">
        <w:rPr>
          <w:rFonts w:ascii="Avenir Next" w:hAnsi="Avenir Next"/>
          <w:sz w:val="22"/>
          <w:szCs w:val="28"/>
        </w:rPr>
        <w:t>Globali</w:t>
      </w:r>
      <w:r w:rsidR="00B66441" w:rsidRPr="005C5031">
        <w:rPr>
          <w:rFonts w:ascii="Avenir Next" w:hAnsi="Avenir Next"/>
          <w:sz w:val="22"/>
          <w:szCs w:val="28"/>
        </w:rPr>
        <w:t>z</w:t>
      </w:r>
      <w:r w:rsidRPr="005C5031">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1448B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1448B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1448B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1448BD">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1448B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5C5031" w:rsidRDefault="00AD0E59" w:rsidP="001448BD">
      <w:pPr>
        <w:pStyle w:val="ListParagraph"/>
        <w:numPr>
          <w:ilvl w:val="0"/>
          <w:numId w:val="10"/>
        </w:numPr>
        <w:ind w:left="426" w:hanging="426"/>
        <w:jc w:val="both"/>
        <w:rPr>
          <w:rFonts w:ascii="Avenir Next" w:hAnsi="Avenir Next" w:cs="Arial"/>
          <w:sz w:val="22"/>
          <w:szCs w:val="22"/>
          <w:highlight w:val="yellow"/>
          <w:lang w:val="en-GB"/>
        </w:rPr>
      </w:pPr>
      <w:r w:rsidRPr="005C5031">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1448BD">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1448B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1448B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1448B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1448B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1448B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1448B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61822" w:rsidRDefault="00893A03" w:rsidP="001448BD">
      <w:pPr>
        <w:pStyle w:val="ListParagraph"/>
        <w:numPr>
          <w:ilvl w:val="0"/>
          <w:numId w:val="2"/>
        </w:numPr>
        <w:ind w:left="426" w:hanging="426"/>
        <w:jc w:val="both"/>
        <w:rPr>
          <w:rFonts w:ascii="Avenir Next" w:hAnsi="Avenir Next" w:cs="Arial"/>
          <w:sz w:val="22"/>
          <w:szCs w:val="22"/>
          <w:highlight w:val="yellow"/>
          <w:lang w:val="en-GB"/>
        </w:rPr>
      </w:pPr>
      <w:r w:rsidRPr="00E61822">
        <w:rPr>
          <w:rFonts w:ascii="Avenir Next" w:hAnsi="Avenir Next" w:cs="Arial"/>
          <w:sz w:val="22"/>
          <w:szCs w:val="22"/>
          <w:highlight w:val="yellow"/>
          <w:lang w:val="en-GB"/>
        </w:rPr>
        <w:t>Options (</w:t>
      </w:r>
      <w:proofErr w:type="spellStart"/>
      <w:r w:rsidRPr="00E61822">
        <w:rPr>
          <w:rFonts w:ascii="Avenir Next" w:hAnsi="Avenir Next" w:cs="Arial"/>
          <w:sz w:val="22"/>
          <w:szCs w:val="22"/>
          <w:highlight w:val="yellow"/>
          <w:lang w:val="en-GB"/>
        </w:rPr>
        <w:t>i</w:t>
      </w:r>
      <w:proofErr w:type="spellEnd"/>
      <w:r w:rsidRPr="00E61822">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1448BD">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1448B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1448B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1448B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1448B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1448B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61822" w:rsidRDefault="00812AFE" w:rsidP="001448BD">
      <w:pPr>
        <w:pStyle w:val="ListParagraph"/>
        <w:numPr>
          <w:ilvl w:val="0"/>
          <w:numId w:val="3"/>
        </w:numPr>
        <w:ind w:left="426" w:hanging="426"/>
        <w:jc w:val="both"/>
        <w:rPr>
          <w:rFonts w:ascii="Avenir Next" w:hAnsi="Avenir Next" w:cs="Arial"/>
          <w:sz w:val="22"/>
          <w:szCs w:val="22"/>
          <w:highlight w:val="yellow"/>
          <w:lang w:val="en-GB"/>
        </w:rPr>
      </w:pPr>
      <w:r w:rsidRPr="00E61822">
        <w:rPr>
          <w:rFonts w:ascii="Avenir Next" w:hAnsi="Avenir Next" w:cs="Arial"/>
          <w:sz w:val="22"/>
          <w:szCs w:val="22"/>
          <w:highlight w:val="yellow"/>
          <w:lang w:val="en-GB"/>
        </w:rPr>
        <w:t>Options (</w:t>
      </w:r>
      <w:proofErr w:type="spellStart"/>
      <w:r w:rsidRPr="00E61822">
        <w:rPr>
          <w:rFonts w:ascii="Avenir Next" w:hAnsi="Avenir Next" w:cs="Arial"/>
          <w:sz w:val="22"/>
          <w:szCs w:val="22"/>
          <w:highlight w:val="yellow"/>
          <w:lang w:val="en-GB"/>
        </w:rPr>
        <w:t>i</w:t>
      </w:r>
      <w:proofErr w:type="spellEnd"/>
      <w:r w:rsidRPr="00E61822">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1448B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1448B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1448B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1448B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1448B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1448B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1448B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1448B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1448B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1448B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1448B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61822" w:rsidRDefault="003220BA" w:rsidP="001448BD">
      <w:pPr>
        <w:pStyle w:val="ListParagraph"/>
        <w:numPr>
          <w:ilvl w:val="0"/>
          <w:numId w:val="4"/>
        </w:numPr>
        <w:ind w:left="426" w:hanging="426"/>
        <w:jc w:val="both"/>
        <w:rPr>
          <w:rFonts w:ascii="Avenir Next" w:hAnsi="Avenir Next" w:cs="Arial"/>
          <w:sz w:val="22"/>
          <w:szCs w:val="22"/>
          <w:highlight w:val="yellow"/>
          <w:lang w:val="en-GB"/>
        </w:rPr>
      </w:pPr>
      <w:r w:rsidRPr="00E61822">
        <w:rPr>
          <w:rFonts w:ascii="Avenir Next" w:hAnsi="Avenir Next" w:cs="Arial"/>
          <w:sz w:val="22"/>
          <w:szCs w:val="22"/>
          <w:highlight w:val="yellow"/>
          <w:lang w:val="en-GB"/>
        </w:rPr>
        <w:t>Options (</w:t>
      </w:r>
      <w:proofErr w:type="spellStart"/>
      <w:r w:rsidRPr="00E61822">
        <w:rPr>
          <w:rFonts w:ascii="Avenir Next" w:hAnsi="Avenir Next" w:cs="Arial"/>
          <w:sz w:val="22"/>
          <w:szCs w:val="22"/>
          <w:highlight w:val="yellow"/>
          <w:lang w:val="en-GB"/>
        </w:rPr>
        <w:t>i</w:t>
      </w:r>
      <w:proofErr w:type="spellEnd"/>
      <w:r w:rsidRPr="00E61822">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1448B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1448B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1448BD">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7719F9" w:rsidRDefault="009344C1" w:rsidP="001448BD">
      <w:pPr>
        <w:pStyle w:val="ListParagraph"/>
        <w:numPr>
          <w:ilvl w:val="0"/>
          <w:numId w:val="5"/>
        </w:numPr>
        <w:ind w:left="426" w:hanging="426"/>
        <w:jc w:val="both"/>
        <w:rPr>
          <w:rFonts w:ascii="Avenir Next" w:hAnsi="Avenir Next" w:cs="Arial"/>
          <w:sz w:val="22"/>
          <w:szCs w:val="22"/>
          <w:highlight w:val="yellow"/>
          <w:lang w:val="en-GB"/>
        </w:rPr>
      </w:pPr>
      <w:r w:rsidRPr="007719F9">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1448B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1448B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1448B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1448B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1448B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1448B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7719F9" w:rsidRDefault="00F51EE5" w:rsidP="001448BD">
      <w:pPr>
        <w:pStyle w:val="ListParagraph"/>
        <w:numPr>
          <w:ilvl w:val="0"/>
          <w:numId w:val="6"/>
        </w:numPr>
        <w:ind w:left="426" w:hanging="426"/>
        <w:jc w:val="both"/>
        <w:rPr>
          <w:rFonts w:ascii="Avenir Next" w:hAnsi="Avenir Next" w:cs="Arial"/>
          <w:sz w:val="22"/>
          <w:szCs w:val="22"/>
          <w:highlight w:val="yellow"/>
          <w:lang w:val="en-GB"/>
        </w:rPr>
      </w:pPr>
      <w:r w:rsidRPr="007719F9">
        <w:rPr>
          <w:rFonts w:ascii="Avenir Next" w:hAnsi="Avenir Next" w:cs="Arial"/>
          <w:sz w:val="22"/>
          <w:szCs w:val="22"/>
          <w:highlight w:val="yellow"/>
          <w:lang w:val="en-GB"/>
        </w:rPr>
        <w:t>Options (</w:t>
      </w:r>
      <w:proofErr w:type="spellStart"/>
      <w:r w:rsidRPr="007719F9">
        <w:rPr>
          <w:rFonts w:ascii="Avenir Next" w:hAnsi="Avenir Next" w:cs="Arial"/>
          <w:sz w:val="22"/>
          <w:szCs w:val="22"/>
          <w:highlight w:val="yellow"/>
          <w:lang w:val="en-GB"/>
        </w:rPr>
        <w:t>i</w:t>
      </w:r>
      <w:proofErr w:type="spellEnd"/>
      <w:r w:rsidRPr="007719F9">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1448B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1448BD">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1448B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1448B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1448B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1448B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7719F9" w:rsidRDefault="0097337E" w:rsidP="001448BD">
      <w:pPr>
        <w:pStyle w:val="ListParagraph"/>
        <w:numPr>
          <w:ilvl w:val="0"/>
          <w:numId w:val="7"/>
        </w:numPr>
        <w:ind w:left="426" w:hanging="426"/>
        <w:jc w:val="both"/>
        <w:rPr>
          <w:rFonts w:ascii="Avenir Next" w:hAnsi="Avenir Next" w:cs="Arial"/>
          <w:sz w:val="22"/>
          <w:szCs w:val="22"/>
          <w:highlight w:val="yellow"/>
          <w:lang w:val="en-GB"/>
        </w:rPr>
      </w:pPr>
      <w:r w:rsidRPr="007719F9">
        <w:rPr>
          <w:rFonts w:ascii="Avenir Next" w:hAnsi="Avenir Next" w:cs="Arial"/>
          <w:sz w:val="22"/>
          <w:szCs w:val="22"/>
          <w:highlight w:val="yellow"/>
          <w:lang w:val="en-GB"/>
        </w:rPr>
        <w:t>Options (</w:t>
      </w:r>
      <w:proofErr w:type="spellStart"/>
      <w:r w:rsidRPr="007719F9">
        <w:rPr>
          <w:rFonts w:ascii="Avenir Next" w:hAnsi="Avenir Next" w:cs="Arial"/>
          <w:sz w:val="22"/>
          <w:szCs w:val="22"/>
          <w:highlight w:val="yellow"/>
          <w:lang w:val="en-GB"/>
        </w:rPr>
        <w:t>i</w:t>
      </w:r>
      <w:proofErr w:type="spellEnd"/>
      <w:r w:rsidRPr="007719F9">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1448B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1448BD">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1448B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1448B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1448B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1448B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1448B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1448B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7719F9" w:rsidRDefault="009A58D1" w:rsidP="001448BD">
      <w:pPr>
        <w:pStyle w:val="ListParagraph"/>
        <w:numPr>
          <w:ilvl w:val="0"/>
          <w:numId w:val="8"/>
        </w:numPr>
        <w:ind w:left="426" w:hanging="426"/>
        <w:jc w:val="both"/>
        <w:rPr>
          <w:rFonts w:ascii="Avenir Next" w:hAnsi="Avenir Next" w:cs="Arial"/>
          <w:sz w:val="22"/>
          <w:szCs w:val="22"/>
          <w:highlight w:val="yellow"/>
          <w:lang w:val="en-GB"/>
        </w:rPr>
      </w:pPr>
      <w:r w:rsidRPr="007719F9">
        <w:rPr>
          <w:rFonts w:ascii="Avenir Next" w:hAnsi="Avenir Next" w:cs="Arial"/>
          <w:sz w:val="22"/>
          <w:szCs w:val="22"/>
          <w:highlight w:val="yellow"/>
          <w:lang w:val="en-GB"/>
        </w:rPr>
        <w:t>Options (iii), (</w:t>
      </w:r>
      <w:proofErr w:type="spellStart"/>
      <w:r w:rsidRPr="007719F9">
        <w:rPr>
          <w:rFonts w:ascii="Avenir Next" w:hAnsi="Avenir Next" w:cs="Arial"/>
          <w:sz w:val="22"/>
          <w:szCs w:val="22"/>
          <w:highlight w:val="yellow"/>
          <w:lang w:val="en-GB"/>
        </w:rPr>
        <w:t>i</w:t>
      </w:r>
      <w:proofErr w:type="spellEnd"/>
      <w:r w:rsidRPr="007719F9">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1448B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1448B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1448B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1448B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B52B8" w:rsidRDefault="00C4510C" w:rsidP="001448BD">
      <w:pPr>
        <w:pStyle w:val="ListParagraph"/>
        <w:numPr>
          <w:ilvl w:val="0"/>
          <w:numId w:val="9"/>
        </w:numPr>
        <w:ind w:left="426" w:hanging="426"/>
        <w:jc w:val="both"/>
        <w:rPr>
          <w:rFonts w:ascii="Avenir Next" w:hAnsi="Avenir Next" w:cs="Arial"/>
          <w:sz w:val="22"/>
          <w:szCs w:val="22"/>
          <w:highlight w:val="yellow"/>
          <w:lang w:val="en-GB"/>
        </w:rPr>
      </w:pPr>
      <w:r w:rsidRPr="00AB52B8">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106F4595" w14:textId="085E213C" w:rsidR="00AB52B8" w:rsidRPr="00AB52B8" w:rsidRDefault="00AB52B8" w:rsidP="00AB52B8">
      <w:pPr>
        <w:ind w:hanging="11"/>
        <w:jc w:val="both"/>
        <w:rPr>
          <w:rFonts w:ascii="Avenir Next" w:hAnsi="Avenir Next" w:cs="Arial"/>
          <w:color w:val="808080" w:themeColor="background1" w:themeShade="80"/>
          <w:sz w:val="22"/>
          <w:szCs w:val="22"/>
          <w:lang w:val="en-GB"/>
        </w:rPr>
      </w:pPr>
      <w:r w:rsidRPr="00AB52B8">
        <w:rPr>
          <w:rFonts w:ascii="Avenir Next" w:hAnsi="Avenir Next" w:cs="Arial"/>
          <w:color w:val="808080" w:themeColor="background1" w:themeShade="80"/>
          <w:sz w:val="22"/>
          <w:szCs w:val="22"/>
          <w:lang w:val="en-GB"/>
        </w:rPr>
        <w:t xml:space="preserve">The key distinction between the application of the </w:t>
      </w:r>
      <w:proofErr w:type="spellStart"/>
      <w:r w:rsidRPr="00AB52B8">
        <w:rPr>
          <w:rFonts w:ascii="Avenir Next" w:hAnsi="Avenir Next" w:cs="Arial"/>
          <w:color w:val="808080" w:themeColor="background1" w:themeShade="80"/>
          <w:sz w:val="22"/>
          <w:szCs w:val="22"/>
          <w:lang w:val="en-GB"/>
        </w:rPr>
        <w:t>MLCBI</w:t>
      </w:r>
      <w:proofErr w:type="spellEnd"/>
      <w:r w:rsidRPr="00AB52B8">
        <w:rPr>
          <w:rFonts w:ascii="Avenir Next" w:hAnsi="Avenir Next" w:cs="Arial"/>
          <w:color w:val="808080" w:themeColor="background1" w:themeShade="80"/>
          <w:sz w:val="22"/>
          <w:szCs w:val="22"/>
          <w:lang w:val="en-GB"/>
        </w:rPr>
        <w:t xml:space="preserve"> and the EU Regulation on insolvency proceedings is that the </w:t>
      </w:r>
      <w:proofErr w:type="spellStart"/>
      <w:r w:rsidRPr="00AB52B8">
        <w:rPr>
          <w:rFonts w:ascii="Avenir Next" w:hAnsi="Avenir Next" w:cs="Arial"/>
          <w:color w:val="808080" w:themeColor="background1" w:themeShade="80"/>
          <w:sz w:val="22"/>
          <w:szCs w:val="22"/>
          <w:lang w:val="en-GB"/>
        </w:rPr>
        <w:t>MLCBI</w:t>
      </w:r>
      <w:proofErr w:type="spellEnd"/>
      <w:r w:rsidRPr="00AB52B8">
        <w:rPr>
          <w:rFonts w:ascii="Avenir Next" w:hAnsi="Avenir Next" w:cs="Arial"/>
          <w:color w:val="808080" w:themeColor="background1" w:themeShade="80"/>
          <w:sz w:val="22"/>
          <w:szCs w:val="22"/>
          <w:lang w:val="en-GB"/>
        </w:rPr>
        <w:t xml:space="preserve"> is a model law that can be adopted by any State, with or without modifications, while the EU Regulation is a binding instrument that applies directly and uniformly to all EU Member States.</w:t>
      </w:r>
    </w:p>
    <w:p w14:paraId="17CD0EB8" w14:textId="77777777" w:rsidR="00AB52B8" w:rsidRPr="00AB52B8" w:rsidRDefault="00AB52B8" w:rsidP="00AB52B8">
      <w:pPr>
        <w:ind w:hanging="11"/>
        <w:jc w:val="both"/>
        <w:rPr>
          <w:rFonts w:ascii="Avenir Next" w:hAnsi="Avenir Next" w:cs="Arial"/>
          <w:color w:val="808080" w:themeColor="background1" w:themeShade="80"/>
          <w:sz w:val="22"/>
          <w:szCs w:val="22"/>
          <w:lang w:val="en-GB"/>
        </w:rPr>
      </w:pPr>
    </w:p>
    <w:p w14:paraId="30BA550D" w14:textId="12A4FED7" w:rsidR="00AB52B8" w:rsidRPr="00AB52B8" w:rsidRDefault="00AB52B8" w:rsidP="00AB52B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AB52B8">
        <w:rPr>
          <w:rFonts w:ascii="Avenir Next" w:hAnsi="Avenir Next" w:cs="Arial"/>
          <w:color w:val="808080" w:themeColor="background1" w:themeShade="80"/>
          <w:sz w:val="22"/>
          <w:szCs w:val="22"/>
          <w:lang w:val="en-GB"/>
        </w:rPr>
        <w:t xml:space="preserve"> key benefit of the </w:t>
      </w:r>
      <w:proofErr w:type="spellStart"/>
      <w:r w:rsidRPr="00AB52B8">
        <w:rPr>
          <w:rFonts w:ascii="Avenir Next" w:hAnsi="Avenir Next" w:cs="Arial"/>
          <w:color w:val="808080" w:themeColor="background1" w:themeShade="80"/>
          <w:sz w:val="22"/>
          <w:szCs w:val="22"/>
          <w:lang w:val="en-GB"/>
        </w:rPr>
        <w:t>MLCBI</w:t>
      </w:r>
      <w:proofErr w:type="spellEnd"/>
      <w:r w:rsidRPr="00AB52B8">
        <w:rPr>
          <w:rFonts w:ascii="Avenir Next" w:hAnsi="Avenir Next" w:cs="Arial"/>
          <w:color w:val="808080" w:themeColor="background1" w:themeShade="80"/>
          <w:sz w:val="22"/>
          <w:szCs w:val="22"/>
          <w:lang w:val="en-GB"/>
        </w:rPr>
        <w:t xml:space="preserve"> approach is that it allows for flexibility and adaptation to the specific legal and economic context of each </w:t>
      </w:r>
      <w:proofErr w:type="gramStart"/>
      <w:r w:rsidRPr="00AB52B8">
        <w:rPr>
          <w:rFonts w:ascii="Avenir Next" w:hAnsi="Avenir Next" w:cs="Arial"/>
          <w:color w:val="808080" w:themeColor="background1" w:themeShade="80"/>
          <w:sz w:val="22"/>
          <w:szCs w:val="22"/>
          <w:lang w:val="en-GB"/>
        </w:rPr>
        <w:t>State, and</w:t>
      </w:r>
      <w:proofErr w:type="gramEnd"/>
      <w:r w:rsidRPr="00AB52B8">
        <w:rPr>
          <w:rFonts w:ascii="Avenir Next" w:hAnsi="Avenir Next" w:cs="Arial"/>
          <w:color w:val="808080" w:themeColor="background1" w:themeShade="80"/>
          <w:sz w:val="22"/>
          <w:szCs w:val="22"/>
          <w:lang w:val="en-GB"/>
        </w:rPr>
        <w:t xml:space="preserve"> can facilitate cross-border insolvency cooperation with States outside the EU. </w:t>
      </w:r>
      <w:r>
        <w:rPr>
          <w:rFonts w:ascii="Avenir Next" w:hAnsi="Avenir Next" w:cs="Arial"/>
          <w:color w:val="808080" w:themeColor="background1" w:themeShade="80"/>
          <w:sz w:val="22"/>
          <w:szCs w:val="22"/>
          <w:lang w:val="en-GB"/>
        </w:rPr>
        <w:t xml:space="preserve">However, a </w:t>
      </w:r>
      <w:r w:rsidRPr="00AB52B8">
        <w:rPr>
          <w:rFonts w:ascii="Avenir Next" w:hAnsi="Avenir Next" w:cs="Arial"/>
          <w:color w:val="808080" w:themeColor="background1" w:themeShade="80"/>
          <w:sz w:val="22"/>
          <w:szCs w:val="22"/>
          <w:lang w:val="en-GB"/>
        </w:rPr>
        <w:t xml:space="preserve">key disadvantage of the </w:t>
      </w:r>
      <w:proofErr w:type="spellStart"/>
      <w:r w:rsidRPr="00AB52B8">
        <w:rPr>
          <w:rFonts w:ascii="Avenir Next" w:hAnsi="Avenir Next" w:cs="Arial"/>
          <w:color w:val="808080" w:themeColor="background1" w:themeShade="80"/>
          <w:sz w:val="22"/>
          <w:szCs w:val="22"/>
          <w:lang w:val="en-GB"/>
        </w:rPr>
        <w:t>MLCBI</w:t>
      </w:r>
      <w:proofErr w:type="spellEnd"/>
      <w:r w:rsidRPr="00AB52B8">
        <w:rPr>
          <w:rFonts w:ascii="Avenir Next" w:hAnsi="Avenir Next" w:cs="Arial"/>
          <w:color w:val="808080" w:themeColor="background1" w:themeShade="80"/>
          <w:sz w:val="22"/>
          <w:szCs w:val="22"/>
          <w:lang w:val="en-GB"/>
        </w:rPr>
        <w:t xml:space="preserve"> approach is that it may create inconsistency in the application of the model </w:t>
      </w:r>
      <w:proofErr w:type="gramStart"/>
      <w:r w:rsidRPr="00AB52B8">
        <w:rPr>
          <w:rFonts w:ascii="Avenir Next" w:hAnsi="Avenir Next" w:cs="Arial"/>
          <w:color w:val="808080" w:themeColor="background1" w:themeShade="80"/>
          <w:sz w:val="22"/>
          <w:szCs w:val="22"/>
          <w:lang w:val="en-GB"/>
        </w:rPr>
        <w:t>law, and</w:t>
      </w:r>
      <w:proofErr w:type="gramEnd"/>
      <w:r w:rsidRPr="00AB52B8">
        <w:rPr>
          <w:rFonts w:ascii="Avenir Next" w:hAnsi="Avenir Next" w:cs="Arial"/>
          <w:color w:val="808080" w:themeColor="background1" w:themeShade="80"/>
          <w:sz w:val="22"/>
          <w:szCs w:val="22"/>
          <w:lang w:val="en-GB"/>
        </w:rPr>
        <w:t xml:space="preserve"> may not provide sufficient protection for creditors and debtors in some cases.</w:t>
      </w:r>
    </w:p>
    <w:p w14:paraId="775DB401" w14:textId="77777777" w:rsidR="00AB52B8" w:rsidRPr="00AB52B8" w:rsidRDefault="00AB52B8" w:rsidP="00AB52B8">
      <w:pPr>
        <w:ind w:hanging="11"/>
        <w:jc w:val="both"/>
        <w:rPr>
          <w:rFonts w:ascii="Avenir Next" w:hAnsi="Avenir Next" w:cs="Arial"/>
          <w:color w:val="808080" w:themeColor="background1" w:themeShade="80"/>
          <w:sz w:val="22"/>
          <w:szCs w:val="22"/>
          <w:lang w:val="en-GB"/>
        </w:rPr>
      </w:pPr>
    </w:p>
    <w:p w14:paraId="7716EC51" w14:textId="5D0DCC79" w:rsidR="00B77352" w:rsidRDefault="00AB52B8" w:rsidP="00AB52B8">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the</w:t>
      </w:r>
      <w:r w:rsidRPr="00AB52B8">
        <w:rPr>
          <w:rFonts w:ascii="Avenir Next" w:hAnsi="Avenir Next" w:cs="Arial"/>
          <w:color w:val="808080" w:themeColor="background1" w:themeShade="80"/>
          <w:sz w:val="22"/>
          <w:szCs w:val="22"/>
          <w:lang w:val="en-GB"/>
        </w:rPr>
        <w:t xml:space="preserve"> key benefit of the EU Regulation approach is that it creates legal certainty and predictability for cross-border insolvency cases within the </w:t>
      </w:r>
      <w:proofErr w:type="gramStart"/>
      <w:r w:rsidRPr="00AB52B8">
        <w:rPr>
          <w:rFonts w:ascii="Avenir Next" w:hAnsi="Avenir Next" w:cs="Arial"/>
          <w:color w:val="808080" w:themeColor="background1" w:themeShade="80"/>
          <w:sz w:val="22"/>
          <w:szCs w:val="22"/>
          <w:lang w:val="en-GB"/>
        </w:rPr>
        <w:t>EU, and</w:t>
      </w:r>
      <w:proofErr w:type="gramEnd"/>
      <w:r w:rsidRPr="00AB52B8">
        <w:rPr>
          <w:rFonts w:ascii="Avenir Next" w:hAnsi="Avenir Next" w:cs="Arial"/>
          <w:color w:val="808080" w:themeColor="background1" w:themeShade="80"/>
          <w:sz w:val="22"/>
          <w:szCs w:val="22"/>
          <w:lang w:val="en-GB"/>
        </w:rPr>
        <w:t xml:space="preserve"> enhances the efficiency and effectiveness of insolvency proceedings by reducing conflicts of laws and jurisdiction. One key disadvantage of the EU Regulation approach is that it</w:t>
      </w:r>
      <w:r>
        <w:rPr>
          <w:rFonts w:ascii="Avenir Next" w:hAnsi="Avenir Next" w:cs="Arial"/>
          <w:color w:val="808080" w:themeColor="background1" w:themeShade="80"/>
          <w:sz w:val="22"/>
          <w:szCs w:val="22"/>
          <w:lang w:val="en-GB"/>
        </w:rPr>
        <w:t xml:space="preserve"> is limited to the EU Members and</w:t>
      </w:r>
      <w:r w:rsidRPr="00AB52B8">
        <w:rPr>
          <w:rFonts w:ascii="Avenir Next" w:hAnsi="Avenir Next" w:cs="Arial"/>
          <w:color w:val="808080" w:themeColor="background1" w:themeShade="80"/>
          <w:sz w:val="22"/>
          <w:szCs w:val="22"/>
          <w:lang w:val="en-GB"/>
        </w:rPr>
        <w:t xml:space="preserve"> may not adequately reflect the diversity and complexity of insolvency situations.</w:t>
      </w:r>
    </w:p>
    <w:p w14:paraId="34B80502" w14:textId="77777777" w:rsidR="00AB52B8" w:rsidRPr="00E2622D" w:rsidRDefault="00AB52B8" w:rsidP="00AB52B8">
      <w:pPr>
        <w:ind w:hanging="11"/>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823630F" w14:textId="77777777" w:rsidR="00FA70E3" w:rsidRPr="00FA70E3" w:rsidRDefault="00FA70E3" w:rsidP="00FA70E3">
      <w:pPr>
        <w:jc w:val="both"/>
        <w:rPr>
          <w:rFonts w:ascii="Avenir Next" w:hAnsi="Avenir Next" w:cs="Arial"/>
          <w:color w:val="808080" w:themeColor="background1" w:themeShade="80"/>
          <w:sz w:val="22"/>
          <w:szCs w:val="22"/>
        </w:rPr>
      </w:pPr>
      <w:r w:rsidRPr="00FA70E3">
        <w:rPr>
          <w:rFonts w:ascii="Avenir Next" w:hAnsi="Avenir Next" w:cs="Arial"/>
          <w:color w:val="808080" w:themeColor="background1" w:themeShade="80"/>
          <w:sz w:val="22"/>
          <w:szCs w:val="22"/>
        </w:rPr>
        <w:t xml:space="preserve">The court should primarily consider the necessity and appropriateness of the post-recognition relief under Article 21 of the </w:t>
      </w:r>
      <w:proofErr w:type="spellStart"/>
      <w:r w:rsidRPr="00FA70E3">
        <w:rPr>
          <w:rFonts w:ascii="Avenir Next" w:hAnsi="Avenir Next" w:cs="Arial"/>
          <w:color w:val="808080" w:themeColor="background1" w:themeShade="80"/>
          <w:sz w:val="22"/>
          <w:szCs w:val="22"/>
        </w:rPr>
        <w:t>MLCBI</w:t>
      </w:r>
      <w:proofErr w:type="spellEnd"/>
      <w:r w:rsidRPr="00FA70E3">
        <w:rPr>
          <w:rFonts w:ascii="Avenir Next" w:hAnsi="Avenir Next" w:cs="Arial"/>
          <w:color w:val="808080" w:themeColor="background1" w:themeShade="80"/>
          <w:sz w:val="22"/>
          <w:szCs w:val="22"/>
        </w:rPr>
        <w:t xml:space="preserve">, </w:t>
      </w:r>
      <w:proofErr w:type="gramStart"/>
      <w:r w:rsidRPr="00FA70E3">
        <w:rPr>
          <w:rFonts w:ascii="Avenir Next" w:hAnsi="Avenir Next" w:cs="Arial"/>
          <w:color w:val="808080" w:themeColor="background1" w:themeShade="80"/>
          <w:sz w:val="22"/>
          <w:szCs w:val="22"/>
        </w:rPr>
        <w:t>taking into account</w:t>
      </w:r>
      <w:proofErr w:type="gramEnd"/>
      <w:r w:rsidRPr="00FA70E3">
        <w:rPr>
          <w:rFonts w:ascii="Avenir Next" w:hAnsi="Avenir Next" w:cs="Arial"/>
          <w:color w:val="808080" w:themeColor="background1" w:themeShade="80"/>
          <w:sz w:val="22"/>
          <w:szCs w:val="22"/>
        </w:rPr>
        <w:t xml:space="preserve"> the interests of the creditors, the debtor and other interested parties in the enacting state and the foreign state where the foreign proceeding is taking place. The court should also respect the principle of modified universalism, which aims to facilitate cooperation and coordination among different jurisdictions in cross-border insolvency cases, while respecting the differences in national laws and policies.</w:t>
      </w:r>
    </w:p>
    <w:p w14:paraId="509BED72" w14:textId="77777777" w:rsidR="00FA70E3" w:rsidRPr="00FA70E3" w:rsidRDefault="00FA70E3" w:rsidP="00FA70E3">
      <w:pPr>
        <w:jc w:val="both"/>
        <w:rPr>
          <w:rFonts w:ascii="Avenir Next" w:hAnsi="Avenir Next" w:cs="Arial"/>
          <w:color w:val="808080" w:themeColor="background1" w:themeShade="80"/>
          <w:sz w:val="22"/>
          <w:szCs w:val="22"/>
        </w:rPr>
      </w:pPr>
    </w:p>
    <w:p w14:paraId="08F114B2" w14:textId="1B7D3B13" w:rsidR="00FA70E3" w:rsidRPr="00FA70E3" w:rsidRDefault="00FA70E3" w:rsidP="00FA70E3">
      <w:pPr>
        <w:jc w:val="both"/>
        <w:rPr>
          <w:rFonts w:ascii="Avenir Next" w:hAnsi="Avenir Next" w:cs="Arial"/>
          <w:color w:val="808080" w:themeColor="background1" w:themeShade="80"/>
          <w:sz w:val="22"/>
          <w:szCs w:val="22"/>
        </w:rPr>
      </w:pPr>
      <w:r w:rsidRPr="00FA70E3">
        <w:rPr>
          <w:rFonts w:ascii="Avenir Next" w:hAnsi="Avenir Next" w:cs="Arial"/>
          <w:color w:val="808080" w:themeColor="background1" w:themeShade="80"/>
          <w:sz w:val="22"/>
          <w:szCs w:val="22"/>
        </w:rPr>
        <w:t xml:space="preserve">The court should grant post-recognition relief only if it is necessary to protect the assets of the debtor or the interests of the creditors, and if it is appropriate in the circumstances of the case. </w:t>
      </w:r>
      <w:r>
        <w:rPr>
          <w:rFonts w:ascii="Avenir Next" w:hAnsi="Avenir Next" w:cs="Arial"/>
          <w:color w:val="808080" w:themeColor="background1" w:themeShade="80"/>
          <w:sz w:val="22"/>
          <w:szCs w:val="22"/>
        </w:rPr>
        <w:t>For example, t</w:t>
      </w:r>
      <w:r w:rsidRPr="00FA70E3">
        <w:rPr>
          <w:rFonts w:ascii="Avenir Next" w:hAnsi="Avenir Next" w:cs="Arial"/>
          <w:color w:val="808080" w:themeColor="background1" w:themeShade="80"/>
          <w:sz w:val="22"/>
          <w:szCs w:val="22"/>
        </w:rPr>
        <w:t xml:space="preserve">he court should not grant relief that would interfere with the administration of another insolvency proceeding, especially the foreign main proceeding, or that would be contrary to the public policy of the enacting state. The court should also avoid granting relief that would override or modify the substantive rights of the parties under the applicable </w:t>
      </w:r>
      <w:proofErr w:type="gramStart"/>
      <w:r w:rsidRPr="00FA70E3">
        <w:rPr>
          <w:rFonts w:ascii="Avenir Next" w:hAnsi="Avenir Next" w:cs="Arial"/>
          <w:color w:val="808080" w:themeColor="background1" w:themeShade="80"/>
          <w:sz w:val="22"/>
          <w:szCs w:val="22"/>
        </w:rPr>
        <w:t>law, unless</w:t>
      </w:r>
      <w:proofErr w:type="gramEnd"/>
      <w:r w:rsidRPr="00FA70E3">
        <w:rPr>
          <w:rFonts w:ascii="Avenir Next" w:hAnsi="Avenir Next" w:cs="Arial"/>
          <w:color w:val="808080" w:themeColor="background1" w:themeShade="80"/>
          <w:sz w:val="22"/>
          <w:szCs w:val="22"/>
        </w:rPr>
        <w:t xml:space="preserve"> they have consented or submitted to the foreign proceeding.</w:t>
      </w:r>
    </w:p>
    <w:p w14:paraId="23B3A1D2" w14:textId="77777777" w:rsidR="00FA70E3" w:rsidRPr="00FA70E3" w:rsidRDefault="00FA70E3" w:rsidP="00FA70E3">
      <w:pPr>
        <w:jc w:val="both"/>
        <w:rPr>
          <w:rFonts w:ascii="Avenir Next" w:hAnsi="Avenir Next" w:cs="Arial"/>
          <w:color w:val="808080" w:themeColor="background1" w:themeShade="80"/>
          <w:sz w:val="22"/>
          <w:szCs w:val="22"/>
        </w:rPr>
      </w:pPr>
    </w:p>
    <w:p w14:paraId="33388149" w14:textId="2E500592" w:rsidR="00FA70E3" w:rsidRPr="00FA70E3" w:rsidRDefault="00FA70E3" w:rsidP="00FA70E3">
      <w:pPr>
        <w:jc w:val="both"/>
        <w:rPr>
          <w:rFonts w:ascii="Avenir Next" w:hAnsi="Avenir Next" w:cs="Arial"/>
          <w:color w:val="808080" w:themeColor="background1" w:themeShade="80"/>
          <w:sz w:val="22"/>
          <w:szCs w:val="22"/>
        </w:rPr>
      </w:pPr>
      <w:r w:rsidRPr="00FA70E3">
        <w:rPr>
          <w:rFonts w:ascii="Avenir Next" w:hAnsi="Avenir Next" w:cs="Arial"/>
          <w:color w:val="808080" w:themeColor="background1" w:themeShade="80"/>
          <w:sz w:val="22"/>
          <w:szCs w:val="22"/>
        </w:rPr>
        <w:t xml:space="preserve">The court should also consider the possibility of imposing conditions, </w:t>
      </w:r>
      <w:proofErr w:type="gramStart"/>
      <w:r w:rsidRPr="00FA70E3">
        <w:rPr>
          <w:rFonts w:ascii="Avenir Next" w:hAnsi="Avenir Next" w:cs="Arial"/>
          <w:color w:val="808080" w:themeColor="background1" w:themeShade="80"/>
          <w:sz w:val="22"/>
          <w:szCs w:val="22"/>
        </w:rPr>
        <w:t>limitations</w:t>
      </w:r>
      <w:proofErr w:type="gramEnd"/>
      <w:r w:rsidRPr="00FA70E3">
        <w:rPr>
          <w:rFonts w:ascii="Avenir Next" w:hAnsi="Avenir Next" w:cs="Arial"/>
          <w:color w:val="808080" w:themeColor="background1" w:themeShade="80"/>
          <w:sz w:val="22"/>
          <w:szCs w:val="22"/>
        </w:rPr>
        <w:t xml:space="preserve"> or safeguards on the relief, or modifying or terminating the relief, if the situation changes or if the interests of the parties are not adequately protected.</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491638D5" w14:textId="5917FA9C" w:rsidR="00D66D43" w:rsidRPr="00D66D43" w:rsidRDefault="00D66D43" w:rsidP="00D66D43">
      <w:pPr>
        <w:jc w:val="both"/>
        <w:rPr>
          <w:rFonts w:ascii="Avenir Next" w:hAnsi="Avenir Next" w:cs="Arial"/>
          <w:color w:val="808080" w:themeColor="background1" w:themeShade="80"/>
          <w:sz w:val="22"/>
          <w:szCs w:val="22"/>
          <w:lang w:val="en-GB"/>
        </w:rPr>
      </w:pPr>
      <w:r w:rsidRPr="00D66D43">
        <w:rPr>
          <w:rFonts w:ascii="Avenir Next" w:hAnsi="Avenir Next" w:cs="Arial"/>
          <w:color w:val="808080" w:themeColor="background1" w:themeShade="80"/>
          <w:sz w:val="22"/>
          <w:szCs w:val="22"/>
          <w:lang w:val="en-GB"/>
        </w:rPr>
        <w:t xml:space="preserve">Article 13 of the </w:t>
      </w:r>
      <w:proofErr w:type="spellStart"/>
      <w:r w:rsidRPr="00D66D43">
        <w:rPr>
          <w:rFonts w:ascii="Avenir Next" w:hAnsi="Avenir Next" w:cs="Arial"/>
          <w:color w:val="808080" w:themeColor="background1" w:themeShade="80"/>
          <w:sz w:val="22"/>
          <w:szCs w:val="22"/>
          <w:lang w:val="en-GB"/>
        </w:rPr>
        <w:t>MLCBI</w:t>
      </w:r>
      <w:proofErr w:type="spellEnd"/>
      <w:r w:rsidRPr="00D66D43">
        <w:rPr>
          <w:rFonts w:ascii="Avenir Next" w:hAnsi="Avenir Next" w:cs="Arial"/>
          <w:color w:val="808080" w:themeColor="background1" w:themeShade="80"/>
          <w:sz w:val="22"/>
          <w:szCs w:val="22"/>
          <w:lang w:val="en-GB"/>
        </w:rPr>
        <w:t xml:space="preserve"> provides that foreign creditors have the same rights regarding the commencement of, and participation in, a proceeding under the insolvency law of the enacting State as creditors in the enacting State. This means that foreign creditors can file claims, vote on proposals, request information, and exercise any other rights that local creditors have in the domestic insolvency proceeding. Article 13 also ensures that foreign creditors are not discriminated against solely because of their foreign status, and that they are not given a lower priority than general unsecured creditors, except for certain tax and social security claims that some States may exclude from equal treatment.</w:t>
      </w:r>
    </w:p>
    <w:p w14:paraId="1EBF997E" w14:textId="77777777" w:rsidR="00D66D43" w:rsidRPr="00E2622D" w:rsidRDefault="00D66D43" w:rsidP="00D66D43">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2654193" w14:textId="0F43ABF8" w:rsidR="00767CE5" w:rsidRPr="00767CE5" w:rsidRDefault="00767CE5" w:rsidP="00767CE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767CE5">
        <w:rPr>
          <w:rFonts w:ascii="Avenir Next" w:hAnsi="Avenir Next" w:cs="Arial"/>
          <w:color w:val="808080" w:themeColor="background1" w:themeShade="80"/>
          <w:sz w:val="22"/>
          <w:szCs w:val="22"/>
          <w:lang w:val="en-GB"/>
        </w:rPr>
        <w:t xml:space="preserve"> key distinction with respect to the relief available in foreign main versus foreign non-main proceedings is that the recognition of a foreign main proceeding triggers automatic and mandatory relief, while the recognition of a foreign non-main proceeding does not.</w:t>
      </w:r>
    </w:p>
    <w:p w14:paraId="51916657" w14:textId="77777777" w:rsidR="00767CE5" w:rsidRPr="00767CE5" w:rsidRDefault="00767CE5" w:rsidP="00767CE5">
      <w:pPr>
        <w:rPr>
          <w:rFonts w:ascii="Avenir Next" w:hAnsi="Avenir Next" w:cs="Arial"/>
          <w:color w:val="808080" w:themeColor="background1" w:themeShade="80"/>
          <w:sz w:val="22"/>
          <w:szCs w:val="22"/>
          <w:lang w:val="en-GB"/>
        </w:rPr>
      </w:pPr>
    </w:p>
    <w:p w14:paraId="520FEB73" w14:textId="322905DD" w:rsidR="00767CE5" w:rsidRPr="00767CE5" w:rsidRDefault="00767CE5" w:rsidP="00767CE5">
      <w:pPr>
        <w:rPr>
          <w:rFonts w:ascii="Avenir Next" w:hAnsi="Avenir Next" w:cs="Arial"/>
          <w:color w:val="808080" w:themeColor="background1" w:themeShade="80"/>
          <w:sz w:val="22"/>
          <w:szCs w:val="22"/>
          <w:lang w:val="en-GB"/>
        </w:rPr>
      </w:pPr>
      <w:r w:rsidRPr="00767CE5">
        <w:rPr>
          <w:rFonts w:ascii="Avenir Next" w:hAnsi="Avenir Next" w:cs="Arial"/>
          <w:color w:val="808080" w:themeColor="background1" w:themeShade="80"/>
          <w:sz w:val="22"/>
          <w:szCs w:val="22"/>
          <w:lang w:val="en-GB"/>
        </w:rPr>
        <w:t xml:space="preserve">According to Article 20 of the Model Law, the recognition of a foreign main </w:t>
      </w:r>
      <w:proofErr w:type="gramStart"/>
      <w:r w:rsidRPr="00767CE5">
        <w:rPr>
          <w:rFonts w:ascii="Avenir Next" w:hAnsi="Avenir Next" w:cs="Arial"/>
          <w:color w:val="808080" w:themeColor="background1" w:themeShade="80"/>
          <w:sz w:val="22"/>
          <w:szCs w:val="22"/>
          <w:lang w:val="en-GB"/>
        </w:rPr>
        <w:t>proceeding  has</w:t>
      </w:r>
      <w:proofErr w:type="gramEnd"/>
      <w:r w:rsidRPr="00767CE5">
        <w:rPr>
          <w:rFonts w:ascii="Avenir Next" w:hAnsi="Avenir Next" w:cs="Arial"/>
          <w:color w:val="808080" w:themeColor="background1" w:themeShade="80"/>
          <w:sz w:val="22"/>
          <w:szCs w:val="22"/>
          <w:lang w:val="en-GB"/>
        </w:rPr>
        <w:t xml:space="preserve"> the following three automatic effects:</w:t>
      </w:r>
    </w:p>
    <w:p w14:paraId="47C87E6F" w14:textId="77777777" w:rsidR="00767CE5" w:rsidRPr="00767CE5" w:rsidRDefault="00767CE5" w:rsidP="00767CE5">
      <w:pPr>
        <w:rPr>
          <w:rFonts w:ascii="Avenir Next" w:hAnsi="Avenir Next" w:cs="Arial"/>
          <w:color w:val="808080" w:themeColor="background1" w:themeShade="80"/>
          <w:sz w:val="22"/>
          <w:szCs w:val="22"/>
          <w:lang w:val="en-GB"/>
        </w:rPr>
      </w:pPr>
    </w:p>
    <w:p w14:paraId="71A73220" w14:textId="77777777" w:rsidR="00767CE5" w:rsidRPr="00F344D1" w:rsidRDefault="00767CE5" w:rsidP="00F344D1">
      <w:pPr>
        <w:pStyle w:val="ListParagraph"/>
        <w:numPr>
          <w:ilvl w:val="0"/>
          <w:numId w:val="18"/>
        </w:numPr>
        <w:rPr>
          <w:rFonts w:ascii="Avenir Next" w:hAnsi="Avenir Next" w:cs="Arial"/>
          <w:color w:val="808080" w:themeColor="background1" w:themeShade="80"/>
          <w:sz w:val="22"/>
          <w:szCs w:val="22"/>
          <w:lang w:val="en-GB"/>
        </w:rPr>
      </w:pPr>
      <w:r w:rsidRPr="00F344D1">
        <w:rPr>
          <w:rFonts w:ascii="Avenir Next" w:hAnsi="Avenir Next" w:cs="Arial"/>
          <w:color w:val="808080" w:themeColor="background1" w:themeShade="80"/>
          <w:sz w:val="22"/>
          <w:szCs w:val="22"/>
          <w:lang w:val="en-GB"/>
        </w:rPr>
        <w:t xml:space="preserve">a stay of the commencement or continuation of individual actions or individual proceedings concerning the debtor's assets, rights, obligations or </w:t>
      </w:r>
      <w:proofErr w:type="gramStart"/>
      <w:r w:rsidRPr="00F344D1">
        <w:rPr>
          <w:rFonts w:ascii="Avenir Next" w:hAnsi="Avenir Next" w:cs="Arial"/>
          <w:color w:val="808080" w:themeColor="background1" w:themeShade="80"/>
          <w:sz w:val="22"/>
          <w:szCs w:val="22"/>
          <w:lang w:val="en-GB"/>
        </w:rPr>
        <w:t>liabilities;</w:t>
      </w:r>
      <w:proofErr w:type="gramEnd"/>
    </w:p>
    <w:p w14:paraId="363AF29B" w14:textId="77777777" w:rsidR="00767CE5" w:rsidRPr="00F344D1" w:rsidRDefault="00767CE5" w:rsidP="00F344D1">
      <w:pPr>
        <w:pStyle w:val="ListParagraph"/>
        <w:numPr>
          <w:ilvl w:val="0"/>
          <w:numId w:val="18"/>
        </w:numPr>
        <w:rPr>
          <w:rFonts w:ascii="Avenir Next" w:hAnsi="Avenir Next" w:cs="Arial"/>
          <w:color w:val="808080" w:themeColor="background1" w:themeShade="80"/>
          <w:sz w:val="22"/>
          <w:szCs w:val="22"/>
          <w:lang w:val="en-GB"/>
        </w:rPr>
      </w:pPr>
      <w:r w:rsidRPr="00F344D1">
        <w:rPr>
          <w:rFonts w:ascii="Avenir Next" w:hAnsi="Avenir Next" w:cs="Arial"/>
          <w:color w:val="808080" w:themeColor="background1" w:themeShade="80"/>
          <w:sz w:val="22"/>
          <w:szCs w:val="22"/>
          <w:lang w:val="en-GB"/>
        </w:rPr>
        <w:t>a stay of execution against the debtor's assets; and</w:t>
      </w:r>
    </w:p>
    <w:p w14:paraId="0E79FD40" w14:textId="77777777" w:rsidR="00767CE5" w:rsidRPr="00F344D1" w:rsidRDefault="00767CE5" w:rsidP="00F344D1">
      <w:pPr>
        <w:pStyle w:val="ListParagraph"/>
        <w:numPr>
          <w:ilvl w:val="0"/>
          <w:numId w:val="18"/>
        </w:numPr>
        <w:rPr>
          <w:rFonts w:ascii="Avenir Next" w:hAnsi="Avenir Next" w:cs="Arial"/>
          <w:color w:val="808080" w:themeColor="background1" w:themeShade="80"/>
          <w:sz w:val="22"/>
          <w:szCs w:val="22"/>
          <w:lang w:val="en-GB"/>
        </w:rPr>
      </w:pPr>
      <w:r w:rsidRPr="00F344D1">
        <w:rPr>
          <w:rFonts w:ascii="Avenir Next" w:hAnsi="Avenir Next" w:cs="Arial"/>
          <w:color w:val="808080" w:themeColor="background1" w:themeShade="80"/>
          <w:sz w:val="22"/>
          <w:szCs w:val="22"/>
          <w:lang w:val="en-GB"/>
        </w:rPr>
        <w:t>a suspension of the right to transfer, encumber or otherwise dispose of any assets of the debtor.</w:t>
      </w:r>
    </w:p>
    <w:p w14:paraId="754C3005" w14:textId="77777777" w:rsidR="00767CE5" w:rsidRPr="00767CE5" w:rsidRDefault="00767CE5" w:rsidP="00767CE5">
      <w:pPr>
        <w:rPr>
          <w:rFonts w:ascii="Avenir Next" w:hAnsi="Avenir Next" w:cs="Arial"/>
          <w:color w:val="808080" w:themeColor="background1" w:themeShade="80"/>
          <w:sz w:val="22"/>
          <w:szCs w:val="22"/>
          <w:lang w:val="en-GB"/>
        </w:rPr>
      </w:pPr>
    </w:p>
    <w:p w14:paraId="4127391E" w14:textId="0C324D91" w:rsidR="00100E8F" w:rsidRPr="00B77352" w:rsidRDefault="00767CE5" w:rsidP="00F344D1">
      <w:pPr>
        <w:rPr>
          <w:rFonts w:ascii="Avenir Next" w:hAnsi="Avenir Next" w:cs="Arial"/>
          <w:color w:val="808080" w:themeColor="background1" w:themeShade="80"/>
          <w:sz w:val="22"/>
          <w:szCs w:val="22"/>
          <w:lang w:val="en-GB"/>
        </w:rPr>
      </w:pPr>
      <w:r w:rsidRPr="00767CE5">
        <w:rPr>
          <w:rFonts w:ascii="Avenir Next" w:hAnsi="Avenir Next" w:cs="Arial"/>
          <w:color w:val="808080" w:themeColor="background1" w:themeShade="80"/>
          <w:sz w:val="22"/>
          <w:szCs w:val="22"/>
          <w:lang w:val="en-GB"/>
        </w:rPr>
        <w:t xml:space="preserve">On the other hand, according to Article 21 of the Model Law, the recognition of a foreign non-main proceeding does not entail any automatic relief, but only discretionary relief that may be granted by the court upon request of the foreign representative. The discretionary relief granted in a foreign non-main proceeding must be necessary to protect the assets of the debtor or the interests of the </w:t>
      </w:r>
      <w:proofErr w:type="gramStart"/>
      <w:r w:rsidRPr="00767CE5">
        <w:rPr>
          <w:rFonts w:ascii="Avenir Next" w:hAnsi="Avenir Next" w:cs="Arial"/>
          <w:color w:val="808080" w:themeColor="background1" w:themeShade="80"/>
          <w:sz w:val="22"/>
          <w:szCs w:val="22"/>
          <w:lang w:val="en-GB"/>
        </w:rPr>
        <w:t>creditors, and</w:t>
      </w:r>
      <w:proofErr w:type="gramEnd"/>
      <w:r w:rsidRPr="00767CE5">
        <w:rPr>
          <w:rFonts w:ascii="Avenir Next" w:hAnsi="Avenir Next" w:cs="Arial"/>
          <w:color w:val="808080" w:themeColor="background1" w:themeShade="80"/>
          <w:sz w:val="22"/>
          <w:szCs w:val="22"/>
          <w:lang w:val="en-GB"/>
        </w:rPr>
        <w:t xml:space="preserve"> must relate to assets that should be administered in the foreign non-main proceeding or concern information required in that proceeding.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944FB30" w14:textId="3AA3685D" w:rsidR="00631816" w:rsidRPr="00631816" w:rsidRDefault="00631816" w:rsidP="00863A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631816">
        <w:rPr>
          <w:rFonts w:ascii="Avenir Next" w:hAnsi="Avenir Next" w:cs="Arial"/>
          <w:color w:val="808080" w:themeColor="background1" w:themeShade="80"/>
          <w:sz w:val="22"/>
          <w:szCs w:val="22"/>
          <w:lang w:val="en-GB"/>
        </w:rPr>
        <w:t>he foreign main proceedings must have been filed in Germany, where the debtor has its COMI, and the foreign non-main proceedings must have been filed in Bermuda, where the debtor has an establishment. The recognition proceedings must have been filed in the US, where the debtor has assets, and where the foreign representative seeks assistance from the US court under Chapter 15 of the US Bankruptcy Code, which is the US adoption of the Model Law).</w:t>
      </w:r>
    </w:p>
    <w:p w14:paraId="36651D21" w14:textId="77777777" w:rsidR="00631816" w:rsidRPr="00631816" w:rsidRDefault="00631816" w:rsidP="00863ACA">
      <w:pPr>
        <w:jc w:val="both"/>
        <w:rPr>
          <w:rFonts w:ascii="Avenir Next" w:hAnsi="Avenir Next" w:cs="Arial"/>
          <w:color w:val="808080" w:themeColor="background1" w:themeShade="80"/>
          <w:sz w:val="22"/>
          <w:szCs w:val="22"/>
          <w:lang w:val="en-GB"/>
        </w:rPr>
      </w:pPr>
    </w:p>
    <w:p w14:paraId="5CD83E20" w14:textId="793A2749" w:rsidR="00EA6D31" w:rsidRDefault="00631816" w:rsidP="00863ACA">
      <w:pPr>
        <w:jc w:val="both"/>
        <w:rPr>
          <w:rFonts w:ascii="Avenir Next" w:hAnsi="Avenir Next" w:cs="Arial"/>
          <w:color w:val="808080" w:themeColor="background1" w:themeShade="80"/>
          <w:sz w:val="22"/>
          <w:szCs w:val="22"/>
          <w:lang w:val="en-GB"/>
        </w:rPr>
      </w:pPr>
      <w:r w:rsidRPr="00631816">
        <w:rPr>
          <w:rFonts w:ascii="Avenir Next" w:hAnsi="Avenir Next" w:cs="Arial"/>
          <w:color w:val="808080" w:themeColor="background1" w:themeShade="80"/>
          <w:sz w:val="22"/>
          <w:szCs w:val="22"/>
          <w:lang w:val="en-GB"/>
        </w:rPr>
        <w:t xml:space="preserve">The likely result of the recognition proceedings in the US is that the US court will recognize the foreign main proceedings in Germany as such, and grant automatic relief, which </w:t>
      </w:r>
      <w:r w:rsidR="00863ACA">
        <w:rPr>
          <w:rFonts w:ascii="Avenir Next" w:hAnsi="Avenir Next" w:cs="Arial"/>
          <w:color w:val="808080" w:themeColor="background1" w:themeShade="80"/>
          <w:sz w:val="22"/>
          <w:szCs w:val="22"/>
          <w:lang w:val="en-GB"/>
        </w:rPr>
        <w:t>would include</w:t>
      </w:r>
      <w:r w:rsidRPr="00631816">
        <w:rPr>
          <w:rFonts w:ascii="Avenir Next" w:hAnsi="Avenir Next" w:cs="Arial"/>
          <w:color w:val="808080" w:themeColor="background1" w:themeShade="80"/>
          <w:sz w:val="22"/>
          <w:szCs w:val="22"/>
          <w:lang w:val="en-GB"/>
        </w:rPr>
        <w:t xml:space="preserve"> a stay of actions and execution against the debtor's assets in the US. The US court will also recognize the foreign non-main proceedings in Bermuda as </w:t>
      </w:r>
      <w:proofErr w:type="gramStart"/>
      <w:r w:rsidRPr="00631816">
        <w:rPr>
          <w:rFonts w:ascii="Avenir Next" w:hAnsi="Avenir Next" w:cs="Arial"/>
          <w:color w:val="808080" w:themeColor="background1" w:themeShade="80"/>
          <w:sz w:val="22"/>
          <w:szCs w:val="22"/>
          <w:lang w:val="en-GB"/>
        </w:rPr>
        <w:t>such, but</w:t>
      </w:r>
      <w:proofErr w:type="gramEnd"/>
      <w:r w:rsidRPr="00631816">
        <w:rPr>
          <w:rFonts w:ascii="Avenir Next" w:hAnsi="Avenir Next" w:cs="Arial"/>
          <w:color w:val="808080" w:themeColor="background1" w:themeShade="80"/>
          <w:sz w:val="22"/>
          <w:szCs w:val="22"/>
          <w:lang w:val="en-GB"/>
        </w:rPr>
        <w:t xml:space="preserve"> will not grant automatic relief. Instead, the US court will have discretion to grant appropriate relief, upon request of the foreign representative of the Bermuda proceedings, and subject to the conditions that the relief is necessary to protect the assets of the debtor or the interests of the creditors, and that the relief is consistent with the foreign main proceedings in Germany.</w:t>
      </w:r>
    </w:p>
    <w:p w14:paraId="20BD0E45" w14:textId="77777777" w:rsidR="00863ACA" w:rsidRPr="00E2622D" w:rsidRDefault="00863ACA" w:rsidP="00863ACA">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6B8058FB" w:rsidR="00867A8F" w:rsidRDefault="001C279D"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1C279D">
        <w:rPr>
          <w:rFonts w:ascii="Avenir Next" w:hAnsi="Avenir Next" w:cs="Arial"/>
          <w:color w:val="808080" w:themeColor="background1" w:themeShade="80"/>
          <w:sz w:val="22"/>
          <w:szCs w:val="22"/>
          <w:lang w:val="en-GB"/>
        </w:rPr>
        <w:t xml:space="preserve">he joint provisional liquidators may seek to invoke the protection of Article 10 of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which provides </w:t>
      </w:r>
      <w:r w:rsidRPr="001C279D">
        <w:rPr>
          <w:rFonts w:ascii="Avenir Next" w:hAnsi="Avenir Next" w:cs="Arial"/>
          <w:color w:val="808080" w:themeColor="background1" w:themeShade="80"/>
          <w:sz w:val="22"/>
          <w:szCs w:val="22"/>
          <w:lang w:val="en-GB"/>
        </w:rPr>
        <w:t xml:space="preserve">that the filing of a recognition application does not subject the foreign representative or the foreign assets and affairs of the debtor to the jurisdiction of the US court for any purpose other than the recognition application. This means that the joint provisional liquidators may argue that the US court does not have jurisdiction over the tort claims brought by the US-based vendors, and that the discovery requests are not appropriate for the recognition proceeding. Alternatively, the joint provisional liquidators may seek to obtain a stay of the tort claims and the discovery requests under Article 19 of the Model Law. Article 19 allows the US court to grant urgent interim relief to the foreign representative upon filing the recognition application, such as a stay of execution against the debtor's assets or a suspension of the right to transfer or dispose of any assets of the debtor. The joint provisional liquidators may argue that such relief is necessary to protect the assets of the debtor or the interests of the creditors, and that the interests of the US-based vendors and other interested parties are adequately protected. </w:t>
      </w:r>
    </w:p>
    <w:p w14:paraId="475FDB06" w14:textId="77777777" w:rsidR="001C279D" w:rsidRPr="00E2622D" w:rsidRDefault="001C279D"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lastRenderedPageBreak/>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1C4357D" w14:textId="5DFFF930" w:rsidR="005D7CCE" w:rsidRPr="005D7CCE" w:rsidRDefault="005D7CCE" w:rsidP="00877F36">
      <w:pPr>
        <w:jc w:val="both"/>
        <w:rPr>
          <w:rFonts w:ascii="Avenir Next" w:hAnsi="Avenir Next" w:cs="Arial"/>
          <w:color w:val="808080" w:themeColor="background1" w:themeShade="80"/>
          <w:sz w:val="22"/>
          <w:szCs w:val="22"/>
          <w:lang w:val="en-GB"/>
        </w:rPr>
      </w:pPr>
      <w:r w:rsidRPr="005D7CCE">
        <w:rPr>
          <w:rFonts w:ascii="Avenir Next" w:hAnsi="Avenir Next" w:cs="Arial"/>
          <w:color w:val="808080" w:themeColor="background1" w:themeShade="80"/>
          <w:sz w:val="22"/>
          <w:szCs w:val="22"/>
          <w:lang w:val="en-GB"/>
        </w:rPr>
        <w:t xml:space="preserve">The foreign representative should seek interim relief under Article 19 of the </w:t>
      </w:r>
      <w:proofErr w:type="spellStart"/>
      <w:r w:rsidR="00E95534">
        <w:rPr>
          <w:rFonts w:ascii="Avenir Next" w:hAnsi="Avenir Next" w:cs="Arial"/>
          <w:color w:val="808080" w:themeColor="background1" w:themeShade="80"/>
          <w:sz w:val="22"/>
          <w:szCs w:val="22"/>
          <w:lang w:val="en-GB"/>
        </w:rPr>
        <w:t>MLCBI</w:t>
      </w:r>
      <w:proofErr w:type="spellEnd"/>
      <w:r w:rsidRPr="005D7CCE">
        <w:rPr>
          <w:rFonts w:ascii="Avenir Next" w:hAnsi="Avenir Next" w:cs="Arial"/>
          <w:color w:val="808080" w:themeColor="background1" w:themeShade="80"/>
          <w:sz w:val="22"/>
          <w:szCs w:val="22"/>
          <w:lang w:val="en-GB"/>
        </w:rPr>
        <w:t xml:space="preserve"> to prevent the US-governed leases and intellectual property licenses from being terminated by the ipso facto clauses. Article 19 allows the court to grant relief of a provisional nature from the time of filing the recognition application until the application is decided upon, where relief is urgently needed to protect the assets of the debtor or the interests of the creditors. The foreign representative could argue that the ipso facto clauses would jeopardize the value and viability of the debtor's business and assets, and that the relief sought is consistent with the relief that would be available under the US Bankruptcy Code if the debtor were subject to a domestic insolvency proceeding.</w:t>
      </w:r>
    </w:p>
    <w:p w14:paraId="7F44BB7F" w14:textId="77777777" w:rsidR="005D7CCE" w:rsidRPr="005D7CCE" w:rsidRDefault="005D7CCE" w:rsidP="00877F36">
      <w:pPr>
        <w:jc w:val="both"/>
        <w:rPr>
          <w:rFonts w:ascii="Avenir Next" w:hAnsi="Avenir Next" w:cs="Arial"/>
          <w:color w:val="808080" w:themeColor="background1" w:themeShade="80"/>
          <w:sz w:val="22"/>
          <w:szCs w:val="22"/>
          <w:lang w:val="en-GB"/>
        </w:rPr>
      </w:pPr>
    </w:p>
    <w:p w14:paraId="0AD9F518" w14:textId="400790B0" w:rsidR="005D7CCE" w:rsidRPr="005D7CCE" w:rsidRDefault="005D7CCE" w:rsidP="00877F36">
      <w:pPr>
        <w:jc w:val="both"/>
        <w:rPr>
          <w:rFonts w:ascii="Avenir Next" w:hAnsi="Avenir Next" w:cs="Arial"/>
          <w:color w:val="808080" w:themeColor="background1" w:themeShade="80"/>
          <w:sz w:val="22"/>
          <w:szCs w:val="22"/>
          <w:lang w:val="en-GB"/>
        </w:rPr>
      </w:pPr>
      <w:r w:rsidRPr="005D7CCE">
        <w:rPr>
          <w:rFonts w:ascii="Avenir Next" w:hAnsi="Avenir Next" w:cs="Arial"/>
          <w:color w:val="808080" w:themeColor="background1" w:themeShade="80"/>
          <w:sz w:val="22"/>
          <w:szCs w:val="22"/>
          <w:lang w:val="en-GB"/>
        </w:rPr>
        <w:t xml:space="preserve">The foreign representative should file a motion for interim relief as soon as possible after filing the recognition application, and serve notice on the affected parties, including the lessors and licensors. The motion should include evidence of the existence and status of the foreign proceeding and the appointment of the foreign representative, as well as the nature and location of the debtor's assets and the potential harm that would result from the enforcement of the ipso facto clauses. The motion should also specify the type and duration of the relief sought, which could include a stay of execution against the debtor's assets, a suspension of the right to transfer, encumber or otherwise dispose of any assets of the debtor, or any other relief that may be available to a domestic debtor-in-possession under the US Bankruptcy Code. </w:t>
      </w:r>
    </w:p>
    <w:p w14:paraId="669C5A3B" w14:textId="77777777" w:rsidR="005D7CCE" w:rsidRPr="005D7CCE" w:rsidRDefault="005D7CCE" w:rsidP="00877F36">
      <w:pPr>
        <w:jc w:val="both"/>
        <w:rPr>
          <w:rFonts w:ascii="Avenir Next" w:hAnsi="Avenir Next" w:cs="Arial"/>
          <w:color w:val="808080" w:themeColor="background1" w:themeShade="80"/>
          <w:sz w:val="22"/>
          <w:szCs w:val="22"/>
          <w:lang w:val="en-GB"/>
        </w:rPr>
      </w:pPr>
    </w:p>
    <w:p w14:paraId="173E7256" w14:textId="6B23B0D5" w:rsidR="005D7CCE" w:rsidRPr="005D7CCE" w:rsidRDefault="005D7CCE" w:rsidP="00877F36">
      <w:pPr>
        <w:jc w:val="both"/>
        <w:rPr>
          <w:rFonts w:ascii="Avenir Next" w:hAnsi="Avenir Next" w:cs="Arial"/>
          <w:color w:val="808080" w:themeColor="background1" w:themeShade="80"/>
          <w:sz w:val="22"/>
          <w:szCs w:val="22"/>
          <w:lang w:val="en-GB"/>
        </w:rPr>
      </w:pPr>
      <w:r w:rsidRPr="005D7CCE">
        <w:rPr>
          <w:rFonts w:ascii="Avenir Next" w:hAnsi="Avenir Next" w:cs="Arial"/>
          <w:color w:val="808080" w:themeColor="background1" w:themeShade="80"/>
          <w:sz w:val="22"/>
          <w:szCs w:val="22"/>
          <w:lang w:val="en-GB"/>
        </w:rPr>
        <w:t xml:space="preserve">The court has discretion to grant or deny interim relief under Article </w:t>
      </w:r>
      <w:proofErr w:type="gramStart"/>
      <w:r w:rsidRPr="005D7CCE">
        <w:rPr>
          <w:rFonts w:ascii="Avenir Next" w:hAnsi="Avenir Next" w:cs="Arial"/>
          <w:color w:val="808080" w:themeColor="background1" w:themeShade="80"/>
          <w:sz w:val="22"/>
          <w:szCs w:val="22"/>
          <w:lang w:val="en-GB"/>
        </w:rPr>
        <w:t>19, and</w:t>
      </w:r>
      <w:proofErr w:type="gramEnd"/>
      <w:r w:rsidRPr="005D7CCE">
        <w:rPr>
          <w:rFonts w:ascii="Avenir Next" w:hAnsi="Avenir Next" w:cs="Arial"/>
          <w:color w:val="808080" w:themeColor="background1" w:themeShade="80"/>
          <w:sz w:val="22"/>
          <w:szCs w:val="22"/>
          <w:lang w:val="en-GB"/>
        </w:rPr>
        <w:t xml:space="preserve"> may subject the relief to conditions or modifications as it considers appropriate. The court may also refuse to grant interim relief. The court should decide on the motion for interim relief expeditiously, </w:t>
      </w:r>
      <w:proofErr w:type="gramStart"/>
      <w:r w:rsidRPr="005D7CCE">
        <w:rPr>
          <w:rFonts w:ascii="Avenir Next" w:hAnsi="Avenir Next" w:cs="Arial"/>
          <w:color w:val="808080" w:themeColor="background1" w:themeShade="80"/>
          <w:sz w:val="22"/>
          <w:szCs w:val="22"/>
          <w:lang w:val="en-GB"/>
        </w:rPr>
        <w:t>taking into account</w:t>
      </w:r>
      <w:proofErr w:type="gramEnd"/>
      <w:r w:rsidRPr="005D7CCE">
        <w:rPr>
          <w:rFonts w:ascii="Avenir Next" w:hAnsi="Avenir Next" w:cs="Arial"/>
          <w:color w:val="808080" w:themeColor="background1" w:themeShade="80"/>
          <w:sz w:val="22"/>
          <w:szCs w:val="22"/>
          <w:lang w:val="en-GB"/>
        </w:rPr>
        <w:t xml:space="preserve"> the urgency of the situation and the need to preserve the status quo until the recognition hearing. The interim relief granted under Article 19 will cease to have effect if the court denies the recognition application or if the court modifies or terminates the relief </w:t>
      </w:r>
      <w:proofErr w:type="gramStart"/>
      <w:r w:rsidRPr="005D7CCE">
        <w:rPr>
          <w:rFonts w:ascii="Avenir Next" w:hAnsi="Avenir Next" w:cs="Arial"/>
          <w:color w:val="808080" w:themeColor="background1" w:themeShade="80"/>
          <w:sz w:val="22"/>
          <w:szCs w:val="22"/>
          <w:lang w:val="en-GB"/>
        </w:rPr>
        <w:t>in light of</w:t>
      </w:r>
      <w:proofErr w:type="gramEnd"/>
      <w:r w:rsidRPr="005D7CCE">
        <w:rPr>
          <w:rFonts w:ascii="Avenir Next" w:hAnsi="Avenir Next" w:cs="Arial"/>
          <w:color w:val="808080" w:themeColor="background1" w:themeShade="80"/>
          <w:sz w:val="22"/>
          <w:szCs w:val="22"/>
          <w:lang w:val="en-GB"/>
        </w:rPr>
        <w:t xml:space="preserve"> the recognition </w:t>
      </w:r>
      <w:r w:rsidR="009B6AB1">
        <w:rPr>
          <w:rFonts w:ascii="Avenir Next" w:hAnsi="Avenir Next" w:cs="Arial"/>
          <w:color w:val="808080" w:themeColor="background1" w:themeShade="80"/>
          <w:sz w:val="22"/>
          <w:szCs w:val="22"/>
          <w:lang w:val="en-GB"/>
        </w:rPr>
        <w:t>decision</w:t>
      </w:r>
      <w:r w:rsidRPr="005D7CCE">
        <w:rPr>
          <w:rFonts w:ascii="Avenir Next" w:hAnsi="Avenir Next" w:cs="Arial"/>
          <w:color w:val="808080" w:themeColor="background1" w:themeShade="80"/>
          <w:sz w:val="22"/>
          <w:szCs w:val="22"/>
          <w:lang w:val="en-GB"/>
        </w:rPr>
        <w:t>.</w:t>
      </w:r>
      <w:r w:rsidR="009B6AB1">
        <w:rPr>
          <w:rFonts w:ascii="Avenir Next" w:hAnsi="Avenir Next" w:cs="Arial"/>
          <w:color w:val="808080" w:themeColor="background1" w:themeShade="80"/>
          <w:sz w:val="22"/>
          <w:szCs w:val="22"/>
          <w:lang w:val="en-GB"/>
        </w:rPr>
        <w:t xml:space="preserve"> </w:t>
      </w:r>
    </w:p>
    <w:p w14:paraId="51B50C1B" w14:textId="77777777" w:rsidR="005D7CCE" w:rsidRPr="005D7CCE" w:rsidRDefault="005D7CCE" w:rsidP="005D7CCE">
      <w:pPr>
        <w:ind w:left="720" w:hanging="720"/>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006919B" w14:textId="77777777" w:rsidR="00D865DF" w:rsidRPr="00D865DF" w:rsidRDefault="00D865DF" w:rsidP="00D865DF">
      <w:pPr>
        <w:rPr>
          <w:rFonts w:ascii="Avenir Next" w:hAnsi="Avenir Next" w:cs="Arial"/>
          <w:color w:val="808080" w:themeColor="background1" w:themeShade="80"/>
          <w:sz w:val="22"/>
          <w:szCs w:val="22"/>
          <w:lang w:val="en-GB"/>
        </w:rPr>
      </w:pPr>
      <w:r w:rsidRPr="00D865DF">
        <w:rPr>
          <w:rFonts w:ascii="Avenir Next" w:hAnsi="Avenir Next" w:cs="Arial"/>
          <w:color w:val="808080" w:themeColor="background1" w:themeShade="80"/>
          <w:sz w:val="22"/>
          <w:szCs w:val="22"/>
          <w:lang w:val="en-GB"/>
        </w:rPr>
        <w:t>The foreign representative may or should do one or more of the following actions after the denial of recognition of the foreign proceeding as a foreign main proceeding in Country B:</w:t>
      </w:r>
    </w:p>
    <w:p w14:paraId="770CCD6F" w14:textId="77777777" w:rsidR="00D865DF" w:rsidRPr="00D865DF" w:rsidRDefault="00D865DF" w:rsidP="00D865DF">
      <w:pPr>
        <w:rPr>
          <w:rFonts w:ascii="Avenir Next" w:hAnsi="Avenir Next" w:cs="Arial"/>
          <w:color w:val="808080" w:themeColor="background1" w:themeShade="80"/>
          <w:sz w:val="22"/>
          <w:szCs w:val="22"/>
          <w:lang w:val="en-GB"/>
        </w:rPr>
      </w:pPr>
    </w:p>
    <w:p w14:paraId="41320B44" w14:textId="5ECB276B" w:rsidR="00D865DF" w:rsidRPr="00A1566F" w:rsidRDefault="00D865DF" w:rsidP="00A1566F">
      <w:pPr>
        <w:pStyle w:val="ListParagraph"/>
        <w:numPr>
          <w:ilvl w:val="0"/>
          <w:numId w:val="20"/>
        </w:numPr>
        <w:rPr>
          <w:rFonts w:ascii="Avenir Next" w:hAnsi="Avenir Next" w:cs="Arial"/>
          <w:color w:val="808080" w:themeColor="background1" w:themeShade="80"/>
          <w:sz w:val="22"/>
          <w:szCs w:val="22"/>
          <w:lang w:val="en-GB"/>
        </w:rPr>
      </w:pPr>
      <w:r w:rsidRPr="00A1566F">
        <w:rPr>
          <w:rFonts w:ascii="Avenir Next" w:hAnsi="Avenir Next" w:cs="Arial"/>
          <w:color w:val="808080" w:themeColor="background1" w:themeShade="80"/>
          <w:sz w:val="22"/>
          <w:szCs w:val="22"/>
          <w:lang w:val="en-GB"/>
        </w:rPr>
        <w:lastRenderedPageBreak/>
        <w:t xml:space="preserve">Appeal the decision of the insolvency court in Country B, if there are grounds to challenge the court's determination of the debtor's COMI or the application of the public policy exception under Article 6 of the </w:t>
      </w:r>
      <w:proofErr w:type="spellStart"/>
      <w:r w:rsidR="00A1566F">
        <w:rPr>
          <w:rFonts w:ascii="Avenir Next" w:hAnsi="Avenir Next" w:cs="Arial"/>
          <w:color w:val="808080" w:themeColor="background1" w:themeShade="80"/>
          <w:sz w:val="22"/>
          <w:szCs w:val="22"/>
          <w:lang w:val="en-GB"/>
        </w:rPr>
        <w:t>MLCBI</w:t>
      </w:r>
      <w:proofErr w:type="spellEnd"/>
      <w:r w:rsidRPr="00A1566F">
        <w:rPr>
          <w:rFonts w:ascii="Avenir Next" w:hAnsi="Avenir Next" w:cs="Arial"/>
          <w:color w:val="808080" w:themeColor="background1" w:themeShade="80"/>
          <w:sz w:val="22"/>
          <w:szCs w:val="22"/>
          <w:lang w:val="en-GB"/>
        </w:rPr>
        <w:t>.</w:t>
      </w:r>
    </w:p>
    <w:p w14:paraId="37E717EE" w14:textId="31F26ADF" w:rsidR="00D865DF" w:rsidRPr="00A1566F" w:rsidRDefault="00D865DF" w:rsidP="00A1566F">
      <w:pPr>
        <w:pStyle w:val="ListParagraph"/>
        <w:numPr>
          <w:ilvl w:val="0"/>
          <w:numId w:val="20"/>
        </w:numPr>
        <w:rPr>
          <w:rFonts w:ascii="Avenir Next" w:hAnsi="Avenir Next" w:cs="Arial"/>
          <w:color w:val="808080" w:themeColor="background1" w:themeShade="80"/>
          <w:sz w:val="22"/>
          <w:szCs w:val="22"/>
          <w:lang w:val="en-GB"/>
        </w:rPr>
      </w:pPr>
      <w:r w:rsidRPr="00A1566F">
        <w:rPr>
          <w:rFonts w:ascii="Avenir Next" w:hAnsi="Avenir Next" w:cs="Arial"/>
          <w:color w:val="808080" w:themeColor="background1" w:themeShade="80"/>
          <w:sz w:val="22"/>
          <w:szCs w:val="22"/>
          <w:lang w:val="en-GB"/>
        </w:rPr>
        <w:t>Seek recognition of the foreign proceeding as a foreign non-main proceeding in Country B, if the debtor has an establishment in Country B, that is, any place of operations where the debtor carries out a non-transitory economic activity with human means and goods or services. This would require the foreign representative to file a new application for recognition under Article 15 of the Model Law and to satisfy the evidentiary requirements and the definition of a foreign proceeding under the Model Law.</w:t>
      </w:r>
    </w:p>
    <w:p w14:paraId="378DD257" w14:textId="65E34FDC" w:rsidR="00D865DF" w:rsidRPr="00A1566F" w:rsidRDefault="00D865DF" w:rsidP="00A1566F">
      <w:pPr>
        <w:pStyle w:val="ListParagraph"/>
        <w:numPr>
          <w:ilvl w:val="0"/>
          <w:numId w:val="20"/>
        </w:numPr>
        <w:rPr>
          <w:rFonts w:ascii="Avenir Next" w:hAnsi="Avenir Next" w:cs="Arial"/>
          <w:color w:val="808080" w:themeColor="background1" w:themeShade="80"/>
          <w:sz w:val="22"/>
          <w:szCs w:val="22"/>
          <w:lang w:val="en-GB"/>
        </w:rPr>
      </w:pPr>
      <w:r w:rsidRPr="00A1566F">
        <w:rPr>
          <w:rFonts w:ascii="Avenir Next" w:hAnsi="Avenir Next" w:cs="Arial"/>
          <w:color w:val="808080" w:themeColor="background1" w:themeShade="80"/>
          <w:sz w:val="22"/>
          <w:szCs w:val="22"/>
          <w:lang w:val="en-GB"/>
        </w:rPr>
        <w:t xml:space="preserve">Seek co-operation and communication with the insolvency court or the insolvency representative in Country B, if there is a domestic insolvency proceeding regarding the debtor in Country B, or if there is a possibility of commencing such a proceeding. The foreign representative could invoke Articles 25 to 27 of the Model Law, which provide for the court's and the insolvency representative's duty and power to co-operate and communicate with foreign courts and foreign representatives, and to approve or implement agreements concerning the co-ordination of proceedings. </w:t>
      </w:r>
    </w:p>
    <w:p w14:paraId="56CB1504" w14:textId="30F06AA3" w:rsidR="00D865DF" w:rsidRPr="00A1566F" w:rsidRDefault="00D865DF" w:rsidP="00A1566F">
      <w:pPr>
        <w:pStyle w:val="ListParagraph"/>
        <w:numPr>
          <w:ilvl w:val="0"/>
          <w:numId w:val="20"/>
        </w:numPr>
        <w:rPr>
          <w:rFonts w:ascii="Avenir Next" w:hAnsi="Avenir Next" w:cs="Arial"/>
          <w:color w:val="808080" w:themeColor="background1" w:themeShade="80"/>
          <w:sz w:val="22"/>
          <w:szCs w:val="22"/>
          <w:lang w:val="en-GB"/>
        </w:rPr>
      </w:pPr>
      <w:r w:rsidRPr="00A1566F">
        <w:rPr>
          <w:rFonts w:ascii="Avenir Next" w:hAnsi="Avenir Next" w:cs="Arial"/>
          <w:color w:val="808080" w:themeColor="background1" w:themeShade="80"/>
          <w:sz w:val="22"/>
          <w:szCs w:val="22"/>
          <w:lang w:val="en-GB"/>
        </w:rPr>
        <w:t>Seek alternative methods of assistance or relief in Country B, if the Model Law has not been adopted or implemented in Country B, or if the Model Law does not provide adequate or sufficient relief for the foreign representative's purposes. The foreign representative could explore the possibility of relying on other sources of law or practice in Country B, such as domestic insolvency law, private international law, common law principles, bilateral or multilateral treaties, or judicial co-operation agreements.</w:t>
      </w:r>
    </w:p>
    <w:p w14:paraId="0B39E5B7" w14:textId="77777777" w:rsidR="00A1566F" w:rsidRPr="00D865DF" w:rsidRDefault="00A1566F" w:rsidP="00D865DF">
      <w:pPr>
        <w:rPr>
          <w:rFonts w:ascii="Avenir Next" w:hAnsi="Avenir Next" w:cs="Arial"/>
          <w:color w:val="808080" w:themeColor="background1" w:themeShade="80"/>
          <w:sz w:val="22"/>
          <w:szCs w:val="22"/>
          <w:lang w:val="en-GB"/>
        </w:rPr>
      </w:pPr>
    </w:p>
    <w:p w14:paraId="47F22A3F" w14:textId="77777777" w:rsidR="00D865DF" w:rsidRPr="00D865DF" w:rsidRDefault="00D865DF" w:rsidP="00D865DF">
      <w:pPr>
        <w:rPr>
          <w:rFonts w:ascii="Avenir Next" w:hAnsi="Avenir Next" w:cs="Arial"/>
          <w:color w:val="808080" w:themeColor="background1" w:themeShade="80"/>
          <w:sz w:val="22"/>
          <w:szCs w:val="22"/>
          <w:lang w:val="en-GB"/>
        </w:rPr>
      </w:pPr>
      <w:r w:rsidRPr="00D865DF">
        <w:rPr>
          <w:rFonts w:ascii="Avenir Next" w:hAnsi="Avenir Next" w:cs="Arial"/>
          <w:color w:val="808080" w:themeColor="background1" w:themeShade="80"/>
          <w:sz w:val="22"/>
          <w:szCs w:val="22"/>
          <w:lang w:val="en-GB"/>
        </w:rPr>
        <w:t xml:space="preserve">What the foreign representative should have done at the outset, before commencing the proceeding in Country B, is to conduct a thorough analysis of the debtor's situation and the legal framework in Country B, </w:t>
      </w:r>
      <w:proofErr w:type="gramStart"/>
      <w:r w:rsidRPr="00D865DF">
        <w:rPr>
          <w:rFonts w:ascii="Avenir Next" w:hAnsi="Avenir Next" w:cs="Arial"/>
          <w:color w:val="808080" w:themeColor="background1" w:themeShade="80"/>
          <w:sz w:val="22"/>
          <w:szCs w:val="22"/>
          <w:lang w:val="en-GB"/>
        </w:rPr>
        <w:t>in order to</w:t>
      </w:r>
      <w:proofErr w:type="gramEnd"/>
      <w:r w:rsidRPr="00D865DF">
        <w:rPr>
          <w:rFonts w:ascii="Avenir Next" w:hAnsi="Avenir Next" w:cs="Arial"/>
          <w:color w:val="808080" w:themeColor="background1" w:themeShade="80"/>
          <w:sz w:val="22"/>
          <w:szCs w:val="22"/>
          <w:lang w:val="en-GB"/>
        </w:rPr>
        <w:t xml:space="preserve"> determine the most appropriate and effective strategy for seeking assistance or relief in Country B. The foreign representative should have considered the following factors, among others:</w:t>
      </w:r>
    </w:p>
    <w:p w14:paraId="304B8D07" w14:textId="77777777" w:rsidR="00D865DF" w:rsidRPr="00D865DF" w:rsidRDefault="00D865DF" w:rsidP="00D865DF">
      <w:pPr>
        <w:rPr>
          <w:rFonts w:ascii="Avenir Next" w:hAnsi="Avenir Next" w:cs="Arial"/>
          <w:color w:val="808080" w:themeColor="background1" w:themeShade="80"/>
          <w:sz w:val="22"/>
          <w:szCs w:val="22"/>
          <w:lang w:val="en-GB"/>
        </w:rPr>
      </w:pPr>
    </w:p>
    <w:p w14:paraId="5D6E0CB9" w14:textId="77777777" w:rsidR="00D865DF" w:rsidRPr="00406063" w:rsidRDefault="00D865DF" w:rsidP="00406063">
      <w:pPr>
        <w:pStyle w:val="ListParagraph"/>
        <w:numPr>
          <w:ilvl w:val="0"/>
          <w:numId w:val="21"/>
        </w:numPr>
        <w:rPr>
          <w:rFonts w:ascii="Avenir Next" w:hAnsi="Avenir Next" w:cs="Arial"/>
          <w:color w:val="808080" w:themeColor="background1" w:themeShade="80"/>
          <w:sz w:val="22"/>
          <w:szCs w:val="22"/>
          <w:lang w:val="en-GB"/>
        </w:rPr>
      </w:pPr>
      <w:r w:rsidRPr="00406063">
        <w:rPr>
          <w:rFonts w:ascii="Avenir Next" w:hAnsi="Avenir Next" w:cs="Arial"/>
          <w:color w:val="808080" w:themeColor="background1" w:themeShade="80"/>
          <w:sz w:val="22"/>
          <w:szCs w:val="22"/>
          <w:lang w:val="en-GB"/>
        </w:rPr>
        <w:t>The location and nature of the debtor's assets, operations, creditors, and other stakeholders in Country B, and the extent to which they are affected by or involved in the foreign proceeding in Country A.</w:t>
      </w:r>
    </w:p>
    <w:p w14:paraId="61EB0479" w14:textId="77777777" w:rsidR="00D865DF" w:rsidRPr="00406063" w:rsidRDefault="00D865DF" w:rsidP="00406063">
      <w:pPr>
        <w:pStyle w:val="ListParagraph"/>
        <w:numPr>
          <w:ilvl w:val="0"/>
          <w:numId w:val="21"/>
        </w:numPr>
        <w:rPr>
          <w:rFonts w:ascii="Avenir Next" w:hAnsi="Avenir Next" w:cs="Arial"/>
          <w:color w:val="808080" w:themeColor="background1" w:themeShade="80"/>
          <w:sz w:val="22"/>
          <w:szCs w:val="22"/>
          <w:lang w:val="en-GB"/>
        </w:rPr>
      </w:pPr>
      <w:r w:rsidRPr="00406063">
        <w:rPr>
          <w:rFonts w:ascii="Avenir Next" w:hAnsi="Avenir Next" w:cs="Arial"/>
          <w:color w:val="808080" w:themeColor="background1" w:themeShade="80"/>
          <w:sz w:val="22"/>
          <w:szCs w:val="22"/>
          <w:lang w:val="en-GB"/>
        </w:rPr>
        <w:t>The existence and status of any domestic insolvency proceeding or other legal proceeding regarding the debtor in Country B, and the potential conflicts or co-operation with such proceeding.</w:t>
      </w:r>
    </w:p>
    <w:p w14:paraId="10178C0C" w14:textId="77777777" w:rsidR="00D865DF" w:rsidRPr="00406063" w:rsidRDefault="00D865DF" w:rsidP="00406063">
      <w:pPr>
        <w:pStyle w:val="ListParagraph"/>
        <w:numPr>
          <w:ilvl w:val="0"/>
          <w:numId w:val="21"/>
        </w:numPr>
        <w:rPr>
          <w:rFonts w:ascii="Avenir Next" w:hAnsi="Avenir Next" w:cs="Arial"/>
          <w:color w:val="808080" w:themeColor="background1" w:themeShade="80"/>
          <w:sz w:val="22"/>
          <w:szCs w:val="22"/>
          <w:lang w:val="en-GB"/>
        </w:rPr>
      </w:pPr>
      <w:r w:rsidRPr="00406063">
        <w:rPr>
          <w:rFonts w:ascii="Avenir Next" w:hAnsi="Avenir Next" w:cs="Arial"/>
          <w:color w:val="808080" w:themeColor="background1" w:themeShade="80"/>
          <w:sz w:val="22"/>
          <w:szCs w:val="22"/>
          <w:lang w:val="en-GB"/>
        </w:rPr>
        <w:t xml:space="preserve">The adoption and implementation of the Model Law in Country B, and the interpretation and application of its provisions by the courts and authorities in Country B, especially </w:t>
      </w:r>
      <w:proofErr w:type="gramStart"/>
      <w:r w:rsidRPr="00406063">
        <w:rPr>
          <w:rFonts w:ascii="Avenir Next" w:hAnsi="Avenir Next" w:cs="Arial"/>
          <w:color w:val="808080" w:themeColor="background1" w:themeShade="80"/>
          <w:sz w:val="22"/>
          <w:szCs w:val="22"/>
          <w:lang w:val="en-GB"/>
        </w:rPr>
        <w:t>with regard to</w:t>
      </w:r>
      <w:proofErr w:type="gramEnd"/>
      <w:r w:rsidRPr="00406063">
        <w:rPr>
          <w:rFonts w:ascii="Avenir Next" w:hAnsi="Avenir Next" w:cs="Arial"/>
          <w:color w:val="808080" w:themeColor="background1" w:themeShade="80"/>
          <w:sz w:val="22"/>
          <w:szCs w:val="22"/>
          <w:lang w:val="en-GB"/>
        </w:rPr>
        <w:t xml:space="preserve"> the recognition of foreign proceedings, the determination of the debtor's COMI, the public policy exception, and the relief available to foreign representatives.</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w:t>
      </w:r>
      <w:r w:rsidRPr="00E61F6E">
        <w:rPr>
          <w:rFonts w:ascii="Avenir Next" w:hAnsi="Avenir Next"/>
          <w:sz w:val="22"/>
          <w:szCs w:val="28"/>
        </w:rPr>
        <w:lastRenderedPageBreak/>
        <w:t>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3156E3D" w14:textId="77777777" w:rsidR="00CF6C68" w:rsidRPr="00CF6C68" w:rsidRDefault="00CF6C68" w:rsidP="00CF6C68">
      <w:pPr>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Based on the facts provided, the client's key filing strategy to ensure a successful restructuring should include the following steps:</w:t>
      </w:r>
    </w:p>
    <w:p w14:paraId="0832F175" w14:textId="77777777" w:rsidR="00CF6C68" w:rsidRPr="00CF6C68" w:rsidRDefault="00CF6C68" w:rsidP="00CF6C68">
      <w:pPr>
        <w:rPr>
          <w:rFonts w:ascii="Avenir Next" w:hAnsi="Avenir Next"/>
          <w:color w:val="808080" w:themeColor="background1" w:themeShade="80"/>
          <w:sz w:val="22"/>
          <w:szCs w:val="28"/>
        </w:rPr>
      </w:pPr>
    </w:p>
    <w:p w14:paraId="77141613" w14:textId="4DA6D12B" w:rsidR="00AB2421" w:rsidRDefault="00CF6C68" w:rsidP="004E1846">
      <w:pPr>
        <w:pStyle w:val="ListParagraph"/>
        <w:numPr>
          <w:ilvl w:val="0"/>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 xml:space="preserve">Apply for recognition of the Cayman Islands scheme of arrangement as a foreign main proceeding under Chapter 15 of the US Bankruptcy Code, since the client's COMI is likely to be in the Cayman Islands, where it is incorporated, registered, has its books and records, bank account, counsel, and board meetings, and where it has publicly disclosed its re-domiciliation and its restructuring plan. The client should submit the following papers to the US bankruptcy court: </w:t>
      </w:r>
    </w:p>
    <w:p w14:paraId="4332564F" w14:textId="77777777" w:rsidR="00AB2421" w:rsidRDefault="00CF6C68" w:rsidP="00AB2421">
      <w:pPr>
        <w:pStyle w:val="ListParagraph"/>
        <w:numPr>
          <w:ilvl w:val="1"/>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 xml:space="preserve">a petition for recognition of the foreign proceeding, accompanied by a certified copy of the Sanction Order and a certificate from the Cayman Islands court affirming the existence of the scheme and the appointment of the foreign </w:t>
      </w:r>
      <w:proofErr w:type="gramStart"/>
      <w:r w:rsidRPr="00CF6C68">
        <w:rPr>
          <w:rFonts w:ascii="Avenir Next" w:hAnsi="Avenir Next"/>
          <w:color w:val="808080" w:themeColor="background1" w:themeShade="80"/>
          <w:sz w:val="22"/>
          <w:szCs w:val="28"/>
        </w:rPr>
        <w:t>representative;</w:t>
      </w:r>
      <w:proofErr w:type="gramEnd"/>
      <w:r w:rsidRPr="00CF6C68">
        <w:rPr>
          <w:rFonts w:ascii="Avenir Next" w:hAnsi="Avenir Next"/>
          <w:color w:val="808080" w:themeColor="background1" w:themeShade="80"/>
          <w:sz w:val="22"/>
          <w:szCs w:val="28"/>
        </w:rPr>
        <w:t xml:space="preserve"> </w:t>
      </w:r>
    </w:p>
    <w:p w14:paraId="17764DB6" w14:textId="77777777" w:rsidR="00AB2421" w:rsidRDefault="00CF6C68" w:rsidP="00AB2421">
      <w:pPr>
        <w:pStyle w:val="ListParagraph"/>
        <w:numPr>
          <w:ilvl w:val="1"/>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 xml:space="preserve">a statement identifying all foreign proceedings in respect of the client that are known to the foreign </w:t>
      </w:r>
      <w:proofErr w:type="gramStart"/>
      <w:r w:rsidRPr="00CF6C68">
        <w:rPr>
          <w:rFonts w:ascii="Avenir Next" w:hAnsi="Avenir Next"/>
          <w:color w:val="808080" w:themeColor="background1" w:themeShade="80"/>
          <w:sz w:val="22"/>
          <w:szCs w:val="28"/>
        </w:rPr>
        <w:t>representative;</w:t>
      </w:r>
      <w:proofErr w:type="gramEnd"/>
      <w:r w:rsidRPr="00CF6C68">
        <w:rPr>
          <w:rFonts w:ascii="Avenir Next" w:hAnsi="Avenir Next"/>
          <w:color w:val="808080" w:themeColor="background1" w:themeShade="80"/>
          <w:sz w:val="22"/>
          <w:szCs w:val="28"/>
        </w:rPr>
        <w:t xml:space="preserve"> </w:t>
      </w:r>
    </w:p>
    <w:p w14:paraId="628969D4" w14:textId="77777777" w:rsidR="00AB2421" w:rsidRDefault="00CF6C68" w:rsidP="00AB2421">
      <w:pPr>
        <w:pStyle w:val="ListParagraph"/>
        <w:numPr>
          <w:ilvl w:val="1"/>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a declaration by the foreign representative in support of the petition, providing information on the client's business, assets, liabilities, creditors, and the scheme; and</w:t>
      </w:r>
    </w:p>
    <w:p w14:paraId="2565BA12" w14:textId="556D70B3" w:rsidR="00CF6C68" w:rsidRPr="00CF6C68" w:rsidRDefault="00CF6C68" w:rsidP="00AB2421">
      <w:pPr>
        <w:pStyle w:val="ListParagraph"/>
        <w:numPr>
          <w:ilvl w:val="1"/>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a request for relief under Chapter 15, including the automatic stay of actions against the client and its assets in the US, the enforcement of the scheme in the US, and any other appropriate relief that may be available under US law or the Model Law.</w:t>
      </w:r>
    </w:p>
    <w:p w14:paraId="4AA01097" w14:textId="4C5D3072" w:rsidR="00CF6C68" w:rsidRPr="00CF6C68" w:rsidRDefault="00CF6C68" w:rsidP="004E1846">
      <w:pPr>
        <w:pStyle w:val="ListParagraph"/>
        <w:numPr>
          <w:ilvl w:val="0"/>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Request urgent interim relief pending the recognition of the foreign proceeding, to protect the client's assets and interests in the US from any actions by creditors or other parties that may jeopardize the implementation of the scheme. Such relief may include a temporary stay of execution, litigation, or enforcement against the client or its assets in the US.</w:t>
      </w:r>
    </w:p>
    <w:p w14:paraId="79A958B4" w14:textId="7B218EB8" w:rsidR="00CF6C68" w:rsidRPr="00CF6C68" w:rsidRDefault="00CF6C68" w:rsidP="004E1846">
      <w:pPr>
        <w:pStyle w:val="ListParagraph"/>
        <w:numPr>
          <w:ilvl w:val="0"/>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Co-operate and communicate with the US bankruptcy court and any US insolvency representative, if appointed, to facilitate the recognition and enforcement of the scheme and the co-ordination of the proceedings.</w:t>
      </w:r>
    </w:p>
    <w:p w14:paraId="70BCE826" w14:textId="77777777" w:rsidR="00CF6C68" w:rsidRDefault="00CF6C68" w:rsidP="004E1846">
      <w:pPr>
        <w:pStyle w:val="ListParagraph"/>
        <w:numPr>
          <w:ilvl w:val="0"/>
          <w:numId w:val="22"/>
        </w:numPr>
        <w:jc w:val="both"/>
        <w:rPr>
          <w:rFonts w:ascii="Avenir Next" w:hAnsi="Avenir Next"/>
          <w:color w:val="808080" w:themeColor="background1" w:themeShade="80"/>
          <w:sz w:val="22"/>
          <w:szCs w:val="28"/>
        </w:rPr>
      </w:pPr>
      <w:r w:rsidRPr="00CF6C68">
        <w:rPr>
          <w:rFonts w:ascii="Avenir Next" w:hAnsi="Avenir Next"/>
          <w:color w:val="808080" w:themeColor="background1" w:themeShade="80"/>
          <w:sz w:val="22"/>
          <w:szCs w:val="28"/>
        </w:rPr>
        <w:t>Intervene in any local proceedings in the US in which the client is a party, if necessary, to assert its rights and interests under the scheme and Chapter 15, and to seek the application of the hotchpot rule to avoid any preferential treatment of creditors who may have received partial payment in the Cayman Islands or elsewhere.</w:t>
      </w:r>
    </w:p>
    <w:p w14:paraId="264F5EBE" w14:textId="61037F14" w:rsidR="004760B8" w:rsidRPr="004760B8" w:rsidRDefault="004760B8" w:rsidP="004760B8">
      <w:pPr>
        <w:pStyle w:val="ListParagraph"/>
        <w:numPr>
          <w:ilvl w:val="0"/>
          <w:numId w:val="22"/>
        </w:numPr>
        <w:rPr>
          <w:rFonts w:ascii="Avenir Next" w:hAnsi="Avenir Next"/>
          <w:color w:val="808080" w:themeColor="background1" w:themeShade="80"/>
          <w:sz w:val="22"/>
          <w:szCs w:val="28"/>
        </w:rPr>
      </w:pPr>
      <w:r>
        <w:rPr>
          <w:rFonts w:ascii="Avenir Next" w:hAnsi="Avenir Next"/>
          <w:color w:val="808080" w:themeColor="background1" w:themeShade="80"/>
          <w:sz w:val="22"/>
          <w:szCs w:val="28"/>
        </w:rPr>
        <w:t>R</w:t>
      </w:r>
      <w:r w:rsidRPr="004760B8">
        <w:rPr>
          <w:rFonts w:ascii="Avenir Next" w:hAnsi="Avenir Next"/>
          <w:color w:val="808080" w:themeColor="background1" w:themeShade="80"/>
          <w:sz w:val="22"/>
          <w:szCs w:val="28"/>
        </w:rPr>
        <w:t xml:space="preserve">espond to any challenges or objections to the recognition or enforcement of the scheme in the US, such as public policy, lack of due process, or inadequate protection of creditors' </w:t>
      </w:r>
      <w:r w:rsidRPr="004760B8">
        <w:rPr>
          <w:rFonts w:ascii="Avenir Next" w:hAnsi="Avenir Next"/>
          <w:color w:val="808080" w:themeColor="background1" w:themeShade="80"/>
          <w:sz w:val="22"/>
          <w:szCs w:val="28"/>
        </w:rPr>
        <w:lastRenderedPageBreak/>
        <w:t>interests. The client should also be prepared to rebut any arguments that its COMI is not in the Cayman Islands, or that the scheme is not a foreign proceeding within the meaning of Chapter 15, or that the foreign representative is not a person or body authorized to administer the scheme or act as a representative of the scheme.</w:t>
      </w:r>
    </w:p>
    <w:p w14:paraId="43A441E9" w14:textId="609F07A1" w:rsidR="00126E19" w:rsidRPr="00CF6C68" w:rsidRDefault="00126E19" w:rsidP="004E1846">
      <w:pPr>
        <w:pStyle w:val="ListParagraph"/>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3D800BF" w:rsidR="000300E0" w:rsidRPr="00B46CE2" w:rsidRDefault="00673920" w:rsidP="000300E0">
    <w:pPr>
      <w:pStyle w:val="Footer"/>
      <w:ind w:right="360"/>
      <w:rPr>
        <w:rFonts w:ascii="Avenir Next" w:hAnsi="Avenir Next"/>
        <w:sz w:val="22"/>
        <w:szCs w:val="22"/>
      </w:rPr>
    </w:pPr>
    <w:r>
      <w:rPr>
        <w:rFonts w:ascii="Avenir Next" w:hAnsi="Avenir Next"/>
        <w:sz w:val="22"/>
        <w:szCs w:val="22"/>
      </w:rPr>
      <w:t>FC202324-1253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2A101A"/>
    <w:multiLevelType w:val="hybridMultilevel"/>
    <w:tmpl w:val="737845D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F31961"/>
    <w:multiLevelType w:val="hybridMultilevel"/>
    <w:tmpl w:val="82682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4061015"/>
    <w:multiLevelType w:val="hybridMultilevel"/>
    <w:tmpl w:val="3D38F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E1B02"/>
    <w:multiLevelType w:val="hybridMultilevel"/>
    <w:tmpl w:val="8E84F9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2D01FA"/>
    <w:multiLevelType w:val="hybridMultilevel"/>
    <w:tmpl w:val="FDB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8"/>
  </w:num>
  <w:num w:numId="3" w16cid:durableId="970591766">
    <w:abstractNumId w:val="3"/>
  </w:num>
  <w:num w:numId="4" w16cid:durableId="1327175081">
    <w:abstractNumId w:val="21"/>
  </w:num>
  <w:num w:numId="5" w16cid:durableId="998270126">
    <w:abstractNumId w:val="20"/>
  </w:num>
  <w:num w:numId="6" w16cid:durableId="657656171">
    <w:abstractNumId w:val="18"/>
  </w:num>
  <w:num w:numId="7" w16cid:durableId="1116829249">
    <w:abstractNumId w:val="5"/>
  </w:num>
  <w:num w:numId="8" w16cid:durableId="1055274873">
    <w:abstractNumId w:val="6"/>
  </w:num>
  <w:num w:numId="9" w16cid:durableId="790785319">
    <w:abstractNumId w:val="13"/>
  </w:num>
  <w:num w:numId="10" w16cid:durableId="59720369">
    <w:abstractNumId w:val="12"/>
  </w:num>
  <w:num w:numId="11" w16cid:durableId="1379276728">
    <w:abstractNumId w:val="4"/>
  </w:num>
  <w:num w:numId="12" w16cid:durableId="921179279">
    <w:abstractNumId w:val="10"/>
  </w:num>
  <w:num w:numId="13" w16cid:durableId="1060514793">
    <w:abstractNumId w:val="11"/>
  </w:num>
  <w:num w:numId="14" w16cid:durableId="64230155">
    <w:abstractNumId w:val="1"/>
  </w:num>
  <w:num w:numId="15" w16cid:durableId="1681084025">
    <w:abstractNumId w:val="0"/>
  </w:num>
  <w:num w:numId="16" w16cid:durableId="1275090443">
    <w:abstractNumId w:val="9"/>
  </w:num>
  <w:num w:numId="17" w16cid:durableId="269969236">
    <w:abstractNumId w:val="15"/>
  </w:num>
  <w:num w:numId="18" w16cid:durableId="182213003">
    <w:abstractNumId w:val="19"/>
  </w:num>
  <w:num w:numId="19" w16cid:durableId="2072263552">
    <w:abstractNumId w:val="16"/>
  </w:num>
  <w:num w:numId="20" w16cid:durableId="1971327014">
    <w:abstractNumId w:val="2"/>
  </w:num>
  <w:num w:numId="21" w16cid:durableId="1972393196">
    <w:abstractNumId w:val="7"/>
  </w:num>
  <w:num w:numId="22" w16cid:durableId="143709556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48BD"/>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279D"/>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3E4"/>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6063"/>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60B8"/>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1846"/>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5031"/>
    <w:rsid w:val="005D43E0"/>
    <w:rsid w:val="005D58A3"/>
    <w:rsid w:val="005D7CCE"/>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1816"/>
    <w:rsid w:val="00632E44"/>
    <w:rsid w:val="00634622"/>
    <w:rsid w:val="00636808"/>
    <w:rsid w:val="00641002"/>
    <w:rsid w:val="00641515"/>
    <w:rsid w:val="00651AE3"/>
    <w:rsid w:val="00654C2F"/>
    <w:rsid w:val="00657087"/>
    <w:rsid w:val="0066252C"/>
    <w:rsid w:val="006661EF"/>
    <w:rsid w:val="0067294B"/>
    <w:rsid w:val="00673920"/>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67CE5"/>
    <w:rsid w:val="007719F9"/>
    <w:rsid w:val="0077498C"/>
    <w:rsid w:val="00777183"/>
    <w:rsid w:val="00784128"/>
    <w:rsid w:val="00784B4B"/>
    <w:rsid w:val="007854ED"/>
    <w:rsid w:val="00793173"/>
    <w:rsid w:val="007B3AC7"/>
    <w:rsid w:val="007B497A"/>
    <w:rsid w:val="007C1FCC"/>
    <w:rsid w:val="007C32A8"/>
    <w:rsid w:val="007C3FE5"/>
    <w:rsid w:val="007C6201"/>
    <w:rsid w:val="007C6988"/>
    <w:rsid w:val="007D0B87"/>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3ACA"/>
    <w:rsid w:val="00867A8F"/>
    <w:rsid w:val="008723F3"/>
    <w:rsid w:val="00877F36"/>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6DD"/>
    <w:rsid w:val="00905A43"/>
    <w:rsid w:val="00907DC2"/>
    <w:rsid w:val="00910599"/>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B6AB1"/>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1566F"/>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2421"/>
    <w:rsid w:val="00AB52B8"/>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6C68"/>
    <w:rsid w:val="00CF70DC"/>
    <w:rsid w:val="00D148DC"/>
    <w:rsid w:val="00D17FDC"/>
    <w:rsid w:val="00D444C5"/>
    <w:rsid w:val="00D45AEA"/>
    <w:rsid w:val="00D5244F"/>
    <w:rsid w:val="00D52E4F"/>
    <w:rsid w:val="00D56A37"/>
    <w:rsid w:val="00D57202"/>
    <w:rsid w:val="00D6386E"/>
    <w:rsid w:val="00D63EFD"/>
    <w:rsid w:val="00D64826"/>
    <w:rsid w:val="00D66D43"/>
    <w:rsid w:val="00D7080A"/>
    <w:rsid w:val="00D80DF2"/>
    <w:rsid w:val="00D84150"/>
    <w:rsid w:val="00D84752"/>
    <w:rsid w:val="00D85AB0"/>
    <w:rsid w:val="00D865DF"/>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5413"/>
    <w:rsid w:val="00E450A4"/>
    <w:rsid w:val="00E506BE"/>
    <w:rsid w:val="00E55547"/>
    <w:rsid w:val="00E57410"/>
    <w:rsid w:val="00E61822"/>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534"/>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4D1"/>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70E3"/>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407">
      <w:bodyDiv w:val="1"/>
      <w:marLeft w:val="0"/>
      <w:marRight w:val="0"/>
      <w:marTop w:val="0"/>
      <w:marBottom w:val="0"/>
      <w:divBdr>
        <w:top w:val="none" w:sz="0" w:space="0" w:color="auto"/>
        <w:left w:val="none" w:sz="0" w:space="0" w:color="auto"/>
        <w:bottom w:val="none" w:sz="0" w:space="0" w:color="auto"/>
        <w:right w:val="none" w:sz="0" w:space="0" w:color="auto"/>
      </w:divBdr>
    </w:div>
    <w:div w:id="14328132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68300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5478</Words>
  <Characters>28596</Characters>
  <Application>Microsoft Office Word</Application>
  <DocSecurity>0</DocSecurity>
  <Lines>841</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&amp; Overy</cp:lastModifiedBy>
  <cp:revision>41</cp:revision>
  <cp:lastPrinted>2019-08-27T05:42:00Z</cp:lastPrinted>
  <dcterms:created xsi:type="dcterms:W3CDTF">2024-02-17T09:12:00Z</dcterms:created>
  <dcterms:modified xsi:type="dcterms:W3CDTF">2024-02-17T12:09:00Z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2024-02-17T09:12:51Z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27251a14-3c98-4e9f-8ed0-8c7cc8ec7961</vt:lpwstr>
  </property>
  <property fmtid="{D5CDD505-2E9C-101B-9397-08002B2CF9AE}" pid="8" name="MSIP_Label_42e67a54-274b-43d7-8098-b3ba5f50e576_ContentBits">
    <vt:lpwstr>0</vt:lpwstr>
  </property>
  <property fmtid="{D5CDD505-2E9C-101B-9397-08002B2CF9AE}" pid="9" name="Client">
    <vt:lpwstr>PERS_KH</vt:lpwstr>
  </property>
  <property fmtid="{D5CDD505-2E9C-101B-9397-08002B2CF9AE}" pid="10" name="Matter">
    <vt:lpwstr>ELKINANA</vt:lpwstr>
  </property>
  <property fmtid="{D5CDD505-2E9C-101B-9397-08002B2CF9AE}" pid="11" name="cpDocRef">
    <vt:lpwstr>DBP1: 2001875892.1</vt:lpwstr>
  </property>
  <property fmtid="{D5CDD505-2E9C-101B-9397-08002B2CF9AE}" pid="12" name="cpClientMatter">
    <vt:lpwstr>PERS_KH-ELKINANA</vt:lpwstr>
  </property>
  <property fmtid="{D5CDD505-2E9C-101B-9397-08002B2CF9AE}" pid="13" name="cpCombinedRef">
    <vt:lpwstr>PERS_KH-ELKINANA DBP1: 2001875892.1</vt:lpwstr>
  </property>
</Properties>
</file>