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181B1" w14:textId="77777777" w:rsidR="001B27CE" w:rsidRDefault="001B27CE" w:rsidP="007C007B">
      <w:pPr>
        <w:pStyle w:val="MTTFACTUMHEAD"/>
      </w:pPr>
      <w:bookmarkStart w:id="0" w:name="_dxtcompanion_actionscomplete"/>
    </w:p>
    <w:p w14:paraId="5CEBF102" w14:textId="77777777" w:rsidR="001B27CE" w:rsidRDefault="001B27CE" w:rsidP="007C007B">
      <w:pPr>
        <w:pStyle w:val="MTTFACTUMHEAD"/>
      </w:pPr>
    </w:p>
    <w:p w14:paraId="595B6098" w14:textId="77777777" w:rsidR="001B27CE" w:rsidRDefault="001B27CE" w:rsidP="007C007B">
      <w:pPr>
        <w:pStyle w:val="MTTFACTUMHEAD"/>
      </w:pPr>
    </w:p>
    <w:p w14:paraId="01E372D6" w14:textId="77777777" w:rsidR="001B27CE" w:rsidRDefault="001B27CE" w:rsidP="007C007B">
      <w:pPr>
        <w:pStyle w:val="MTTFACTUMHEAD"/>
      </w:pPr>
    </w:p>
    <w:p w14:paraId="162F93AF" w14:textId="77777777" w:rsidR="001B27CE" w:rsidRDefault="001B27CE" w:rsidP="007C007B">
      <w:pPr>
        <w:pStyle w:val="MTTFACTUMHEAD"/>
      </w:pPr>
    </w:p>
    <w:p w14:paraId="76791172" w14:textId="77777777" w:rsidR="001B27CE" w:rsidRDefault="001B27CE" w:rsidP="007C007B">
      <w:pPr>
        <w:pStyle w:val="MTTFACTUMHEAD"/>
      </w:pPr>
    </w:p>
    <w:p w14:paraId="7EF719BB" w14:textId="77777777" w:rsidR="001B27CE" w:rsidRDefault="001B27CE" w:rsidP="007C007B">
      <w:pPr>
        <w:pStyle w:val="MTTFACTUMHEAD"/>
      </w:pPr>
    </w:p>
    <w:p w14:paraId="6D79942B" w14:textId="702AD3D1" w:rsidR="001B27CE" w:rsidRDefault="002143F3" w:rsidP="001B27CE">
      <w:pPr>
        <w:pStyle w:val="MTTFACTUMHEAD"/>
      </w:pPr>
      <w:r w:rsidRPr="00134A80">
        <w:t>Exploring Diverse Jurisdictional Approaches to Debtor</w:t>
      </w:r>
      <w:r w:rsidR="004F0FD9">
        <w:t>-in-</w:t>
      </w:r>
      <w:r w:rsidRPr="00134A80">
        <w:t>Possession Financing</w:t>
      </w:r>
      <w:r w:rsidR="001B27CE">
        <w:t xml:space="preserve"> in pursuit of balance</w:t>
      </w:r>
    </w:p>
    <w:p w14:paraId="7E4886F8" w14:textId="36AA4847" w:rsidR="001B27CE" w:rsidRDefault="001B27CE" w:rsidP="001B27CE">
      <w:pPr>
        <w:pStyle w:val="MTBody"/>
      </w:pPr>
    </w:p>
    <w:p w14:paraId="3DA395F9" w14:textId="47BD448D" w:rsidR="001B27CE" w:rsidRDefault="001B27CE" w:rsidP="001B27CE">
      <w:pPr>
        <w:pStyle w:val="MTBody"/>
      </w:pPr>
    </w:p>
    <w:p w14:paraId="42FBBFEC" w14:textId="4EFE8D63" w:rsidR="001B27CE" w:rsidRDefault="001B27CE" w:rsidP="001B27CE">
      <w:pPr>
        <w:pStyle w:val="MTBody"/>
      </w:pPr>
    </w:p>
    <w:p w14:paraId="1682E1D7" w14:textId="361EA489" w:rsidR="001B27CE" w:rsidRDefault="001B27CE" w:rsidP="001B27CE">
      <w:pPr>
        <w:pStyle w:val="MTBody"/>
      </w:pPr>
    </w:p>
    <w:p w14:paraId="509AF4C9" w14:textId="63AD94C4" w:rsidR="001B27CE" w:rsidRDefault="001B27CE" w:rsidP="001B27CE">
      <w:pPr>
        <w:pStyle w:val="MTBody"/>
      </w:pPr>
    </w:p>
    <w:p w14:paraId="15310390" w14:textId="1462756B" w:rsidR="001B27CE" w:rsidRDefault="001B27CE" w:rsidP="001B27CE">
      <w:pPr>
        <w:pStyle w:val="MTBody"/>
      </w:pPr>
    </w:p>
    <w:p w14:paraId="203F5600" w14:textId="38D30675" w:rsidR="001B27CE" w:rsidRDefault="001B27CE" w:rsidP="001B27CE">
      <w:pPr>
        <w:pStyle w:val="MTBody"/>
      </w:pPr>
    </w:p>
    <w:p w14:paraId="12AB82C9" w14:textId="58C5090C" w:rsidR="001B27CE" w:rsidRDefault="001B27CE" w:rsidP="001B27CE">
      <w:pPr>
        <w:pStyle w:val="MTBody"/>
      </w:pPr>
    </w:p>
    <w:p w14:paraId="19F8FBC3" w14:textId="7FDF189D" w:rsidR="001B27CE" w:rsidRDefault="001B27CE" w:rsidP="001B27CE">
      <w:pPr>
        <w:pStyle w:val="MTBody"/>
      </w:pPr>
    </w:p>
    <w:p w14:paraId="2CC048C1" w14:textId="67B3E88E" w:rsidR="001B27CE" w:rsidRDefault="001B27CE" w:rsidP="001B27CE">
      <w:pPr>
        <w:pStyle w:val="MTBody"/>
      </w:pPr>
    </w:p>
    <w:p w14:paraId="7BED849F" w14:textId="6205BD53" w:rsidR="001B27CE" w:rsidRDefault="001B27CE" w:rsidP="001B27CE">
      <w:pPr>
        <w:pStyle w:val="MTBody"/>
      </w:pPr>
    </w:p>
    <w:p w14:paraId="113CF2D8" w14:textId="6A3D0C34" w:rsidR="001B27CE" w:rsidRDefault="001B27CE" w:rsidP="001B27CE">
      <w:pPr>
        <w:pStyle w:val="MTBody"/>
      </w:pPr>
    </w:p>
    <w:p w14:paraId="430A0886" w14:textId="72F5CA27" w:rsidR="001B27CE" w:rsidRDefault="001B27CE" w:rsidP="001B27CE">
      <w:pPr>
        <w:pStyle w:val="MTBody"/>
      </w:pPr>
    </w:p>
    <w:p w14:paraId="77CC62E0" w14:textId="0C8CF28E" w:rsidR="001B27CE" w:rsidRDefault="001B27CE" w:rsidP="001B27CE">
      <w:pPr>
        <w:pStyle w:val="MTBody"/>
        <w:ind w:left="6480"/>
      </w:pPr>
      <w:r>
        <w:t>Harold  (Lance) Williams</w:t>
      </w:r>
      <w:r>
        <w:br/>
        <w:t>February 26, 2024</w:t>
      </w:r>
    </w:p>
    <w:p w14:paraId="5A506620" w14:textId="596AC226" w:rsidR="001B27CE" w:rsidRPr="001B27CE" w:rsidRDefault="001B27CE" w:rsidP="001B27CE">
      <w:pPr>
        <w:pStyle w:val="MTBody"/>
        <w:ind w:left="6480"/>
        <w:sectPr w:rsidR="001B27CE" w:rsidRPr="001B27CE" w:rsidSect="001B31F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5E7C7A9A" w14:textId="5924DB2A" w:rsidR="00123500" w:rsidRDefault="00123500" w:rsidP="00123500">
      <w:pPr>
        <w:pStyle w:val="MTTFACTUMHEAD"/>
      </w:pPr>
      <w:r>
        <w:lastRenderedPageBreak/>
        <w:t>index</w:t>
      </w:r>
    </w:p>
    <w:p w14:paraId="35D6717E" w14:textId="71322B83" w:rsidR="00972935" w:rsidRDefault="00972935">
      <w:pPr>
        <w:pStyle w:val="TOC1"/>
        <w:rPr>
          <w:rFonts w:asciiTheme="minorHAnsi" w:eastAsiaTheme="minorEastAsia" w:hAnsiTheme="minorHAnsi" w:cstheme="minorBidi"/>
          <w:noProof/>
          <w:lang w:eastAsia="en-CA"/>
        </w:rPr>
      </w:pPr>
      <w:r>
        <w:fldChar w:fldCharType="begin"/>
      </w:r>
      <w:r>
        <w:instrText xml:space="preserve"> TOC \h \t "MTTFACTUMPART,1,Secondary,2,Third,3"  \* MERGEFORMAT </w:instrText>
      </w:r>
      <w:r>
        <w:fldChar w:fldCharType="separate"/>
      </w:r>
      <w:hyperlink w:anchor="_Toc159776036" w:history="1">
        <w:r w:rsidRPr="00773852">
          <w:rPr>
            <w:rStyle w:val="Hyperlink"/>
            <w:noProof/>
          </w:rPr>
          <w:t>Part I.</w:t>
        </w:r>
        <w:r>
          <w:rPr>
            <w:rFonts w:asciiTheme="minorHAnsi" w:eastAsiaTheme="minorEastAsia" w:hAnsiTheme="minorHAnsi" w:cstheme="minorBidi"/>
            <w:noProof/>
            <w:lang w:eastAsia="en-CA"/>
          </w:rPr>
          <w:tab/>
        </w:r>
        <w:r w:rsidRPr="00773852">
          <w:rPr>
            <w:rStyle w:val="Hyperlink"/>
            <w:noProof/>
          </w:rPr>
          <w:t>Introduction</w:t>
        </w:r>
        <w:r>
          <w:rPr>
            <w:noProof/>
          </w:rPr>
          <w:tab/>
        </w:r>
        <w:r>
          <w:rPr>
            <w:noProof/>
          </w:rPr>
          <w:fldChar w:fldCharType="begin"/>
        </w:r>
        <w:r>
          <w:rPr>
            <w:noProof/>
          </w:rPr>
          <w:instrText xml:space="preserve"> PAGEREF _Toc159776036 \h </w:instrText>
        </w:r>
        <w:r>
          <w:rPr>
            <w:noProof/>
          </w:rPr>
        </w:r>
        <w:r>
          <w:rPr>
            <w:noProof/>
          </w:rPr>
          <w:fldChar w:fldCharType="separate"/>
        </w:r>
        <w:r>
          <w:rPr>
            <w:noProof/>
          </w:rPr>
          <w:t>1</w:t>
        </w:r>
        <w:r>
          <w:rPr>
            <w:noProof/>
          </w:rPr>
          <w:fldChar w:fldCharType="end"/>
        </w:r>
      </w:hyperlink>
    </w:p>
    <w:p w14:paraId="7ECCBC19" w14:textId="47F968FC" w:rsidR="00972935" w:rsidRDefault="00972935">
      <w:pPr>
        <w:pStyle w:val="TOC1"/>
        <w:rPr>
          <w:rFonts w:asciiTheme="minorHAnsi" w:eastAsiaTheme="minorEastAsia" w:hAnsiTheme="minorHAnsi" w:cstheme="minorBidi"/>
          <w:noProof/>
          <w:lang w:eastAsia="en-CA"/>
        </w:rPr>
      </w:pPr>
      <w:hyperlink w:anchor="_Toc159776037" w:history="1">
        <w:r w:rsidRPr="00773852">
          <w:rPr>
            <w:rStyle w:val="Hyperlink"/>
            <w:noProof/>
          </w:rPr>
          <w:t>Part II.</w:t>
        </w:r>
        <w:r>
          <w:rPr>
            <w:rFonts w:asciiTheme="minorHAnsi" w:eastAsiaTheme="minorEastAsia" w:hAnsiTheme="minorHAnsi" w:cstheme="minorBidi"/>
            <w:noProof/>
            <w:lang w:eastAsia="en-CA"/>
          </w:rPr>
          <w:tab/>
        </w:r>
        <w:r w:rsidRPr="00773852">
          <w:rPr>
            <w:rStyle w:val="Hyperlink"/>
            <w:noProof/>
          </w:rPr>
          <w:t>La Grande Dame: The United States</w:t>
        </w:r>
        <w:r>
          <w:rPr>
            <w:noProof/>
          </w:rPr>
          <w:tab/>
        </w:r>
        <w:r>
          <w:rPr>
            <w:noProof/>
          </w:rPr>
          <w:fldChar w:fldCharType="begin"/>
        </w:r>
        <w:r>
          <w:rPr>
            <w:noProof/>
          </w:rPr>
          <w:instrText xml:space="preserve"> PAGEREF _Toc159776037 \h </w:instrText>
        </w:r>
        <w:r>
          <w:rPr>
            <w:noProof/>
          </w:rPr>
        </w:r>
        <w:r>
          <w:rPr>
            <w:noProof/>
          </w:rPr>
          <w:fldChar w:fldCharType="separate"/>
        </w:r>
        <w:r>
          <w:rPr>
            <w:noProof/>
          </w:rPr>
          <w:t>2</w:t>
        </w:r>
        <w:r>
          <w:rPr>
            <w:noProof/>
          </w:rPr>
          <w:fldChar w:fldCharType="end"/>
        </w:r>
      </w:hyperlink>
    </w:p>
    <w:p w14:paraId="0F58F64F" w14:textId="10474B3D" w:rsidR="00972935" w:rsidRDefault="00972935">
      <w:pPr>
        <w:pStyle w:val="TOC2"/>
        <w:rPr>
          <w:rFonts w:asciiTheme="minorHAnsi" w:eastAsiaTheme="minorEastAsia" w:hAnsiTheme="minorHAnsi" w:cstheme="minorBidi"/>
          <w:noProof/>
          <w:lang w:eastAsia="en-CA"/>
        </w:rPr>
      </w:pPr>
      <w:hyperlink w:anchor="_Toc159776038" w:history="1">
        <w:r w:rsidRPr="00773852">
          <w:rPr>
            <w:rStyle w:val="Hyperlink"/>
            <w:noProof/>
          </w:rPr>
          <w:t>Statutory Regime and Court Approval</w:t>
        </w:r>
        <w:r>
          <w:rPr>
            <w:noProof/>
          </w:rPr>
          <w:tab/>
        </w:r>
        <w:r>
          <w:rPr>
            <w:noProof/>
          </w:rPr>
          <w:fldChar w:fldCharType="begin"/>
        </w:r>
        <w:r>
          <w:rPr>
            <w:noProof/>
          </w:rPr>
          <w:instrText xml:space="preserve"> PAGEREF _Toc159776038 \h </w:instrText>
        </w:r>
        <w:r>
          <w:rPr>
            <w:noProof/>
          </w:rPr>
        </w:r>
        <w:r>
          <w:rPr>
            <w:noProof/>
          </w:rPr>
          <w:fldChar w:fldCharType="separate"/>
        </w:r>
        <w:r>
          <w:rPr>
            <w:noProof/>
          </w:rPr>
          <w:t>2</w:t>
        </w:r>
        <w:r>
          <w:rPr>
            <w:noProof/>
          </w:rPr>
          <w:fldChar w:fldCharType="end"/>
        </w:r>
      </w:hyperlink>
    </w:p>
    <w:p w14:paraId="62EDE57A" w14:textId="1EA3CC35" w:rsidR="00972935" w:rsidRDefault="00972935">
      <w:pPr>
        <w:pStyle w:val="TOC2"/>
        <w:rPr>
          <w:rFonts w:asciiTheme="minorHAnsi" w:eastAsiaTheme="minorEastAsia" w:hAnsiTheme="minorHAnsi" w:cstheme="minorBidi"/>
          <w:noProof/>
          <w:lang w:eastAsia="en-CA"/>
        </w:rPr>
      </w:pPr>
      <w:hyperlink w:anchor="_Toc159776039" w:history="1">
        <w:r w:rsidRPr="00773852">
          <w:rPr>
            <w:rStyle w:val="Hyperlink"/>
            <w:noProof/>
          </w:rPr>
          <w:t>The Incumbent Lender Problem</w:t>
        </w:r>
        <w:r>
          <w:rPr>
            <w:noProof/>
          </w:rPr>
          <w:tab/>
        </w:r>
        <w:r>
          <w:rPr>
            <w:noProof/>
          </w:rPr>
          <w:fldChar w:fldCharType="begin"/>
        </w:r>
        <w:r>
          <w:rPr>
            <w:noProof/>
          </w:rPr>
          <w:instrText xml:space="preserve"> PAGEREF _Toc159776039 \h </w:instrText>
        </w:r>
        <w:r>
          <w:rPr>
            <w:noProof/>
          </w:rPr>
        </w:r>
        <w:r>
          <w:rPr>
            <w:noProof/>
          </w:rPr>
          <w:fldChar w:fldCharType="separate"/>
        </w:r>
        <w:r>
          <w:rPr>
            <w:noProof/>
          </w:rPr>
          <w:t>3</w:t>
        </w:r>
        <w:r>
          <w:rPr>
            <w:noProof/>
          </w:rPr>
          <w:fldChar w:fldCharType="end"/>
        </w:r>
      </w:hyperlink>
    </w:p>
    <w:p w14:paraId="5B895CAD" w14:textId="74AFA809" w:rsidR="00972935" w:rsidRDefault="00972935">
      <w:pPr>
        <w:pStyle w:val="TOC3"/>
        <w:rPr>
          <w:rFonts w:asciiTheme="minorHAnsi" w:eastAsiaTheme="minorEastAsia" w:hAnsiTheme="minorHAnsi" w:cstheme="minorBidi"/>
          <w:noProof/>
          <w:lang w:eastAsia="en-CA"/>
        </w:rPr>
      </w:pPr>
      <w:hyperlink w:anchor="_Toc159776040" w:history="1">
        <w:r w:rsidRPr="00773852">
          <w:rPr>
            <w:rStyle w:val="Hyperlink"/>
            <w:noProof/>
          </w:rPr>
          <w:t>Adequate Protection</w:t>
        </w:r>
        <w:r>
          <w:rPr>
            <w:noProof/>
          </w:rPr>
          <w:tab/>
        </w:r>
        <w:r>
          <w:rPr>
            <w:noProof/>
          </w:rPr>
          <w:fldChar w:fldCharType="begin"/>
        </w:r>
        <w:r>
          <w:rPr>
            <w:noProof/>
          </w:rPr>
          <w:instrText xml:space="preserve"> PAGEREF _Toc159776040 \h </w:instrText>
        </w:r>
        <w:r>
          <w:rPr>
            <w:noProof/>
          </w:rPr>
        </w:r>
        <w:r>
          <w:rPr>
            <w:noProof/>
          </w:rPr>
          <w:fldChar w:fldCharType="separate"/>
        </w:r>
        <w:r>
          <w:rPr>
            <w:noProof/>
          </w:rPr>
          <w:t>3</w:t>
        </w:r>
        <w:r>
          <w:rPr>
            <w:noProof/>
          </w:rPr>
          <w:fldChar w:fldCharType="end"/>
        </w:r>
      </w:hyperlink>
    </w:p>
    <w:p w14:paraId="3FB52D24" w14:textId="6E2F7683" w:rsidR="00972935" w:rsidRDefault="00972935">
      <w:pPr>
        <w:pStyle w:val="TOC3"/>
        <w:rPr>
          <w:rFonts w:asciiTheme="minorHAnsi" w:eastAsiaTheme="minorEastAsia" w:hAnsiTheme="minorHAnsi" w:cstheme="minorBidi"/>
          <w:noProof/>
          <w:lang w:eastAsia="en-CA"/>
        </w:rPr>
      </w:pPr>
      <w:hyperlink w:anchor="_Toc159776041" w:history="1">
        <w:r w:rsidRPr="00773852">
          <w:rPr>
            <w:rStyle w:val="Hyperlink"/>
            <w:noProof/>
          </w:rPr>
          <w:t>Quick Approval</w:t>
        </w:r>
        <w:r>
          <w:rPr>
            <w:noProof/>
          </w:rPr>
          <w:tab/>
        </w:r>
        <w:r>
          <w:rPr>
            <w:noProof/>
          </w:rPr>
          <w:fldChar w:fldCharType="begin"/>
        </w:r>
        <w:r>
          <w:rPr>
            <w:noProof/>
          </w:rPr>
          <w:instrText xml:space="preserve"> PAGEREF _Toc159776041 \h </w:instrText>
        </w:r>
        <w:r>
          <w:rPr>
            <w:noProof/>
          </w:rPr>
        </w:r>
        <w:r>
          <w:rPr>
            <w:noProof/>
          </w:rPr>
          <w:fldChar w:fldCharType="separate"/>
        </w:r>
        <w:r>
          <w:rPr>
            <w:noProof/>
          </w:rPr>
          <w:t>3</w:t>
        </w:r>
        <w:r>
          <w:rPr>
            <w:noProof/>
          </w:rPr>
          <w:fldChar w:fldCharType="end"/>
        </w:r>
      </w:hyperlink>
    </w:p>
    <w:p w14:paraId="2491A52E" w14:textId="683E124C" w:rsidR="00972935" w:rsidRDefault="00972935">
      <w:pPr>
        <w:pStyle w:val="TOC3"/>
        <w:rPr>
          <w:rFonts w:asciiTheme="minorHAnsi" w:eastAsiaTheme="minorEastAsia" w:hAnsiTheme="minorHAnsi" w:cstheme="minorBidi"/>
          <w:noProof/>
          <w:lang w:eastAsia="en-CA"/>
        </w:rPr>
      </w:pPr>
      <w:hyperlink w:anchor="_Toc159776042" w:history="1">
        <w:r w:rsidRPr="00773852">
          <w:rPr>
            <w:rStyle w:val="Hyperlink"/>
            <w:noProof/>
          </w:rPr>
          <w:t>Benefits</w:t>
        </w:r>
        <w:r>
          <w:rPr>
            <w:noProof/>
          </w:rPr>
          <w:tab/>
        </w:r>
        <w:r>
          <w:rPr>
            <w:noProof/>
          </w:rPr>
          <w:fldChar w:fldCharType="begin"/>
        </w:r>
        <w:r>
          <w:rPr>
            <w:noProof/>
          </w:rPr>
          <w:instrText xml:space="preserve"> PAGEREF _Toc159776042 \h </w:instrText>
        </w:r>
        <w:r>
          <w:rPr>
            <w:noProof/>
          </w:rPr>
        </w:r>
        <w:r>
          <w:rPr>
            <w:noProof/>
          </w:rPr>
          <w:fldChar w:fldCharType="separate"/>
        </w:r>
        <w:r>
          <w:rPr>
            <w:noProof/>
          </w:rPr>
          <w:t>3</w:t>
        </w:r>
        <w:r>
          <w:rPr>
            <w:noProof/>
          </w:rPr>
          <w:fldChar w:fldCharType="end"/>
        </w:r>
      </w:hyperlink>
    </w:p>
    <w:p w14:paraId="027AAD28" w14:textId="46E2CB48" w:rsidR="00972935" w:rsidRDefault="00972935">
      <w:pPr>
        <w:pStyle w:val="TOC2"/>
        <w:rPr>
          <w:rFonts w:asciiTheme="minorHAnsi" w:eastAsiaTheme="minorEastAsia" w:hAnsiTheme="minorHAnsi" w:cstheme="minorBidi"/>
          <w:noProof/>
          <w:lang w:eastAsia="en-CA"/>
        </w:rPr>
      </w:pPr>
      <w:hyperlink w:anchor="_Toc159776043" w:history="1">
        <w:r w:rsidRPr="00773852">
          <w:rPr>
            <w:rStyle w:val="Hyperlink"/>
            <w:noProof/>
          </w:rPr>
          <w:t>Roll-up</w:t>
        </w:r>
        <w:r>
          <w:rPr>
            <w:noProof/>
          </w:rPr>
          <w:tab/>
        </w:r>
        <w:r>
          <w:rPr>
            <w:noProof/>
          </w:rPr>
          <w:fldChar w:fldCharType="begin"/>
        </w:r>
        <w:r>
          <w:rPr>
            <w:noProof/>
          </w:rPr>
          <w:instrText xml:space="preserve"> PAGEREF _Toc159776043 \h </w:instrText>
        </w:r>
        <w:r>
          <w:rPr>
            <w:noProof/>
          </w:rPr>
        </w:r>
        <w:r>
          <w:rPr>
            <w:noProof/>
          </w:rPr>
          <w:fldChar w:fldCharType="separate"/>
        </w:r>
        <w:r>
          <w:rPr>
            <w:noProof/>
          </w:rPr>
          <w:t>4</w:t>
        </w:r>
        <w:r>
          <w:rPr>
            <w:noProof/>
          </w:rPr>
          <w:fldChar w:fldCharType="end"/>
        </w:r>
      </w:hyperlink>
    </w:p>
    <w:p w14:paraId="37518A09" w14:textId="04C09E75" w:rsidR="00972935" w:rsidRDefault="00972935">
      <w:pPr>
        <w:pStyle w:val="TOC2"/>
        <w:rPr>
          <w:rFonts w:asciiTheme="minorHAnsi" w:eastAsiaTheme="minorEastAsia" w:hAnsiTheme="minorHAnsi" w:cstheme="minorBidi"/>
          <w:noProof/>
          <w:lang w:eastAsia="en-CA"/>
        </w:rPr>
      </w:pPr>
      <w:hyperlink w:anchor="_Toc159776044" w:history="1">
        <w:r w:rsidRPr="00773852">
          <w:rPr>
            <w:rStyle w:val="Hyperlink"/>
            <w:noProof/>
          </w:rPr>
          <w:t>Equity conversions</w:t>
        </w:r>
        <w:r>
          <w:rPr>
            <w:noProof/>
          </w:rPr>
          <w:tab/>
        </w:r>
        <w:r>
          <w:rPr>
            <w:noProof/>
          </w:rPr>
          <w:fldChar w:fldCharType="begin"/>
        </w:r>
        <w:r>
          <w:rPr>
            <w:noProof/>
          </w:rPr>
          <w:instrText xml:space="preserve"> PAGEREF _Toc159776044 \h </w:instrText>
        </w:r>
        <w:r>
          <w:rPr>
            <w:noProof/>
          </w:rPr>
        </w:r>
        <w:r>
          <w:rPr>
            <w:noProof/>
          </w:rPr>
          <w:fldChar w:fldCharType="separate"/>
        </w:r>
        <w:r>
          <w:rPr>
            <w:noProof/>
          </w:rPr>
          <w:t>5</w:t>
        </w:r>
        <w:r>
          <w:rPr>
            <w:noProof/>
          </w:rPr>
          <w:fldChar w:fldCharType="end"/>
        </w:r>
      </w:hyperlink>
    </w:p>
    <w:p w14:paraId="4E293F15" w14:textId="6D53F251" w:rsidR="00972935" w:rsidRDefault="00972935">
      <w:pPr>
        <w:pStyle w:val="TOC1"/>
        <w:rPr>
          <w:rFonts w:asciiTheme="minorHAnsi" w:eastAsiaTheme="minorEastAsia" w:hAnsiTheme="minorHAnsi" w:cstheme="minorBidi"/>
          <w:noProof/>
          <w:lang w:eastAsia="en-CA"/>
        </w:rPr>
      </w:pPr>
      <w:hyperlink w:anchor="_Toc159776045" w:history="1">
        <w:r w:rsidRPr="00773852">
          <w:rPr>
            <w:rStyle w:val="Hyperlink"/>
            <w:noProof/>
          </w:rPr>
          <w:t>Part III.</w:t>
        </w:r>
        <w:r>
          <w:rPr>
            <w:rFonts w:asciiTheme="minorHAnsi" w:eastAsiaTheme="minorEastAsia" w:hAnsiTheme="minorHAnsi" w:cstheme="minorBidi"/>
            <w:noProof/>
            <w:lang w:eastAsia="en-CA"/>
          </w:rPr>
          <w:tab/>
        </w:r>
        <w:r w:rsidRPr="00773852">
          <w:rPr>
            <w:rStyle w:val="Hyperlink"/>
            <w:noProof/>
          </w:rPr>
          <w:t>The Canadian Experience</w:t>
        </w:r>
        <w:r>
          <w:rPr>
            <w:noProof/>
          </w:rPr>
          <w:tab/>
        </w:r>
        <w:r>
          <w:rPr>
            <w:noProof/>
          </w:rPr>
          <w:fldChar w:fldCharType="begin"/>
        </w:r>
        <w:r>
          <w:rPr>
            <w:noProof/>
          </w:rPr>
          <w:instrText xml:space="preserve"> PAGEREF _Toc159776045 \h </w:instrText>
        </w:r>
        <w:r>
          <w:rPr>
            <w:noProof/>
          </w:rPr>
        </w:r>
        <w:r>
          <w:rPr>
            <w:noProof/>
          </w:rPr>
          <w:fldChar w:fldCharType="separate"/>
        </w:r>
        <w:r>
          <w:rPr>
            <w:noProof/>
          </w:rPr>
          <w:t>6</w:t>
        </w:r>
        <w:r>
          <w:rPr>
            <w:noProof/>
          </w:rPr>
          <w:fldChar w:fldCharType="end"/>
        </w:r>
      </w:hyperlink>
    </w:p>
    <w:p w14:paraId="1F65E1DF" w14:textId="05BB2930" w:rsidR="00972935" w:rsidRDefault="00972935">
      <w:pPr>
        <w:pStyle w:val="TOC2"/>
        <w:rPr>
          <w:rFonts w:asciiTheme="minorHAnsi" w:eastAsiaTheme="minorEastAsia" w:hAnsiTheme="minorHAnsi" w:cstheme="minorBidi"/>
          <w:noProof/>
          <w:lang w:eastAsia="en-CA"/>
        </w:rPr>
      </w:pPr>
      <w:hyperlink w:anchor="_Toc159776046" w:history="1">
        <w:r w:rsidRPr="00773852">
          <w:rPr>
            <w:rStyle w:val="Hyperlink"/>
            <w:noProof/>
          </w:rPr>
          <w:t>Adequate Protection?</w:t>
        </w:r>
        <w:r>
          <w:rPr>
            <w:noProof/>
          </w:rPr>
          <w:tab/>
        </w:r>
        <w:r>
          <w:rPr>
            <w:noProof/>
          </w:rPr>
          <w:fldChar w:fldCharType="begin"/>
        </w:r>
        <w:r>
          <w:rPr>
            <w:noProof/>
          </w:rPr>
          <w:instrText xml:space="preserve"> PAGEREF _Toc159776046 \h </w:instrText>
        </w:r>
        <w:r>
          <w:rPr>
            <w:noProof/>
          </w:rPr>
        </w:r>
        <w:r>
          <w:rPr>
            <w:noProof/>
          </w:rPr>
          <w:fldChar w:fldCharType="separate"/>
        </w:r>
        <w:r>
          <w:rPr>
            <w:noProof/>
          </w:rPr>
          <w:t>7</w:t>
        </w:r>
        <w:r>
          <w:rPr>
            <w:noProof/>
          </w:rPr>
          <w:fldChar w:fldCharType="end"/>
        </w:r>
      </w:hyperlink>
    </w:p>
    <w:p w14:paraId="2296E84D" w14:textId="327BA784" w:rsidR="00972935" w:rsidRDefault="00972935">
      <w:pPr>
        <w:pStyle w:val="TOC2"/>
        <w:rPr>
          <w:rFonts w:asciiTheme="minorHAnsi" w:eastAsiaTheme="minorEastAsia" w:hAnsiTheme="minorHAnsi" w:cstheme="minorBidi"/>
          <w:noProof/>
          <w:lang w:eastAsia="en-CA"/>
        </w:rPr>
      </w:pPr>
      <w:hyperlink w:anchor="_Toc159776047" w:history="1">
        <w:r w:rsidRPr="00773852">
          <w:rPr>
            <w:rStyle w:val="Hyperlink"/>
            <w:noProof/>
          </w:rPr>
          <w:t>Roll-up</w:t>
        </w:r>
        <w:r>
          <w:rPr>
            <w:noProof/>
          </w:rPr>
          <w:tab/>
        </w:r>
        <w:r>
          <w:rPr>
            <w:noProof/>
          </w:rPr>
          <w:fldChar w:fldCharType="begin"/>
        </w:r>
        <w:r>
          <w:rPr>
            <w:noProof/>
          </w:rPr>
          <w:instrText xml:space="preserve"> PAGEREF _Toc159776047 \h </w:instrText>
        </w:r>
        <w:r>
          <w:rPr>
            <w:noProof/>
          </w:rPr>
        </w:r>
        <w:r>
          <w:rPr>
            <w:noProof/>
          </w:rPr>
          <w:fldChar w:fldCharType="separate"/>
        </w:r>
        <w:r>
          <w:rPr>
            <w:noProof/>
          </w:rPr>
          <w:t>8</w:t>
        </w:r>
        <w:r>
          <w:rPr>
            <w:noProof/>
          </w:rPr>
          <w:fldChar w:fldCharType="end"/>
        </w:r>
      </w:hyperlink>
    </w:p>
    <w:p w14:paraId="125AA5F8" w14:textId="3BC216DF" w:rsidR="00972935" w:rsidRDefault="00972935">
      <w:pPr>
        <w:pStyle w:val="TOC1"/>
        <w:rPr>
          <w:rFonts w:asciiTheme="minorHAnsi" w:eastAsiaTheme="minorEastAsia" w:hAnsiTheme="minorHAnsi" w:cstheme="minorBidi"/>
          <w:noProof/>
          <w:lang w:eastAsia="en-CA"/>
        </w:rPr>
      </w:pPr>
      <w:hyperlink w:anchor="_Toc159776048" w:history="1">
        <w:r w:rsidRPr="00773852">
          <w:rPr>
            <w:rStyle w:val="Hyperlink"/>
            <w:noProof/>
          </w:rPr>
          <w:t>Part IV.</w:t>
        </w:r>
        <w:r>
          <w:rPr>
            <w:rFonts w:asciiTheme="minorHAnsi" w:eastAsiaTheme="minorEastAsia" w:hAnsiTheme="minorHAnsi" w:cstheme="minorBidi"/>
            <w:noProof/>
            <w:lang w:eastAsia="en-CA"/>
          </w:rPr>
          <w:tab/>
        </w:r>
        <w:r w:rsidRPr="00773852">
          <w:rPr>
            <w:rStyle w:val="Hyperlink"/>
            <w:noProof/>
          </w:rPr>
          <w:t>Rule Britannia: The New British Regime</w:t>
        </w:r>
        <w:r>
          <w:rPr>
            <w:noProof/>
          </w:rPr>
          <w:tab/>
        </w:r>
        <w:r>
          <w:rPr>
            <w:noProof/>
          </w:rPr>
          <w:fldChar w:fldCharType="begin"/>
        </w:r>
        <w:r>
          <w:rPr>
            <w:noProof/>
          </w:rPr>
          <w:instrText xml:space="preserve"> PAGEREF _Toc159776048 \h </w:instrText>
        </w:r>
        <w:r>
          <w:rPr>
            <w:noProof/>
          </w:rPr>
        </w:r>
        <w:r>
          <w:rPr>
            <w:noProof/>
          </w:rPr>
          <w:fldChar w:fldCharType="separate"/>
        </w:r>
        <w:r>
          <w:rPr>
            <w:noProof/>
          </w:rPr>
          <w:t>8</w:t>
        </w:r>
        <w:r>
          <w:rPr>
            <w:noProof/>
          </w:rPr>
          <w:fldChar w:fldCharType="end"/>
        </w:r>
      </w:hyperlink>
    </w:p>
    <w:p w14:paraId="3A9DE653" w14:textId="1BD4E679" w:rsidR="00972935" w:rsidRDefault="00972935">
      <w:pPr>
        <w:pStyle w:val="TOC1"/>
        <w:rPr>
          <w:rFonts w:asciiTheme="minorHAnsi" w:eastAsiaTheme="minorEastAsia" w:hAnsiTheme="minorHAnsi" w:cstheme="minorBidi"/>
          <w:noProof/>
          <w:lang w:eastAsia="en-CA"/>
        </w:rPr>
      </w:pPr>
      <w:hyperlink w:anchor="_Toc159776049" w:history="1">
        <w:r w:rsidRPr="00773852">
          <w:rPr>
            <w:rStyle w:val="Hyperlink"/>
            <w:noProof/>
          </w:rPr>
          <w:t>Part V.</w:t>
        </w:r>
        <w:r>
          <w:rPr>
            <w:rFonts w:asciiTheme="minorHAnsi" w:eastAsiaTheme="minorEastAsia" w:hAnsiTheme="minorHAnsi" w:cstheme="minorBidi"/>
            <w:noProof/>
            <w:lang w:eastAsia="en-CA"/>
          </w:rPr>
          <w:tab/>
        </w:r>
        <w:r w:rsidRPr="00773852">
          <w:rPr>
            <w:rStyle w:val="Hyperlink"/>
            <w:noProof/>
          </w:rPr>
          <w:t>Analysis and Conclusions</w:t>
        </w:r>
        <w:r>
          <w:rPr>
            <w:noProof/>
          </w:rPr>
          <w:tab/>
        </w:r>
        <w:r>
          <w:rPr>
            <w:noProof/>
          </w:rPr>
          <w:fldChar w:fldCharType="begin"/>
        </w:r>
        <w:r>
          <w:rPr>
            <w:noProof/>
          </w:rPr>
          <w:instrText xml:space="preserve"> PAGEREF _Toc159776049 \h </w:instrText>
        </w:r>
        <w:r>
          <w:rPr>
            <w:noProof/>
          </w:rPr>
        </w:r>
        <w:r>
          <w:rPr>
            <w:noProof/>
          </w:rPr>
          <w:fldChar w:fldCharType="separate"/>
        </w:r>
        <w:r>
          <w:rPr>
            <w:noProof/>
          </w:rPr>
          <w:t>9</w:t>
        </w:r>
        <w:r>
          <w:rPr>
            <w:noProof/>
          </w:rPr>
          <w:fldChar w:fldCharType="end"/>
        </w:r>
      </w:hyperlink>
    </w:p>
    <w:p w14:paraId="75F8C2EE" w14:textId="221FB7AF" w:rsidR="00922E12" w:rsidRPr="00922E12" w:rsidRDefault="00972935" w:rsidP="00972935">
      <w:pPr>
        <w:pStyle w:val="MTBody"/>
      </w:pPr>
      <w:r>
        <w:rPr>
          <w:sz w:val="22"/>
        </w:rPr>
        <w:fldChar w:fldCharType="end"/>
      </w:r>
      <w:r w:rsidR="002F3DA2">
        <w:t xml:space="preserve">Bibliography </w:t>
      </w:r>
      <w:r w:rsidR="002F3DA2">
        <w:tab/>
      </w:r>
      <w:bookmarkStart w:id="1" w:name="_GoBack"/>
      <w:bookmarkEnd w:id="1"/>
      <w:r w:rsidR="002F3DA2">
        <w:t>14</w:t>
      </w:r>
    </w:p>
    <w:p w14:paraId="53E8082F" w14:textId="41E9F1FB" w:rsidR="00123500" w:rsidRDefault="00123500" w:rsidP="00123500">
      <w:pPr>
        <w:pStyle w:val="MTBody"/>
      </w:pPr>
    </w:p>
    <w:p w14:paraId="46F4F077" w14:textId="77777777" w:rsidR="00123500" w:rsidRPr="00123500" w:rsidRDefault="00123500" w:rsidP="00123500">
      <w:pPr>
        <w:pStyle w:val="MTBody"/>
        <w:sectPr w:rsidR="00123500" w:rsidRPr="00123500" w:rsidSect="00123500">
          <w:pgSz w:w="12240" w:h="15840" w:code="1"/>
          <w:pgMar w:top="1440" w:right="1440" w:bottom="1440" w:left="1440" w:header="720" w:footer="720" w:gutter="0"/>
          <w:pgNumType w:start="1"/>
          <w:cols w:space="720"/>
          <w:docGrid w:linePitch="360"/>
        </w:sectPr>
      </w:pPr>
    </w:p>
    <w:p w14:paraId="0EE12464" w14:textId="4A4B9483" w:rsidR="007C007B" w:rsidRPr="00972935" w:rsidRDefault="00E34B6E" w:rsidP="00972935">
      <w:pPr>
        <w:pStyle w:val="MTTFACTUMPART"/>
      </w:pPr>
      <w:bookmarkStart w:id="2" w:name="_Toc159773054"/>
      <w:bookmarkStart w:id="3" w:name="_Toc159776036"/>
      <w:r w:rsidRPr="00972935">
        <w:lastRenderedPageBreak/>
        <w:t>I</w:t>
      </w:r>
      <w:r w:rsidR="007C007B" w:rsidRPr="00972935">
        <w:t>ntroduction</w:t>
      </w:r>
      <w:bookmarkEnd w:id="2"/>
      <w:bookmarkEnd w:id="3"/>
    </w:p>
    <w:p w14:paraId="19BB27A7" w14:textId="713E508B" w:rsidR="00FF7A86" w:rsidRPr="00134A80" w:rsidRDefault="00B94518" w:rsidP="00C0538C">
      <w:pPr>
        <w:pStyle w:val="MTBody"/>
        <w:ind w:firstLine="720"/>
      </w:pPr>
      <w:r w:rsidRPr="00134A80">
        <w:t>The concept of debtor controlled, or debtor-in-possession</w:t>
      </w:r>
      <w:r w:rsidR="00C61E9A" w:rsidRPr="00134A80">
        <w:t xml:space="preserve"> (“DIP”)</w:t>
      </w:r>
      <w:r w:rsidRPr="00134A80">
        <w:t xml:space="preserve"> restructuring</w:t>
      </w:r>
      <w:r w:rsidR="008E4A81">
        <w:t xml:space="preserve"> is</w:t>
      </w:r>
      <w:r w:rsidRPr="00134A80">
        <w:t xml:space="preserve"> well established in certain jurisdictions, most notably the </w:t>
      </w:r>
      <w:r w:rsidR="00A6631B" w:rsidRPr="00134A80">
        <w:t>United States.</w:t>
      </w:r>
      <w:r w:rsidRPr="00134A80">
        <w:t xml:space="preserve"> </w:t>
      </w:r>
      <w:r w:rsidR="00A6631B" w:rsidRPr="00134A80">
        <w:t>The regime</w:t>
      </w:r>
      <w:r w:rsidR="00542DCE" w:rsidRPr="00134A80">
        <w:t xml:space="preserve"> under </w:t>
      </w:r>
      <w:r w:rsidRPr="00134A80">
        <w:t>Ch</w:t>
      </w:r>
      <w:r w:rsidR="00FF7A86" w:rsidRPr="00134A80">
        <w:t>apter 11</w:t>
      </w:r>
      <w:r w:rsidR="00C61E9A" w:rsidRPr="00134A80">
        <w:t xml:space="preserve"> of the </w:t>
      </w:r>
      <w:r w:rsidR="00C61E9A" w:rsidRPr="00134A80">
        <w:rPr>
          <w:i/>
        </w:rPr>
        <w:t xml:space="preserve">United States </w:t>
      </w:r>
      <w:r w:rsidR="00542DCE" w:rsidRPr="00134A80">
        <w:rPr>
          <w:i/>
        </w:rPr>
        <w:t>Bankruptcy Code</w:t>
      </w:r>
      <w:bookmarkStart w:id="4" w:name="_Ref159763028"/>
      <w:r w:rsidR="00542DCE" w:rsidRPr="00134A80">
        <w:rPr>
          <w:rStyle w:val="FootnoteReference"/>
        </w:rPr>
        <w:footnoteReference w:id="1"/>
      </w:r>
      <w:bookmarkEnd w:id="4"/>
      <w:r w:rsidR="00FF7A86" w:rsidRPr="00134A80">
        <w:t xml:space="preserve"> </w:t>
      </w:r>
      <w:r w:rsidR="00A6631B" w:rsidRPr="00134A80">
        <w:t>is</w:t>
      </w:r>
      <w:r w:rsidR="00FF7A86" w:rsidRPr="00134A80">
        <w:t xml:space="preserve"> the globally-recognized standard for</w:t>
      </w:r>
      <w:r w:rsidR="00542DCE" w:rsidRPr="00134A80">
        <w:t xml:space="preserve"> corporate</w:t>
      </w:r>
      <w:r w:rsidR="00FF7A86" w:rsidRPr="00134A80">
        <w:t xml:space="preserve"> rehabilitation and </w:t>
      </w:r>
      <w:r w:rsidR="008E4A81">
        <w:t xml:space="preserve">DIP </w:t>
      </w:r>
      <w:r w:rsidR="00FF7A86" w:rsidRPr="00134A80">
        <w:t>restructuring.</w:t>
      </w:r>
      <w:r w:rsidR="00542DCE" w:rsidRPr="00134A80">
        <w:t xml:space="preserve"> </w:t>
      </w:r>
      <w:r w:rsidR="00A6631B" w:rsidRPr="00134A80">
        <w:t xml:space="preserve">Key to virtually every </w:t>
      </w:r>
      <w:r w:rsidR="008E4A81">
        <w:t xml:space="preserve">DIP </w:t>
      </w:r>
      <w:r w:rsidR="00A6631B" w:rsidRPr="00134A80">
        <w:t>restructuring is the need for liquidity, both to fund the restructuring and to maintai</w:t>
      </w:r>
      <w:r w:rsidR="008E4A81">
        <w:t>n operations. How to finance the</w:t>
      </w:r>
      <w:r w:rsidR="00A6631B" w:rsidRPr="00134A80">
        <w:t xml:space="preserve"> liquidity </w:t>
      </w:r>
      <w:r w:rsidR="008E4A81">
        <w:t>required</w:t>
      </w:r>
      <w:r w:rsidR="00A6631B" w:rsidRPr="00134A80">
        <w:t xml:space="preserve"> is frequently a major issue in restructurings. </w:t>
      </w:r>
      <w:r w:rsidR="008E4A81">
        <w:t>To encourage</w:t>
      </w:r>
      <w:r w:rsidR="00A6631B" w:rsidRPr="00134A80">
        <w:t xml:space="preserve"> such financing </w:t>
      </w:r>
      <w:r w:rsidR="008E4A81">
        <w:t xml:space="preserve">it is necessary for it </w:t>
      </w:r>
      <w:r w:rsidR="00A6631B" w:rsidRPr="00134A80">
        <w:t xml:space="preserve">to have priority </w:t>
      </w:r>
      <w:r w:rsidR="008E4A81">
        <w:t xml:space="preserve">ahead of existing secured creditors. This is </w:t>
      </w:r>
      <w:r w:rsidR="00FA11E8" w:rsidRPr="00134A80">
        <w:t xml:space="preserve">noted in the eighth principle of the </w:t>
      </w:r>
      <w:r w:rsidR="00FA11E8" w:rsidRPr="00134A80">
        <w:rPr>
          <w:i/>
        </w:rPr>
        <w:t>Statement of Principles for a Global Approach to Multi-Creditor Workouts II</w:t>
      </w:r>
      <w:bookmarkStart w:id="5" w:name="_Ref159766088"/>
      <w:r w:rsidR="00FA11E8" w:rsidRPr="00134A80">
        <w:rPr>
          <w:rStyle w:val="FootnoteReference"/>
        </w:rPr>
        <w:footnoteReference w:id="2"/>
      </w:r>
      <w:bookmarkEnd w:id="5"/>
      <w:r w:rsidR="00FA11E8" w:rsidRPr="00134A80">
        <w:t>,</w:t>
      </w:r>
    </w:p>
    <w:p w14:paraId="0851A78D" w14:textId="095F34F3" w:rsidR="00FA11E8" w:rsidRPr="00972935" w:rsidRDefault="00FA11E8" w:rsidP="00972935">
      <w:pPr>
        <w:pStyle w:val="LowerRomanoutlinedc1"/>
      </w:pPr>
      <w:r w:rsidRPr="00134A80">
        <w:t>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4F1F73E4" w14:textId="5598CB34" w:rsidR="00BC26F2" w:rsidRPr="00134A80" w:rsidRDefault="00A6631B" w:rsidP="00C0538C">
      <w:pPr>
        <w:pStyle w:val="MTBody"/>
      </w:pPr>
      <w:r w:rsidRPr="00134A80">
        <w:t>While there is little debate about the principle itself, h</w:t>
      </w:r>
      <w:r w:rsidR="00FA11E8" w:rsidRPr="00134A80">
        <w:t>ow this principle is applied varies by jurisdiction</w:t>
      </w:r>
      <w:r w:rsidRPr="00134A80">
        <w:t>.</w:t>
      </w:r>
      <w:r w:rsidR="00FA11E8" w:rsidRPr="00134A80">
        <w:t xml:space="preserve"> </w:t>
      </w:r>
      <w:r w:rsidRPr="00134A80">
        <w:t>T</w:t>
      </w:r>
      <w:r w:rsidR="00FA11E8" w:rsidRPr="00134A80">
        <w:t>his paper reviews the regimes of three common-law jurisdictions with well-developed insolvency regimes, but markedly different approaches</w:t>
      </w:r>
      <w:r w:rsidR="00BC26F2" w:rsidRPr="00134A80">
        <w:t xml:space="preserve">: the United States under Chapter 11, Canada under its large-corporations restructuring statute the </w:t>
      </w:r>
      <w:r w:rsidR="00BC26F2" w:rsidRPr="00134A80">
        <w:rPr>
          <w:i/>
        </w:rPr>
        <w:t>Companies’ Creditors Arrangement Act</w:t>
      </w:r>
      <w:bookmarkStart w:id="6" w:name="_Ref159764146"/>
      <w:r w:rsidR="00BC26F2" w:rsidRPr="00134A80">
        <w:rPr>
          <w:rStyle w:val="FootnoteReference"/>
        </w:rPr>
        <w:footnoteReference w:id="3"/>
      </w:r>
      <w:bookmarkEnd w:id="6"/>
      <w:r w:rsidR="00BC26F2" w:rsidRPr="00134A80">
        <w:t>, and the United Kingdom u</w:t>
      </w:r>
      <w:r w:rsidR="00FE4063" w:rsidRPr="00134A80">
        <w:t xml:space="preserve">nder it recently-adopted </w:t>
      </w:r>
      <w:r w:rsidR="00C61E9A" w:rsidRPr="00134A80">
        <w:t>DIP</w:t>
      </w:r>
      <w:r w:rsidR="00FE4063" w:rsidRPr="00134A80">
        <w:t xml:space="preserve"> restructuring plan process introduced through the </w:t>
      </w:r>
      <w:r w:rsidR="00FE4063" w:rsidRPr="00134A80">
        <w:rPr>
          <w:i/>
        </w:rPr>
        <w:t>Corporate Insolvency and Governance Act 2020</w:t>
      </w:r>
      <w:r w:rsidR="00FE4063" w:rsidRPr="00134A80">
        <w:rPr>
          <w:rStyle w:val="FootnoteReference"/>
        </w:rPr>
        <w:footnoteReference w:id="4"/>
      </w:r>
      <w:r w:rsidR="00FE4063" w:rsidRPr="00134A80">
        <w:rPr>
          <w:i/>
        </w:rPr>
        <w:t>.</w:t>
      </w:r>
      <w:r w:rsidR="00BC26F2" w:rsidRPr="00134A80">
        <w:t xml:space="preserve"> </w:t>
      </w:r>
      <w:r w:rsidRPr="00134A80">
        <w:t>How these three jurisdictions</w:t>
      </w:r>
      <w:r w:rsidR="00C61E9A" w:rsidRPr="00134A80">
        <w:t xml:space="preserve"> address the need for financing, the ability to non-consensually prime existing creditors and to “roll-up” existing debt varies dramatically and, as explored herein, requires a balance.</w:t>
      </w:r>
    </w:p>
    <w:p w14:paraId="556A8687" w14:textId="48544BEF" w:rsidR="007C007B" w:rsidRPr="00134A80" w:rsidRDefault="000D7347" w:rsidP="007C007B">
      <w:pPr>
        <w:pStyle w:val="MTTFACTUMPART"/>
      </w:pPr>
      <w:bookmarkStart w:id="7" w:name="_Toc159773055"/>
      <w:bookmarkStart w:id="8" w:name="_Toc159776037"/>
      <w:r w:rsidRPr="00134A80">
        <w:lastRenderedPageBreak/>
        <w:t>La Grande Dame: The United States</w:t>
      </w:r>
      <w:bookmarkEnd w:id="7"/>
      <w:bookmarkEnd w:id="8"/>
    </w:p>
    <w:p w14:paraId="62E0FC5F" w14:textId="7E2DAF5B" w:rsidR="005817E5" w:rsidRPr="00134A80" w:rsidRDefault="005817E5" w:rsidP="00922E12">
      <w:pPr>
        <w:pStyle w:val="Secondary"/>
      </w:pPr>
      <w:bookmarkStart w:id="9" w:name="_Toc159773056"/>
      <w:bookmarkStart w:id="10" w:name="_Toc159776038"/>
      <w:r w:rsidRPr="00134A80">
        <w:t>Statutory Regime and Court Approval</w:t>
      </w:r>
      <w:bookmarkEnd w:id="9"/>
      <w:bookmarkEnd w:id="10"/>
    </w:p>
    <w:p w14:paraId="62F488BE" w14:textId="4C85AE86" w:rsidR="00C0538C" w:rsidRPr="00134A80" w:rsidRDefault="00C61E9A" w:rsidP="00C0538C">
      <w:pPr>
        <w:pStyle w:val="MTBody"/>
        <w:ind w:firstLine="720"/>
      </w:pPr>
      <w:r w:rsidRPr="00134A80">
        <w:t>The most well-known and established DIP regime is Chapter 11 of the Bankruptcy Code. The US regime provides for extensive DIP financing, with a variety of priorities available.</w:t>
      </w:r>
    </w:p>
    <w:p w14:paraId="0C9F0F37" w14:textId="3F8515E9" w:rsidR="00C0538C" w:rsidRPr="00134A80" w:rsidRDefault="00C0538C" w:rsidP="00C0538C">
      <w:pPr>
        <w:pStyle w:val="MTBody"/>
      </w:pPr>
      <w:r w:rsidRPr="00134A80">
        <w:tab/>
      </w:r>
      <w:r w:rsidR="008E4A81">
        <w:t>T</w:t>
      </w:r>
      <w:r w:rsidRPr="00134A80">
        <w:t>he Bankruptcy Code authorizes unsecured borrowing</w:t>
      </w:r>
      <w:r w:rsidR="008E4A81">
        <w:t xml:space="preserve"> by a debtor</w:t>
      </w:r>
      <w:r w:rsidRPr="00134A80">
        <w:t>.</w:t>
      </w:r>
      <w:r w:rsidR="008E4A81">
        <w:rPr>
          <w:rStyle w:val="FootnoteReference"/>
        </w:rPr>
        <w:footnoteReference w:id="5"/>
      </w:r>
      <w:r w:rsidRPr="00134A80">
        <w:t xml:space="preserve"> </w:t>
      </w:r>
      <w:r w:rsidR="003E62B2" w:rsidRPr="00134A80">
        <w:t xml:space="preserve">It is understandable that such </w:t>
      </w:r>
      <w:r w:rsidR="008E4A81">
        <w:t>borrowing occurs</w:t>
      </w:r>
      <w:r w:rsidR="003E62B2" w:rsidRPr="00134A80">
        <w:t xml:space="preserve"> infrequently because, by definition, an insolvent creditor does not have sufficient assets to repay </w:t>
      </w:r>
      <w:r w:rsidR="00B5625A">
        <w:t>its unsecured creditors in full.</w:t>
      </w:r>
      <w:r w:rsidR="003E62B2" w:rsidRPr="00134A80">
        <w:t xml:space="preserve"> </w:t>
      </w:r>
      <w:r w:rsidR="00B5625A">
        <w:t>A</w:t>
      </w:r>
      <w:r w:rsidR="003E62B2" w:rsidRPr="00134A80">
        <w:t xml:space="preserve">dvancing further unsecured credit </w:t>
      </w:r>
      <w:r w:rsidR="00B5625A">
        <w:t xml:space="preserve">by a party </w:t>
      </w:r>
      <w:r w:rsidR="003E62B2" w:rsidRPr="00134A80">
        <w:t>would be funding a virtually-guaranteed compromised recovery.</w:t>
      </w:r>
    </w:p>
    <w:p w14:paraId="7322CD06" w14:textId="79093F51" w:rsidR="00450D44" w:rsidRPr="00134A80" w:rsidRDefault="003E62B2" w:rsidP="00C0538C">
      <w:pPr>
        <w:pStyle w:val="MTBody"/>
      </w:pPr>
      <w:r w:rsidRPr="00134A80">
        <w:tab/>
        <w:t xml:space="preserve">Accordingly, </w:t>
      </w:r>
      <w:r w:rsidR="00450D44" w:rsidRPr="00134A80">
        <w:t>the Bankruptcy Code goes on to provide that, if such borrowing is not available, the court may authorize credit</w:t>
      </w:r>
      <w:r w:rsidR="00450D44" w:rsidRPr="00134A80">
        <w:rPr>
          <w:rStyle w:val="FootnoteReference"/>
        </w:rPr>
        <w:footnoteReference w:id="6"/>
      </w:r>
      <w:r w:rsidR="00450D44" w:rsidRPr="00134A80">
        <w:t>:</w:t>
      </w:r>
    </w:p>
    <w:p w14:paraId="51F5BC08" w14:textId="759F9D32" w:rsidR="00450D44" w:rsidRPr="00972935" w:rsidRDefault="00450D44" w:rsidP="00972935">
      <w:pPr>
        <w:pStyle w:val="MTTFACTUMPART2"/>
      </w:pPr>
      <w:r w:rsidRPr="00134A80">
        <w:t>with priority ahead of administrative expenses (practically meaning ahead of unsecured creditors), and if that is not available,</w:t>
      </w:r>
    </w:p>
    <w:p w14:paraId="075E6C8C" w14:textId="1E4D2E68" w:rsidR="00450D44" w:rsidRPr="00972935" w:rsidRDefault="00450D44" w:rsidP="00972935">
      <w:pPr>
        <w:pStyle w:val="MTTFACTUMPART2"/>
      </w:pPr>
      <w:r w:rsidRPr="00134A80">
        <w:t>secured against unencumbered property, and if that is not available,</w:t>
      </w:r>
    </w:p>
    <w:p w14:paraId="7F341B1A" w14:textId="3E791526" w:rsidR="00721E54" w:rsidRPr="00972935" w:rsidRDefault="00450D44" w:rsidP="00972935">
      <w:pPr>
        <w:pStyle w:val="MTTFACTUMPART2"/>
      </w:pPr>
      <w:r w:rsidRPr="00134A80">
        <w:t>secured by a lien equal to or in priority to secured creditors.</w:t>
      </w:r>
    </w:p>
    <w:p w14:paraId="462D17B4" w14:textId="6FA66435" w:rsidR="00721E54" w:rsidRPr="00134A80" w:rsidRDefault="00B5625A" w:rsidP="00721E54">
      <w:pPr>
        <w:pStyle w:val="MTBody"/>
      </w:pPr>
      <w:r>
        <w:t>B</w:t>
      </w:r>
      <w:r w:rsidR="005817E5" w:rsidRPr="00134A80">
        <w:t xml:space="preserve">y the time of filing for </w:t>
      </w:r>
      <w:r>
        <w:t xml:space="preserve">creditor </w:t>
      </w:r>
      <w:r w:rsidR="005817E5" w:rsidRPr="00134A80">
        <w:t>protection, a debtors</w:t>
      </w:r>
      <w:r>
        <w:t>’</w:t>
      </w:r>
      <w:r w:rsidR="005817E5" w:rsidRPr="00134A80">
        <w:t xml:space="preserve"> assets are generally fully encumbered</w:t>
      </w:r>
      <w:bookmarkStart w:id="11" w:name="_Ref159763313"/>
      <w:r w:rsidR="005817E5" w:rsidRPr="00134A80">
        <w:rPr>
          <w:rStyle w:val="FootnoteReference"/>
        </w:rPr>
        <w:footnoteReference w:id="7"/>
      </w:r>
      <w:bookmarkEnd w:id="11"/>
      <w:r>
        <w:t>, so option (c) is the most common form of DIP financing.</w:t>
      </w:r>
      <w:r w:rsidR="005817E5" w:rsidRPr="00134A80">
        <w:t xml:space="preserve"> </w:t>
      </w:r>
      <w:r w:rsidR="00721E54" w:rsidRPr="00134A80">
        <w:t>However, in order to grant a lien under (c) above, the court must be satisfied that there is adequate protection of the interest</w:t>
      </w:r>
      <w:r>
        <w:t>s</w:t>
      </w:r>
      <w:r w:rsidR="00721E54" w:rsidRPr="00134A80">
        <w:t xml:space="preserve"> of the holder</w:t>
      </w:r>
      <w:r>
        <w:t>s</w:t>
      </w:r>
      <w:r w:rsidR="00721E54" w:rsidRPr="00134A80">
        <w:t xml:space="preserve"> of the lien</w:t>
      </w:r>
      <w:r>
        <w:t>s</w:t>
      </w:r>
      <w:r w:rsidR="00721E54" w:rsidRPr="00134A80">
        <w:t xml:space="preserve"> which the DIP lender’s charge will be equal or in priority to.</w:t>
      </w:r>
      <w:r w:rsidR="00721E54" w:rsidRPr="00134A80">
        <w:rPr>
          <w:rStyle w:val="FootnoteReference"/>
        </w:rPr>
        <w:footnoteReference w:id="8"/>
      </w:r>
      <w:r w:rsidR="00721E54" w:rsidRPr="00134A80">
        <w:t xml:space="preserve"> This requirement for ‘adequate protection’ can be addr</w:t>
      </w:r>
      <w:r w:rsidR="00102A4D" w:rsidRPr="00134A80">
        <w:t>essed through a determination that the creditor is “over secured”, the granting of an additional lien on assets the prepetition lender did not have a charge against, or the provision of principal and interest payments through the proceeding, among other things.</w:t>
      </w:r>
      <w:r w:rsidR="005817E5" w:rsidRPr="00134A80">
        <w:rPr>
          <w:rStyle w:val="FootnoteReference"/>
        </w:rPr>
        <w:footnoteReference w:id="9"/>
      </w:r>
    </w:p>
    <w:p w14:paraId="4AC7EB46" w14:textId="7EC41DBF" w:rsidR="00A84C4D" w:rsidRPr="00134A80" w:rsidRDefault="00A84C4D" w:rsidP="00922E12">
      <w:pPr>
        <w:pStyle w:val="Secondary"/>
      </w:pPr>
      <w:bookmarkStart w:id="12" w:name="_Toc159773057"/>
      <w:bookmarkStart w:id="13" w:name="_Toc159776039"/>
      <w:r w:rsidRPr="00134A80">
        <w:lastRenderedPageBreak/>
        <w:t>The Incumbent Lender Problem</w:t>
      </w:r>
      <w:bookmarkEnd w:id="12"/>
      <w:bookmarkEnd w:id="13"/>
    </w:p>
    <w:p w14:paraId="41F1BDE9" w14:textId="0F712298" w:rsidR="00A84C4D" w:rsidRPr="00134A80" w:rsidRDefault="00A84C4D" w:rsidP="00A84C4D">
      <w:pPr>
        <w:pStyle w:val="MTBody"/>
        <w:ind w:firstLine="720"/>
      </w:pPr>
      <w:r w:rsidRPr="00134A80">
        <w:t>As noted above, at the time of filing for Chapter 11 protection, a company’s assets are generally fully</w:t>
      </w:r>
      <w:r w:rsidR="00B5625A">
        <w:t xml:space="preserve"> encumbered</w:t>
      </w:r>
      <w:r w:rsidRPr="00134A80">
        <w:t>. The US system provides a number of incentives to incumbent lenders to provide</w:t>
      </w:r>
      <w:r w:rsidR="00B5625A">
        <w:t xml:space="preserve"> DIP</w:t>
      </w:r>
      <w:r w:rsidRPr="00134A80">
        <w:t xml:space="preserve"> financing</w:t>
      </w:r>
      <w:r w:rsidR="00B5625A">
        <w:t xml:space="preserve"> over seeking third-party financing. As discussed below, this is often </w:t>
      </w:r>
      <w:r w:rsidRPr="00134A80">
        <w:t>detrimental to more junior stakeholders.</w:t>
      </w:r>
    </w:p>
    <w:p w14:paraId="5380AFE2" w14:textId="7C88CB21" w:rsidR="00A84C4D" w:rsidRPr="00134A80" w:rsidRDefault="00A84C4D" w:rsidP="00922E12">
      <w:pPr>
        <w:pStyle w:val="Third"/>
      </w:pPr>
      <w:bookmarkStart w:id="14" w:name="_Toc159773058"/>
      <w:bookmarkStart w:id="15" w:name="_Toc159776040"/>
      <w:r w:rsidRPr="00134A80">
        <w:t>Adequate Protection</w:t>
      </w:r>
      <w:bookmarkEnd w:id="14"/>
      <w:bookmarkEnd w:id="15"/>
    </w:p>
    <w:p w14:paraId="3762B209" w14:textId="5D5F39EA" w:rsidR="00094C6F" w:rsidRPr="00134A80" w:rsidRDefault="00A84C4D" w:rsidP="00A84C4D">
      <w:pPr>
        <w:pStyle w:val="MTBody"/>
        <w:ind w:firstLine="720"/>
      </w:pPr>
      <w:r w:rsidRPr="00134A80">
        <w:t>First, the time and costs of litigating the value and sufficiency of adequate protection acts as a barrier to third-party DIP financing, and encourages the use of incumbent lenders.</w:t>
      </w:r>
      <w:r w:rsidRPr="00134A80">
        <w:rPr>
          <w:rStyle w:val="FootnoteReference"/>
        </w:rPr>
        <w:footnoteReference w:id="10"/>
      </w:r>
      <w:r w:rsidRPr="00134A80">
        <w:t xml:space="preserve"> </w:t>
      </w:r>
      <w:r w:rsidR="00094C6F" w:rsidRPr="00134A80">
        <w:t>With so many issues to be addressed in a restructuring, particularly at the beginning</w:t>
      </w:r>
      <w:r w:rsidR="00B5625A">
        <w:t xml:space="preserve"> of a proceeding</w:t>
      </w:r>
      <w:r w:rsidR="00094C6F" w:rsidRPr="00134A80">
        <w:t>, the time and cost of fighting with incumbent secured lenders can be a material deterrent</w:t>
      </w:r>
      <w:r w:rsidR="00B5625A">
        <w:t xml:space="preserve"> and encourage a less-desirable incumbent DIP loan</w:t>
      </w:r>
      <w:r w:rsidR="00094C6F" w:rsidRPr="00134A80">
        <w:t>.</w:t>
      </w:r>
    </w:p>
    <w:p w14:paraId="32239350" w14:textId="349F1CE0" w:rsidR="00094C6F" w:rsidRPr="00134A80" w:rsidRDefault="00094C6F" w:rsidP="00922E12">
      <w:pPr>
        <w:pStyle w:val="Third"/>
      </w:pPr>
      <w:bookmarkStart w:id="16" w:name="_Toc159773059"/>
      <w:bookmarkStart w:id="17" w:name="_Toc159776041"/>
      <w:r w:rsidRPr="00134A80">
        <w:t>Quick Approval</w:t>
      </w:r>
      <w:bookmarkEnd w:id="16"/>
      <w:bookmarkEnd w:id="17"/>
    </w:p>
    <w:p w14:paraId="60C17427" w14:textId="77777777" w:rsidR="00094C6F" w:rsidRPr="00134A80" w:rsidRDefault="005817E5" w:rsidP="00A84C4D">
      <w:pPr>
        <w:pStyle w:val="MTBody"/>
        <w:ind w:firstLine="720"/>
      </w:pPr>
      <w:r w:rsidRPr="00134A80">
        <w:t xml:space="preserve">The DIP loan and priority are generally approved at the commencement of a proceeding by interim order, and then a final order is </w:t>
      </w:r>
      <w:r w:rsidR="00094C6F" w:rsidRPr="00134A80">
        <w:t xml:space="preserve">later </w:t>
      </w:r>
      <w:r w:rsidRPr="00134A80">
        <w:t>granted</w:t>
      </w:r>
      <w:r w:rsidR="00094C6F" w:rsidRPr="00134A80">
        <w:t>, in theory after greater scrutiny</w:t>
      </w:r>
      <w:r w:rsidRPr="00134A80">
        <w:t xml:space="preserve">. </w:t>
      </w:r>
      <w:r w:rsidR="00094C6F" w:rsidRPr="00134A80">
        <w:t>However, s</w:t>
      </w:r>
      <w:r w:rsidRPr="00134A80">
        <w:t xml:space="preserve">cholars have noted that </w:t>
      </w:r>
      <w:r w:rsidR="00015647" w:rsidRPr="00134A80">
        <w:t xml:space="preserve">approval is frequently done in a rushed approval process, and creates a momentum that is </w:t>
      </w:r>
      <w:r w:rsidR="00A84C4D" w:rsidRPr="00134A80">
        <w:t>generally</w:t>
      </w:r>
      <w:r w:rsidR="00015647" w:rsidRPr="00134A80">
        <w:t xml:space="preserve"> not disturbed</w:t>
      </w:r>
      <w:r w:rsidR="00015647" w:rsidRPr="00134A80">
        <w:rPr>
          <w:rStyle w:val="FootnoteReference"/>
        </w:rPr>
        <w:footnoteReference w:id="11"/>
      </w:r>
      <w:r w:rsidR="00015647" w:rsidRPr="00134A80">
        <w:t>.</w:t>
      </w:r>
    </w:p>
    <w:p w14:paraId="265E353D" w14:textId="77777777" w:rsidR="00094C6F" w:rsidRPr="00134A80" w:rsidRDefault="00094C6F" w:rsidP="00922E12">
      <w:pPr>
        <w:pStyle w:val="Third"/>
      </w:pPr>
      <w:bookmarkStart w:id="18" w:name="_Toc159773060"/>
      <w:bookmarkStart w:id="19" w:name="_Toc159776042"/>
      <w:r w:rsidRPr="00134A80">
        <w:t>Benefits</w:t>
      </w:r>
      <w:bookmarkEnd w:id="18"/>
      <w:bookmarkEnd w:id="19"/>
    </w:p>
    <w:p w14:paraId="44CFA076" w14:textId="68372BE6" w:rsidR="005817E5" w:rsidRPr="00134A80" w:rsidRDefault="00094C6F" w:rsidP="00A84C4D">
      <w:pPr>
        <w:pStyle w:val="MTBody"/>
        <w:ind w:firstLine="720"/>
        <w:rPr>
          <w:i/>
        </w:rPr>
      </w:pPr>
      <w:r w:rsidRPr="00134A80">
        <w:t>There are a number of benefits to an incumbent lender acting as DIP len</w:t>
      </w:r>
      <w:r w:rsidR="00B73612" w:rsidRPr="00134A80">
        <w:t>der, that arguably outsize the</w:t>
      </w:r>
      <w:r w:rsidRPr="00134A80">
        <w:t xml:space="preserve"> influence</w:t>
      </w:r>
      <w:r w:rsidR="00B73612" w:rsidRPr="00134A80">
        <w:t xml:space="preserve"> they ought to have as a secured creditor.</w:t>
      </w:r>
      <w:r w:rsidRPr="00134A80">
        <w:rPr>
          <w:rStyle w:val="FootnoteReference"/>
        </w:rPr>
        <w:footnoteReference w:id="12"/>
      </w:r>
      <w:r w:rsidR="00015647" w:rsidRPr="00134A80">
        <w:t xml:space="preserve"> </w:t>
      </w:r>
      <w:r w:rsidRPr="00134A80">
        <w:t>Being the DIP lender allows the incumbent lender to exercise more/continued control over the debtors assets.</w:t>
      </w:r>
      <w:r w:rsidRPr="00134A80">
        <w:rPr>
          <w:rStyle w:val="FootnoteReference"/>
        </w:rPr>
        <w:footnoteReference w:id="13"/>
      </w:r>
      <w:r w:rsidRPr="00134A80">
        <w:t xml:space="preserve"> It can provide extensive influence in the drafting of a plan through milestones, processes,</w:t>
      </w:r>
      <w:r w:rsidR="00B73612" w:rsidRPr="00134A80">
        <w:t xml:space="preserve"> and other measures, including roll- up (discussed below). While there have been arguments presented that the existing lender can also use its inside knowledge to underbid third party lenders</w:t>
      </w:r>
      <w:r w:rsidR="00B5625A">
        <w:t xml:space="preserve"> (and benefit stakeholders with a reduced DIP financing cost)</w:t>
      </w:r>
      <w:r w:rsidR="00B73612" w:rsidRPr="00134A80">
        <w:rPr>
          <w:rStyle w:val="FootnoteReference"/>
        </w:rPr>
        <w:footnoteReference w:id="14"/>
      </w:r>
      <w:r w:rsidR="00B73612" w:rsidRPr="00134A80">
        <w:t xml:space="preserve">, scholars reviewing this </w:t>
      </w:r>
      <w:r w:rsidR="00831337">
        <w:t>hypothesis have found the contrary:</w:t>
      </w:r>
      <w:r w:rsidR="00B73612" w:rsidRPr="00134A80">
        <w:t xml:space="preserve"> </w:t>
      </w:r>
      <w:r w:rsidR="00716057" w:rsidRPr="00134A80">
        <w:t xml:space="preserve">the use of incumbent lenders generally </w:t>
      </w:r>
      <w:r w:rsidR="00831337">
        <w:t xml:space="preserve">resulted in materially </w:t>
      </w:r>
      <w:r w:rsidR="00716057" w:rsidRPr="00134A80">
        <w:t>higher cost</w:t>
      </w:r>
      <w:r w:rsidR="00831337">
        <w:t>s</w:t>
      </w:r>
      <w:r w:rsidR="00716057" w:rsidRPr="00134A80">
        <w:t xml:space="preserve">. The </w:t>
      </w:r>
      <w:r w:rsidR="00716057" w:rsidRPr="00134A80">
        <w:lastRenderedPageBreak/>
        <w:t>authors reviewed the “pass-through” benefit of insider knowledge would make DIP loans less expensive that incumbents, or whether the “lock-in” effect would dominate.</w:t>
      </w:r>
      <w:bookmarkStart w:id="20" w:name="_Ref159764015"/>
      <w:r w:rsidR="00716057" w:rsidRPr="00134A80">
        <w:rPr>
          <w:rStyle w:val="FootnoteReference"/>
        </w:rPr>
        <w:footnoteReference w:id="15"/>
      </w:r>
      <w:bookmarkEnd w:id="20"/>
      <w:r w:rsidR="00B73612" w:rsidRPr="00134A80">
        <w:t xml:space="preserve"> </w:t>
      </w:r>
      <w:r w:rsidR="00716057" w:rsidRPr="00134A80">
        <w:t xml:space="preserve">The results concluded that, debtors </w:t>
      </w:r>
      <w:r w:rsidR="00831337">
        <w:t>frequently</w:t>
      </w:r>
      <w:r w:rsidR="00716057" w:rsidRPr="00134A80">
        <w:t xml:space="preserve"> stay with their incumbent lenders, but at a cost that is about 44% higher than a new third-party DIP loan.</w:t>
      </w:r>
      <w:r w:rsidR="00716057" w:rsidRPr="00134A80">
        <w:rPr>
          <w:rStyle w:val="FootnoteReference"/>
        </w:rPr>
        <w:footnoteReference w:id="16"/>
      </w:r>
    </w:p>
    <w:p w14:paraId="2CAE4423" w14:textId="43A4D836" w:rsidR="00015647" w:rsidRPr="00134A80" w:rsidRDefault="00382E65" w:rsidP="00922E12">
      <w:pPr>
        <w:pStyle w:val="Secondary"/>
      </w:pPr>
      <w:bookmarkStart w:id="21" w:name="_Toc159773061"/>
      <w:bookmarkStart w:id="22" w:name="_Toc159776043"/>
      <w:r w:rsidRPr="00134A80">
        <w:t>Roll-up</w:t>
      </w:r>
      <w:bookmarkEnd w:id="21"/>
      <w:bookmarkEnd w:id="22"/>
    </w:p>
    <w:p w14:paraId="27A58F73" w14:textId="293DBF2B" w:rsidR="00560D29" w:rsidRPr="00134A80" w:rsidRDefault="00382E65" w:rsidP="00721E54">
      <w:pPr>
        <w:pStyle w:val="MTBody"/>
      </w:pPr>
      <w:r w:rsidRPr="00134A80">
        <w:tab/>
      </w:r>
      <w:r w:rsidR="00716057" w:rsidRPr="00134A80">
        <w:t>A further feature of US DIP loans is the ability to “roll-up” pre-</w:t>
      </w:r>
      <w:r w:rsidR="008E78BA" w:rsidRPr="00134A80">
        <w:t>filing debt.</w:t>
      </w:r>
      <w:r w:rsidR="00560D29" w:rsidRPr="00134A80">
        <w:t xml:space="preserve"> While not strictly necessary, this generally occurs where the DIP lender and a secured lender are the same party. </w:t>
      </w:r>
      <w:r w:rsidR="008E78BA" w:rsidRPr="00134A80">
        <w:t xml:space="preserve">There are two primary types of roll-up, ‘creeping roll-up’ and </w:t>
      </w:r>
      <w:r w:rsidR="00560D29" w:rsidRPr="00134A80">
        <w:t>single-</w:t>
      </w:r>
      <w:r w:rsidR="008E78BA" w:rsidRPr="00134A80">
        <w:t>advance roll-up</w:t>
      </w:r>
      <w:r w:rsidR="00831337">
        <w:t>.</w:t>
      </w:r>
      <w:r w:rsidR="008E78BA" w:rsidRPr="00134A80">
        <w:rPr>
          <w:rStyle w:val="FootnoteReference"/>
        </w:rPr>
        <w:footnoteReference w:id="17"/>
      </w:r>
    </w:p>
    <w:p w14:paraId="5D777A82" w14:textId="7260BCF5" w:rsidR="00382E65" w:rsidRPr="00134A80" w:rsidRDefault="008E78BA" w:rsidP="00560D29">
      <w:pPr>
        <w:pStyle w:val="MTBody"/>
        <w:ind w:firstLine="720"/>
      </w:pPr>
      <w:r w:rsidRPr="00134A80">
        <w:t xml:space="preserve">Under a creeping roll-up, </w:t>
      </w:r>
      <w:r w:rsidR="00560D29" w:rsidRPr="00134A80">
        <w:t>realizations</w:t>
      </w:r>
      <w:r w:rsidRPr="00134A80">
        <w:t xml:space="preserve"> from pre-petition assets are used to pay down the pre-petition secured creditor. Practically, this is generally the collection of accounts receivable </w:t>
      </w:r>
      <w:r w:rsidR="00831337">
        <w:t>and</w:t>
      </w:r>
      <w:r w:rsidR="006E7430">
        <w:t xml:space="preserve"> </w:t>
      </w:r>
      <w:r w:rsidR="00560D29" w:rsidRPr="00134A80">
        <w:t xml:space="preserve">inventory </w:t>
      </w:r>
      <w:r w:rsidRPr="00134A80">
        <w:t>sales</w:t>
      </w:r>
      <w:r w:rsidR="00560D29" w:rsidRPr="00134A80">
        <w:t xml:space="preserve">, though it can apply to </w:t>
      </w:r>
      <w:r w:rsidR="006E7430">
        <w:t xml:space="preserve">sale of </w:t>
      </w:r>
      <w:r w:rsidR="00560D29" w:rsidRPr="00134A80">
        <w:t>other assets acquired pre-filing</w:t>
      </w:r>
      <w:r w:rsidRPr="00134A80">
        <w:t>.</w:t>
      </w:r>
      <w:r w:rsidR="00560D29" w:rsidRPr="00134A80">
        <w:rPr>
          <w:rStyle w:val="FootnoteReference"/>
        </w:rPr>
        <w:footnoteReference w:id="18"/>
      </w:r>
      <w:r w:rsidR="00560D29" w:rsidRPr="00134A80">
        <w:t xml:space="preserve"> </w:t>
      </w:r>
      <w:r w:rsidR="006E7430">
        <w:t>As a result, this diverts</w:t>
      </w:r>
      <w:r w:rsidR="00560D29" w:rsidRPr="00134A80">
        <w:t xml:space="preserve"> revenue </w:t>
      </w:r>
      <w:r w:rsidR="006E7430">
        <w:t>t</w:t>
      </w:r>
      <w:r w:rsidR="00560D29" w:rsidRPr="00134A80">
        <w:t xml:space="preserve">o pay down the pre-filing secured lender, </w:t>
      </w:r>
      <w:r w:rsidR="006E7430">
        <w:t>while the debtor must borrow from</w:t>
      </w:r>
      <w:r w:rsidR="00560D29" w:rsidRPr="00134A80">
        <w:t xml:space="preserve"> the DIP loan to continue operations and fund the restructuring (instead of using internally generated</w:t>
      </w:r>
      <w:r w:rsidRPr="00134A80">
        <w:t xml:space="preserve"> </w:t>
      </w:r>
      <w:r w:rsidR="00560D29" w:rsidRPr="00134A80">
        <w:t xml:space="preserve">revenue). </w:t>
      </w:r>
      <w:r w:rsidR="006E7430">
        <w:t>This means the</w:t>
      </w:r>
      <w:r w:rsidR="00560D29" w:rsidRPr="00134A80">
        <w:t xml:space="preserve"> DIP goes up, while the pre-filing secured debt goes down</w:t>
      </w:r>
      <w:r w:rsidR="006E7430">
        <w:t>, and in effect the secured debt is slowly rolled into the DIP loan</w:t>
      </w:r>
      <w:r w:rsidR="00560D29" w:rsidRPr="00134A80">
        <w:t>.</w:t>
      </w:r>
      <w:r w:rsidR="00560D29" w:rsidRPr="00134A80">
        <w:rPr>
          <w:rStyle w:val="FootnoteReference"/>
        </w:rPr>
        <w:footnoteReference w:id="19"/>
      </w:r>
      <w:r w:rsidR="00560D29" w:rsidRPr="00134A80">
        <w:t xml:space="preserve"> This differs from a single-advance roll-up, where </w:t>
      </w:r>
      <w:r w:rsidR="006E7430">
        <w:t xml:space="preserve">a portion of the </w:t>
      </w:r>
      <w:r w:rsidR="00560D29" w:rsidRPr="00134A80">
        <w:t>the</w:t>
      </w:r>
      <w:r w:rsidR="006E7430">
        <w:t xml:space="preserve"> advanced</w:t>
      </w:r>
      <w:r w:rsidR="00560D29" w:rsidRPr="00134A80">
        <w:t xml:space="preserve"> DIP loan is used to </w:t>
      </w:r>
      <w:r w:rsidR="006E7430">
        <w:t xml:space="preserve">directly </w:t>
      </w:r>
      <w:r w:rsidR="00560D29" w:rsidRPr="00134A80">
        <w:t>repay all or part of the pre-filing secured debt.</w:t>
      </w:r>
      <w:r w:rsidR="00560D29" w:rsidRPr="00134A80">
        <w:rPr>
          <w:rStyle w:val="FootnoteReference"/>
        </w:rPr>
        <w:footnoteReference w:id="20"/>
      </w:r>
    </w:p>
    <w:p w14:paraId="45709F35" w14:textId="68CDB884" w:rsidR="00F83EA6" w:rsidRPr="00134A80" w:rsidRDefault="00560D29" w:rsidP="00560D29">
      <w:pPr>
        <w:pStyle w:val="MTBody"/>
      </w:pPr>
      <w:r w:rsidRPr="00134A80">
        <w:tab/>
        <w:t xml:space="preserve">Roll-ups cause a number of problems in a fair restructuring which, while being flagged, do not appear to have impacted their </w:t>
      </w:r>
      <w:r w:rsidR="00F83EA6" w:rsidRPr="00134A80">
        <w:t xml:space="preserve">use. First, roll-ups are not expressly authorized under the </w:t>
      </w:r>
      <w:r w:rsidR="006E7430">
        <w:t xml:space="preserve">US </w:t>
      </w:r>
      <w:r w:rsidR="00F83EA6" w:rsidRPr="00134A80">
        <w:t xml:space="preserve">Bankruptcy Code, and the repayment of pre-filing debt prior to a plan or liquidation is contrary </w:t>
      </w:r>
      <w:r w:rsidR="00F83EA6" w:rsidRPr="00134A80">
        <w:lastRenderedPageBreak/>
        <w:t>to the moratorium concept of Chapter 11 proceedings – namely that pre-filing creditors don’t get paid until the end of the proceeding.</w:t>
      </w:r>
      <w:r w:rsidR="00F83EA6" w:rsidRPr="00134A80">
        <w:rPr>
          <w:rStyle w:val="FootnoteReference"/>
        </w:rPr>
        <w:footnoteReference w:id="21"/>
      </w:r>
    </w:p>
    <w:p w14:paraId="16045BDF" w14:textId="40DBA372" w:rsidR="00560D29" w:rsidRPr="00134A80" w:rsidRDefault="00F83EA6" w:rsidP="00F83EA6">
      <w:pPr>
        <w:pStyle w:val="MTBody"/>
        <w:ind w:firstLine="720"/>
      </w:pPr>
      <w:r w:rsidRPr="00134A80">
        <w:t xml:space="preserve">In addition, roll- ups </w:t>
      </w:r>
      <w:r w:rsidRPr="00134A80">
        <w:rPr>
          <w:i/>
        </w:rPr>
        <w:t xml:space="preserve">de facto </w:t>
      </w:r>
      <w:r w:rsidRPr="00134A80">
        <w:t>elevate the pre-petition debt to have DIP lien priority – this means that, to the extent the pre-petition debt was under-secured or unsecured, it violates the absolute priority rule</w:t>
      </w:r>
      <w:r w:rsidR="006E7430">
        <w:t>.</w:t>
      </w:r>
      <w:r w:rsidRPr="00134A80">
        <w:rPr>
          <w:rStyle w:val="FootnoteReference"/>
        </w:rPr>
        <w:footnoteReference w:id="22"/>
      </w:r>
      <w:r w:rsidR="00B74700" w:rsidRPr="00134A80">
        <w:t xml:space="preserve"> It also eliminates the risk of cram-down</w:t>
      </w:r>
      <w:r w:rsidR="00BB1087" w:rsidRPr="00134A80">
        <w:t xml:space="preserve"> </w:t>
      </w:r>
      <w:r w:rsidR="006E7430">
        <w:t xml:space="preserve">or compromise </w:t>
      </w:r>
      <w:r w:rsidR="00BB1087" w:rsidRPr="00134A80">
        <w:t>that would be potentially faced by pre-filing debt</w:t>
      </w:r>
      <w:r w:rsidR="00B74700" w:rsidRPr="00134A80">
        <w:t xml:space="preserve">, and </w:t>
      </w:r>
      <w:r w:rsidR="00BB1087" w:rsidRPr="00134A80">
        <w:t xml:space="preserve">likewise </w:t>
      </w:r>
      <w:r w:rsidR="00B74700" w:rsidRPr="00134A80">
        <w:t>challenges to the validity and priority.</w:t>
      </w:r>
      <w:r w:rsidR="00B74700" w:rsidRPr="00134A80">
        <w:rPr>
          <w:rStyle w:val="FootnoteReference"/>
        </w:rPr>
        <w:footnoteReference w:id="23"/>
      </w:r>
    </w:p>
    <w:p w14:paraId="350AFD2F" w14:textId="598A15A5" w:rsidR="002E67E5" w:rsidRPr="00134A80" w:rsidRDefault="002E67E5" w:rsidP="00F83EA6">
      <w:pPr>
        <w:pStyle w:val="MTBody"/>
        <w:ind w:firstLine="720"/>
      </w:pPr>
      <w:r w:rsidRPr="00134A80">
        <w:t xml:space="preserve">In response to these criticisms, </w:t>
      </w:r>
      <w:r w:rsidR="00D3213F" w:rsidRPr="00134A80">
        <w:t>t</w:t>
      </w:r>
      <w:r w:rsidRPr="00134A80">
        <w:t>he American Bankruptcy Institute in its report proposing reforms to Chapter 11, flagged the issue with roll-ups and noted</w:t>
      </w:r>
      <w:r w:rsidR="006E7430">
        <w:t>:</w:t>
      </w:r>
      <w:r w:rsidRPr="00134A80">
        <w:rPr>
          <w:rStyle w:val="FootnoteReference"/>
        </w:rPr>
        <w:footnoteReference w:id="24"/>
      </w:r>
    </w:p>
    <w:p w14:paraId="012FF14A" w14:textId="789D9F22" w:rsidR="002E67E5" w:rsidRPr="00972935" w:rsidRDefault="002E67E5" w:rsidP="00972935">
      <w:pPr>
        <w:pStyle w:val="MTTFACTUMPART2"/>
        <w:numPr>
          <w:ilvl w:val="1"/>
          <w:numId w:val="23"/>
        </w:numPr>
      </w:pPr>
      <w:r w:rsidRPr="00134A80">
        <w:t>as a general rule, roll-up DIP loans should not be approved;</w:t>
      </w:r>
    </w:p>
    <w:p w14:paraId="51EED9AE" w14:textId="5A1D0EF7" w:rsidR="002E67E5" w:rsidRPr="00972935" w:rsidRDefault="002E67E5" w:rsidP="00972935">
      <w:pPr>
        <w:pStyle w:val="MTTFACTUMPART2"/>
      </w:pPr>
      <w:r w:rsidRPr="00134A80">
        <w:t>the exceptions should be:</w:t>
      </w:r>
    </w:p>
    <w:p w14:paraId="27D407A5" w14:textId="34AC8F10" w:rsidR="002E67E5" w:rsidRPr="00972935" w:rsidRDefault="002E67E5" w:rsidP="00972935">
      <w:pPr>
        <w:pStyle w:val="MTTFACTUMPART2"/>
        <w:numPr>
          <w:ilvl w:val="1"/>
          <w:numId w:val="24"/>
        </w:numPr>
      </w:pPr>
      <w:r w:rsidRPr="00134A80">
        <w:t>where the DIP lender is not a pre-petition lender, and is in effect ‘taking out’ the existing secured lender,</w:t>
      </w:r>
    </w:p>
    <w:p w14:paraId="5AF92430" w14:textId="296AF6CF" w:rsidR="002E67E5" w:rsidRPr="00972935" w:rsidRDefault="002E67E5" w:rsidP="00972935">
      <w:pPr>
        <w:pStyle w:val="MTTFACTUMPART2"/>
      </w:pPr>
      <w:r w:rsidRPr="00134A80">
        <w:t>the lender is providing substantial new credit and provides more financing on better terms than the alternatives, or</w:t>
      </w:r>
    </w:p>
    <w:p w14:paraId="078B3F11" w14:textId="736225FD" w:rsidR="002E67E5" w:rsidRPr="00972935" w:rsidRDefault="002E67E5" w:rsidP="00972935">
      <w:pPr>
        <w:pStyle w:val="MTTFACTUMPART2"/>
      </w:pPr>
      <w:r w:rsidRPr="00134A80">
        <w:t>the court otherwise finds the proposed financing is in the best interest of the estate.</w:t>
      </w:r>
    </w:p>
    <w:p w14:paraId="17584131" w14:textId="1ADDDB10" w:rsidR="00D3213F" w:rsidRDefault="00D3213F" w:rsidP="00D3213F">
      <w:pPr>
        <w:pStyle w:val="MTBody"/>
      </w:pPr>
      <w:r w:rsidRPr="00134A80">
        <w:t xml:space="preserve">Despite this, scholars have found that roll-ups are increasing, and the oft used justification – that roll-up is required as an inducement due to tight credit markets – </w:t>
      </w:r>
      <w:r w:rsidR="006E7430">
        <w:t>is incorrect and there is no correlation between the availability of capital and the use of roll-ups</w:t>
      </w:r>
      <w:r w:rsidRPr="00134A80">
        <w:t>.</w:t>
      </w:r>
      <w:r w:rsidRPr="00134A80">
        <w:rPr>
          <w:rStyle w:val="FootnoteReference"/>
        </w:rPr>
        <w:footnoteReference w:id="25"/>
      </w:r>
      <w:r w:rsidRPr="00134A80">
        <w:t xml:space="preserve"> The detrimental effects of increased financing costs, that roll-up contributes nothing to the restructuring (because it is not new money), and the oversized influence it </w:t>
      </w:r>
      <w:r w:rsidR="006E7430">
        <w:t xml:space="preserve">can give </w:t>
      </w:r>
      <w:r w:rsidR="00F24EA3">
        <w:t>an incumbent</w:t>
      </w:r>
      <w:r w:rsidRPr="00134A80">
        <w:t xml:space="preserve"> lender</w:t>
      </w:r>
      <w:r w:rsidR="00F24EA3">
        <w:t xml:space="preserve"> turned DIP lender,</w:t>
      </w:r>
      <w:r w:rsidRPr="00134A80">
        <w:t xml:space="preserve"> have led some </w:t>
      </w:r>
      <w:r w:rsidR="004B68A5" w:rsidRPr="00134A80">
        <w:t>scholars</w:t>
      </w:r>
      <w:r w:rsidRPr="00134A80">
        <w:t xml:space="preserve"> to argue that the case for the continued use of roll-ups “is weak”.</w:t>
      </w:r>
      <w:r w:rsidRPr="00134A80">
        <w:rPr>
          <w:rStyle w:val="FootnoteReference"/>
        </w:rPr>
        <w:footnoteReference w:id="26"/>
      </w:r>
    </w:p>
    <w:p w14:paraId="35D99DEA" w14:textId="3FDB6AC3" w:rsidR="00796268" w:rsidRPr="006F243A" w:rsidRDefault="00796268" w:rsidP="00922E12">
      <w:pPr>
        <w:pStyle w:val="Secondary"/>
      </w:pPr>
      <w:bookmarkStart w:id="23" w:name="_Toc159773062"/>
      <w:bookmarkStart w:id="24" w:name="_Toc159776044"/>
      <w:r w:rsidRPr="006F243A">
        <w:t>Equity conversions</w:t>
      </w:r>
      <w:bookmarkEnd w:id="23"/>
      <w:bookmarkEnd w:id="24"/>
    </w:p>
    <w:p w14:paraId="08FA8249" w14:textId="557F32A1" w:rsidR="00796268" w:rsidRPr="00134A80" w:rsidRDefault="006F243A" w:rsidP="00E23FB4">
      <w:pPr>
        <w:pStyle w:val="MTBody"/>
      </w:pPr>
      <w:r>
        <w:lastRenderedPageBreak/>
        <w:tab/>
        <w:t xml:space="preserve">A number of COVID and post-COVID era cases have highlighted the development of equity conversions in the </w:t>
      </w:r>
      <w:r w:rsidR="00F24EA3">
        <w:t xml:space="preserve">US </w:t>
      </w:r>
      <w:r>
        <w:t xml:space="preserve">DIP financing context. Broadly speaking, these cases can be divided into those that permit the debtor to elect to convert the </w:t>
      </w:r>
      <w:r w:rsidR="00F24EA3">
        <w:t xml:space="preserve">DIP </w:t>
      </w:r>
      <w:r>
        <w:t>loan</w:t>
      </w:r>
      <w:r w:rsidR="00F24EA3">
        <w:t xml:space="preserve"> to equity</w:t>
      </w:r>
      <w:r>
        <w:t>, or those where it is at the</w:t>
      </w:r>
      <w:r w:rsidR="00F24EA3">
        <w:t xml:space="preserve"> DIP</w:t>
      </w:r>
      <w:r>
        <w:t xml:space="preserve"> lender’s option.</w:t>
      </w:r>
      <w:bookmarkStart w:id="25" w:name="_Ref159767991"/>
      <w:r>
        <w:rPr>
          <w:rStyle w:val="FootnoteReference"/>
        </w:rPr>
        <w:footnoteReference w:id="27"/>
      </w:r>
      <w:bookmarkEnd w:id="25"/>
      <w:r w:rsidR="006817AE">
        <w:t xml:space="preserve"> While commentators have noted the potential b</w:t>
      </w:r>
      <w:r w:rsidR="00F24EA3">
        <w:t>enefits of an equity conversion,</w:t>
      </w:r>
      <w:r w:rsidR="006817AE">
        <w:t xml:space="preserve"> including decreased cost and risk for obtaining exit financing</w:t>
      </w:r>
      <w:r w:rsidR="006817AE">
        <w:rPr>
          <w:rStyle w:val="FootnoteReference"/>
        </w:rPr>
        <w:footnoteReference w:id="28"/>
      </w:r>
      <w:r w:rsidR="006817AE">
        <w:t>, the courts have applied more scrutiny. In particular, courts have been concerned that such provisions could be categorised as “sub rosa”</w:t>
      </w:r>
      <w:r w:rsidR="00E23FB4">
        <w:t xml:space="preserve"> transaction - a transaction that is in part a restructuring but is not approved in accordance with the Bankruptcy Code</w:t>
      </w:r>
      <w:r w:rsidR="00F24EA3">
        <w:t>. This is</w:t>
      </w:r>
      <w:r w:rsidR="00E23FB4">
        <w:t xml:space="preserve"> because the ability to have an equity participation right is something properly reserved for a plan</w:t>
      </w:r>
      <w:r w:rsidR="00F24EA3">
        <w:t xml:space="preserve"> (and a vote), not a DIP loan, which is meant to be temporary</w:t>
      </w:r>
      <w:r w:rsidR="00E23FB4">
        <w:t>.</w:t>
      </w:r>
      <w:r w:rsidR="00E23FB4">
        <w:rPr>
          <w:rStyle w:val="FootnoteReference"/>
        </w:rPr>
        <w:footnoteReference w:id="29"/>
      </w:r>
      <w:r w:rsidR="00E23FB4">
        <w:t xml:space="preserve"> Accordingly, while the use of equity conversion is growing, the courts are alive to the issues they pose.</w:t>
      </w:r>
    </w:p>
    <w:p w14:paraId="122BC234" w14:textId="65D21762" w:rsidR="007C007B" w:rsidRPr="00134A80" w:rsidRDefault="000D7347" w:rsidP="007C007B">
      <w:pPr>
        <w:pStyle w:val="MTTFACTUMPART"/>
      </w:pPr>
      <w:bookmarkStart w:id="26" w:name="_Toc159773063"/>
      <w:bookmarkStart w:id="27" w:name="_Toc159776045"/>
      <w:r w:rsidRPr="00134A80">
        <w:t>The Canadian Experience</w:t>
      </w:r>
      <w:bookmarkEnd w:id="26"/>
      <w:bookmarkEnd w:id="27"/>
    </w:p>
    <w:p w14:paraId="33C5FCDD" w14:textId="4A04A71B" w:rsidR="007C007B" w:rsidRPr="00134A80" w:rsidRDefault="005A203F" w:rsidP="005A203F">
      <w:pPr>
        <w:pStyle w:val="MTBody"/>
        <w:ind w:firstLine="720"/>
      </w:pPr>
      <w:r w:rsidRPr="00134A80">
        <w:t xml:space="preserve">Canadian proceedings under the </w:t>
      </w:r>
      <w:r w:rsidRPr="00134A80">
        <w:rPr>
          <w:i/>
        </w:rPr>
        <w:t>CCAA</w:t>
      </w:r>
      <w:r w:rsidRPr="00134A80">
        <w:t xml:space="preserve"> frequently have DIP financing (known statutorily as “interim financing”</w:t>
      </w:r>
      <w:r w:rsidRPr="00134A80">
        <w:rPr>
          <w:rStyle w:val="FootnoteReference"/>
        </w:rPr>
        <w:footnoteReference w:id="30"/>
      </w:r>
      <w:r w:rsidRPr="00134A80">
        <w:t xml:space="preserve">). The </w:t>
      </w:r>
      <w:r w:rsidR="0066568F" w:rsidRPr="00134A80">
        <w:rPr>
          <w:i/>
        </w:rPr>
        <w:t xml:space="preserve">CCAA </w:t>
      </w:r>
      <w:r w:rsidR="00CA1815" w:rsidRPr="00134A80">
        <w:t xml:space="preserve">is a very short statute, with many of its remedies being derived from judge-made law, and heavily influenced by the </w:t>
      </w:r>
      <w:r w:rsidR="00F24EA3">
        <w:t xml:space="preserve">US </w:t>
      </w:r>
      <w:r w:rsidR="00CA1815" w:rsidRPr="00134A80">
        <w:t xml:space="preserve">Chapter 11 regime. Along this vein, Canadian insolvency courts </w:t>
      </w:r>
      <w:r w:rsidR="00F24EA3">
        <w:t xml:space="preserve">originally </w:t>
      </w:r>
      <w:r w:rsidR="00CA1815" w:rsidRPr="00134A80">
        <w:t>found jurisdiction to grant DIP financing and a super-priority lien from their inherent jurisdiction</w:t>
      </w:r>
      <w:r w:rsidR="00CA1815" w:rsidRPr="00134A80">
        <w:rPr>
          <w:rStyle w:val="FootnoteReference"/>
        </w:rPr>
        <w:footnoteReference w:id="31"/>
      </w:r>
      <w:r w:rsidR="00CA1815" w:rsidRPr="00134A80">
        <w:t xml:space="preserve"> and the general “catch all” provision of the </w:t>
      </w:r>
      <w:r w:rsidR="00CA1815" w:rsidRPr="00134A80">
        <w:rPr>
          <w:i/>
        </w:rPr>
        <w:t>CCAA</w:t>
      </w:r>
      <w:r w:rsidR="00CA1815" w:rsidRPr="00134A80">
        <w:t xml:space="preserve"> that permits the court to make “any order it considers fit in the circumstances”</w:t>
      </w:r>
      <w:r w:rsidR="00CA1815" w:rsidRPr="00134A80">
        <w:rPr>
          <w:rStyle w:val="FootnoteReference"/>
        </w:rPr>
        <w:footnoteReference w:id="32"/>
      </w:r>
      <w:r w:rsidR="00CA1815" w:rsidRPr="00134A80">
        <w:t xml:space="preserve">. In 2009, the jurisdiction to grant DIP financing and priority liens was codified in the </w:t>
      </w:r>
      <w:r w:rsidR="00CA1815" w:rsidRPr="00134A80">
        <w:rPr>
          <w:i/>
        </w:rPr>
        <w:t>CCAA</w:t>
      </w:r>
      <w:r w:rsidR="00CA1815" w:rsidRPr="00134A80">
        <w:t>.</w:t>
      </w:r>
      <w:r w:rsidR="00CA1815" w:rsidRPr="00134A80">
        <w:rPr>
          <w:rStyle w:val="FootnoteReference"/>
        </w:rPr>
        <w:footnoteReference w:id="33"/>
      </w:r>
      <w:r w:rsidR="00CA1815" w:rsidRPr="00134A80">
        <w:t xml:space="preserve"> In deciding whether to permit DIP financing</w:t>
      </w:r>
      <w:r w:rsidR="008C5648" w:rsidRPr="00134A80">
        <w:t xml:space="preserve">, and if appropriate </w:t>
      </w:r>
      <w:r w:rsidR="00F24EA3">
        <w:t xml:space="preserve">grant </w:t>
      </w:r>
      <w:r w:rsidR="008C5648" w:rsidRPr="00134A80">
        <w:t xml:space="preserve">a lien on </w:t>
      </w:r>
      <w:r w:rsidR="00F24EA3">
        <w:t xml:space="preserve">the </w:t>
      </w:r>
      <w:r w:rsidR="008C5648" w:rsidRPr="00134A80">
        <w:t xml:space="preserve">assets </w:t>
      </w:r>
      <w:r w:rsidR="00F24EA3">
        <w:t xml:space="preserve">of the debtor </w:t>
      </w:r>
      <w:r w:rsidR="008C5648" w:rsidRPr="00134A80">
        <w:t>in priority to other creditors,</w:t>
      </w:r>
      <w:r w:rsidR="00CA1815" w:rsidRPr="00134A80">
        <w:t xml:space="preserve"> </w:t>
      </w:r>
      <w:r w:rsidR="008C5648" w:rsidRPr="00134A80">
        <w:t>the court must look at a number of factors including</w:t>
      </w:r>
      <w:r w:rsidR="00F24EA3">
        <w:t>:</w:t>
      </w:r>
      <w:r w:rsidR="008C5648" w:rsidRPr="00134A80">
        <w:t xml:space="preserve"> the period during which the proceedings is expected to continue, how the </w:t>
      </w:r>
      <w:r w:rsidR="00F24EA3">
        <w:t xml:space="preserve">debtor’s </w:t>
      </w:r>
      <w:r w:rsidR="008C5648" w:rsidRPr="00134A80">
        <w:t xml:space="preserve">affairs will be managed, if </w:t>
      </w:r>
      <w:r w:rsidR="008C5648" w:rsidRPr="00134A80">
        <w:lastRenderedPageBreak/>
        <w:t>management has the confidence of creditors, whether the loan would enhance the prospects of a viable plan, the nature of the property, whether any creditor would be materially prejudiced as a result of the DIP loan charge, and the report of the court-appointed monitor.</w:t>
      </w:r>
      <w:r w:rsidR="008C5648" w:rsidRPr="00134A80">
        <w:rPr>
          <w:rStyle w:val="FootnoteReference"/>
        </w:rPr>
        <w:footnoteReference w:id="34"/>
      </w:r>
      <w:r w:rsidR="008C5648" w:rsidRPr="00134A80">
        <w:t xml:space="preserve"> In addition, at the first day hearing, the DIP loan must be limited to what is necessary before the full comeback, which is heard 10 days later, generally on better notice</w:t>
      </w:r>
      <w:r w:rsidR="00F24EA3">
        <w:t xml:space="preserve"> to stakeholders</w:t>
      </w:r>
      <w:r w:rsidR="008C5648" w:rsidRPr="00134A80">
        <w:t>.</w:t>
      </w:r>
      <w:r w:rsidR="008C5648" w:rsidRPr="00134A80">
        <w:rPr>
          <w:rStyle w:val="FootnoteReference"/>
        </w:rPr>
        <w:footnoteReference w:id="35"/>
      </w:r>
    </w:p>
    <w:p w14:paraId="72E40D29" w14:textId="54EBDA30" w:rsidR="00701D09" w:rsidRPr="00134A80" w:rsidRDefault="00701D09" w:rsidP="00922E12">
      <w:pPr>
        <w:pStyle w:val="Secondary"/>
      </w:pPr>
      <w:bookmarkStart w:id="28" w:name="_Toc159773064"/>
      <w:bookmarkStart w:id="29" w:name="_Toc159776046"/>
      <w:r w:rsidRPr="00134A80">
        <w:t>Adequate Protection?</w:t>
      </w:r>
      <w:bookmarkEnd w:id="28"/>
      <w:bookmarkEnd w:id="29"/>
    </w:p>
    <w:p w14:paraId="16E522AA" w14:textId="74038D90" w:rsidR="008C5648" w:rsidRDefault="008C5648" w:rsidP="005A203F">
      <w:pPr>
        <w:pStyle w:val="MTBody"/>
        <w:ind w:firstLine="720"/>
      </w:pPr>
      <w:r w:rsidRPr="00134A80">
        <w:t xml:space="preserve">While the </w:t>
      </w:r>
      <w:r w:rsidR="00701D09" w:rsidRPr="00134A80">
        <w:t xml:space="preserve">above factors suggest the concept of adequate protection, the application is not similar to that under </w:t>
      </w:r>
      <w:r w:rsidR="00F24EA3">
        <w:t xml:space="preserve">US </w:t>
      </w:r>
      <w:r w:rsidR="00701D09" w:rsidRPr="00134A80">
        <w:t xml:space="preserve">Chapter 11. A review of numerous DIP loans across Canada found a priority lien in virtually all </w:t>
      </w:r>
      <w:r w:rsidR="00FC1045" w:rsidRPr="00134A80">
        <w:t>scenarios. While the court certainly has the authority to make adequate protection-like requirements, this is not the norm and is likely a result of most Canadian insolvencies having a clear first-secured creditor with security over all of the debtors assets. The court does, however, have the ability to allocate court-ordered charges to various assets to ensure a fair distribution</w:t>
      </w:r>
      <w:r w:rsidR="00FC1045" w:rsidRPr="00134A80">
        <w:rPr>
          <w:rStyle w:val="FootnoteReference"/>
        </w:rPr>
        <w:footnoteReference w:id="36"/>
      </w:r>
      <w:r w:rsidR="00FC1045" w:rsidRPr="00134A80">
        <w:t xml:space="preserve"> provided that such allocation cannot result in a particular security holder having to </w:t>
      </w:r>
      <w:r w:rsidR="00FC1045" w:rsidRPr="00134A80">
        <w:rPr>
          <w:i/>
        </w:rPr>
        <w:t xml:space="preserve">pay </w:t>
      </w:r>
      <w:r w:rsidR="00FC1045" w:rsidRPr="00134A80">
        <w:t>into the estate (ie. the allocation to a particular asset can be to the value of that asset, and not more).</w:t>
      </w:r>
      <w:r w:rsidR="00FC1045" w:rsidRPr="00134A80">
        <w:rPr>
          <w:rStyle w:val="FootnoteReference"/>
        </w:rPr>
        <w:footnoteReference w:id="37"/>
      </w:r>
      <w:r w:rsidR="004063D2" w:rsidRPr="00134A80">
        <w:t xml:space="preserve"> In addition, courts have found that the list of factors to be considered was not exhaustive, and that the court must not find all are met – this includes </w:t>
      </w:r>
      <w:r w:rsidR="00F24EA3">
        <w:t>prejudice to a secured creditor</w:t>
      </w:r>
      <w:r w:rsidR="004063D2" w:rsidRPr="00134A80">
        <w:rPr>
          <w:rStyle w:val="FootnoteReference"/>
        </w:rPr>
        <w:footnoteReference w:id="38"/>
      </w:r>
      <w:r w:rsidR="00F24EA3">
        <w:t xml:space="preserve"> and grants increased flexibility.</w:t>
      </w:r>
      <w:r w:rsidR="004063D2" w:rsidRPr="00134A80">
        <w:t xml:space="preserve"> Importantly</w:t>
      </w:r>
      <w:r w:rsidR="00F24EA3">
        <w:t xml:space="preserve"> though</w:t>
      </w:r>
      <w:r w:rsidR="004063D2" w:rsidRPr="00134A80">
        <w:t xml:space="preserve">, the Canadian court has the benefit of a court-appointed monitor, which is an independent </w:t>
      </w:r>
      <w:r w:rsidR="00134A80" w:rsidRPr="00134A80">
        <w:t>licenced insolvency trustee</w:t>
      </w:r>
      <w:r w:rsidR="00134A80">
        <w:t xml:space="preserve"> (generally </w:t>
      </w:r>
      <w:r w:rsidR="00F24EA3">
        <w:t xml:space="preserve">a firm of </w:t>
      </w:r>
      <w:r w:rsidR="00134A80">
        <w:t>accountants) appointed as the ‘eyes and ears’ of the court.</w:t>
      </w:r>
      <w:r w:rsidR="00134A80">
        <w:rPr>
          <w:rStyle w:val="FootnoteReference"/>
        </w:rPr>
        <w:footnoteReference w:id="39"/>
      </w:r>
      <w:r w:rsidR="00134A80">
        <w:t xml:space="preserve"> The monitor is required to opine on the DIP financing and the </w:t>
      </w:r>
      <w:r w:rsidR="00F24EA3">
        <w:t xml:space="preserve">DIP loan </w:t>
      </w:r>
      <w:r w:rsidR="00134A80">
        <w:t>lien, meaning that, unlike Chapter 11 proceedings, the Canadian court often has an analysis from a court</w:t>
      </w:r>
      <w:r w:rsidR="00F24EA3">
        <w:t xml:space="preserve"> </w:t>
      </w:r>
      <w:r w:rsidR="00134A80">
        <w:t>officer looking at the terms of the DIP loan, the process by which is was obtained/what alternatives there were, and an objective review of the relative prejudice</w:t>
      </w:r>
      <w:r w:rsidR="00F24EA3">
        <w:t xml:space="preserve"> to stakeholders</w:t>
      </w:r>
      <w:r w:rsidR="00134A80">
        <w:t>.</w:t>
      </w:r>
    </w:p>
    <w:p w14:paraId="5AFB7313" w14:textId="1A3BC3D6" w:rsidR="00134A80" w:rsidRDefault="00134A80" w:rsidP="005A203F">
      <w:pPr>
        <w:pStyle w:val="MTBody"/>
        <w:ind w:firstLine="720"/>
      </w:pPr>
      <w:r>
        <w:lastRenderedPageBreak/>
        <w:t xml:space="preserve">The role of the DIP lender continues to have many of the advantages that it has in under </w:t>
      </w:r>
      <w:r w:rsidR="00F24EA3">
        <w:t xml:space="preserve">US </w:t>
      </w:r>
      <w:r>
        <w:t>Chapter 11 – including an increased role in the direction of the restructuring. However, this role is somewhat tempered by the role of the monitor to ensure fairness and transparency.</w:t>
      </w:r>
    </w:p>
    <w:p w14:paraId="548980A3" w14:textId="169A24CA" w:rsidR="00134A80" w:rsidRDefault="00134A80" w:rsidP="00922E12">
      <w:pPr>
        <w:pStyle w:val="Secondary"/>
      </w:pPr>
      <w:bookmarkStart w:id="30" w:name="_Toc159773065"/>
      <w:bookmarkStart w:id="31" w:name="_Toc159776047"/>
      <w:r>
        <w:t>Roll-up</w:t>
      </w:r>
      <w:bookmarkEnd w:id="30"/>
      <w:bookmarkEnd w:id="31"/>
    </w:p>
    <w:p w14:paraId="328214F4" w14:textId="6962503E" w:rsidR="00134A80" w:rsidRDefault="00134A80" w:rsidP="005A203F">
      <w:pPr>
        <w:pStyle w:val="MTBody"/>
        <w:ind w:firstLine="720"/>
      </w:pPr>
      <w:r>
        <w:t xml:space="preserve">Unlike </w:t>
      </w:r>
      <w:r w:rsidR="00F24EA3">
        <w:t xml:space="preserve">US </w:t>
      </w:r>
      <w:r>
        <w:t xml:space="preserve">Chapter 11, the </w:t>
      </w:r>
      <w:r>
        <w:rPr>
          <w:i/>
        </w:rPr>
        <w:t xml:space="preserve">CCAA </w:t>
      </w:r>
      <w:r>
        <w:t xml:space="preserve">seeks to squarely address the issue of roll-up: it expressly provides that </w:t>
      </w:r>
      <w:r w:rsidR="00C42468">
        <w:t>the security or charge granted cannot secure an obligation that exists before the order is made.</w:t>
      </w:r>
      <w:r w:rsidR="00C42468">
        <w:rPr>
          <w:rStyle w:val="FootnoteReference"/>
        </w:rPr>
        <w:footnoteReference w:id="40"/>
      </w:r>
      <w:r w:rsidR="00C42468">
        <w:t xml:space="preserve"> On its surface, this would appear to prohibit roll-ups</w:t>
      </w:r>
      <w:r w:rsidR="00E31679">
        <w:t>, and generally this is the case for single draw roll-ups. There are two important exceptions in Canada:</w:t>
      </w:r>
    </w:p>
    <w:p w14:paraId="1AF58CA4" w14:textId="2B702920" w:rsidR="00E31679" w:rsidRPr="00972935" w:rsidRDefault="00E31679" w:rsidP="00972935">
      <w:pPr>
        <w:pStyle w:val="MTTFACTUMPART2"/>
      </w:pPr>
      <w:r>
        <w:t>first, the Canadian courts have approved roll-up</w:t>
      </w:r>
      <w:r w:rsidR="00F24EA3">
        <w:t>s</w:t>
      </w:r>
      <w:r>
        <w:t xml:space="preserve"> as part of the recognition of </w:t>
      </w:r>
      <w:r w:rsidR="00F24EA3">
        <w:t xml:space="preserve">US </w:t>
      </w:r>
      <w:r>
        <w:t>Chapter 11 proceedings</w:t>
      </w:r>
      <w:r w:rsidR="00F24EA3">
        <w:t xml:space="preserve"> notwithstanding the prohibition under the </w:t>
      </w:r>
      <w:r w:rsidR="00F24EA3" w:rsidRPr="00F24EA3">
        <w:rPr>
          <w:i/>
        </w:rPr>
        <w:t>CCAA</w:t>
      </w:r>
      <w:r>
        <w:t>.</w:t>
      </w:r>
      <w:r>
        <w:rPr>
          <w:rStyle w:val="FootnoteReference"/>
        </w:rPr>
        <w:footnoteReference w:id="41"/>
      </w:r>
      <w:r>
        <w:t xml:space="preserve"> However, </w:t>
      </w:r>
      <w:r w:rsidR="006C5627">
        <w:t xml:space="preserve">this </w:t>
      </w:r>
      <w:r>
        <w:t>recognition has not been granted where it would be unfairly prejudicial to Canadian creditors.</w:t>
      </w:r>
      <w:r>
        <w:rPr>
          <w:rStyle w:val="FootnoteReference"/>
        </w:rPr>
        <w:footnoteReference w:id="42"/>
      </w:r>
    </w:p>
    <w:p w14:paraId="54869318" w14:textId="03353F97" w:rsidR="0085670B" w:rsidRPr="00972935" w:rsidRDefault="00E31679" w:rsidP="00972935">
      <w:pPr>
        <w:pStyle w:val="MTTFACTUMPART2"/>
      </w:pPr>
      <w:r>
        <w:t xml:space="preserve">second, the courts have </w:t>
      </w:r>
      <w:r w:rsidR="00322E5E">
        <w:t xml:space="preserve">found that a creeping roll-up does not offend the </w:t>
      </w:r>
      <w:r w:rsidR="00322E5E">
        <w:rPr>
          <w:i/>
        </w:rPr>
        <w:t xml:space="preserve">CCAA </w:t>
      </w:r>
      <w:r w:rsidR="00322E5E">
        <w:t>provision, and while not common, they are permitted.</w:t>
      </w:r>
      <w:r w:rsidR="00322E5E">
        <w:rPr>
          <w:rStyle w:val="FootnoteReference"/>
        </w:rPr>
        <w:footnoteReference w:id="43"/>
      </w:r>
    </w:p>
    <w:p w14:paraId="5A94D0FF" w14:textId="08735F1C" w:rsidR="0085670B" w:rsidRPr="0085670B" w:rsidRDefault="00922E12" w:rsidP="00922E12">
      <w:pPr>
        <w:pStyle w:val="MTBody"/>
        <w:ind w:firstLine="360"/>
      </w:pPr>
      <w:r>
        <w:t>Finally, while not common, equity conversions are permissible as part of a Canadian DIP loan</w:t>
      </w:r>
      <w:r w:rsidR="0085670B">
        <w:t>.</w:t>
      </w:r>
      <w:r>
        <w:t xml:space="preserve"> Should they become more popular in the United States, it is likely they will get more traction, and scrutiny, in Canada.</w:t>
      </w:r>
    </w:p>
    <w:p w14:paraId="53E39A6A" w14:textId="5EF6FD09" w:rsidR="007C007B" w:rsidRPr="00134A80" w:rsidRDefault="001F1ECC" w:rsidP="007C007B">
      <w:pPr>
        <w:pStyle w:val="MTTFACTUMPART"/>
      </w:pPr>
      <w:bookmarkStart w:id="32" w:name="_Toc159773066"/>
      <w:bookmarkStart w:id="33" w:name="_Toc159776048"/>
      <w:r>
        <w:t>Rule Britannia: The New British Regime</w:t>
      </w:r>
      <w:bookmarkEnd w:id="32"/>
      <w:bookmarkEnd w:id="33"/>
    </w:p>
    <w:p w14:paraId="5DA7B2B1" w14:textId="57BF1F85" w:rsidR="007C007B" w:rsidRDefault="001F1ECC" w:rsidP="001F1ECC">
      <w:pPr>
        <w:pStyle w:val="MTBody"/>
        <w:ind w:firstLine="720"/>
      </w:pPr>
      <w:r>
        <w:t xml:space="preserve">The United Kingdom poses an interesting foil to the US and Canadian regimes. While </w:t>
      </w:r>
      <w:r w:rsidR="000D5CD8">
        <w:t>the British insolvency regime is well established</w:t>
      </w:r>
      <w:r w:rsidR="00BE236E">
        <w:t>, it does not offer an easy route to</w:t>
      </w:r>
      <w:r w:rsidR="00603F9E">
        <w:t xml:space="preserve"> non-consensual financing</w:t>
      </w:r>
      <w:r w:rsidR="00E70735">
        <w:t xml:space="preserve">. In part, this could be because </w:t>
      </w:r>
      <w:r w:rsidR="00073BA4">
        <w:t>of the UK’s tradition of more consensual restructuring, including the “London Approach”</w:t>
      </w:r>
      <w:r w:rsidR="006C5627">
        <w:t>,</w:t>
      </w:r>
      <w:r w:rsidR="00073BA4">
        <w:t xml:space="preserve"> with </w:t>
      </w:r>
      <w:r w:rsidR="00E70735">
        <w:t>banks generally agreeing to be supportive and work through restructurings without a formal proceeding.</w:t>
      </w:r>
      <w:r w:rsidR="00E70735">
        <w:rPr>
          <w:rStyle w:val="FootnoteReference"/>
        </w:rPr>
        <w:footnoteReference w:id="44"/>
      </w:r>
    </w:p>
    <w:p w14:paraId="687F5653" w14:textId="451A298D" w:rsidR="0084339C" w:rsidRDefault="0084339C" w:rsidP="001F1ECC">
      <w:pPr>
        <w:pStyle w:val="MTBody"/>
        <w:ind w:firstLine="720"/>
      </w:pPr>
      <w:r>
        <w:lastRenderedPageBreak/>
        <w:t xml:space="preserve">In 2020, the </w:t>
      </w:r>
      <w:r w:rsidR="00B23739">
        <w:t xml:space="preserve">British government passed the </w:t>
      </w:r>
      <w:r w:rsidR="00497EEF">
        <w:rPr>
          <w:i/>
        </w:rPr>
        <w:t>Corporate Insolvency and Governance Act 2020</w:t>
      </w:r>
      <w:r w:rsidR="00497EEF">
        <w:t xml:space="preserve"> which implemented two potentially useful tools </w:t>
      </w:r>
      <w:r w:rsidR="00073BA4">
        <w:t>to promote more debt</w:t>
      </w:r>
      <w:r w:rsidR="002A7822">
        <w:t>or in possession restructurings:</w:t>
      </w:r>
      <w:r w:rsidR="00497EEF">
        <w:t xml:space="preserve"> </w:t>
      </w:r>
      <w:r w:rsidR="00073BA4">
        <w:t>the</w:t>
      </w:r>
      <w:r w:rsidR="00497EEF">
        <w:t xml:space="preserve"> moratorium under the </w:t>
      </w:r>
      <w:r w:rsidR="00497EEF">
        <w:rPr>
          <w:i/>
        </w:rPr>
        <w:t>Insolvency Act 1986</w:t>
      </w:r>
      <w:r w:rsidR="00497EEF" w:rsidRPr="00DB18BA">
        <w:rPr>
          <w:rStyle w:val="FootnoteReference"/>
        </w:rPr>
        <w:footnoteReference w:id="45"/>
      </w:r>
      <w:r w:rsidR="00DB18BA">
        <w:rPr>
          <w:i/>
        </w:rPr>
        <w:t xml:space="preserve"> </w:t>
      </w:r>
      <w:r w:rsidR="00DB18BA">
        <w:t xml:space="preserve">and </w:t>
      </w:r>
      <w:r w:rsidR="00073BA4">
        <w:t>the</w:t>
      </w:r>
      <w:r w:rsidR="00DB18BA">
        <w:t xml:space="preserve"> restructuring plan under the </w:t>
      </w:r>
      <w:r w:rsidR="00DB18BA">
        <w:rPr>
          <w:i/>
        </w:rPr>
        <w:t>Companies Act</w:t>
      </w:r>
      <w:r w:rsidR="00DB18BA">
        <w:t xml:space="preserve"> </w:t>
      </w:r>
      <w:r w:rsidR="00DB18BA" w:rsidRPr="00DB18BA">
        <w:rPr>
          <w:i/>
        </w:rPr>
        <w:t>2006</w:t>
      </w:r>
      <w:r w:rsidR="00DB18BA" w:rsidRPr="00DB18BA">
        <w:rPr>
          <w:rStyle w:val="FootnoteReference"/>
        </w:rPr>
        <w:footnoteReference w:id="46"/>
      </w:r>
      <w:r w:rsidR="00F14B6D">
        <w:t>. While both moved towards a m</w:t>
      </w:r>
      <w:r w:rsidR="006C5627">
        <w:t>ore DIP restructuring regime,</w:t>
      </w:r>
      <w:r w:rsidR="00F14B6D">
        <w:t xml:space="preserve"> the amendments did not include the ability for non-consensual DIP financing.</w:t>
      </w:r>
    </w:p>
    <w:p w14:paraId="28DD33DF" w14:textId="77272ED0" w:rsidR="00073BA4" w:rsidRDefault="00E82C9A" w:rsidP="001F1ECC">
      <w:pPr>
        <w:pStyle w:val="MTBody"/>
        <w:ind w:firstLine="720"/>
      </w:pPr>
      <w:r>
        <w:t xml:space="preserve">The response to leaving consensual DIP financing as the </w:t>
      </w:r>
      <w:r>
        <w:rPr>
          <w:i/>
        </w:rPr>
        <w:t xml:space="preserve">status quo </w:t>
      </w:r>
      <w:r>
        <w:t>has met with mixed reviews. A survey</w:t>
      </w:r>
      <w:r w:rsidR="002A7822">
        <w:t xml:space="preserve"> conducted by the</w:t>
      </w:r>
      <w:r>
        <w:t xml:space="preserve"> British Government’s Insolvency Service</w:t>
      </w:r>
      <w:r w:rsidR="00732F6D">
        <w:t xml:space="preserve"> (pre-2020 amendments)</w:t>
      </w:r>
      <w:r>
        <w:t xml:space="preserve"> found that respondents</w:t>
      </w:r>
      <w:r w:rsidR="002A7822">
        <w:t xml:space="preserve"> believed</w:t>
      </w:r>
      <w:r>
        <w:t xml:space="preserve"> financing was sufficiently available for companies capable of rescu</w:t>
      </w:r>
      <w:r w:rsidR="002A7822">
        <w:t>e</w:t>
      </w:r>
      <w:r>
        <w:t xml:space="preserve">, </w:t>
      </w:r>
      <w:r w:rsidR="002A7822">
        <w:t>indicating their belief that the</w:t>
      </w:r>
      <w:r>
        <w:t xml:space="preserve"> current system </w:t>
      </w:r>
      <w:r w:rsidR="002A7822">
        <w:t>works</w:t>
      </w:r>
      <w:r>
        <w:t>.</w:t>
      </w:r>
      <w:r>
        <w:rPr>
          <w:rStyle w:val="FootnoteReference"/>
        </w:rPr>
        <w:footnoteReference w:id="47"/>
      </w:r>
      <w:r>
        <w:t xml:space="preserve"> Other commentators</w:t>
      </w:r>
      <w:r w:rsidR="00732F6D">
        <w:t>, notably commenting after the 2020 amendments</w:t>
      </w:r>
      <w:r>
        <w:t>, disagreed, noting that,</w:t>
      </w:r>
    </w:p>
    <w:p w14:paraId="7D12915C" w14:textId="43566658" w:rsidR="00E82C9A" w:rsidRDefault="00E82C9A" w:rsidP="00E82C9A">
      <w:pPr>
        <w:pStyle w:val="MTTFactumQuote"/>
      </w:pPr>
      <w:r>
        <w:t>Depending on their level of exposure, existing creditors may often be reluctant to advance new money, and in any case any decision to provide additional funding is idiosyncratic and based on a creditor’s broader loan and investment portfolio. DIP finance, with super-priority status for new lenders, provides an incentive that underpins an active rescue financing market and thereby supports a stronger rescue culture.</w:t>
      </w:r>
      <w:r>
        <w:rPr>
          <w:rStyle w:val="FootnoteReference"/>
        </w:rPr>
        <w:footnoteReference w:id="48"/>
      </w:r>
    </w:p>
    <w:p w14:paraId="64A12930" w14:textId="485E553A" w:rsidR="008833ED" w:rsidRPr="008833ED" w:rsidRDefault="008833ED" w:rsidP="008833ED">
      <w:pPr>
        <w:pStyle w:val="MTBody"/>
      </w:pPr>
      <w:r>
        <w:t>These commentators go on to note that a US-style DIP financing regime would enhance and encourage a rescue culture and enhance the prospect of successful restructurings</w:t>
      </w:r>
      <w:r w:rsidR="006C5627">
        <w:t xml:space="preserve"> in the UK</w:t>
      </w:r>
      <w:r>
        <w:t>.</w:t>
      </w:r>
      <w:r>
        <w:rPr>
          <w:rStyle w:val="FootnoteReference"/>
        </w:rPr>
        <w:footnoteReference w:id="49"/>
      </w:r>
    </w:p>
    <w:p w14:paraId="2054BB89" w14:textId="64DFF9FC" w:rsidR="00DB257D" w:rsidRDefault="00E63C53" w:rsidP="00DB257D">
      <w:pPr>
        <w:pStyle w:val="MTTFACTUMPART"/>
      </w:pPr>
      <w:bookmarkStart w:id="34" w:name="_Toc159773067"/>
      <w:bookmarkStart w:id="35" w:name="_Toc159776049"/>
      <w:r>
        <w:t>Analysis and</w:t>
      </w:r>
      <w:r w:rsidR="00DB257D">
        <w:t xml:space="preserve"> </w:t>
      </w:r>
      <w:r w:rsidR="009003AE">
        <w:t>Conclusions</w:t>
      </w:r>
      <w:bookmarkEnd w:id="34"/>
      <w:bookmarkEnd w:id="35"/>
    </w:p>
    <w:p w14:paraId="48704577" w14:textId="7F64E072" w:rsidR="00E63C53" w:rsidRDefault="00E63C53" w:rsidP="00E63C53">
      <w:pPr>
        <w:pStyle w:val="MTBody"/>
        <w:ind w:firstLine="720"/>
      </w:pPr>
      <w:r>
        <w:t xml:space="preserve">The UK, Canada, and the United States offer a continuum of DIP financing regimes, from the </w:t>
      </w:r>
      <w:r w:rsidR="00242181">
        <w:t>powerful</w:t>
      </w:r>
      <w:r>
        <w:t xml:space="preserve"> US regime that allows extensive priming, roll-up and equity conversion on the one extreme, to the UK system that relies primarily on consensual agreement.</w:t>
      </w:r>
      <w:r w:rsidR="003D6C7E">
        <w:t xml:space="preserve"> </w:t>
      </w:r>
      <w:r w:rsidR="00242181">
        <w:t>However, when one reviews the empirical results and the commentary, it becomes clear</w:t>
      </w:r>
      <w:r w:rsidR="003D6C7E">
        <w:t xml:space="preserve"> that neither of these </w:t>
      </w:r>
      <w:r w:rsidR="003D6C7E">
        <w:lastRenderedPageBreak/>
        <w:t xml:space="preserve">extremes is preferable, and instead, the more balanced Canadian approach </w:t>
      </w:r>
      <w:r w:rsidR="00242181">
        <w:t xml:space="preserve">is best situated to achieve </w:t>
      </w:r>
      <w:r w:rsidR="006C5627">
        <w:t>DIP financing in</w:t>
      </w:r>
      <w:r w:rsidR="003D6C7E">
        <w:t xml:space="preserve"> non-consensual situations.</w:t>
      </w:r>
    </w:p>
    <w:p w14:paraId="2F9A9384" w14:textId="4427B5E5" w:rsidR="00342242" w:rsidRDefault="00242181" w:rsidP="00E63C53">
      <w:pPr>
        <w:pStyle w:val="MTBody"/>
        <w:ind w:firstLine="720"/>
      </w:pPr>
      <w:r>
        <w:t xml:space="preserve">To reach this </w:t>
      </w:r>
      <w:r w:rsidR="006C5627">
        <w:t>conclusion</w:t>
      </w:r>
      <w:r>
        <w:t>, one needs to start with the</w:t>
      </w:r>
      <w:r w:rsidR="00342242">
        <w:t xml:space="preserve"> INSOL principle</w:t>
      </w:r>
      <w:r>
        <w:t>, discussed above,</w:t>
      </w:r>
      <w:r w:rsidR="00342242">
        <w:t xml:space="preserve"> that DIP financing is often necessary, and if provided, should have first repayment priority.</w:t>
      </w:r>
      <w:r>
        <w:rPr>
          <w:rStyle w:val="FootnoteReference"/>
        </w:rPr>
        <w:footnoteReference w:id="50"/>
      </w:r>
      <w:r w:rsidR="00342242">
        <w:t xml:space="preserve"> While a consensual arrangement is preferable for all involved, it must be acknowledged that it </w:t>
      </w:r>
      <w:r w:rsidR="006C5627">
        <w:t>will not</w:t>
      </w:r>
      <w:r w:rsidR="00342242">
        <w:t xml:space="preserve"> always be possible. </w:t>
      </w:r>
      <w:r w:rsidR="000F24C2">
        <w:t xml:space="preserve">Accordingly, a method to force non-consensual DIP financing is </w:t>
      </w:r>
      <w:r w:rsidR="006C5627">
        <w:t>required</w:t>
      </w:r>
      <w:r w:rsidR="000F24C2">
        <w:t>.</w:t>
      </w:r>
    </w:p>
    <w:p w14:paraId="7E39705C" w14:textId="17B8D799" w:rsidR="000F24C2" w:rsidRDefault="000F24C2" w:rsidP="00E63C53">
      <w:pPr>
        <w:pStyle w:val="MTBody"/>
        <w:ind w:firstLine="720"/>
      </w:pPr>
      <w:r>
        <w:t>However, the US system has shown that the regime must be policed in a balanced fashion</w:t>
      </w:r>
      <w:r w:rsidR="00242181">
        <w:t xml:space="preserve">, and that courts, faced with a multitude of applications at the beginning of a proceeding, are not the best placed to adjudicate what is fair in an often complex DIP financing agreement that can be many hundreds of pages long, and contain complex </w:t>
      </w:r>
      <w:r w:rsidR="00975848">
        <w:t>structures. Further, w</w:t>
      </w:r>
      <w:r>
        <w:t xml:space="preserve">hile the concept of adequate protection appears logical on the surface, as noted </w:t>
      </w:r>
      <w:r w:rsidR="00975848">
        <w:t>in the research cited</w:t>
      </w:r>
      <w:r>
        <w:t xml:space="preserve">, the costs </w:t>
      </w:r>
      <w:r w:rsidR="00975848">
        <w:t xml:space="preserve">(or risk of costs) valuing and administering adequate protection </w:t>
      </w:r>
      <w:r>
        <w:t xml:space="preserve">result in an unfair advantage to existing secured lenders, which </w:t>
      </w:r>
      <w:r w:rsidR="00975848">
        <w:t xml:space="preserve">materially </w:t>
      </w:r>
      <w:r>
        <w:t>increases the cost</w:t>
      </w:r>
      <w:r w:rsidR="00975848">
        <w:t>s of the DIP financing</w:t>
      </w:r>
      <w:r>
        <w:t xml:space="preserve"> to the detriment of other stakeholders.</w:t>
      </w:r>
    </w:p>
    <w:p w14:paraId="5D0E98C4" w14:textId="6A51D3CC" w:rsidR="000F24C2" w:rsidRDefault="000F24C2" w:rsidP="00E63C53">
      <w:pPr>
        <w:pStyle w:val="MTBody"/>
        <w:ind w:firstLine="720"/>
      </w:pPr>
      <w:r>
        <w:t>The Canadian regime offers a more balanced approach that</w:t>
      </w:r>
      <w:r w:rsidR="00975848">
        <w:t xml:space="preserve"> allows priming of secured creditors, balances the necessity of adequate protection, and provides an independent, financially knowledgeable court-officer to assist the court in understanding the terms of the DIP financing and </w:t>
      </w:r>
      <w:r w:rsidR="006C5627">
        <w:t>its</w:t>
      </w:r>
      <w:r w:rsidR="00975848">
        <w:t xml:space="preserve"> economic impact</w:t>
      </w:r>
      <w:r w:rsidR="006C5627">
        <w:t xml:space="preserve"> on stakeholders and the prospect of a successful restructuring</w:t>
      </w:r>
      <w:r w:rsidR="00975848">
        <w:t>.</w:t>
      </w:r>
    </w:p>
    <w:p w14:paraId="3D5F9FC5" w14:textId="4B6F0DB6" w:rsidR="00975848" w:rsidRDefault="00C724D6" w:rsidP="00E63C53">
      <w:pPr>
        <w:pStyle w:val="MTBody"/>
        <w:ind w:firstLine="720"/>
      </w:pPr>
      <w:r>
        <w:t xml:space="preserve">Turning first to priming, the Canadian regime recognises the need to balance priming with the potential prejudice to secured creditors. However, the test is ‘material prejudice’, not </w:t>
      </w:r>
      <w:r w:rsidR="006C5627">
        <w:t>“</w:t>
      </w:r>
      <w:r>
        <w:t>no prejudice</w:t>
      </w:r>
      <w:r w:rsidR="006C5627">
        <w:t>”</w:t>
      </w:r>
      <w:r>
        <w:t xml:space="preserve">, and the </w:t>
      </w:r>
      <w:r w:rsidR="00DA5334">
        <w:t>court is granted broad discretion to craft an appropriate remedy. This includes adequate protection liens if desirable, but importantly leaves the court open to make a determination on the level of prejudice and the best remedy, in a holistic manner.</w:t>
      </w:r>
    </w:p>
    <w:p w14:paraId="00EAF4BE" w14:textId="2933C61A" w:rsidR="00DA5334" w:rsidRDefault="00DA5334" w:rsidP="00E63C53">
      <w:pPr>
        <w:pStyle w:val="MTBody"/>
        <w:ind w:firstLine="720"/>
      </w:pPr>
      <w:r>
        <w:t xml:space="preserve">The role of the Canadian court-appointed monitor adds an </w:t>
      </w:r>
      <w:r w:rsidR="00B5157C">
        <w:t>important aspect to the balancing of prejudice and the administration of DIP financing. The monitor, generally a firm of accountants and trained licenced insolvency trustees</w:t>
      </w:r>
      <w:r w:rsidR="006C5627">
        <w:t xml:space="preserve"> as noted above</w:t>
      </w:r>
      <w:r w:rsidR="00B5157C">
        <w:t xml:space="preserve">, is able to provide the court with an objective view of prejudice, value </w:t>
      </w:r>
      <w:r w:rsidR="002A7822">
        <w:t>and other</w:t>
      </w:r>
      <w:r w:rsidR="00B5157C">
        <w:t xml:space="preserve"> important aspects when considering </w:t>
      </w:r>
      <w:r w:rsidR="00B5157C">
        <w:lastRenderedPageBreak/>
        <w:t xml:space="preserve">priming. In addition, the monitor can review, analyse and report to the court in relation to the contents of DIP financing, areas where the court should pay particular attention, and the process </w:t>
      </w:r>
      <w:r w:rsidR="006C5627">
        <w:t xml:space="preserve">undertaken by the debtor </w:t>
      </w:r>
      <w:r w:rsidR="00B5157C">
        <w:t>to obtain the DIP financing/what other alternatives were available. This allows the court to review and consider the impacts of DIP financing more efficiently and effectively in the beginning of a restructuring, and avoid the potential time and cost delays of an adversarial fight</w:t>
      </w:r>
      <w:r>
        <w:t xml:space="preserve">. </w:t>
      </w:r>
      <w:r w:rsidR="00B5157C">
        <w:t>The use of the monitor can also ensure that the DIP lender does not seek or exercise oversized influence in the restructuring.</w:t>
      </w:r>
    </w:p>
    <w:p w14:paraId="05F6B421" w14:textId="77777777" w:rsidR="009618A2" w:rsidRDefault="009618A2" w:rsidP="00E63C53">
      <w:pPr>
        <w:pStyle w:val="MTBody"/>
        <w:ind w:firstLine="720"/>
      </w:pPr>
      <w:r>
        <w:t>The limiting of roll-ups under the Canadian regime eliminates or limits the detrimental effects set out in the commentary discussed above. While a ‘creeping roll-up’ may be necessary or desirable to prevent undue prejudice to, for example, a receivables financier, the roll- up generally has proven to be costly and unnecessary. The restriction found in the Canadian regime, accordingly, makes sense, and the limited use of creeping-rollups with the oversight and analysis of the monitor, ensure a balanced application.</w:t>
      </w:r>
    </w:p>
    <w:p w14:paraId="79060818" w14:textId="42438BCB" w:rsidR="001B27CE" w:rsidRDefault="009618A2" w:rsidP="00E23FB4">
      <w:pPr>
        <w:pStyle w:val="MTBody"/>
        <w:ind w:firstLine="720"/>
        <w:sectPr w:rsidR="001B27CE" w:rsidSect="00123500">
          <w:pgSz w:w="12240" w:h="15840" w:code="1"/>
          <w:pgMar w:top="1440" w:right="1440" w:bottom="1440" w:left="1440" w:header="720" w:footer="720" w:gutter="0"/>
          <w:pgNumType w:start="1"/>
          <w:cols w:space="720"/>
          <w:docGrid w:linePitch="360"/>
        </w:sectPr>
      </w:pPr>
      <w:r>
        <w:t>Finally, the growing use in the US of equity conversions should be watched very closely and limited to cases where it is absolutely necessary. While there may be scenarios where a DIP lender’s conversion to equity is in the best interests of the stakeholders, it should be determined on a case-by-case basis, and likely once the restructuring is more advanced. Allowing DIP lenders to ‘bake in’ lucrative conversion options at the outset of a proceedings leads to the risk of windfalls, and a lack of confidence in the system.</w:t>
      </w:r>
      <w:r w:rsidR="00E23FB4">
        <w:t xml:space="preserve"> While the US courts have acknowledged this concern, they have nonetheless allowed them in a number of cases.</w:t>
      </w:r>
      <w:r w:rsidR="00E23FB4">
        <w:rPr>
          <w:rStyle w:val="FootnoteReference"/>
        </w:rPr>
        <w:footnoteReference w:id="51"/>
      </w:r>
      <w:r w:rsidR="00E23FB4">
        <w:t xml:space="preserve"> </w:t>
      </w:r>
      <w:r w:rsidR="008E4A81">
        <w:t>Having an analysis from the court-appointed monitor on the economic terms and true options available would be an asset in helping courts assess in what limited scenarios such conversions are desirable.</w:t>
      </w:r>
      <w:r w:rsidR="00E23FB4">
        <w:t>.</w:t>
      </w:r>
    </w:p>
    <w:p w14:paraId="778F2368" w14:textId="2271E8FB" w:rsidR="007C007B" w:rsidRDefault="001B27CE" w:rsidP="001B27CE">
      <w:pPr>
        <w:pStyle w:val="MTTFACTUMHEAD"/>
      </w:pPr>
      <w:r>
        <w:lastRenderedPageBreak/>
        <w:t>bibliography</w:t>
      </w:r>
    </w:p>
    <w:p w14:paraId="07039A76" w14:textId="6BAE59F4" w:rsidR="001B27CE" w:rsidRDefault="001B27CE" w:rsidP="001B27CE">
      <w:pPr>
        <w:pStyle w:val="Ju"/>
        <w:rPr>
          <w:u w:val="single"/>
        </w:rPr>
      </w:pPr>
      <w:r>
        <w:rPr>
          <w:u w:val="single"/>
        </w:rPr>
        <w:t>Statutes</w:t>
      </w:r>
      <w:r w:rsidR="002A6173">
        <w:rPr>
          <w:u w:val="single"/>
        </w:rPr>
        <w:t xml:space="preserve"> and jurisprudence</w:t>
      </w:r>
    </w:p>
    <w:p w14:paraId="17EFDA25" w14:textId="00F42B71" w:rsidR="00D701BA" w:rsidRDefault="00D701BA" w:rsidP="00D701BA">
      <w:pPr>
        <w:pStyle w:val="MTBody"/>
        <w:rPr>
          <w:u w:val="single"/>
        </w:rPr>
      </w:pPr>
      <w:r>
        <w:rPr>
          <w:u w:val="single"/>
        </w:rPr>
        <w:t>Canada</w:t>
      </w:r>
    </w:p>
    <w:p w14:paraId="2757CDBD" w14:textId="4F28C64B" w:rsidR="00D701BA" w:rsidRDefault="00D701BA" w:rsidP="002A6173">
      <w:pPr>
        <w:pStyle w:val="MTBody"/>
        <w:spacing w:line="240" w:lineRule="auto"/>
        <w:rPr>
          <w:i/>
          <w:lang w:val="en-US"/>
        </w:rPr>
      </w:pPr>
      <w:r w:rsidRPr="00F43032">
        <w:rPr>
          <w:i/>
          <w:lang w:val="en-US"/>
        </w:rPr>
        <w:t>Bankruptcy and Insolvency Act</w:t>
      </w:r>
      <w:r>
        <w:rPr>
          <w:lang w:val="en-US"/>
        </w:rPr>
        <w:t xml:space="preserve">, </w:t>
      </w:r>
      <w:r w:rsidRPr="00F43032">
        <w:rPr>
          <w:lang w:val="en-US"/>
        </w:rPr>
        <w:t>RSC 1985, c. B-3</w:t>
      </w:r>
      <w:r w:rsidR="00A26B3C">
        <w:rPr>
          <w:lang w:val="en-US"/>
        </w:rPr>
        <w:t>.</w:t>
      </w:r>
    </w:p>
    <w:p w14:paraId="32334862" w14:textId="33463479" w:rsidR="00D701BA" w:rsidRDefault="00D701BA" w:rsidP="002A6173">
      <w:pPr>
        <w:pStyle w:val="MTBody"/>
        <w:spacing w:line="240" w:lineRule="auto"/>
        <w:rPr>
          <w:lang w:val="en-US"/>
        </w:rPr>
      </w:pPr>
      <w:r w:rsidRPr="00F43032">
        <w:rPr>
          <w:i/>
          <w:lang w:val="en-US"/>
        </w:rPr>
        <w:t>Companies’ Creditors Arrangement Act</w:t>
      </w:r>
      <w:r>
        <w:rPr>
          <w:lang w:val="en-US"/>
        </w:rPr>
        <w:t xml:space="preserve">, </w:t>
      </w:r>
      <w:r w:rsidRPr="00F43032">
        <w:rPr>
          <w:lang w:val="en-US"/>
        </w:rPr>
        <w:t>R</w:t>
      </w:r>
      <w:r>
        <w:rPr>
          <w:lang w:val="en-US"/>
        </w:rPr>
        <w:t>SC</w:t>
      </w:r>
      <w:r w:rsidRPr="00F43032">
        <w:rPr>
          <w:lang w:val="en-US"/>
        </w:rPr>
        <w:t xml:space="preserve"> 1985, c. C-36</w:t>
      </w:r>
      <w:r>
        <w:rPr>
          <w:lang w:val="en-US"/>
        </w:rPr>
        <w:t>.</w:t>
      </w:r>
    </w:p>
    <w:p w14:paraId="05BC32EA" w14:textId="211B373C" w:rsidR="002A6173" w:rsidRDefault="002A6173" w:rsidP="002A6173">
      <w:pPr>
        <w:pStyle w:val="MTBody"/>
        <w:spacing w:line="240" w:lineRule="auto"/>
        <w:rPr>
          <w:lang w:val="en-US"/>
        </w:rPr>
      </w:pPr>
      <w:r w:rsidRPr="006D342D">
        <w:rPr>
          <w:i/>
          <w:lang w:val="en-US"/>
        </w:rPr>
        <w:t>Hartford Computer Hardware, Inc. (Re)</w:t>
      </w:r>
      <w:r>
        <w:rPr>
          <w:lang w:val="en-US"/>
        </w:rPr>
        <w:t>, 2012 ONSC</w:t>
      </w:r>
      <w:r w:rsidR="00972935">
        <w:rPr>
          <w:lang w:val="en-US"/>
        </w:rPr>
        <w:t xml:space="preserve"> </w:t>
      </w:r>
      <w:r>
        <w:rPr>
          <w:lang w:val="en-US"/>
        </w:rPr>
        <w:t>964 (Ont</w:t>
      </w:r>
      <w:r w:rsidR="00972935">
        <w:rPr>
          <w:lang w:val="en-US"/>
        </w:rPr>
        <w:t xml:space="preserve"> </w:t>
      </w:r>
      <w:r>
        <w:rPr>
          <w:lang w:val="en-US"/>
        </w:rPr>
        <w:t>SCJ.) [Commercial List]</w:t>
      </w:r>
      <w:r w:rsidR="00A26B3C">
        <w:rPr>
          <w:lang w:val="en-US"/>
        </w:rPr>
        <w:t>.</w:t>
      </w:r>
    </w:p>
    <w:p w14:paraId="00E1F4E0" w14:textId="777BEE64" w:rsidR="00A26B3C" w:rsidRDefault="00A26B3C" w:rsidP="002A6173">
      <w:pPr>
        <w:pStyle w:val="MTBody"/>
        <w:spacing w:line="240" w:lineRule="auto"/>
        <w:rPr>
          <w:lang w:val="en-US"/>
        </w:rPr>
      </w:pPr>
      <w:r w:rsidRPr="006D342D">
        <w:rPr>
          <w:i/>
          <w:lang w:val="en-US"/>
        </w:rPr>
        <w:t>InterTAN Canada Ltd., (Re) (2008)</w:t>
      </w:r>
      <w:r>
        <w:rPr>
          <w:lang w:val="en-US"/>
        </w:rPr>
        <w:t>, 49 CBR (5</w:t>
      </w:r>
      <w:r w:rsidRPr="00E31679">
        <w:rPr>
          <w:vertAlign w:val="superscript"/>
          <w:lang w:val="en-US"/>
        </w:rPr>
        <w:t>th</w:t>
      </w:r>
      <w:r>
        <w:rPr>
          <w:lang w:val="en-US"/>
        </w:rPr>
        <w:t>) 248 (Ont SCJ) [Commercial List].</w:t>
      </w:r>
    </w:p>
    <w:p w14:paraId="5C121F2A" w14:textId="3E428505" w:rsidR="002A6173" w:rsidRDefault="002A6173" w:rsidP="002A6173">
      <w:pPr>
        <w:pStyle w:val="MTBody"/>
        <w:spacing w:line="240" w:lineRule="auto"/>
        <w:rPr>
          <w:i/>
          <w:lang w:val="en-US"/>
        </w:rPr>
      </w:pPr>
      <w:r>
        <w:rPr>
          <w:i/>
          <w:lang w:val="en-US"/>
        </w:rPr>
        <w:t>Mountain Equipment Co-op (Re)</w:t>
      </w:r>
      <w:r>
        <w:rPr>
          <w:lang w:val="en-US"/>
        </w:rPr>
        <w:t>,</w:t>
      </w:r>
      <w:r>
        <w:rPr>
          <w:i/>
          <w:lang w:val="en-US"/>
        </w:rPr>
        <w:t xml:space="preserve"> </w:t>
      </w:r>
      <w:r w:rsidRPr="00322E5E">
        <w:rPr>
          <w:lang w:val="en-US"/>
        </w:rPr>
        <w:t>2020 BCSC 1586</w:t>
      </w:r>
      <w:r>
        <w:rPr>
          <w:lang w:val="en-US"/>
        </w:rPr>
        <w:t>.</w:t>
      </w:r>
    </w:p>
    <w:p w14:paraId="090EDE75" w14:textId="1BEFDD86" w:rsidR="002A6173" w:rsidRDefault="002A6173" w:rsidP="002A6173">
      <w:pPr>
        <w:pStyle w:val="MTBody"/>
        <w:spacing w:line="240" w:lineRule="auto"/>
        <w:rPr>
          <w:i/>
        </w:rPr>
      </w:pPr>
      <w:r w:rsidRPr="006D342D">
        <w:rPr>
          <w:i/>
          <w:lang w:val="en-US"/>
        </w:rPr>
        <w:t>Payless Holdings LLC (Re)</w:t>
      </w:r>
      <w:r>
        <w:rPr>
          <w:lang w:val="en-US"/>
        </w:rPr>
        <w:t>, 2017 ONSC 2321 (Ont SCJ) [Commercial List].</w:t>
      </w:r>
    </w:p>
    <w:p w14:paraId="6FE3033D" w14:textId="68757B4C" w:rsidR="002A6173" w:rsidRDefault="002A6173" w:rsidP="002A6173">
      <w:pPr>
        <w:pStyle w:val="MTBody"/>
        <w:spacing w:line="240" w:lineRule="auto"/>
        <w:rPr>
          <w:i/>
        </w:rPr>
      </w:pPr>
      <w:r w:rsidRPr="006D342D">
        <w:rPr>
          <w:i/>
          <w:lang w:val="en-US"/>
        </w:rPr>
        <w:t>Performance Sports Group Ltd., Re</w:t>
      </w:r>
      <w:r w:rsidRPr="00322E5E">
        <w:rPr>
          <w:lang w:val="en-US"/>
        </w:rPr>
        <w:t>, 2016 ONSC 6800 (Ont. S.C.J. [Commercial List]</w:t>
      </w:r>
      <w:r w:rsidR="00A26B3C">
        <w:rPr>
          <w:lang w:val="en-US"/>
        </w:rPr>
        <w:t>.</w:t>
      </w:r>
    </w:p>
    <w:p w14:paraId="3D151CC7" w14:textId="52E9D6D1" w:rsidR="00D701BA" w:rsidRDefault="002A6173" w:rsidP="002A6173">
      <w:pPr>
        <w:pStyle w:val="MTBody"/>
        <w:spacing w:line="240" w:lineRule="auto"/>
      </w:pPr>
      <w:r w:rsidRPr="006D342D">
        <w:rPr>
          <w:i/>
        </w:rPr>
        <w:t xml:space="preserve">Skydome Corp v Ontario </w:t>
      </w:r>
      <w:r w:rsidRPr="00CA1815">
        <w:t>(1998), 16 CBR (4th) 118 (Ont Ct Gen Div)</w:t>
      </w:r>
      <w:r>
        <w:t>.</w:t>
      </w:r>
    </w:p>
    <w:p w14:paraId="2BB61BA0" w14:textId="044E8526" w:rsidR="002A6173" w:rsidRDefault="002A6173" w:rsidP="002A6173">
      <w:pPr>
        <w:pStyle w:val="MTBody"/>
        <w:spacing w:line="240" w:lineRule="auto"/>
      </w:pPr>
      <w:r w:rsidRPr="006D342D">
        <w:rPr>
          <w:i/>
        </w:rPr>
        <w:t>W</w:t>
      </w:r>
      <w:r w:rsidRPr="006D342D">
        <w:rPr>
          <w:i/>
          <w:lang w:val="en-US"/>
        </w:rPr>
        <w:t>hite Birch Paper Holding Co. (Re)</w:t>
      </w:r>
      <w:r>
        <w:rPr>
          <w:lang w:val="en-US"/>
        </w:rPr>
        <w:t xml:space="preserve">, </w:t>
      </w:r>
      <w:r w:rsidRPr="006D342D">
        <w:rPr>
          <w:lang w:val="en-US"/>
        </w:rPr>
        <w:t>2010 QCCS 764</w:t>
      </w:r>
      <w:r>
        <w:rPr>
          <w:lang w:val="en-US"/>
        </w:rPr>
        <w:t>.</w:t>
      </w:r>
    </w:p>
    <w:p w14:paraId="2BE5DD5F" w14:textId="2C6A5516" w:rsidR="002A6173" w:rsidRDefault="002A6173" w:rsidP="002A6173">
      <w:pPr>
        <w:pStyle w:val="MTBody"/>
        <w:spacing w:line="240" w:lineRule="auto"/>
        <w:rPr>
          <w:u w:val="single"/>
        </w:rPr>
      </w:pPr>
      <w:r w:rsidRPr="006D342D">
        <w:rPr>
          <w:i/>
        </w:rPr>
        <w:t>Winnipeg Motor Express Inc et al</w:t>
      </w:r>
      <w:r>
        <w:t>, 2009 MBQB 204, leave to appeal refused 2009 MBCA 110.</w:t>
      </w:r>
    </w:p>
    <w:p w14:paraId="7FFC9A3F" w14:textId="77777777" w:rsidR="002A6173" w:rsidRDefault="002A6173" w:rsidP="002A6173">
      <w:pPr>
        <w:pStyle w:val="MTBody"/>
        <w:spacing w:line="240" w:lineRule="auto"/>
        <w:rPr>
          <w:u w:val="single"/>
        </w:rPr>
      </w:pPr>
    </w:p>
    <w:p w14:paraId="7C0F191B" w14:textId="1ABDD762" w:rsidR="00D701BA" w:rsidRDefault="00D701BA" w:rsidP="00D701BA">
      <w:pPr>
        <w:pStyle w:val="MTBody"/>
        <w:rPr>
          <w:u w:val="single"/>
        </w:rPr>
      </w:pPr>
      <w:r>
        <w:rPr>
          <w:u w:val="single"/>
        </w:rPr>
        <w:t>United Kingdom</w:t>
      </w:r>
    </w:p>
    <w:p w14:paraId="23CA66BB" w14:textId="266D6F1E" w:rsidR="002A6173" w:rsidRPr="002A6173" w:rsidRDefault="002A6173" w:rsidP="002A6173">
      <w:pPr>
        <w:pStyle w:val="MTBody"/>
        <w:spacing w:line="240" w:lineRule="auto"/>
        <w:rPr>
          <w:lang w:val="en-US"/>
        </w:rPr>
      </w:pPr>
      <w:r w:rsidRPr="007B7165">
        <w:rPr>
          <w:i/>
          <w:lang w:val="en-US"/>
        </w:rPr>
        <w:t>Companies Act 2006</w:t>
      </w:r>
      <w:r>
        <w:rPr>
          <w:i/>
          <w:lang w:val="en-US"/>
        </w:rPr>
        <w:t>, c. 46</w:t>
      </w:r>
      <w:r>
        <w:rPr>
          <w:lang w:val="en-US"/>
        </w:rPr>
        <w:t>.</w:t>
      </w:r>
    </w:p>
    <w:p w14:paraId="708602FD" w14:textId="32AFF803" w:rsidR="00D701BA" w:rsidRDefault="00D701BA" w:rsidP="002A6173">
      <w:pPr>
        <w:pStyle w:val="MTBody"/>
        <w:spacing w:line="240" w:lineRule="auto"/>
        <w:rPr>
          <w:lang w:val="en-US"/>
        </w:rPr>
      </w:pPr>
      <w:r w:rsidRPr="00F43032">
        <w:rPr>
          <w:i/>
          <w:lang w:val="en-US"/>
        </w:rPr>
        <w:t>Corporate Insolvency and Governance Act 2020,</w:t>
      </w:r>
      <w:r>
        <w:rPr>
          <w:lang w:val="en-US"/>
        </w:rPr>
        <w:t xml:space="preserve"> </w:t>
      </w:r>
      <w:r w:rsidRPr="00B55DAA">
        <w:rPr>
          <w:i/>
          <w:lang w:val="en-US"/>
        </w:rPr>
        <w:t>c. 12</w:t>
      </w:r>
      <w:r>
        <w:rPr>
          <w:lang w:val="en-US"/>
        </w:rPr>
        <w:t>.</w:t>
      </w:r>
    </w:p>
    <w:p w14:paraId="30975064" w14:textId="08CD7F93" w:rsidR="002A6173" w:rsidRPr="00D701BA" w:rsidRDefault="002A6173" w:rsidP="002A6173">
      <w:pPr>
        <w:pStyle w:val="MTBody"/>
        <w:spacing w:line="240" w:lineRule="auto"/>
        <w:rPr>
          <w:u w:val="single"/>
        </w:rPr>
      </w:pPr>
      <w:r w:rsidRPr="00F43032">
        <w:rPr>
          <w:i/>
          <w:lang w:val="en-US"/>
        </w:rPr>
        <w:t>Insolvency Act 1986</w:t>
      </w:r>
      <w:r>
        <w:rPr>
          <w:i/>
          <w:lang w:val="en-US"/>
        </w:rPr>
        <w:t>, c. 45</w:t>
      </w:r>
      <w:r w:rsidRPr="00A26B3C">
        <w:rPr>
          <w:lang w:val="en-US"/>
        </w:rPr>
        <w:t>.</w:t>
      </w:r>
    </w:p>
    <w:p w14:paraId="5123481C" w14:textId="77777777" w:rsidR="00D701BA" w:rsidRPr="00D701BA" w:rsidRDefault="00D701BA" w:rsidP="002A6173">
      <w:pPr>
        <w:pStyle w:val="MTBody"/>
        <w:spacing w:line="240" w:lineRule="auto"/>
        <w:rPr>
          <w:u w:val="single"/>
        </w:rPr>
      </w:pPr>
    </w:p>
    <w:p w14:paraId="40308F0D" w14:textId="1A9D19B4" w:rsidR="00D701BA" w:rsidRPr="00D701BA" w:rsidRDefault="00D701BA" w:rsidP="00D701BA">
      <w:pPr>
        <w:pStyle w:val="MTBody"/>
        <w:rPr>
          <w:u w:val="single"/>
        </w:rPr>
      </w:pPr>
      <w:r w:rsidRPr="00D701BA">
        <w:rPr>
          <w:u w:val="single"/>
        </w:rPr>
        <w:t>United States</w:t>
      </w:r>
    </w:p>
    <w:p w14:paraId="1272F86A" w14:textId="6099E994" w:rsidR="00D701BA" w:rsidRPr="00D701BA" w:rsidRDefault="00D701BA" w:rsidP="002A6173">
      <w:pPr>
        <w:pStyle w:val="MTBody"/>
        <w:spacing w:line="240" w:lineRule="auto"/>
        <w:ind w:left="720" w:hanging="720"/>
      </w:pPr>
      <w:r w:rsidRPr="00D701BA">
        <w:rPr>
          <w:i/>
        </w:rPr>
        <w:t>United States Code, Title 11, Chapter 11</w:t>
      </w:r>
      <w:r>
        <w:t>,</w:t>
      </w:r>
      <w:r w:rsidRPr="003577D4">
        <w:t xml:space="preserve"> §§ 101-1532, </w:t>
      </w:r>
      <w:r>
        <w:t xml:space="preserve"> &lt;&lt;</w:t>
      </w:r>
      <w:r w:rsidRPr="00D701BA">
        <w:t>https://www.govinfo.gov/app/details/USCODE-2015-title11</w:t>
      </w:r>
      <w:r>
        <w:t>&gt;&gt;, accessed 25 February 2024</w:t>
      </w:r>
      <w:r w:rsidRPr="003577D4">
        <w:t>.</w:t>
      </w:r>
    </w:p>
    <w:p w14:paraId="38393C48" w14:textId="0DC7E6F4" w:rsidR="001B27CE" w:rsidRDefault="001B27CE" w:rsidP="001B27CE">
      <w:pPr>
        <w:pStyle w:val="Ju"/>
        <w:rPr>
          <w:u w:val="single"/>
        </w:rPr>
      </w:pPr>
      <w:r>
        <w:rPr>
          <w:u w:val="single"/>
        </w:rPr>
        <w:t>Secondary materials</w:t>
      </w:r>
    </w:p>
    <w:p w14:paraId="47CCAABB" w14:textId="7E07F97C" w:rsidR="002A6173" w:rsidRDefault="002A6173" w:rsidP="00A26B3C">
      <w:pPr>
        <w:pStyle w:val="MTBody"/>
        <w:spacing w:line="240" w:lineRule="auto"/>
        <w:ind w:left="720" w:hanging="720"/>
      </w:pPr>
      <w:r>
        <w:t xml:space="preserve">Atkins, Scott &amp; Luck, Kai, “The Case for Further Reform to Strengthen Business Rescue in the UK and Australia”, </w:t>
      </w:r>
      <w:r>
        <w:rPr>
          <w:lang w:val="en-US"/>
        </w:rPr>
        <w:t>South Square Digest, December 2020, at &lt;&lt;</w:t>
      </w:r>
      <w:r w:rsidRPr="0096724B">
        <w:rPr>
          <w:lang w:val="en-US"/>
        </w:rPr>
        <w:t>https://southsquare.com/wp-content/uploads/2021/02/The-case-for-further-reform-to-strengthen-business-rescue-in-the-UK-and-Australia.pdf</w:t>
      </w:r>
      <w:r>
        <w:rPr>
          <w:lang w:val="en-US"/>
        </w:rPr>
        <w:t>&gt;&gt;, accessed January 28, 2024</w:t>
      </w:r>
      <w:r w:rsidR="00A26B3C">
        <w:rPr>
          <w:lang w:val="en-US"/>
        </w:rPr>
        <w:t>.</w:t>
      </w:r>
    </w:p>
    <w:p w14:paraId="1292168B" w14:textId="67E142CD" w:rsidR="002A6173" w:rsidRDefault="002A6173" w:rsidP="00A26B3C">
      <w:pPr>
        <w:pStyle w:val="MTBody"/>
        <w:spacing w:line="240" w:lineRule="auto"/>
        <w:ind w:left="720" w:hanging="720"/>
        <w:rPr>
          <w:lang w:val="en-US"/>
        </w:rPr>
      </w:pPr>
      <w:r>
        <w:t xml:space="preserve">Choen, Adrian &amp; Pegg, Antonia, </w:t>
      </w:r>
      <w:r>
        <w:rPr>
          <w:lang w:val="en-US"/>
        </w:rPr>
        <w:t>“</w:t>
      </w:r>
      <w:r w:rsidRPr="00F43032">
        <w:rPr>
          <w:lang w:val="en-US"/>
        </w:rPr>
        <w:t>“Debtor-In-Possession” Processes and Moratoria in English Restructuring and Insolvency Law: A Hesitant Journey</w:t>
      </w:r>
      <w:r>
        <w:rPr>
          <w:lang w:val="en-US"/>
        </w:rPr>
        <w:t>”, Journal of International Banking &amp; Financial Law, Vo. 38, Issue 11, December 2023.</w:t>
      </w:r>
    </w:p>
    <w:p w14:paraId="742A9EBB" w14:textId="6078BA5B" w:rsidR="002A6173" w:rsidRDefault="002A6173" w:rsidP="00A26B3C">
      <w:pPr>
        <w:pStyle w:val="MTBody"/>
        <w:spacing w:line="240" w:lineRule="auto"/>
        <w:ind w:left="720" w:hanging="720"/>
      </w:pPr>
      <w:r>
        <w:rPr>
          <w:lang w:val="en-US"/>
        </w:rPr>
        <w:lastRenderedPageBreak/>
        <w:t>Cooper, Richard et al., “</w:t>
      </w:r>
      <w:r w:rsidRPr="006F243A">
        <w:rPr>
          <w:lang w:val="en-US"/>
        </w:rPr>
        <w:t>Recent Developments in DIP Financing for International and</w:t>
      </w:r>
      <w:r>
        <w:rPr>
          <w:lang w:val="en-US"/>
        </w:rPr>
        <w:t xml:space="preserve"> </w:t>
      </w:r>
      <w:r w:rsidRPr="006F243A">
        <w:rPr>
          <w:lang w:val="en-US"/>
        </w:rPr>
        <w:t>Domestic Debtors</w:t>
      </w:r>
      <w:r>
        <w:rPr>
          <w:lang w:val="en-US"/>
        </w:rPr>
        <w:t>”, Global Restructuring Review, 27, November, 2023, at &lt;&lt;</w:t>
      </w:r>
      <w:r w:rsidRPr="006F243A">
        <w:rPr>
          <w:lang w:val="en-US"/>
        </w:rPr>
        <w:t>https://globalrestructuringreview.com/review/restructuring-review-of-the-americas/2024/article/recent-developments-in-dip-financing-international-and-domestic-debtors</w:t>
      </w:r>
      <w:r>
        <w:rPr>
          <w:lang w:val="en-US"/>
        </w:rPr>
        <w:t>&gt;&gt;, accessed on 18 February 2024.</w:t>
      </w:r>
    </w:p>
    <w:p w14:paraId="51D345C0" w14:textId="4B721F61" w:rsidR="00D701BA" w:rsidRDefault="00D701BA" w:rsidP="00A26B3C">
      <w:pPr>
        <w:pStyle w:val="MTBody"/>
        <w:spacing w:line="240" w:lineRule="auto"/>
        <w:ind w:left="720" w:hanging="720"/>
      </w:pPr>
      <w:r>
        <w:t xml:space="preserve">Hasan, </w:t>
      </w:r>
      <w:r>
        <w:rPr>
          <w:lang w:val="en-US"/>
        </w:rPr>
        <w:t xml:space="preserve">Iftekhar et al., “Lock-In Effects in Relationship Lending: Evidence from DIP Loans”, </w:t>
      </w:r>
      <w:r>
        <w:rPr>
          <w:i/>
          <w:lang w:val="en-US"/>
        </w:rPr>
        <w:t>Journal of Money, Credit and Banking</w:t>
      </w:r>
      <w:r>
        <w:rPr>
          <w:lang w:val="en-US"/>
        </w:rPr>
        <w:t xml:space="preserve"> Vol. 51, No. 4 (June 2019).</w:t>
      </w:r>
    </w:p>
    <w:p w14:paraId="7C9DAC12" w14:textId="47DF3110" w:rsidR="002A6173" w:rsidRDefault="002A6173" w:rsidP="00A26B3C">
      <w:pPr>
        <w:pStyle w:val="MTBody"/>
        <w:spacing w:line="240" w:lineRule="auto"/>
        <w:ind w:left="720" w:hanging="720"/>
      </w:pPr>
      <w:r w:rsidRPr="00013F2E">
        <w:rPr>
          <w:lang w:val="en-US"/>
        </w:rPr>
        <w:t>Harner, Michelle M., "Final Report of the ABI Commission to Study the Reform of Chapter 11" (2014). Book Gallery. Book 97</w:t>
      </w:r>
      <w:r>
        <w:rPr>
          <w:lang w:val="en-US"/>
        </w:rPr>
        <w:t>.</w:t>
      </w:r>
    </w:p>
    <w:p w14:paraId="48F3E081" w14:textId="0E90415C" w:rsidR="00D701BA" w:rsidRDefault="00D701BA" w:rsidP="00A26B3C">
      <w:pPr>
        <w:pStyle w:val="MTBody"/>
        <w:spacing w:line="240" w:lineRule="auto"/>
        <w:ind w:left="720" w:hanging="720"/>
        <w:rPr>
          <w:lang w:val="en-US"/>
        </w:rPr>
      </w:pPr>
      <w:r>
        <w:t>INSOL International, “</w:t>
      </w:r>
      <w:r w:rsidRPr="003577D4">
        <w:rPr>
          <w:lang w:val="en-US"/>
        </w:rPr>
        <w:t>Statement of Principles for a Global Approach to Multi-Creditor Workouts II</w:t>
      </w:r>
      <w:r>
        <w:rPr>
          <w:lang w:val="en-US"/>
        </w:rPr>
        <w:t>”, at &lt;&lt;</w:t>
      </w:r>
      <w:r w:rsidRPr="00B55DAA">
        <w:rPr>
          <w:lang w:val="en-US"/>
        </w:rPr>
        <w:t>https://insol.azureedge.net/cmsstorage/insol/media/document-library/books/statement-of-principles-for-a-global-approach-to-multi-creditor-workouts-ii.pdf</w:t>
      </w:r>
      <w:r>
        <w:rPr>
          <w:lang w:val="en-US"/>
        </w:rPr>
        <w:t>&gt;&gt;, accessed on 15 February 2024</w:t>
      </w:r>
      <w:r w:rsidR="00A26B3C">
        <w:rPr>
          <w:lang w:val="en-US"/>
        </w:rPr>
        <w:t>.</w:t>
      </w:r>
    </w:p>
    <w:p w14:paraId="40166696" w14:textId="7B01C930" w:rsidR="00D701BA" w:rsidRDefault="00D701BA" w:rsidP="00A26B3C">
      <w:pPr>
        <w:pStyle w:val="MTBody"/>
        <w:spacing w:line="240" w:lineRule="auto"/>
        <w:ind w:left="720" w:hanging="720"/>
        <w:rPr>
          <w:lang w:val="en-US"/>
        </w:rPr>
      </w:pPr>
      <w:r>
        <w:rPr>
          <w:lang w:val="en-US"/>
        </w:rPr>
        <w:t>Practical Law Bankruptcy &amp; Restructuring and Practical Law Finance, “</w:t>
      </w:r>
      <w:r w:rsidRPr="006C2038">
        <w:rPr>
          <w:lang w:val="en-US"/>
        </w:rPr>
        <w:t>Roll-Up DIP Financing</w:t>
      </w:r>
      <w:r>
        <w:rPr>
          <w:lang w:val="en-US"/>
        </w:rPr>
        <w:t>” (Practice Note 1-386-8691, Practical Law)</w:t>
      </w:r>
      <w:r w:rsidR="00A26B3C">
        <w:rPr>
          <w:lang w:val="en-US"/>
        </w:rPr>
        <w:t>.</w:t>
      </w:r>
    </w:p>
    <w:p w14:paraId="6523A5A0" w14:textId="6CCE1CC7" w:rsidR="002A6173" w:rsidRDefault="002A6173" w:rsidP="00A26B3C">
      <w:pPr>
        <w:pStyle w:val="MTBody"/>
        <w:spacing w:line="240" w:lineRule="auto"/>
        <w:ind w:left="720" w:hanging="720"/>
        <w:rPr>
          <w:lang w:val="en-US"/>
        </w:rPr>
      </w:pPr>
      <w:r w:rsidRPr="00B74700">
        <w:rPr>
          <w:lang w:val="en-US"/>
        </w:rPr>
        <w:t>Roe</w:t>
      </w:r>
      <w:r>
        <w:rPr>
          <w:lang w:val="en-US"/>
        </w:rPr>
        <w:t>, Mark</w:t>
      </w:r>
      <w:r w:rsidRPr="00B74700">
        <w:rPr>
          <w:lang w:val="en-US"/>
        </w:rPr>
        <w:t xml:space="preserve"> &amp; Tung</w:t>
      </w:r>
      <w:r>
        <w:rPr>
          <w:lang w:val="en-US"/>
        </w:rPr>
        <w:t>, Fredrick</w:t>
      </w:r>
      <w:r w:rsidRPr="00B74700">
        <w:rPr>
          <w:lang w:val="en-US"/>
        </w:rPr>
        <w:t xml:space="preserve">, </w:t>
      </w:r>
      <w:r>
        <w:rPr>
          <w:lang w:val="en-US"/>
        </w:rPr>
        <w:t>“</w:t>
      </w:r>
      <w:r w:rsidRPr="00013F2E">
        <w:rPr>
          <w:lang w:val="en-US"/>
        </w:rPr>
        <w:t>Breaking Bankruptcy Priority: How Rent-Seeking Upends the Creditors' Bargain</w:t>
      </w:r>
      <w:r>
        <w:rPr>
          <w:lang w:val="en-US"/>
        </w:rPr>
        <w:t>”</w:t>
      </w:r>
      <w:r w:rsidRPr="00B74700">
        <w:rPr>
          <w:lang w:val="en-US"/>
        </w:rPr>
        <w:t xml:space="preserve">, </w:t>
      </w:r>
      <w:r w:rsidRPr="00013F2E">
        <w:rPr>
          <w:lang w:val="en-US"/>
        </w:rPr>
        <w:t>Virginia Law Review</w:t>
      </w:r>
      <w:r w:rsidR="002A7822">
        <w:rPr>
          <w:lang w:val="en-US"/>
        </w:rPr>
        <w:t xml:space="preserve"> Vol. 99 (2013)</w:t>
      </w:r>
      <w:r w:rsidR="00A26B3C">
        <w:rPr>
          <w:lang w:val="en-US"/>
        </w:rPr>
        <w:t>.</w:t>
      </w:r>
    </w:p>
    <w:p w14:paraId="3E304732" w14:textId="40471324" w:rsidR="002A6173" w:rsidRDefault="002A6173" w:rsidP="00A26B3C">
      <w:pPr>
        <w:pStyle w:val="MTBody"/>
        <w:spacing w:line="240" w:lineRule="auto"/>
        <w:ind w:left="720" w:hanging="720"/>
        <w:rPr>
          <w:lang w:val="en-US"/>
        </w:rPr>
      </w:pPr>
      <w:r>
        <w:t xml:space="preserve">The </w:t>
      </w:r>
      <w:r>
        <w:rPr>
          <w:lang w:val="en-US"/>
        </w:rPr>
        <w:t>Insolvency Service, “Summary of Responses: A review of the Corporate Insolvency Framework, September 2016”, at &lt;&lt;</w:t>
      </w:r>
      <w:r w:rsidRPr="0096724B">
        <w:rPr>
          <w:lang w:val="en-US"/>
        </w:rPr>
        <w:t>https://assets.publishing.service.gov.uk/media/5a80d29940f0b62305b8d57f/Summary_of_responses_26-10-16_Redacted.pdf</w:t>
      </w:r>
      <w:r>
        <w:rPr>
          <w:lang w:val="en-US"/>
        </w:rPr>
        <w:t>&gt;&gt;, accessed on February 22, 2024</w:t>
      </w:r>
      <w:r w:rsidR="00A26B3C">
        <w:rPr>
          <w:lang w:val="en-US"/>
        </w:rPr>
        <w:t>.</w:t>
      </w:r>
    </w:p>
    <w:p w14:paraId="5369B478" w14:textId="3A440F1E" w:rsidR="00D701BA" w:rsidRDefault="00D701BA" w:rsidP="00A26B3C">
      <w:pPr>
        <w:pStyle w:val="MTBody"/>
        <w:spacing w:line="240" w:lineRule="auto"/>
        <w:ind w:left="720" w:hanging="720"/>
        <w:rPr>
          <w:lang w:val="en-US"/>
        </w:rPr>
      </w:pPr>
      <w:r>
        <w:rPr>
          <w:lang w:val="en-US"/>
        </w:rPr>
        <w:t>Tung, Fredrick, “</w:t>
      </w:r>
      <w:r w:rsidRPr="00B55DAA">
        <w:rPr>
          <w:lang w:val="en-US"/>
        </w:rPr>
        <w:t>Financing failure: bankruptcy lending, credit market</w:t>
      </w:r>
      <w:r w:rsidRPr="00B55DAA">
        <w:t xml:space="preserve"> </w:t>
      </w:r>
      <w:r w:rsidRPr="00B55DAA">
        <w:rPr>
          <w:lang w:val="en-US"/>
        </w:rPr>
        <w:t>conditions, and the financial crisis</w:t>
      </w:r>
      <w:r>
        <w:rPr>
          <w:lang w:val="en-US"/>
        </w:rPr>
        <w:t xml:space="preserve">” </w:t>
      </w:r>
      <w:r w:rsidRPr="00B55DAA">
        <w:rPr>
          <w:lang w:val="en-US"/>
        </w:rPr>
        <w:t>Yale Journal on Regulation</w:t>
      </w:r>
      <w:r w:rsidR="002A7822">
        <w:rPr>
          <w:lang w:val="en-US"/>
        </w:rPr>
        <w:t>, Vol</w:t>
      </w:r>
      <w:r>
        <w:rPr>
          <w:lang w:val="en-US"/>
        </w:rPr>
        <w:t xml:space="preserve">. 37, </w:t>
      </w:r>
      <w:r w:rsidR="002A7822">
        <w:rPr>
          <w:lang w:val="en-US"/>
        </w:rPr>
        <w:t>No. 2 (</w:t>
      </w:r>
      <w:r>
        <w:rPr>
          <w:lang w:val="en-US"/>
        </w:rPr>
        <w:t>Spring 2020</w:t>
      </w:r>
      <w:r w:rsidR="002A7822">
        <w:rPr>
          <w:lang w:val="en-US"/>
        </w:rPr>
        <w:t>)</w:t>
      </w:r>
      <w:r w:rsidR="00A26B3C">
        <w:rPr>
          <w:lang w:val="en-US"/>
        </w:rPr>
        <w:t>.</w:t>
      </w:r>
    </w:p>
    <w:bookmarkEnd w:id="0"/>
    <w:p w14:paraId="4F0DED1E" w14:textId="3666F334" w:rsidR="00D701BA" w:rsidRDefault="00D701BA" w:rsidP="00D701BA">
      <w:pPr>
        <w:pStyle w:val="MTBody"/>
      </w:pPr>
    </w:p>
    <w:sectPr w:rsidR="00D701BA" w:rsidSect="0012350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22BE" w14:textId="77777777" w:rsidR="00AB32AE" w:rsidRDefault="00AB32AE" w:rsidP="0011515A">
      <w:r>
        <w:separator/>
      </w:r>
    </w:p>
  </w:endnote>
  <w:endnote w:type="continuationSeparator" w:id="0">
    <w:p w14:paraId="3FCE034D" w14:textId="77777777" w:rsidR="00AB32AE" w:rsidRDefault="00AB32AE" w:rsidP="001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770D" w14:textId="77777777" w:rsidR="00972935" w:rsidRDefault="00972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2848"/>
      <w:docPartObj>
        <w:docPartGallery w:val="Page Numbers (Bottom of Page)"/>
        <w:docPartUnique/>
      </w:docPartObj>
    </w:sdtPr>
    <w:sdtEndPr>
      <w:rPr>
        <w:noProof/>
      </w:rPr>
    </w:sdtEndPr>
    <w:sdtContent>
      <w:p w14:paraId="4084016A" w14:textId="230702D5" w:rsidR="00123500" w:rsidRPr="00123500" w:rsidRDefault="00123500">
        <w:pPr>
          <w:pStyle w:val="Footer"/>
          <w:jc w:val="center"/>
        </w:pPr>
        <w:r w:rsidRPr="00123500">
          <w:fldChar w:fldCharType="begin"/>
        </w:r>
        <w:r w:rsidRPr="00123500">
          <w:instrText xml:space="preserve"> PAGE   \* MERGEFORMAT </w:instrText>
        </w:r>
        <w:r w:rsidRPr="00123500">
          <w:fldChar w:fldCharType="separate"/>
        </w:r>
        <w:r w:rsidR="00972935">
          <w:rPr>
            <w:noProof/>
          </w:rPr>
          <w:t>13</w:t>
        </w:r>
        <w:r w:rsidRPr="00123500">
          <w:rPr>
            <w:noProof/>
          </w:rPr>
          <w:fldChar w:fldCharType="end"/>
        </w:r>
      </w:p>
    </w:sdtContent>
  </w:sdt>
  <w:p w14:paraId="09C3E47E" w14:textId="0B907924" w:rsidR="00123500" w:rsidRDefault="00123500" w:rsidP="0011515A">
    <w:pPr>
      <w:pStyle w:val="Footer"/>
      <w:rPr>
        <w:rStyle w:val="DocI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4527" w14:textId="77777777" w:rsidR="00972935" w:rsidRDefault="0097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67A3" w14:textId="77777777" w:rsidR="00AB32AE" w:rsidRDefault="00AB32AE" w:rsidP="0011515A">
      <w:r>
        <w:separator/>
      </w:r>
    </w:p>
  </w:footnote>
  <w:footnote w:type="continuationSeparator" w:id="0">
    <w:p w14:paraId="009A1988" w14:textId="77777777" w:rsidR="00AB32AE" w:rsidRDefault="00AB32AE" w:rsidP="0011515A">
      <w:r>
        <w:continuationSeparator/>
      </w:r>
    </w:p>
  </w:footnote>
  <w:footnote w:id="1">
    <w:p w14:paraId="23D11398" w14:textId="01A914EB" w:rsidR="00123500" w:rsidRPr="00A26B3C" w:rsidRDefault="00123500">
      <w:pPr>
        <w:pStyle w:val="FootnoteText"/>
        <w:rPr>
          <w:lang w:val="en-US"/>
        </w:rPr>
      </w:pPr>
      <w:r w:rsidRPr="00A26B3C">
        <w:rPr>
          <w:rStyle w:val="FootnoteReference"/>
        </w:rPr>
        <w:footnoteRef/>
      </w:r>
      <w:r w:rsidRPr="00A26B3C">
        <w:t xml:space="preserve"> </w:t>
      </w:r>
      <w:r w:rsidRPr="00A26B3C">
        <w:rPr>
          <w:i/>
        </w:rPr>
        <w:t>United States Code, Title 11, Chapter 11</w:t>
      </w:r>
      <w:r w:rsidRPr="00A26B3C">
        <w:t>, §§ 101-1532, &lt;https://www.govinfo.gov/app/details/USCODE-2015-title11&gt;&gt;, accessed 25 February 2024.</w:t>
      </w:r>
    </w:p>
  </w:footnote>
  <w:footnote w:id="2">
    <w:p w14:paraId="7F8DEFE7" w14:textId="50B54423" w:rsidR="00123500" w:rsidRPr="00A26B3C" w:rsidRDefault="00123500">
      <w:pPr>
        <w:pStyle w:val="FootnoteText"/>
        <w:rPr>
          <w:lang w:val="en-US"/>
        </w:rPr>
      </w:pPr>
      <w:r w:rsidRPr="00A26B3C">
        <w:rPr>
          <w:rStyle w:val="FootnoteReference"/>
        </w:rPr>
        <w:footnoteRef/>
      </w:r>
      <w:r w:rsidRPr="00A26B3C">
        <w:t xml:space="preserve"> INSOL International, “</w:t>
      </w:r>
      <w:r w:rsidRPr="00A26B3C">
        <w:rPr>
          <w:lang w:val="en-US"/>
        </w:rPr>
        <w:t>Statement of Principles for a Global Approach to Multi-Creditor Workouts II”, at &lt;&lt;https://insol.azureedge.net/cmsstorage/insol/media/document-library/books/statement-of-principles-for-a-global-approach-to-multi-creditor-workouts-ii.pdf&gt;&gt;, accessed on 15 February 2024,</w:t>
      </w:r>
      <w:r w:rsidRPr="00A26B3C">
        <w:rPr>
          <w:i/>
          <w:lang w:val="en-US"/>
        </w:rPr>
        <w:t xml:space="preserve"> </w:t>
      </w:r>
      <w:r w:rsidRPr="00A26B3C">
        <w:rPr>
          <w:lang w:val="en-US"/>
        </w:rPr>
        <w:t>at 3.</w:t>
      </w:r>
    </w:p>
  </w:footnote>
  <w:footnote w:id="3">
    <w:p w14:paraId="03D0C7C2" w14:textId="3FF3AA15"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Companies’ Creditors Arrangement Act</w:t>
      </w:r>
      <w:r w:rsidRPr="00A26B3C">
        <w:rPr>
          <w:lang w:val="en-US"/>
        </w:rPr>
        <w:t xml:space="preserve">, RSC 1985, c. C-36, Canada. While debtor-in-possession financing is available under the proposal provisions of the </w:t>
      </w:r>
      <w:r w:rsidRPr="00A26B3C">
        <w:rPr>
          <w:i/>
          <w:lang w:val="en-US"/>
        </w:rPr>
        <w:t>Bankruptcy and Insolvency Act</w:t>
      </w:r>
      <w:r w:rsidRPr="00A26B3C">
        <w:rPr>
          <w:lang w:val="en-US"/>
        </w:rPr>
        <w:t xml:space="preserve">, RSC 1985, c. B-3, Canada in a manner similar to the </w:t>
      </w:r>
      <w:r w:rsidRPr="00A26B3C">
        <w:rPr>
          <w:i/>
          <w:lang w:val="en-US"/>
        </w:rPr>
        <w:t>CCAA</w:t>
      </w:r>
      <w:r w:rsidRPr="00A26B3C">
        <w:rPr>
          <w:lang w:val="en-US"/>
        </w:rPr>
        <w:t xml:space="preserve">, the </w:t>
      </w:r>
      <w:r w:rsidRPr="00A26B3C">
        <w:rPr>
          <w:i/>
          <w:lang w:val="en-US"/>
        </w:rPr>
        <w:t>CCAA</w:t>
      </w:r>
      <w:r w:rsidRPr="00A26B3C">
        <w:rPr>
          <w:lang w:val="en-US"/>
        </w:rPr>
        <w:t xml:space="preserve"> is the regime used for most large restructurings, and accordingly the analysis is limited to that act.</w:t>
      </w:r>
    </w:p>
  </w:footnote>
  <w:footnote w:id="4">
    <w:p w14:paraId="629F85C0" w14:textId="7359CC47"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Corporate Insolvency and Governance Act 2020,</w:t>
      </w:r>
      <w:r w:rsidRPr="00A26B3C">
        <w:rPr>
          <w:lang w:val="en-US"/>
        </w:rPr>
        <w:t xml:space="preserve"> </w:t>
      </w:r>
      <w:r w:rsidRPr="00A26B3C">
        <w:rPr>
          <w:i/>
          <w:lang w:val="en-US"/>
        </w:rPr>
        <w:t>c. 12</w:t>
      </w:r>
      <w:r w:rsidRPr="00A26B3C">
        <w:rPr>
          <w:lang w:val="en-US"/>
        </w:rPr>
        <w:t>, United Kingdom.</w:t>
      </w:r>
    </w:p>
  </w:footnote>
  <w:footnote w:id="5">
    <w:p w14:paraId="5EB87F59" w14:textId="307A53EC" w:rsidR="008E4A81" w:rsidRPr="008E4A81" w:rsidRDefault="008E4A81">
      <w:pPr>
        <w:pStyle w:val="FootnoteText"/>
      </w:pPr>
      <w:r>
        <w:rPr>
          <w:rStyle w:val="FootnoteReference"/>
        </w:rPr>
        <w:footnoteRef/>
      </w:r>
      <w:r>
        <w:t xml:space="preserve"> </w:t>
      </w:r>
      <w:r w:rsidRPr="008E4A81">
        <w:rPr>
          <w:i/>
        </w:rPr>
        <w:t xml:space="preserve">Supra </w:t>
      </w:r>
      <w:r w:rsidRPr="008E4A81">
        <w:t xml:space="preserve">note </w:t>
      </w:r>
      <w:r w:rsidRPr="008E4A81">
        <w:fldChar w:fldCharType="begin"/>
      </w:r>
      <w:r w:rsidRPr="008E4A81">
        <w:instrText xml:space="preserve"> NOTEREF _Ref159763028 \h </w:instrText>
      </w:r>
      <w:r>
        <w:instrText xml:space="preserve"> \* MERGEFORMAT </w:instrText>
      </w:r>
      <w:r w:rsidRPr="008E4A81">
        <w:fldChar w:fldCharType="separate"/>
      </w:r>
      <w:r w:rsidRPr="008E4A81">
        <w:t>1</w:t>
      </w:r>
      <w:r w:rsidRPr="008E4A81">
        <w:fldChar w:fldCharType="end"/>
      </w:r>
      <w:r w:rsidRPr="008E4A81">
        <w:t xml:space="preserve"> at §364(b).</w:t>
      </w:r>
    </w:p>
  </w:footnote>
  <w:footnote w:id="6">
    <w:p w14:paraId="72CEF58B" w14:textId="0E5CE9AF" w:rsidR="00123500" w:rsidRPr="00A26B3C" w:rsidRDefault="00123500">
      <w:pPr>
        <w:pStyle w:val="FootnoteText"/>
        <w:rPr>
          <w:lang w:val="en-US"/>
        </w:rPr>
      </w:pPr>
      <w:r w:rsidRPr="008E4A81">
        <w:rPr>
          <w:rStyle w:val="FootnoteReference"/>
        </w:rPr>
        <w:footnoteRef/>
      </w:r>
      <w:r w:rsidRPr="008E4A81">
        <w:t xml:space="preserve"> </w:t>
      </w:r>
      <w:r w:rsidRPr="008E4A81">
        <w:rPr>
          <w:i/>
          <w:lang w:val="en-US"/>
        </w:rPr>
        <w:t>Supra</w:t>
      </w:r>
      <w:r w:rsidRPr="008E4A81">
        <w:rPr>
          <w:lang w:val="en-US"/>
        </w:rPr>
        <w:t xml:space="preserve"> note </w:t>
      </w:r>
      <w:r w:rsidRPr="008E4A81">
        <w:rPr>
          <w:lang w:val="en-US"/>
        </w:rPr>
        <w:fldChar w:fldCharType="begin"/>
      </w:r>
      <w:r w:rsidRPr="008E4A81">
        <w:rPr>
          <w:lang w:val="en-US"/>
        </w:rPr>
        <w:instrText xml:space="preserve"> NOTEREF _Ref159763028 \h  \* MERGEFORMAT </w:instrText>
      </w:r>
      <w:r w:rsidRPr="008E4A81">
        <w:rPr>
          <w:lang w:val="en-US"/>
        </w:rPr>
      </w:r>
      <w:r w:rsidRPr="008E4A81">
        <w:rPr>
          <w:lang w:val="en-US"/>
        </w:rPr>
        <w:fldChar w:fldCharType="separate"/>
      </w:r>
      <w:r w:rsidRPr="008E4A81">
        <w:rPr>
          <w:lang w:val="en-US"/>
        </w:rPr>
        <w:t>1</w:t>
      </w:r>
      <w:r w:rsidRPr="008E4A81">
        <w:rPr>
          <w:lang w:val="en-US"/>
        </w:rPr>
        <w:fldChar w:fldCharType="end"/>
      </w:r>
      <w:r w:rsidRPr="008E4A81">
        <w:rPr>
          <w:lang w:val="en-US"/>
        </w:rPr>
        <w:t xml:space="preserve"> at §§364(c) and</w:t>
      </w:r>
      <w:r w:rsidRPr="00A26B3C">
        <w:rPr>
          <w:lang w:val="en-US"/>
        </w:rPr>
        <w:t xml:space="preserve"> (d)</w:t>
      </w:r>
    </w:p>
  </w:footnote>
  <w:footnote w:id="7">
    <w:p w14:paraId="4512834A" w14:textId="16E87B30" w:rsidR="00123500" w:rsidRPr="00A26B3C" w:rsidRDefault="00123500">
      <w:pPr>
        <w:pStyle w:val="FootnoteText"/>
        <w:rPr>
          <w:lang w:val="en-US"/>
        </w:rPr>
      </w:pPr>
      <w:r w:rsidRPr="00A26B3C">
        <w:rPr>
          <w:rStyle w:val="FootnoteReference"/>
        </w:rPr>
        <w:footnoteRef/>
      </w:r>
      <w:r w:rsidRPr="00A26B3C">
        <w:t xml:space="preserve"> </w:t>
      </w:r>
      <w:r w:rsidRPr="00A26B3C">
        <w:rPr>
          <w:lang w:val="en-US"/>
        </w:rPr>
        <w:t>Tung, Fredrick, “Financing failure: bankruptcy lending, credit market</w:t>
      </w:r>
      <w:r w:rsidRPr="00A26B3C">
        <w:t xml:space="preserve"> </w:t>
      </w:r>
      <w:r w:rsidRPr="00A26B3C">
        <w:rPr>
          <w:lang w:val="en-US"/>
        </w:rPr>
        <w:t>conditions, and the financial crisis” Yale Journal on Regulation</w:t>
      </w:r>
      <w:r>
        <w:rPr>
          <w:lang w:val="en-US"/>
        </w:rPr>
        <w:t>, Vol. 37, N</w:t>
      </w:r>
      <w:r w:rsidRPr="00A26B3C">
        <w:rPr>
          <w:lang w:val="en-US"/>
        </w:rPr>
        <w:t>o. 2</w:t>
      </w:r>
      <w:r>
        <w:rPr>
          <w:lang w:val="en-US"/>
        </w:rPr>
        <w:t xml:space="preserve"> (</w:t>
      </w:r>
      <w:r w:rsidRPr="00A26B3C">
        <w:rPr>
          <w:lang w:val="en-US"/>
        </w:rPr>
        <w:t>Spring 2020</w:t>
      </w:r>
      <w:r>
        <w:rPr>
          <w:lang w:val="en-US"/>
        </w:rPr>
        <w:t>)</w:t>
      </w:r>
      <w:r w:rsidRPr="00A26B3C">
        <w:rPr>
          <w:lang w:val="en-US"/>
        </w:rPr>
        <w:t>, at 657, 658 and footnote 25.</w:t>
      </w:r>
    </w:p>
  </w:footnote>
  <w:footnote w:id="8">
    <w:p w14:paraId="0D960854" w14:textId="7849EC82"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_Ref159763028 \h </w:instrText>
      </w:r>
      <w:r>
        <w:rPr>
          <w:lang w:val="en-US"/>
        </w:rPr>
        <w:instrText xml:space="preserve"> \* MERGEFORMAT </w:instrText>
      </w:r>
      <w:r w:rsidRPr="00A26B3C">
        <w:rPr>
          <w:lang w:val="en-US"/>
        </w:rPr>
      </w:r>
      <w:r w:rsidRPr="00A26B3C">
        <w:rPr>
          <w:lang w:val="en-US"/>
        </w:rPr>
        <w:fldChar w:fldCharType="separate"/>
      </w:r>
      <w:r>
        <w:rPr>
          <w:lang w:val="en-US"/>
        </w:rPr>
        <w:t>1</w:t>
      </w:r>
      <w:r w:rsidRPr="00A26B3C">
        <w:rPr>
          <w:lang w:val="en-US"/>
        </w:rPr>
        <w:fldChar w:fldCharType="end"/>
      </w:r>
      <w:r w:rsidRPr="00A26B3C">
        <w:rPr>
          <w:lang w:val="en-US"/>
        </w:rPr>
        <w:t xml:space="preserve"> at §§364(d).</w:t>
      </w:r>
    </w:p>
  </w:footnote>
  <w:footnote w:id="9">
    <w:p w14:paraId="13B0BB58" w14:textId="608C530D"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_Ref159763313 \h </w:instrText>
      </w:r>
      <w:r>
        <w:rPr>
          <w:lang w:val="en-US"/>
        </w:rPr>
        <w:instrText xml:space="preserve"> \* MERGEFORMAT </w:instrText>
      </w:r>
      <w:r w:rsidRPr="00A26B3C">
        <w:rPr>
          <w:lang w:val="en-US"/>
        </w:rPr>
      </w:r>
      <w:r w:rsidRPr="00A26B3C">
        <w:rPr>
          <w:lang w:val="en-US"/>
        </w:rPr>
        <w:fldChar w:fldCharType="separate"/>
      </w:r>
      <w:r>
        <w:rPr>
          <w:lang w:val="en-US"/>
        </w:rPr>
        <w:t>6</w:t>
      </w:r>
      <w:r w:rsidRPr="00A26B3C">
        <w:rPr>
          <w:lang w:val="en-US"/>
        </w:rPr>
        <w:fldChar w:fldCharType="end"/>
      </w:r>
      <w:r w:rsidRPr="00A26B3C">
        <w:rPr>
          <w:lang w:val="en-US"/>
        </w:rPr>
        <w:t xml:space="preserve"> at 657.</w:t>
      </w:r>
    </w:p>
  </w:footnote>
  <w:footnote w:id="10">
    <w:p w14:paraId="31266C47" w14:textId="160A9390" w:rsidR="00123500" w:rsidRPr="00A26B3C" w:rsidRDefault="00123500" w:rsidP="00A84C4D">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658 and footnote 25.</w:t>
      </w:r>
    </w:p>
  </w:footnote>
  <w:footnote w:id="11">
    <w:p w14:paraId="16789986" w14:textId="304F9DAA"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659.</w:t>
      </w:r>
    </w:p>
  </w:footnote>
  <w:footnote w:id="12">
    <w:p w14:paraId="7FEFA3B8" w14:textId="7AF0E34E"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657.</w:t>
      </w:r>
    </w:p>
  </w:footnote>
  <w:footnote w:id="13">
    <w:p w14:paraId="2A46C70B" w14:textId="7B9EE465"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w:t>
      </w:r>
    </w:p>
  </w:footnote>
  <w:footnote w:id="14">
    <w:p w14:paraId="6EAC1FC7" w14:textId="3B1CC733"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658.</w:t>
      </w:r>
    </w:p>
  </w:footnote>
  <w:footnote w:id="15">
    <w:p w14:paraId="750677CD" w14:textId="601A97E8" w:rsidR="00123500" w:rsidRPr="00A26B3C" w:rsidRDefault="00123500">
      <w:pPr>
        <w:pStyle w:val="FootnoteText"/>
        <w:rPr>
          <w:lang w:val="en-US"/>
        </w:rPr>
      </w:pPr>
      <w:r w:rsidRPr="00A26B3C">
        <w:rPr>
          <w:rStyle w:val="FootnoteReference"/>
        </w:rPr>
        <w:footnoteRef/>
      </w:r>
      <w:r w:rsidRPr="00A26B3C">
        <w:t xml:space="preserve"> Hasan, </w:t>
      </w:r>
      <w:r w:rsidRPr="00A26B3C">
        <w:rPr>
          <w:lang w:val="en-US"/>
        </w:rPr>
        <w:t xml:space="preserve">Iftekhar et al., “Lock-In Effects in Relationship Lending: Evidence from DIP Loans”, </w:t>
      </w:r>
      <w:r w:rsidRPr="00A26B3C">
        <w:rPr>
          <w:i/>
          <w:lang w:val="en-US"/>
        </w:rPr>
        <w:t>Journal of Money, Credit and Banking</w:t>
      </w:r>
      <w:r w:rsidRPr="00A26B3C">
        <w:rPr>
          <w:lang w:val="en-US"/>
        </w:rPr>
        <w:t xml:space="preserve"> Vol. 51, No. 4 (June 2019) at 1024.</w:t>
      </w:r>
    </w:p>
  </w:footnote>
  <w:footnote w:id="16">
    <w:p w14:paraId="2CE4447F" w14:textId="5BA74FEE"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1025.</w:t>
      </w:r>
    </w:p>
  </w:footnote>
  <w:footnote w:id="17">
    <w:p w14:paraId="51187B42" w14:textId="1BBED9F3" w:rsidR="00123500" w:rsidRPr="00A26B3C" w:rsidRDefault="00123500">
      <w:pPr>
        <w:pStyle w:val="FootnoteText"/>
        <w:rPr>
          <w:lang w:val="en-US"/>
        </w:rPr>
      </w:pPr>
      <w:r w:rsidRPr="00A26B3C">
        <w:rPr>
          <w:rStyle w:val="FootnoteReference"/>
        </w:rPr>
        <w:footnoteRef/>
      </w:r>
      <w:r w:rsidRPr="00A26B3C">
        <w:t xml:space="preserve"> </w:t>
      </w:r>
      <w:r w:rsidRPr="00A26B3C">
        <w:rPr>
          <w:lang w:val="en-US"/>
        </w:rPr>
        <w:t>Practical Law Bankruptcy &amp; Restructuring and Practical Law Finance, “Roll-Up DIP Financing” (Practice Note 1-386-8691, Practical Law) at 2.</w:t>
      </w:r>
    </w:p>
  </w:footnote>
  <w:footnote w:id="18">
    <w:p w14:paraId="71B3BC21" w14:textId="01ACC66E" w:rsidR="00123500" w:rsidRPr="00A26B3C" w:rsidRDefault="00123500">
      <w:pPr>
        <w:pStyle w:val="FootnoteText"/>
      </w:pPr>
      <w:r w:rsidRPr="00A26B3C">
        <w:rPr>
          <w:rStyle w:val="FootnoteReference"/>
        </w:rPr>
        <w:footnoteRef/>
      </w:r>
      <w:r w:rsidRPr="00A26B3C">
        <w:t xml:space="preserve"> </w:t>
      </w:r>
      <w:r w:rsidRPr="00A26B3C">
        <w:rPr>
          <w:i/>
        </w:rPr>
        <w:t>Ibid</w:t>
      </w:r>
      <w:r w:rsidRPr="00A26B3C">
        <w:t xml:space="preserve"> at 3.</w:t>
      </w:r>
    </w:p>
  </w:footnote>
  <w:footnote w:id="19">
    <w:p w14:paraId="4BE0B79E" w14:textId="46552397" w:rsidR="00123500" w:rsidRPr="00A26B3C" w:rsidRDefault="00123500">
      <w:pPr>
        <w:pStyle w:val="FootnoteText"/>
      </w:pPr>
      <w:r w:rsidRPr="00A26B3C">
        <w:rPr>
          <w:rStyle w:val="FootnoteReference"/>
        </w:rPr>
        <w:footnoteRef/>
      </w:r>
      <w:r w:rsidRPr="00A26B3C">
        <w:t xml:space="preserve"> </w:t>
      </w:r>
      <w:r w:rsidRPr="00A26B3C">
        <w:rPr>
          <w:i/>
        </w:rPr>
        <w:t>Ibid</w:t>
      </w:r>
      <w:r w:rsidRPr="00A26B3C">
        <w:t>.</w:t>
      </w:r>
    </w:p>
  </w:footnote>
  <w:footnote w:id="20">
    <w:p w14:paraId="5F572FAF" w14:textId="7C125C26" w:rsidR="00123500" w:rsidRPr="00A26B3C" w:rsidRDefault="00123500">
      <w:pPr>
        <w:pStyle w:val="FootnoteText"/>
      </w:pPr>
      <w:r w:rsidRPr="00A26B3C">
        <w:rPr>
          <w:rStyle w:val="FootnoteReference"/>
        </w:rPr>
        <w:footnoteRef/>
      </w:r>
      <w:r w:rsidRPr="00A26B3C">
        <w:t xml:space="preserve"> </w:t>
      </w:r>
      <w:r w:rsidRPr="00A26B3C">
        <w:rPr>
          <w:i/>
        </w:rPr>
        <w:t>Ibid</w:t>
      </w:r>
      <w:r w:rsidRPr="00A26B3C">
        <w:t>.</w:t>
      </w:r>
    </w:p>
  </w:footnote>
  <w:footnote w:id="21">
    <w:p w14:paraId="026404EB" w14:textId="7AA29A6A" w:rsidR="00123500" w:rsidRPr="00A26B3C" w:rsidRDefault="00123500">
      <w:pPr>
        <w:pStyle w:val="FootnoteText"/>
        <w:rPr>
          <w:lang w:val="en-US"/>
        </w:rPr>
      </w:pPr>
      <w:r w:rsidRPr="00A26B3C">
        <w:rPr>
          <w:rStyle w:val="FootnoteReference"/>
        </w:rPr>
        <w:footnoteRef/>
      </w:r>
      <w:r w:rsidRPr="00A26B3C">
        <w:t xml:space="preserve"> </w:t>
      </w:r>
      <w:r w:rsidRPr="00A26B3C">
        <w:rPr>
          <w:i/>
        </w:rPr>
        <w:t xml:space="preserve">Supra </w:t>
      </w:r>
      <w:r w:rsidRPr="00A26B3C">
        <w:t xml:space="preserve">note </w:t>
      </w:r>
      <w:r w:rsidRPr="00A26B3C">
        <w:fldChar w:fldCharType="begin"/>
      </w:r>
      <w:r w:rsidRPr="00A26B3C">
        <w:instrText xml:space="preserve"> NOTEREF _Ref159763313 \h </w:instrText>
      </w:r>
      <w:r>
        <w:instrText xml:space="preserve"> \* MERGEFORMAT </w:instrText>
      </w:r>
      <w:r w:rsidRPr="00A26B3C">
        <w:fldChar w:fldCharType="separate"/>
      </w:r>
      <w:r>
        <w:t>6</w:t>
      </w:r>
      <w:r w:rsidRPr="00A26B3C">
        <w:fldChar w:fldCharType="end"/>
      </w:r>
      <w:r w:rsidRPr="00A26B3C">
        <w:t xml:space="preserve"> at 671.</w:t>
      </w:r>
    </w:p>
  </w:footnote>
  <w:footnote w:id="22">
    <w:p w14:paraId="0FB55D5A" w14:textId="085E86FE"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669, citing </w:t>
      </w:r>
      <w:r w:rsidRPr="00A26B3C">
        <w:rPr>
          <w:i/>
          <w:lang w:val="en-US"/>
        </w:rPr>
        <w:t>Transamerica Commercial Fin. Corp. v. Citibank, N.A.</w:t>
      </w:r>
      <w:r w:rsidRPr="00A26B3C">
        <w:rPr>
          <w:lang w:val="en-US"/>
        </w:rPr>
        <w:t>, 945 F.2d 1089, 1094 (9</w:t>
      </w:r>
      <w:r w:rsidRPr="00A26B3C">
        <w:rPr>
          <w:vertAlign w:val="superscript"/>
          <w:lang w:val="en-US"/>
        </w:rPr>
        <w:t>th</w:t>
      </w:r>
      <w:r w:rsidRPr="00A26B3C">
        <w:rPr>
          <w:lang w:val="en-US"/>
        </w:rPr>
        <w:t xml:space="preserve"> Cir. 1991).</w:t>
      </w:r>
    </w:p>
  </w:footnote>
  <w:footnote w:id="23">
    <w:p w14:paraId="1483C57B" w14:textId="44A95C8C" w:rsidR="00123500" w:rsidRPr="00A26B3C" w:rsidRDefault="00123500" w:rsidP="00B74700">
      <w:pPr>
        <w:pStyle w:val="FootnoteText"/>
        <w:rPr>
          <w:lang w:val="en-US"/>
        </w:rPr>
      </w:pPr>
      <w:r w:rsidRPr="00A26B3C">
        <w:rPr>
          <w:rStyle w:val="FootnoteReference"/>
        </w:rPr>
        <w:footnoteRef/>
      </w:r>
      <w:r w:rsidRPr="00A26B3C">
        <w:t xml:space="preserve"> </w:t>
      </w:r>
      <w:r w:rsidRPr="00A26B3C">
        <w:rPr>
          <w:i/>
          <w:lang w:val="en-US"/>
        </w:rPr>
        <w:t xml:space="preserve">Ibid </w:t>
      </w:r>
      <w:r w:rsidRPr="00A26B3C">
        <w:rPr>
          <w:lang w:val="en-US"/>
        </w:rPr>
        <w:t>at 670 citing Roe, Mark &amp; Tung, Fredrick, “Breaking Bankruptcy Priority: How Rent-Seeking Upends the Creditors' Bargain”, Virginia Law Review</w:t>
      </w:r>
      <w:r>
        <w:rPr>
          <w:lang w:val="en-US"/>
        </w:rPr>
        <w:t>, Vol. 33 (2013)</w:t>
      </w:r>
      <w:r w:rsidRPr="00A26B3C">
        <w:rPr>
          <w:lang w:val="en-US"/>
        </w:rPr>
        <w:t>, at 1251-52.</w:t>
      </w:r>
    </w:p>
  </w:footnote>
  <w:footnote w:id="24">
    <w:p w14:paraId="1C85DF05" w14:textId="578E3855" w:rsidR="00123500" w:rsidRPr="00A26B3C" w:rsidRDefault="00123500" w:rsidP="002E67E5">
      <w:pPr>
        <w:pStyle w:val="FootnoteText"/>
        <w:rPr>
          <w:lang w:val="en-US"/>
        </w:rPr>
      </w:pPr>
      <w:r w:rsidRPr="00A26B3C">
        <w:rPr>
          <w:rStyle w:val="FootnoteReference"/>
        </w:rPr>
        <w:footnoteRef/>
      </w:r>
      <w:r w:rsidRPr="00A26B3C">
        <w:t xml:space="preserve"> </w:t>
      </w:r>
      <w:r w:rsidRPr="00A26B3C">
        <w:rPr>
          <w:lang w:val="en-US"/>
        </w:rPr>
        <w:t>Harner, Michelle M., "Final Report of the ABI Commission to Study the Reform of Chapter 11" (2014). Book Gallery. Book 97.</w:t>
      </w:r>
    </w:p>
  </w:footnote>
  <w:footnote w:id="25">
    <w:p w14:paraId="6259EB49" w14:textId="797B13C5"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_Ref159764015 \h </w:instrText>
      </w:r>
      <w:r>
        <w:rPr>
          <w:lang w:val="en-US"/>
        </w:rPr>
        <w:instrText xml:space="preserve"> \* MERGEFORMAT </w:instrText>
      </w:r>
      <w:r w:rsidRPr="00A26B3C">
        <w:rPr>
          <w:lang w:val="en-US"/>
        </w:rPr>
      </w:r>
      <w:r w:rsidRPr="00A26B3C">
        <w:rPr>
          <w:lang w:val="en-US"/>
        </w:rPr>
        <w:fldChar w:fldCharType="separate"/>
      </w:r>
      <w:r>
        <w:rPr>
          <w:lang w:val="en-US"/>
        </w:rPr>
        <w:t>14</w:t>
      </w:r>
      <w:r w:rsidRPr="00A26B3C">
        <w:rPr>
          <w:lang w:val="en-US"/>
        </w:rPr>
        <w:fldChar w:fldCharType="end"/>
      </w:r>
      <w:r w:rsidRPr="00A26B3C">
        <w:rPr>
          <w:i/>
          <w:lang w:val="en-US"/>
        </w:rPr>
        <w:t xml:space="preserve"> </w:t>
      </w:r>
      <w:r w:rsidRPr="00A26B3C">
        <w:rPr>
          <w:lang w:val="en-US"/>
        </w:rPr>
        <w:t>at 705.</w:t>
      </w:r>
    </w:p>
  </w:footnote>
  <w:footnote w:id="26">
    <w:p w14:paraId="4E3A0944" w14:textId="1DF3105F"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w:t>
      </w:r>
    </w:p>
  </w:footnote>
  <w:footnote w:id="27">
    <w:p w14:paraId="1775EBAE" w14:textId="440EDEEA" w:rsidR="00123500" w:rsidRPr="00A26B3C" w:rsidRDefault="00123500">
      <w:pPr>
        <w:pStyle w:val="FootnoteText"/>
        <w:rPr>
          <w:lang w:val="en-US"/>
        </w:rPr>
      </w:pPr>
      <w:r w:rsidRPr="00A26B3C">
        <w:rPr>
          <w:rStyle w:val="FootnoteReference"/>
        </w:rPr>
        <w:footnoteRef/>
      </w:r>
      <w:r w:rsidRPr="00A26B3C">
        <w:t xml:space="preserve"> </w:t>
      </w:r>
      <w:r w:rsidRPr="00A26B3C">
        <w:rPr>
          <w:lang w:val="en-US"/>
        </w:rPr>
        <w:t>Cooper, Richard et al., “Recent Developments in DIP Financing for International and Domestic Debtors”, Global Restructuring Review, 27, November, 2023, at &lt;&lt;https://globalrestructuringreview.com/review/restructuring-review-of-the-americas/2024/article/recent-developments-in-dip-financing-international-and-domestic-debtors&gt;&gt;, accessed on 18 February 2024.</w:t>
      </w:r>
    </w:p>
  </w:footnote>
  <w:footnote w:id="28">
    <w:p w14:paraId="3D69C0F7" w14:textId="4962948D"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w:t>
      </w:r>
    </w:p>
  </w:footnote>
  <w:footnote w:id="29">
    <w:p w14:paraId="63630241" w14:textId="33ECBFBC" w:rsidR="00123500" w:rsidRPr="00A26B3C" w:rsidRDefault="00123500">
      <w:pPr>
        <w:pStyle w:val="FootnoteText"/>
      </w:pPr>
      <w:r w:rsidRPr="00A26B3C">
        <w:rPr>
          <w:rStyle w:val="FootnoteReference"/>
        </w:rPr>
        <w:footnoteRef/>
      </w:r>
      <w:r w:rsidRPr="00A26B3C">
        <w:t xml:space="preserve"> </w:t>
      </w:r>
      <w:r w:rsidRPr="00A26B3C">
        <w:rPr>
          <w:i/>
        </w:rPr>
        <w:t>Ibid</w:t>
      </w:r>
      <w:r w:rsidRPr="00A26B3C">
        <w:t>.</w:t>
      </w:r>
    </w:p>
  </w:footnote>
  <w:footnote w:id="30">
    <w:p w14:paraId="2C1B5FFF" w14:textId="3334C836"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Supra</w:t>
      </w:r>
      <w:r w:rsidRPr="00A26B3C">
        <w:rPr>
          <w:lang w:val="en-US"/>
        </w:rPr>
        <w:t xml:space="preserve"> note </w:t>
      </w:r>
      <w:r w:rsidRPr="00A26B3C">
        <w:rPr>
          <w:lang w:val="en-US"/>
        </w:rPr>
        <w:fldChar w:fldCharType="begin"/>
      </w:r>
      <w:r w:rsidRPr="00A26B3C">
        <w:rPr>
          <w:lang w:val="en-US"/>
        </w:rPr>
        <w:instrText xml:space="preserve"> NOTEREF _Ref159764146 \h </w:instrText>
      </w:r>
      <w:r>
        <w:rPr>
          <w:lang w:val="en-US"/>
        </w:rPr>
        <w:instrText xml:space="preserve"> \* MERGEFORMAT </w:instrText>
      </w:r>
      <w:r w:rsidRPr="00A26B3C">
        <w:rPr>
          <w:lang w:val="en-US"/>
        </w:rPr>
      </w:r>
      <w:r w:rsidRPr="00A26B3C">
        <w:rPr>
          <w:lang w:val="en-US"/>
        </w:rPr>
        <w:fldChar w:fldCharType="separate"/>
      </w:r>
      <w:r>
        <w:rPr>
          <w:lang w:val="en-US"/>
        </w:rPr>
        <w:t>3</w:t>
      </w:r>
      <w:r w:rsidRPr="00A26B3C">
        <w:rPr>
          <w:lang w:val="en-US"/>
        </w:rPr>
        <w:fldChar w:fldCharType="end"/>
      </w:r>
      <w:r w:rsidRPr="00A26B3C">
        <w:rPr>
          <w:lang w:val="en-US"/>
        </w:rPr>
        <w:t xml:space="preserve"> at s. 11.2.</w:t>
      </w:r>
    </w:p>
  </w:footnote>
  <w:footnote w:id="31">
    <w:p w14:paraId="57E203BF" w14:textId="690F9A47" w:rsidR="00123500" w:rsidRPr="00A26B3C" w:rsidRDefault="00123500" w:rsidP="00FC1045">
      <w:pPr>
        <w:pStyle w:val="FootnoteText"/>
        <w:rPr>
          <w:lang w:val="en-US"/>
        </w:rPr>
      </w:pPr>
      <w:r w:rsidRPr="00A26B3C">
        <w:rPr>
          <w:rStyle w:val="FootnoteReference"/>
        </w:rPr>
        <w:footnoteRef/>
      </w:r>
      <w:r w:rsidRPr="00A26B3C">
        <w:t xml:space="preserve"> </w:t>
      </w:r>
      <w:r w:rsidRPr="00A26B3C">
        <w:rPr>
          <w:i/>
        </w:rPr>
        <w:t xml:space="preserve">Skydome Corp v Ontario </w:t>
      </w:r>
      <w:r w:rsidRPr="00A26B3C">
        <w:t>(1998), 16 CBR (4th) 118 (Ont Ct Gen Div).</w:t>
      </w:r>
    </w:p>
  </w:footnote>
  <w:footnote w:id="32">
    <w:p w14:paraId="15847B34" w14:textId="6F90BD96"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_Ref159764146 \h </w:instrText>
      </w:r>
      <w:r>
        <w:rPr>
          <w:lang w:val="en-US"/>
        </w:rPr>
        <w:instrText xml:space="preserve"> \* MERGEFORMAT </w:instrText>
      </w:r>
      <w:r w:rsidRPr="00A26B3C">
        <w:rPr>
          <w:lang w:val="en-US"/>
        </w:rPr>
      </w:r>
      <w:r w:rsidRPr="00A26B3C">
        <w:rPr>
          <w:lang w:val="en-US"/>
        </w:rPr>
        <w:fldChar w:fldCharType="separate"/>
      </w:r>
      <w:r>
        <w:rPr>
          <w:lang w:val="en-US"/>
        </w:rPr>
        <w:t>3</w:t>
      </w:r>
      <w:r w:rsidRPr="00A26B3C">
        <w:rPr>
          <w:lang w:val="en-US"/>
        </w:rPr>
        <w:fldChar w:fldCharType="end"/>
      </w:r>
      <w:r w:rsidRPr="00A26B3C">
        <w:rPr>
          <w:lang w:val="en-US"/>
        </w:rPr>
        <w:t xml:space="preserve"> at s. 11.</w:t>
      </w:r>
    </w:p>
  </w:footnote>
  <w:footnote w:id="33">
    <w:p w14:paraId="14565C3B" w14:textId="7063E839"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Ibid </w:t>
      </w:r>
      <w:r w:rsidRPr="00A26B3C">
        <w:rPr>
          <w:lang w:val="en-US"/>
        </w:rPr>
        <w:t>at s. 11.2.</w:t>
      </w:r>
    </w:p>
  </w:footnote>
  <w:footnote w:id="34">
    <w:p w14:paraId="6C4EF46E" w14:textId="77C814E6"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ss. 11.2(4).</w:t>
      </w:r>
    </w:p>
  </w:footnote>
  <w:footnote w:id="35">
    <w:p w14:paraId="5909A1C6" w14:textId="2568AD3E"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Ibid </w:t>
      </w:r>
      <w:r w:rsidRPr="00A26B3C">
        <w:rPr>
          <w:lang w:val="en-US"/>
        </w:rPr>
        <w:t>at ss. 11.2(5).</w:t>
      </w:r>
    </w:p>
  </w:footnote>
  <w:footnote w:id="36">
    <w:p w14:paraId="72954A3B" w14:textId="0A87775C" w:rsidR="00123500" w:rsidRPr="00A26B3C" w:rsidRDefault="00123500">
      <w:pPr>
        <w:pStyle w:val="FootnoteText"/>
        <w:rPr>
          <w:lang w:val="en-US"/>
        </w:rPr>
      </w:pPr>
      <w:r w:rsidRPr="00A26B3C">
        <w:rPr>
          <w:rStyle w:val="FootnoteReference"/>
        </w:rPr>
        <w:footnoteRef/>
      </w:r>
      <w:r w:rsidRPr="00A26B3C">
        <w:t xml:space="preserve"> </w:t>
      </w:r>
      <w:r w:rsidRPr="00A26B3C">
        <w:rPr>
          <w:i/>
        </w:rPr>
        <w:t>Winnipeg Motor Express Inc et al</w:t>
      </w:r>
      <w:r w:rsidRPr="00A26B3C">
        <w:t>, 2009 MBQB 204, leave to appeal refused 2009 MBCA 110.</w:t>
      </w:r>
    </w:p>
  </w:footnote>
  <w:footnote w:id="37">
    <w:p w14:paraId="0AE9B887" w14:textId="433755BE"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New Skeena Forrest Products (Re)</w:t>
      </w:r>
      <w:r w:rsidRPr="00A26B3C">
        <w:rPr>
          <w:lang w:val="en-US"/>
        </w:rPr>
        <w:t>, 2005 BCCA 192.</w:t>
      </w:r>
    </w:p>
  </w:footnote>
  <w:footnote w:id="38">
    <w:p w14:paraId="58BBE280" w14:textId="30F2F1EC" w:rsidR="00123500" w:rsidRPr="00A26B3C" w:rsidRDefault="00123500">
      <w:pPr>
        <w:pStyle w:val="FootnoteText"/>
        <w:rPr>
          <w:lang w:val="en-US"/>
        </w:rPr>
      </w:pPr>
      <w:r w:rsidRPr="00A26B3C">
        <w:rPr>
          <w:rStyle w:val="FootnoteReference"/>
        </w:rPr>
        <w:footnoteRef/>
      </w:r>
      <w:r w:rsidRPr="00A26B3C">
        <w:t xml:space="preserve"> </w:t>
      </w:r>
      <w:r w:rsidRPr="00A26B3C">
        <w:rPr>
          <w:i/>
        </w:rPr>
        <w:t>W</w:t>
      </w:r>
      <w:r w:rsidRPr="00A26B3C">
        <w:rPr>
          <w:i/>
          <w:lang w:val="en-US"/>
        </w:rPr>
        <w:t>hite Birch Paper Holding Co. (Re)</w:t>
      </w:r>
      <w:r w:rsidRPr="00A26B3C">
        <w:rPr>
          <w:lang w:val="en-US"/>
        </w:rPr>
        <w:t>, 2010 QCCS 764.</w:t>
      </w:r>
    </w:p>
  </w:footnote>
  <w:footnote w:id="39">
    <w:p w14:paraId="0724FBE9" w14:textId="2DB3EAB2"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_Ref159764146 \h </w:instrText>
      </w:r>
      <w:r>
        <w:rPr>
          <w:lang w:val="en-US"/>
        </w:rPr>
        <w:instrText xml:space="preserve"> \* MERGEFORMAT </w:instrText>
      </w:r>
      <w:r w:rsidRPr="00A26B3C">
        <w:rPr>
          <w:lang w:val="en-US"/>
        </w:rPr>
      </w:r>
      <w:r w:rsidRPr="00A26B3C">
        <w:rPr>
          <w:lang w:val="en-US"/>
        </w:rPr>
        <w:fldChar w:fldCharType="separate"/>
      </w:r>
      <w:r>
        <w:rPr>
          <w:lang w:val="en-US"/>
        </w:rPr>
        <w:t>3</w:t>
      </w:r>
      <w:r w:rsidRPr="00A26B3C">
        <w:rPr>
          <w:lang w:val="en-US"/>
        </w:rPr>
        <w:fldChar w:fldCharType="end"/>
      </w:r>
      <w:r w:rsidRPr="00A26B3C">
        <w:rPr>
          <w:lang w:val="en-US"/>
        </w:rPr>
        <w:t xml:space="preserve"> at s. 11.7.</w:t>
      </w:r>
    </w:p>
  </w:footnote>
  <w:footnote w:id="40">
    <w:p w14:paraId="2DEE3D98" w14:textId="0372F015"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Ibid </w:t>
      </w:r>
      <w:r w:rsidRPr="00A26B3C">
        <w:rPr>
          <w:lang w:val="en-US"/>
        </w:rPr>
        <w:t>at s. 11.2.</w:t>
      </w:r>
    </w:p>
  </w:footnote>
  <w:footnote w:id="41">
    <w:p w14:paraId="4E3F3F74" w14:textId="2D71663B"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Hartford Computer Hardware, Inc. (Re)</w:t>
      </w:r>
      <w:r w:rsidRPr="00A26B3C">
        <w:rPr>
          <w:lang w:val="en-US"/>
        </w:rPr>
        <w:t xml:space="preserve">, 2012 ONSC  964 (Ont  SCJ.) [Commercial List], and </w:t>
      </w:r>
      <w:r w:rsidRPr="00A26B3C">
        <w:rPr>
          <w:i/>
          <w:lang w:val="en-US"/>
        </w:rPr>
        <w:t>InterTAN Canada Ltd., (Re) (2008)</w:t>
      </w:r>
      <w:r w:rsidRPr="00A26B3C">
        <w:rPr>
          <w:lang w:val="en-US"/>
        </w:rPr>
        <w:t>, 49 CBR (5</w:t>
      </w:r>
      <w:r w:rsidRPr="00A26B3C">
        <w:rPr>
          <w:vertAlign w:val="superscript"/>
          <w:lang w:val="en-US"/>
        </w:rPr>
        <w:t>th</w:t>
      </w:r>
      <w:r w:rsidRPr="00A26B3C">
        <w:rPr>
          <w:lang w:val="en-US"/>
        </w:rPr>
        <w:t>) 248 (Ont SCJ) [Commercial List].</w:t>
      </w:r>
    </w:p>
  </w:footnote>
  <w:footnote w:id="42">
    <w:p w14:paraId="18892F62" w14:textId="71B15CE9"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Payless Holdings LLC (Re)</w:t>
      </w:r>
      <w:r w:rsidRPr="00A26B3C">
        <w:rPr>
          <w:lang w:val="en-US"/>
        </w:rPr>
        <w:t>, 2017 ONSC 2321 (Ont SCJ) [Commercial List].</w:t>
      </w:r>
    </w:p>
  </w:footnote>
  <w:footnote w:id="43">
    <w:p w14:paraId="0D052CE9" w14:textId="6950C0D2" w:rsidR="00123500" w:rsidRPr="00A26B3C" w:rsidRDefault="00123500">
      <w:pPr>
        <w:pStyle w:val="FootnoteText"/>
        <w:rPr>
          <w:i/>
          <w:lang w:val="en-US"/>
        </w:rPr>
      </w:pPr>
      <w:r w:rsidRPr="00A26B3C">
        <w:rPr>
          <w:rStyle w:val="FootnoteReference"/>
        </w:rPr>
        <w:footnoteRef/>
      </w:r>
      <w:r w:rsidRPr="00A26B3C">
        <w:t xml:space="preserve"> </w:t>
      </w:r>
      <w:r w:rsidRPr="00A26B3C">
        <w:rPr>
          <w:i/>
          <w:lang w:val="en-US"/>
        </w:rPr>
        <w:t>Performance Sports Group Ltd., Re</w:t>
      </w:r>
      <w:r w:rsidRPr="00A26B3C">
        <w:rPr>
          <w:lang w:val="en-US"/>
        </w:rPr>
        <w:t xml:space="preserve">, 2016 ONSC 6800 (Ont. S.C.J.) [Commercial List] and </w:t>
      </w:r>
      <w:r w:rsidRPr="00A26B3C">
        <w:rPr>
          <w:i/>
          <w:lang w:val="en-US"/>
        </w:rPr>
        <w:t>Mountain Equipment Co-op (Re)</w:t>
      </w:r>
      <w:r w:rsidRPr="00A26B3C">
        <w:rPr>
          <w:lang w:val="en-US"/>
        </w:rPr>
        <w:t>,</w:t>
      </w:r>
      <w:r w:rsidRPr="00A26B3C">
        <w:rPr>
          <w:i/>
          <w:lang w:val="en-US"/>
        </w:rPr>
        <w:t xml:space="preserve"> </w:t>
      </w:r>
      <w:r w:rsidRPr="00A26B3C">
        <w:rPr>
          <w:lang w:val="en-US"/>
        </w:rPr>
        <w:t>2020 BCSC 1586.</w:t>
      </w:r>
      <w:r w:rsidRPr="00A26B3C">
        <w:rPr>
          <w:i/>
          <w:lang w:val="en-US"/>
        </w:rPr>
        <w:t xml:space="preserve"> </w:t>
      </w:r>
    </w:p>
  </w:footnote>
  <w:footnote w:id="44">
    <w:p w14:paraId="19EF8584" w14:textId="6EB2C56E" w:rsidR="00123500" w:rsidRPr="00A26B3C" w:rsidRDefault="00123500">
      <w:pPr>
        <w:pStyle w:val="FootnoteText"/>
        <w:rPr>
          <w:lang w:val="en-US"/>
        </w:rPr>
      </w:pPr>
      <w:r w:rsidRPr="00A26B3C">
        <w:rPr>
          <w:rStyle w:val="FootnoteReference"/>
        </w:rPr>
        <w:footnoteRef/>
      </w:r>
      <w:r w:rsidRPr="00A26B3C">
        <w:t xml:space="preserve"> Choen, Adrian &amp; Pegg, Antonia, </w:t>
      </w:r>
      <w:r w:rsidRPr="00A26B3C">
        <w:rPr>
          <w:lang w:val="en-US"/>
        </w:rPr>
        <w:t>““Debtor-In-Possession” Processes and Moratoria in English Restructuring and Insolvency Law: A Hesitant Journey”, Journal of International Banking &amp; Financial Law, Vo. 38, Issue 11, December 2023.</w:t>
      </w:r>
    </w:p>
  </w:footnote>
  <w:footnote w:id="45">
    <w:p w14:paraId="135F66F9" w14:textId="0CCB7C12"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Insolvency Act 1986, c. 45</w:t>
      </w:r>
      <w:r w:rsidRPr="00A26B3C">
        <w:rPr>
          <w:lang w:val="en-US"/>
        </w:rPr>
        <w:t>, United Kingdom, at Part 1A.</w:t>
      </w:r>
    </w:p>
  </w:footnote>
  <w:footnote w:id="46">
    <w:p w14:paraId="0238F7CE" w14:textId="5CD393F9"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Companies Act 2006, c. 46</w:t>
      </w:r>
      <w:r w:rsidRPr="00A26B3C">
        <w:rPr>
          <w:lang w:val="en-US"/>
        </w:rPr>
        <w:t>, United Kingdom at Part 26A.</w:t>
      </w:r>
    </w:p>
  </w:footnote>
  <w:footnote w:id="47">
    <w:p w14:paraId="2A3B6B36" w14:textId="0D77D4DF" w:rsidR="00123500" w:rsidRPr="00A26B3C" w:rsidRDefault="00123500">
      <w:pPr>
        <w:pStyle w:val="FootnoteText"/>
        <w:rPr>
          <w:lang w:val="en-US"/>
        </w:rPr>
      </w:pPr>
      <w:r w:rsidRPr="00A26B3C">
        <w:rPr>
          <w:rStyle w:val="FootnoteReference"/>
        </w:rPr>
        <w:footnoteRef/>
      </w:r>
      <w:r w:rsidRPr="00A26B3C">
        <w:t xml:space="preserve"> The </w:t>
      </w:r>
      <w:r w:rsidRPr="00A26B3C">
        <w:rPr>
          <w:lang w:val="en-US"/>
        </w:rPr>
        <w:t>Insolvency Service, “Summary of Responses: A review of the Corporate Insolvency Framework, September 2016”, at &lt;&lt;https://assets.publishing.service.gov.uk/media/5a80d29940f0b62305b8d57f/Summary_of_responses_26-10-16_Redacted.pdf&gt;&gt;, accessed on February 22, 2024, at 11.</w:t>
      </w:r>
    </w:p>
  </w:footnote>
  <w:footnote w:id="48">
    <w:p w14:paraId="73FF19F3" w14:textId="1072CD74" w:rsidR="00123500" w:rsidRPr="00A26B3C" w:rsidRDefault="00123500">
      <w:pPr>
        <w:pStyle w:val="FootnoteText"/>
        <w:rPr>
          <w:lang w:val="en-US"/>
        </w:rPr>
      </w:pPr>
      <w:r w:rsidRPr="00A26B3C">
        <w:rPr>
          <w:rStyle w:val="FootnoteReference"/>
        </w:rPr>
        <w:footnoteRef/>
      </w:r>
      <w:r w:rsidRPr="00A26B3C">
        <w:t xml:space="preserve"> Atkins, Scott &amp; Luck, Kai, “The Case for Further Reform to Strengthen Business Rescue in the UK and Australia”, </w:t>
      </w:r>
      <w:r w:rsidRPr="00A26B3C">
        <w:rPr>
          <w:lang w:val="en-US"/>
        </w:rPr>
        <w:t>South Square Digest, December 2020, at &lt;&lt;https://southsquare.com/wp-content/uploads/2021/02/The-case-for-further-reform-to-strengthen-business-rescue-in-the-UK-and-Australia.pdf&gt;&gt;, accessed January 28, 2024, at 31.</w:t>
      </w:r>
    </w:p>
  </w:footnote>
  <w:footnote w:id="49">
    <w:p w14:paraId="4D657E57" w14:textId="4345F77C"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Ibid</w:t>
      </w:r>
      <w:r w:rsidRPr="00A26B3C">
        <w:rPr>
          <w:lang w:val="en-US"/>
        </w:rPr>
        <w:t xml:space="preserve"> at 35.</w:t>
      </w:r>
    </w:p>
  </w:footnote>
  <w:footnote w:id="50">
    <w:p w14:paraId="058C12D0" w14:textId="1F1A546E" w:rsidR="00123500" w:rsidRPr="00A26B3C" w:rsidRDefault="00123500">
      <w:pPr>
        <w:pStyle w:val="FootnoteText"/>
        <w:rPr>
          <w:lang w:val="en-US"/>
        </w:rPr>
      </w:pPr>
      <w:r w:rsidRPr="00A26B3C">
        <w:rPr>
          <w:rStyle w:val="FootnoteReference"/>
        </w:rPr>
        <w:footnoteRef/>
      </w:r>
      <w:r w:rsidRPr="00A26B3C">
        <w:t xml:space="preserve"> </w:t>
      </w:r>
      <w:r w:rsidRPr="00A26B3C">
        <w:rPr>
          <w:i/>
        </w:rPr>
        <w:t xml:space="preserve">Supra </w:t>
      </w:r>
      <w:r w:rsidRPr="00A26B3C">
        <w:fldChar w:fldCharType="begin"/>
      </w:r>
      <w:r w:rsidRPr="00A26B3C">
        <w:instrText xml:space="preserve"> NOTEREF _Ref159766088 \h  \* MERGEFORMAT </w:instrText>
      </w:r>
      <w:r w:rsidRPr="00A26B3C">
        <w:fldChar w:fldCharType="separate"/>
      </w:r>
      <w:r>
        <w:t>2</w:t>
      </w:r>
      <w:r w:rsidRPr="00A26B3C">
        <w:fldChar w:fldCharType="end"/>
      </w:r>
      <w:r w:rsidRPr="00A26B3C">
        <w:t>.</w:t>
      </w:r>
    </w:p>
  </w:footnote>
  <w:footnote w:id="51">
    <w:p w14:paraId="76456979" w14:textId="540AE2B5" w:rsidR="00123500" w:rsidRPr="00A26B3C" w:rsidRDefault="00123500">
      <w:pPr>
        <w:pStyle w:val="FootnoteText"/>
        <w:rPr>
          <w:lang w:val="en-US"/>
        </w:rPr>
      </w:pPr>
      <w:r w:rsidRPr="00A26B3C">
        <w:rPr>
          <w:rStyle w:val="FootnoteReference"/>
        </w:rPr>
        <w:footnoteRef/>
      </w:r>
      <w:r w:rsidRPr="00A26B3C">
        <w:t xml:space="preserve"> </w:t>
      </w:r>
      <w:r w:rsidRPr="00A26B3C">
        <w:rPr>
          <w:i/>
          <w:lang w:val="en-US"/>
        </w:rPr>
        <w:t xml:space="preserve">Supra </w:t>
      </w:r>
      <w:r w:rsidRPr="00A26B3C">
        <w:rPr>
          <w:lang w:val="en-US"/>
        </w:rPr>
        <w:t xml:space="preserve">note </w:t>
      </w:r>
      <w:r w:rsidRPr="00A26B3C">
        <w:rPr>
          <w:lang w:val="en-US"/>
        </w:rPr>
        <w:fldChar w:fldCharType="begin"/>
      </w:r>
      <w:r w:rsidRPr="00A26B3C">
        <w:rPr>
          <w:lang w:val="en-US"/>
        </w:rPr>
        <w:instrText xml:space="preserve"> NOTEREF _Ref159767991 \h </w:instrText>
      </w:r>
      <w:r>
        <w:rPr>
          <w:lang w:val="en-US"/>
        </w:rPr>
        <w:instrText xml:space="preserve"> \* MERGEFORMAT </w:instrText>
      </w:r>
      <w:r w:rsidRPr="00A26B3C">
        <w:rPr>
          <w:lang w:val="en-US"/>
        </w:rPr>
      </w:r>
      <w:r w:rsidRPr="00A26B3C">
        <w:rPr>
          <w:lang w:val="en-US"/>
        </w:rPr>
        <w:fldChar w:fldCharType="separate"/>
      </w:r>
      <w:r>
        <w:rPr>
          <w:lang w:val="en-US"/>
        </w:rPr>
        <w:t>26</w:t>
      </w:r>
      <w:r w:rsidRPr="00A26B3C">
        <w:rPr>
          <w:lang w:val="en-US"/>
        </w:rPr>
        <w:fldChar w:fldCharType="end"/>
      </w:r>
      <w:r w:rsidRPr="00A26B3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130F" w14:textId="77777777" w:rsidR="00972935" w:rsidRDefault="00972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099C" w14:textId="77777777" w:rsidR="00972935" w:rsidRDefault="00972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1B93" w14:textId="77777777" w:rsidR="00972935" w:rsidRDefault="00972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3E5DC0"/>
    <w:name w:val="DocXtoolsCompanion_1"/>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9EECBE"/>
    <w:name w:val="DocXtoolsCompanion_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14384C"/>
    <w:name w:val="DocXtoolsCompanion_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888612"/>
    <w:name w:val="DocXtoolsCompanion_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2FE06"/>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8DEB2"/>
    <w:name w:val="DocXtoolsCompanion_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BC2066"/>
    <w:name w:val="DocXtoolsCompanion_7"/>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C81FF4"/>
    <w:name w:val="DocXtoolsCompanion_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86C"/>
    <w:name w:val="DocXtoolsCompanion_9"/>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063088"/>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E23"/>
    <w:multiLevelType w:val="multilevel"/>
    <w:tmpl w:val="784A4B32"/>
    <w:name w:val="MT Standard"/>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upperLetter"/>
      <w:pStyle w:val="Heading7"/>
      <w:lvlText w:val="%7)"/>
      <w:lvlJc w:val="left"/>
      <w:pPr>
        <w:tabs>
          <w:tab w:val="num" w:pos="4320"/>
        </w:tabs>
        <w:ind w:left="4320" w:hanging="720"/>
      </w:pPr>
      <w:rPr>
        <w:caps w:val="0"/>
        <w:color w:val="010000"/>
        <w:u w:val="none"/>
      </w:rPr>
    </w:lvl>
    <w:lvl w:ilvl="7">
      <w:start w:val="1"/>
      <w:numFmt w:val="upperLetter"/>
      <w:pStyle w:val="Heading8"/>
      <w:suff w:val="nothing"/>
      <w:lvlText w:val="Schedule %8"/>
      <w:lvlJc w:val="left"/>
      <w:pPr>
        <w:tabs>
          <w:tab w:val="num" w:pos="0"/>
        </w:tabs>
        <w:ind w:left="0" w:firstLine="0"/>
      </w:pPr>
      <w:rPr>
        <w:caps/>
        <w:smallCaps w:val="0"/>
        <w:color w:val="010000"/>
        <w:u w:val="none"/>
      </w:rPr>
    </w:lvl>
    <w:lvl w:ilvl="8">
      <w:start w:val="1"/>
      <w:numFmt w:val="decimal"/>
      <w:pStyle w:val="Heading9"/>
      <w:suff w:val="space"/>
      <w:lvlText w:val="Exhibit %9"/>
      <w:lvlJc w:val="left"/>
      <w:pPr>
        <w:tabs>
          <w:tab w:val="num" w:pos="0"/>
        </w:tabs>
        <w:ind w:left="0" w:firstLine="0"/>
      </w:pPr>
      <w:rPr>
        <w:caps/>
        <w:smallCaps w:val="0"/>
        <w:color w:val="010000"/>
        <w:u w:val="none"/>
      </w:rPr>
    </w:lvl>
  </w:abstractNum>
  <w:abstractNum w:abstractNumId="11" w15:restartNumberingAfterBreak="0">
    <w:nsid w:val="2304123C"/>
    <w:multiLevelType w:val="multilevel"/>
    <w:tmpl w:val="0498B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5651D4"/>
    <w:multiLevelType w:val="hybridMultilevel"/>
    <w:tmpl w:val="9C143620"/>
    <w:name w:val="DocXtoolsCompanion_12"/>
    <w:lvl w:ilvl="0" w:tplc="FFFFFFFF">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E1EDE"/>
    <w:multiLevelType w:val="multilevel"/>
    <w:tmpl w:val="332C7048"/>
    <w:name w:val="DocXtoolsCompanion_13"/>
    <w:lvl w:ilvl="0">
      <w:start w:val="1"/>
      <w:numFmt w:val="upperRoman"/>
      <w:pStyle w:val="MTTFACTUMPART"/>
      <w:lvlText w:val="Part %1."/>
      <w:lvlJc w:val="left"/>
      <w:pPr>
        <w:tabs>
          <w:tab w:val="num" w:pos="720"/>
        </w:tabs>
        <w:ind w:left="0" w:firstLine="0"/>
      </w:pPr>
      <w:rPr>
        <w:rFonts w:ascii="Times New Roman" w:hAnsi="Times New Roman" w:cs="Times New Roman" w:hint="default"/>
        <w:b/>
        <w:caps/>
        <w:smallCaps w:val="0"/>
        <w:vanish w:val="0"/>
        <w:color w:val="auto"/>
        <w:sz w:val="24"/>
      </w:rPr>
    </w:lvl>
    <w:lvl w:ilvl="1">
      <w:start w:val="1"/>
      <w:numFmt w:val="lowerLetter"/>
      <w:pStyle w:val="MTTFACTUMPART2"/>
      <w:lvlText w:val="%2)"/>
      <w:lvlJc w:val="left"/>
      <w:pPr>
        <w:tabs>
          <w:tab w:val="num" w:pos="1080"/>
        </w:tabs>
        <w:ind w:left="720" w:hanging="360"/>
      </w:pPr>
      <w:rPr>
        <w:rFonts w:ascii="Times New Roman" w:hAnsi="Times New Roman" w:cs="Times New Roman" w:hint="default"/>
        <w:vanish w:val="0"/>
        <w:color w:val="auto"/>
        <w:sz w:val="24"/>
      </w:rPr>
    </w:lvl>
    <w:lvl w:ilvl="2">
      <w:start w:val="1"/>
      <w:numFmt w:val="lowerRoman"/>
      <w:pStyle w:val="MTTFACTUMPART3"/>
      <w:lvlText w:val="%3)"/>
      <w:lvlJc w:val="left"/>
      <w:pPr>
        <w:tabs>
          <w:tab w:val="num" w:pos="1800"/>
        </w:tabs>
        <w:ind w:left="1440" w:hanging="360"/>
      </w:pPr>
      <w:rPr>
        <w:rFonts w:hint="default"/>
        <w:vanish w:val="0"/>
        <w:color w:val="auto"/>
      </w:rPr>
    </w:lvl>
    <w:lvl w:ilvl="3">
      <w:start w:val="1"/>
      <w:numFmt w:val="decimal"/>
      <w:pStyle w:val="MTTFACTUMPART4"/>
      <w:lvlText w:val="(%4)"/>
      <w:lvlJc w:val="left"/>
      <w:pPr>
        <w:tabs>
          <w:tab w:val="num" w:pos="2520"/>
        </w:tabs>
        <w:ind w:left="2160" w:hanging="360"/>
      </w:pPr>
      <w:rPr>
        <w:rFonts w:hint="default"/>
        <w:vanish w:val="0"/>
        <w:color w:val="auto"/>
      </w:rPr>
    </w:lvl>
    <w:lvl w:ilvl="4">
      <w:start w:val="1"/>
      <w:numFmt w:val="lowerLetter"/>
      <w:pStyle w:val="MTTFACTUMPART5"/>
      <w:lvlText w:val="(%5)"/>
      <w:lvlJc w:val="left"/>
      <w:pPr>
        <w:tabs>
          <w:tab w:val="num" w:pos="3240"/>
        </w:tabs>
        <w:ind w:left="2880" w:hanging="360"/>
      </w:pPr>
      <w:rPr>
        <w:rFonts w:hint="default"/>
        <w:vanish w:val="0"/>
        <w:color w:val="auto"/>
      </w:rPr>
    </w:lvl>
    <w:lvl w:ilvl="5">
      <w:start w:val="1"/>
      <w:numFmt w:val="lowerRoman"/>
      <w:pStyle w:val="MTTFACTUMPART6"/>
      <w:lvlText w:val="(%6)"/>
      <w:lvlJc w:val="left"/>
      <w:pPr>
        <w:tabs>
          <w:tab w:val="num" w:pos="3960"/>
        </w:tabs>
        <w:ind w:left="3600" w:hanging="360"/>
      </w:pPr>
      <w:rPr>
        <w:rFonts w:hint="default"/>
        <w:vanish w:val="0"/>
        <w:color w:val="auto"/>
      </w:rPr>
    </w:lvl>
    <w:lvl w:ilvl="6">
      <w:start w:val="1"/>
      <w:numFmt w:val="decimal"/>
      <w:pStyle w:val="MTTFACTUMPART7"/>
      <w:lvlText w:val="%7."/>
      <w:lvlJc w:val="left"/>
      <w:pPr>
        <w:tabs>
          <w:tab w:val="num" w:pos="4680"/>
        </w:tabs>
        <w:ind w:left="4320" w:hanging="360"/>
      </w:pPr>
      <w:rPr>
        <w:rFonts w:hint="default"/>
        <w:vanish w:val="0"/>
        <w:color w:val="auto"/>
      </w:rPr>
    </w:lvl>
    <w:lvl w:ilvl="7">
      <w:start w:val="1"/>
      <w:numFmt w:val="lowerLetter"/>
      <w:pStyle w:val="MTTFACTUMPART8"/>
      <w:lvlText w:val="%8."/>
      <w:lvlJc w:val="left"/>
      <w:pPr>
        <w:tabs>
          <w:tab w:val="num" w:pos="5400"/>
        </w:tabs>
        <w:ind w:left="5040" w:hanging="360"/>
      </w:pPr>
      <w:rPr>
        <w:rFonts w:hint="default"/>
        <w:vanish w:val="0"/>
        <w:color w:val="auto"/>
      </w:rPr>
    </w:lvl>
    <w:lvl w:ilvl="8">
      <w:start w:val="1"/>
      <w:numFmt w:val="lowerRoman"/>
      <w:pStyle w:val="MTTFACTUMPART9"/>
      <w:lvlText w:val="%9."/>
      <w:lvlJc w:val="left"/>
      <w:pPr>
        <w:tabs>
          <w:tab w:val="num" w:pos="6120"/>
        </w:tabs>
        <w:ind w:left="5760" w:hanging="360"/>
      </w:pPr>
      <w:rPr>
        <w:rFonts w:hint="default"/>
        <w:vanish w:val="0"/>
        <w:color w:val="auto"/>
      </w:rPr>
    </w:lvl>
  </w:abstractNum>
  <w:abstractNum w:abstractNumId="14" w15:restartNumberingAfterBreak="0">
    <w:nsid w:val="3BDF0FCD"/>
    <w:multiLevelType w:val="multilevel"/>
    <w:tmpl w:val="03D08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CA52B6"/>
    <w:multiLevelType w:val="multilevel"/>
    <w:tmpl w:val="A2BCA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2A313B"/>
    <w:multiLevelType w:val="multilevel"/>
    <w:tmpl w:val="19F647D8"/>
    <w:name w:val="DocXtoolsCompanion_14"/>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D2A69"/>
    <w:multiLevelType w:val="hybridMultilevel"/>
    <w:tmpl w:val="E25C6638"/>
    <w:name w:val="DocXtoolsCompanion_15"/>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E6700944">
      <w:numFmt w:val="bullet"/>
      <w:lvlText w:val="-"/>
      <w:lvlJc w:val="left"/>
      <w:pPr>
        <w:ind w:left="3060" w:hanging="360"/>
      </w:pPr>
      <w:rPr>
        <w:rFonts w:ascii="Times New Roman" w:eastAsiaTheme="minorHAnsi" w:hAnsi="Times New Roman" w:cs="Times New Roman" w:hint="default"/>
      </w:r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5C12F38"/>
    <w:multiLevelType w:val="hybridMultilevel"/>
    <w:tmpl w:val="5D2274FA"/>
    <w:name w:val="DocXtoolsCompanion_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995500"/>
    <w:multiLevelType w:val="multilevel"/>
    <w:tmpl w:val="6AACEB42"/>
    <w:name w:val="LowerRoman_outlinedc"/>
    <w:lvl w:ilvl="0">
      <w:start w:val="1"/>
      <w:numFmt w:val="lowerRoman"/>
      <w:pStyle w:val="LowerRomanoutlinedc1"/>
      <w:suff w:val="nothing"/>
      <w:lvlText w:val="[%1]"/>
      <w:lvlJc w:val="left"/>
      <w:pPr>
        <w:tabs>
          <w:tab w:val="num" w:pos="720"/>
        </w:tabs>
        <w:ind w:left="720" w:firstLine="0"/>
      </w:pPr>
      <w:rPr>
        <w:rFonts w:ascii="Times New Roman" w:hAnsi="Times New Roman" w:cs="Times New Roman"/>
        <w:vanish w:val="0"/>
        <w:color w:val="auto"/>
        <w:sz w:val="24"/>
      </w:rPr>
    </w:lvl>
    <w:lvl w:ilvl="1">
      <w:start w:val="1"/>
      <w:numFmt w:val="lowerLetter"/>
      <w:pStyle w:val="LowerRomanoutlinedc2"/>
      <w:lvlText w:val="%2)"/>
      <w:lvlJc w:val="left"/>
      <w:pPr>
        <w:tabs>
          <w:tab w:val="num" w:pos="2160"/>
        </w:tabs>
        <w:ind w:left="1440" w:firstLine="0"/>
      </w:pPr>
      <w:rPr>
        <w:vanish w:val="0"/>
        <w:color w:val="auto"/>
      </w:rPr>
    </w:lvl>
    <w:lvl w:ilvl="2">
      <w:start w:val="1"/>
      <w:numFmt w:val="lowerRoman"/>
      <w:pStyle w:val="LowerRomanoutlinedc3"/>
      <w:lvlText w:val="%3)"/>
      <w:lvlJc w:val="left"/>
      <w:pPr>
        <w:tabs>
          <w:tab w:val="num" w:pos="2880"/>
        </w:tabs>
        <w:ind w:left="2160" w:firstLine="0"/>
      </w:pPr>
      <w:rPr>
        <w:vanish w:val="0"/>
        <w:color w:val="auto"/>
      </w:rPr>
    </w:lvl>
    <w:lvl w:ilvl="3">
      <w:start w:val="1"/>
      <w:numFmt w:val="decimal"/>
      <w:pStyle w:val="LowerRomanoutlinedc4"/>
      <w:lvlText w:val="(%4)"/>
      <w:lvlJc w:val="left"/>
      <w:pPr>
        <w:tabs>
          <w:tab w:val="num" w:pos="3600"/>
        </w:tabs>
        <w:ind w:left="2880" w:firstLine="0"/>
      </w:pPr>
      <w:rPr>
        <w:vanish w:val="0"/>
        <w:color w:val="auto"/>
      </w:rPr>
    </w:lvl>
    <w:lvl w:ilvl="4">
      <w:start w:val="1"/>
      <w:numFmt w:val="lowerLetter"/>
      <w:pStyle w:val="LowerRomanoutlinedc5"/>
      <w:lvlText w:val="(%5)"/>
      <w:lvlJc w:val="left"/>
      <w:pPr>
        <w:tabs>
          <w:tab w:val="num" w:pos="4320"/>
        </w:tabs>
        <w:ind w:left="3600" w:firstLine="0"/>
      </w:pPr>
      <w:rPr>
        <w:vanish w:val="0"/>
        <w:color w:val="auto"/>
      </w:rPr>
    </w:lvl>
    <w:lvl w:ilvl="5">
      <w:start w:val="1"/>
      <w:numFmt w:val="lowerRoman"/>
      <w:pStyle w:val="LowerRomanoutlinedc6"/>
      <w:lvlText w:val="(%6)"/>
      <w:lvlJc w:val="left"/>
      <w:pPr>
        <w:tabs>
          <w:tab w:val="num" w:pos="5040"/>
        </w:tabs>
        <w:ind w:left="4320" w:firstLine="0"/>
      </w:pPr>
      <w:rPr>
        <w:vanish w:val="0"/>
        <w:color w:val="auto"/>
      </w:rPr>
    </w:lvl>
    <w:lvl w:ilvl="6">
      <w:start w:val="1"/>
      <w:numFmt w:val="decimal"/>
      <w:pStyle w:val="LowerRomanoutlinedc7"/>
      <w:lvlText w:val="%7."/>
      <w:lvlJc w:val="left"/>
      <w:pPr>
        <w:tabs>
          <w:tab w:val="num" w:pos="5760"/>
        </w:tabs>
        <w:ind w:left="5040" w:firstLine="0"/>
      </w:pPr>
      <w:rPr>
        <w:vanish w:val="0"/>
        <w:color w:val="auto"/>
      </w:rPr>
    </w:lvl>
    <w:lvl w:ilvl="7">
      <w:start w:val="1"/>
      <w:numFmt w:val="lowerLetter"/>
      <w:pStyle w:val="LowerRomanoutlinedc8"/>
      <w:lvlText w:val="%8."/>
      <w:lvlJc w:val="left"/>
      <w:pPr>
        <w:tabs>
          <w:tab w:val="num" w:pos="6480"/>
        </w:tabs>
        <w:ind w:left="5760" w:firstLine="0"/>
      </w:pPr>
      <w:rPr>
        <w:vanish w:val="0"/>
        <w:color w:val="auto"/>
      </w:rPr>
    </w:lvl>
    <w:lvl w:ilvl="8">
      <w:start w:val="1"/>
      <w:numFmt w:val="lowerRoman"/>
      <w:pStyle w:val="LowerRomanoutlinedc9"/>
      <w:lvlText w:val="%9."/>
      <w:lvlJc w:val="left"/>
      <w:pPr>
        <w:tabs>
          <w:tab w:val="num" w:pos="7200"/>
        </w:tabs>
        <w:ind w:left="6480" w:firstLine="0"/>
      </w:pPr>
      <w:rPr>
        <w:vanish w:val="0"/>
        <w:color w:val="auto"/>
      </w:rPr>
    </w:lvl>
  </w:abstractNum>
  <w:abstractNum w:abstractNumId="20" w15:restartNumberingAfterBreak="0">
    <w:nsid w:val="7C3E3BB6"/>
    <w:multiLevelType w:val="hybridMultilevel"/>
    <w:tmpl w:val="A8986B96"/>
    <w:name w:val="DocXtoolsCompanion_17"/>
    <w:lvl w:ilvl="0" w:tplc="0F94E54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3"/>
  </w:num>
  <w:num w:numId="17">
    <w:abstractNumId w:val="20"/>
  </w:num>
  <w:num w:numId="18">
    <w:abstractNumId w:val="18"/>
  </w:num>
  <w:num w:numId="19">
    <w:abstractNumId w:val="17"/>
  </w:num>
  <w:num w:numId="20">
    <w:abstractNumId w:val="12"/>
  </w:num>
  <w:num w:numId="21">
    <w:abstractNumId w:val="15"/>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MT Standard"/>
    <w:docVar w:name="LastSchemeUniqueID" w:val="131"/>
    <w:docVar w:name="Option0True" w:val="False"/>
    <w:docVar w:name="Option1True" w:val="False"/>
    <w:docVar w:name="Option2True" w:val="False"/>
    <w:docVar w:name="Option3True" w:val="False"/>
  </w:docVars>
  <w:rsids>
    <w:rsidRoot w:val="000436A2"/>
    <w:rsid w:val="000018AA"/>
    <w:rsid w:val="00013F2E"/>
    <w:rsid w:val="00015647"/>
    <w:rsid w:val="00035F95"/>
    <w:rsid w:val="000436A2"/>
    <w:rsid w:val="00044F40"/>
    <w:rsid w:val="000705B8"/>
    <w:rsid w:val="00073BA4"/>
    <w:rsid w:val="00094C6F"/>
    <w:rsid w:val="000D163E"/>
    <w:rsid w:val="000D5CD8"/>
    <w:rsid w:val="000D7347"/>
    <w:rsid w:val="000F24C2"/>
    <w:rsid w:val="000F3CDD"/>
    <w:rsid w:val="00102A4D"/>
    <w:rsid w:val="0011515A"/>
    <w:rsid w:val="00123500"/>
    <w:rsid w:val="00134A80"/>
    <w:rsid w:val="00143067"/>
    <w:rsid w:val="00150F67"/>
    <w:rsid w:val="001923A6"/>
    <w:rsid w:val="001A7A4A"/>
    <w:rsid w:val="001B27CE"/>
    <w:rsid w:val="001B31F5"/>
    <w:rsid w:val="001F1ECC"/>
    <w:rsid w:val="00207175"/>
    <w:rsid w:val="002143F3"/>
    <w:rsid w:val="00232F81"/>
    <w:rsid w:val="00242181"/>
    <w:rsid w:val="00257D4F"/>
    <w:rsid w:val="002A6173"/>
    <w:rsid w:val="002A7822"/>
    <w:rsid w:val="002E67E5"/>
    <w:rsid w:val="002F3DA2"/>
    <w:rsid w:val="00320E34"/>
    <w:rsid w:val="00322220"/>
    <w:rsid w:val="00322E5E"/>
    <w:rsid w:val="00330415"/>
    <w:rsid w:val="00332DA9"/>
    <w:rsid w:val="003359C8"/>
    <w:rsid w:val="00342242"/>
    <w:rsid w:val="003577D4"/>
    <w:rsid w:val="00372AB7"/>
    <w:rsid w:val="00382E65"/>
    <w:rsid w:val="00386C87"/>
    <w:rsid w:val="003D6C7E"/>
    <w:rsid w:val="003E62B2"/>
    <w:rsid w:val="004063D2"/>
    <w:rsid w:val="00440B1F"/>
    <w:rsid w:val="00450D44"/>
    <w:rsid w:val="004611E8"/>
    <w:rsid w:val="00465988"/>
    <w:rsid w:val="00473918"/>
    <w:rsid w:val="00497EEF"/>
    <w:rsid w:val="004B68A5"/>
    <w:rsid w:val="004C0D94"/>
    <w:rsid w:val="004D6C81"/>
    <w:rsid w:val="004F0FD9"/>
    <w:rsid w:val="00542DCE"/>
    <w:rsid w:val="00560D29"/>
    <w:rsid w:val="005817E5"/>
    <w:rsid w:val="005A203F"/>
    <w:rsid w:val="005E7AD5"/>
    <w:rsid w:val="00603F9E"/>
    <w:rsid w:val="0062470F"/>
    <w:rsid w:val="00656993"/>
    <w:rsid w:val="0066568F"/>
    <w:rsid w:val="00677CCC"/>
    <w:rsid w:val="006817AE"/>
    <w:rsid w:val="006959F3"/>
    <w:rsid w:val="006B710F"/>
    <w:rsid w:val="006C2038"/>
    <w:rsid w:val="006C5627"/>
    <w:rsid w:val="006D342D"/>
    <w:rsid w:val="006E7430"/>
    <w:rsid w:val="006F243A"/>
    <w:rsid w:val="00701D09"/>
    <w:rsid w:val="00716057"/>
    <w:rsid w:val="00721E54"/>
    <w:rsid w:val="00730990"/>
    <w:rsid w:val="00732F6D"/>
    <w:rsid w:val="00764D50"/>
    <w:rsid w:val="00780AC4"/>
    <w:rsid w:val="00796268"/>
    <w:rsid w:val="007B7165"/>
    <w:rsid w:val="007C007B"/>
    <w:rsid w:val="007C6559"/>
    <w:rsid w:val="007F0715"/>
    <w:rsid w:val="008231F1"/>
    <w:rsid w:val="00831337"/>
    <w:rsid w:val="0084339C"/>
    <w:rsid w:val="00854B7D"/>
    <w:rsid w:val="0085670B"/>
    <w:rsid w:val="00867FAC"/>
    <w:rsid w:val="008833ED"/>
    <w:rsid w:val="008B6157"/>
    <w:rsid w:val="008C5648"/>
    <w:rsid w:val="008E4A81"/>
    <w:rsid w:val="008E78BA"/>
    <w:rsid w:val="009003AE"/>
    <w:rsid w:val="00922E12"/>
    <w:rsid w:val="009618A2"/>
    <w:rsid w:val="0096724B"/>
    <w:rsid w:val="00972935"/>
    <w:rsid w:val="00975848"/>
    <w:rsid w:val="009A2EE1"/>
    <w:rsid w:val="009E1E91"/>
    <w:rsid w:val="00A13D7F"/>
    <w:rsid w:val="00A26B3C"/>
    <w:rsid w:val="00A43D73"/>
    <w:rsid w:val="00A6631B"/>
    <w:rsid w:val="00A84C4D"/>
    <w:rsid w:val="00AB0A91"/>
    <w:rsid w:val="00AB32AE"/>
    <w:rsid w:val="00AD683E"/>
    <w:rsid w:val="00AE5738"/>
    <w:rsid w:val="00AF3B8B"/>
    <w:rsid w:val="00B23739"/>
    <w:rsid w:val="00B5157C"/>
    <w:rsid w:val="00B55DAA"/>
    <w:rsid w:val="00B5625A"/>
    <w:rsid w:val="00B73612"/>
    <w:rsid w:val="00B74700"/>
    <w:rsid w:val="00B94518"/>
    <w:rsid w:val="00BB1087"/>
    <w:rsid w:val="00BC26F2"/>
    <w:rsid w:val="00BC4B75"/>
    <w:rsid w:val="00BE236E"/>
    <w:rsid w:val="00BE7FDE"/>
    <w:rsid w:val="00C0538C"/>
    <w:rsid w:val="00C20060"/>
    <w:rsid w:val="00C42468"/>
    <w:rsid w:val="00C46509"/>
    <w:rsid w:val="00C5661C"/>
    <w:rsid w:val="00C61030"/>
    <w:rsid w:val="00C61E9A"/>
    <w:rsid w:val="00C66A22"/>
    <w:rsid w:val="00C724D6"/>
    <w:rsid w:val="00CA1815"/>
    <w:rsid w:val="00CD3C36"/>
    <w:rsid w:val="00D07215"/>
    <w:rsid w:val="00D3213F"/>
    <w:rsid w:val="00D701BA"/>
    <w:rsid w:val="00DA5334"/>
    <w:rsid w:val="00DB18BA"/>
    <w:rsid w:val="00DB257D"/>
    <w:rsid w:val="00DD2AA8"/>
    <w:rsid w:val="00E10DB0"/>
    <w:rsid w:val="00E166C1"/>
    <w:rsid w:val="00E23FB4"/>
    <w:rsid w:val="00E31679"/>
    <w:rsid w:val="00E34B6E"/>
    <w:rsid w:val="00E505B9"/>
    <w:rsid w:val="00E63C53"/>
    <w:rsid w:val="00E70735"/>
    <w:rsid w:val="00E82C9A"/>
    <w:rsid w:val="00E93A30"/>
    <w:rsid w:val="00EC60D7"/>
    <w:rsid w:val="00ED0FDA"/>
    <w:rsid w:val="00F14B6D"/>
    <w:rsid w:val="00F24EA3"/>
    <w:rsid w:val="00F43032"/>
    <w:rsid w:val="00F748FA"/>
    <w:rsid w:val="00F83EA6"/>
    <w:rsid w:val="00FA11E8"/>
    <w:rsid w:val="00FC1045"/>
    <w:rsid w:val="00FD22C4"/>
    <w:rsid w:val="00FD77CA"/>
    <w:rsid w:val="00FE4063"/>
    <w:rsid w:val="00FF7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F881"/>
  <w15:docId w15:val="{EAF5E2FD-EA57-4E13-9816-17405993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5"/>
    <w:rPr>
      <w:rFonts w:ascii="Times New Roman" w:hAnsi="Times New Roman" w:cs="Times New Roman"/>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rsid w:val="00972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935"/>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iPriority w:val="99"/>
    <w:semiHidden/>
    <w:unhideWhenUsed/>
    <w:rsid w:val="00150F67"/>
    <w:pPr>
      <w:spacing w:after="120"/>
    </w:pPr>
  </w:style>
  <w:style w:type="character" w:customStyle="1" w:styleId="BodyTextChar">
    <w:name w:val="Body Text Char"/>
    <w:basedOn w:val="DefaultParagraphFont"/>
    <w:link w:val="BodyText"/>
    <w:uiPriority w:val="99"/>
    <w:semiHidden/>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iPriority w:val="99"/>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Text">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rsid w:val="00922E12"/>
    <w:pPr>
      <w:tabs>
        <w:tab w:val="left" w:pos="720"/>
        <w:tab w:val="right" w:leader="dot" w:pos="9360"/>
      </w:tabs>
      <w:spacing w:after="240"/>
      <w:ind w:left="720" w:right="432" w:hanging="720"/>
    </w:pPr>
  </w:style>
  <w:style w:type="paragraph" w:styleId="TOC2">
    <w:name w:val="toc 2"/>
    <w:basedOn w:val="Normal"/>
    <w:next w:val="Normal"/>
    <w:autoRedefine/>
    <w:uiPriority w:val="39"/>
    <w:rsid w:val="00922E12"/>
    <w:pPr>
      <w:tabs>
        <w:tab w:val="left" w:pos="720"/>
        <w:tab w:val="right" w:leader="dot" w:pos="9360"/>
      </w:tabs>
      <w:spacing w:after="240"/>
      <w:ind w:left="1440" w:right="432" w:hanging="720"/>
    </w:pPr>
  </w:style>
  <w:style w:type="paragraph" w:styleId="TOC3">
    <w:name w:val="toc 3"/>
    <w:basedOn w:val="Normal"/>
    <w:next w:val="Normal"/>
    <w:autoRedefine/>
    <w:uiPriority w:val="39"/>
    <w:rsid w:val="00922E12"/>
    <w:pPr>
      <w:tabs>
        <w:tab w:val="left" w:pos="72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72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72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7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72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72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72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C0538C"/>
    <w:pPr>
      <w:tabs>
        <w:tab w:val="left" w:pos="9072"/>
      </w:tabs>
      <w:spacing w:after="120" w:line="360" w:lineRule="auto"/>
    </w:pPr>
    <w:rPr>
      <w:sz w:val="24"/>
    </w:r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b/>
    </w:rPr>
  </w:style>
  <w:style w:type="paragraph" w:customStyle="1" w:styleId="MTTFactumClosing">
    <w:name w:val="MTTFactumClosing"/>
    <w:basedOn w:val="Normal"/>
    <w:qFormat/>
    <w:rsid w:val="004D6C81"/>
    <w:pPr>
      <w:spacing w:before="480" w:after="720"/>
      <w:ind w:firstLine="720"/>
    </w:pPr>
    <w:rPr>
      <w:sz w:val="24"/>
    </w:rPr>
  </w:style>
  <w:style w:type="paragraph" w:customStyle="1" w:styleId="MTTFACTUMPART">
    <w:name w:val="MTTFACTUMPART"/>
    <w:basedOn w:val="Normal"/>
    <w:rsid w:val="00972935"/>
    <w:pPr>
      <w:keepNext/>
      <w:numPr>
        <w:numId w:val="11"/>
      </w:numPr>
      <w:spacing w:before="360" w:after="240"/>
      <w:jc w:val="center"/>
      <w:outlineLvl w:val="0"/>
    </w:pPr>
    <w:rPr>
      <w:b/>
      <w:caps/>
      <w:sz w:val="24"/>
    </w:rPr>
  </w:style>
  <w:style w:type="paragraph" w:customStyle="1" w:styleId="MTTFACTUMHEAD">
    <w:name w:val="MTTFACTUMHEAD"/>
    <w:basedOn w:val="Normal"/>
    <w:next w:val="MTTFACTUMPART"/>
    <w:qFormat/>
    <w:rsid w:val="00C46509"/>
    <w:pPr>
      <w:keepNext/>
      <w:spacing w:before="240"/>
      <w:jc w:val="center"/>
    </w:pPr>
    <w:rPr>
      <w:b/>
      <w:caps/>
      <w:sz w:val="28"/>
    </w:rPr>
  </w:style>
  <w:style w:type="paragraph" w:customStyle="1" w:styleId="MTTFactumQuote">
    <w:name w:val="MTTFactumQuote"/>
    <w:basedOn w:val="Normal"/>
    <w:next w:val="MTTFactumReference"/>
    <w:qFormat/>
    <w:rsid w:val="00C0538C"/>
    <w:pPr>
      <w:spacing w:before="240" w:after="240"/>
      <w:ind w:left="720" w:right="720"/>
    </w:pPr>
    <w:rPr>
      <w:sz w:val="24"/>
    </w:rPr>
  </w:style>
  <w:style w:type="paragraph" w:customStyle="1" w:styleId="MTTFactumReference">
    <w:name w:val="MTTFactumReference"/>
    <w:basedOn w:val="Normal"/>
    <w:next w:val="Heading1"/>
    <w:qFormat/>
    <w:rsid w:val="00AD683E"/>
    <w:pPr>
      <w:numPr>
        <w:numId w:val="14"/>
      </w:numPr>
      <w:spacing w:before="240"/>
    </w:pPr>
    <w:rPr>
      <w:sz w:val="24"/>
    </w:rPr>
  </w:style>
  <w:style w:type="paragraph" w:customStyle="1" w:styleId="MTTFactumSignature">
    <w:name w:val="MTTFactumSignature"/>
    <w:basedOn w:val="Normal"/>
    <w:qFormat/>
    <w:rsid w:val="00854B7D"/>
    <w:rPr>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 w:type="paragraph" w:customStyle="1" w:styleId="Ju">
    <w:name w:val="Ju"/>
    <w:basedOn w:val="MTTFACTUMPART"/>
    <w:rsid w:val="001B27CE"/>
    <w:pPr>
      <w:numPr>
        <w:numId w:val="0"/>
      </w:numPr>
      <w:jc w:val="left"/>
    </w:pPr>
  </w:style>
  <w:style w:type="paragraph" w:customStyle="1" w:styleId="Secondary">
    <w:name w:val="Secondary"/>
    <w:basedOn w:val="MTBody"/>
    <w:qFormat/>
    <w:rsid w:val="00922E12"/>
    <w:pPr>
      <w:ind w:firstLine="720"/>
    </w:pPr>
    <w:rPr>
      <w:u w:val="single"/>
    </w:rPr>
  </w:style>
  <w:style w:type="paragraph" w:customStyle="1" w:styleId="Third">
    <w:name w:val="Third"/>
    <w:basedOn w:val="MTBody"/>
    <w:qFormat/>
    <w:rsid w:val="00922E12"/>
    <w:pPr>
      <w:ind w:firstLine="720"/>
    </w:pPr>
    <w:rPr>
      <w:i/>
    </w:rPr>
  </w:style>
  <w:style w:type="paragraph" w:customStyle="1" w:styleId="MTTFACTUMPART2">
    <w:name w:val="MTTFACTUMPART2"/>
    <w:basedOn w:val="Normal"/>
    <w:rsid w:val="00972935"/>
    <w:pPr>
      <w:numPr>
        <w:ilvl w:val="1"/>
        <w:numId w:val="11"/>
      </w:numPr>
      <w:spacing w:after="120" w:line="360" w:lineRule="auto"/>
      <w:outlineLvl w:val="1"/>
    </w:pPr>
    <w:rPr>
      <w:sz w:val="24"/>
    </w:rPr>
  </w:style>
  <w:style w:type="paragraph" w:customStyle="1" w:styleId="MTTFACTUMPART3">
    <w:name w:val="MTTFACTUMPART3"/>
    <w:basedOn w:val="Normal"/>
    <w:rsid w:val="00972935"/>
    <w:pPr>
      <w:numPr>
        <w:ilvl w:val="2"/>
        <w:numId w:val="11"/>
      </w:numPr>
      <w:outlineLvl w:val="2"/>
    </w:pPr>
    <w:rPr>
      <w:sz w:val="24"/>
    </w:rPr>
  </w:style>
  <w:style w:type="paragraph" w:customStyle="1" w:styleId="MTTFACTUMPART4">
    <w:name w:val="MTTFACTUMPART4"/>
    <w:basedOn w:val="Normal"/>
    <w:rsid w:val="00972935"/>
    <w:pPr>
      <w:numPr>
        <w:ilvl w:val="3"/>
        <w:numId w:val="11"/>
      </w:numPr>
      <w:outlineLvl w:val="3"/>
    </w:pPr>
    <w:rPr>
      <w:sz w:val="24"/>
    </w:rPr>
  </w:style>
  <w:style w:type="paragraph" w:customStyle="1" w:styleId="MTTFACTUMPART5">
    <w:name w:val="MTTFACTUMPART5"/>
    <w:basedOn w:val="Normal"/>
    <w:rsid w:val="00972935"/>
    <w:pPr>
      <w:numPr>
        <w:ilvl w:val="4"/>
        <w:numId w:val="11"/>
      </w:numPr>
      <w:outlineLvl w:val="4"/>
    </w:pPr>
    <w:rPr>
      <w:sz w:val="24"/>
    </w:rPr>
  </w:style>
  <w:style w:type="paragraph" w:customStyle="1" w:styleId="MTTFACTUMPART6">
    <w:name w:val="MTTFACTUMPART6"/>
    <w:basedOn w:val="Normal"/>
    <w:rsid w:val="00972935"/>
    <w:pPr>
      <w:numPr>
        <w:ilvl w:val="5"/>
        <w:numId w:val="11"/>
      </w:numPr>
      <w:outlineLvl w:val="5"/>
    </w:pPr>
    <w:rPr>
      <w:sz w:val="24"/>
    </w:rPr>
  </w:style>
  <w:style w:type="paragraph" w:customStyle="1" w:styleId="MTTFACTUMPART7">
    <w:name w:val="MTTFACTUMPART7"/>
    <w:basedOn w:val="Normal"/>
    <w:rsid w:val="00972935"/>
    <w:pPr>
      <w:numPr>
        <w:ilvl w:val="6"/>
        <w:numId w:val="11"/>
      </w:numPr>
      <w:outlineLvl w:val="6"/>
    </w:pPr>
    <w:rPr>
      <w:sz w:val="24"/>
    </w:rPr>
  </w:style>
  <w:style w:type="paragraph" w:customStyle="1" w:styleId="MTTFACTUMPART8">
    <w:name w:val="MTTFACTUMPART8"/>
    <w:basedOn w:val="Normal"/>
    <w:rsid w:val="00972935"/>
    <w:pPr>
      <w:numPr>
        <w:ilvl w:val="7"/>
        <w:numId w:val="11"/>
      </w:numPr>
      <w:outlineLvl w:val="7"/>
    </w:pPr>
    <w:rPr>
      <w:sz w:val="24"/>
    </w:rPr>
  </w:style>
  <w:style w:type="paragraph" w:customStyle="1" w:styleId="MTTFACTUMPART9">
    <w:name w:val="MTTFACTUMPART9"/>
    <w:basedOn w:val="Normal"/>
    <w:rsid w:val="00972935"/>
    <w:pPr>
      <w:numPr>
        <w:ilvl w:val="8"/>
        <w:numId w:val="11"/>
      </w:numPr>
      <w:outlineLvl w:val="8"/>
    </w:pPr>
    <w:rPr>
      <w:sz w:val="24"/>
    </w:rPr>
  </w:style>
  <w:style w:type="paragraph" w:customStyle="1" w:styleId="LowerRomanoutlinedc1">
    <w:name w:val="LowerRoman_outlinedc_1"/>
    <w:basedOn w:val="Normal"/>
    <w:rsid w:val="00972935"/>
    <w:pPr>
      <w:numPr>
        <w:numId w:val="22"/>
      </w:numPr>
      <w:spacing w:before="240" w:after="240"/>
      <w:outlineLvl w:val="0"/>
    </w:pPr>
    <w:rPr>
      <w:sz w:val="24"/>
    </w:rPr>
  </w:style>
  <w:style w:type="paragraph" w:customStyle="1" w:styleId="LowerRomanoutlinedc2">
    <w:name w:val="LowerRoman_outlinedc_2"/>
    <w:basedOn w:val="Normal"/>
    <w:rsid w:val="00972935"/>
    <w:pPr>
      <w:numPr>
        <w:ilvl w:val="1"/>
        <w:numId w:val="22"/>
      </w:numPr>
      <w:outlineLvl w:val="1"/>
    </w:pPr>
    <w:rPr>
      <w:sz w:val="24"/>
    </w:rPr>
  </w:style>
  <w:style w:type="paragraph" w:customStyle="1" w:styleId="LowerRomanoutlinedc3">
    <w:name w:val="LowerRoman_outlinedc_3"/>
    <w:basedOn w:val="Normal"/>
    <w:rsid w:val="00972935"/>
    <w:pPr>
      <w:numPr>
        <w:ilvl w:val="2"/>
        <w:numId w:val="22"/>
      </w:numPr>
      <w:outlineLvl w:val="2"/>
    </w:pPr>
    <w:rPr>
      <w:sz w:val="24"/>
    </w:rPr>
  </w:style>
  <w:style w:type="paragraph" w:customStyle="1" w:styleId="LowerRomanoutlinedc4">
    <w:name w:val="LowerRoman_outlinedc_4"/>
    <w:basedOn w:val="Normal"/>
    <w:rsid w:val="00972935"/>
    <w:pPr>
      <w:numPr>
        <w:ilvl w:val="3"/>
        <w:numId w:val="22"/>
      </w:numPr>
      <w:outlineLvl w:val="3"/>
    </w:pPr>
    <w:rPr>
      <w:sz w:val="24"/>
    </w:rPr>
  </w:style>
  <w:style w:type="paragraph" w:customStyle="1" w:styleId="LowerRomanoutlinedc5">
    <w:name w:val="LowerRoman_outlinedc_5"/>
    <w:basedOn w:val="Normal"/>
    <w:rsid w:val="00972935"/>
    <w:pPr>
      <w:numPr>
        <w:ilvl w:val="4"/>
        <w:numId w:val="22"/>
      </w:numPr>
      <w:outlineLvl w:val="4"/>
    </w:pPr>
    <w:rPr>
      <w:sz w:val="24"/>
    </w:rPr>
  </w:style>
  <w:style w:type="paragraph" w:customStyle="1" w:styleId="LowerRomanoutlinedc6">
    <w:name w:val="LowerRoman_outlinedc_6"/>
    <w:basedOn w:val="Normal"/>
    <w:rsid w:val="00972935"/>
    <w:pPr>
      <w:numPr>
        <w:ilvl w:val="5"/>
        <w:numId w:val="22"/>
      </w:numPr>
      <w:outlineLvl w:val="5"/>
    </w:pPr>
    <w:rPr>
      <w:sz w:val="24"/>
    </w:rPr>
  </w:style>
  <w:style w:type="paragraph" w:customStyle="1" w:styleId="LowerRomanoutlinedc7">
    <w:name w:val="LowerRoman_outlinedc_7"/>
    <w:basedOn w:val="Normal"/>
    <w:rsid w:val="00972935"/>
    <w:pPr>
      <w:numPr>
        <w:ilvl w:val="6"/>
        <w:numId w:val="22"/>
      </w:numPr>
      <w:outlineLvl w:val="6"/>
    </w:pPr>
    <w:rPr>
      <w:sz w:val="24"/>
    </w:rPr>
  </w:style>
  <w:style w:type="paragraph" w:customStyle="1" w:styleId="LowerRomanoutlinedc8">
    <w:name w:val="LowerRoman_outlinedc_8"/>
    <w:basedOn w:val="Normal"/>
    <w:rsid w:val="00972935"/>
    <w:pPr>
      <w:numPr>
        <w:ilvl w:val="7"/>
        <w:numId w:val="22"/>
      </w:numPr>
      <w:outlineLvl w:val="7"/>
    </w:pPr>
    <w:rPr>
      <w:sz w:val="24"/>
    </w:rPr>
  </w:style>
  <w:style w:type="paragraph" w:customStyle="1" w:styleId="LowerRomanoutlinedc9">
    <w:name w:val="LowerRoman_outlinedc_9"/>
    <w:basedOn w:val="Normal"/>
    <w:rsid w:val="00972935"/>
    <w:pPr>
      <w:numPr>
        <w:ilvl w:val="8"/>
        <w:numId w:val="22"/>
      </w:numPr>
      <w:outlineLvl w:val="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1371">
      <w:bodyDiv w:val="1"/>
      <w:marLeft w:val="0"/>
      <w:marRight w:val="0"/>
      <w:marTop w:val="0"/>
      <w:marBottom w:val="0"/>
      <w:divBdr>
        <w:top w:val="none" w:sz="0" w:space="0" w:color="auto"/>
        <w:left w:val="none" w:sz="0" w:space="0" w:color="auto"/>
        <w:bottom w:val="none" w:sz="0" w:space="0" w:color="auto"/>
        <w:right w:val="none" w:sz="0" w:space="0" w:color="auto"/>
      </w:divBdr>
    </w:div>
    <w:div w:id="1204247003">
      <w:bodyDiv w:val="1"/>
      <w:marLeft w:val="0"/>
      <w:marRight w:val="0"/>
      <w:marTop w:val="0"/>
      <w:marBottom w:val="0"/>
      <w:divBdr>
        <w:top w:val="none" w:sz="0" w:space="0" w:color="auto"/>
        <w:left w:val="none" w:sz="0" w:space="0" w:color="auto"/>
        <w:bottom w:val="none" w:sz="0" w:space="0" w:color="auto"/>
        <w:right w:val="none" w:sz="0" w:space="0" w:color="auto"/>
      </w:divBdr>
    </w:div>
    <w:div w:id="14601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ayne\Templates\M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4caccd-d4da-4c8b-9501-ba9a2565c6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278A750DBF34496234AEC365B2E4B" ma:contentTypeVersion="16" ma:contentTypeDescription="Create a new document." ma:contentTypeScope="" ma:versionID="66199992feb3c87f96356d8bae78c8c2">
  <xsd:schema xmlns:xsd="http://www.w3.org/2001/XMLSchema" xmlns:xs="http://www.w3.org/2001/XMLSchema" xmlns:p="http://schemas.microsoft.com/office/2006/metadata/properties" xmlns:ns3="cb4caccd-d4da-4c8b-9501-ba9a2565c6e7" xmlns:ns4="fb9796a0-6f34-4dac-a0ba-3b3ecdcbe6fe" targetNamespace="http://schemas.microsoft.com/office/2006/metadata/properties" ma:root="true" ma:fieldsID="bec4a25dedcefc59a6544d5535130af0" ns3:_="" ns4:_="">
    <xsd:import namespace="cb4caccd-d4da-4c8b-9501-ba9a2565c6e7"/>
    <xsd:import namespace="fb9796a0-6f34-4dac-a0ba-3b3ecdcbe6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caccd-d4da-4c8b-9501-ba9a2565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796a0-6f34-4dac-a0ba-3b3ecdcbe6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1FF3-C75B-4AE1-8152-39A309162AF8}">
  <ds:schemaRefs>
    <ds:schemaRef ds:uri="http://schemas.microsoft.com/office/2006/metadata/properties"/>
    <ds:schemaRef ds:uri="http://schemas.microsoft.com/office/infopath/2007/PartnerControls"/>
    <ds:schemaRef ds:uri="cb4caccd-d4da-4c8b-9501-ba9a2565c6e7"/>
  </ds:schemaRefs>
</ds:datastoreItem>
</file>

<file path=customXml/itemProps2.xml><?xml version="1.0" encoding="utf-8"?>
<ds:datastoreItem xmlns:ds="http://schemas.openxmlformats.org/officeDocument/2006/customXml" ds:itemID="{B81168DD-B6EB-43BB-8685-6D382180030A}">
  <ds:schemaRefs>
    <ds:schemaRef ds:uri="http://schemas.microsoft.com/sharepoint/v3/contenttype/forms"/>
  </ds:schemaRefs>
</ds:datastoreItem>
</file>

<file path=customXml/itemProps3.xml><?xml version="1.0" encoding="utf-8"?>
<ds:datastoreItem xmlns:ds="http://schemas.openxmlformats.org/officeDocument/2006/customXml" ds:itemID="{37A7A6BA-754F-4E64-840D-482B1F5FB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caccd-d4da-4c8b-9501-ba9a2565c6e7"/>
    <ds:schemaRef ds:uri="fb9796a0-6f34-4dac-a0ba-3b3ecdcb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223D-7D92-466F-871B-AB072112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15</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Lance</dc:creator>
  <cp:lastModifiedBy>Williams, Lance</cp:lastModifiedBy>
  <cp:revision>57</cp:revision>
  <cp:lastPrinted>2024-02-26T00:26:00Z</cp:lastPrinted>
  <dcterms:created xsi:type="dcterms:W3CDTF">2024-02-14T22:23:00Z</dcterms:created>
  <dcterms:modified xsi:type="dcterms:W3CDTF">2024-02-26T01:54:00Z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y fmtid="{D5CDD505-2E9C-101B-9397-08002B2CF9AE}" pid="4" name="ContentTypeId">
    <vt:lpwstr>0x010100937278A750DBF34496234AEC365B2E4B</vt:lpwstr>
  </property>
</Properties>
</file>