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r>
      <w:r w:rsidRPr="007E48E1">
        <w:rPr>
          <w:rFonts w:ascii="Avenir Next" w:hAnsi="Avenir Next"/>
          <w:highlight w:val="yellow"/>
        </w:rPr>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r>
      <w:r w:rsidRPr="007E48E1">
        <w:rPr>
          <w:rFonts w:ascii="Avenir Next" w:hAnsi="Avenir Next"/>
          <w:highlight w:val="yellow"/>
        </w:rPr>
        <w:t>A shareholder in Investment Corp, Car Corp’s parent company</w:t>
      </w:r>
      <w:r w:rsidR="00631394" w:rsidRPr="007E48E1">
        <w:rPr>
          <w:rFonts w:ascii="Avenir Next" w:hAnsi="Avenir Next"/>
          <w:highlight w:val="yellow"/>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t>A retired employee of Car Corp who receives payments from the company’s pension plan</w:t>
      </w:r>
      <w:r w:rsidR="00631394" w:rsidRPr="003C0F8C">
        <w:rPr>
          <w:rFonts w:ascii="Avenir Next" w:hAnsi="Avenir Next"/>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r>
      <w:r w:rsidRPr="00023E7D">
        <w:rPr>
          <w:rFonts w:ascii="Avenir Next" w:hAnsi="Avenir Next"/>
          <w:highlight w:val="yellow"/>
        </w:rPr>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r>
      <w:r w:rsidR="00B849C5" w:rsidRPr="003C0F8C">
        <w:rPr>
          <w:rFonts w:ascii="Avenir Next" w:hAnsi="Avenir Next"/>
        </w:rPr>
        <w:t xml:space="preserve">Options (a) to (c) </w:t>
      </w:r>
      <w:r w:rsidRPr="003C0F8C">
        <w:rPr>
          <w:rFonts w:ascii="Avenir Next" w:hAnsi="Avenir Next"/>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 xml:space="preserve">The board of directors of the debtor if it is a debtor-in-possession in the foreign </w:t>
      </w:r>
      <w:proofErr w:type="gramStart"/>
      <w:r w:rsidRPr="00F71246">
        <w:rPr>
          <w:rFonts w:ascii="Avenir Next" w:hAnsi="Avenir Next"/>
        </w:rPr>
        <w:t>proceeding</w:t>
      </w:r>
      <w:proofErr w:type="gramEnd"/>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r>
      <w:r w:rsidRPr="00023E7D">
        <w:rPr>
          <w:rFonts w:ascii="Avenir Next" w:hAnsi="Avenir Next"/>
          <w:highlight w:val="yellow"/>
        </w:rPr>
        <w:t xml:space="preserve">An insolvency professional appointed by the court overseeing the foreign </w:t>
      </w:r>
      <w:proofErr w:type="gramStart"/>
      <w:r w:rsidRPr="00023E7D">
        <w:rPr>
          <w:rFonts w:ascii="Avenir Next" w:hAnsi="Avenir Next"/>
          <w:highlight w:val="yellow"/>
        </w:rPr>
        <w:t>proceeding</w:t>
      </w:r>
      <w:proofErr w:type="gramEnd"/>
      <w:r w:rsidR="0036662D" w:rsidRPr="00023E7D">
        <w:rPr>
          <w:rFonts w:ascii="Avenir Next" w:hAnsi="Avenir Next"/>
          <w:highlight w:val="yellow"/>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352E16">
        <w:rPr>
          <w:rFonts w:ascii="Avenir Next" w:hAnsi="Avenir Next"/>
        </w:rPr>
        <w:t>(e)</w:t>
      </w:r>
      <w:r w:rsidRPr="00352E16">
        <w:rPr>
          <w:rFonts w:ascii="Avenir Next" w:hAnsi="Avenir Next"/>
        </w:rPr>
        <w:tab/>
        <w:t>All of the above</w:t>
      </w:r>
      <w:r w:rsidR="006A42F8" w:rsidRPr="00352E16">
        <w:rPr>
          <w:rFonts w:ascii="Avenir Next" w:hAnsi="Avenir Next"/>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352E16">
        <w:rPr>
          <w:rFonts w:ascii="Avenir Next" w:hAnsi="Avenir Next"/>
        </w:rPr>
        <w:t>(b)</w:t>
      </w:r>
      <w:r w:rsidRPr="00352E16">
        <w:rPr>
          <w:rFonts w:ascii="Avenir Next" w:hAnsi="Avenir Next"/>
        </w:rPr>
        <w:tab/>
      </w:r>
      <w:r w:rsidRPr="00023E7D">
        <w:rPr>
          <w:rFonts w:ascii="Avenir Next" w:hAnsi="Avenir Next"/>
          <w:highlight w:val="yellow"/>
        </w:rPr>
        <w:t xml:space="preserve">Executory contracts are clearly defined by the </w:t>
      </w:r>
      <w:r w:rsidR="00ED7BF3" w:rsidRPr="00023E7D">
        <w:rPr>
          <w:rFonts w:ascii="Avenir Next" w:hAnsi="Avenir Next"/>
          <w:highlight w:val="yellow"/>
        </w:rPr>
        <w:t>B</w:t>
      </w:r>
      <w:r w:rsidRPr="00023E7D">
        <w:rPr>
          <w:rFonts w:ascii="Avenir Next" w:hAnsi="Avenir Next"/>
          <w:highlight w:val="yellow"/>
        </w:rPr>
        <w:t xml:space="preserve">ankruptcy </w:t>
      </w:r>
      <w:r w:rsidR="00ED7BF3" w:rsidRPr="00023E7D">
        <w:rPr>
          <w:rFonts w:ascii="Avenir Next" w:hAnsi="Avenir Next"/>
          <w:highlight w:val="yellow"/>
        </w:rPr>
        <w:t>C</w:t>
      </w:r>
      <w:r w:rsidRPr="00023E7D">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582AB6" w:rsidRDefault="000643AB" w:rsidP="00875912">
      <w:pPr>
        <w:pStyle w:val="AODocTxt"/>
        <w:numPr>
          <w:ilvl w:val="0"/>
          <w:numId w:val="24"/>
        </w:numPr>
        <w:spacing w:before="0" w:line="240" w:lineRule="auto"/>
        <w:ind w:left="426" w:hanging="426"/>
        <w:rPr>
          <w:rFonts w:ascii="Avenir Next" w:hAnsi="Avenir Next"/>
          <w:highlight w:val="yellow"/>
        </w:rPr>
      </w:pPr>
      <w:r w:rsidRPr="00582AB6">
        <w:rPr>
          <w:rFonts w:ascii="Avenir Next" w:hAnsi="Avenir Next"/>
          <w:highlight w:val="yellow"/>
        </w:rPr>
        <w:t>Acceptance of the plan by all classes of secured creditors</w:t>
      </w:r>
      <w:r w:rsidR="006844A8" w:rsidRPr="00582AB6">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582AB6" w:rsidRDefault="00C24FAB" w:rsidP="009017A1">
      <w:pPr>
        <w:pStyle w:val="AODocTxt"/>
        <w:numPr>
          <w:ilvl w:val="0"/>
          <w:numId w:val="33"/>
        </w:numPr>
        <w:spacing w:before="0" w:line="240" w:lineRule="auto"/>
        <w:ind w:left="426" w:hanging="426"/>
        <w:rPr>
          <w:rFonts w:ascii="Avenir Next" w:hAnsi="Avenir Next"/>
          <w:highlight w:val="yellow"/>
        </w:rPr>
      </w:pPr>
      <w:r w:rsidRPr="00582AB6">
        <w:rPr>
          <w:rFonts w:ascii="Avenir Next" w:hAnsi="Avenir Next"/>
          <w:highlight w:val="yellow"/>
        </w:rPr>
        <w:t xml:space="preserve">A pre-pack cannot be used if the debtor wishes to reject executory contracts. </w:t>
      </w:r>
    </w:p>
    <w:p w14:paraId="2AEF3B85" w14:textId="77777777" w:rsidR="00BF1B3E" w:rsidRPr="00582AB6"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582AB6" w:rsidRDefault="00853272" w:rsidP="00BA74EF">
      <w:pPr>
        <w:pStyle w:val="AODocTxt"/>
        <w:numPr>
          <w:ilvl w:val="0"/>
          <w:numId w:val="28"/>
        </w:numPr>
        <w:spacing w:before="0" w:line="240" w:lineRule="auto"/>
        <w:ind w:left="426" w:hanging="426"/>
        <w:rPr>
          <w:rFonts w:ascii="Avenir Next" w:hAnsi="Avenir Next"/>
          <w:highlight w:val="yellow"/>
        </w:rPr>
      </w:pPr>
      <w:r w:rsidRPr="00582AB6">
        <w:rPr>
          <w:rFonts w:ascii="Avenir Next" w:hAnsi="Avenir Next"/>
          <w:highlight w:val="yellow"/>
        </w:rPr>
        <w:t xml:space="preserve">Both </w:t>
      </w:r>
      <w:r w:rsidR="0072569E" w:rsidRPr="00582AB6">
        <w:rPr>
          <w:rFonts w:ascii="Avenir Next" w:hAnsi="Avenir Next"/>
          <w:highlight w:val="yellow"/>
        </w:rPr>
        <w:t xml:space="preserve">options </w:t>
      </w:r>
      <w:r w:rsidRPr="00582AB6">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582AB6">
        <w:rPr>
          <w:rFonts w:ascii="Avenir Next" w:hAnsi="Avenir Next"/>
          <w:highlight w:val="yellow"/>
        </w:rPr>
        <w:t>In chapter 15 proceedings, a foreign court’s approval alone suffices for a 363 sale</w:t>
      </w:r>
      <w:r w:rsidRPr="00352E16">
        <w:rPr>
          <w:rFonts w:ascii="Avenir Next" w:hAnsi="Avenir Next"/>
        </w:rPr>
        <w:t>.</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 xml:space="preserve">A creditor’s </w:t>
      </w:r>
      <w:proofErr w:type="gramStart"/>
      <w:r w:rsidRPr="00334B98">
        <w:rPr>
          <w:rFonts w:ascii="Avenir Next" w:hAnsi="Avenir Next"/>
        </w:rPr>
        <w:t>lien</w:t>
      </w:r>
      <w:proofErr w:type="gramEnd"/>
      <w:r w:rsidRPr="00334B98">
        <w:rPr>
          <w:rFonts w:ascii="Avenir Next" w:hAnsi="Avenir Next"/>
        </w:rPr>
        <w:t xml:space="preserve">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582AB6" w:rsidRDefault="00740655" w:rsidP="00DF5F7C">
      <w:pPr>
        <w:pStyle w:val="AODocTxt"/>
        <w:keepNext/>
        <w:numPr>
          <w:ilvl w:val="0"/>
          <w:numId w:val="35"/>
        </w:numPr>
        <w:spacing w:before="0" w:line="240" w:lineRule="auto"/>
        <w:ind w:left="426" w:hanging="426"/>
        <w:rPr>
          <w:rFonts w:ascii="Avenir Next" w:hAnsi="Avenir Next"/>
          <w:highlight w:val="yellow"/>
        </w:rPr>
      </w:pPr>
      <w:r w:rsidRPr="00582AB6">
        <w:rPr>
          <w:rFonts w:ascii="Avenir Next" w:hAnsi="Avenir Next"/>
          <w:highlight w:val="yellow"/>
        </w:rPr>
        <w:t xml:space="preserve">If a creditor can show it extended credit </w:t>
      </w:r>
      <w:proofErr w:type="gramStart"/>
      <w:r w:rsidRPr="00582AB6">
        <w:rPr>
          <w:rFonts w:ascii="Avenir Next" w:hAnsi="Avenir Next"/>
          <w:highlight w:val="yellow"/>
        </w:rPr>
        <w:t>on the basis of</w:t>
      </w:r>
      <w:proofErr w:type="gramEnd"/>
      <w:r w:rsidRPr="00582AB6">
        <w:rPr>
          <w:rFonts w:ascii="Avenir Next" w:hAnsi="Avenir Next"/>
          <w:highlight w:val="yellow"/>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07A13A05" w14:textId="1C1A0FAB" w:rsidR="003C2A71" w:rsidRDefault="003C2A71"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Setoff </w:t>
      </w:r>
      <w:proofErr w:type="gramStart"/>
      <w:r>
        <w:rPr>
          <w:rFonts w:ascii="Avenir Next" w:hAnsi="Avenir Next"/>
          <w:color w:val="808080" w:themeColor="background1" w:themeShade="80"/>
        </w:rPr>
        <w:t>in</w:t>
      </w:r>
      <w:proofErr w:type="gramEnd"/>
      <w:r>
        <w:rPr>
          <w:rFonts w:ascii="Avenir Next" w:hAnsi="Avenir Next"/>
          <w:color w:val="808080" w:themeColor="background1" w:themeShade="80"/>
        </w:rPr>
        <w:t xml:space="preserve"> a legal right that permits a creditor holding a claim against the debtor and simultaneously owning money to the debtor to net out the two (or more) obligations.</w:t>
      </w:r>
    </w:p>
    <w:p w14:paraId="6CFEB1B9" w14:textId="713F907C" w:rsidR="003C2A71" w:rsidRDefault="003C2A71"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Set off is not permitted in number of circumstances </w:t>
      </w:r>
      <w:r w:rsidR="00EA5B2C">
        <w:rPr>
          <w:rFonts w:ascii="Avenir Next" w:hAnsi="Avenir Next"/>
          <w:color w:val="808080" w:themeColor="background1" w:themeShade="80"/>
        </w:rPr>
        <w:t>because setoff rights can improve the position of the creditor as compared to other unsecured creditors who are not owing money by the debtor and because it decreases its obligation to the estate by the full amount owed by the debtor rather than the lesser amount the debtor would pay to the unsecured claim.</w:t>
      </w:r>
    </w:p>
    <w:p w14:paraId="38FF346C" w14:textId="77777777" w:rsidR="003C2A71" w:rsidRDefault="003C2A71" w:rsidP="00323167">
      <w:pPr>
        <w:pStyle w:val="AODocTxt"/>
        <w:spacing w:before="0" w:line="240" w:lineRule="auto"/>
        <w:rPr>
          <w:rFonts w:ascii="Avenir Next" w:hAnsi="Avenir Next"/>
          <w:color w:val="808080" w:themeColor="background1" w:themeShade="80"/>
        </w:rPr>
      </w:pPr>
    </w:p>
    <w:p w14:paraId="3987C5A5" w14:textId="77777777" w:rsidR="003C2A71" w:rsidRPr="003C2A71" w:rsidRDefault="003C2A71" w:rsidP="00323167">
      <w:pPr>
        <w:pStyle w:val="AODocTxt"/>
        <w:spacing w:before="0" w:line="240" w:lineRule="auto"/>
        <w:rPr>
          <w:rFonts w:ascii="Avenir Next" w:hAnsi="Avenir Next"/>
          <w:color w:val="808080" w:themeColor="background1" w:themeShade="80"/>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 xml:space="preserve">What is a “priming </w:t>
      </w:r>
      <w:proofErr w:type="gramStart"/>
      <w:r w:rsidRPr="001647AD">
        <w:rPr>
          <w:rFonts w:ascii="Avenir Next" w:hAnsi="Avenir Next"/>
        </w:rPr>
        <w:t>lien</w:t>
      </w:r>
      <w:proofErr w:type="gramEnd"/>
      <w:r w:rsidRPr="001647AD">
        <w:rPr>
          <w:rFonts w:ascii="Avenir Next" w:hAnsi="Avenir Next"/>
        </w:rPr>
        <w:t>”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5306076B" w14:textId="2FA36BA1" w:rsidR="00864F8A" w:rsidRDefault="00362FA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the context of bankruptcy</w:t>
      </w:r>
      <w:r w:rsidR="00864F8A">
        <w:rPr>
          <w:rFonts w:ascii="Avenir Next" w:hAnsi="Avenir Next"/>
          <w:color w:val="808080" w:themeColor="background1" w:themeShade="80"/>
        </w:rPr>
        <w:t xml:space="preserve"> </w:t>
      </w:r>
      <w:proofErr w:type="gramStart"/>
      <w:r w:rsidR="00864F8A">
        <w:rPr>
          <w:rFonts w:ascii="Avenir Next" w:hAnsi="Avenir Next"/>
          <w:color w:val="808080" w:themeColor="background1" w:themeShade="80"/>
        </w:rPr>
        <w:t xml:space="preserve">law </w:t>
      </w:r>
      <w:r>
        <w:rPr>
          <w:rFonts w:ascii="Avenir Next" w:hAnsi="Avenir Next"/>
          <w:color w:val="808080" w:themeColor="background1" w:themeShade="80"/>
        </w:rPr>
        <w:t xml:space="preserve"> a</w:t>
      </w:r>
      <w:proofErr w:type="gramEnd"/>
      <w:r>
        <w:rPr>
          <w:rFonts w:ascii="Avenir Next" w:hAnsi="Avenir Next"/>
          <w:color w:val="808080" w:themeColor="background1" w:themeShade="80"/>
        </w:rPr>
        <w:t xml:space="preserve"> “Priming lien” refers to a senior or equal to pre-petition </w:t>
      </w:r>
      <w:proofErr w:type="gramStart"/>
      <w:r>
        <w:rPr>
          <w:rFonts w:ascii="Avenir Next" w:hAnsi="Avenir Next"/>
          <w:color w:val="808080" w:themeColor="background1" w:themeShade="80"/>
        </w:rPr>
        <w:t>lien</w:t>
      </w:r>
      <w:proofErr w:type="gramEnd"/>
      <w:r>
        <w:rPr>
          <w:rFonts w:ascii="Avenir Next" w:hAnsi="Avenir Next"/>
          <w:color w:val="808080" w:themeColor="background1" w:themeShade="80"/>
        </w:rPr>
        <w:t xml:space="preserve"> on estate property to secure post-petition financing.  Following requirements must be met for such a lien </w:t>
      </w:r>
      <w:r w:rsidR="00864F8A">
        <w:rPr>
          <w:rFonts w:ascii="Avenir Next" w:hAnsi="Avenir Next"/>
          <w:color w:val="808080" w:themeColor="background1" w:themeShade="80"/>
        </w:rPr>
        <w:t>to be granted to secure DIP financing in US Bankruptcy law:</w:t>
      </w:r>
    </w:p>
    <w:p w14:paraId="3FD924BB" w14:textId="10291387" w:rsidR="001D3BAA" w:rsidRDefault="00864F8A" w:rsidP="00864F8A">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 </w:t>
      </w:r>
      <w:r w:rsidR="00362FA5">
        <w:rPr>
          <w:rFonts w:ascii="Avenir Next" w:hAnsi="Avenir Next"/>
          <w:color w:val="808080" w:themeColor="background1" w:themeShade="80"/>
        </w:rPr>
        <w:t xml:space="preserve"> </w:t>
      </w:r>
      <w:r>
        <w:rPr>
          <w:rFonts w:ascii="Avenir Next" w:hAnsi="Avenir Next"/>
          <w:color w:val="808080" w:themeColor="background1" w:themeShade="80"/>
        </w:rPr>
        <w:t xml:space="preserve">Necessity: The debtor must demonstrate the necessity of obtaining DIP financing to continue its operations during the bankruptcy proceedings and no other options </w:t>
      </w:r>
      <w:proofErr w:type="gramStart"/>
      <w:r>
        <w:rPr>
          <w:rFonts w:ascii="Avenir Next" w:hAnsi="Avenir Next"/>
          <w:color w:val="808080" w:themeColor="background1" w:themeShade="80"/>
        </w:rPr>
        <w:t>is</w:t>
      </w:r>
      <w:proofErr w:type="gramEnd"/>
      <w:r>
        <w:rPr>
          <w:rFonts w:ascii="Avenir Next" w:hAnsi="Avenir Next"/>
          <w:color w:val="808080" w:themeColor="background1" w:themeShade="80"/>
        </w:rPr>
        <w:t xml:space="preserve"> available to secure and obtain the required amount of DIP financing. This is the last alternative for </w:t>
      </w:r>
      <w:proofErr w:type="spellStart"/>
      <w:r>
        <w:rPr>
          <w:rFonts w:ascii="Avenir Next" w:hAnsi="Avenir Next"/>
          <w:color w:val="808080" w:themeColor="background1" w:themeShade="80"/>
        </w:rPr>
        <w:t>post petition</w:t>
      </w:r>
      <w:proofErr w:type="spellEnd"/>
      <w:r>
        <w:rPr>
          <w:rFonts w:ascii="Avenir Next" w:hAnsi="Avenir Next"/>
          <w:color w:val="808080" w:themeColor="background1" w:themeShade="80"/>
        </w:rPr>
        <w:t xml:space="preserve"> financing commonly </w:t>
      </w:r>
      <w:proofErr w:type="gramStart"/>
      <w:r>
        <w:rPr>
          <w:rFonts w:ascii="Avenir Next" w:hAnsi="Avenir Next"/>
          <w:color w:val="808080" w:themeColor="background1" w:themeShade="80"/>
        </w:rPr>
        <w:t>refer</w:t>
      </w:r>
      <w:proofErr w:type="gramEnd"/>
      <w:r>
        <w:rPr>
          <w:rFonts w:ascii="Avenir Next" w:hAnsi="Avenir Next"/>
          <w:color w:val="808080" w:themeColor="background1" w:themeShade="80"/>
        </w:rPr>
        <w:t xml:space="preserve"> to as a debtor in possession (DIP) financing, where all three other available options are not workable.</w:t>
      </w:r>
    </w:p>
    <w:p w14:paraId="21F645CC" w14:textId="5A5682B1" w:rsidR="00864F8A" w:rsidRDefault="00864F8A" w:rsidP="00864F8A">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Adequate protection: the debtor must also demonstrate that </w:t>
      </w:r>
      <w:r w:rsidR="00EE2F66">
        <w:rPr>
          <w:rFonts w:ascii="Avenir Next" w:hAnsi="Avenir Next"/>
          <w:color w:val="808080" w:themeColor="background1" w:themeShade="80"/>
        </w:rPr>
        <w:t>the interest</w:t>
      </w:r>
      <w:r>
        <w:rPr>
          <w:rFonts w:ascii="Avenir Next" w:hAnsi="Avenir Next"/>
          <w:color w:val="808080" w:themeColor="background1" w:themeShade="80"/>
        </w:rPr>
        <w:t xml:space="preserve"> of the secured creditor being primed is adequately protected. </w:t>
      </w:r>
    </w:p>
    <w:p w14:paraId="048DC160" w14:textId="08AED779" w:rsidR="00864F8A" w:rsidRDefault="00864F8A" w:rsidP="00864F8A">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Good faith: the request for priming </w:t>
      </w:r>
      <w:proofErr w:type="gramStart"/>
      <w:r>
        <w:rPr>
          <w:rFonts w:ascii="Avenir Next" w:hAnsi="Avenir Next"/>
          <w:color w:val="808080" w:themeColor="background1" w:themeShade="80"/>
        </w:rPr>
        <w:t>lien</w:t>
      </w:r>
      <w:proofErr w:type="gramEnd"/>
      <w:r>
        <w:rPr>
          <w:rFonts w:ascii="Avenir Next" w:hAnsi="Avenir Next"/>
          <w:color w:val="808080" w:themeColor="background1" w:themeShade="80"/>
        </w:rPr>
        <w:t xml:space="preserve"> must be made in good faith, without any intent to unduly prejudice existing creditors. </w:t>
      </w:r>
    </w:p>
    <w:p w14:paraId="473861FC" w14:textId="1E07C138" w:rsidR="00435733" w:rsidRDefault="00864F8A" w:rsidP="00622C36">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It should be of </w:t>
      </w:r>
      <w:proofErr w:type="gramStart"/>
      <w:r>
        <w:rPr>
          <w:rFonts w:ascii="Avenir Next" w:hAnsi="Avenir Next"/>
          <w:color w:val="808080" w:themeColor="background1" w:themeShade="80"/>
        </w:rPr>
        <w:t>fair</w:t>
      </w:r>
      <w:proofErr w:type="gramEnd"/>
      <w:r>
        <w:rPr>
          <w:rFonts w:ascii="Avenir Next" w:hAnsi="Avenir Next"/>
          <w:color w:val="808080" w:themeColor="background1" w:themeShade="80"/>
        </w:rPr>
        <w:t xml:space="preserve"> and equitable </w:t>
      </w:r>
      <w:r w:rsidR="00EE2F66">
        <w:rPr>
          <w:rFonts w:ascii="Avenir Next" w:hAnsi="Avenir Next"/>
          <w:color w:val="808080" w:themeColor="background1" w:themeShade="80"/>
        </w:rPr>
        <w:t>standard.</w:t>
      </w:r>
      <w:r>
        <w:rPr>
          <w:rFonts w:ascii="Avenir Next" w:hAnsi="Avenir Next"/>
          <w:color w:val="808080" w:themeColor="background1" w:themeShade="80"/>
        </w:rPr>
        <w:t xml:space="preserve"> </w:t>
      </w:r>
    </w:p>
    <w:p w14:paraId="08CD210B" w14:textId="61C75775" w:rsidR="00EE2F66" w:rsidRDefault="00EE2F66" w:rsidP="00622C36">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Market test: Terms should be reasonable. </w:t>
      </w:r>
    </w:p>
    <w:p w14:paraId="04DE8FFC" w14:textId="36EFECDA" w:rsidR="00EE2F66" w:rsidRDefault="00EE2F66" w:rsidP="00622C36">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Court approval: the bankruptcy court overseeing the case must approve the granting of priming </w:t>
      </w:r>
      <w:proofErr w:type="gramStart"/>
      <w:r>
        <w:rPr>
          <w:rFonts w:ascii="Avenir Next" w:hAnsi="Avenir Next"/>
          <w:color w:val="808080" w:themeColor="background1" w:themeShade="80"/>
        </w:rPr>
        <w:t>lien</w:t>
      </w:r>
      <w:proofErr w:type="gramEnd"/>
      <w:r>
        <w:rPr>
          <w:rFonts w:ascii="Avenir Next" w:hAnsi="Avenir Next"/>
          <w:color w:val="808080" w:themeColor="background1" w:themeShade="80"/>
        </w:rPr>
        <w:t>.</w:t>
      </w:r>
    </w:p>
    <w:p w14:paraId="4EC1D8C9" w14:textId="77777777" w:rsidR="00864F8A" w:rsidRPr="00864F8A" w:rsidRDefault="00864F8A" w:rsidP="00864F8A">
      <w:pPr>
        <w:pStyle w:val="AODocTxt"/>
        <w:spacing w:before="0" w:line="240" w:lineRule="auto"/>
        <w:ind w:left="720"/>
        <w:rPr>
          <w:rFonts w:ascii="Avenir Next" w:hAnsi="Avenir Next"/>
          <w:color w:val="808080" w:themeColor="background1" w:themeShade="80"/>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lastRenderedPageBreak/>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4041EF3A" w14:textId="591A48D7" w:rsidR="00B41C69" w:rsidRDefault="00B41C6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worldwide automatic stay comes into effect immediately on the filing of any plenary petition and provides the debtor breathing room to formulate a restructuring plan, negotiate with creditors and realize the value of its assets in an orderly process culminating in the payment of creditor claims in accordance with the priorities set out in the Bankruptcy code.</w:t>
      </w:r>
    </w:p>
    <w:p w14:paraId="0706CDDD" w14:textId="5656C040" w:rsidR="00B41C69" w:rsidRDefault="00B41C6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An act in violation of the stay (even if taken without notice of filing of the petition) constitutes contempt of court and is void or voidable (depending on the circuit in which the bankruptcy is pending due to a circuit split in this issue). Parties in interest may, however, seek to lift the stay prospectively to permit or retroactively to validate an act that would otherwise be a stay violation. Failure to obtain relief from the stay may result in the following potential consequences:</w:t>
      </w:r>
    </w:p>
    <w:p w14:paraId="66E2B94B" w14:textId="7109A970" w:rsidR="00CE182C" w:rsidRDefault="00CE182C" w:rsidP="00B41C69">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Sanctions: imposition of contempt sanctions against the stay violator, which may include payment of the debtors’ attorney’s fees and requiring the violator to take affirmative acts to undo the effects of its violation. However, the US Supreme Court recently held that stay only prohibits affirmative acts that </w:t>
      </w:r>
      <w:proofErr w:type="gramStart"/>
      <w:r>
        <w:rPr>
          <w:rFonts w:ascii="Avenir Next" w:hAnsi="Avenir Next"/>
          <w:color w:val="808080" w:themeColor="background1" w:themeShade="80"/>
        </w:rPr>
        <w:t>changes</w:t>
      </w:r>
      <w:proofErr w:type="gramEnd"/>
      <w:r>
        <w:rPr>
          <w:rFonts w:ascii="Avenir Next" w:hAnsi="Avenir Next"/>
          <w:color w:val="808080" w:themeColor="background1" w:themeShade="80"/>
        </w:rPr>
        <w:t xml:space="preserve"> the status quo of the estate’s property. The court may also impose coercive contempt sanctions, such as a daily fine to be paid to the court until the stay violation has been rectified.</w:t>
      </w:r>
    </w:p>
    <w:p w14:paraId="50D05353" w14:textId="134FA215" w:rsidR="00B41C69" w:rsidRDefault="00CE182C" w:rsidP="00B41C69">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 Damages and liabilities: In addition to the legal sanctions, a violator may be liable for damages resulting from the violation of automatic stay. This could include actual damage suffered by the debtor due to the violation, as well as any additional cost incurred. The violator may be required to compensate the debtor for financial harm or emotional distress caused by the violation.  </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3DDA1C74" w:rsidR="001D3BAA" w:rsidRDefault="00BF3C6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As per </w:t>
      </w:r>
      <w:proofErr w:type="gramStart"/>
      <w:r>
        <w:rPr>
          <w:rFonts w:ascii="Avenir Next" w:hAnsi="Avenir Next"/>
          <w:color w:val="808080" w:themeColor="background1" w:themeShade="80"/>
        </w:rPr>
        <w:t>US</w:t>
      </w:r>
      <w:proofErr w:type="gramEnd"/>
      <w:r>
        <w:rPr>
          <w:rFonts w:ascii="Avenir Next" w:hAnsi="Avenir Next"/>
          <w:color w:val="808080" w:themeColor="background1" w:themeShade="80"/>
        </w:rPr>
        <w:t xml:space="preserve"> Bankruptcy Code, an unimpaired class of creditors is deemed to accept the plan.</w:t>
      </w:r>
    </w:p>
    <w:p w14:paraId="21CA3EA8" w14:textId="73366B6E" w:rsidR="00BF3C66" w:rsidRDefault="00BF3C6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class that will receive nothing is deemed to reject the plan.</w:t>
      </w:r>
    </w:p>
    <w:p w14:paraId="4DFCAFB1" w14:textId="60A0500C" w:rsidR="00BF3C66" w:rsidRDefault="00BF3C6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Hence, the impaired classes are only permitted to vote on the plan.</w:t>
      </w:r>
    </w:p>
    <w:p w14:paraId="0EEA2089" w14:textId="77777777" w:rsidR="00BF3C66" w:rsidRDefault="00BF3C6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Following vote is necessary for a class of creditor to accept a plan:</w:t>
      </w:r>
    </w:p>
    <w:p w14:paraId="050513B0" w14:textId="245B6E24" w:rsidR="00BF3C66" w:rsidRDefault="00BF3C6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given class of creditors approves the plan if a simple majority of the creditors in the class, holding at least two-thirds of the value of claims in the class, vote in </w:t>
      </w:r>
      <w:proofErr w:type="spellStart"/>
      <w:r>
        <w:rPr>
          <w:rFonts w:ascii="Avenir Next" w:hAnsi="Avenir Next"/>
          <w:color w:val="808080" w:themeColor="background1" w:themeShade="80"/>
        </w:rPr>
        <w:t>favour</w:t>
      </w:r>
      <w:proofErr w:type="spellEnd"/>
      <w:r>
        <w:rPr>
          <w:rFonts w:ascii="Avenir Next" w:hAnsi="Avenir Next"/>
          <w:color w:val="808080" w:themeColor="background1" w:themeShade="80"/>
        </w:rPr>
        <w:t xml:space="preserve"> or for equity interests, if two-thirds in amount in interest vote in </w:t>
      </w:r>
      <w:proofErr w:type="spellStart"/>
      <w:r>
        <w:rPr>
          <w:rFonts w:ascii="Avenir Next" w:hAnsi="Avenir Next"/>
          <w:color w:val="808080" w:themeColor="background1" w:themeShade="80"/>
        </w:rPr>
        <w:t>favour</w:t>
      </w:r>
      <w:proofErr w:type="spellEnd"/>
      <w:r>
        <w:rPr>
          <w:rFonts w:ascii="Avenir Next" w:hAnsi="Avenir Next"/>
          <w:color w:val="808080" w:themeColor="background1" w:themeShade="80"/>
        </w:rPr>
        <w:t>.</w:t>
      </w:r>
    </w:p>
    <w:p w14:paraId="420723EF" w14:textId="3DAA1DC9" w:rsidR="00BF3C66" w:rsidRDefault="00BF3C6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Not all creditor constituencies must approve the plan for it to be confirmed, however, the US Bankruptcy Code provides for Cramdown of dissenting classes. To use </w:t>
      </w:r>
      <w:proofErr w:type="gramStart"/>
      <w:r>
        <w:rPr>
          <w:rFonts w:ascii="Avenir Next" w:hAnsi="Avenir Next"/>
          <w:color w:val="808080" w:themeColor="background1" w:themeShade="80"/>
        </w:rPr>
        <w:t>cramdown ,</w:t>
      </w:r>
      <w:proofErr w:type="gramEnd"/>
      <w:r>
        <w:rPr>
          <w:rFonts w:ascii="Avenir Next" w:hAnsi="Avenir Next"/>
          <w:color w:val="808080" w:themeColor="background1" w:themeShade="80"/>
        </w:rPr>
        <w:t xml:space="preserve"> all other requirements of confirmation described above need to be me, and at least one impaired class (not counting insiders) must have voted to accept the plan.</w:t>
      </w:r>
    </w:p>
    <w:p w14:paraId="255C1AC1" w14:textId="77777777" w:rsidR="00BF3C66" w:rsidRPr="002B5D64" w:rsidRDefault="00BF3C66" w:rsidP="001D3BAA">
      <w:pPr>
        <w:pStyle w:val="AODocTxt"/>
        <w:spacing w:before="0" w:line="240" w:lineRule="auto"/>
        <w:rPr>
          <w:rFonts w:ascii="Avenir Next" w:hAnsi="Avenir Next"/>
          <w:color w:val="808080" w:themeColor="background1" w:themeShade="80"/>
        </w:rPr>
      </w:pP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lastRenderedPageBreak/>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30C10CE7" w14:textId="5A1C8ED6" w:rsidR="00BE51F8" w:rsidRDefault="00BE51F8" w:rsidP="001D3BAA">
      <w:pPr>
        <w:pStyle w:val="AODocTxt"/>
        <w:spacing w:before="0" w:line="240" w:lineRule="auto"/>
        <w:rPr>
          <w:rFonts w:ascii="Avenir Next" w:hAnsi="Avenir Next"/>
          <w:color w:val="808080" w:themeColor="background1" w:themeShade="80"/>
        </w:rPr>
      </w:pPr>
      <w:proofErr w:type="spellStart"/>
      <w:proofErr w:type="gramStart"/>
      <w:r>
        <w:rPr>
          <w:rFonts w:ascii="Avenir Next" w:hAnsi="Avenir Next"/>
          <w:color w:val="808080" w:themeColor="background1" w:themeShade="80"/>
        </w:rPr>
        <w:t>Lets</w:t>
      </w:r>
      <w:proofErr w:type="spellEnd"/>
      <w:proofErr w:type="gramEnd"/>
      <w:r>
        <w:rPr>
          <w:rFonts w:ascii="Avenir Next" w:hAnsi="Avenir Next"/>
          <w:color w:val="808080" w:themeColor="background1" w:themeShade="80"/>
        </w:rPr>
        <w:t xml:space="preserve"> discuss the cause of action that The Bankruptcy Code provides to the trustee or debtor in possession to recover property for the estate from pre-petition transferees.</w:t>
      </w:r>
    </w:p>
    <w:p w14:paraId="4D43AB55" w14:textId="77777777" w:rsidR="0077281C" w:rsidRDefault="0077281C" w:rsidP="001D3BAA">
      <w:pPr>
        <w:pStyle w:val="AODocTxt"/>
        <w:spacing w:before="0" w:line="240" w:lineRule="auto"/>
        <w:rPr>
          <w:rFonts w:ascii="Avenir Next" w:hAnsi="Avenir Next"/>
          <w:color w:val="808080" w:themeColor="background1" w:themeShade="80"/>
        </w:rPr>
      </w:pPr>
    </w:p>
    <w:p w14:paraId="44B7D6BB" w14:textId="41614FEA" w:rsidR="00BE51F8" w:rsidRDefault="00BE51F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cause of action that applies only to transfer made on account of antecedent debt in “Preferences”. A preference is a transfer of the debtor’s property made in a suspect period </w:t>
      </w:r>
      <w:proofErr w:type="gramStart"/>
      <w:r w:rsidR="003B7373">
        <w:rPr>
          <w:rFonts w:ascii="Avenir Next" w:hAnsi="Avenir Next"/>
          <w:color w:val="808080" w:themeColor="background1" w:themeShade="80"/>
        </w:rPr>
        <w:t>( 90</w:t>
      </w:r>
      <w:proofErr w:type="gramEnd"/>
      <w:r w:rsidR="003B7373">
        <w:rPr>
          <w:rFonts w:ascii="Avenir Next" w:hAnsi="Avenir Next"/>
          <w:color w:val="808080" w:themeColor="background1" w:themeShade="80"/>
        </w:rPr>
        <w:t xml:space="preserve"> days for transfer to third parties and one year for insiders) </w:t>
      </w:r>
      <w:r>
        <w:rPr>
          <w:rFonts w:ascii="Avenir Next" w:hAnsi="Avenir Next"/>
          <w:color w:val="808080" w:themeColor="background1" w:themeShade="80"/>
        </w:rPr>
        <w:t>before the petition date that must be returned to the estate if it exceeds the amount the recipient would have received in a Chapter 7 liquidation had the transfer not been made.</w:t>
      </w:r>
    </w:p>
    <w:p w14:paraId="747B8319" w14:textId="77777777" w:rsidR="0077281C" w:rsidRDefault="0077281C" w:rsidP="001D3BAA">
      <w:pPr>
        <w:pStyle w:val="AODocTxt"/>
        <w:spacing w:before="0" w:line="240" w:lineRule="auto"/>
        <w:rPr>
          <w:rFonts w:ascii="Avenir Next" w:hAnsi="Avenir Next"/>
          <w:color w:val="808080" w:themeColor="background1" w:themeShade="80"/>
        </w:rPr>
      </w:pPr>
    </w:p>
    <w:p w14:paraId="2B0487BF" w14:textId="3810C83A" w:rsidR="0077281C" w:rsidRDefault="003B737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cause of action that requires the debtor to be presumed or proven to have been insolvent at the time of the transfer is “Actual Fraudulent Conveyances” An actual fraudulent conveyance involves a transfer of assets within 2 years period prior to petition date with the actual intent to hinder, delay, or defraud </w:t>
      </w:r>
      <w:r w:rsidR="0077281C">
        <w:rPr>
          <w:rFonts w:ascii="Avenir Next" w:hAnsi="Avenir Next"/>
          <w:color w:val="808080" w:themeColor="background1" w:themeShade="80"/>
        </w:rPr>
        <w:t>any entity to which the debtor was or became indebted</w:t>
      </w:r>
      <w:r>
        <w:rPr>
          <w:rFonts w:ascii="Avenir Next" w:hAnsi="Avenir Next"/>
          <w:color w:val="808080" w:themeColor="background1" w:themeShade="80"/>
        </w:rPr>
        <w:t>. Insolvency is a key factor in establishing this cause of action.</w:t>
      </w:r>
      <w:r w:rsidR="0077281C">
        <w:rPr>
          <w:rFonts w:ascii="Avenir Next" w:hAnsi="Avenir Next"/>
          <w:color w:val="808080" w:themeColor="background1" w:themeShade="80"/>
        </w:rPr>
        <w:t xml:space="preserve"> However, intent may be proven circumstantially, by reference to “badge of fraud” developed in state fraudulent transfer law. </w:t>
      </w:r>
    </w:p>
    <w:p w14:paraId="7D5E024D" w14:textId="05BC7C98" w:rsidR="003B7373" w:rsidRDefault="0077281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 </w:t>
      </w:r>
    </w:p>
    <w:p w14:paraId="3A3A2E44" w14:textId="4B60E713" w:rsidR="00180E45" w:rsidRDefault="003B737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cause of action that requires the debt</w:t>
      </w:r>
      <w:r w:rsidR="0077281C">
        <w:rPr>
          <w:rFonts w:ascii="Avenir Next" w:hAnsi="Avenir Next"/>
          <w:color w:val="808080" w:themeColor="background1" w:themeShade="80"/>
        </w:rPr>
        <w:t xml:space="preserve">or to be proven to have intended to frustrate creditor’s recoveries is “constructive Fraudulent Conveyances”. Constructive fraudulent conveyances focus on the effect of the transfer rather than the debtor’s intent. It does not require a showing of actual fraudulent intent but examines whether the transfer was made without fair consideration </w:t>
      </w:r>
      <w:proofErr w:type="gramStart"/>
      <w:r w:rsidR="006E47C3">
        <w:rPr>
          <w:rFonts w:ascii="Avenir Next" w:hAnsi="Avenir Next"/>
          <w:color w:val="808080" w:themeColor="background1" w:themeShade="80"/>
        </w:rPr>
        <w:t xml:space="preserve">( </w:t>
      </w:r>
      <w:proofErr w:type="spellStart"/>
      <w:r w:rsidR="006E47C3">
        <w:rPr>
          <w:rFonts w:ascii="Avenir Next" w:hAnsi="Avenir Next"/>
          <w:color w:val="808080" w:themeColor="background1" w:themeShade="80"/>
        </w:rPr>
        <w:t>i.e</w:t>
      </w:r>
      <w:proofErr w:type="spellEnd"/>
      <w:proofErr w:type="gramEnd"/>
      <w:r w:rsidR="006E47C3">
        <w:rPr>
          <w:rFonts w:ascii="Avenir Next" w:hAnsi="Avenir Next"/>
          <w:color w:val="808080" w:themeColor="background1" w:themeShade="80"/>
        </w:rPr>
        <w:t xml:space="preserve"> the debtor received less than reasonably equivalent value in exchange for a transfer or incurrence of obligation) </w:t>
      </w:r>
      <w:r w:rsidR="0077281C">
        <w:rPr>
          <w:rFonts w:ascii="Avenir Next" w:hAnsi="Avenir Next"/>
          <w:color w:val="808080" w:themeColor="background1" w:themeShade="80"/>
        </w:rPr>
        <w:t>when the debtor was insolvent or because insolvent as a result.</w:t>
      </w:r>
      <w:r w:rsidR="006E47C3">
        <w:rPr>
          <w:rFonts w:ascii="Avenir Next" w:hAnsi="Avenir Next"/>
          <w:color w:val="808080" w:themeColor="background1" w:themeShade="80"/>
        </w:rPr>
        <w:t xml:space="preserve"> Beside </w:t>
      </w:r>
      <w:r w:rsidR="00180E45">
        <w:rPr>
          <w:rFonts w:ascii="Avenir Next" w:hAnsi="Avenir Next"/>
          <w:color w:val="808080" w:themeColor="background1" w:themeShade="80"/>
        </w:rPr>
        <w:t>insolvency following additional factors may also be present such as:</w:t>
      </w:r>
    </w:p>
    <w:p w14:paraId="29DCB203" w14:textId="77777777" w:rsidR="00180E45" w:rsidRDefault="00180E45" w:rsidP="00180E45">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debtor was unreasonably undercapitalized for the business or transactions it was engaged in or planned to engage in or</w:t>
      </w:r>
    </w:p>
    <w:p w14:paraId="48FDD009" w14:textId="77777777" w:rsidR="00180E45" w:rsidRDefault="00180E45" w:rsidP="00180E45">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The debtor intended to or believe it would incur debts beyond its liability to pay on maturity or</w:t>
      </w:r>
    </w:p>
    <w:p w14:paraId="6DF9E24E" w14:textId="0426463B" w:rsidR="003B7373" w:rsidRDefault="00180E45" w:rsidP="00180E45">
      <w:pPr>
        <w:pStyle w:val="AODocTxt"/>
        <w:numPr>
          <w:ilvl w:val="0"/>
          <w:numId w:val="40"/>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transfer was made to or for the benefit of insider, or the debtor incurred an obligation under an employment contract with an insider outside the ordinary course of business. </w:t>
      </w:r>
      <w:r w:rsidR="0077281C">
        <w:rPr>
          <w:rFonts w:ascii="Avenir Next" w:hAnsi="Avenir Next"/>
          <w:color w:val="808080" w:themeColor="background1" w:themeShade="80"/>
        </w:rPr>
        <w:t xml:space="preserve">  </w:t>
      </w:r>
    </w:p>
    <w:p w14:paraId="64719B36" w14:textId="77777777" w:rsidR="003B7373" w:rsidRDefault="003B7373" w:rsidP="001D3BAA">
      <w:pPr>
        <w:pStyle w:val="AODocTxt"/>
        <w:spacing w:before="0" w:line="240" w:lineRule="auto"/>
        <w:rPr>
          <w:rFonts w:ascii="Avenir Next" w:hAnsi="Avenir Next"/>
          <w:color w:val="808080" w:themeColor="background1" w:themeShade="80"/>
        </w:rPr>
      </w:pPr>
    </w:p>
    <w:p w14:paraId="1EB6949B" w14:textId="77777777" w:rsidR="00BE51F8" w:rsidRPr="001B1763" w:rsidRDefault="00BE51F8"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0BC6C10A" w14:textId="0D3ED0BA" w:rsidR="00875DEB" w:rsidRDefault="00875DE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Circumstances in which a bankruptcy court may enter a final order:</w:t>
      </w:r>
    </w:p>
    <w:p w14:paraId="24AC18FA" w14:textId="3956AEBD" w:rsidR="009B1B82" w:rsidRDefault="009B1B8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Unusually, the US has special federal courts for bankruptcy matters. Because these courts were created by legislation, rather directly by Article III of the US Constitution, bankruptcy judges are appointed by courts of appeal, rather than the president, do not have lifetime tenure and have limited jurisdiction to enter final orders other than on core bankruptcy matters. It has been </w:t>
      </w:r>
      <w:r w:rsidR="00F241A7">
        <w:rPr>
          <w:rFonts w:ascii="Avenir Next" w:hAnsi="Avenir Next"/>
          <w:color w:val="808080" w:themeColor="background1" w:themeShade="80"/>
        </w:rPr>
        <w:t>established</w:t>
      </w:r>
      <w:r>
        <w:rPr>
          <w:rFonts w:ascii="Avenir Next" w:hAnsi="Avenir Next"/>
          <w:color w:val="808080" w:themeColor="background1" w:themeShade="80"/>
        </w:rPr>
        <w:t xml:space="preserve"> now that bankruptcy courts may enter a final order on Core issues.</w:t>
      </w:r>
      <w:r w:rsidR="00410E8B">
        <w:rPr>
          <w:rFonts w:ascii="Avenir Next" w:hAnsi="Avenir Next"/>
          <w:color w:val="808080" w:themeColor="background1" w:themeShade="80"/>
        </w:rPr>
        <w:t xml:space="preserve"> </w:t>
      </w:r>
    </w:p>
    <w:p w14:paraId="79C728D2" w14:textId="77777777" w:rsidR="00410E8B" w:rsidRDefault="00410E8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In Sterm V Marshall, the US Supreme Court also held that even in core proceedings, a bankruptcy court cannot issue final orders that invade Article III jurisdiction. The US Supreme Court has held that bankruptcy judges may determine a core proceeding over which they lack constitutional authority by issuing a report and recommendation for review by the district court, or the same procedure as in non-core proceedings, or, with the consent of parties may issue final orders. The Bankruptcy Rules have implemented these rulings by requiring litigants to state in their proceeding whether they consent to entry of final orders or judgement by the bankruptcy court, and by permitting a district court that determines that a bankruptcy court did not have jurisdiction to enter a final order to treat that its order as proposed findings of facts and conclusions of law.</w:t>
      </w:r>
    </w:p>
    <w:p w14:paraId="4B703063" w14:textId="5EC9AB8D" w:rsidR="00410E8B" w:rsidRDefault="00410E8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 </w:t>
      </w:r>
    </w:p>
    <w:p w14:paraId="71A5B389" w14:textId="51136831" w:rsidR="00410E8B" w:rsidRDefault="00410E8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 </w:t>
      </w:r>
      <w:r w:rsidR="00875DEB">
        <w:rPr>
          <w:rFonts w:ascii="Avenir Next" w:hAnsi="Avenir Next"/>
          <w:color w:val="808080" w:themeColor="background1" w:themeShade="80"/>
        </w:rPr>
        <w:t>B. Who reviews appeals from bankruptcy court orders:</w:t>
      </w:r>
    </w:p>
    <w:p w14:paraId="57D02CB9" w14:textId="3406F36A" w:rsidR="00875DEB" w:rsidRDefault="00875DE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general, appeals from bankruptcy court orders are heard by the district court for the district in which they sit. In certain circuits, however, bankruptcy appeals are heard by a bankruptcy Appellate panel (BAP), convened from the judges of the bankruptcy courts within the circuit. In these circuits, a party has the option to request that the appeal be heard by the district court instead. </w:t>
      </w:r>
    </w:p>
    <w:p w14:paraId="7C26AEDA" w14:textId="77777777" w:rsidR="00875DEB" w:rsidRDefault="00875DEB" w:rsidP="001D3BAA">
      <w:pPr>
        <w:pStyle w:val="AODocTxt"/>
        <w:spacing w:before="0" w:line="240" w:lineRule="auto"/>
        <w:rPr>
          <w:rFonts w:ascii="Avenir Next" w:hAnsi="Avenir Next"/>
          <w:color w:val="808080" w:themeColor="background1" w:themeShade="80"/>
        </w:rPr>
      </w:pPr>
    </w:p>
    <w:p w14:paraId="1B62E964" w14:textId="44698E80" w:rsidR="00875DEB" w:rsidRDefault="00875DE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C. How orders that are not constitutionally final are reviewed:</w:t>
      </w:r>
    </w:p>
    <w:p w14:paraId="13414D6A" w14:textId="77777777" w:rsidR="00E50E40" w:rsidRDefault="00875DE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an order is not constitutionally final, parties may seek permission to appeal directly to district court, bypassing the bankruptcy appellate panel. In some cases, a party may need to obtain certification </w:t>
      </w:r>
      <w:r w:rsidR="00E50E40">
        <w:rPr>
          <w:rFonts w:ascii="Avenir Next" w:hAnsi="Avenir Next"/>
          <w:color w:val="808080" w:themeColor="background1" w:themeShade="80"/>
        </w:rPr>
        <w:t xml:space="preserve">from the bankruptcy court or the district court to pursue a direct appeal.  </w:t>
      </w:r>
    </w:p>
    <w:p w14:paraId="4CF3E92A" w14:textId="416494D9" w:rsidR="00875DEB" w:rsidRDefault="00E50E4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Interlocutory orders are generally </w:t>
      </w:r>
      <w:r w:rsidR="00F241A7">
        <w:rPr>
          <w:rFonts w:ascii="Avenir Next" w:hAnsi="Avenir Next"/>
          <w:color w:val="808080" w:themeColor="background1" w:themeShade="80"/>
        </w:rPr>
        <w:t>n</w:t>
      </w:r>
      <w:r>
        <w:rPr>
          <w:rFonts w:ascii="Avenir Next" w:hAnsi="Avenir Next"/>
          <w:color w:val="808080" w:themeColor="background1" w:themeShade="80"/>
        </w:rPr>
        <w:t xml:space="preserve">ot immediately appealable, instead parties can seek review after the bankruptcy court enters a final order or by requesting permission to appeal directly from the district court. </w:t>
      </w:r>
    </w:p>
    <w:p w14:paraId="7DE77C24" w14:textId="330CD835" w:rsidR="00E50E40" w:rsidRDefault="00E50E4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Bankruptcy appellate panels also exist in some jurisdictions as an intermediate appellate level between the bankruptcy court and the district court. Parties may </w:t>
      </w:r>
      <w:r w:rsidR="00F241A7">
        <w:rPr>
          <w:rFonts w:ascii="Avenir Next" w:hAnsi="Avenir Next"/>
          <w:color w:val="808080" w:themeColor="background1" w:themeShade="80"/>
        </w:rPr>
        <w:t>choose</w:t>
      </w:r>
      <w:r>
        <w:rPr>
          <w:rFonts w:ascii="Avenir Next" w:hAnsi="Avenir Next"/>
          <w:color w:val="808080" w:themeColor="background1" w:themeShade="80"/>
        </w:rPr>
        <w:t xml:space="preserve"> to appeal t</w:t>
      </w:r>
      <w:r w:rsidR="00F241A7">
        <w:rPr>
          <w:rFonts w:ascii="Avenir Next" w:hAnsi="Avenir Next"/>
          <w:color w:val="808080" w:themeColor="background1" w:themeShade="80"/>
        </w:rPr>
        <w:t>o</w:t>
      </w:r>
      <w:r>
        <w:rPr>
          <w:rFonts w:ascii="Avenir Next" w:hAnsi="Avenir Next"/>
          <w:color w:val="808080" w:themeColor="background1" w:themeShade="80"/>
        </w:rPr>
        <w:t xml:space="preserve"> a BAP, and the BAP’s decision can be further appealed to the district court.  </w:t>
      </w:r>
    </w:p>
    <w:p w14:paraId="069A652C" w14:textId="06D6A2A3" w:rsidR="00875DEB" w:rsidRDefault="00416DD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Core proceedings, where bankruptcy court had entered a final order, the district court reviews conclusions of law de novo and reviews findings of facts for abuse of discretion.</w:t>
      </w:r>
    </w:p>
    <w:p w14:paraId="2DAE1C86" w14:textId="37A84F25" w:rsidR="00416DDB" w:rsidRDefault="00416DD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If the ruling was on non-core proceeding, the district court or BAP reviews de novo all findings of facts and conclusions of law.</w:t>
      </w:r>
    </w:p>
    <w:p w14:paraId="3BC80E28" w14:textId="58BA2F8F" w:rsidR="00875DEB" w:rsidRDefault="00416DD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orders of a district court or BAP </w:t>
      </w:r>
      <w:proofErr w:type="gramStart"/>
      <w:r>
        <w:rPr>
          <w:rFonts w:ascii="Avenir Next" w:hAnsi="Avenir Next"/>
          <w:color w:val="808080" w:themeColor="background1" w:themeShade="80"/>
        </w:rPr>
        <w:t>is</w:t>
      </w:r>
      <w:proofErr w:type="gramEnd"/>
      <w:r>
        <w:rPr>
          <w:rFonts w:ascii="Avenir Next" w:hAnsi="Avenir Next"/>
          <w:color w:val="808080" w:themeColor="background1" w:themeShade="80"/>
        </w:rPr>
        <w:t xml:space="preserve"> reviewed by a circuit court of appeal de novo as to the </w:t>
      </w:r>
      <w:r w:rsidR="00F241A7">
        <w:rPr>
          <w:rFonts w:ascii="Avenir Next" w:hAnsi="Avenir Next"/>
          <w:color w:val="808080" w:themeColor="background1" w:themeShade="80"/>
        </w:rPr>
        <w:t>conclusions of</w:t>
      </w:r>
      <w:r>
        <w:rPr>
          <w:rFonts w:ascii="Avenir Next" w:hAnsi="Avenir Next"/>
          <w:color w:val="808080" w:themeColor="background1" w:themeShade="80"/>
        </w:rPr>
        <w:t xml:space="preserve"> and for abuse of discretion for findings of facts.</w:t>
      </w:r>
    </w:p>
    <w:p w14:paraId="77A5D6DD" w14:textId="5A0248B4" w:rsidR="009B1B82" w:rsidRPr="002B5D64" w:rsidRDefault="009B1B8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 </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6DDB32F5" w:rsidR="001D3BAA" w:rsidRDefault="001834D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In chapter 15 proceeding under the US Bankruptcy Code, a foreign representative may not involve certain provisions that are exclusive to domestic bankruptcy cases. Two key provisions that a foreign representative cannot invoke in a Chapter 15 cases are:</w:t>
      </w:r>
    </w:p>
    <w:p w14:paraId="545120AA" w14:textId="2CC3B5FD" w:rsidR="001022FC" w:rsidRDefault="001834D3" w:rsidP="001834D3">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Automatic Stay (Section 362): The automatic stay, which halts most collection actions against the debtor, cannot be invoked directly by foreign representative in Chapter 15 case. The filing of the petition </w:t>
      </w:r>
      <w:r w:rsidR="001022FC">
        <w:rPr>
          <w:rFonts w:ascii="Avenir Next" w:hAnsi="Avenir Next"/>
          <w:color w:val="808080" w:themeColor="background1" w:themeShade="80"/>
        </w:rPr>
        <w:t xml:space="preserve">under chapter 15 </w:t>
      </w:r>
      <w:r>
        <w:rPr>
          <w:rFonts w:ascii="Avenir Next" w:hAnsi="Avenir Next"/>
          <w:color w:val="808080" w:themeColor="background1" w:themeShade="80"/>
        </w:rPr>
        <w:t xml:space="preserve">does not automatically invoke a stay of creditor action. The stay arises only upon the petition for recognition of a foreign main proceeding </w:t>
      </w:r>
      <w:r w:rsidR="001022FC">
        <w:rPr>
          <w:rFonts w:ascii="Avenir Next" w:hAnsi="Avenir Next"/>
          <w:color w:val="808080" w:themeColor="background1" w:themeShade="80"/>
        </w:rPr>
        <w:t>being granted and is limited to the property of the debtor within the territorial jurisdiction of the United States. The bankruptcy court may grant a stay or other assistance on an interim basis pending recognition or following recognition of a nom-main proceeding also.</w:t>
      </w:r>
    </w:p>
    <w:p w14:paraId="4D9C67CD" w14:textId="1C05A444" w:rsidR="001834D3" w:rsidRDefault="001834D3" w:rsidP="001834D3">
      <w:pPr>
        <w:pStyle w:val="AODocTxt"/>
        <w:numPr>
          <w:ilvl w:val="0"/>
          <w:numId w:val="41"/>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 </w:t>
      </w:r>
      <w:r w:rsidR="001022FC">
        <w:rPr>
          <w:rFonts w:ascii="Avenir Next" w:hAnsi="Avenir Next"/>
          <w:color w:val="808080" w:themeColor="background1" w:themeShade="80"/>
        </w:rPr>
        <w:t xml:space="preserve">Avoidance Powers (Section 544-553): The foreign representative generally does not have direct access to the avoidance powers granted to a trustee in a domestic bankruptcy case. </w:t>
      </w:r>
      <w:r w:rsidR="001022FC">
        <w:rPr>
          <w:rFonts w:ascii="Avenir Next" w:hAnsi="Avenir Next"/>
          <w:color w:val="808080" w:themeColor="background1" w:themeShade="80"/>
        </w:rPr>
        <w:lastRenderedPageBreak/>
        <w:t xml:space="preserve">These powers include avoiding certain pre-bankruptcy transfers and preferences. Instead, the foreign representative can seek assistance from the US bankruptcy court for similar relief. </w:t>
      </w:r>
    </w:p>
    <w:p w14:paraId="43757D2F" w14:textId="77777777" w:rsidR="00747983" w:rsidRDefault="00747983" w:rsidP="00747983">
      <w:pPr>
        <w:pStyle w:val="AODocTxt"/>
        <w:spacing w:before="0" w:line="240" w:lineRule="auto"/>
        <w:ind w:left="720"/>
        <w:rPr>
          <w:rFonts w:ascii="Avenir Next" w:hAnsi="Avenir Next"/>
          <w:color w:val="808080" w:themeColor="background1" w:themeShade="80"/>
        </w:rPr>
      </w:pPr>
    </w:p>
    <w:p w14:paraId="44AFED3E" w14:textId="145AB2C8" w:rsidR="00747983" w:rsidRDefault="00747983" w:rsidP="00747983">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Two ways that a foreign representative can obtain equivalent relief:</w:t>
      </w:r>
    </w:p>
    <w:p w14:paraId="4B55E7DB" w14:textId="262C7AE7" w:rsidR="00747983" w:rsidRDefault="00747983" w:rsidP="00747983">
      <w:pPr>
        <w:pStyle w:val="AODocTxt"/>
        <w:numPr>
          <w:ilvl w:val="0"/>
          <w:numId w:val="42"/>
        </w:numPr>
        <w:spacing w:before="0" w:line="240" w:lineRule="auto"/>
        <w:rPr>
          <w:rFonts w:ascii="Avenir Next" w:hAnsi="Avenir Next"/>
          <w:color w:val="808080" w:themeColor="background1" w:themeShade="80"/>
        </w:rPr>
      </w:pPr>
      <w:r w:rsidRPr="00747983">
        <w:rPr>
          <w:rFonts w:ascii="Avenir Next" w:hAnsi="Avenir Next"/>
          <w:color w:val="808080" w:themeColor="background1" w:themeShade="80"/>
        </w:rPr>
        <w:t xml:space="preserve">Recognition of </w:t>
      </w:r>
      <w:r w:rsidR="00F241A7" w:rsidRPr="00747983">
        <w:rPr>
          <w:rFonts w:ascii="Avenir Next" w:hAnsi="Avenir Next"/>
          <w:color w:val="808080" w:themeColor="background1" w:themeShade="80"/>
        </w:rPr>
        <w:t>foreign proceedings</w:t>
      </w:r>
      <w:r>
        <w:rPr>
          <w:rFonts w:ascii="Avenir Next" w:hAnsi="Avenir Next"/>
          <w:color w:val="808080" w:themeColor="background1" w:themeShade="80"/>
        </w:rPr>
        <w:t xml:space="preserve">: The primary mechanism for a foreign representative to obtain relief in the US is through the recognition of foreign </w:t>
      </w:r>
      <w:r w:rsidR="00F241A7">
        <w:rPr>
          <w:rFonts w:ascii="Avenir Next" w:hAnsi="Avenir Next"/>
          <w:color w:val="808080" w:themeColor="background1" w:themeShade="80"/>
        </w:rPr>
        <w:t>proceedings</w:t>
      </w:r>
      <w:r>
        <w:rPr>
          <w:rFonts w:ascii="Avenir Next" w:hAnsi="Avenir Next"/>
          <w:color w:val="808080" w:themeColor="background1" w:themeShade="80"/>
        </w:rPr>
        <w:t xml:space="preserve"> by the US Bankruptcy court. Once recognized, the foreign representative gains access to certain powers and relief available under chapter 15, including the ability to request a stay of proceeding and to participate in US bankruptcy proceeding</w:t>
      </w:r>
      <w:r w:rsidR="00F241A7">
        <w:rPr>
          <w:rFonts w:ascii="Avenir Next" w:hAnsi="Avenir Next"/>
          <w:color w:val="808080" w:themeColor="background1" w:themeShade="80"/>
        </w:rPr>
        <w:t xml:space="preserve">s.  </w:t>
      </w:r>
    </w:p>
    <w:p w14:paraId="0E963BED" w14:textId="51550D3C" w:rsidR="00747983" w:rsidRDefault="00747983" w:rsidP="00747983">
      <w:pPr>
        <w:pStyle w:val="AODocTxt"/>
        <w:numPr>
          <w:ilvl w:val="0"/>
          <w:numId w:val="42"/>
        </w:numPr>
        <w:spacing w:before="0" w:line="240" w:lineRule="auto"/>
        <w:rPr>
          <w:rFonts w:ascii="Avenir Next" w:hAnsi="Avenir Next"/>
          <w:color w:val="808080" w:themeColor="background1" w:themeShade="80"/>
        </w:rPr>
      </w:pPr>
      <w:r>
        <w:rPr>
          <w:rFonts w:ascii="Avenir Next" w:hAnsi="Avenir Next"/>
          <w:color w:val="808080" w:themeColor="background1" w:themeShade="80"/>
        </w:rPr>
        <w:t>Cooperation and assistance from US Courts: even though a foreign representative may not directly invoke certain provisions of the bankruptcy Code, they can seek cooperation and assistance from US courts. This involves working collaboratively with the US court and domestic stakeholders to achieve outcomes</w:t>
      </w:r>
      <w:r w:rsidR="00F241A7">
        <w:rPr>
          <w:rFonts w:ascii="Avenir Next" w:hAnsi="Avenir Next"/>
          <w:color w:val="808080" w:themeColor="background1" w:themeShade="80"/>
        </w:rPr>
        <w:t xml:space="preserve"> like </w:t>
      </w:r>
      <w:r>
        <w:rPr>
          <w:rFonts w:ascii="Avenir Next" w:hAnsi="Avenir Next"/>
          <w:color w:val="808080" w:themeColor="background1" w:themeShade="80"/>
        </w:rPr>
        <w:t>those available under the Bankruptcy Code.</w:t>
      </w:r>
    </w:p>
    <w:p w14:paraId="59A7059F" w14:textId="2859EC9A" w:rsidR="00747983" w:rsidRDefault="00F241A7" w:rsidP="00F241A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Chapter 15 is designed to facilitate cooperation between US and foreign courts, recognizing foreign proceedings and providing a framework for dealing with cross-border insolvency cases. The foreign representative’s ability to obtain relief is largely contingent on the US court’s recognition of the foreign proceeding and the cooperation between the courts involved.</w:t>
      </w:r>
      <w:r w:rsidR="00747983" w:rsidRPr="00747983">
        <w:rPr>
          <w:rFonts w:ascii="Avenir Next" w:hAnsi="Avenir Next"/>
          <w:color w:val="808080" w:themeColor="background1" w:themeShade="80"/>
        </w:rPr>
        <w:t xml:space="preserve"> </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047A960D" w:rsidR="001D3BAA" w:rsidRDefault="00FA07B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When preparing a filing for a bankruptcy court, it is crucial to review and adhere to the rules and procedures governing bankruptcy cases. The specific rules can vary depending on the chapter of bankruptcy </w:t>
      </w:r>
      <w:proofErr w:type="gramStart"/>
      <w:r>
        <w:rPr>
          <w:rFonts w:ascii="Avenir Next" w:hAnsi="Avenir Next"/>
          <w:color w:val="808080" w:themeColor="background1" w:themeShade="80"/>
        </w:rPr>
        <w:t>( e.g.</w:t>
      </w:r>
      <w:proofErr w:type="gramEnd"/>
      <w:r>
        <w:rPr>
          <w:rFonts w:ascii="Avenir Next" w:hAnsi="Avenir Next"/>
          <w:color w:val="808080" w:themeColor="background1" w:themeShade="80"/>
        </w:rPr>
        <w:t xml:space="preserve"> Chapter 7, Chapter 11  Chapter 15 etc</w:t>
      </w:r>
      <w:r w:rsidR="00406FEE">
        <w:rPr>
          <w:rFonts w:ascii="Avenir Next" w:hAnsi="Avenir Next"/>
          <w:color w:val="808080" w:themeColor="background1" w:themeShade="80"/>
        </w:rPr>
        <w:t xml:space="preserve">. </w:t>
      </w:r>
      <w:r>
        <w:rPr>
          <w:rFonts w:ascii="Avenir Next" w:hAnsi="Avenir Next"/>
          <w:color w:val="808080" w:themeColor="background1" w:themeShade="80"/>
        </w:rPr>
        <w:t>) and the jurisdiction, but here are some general rules to consider:</w:t>
      </w:r>
    </w:p>
    <w:p w14:paraId="1CCE419E" w14:textId="497773A4" w:rsidR="00FA07BF" w:rsidRDefault="00FA07BF" w:rsidP="00FA07BF">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Local Rules of the Bankruptcy Court: Each bankruptcy court may have its own set of local rules that supplement the Federal Rules of Bankruptcy Procedures. These rules provide specific requirements and procedures applicable to that jurisdiction.</w:t>
      </w:r>
    </w:p>
    <w:p w14:paraId="49BCDB56" w14:textId="0A5DAF85" w:rsidR="00FA07BF" w:rsidRDefault="00FA07BF" w:rsidP="00FA07BF">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Federal Rules of Bankruptcy Procedure: The Federal Rules of Bankruptcy Procedures outline the procedural rules for bankruptcy cases. It covers various aspects, including initiating a case, filing documents, deadlines, </w:t>
      </w:r>
      <w:r w:rsidR="00406FEE">
        <w:rPr>
          <w:rFonts w:ascii="Avenir Next" w:hAnsi="Avenir Next"/>
          <w:color w:val="808080" w:themeColor="background1" w:themeShade="80"/>
        </w:rPr>
        <w:t>hearings,</w:t>
      </w:r>
      <w:r>
        <w:rPr>
          <w:rFonts w:ascii="Avenir Next" w:hAnsi="Avenir Next"/>
          <w:color w:val="808080" w:themeColor="background1" w:themeShade="80"/>
        </w:rPr>
        <w:t xml:space="preserve"> and appeals. Familiarize yourself with the relevant rules based on specific filing you are preparing.</w:t>
      </w:r>
    </w:p>
    <w:p w14:paraId="47E41E16" w14:textId="77777777" w:rsidR="00A20AA0" w:rsidRDefault="00FA07BF" w:rsidP="00FA07BF">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Bankruptcy Code: The Bankruptcy Code is the deferral law governing bankruptcy cases. It establishes the legal framework for bankruptcy proceedings, including eligibility, types of bankruptcy, and the rights and obligations of debtors, creditors</w:t>
      </w:r>
      <w:r w:rsidR="00A20AA0">
        <w:rPr>
          <w:rFonts w:ascii="Avenir Next" w:hAnsi="Avenir Next"/>
          <w:color w:val="808080" w:themeColor="background1" w:themeShade="80"/>
        </w:rPr>
        <w:t xml:space="preserve">, and other parties involved. </w:t>
      </w:r>
    </w:p>
    <w:p w14:paraId="68629C91" w14:textId="77777777" w:rsidR="00A20AA0" w:rsidRDefault="00A20AA0" w:rsidP="00A20AA0">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General Orders and Administrative Orders: Some bankruptcy courts issue general or administrative orders that provide additional guidance or rules for specific matters. Check for such orders that may be applicable for a particular case.</w:t>
      </w:r>
    </w:p>
    <w:p w14:paraId="21F4B2F1" w14:textId="4157FCA3" w:rsidR="00FA07BF" w:rsidRDefault="00A20AA0" w:rsidP="00A20AA0">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Local Forms and procedures: Review any local forms provided by the bankruptcy court, as well as specific procedures that may have in place. Courts often have preferred format for certain documents.</w:t>
      </w:r>
    </w:p>
    <w:p w14:paraId="467B5ACF" w14:textId="3A65F692" w:rsidR="00A20AA0" w:rsidRDefault="00A20AA0" w:rsidP="00A20AA0">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Electronic Filing Rules: Many bankruptcy courts require electronic filing through specific systems. Familiarize yourself with the court’s electronic filing rules, </w:t>
      </w:r>
      <w:r w:rsidR="00406FEE">
        <w:rPr>
          <w:rFonts w:ascii="Avenir Next" w:hAnsi="Avenir Next"/>
          <w:color w:val="808080" w:themeColor="background1" w:themeShade="80"/>
        </w:rPr>
        <w:t>procedures,</w:t>
      </w:r>
      <w:r>
        <w:rPr>
          <w:rFonts w:ascii="Avenir Next" w:hAnsi="Avenir Next"/>
          <w:color w:val="808080" w:themeColor="background1" w:themeShade="80"/>
        </w:rPr>
        <w:t xml:space="preserve"> and any technical requirements.</w:t>
      </w:r>
    </w:p>
    <w:p w14:paraId="731EEA39" w14:textId="591F79BA" w:rsidR="00A20AA0" w:rsidRDefault="00A20AA0" w:rsidP="00A20AA0">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Notice Requirements: One should understand the rules related to providing notice to creditors, interested parties and the court. Compliance with notice requirements is critical for due process </w:t>
      </w:r>
      <w:r w:rsidR="00406FEE">
        <w:rPr>
          <w:rFonts w:ascii="Avenir Next" w:hAnsi="Avenir Next"/>
          <w:color w:val="808080" w:themeColor="background1" w:themeShade="80"/>
        </w:rPr>
        <w:t>and the integrity of the bankruptcy process.</w:t>
      </w:r>
    </w:p>
    <w:p w14:paraId="25E9E6F5" w14:textId="7DF2C64E" w:rsidR="00406FEE" w:rsidRDefault="00406FEE" w:rsidP="00A20AA0">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lastRenderedPageBreak/>
        <w:t xml:space="preserve">Court Orders and Case-Specific Instructions: If there are existing court orders or specific instructions related to a particular case, a litigant should carefully review and follow them. Failure to comply with court orders can have serious consequences. </w:t>
      </w:r>
    </w:p>
    <w:p w14:paraId="02125C31" w14:textId="4EAA66C1" w:rsidR="00406FEE" w:rsidRDefault="00406FEE" w:rsidP="00A20AA0">
      <w:pPr>
        <w:pStyle w:val="AODocTxt"/>
        <w:numPr>
          <w:ilvl w:val="0"/>
          <w:numId w:val="43"/>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Legal Practice and Customs: Be aware of any local practices or customs that are not explicitly covered by the rules but are commonly followed in that jurisdiction. </w:t>
      </w:r>
    </w:p>
    <w:p w14:paraId="592C985F" w14:textId="68C6521C" w:rsidR="00406FEE" w:rsidRDefault="00406FEE" w:rsidP="00406FEE">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Before filing any document with the bankruptcy court, it is advisable to consult with legal professionals to ensure compliance with the applicable rules, regulations, and procedures. This will help prevent delays, rejections, or other complications in the bankruptcy process.</w:t>
      </w:r>
    </w:p>
    <w:p w14:paraId="7E1C0562" w14:textId="77777777" w:rsidR="00406FEE" w:rsidRPr="00A20AA0" w:rsidRDefault="00406FEE" w:rsidP="00406FEE">
      <w:pPr>
        <w:pStyle w:val="AODocTxt"/>
        <w:spacing w:before="0" w:line="240" w:lineRule="auto"/>
        <w:rPr>
          <w:rFonts w:ascii="Avenir Next" w:hAnsi="Avenir Next"/>
          <w:color w:val="808080" w:themeColor="background1" w:themeShade="80"/>
        </w:rPr>
      </w:pP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4394A60B" w14:textId="570921AA" w:rsidR="00561651" w:rsidRDefault="00FF17B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Let’s</w:t>
      </w:r>
      <w:r w:rsidR="00561651">
        <w:rPr>
          <w:rFonts w:ascii="Avenir Next" w:hAnsi="Avenir Next"/>
          <w:color w:val="808080" w:themeColor="background1" w:themeShade="80"/>
        </w:rPr>
        <w:t xml:space="preserve"> discuss </w:t>
      </w:r>
      <w:r w:rsidR="00CC1642">
        <w:rPr>
          <w:rFonts w:ascii="Avenir Next" w:hAnsi="Avenir Next"/>
          <w:color w:val="808080" w:themeColor="background1" w:themeShade="80"/>
        </w:rPr>
        <w:t>Director’s</w:t>
      </w:r>
      <w:r w:rsidR="00561651">
        <w:rPr>
          <w:rFonts w:ascii="Avenir Next" w:hAnsi="Avenir Next"/>
          <w:color w:val="808080" w:themeColor="background1" w:themeShade="80"/>
        </w:rPr>
        <w:t xml:space="preserve"> liability in the context of Delaware corporate law, which is highly influential in the US corporate law. In the United States, director liability is generally more limited than in other jurisdictions.</w:t>
      </w:r>
    </w:p>
    <w:p w14:paraId="5BE70F1E" w14:textId="7857F07B" w:rsidR="00FF17B0" w:rsidRDefault="0056165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Directors owe a fiduciary duty </w:t>
      </w:r>
      <w:r w:rsidR="00CC1642">
        <w:rPr>
          <w:rFonts w:ascii="Avenir Next" w:hAnsi="Avenir Next"/>
          <w:color w:val="808080" w:themeColor="background1" w:themeShade="80"/>
        </w:rPr>
        <w:t xml:space="preserve">of </w:t>
      </w:r>
      <w:r>
        <w:rPr>
          <w:rFonts w:ascii="Avenir Next" w:hAnsi="Avenir Next"/>
          <w:color w:val="808080" w:themeColor="background1" w:themeShade="80"/>
        </w:rPr>
        <w:t>loyalty to the corporation’s best interests and a duty of care in making informed decisions or educated decision making. The business judgement rule shields directors f</w:t>
      </w:r>
      <w:r w:rsidR="00CC1642">
        <w:rPr>
          <w:rFonts w:ascii="Avenir Next" w:hAnsi="Avenir Next"/>
          <w:color w:val="808080" w:themeColor="background1" w:themeShade="80"/>
        </w:rPr>
        <w:t xml:space="preserve">rom </w:t>
      </w:r>
      <w:r>
        <w:rPr>
          <w:rFonts w:ascii="Avenir Next" w:hAnsi="Avenir Next"/>
          <w:color w:val="808080" w:themeColor="background1" w:themeShade="80"/>
        </w:rPr>
        <w:t xml:space="preserve">liability for errors of judgement, presuming that the board acted in good faith </w:t>
      </w:r>
      <w:r w:rsidR="00FF17B0">
        <w:rPr>
          <w:rFonts w:ascii="Avenir Next" w:hAnsi="Avenir Next"/>
          <w:color w:val="808080" w:themeColor="background1" w:themeShade="80"/>
        </w:rPr>
        <w:t xml:space="preserve">based on reasonable information. This presumption can only be rebutted by demonstrating a lack of reasonable information, absence of belief in the decision’s best interest, or acting in bad faith. Directors can be exculpated from the duty of care (but not loyalty) by the corporation’s certificate of incorporation. </w:t>
      </w:r>
    </w:p>
    <w:p w14:paraId="5DA7611C" w14:textId="77777777" w:rsidR="00FF17B0" w:rsidRDefault="00FF17B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However, the business judgement rule does not apply in transactions approved by a non-disinterested majority or if a controlling shareholder is involved on both sides. In such cases, the entire fairness standard must be met, or the transaction may be void.</w:t>
      </w:r>
    </w:p>
    <w:p w14:paraId="2F388D53" w14:textId="292858F8" w:rsidR="00FF17B0" w:rsidRDefault="00FF17B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Importantly, directors owe duties to the corporation and shareholders, not creditors, even in potentially insolvent </w:t>
      </w:r>
      <w:r w:rsidR="00CC1642">
        <w:rPr>
          <w:rFonts w:ascii="Avenir Next" w:hAnsi="Avenir Next"/>
          <w:color w:val="808080" w:themeColor="background1" w:themeShade="80"/>
        </w:rPr>
        <w:t>scenarios</w:t>
      </w:r>
      <w:r>
        <w:rPr>
          <w:rFonts w:ascii="Avenir Next" w:hAnsi="Avenir Next"/>
          <w:color w:val="808080" w:themeColor="background1" w:themeShade="80"/>
        </w:rPr>
        <w:t xml:space="preserve">. </w:t>
      </w:r>
    </w:p>
    <w:p w14:paraId="6786D76A" w14:textId="77777777" w:rsidR="00FF17B0" w:rsidRDefault="00FF17B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Delaware supreme Court has clarified that directors don’t owe duties to creditors when a company is in the “zone of insolvency” or is </w:t>
      </w:r>
      <w:proofErr w:type="gramStart"/>
      <w:r>
        <w:rPr>
          <w:rFonts w:ascii="Avenir Next" w:hAnsi="Avenir Next"/>
          <w:color w:val="808080" w:themeColor="background1" w:themeShade="80"/>
        </w:rPr>
        <w:t>actually insolvent</w:t>
      </w:r>
      <w:proofErr w:type="gramEnd"/>
      <w:r>
        <w:rPr>
          <w:rFonts w:ascii="Avenir Next" w:hAnsi="Avenir Next"/>
          <w:color w:val="808080" w:themeColor="background1" w:themeShade="80"/>
        </w:rPr>
        <w:t>. This distinction means there is no equivalent in US law to concept like “wrongful trading” or “deepening insolvency.” Directors are shielded by the business judgement rule, reinforcing the emphasis on their obligations to their corporation and its shareholders.</w:t>
      </w:r>
    </w:p>
    <w:p w14:paraId="7A03B5A2" w14:textId="3B02E296" w:rsidR="001D3BAA" w:rsidRPr="002B5D64" w:rsidRDefault="00FF17B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 </w:t>
      </w:r>
      <w:r w:rsidR="00561651">
        <w:rPr>
          <w:rFonts w:ascii="Avenir Next" w:hAnsi="Avenir Next"/>
          <w:color w:val="808080" w:themeColor="background1" w:themeShade="80"/>
        </w:rPr>
        <w:t xml:space="preserve">   </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53C2C279" w14:textId="48554900" w:rsidR="001D3BAA" w:rsidRDefault="00F370A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US Bankruptcy Code provides certain protections to lessors of office space in case of bankruptcy proceedings of a lessee, such as iWork Ltd. Here are some key protections under the Bankruptcy Code:</w:t>
      </w:r>
    </w:p>
    <w:p w14:paraId="4026E81D" w14:textId="49783C93" w:rsidR="00332E35" w:rsidRDefault="00F370A0" w:rsidP="00F370A0">
      <w:pPr>
        <w:pStyle w:val="AODocTxt"/>
        <w:numPr>
          <w:ilvl w:val="0"/>
          <w:numId w:val="44"/>
        </w:numPr>
        <w:spacing w:before="0" w:line="240" w:lineRule="auto"/>
        <w:rPr>
          <w:rFonts w:ascii="Avenir Next" w:hAnsi="Avenir Next"/>
          <w:color w:val="808080" w:themeColor="background1" w:themeShade="80"/>
        </w:rPr>
      </w:pPr>
      <w:r w:rsidRPr="00332E35">
        <w:rPr>
          <w:rFonts w:ascii="Avenir Next" w:hAnsi="Avenir Next"/>
          <w:b/>
          <w:bCs/>
          <w:color w:val="808080" w:themeColor="background1" w:themeShade="80"/>
        </w:rPr>
        <w:t>Relief from Automatic Stay</w:t>
      </w:r>
      <w:r>
        <w:rPr>
          <w:rFonts w:ascii="Avenir Next" w:hAnsi="Avenir Next"/>
          <w:color w:val="808080" w:themeColor="background1" w:themeShade="80"/>
        </w:rPr>
        <w:t xml:space="preserve">: When bankruptcy proceedings are started for </w:t>
      </w:r>
      <w:proofErr w:type="spellStart"/>
      <w:r>
        <w:rPr>
          <w:rFonts w:ascii="Avenir Next" w:hAnsi="Avenir Next"/>
          <w:color w:val="808080" w:themeColor="background1" w:themeShade="80"/>
        </w:rPr>
        <w:t>iWorks</w:t>
      </w:r>
      <w:proofErr w:type="spellEnd"/>
      <w:r>
        <w:rPr>
          <w:rFonts w:ascii="Avenir Next" w:hAnsi="Avenir Next"/>
          <w:color w:val="808080" w:themeColor="background1" w:themeShade="80"/>
        </w:rPr>
        <w:t xml:space="preserve"> limited whether under chapter 7 or 11, an automatic stay goes into effect, halting most collection actions, including eviction proceedings and efforts to recover unpaid rent. However, this </w:t>
      </w:r>
      <w:r>
        <w:rPr>
          <w:rFonts w:ascii="Avenir Next" w:hAnsi="Avenir Next"/>
          <w:color w:val="808080" w:themeColor="background1" w:themeShade="80"/>
        </w:rPr>
        <w:lastRenderedPageBreak/>
        <w:t xml:space="preserve">automatic stay may be lifted on Lessor’s request </w:t>
      </w:r>
      <w:r w:rsidR="00332E35">
        <w:rPr>
          <w:rFonts w:ascii="Avenir Next" w:hAnsi="Avenir Next"/>
          <w:color w:val="808080" w:themeColor="background1" w:themeShade="80"/>
        </w:rPr>
        <w:t>(</w:t>
      </w:r>
      <w:r>
        <w:rPr>
          <w:rFonts w:ascii="Avenir Next" w:hAnsi="Avenir Next"/>
          <w:color w:val="808080" w:themeColor="background1" w:themeShade="80"/>
        </w:rPr>
        <w:t>through a lift-stay or relief from stay motion) to permit otherwise prohibited creditor action</w:t>
      </w:r>
      <w:r w:rsidR="00332E35">
        <w:rPr>
          <w:rFonts w:ascii="Avenir Next" w:hAnsi="Avenir Next"/>
          <w:color w:val="808080" w:themeColor="background1" w:themeShade="80"/>
        </w:rPr>
        <w:t xml:space="preserve"> on the ground of lack of adequate protection of an interest in property of the estate, where the value of the property may decline during proceedings and result in the interested party making less than a full recovery. </w:t>
      </w:r>
      <w:r w:rsidR="004F3C63">
        <w:rPr>
          <w:rFonts w:ascii="Avenir Next" w:hAnsi="Avenir Next"/>
          <w:color w:val="808080" w:themeColor="background1" w:themeShade="80"/>
        </w:rPr>
        <w:t xml:space="preserve">Therefore, if iWork Ltd continues to use the leased office space during bankruptcy proceedings, the lessors may seek “adequate protection” to ensure that its interests are safeguarded. This can include periodic payments or additional security to compensate for </w:t>
      </w:r>
      <w:proofErr w:type="gramStart"/>
      <w:r w:rsidR="004F3C63">
        <w:rPr>
          <w:rFonts w:ascii="Avenir Next" w:hAnsi="Avenir Next"/>
          <w:color w:val="808080" w:themeColor="background1" w:themeShade="80"/>
        </w:rPr>
        <w:t>decrease</w:t>
      </w:r>
      <w:proofErr w:type="gramEnd"/>
      <w:r w:rsidR="004F3C63">
        <w:rPr>
          <w:rFonts w:ascii="Avenir Next" w:hAnsi="Avenir Next"/>
          <w:color w:val="808080" w:themeColor="background1" w:themeShade="80"/>
        </w:rPr>
        <w:t xml:space="preserve"> in the value of the lessor’s interest.</w:t>
      </w:r>
    </w:p>
    <w:p w14:paraId="42B5BAF4" w14:textId="15733585" w:rsidR="00F370A0" w:rsidRDefault="00332E35" w:rsidP="007477CD">
      <w:pPr>
        <w:pStyle w:val="AODocTxt"/>
        <w:numPr>
          <w:ilvl w:val="0"/>
          <w:numId w:val="44"/>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 </w:t>
      </w:r>
      <w:r w:rsidRPr="00BC6226">
        <w:rPr>
          <w:rFonts w:ascii="Avenir Next" w:hAnsi="Avenir Next"/>
          <w:b/>
          <w:bCs/>
          <w:color w:val="808080" w:themeColor="background1" w:themeShade="80"/>
        </w:rPr>
        <w:t>Assumption or Rejection of Leases</w:t>
      </w:r>
      <w:r>
        <w:rPr>
          <w:rFonts w:ascii="Avenir Next" w:hAnsi="Avenir Next"/>
          <w:color w:val="808080" w:themeColor="background1" w:themeShade="80"/>
        </w:rPr>
        <w:t>:</w:t>
      </w:r>
      <w:r w:rsidR="00BC6226">
        <w:rPr>
          <w:rFonts w:ascii="Avenir Next" w:hAnsi="Avenir Next"/>
          <w:color w:val="808080" w:themeColor="background1" w:themeShade="80"/>
        </w:rPr>
        <w:t xml:space="preserve"> The ability to assum</w:t>
      </w:r>
      <w:r w:rsidR="007477CD">
        <w:rPr>
          <w:rFonts w:ascii="Avenir Next" w:hAnsi="Avenir Next"/>
          <w:color w:val="808080" w:themeColor="background1" w:themeShade="80"/>
        </w:rPr>
        <w:t>e</w:t>
      </w:r>
      <w:r w:rsidR="00BC6226">
        <w:rPr>
          <w:rFonts w:ascii="Avenir Next" w:hAnsi="Avenir Next"/>
          <w:color w:val="808080" w:themeColor="background1" w:themeShade="80"/>
        </w:rPr>
        <w:t xml:space="preserve">, reject or assume and assign executory contracts is a debtor-friendly feature of the Bankruptcy Code.  </w:t>
      </w:r>
      <w:r w:rsidR="00BC6226" w:rsidRPr="00BC6226">
        <w:rPr>
          <w:rFonts w:ascii="Avenir Next" w:hAnsi="Avenir Next"/>
          <w:color w:val="808080" w:themeColor="background1" w:themeShade="80"/>
        </w:rPr>
        <w:t>In a chapter 7 case, the trustee must make decisions about assumption</w:t>
      </w:r>
      <w:r w:rsidR="00BC6226">
        <w:rPr>
          <w:rFonts w:ascii="Avenir Next" w:hAnsi="Avenir Next"/>
          <w:color w:val="808080" w:themeColor="background1" w:themeShade="80"/>
        </w:rPr>
        <w:t xml:space="preserve"> and assignment or rejection of executory contracts within 60 days of petition date. In Chapter 11 case, the debtor can decide until the confirmation of its plan or reorganization, but a deadline can be imposed by the bankruptcy court</w:t>
      </w:r>
      <w:r w:rsidR="007477CD">
        <w:rPr>
          <w:rFonts w:ascii="Avenir Next" w:hAnsi="Avenir Next"/>
          <w:color w:val="808080" w:themeColor="background1" w:themeShade="80"/>
        </w:rPr>
        <w:t xml:space="preserve"> on the request of a counterparty for cause.  One exception is that decision about unexpired leases of non-residential property is required to be made within 120 days of the order for relief. </w:t>
      </w:r>
      <w:r w:rsidR="00BC6226" w:rsidRPr="00BC6226">
        <w:rPr>
          <w:rFonts w:ascii="Avenir Next" w:hAnsi="Avenir Next"/>
          <w:color w:val="808080" w:themeColor="background1" w:themeShade="80"/>
        </w:rPr>
        <w:t xml:space="preserve"> </w:t>
      </w:r>
      <w:r w:rsidR="007477CD">
        <w:rPr>
          <w:rFonts w:ascii="Avenir Next" w:hAnsi="Avenir Next"/>
          <w:color w:val="808080" w:themeColor="background1" w:themeShade="80"/>
        </w:rPr>
        <w:t xml:space="preserve">Hence, </w:t>
      </w:r>
      <w:r w:rsidR="00BC6226" w:rsidRPr="007477CD">
        <w:rPr>
          <w:rFonts w:ascii="Avenir Next" w:hAnsi="Avenir Next"/>
          <w:color w:val="808080" w:themeColor="background1" w:themeShade="80"/>
        </w:rPr>
        <w:t xml:space="preserve">iWork Ltd, as the debtor, has the option to assume or reject its office space leases. If the leases are assumed, iWork Ltd agrees to cure any outstanding defaults, including unpaid rent. </w:t>
      </w:r>
      <w:r w:rsidR="007477CD">
        <w:rPr>
          <w:rFonts w:ascii="Avenir Next" w:hAnsi="Avenir Next"/>
          <w:color w:val="808080" w:themeColor="background1" w:themeShade="80"/>
        </w:rPr>
        <w:t xml:space="preserve">If after assuming, the debtor subsequently decides to reject it, the damages due to counterparty are considered post-petition administrative expenses of the estate. </w:t>
      </w:r>
      <w:r w:rsidR="00BC6226" w:rsidRPr="007477CD">
        <w:rPr>
          <w:rFonts w:ascii="Avenir Next" w:hAnsi="Avenir Next"/>
          <w:color w:val="808080" w:themeColor="background1" w:themeShade="80"/>
        </w:rPr>
        <w:t>If rejected, the lessor can pursue available remedies, including eviction.</w:t>
      </w:r>
      <w:r w:rsidR="007477CD">
        <w:rPr>
          <w:rFonts w:ascii="Avenir Next" w:hAnsi="Avenir Next"/>
          <w:color w:val="808080" w:themeColor="background1" w:themeShade="80"/>
        </w:rPr>
        <w:t xml:space="preserve"> The court may deny approval of the election where the choice is not made in good faith or in a reasonable exercise of business judgement. </w:t>
      </w:r>
      <w:r w:rsidR="00BC6226" w:rsidRPr="007477CD">
        <w:rPr>
          <w:rFonts w:ascii="Avenir Next" w:hAnsi="Avenir Next"/>
          <w:color w:val="808080" w:themeColor="background1" w:themeShade="80"/>
        </w:rPr>
        <w:t xml:space="preserve"> </w:t>
      </w:r>
      <w:r w:rsidRPr="007477CD">
        <w:rPr>
          <w:rFonts w:ascii="Avenir Next" w:hAnsi="Avenir Next"/>
          <w:color w:val="808080" w:themeColor="background1" w:themeShade="80"/>
        </w:rPr>
        <w:t xml:space="preserve"> </w:t>
      </w:r>
    </w:p>
    <w:p w14:paraId="198672C9" w14:textId="34138856" w:rsidR="007477CD" w:rsidRPr="004F3C63" w:rsidRDefault="004F3C63" w:rsidP="007477CD">
      <w:pPr>
        <w:pStyle w:val="AODocTxt"/>
        <w:numPr>
          <w:ilvl w:val="0"/>
          <w:numId w:val="44"/>
        </w:numPr>
        <w:spacing w:before="0" w:line="240" w:lineRule="auto"/>
        <w:rPr>
          <w:rFonts w:ascii="Avenir Next" w:hAnsi="Avenir Next"/>
          <w:b/>
          <w:bCs/>
          <w:color w:val="808080" w:themeColor="background1" w:themeShade="80"/>
        </w:rPr>
      </w:pPr>
      <w:r w:rsidRPr="004F3C63">
        <w:rPr>
          <w:rFonts w:ascii="Avenir Next" w:hAnsi="Avenir Next"/>
          <w:b/>
          <w:bCs/>
          <w:color w:val="808080" w:themeColor="background1" w:themeShade="80"/>
        </w:rPr>
        <w:t>Priority Claims for Unpaid Rent:</w:t>
      </w:r>
      <w:r>
        <w:rPr>
          <w:rFonts w:ascii="Avenir Next" w:hAnsi="Avenir Next"/>
          <w:b/>
          <w:bCs/>
          <w:color w:val="808080" w:themeColor="background1" w:themeShade="80"/>
        </w:rPr>
        <w:t xml:space="preserve"> </w:t>
      </w:r>
      <w:r>
        <w:rPr>
          <w:rFonts w:ascii="Avenir Next" w:hAnsi="Avenir Next"/>
          <w:color w:val="808080" w:themeColor="background1" w:themeShade="80"/>
        </w:rPr>
        <w:t>Unpaid rent for a certain period before bankruptcy filing may qualify as priority claim under the Bankruptcy Code. This means that the lessor’s claim for unpaid rent has a higher priority for payment compared to other unsecured creditors.</w:t>
      </w:r>
    </w:p>
    <w:p w14:paraId="09E822D1" w14:textId="012778A2" w:rsidR="004F3C63" w:rsidRDefault="004F3C63" w:rsidP="004F3C63">
      <w:pPr>
        <w:pStyle w:val="AODocTxt"/>
        <w:spacing w:before="0" w:line="240" w:lineRule="auto"/>
        <w:ind w:left="360"/>
        <w:rPr>
          <w:rFonts w:ascii="Avenir Next" w:hAnsi="Avenir Next"/>
          <w:b/>
          <w:bCs/>
          <w:color w:val="808080" w:themeColor="background1" w:themeShade="80"/>
        </w:rPr>
      </w:pPr>
    </w:p>
    <w:p w14:paraId="0916C83C" w14:textId="00C92831" w:rsidR="004F3C63" w:rsidRPr="004F3C63" w:rsidRDefault="004F3C63" w:rsidP="004F3C63">
      <w:pPr>
        <w:pStyle w:val="AODocTxt"/>
        <w:spacing w:before="0" w:line="240" w:lineRule="auto"/>
        <w:ind w:left="360"/>
        <w:rPr>
          <w:rFonts w:ascii="Avenir Next" w:hAnsi="Avenir Next"/>
          <w:color w:val="808080" w:themeColor="background1" w:themeShade="80"/>
        </w:rPr>
      </w:pPr>
      <w:proofErr w:type="gramStart"/>
      <w:r>
        <w:rPr>
          <w:rFonts w:ascii="Avenir Next" w:hAnsi="Avenir Next"/>
          <w:color w:val="808080" w:themeColor="background1" w:themeShade="80"/>
        </w:rPr>
        <w:t>Its</w:t>
      </w:r>
      <w:proofErr w:type="gramEnd"/>
      <w:r>
        <w:rPr>
          <w:rFonts w:ascii="Avenir Next" w:hAnsi="Avenir Next"/>
          <w:color w:val="808080" w:themeColor="background1" w:themeShade="80"/>
        </w:rPr>
        <w:t xml:space="preserve"> important to note that the Bankruptcy Code provides protections to lessors, the specifics can depend on the details of the case, the type of Bankruptcy filed 9 Chapter 7, Chapter 11 </w:t>
      </w:r>
      <w:proofErr w:type="spellStart"/>
      <w:r>
        <w:rPr>
          <w:rFonts w:ascii="Avenir Next" w:hAnsi="Avenir Next"/>
          <w:color w:val="808080" w:themeColor="background1" w:themeShade="80"/>
        </w:rPr>
        <w:t>etc</w:t>
      </w:r>
      <w:proofErr w:type="spellEnd"/>
      <w:r>
        <w:rPr>
          <w:rFonts w:ascii="Avenir Next" w:hAnsi="Avenir Next"/>
          <w:color w:val="808080" w:themeColor="background1" w:themeShade="80"/>
        </w:rPr>
        <w:t xml:space="preserve">) and the action taken by the debtor. </w:t>
      </w:r>
    </w:p>
    <w:p w14:paraId="7B4F145D" w14:textId="77777777" w:rsidR="00F370A0" w:rsidRPr="002B5D64" w:rsidRDefault="00F370A0" w:rsidP="001D3BAA">
      <w:pPr>
        <w:pStyle w:val="AODocTxt"/>
        <w:spacing w:before="0" w:line="240" w:lineRule="auto"/>
        <w:rPr>
          <w:rFonts w:ascii="Avenir Next" w:hAnsi="Avenir Next"/>
          <w:color w:val="808080" w:themeColor="background1" w:themeShade="80"/>
        </w:rPr>
      </w:pP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3B38B233" w14:textId="30625B4C" w:rsidR="003A1C43" w:rsidRDefault="003A1C4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recognition of an English scheme of arrangement under Chapter 15 of the US Bankruptcy Code would depend on whether it qualifies as a foreign maim or foreign non-main proceeding. Chapter 15 is designed to provide a framework for cooperation between US and foreign courts in cross-border insolvency cases.</w:t>
      </w:r>
    </w:p>
    <w:p w14:paraId="6A2DAF37" w14:textId="4DCB86B7" w:rsidR="00AA29C0" w:rsidRDefault="003A1C43" w:rsidP="003A1C43">
      <w:pPr>
        <w:pStyle w:val="AODocTxt"/>
        <w:numPr>
          <w:ilvl w:val="0"/>
          <w:numId w:val="45"/>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Foreign Main Proceeding: </w:t>
      </w:r>
      <w:r w:rsidR="00AA29C0">
        <w:rPr>
          <w:rFonts w:ascii="Avenir Next" w:hAnsi="Avenir Next"/>
          <w:color w:val="808080" w:themeColor="background1" w:themeShade="80"/>
        </w:rPr>
        <w:t xml:space="preserve">Foreign main proceedings are those that </w:t>
      </w:r>
      <w:r w:rsidR="001C0E83">
        <w:rPr>
          <w:rFonts w:ascii="Avenir Next" w:hAnsi="Avenir Next"/>
          <w:color w:val="808080" w:themeColor="background1" w:themeShade="80"/>
        </w:rPr>
        <w:t>commenced</w:t>
      </w:r>
      <w:r w:rsidR="00AA29C0">
        <w:rPr>
          <w:rFonts w:ascii="Avenir Next" w:hAnsi="Avenir Next"/>
          <w:color w:val="808080" w:themeColor="background1" w:themeShade="80"/>
        </w:rPr>
        <w:t xml:space="preserve"> in the debtor’s Center of Main Interest (COMI). </w:t>
      </w:r>
      <w:r>
        <w:rPr>
          <w:rFonts w:ascii="Avenir Next" w:hAnsi="Avenir Next"/>
          <w:color w:val="808080" w:themeColor="background1" w:themeShade="80"/>
        </w:rPr>
        <w:t xml:space="preserve">For an English scheme of arrangement to be recognized as a foreign main proceeding, it must be the primary insolvency proceeding in the jurisdiction where Skin Luxe has its “center of main interest” (COMI). COMI is typically </w:t>
      </w:r>
      <w:r w:rsidR="00F953F7">
        <w:rPr>
          <w:rFonts w:ascii="Avenir Next" w:hAnsi="Avenir Next"/>
          <w:color w:val="808080" w:themeColor="background1" w:themeShade="80"/>
        </w:rPr>
        <w:t xml:space="preserve">the </w:t>
      </w:r>
      <w:r w:rsidR="00F953F7">
        <w:rPr>
          <w:rFonts w:ascii="Avenir Next" w:hAnsi="Avenir Next"/>
          <w:color w:val="808080" w:themeColor="background1" w:themeShade="80"/>
        </w:rPr>
        <w:lastRenderedPageBreak/>
        <w:t xml:space="preserve">place where the debtor’s main business </w:t>
      </w:r>
      <w:proofErr w:type="gramStart"/>
      <w:r w:rsidR="00F953F7">
        <w:rPr>
          <w:rFonts w:ascii="Avenir Next" w:hAnsi="Avenir Next"/>
          <w:color w:val="808080" w:themeColor="background1" w:themeShade="80"/>
        </w:rPr>
        <w:t>are</w:t>
      </w:r>
      <w:proofErr w:type="gramEnd"/>
      <w:r w:rsidR="00F953F7">
        <w:rPr>
          <w:rFonts w:ascii="Avenir Next" w:hAnsi="Avenir Next"/>
          <w:color w:val="808080" w:themeColor="background1" w:themeShade="80"/>
        </w:rPr>
        <w:t xml:space="preserve"> located.</w:t>
      </w:r>
      <w:r w:rsidR="00AA29C0">
        <w:rPr>
          <w:rFonts w:ascii="Avenir Next" w:hAnsi="Avenir Next"/>
          <w:color w:val="808080" w:themeColor="background1" w:themeShade="80"/>
        </w:rPr>
        <w:t xml:space="preserve"> A debtor’s COMI is presumed to be a place of incorporation, but this is rebuttable. Relevant factors in the COMI analysis </w:t>
      </w:r>
      <w:proofErr w:type="gramStart"/>
      <w:r w:rsidR="00AA29C0">
        <w:rPr>
          <w:rFonts w:ascii="Avenir Next" w:hAnsi="Avenir Next"/>
          <w:color w:val="808080" w:themeColor="background1" w:themeShade="80"/>
        </w:rPr>
        <w:t>include</w:t>
      </w:r>
      <w:proofErr w:type="gramEnd"/>
      <w:r w:rsidR="00AA29C0">
        <w:rPr>
          <w:rFonts w:ascii="Avenir Next" w:hAnsi="Avenir Next"/>
          <w:color w:val="808080" w:themeColor="background1" w:themeShade="80"/>
        </w:rPr>
        <w:t xml:space="preserve"> </w:t>
      </w:r>
    </w:p>
    <w:p w14:paraId="5FBE10DD" w14:textId="77777777" w:rsidR="00AA29C0" w:rsidRDefault="00AA29C0" w:rsidP="00AA29C0">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-location of headquarters</w:t>
      </w:r>
    </w:p>
    <w:p w14:paraId="2CA563B9" w14:textId="77777777" w:rsidR="00AA29C0" w:rsidRDefault="00AA29C0" w:rsidP="00AA29C0">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 xml:space="preserve">- location of management </w:t>
      </w:r>
    </w:p>
    <w:p w14:paraId="0189F251" w14:textId="77777777" w:rsidR="001C0E83" w:rsidRDefault="00AA29C0" w:rsidP="00AA29C0">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 xml:space="preserve">-location of primary assets </w:t>
      </w:r>
    </w:p>
    <w:p w14:paraId="0E2044AE" w14:textId="77777777" w:rsidR="001C0E83" w:rsidRDefault="001C0E83" w:rsidP="00AA29C0">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 xml:space="preserve">-location of majority of debtor’s creditors or </w:t>
      </w:r>
      <w:proofErr w:type="gramStart"/>
      <w:r>
        <w:rPr>
          <w:rFonts w:ascii="Avenir Next" w:hAnsi="Avenir Next"/>
          <w:color w:val="808080" w:themeColor="background1" w:themeShade="80"/>
        </w:rPr>
        <w:t>a majority of</w:t>
      </w:r>
      <w:proofErr w:type="gramEnd"/>
      <w:r>
        <w:rPr>
          <w:rFonts w:ascii="Avenir Next" w:hAnsi="Avenir Next"/>
          <w:color w:val="808080" w:themeColor="background1" w:themeShade="80"/>
        </w:rPr>
        <w:t xml:space="preserve"> the creditors that will be affected by the relief requested by the foreign representative and</w:t>
      </w:r>
    </w:p>
    <w:p w14:paraId="4B805D5A" w14:textId="77777777" w:rsidR="001C0E83" w:rsidRDefault="001C0E83" w:rsidP="00AA29C0">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-jurisdiction whose law will apply to most disputes.</w:t>
      </w:r>
    </w:p>
    <w:p w14:paraId="5DCCCBBE" w14:textId="3299A5F4" w:rsidR="00AA29C0" w:rsidRDefault="00F953F7" w:rsidP="00AA29C0">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 xml:space="preserve"> </w:t>
      </w:r>
    </w:p>
    <w:p w14:paraId="63596A67" w14:textId="4BCABB82" w:rsidR="001C0E83" w:rsidRDefault="001C0E83" w:rsidP="00AA29C0">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 xml:space="preserve">Most likely the COMI of Skin Luxe shall be determined to be in France as it is having principal place of business in France where it develops and </w:t>
      </w:r>
      <w:r w:rsidR="00E837F0">
        <w:rPr>
          <w:rFonts w:ascii="Avenir Next" w:hAnsi="Avenir Next"/>
          <w:color w:val="808080" w:themeColor="background1" w:themeShade="80"/>
        </w:rPr>
        <w:t xml:space="preserve">manufacture its products. </w:t>
      </w:r>
    </w:p>
    <w:p w14:paraId="2F8B471F" w14:textId="3B883E12" w:rsidR="003A1C43" w:rsidRDefault="00F953F7" w:rsidP="00AA29C0">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 xml:space="preserve">If Skin Luxe’s COMI is determined to be in France, then an English scheme may not qualify as a foreign main proceeding. </w:t>
      </w:r>
    </w:p>
    <w:p w14:paraId="18980ED2" w14:textId="77777777" w:rsidR="00F953F7" w:rsidRDefault="00F953F7" w:rsidP="003A1C43">
      <w:pPr>
        <w:pStyle w:val="AODocTxt"/>
        <w:numPr>
          <w:ilvl w:val="0"/>
          <w:numId w:val="45"/>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Foreign Non-Main Proceeding: If the English scheme is not considered a foreign main proceeding, it may be treated as foreign non-main proceeding. In this case, the English Court-appointed representative would need to seek recognition for the US Bankruptcy court, demonstrating the need for assistance in the US ancillary to the primary proceeding taking place in another jurisdiction. </w:t>
      </w:r>
    </w:p>
    <w:p w14:paraId="0CFD461E" w14:textId="77777777" w:rsidR="00F953F7" w:rsidRDefault="00F953F7" w:rsidP="00F953F7">
      <w:pPr>
        <w:pStyle w:val="AODocTxt"/>
        <w:spacing w:before="0" w:line="240" w:lineRule="auto"/>
        <w:ind w:left="720"/>
        <w:rPr>
          <w:rFonts w:ascii="Avenir Next" w:hAnsi="Avenir Next"/>
          <w:color w:val="808080" w:themeColor="background1" w:themeShade="80"/>
        </w:rPr>
      </w:pPr>
    </w:p>
    <w:p w14:paraId="206D5893" w14:textId="532DC7C9" w:rsidR="00F953F7" w:rsidRDefault="00F953F7" w:rsidP="00F953F7">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 xml:space="preserve">Key consideration for the US court </w:t>
      </w:r>
      <w:r w:rsidR="00E837F0">
        <w:rPr>
          <w:rFonts w:ascii="Avenir Next" w:hAnsi="Avenir Next"/>
          <w:color w:val="808080" w:themeColor="background1" w:themeShade="80"/>
        </w:rPr>
        <w:t>includes</w:t>
      </w:r>
      <w:r>
        <w:rPr>
          <w:rFonts w:ascii="Avenir Next" w:hAnsi="Avenir Next"/>
          <w:color w:val="808080" w:themeColor="background1" w:themeShade="80"/>
        </w:rPr>
        <w:t xml:space="preserve"> whether the English scheme of arrangement is compatible with the US public policy and whether Skin Luxe has assets or creditors in the US that require protection.</w:t>
      </w:r>
    </w:p>
    <w:p w14:paraId="1D5AAD00" w14:textId="77777777" w:rsidR="00F953F7" w:rsidRDefault="00F953F7" w:rsidP="00F953F7">
      <w:pPr>
        <w:pStyle w:val="AODocTxt"/>
        <w:spacing w:before="0" w:line="240" w:lineRule="auto"/>
        <w:ind w:left="720"/>
        <w:rPr>
          <w:rFonts w:ascii="Avenir Next" w:hAnsi="Avenir Next"/>
          <w:color w:val="808080" w:themeColor="background1" w:themeShade="80"/>
        </w:rPr>
      </w:pPr>
    </w:p>
    <w:p w14:paraId="13CDB799" w14:textId="77777777" w:rsidR="00F953F7" w:rsidRDefault="00F953F7" w:rsidP="00F953F7">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 xml:space="preserve">In summary, the determination of whether an English scheme of arrangement by Skin Luxe could be granted recognition under Chapter 15 would involve assessing factors such as the location of Skin Luxe’s COMI, the nature of scheme and need for US assistance. </w:t>
      </w:r>
    </w:p>
    <w:p w14:paraId="7D7241EF" w14:textId="40540C29" w:rsidR="00F953F7" w:rsidRDefault="00F953F7" w:rsidP="00F953F7">
      <w:pPr>
        <w:pStyle w:val="AODocTxt"/>
        <w:spacing w:before="0" w:line="240" w:lineRule="auto"/>
        <w:ind w:left="720"/>
        <w:rPr>
          <w:rFonts w:ascii="Avenir Next" w:hAnsi="Avenir Next"/>
          <w:color w:val="808080" w:themeColor="background1" w:themeShade="80"/>
        </w:rPr>
      </w:pP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4D59D733" w:rsidR="001D3BAA" w:rsidRDefault="0023100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Filing for Chapter 11 bankruptcy by speculation Inc would have various effects on the ongoing matters:</w:t>
      </w:r>
    </w:p>
    <w:p w14:paraId="74F877A5" w14:textId="77777777" w:rsidR="00C713AB" w:rsidRDefault="00C713AB" w:rsidP="001D3BAA">
      <w:pPr>
        <w:pStyle w:val="AODocTxt"/>
        <w:spacing w:before="0" w:line="240" w:lineRule="auto"/>
        <w:rPr>
          <w:rFonts w:ascii="Avenir Next" w:hAnsi="Avenir Next"/>
          <w:color w:val="808080" w:themeColor="background1" w:themeShade="80"/>
        </w:rPr>
      </w:pPr>
    </w:p>
    <w:p w14:paraId="711BAB62" w14:textId="1F878CC1" w:rsidR="0023100C" w:rsidRDefault="0023100C" w:rsidP="0023100C">
      <w:pPr>
        <w:pStyle w:val="AODocTxt"/>
        <w:numPr>
          <w:ilvl w:val="0"/>
          <w:numId w:val="46"/>
        </w:numPr>
        <w:spacing w:before="0" w:line="240" w:lineRule="auto"/>
        <w:rPr>
          <w:rFonts w:ascii="Avenir Next" w:hAnsi="Avenir Next"/>
          <w:b/>
          <w:bCs/>
          <w:color w:val="808080" w:themeColor="background1" w:themeShade="80"/>
        </w:rPr>
      </w:pPr>
      <w:r w:rsidRPr="0023100C">
        <w:rPr>
          <w:rFonts w:ascii="Avenir Next" w:hAnsi="Avenir Next"/>
          <w:b/>
          <w:bCs/>
          <w:color w:val="808080" w:themeColor="background1" w:themeShade="80"/>
        </w:rPr>
        <w:t>DOJ Investigation:</w:t>
      </w:r>
      <w:r>
        <w:rPr>
          <w:rFonts w:ascii="Avenir Next" w:hAnsi="Avenir Next"/>
          <w:b/>
          <w:bCs/>
          <w:color w:val="808080" w:themeColor="background1" w:themeShade="80"/>
        </w:rPr>
        <w:t xml:space="preserve"> </w:t>
      </w:r>
    </w:p>
    <w:p w14:paraId="577F8F70" w14:textId="2895203B" w:rsidR="0023100C" w:rsidRDefault="0023100C" w:rsidP="0023100C">
      <w:pPr>
        <w:pStyle w:val="AODocTxt"/>
        <w:spacing w:before="0" w:line="240" w:lineRule="auto"/>
        <w:ind w:left="1080"/>
        <w:rPr>
          <w:rFonts w:ascii="Avenir Next" w:hAnsi="Avenir Next"/>
          <w:color w:val="808080" w:themeColor="background1" w:themeShade="80"/>
        </w:rPr>
      </w:pPr>
      <w:r w:rsidRPr="0023100C">
        <w:rPr>
          <w:rFonts w:ascii="Avenir Next" w:hAnsi="Avenir Next"/>
          <w:color w:val="808080" w:themeColor="background1" w:themeShade="80"/>
        </w:rPr>
        <w:t xml:space="preserve">Filing for Chapter 11 </w:t>
      </w:r>
      <w:r>
        <w:rPr>
          <w:rFonts w:ascii="Avenir Next" w:hAnsi="Avenir Next"/>
          <w:color w:val="808080" w:themeColor="background1" w:themeShade="80"/>
        </w:rPr>
        <w:t>bankruptcy does not automatically halt or dismiss ongoing investigation by government authorities, including the US Department of Justice (DOJ). The bankruptcy process may, however, impact the timing and nature of the investigation. The DOJ may continue its enquiry, but its actions may be subject to the oversight and approval of the bankruptcy court. The bankruptcy filing could potentially affect the DOJ’s ability to collect fines or penalties during the bankruptcy proceedings.</w:t>
      </w:r>
    </w:p>
    <w:p w14:paraId="7EA74B1A" w14:textId="7D49C7E3" w:rsidR="0023100C" w:rsidRPr="0023100C" w:rsidRDefault="0023100C" w:rsidP="0023100C">
      <w:pPr>
        <w:pStyle w:val="AODocTxt"/>
        <w:numPr>
          <w:ilvl w:val="0"/>
          <w:numId w:val="46"/>
        </w:numPr>
        <w:spacing w:before="0" w:line="240" w:lineRule="auto"/>
        <w:rPr>
          <w:rFonts w:ascii="Avenir Next" w:hAnsi="Avenir Next"/>
          <w:b/>
          <w:bCs/>
          <w:color w:val="808080" w:themeColor="background1" w:themeShade="80"/>
        </w:rPr>
      </w:pPr>
      <w:r w:rsidRPr="0023100C">
        <w:rPr>
          <w:rFonts w:ascii="Avenir Next" w:hAnsi="Avenir Next"/>
          <w:b/>
          <w:bCs/>
          <w:color w:val="808080" w:themeColor="background1" w:themeShade="80"/>
        </w:rPr>
        <w:lastRenderedPageBreak/>
        <w:t>Margin Loan Default:</w:t>
      </w:r>
    </w:p>
    <w:p w14:paraId="46AAF948" w14:textId="4DA0873C" w:rsidR="0023100C" w:rsidRDefault="0023100C" w:rsidP="0023100C">
      <w:pPr>
        <w:pStyle w:val="AODocTxt"/>
        <w:spacing w:before="0" w:line="240" w:lineRule="auto"/>
        <w:ind w:left="1080"/>
        <w:rPr>
          <w:rFonts w:ascii="Avenir Next" w:hAnsi="Avenir Next"/>
          <w:color w:val="808080" w:themeColor="background1" w:themeShade="80"/>
        </w:rPr>
      </w:pPr>
      <w:r>
        <w:rPr>
          <w:rFonts w:ascii="Avenir Next" w:hAnsi="Avenir Next"/>
          <w:color w:val="808080" w:themeColor="background1" w:themeShade="80"/>
        </w:rPr>
        <w:t>The default on the margin loan would be a significant factor in the bankruptcy case. The bankruptcy filing triggers an automatic stay, which temporarily halts collection actions, including those related to the margin loan default. Speculation Inc would have the opportunity to negotiate with the lender, restructure its debts, and potentially continue its operations under the protection of the bankruptcy court.</w:t>
      </w:r>
    </w:p>
    <w:p w14:paraId="634B2F80" w14:textId="502A81C7" w:rsidR="0023100C" w:rsidRDefault="0023100C" w:rsidP="00680058">
      <w:pPr>
        <w:pStyle w:val="AODocTxt"/>
        <w:rPr>
          <w:rFonts w:ascii="Avenir Next" w:hAnsi="Avenir Next"/>
          <w:b/>
          <w:bCs/>
          <w:color w:val="808080" w:themeColor="background1" w:themeShade="80"/>
        </w:rPr>
      </w:pPr>
      <w:r>
        <w:rPr>
          <w:rFonts w:ascii="Avenir Next" w:hAnsi="Avenir Next"/>
          <w:color w:val="808080" w:themeColor="background1" w:themeShade="80"/>
        </w:rPr>
        <w:t xml:space="preserve">        (III)       </w:t>
      </w:r>
      <w:r w:rsidRPr="00680058">
        <w:rPr>
          <w:rFonts w:ascii="Avenir Next" w:hAnsi="Avenir Next"/>
          <w:b/>
          <w:bCs/>
          <w:color w:val="808080" w:themeColor="background1" w:themeShade="80"/>
        </w:rPr>
        <w:t xml:space="preserve">Delinquent lease: </w:t>
      </w:r>
    </w:p>
    <w:p w14:paraId="25F13A8E" w14:textId="4579C1B7" w:rsidR="00680058" w:rsidRDefault="00680058" w:rsidP="00C713AB">
      <w:pPr>
        <w:pStyle w:val="AODocTxt"/>
        <w:ind w:left="1120"/>
        <w:rPr>
          <w:rFonts w:ascii="Avenir Next" w:hAnsi="Avenir Next"/>
          <w:color w:val="808080" w:themeColor="background1" w:themeShade="80"/>
        </w:rPr>
      </w:pPr>
      <w:r>
        <w:rPr>
          <w:rFonts w:ascii="Avenir Next" w:hAnsi="Avenir Next"/>
          <w:color w:val="808080" w:themeColor="background1" w:themeShade="80"/>
        </w:rPr>
        <w:t>The bankruptcy filing also triggers an automatic stay on actions to recover possession of property, including eviction for non-payment of rent. This stay provides Speculation Inc with a temporary reprieve, allowing it to negotiate with the landlord and potentially assume or reject the lease under the guidance of the bankruptcy court. The bankruptcy process may lead to the restructuring of lease obligations or the surrender of the lease.</w:t>
      </w:r>
    </w:p>
    <w:p w14:paraId="2E4B49E5" w14:textId="3B72FDA7" w:rsidR="00680058" w:rsidRDefault="00C713AB" w:rsidP="00680058">
      <w:pPr>
        <w:pStyle w:val="AODocTxt"/>
        <w:rPr>
          <w:rFonts w:ascii="Avenir Next" w:hAnsi="Avenir Next"/>
          <w:b/>
          <w:bCs/>
          <w:color w:val="808080" w:themeColor="background1" w:themeShade="80"/>
        </w:rPr>
      </w:pPr>
      <w:r>
        <w:rPr>
          <w:rFonts w:ascii="Avenir Next" w:hAnsi="Avenir Next"/>
          <w:b/>
          <w:bCs/>
          <w:color w:val="808080" w:themeColor="background1" w:themeShade="80"/>
        </w:rPr>
        <w:t xml:space="preserve">      </w:t>
      </w:r>
      <w:r w:rsidR="00680058" w:rsidRPr="00680058">
        <w:rPr>
          <w:rFonts w:ascii="Avenir Next" w:hAnsi="Avenir Next"/>
          <w:b/>
          <w:bCs/>
          <w:color w:val="808080" w:themeColor="background1" w:themeShade="80"/>
        </w:rPr>
        <w:t>(</w:t>
      </w:r>
      <w:proofErr w:type="spellStart"/>
      <w:r w:rsidR="00680058" w:rsidRPr="00680058">
        <w:rPr>
          <w:rFonts w:ascii="Avenir Next" w:hAnsi="Avenir Next"/>
          <w:b/>
          <w:bCs/>
          <w:color w:val="808080" w:themeColor="background1" w:themeShade="80"/>
        </w:rPr>
        <w:t>iV</w:t>
      </w:r>
      <w:proofErr w:type="spellEnd"/>
      <w:r w:rsidR="00680058" w:rsidRPr="00680058">
        <w:rPr>
          <w:rFonts w:ascii="Avenir Next" w:hAnsi="Avenir Next"/>
          <w:b/>
          <w:bCs/>
          <w:color w:val="808080" w:themeColor="background1" w:themeShade="80"/>
        </w:rPr>
        <w:t xml:space="preserve">) Employment Discrimination </w:t>
      </w:r>
      <w:proofErr w:type="gramStart"/>
      <w:r w:rsidR="00680058" w:rsidRPr="00680058">
        <w:rPr>
          <w:rFonts w:ascii="Avenir Next" w:hAnsi="Avenir Next"/>
          <w:b/>
          <w:bCs/>
          <w:color w:val="808080" w:themeColor="background1" w:themeShade="80"/>
        </w:rPr>
        <w:t>Law Suit</w:t>
      </w:r>
      <w:proofErr w:type="gramEnd"/>
      <w:r w:rsidR="00680058" w:rsidRPr="00680058">
        <w:rPr>
          <w:rFonts w:ascii="Avenir Next" w:hAnsi="Avenir Next"/>
          <w:b/>
          <w:bCs/>
          <w:color w:val="808080" w:themeColor="background1" w:themeShade="80"/>
        </w:rPr>
        <w:t>:</w:t>
      </w:r>
    </w:p>
    <w:p w14:paraId="2AA22E60" w14:textId="77777777" w:rsidR="00680058" w:rsidRDefault="00680058" w:rsidP="00C713AB">
      <w:pPr>
        <w:pStyle w:val="AODocTxt"/>
        <w:ind w:left="720"/>
        <w:rPr>
          <w:rFonts w:ascii="Avenir Next" w:hAnsi="Avenir Next"/>
          <w:color w:val="808080" w:themeColor="background1" w:themeShade="80"/>
        </w:rPr>
      </w:pPr>
      <w:r>
        <w:rPr>
          <w:rFonts w:ascii="Avenir Next" w:hAnsi="Avenir Next"/>
          <w:color w:val="808080" w:themeColor="background1" w:themeShade="80"/>
        </w:rPr>
        <w:t>The bankruptcy filing will likely affect the civil lawsuit alleging gender bias. The automatic stay temporarily halts most litigation against the debtor, including employment related lawsuits. The former employee may need to seek permission from the bankruptcy court to proceed with the lawsuit. The claim may be treated as an unsecured creditor claim in the bankruptcy proceedings, and the ultimate resolution would depend on the outcome of negotiations or court decisions.</w:t>
      </w:r>
    </w:p>
    <w:p w14:paraId="6718B441" w14:textId="58D12D42" w:rsidR="00680058" w:rsidRPr="00680058" w:rsidRDefault="00680058" w:rsidP="00680058">
      <w:pPr>
        <w:pStyle w:val="AODocTxt"/>
        <w:rPr>
          <w:rFonts w:ascii="Avenir Next" w:hAnsi="Avenir Next"/>
          <w:b/>
          <w:bCs/>
          <w:color w:val="808080" w:themeColor="background1" w:themeShade="80"/>
        </w:rPr>
      </w:pPr>
      <w:r>
        <w:rPr>
          <w:rFonts w:ascii="Avenir Next" w:hAnsi="Avenir Next"/>
          <w:color w:val="808080" w:themeColor="background1" w:themeShade="80"/>
        </w:rPr>
        <w:t xml:space="preserve">In summary, a Chapter 11 bankruptcy filing by Speculation Inc would trigger an automatic stay affecting ongoing matters, providing the company with an opportunity to restructure its affairs and negotiate with the various stakeholders under the supervision of the bankruptcy court. The ultimate impact on each matter would depend on the specific circumstances and how they are addressed within the bankruptcy process.  </w:t>
      </w:r>
      <w:r w:rsidRPr="00680058">
        <w:rPr>
          <w:rFonts w:ascii="Avenir Next" w:hAnsi="Avenir Next"/>
          <w:b/>
          <w:bCs/>
          <w:color w:val="808080" w:themeColor="background1" w:themeShade="80"/>
        </w:rPr>
        <w:t xml:space="preserve">  </w:t>
      </w:r>
    </w:p>
    <w:p w14:paraId="70C6A8B6" w14:textId="40BDB72B" w:rsidR="00126A4D" w:rsidRPr="00E01803" w:rsidRDefault="00680058" w:rsidP="00680058">
      <w:pPr>
        <w:pStyle w:val="AODocTxt"/>
        <w:rPr>
          <w:rFonts w:ascii="Avenir Next" w:hAnsi="Avenir Next" w:cs="Arial"/>
          <w:color w:val="808080" w:themeColor="background1" w:themeShade="80"/>
          <w:lang w:val="en-GB"/>
        </w:rPr>
      </w:pPr>
      <w:r>
        <w:rPr>
          <w:rFonts w:ascii="Avenir Next" w:hAnsi="Avenir Next"/>
          <w:b/>
          <w:bCs/>
          <w:color w:val="808080" w:themeColor="background1" w:themeShade="80"/>
        </w:rPr>
        <w:tab/>
      </w:r>
      <w:r>
        <w:rPr>
          <w:rFonts w:ascii="Avenir Next" w:hAnsi="Avenir Next"/>
          <w:b/>
          <w:bCs/>
          <w:color w:val="808080" w:themeColor="background1" w:themeShade="80"/>
        </w:rPr>
        <w:tab/>
      </w: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3649EF">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119E" w14:textId="77777777" w:rsidR="003649EF" w:rsidRDefault="003649EF" w:rsidP="00241B44">
      <w:r>
        <w:separator/>
      </w:r>
    </w:p>
  </w:endnote>
  <w:endnote w:type="continuationSeparator" w:id="0">
    <w:p w14:paraId="717801C6" w14:textId="77777777" w:rsidR="003649EF" w:rsidRDefault="003649E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6FC2224D" w:rsidR="00241FA3" w:rsidRPr="00494B81" w:rsidRDefault="00D006DB" w:rsidP="009B4976">
    <w:pPr>
      <w:pStyle w:val="Footer"/>
      <w:ind w:right="360"/>
      <w:rPr>
        <w:rFonts w:ascii="Avenir Next" w:hAnsi="Avenir Next" w:cs="Arial"/>
        <w:sz w:val="22"/>
        <w:szCs w:val="22"/>
        <w:lang w:val="en-GB"/>
      </w:rPr>
    </w:pPr>
    <w:r>
      <w:rPr>
        <w:rFonts w:ascii="Avenir Next" w:hAnsi="Avenir Next" w:cs="Arial"/>
        <w:sz w:val="22"/>
        <w:szCs w:val="22"/>
        <w:lang w:val="en-GB"/>
      </w:rPr>
      <w:t>202324-1463</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9151" w14:textId="77777777" w:rsidR="003649EF" w:rsidRDefault="003649EF" w:rsidP="00241B44">
      <w:r>
        <w:separator/>
      </w:r>
    </w:p>
  </w:footnote>
  <w:footnote w:type="continuationSeparator" w:id="0">
    <w:p w14:paraId="1B9A544D" w14:textId="77777777" w:rsidR="003649EF" w:rsidRDefault="003649E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21B54"/>
    <w:multiLevelType w:val="hybridMultilevel"/>
    <w:tmpl w:val="AC861F84"/>
    <w:lvl w:ilvl="0" w:tplc="908AA94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8953A2"/>
    <w:multiLevelType w:val="hybridMultilevel"/>
    <w:tmpl w:val="938012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4A080E"/>
    <w:multiLevelType w:val="hybridMultilevel"/>
    <w:tmpl w:val="F79250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B6017B"/>
    <w:multiLevelType w:val="hybridMultilevel"/>
    <w:tmpl w:val="2B2212DC"/>
    <w:lvl w:ilvl="0" w:tplc="FF6EDD30">
      <w:start w:val="1"/>
      <w:numFmt w:val="bullet"/>
      <w:lvlText w:val="-"/>
      <w:lvlJc w:val="left"/>
      <w:pPr>
        <w:ind w:left="720" w:hanging="360"/>
      </w:pPr>
      <w:rPr>
        <w:rFonts w:ascii="Avenir Next" w:eastAsiaTheme="minorHAnsi" w:hAnsi="Avenir Next"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A25FF6"/>
    <w:multiLevelType w:val="hybridMultilevel"/>
    <w:tmpl w:val="C498A3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9B1CEB"/>
    <w:multiLevelType w:val="hybridMultilevel"/>
    <w:tmpl w:val="1FD2191A"/>
    <w:lvl w:ilvl="0" w:tplc="D6B8EAB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96C666B"/>
    <w:multiLevelType w:val="hybridMultilevel"/>
    <w:tmpl w:val="809674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DD2BB6"/>
    <w:multiLevelType w:val="hybridMultilevel"/>
    <w:tmpl w:val="F0D83C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CCC750C"/>
    <w:multiLevelType w:val="hybridMultilevel"/>
    <w:tmpl w:val="336E5D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8"/>
  </w:num>
  <w:num w:numId="2" w16cid:durableId="1783306908">
    <w:abstractNumId w:val="31"/>
  </w:num>
  <w:num w:numId="3" w16cid:durableId="1942764495">
    <w:abstractNumId w:val="6"/>
  </w:num>
  <w:num w:numId="4" w16cid:durableId="298269076">
    <w:abstractNumId w:val="10"/>
  </w:num>
  <w:num w:numId="5" w16cid:durableId="730929724">
    <w:abstractNumId w:val="13"/>
  </w:num>
  <w:num w:numId="6" w16cid:durableId="1594360553">
    <w:abstractNumId w:val="35"/>
  </w:num>
  <w:num w:numId="7" w16cid:durableId="1661152946">
    <w:abstractNumId w:val="7"/>
  </w:num>
  <w:num w:numId="8" w16cid:durableId="45877589">
    <w:abstractNumId w:val="39"/>
  </w:num>
  <w:num w:numId="9" w16cid:durableId="876742117">
    <w:abstractNumId w:val="14"/>
  </w:num>
  <w:num w:numId="10" w16cid:durableId="1035689165">
    <w:abstractNumId w:val="30"/>
  </w:num>
  <w:num w:numId="11" w16cid:durableId="926307185">
    <w:abstractNumId w:val="17"/>
  </w:num>
  <w:num w:numId="12" w16cid:durableId="621232781">
    <w:abstractNumId w:val="27"/>
  </w:num>
  <w:num w:numId="13" w16cid:durableId="1204442417">
    <w:abstractNumId w:val="0"/>
  </w:num>
  <w:num w:numId="14" w16cid:durableId="1001467812">
    <w:abstractNumId w:val="12"/>
  </w:num>
  <w:num w:numId="15" w16cid:durableId="189758179">
    <w:abstractNumId w:val="22"/>
  </w:num>
  <w:num w:numId="16" w16cid:durableId="1491479825">
    <w:abstractNumId w:val="9"/>
  </w:num>
  <w:num w:numId="17" w16cid:durableId="882793158">
    <w:abstractNumId w:val="4"/>
  </w:num>
  <w:num w:numId="18" w16cid:durableId="777675833">
    <w:abstractNumId w:val="3"/>
  </w:num>
  <w:num w:numId="19" w16cid:durableId="1129937292">
    <w:abstractNumId w:val="32"/>
  </w:num>
  <w:num w:numId="20" w16cid:durableId="1471096614">
    <w:abstractNumId w:val="8"/>
  </w:num>
  <w:num w:numId="21" w16cid:durableId="398864111">
    <w:abstractNumId w:val="29"/>
  </w:num>
  <w:num w:numId="22" w16cid:durableId="2133940203">
    <w:abstractNumId w:val="42"/>
  </w:num>
  <w:num w:numId="23" w16cid:durableId="950893894">
    <w:abstractNumId w:val="15"/>
  </w:num>
  <w:num w:numId="24" w16cid:durableId="1962497721">
    <w:abstractNumId w:val="33"/>
  </w:num>
  <w:num w:numId="25" w16cid:durableId="869756453">
    <w:abstractNumId w:val="24"/>
  </w:num>
  <w:num w:numId="26" w16cid:durableId="1092049203">
    <w:abstractNumId w:val="25"/>
  </w:num>
  <w:num w:numId="27" w16cid:durableId="1146704350">
    <w:abstractNumId w:val="19"/>
  </w:num>
  <w:num w:numId="28" w16cid:durableId="937979478">
    <w:abstractNumId w:val="37"/>
  </w:num>
  <w:num w:numId="29" w16cid:durableId="1970553734">
    <w:abstractNumId w:val="1"/>
  </w:num>
  <w:num w:numId="30" w16cid:durableId="293563849">
    <w:abstractNumId w:val="21"/>
  </w:num>
  <w:num w:numId="31" w16cid:durableId="2126381093">
    <w:abstractNumId w:val="26"/>
  </w:num>
  <w:num w:numId="32" w16cid:durableId="1605572703">
    <w:abstractNumId w:val="45"/>
  </w:num>
  <w:num w:numId="33" w16cid:durableId="1203253494">
    <w:abstractNumId w:val="18"/>
  </w:num>
  <w:num w:numId="34" w16cid:durableId="1104031608">
    <w:abstractNumId w:val="2"/>
  </w:num>
  <w:num w:numId="35" w16cid:durableId="2144806674">
    <w:abstractNumId w:val="38"/>
  </w:num>
  <w:num w:numId="36" w16cid:durableId="1673992024">
    <w:abstractNumId w:val="40"/>
  </w:num>
  <w:num w:numId="37" w16cid:durableId="2022775299">
    <w:abstractNumId w:val="11"/>
  </w:num>
  <w:num w:numId="38" w16cid:durableId="1246574204">
    <w:abstractNumId w:val="34"/>
  </w:num>
  <w:num w:numId="39" w16cid:durableId="417673221">
    <w:abstractNumId w:val="43"/>
  </w:num>
  <w:num w:numId="40" w16cid:durableId="503055809">
    <w:abstractNumId w:val="23"/>
  </w:num>
  <w:num w:numId="41" w16cid:durableId="239364174">
    <w:abstractNumId w:val="16"/>
  </w:num>
  <w:num w:numId="42" w16cid:durableId="1401711388">
    <w:abstractNumId w:val="36"/>
  </w:num>
  <w:num w:numId="43" w16cid:durableId="960766668">
    <w:abstractNumId w:val="44"/>
  </w:num>
  <w:num w:numId="44" w16cid:durableId="311298476">
    <w:abstractNumId w:val="41"/>
  </w:num>
  <w:num w:numId="45" w16cid:durableId="1626811230">
    <w:abstractNumId w:val="20"/>
  </w:num>
  <w:num w:numId="46" w16cid:durableId="68236436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3E7D"/>
    <w:rsid w:val="000250C7"/>
    <w:rsid w:val="00026F16"/>
    <w:rsid w:val="000346E7"/>
    <w:rsid w:val="00037621"/>
    <w:rsid w:val="00037671"/>
    <w:rsid w:val="00044D46"/>
    <w:rsid w:val="00045088"/>
    <w:rsid w:val="00045904"/>
    <w:rsid w:val="000502FD"/>
    <w:rsid w:val="000643AB"/>
    <w:rsid w:val="00065166"/>
    <w:rsid w:val="00075A9D"/>
    <w:rsid w:val="000778B1"/>
    <w:rsid w:val="000810B2"/>
    <w:rsid w:val="00082609"/>
    <w:rsid w:val="000851CC"/>
    <w:rsid w:val="00093BE8"/>
    <w:rsid w:val="000968D6"/>
    <w:rsid w:val="00097B45"/>
    <w:rsid w:val="00097D56"/>
    <w:rsid w:val="000A407B"/>
    <w:rsid w:val="000A51D0"/>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2FC"/>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0E45"/>
    <w:rsid w:val="0018267A"/>
    <w:rsid w:val="00182779"/>
    <w:rsid w:val="001830DF"/>
    <w:rsid w:val="001834D3"/>
    <w:rsid w:val="001966D9"/>
    <w:rsid w:val="00197E4B"/>
    <w:rsid w:val="001A7E9A"/>
    <w:rsid w:val="001B0F70"/>
    <w:rsid w:val="001B1763"/>
    <w:rsid w:val="001B33F5"/>
    <w:rsid w:val="001B5016"/>
    <w:rsid w:val="001C0E83"/>
    <w:rsid w:val="001C45FC"/>
    <w:rsid w:val="001D0469"/>
    <w:rsid w:val="001D3BAA"/>
    <w:rsid w:val="001D4862"/>
    <w:rsid w:val="001E25B9"/>
    <w:rsid w:val="001E49E0"/>
    <w:rsid w:val="001E7B5A"/>
    <w:rsid w:val="001F7412"/>
    <w:rsid w:val="00202DFE"/>
    <w:rsid w:val="0020725B"/>
    <w:rsid w:val="002110F1"/>
    <w:rsid w:val="002204B8"/>
    <w:rsid w:val="00223917"/>
    <w:rsid w:val="00224888"/>
    <w:rsid w:val="0023100C"/>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5D3A"/>
    <w:rsid w:val="00326292"/>
    <w:rsid w:val="00326415"/>
    <w:rsid w:val="00330937"/>
    <w:rsid w:val="00330F31"/>
    <w:rsid w:val="00332E35"/>
    <w:rsid w:val="00334648"/>
    <w:rsid w:val="00334B98"/>
    <w:rsid w:val="0033768C"/>
    <w:rsid w:val="00337938"/>
    <w:rsid w:val="00340769"/>
    <w:rsid w:val="00341AA6"/>
    <w:rsid w:val="003502EB"/>
    <w:rsid w:val="00352E16"/>
    <w:rsid w:val="00361A0A"/>
    <w:rsid w:val="00362FA5"/>
    <w:rsid w:val="00364836"/>
    <w:rsid w:val="003649EF"/>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1C43"/>
    <w:rsid w:val="003A5537"/>
    <w:rsid w:val="003A75F4"/>
    <w:rsid w:val="003B170F"/>
    <w:rsid w:val="003B3C5F"/>
    <w:rsid w:val="003B7184"/>
    <w:rsid w:val="003B7373"/>
    <w:rsid w:val="003C0F8C"/>
    <w:rsid w:val="003C1190"/>
    <w:rsid w:val="003C2A71"/>
    <w:rsid w:val="003C3388"/>
    <w:rsid w:val="003C4471"/>
    <w:rsid w:val="003C53FE"/>
    <w:rsid w:val="003D0A6D"/>
    <w:rsid w:val="003D450D"/>
    <w:rsid w:val="003E0B16"/>
    <w:rsid w:val="003E67D1"/>
    <w:rsid w:val="00404329"/>
    <w:rsid w:val="00405DC1"/>
    <w:rsid w:val="00406FEE"/>
    <w:rsid w:val="00410E8B"/>
    <w:rsid w:val="00415F1F"/>
    <w:rsid w:val="00416DDB"/>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335"/>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3C63"/>
    <w:rsid w:val="004F49B5"/>
    <w:rsid w:val="004F5FDF"/>
    <w:rsid w:val="004F7B99"/>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1651"/>
    <w:rsid w:val="0056391B"/>
    <w:rsid w:val="005650E2"/>
    <w:rsid w:val="00567AD7"/>
    <w:rsid w:val="00575B2D"/>
    <w:rsid w:val="00580B65"/>
    <w:rsid w:val="00582AB6"/>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6F12"/>
    <w:rsid w:val="00677AEB"/>
    <w:rsid w:val="00680058"/>
    <w:rsid w:val="00680EF2"/>
    <w:rsid w:val="006844A8"/>
    <w:rsid w:val="00687A1D"/>
    <w:rsid w:val="0069730B"/>
    <w:rsid w:val="00697EA1"/>
    <w:rsid w:val="006A2646"/>
    <w:rsid w:val="006A42F8"/>
    <w:rsid w:val="006A6530"/>
    <w:rsid w:val="006B3571"/>
    <w:rsid w:val="006B435A"/>
    <w:rsid w:val="006B4C64"/>
    <w:rsid w:val="006C65F4"/>
    <w:rsid w:val="006D6BD5"/>
    <w:rsid w:val="006E47C3"/>
    <w:rsid w:val="006E481A"/>
    <w:rsid w:val="006E5298"/>
    <w:rsid w:val="006F4A78"/>
    <w:rsid w:val="006F734A"/>
    <w:rsid w:val="006F7643"/>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477CD"/>
    <w:rsid w:val="00747983"/>
    <w:rsid w:val="007603F5"/>
    <w:rsid w:val="00764DB0"/>
    <w:rsid w:val="0076764D"/>
    <w:rsid w:val="00767C70"/>
    <w:rsid w:val="0077281C"/>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6135"/>
    <w:rsid w:val="007D7C92"/>
    <w:rsid w:val="007E1154"/>
    <w:rsid w:val="007E48E1"/>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0DBA"/>
    <w:rsid w:val="00853272"/>
    <w:rsid w:val="00855BA7"/>
    <w:rsid w:val="00864F8A"/>
    <w:rsid w:val="0087116D"/>
    <w:rsid w:val="008723F3"/>
    <w:rsid w:val="00872711"/>
    <w:rsid w:val="00875912"/>
    <w:rsid w:val="00875DEB"/>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21B8C"/>
    <w:rsid w:val="0092565E"/>
    <w:rsid w:val="0093467C"/>
    <w:rsid w:val="00935386"/>
    <w:rsid w:val="00942123"/>
    <w:rsid w:val="009427E0"/>
    <w:rsid w:val="0095207B"/>
    <w:rsid w:val="00962045"/>
    <w:rsid w:val="00963D77"/>
    <w:rsid w:val="00980E61"/>
    <w:rsid w:val="00991428"/>
    <w:rsid w:val="00992676"/>
    <w:rsid w:val="009954B2"/>
    <w:rsid w:val="00996691"/>
    <w:rsid w:val="009A2F63"/>
    <w:rsid w:val="009B0723"/>
    <w:rsid w:val="009B07AD"/>
    <w:rsid w:val="009B0883"/>
    <w:rsid w:val="009B15E2"/>
    <w:rsid w:val="009B1B82"/>
    <w:rsid w:val="009B4976"/>
    <w:rsid w:val="009B69E8"/>
    <w:rsid w:val="009C0B8E"/>
    <w:rsid w:val="009C1BC8"/>
    <w:rsid w:val="009C2442"/>
    <w:rsid w:val="009C4D42"/>
    <w:rsid w:val="009D0811"/>
    <w:rsid w:val="009D0EE1"/>
    <w:rsid w:val="009D2F0E"/>
    <w:rsid w:val="009D5B73"/>
    <w:rsid w:val="009E2AEB"/>
    <w:rsid w:val="009E2E27"/>
    <w:rsid w:val="009E45DF"/>
    <w:rsid w:val="009E4DE3"/>
    <w:rsid w:val="009F275E"/>
    <w:rsid w:val="00A024E7"/>
    <w:rsid w:val="00A047EE"/>
    <w:rsid w:val="00A04D79"/>
    <w:rsid w:val="00A20AA0"/>
    <w:rsid w:val="00A2274A"/>
    <w:rsid w:val="00A235B7"/>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A0280"/>
    <w:rsid w:val="00AA29C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1C69"/>
    <w:rsid w:val="00B44713"/>
    <w:rsid w:val="00B56103"/>
    <w:rsid w:val="00B63E83"/>
    <w:rsid w:val="00B64929"/>
    <w:rsid w:val="00B736DF"/>
    <w:rsid w:val="00B742A1"/>
    <w:rsid w:val="00B743D6"/>
    <w:rsid w:val="00B74FBD"/>
    <w:rsid w:val="00B77B19"/>
    <w:rsid w:val="00B77F46"/>
    <w:rsid w:val="00B82586"/>
    <w:rsid w:val="00B829A3"/>
    <w:rsid w:val="00B849C5"/>
    <w:rsid w:val="00B86DB1"/>
    <w:rsid w:val="00B87869"/>
    <w:rsid w:val="00B9639B"/>
    <w:rsid w:val="00BA2D6C"/>
    <w:rsid w:val="00BA74EF"/>
    <w:rsid w:val="00BB0F2B"/>
    <w:rsid w:val="00BC6226"/>
    <w:rsid w:val="00BD4A58"/>
    <w:rsid w:val="00BD7337"/>
    <w:rsid w:val="00BE4FF3"/>
    <w:rsid w:val="00BE51F8"/>
    <w:rsid w:val="00BF0003"/>
    <w:rsid w:val="00BF1B3E"/>
    <w:rsid w:val="00BF3C66"/>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13AB"/>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1642"/>
    <w:rsid w:val="00CC4818"/>
    <w:rsid w:val="00CC5335"/>
    <w:rsid w:val="00CC5BA4"/>
    <w:rsid w:val="00CD4998"/>
    <w:rsid w:val="00CD7E4D"/>
    <w:rsid w:val="00CE0ECD"/>
    <w:rsid w:val="00CE1035"/>
    <w:rsid w:val="00CE182C"/>
    <w:rsid w:val="00CE6E50"/>
    <w:rsid w:val="00CF12B2"/>
    <w:rsid w:val="00CF2819"/>
    <w:rsid w:val="00CF4F9D"/>
    <w:rsid w:val="00CF70DC"/>
    <w:rsid w:val="00D006DB"/>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0E40"/>
    <w:rsid w:val="00E55547"/>
    <w:rsid w:val="00E6302B"/>
    <w:rsid w:val="00E6452F"/>
    <w:rsid w:val="00E64F45"/>
    <w:rsid w:val="00E6742D"/>
    <w:rsid w:val="00E71CB0"/>
    <w:rsid w:val="00E77C3D"/>
    <w:rsid w:val="00E837F0"/>
    <w:rsid w:val="00E90991"/>
    <w:rsid w:val="00E909F0"/>
    <w:rsid w:val="00E90D47"/>
    <w:rsid w:val="00E91BE5"/>
    <w:rsid w:val="00E93993"/>
    <w:rsid w:val="00E9597C"/>
    <w:rsid w:val="00EA0913"/>
    <w:rsid w:val="00EA5B00"/>
    <w:rsid w:val="00EA5B2C"/>
    <w:rsid w:val="00EA78AC"/>
    <w:rsid w:val="00EB146B"/>
    <w:rsid w:val="00EB45AC"/>
    <w:rsid w:val="00EC441F"/>
    <w:rsid w:val="00EC4755"/>
    <w:rsid w:val="00EC48D0"/>
    <w:rsid w:val="00EC6918"/>
    <w:rsid w:val="00ED0181"/>
    <w:rsid w:val="00ED0BC4"/>
    <w:rsid w:val="00ED447D"/>
    <w:rsid w:val="00ED738F"/>
    <w:rsid w:val="00ED74BC"/>
    <w:rsid w:val="00ED7BF3"/>
    <w:rsid w:val="00EE2F66"/>
    <w:rsid w:val="00EE4971"/>
    <w:rsid w:val="00EF090E"/>
    <w:rsid w:val="00EF37CB"/>
    <w:rsid w:val="00EF5572"/>
    <w:rsid w:val="00F033DA"/>
    <w:rsid w:val="00F13691"/>
    <w:rsid w:val="00F13FB1"/>
    <w:rsid w:val="00F241A7"/>
    <w:rsid w:val="00F27CD8"/>
    <w:rsid w:val="00F30351"/>
    <w:rsid w:val="00F3323E"/>
    <w:rsid w:val="00F341F4"/>
    <w:rsid w:val="00F34F9D"/>
    <w:rsid w:val="00F35CCE"/>
    <w:rsid w:val="00F370A0"/>
    <w:rsid w:val="00F418CA"/>
    <w:rsid w:val="00F42CF3"/>
    <w:rsid w:val="00F5524B"/>
    <w:rsid w:val="00F60538"/>
    <w:rsid w:val="00F61DD2"/>
    <w:rsid w:val="00F63187"/>
    <w:rsid w:val="00F66AFF"/>
    <w:rsid w:val="00F71246"/>
    <w:rsid w:val="00F71433"/>
    <w:rsid w:val="00F92140"/>
    <w:rsid w:val="00F953F7"/>
    <w:rsid w:val="00F97C5B"/>
    <w:rsid w:val="00FA07BF"/>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17B0"/>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14</Pages>
  <Words>5723</Words>
  <Characters>32626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Manoj Jain</cp:lastModifiedBy>
  <cp:revision>20</cp:revision>
  <cp:lastPrinted>2019-08-27T05:42:00Z</cp:lastPrinted>
  <dcterms:created xsi:type="dcterms:W3CDTF">2024-02-11T13:37:00Z</dcterms:created>
  <dcterms:modified xsi:type="dcterms:W3CDTF">2024-02-24T14:55:00Z</dcterms:modified>
</cp:coreProperties>
</file>