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43A8D" w:rsidRDefault="00AE5B6F" w:rsidP="00B04033">
      <w:pPr>
        <w:pStyle w:val="ListParagraph"/>
        <w:numPr>
          <w:ilvl w:val="0"/>
          <w:numId w:val="1"/>
        </w:numPr>
        <w:ind w:left="426"/>
        <w:jc w:val="both"/>
        <w:rPr>
          <w:rFonts w:ascii="Avenir Next" w:hAnsi="Avenir Next" w:cs="Arial"/>
          <w:sz w:val="22"/>
          <w:szCs w:val="22"/>
          <w:highlight w:val="yellow"/>
          <w:lang w:val="en-GB"/>
        </w:rPr>
      </w:pPr>
      <w:r w:rsidRPr="00143A8D">
        <w:rPr>
          <w:rFonts w:ascii="Avenir Next" w:hAnsi="Avenir Next" w:cs="Arial"/>
          <w:sz w:val="22"/>
          <w:szCs w:val="22"/>
          <w:highlight w:val="yellow"/>
          <w:lang w:val="en-GB"/>
        </w:rPr>
        <w:t>w</w:t>
      </w:r>
      <w:r w:rsidR="00C91062" w:rsidRPr="00143A8D">
        <w:rPr>
          <w:rFonts w:ascii="Avenir Next" w:hAnsi="Avenir Next" w:cs="Arial"/>
          <w:sz w:val="22"/>
          <w:szCs w:val="22"/>
          <w:highlight w:val="yellow"/>
          <w:lang w:val="en-GB"/>
        </w:rPr>
        <w:t xml:space="preserve">ithin </w:t>
      </w:r>
      <w:r w:rsidR="00733A34" w:rsidRPr="00143A8D">
        <w:rPr>
          <w:rFonts w:ascii="Avenir Next" w:hAnsi="Avenir Next" w:cs="Arial"/>
          <w:sz w:val="22"/>
          <w:szCs w:val="22"/>
          <w:highlight w:val="yellow"/>
          <w:lang w:val="en-GB"/>
        </w:rPr>
        <w:t>eight</w:t>
      </w:r>
      <w:r w:rsidR="00C91062" w:rsidRPr="00143A8D">
        <w:rPr>
          <w:rFonts w:ascii="Avenir Next" w:hAnsi="Avenir Next" w:cs="Arial"/>
          <w:sz w:val="22"/>
          <w:szCs w:val="22"/>
          <w:highlight w:val="yellow"/>
          <w:lang w:val="en-GB"/>
        </w:rPr>
        <w:t xml:space="preserve"> weeks of the commencement of the administration</w:t>
      </w:r>
      <w:r w:rsidR="00763348" w:rsidRPr="00143A8D">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43A8D" w:rsidRDefault="00E443D7" w:rsidP="00B04033">
      <w:pPr>
        <w:pStyle w:val="ListParagraph"/>
        <w:numPr>
          <w:ilvl w:val="0"/>
          <w:numId w:val="2"/>
        </w:numPr>
        <w:ind w:left="426"/>
        <w:jc w:val="both"/>
        <w:rPr>
          <w:rFonts w:ascii="Avenir Next" w:hAnsi="Avenir Next" w:cs="Arial"/>
          <w:sz w:val="22"/>
          <w:szCs w:val="22"/>
          <w:highlight w:val="yellow"/>
          <w:lang w:val="en-GB"/>
        </w:rPr>
      </w:pPr>
      <w:r w:rsidRPr="00143A8D">
        <w:rPr>
          <w:rFonts w:ascii="Avenir Next" w:hAnsi="Avenir Next" w:cs="Arial"/>
          <w:sz w:val="22"/>
          <w:szCs w:val="22"/>
          <w:highlight w:val="yellow"/>
          <w:lang w:val="en-GB"/>
        </w:rPr>
        <w:t>One year and 20 business days</w:t>
      </w:r>
      <w:r w:rsidR="00763348" w:rsidRPr="00143A8D">
        <w:rPr>
          <w:rFonts w:ascii="Avenir Next" w:hAnsi="Avenir Next" w:cs="Arial"/>
          <w:sz w:val="22"/>
          <w:szCs w:val="22"/>
          <w:highlight w:val="yellow"/>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143A8D" w:rsidRDefault="00AE5B6F" w:rsidP="00B04033">
      <w:pPr>
        <w:pStyle w:val="ListParagraph"/>
        <w:numPr>
          <w:ilvl w:val="0"/>
          <w:numId w:val="3"/>
        </w:numPr>
        <w:ind w:left="426"/>
        <w:jc w:val="both"/>
        <w:rPr>
          <w:rFonts w:ascii="Avenir Next" w:hAnsi="Avenir Next" w:cs="Arial"/>
          <w:sz w:val="22"/>
          <w:szCs w:val="22"/>
          <w:highlight w:val="yellow"/>
          <w:lang w:val="en-GB"/>
        </w:rPr>
      </w:pPr>
      <w:r w:rsidRPr="00143A8D">
        <w:rPr>
          <w:rFonts w:ascii="Avenir Next" w:hAnsi="Avenir Next" w:cs="Arial"/>
          <w:sz w:val="22"/>
          <w:szCs w:val="22"/>
          <w:highlight w:val="yellow"/>
          <w:lang w:val="en-GB"/>
        </w:rPr>
        <w:t>T</w:t>
      </w:r>
      <w:r w:rsidR="008D1616" w:rsidRPr="00143A8D">
        <w:rPr>
          <w:rFonts w:ascii="Avenir Next" w:hAnsi="Avenir Next" w:cs="Arial"/>
          <w:sz w:val="22"/>
          <w:szCs w:val="22"/>
          <w:highlight w:val="yellow"/>
          <w:lang w:val="en-GB"/>
        </w:rPr>
        <w:t>he company is, or is likely to become, unable to pay their debts, as defined under s</w:t>
      </w:r>
      <w:r w:rsidR="00E833F4" w:rsidRPr="00143A8D">
        <w:rPr>
          <w:rFonts w:ascii="Avenir Next" w:hAnsi="Avenir Next" w:cs="Arial"/>
          <w:sz w:val="22"/>
          <w:szCs w:val="22"/>
          <w:highlight w:val="yellow"/>
          <w:lang w:val="en-GB"/>
        </w:rPr>
        <w:t>ection</w:t>
      </w:r>
      <w:r w:rsidR="008D1616" w:rsidRPr="00143A8D">
        <w:rPr>
          <w:rFonts w:ascii="Avenir Next" w:hAnsi="Avenir Next" w:cs="Arial"/>
          <w:sz w:val="22"/>
          <w:szCs w:val="22"/>
          <w:highlight w:val="yellow"/>
          <w:lang w:val="en-GB"/>
        </w:rPr>
        <w:t xml:space="preserve"> 123 of the Insolvency Act 1986</w:t>
      </w:r>
      <w:r w:rsidR="00763348" w:rsidRPr="00143A8D">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43A8D" w:rsidRDefault="00C91062" w:rsidP="00B04033">
      <w:pPr>
        <w:pStyle w:val="ListParagraph"/>
        <w:numPr>
          <w:ilvl w:val="0"/>
          <w:numId w:val="4"/>
        </w:numPr>
        <w:ind w:left="426"/>
        <w:jc w:val="both"/>
        <w:rPr>
          <w:rFonts w:ascii="Avenir Next" w:hAnsi="Avenir Next" w:cs="Arial"/>
          <w:sz w:val="22"/>
          <w:szCs w:val="22"/>
          <w:highlight w:val="yellow"/>
          <w:lang w:val="en-GB"/>
        </w:rPr>
      </w:pPr>
      <w:r w:rsidRPr="00143A8D">
        <w:rPr>
          <w:rFonts w:ascii="Avenir Next" w:hAnsi="Avenir Next" w:cs="Arial"/>
          <w:sz w:val="22"/>
          <w:szCs w:val="22"/>
          <w:highlight w:val="yellow"/>
          <w:lang w:val="en-GB"/>
        </w:rPr>
        <w:t>The purchaser</w:t>
      </w:r>
      <w:r w:rsidR="00763348" w:rsidRPr="00143A8D">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143A8D" w:rsidRDefault="00BA1CFD" w:rsidP="00B04033">
      <w:pPr>
        <w:pStyle w:val="ListParagraph"/>
        <w:numPr>
          <w:ilvl w:val="0"/>
          <w:numId w:val="5"/>
        </w:numPr>
        <w:ind w:left="426"/>
        <w:jc w:val="both"/>
        <w:rPr>
          <w:rFonts w:ascii="Avenir Next" w:hAnsi="Avenir Next" w:cs="Arial"/>
          <w:sz w:val="22"/>
          <w:szCs w:val="22"/>
          <w:highlight w:val="yellow"/>
          <w:lang w:val="en-GB"/>
        </w:rPr>
      </w:pPr>
      <w:r w:rsidRPr="00143A8D">
        <w:rPr>
          <w:rFonts w:ascii="Avenir Next" w:hAnsi="Avenir Next" w:cs="Arial"/>
          <w:sz w:val="22"/>
          <w:szCs w:val="22"/>
          <w:highlight w:val="yellow"/>
          <w:lang w:val="en-GB"/>
        </w:rPr>
        <w:t>Administration</w:t>
      </w:r>
      <w:r w:rsidR="00763348" w:rsidRPr="00143A8D">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43A8D" w:rsidRDefault="00BA1CFD" w:rsidP="00B04033">
      <w:pPr>
        <w:pStyle w:val="ListParagraph"/>
        <w:numPr>
          <w:ilvl w:val="0"/>
          <w:numId w:val="5"/>
        </w:numPr>
        <w:ind w:left="426"/>
        <w:jc w:val="both"/>
        <w:rPr>
          <w:rFonts w:ascii="Avenir Next" w:hAnsi="Avenir Next" w:cs="Arial"/>
          <w:sz w:val="22"/>
          <w:szCs w:val="22"/>
          <w:lang w:val="en-GB"/>
        </w:rPr>
      </w:pPr>
      <w:r w:rsidRPr="00143A8D">
        <w:rPr>
          <w:rFonts w:ascii="Avenir Next" w:hAnsi="Avenir Next" w:cs="Arial"/>
          <w:sz w:val="22"/>
          <w:szCs w:val="22"/>
          <w:lang w:val="en-GB"/>
        </w:rPr>
        <w:t>Restructuring Plan</w:t>
      </w:r>
      <w:r w:rsidR="00763348" w:rsidRPr="00143A8D">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43A8D" w:rsidRDefault="00BA1CFD" w:rsidP="00B04033">
      <w:pPr>
        <w:pStyle w:val="ListParagraph"/>
        <w:numPr>
          <w:ilvl w:val="0"/>
          <w:numId w:val="5"/>
        </w:numPr>
        <w:ind w:left="426"/>
        <w:jc w:val="both"/>
        <w:rPr>
          <w:rFonts w:ascii="Avenir Next" w:hAnsi="Avenir Next" w:cs="Arial"/>
          <w:sz w:val="22"/>
          <w:szCs w:val="22"/>
          <w:lang w:val="en-GB"/>
        </w:rPr>
      </w:pPr>
      <w:r w:rsidRPr="00143A8D">
        <w:rPr>
          <w:rFonts w:ascii="Avenir Next" w:hAnsi="Avenir Next" w:cs="Arial"/>
          <w:sz w:val="22"/>
          <w:szCs w:val="22"/>
          <w:lang w:val="en-GB"/>
        </w:rPr>
        <w:t>Company Voluntary Arrangement</w:t>
      </w:r>
      <w:r w:rsidR="00763348" w:rsidRPr="00143A8D">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D33201" w:rsidRDefault="00221444" w:rsidP="00221444">
      <w:pPr>
        <w:pStyle w:val="ListParagraph"/>
        <w:numPr>
          <w:ilvl w:val="0"/>
          <w:numId w:val="6"/>
        </w:numPr>
        <w:ind w:left="426"/>
        <w:jc w:val="both"/>
        <w:rPr>
          <w:rFonts w:ascii="Avenir Next" w:hAnsi="Avenir Next" w:cs="Arial"/>
          <w:sz w:val="22"/>
          <w:szCs w:val="22"/>
          <w:highlight w:val="yellow"/>
          <w:lang w:val="en-GB"/>
        </w:rPr>
      </w:pPr>
      <w:r w:rsidRPr="00D33201">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D33201" w:rsidRDefault="00BA1CFD" w:rsidP="00B04033">
      <w:pPr>
        <w:pStyle w:val="ListParagraph"/>
        <w:numPr>
          <w:ilvl w:val="0"/>
          <w:numId w:val="7"/>
        </w:numPr>
        <w:ind w:left="426"/>
        <w:jc w:val="both"/>
        <w:rPr>
          <w:rFonts w:ascii="Avenir Next" w:hAnsi="Avenir Next" w:cs="Arial"/>
          <w:sz w:val="22"/>
          <w:szCs w:val="22"/>
          <w:highlight w:val="yellow"/>
          <w:lang w:val="en-GB"/>
        </w:rPr>
      </w:pPr>
      <w:r w:rsidRPr="00D33201">
        <w:rPr>
          <w:rFonts w:ascii="Avenir Next" w:hAnsi="Avenir Next" w:cs="Arial"/>
          <w:sz w:val="22"/>
          <w:szCs w:val="22"/>
          <w:highlight w:val="yellow"/>
          <w:lang w:val="en-GB"/>
        </w:rPr>
        <w:t>Breach of fiduciary duty</w:t>
      </w:r>
      <w:r w:rsidR="00763348" w:rsidRPr="00D33201">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D33201" w:rsidRDefault="00450393" w:rsidP="00450393">
      <w:pPr>
        <w:pStyle w:val="ListParagraph"/>
        <w:numPr>
          <w:ilvl w:val="0"/>
          <w:numId w:val="8"/>
        </w:numPr>
        <w:ind w:left="426"/>
        <w:jc w:val="both"/>
        <w:rPr>
          <w:rFonts w:ascii="Avenir Next" w:hAnsi="Avenir Next" w:cs="Arial"/>
          <w:sz w:val="22"/>
          <w:szCs w:val="22"/>
          <w:highlight w:val="yellow"/>
          <w:lang w:val="en-GB"/>
        </w:rPr>
      </w:pPr>
      <w:r w:rsidRPr="00D33201">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197F24" w:rsidRDefault="00E833F4" w:rsidP="00B04033">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0D10C6" w:rsidRPr="00197F24">
        <w:rPr>
          <w:rFonts w:ascii="Avenir Next" w:hAnsi="Avenir Next" w:cs="Arial"/>
          <w:sz w:val="22"/>
          <w:szCs w:val="22"/>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6118DE" w:rsidRDefault="000D10C6" w:rsidP="00AE5B6F">
      <w:pPr>
        <w:pStyle w:val="ListParagraph"/>
        <w:numPr>
          <w:ilvl w:val="0"/>
          <w:numId w:val="9"/>
        </w:numPr>
        <w:ind w:left="426"/>
        <w:jc w:val="both"/>
        <w:rPr>
          <w:rFonts w:ascii="Avenir Next" w:hAnsi="Avenir Next" w:cs="Arial"/>
          <w:sz w:val="22"/>
          <w:szCs w:val="22"/>
          <w:lang w:val="en-GB"/>
        </w:rPr>
      </w:pPr>
      <w:r w:rsidRPr="006118DE">
        <w:rPr>
          <w:rFonts w:ascii="Avenir Next" w:hAnsi="Avenir Next" w:cs="Arial"/>
          <w:sz w:val="22"/>
          <w:szCs w:val="22"/>
          <w:lang w:val="en-GB"/>
        </w:rPr>
        <w:t xml:space="preserve">An insolvency officeholder from an EU Member State </w:t>
      </w:r>
      <w:r w:rsidR="00AC317D" w:rsidRPr="006118DE">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6118DE" w:rsidRDefault="00AC317D" w:rsidP="00AE5B6F">
      <w:pPr>
        <w:pStyle w:val="ListParagraph"/>
        <w:numPr>
          <w:ilvl w:val="0"/>
          <w:numId w:val="9"/>
        </w:numPr>
        <w:ind w:left="426"/>
        <w:jc w:val="both"/>
        <w:rPr>
          <w:rFonts w:ascii="Avenir Next" w:hAnsi="Avenir Next" w:cs="Arial"/>
          <w:sz w:val="22"/>
          <w:szCs w:val="22"/>
          <w:highlight w:val="yellow"/>
          <w:lang w:val="en-GB"/>
        </w:rPr>
      </w:pPr>
      <w:r w:rsidRPr="006118DE">
        <w:rPr>
          <w:rFonts w:ascii="Avenir Next" w:hAnsi="Avenir Next" w:cs="Arial"/>
          <w:sz w:val="22"/>
          <w:szCs w:val="22"/>
          <w:highlight w:val="yellow"/>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6118DE" w:rsidRDefault="000D4CFA" w:rsidP="004C7A8F">
      <w:pPr>
        <w:pStyle w:val="ListParagraph"/>
        <w:numPr>
          <w:ilvl w:val="0"/>
          <w:numId w:val="10"/>
        </w:numPr>
        <w:ind w:left="426"/>
        <w:jc w:val="both"/>
        <w:rPr>
          <w:rFonts w:ascii="Avenir Next" w:hAnsi="Avenir Next" w:cs="Arial"/>
          <w:sz w:val="22"/>
          <w:szCs w:val="22"/>
          <w:highlight w:val="yellow"/>
          <w:lang w:val="en-GB"/>
        </w:rPr>
      </w:pPr>
      <w:r w:rsidRPr="006118DE">
        <w:rPr>
          <w:rFonts w:ascii="Avenir Next" w:hAnsi="Avenir Next" w:cs="Arial"/>
          <w:sz w:val="22"/>
          <w:szCs w:val="22"/>
          <w:highlight w:val="yellow"/>
          <w:lang w:val="en-GB"/>
        </w:rPr>
        <w:t>Twelve</w:t>
      </w:r>
      <w:r w:rsidR="004C7A8F" w:rsidRPr="006118DE">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58CED916" w14:textId="61574AE2" w:rsidR="006118DE" w:rsidRDefault="006A6C27" w:rsidP="006A6C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 or administrator; supervisor under voluntary arrangement; person who is entitled to present winding up petition</w:t>
      </w:r>
    </w:p>
    <w:p w14:paraId="0404F01C" w14:textId="1984C057" w:rsidR="006A6C27" w:rsidRDefault="006A6C27" w:rsidP="006A6C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Secretary of State</w:t>
      </w:r>
    </w:p>
    <w:p w14:paraId="13244144" w14:textId="77129917" w:rsidR="006A6C27" w:rsidRDefault="00D417B5" w:rsidP="006A6C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HRMC; Secretary of State; liquidator/administrator/receiver</w:t>
      </w:r>
    </w:p>
    <w:p w14:paraId="7FCAD9B5" w14:textId="2E28F27E" w:rsidR="00D417B5" w:rsidRPr="006A6C27" w:rsidRDefault="00D417B5" w:rsidP="006A6C27">
      <w:pPr>
        <w:pStyle w:val="ListParagraph"/>
        <w:numPr>
          <w:ilvl w:val="0"/>
          <w:numId w:val="21"/>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Liquidator or administrator;</w:t>
      </w:r>
      <w:r w:rsidR="00692EC5">
        <w:rPr>
          <w:rFonts w:ascii="Avenir Next" w:hAnsi="Avenir Next" w:cs="Arial"/>
          <w:color w:val="7B7B7B" w:themeColor="accent3" w:themeShade="BF"/>
          <w:sz w:val="22"/>
          <w:szCs w:val="22"/>
          <w:lang w:val="en-GB"/>
        </w:rPr>
        <w:t xml:space="preserve"> supervisor under voluntary arrangement; </w:t>
      </w:r>
      <w:r w:rsidR="00692EC5">
        <w:rPr>
          <w:rFonts w:ascii="Avenir Next" w:hAnsi="Avenir Next" w:cs="Arial"/>
          <w:color w:val="7B7B7B" w:themeColor="accent3" w:themeShade="BF"/>
          <w:sz w:val="22"/>
          <w:szCs w:val="22"/>
          <w:lang w:val="en-GB"/>
        </w:rPr>
        <w:t>person who is entitled to present winding up petition</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56A30EB1" w14:textId="77777777" w:rsidR="001D1239" w:rsidRDefault="001D123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Monitor’s remuneration or expenses</w:t>
      </w:r>
    </w:p>
    <w:p w14:paraId="6A804385" w14:textId="68F33E1F" w:rsidR="002E6167" w:rsidRDefault="002E61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Debts owed to employees</w:t>
      </w:r>
    </w:p>
    <w:p w14:paraId="74FF5947" w14:textId="14108C7D" w:rsidR="00197F24" w:rsidRDefault="002E61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Wages or salaries</w:t>
      </w:r>
      <w:r w:rsidR="003432FC">
        <w:rPr>
          <w:rFonts w:ascii="Avenir Next" w:hAnsi="Avenir Next" w:cs="Arial"/>
          <w:color w:val="7B7B7B" w:themeColor="accent3" w:themeShade="BF"/>
          <w:sz w:val="22"/>
          <w:szCs w:val="22"/>
          <w:lang w:val="en-GB"/>
        </w:rPr>
        <w:t xml:space="preserve"> under employment contracts</w:t>
      </w:r>
    </w:p>
    <w:p w14:paraId="0E0823F7" w14:textId="293B4E80" w:rsidR="003432FC" w:rsidRDefault="003432F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Redundancy payments</w:t>
      </w:r>
    </w:p>
    <w:p w14:paraId="69417B46" w14:textId="72120FA2" w:rsidR="002E6167" w:rsidRDefault="002E61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Financial services debt</w:t>
      </w:r>
      <w:r w:rsidR="003432FC">
        <w:rPr>
          <w:rFonts w:ascii="Avenir Next" w:hAnsi="Avenir Next" w:cs="Arial"/>
          <w:color w:val="7B7B7B" w:themeColor="accent3" w:themeShade="BF"/>
          <w:sz w:val="22"/>
          <w:szCs w:val="22"/>
          <w:lang w:val="en-GB"/>
        </w:rPr>
        <w:t>s or other liabilitie</w:t>
      </w:r>
      <w:r>
        <w:rPr>
          <w:rFonts w:ascii="Avenir Next" w:hAnsi="Avenir Next" w:cs="Arial"/>
          <w:color w:val="7B7B7B" w:themeColor="accent3" w:themeShade="BF"/>
          <w:sz w:val="22"/>
          <w:szCs w:val="22"/>
          <w:lang w:val="en-GB"/>
        </w:rPr>
        <w:t>s</w:t>
      </w:r>
    </w:p>
    <w:p w14:paraId="3AAF1FF8" w14:textId="684C2094" w:rsidR="002E6167" w:rsidRDefault="002E61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Payments for goods or services supplied </w:t>
      </w:r>
      <w:r w:rsidR="006A4000">
        <w:rPr>
          <w:rFonts w:ascii="Avenir Next" w:hAnsi="Avenir Next" w:cs="Arial"/>
          <w:color w:val="7B7B7B" w:themeColor="accent3" w:themeShade="BF"/>
          <w:sz w:val="22"/>
          <w:szCs w:val="22"/>
          <w:lang w:val="en-GB"/>
        </w:rPr>
        <w:t>during</w:t>
      </w:r>
      <w:r>
        <w:rPr>
          <w:rFonts w:ascii="Avenir Next" w:hAnsi="Avenir Next" w:cs="Arial"/>
          <w:color w:val="7B7B7B" w:themeColor="accent3" w:themeShade="BF"/>
          <w:sz w:val="22"/>
          <w:szCs w:val="22"/>
          <w:lang w:val="en-GB"/>
        </w:rPr>
        <w:t xml:space="preserve"> the Moratorium</w:t>
      </w:r>
    </w:p>
    <w:p w14:paraId="2E431C80" w14:textId="6161AE50" w:rsidR="002E6167" w:rsidRDefault="002E6167"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Rent in respect of a period </w:t>
      </w:r>
      <w:r w:rsidR="009D41B1">
        <w:rPr>
          <w:rFonts w:ascii="Avenir Next" w:hAnsi="Avenir Next" w:cs="Arial"/>
          <w:color w:val="7B7B7B" w:themeColor="accent3" w:themeShade="BF"/>
          <w:sz w:val="22"/>
          <w:szCs w:val="22"/>
          <w:lang w:val="en-GB"/>
        </w:rPr>
        <w:t>during</w:t>
      </w:r>
      <w:r>
        <w:rPr>
          <w:rFonts w:ascii="Avenir Next" w:hAnsi="Avenir Next" w:cs="Arial"/>
          <w:color w:val="7B7B7B" w:themeColor="accent3" w:themeShade="BF"/>
          <w:sz w:val="22"/>
          <w:szCs w:val="22"/>
          <w:lang w:val="en-GB"/>
        </w:rPr>
        <w:t xml:space="preserve"> the Moratorium</w:t>
      </w:r>
    </w:p>
    <w:p w14:paraId="2104A3D7" w14:textId="77777777" w:rsidR="002E6167" w:rsidRDefault="002E6167" w:rsidP="002A37BB">
      <w:pPr>
        <w:jc w:val="both"/>
        <w:rPr>
          <w:rFonts w:ascii="Avenir Next Demi Bold" w:hAnsi="Avenir Next Demi Bold" w:cs="Arial"/>
          <w:b/>
          <w:bCs/>
          <w:sz w:val="22"/>
          <w:szCs w:val="22"/>
          <w:lang w:val="en-GB"/>
        </w:rPr>
      </w:pPr>
    </w:p>
    <w:p w14:paraId="170A9E71" w14:textId="0C5481CF"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70BECF44" w14:textId="77777777" w:rsidR="0063381C" w:rsidRDefault="0063381C" w:rsidP="002A37BB">
      <w:pPr>
        <w:jc w:val="both"/>
        <w:rPr>
          <w:rFonts w:ascii="Avenir Next" w:hAnsi="Avenir Next" w:cs="Arial"/>
          <w:color w:val="7B7B7B" w:themeColor="accent3" w:themeShade="BF"/>
          <w:sz w:val="22"/>
          <w:szCs w:val="22"/>
          <w:lang w:val="en-GB"/>
        </w:rPr>
      </w:pPr>
    </w:p>
    <w:p w14:paraId="0279DAE7" w14:textId="4F51E37D" w:rsidR="002E6167" w:rsidRDefault="002E616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Yes. The appointment of an administrator does not automatically terminate a company’s executory contracts, especially where there is no term in the contract of supply providing for such automatic termination (which clauses have increasingly become subject to statutory exceptions making such clauses void).</w:t>
      </w:r>
    </w:p>
    <w:p w14:paraId="3E2E0952" w14:textId="77777777" w:rsidR="002E6167" w:rsidRDefault="002E6167" w:rsidP="002A37BB">
      <w:pPr>
        <w:jc w:val="both"/>
        <w:rPr>
          <w:rFonts w:ascii="Avenir Next" w:hAnsi="Avenir Next" w:cs="Arial"/>
          <w:color w:val="7B7B7B" w:themeColor="accent3" w:themeShade="BF"/>
          <w:sz w:val="22"/>
          <w:szCs w:val="22"/>
          <w:lang w:val="en-GB"/>
        </w:rPr>
      </w:pPr>
    </w:p>
    <w:p w14:paraId="3231D1F5" w14:textId="1CF640B8" w:rsidR="002E6167" w:rsidRDefault="002E616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relation to utilities such as gas, electricity, water, telco services, suppliers are not permitted to require payment of outstanding debts for a new/continued supply, although a supplier may stipulate that the administrator must personally guarantee payment of charges in respect of the new supply.</w:t>
      </w:r>
    </w:p>
    <w:p w14:paraId="40828942" w14:textId="77777777" w:rsidR="002E6167" w:rsidRDefault="002E6167" w:rsidP="002A37BB">
      <w:pPr>
        <w:jc w:val="both"/>
        <w:rPr>
          <w:rFonts w:ascii="Avenir Next" w:hAnsi="Avenir Next" w:cs="Arial"/>
          <w:color w:val="7B7B7B" w:themeColor="accent3" w:themeShade="BF"/>
          <w:sz w:val="22"/>
          <w:szCs w:val="22"/>
          <w:lang w:val="en-GB"/>
        </w:rPr>
      </w:pPr>
    </w:p>
    <w:p w14:paraId="1080EDB2" w14:textId="7AF97CEE" w:rsidR="002E6167" w:rsidRDefault="002E6167"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233B of the 2020 Act prohibits clauses which allow the supplier of goods and services to terminate or “do any other thing” in relation to contracts if the company enters a formal insolvency </w:t>
      </w:r>
      <w:r>
        <w:rPr>
          <w:rFonts w:ascii="Avenir Next" w:hAnsi="Avenir Next" w:cs="Arial"/>
          <w:color w:val="7B7B7B" w:themeColor="accent3" w:themeShade="BF"/>
          <w:sz w:val="22"/>
          <w:szCs w:val="22"/>
          <w:lang w:val="en-GB"/>
        </w:rPr>
        <w:lastRenderedPageBreak/>
        <w:t>procedure.</w:t>
      </w:r>
      <w:r w:rsidR="00D93819">
        <w:rPr>
          <w:rFonts w:ascii="Avenir Next" w:hAnsi="Avenir Next" w:cs="Arial"/>
          <w:color w:val="7B7B7B" w:themeColor="accent3" w:themeShade="BF"/>
          <w:sz w:val="22"/>
          <w:szCs w:val="22"/>
          <w:lang w:val="en-GB"/>
        </w:rPr>
        <w:t xml:space="preserve"> The section also prevents suppliers from making it a condition of continued supply that pre-insolvency arrears are paid and from making other changes to the contract such as increasing prices. A supplier also cannot insist on a personal guarantee from the administrator (cf. section 233).  This section applies to all other suppliers with exceptions as regards insurers, banks, electronic money institutions, recognised investment exchanges, clearing houses, securitisation companies, overseas companies with corresponding functions.</w:t>
      </w:r>
    </w:p>
    <w:p w14:paraId="25354245" w14:textId="77777777" w:rsidR="00D93819" w:rsidRDefault="00D93819" w:rsidP="002A37BB">
      <w:pPr>
        <w:jc w:val="both"/>
        <w:rPr>
          <w:rFonts w:ascii="Avenir Next" w:hAnsi="Avenir Next" w:cs="Arial"/>
          <w:color w:val="7B7B7B" w:themeColor="accent3" w:themeShade="BF"/>
          <w:sz w:val="22"/>
          <w:szCs w:val="22"/>
          <w:lang w:val="en-GB"/>
        </w:rPr>
      </w:pPr>
    </w:p>
    <w:p w14:paraId="263646C5" w14:textId="46C77F31" w:rsidR="00D93819" w:rsidRDefault="00D93819"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a contract may still be terminated by a supplier where the company/administrator consents, or on application to the court (and where the court is satisfied that the continuation of the contract would cause the supplier hardship and thus grants permission).</w:t>
      </w:r>
    </w:p>
    <w:p w14:paraId="3C389BF4" w14:textId="77777777" w:rsidR="002E6167" w:rsidRPr="006925C1" w:rsidRDefault="002E6167"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7643B4" w:rsidRDefault="00DF75F8" w:rsidP="002A37BB">
      <w:pPr>
        <w:jc w:val="both"/>
        <w:rPr>
          <w:rFonts w:ascii="Avenir Next" w:hAnsi="Avenir Next" w:cs="Arial"/>
          <w:sz w:val="22"/>
          <w:szCs w:val="22"/>
          <w:lang w:val="en-SG"/>
        </w:rPr>
      </w:pPr>
    </w:p>
    <w:p w14:paraId="2D76528D" w14:textId="52DD5A1A" w:rsidR="00197F24" w:rsidRDefault="00D9381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For priority of payments, usually holders of fixed-charges are paid first outside of formal insolvency out of assets subject to fixed charges. Next, expenses of the procedure including remuneration of the office-holder. Next, preferential creditors, which are usually only reasonably modest claims from employees owed debts by their employers, and some taxation debts owed to the Government. </w:t>
      </w:r>
      <w:r w:rsidR="00223DA3">
        <w:rPr>
          <w:rFonts w:ascii="Avenir Next" w:hAnsi="Avenir Next" w:cs="Arial"/>
          <w:color w:val="7B7B7B" w:themeColor="accent3" w:themeShade="BF"/>
          <w:sz w:val="22"/>
          <w:szCs w:val="22"/>
          <w:lang w:val="en-GB"/>
        </w:rPr>
        <w:t>Next</w:t>
      </w:r>
      <w:r>
        <w:rPr>
          <w:rFonts w:ascii="Avenir Next" w:hAnsi="Avenir Next" w:cs="Arial"/>
          <w:color w:val="7B7B7B" w:themeColor="accent3" w:themeShade="BF"/>
          <w:sz w:val="22"/>
          <w:szCs w:val="22"/>
          <w:lang w:val="en-GB"/>
        </w:rPr>
        <w:t>, unsecured creditors or those without the benefit of any security or title to assets. Finally, if there is any surplus after payment of the company’s liabilities, this shall be returned to the company’s members</w:t>
      </w:r>
      <w:r w:rsidR="00223DA3">
        <w:rPr>
          <w:rFonts w:ascii="Avenir Next" w:hAnsi="Avenir Next" w:cs="Arial"/>
          <w:color w:val="7B7B7B" w:themeColor="accent3" w:themeShade="BF"/>
          <w:sz w:val="22"/>
          <w:szCs w:val="22"/>
          <w:lang w:val="en-GB"/>
        </w:rPr>
        <w:t xml:space="preserve"> i.e. shareholders</w:t>
      </w:r>
      <w:r>
        <w:rPr>
          <w:rFonts w:ascii="Avenir Next" w:hAnsi="Avenir Next" w:cs="Arial"/>
          <w:color w:val="7B7B7B" w:themeColor="accent3" w:themeShade="BF"/>
          <w:sz w:val="22"/>
          <w:szCs w:val="22"/>
          <w:lang w:val="en-GB"/>
        </w:rPr>
        <w:t xml:space="preserve"> in accordance with their constitutional rights.</w:t>
      </w:r>
      <w:r w:rsidR="00B61558">
        <w:rPr>
          <w:rFonts w:ascii="Avenir Next" w:hAnsi="Avenir Next" w:cs="Arial"/>
          <w:color w:val="7B7B7B" w:themeColor="accent3" w:themeShade="BF"/>
          <w:sz w:val="22"/>
          <w:szCs w:val="22"/>
          <w:lang w:val="en-GB"/>
        </w:rPr>
        <w:t xml:space="preserve"> </w:t>
      </w:r>
    </w:p>
    <w:p w14:paraId="5720ED26" w14:textId="77777777" w:rsidR="00D93819" w:rsidRDefault="00D93819" w:rsidP="00197F24">
      <w:pPr>
        <w:jc w:val="both"/>
        <w:rPr>
          <w:rFonts w:ascii="Avenir Next" w:hAnsi="Avenir Next" w:cs="Arial"/>
          <w:color w:val="7B7B7B" w:themeColor="accent3" w:themeShade="BF"/>
          <w:sz w:val="22"/>
          <w:szCs w:val="22"/>
          <w:lang w:val="en-GB"/>
        </w:rPr>
      </w:pPr>
    </w:p>
    <w:p w14:paraId="3EF2019C" w14:textId="5FCC6574" w:rsidR="00D93819" w:rsidRPr="00197F24" w:rsidRDefault="00D9381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latter situation, if the company is not rescued as a going concern but enters administration/liquidation within the 12-week period of the end of the Moratorium, the priority of debts will change as follows: first, certain unpaid pre-Moratorium or Moratorium debts which are not part of the payment holiday, such as those to employees or financial services debts, are paid in priority even to the liquidator’s fees and expenses. Pre-Moratorium bank debt falling within the definition of financial services will be likewise treated unless it is an accelerated debt.</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917357"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sidRPr="00917357">
        <w:rPr>
          <w:rFonts w:ascii="Avenir Next" w:hAnsi="Avenir Next" w:cs="Arial"/>
          <w:sz w:val="22"/>
          <w:szCs w:val="22"/>
        </w:rPr>
        <w:t>June 2023. The debenture contained a floating charge over the whole of the Company’s undertaking.</w:t>
      </w:r>
    </w:p>
    <w:p w14:paraId="7ACCFAD5" w14:textId="77777777" w:rsidR="00880059" w:rsidRPr="00917357"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917357" w:rsidRDefault="00880059" w:rsidP="00880059">
      <w:pPr>
        <w:pStyle w:val="NormalWeb"/>
        <w:spacing w:before="0" w:beforeAutospacing="0" w:after="0" w:afterAutospacing="0"/>
        <w:jc w:val="both"/>
        <w:rPr>
          <w:rFonts w:ascii="Avenir Next" w:hAnsi="Avenir Next" w:cs="Arial"/>
          <w:sz w:val="22"/>
          <w:szCs w:val="22"/>
        </w:rPr>
      </w:pPr>
      <w:r w:rsidRPr="00917357">
        <w:rPr>
          <w:rFonts w:ascii="Avenir Next" w:hAnsi="Avenir Next" w:cs="Arial"/>
          <w:sz w:val="22"/>
          <w:szCs w:val="22"/>
        </w:rPr>
        <w:t>The winding up order followed a creditor’s winding up petition issued on 13 January 2024.</w:t>
      </w:r>
    </w:p>
    <w:p w14:paraId="697A1EA7" w14:textId="77777777" w:rsidR="00880059" w:rsidRPr="00917357"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917357" w:rsidRDefault="00880059" w:rsidP="00880059">
      <w:pPr>
        <w:pStyle w:val="NormalWeb"/>
        <w:spacing w:before="0" w:beforeAutospacing="0" w:after="0" w:afterAutospacing="0"/>
        <w:jc w:val="both"/>
        <w:rPr>
          <w:rFonts w:ascii="Avenir Next" w:hAnsi="Avenir Next" w:cs="Arial"/>
          <w:sz w:val="22"/>
          <w:szCs w:val="22"/>
        </w:rPr>
      </w:pPr>
      <w:r w:rsidRPr="00917357">
        <w:rPr>
          <w:rFonts w:ascii="Avenir Next" w:hAnsi="Avenir Next" w:cs="Arial"/>
          <w:sz w:val="22"/>
          <w:szCs w:val="22"/>
        </w:rPr>
        <w:t xml:space="preserve">Sometime in January 2023, as the Company continued to suffer cash flow problems, the directors approved the sale of two </w:t>
      </w:r>
      <w:r w:rsidR="0002443E" w:rsidRPr="00917357">
        <w:rPr>
          <w:rFonts w:ascii="Avenir Next" w:hAnsi="Avenir Next" w:cs="Arial"/>
          <w:sz w:val="22"/>
          <w:szCs w:val="22"/>
        </w:rPr>
        <w:t>laser cutting</w:t>
      </w:r>
      <w:r w:rsidRPr="00917357">
        <w:rPr>
          <w:rFonts w:ascii="Avenir Next" w:hAnsi="Avenir Next" w:cs="Arial"/>
          <w:sz w:val="22"/>
          <w:szCs w:val="22"/>
        </w:rPr>
        <w:t xml:space="preserve"> machines to Angela Bannister (a director) for GBP 40,000 in cash. The machines had been bought for GBP 100,000 a year before.</w:t>
      </w:r>
    </w:p>
    <w:p w14:paraId="73BF88A9" w14:textId="77777777" w:rsidR="00880059" w:rsidRPr="00917357"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917357">
        <w:rPr>
          <w:rFonts w:ascii="Avenir Next" w:hAnsi="Avenir Next" w:cs="Arial"/>
          <w:sz w:val="22"/>
          <w:szCs w:val="22"/>
          <w:lang w:val="en-GB"/>
        </w:rPr>
        <w:t xml:space="preserve">A month before the winding up order was made, Angela Bannister received an email from Aluminium </w:t>
      </w:r>
      <w:proofErr w:type="spellStart"/>
      <w:r w:rsidRPr="00917357">
        <w:rPr>
          <w:rFonts w:ascii="Avenir Next" w:hAnsi="Avenir Next" w:cs="Arial"/>
          <w:sz w:val="22"/>
          <w:szCs w:val="22"/>
          <w:lang w:val="en-GB"/>
        </w:rPr>
        <w:t>Alumini</w:t>
      </w:r>
      <w:proofErr w:type="spellEnd"/>
      <w:r w:rsidRPr="00917357">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metal was seen as essential by the Company, the board authorised a payment of GBP 20,000 to cover existing liabilities and agreed to further payments, on a </w:t>
      </w:r>
      <w:r w:rsidRPr="00917357">
        <w:rPr>
          <w:rFonts w:ascii="Avenir Next" w:hAnsi="Avenir Next" w:cs="Arial"/>
          <w:sz w:val="22"/>
          <w:szCs w:val="22"/>
          <w:lang w:val="en-GB"/>
        </w:rPr>
        <w:lastRenderedPageBreak/>
        <w:t>cash on delivery basis, for further supplies which amounted to further payment of GBP 8,000 up to the date of the winding up order.</w:t>
      </w:r>
      <w:r w:rsidRPr="006E0D3B">
        <w:rPr>
          <w:rFonts w:ascii="Avenir Next" w:hAnsi="Avenir Next" w:cs="Arial"/>
          <w:sz w:val="22"/>
          <w:szCs w:val="22"/>
          <w:lang w:val="en-GB"/>
        </w:rPr>
        <w:t xml:space="preserve">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7AF89173" w14:textId="77777777" w:rsidR="008A4745" w:rsidRDefault="00071D0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wish to challenge the validity of the above floating charge. </w:t>
      </w:r>
      <w:r w:rsidR="006D500B">
        <w:rPr>
          <w:rFonts w:ascii="Avenir Next" w:hAnsi="Avenir Next" w:cs="Arial"/>
          <w:color w:val="7B7B7B" w:themeColor="accent3" w:themeShade="BF"/>
          <w:sz w:val="22"/>
          <w:szCs w:val="22"/>
          <w:lang w:val="en-GB"/>
        </w:rPr>
        <w:t>Section 245 of the Insolvency Act 1986 is relevant, as it applies only to floating charges, and where a company is in liquidation. The section is aimed at prevention pre-existed unsecured creditors from obtaining the security of a floating charge shortly before the company enter a formal insolvency procedure.</w:t>
      </w:r>
      <w:r w:rsidR="00C70476">
        <w:rPr>
          <w:rFonts w:ascii="Avenir Next" w:hAnsi="Avenir Next" w:cs="Arial"/>
          <w:color w:val="7B7B7B" w:themeColor="accent3" w:themeShade="BF"/>
          <w:sz w:val="22"/>
          <w:szCs w:val="22"/>
          <w:lang w:val="en-GB"/>
        </w:rPr>
        <w:t xml:space="preserve"> It does not prevent lenders who are providing fresh funding to the company from taking a floating charge for that new funding, but renders invalid floating charges given by a company at a relevant time</w:t>
      </w:r>
      <w:r w:rsidR="00D318F8">
        <w:rPr>
          <w:rFonts w:ascii="Avenir Next" w:hAnsi="Avenir Next" w:cs="Arial"/>
          <w:color w:val="7B7B7B" w:themeColor="accent3" w:themeShade="BF"/>
          <w:sz w:val="22"/>
          <w:szCs w:val="22"/>
          <w:lang w:val="en-GB"/>
        </w:rPr>
        <w:t xml:space="preserve"> (being either 12 months or 2 years prior to the onset of insolvency depending on whether the person is un/connected with the company)</w:t>
      </w:r>
      <w:r w:rsidR="00C70476">
        <w:rPr>
          <w:rFonts w:ascii="Avenir Next" w:hAnsi="Avenir Next" w:cs="Arial"/>
          <w:color w:val="7B7B7B" w:themeColor="accent3" w:themeShade="BF"/>
          <w:sz w:val="22"/>
          <w:szCs w:val="22"/>
          <w:lang w:val="en-GB"/>
        </w:rPr>
        <w:t>, except to the extent, in substance that ‘new’ consideration is provided for that charge.</w:t>
      </w:r>
      <w:r w:rsidR="001F359F">
        <w:rPr>
          <w:rFonts w:ascii="Avenir Next" w:hAnsi="Avenir Next" w:cs="Arial"/>
          <w:color w:val="7B7B7B" w:themeColor="accent3" w:themeShade="BF"/>
          <w:sz w:val="22"/>
          <w:szCs w:val="22"/>
          <w:lang w:val="en-GB"/>
        </w:rPr>
        <w:t xml:space="preserve"> </w:t>
      </w:r>
    </w:p>
    <w:p w14:paraId="2F076F73" w14:textId="77777777" w:rsidR="008A4745" w:rsidRDefault="008A4745" w:rsidP="00197F24">
      <w:pPr>
        <w:jc w:val="both"/>
        <w:rPr>
          <w:rFonts w:ascii="Avenir Next" w:hAnsi="Avenir Next" w:cs="Arial"/>
          <w:color w:val="7B7B7B" w:themeColor="accent3" w:themeShade="BF"/>
          <w:sz w:val="22"/>
          <w:szCs w:val="22"/>
          <w:lang w:val="en-GB"/>
        </w:rPr>
      </w:pPr>
    </w:p>
    <w:p w14:paraId="133E6BB8" w14:textId="6F02174E" w:rsidR="006D500B" w:rsidRDefault="001F359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Here, as the Bank is not connected with the company, the relevant period is 12 months </w:t>
      </w:r>
      <w:r w:rsidR="00761F1C">
        <w:rPr>
          <w:rFonts w:ascii="Avenir Next" w:hAnsi="Avenir Next" w:cs="Arial"/>
          <w:color w:val="7B7B7B" w:themeColor="accent3" w:themeShade="BF"/>
          <w:sz w:val="22"/>
          <w:szCs w:val="22"/>
          <w:lang w:val="en-GB"/>
        </w:rPr>
        <w:t>from the commencement of liquidation</w:t>
      </w:r>
      <w:r>
        <w:rPr>
          <w:rFonts w:ascii="Avenir Next" w:hAnsi="Avenir Next" w:cs="Arial"/>
          <w:color w:val="7B7B7B" w:themeColor="accent3" w:themeShade="BF"/>
          <w:sz w:val="22"/>
          <w:szCs w:val="22"/>
          <w:lang w:val="en-GB"/>
        </w:rPr>
        <w:t xml:space="preserve">, i.e. the charge is within such period. </w:t>
      </w:r>
      <w:r w:rsidR="001C1B98">
        <w:rPr>
          <w:rFonts w:ascii="Avenir Next" w:hAnsi="Avenir Next" w:cs="Arial"/>
          <w:color w:val="7B7B7B" w:themeColor="accent3" w:themeShade="BF"/>
          <w:sz w:val="22"/>
          <w:szCs w:val="22"/>
          <w:lang w:val="en-GB"/>
        </w:rPr>
        <w:t xml:space="preserve">It appears to be the case that the company was, as of </w:t>
      </w:r>
      <w:r w:rsidR="00AA6460">
        <w:rPr>
          <w:rFonts w:ascii="Avenir Next" w:hAnsi="Avenir Next" w:cs="Arial"/>
          <w:color w:val="7B7B7B" w:themeColor="accent3" w:themeShade="BF"/>
          <w:sz w:val="22"/>
          <w:szCs w:val="22"/>
          <w:lang w:val="en-GB"/>
        </w:rPr>
        <w:t>January suffering cash flow problems from January</w:t>
      </w:r>
      <w:r w:rsidR="001C1B98">
        <w:rPr>
          <w:rFonts w:ascii="Avenir Next" w:hAnsi="Avenir Next" w:cs="Arial"/>
          <w:color w:val="7B7B7B" w:themeColor="accent3" w:themeShade="BF"/>
          <w:sz w:val="22"/>
          <w:szCs w:val="22"/>
          <w:lang w:val="en-GB"/>
        </w:rPr>
        <w:t xml:space="preserve"> 2023,</w:t>
      </w:r>
      <w:r w:rsidR="00AA6460">
        <w:rPr>
          <w:rFonts w:ascii="Avenir Next" w:hAnsi="Avenir Next" w:cs="Arial"/>
          <w:color w:val="7B7B7B" w:themeColor="accent3" w:themeShade="BF"/>
          <w:sz w:val="22"/>
          <w:szCs w:val="22"/>
          <w:lang w:val="en-GB"/>
        </w:rPr>
        <w:t xml:space="preserve"> and by June 2023</w:t>
      </w:r>
      <w:r w:rsidR="001C1B98">
        <w:rPr>
          <w:rFonts w:ascii="Avenir Next" w:hAnsi="Avenir Next" w:cs="Arial"/>
          <w:color w:val="7B7B7B" w:themeColor="accent3" w:themeShade="BF"/>
          <w:sz w:val="22"/>
          <w:szCs w:val="22"/>
          <w:lang w:val="en-GB"/>
        </w:rPr>
        <w:t xml:space="preserve"> already under pressure from the bank and facing demands from repayment of </w:t>
      </w:r>
      <w:r w:rsidR="002E0F90">
        <w:rPr>
          <w:rFonts w:ascii="Avenir Next" w:hAnsi="Avenir Next" w:cs="Arial"/>
          <w:color w:val="7B7B7B" w:themeColor="accent3" w:themeShade="BF"/>
          <w:sz w:val="22"/>
          <w:szCs w:val="22"/>
          <w:lang w:val="en-GB"/>
        </w:rPr>
        <w:t xml:space="preserve">its loans, i.e. the requirement that at the time of the creation of the charge the company was unable to pay its debts within the meaning of s. 123 of the Act </w:t>
      </w:r>
      <w:r w:rsidR="008A4745">
        <w:rPr>
          <w:rFonts w:ascii="Avenir Next" w:hAnsi="Avenir Next" w:cs="Arial"/>
          <w:color w:val="7B7B7B" w:themeColor="accent3" w:themeShade="BF"/>
          <w:sz w:val="22"/>
          <w:szCs w:val="22"/>
          <w:lang w:val="en-GB"/>
        </w:rPr>
        <w:t>could have been</w:t>
      </w:r>
      <w:r w:rsidR="002E0F90">
        <w:rPr>
          <w:rFonts w:ascii="Avenir Next" w:hAnsi="Avenir Next" w:cs="Arial"/>
          <w:color w:val="7B7B7B" w:themeColor="accent3" w:themeShade="BF"/>
          <w:sz w:val="22"/>
          <w:szCs w:val="22"/>
          <w:lang w:val="en-GB"/>
        </w:rPr>
        <w:t xml:space="preserve"> met</w:t>
      </w:r>
      <w:r w:rsidR="008A4745">
        <w:rPr>
          <w:rFonts w:ascii="Avenir Next" w:hAnsi="Avenir Next" w:cs="Arial"/>
          <w:color w:val="7B7B7B" w:themeColor="accent3" w:themeShade="BF"/>
          <w:sz w:val="22"/>
          <w:szCs w:val="22"/>
          <w:lang w:val="en-GB"/>
        </w:rPr>
        <w:t xml:space="preserve"> (e.g. if a creditor to whom the company owed more than GBP 750 had duly served a demand on the company at its registered office, or if it is proved to the satisfaction of the court that the company is either cash flow or balance sheet insolvent).</w:t>
      </w:r>
    </w:p>
    <w:p w14:paraId="6A767CDF" w14:textId="77777777" w:rsidR="00366EE1" w:rsidRDefault="00366EE1" w:rsidP="00197F24">
      <w:pPr>
        <w:jc w:val="both"/>
        <w:rPr>
          <w:rFonts w:ascii="Avenir Next" w:hAnsi="Avenir Next" w:cs="Arial"/>
          <w:color w:val="7B7B7B" w:themeColor="accent3" w:themeShade="BF"/>
          <w:sz w:val="22"/>
          <w:szCs w:val="22"/>
          <w:lang w:val="en-GB"/>
        </w:rPr>
      </w:pPr>
    </w:p>
    <w:p w14:paraId="7A7E3CAE" w14:textId="65B2D25B" w:rsidR="006D500B" w:rsidRDefault="00A5783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w:t>
      </w:r>
      <w:r w:rsidR="005E7793">
        <w:rPr>
          <w:rFonts w:ascii="Avenir Next" w:hAnsi="Avenir Next" w:cs="Arial"/>
          <w:color w:val="7B7B7B" w:themeColor="accent3" w:themeShade="BF"/>
          <w:sz w:val="22"/>
          <w:szCs w:val="22"/>
          <w:lang w:val="en-GB"/>
        </w:rPr>
        <w:t xml:space="preserve">floating charge would not be invalid if the value of so much of the consideration for the creation of the charge </w:t>
      </w:r>
      <w:r w:rsidR="003367CC">
        <w:rPr>
          <w:rFonts w:ascii="Avenir Next" w:hAnsi="Avenir Next" w:cs="Arial"/>
          <w:color w:val="7B7B7B" w:themeColor="accent3" w:themeShade="BF"/>
          <w:sz w:val="22"/>
          <w:szCs w:val="22"/>
          <w:lang w:val="en-GB"/>
        </w:rPr>
        <w:t>as consists of money paid, or goods or services supplied, to the company at the same time as, or after, the creation of the charge. If the consideration was not given at the same time as o</w:t>
      </w:r>
      <w:r w:rsidR="00713CE9">
        <w:rPr>
          <w:rFonts w:ascii="Avenir Next" w:hAnsi="Avenir Next" w:cs="Arial"/>
          <w:color w:val="7B7B7B" w:themeColor="accent3" w:themeShade="BF"/>
          <w:sz w:val="22"/>
          <w:szCs w:val="22"/>
          <w:lang w:val="en-GB"/>
        </w:rPr>
        <w:t xml:space="preserve">r before the charge, it may be invalid. </w:t>
      </w:r>
      <w:r w:rsidR="003220A5">
        <w:rPr>
          <w:rFonts w:ascii="Avenir Next" w:hAnsi="Avenir Next" w:cs="Arial"/>
          <w:color w:val="7B7B7B" w:themeColor="accent3" w:themeShade="BF"/>
          <w:sz w:val="22"/>
          <w:szCs w:val="22"/>
          <w:lang w:val="en-GB"/>
        </w:rPr>
        <w:t>Here, the fact that there does not appear to be any new consideration paid at the same time as the charge,</w:t>
      </w:r>
      <w:r w:rsidR="00125136">
        <w:rPr>
          <w:rFonts w:ascii="Avenir Next" w:hAnsi="Avenir Next" w:cs="Arial"/>
          <w:color w:val="7B7B7B" w:themeColor="accent3" w:themeShade="BF"/>
          <w:sz w:val="22"/>
          <w:szCs w:val="22"/>
          <w:lang w:val="en-GB"/>
        </w:rPr>
        <w:t xml:space="preserve"> the liquidator may wish to challenge the validity of the charge on such basis.</w:t>
      </w:r>
    </w:p>
    <w:p w14:paraId="0AF630E2" w14:textId="77777777" w:rsidR="00E75BAF" w:rsidRDefault="00E75BAF" w:rsidP="00197F24">
      <w:pPr>
        <w:jc w:val="both"/>
        <w:rPr>
          <w:rFonts w:ascii="Avenir Next" w:hAnsi="Avenir Next" w:cs="Arial"/>
          <w:color w:val="7B7B7B" w:themeColor="accent3" w:themeShade="BF"/>
          <w:sz w:val="22"/>
          <w:szCs w:val="22"/>
          <w:lang w:val="en-GB"/>
        </w:rPr>
      </w:pPr>
    </w:p>
    <w:p w14:paraId="1451B9C8" w14:textId="2EB99FC2" w:rsidR="00E75BAF" w:rsidRPr="00197F24" w:rsidRDefault="00E75BA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Assuming the floating charge is successfully proved to be within the scope of s. 245 of the Act, then save to the extent of any new consideration (which does not appear to be present on the facts per above discussion), it is rendered invalid. The invalidity </w:t>
      </w:r>
      <w:r w:rsidR="00D81093">
        <w:rPr>
          <w:rFonts w:ascii="Avenir Next" w:hAnsi="Avenir Next" w:cs="Arial"/>
          <w:color w:val="7B7B7B" w:themeColor="accent3" w:themeShade="BF"/>
          <w:sz w:val="22"/>
          <w:szCs w:val="22"/>
          <w:lang w:val="en-GB"/>
        </w:rPr>
        <w:t>will not however done under the authority of the charge prior to the commencement of the winding up on 13 January 2024. The underlying debt also remains valid.</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0ABF9B" w14:textId="4E66E4C9" w:rsidR="007E2919" w:rsidRDefault="00F71283" w:rsidP="00F712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For these machines, </w:t>
      </w:r>
      <w:r w:rsidRPr="00F71283">
        <w:rPr>
          <w:rFonts w:ascii="Avenir Next" w:hAnsi="Avenir Next" w:cs="Arial"/>
          <w:color w:val="7B7B7B" w:themeColor="accent3" w:themeShade="BF"/>
          <w:sz w:val="22"/>
          <w:szCs w:val="22"/>
          <w:lang w:val="en-GB"/>
        </w:rPr>
        <w:t xml:space="preserve">the directors approved the sale of two laser cutting machines to a director for GBP 40,000 </w:t>
      </w:r>
      <w:r>
        <w:rPr>
          <w:rFonts w:ascii="Avenir Next" w:hAnsi="Avenir Next" w:cs="Arial"/>
          <w:color w:val="7B7B7B" w:themeColor="accent3" w:themeShade="BF"/>
          <w:sz w:val="22"/>
          <w:szCs w:val="22"/>
          <w:lang w:val="en-GB"/>
        </w:rPr>
        <w:t>when the machines had been</w:t>
      </w:r>
      <w:r w:rsidRPr="00F71283">
        <w:rPr>
          <w:rFonts w:ascii="Avenir Next" w:hAnsi="Avenir Next" w:cs="Arial"/>
          <w:color w:val="7B7B7B" w:themeColor="accent3" w:themeShade="BF"/>
          <w:sz w:val="22"/>
          <w:szCs w:val="22"/>
          <w:lang w:val="en-GB"/>
        </w:rPr>
        <w:t xml:space="preserve"> bought for GBP 100,000 a year before.</w:t>
      </w:r>
      <w:r>
        <w:rPr>
          <w:rFonts w:ascii="Avenir Next" w:hAnsi="Avenir Next" w:cs="Arial"/>
          <w:color w:val="7B7B7B" w:themeColor="accent3" w:themeShade="BF"/>
          <w:sz w:val="22"/>
          <w:szCs w:val="22"/>
          <w:lang w:val="en-GB"/>
        </w:rPr>
        <w:t xml:space="preserve"> Given the discrepancy in price over a relatively short period (i.e. when there would not have, presumably, </w:t>
      </w:r>
      <w:r w:rsidR="00BC4B72">
        <w:rPr>
          <w:rFonts w:ascii="Avenir Next" w:hAnsi="Avenir Next" w:cs="Arial"/>
          <w:color w:val="7B7B7B" w:themeColor="accent3" w:themeShade="BF"/>
          <w:sz w:val="22"/>
          <w:szCs w:val="22"/>
          <w:lang w:val="en-GB"/>
        </w:rPr>
        <w:t xml:space="preserve">such an extent of amortisation or depreciation), the liquidator may seek to argue that the sale to the director was a transaction at undervalue within s. 238 of the </w:t>
      </w:r>
      <w:r w:rsidR="00BC4B72">
        <w:rPr>
          <w:rFonts w:ascii="Avenir Next" w:hAnsi="Avenir Next" w:cs="Arial"/>
          <w:color w:val="7B7B7B" w:themeColor="accent3" w:themeShade="BF"/>
          <w:sz w:val="22"/>
          <w:szCs w:val="22"/>
          <w:lang w:val="en-GB"/>
        </w:rPr>
        <w:t>Insolvency Act 1986</w:t>
      </w:r>
      <w:r w:rsidR="00BC4B72">
        <w:rPr>
          <w:rFonts w:ascii="Avenir Next" w:hAnsi="Avenir Next" w:cs="Arial"/>
          <w:color w:val="7B7B7B" w:themeColor="accent3" w:themeShade="BF"/>
          <w:sz w:val="22"/>
          <w:szCs w:val="22"/>
          <w:lang w:val="en-GB"/>
        </w:rPr>
        <w:t xml:space="preserve">. </w:t>
      </w:r>
    </w:p>
    <w:p w14:paraId="6F40CE26" w14:textId="6E9A2E55" w:rsidR="001939F1" w:rsidRDefault="001939F1" w:rsidP="00F71283">
      <w:pPr>
        <w:jc w:val="both"/>
        <w:rPr>
          <w:rFonts w:ascii="Avenir Next" w:hAnsi="Avenir Next" w:cs="Arial"/>
          <w:color w:val="7B7B7B" w:themeColor="accent3" w:themeShade="BF"/>
          <w:sz w:val="22"/>
          <w:szCs w:val="22"/>
          <w:lang w:val="en-GB"/>
        </w:rPr>
      </w:pPr>
    </w:p>
    <w:p w14:paraId="417BE9F6" w14:textId="00711AA6" w:rsidR="001939F1" w:rsidRDefault="001939F1" w:rsidP="00F712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will need to show that the company entered into the sale transaction to the director for a consideration (i.e. GBP 40,000) which was significantly less than the value of the consideration provided by the company (i.e. the machines).</w:t>
      </w:r>
      <w:r w:rsidR="00327F6F">
        <w:rPr>
          <w:rFonts w:ascii="Avenir Next" w:hAnsi="Avenir Next" w:cs="Arial"/>
          <w:color w:val="7B7B7B" w:themeColor="accent3" w:themeShade="BF"/>
          <w:sz w:val="22"/>
          <w:szCs w:val="22"/>
          <w:lang w:val="en-GB"/>
        </w:rPr>
        <w:t xml:space="preserve"> </w:t>
      </w:r>
    </w:p>
    <w:p w14:paraId="4A0A422F" w14:textId="77777777" w:rsidR="00327F6F" w:rsidRDefault="00327F6F" w:rsidP="00F71283">
      <w:pPr>
        <w:jc w:val="both"/>
        <w:rPr>
          <w:rFonts w:ascii="Avenir Next" w:hAnsi="Avenir Next" w:cs="Arial"/>
          <w:color w:val="7B7B7B" w:themeColor="accent3" w:themeShade="BF"/>
          <w:sz w:val="22"/>
          <w:szCs w:val="22"/>
          <w:lang w:val="en-GB"/>
        </w:rPr>
      </w:pPr>
    </w:p>
    <w:p w14:paraId="2393B58D" w14:textId="1771DF20" w:rsidR="00366EE1" w:rsidRDefault="00327F6F" w:rsidP="00366EE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the sale transaction took place in January 2023, the sale transaction took place within the ‘relevant time’ period, which is 2 years prior to the commencement of liquidation.</w:t>
      </w:r>
      <w:r w:rsidR="00A51616">
        <w:rPr>
          <w:rFonts w:ascii="Avenir Next" w:hAnsi="Avenir Next" w:cs="Arial"/>
          <w:color w:val="7B7B7B" w:themeColor="accent3" w:themeShade="BF"/>
          <w:sz w:val="22"/>
          <w:szCs w:val="22"/>
          <w:lang w:val="en-GB"/>
        </w:rPr>
        <w:t xml:space="preserve"> The liquidator will also have to be show that at the time of the transaction, the company was unable to pay its debts </w:t>
      </w:r>
      <w:r w:rsidR="00366EE1">
        <w:rPr>
          <w:rFonts w:ascii="Avenir Next" w:hAnsi="Avenir Next" w:cs="Arial"/>
          <w:color w:val="7B7B7B" w:themeColor="accent3" w:themeShade="BF"/>
          <w:sz w:val="22"/>
          <w:szCs w:val="22"/>
          <w:lang w:val="en-GB"/>
        </w:rPr>
        <w:t xml:space="preserve">within the meaning of s. 123 of the Act. As discussed above, since the company was from </w:t>
      </w:r>
      <w:r w:rsidR="007F517E">
        <w:rPr>
          <w:rFonts w:ascii="Avenir Next" w:hAnsi="Avenir Next" w:cs="Arial"/>
          <w:color w:val="7B7B7B" w:themeColor="accent3" w:themeShade="BF"/>
          <w:sz w:val="22"/>
          <w:szCs w:val="22"/>
          <w:lang w:val="en-GB"/>
        </w:rPr>
        <w:t>January</w:t>
      </w:r>
      <w:r w:rsidR="00366EE1">
        <w:rPr>
          <w:rFonts w:ascii="Avenir Next" w:hAnsi="Avenir Next" w:cs="Arial"/>
          <w:color w:val="7B7B7B" w:themeColor="accent3" w:themeShade="BF"/>
          <w:sz w:val="22"/>
          <w:szCs w:val="22"/>
          <w:lang w:val="en-GB"/>
        </w:rPr>
        <w:t xml:space="preserve"> 2023 already </w:t>
      </w:r>
      <w:r w:rsidR="00366EE1">
        <w:rPr>
          <w:rFonts w:ascii="Avenir Next" w:hAnsi="Avenir Next" w:cs="Arial"/>
          <w:color w:val="7B7B7B" w:themeColor="accent3" w:themeShade="BF"/>
          <w:sz w:val="22"/>
          <w:szCs w:val="22"/>
          <w:lang w:val="en-GB"/>
        </w:rPr>
        <w:t>under pressure from the bank and facing demands from repayment of its loans</w:t>
      </w:r>
      <w:r w:rsidR="00366EE1">
        <w:rPr>
          <w:rFonts w:ascii="Avenir Next" w:hAnsi="Avenir Next" w:cs="Arial"/>
          <w:color w:val="7B7B7B" w:themeColor="accent3" w:themeShade="BF"/>
          <w:sz w:val="22"/>
          <w:szCs w:val="22"/>
          <w:lang w:val="en-GB"/>
        </w:rPr>
        <w:t>, this appears to be the case. Further, given that the transaction is with a connected person (i.e. a director), the company is presumed to be insolvent.</w:t>
      </w:r>
      <w:r w:rsidR="007F517E">
        <w:rPr>
          <w:rFonts w:ascii="Avenir Next" w:hAnsi="Avenir Next" w:cs="Arial"/>
          <w:color w:val="7B7B7B" w:themeColor="accent3" w:themeShade="BF"/>
          <w:sz w:val="22"/>
          <w:szCs w:val="22"/>
          <w:lang w:val="en-GB"/>
        </w:rPr>
        <w:t xml:space="preserve"> The liquidator’s main </w:t>
      </w:r>
      <w:r w:rsidR="00AA6460">
        <w:rPr>
          <w:rFonts w:ascii="Avenir Next" w:hAnsi="Avenir Next" w:cs="Arial"/>
          <w:color w:val="7B7B7B" w:themeColor="accent3" w:themeShade="BF"/>
          <w:sz w:val="22"/>
          <w:szCs w:val="22"/>
          <w:lang w:val="en-GB"/>
        </w:rPr>
        <w:t>evidential challenge will be one of valuation, i.e. showing that the machines were worth more than GBP 40,000 at the time of sale.</w:t>
      </w:r>
    </w:p>
    <w:p w14:paraId="2550B099" w14:textId="77777777" w:rsidR="00366EE1" w:rsidRDefault="00366EE1" w:rsidP="00F71283">
      <w:pPr>
        <w:jc w:val="both"/>
        <w:rPr>
          <w:rFonts w:ascii="Avenir Next" w:hAnsi="Avenir Next" w:cs="Arial"/>
          <w:color w:val="7B7B7B" w:themeColor="accent3" w:themeShade="BF"/>
          <w:sz w:val="22"/>
          <w:szCs w:val="22"/>
          <w:lang w:val="en-GB"/>
        </w:rPr>
      </w:pPr>
    </w:p>
    <w:p w14:paraId="57355043" w14:textId="0E192F75" w:rsidR="00AD3B3E" w:rsidRDefault="00AD3B3E" w:rsidP="00F7128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director will likely seek in response to show that the transaction was entered into by the company in good faith and for the purpose of carrying on its business, and that at the time it did so there were good reasonable </w:t>
      </w:r>
      <w:r w:rsidR="00761F1C">
        <w:rPr>
          <w:rFonts w:ascii="Avenir Next" w:hAnsi="Avenir Next" w:cs="Arial"/>
          <w:color w:val="7B7B7B" w:themeColor="accent3" w:themeShade="BF"/>
          <w:sz w:val="22"/>
          <w:szCs w:val="22"/>
          <w:lang w:val="en-GB"/>
        </w:rPr>
        <w:t>grounds</w:t>
      </w:r>
      <w:r>
        <w:rPr>
          <w:rFonts w:ascii="Avenir Next" w:hAnsi="Avenir Next" w:cs="Arial"/>
          <w:color w:val="7B7B7B" w:themeColor="accent3" w:themeShade="BF"/>
          <w:sz w:val="22"/>
          <w:szCs w:val="22"/>
          <w:lang w:val="en-GB"/>
        </w:rPr>
        <w:t xml:space="preserve"> for believing that </w:t>
      </w:r>
      <w:r w:rsidR="007F517E">
        <w:rPr>
          <w:rFonts w:ascii="Avenir Next" w:hAnsi="Avenir Next" w:cs="Arial"/>
          <w:color w:val="7B7B7B" w:themeColor="accent3" w:themeShade="BF"/>
          <w:sz w:val="22"/>
          <w:szCs w:val="22"/>
          <w:lang w:val="en-GB"/>
        </w:rPr>
        <w:t>the transaction would benefit the company. If shown, the court will not make the s. 238 order. However, the court retains an overriding power to restore the position to what it would have been had the transaction not been entered, if it concludes that there has been a transaction at undervalue.</w:t>
      </w:r>
    </w:p>
    <w:p w14:paraId="246BCBA0" w14:textId="77777777" w:rsidR="00F71283" w:rsidRPr="006925C1" w:rsidRDefault="00F71283"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31DFFEA" w14:textId="117972E6" w:rsidR="00E848D6" w:rsidRDefault="00E848D6" w:rsidP="00E848D6">
      <w:pPr>
        <w:autoSpaceDE w:val="0"/>
        <w:autoSpaceDN w:val="0"/>
        <w:adjustRightInd w:val="0"/>
        <w:jc w:val="both"/>
        <w:rPr>
          <w:rFonts w:ascii="Avenir Next" w:hAnsi="Avenir Next" w:cs="Arial"/>
          <w:color w:val="7B7B7B" w:themeColor="accent3" w:themeShade="BF"/>
          <w:sz w:val="22"/>
          <w:szCs w:val="22"/>
          <w:lang w:val="en-GB"/>
        </w:rPr>
      </w:pPr>
      <w:r w:rsidRPr="00E848D6">
        <w:rPr>
          <w:rFonts w:ascii="Avenir Next" w:hAnsi="Avenir Next" w:cs="Arial"/>
          <w:color w:val="7B7B7B" w:themeColor="accent3" w:themeShade="BF"/>
          <w:sz w:val="22"/>
          <w:szCs w:val="22"/>
          <w:lang w:val="en-GB"/>
        </w:rPr>
        <w:t xml:space="preserve">The payments made to Aluminium </w:t>
      </w:r>
      <w:proofErr w:type="spellStart"/>
      <w:r w:rsidRPr="00E848D6">
        <w:rPr>
          <w:rFonts w:ascii="Avenir Next" w:hAnsi="Avenir Next" w:cs="Arial"/>
          <w:color w:val="7B7B7B" w:themeColor="accent3" w:themeShade="BF"/>
          <w:sz w:val="22"/>
          <w:szCs w:val="22"/>
          <w:lang w:val="en-GB"/>
        </w:rPr>
        <w:t>Alumini</w:t>
      </w:r>
      <w:proofErr w:type="spellEnd"/>
      <w:r w:rsidRPr="00E848D6">
        <w:rPr>
          <w:rFonts w:ascii="Avenir Next" w:hAnsi="Avenir Next" w:cs="Arial"/>
          <w:color w:val="7B7B7B" w:themeColor="accent3" w:themeShade="BF"/>
          <w:sz w:val="22"/>
          <w:szCs w:val="22"/>
          <w:lang w:val="en-GB"/>
        </w:rPr>
        <w:t xml:space="preserve"> Ltd</w:t>
      </w:r>
      <w:r>
        <w:rPr>
          <w:rFonts w:ascii="Avenir Next" w:hAnsi="Avenir Next" w:cs="Arial"/>
          <w:color w:val="7B7B7B" w:themeColor="accent3" w:themeShade="BF"/>
          <w:sz w:val="22"/>
          <w:szCs w:val="22"/>
          <w:lang w:val="en-GB"/>
        </w:rPr>
        <w:t>. (“AAL”)</w:t>
      </w:r>
      <w:r w:rsidRPr="00E848D6">
        <w:rPr>
          <w:rFonts w:ascii="Avenir Next" w:hAnsi="Avenir Next" w:cs="Arial"/>
          <w:color w:val="7B7B7B" w:themeColor="accent3" w:themeShade="BF"/>
          <w:sz w:val="22"/>
          <w:szCs w:val="22"/>
          <w:lang w:val="en-GB"/>
        </w:rPr>
        <w:t xml:space="preserve"> </w:t>
      </w:r>
      <w:r w:rsidRPr="00E848D6">
        <w:rPr>
          <w:rFonts w:ascii="Avenir Next" w:hAnsi="Avenir Next" w:cs="Arial"/>
          <w:color w:val="7B7B7B" w:themeColor="accent3" w:themeShade="BF"/>
          <w:sz w:val="22"/>
          <w:szCs w:val="22"/>
          <w:lang w:val="en-GB"/>
        </w:rPr>
        <w:t>totalling</w:t>
      </w:r>
      <w:r w:rsidRPr="00E848D6">
        <w:rPr>
          <w:rFonts w:ascii="Avenir Next" w:hAnsi="Avenir Next" w:cs="Arial"/>
          <w:color w:val="7B7B7B" w:themeColor="accent3" w:themeShade="BF"/>
          <w:sz w:val="22"/>
          <w:szCs w:val="22"/>
          <w:lang w:val="en-GB"/>
        </w:rPr>
        <w:t xml:space="preserve"> GBP 28,000 may raise questions about preferential treatment of this creditor over others, especially considering the cash flow problems faced by the company </w:t>
      </w:r>
      <w:r w:rsidR="00917357">
        <w:rPr>
          <w:rFonts w:ascii="Avenir Next" w:hAnsi="Avenir Next" w:cs="Arial"/>
          <w:color w:val="7B7B7B" w:themeColor="accent3" w:themeShade="BF"/>
          <w:sz w:val="22"/>
          <w:szCs w:val="22"/>
          <w:lang w:val="en-GB"/>
        </w:rPr>
        <w:t>at the material time</w:t>
      </w:r>
      <w:r w:rsidRPr="00E848D6">
        <w:rPr>
          <w:rFonts w:ascii="Avenir Next" w:hAnsi="Avenir Next" w:cs="Arial"/>
          <w:color w:val="7B7B7B" w:themeColor="accent3" w:themeShade="BF"/>
          <w:sz w:val="22"/>
          <w:szCs w:val="22"/>
          <w:lang w:val="en-GB"/>
        </w:rPr>
        <w:t>.</w:t>
      </w:r>
    </w:p>
    <w:p w14:paraId="3A435880" w14:textId="77777777" w:rsidR="00E848D6" w:rsidRPr="00E848D6" w:rsidRDefault="00E848D6" w:rsidP="00E848D6">
      <w:pPr>
        <w:autoSpaceDE w:val="0"/>
        <w:autoSpaceDN w:val="0"/>
        <w:adjustRightInd w:val="0"/>
        <w:jc w:val="both"/>
        <w:rPr>
          <w:rFonts w:ascii="Avenir Next" w:hAnsi="Avenir Next" w:cs="Arial"/>
          <w:color w:val="7B7B7B" w:themeColor="accent3" w:themeShade="BF"/>
          <w:sz w:val="22"/>
          <w:szCs w:val="22"/>
          <w:lang w:val="en-GB"/>
        </w:rPr>
      </w:pPr>
    </w:p>
    <w:p w14:paraId="1B5E2F08" w14:textId="1BE59E14" w:rsidR="002D3473" w:rsidRDefault="00E848D6" w:rsidP="00E848D6">
      <w:pPr>
        <w:autoSpaceDE w:val="0"/>
        <w:autoSpaceDN w:val="0"/>
        <w:adjustRightInd w:val="0"/>
        <w:jc w:val="both"/>
        <w:rPr>
          <w:rFonts w:ascii="Avenir Next" w:hAnsi="Avenir Next" w:cs="Arial"/>
          <w:color w:val="7B7B7B" w:themeColor="accent3" w:themeShade="BF"/>
          <w:sz w:val="22"/>
          <w:szCs w:val="22"/>
          <w:lang w:val="en-GB"/>
        </w:rPr>
      </w:pPr>
      <w:r w:rsidRPr="00E848D6">
        <w:rPr>
          <w:rFonts w:ascii="Avenir Next" w:hAnsi="Avenir Next" w:cs="Arial"/>
          <w:color w:val="7B7B7B" w:themeColor="accent3" w:themeShade="BF"/>
          <w:sz w:val="22"/>
          <w:szCs w:val="22"/>
          <w:lang w:val="en-GB"/>
        </w:rPr>
        <w:t xml:space="preserve">If it can be shown that the payments were made with the intent to prefer one creditor over others, they may be susceptible to challenge as preferences under </w:t>
      </w:r>
      <w:r w:rsidR="00917357">
        <w:rPr>
          <w:rFonts w:ascii="Avenir Next" w:hAnsi="Avenir Next" w:cs="Arial"/>
          <w:color w:val="7B7B7B" w:themeColor="accent3" w:themeShade="BF"/>
          <w:sz w:val="22"/>
          <w:szCs w:val="22"/>
          <w:lang w:val="en-GB"/>
        </w:rPr>
        <w:t xml:space="preserve">s. 239 of </w:t>
      </w:r>
      <w:r w:rsidRPr="00E848D6">
        <w:rPr>
          <w:rFonts w:ascii="Avenir Next" w:hAnsi="Avenir Next" w:cs="Arial"/>
          <w:color w:val="7B7B7B" w:themeColor="accent3" w:themeShade="BF"/>
          <w:sz w:val="22"/>
          <w:szCs w:val="22"/>
          <w:lang w:val="en-GB"/>
        </w:rPr>
        <w:t>the Insolvency Act 1986.</w:t>
      </w:r>
      <w:r w:rsidR="00917357">
        <w:rPr>
          <w:rFonts w:ascii="Avenir Next" w:hAnsi="Avenir Next" w:cs="Arial"/>
          <w:color w:val="7B7B7B" w:themeColor="accent3" w:themeShade="BF"/>
          <w:sz w:val="22"/>
          <w:szCs w:val="22"/>
          <w:lang w:val="en-GB"/>
        </w:rPr>
        <w:t xml:space="preserve"> The purpose of this section is to prevent a company, shortly before formal insolvency procedure, from placing one of its creditors in a better position than others.</w:t>
      </w:r>
      <w:r w:rsidR="00AC03F3">
        <w:rPr>
          <w:rFonts w:ascii="Avenir Next" w:hAnsi="Avenir Next" w:cs="Arial"/>
          <w:color w:val="7B7B7B" w:themeColor="accent3" w:themeShade="BF"/>
          <w:sz w:val="22"/>
          <w:szCs w:val="22"/>
          <w:lang w:val="en-GB"/>
        </w:rPr>
        <w:t xml:space="preserve"> The </w:t>
      </w:r>
      <w:r w:rsidR="00D21535">
        <w:rPr>
          <w:rFonts w:ascii="Avenir Next" w:hAnsi="Avenir Next" w:cs="Arial"/>
          <w:color w:val="7B7B7B" w:themeColor="accent3" w:themeShade="BF"/>
          <w:sz w:val="22"/>
          <w:szCs w:val="22"/>
          <w:lang w:val="en-GB"/>
        </w:rPr>
        <w:t>5</w:t>
      </w:r>
      <w:r w:rsidR="00AC03F3">
        <w:rPr>
          <w:rFonts w:ascii="Avenir Next" w:hAnsi="Avenir Next" w:cs="Arial"/>
          <w:color w:val="7B7B7B" w:themeColor="accent3" w:themeShade="BF"/>
          <w:sz w:val="22"/>
          <w:szCs w:val="22"/>
          <w:lang w:val="en-GB"/>
        </w:rPr>
        <w:t xml:space="preserve"> elements to be proved by the liquidator are that:</w:t>
      </w:r>
    </w:p>
    <w:p w14:paraId="73B43B74" w14:textId="77777777" w:rsidR="00AC03F3" w:rsidRDefault="00AC03F3" w:rsidP="00E848D6">
      <w:pPr>
        <w:autoSpaceDE w:val="0"/>
        <w:autoSpaceDN w:val="0"/>
        <w:adjustRightInd w:val="0"/>
        <w:jc w:val="both"/>
        <w:rPr>
          <w:rFonts w:ascii="Avenir Next" w:hAnsi="Avenir Next" w:cs="Arial"/>
          <w:color w:val="7B7B7B" w:themeColor="accent3" w:themeShade="BF"/>
          <w:sz w:val="22"/>
          <w:szCs w:val="22"/>
          <w:lang w:val="en-GB"/>
        </w:rPr>
      </w:pPr>
    </w:p>
    <w:p w14:paraId="621A8D3C" w14:textId="447E43F8" w:rsidR="00AC03F3" w:rsidRPr="00D21535" w:rsidRDefault="00AC03F3" w:rsidP="00AC03F3">
      <w:pPr>
        <w:pStyle w:val="ListParagraph"/>
        <w:numPr>
          <w:ilvl w:val="0"/>
          <w:numId w:val="20"/>
        </w:numPr>
        <w:autoSpaceDE w:val="0"/>
        <w:autoSpaceDN w:val="0"/>
        <w:adjustRightInd w:val="0"/>
        <w:jc w:val="both"/>
        <w:rPr>
          <w:rFonts w:ascii="Avenir Next" w:hAnsi="Avenir Next" w:cs="Arial"/>
          <w:color w:val="7F7F7F" w:themeColor="text1" w:themeTint="80"/>
          <w:sz w:val="22"/>
          <w:szCs w:val="22"/>
          <w:lang w:val="en-GB"/>
        </w:rPr>
      </w:pPr>
      <w:r w:rsidRPr="00D21535">
        <w:rPr>
          <w:rFonts w:ascii="Avenir Next" w:hAnsi="Avenir Next" w:cs="Arial"/>
          <w:color w:val="7F7F7F" w:themeColor="text1" w:themeTint="80"/>
          <w:sz w:val="22"/>
          <w:szCs w:val="22"/>
          <w:lang w:val="en-GB"/>
        </w:rPr>
        <w:t>AAL was a creditor of the company at the material time (this is not controversial);</w:t>
      </w:r>
    </w:p>
    <w:p w14:paraId="6AEE61EA" w14:textId="77777777" w:rsidR="00AC03F3" w:rsidRPr="00D21535" w:rsidRDefault="00AC03F3" w:rsidP="00AC03F3">
      <w:pPr>
        <w:pStyle w:val="ListParagraph"/>
        <w:autoSpaceDE w:val="0"/>
        <w:autoSpaceDN w:val="0"/>
        <w:adjustRightInd w:val="0"/>
        <w:jc w:val="both"/>
        <w:rPr>
          <w:rFonts w:ascii="Avenir Next" w:hAnsi="Avenir Next" w:cs="Arial"/>
          <w:color w:val="7F7F7F" w:themeColor="text1" w:themeTint="80"/>
          <w:sz w:val="22"/>
          <w:szCs w:val="22"/>
          <w:lang w:val="en-GB"/>
        </w:rPr>
      </w:pPr>
    </w:p>
    <w:p w14:paraId="622B4E3B" w14:textId="27343137" w:rsidR="00AC03F3" w:rsidRPr="00D21535" w:rsidRDefault="004F70C3" w:rsidP="00AC03F3">
      <w:pPr>
        <w:pStyle w:val="ListParagraph"/>
        <w:numPr>
          <w:ilvl w:val="0"/>
          <w:numId w:val="20"/>
        </w:numPr>
        <w:autoSpaceDE w:val="0"/>
        <w:autoSpaceDN w:val="0"/>
        <w:adjustRightInd w:val="0"/>
        <w:jc w:val="both"/>
        <w:rPr>
          <w:rFonts w:ascii="Avenir Next" w:hAnsi="Avenir Next" w:cs="Arial"/>
          <w:color w:val="7F7F7F" w:themeColor="text1" w:themeTint="80"/>
          <w:sz w:val="22"/>
          <w:szCs w:val="22"/>
          <w:lang w:val="en-GB"/>
        </w:rPr>
      </w:pPr>
      <w:r w:rsidRPr="00D21535">
        <w:rPr>
          <w:rFonts w:ascii="Avenir Next" w:hAnsi="Avenir Next" w:cs="Arial"/>
          <w:color w:val="7F7F7F" w:themeColor="text1" w:themeTint="80"/>
          <w:sz w:val="22"/>
          <w:szCs w:val="22"/>
          <w:lang w:val="en-GB"/>
        </w:rPr>
        <w:t>Payments to AAL by the company had the effect of putting AAL in a better position, in the event of the company going into liquidation, than it would have been had the payments not been made</w:t>
      </w:r>
      <w:r w:rsidR="00AD3CD9" w:rsidRPr="00D21535">
        <w:rPr>
          <w:rFonts w:ascii="Avenir Next" w:hAnsi="Avenir Next" w:cs="Arial"/>
          <w:color w:val="7F7F7F" w:themeColor="text1" w:themeTint="80"/>
          <w:sz w:val="22"/>
          <w:szCs w:val="22"/>
          <w:lang w:val="en-GB"/>
        </w:rPr>
        <w:t xml:space="preserve"> (this is not controversial as AAL as an unsecured creditor prior to the payments might only </w:t>
      </w:r>
      <w:r w:rsidR="006919A4" w:rsidRPr="00D21535">
        <w:rPr>
          <w:rFonts w:ascii="Avenir Next" w:hAnsi="Avenir Next" w:cs="Arial"/>
          <w:color w:val="7F7F7F" w:themeColor="text1" w:themeTint="80"/>
          <w:sz w:val="22"/>
          <w:szCs w:val="22"/>
          <w:lang w:val="en-GB"/>
        </w:rPr>
        <w:t>have expected a dividend as an unsecured creditor)</w:t>
      </w:r>
      <w:r w:rsidR="00EF3E26" w:rsidRPr="00D21535">
        <w:rPr>
          <w:rFonts w:ascii="Avenir Next" w:hAnsi="Avenir Next" w:cs="Arial"/>
          <w:color w:val="7F7F7F" w:themeColor="text1" w:themeTint="80"/>
          <w:sz w:val="22"/>
          <w:szCs w:val="22"/>
          <w:lang w:val="en-GB"/>
        </w:rPr>
        <w:t>;</w:t>
      </w:r>
    </w:p>
    <w:p w14:paraId="5640E93C" w14:textId="77777777" w:rsidR="004F70C3" w:rsidRPr="00D21535" w:rsidRDefault="004F70C3" w:rsidP="004F70C3">
      <w:pPr>
        <w:pStyle w:val="ListParagraph"/>
        <w:rPr>
          <w:rFonts w:ascii="Avenir Next" w:hAnsi="Avenir Next" w:cs="Arial"/>
          <w:color w:val="7F7F7F" w:themeColor="text1" w:themeTint="80"/>
          <w:sz w:val="22"/>
          <w:szCs w:val="22"/>
          <w:lang w:val="en-GB"/>
        </w:rPr>
      </w:pPr>
    </w:p>
    <w:p w14:paraId="3ABBEB5C" w14:textId="52EE1DE9" w:rsidR="004F70C3" w:rsidRPr="00D21535" w:rsidRDefault="00AD3CD9" w:rsidP="00AC03F3">
      <w:pPr>
        <w:pStyle w:val="ListParagraph"/>
        <w:numPr>
          <w:ilvl w:val="0"/>
          <w:numId w:val="20"/>
        </w:numPr>
        <w:autoSpaceDE w:val="0"/>
        <w:autoSpaceDN w:val="0"/>
        <w:adjustRightInd w:val="0"/>
        <w:jc w:val="both"/>
        <w:rPr>
          <w:rFonts w:ascii="Avenir Next" w:hAnsi="Avenir Next" w:cs="Arial"/>
          <w:color w:val="7F7F7F" w:themeColor="text1" w:themeTint="80"/>
          <w:sz w:val="22"/>
          <w:szCs w:val="22"/>
          <w:lang w:val="en-GB"/>
        </w:rPr>
      </w:pPr>
      <w:r w:rsidRPr="00D21535">
        <w:rPr>
          <w:rFonts w:ascii="Avenir Next" w:hAnsi="Avenir Next" w:cs="Arial"/>
          <w:color w:val="7F7F7F" w:themeColor="text1" w:themeTint="80"/>
          <w:sz w:val="22"/>
          <w:szCs w:val="22"/>
          <w:lang w:val="en-GB"/>
        </w:rPr>
        <w:t xml:space="preserve">In making the payments, the company was </w:t>
      </w:r>
      <w:r w:rsidR="006919A4" w:rsidRPr="00D21535">
        <w:rPr>
          <w:rFonts w:ascii="Avenir Next" w:hAnsi="Avenir Next" w:cs="Arial"/>
          <w:color w:val="7F7F7F" w:themeColor="text1" w:themeTint="80"/>
          <w:sz w:val="22"/>
          <w:szCs w:val="22"/>
          <w:lang w:val="en-GB"/>
        </w:rPr>
        <w:t>influenced by a desire to produce the</w:t>
      </w:r>
      <w:r w:rsidR="00B47EE4" w:rsidRPr="00D21535">
        <w:rPr>
          <w:rFonts w:ascii="Avenir Next" w:hAnsi="Avenir Next" w:cs="Arial"/>
          <w:color w:val="7F7F7F" w:themeColor="text1" w:themeTint="80"/>
          <w:sz w:val="22"/>
          <w:szCs w:val="22"/>
          <w:lang w:val="en-GB"/>
        </w:rPr>
        <w:t xml:space="preserve"> above effect, i.e. the desire to prefer, AAL</w:t>
      </w:r>
      <w:r w:rsidR="00EF3E26" w:rsidRPr="00D21535">
        <w:rPr>
          <w:rFonts w:ascii="Avenir Next" w:hAnsi="Avenir Next" w:cs="Arial"/>
          <w:color w:val="7F7F7F" w:themeColor="text1" w:themeTint="80"/>
          <w:sz w:val="22"/>
          <w:szCs w:val="22"/>
          <w:lang w:val="en-GB"/>
        </w:rPr>
        <w:t xml:space="preserve"> (see discussion below); </w:t>
      </w:r>
    </w:p>
    <w:p w14:paraId="4E98331E" w14:textId="77777777" w:rsidR="00B47EE4" w:rsidRPr="00D21535" w:rsidRDefault="00B47EE4" w:rsidP="00B47EE4">
      <w:pPr>
        <w:pStyle w:val="ListParagraph"/>
        <w:rPr>
          <w:rFonts w:ascii="Avenir Next" w:hAnsi="Avenir Next" w:cs="Arial"/>
          <w:color w:val="7F7F7F" w:themeColor="text1" w:themeTint="80"/>
          <w:sz w:val="22"/>
          <w:szCs w:val="22"/>
          <w:lang w:val="en-GB"/>
        </w:rPr>
      </w:pPr>
    </w:p>
    <w:p w14:paraId="19C25088" w14:textId="11E15116" w:rsidR="00B47EE4" w:rsidRPr="00D21535" w:rsidRDefault="00B47EE4" w:rsidP="00AC03F3">
      <w:pPr>
        <w:pStyle w:val="ListParagraph"/>
        <w:numPr>
          <w:ilvl w:val="0"/>
          <w:numId w:val="20"/>
        </w:numPr>
        <w:autoSpaceDE w:val="0"/>
        <w:autoSpaceDN w:val="0"/>
        <w:adjustRightInd w:val="0"/>
        <w:jc w:val="both"/>
        <w:rPr>
          <w:rFonts w:ascii="Avenir Next" w:hAnsi="Avenir Next" w:cs="Arial"/>
          <w:color w:val="7F7F7F" w:themeColor="text1" w:themeTint="80"/>
          <w:sz w:val="22"/>
          <w:szCs w:val="22"/>
          <w:lang w:val="en-GB"/>
        </w:rPr>
      </w:pPr>
      <w:r w:rsidRPr="00D21535">
        <w:rPr>
          <w:rFonts w:ascii="Avenir Next" w:hAnsi="Avenir Next" w:cs="Arial"/>
          <w:color w:val="7F7F7F" w:themeColor="text1" w:themeTint="80"/>
          <w:sz w:val="22"/>
          <w:szCs w:val="22"/>
          <w:lang w:val="en-GB"/>
        </w:rPr>
        <w:lastRenderedPageBreak/>
        <w:t xml:space="preserve">The preference was given at the relevant time (this is not controversial </w:t>
      </w:r>
      <w:r w:rsidR="00265ABA" w:rsidRPr="00D21535">
        <w:rPr>
          <w:rFonts w:ascii="Avenir Next" w:hAnsi="Avenir Next" w:cs="Arial"/>
          <w:color w:val="7F7F7F" w:themeColor="text1" w:themeTint="80"/>
          <w:sz w:val="22"/>
          <w:szCs w:val="22"/>
          <w:lang w:val="en-GB"/>
        </w:rPr>
        <w:t>as</w:t>
      </w:r>
      <w:r w:rsidR="00CC1E68" w:rsidRPr="00D21535">
        <w:rPr>
          <w:rFonts w:ascii="Avenir Next" w:hAnsi="Avenir Next" w:cs="Arial"/>
          <w:color w:val="7F7F7F" w:themeColor="text1" w:themeTint="80"/>
          <w:sz w:val="22"/>
          <w:szCs w:val="22"/>
          <w:lang w:val="en-GB"/>
        </w:rPr>
        <w:t xml:space="preserve"> the relevant period for unconnected persons is 6 months, but</w:t>
      </w:r>
      <w:r w:rsidR="00265ABA" w:rsidRPr="00D21535">
        <w:rPr>
          <w:rFonts w:ascii="Avenir Next" w:hAnsi="Avenir Next" w:cs="Arial"/>
          <w:color w:val="7F7F7F" w:themeColor="text1" w:themeTint="80"/>
          <w:sz w:val="22"/>
          <w:szCs w:val="22"/>
          <w:lang w:val="en-GB"/>
        </w:rPr>
        <w:t xml:space="preserve"> the payment was made only a month before </w:t>
      </w:r>
      <w:r w:rsidR="00EF3E26" w:rsidRPr="00D21535">
        <w:rPr>
          <w:rFonts w:ascii="Avenir Next" w:hAnsi="Avenir Next" w:cs="Arial"/>
          <w:color w:val="7F7F7F" w:themeColor="text1" w:themeTint="80"/>
          <w:sz w:val="22"/>
          <w:szCs w:val="22"/>
          <w:lang w:val="en-GB"/>
        </w:rPr>
        <w:t>the winding up order);</w:t>
      </w:r>
    </w:p>
    <w:p w14:paraId="2853C54E" w14:textId="77777777" w:rsidR="00D21535" w:rsidRPr="00D21535" w:rsidRDefault="00D21535" w:rsidP="00D21535">
      <w:pPr>
        <w:pStyle w:val="ListParagraph"/>
        <w:rPr>
          <w:rFonts w:ascii="Avenir Next" w:hAnsi="Avenir Next" w:cs="Arial"/>
          <w:color w:val="7F7F7F" w:themeColor="text1" w:themeTint="80"/>
          <w:sz w:val="22"/>
          <w:szCs w:val="22"/>
          <w:lang w:val="en-GB"/>
        </w:rPr>
      </w:pPr>
    </w:p>
    <w:p w14:paraId="1FC6CA83" w14:textId="16B3AA55" w:rsidR="00D21535" w:rsidRPr="00D21535" w:rsidRDefault="00D21535" w:rsidP="00AC03F3">
      <w:pPr>
        <w:pStyle w:val="ListParagraph"/>
        <w:numPr>
          <w:ilvl w:val="0"/>
          <w:numId w:val="20"/>
        </w:numPr>
        <w:autoSpaceDE w:val="0"/>
        <w:autoSpaceDN w:val="0"/>
        <w:adjustRightInd w:val="0"/>
        <w:jc w:val="both"/>
        <w:rPr>
          <w:rFonts w:ascii="Avenir Next" w:hAnsi="Avenir Next" w:cs="Arial"/>
          <w:color w:val="7F7F7F" w:themeColor="text1" w:themeTint="80"/>
          <w:sz w:val="22"/>
          <w:szCs w:val="22"/>
          <w:lang w:val="en-GB"/>
        </w:rPr>
      </w:pPr>
      <w:r w:rsidRPr="00D21535">
        <w:rPr>
          <w:rFonts w:ascii="Avenir Next" w:hAnsi="Avenir Next" w:cs="Arial"/>
          <w:color w:val="7F7F7F" w:themeColor="text1" w:themeTint="80"/>
          <w:sz w:val="22"/>
          <w:szCs w:val="22"/>
          <w:lang w:val="en-GB"/>
        </w:rPr>
        <w:t>The company was, at the time of the transaction, the company was unable to pay its debts within the meaning of s. 123 of the Act (see discussion above about why this is met).</w:t>
      </w:r>
    </w:p>
    <w:p w14:paraId="29D638F3" w14:textId="77777777" w:rsidR="00EF3E26" w:rsidRPr="00D21535" w:rsidRDefault="00EF3E26" w:rsidP="00EF3E26">
      <w:pPr>
        <w:pStyle w:val="ListParagraph"/>
        <w:rPr>
          <w:rFonts w:ascii="Avenir Next" w:hAnsi="Avenir Next" w:cs="Arial"/>
          <w:color w:val="7F7F7F" w:themeColor="text1" w:themeTint="80"/>
          <w:sz w:val="22"/>
          <w:szCs w:val="22"/>
          <w:lang w:val="en-GB"/>
        </w:rPr>
      </w:pPr>
    </w:p>
    <w:p w14:paraId="296F31CC" w14:textId="6689B319" w:rsidR="00EF3E26" w:rsidRDefault="00EF3E26" w:rsidP="00EF3E26">
      <w:pPr>
        <w:autoSpaceDE w:val="0"/>
        <w:autoSpaceDN w:val="0"/>
        <w:adjustRightInd w:val="0"/>
        <w:jc w:val="both"/>
        <w:rPr>
          <w:rFonts w:ascii="Avenir Next" w:hAnsi="Avenir Next" w:cs="Arial"/>
          <w:color w:val="7F7F7F" w:themeColor="text1" w:themeTint="80"/>
          <w:sz w:val="22"/>
          <w:szCs w:val="22"/>
          <w:lang w:val="en-GB"/>
        </w:rPr>
      </w:pPr>
      <w:r w:rsidRPr="00D21535">
        <w:rPr>
          <w:rFonts w:ascii="Avenir Next" w:hAnsi="Avenir Next" w:cs="Arial"/>
          <w:color w:val="7F7F7F" w:themeColor="text1" w:themeTint="80"/>
          <w:sz w:val="22"/>
          <w:szCs w:val="22"/>
          <w:lang w:val="en-GB"/>
        </w:rPr>
        <w:t>As for the 3</w:t>
      </w:r>
      <w:r w:rsidRPr="00D21535">
        <w:rPr>
          <w:rFonts w:ascii="Avenir Next" w:hAnsi="Avenir Next" w:cs="Arial"/>
          <w:color w:val="7F7F7F" w:themeColor="text1" w:themeTint="80"/>
          <w:sz w:val="22"/>
          <w:szCs w:val="22"/>
          <w:vertAlign w:val="superscript"/>
          <w:lang w:val="en-GB"/>
        </w:rPr>
        <w:t>rd</w:t>
      </w:r>
      <w:r w:rsidRPr="00D21535">
        <w:rPr>
          <w:rFonts w:ascii="Avenir Next" w:hAnsi="Avenir Next" w:cs="Arial"/>
          <w:color w:val="7F7F7F" w:themeColor="text1" w:themeTint="80"/>
          <w:sz w:val="22"/>
          <w:szCs w:val="22"/>
          <w:lang w:val="en-GB"/>
        </w:rPr>
        <w:t xml:space="preserve"> element above</w:t>
      </w:r>
      <w:r w:rsidR="00383B6A">
        <w:rPr>
          <w:rFonts w:ascii="Avenir Next" w:hAnsi="Avenir Next" w:cs="Arial"/>
          <w:color w:val="7F7F7F" w:themeColor="text1" w:themeTint="80"/>
          <w:sz w:val="22"/>
          <w:szCs w:val="22"/>
          <w:lang w:val="en-GB"/>
        </w:rPr>
        <w:t xml:space="preserve"> on the desire to prefer</w:t>
      </w:r>
      <w:r w:rsidRPr="00D21535">
        <w:rPr>
          <w:rFonts w:ascii="Avenir Next" w:hAnsi="Avenir Next" w:cs="Arial"/>
          <w:color w:val="7F7F7F" w:themeColor="text1" w:themeTint="80"/>
          <w:sz w:val="22"/>
          <w:szCs w:val="22"/>
          <w:lang w:val="en-GB"/>
        </w:rPr>
        <w:t>, the liquidator may face some difficulty proving this</w:t>
      </w:r>
      <w:r w:rsidR="00484011">
        <w:rPr>
          <w:rFonts w:ascii="Avenir Next" w:hAnsi="Avenir Next" w:cs="Arial"/>
          <w:color w:val="7F7F7F" w:themeColor="text1" w:themeTint="80"/>
          <w:sz w:val="22"/>
          <w:szCs w:val="22"/>
          <w:lang w:val="en-GB"/>
        </w:rPr>
        <w:t xml:space="preserve">. AAL will likely assert that the payments to it as a key supplier were necessary for the company to continue to operate/trade, and, not made, the company would be forced into immediate liquidation, akin to the arguments in </w:t>
      </w:r>
      <w:r w:rsidR="00484011">
        <w:rPr>
          <w:rFonts w:ascii="Avenir Next" w:hAnsi="Avenir Next" w:cs="Arial"/>
          <w:i/>
          <w:iCs/>
          <w:color w:val="7F7F7F" w:themeColor="text1" w:themeTint="80"/>
          <w:sz w:val="22"/>
          <w:szCs w:val="22"/>
          <w:lang w:val="en-GB"/>
        </w:rPr>
        <w:t>Re MC Bacon Ltd</w:t>
      </w:r>
      <w:r w:rsidR="00484011">
        <w:rPr>
          <w:rFonts w:ascii="Avenir Next" w:hAnsi="Avenir Next" w:cs="Arial"/>
          <w:color w:val="7F7F7F" w:themeColor="text1" w:themeTint="80"/>
          <w:sz w:val="22"/>
          <w:szCs w:val="22"/>
          <w:lang w:val="en-GB"/>
        </w:rPr>
        <w:t xml:space="preserve">. </w:t>
      </w:r>
      <w:r w:rsidR="004033FD">
        <w:rPr>
          <w:rFonts w:ascii="Avenir Next" w:hAnsi="Avenir Next" w:cs="Arial"/>
          <w:color w:val="7F7F7F" w:themeColor="text1" w:themeTint="80"/>
          <w:sz w:val="22"/>
          <w:szCs w:val="22"/>
          <w:lang w:val="en-GB"/>
        </w:rPr>
        <w:t xml:space="preserve">As such, the liquidator will need to prove that the payments were motivated by a desire to prefer AAL instead of a mere desire to avoid the </w:t>
      </w:r>
      <w:r w:rsidR="00067358">
        <w:rPr>
          <w:rFonts w:ascii="Avenir Next" w:hAnsi="Avenir Next" w:cs="Arial"/>
          <w:color w:val="7F7F7F" w:themeColor="text1" w:themeTint="80"/>
          <w:sz w:val="22"/>
          <w:szCs w:val="22"/>
          <w:lang w:val="en-GB"/>
        </w:rPr>
        <w:t>ensure AAL’s continued supply of metal to the company so that its trading may continue. The court has also held that where a company is influenced by such commercial considerations such as attempts to ensure that the company continued trading, there could be no desire to prefer.</w:t>
      </w:r>
    </w:p>
    <w:p w14:paraId="207BE1DB" w14:textId="77777777" w:rsidR="00067358" w:rsidRDefault="00067358" w:rsidP="00EF3E26">
      <w:pPr>
        <w:autoSpaceDE w:val="0"/>
        <w:autoSpaceDN w:val="0"/>
        <w:adjustRightInd w:val="0"/>
        <w:jc w:val="both"/>
        <w:rPr>
          <w:rFonts w:ascii="Avenir Next" w:hAnsi="Avenir Next" w:cs="Arial"/>
          <w:color w:val="7F7F7F" w:themeColor="text1" w:themeTint="80"/>
          <w:sz w:val="22"/>
          <w:szCs w:val="22"/>
          <w:lang w:val="en-GB"/>
        </w:rPr>
      </w:pPr>
    </w:p>
    <w:p w14:paraId="1314D52B" w14:textId="3B653DD7" w:rsidR="00067358" w:rsidRPr="00484011" w:rsidRDefault="00067358" w:rsidP="00EF3E26">
      <w:pPr>
        <w:autoSpaceDE w:val="0"/>
        <w:autoSpaceDN w:val="0"/>
        <w:adjustRightInd w:val="0"/>
        <w:jc w:val="both"/>
        <w:rPr>
          <w:rFonts w:ascii="Avenir Next" w:hAnsi="Avenir Next" w:cs="Arial"/>
          <w:color w:val="7F7F7F" w:themeColor="text1" w:themeTint="80"/>
          <w:sz w:val="22"/>
          <w:szCs w:val="22"/>
          <w:lang w:val="en-GB"/>
        </w:rPr>
      </w:pPr>
      <w:r>
        <w:rPr>
          <w:rFonts w:ascii="Avenir Next" w:hAnsi="Avenir Next" w:cs="Arial"/>
          <w:color w:val="7F7F7F" w:themeColor="text1" w:themeTint="80"/>
          <w:sz w:val="22"/>
          <w:szCs w:val="22"/>
          <w:lang w:val="en-GB"/>
        </w:rPr>
        <w:t>Further, the desire to prefer will not be presumed as AAL is not a connected person. The liquidator therefore bears the burden of proof of such intention.</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67B13385" w:rsidR="00241FA3" w:rsidRPr="00A84235" w:rsidRDefault="0041474C" w:rsidP="009B4976">
    <w:pPr>
      <w:pStyle w:val="Footer"/>
      <w:ind w:right="360"/>
      <w:rPr>
        <w:rFonts w:ascii="Avenir Next" w:hAnsi="Avenir Next" w:cs="Arial"/>
        <w:sz w:val="22"/>
        <w:szCs w:val="22"/>
        <w:lang w:val="en-GB"/>
      </w:rPr>
    </w:pPr>
    <w:r w:rsidRPr="0041474C">
      <w:rPr>
        <w:rFonts w:ascii="Avenir Next" w:hAnsi="Avenir Next" w:cs="Arial"/>
        <w:sz w:val="22"/>
        <w:szCs w:val="22"/>
        <w:lang w:val="en-GB"/>
      </w:rPr>
      <w:t>FC202324-1259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A346" w14:textId="77777777" w:rsidR="0041474C" w:rsidRDefault="0041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E05B" w14:textId="77777777" w:rsidR="0041474C" w:rsidRDefault="00414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1306" w14:textId="77777777" w:rsidR="0041474C" w:rsidRDefault="00414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8FB0" w14:textId="77777777" w:rsidR="0041474C" w:rsidRDefault="00414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5288E"/>
    <w:multiLevelType w:val="hybridMultilevel"/>
    <w:tmpl w:val="85D8439A"/>
    <w:lvl w:ilvl="0" w:tplc="079EB992">
      <w:numFmt w:val="bullet"/>
      <w:lvlText w:val=""/>
      <w:lvlJc w:val="left"/>
      <w:pPr>
        <w:ind w:left="720" w:hanging="360"/>
      </w:pPr>
      <w:rPr>
        <w:rFonts w:ascii="Symbol" w:eastAsia="Times New Roman" w:hAnsi="Symbol" w:cs="Arial" w:hint="default"/>
        <w:color w:val="7B7B7B" w:themeColor="accent3" w:themeShade="BF"/>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A349A"/>
    <w:multiLevelType w:val="hybridMultilevel"/>
    <w:tmpl w:val="0106C21E"/>
    <w:lvl w:ilvl="0" w:tplc="ABD6C63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37D5307"/>
    <w:multiLevelType w:val="hybridMultilevel"/>
    <w:tmpl w:val="E670E7A4"/>
    <w:lvl w:ilvl="0" w:tplc="FE8E30D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C1BAC"/>
    <w:multiLevelType w:val="hybridMultilevel"/>
    <w:tmpl w:val="50AEBA08"/>
    <w:lvl w:ilvl="0" w:tplc="9B9671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4"/>
  </w:num>
  <w:num w:numId="2" w16cid:durableId="1279876417">
    <w:abstractNumId w:val="1"/>
  </w:num>
  <w:num w:numId="3" w16cid:durableId="100541089">
    <w:abstractNumId w:val="0"/>
  </w:num>
  <w:num w:numId="4" w16cid:durableId="14042412">
    <w:abstractNumId w:val="10"/>
  </w:num>
  <w:num w:numId="5" w16cid:durableId="1338728706">
    <w:abstractNumId w:val="13"/>
  </w:num>
  <w:num w:numId="6" w16cid:durableId="376245857">
    <w:abstractNumId w:val="2"/>
  </w:num>
  <w:num w:numId="7" w16cid:durableId="1396392877">
    <w:abstractNumId w:val="14"/>
  </w:num>
  <w:num w:numId="8" w16cid:durableId="1599950421">
    <w:abstractNumId w:val="18"/>
  </w:num>
  <w:num w:numId="9" w16cid:durableId="858857530">
    <w:abstractNumId w:val="11"/>
  </w:num>
  <w:num w:numId="10" w16cid:durableId="619802517">
    <w:abstractNumId w:val="20"/>
  </w:num>
  <w:num w:numId="11" w16cid:durableId="1831171333">
    <w:abstractNumId w:val="6"/>
  </w:num>
  <w:num w:numId="12" w16cid:durableId="84155222">
    <w:abstractNumId w:val="16"/>
  </w:num>
  <w:num w:numId="13" w16cid:durableId="1163352382">
    <w:abstractNumId w:val="12"/>
  </w:num>
  <w:num w:numId="14" w16cid:durableId="19356955">
    <w:abstractNumId w:val="5"/>
  </w:num>
  <w:num w:numId="15" w16cid:durableId="439304345">
    <w:abstractNumId w:val="15"/>
  </w:num>
  <w:num w:numId="16" w16cid:durableId="1126969584">
    <w:abstractNumId w:val="17"/>
  </w:num>
  <w:num w:numId="17" w16cid:durableId="1710716489">
    <w:abstractNumId w:val="9"/>
  </w:num>
  <w:num w:numId="18" w16cid:durableId="555823763">
    <w:abstractNumId w:val="8"/>
  </w:num>
  <w:num w:numId="19" w16cid:durableId="813568276">
    <w:abstractNumId w:val="7"/>
  </w:num>
  <w:num w:numId="20" w16cid:durableId="94793208">
    <w:abstractNumId w:val="3"/>
  </w:num>
  <w:num w:numId="21" w16cid:durableId="8747350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444C"/>
    <w:rsid w:val="00044D46"/>
    <w:rsid w:val="00045088"/>
    <w:rsid w:val="00045904"/>
    <w:rsid w:val="000502FD"/>
    <w:rsid w:val="00065166"/>
    <w:rsid w:val="00067358"/>
    <w:rsid w:val="00071D01"/>
    <w:rsid w:val="00082609"/>
    <w:rsid w:val="000851CC"/>
    <w:rsid w:val="00085AFE"/>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5136"/>
    <w:rsid w:val="00126A4D"/>
    <w:rsid w:val="0014171F"/>
    <w:rsid w:val="00143A8D"/>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39F1"/>
    <w:rsid w:val="001966D9"/>
    <w:rsid w:val="00197F24"/>
    <w:rsid w:val="001A007A"/>
    <w:rsid w:val="001A7E9A"/>
    <w:rsid w:val="001B0F70"/>
    <w:rsid w:val="001B5016"/>
    <w:rsid w:val="001C1B98"/>
    <w:rsid w:val="001C45FC"/>
    <w:rsid w:val="001D0469"/>
    <w:rsid w:val="001D1239"/>
    <w:rsid w:val="001D29C0"/>
    <w:rsid w:val="001D4862"/>
    <w:rsid w:val="001E25B9"/>
    <w:rsid w:val="001E49E0"/>
    <w:rsid w:val="001E7B5A"/>
    <w:rsid w:val="001F359F"/>
    <w:rsid w:val="001F3C98"/>
    <w:rsid w:val="001F7412"/>
    <w:rsid w:val="0020090A"/>
    <w:rsid w:val="0020204E"/>
    <w:rsid w:val="00202DFE"/>
    <w:rsid w:val="0020725B"/>
    <w:rsid w:val="002110F1"/>
    <w:rsid w:val="00221444"/>
    <w:rsid w:val="00223DA3"/>
    <w:rsid w:val="002356EA"/>
    <w:rsid w:val="00237A00"/>
    <w:rsid w:val="0024116D"/>
    <w:rsid w:val="00241B44"/>
    <w:rsid w:val="00241FA3"/>
    <w:rsid w:val="00245EFB"/>
    <w:rsid w:val="0025386E"/>
    <w:rsid w:val="002638B0"/>
    <w:rsid w:val="00265ABA"/>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E0F90"/>
    <w:rsid w:val="002E6167"/>
    <w:rsid w:val="002F1956"/>
    <w:rsid w:val="002F3440"/>
    <w:rsid w:val="002F75A3"/>
    <w:rsid w:val="002F77D6"/>
    <w:rsid w:val="00303C2F"/>
    <w:rsid w:val="00311816"/>
    <w:rsid w:val="003144EF"/>
    <w:rsid w:val="00314F32"/>
    <w:rsid w:val="003220A5"/>
    <w:rsid w:val="00326292"/>
    <w:rsid w:val="00326415"/>
    <w:rsid w:val="00327F6F"/>
    <w:rsid w:val="00330937"/>
    <w:rsid w:val="00330F31"/>
    <w:rsid w:val="00334648"/>
    <w:rsid w:val="003367CC"/>
    <w:rsid w:val="0033768C"/>
    <w:rsid w:val="00337938"/>
    <w:rsid w:val="00340769"/>
    <w:rsid w:val="00341AA6"/>
    <w:rsid w:val="003432FC"/>
    <w:rsid w:val="00361A0A"/>
    <w:rsid w:val="00364836"/>
    <w:rsid w:val="00364A96"/>
    <w:rsid w:val="0036565C"/>
    <w:rsid w:val="0036625E"/>
    <w:rsid w:val="00366EE1"/>
    <w:rsid w:val="0037465A"/>
    <w:rsid w:val="00382C98"/>
    <w:rsid w:val="00383B6A"/>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33FD"/>
    <w:rsid w:val="00404329"/>
    <w:rsid w:val="00405DC1"/>
    <w:rsid w:val="0041474C"/>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84011"/>
    <w:rsid w:val="00491675"/>
    <w:rsid w:val="00493855"/>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4F70C3"/>
    <w:rsid w:val="005038A9"/>
    <w:rsid w:val="005177FE"/>
    <w:rsid w:val="00520242"/>
    <w:rsid w:val="0052263B"/>
    <w:rsid w:val="00524728"/>
    <w:rsid w:val="005331CA"/>
    <w:rsid w:val="00537970"/>
    <w:rsid w:val="00540E3A"/>
    <w:rsid w:val="00544127"/>
    <w:rsid w:val="005463A9"/>
    <w:rsid w:val="00552F18"/>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E7793"/>
    <w:rsid w:val="005F026D"/>
    <w:rsid w:val="005F2AEA"/>
    <w:rsid w:val="005F2D0B"/>
    <w:rsid w:val="005F4B31"/>
    <w:rsid w:val="006039EB"/>
    <w:rsid w:val="00610388"/>
    <w:rsid w:val="00610AC7"/>
    <w:rsid w:val="006118DE"/>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7A1D"/>
    <w:rsid w:val="006919A4"/>
    <w:rsid w:val="006925C1"/>
    <w:rsid w:val="00692EC5"/>
    <w:rsid w:val="00697EA1"/>
    <w:rsid w:val="006A2646"/>
    <w:rsid w:val="006A4000"/>
    <w:rsid w:val="006A6530"/>
    <w:rsid w:val="006A6C27"/>
    <w:rsid w:val="006B31CE"/>
    <w:rsid w:val="006B435A"/>
    <w:rsid w:val="006B4C64"/>
    <w:rsid w:val="006D282B"/>
    <w:rsid w:val="006D500B"/>
    <w:rsid w:val="006D65FD"/>
    <w:rsid w:val="006D6BD5"/>
    <w:rsid w:val="006E0D3B"/>
    <w:rsid w:val="006E481A"/>
    <w:rsid w:val="006E5298"/>
    <w:rsid w:val="006F4A78"/>
    <w:rsid w:val="006F734A"/>
    <w:rsid w:val="00700D83"/>
    <w:rsid w:val="00704852"/>
    <w:rsid w:val="0070524B"/>
    <w:rsid w:val="007074E9"/>
    <w:rsid w:val="00713CE9"/>
    <w:rsid w:val="00713DA4"/>
    <w:rsid w:val="00714BF1"/>
    <w:rsid w:val="00721383"/>
    <w:rsid w:val="0073158B"/>
    <w:rsid w:val="007333CC"/>
    <w:rsid w:val="0073399A"/>
    <w:rsid w:val="00733A34"/>
    <w:rsid w:val="00740DAD"/>
    <w:rsid w:val="00741E85"/>
    <w:rsid w:val="00742AF3"/>
    <w:rsid w:val="007603F5"/>
    <w:rsid w:val="00761F1C"/>
    <w:rsid w:val="00763348"/>
    <w:rsid w:val="007643B4"/>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517E"/>
    <w:rsid w:val="007F659B"/>
    <w:rsid w:val="0080441E"/>
    <w:rsid w:val="0080454E"/>
    <w:rsid w:val="00804C32"/>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745"/>
    <w:rsid w:val="008A4DF2"/>
    <w:rsid w:val="008A6CFE"/>
    <w:rsid w:val="008B5333"/>
    <w:rsid w:val="008B58D5"/>
    <w:rsid w:val="008B6223"/>
    <w:rsid w:val="008B72B8"/>
    <w:rsid w:val="008C66E0"/>
    <w:rsid w:val="008D1616"/>
    <w:rsid w:val="008E3339"/>
    <w:rsid w:val="008F20FC"/>
    <w:rsid w:val="008F5FFE"/>
    <w:rsid w:val="00905A43"/>
    <w:rsid w:val="00912C79"/>
    <w:rsid w:val="00917357"/>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D41B1"/>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1616"/>
    <w:rsid w:val="00A56D34"/>
    <w:rsid w:val="00A5783A"/>
    <w:rsid w:val="00A60074"/>
    <w:rsid w:val="00A6627C"/>
    <w:rsid w:val="00A71019"/>
    <w:rsid w:val="00A81029"/>
    <w:rsid w:val="00A84235"/>
    <w:rsid w:val="00A845F5"/>
    <w:rsid w:val="00A96489"/>
    <w:rsid w:val="00AA2435"/>
    <w:rsid w:val="00AA6460"/>
    <w:rsid w:val="00AB2425"/>
    <w:rsid w:val="00AB685C"/>
    <w:rsid w:val="00AB6C2D"/>
    <w:rsid w:val="00AC03F3"/>
    <w:rsid w:val="00AC08F7"/>
    <w:rsid w:val="00AC317D"/>
    <w:rsid w:val="00AC3839"/>
    <w:rsid w:val="00AC7082"/>
    <w:rsid w:val="00AD3B3E"/>
    <w:rsid w:val="00AD3CD9"/>
    <w:rsid w:val="00AD4BE8"/>
    <w:rsid w:val="00AE5B6F"/>
    <w:rsid w:val="00AF228E"/>
    <w:rsid w:val="00B016A8"/>
    <w:rsid w:val="00B04033"/>
    <w:rsid w:val="00B14819"/>
    <w:rsid w:val="00B15E2F"/>
    <w:rsid w:val="00B17AA9"/>
    <w:rsid w:val="00B44713"/>
    <w:rsid w:val="00B455E5"/>
    <w:rsid w:val="00B47EE4"/>
    <w:rsid w:val="00B51B95"/>
    <w:rsid w:val="00B56103"/>
    <w:rsid w:val="00B61558"/>
    <w:rsid w:val="00B64929"/>
    <w:rsid w:val="00B736DF"/>
    <w:rsid w:val="00B743D6"/>
    <w:rsid w:val="00B74FBD"/>
    <w:rsid w:val="00B77F46"/>
    <w:rsid w:val="00B82586"/>
    <w:rsid w:val="00B829A3"/>
    <w:rsid w:val="00B86DB1"/>
    <w:rsid w:val="00B87869"/>
    <w:rsid w:val="00B9639B"/>
    <w:rsid w:val="00BA1CFD"/>
    <w:rsid w:val="00BB0F2B"/>
    <w:rsid w:val="00BC231B"/>
    <w:rsid w:val="00BC4B72"/>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0476"/>
    <w:rsid w:val="00C72848"/>
    <w:rsid w:val="00C7736C"/>
    <w:rsid w:val="00C82D87"/>
    <w:rsid w:val="00C8712A"/>
    <w:rsid w:val="00C902C8"/>
    <w:rsid w:val="00C91062"/>
    <w:rsid w:val="00C919D1"/>
    <w:rsid w:val="00C963D3"/>
    <w:rsid w:val="00CB09F0"/>
    <w:rsid w:val="00CB1983"/>
    <w:rsid w:val="00CB2CBB"/>
    <w:rsid w:val="00CB7CAC"/>
    <w:rsid w:val="00CC1E68"/>
    <w:rsid w:val="00CC5335"/>
    <w:rsid w:val="00CC5BA4"/>
    <w:rsid w:val="00CD4998"/>
    <w:rsid w:val="00CE1035"/>
    <w:rsid w:val="00CE6E50"/>
    <w:rsid w:val="00CF2819"/>
    <w:rsid w:val="00CF3708"/>
    <w:rsid w:val="00CF4F9D"/>
    <w:rsid w:val="00CF70DC"/>
    <w:rsid w:val="00D01697"/>
    <w:rsid w:val="00D148DC"/>
    <w:rsid w:val="00D17FDC"/>
    <w:rsid w:val="00D21535"/>
    <w:rsid w:val="00D21D8C"/>
    <w:rsid w:val="00D318F8"/>
    <w:rsid w:val="00D33201"/>
    <w:rsid w:val="00D417B5"/>
    <w:rsid w:val="00D53719"/>
    <w:rsid w:val="00D63EFD"/>
    <w:rsid w:val="00D81093"/>
    <w:rsid w:val="00D84752"/>
    <w:rsid w:val="00D86B3B"/>
    <w:rsid w:val="00D8748A"/>
    <w:rsid w:val="00D93196"/>
    <w:rsid w:val="00D93819"/>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4746"/>
    <w:rsid w:val="00E75BAF"/>
    <w:rsid w:val="00E76DCE"/>
    <w:rsid w:val="00E77C3D"/>
    <w:rsid w:val="00E833F4"/>
    <w:rsid w:val="00E848D6"/>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3E26"/>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283"/>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1D3"/>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479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Ting</cp:lastModifiedBy>
  <cp:revision>64</cp:revision>
  <cp:lastPrinted>2019-08-27T05:42:00Z</cp:lastPrinted>
  <dcterms:created xsi:type="dcterms:W3CDTF">2023-07-12T10:10:00Z</dcterms:created>
  <dcterms:modified xsi:type="dcterms:W3CDTF">2024-02-24T08:24:00Z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