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4798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A37F0B"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A37F0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CB13B3">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B13B3"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B13B3">
        <w:rPr>
          <w:rFonts w:ascii="Avenir Next" w:hAnsi="Avenir Next" w:cs="Arial"/>
          <w:sz w:val="22"/>
          <w:szCs w:val="22"/>
          <w:highlight w:val="yellow"/>
          <w:lang w:val="en-GB"/>
        </w:rPr>
        <w:t>Options (</w:t>
      </w:r>
      <w:proofErr w:type="spellStart"/>
      <w:r w:rsidRPr="00CB13B3">
        <w:rPr>
          <w:rFonts w:ascii="Avenir Next" w:hAnsi="Avenir Next" w:cs="Arial"/>
          <w:sz w:val="22"/>
          <w:szCs w:val="22"/>
          <w:highlight w:val="yellow"/>
          <w:lang w:val="en-GB"/>
        </w:rPr>
        <w:t>i</w:t>
      </w:r>
      <w:proofErr w:type="spellEnd"/>
      <w:r w:rsidRPr="00CB13B3">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CB13B3" w:rsidRDefault="00AD0E59" w:rsidP="00AD0E59">
      <w:pPr>
        <w:pStyle w:val="ListParagraph"/>
        <w:numPr>
          <w:ilvl w:val="0"/>
          <w:numId w:val="50"/>
        </w:numPr>
        <w:ind w:left="426" w:hanging="426"/>
        <w:jc w:val="both"/>
        <w:rPr>
          <w:rFonts w:ascii="Avenir Next" w:hAnsi="Avenir Next" w:cs="Arial"/>
          <w:sz w:val="22"/>
          <w:szCs w:val="22"/>
          <w:lang w:val="en-GB"/>
        </w:rPr>
      </w:pPr>
      <w:r w:rsidRPr="00CB13B3">
        <w:rPr>
          <w:rFonts w:ascii="Avenir Next" w:hAnsi="Avenir Next" w:cs="Arial"/>
          <w:sz w:val="22"/>
          <w:szCs w:val="22"/>
          <w:lang w:val="en-GB"/>
        </w:rPr>
        <w:t>Options (</w:t>
      </w:r>
      <w:proofErr w:type="spellStart"/>
      <w:r w:rsidRPr="00CB13B3">
        <w:rPr>
          <w:rFonts w:ascii="Avenir Next" w:hAnsi="Avenir Next" w:cs="Arial"/>
          <w:sz w:val="22"/>
          <w:szCs w:val="22"/>
          <w:lang w:val="en-GB"/>
        </w:rPr>
        <w:t>i</w:t>
      </w:r>
      <w:proofErr w:type="spellEnd"/>
      <w:r w:rsidRPr="00CB13B3">
        <w:rPr>
          <w:rFonts w:ascii="Avenir Next" w:hAnsi="Avenir Next" w:cs="Arial"/>
          <w:sz w:val="22"/>
          <w:szCs w:val="22"/>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37F0B"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A37F0B">
        <w:rPr>
          <w:rFonts w:ascii="Avenir Next" w:hAnsi="Avenir Next" w:cs="Arial"/>
          <w:sz w:val="22"/>
          <w:szCs w:val="22"/>
          <w:highlight w:val="yellow"/>
          <w:lang w:val="en-GB"/>
        </w:rPr>
        <w:t>Options (</w:t>
      </w:r>
      <w:proofErr w:type="spellStart"/>
      <w:r w:rsidRPr="00A37F0B">
        <w:rPr>
          <w:rFonts w:ascii="Avenir Next" w:hAnsi="Avenir Next" w:cs="Arial"/>
          <w:sz w:val="22"/>
          <w:szCs w:val="22"/>
          <w:highlight w:val="yellow"/>
          <w:lang w:val="en-GB"/>
        </w:rPr>
        <w:t>i</w:t>
      </w:r>
      <w:proofErr w:type="spellEnd"/>
      <w:r w:rsidRPr="00A37F0B">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715F7"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6715F7">
        <w:rPr>
          <w:rFonts w:ascii="Avenir Next" w:hAnsi="Avenir Next" w:cs="Arial"/>
          <w:sz w:val="22"/>
          <w:szCs w:val="22"/>
          <w:highlight w:val="yellow"/>
          <w:lang w:val="en-GB"/>
        </w:rPr>
        <w:t>Options (</w:t>
      </w:r>
      <w:proofErr w:type="spellStart"/>
      <w:r w:rsidRPr="006715F7">
        <w:rPr>
          <w:rFonts w:ascii="Avenir Next" w:hAnsi="Avenir Next" w:cs="Arial"/>
          <w:sz w:val="22"/>
          <w:szCs w:val="22"/>
          <w:highlight w:val="yellow"/>
          <w:lang w:val="en-GB"/>
        </w:rPr>
        <w:t>i</w:t>
      </w:r>
      <w:proofErr w:type="spellEnd"/>
      <w:r w:rsidRPr="006715F7">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6715F7" w:rsidRDefault="00812AFE" w:rsidP="00C00111">
      <w:pPr>
        <w:pStyle w:val="ListParagraph"/>
        <w:numPr>
          <w:ilvl w:val="0"/>
          <w:numId w:val="18"/>
        </w:numPr>
        <w:ind w:left="426" w:hanging="426"/>
        <w:jc w:val="both"/>
        <w:rPr>
          <w:rFonts w:ascii="Avenir Next" w:hAnsi="Avenir Next" w:cs="Arial"/>
          <w:sz w:val="22"/>
          <w:szCs w:val="22"/>
          <w:lang w:val="en-GB"/>
        </w:rPr>
      </w:pPr>
      <w:r w:rsidRPr="006715F7">
        <w:rPr>
          <w:rFonts w:ascii="Avenir Next" w:hAnsi="Avenir Next" w:cs="Arial"/>
          <w:sz w:val="22"/>
          <w:szCs w:val="22"/>
          <w:lang w:val="en-GB"/>
        </w:rPr>
        <w:t>None of the above.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CB13B3">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CB13B3"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CB13B3">
        <w:rPr>
          <w:rFonts w:ascii="Avenir Next" w:hAnsi="Avenir Next" w:cs="Arial"/>
          <w:sz w:val="22"/>
          <w:szCs w:val="22"/>
          <w:highlight w:val="yellow"/>
          <w:lang w:val="en-GB"/>
        </w:rPr>
        <w:t>Options (</w:t>
      </w:r>
      <w:proofErr w:type="spellStart"/>
      <w:r w:rsidRPr="00CB13B3">
        <w:rPr>
          <w:rFonts w:ascii="Avenir Next" w:hAnsi="Avenir Next" w:cs="Arial"/>
          <w:sz w:val="22"/>
          <w:szCs w:val="22"/>
          <w:highlight w:val="yellow"/>
          <w:lang w:val="en-GB"/>
        </w:rPr>
        <w:t>i</w:t>
      </w:r>
      <w:proofErr w:type="spellEnd"/>
      <w:r w:rsidRPr="00CB13B3">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6715F7"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6715F7">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6715F7"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6715F7">
        <w:rPr>
          <w:rFonts w:ascii="Avenir Next" w:hAnsi="Avenir Next" w:cs="Arial"/>
          <w:sz w:val="22"/>
          <w:szCs w:val="22"/>
          <w:highlight w:val="yellow"/>
          <w:lang w:val="en-GB"/>
        </w:rPr>
        <w:t>Options (</w:t>
      </w:r>
      <w:proofErr w:type="spellStart"/>
      <w:r w:rsidRPr="006715F7">
        <w:rPr>
          <w:rFonts w:ascii="Avenir Next" w:hAnsi="Avenir Next" w:cs="Arial"/>
          <w:sz w:val="22"/>
          <w:szCs w:val="22"/>
          <w:highlight w:val="yellow"/>
          <w:lang w:val="en-GB"/>
        </w:rPr>
        <w:t>i</w:t>
      </w:r>
      <w:proofErr w:type="spellEnd"/>
      <w:r w:rsidRPr="006715F7">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CB13B3">
        <w:rPr>
          <w:rFonts w:ascii="Avenir Next" w:hAnsi="Avenir Next" w:cs="Arial"/>
          <w:sz w:val="22"/>
          <w:szCs w:val="22"/>
          <w:highlight w:val="yellow"/>
          <w:lang w:val="en-GB"/>
        </w:rPr>
        <w:t>Options (</w:t>
      </w:r>
      <w:proofErr w:type="spellStart"/>
      <w:r w:rsidRPr="00CB13B3">
        <w:rPr>
          <w:rFonts w:ascii="Avenir Next" w:hAnsi="Avenir Next" w:cs="Arial"/>
          <w:sz w:val="22"/>
          <w:szCs w:val="22"/>
          <w:highlight w:val="yellow"/>
          <w:lang w:val="en-GB"/>
        </w:rPr>
        <w:t>i</w:t>
      </w:r>
      <w:proofErr w:type="spellEnd"/>
      <w:r w:rsidRPr="00CB13B3">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B13B3"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CB13B3">
        <w:rPr>
          <w:rFonts w:ascii="Avenir Next" w:hAnsi="Avenir Next" w:cs="Arial"/>
          <w:sz w:val="22"/>
          <w:szCs w:val="22"/>
          <w:highlight w:val="yellow"/>
          <w:lang w:val="en-GB"/>
        </w:rPr>
        <w:t>Options (iii), (</w:t>
      </w:r>
      <w:proofErr w:type="spellStart"/>
      <w:r w:rsidRPr="00CB13B3">
        <w:rPr>
          <w:rFonts w:ascii="Avenir Next" w:hAnsi="Avenir Next" w:cs="Arial"/>
          <w:sz w:val="22"/>
          <w:szCs w:val="22"/>
          <w:highlight w:val="yellow"/>
          <w:lang w:val="en-GB"/>
        </w:rPr>
        <w:t>i</w:t>
      </w:r>
      <w:proofErr w:type="spellEnd"/>
      <w:r w:rsidRPr="00CB13B3">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95548C">
        <w:rPr>
          <w:rFonts w:ascii="Avenir Next Demi Bold" w:hAnsi="Avenir Next Demi Bold" w:cs="Arial"/>
          <w:b/>
          <w:bCs/>
          <w:sz w:val="22"/>
          <w:szCs w:val="22"/>
          <w:lang w:val="en-GB"/>
        </w:rPr>
        <w:t>Question 1.10</w:t>
      </w:r>
      <w:r w:rsidRPr="000D32A9">
        <w:rPr>
          <w:rFonts w:ascii="Avenir Next Demi Bold" w:hAnsi="Avenir Next Demi Bold" w:cs="Arial"/>
          <w:b/>
          <w:bCs/>
          <w:sz w:val="22"/>
          <w:szCs w:val="22"/>
          <w:lang w:val="en-GB"/>
        </w:rPr>
        <w:t xml:space="preserve">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95548C"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95548C">
        <w:rPr>
          <w:rFonts w:ascii="Avenir Next" w:hAnsi="Avenir Next" w:cs="Arial"/>
          <w:sz w:val="22"/>
          <w:szCs w:val="22"/>
          <w:highlight w:val="yellow"/>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ListParagraph"/>
        <w:numPr>
          <w:ilvl w:val="0"/>
          <w:numId w:val="30"/>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3FB62FED" w:rsidR="00CB56CE" w:rsidRDefault="0095548C" w:rsidP="0095548C">
      <w:pPr>
        <w:ind w:left="567"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MLCBI and the European Union Regulation on insolvency proceedings (“EIR”) is that MLCBI is a form of “soft law” that serves as a recommendation for adoption into the domestic law of a State, whereas the EIR is a European Union (“EU”) Regulation that is binding on EU Member States.</w:t>
      </w:r>
    </w:p>
    <w:p w14:paraId="764FD9F5" w14:textId="77777777" w:rsidR="0095548C" w:rsidRDefault="0095548C" w:rsidP="0095548C">
      <w:pPr>
        <w:ind w:left="567" w:hanging="11"/>
        <w:jc w:val="both"/>
        <w:rPr>
          <w:rFonts w:ascii="Avenir Next" w:hAnsi="Avenir Next" w:cs="Arial"/>
          <w:color w:val="808080" w:themeColor="background1" w:themeShade="80"/>
          <w:sz w:val="22"/>
          <w:szCs w:val="22"/>
          <w:lang w:val="en-GB"/>
        </w:rPr>
      </w:pPr>
    </w:p>
    <w:p w14:paraId="1AB93013" w14:textId="0BD645EC" w:rsidR="0095548C" w:rsidRDefault="0095548C" w:rsidP="0095548C">
      <w:pPr>
        <w:ind w:left="567"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the MLCBI is that it gives a State the discretion to choose whether to adopt the MLCBI, in full or in part. The disadvantage </w:t>
      </w:r>
      <w:r w:rsidR="00660BEF">
        <w:rPr>
          <w:rFonts w:ascii="Avenir Next" w:hAnsi="Avenir Next" w:cs="Arial"/>
          <w:color w:val="808080" w:themeColor="background1" w:themeShade="80"/>
          <w:sz w:val="22"/>
          <w:szCs w:val="22"/>
          <w:lang w:val="en-GB"/>
        </w:rPr>
        <w:t>is that different States may adopt the MLCBI in a different manner</w:t>
      </w:r>
      <w:r w:rsidR="000A7BBB">
        <w:rPr>
          <w:rFonts w:ascii="Avenir Next" w:hAnsi="Avenir Next" w:cs="Arial"/>
          <w:color w:val="808080" w:themeColor="background1" w:themeShade="80"/>
          <w:sz w:val="22"/>
          <w:szCs w:val="22"/>
          <w:lang w:val="en-GB"/>
        </w:rPr>
        <w:t xml:space="preserve"> and this leads to deviation from its provisions. </w:t>
      </w:r>
    </w:p>
    <w:p w14:paraId="7C22C5E0" w14:textId="77777777" w:rsidR="0030732D" w:rsidRDefault="0030732D" w:rsidP="0095548C">
      <w:pPr>
        <w:ind w:left="567" w:hanging="11"/>
        <w:jc w:val="both"/>
        <w:rPr>
          <w:rFonts w:ascii="Avenir Next" w:hAnsi="Avenir Next" w:cs="Arial"/>
          <w:color w:val="808080" w:themeColor="background1" w:themeShade="80"/>
          <w:sz w:val="22"/>
          <w:szCs w:val="22"/>
          <w:lang w:val="en-GB"/>
        </w:rPr>
      </w:pPr>
    </w:p>
    <w:p w14:paraId="006B8F73" w14:textId="1179F7D6" w:rsidR="0030732D" w:rsidRPr="00B77352" w:rsidRDefault="0030732D" w:rsidP="0095548C">
      <w:pPr>
        <w:ind w:left="567"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the EIR, the key benefit is that</w:t>
      </w:r>
      <w:r w:rsidR="009E796E">
        <w:rPr>
          <w:rFonts w:ascii="Avenir Next" w:hAnsi="Avenir Next" w:cs="Arial"/>
          <w:color w:val="808080" w:themeColor="background1" w:themeShade="80"/>
          <w:sz w:val="22"/>
          <w:szCs w:val="22"/>
          <w:lang w:val="en-GB"/>
        </w:rPr>
        <w:t xml:space="preserve">, </w:t>
      </w:r>
      <w:proofErr w:type="gramStart"/>
      <w:r w:rsidR="009E796E">
        <w:rPr>
          <w:rFonts w:ascii="Avenir Next" w:hAnsi="Avenir Next" w:cs="Arial"/>
          <w:color w:val="808080" w:themeColor="background1" w:themeShade="80"/>
          <w:sz w:val="22"/>
          <w:szCs w:val="22"/>
          <w:lang w:val="en-GB"/>
        </w:rPr>
        <w:t>as a result of</w:t>
      </w:r>
      <w:proofErr w:type="gramEnd"/>
      <w:r w:rsidR="009E796E">
        <w:rPr>
          <w:rFonts w:ascii="Avenir Next" w:hAnsi="Avenir Next" w:cs="Arial"/>
          <w:color w:val="808080" w:themeColor="background1" w:themeShade="80"/>
          <w:sz w:val="22"/>
          <w:szCs w:val="22"/>
          <w:lang w:val="en-GB"/>
        </w:rPr>
        <w:t xml:space="preserve"> the binding nature on all its Member States, </w:t>
      </w:r>
      <w:r>
        <w:rPr>
          <w:rFonts w:ascii="Avenir Next" w:hAnsi="Avenir Next" w:cs="Arial"/>
          <w:color w:val="808080" w:themeColor="background1" w:themeShade="80"/>
          <w:sz w:val="22"/>
          <w:szCs w:val="22"/>
          <w:lang w:val="en-GB"/>
        </w:rPr>
        <w:t xml:space="preserve">the legal provisions on cross-border insolvency </w:t>
      </w:r>
      <w:r w:rsidR="009E796E">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consistent throughout the Member States of the EU, and this provides legal certainty. The disadvantage is that it limits the sovereignty of the EU Member States.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5D7BE543" w14:textId="77777777" w:rsidR="006E04E4" w:rsidRDefault="006E04E4" w:rsidP="006E04E4">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should primarily consider the following:</w:t>
      </w:r>
    </w:p>
    <w:p w14:paraId="1285E387" w14:textId="77777777" w:rsidR="006E04E4" w:rsidRDefault="006E04E4" w:rsidP="006E04E4">
      <w:pPr>
        <w:ind w:left="567"/>
        <w:jc w:val="both"/>
        <w:rPr>
          <w:rFonts w:ascii="Avenir Next" w:hAnsi="Avenir Next" w:cs="Arial"/>
          <w:color w:val="808080" w:themeColor="background1" w:themeShade="80"/>
          <w:sz w:val="22"/>
          <w:szCs w:val="22"/>
          <w:lang w:val="en-GB"/>
        </w:rPr>
      </w:pPr>
    </w:p>
    <w:p w14:paraId="06DE851C" w14:textId="72CD89A6" w:rsidR="00A902D4" w:rsidRDefault="006E04E4" w:rsidP="006E04E4">
      <w:pPr>
        <w:ind w:left="567"/>
        <w:jc w:val="both"/>
        <w:rPr>
          <w:rFonts w:ascii="Avenir Next" w:hAnsi="Avenir Next" w:cs="Arial"/>
          <w:color w:val="808080" w:themeColor="background1" w:themeShade="80"/>
          <w:sz w:val="22"/>
          <w:szCs w:val="22"/>
          <w:lang w:val="en-GB"/>
        </w:rPr>
      </w:pPr>
      <w:r w:rsidRPr="006E04E4">
        <w:rPr>
          <w:rFonts w:ascii="Avenir Next" w:hAnsi="Avenir Next" w:cs="Arial"/>
          <w:b/>
          <w:bCs/>
          <w:color w:val="808080" w:themeColor="background1" w:themeShade="80"/>
          <w:sz w:val="22"/>
          <w:szCs w:val="22"/>
          <w:u w:val="single"/>
          <w:lang w:val="en-GB"/>
        </w:rPr>
        <w:t>First</w:t>
      </w:r>
      <w:r>
        <w:rPr>
          <w:rFonts w:ascii="Avenir Next" w:hAnsi="Avenir Next" w:cs="Arial"/>
          <w:color w:val="808080" w:themeColor="background1" w:themeShade="80"/>
          <w:sz w:val="22"/>
          <w:szCs w:val="22"/>
          <w:lang w:val="en-GB"/>
        </w:rPr>
        <w:t>, pursuant to Art 21(2) of MLCBI, whether the interests of the local creditors in the enacting State are adequately protected.</w:t>
      </w:r>
    </w:p>
    <w:p w14:paraId="52B6B321" w14:textId="77777777" w:rsidR="006E04E4" w:rsidRDefault="006E04E4" w:rsidP="006E04E4">
      <w:pPr>
        <w:ind w:left="567"/>
        <w:jc w:val="both"/>
        <w:rPr>
          <w:rFonts w:ascii="Avenir Next" w:hAnsi="Avenir Next" w:cs="Arial"/>
          <w:color w:val="808080" w:themeColor="background1" w:themeShade="80"/>
          <w:sz w:val="22"/>
          <w:szCs w:val="22"/>
          <w:lang w:val="en-GB"/>
        </w:rPr>
      </w:pPr>
    </w:p>
    <w:p w14:paraId="77C04544" w14:textId="721F78D9" w:rsidR="006E04E4" w:rsidRDefault="006E04E4" w:rsidP="006E04E4">
      <w:pPr>
        <w:ind w:left="567"/>
        <w:jc w:val="both"/>
        <w:rPr>
          <w:rFonts w:ascii="Avenir Next" w:hAnsi="Avenir Next" w:cs="Arial"/>
          <w:color w:val="808080" w:themeColor="background1" w:themeShade="80"/>
          <w:sz w:val="22"/>
          <w:szCs w:val="22"/>
          <w:lang w:val="en-GB"/>
        </w:rPr>
      </w:pPr>
      <w:r w:rsidRPr="006E04E4">
        <w:rPr>
          <w:rFonts w:ascii="Avenir Next" w:hAnsi="Avenir Next" w:cs="Arial"/>
          <w:b/>
          <w:bCs/>
          <w:color w:val="808080" w:themeColor="background1" w:themeShade="80"/>
          <w:sz w:val="22"/>
          <w:szCs w:val="22"/>
          <w:u w:val="single"/>
          <w:lang w:val="en-GB"/>
        </w:rPr>
        <w:t>Second</w:t>
      </w:r>
      <w:r>
        <w:rPr>
          <w:rFonts w:ascii="Avenir Next" w:hAnsi="Avenir Next" w:cs="Arial"/>
          <w:color w:val="808080" w:themeColor="background1" w:themeShade="80"/>
          <w:sz w:val="22"/>
          <w:szCs w:val="22"/>
          <w:lang w:val="en-GB"/>
        </w:rPr>
        <w:t>, pursuant to Art 21(3) of MLCBI, that such reliefs should not interfere with the administration of another insolvency proceedings.</w:t>
      </w:r>
    </w:p>
    <w:p w14:paraId="5B5662A8" w14:textId="77777777" w:rsidR="00A902D4" w:rsidRDefault="00A902D4" w:rsidP="00867A8F">
      <w:pPr>
        <w:ind w:left="720" w:hanging="720"/>
        <w:jc w:val="both"/>
        <w:rPr>
          <w:rFonts w:ascii="Avenir Next" w:hAnsi="Avenir Next" w:cs="Arial"/>
          <w:color w:val="808080" w:themeColor="background1" w:themeShade="80"/>
          <w:sz w:val="22"/>
          <w:szCs w:val="22"/>
          <w:lang w:val="en-GB"/>
        </w:rPr>
      </w:pPr>
    </w:p>
    <w:p w14:paraId="0224F3D6" w14:textId="77777777" w:rsidR="006E04E4" w:rsidRPr="00B77352" w:rsidRDefault="006E04E4" w:rsidP="00867A8F">
      <w:pPr>
        <w:ind w:left="720" w:hanging="720"/>
        <w:jc w:val="both"/>
        <w:rPr>
          <w:rFonts w:ascii="Avenir Next" w:hAnsi="Avenir Next" w:cs="Arial"/>
          <w:color w:val="808080" w:themeColor="background1" w:themeShade="80"/>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3FC1D36E" w14:textId="77777777" w:rsidR="006E04E4" w:rsidRDefault="006E04E4" w:rsidP="006E04E4">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protections granted to such creditors are two-folds, namely, </w:t>
      </w:r>
    </w:p>
    <w:p w14:paraId="6233AF7E" w14:textId="77777777" w:rsidR="006E04E4" w:rsidRDefault="006E04E4" w:rsidP="006E04E4">
      <w:pPr>
        <w:ind w:left="567"/>
        <w:jc w:val="both"/>
        <w:rPr>
          <w:rFonts w:ascii="Avenir Next" w:hAnsi="Avenir Next" w:cs="Arial"/>
          <w:color w:val="808080" w:themeColor="background1" w:themeShade="80"/>
          <w:sz w:val="22"/>
          <w:szCs w:val="22"/>
          <w:lang w:val="en-GB"/>
        </w:rPr>
      </w:pPr>
    </w:p>
    <w:p w14:paraId="741D1873" w14:textId="458CB85B" w:rsidR="00867A8F" w:rsidRDefault="006E04E4" w:rsidP="006E04E4">
      <w:pPr>
        <w:ind w:left="567"/>
        <w:jc w:val="both"/>
        <w:rPr>
          <w:rFonts w:ascii="Avenir Next" w:hAnsi="Avenir Next" w:cs="Arial"/>
          <w:color w:val="808080" w:themeColor="background1" w:themeShade="80"/>
          <w:sz w:val="22"/>
          <w:szCs w:val="22"/>
          <w:lang w:val="en-GB"/>
        </w:rPr>
      </w:pPr>
      <w:r w:rsidRPr="006E04E4">
        <w:rPr>
          <w:rFonts w:ascii="Avenir Next" w:hAnsi="Avenir Next" w:cs="Arial"/>
          <w:b/>
          <w:bCs/>
          <w:color w:val="808080" w:themeColor="background1" w:themeShade="80"/>
          <w:sz w:val="22"/>
          <w:szCs w:val="22"/>
          <w:u w:val="single"/>
          <w:lang w:val="en-GB"/>
        </w:rPr>
        <w:t>First</w:t>
      </w:r>
      <w:r>
        <w:rPr>
          <w:rFonts w:ascii="Avenir Next" w:hAnsi="Avenir Next" w:cs="Arial"/>
          <w:color w:val="808080" w:themeColor="background1" w:themeShade="80"/>
          <w:sz w:val="22"/>
          <w:szCs w:val="22"/>
          <w:lang w:val="en-GB"/>
        </w:rPr>
        <w:t>, that all foreign creditors shall have same rights as domestic creditors regarding the commencement and participation in domestic insolvency proceedings; and</w:t>
      </w:r>
    </w:p>
    <w:p w14:paraId="4867AF9F" w14:textId="77777777" w:rsidR="006E04E4" w:rsidRDefault="006E04E4" w:rsidP="006E04E4">
      <w:pPr>
        <w:ind w:left="567"/>
        <w:jc w:val="both"/>
        <w:rPr>
          <w:rFonts w:ascii="Avenir Next" w:hAnsi="Avenir Next" w:cs="Arial"/>
          <w:color w:val="808080" w:themeColor="background1" w:themeShade="80"/>
          <w:sz w:val="22"/>
          <w:szCs w:val="22"/>
          <w:lang w:val="en-GB"/>
        </w:rPr>
      </w:pPr>
    </w:p>
    <w:p w14:paraId="5FF3EEC0" w14:textId="4D0B5468" w:rsidR="006E04E4" w:rsidRDefault="006E04E4" w:rsidP="006E04E4">
      <w:pPr>
        <w:ind w:left="567"/>
        <w:jc w:val="both"/>
        <w:rPr>
          <w:rFonts w:ascii="Avenir Next" w:hAnsi="Avenir Next" w:cs="Arial"/>
          <w:color w:val="808080" w:themeColor="background1" w:themeShade="80"/>
          <w:sz w:val="22"/>
          <w:szCs w:val="22"/>
          <w:lang w:val="en-GB"/>
        </w:rPr>
      </w:pPr>
      <w:r w:rsidRPr="006E04E4">
        <w:rPr>
          <w:rFonts w:ascii="Avenir Next" w:hAnsi="Avenir Next" w:cs="Arial"/>
          <w:b/>
          <w:bCs/>
          <w:color w:val="808080" w:themeColor="background1" w:themeShade="80"/>
          <w:sz w:val="22"/>
          <w:szCs w:val="22"/>
          <w:u w:val="single"/>
          <w:lang w:val="en-GB"/>
        </w:rPr>
        <w:t>Second</w:t>
      </w:r>
      <w:r>
        <w:rPr>
          <w:rFonts w:ascii="Avenir Next" w:hAnsi="Avenir Next" w:cs="Arial"/>
          <w:color w:val="808080" w:themeColor="background1" w:themeShade="80"/>
          <w:sz w:val="22"/>
          <w:szCs w:val="22"/>
          <w:lang w:val="en-GB"/>
        </w:rPr>
        <w:t>, the ranking of claims shall not be affected</w:t>
      </w:r>
      <w:r w:rsidR="00BC3056">
        <w:rPr>
          <w:rFonts w:ascii="Avenir Next" w:hAnsi="Avenir Next" w:cs="Arial"/>
          <w:color w:val="808080" w:themeColor="background1" w:themeShade="80"/>
          <w:sz w:val="22"/>
          <w:szCs w:val="22"/>
          <w:lang w:val="en-GB"/>
        </w:rPr>
        <w:t xml:space="preserve"> with the exception that </w:t>
      </w:r>
      <w:r w:rsidR="00E83B96">
        <w:rPr>
          <w:rFonts w:ascii="Avenir Next" w:hAnsi="Avenir Next" w:cs="Arial"/>
          <w:color w:val="808080" w:themeColor="background1" w:themeShade="80"/>
          <w:sz w:val="22"/>
          <w:szCs w:val="22"/>
          <w:lang w:val="en-GB"/>
        </w:rPr>
        <w:t xml:space="preserve">the claim of a foreign creditor shall not be </w:t>
      </w:r>
      <w:r w:rsidR="00E315C8">
        <w:rPr>
          <w:rFonts w:ascii="Avenir Next" w:hAnsi="Avenir Next" w:cs="Arial"/>
          <w:color w:val="808080" w:themeColor="background1" w:themeShade="80"/>
          <w:sz w:val="22"/>
          <w:szCs w:val="22"/>
          <w:lang w:val="en-GB"/>
        </w:rPr>
        <w:t>prioritised lower than that of general unsecured claims</w:t>
      </w:r>
      <w:r w:rsidR="00F16247">
        <w:rPr>
          <w:rFonts w:ascii="Avenir Next" w:hAnsi="Avenir Next" w:cs="Arial"/>
          <w:color w:val="808080" w:themeColor="background1" w:themeShade="80"/>
          <w:sz w:val="22"/>
          <w:szCs w:val="22"/>
          <w:lang w:val="en-GB"/>
        </w:rPr>
        <w:t>.</w:t>
      </w:r>
    </w:p>
    <w:p w14:paraId="5E868139" w14:textId="77777777" w:rsidR="006E04E4" w:rsidRDefault="006E04E4" w:rsidP="00100E8F">
      <w:pPr>
        <w:ind w:left="720" w:hanging="720"/>
        <w:jc w:val="both"/>
        <w:rPr>
          <w:rFonts w:ascii="Avenir Next" w:hAnsi="Avenir Next" w:cs="Arial"/>
          <w:color w:val="808080" w:themeColor="background1" w:themeShade="80"/>
          <w:sz w:val="22"/>
          <w:szCs w:val="22"/>
          <w:lang w:val="en-GB"/>
        </w:rPr>
      </w:pPr>
    </w:p>
    <w:p w14:paraId="6346C1A4" w14:textId="77777777" w:rsidR="006E04E4" w:rsidRPr="00B77352" w:rsidRDefault="006E04E4" w:rsidP="00100E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24691358" w:rsidR="00867A8F" w:rsidRDefault="00C642CB" w:rsidP="001A36C9">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2 proceedings is that foreign main proceedings is superior </w:t>
      </w:r>
      <w:r w:rsidR="00C330D2">
        <w:rPr>
          <w:rFonts w:ascii="Avenir Next" w:hAnsi="Avenir Next" w:cs="Arial"/>
          <w:color w:val="808080" w:themeColor="background1" w:themeShade="80"/>
          <w:sz w:val="22"/>
          <w:szCs w:val="22"/>
          <w:lang w:val="en-GB"/>
        </w:rPr>
        <w:t>to</w:t>
      </w:r>
      <w:r w:rsidR="00107CB4">
        <w:rPr>
          <w:rFonts w:ascii="Avenir Next" w:hAnsi="Avenir Next" w:cs="Arial"/>
          <w:color w:val="808080" w:themeColor="background1" w:themeShade="80"/>
          <w:sz w:val="22"/>
          <w:szCs w:val="22"/>
          <w:lang w:val="en-GB"/>
        </w:rPr>
        <w:t xml:space="preserve"> foreign non-main proceedings in the hierarchy of proceedings.</w:t>
      </w:r>
      <w:r w:rsidR="00C330D2">
        <w:rPr>
          <w:rFonts w:ascii="Avenir Next" w:hAnsi="Avenir Next" w:cs="Arial"/>
          <w:color w:val="808080" w:themeColor="background1" w:themeShade="80"/>
          <w:sz w:val="22"/>
          <w:szCs w:val="22"/>
          <w:lang w:val="en-GB"/>
        </w:rPr>
        <w:t xml:space="preserve"> This is because any reliefs granted </w:t>
      </w:r>
      <w:r w:rsidR="00967D11">
        <w:rPr>
          <w:rFonts w:ascii="Avenir Next" w:hAnsi="Avenir Next" w:cs="Arial"/>
          <w:color w:val="808080" w:themeColor="background1" w:themeShade="80"/>
          <w:sz w:val="22"/>
          <w:szCs w:val="22"/>
          <w:lang w:val="en-GB"/>
        </w:rPr>
        <w:t xml:space="preserve">under a foreign non-main proceeding must be consistent with the foreign </w:t>
      </w:r>
      <w:r w:rsidR="004F7F3B">
        <w:rPr>
          <w:rFonts w:ascii="Avenir Next" w:hAnsi="Avenir Next" w:cs="Arial"/>
          <w:color w:val="808080" w:themeColor="background1" w:themeShade="80"/>
          <w:sz w:val="22"/>
          <w:szCs w:val="22"/>
          <w:lang w:val="en-GB"/>
        </w:rPr>
        <w:t>main proceedings</w:t>
      </w:r>
      <w:r w:rsidR="00BC259C">
        <w:rPr>
          <w:rFonts w:ascii="Avenir Next" w:hAnsi="Avenir Next" w:cs="Arial"/>
          <w:color w:val="808080" w:themeColor="background1" w:themeShade="80"/>
          <w:sz w:val="22"/>
          <w:szCs w:val="22"/>
          <w:lang w:val="en-GB"/>
        </w:rPr>
        <w:t xml:space="preserve">. Where a foreign non-main proceeding </w:t>
      </w:r>
      <w:r w:rsidR="00B17973">
        <w:rPr>
          <w:rFonts w:ascii="Avenir Next" w:hAnsi="Avenir Next" w:cs="Arial"/>
          <w:color w:val="808080" w:themeColor="background1" w:themeShade="80"/>
          <w:sz w:val="22"/>
          <w:szCs w:val="22"/>
          <w:lang w:val="en-GB"/>
        </w:rPr>
        <w:t xml:space="preserve">is recognised first, any relief granted must be reviewed by court and modified or terminated </w:t>
      </w:r>
      <w:r w:rsidR="001A36C9">
        <w:rPr>
          <w:rFonts w:ascii="Avenir Next" w:hAnsi="Avenir Next" w:cs="Arial"/>
          <w:color w:val="808080" w:themeColor="background1" w:themeShade="80"/>
          <w:sz w:val="22"/>
          <w:szCs w:val="22"/>
          <w:lang w:val="en-GB"/>
        </w:rPr>
        <w:t xml:space="preserve">once the foreign main proceedings are recognised and the reliefs under the non-main proceedings are inconsistent with that of the foreign main proceedings.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18478CD1" w:rsidR="00867A8F" w:rsidRDefault="005053AC" w:rsidP="004B17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in Germany would be the “Foreign Main Proceedings”. This is because </w:t>
      </w:r>
      <w:r w:rsidR="00A04F56">
        <w:rPr>
          <w:rFonts w:ascii="Avenir Next" w:hAnsi="Avenir Next" w:cs="Arial"/>
          <w:color w:val="808080" w:themeColor="background1" w:themeShade="80"/>
          <w:sz w:val="22"/>
          <w:szCs w:val="22"/>
          <w:lang w:val="en-GB"/>
        </w:rPr>
        <w:t xml:space="preserve">the proceedings </w:t>
      </w:r>
      <w:r w:rsidR="0012794D">
        <w:rPr>
          <w:rFonts w:ascii="Avenir Next" w:hAnsi="Avenir Next" w:cs="Arial"/>
          <w:color w:val="808080" w:themeColor="background1" w:themeShade="80"/>
          <w:sz w:val="22"/>
          <w:szCs w:val="22"/>
          <w:lang w:val="en-GB"/>
        </w:rPr>
        <w:t xml:space="preserve">took place in Germany where the debtor has its COMI. </w:t>
      </w:r>
    </w:p>
    <w:p w14:paraId="21F928A3" w14:textId="77777777" w:rsidR="00B03C16" w:rsidRDefault="00B03C16" w:rsidP="004B1750">
      <w:pPr>
        <w:ind w:left="567"/>
        <w:jc w:val="both"/>
        <w:rPr>
          <w:rFonts w:ascii="Avenir Next" w:hAnsi="Avenir Next" w:cs="Arial"/>
          <w:color w:val="808080" w:themeColor="background1" w:themeShade="80"/>
          <w:sz w:val="22"/>
          <w:szCs w:val="22"/>
          <w:lang w:val="en-GB"/>
        </w:rPr>
      </w:pPr>
    </w:p>
    <w:p w14:paraId="759171AC" w14:textId="04590F44" w:rsidR="00B03C16" w:rsidRDefault="00B03C16" w:rsidP="004B17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in Bermuda would then be categorised as a “Foreign Non-Main Proceedings. This is because the proceedings </w:t>
      </w:r>
      <w:r w:rsidR="004B1750">
        <w:rPr>
          <w:rFonts w:ascii="Avenir Next" w:hAnsi="Avenir Next" w:cs="Arial"/>
          <w:color w:val="808080" w:themeColor="background1" w:themeShade="80"/>
          <w:sz w:val="22"/>
          <w:szCs w:val="22"/>
          <w:lang w:val="en-GB"/>
        </w:rPr>
        <w:t>took place in Bermuda where the debtor only has an establishment.</w:t>
      </w:r>
    </w:p>
    <w:p w14:paraId="77AFEE03" w14:textId="328A0A50" w:rsidR="004B1750" w:rsidRDefault="003512EA" w:rsidP="004B17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Where the Foreign Main Proceedings have been opened </w:t>
      </w:r>
      <w:r w:rsidR="00EC008F">
        <w:rPr>
          <w:rFonts w:ascii="Avenir Next" w:hAnsi="Avenir Next" w:cs="Arial"/>
          <w:color w:val="808080" w:themeColor="background1" w:themeShade="80"/>
          <w:sz w:val="22"/>
          <w:szCs w:val="22"/>
          <w:lang w:val="en-GB"/>
        </w:rPr>
        <w:t xml:space="preserve">and recognised </w:t>
      </w:r>
      <w:r>
        <w:rPr>
          <w:rFonts w:ascii="Avenir Next" w:hAnsi="Avenir Next" w:cs="Arial"/>
          <w:color w:val="808080" w:themeColor="background1" w:themeShade="80"/>
          <w:sz w:val="22"/>
          <w:szCs w:val="22"/>
          <w:lang w:val="en-GB"/>
        </w:rPr>
        <w:t xml:space="preserve">in the US, </w:t>
      </w:r>
      <w:r w:rsidR="00EC008F">
        <w:rPr>
          <w:rFonts w:ascii="Avenir Next" w:hAnsi="Avenir Next" w:cs="Arial"/>
          <w:color w:val="808080" w:themeColor="background1" w:themeShade="80"/>
          <w:sz w:val="22"/>
          <w:szCs w:val="22"/>
          <w:lang w:val="en-GB"/>
        </w:rPr>
        <w:t xml:space="preserve">any domestic insolvency proceedings may only be commenced in the US if the debtor </w:t>
      </w:r>
      <w:r w:rsidR="00272AA4">
        <w:rPr>
          <w:rFonts w:ascii="Avenir Next" w:hAnsi="Avenir Next" w:cs="Arial"/>
          <w:color w:val="808080" w:themeColor="background1" w:themeShade="80"/>
          <w:sz w:val="22"/>
          <w:szCs w:val="22"/>
          <w:lang w:val="en-GB"/>
        </w:rPr>
        <w:t>has assets in the US.</w:t>
      </w:r>
      <w:r w:rsidR="00465DE3">
        <w:rPr>
          <w:rFonts w:ascii="Avenir Next" w:hAnsi="Avenir Next" w:cs="Arial"/>
          <w:color w:val="808080" w:themeColor="background1" w:themeShade="80"/>
          <w:sz w:val="22"/>
          <w:szCs w:val="22"/>
          <w:lang w:val="en-GB"/>
        </w:rPr>
        <w:t xml:space="preserve"> In such case where a domestic insolvency proceeding is commenced, any relief granted under the Foreign Main proceedings must be consistent </w:t>
      </w:r>
      <w:r w:rsidR="0045392C">
        <w:rPr>
          <w:rFonts w:ascii="Avenir Next" w:hAnsi="Avenir Next" w:cs="Arial"/>
          <w:color w:val="808080" w:themeColor="background1" w:themeShade="80"/>
          <w:sz w:val="22"/>
          <w:szCs w:val="22"/>
          <w:lang w:val="en-GB"/>
        </w:rPr>
        <w:t xml:space="preserve">with such domestic insolvency proceeding. </w:t>
      </w:r>
    </w:p>
    <w:p w14:paraId="2FDA08D0" w14:textId="77777777" w:rsidR="0045392C" w:rsidRDefault="0045392C" w:rsidP="004B1750">
      <w:pPr>
        <w:ind w:left="567"/>
        <w:jc w:val="both"/>
        <w:rPr>
          <w:rFonts w:ascii="Avenir Next" w:hAnsi="Avenir Next" w:cs="Arial"/>
          <w:color w:val="808080" w:themeColor="background1" w:themeShade="80"/>
          <w:sz w:val="22"/>
          <w:szCs w:val="22"/>
          <w:lang w:val="en-GB"/>
        </w:rPr>
      </w:pPr>
    </w:p>
    <w:p w14:paraId="00950C46" w14:textId="2B374FFA" w:rsidR="0045392C" w:rsidRDefault="0045392C" w:rsidP="004B17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there is no domestic insolvency proceeding commence</w:t>
      </w:r>
      <w:r w:rsidR="00A24D65">
        <w:rPr>
          <w:rFonts w:ascii="Avenir Next" w:hAnsi="Avenir Next" w:cs="Arial"/>
          <w:color w:val="808080" w:themeColor="background1" w:themeShade="80"/>
          <w:sz w:val="22"/>
          <w:szCs w:val="22"/>
          <w:lang w:val="en-GB"/>
        </w:rPr>
        <w:t xml:space="preserve">d in the US, then any reliefs that may be made under the Foreign </w:t>
      </w:r>
      <w:r w:rsidR="00E53987">
        <w:rPr>
          <w:rFonts w:ascii="Avenir Next" w:hAnsi="Avenir Next" w:cs="Arial"/>
          <w:color w:val="808080" w:themeColor="background1" w:themeShade="80"/>
          <w:sz w:val="22"/>
          <w:szCs w:val="22"/>
          <w:lang w:val="en-GB"/>
        </w:rPr>
        <w:t xml:space="preserve">Non-Main Proceedings must be consistent with that of the Foreign Main Proceedings. </w:t>
      </w:r>
    </w:p>
    <w:p w14:paraId="63452BAD" w14:textId="77777777" w:rsidR="00BD1E7F" w:rsidRDefault="00BD1E7F" w:rsidP="004B1750">
      <w:pPr>
        <w:ind w:left="567"/>
        <w:jc w:val="both"/>
        <w:rPr>
          <w:rFonts w:ascii="Avenir Next" w:hAnsi="Avenir Next" w:cs="Arial"/>
          <w:color w:val="808080" w:themeColor="background1" w:themeShade="80"/>
          <w:sz w:val="22"/>
          <w:szCs w:val="22"/>
          <w:lang w:val="en-GB"/>
        </w:rPr>
      </w:pPr>
    </w:p>
    <w:p w14:paraId="521ED20E" w14:textId="77777777" w:rsidR="00BD1E7F" w:rsidRPr="00B77352" w:rsidRDefault="00BD1E7F" w:rsidP="004B1750">
      <w:pPr>
        <w:ind w:left="567"/>
        <w:jc w:val="both"/>
        <w:rPr>
          <w:rFonts w:ascii="Avenir Next" w:hAnsi="Avenir Next" w:cs="Arial"/>
          <w:color w:val="808080" w:themeColor="background1" w:themeShade="80"/>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1508DFB" w:rsidR="00867A8F" w:rsidRDefault="006F51FA" w:rsidP="0014777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foreign proceedings in the US have not been recognised yet, whether as a main or non-main proceeding, </w:t>
      </w:r>
      <w:r w:rsidR="009E4026">
        <w:rPr>
          <w:rFonts w:ascii="Avenir Next" w:hAnsi="Avenir Next" w:cs="Arial"/>
          <w:color w:val="808080" w:themeColor="background1" w:themeShade="80"/>
          <w:sz w:val="22"/>
          <w:szCs w:val="22"/>
          <w:lang w:val="en-GB"/>
        </w:rPr>
        <w:t xml:space="preserve">the legal action and discovery application </w:t>
      </w:r>
      <w:r w:rsidR="00D227F7">
        <w:rPr>
          <w:rFonts w:ascii="Avenir Next" w:hAnsi="Avenir Next" w:cs="Arial"/>
          <w:color w:val="808080" w:themeColor="background1" w:themeShade="80"/>
          <w:sz w:val="22"/>
          <w:szCs w:val="22"/>
          <w:lang w:val="en-GB"/>
        </w:rPr>
        <w:t xml:space="preserve">served on the Joint provisional liquidators </w:t>
      </w:r>
      <w:r w:rsidR="002F2D44">
        <w:rPr>
          <w:rFonts w:ascii="Avenir Next" w:hAnsi="Avenir Next" w:cs="Arial"/>
          <w:color w:val="808080" w:themeColor="background1" w:themeShade="80"/>
          <w:sz w:val="22"/>
          <w:szCs w:val="22"/>
          <w:lang w:val="en-GB"/>
        </w:rPr>
        <w:t>would not be automatically stayed.</w:t>
      </w:r>
      <w:r w:rsidR="00023A13">
        <w:rPr>
          <w:rFonts w:ascii="Avenir Next" w:hAnsi="Avenir Next" w:cs="Arial"/>
          <w:color w:val="808080" w:themeColor="background1" w:themeShade="80"/>
          <w:sz w:val="22"/>
          <w:szCs w:val="22"/>
          <w:lang w:val="en-GB"/>
        </w:rPr>
        <w:t xml:space="preserve"> Neither can the Joint provisional liquidators apply for any interim relief to stay those legal action pending disposal of the recognition application. This is because</w:t>
      </w:r>
      <w:r w:rsidR="00147770">
        <w:rPr>
          <w:rFonts w:ascii="Avenir Next" w:hAnsi="Avenir Next" w:cs="Arial"/>
          <w:color w:val="808080" w:themeColor="background1" w:themeShade="80"/>
          <w:sz w:val="22"/>
          <w:szCs w:val="22"/>
          <w:lang w:val="en-GB"/>
        </w:rPr>
        <w:t>:</w:t>
      </w:r>
    </w:p>
    <w:p w14:paraId="3B3FA08E" w14:textId="77777777" w:rsidR="00147770" w:rsidRDefault="00147770" w:rsidP="00147770">
      <w:pPr>
        <w:ind w:left="567"/>
        <w:jc w:val="both"/>
        <w:rPr>
          <w:rFonts w:ascii="Avenir Next" w:hAnsi="Avenir Next" w:cs="Arial"/>
          <w:color w:val="808080" w:themeColor="background1" w:themeShade="80"/>
          <w:sz w:val="22"/>
          <w:szCs w:val="22"/>
          <w:lang w:val="en-GB"/>
        </w:rPr>
      </w:pPr>
    </w:p>
    <w:p w14:paraId="62A684FD" w14:textId="7CB3A99C" w:rsidR="00147770" w:rsidRDefault="00C336FD" w:rsidP="00147770">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8C4B3A">
        <w:rPr>
          <w:rFonts w:ascii="Avenir Next" w:hAnsi="Avenir Next" w:cs="Arial"/>
          <w:color w:val="808080" w:themeColor="background1" w:themeShade="80"/>
          <w:sz w:val="22"/>
          <w:szCs w:val="22"/>
          <w:lang w:val="en-GB"/>
        </w:rPr>
        <w:t xml:space="preserve"> interim relief</w:t>
      </w:r>
      <w:r>
        <w:rPr>
          <w:rFonts w:ascii="Avenir Next" w:hAnsi="Avenir Next" w:cs="Arial"/>
          <w:color w:val="808080" w:themeColor="background1" w:themeShade="80"/>
          <w:sz w:val="22"/>
          <w:szCs w:val="22"/>
          <w:lang w:val="en-GB"/>
        </w:rPr>
        <w:t>s</w:t>
      </w:r>
      <w:r w:rsidR="008C4B3A">
        <w:rPr>
          <w:rFonts w:ascii="Avenir Next" w:hAnsi="Avenir Next" w:cs="Arial"/>
          <w:color w:val="808080" w:themeColor="background1" w:themeShade="80"/>
          <w:sz w:val="22"/>
          <w:szCs w:val="22"/>
          <w:lang w:val="en-GB"/>
        </w:rPr>
        <w:t xml:space="preserve"> which the Joint provisional liquidators may apply only relate to a stay of execution of the debtor’s assets, </w:t>
      </w:r>
      <w:r w:rsidR="008A066C">
        <w:rPr>
          <w:rFonts w:ascii="Avenir Next" w:hAnsi="Avenir Next" w:cs="Arial"/>
          <w:color w:val="808080" w:themeColor="background1" w:themeShade="80"/>
          <w:sz w:val="22"/>
          <w:szCs w:val="22"/>
          <w:lang w:val="en-GB"/>
        </w:rPr>
        <w:t>entrusting the administration or realisation of all/part of the debtor’s assets located in the state to the foreign representative</w:t>
      </w:r>
      <w:r w:rsidR="0042196D">
        <w:rPr>
          <w:rFonts w:ascii="Avenir Next" w:hAnsi="Avenir Next" w:cs="Arial"/>
          <w:color w:val="808080" w:themeColor="background1" w:themeShade="80"/>
          <w:sz w:val="22"/>
          <w:szCs w:val="22"/>
          <w:lang w:val="en-GB"/>
        </w:rPr>
        <w:t>, or any relief in paragraph 1(c), (d) and (g) of Article 21 of the MLCBI.</w:t>
      </w:r>
    </w:p>
    <w:p w14:paraId="331E9C8E" w14:textId="77777777" w:rsidR="0042196D" w:rsidRDefault="0042196D" w:rsidP="0042196D">
      <w:pPr>
        <w:pStyle w:val="ListParagraph"/>
        <w:ind w:left="927"/>
        <w:jc w:val="both"/>
        <w:rPr>
          <w:rFonts w:ascii="Avenir Next" w:hAnsi="Avenir Next" w:cs="Arial"/>
          <w:color w:val="808080" w:themeColor="background1" w:themeShade="80"/>
          <w:sz w:val="22"/>
          <w:szCs w:val="22"/>
          <w:lang w:val="en-GB"/>
        </w:rPr>
      </w:pPr>
    </w:p>
    <w:p w14:paraId="01771455" w14:textId="12357EB1" w:rsidR="0042196D" w:rsidRPr="00147770" w:rsidRDefault="004B74D8" w:rsidP="00147770">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in</w:t>
      </w:r>
      <w:r w:rsidR="00800ED8">
        <w:rPr>
          <w:rFonts w:ascii="Avenir Next" w:hAnsi="Avenir Next" w:cs="Arial"/>
          <w:color w:val="808080" w:themeColor="background1" w:themeShade="80"/>
          <w:sz w:val="22"/>
          <w:szCs w:val="22"/>
          <w:lang w:val="en-GB"/>
        </w:rPr>
        <w:t xml:space="preserve">dividual legal actions concerning the debtor’s assets, rights, </w:t>
      </w:r>
      <w:proofErr w:type="gramStart"/>
      <w:r w:rsidR="00800ED8">
        <w:rPr>
          <w:rFonts w:ascii="Avenir Next" w:hAnsi="Avenir Next" w:cs="Arial"/>
          <w:color w:val="808080" w:themeColor="background1" w:themeShade="80"/>
          <w:sz w:val="22"/>
          <w:szCs w:val="22"/>
          <w:lang w:val="en-GB"/>
        </w:rPr>
        <w:t>obligations</w:t>
      </w:r>
      <w:proofErr w:type="gramEnd"/>
      <w:r w:rsidR="00800ED8">
        <w:rPr>
          <w:rFonts w:ascii="Avenir Next" w:hAnsi="Avenir Next" w:cs="Arial"/>
          <w:color w:val="808080" w:themeColor="background1" w:themeShade="80"/>
          <w:sz w:val="22"/>
          <w:szCs w:val="22"/>
          <w:lang w:val="en-GB"/>
        </w:rPr>
        <w:t xml:space="preserve"> or liabilities would only be stayed upon recognition of a foreign proceeding</w:t>
      </w:r>
      <w:r w:rsidR="00CE76C7">
        <w:rPr>
          <w:rFonts w:ascii="Avenir Next" w:hAnsi="Avenir Next" w:cs="Arial"/>
          <w:color w:val="808080" w:themeColor="background1" w:themeShade="80"/>
          <w:sz w:val="22"/>
          <w:szCs w:val="22"/>
          <w:lang w:val="en-GB"/>
        </w:rPr>
        <w:t>.</w:t>
      </w:r>
    </w:p>
    <w:p w14:paraId="38A7A719" w14:textId="2B0B7A7E" w:rsidR="00147770" w:rsidRPr="00B77352" w:rsidRDefault="00147770" w:rsidP="00867A8F">
      <w:pPr>
        <w:ind w:left="720" w:hanging="720"/>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7D408F3" w14:textId="2111D802" w:rsidR="009E1355" w:rsidRDefault="0041462A" w:rsidP="005760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consider applying for interim relief </w:t>
      </w:r>
      <w:proofErr w:type="gramStart"/>
      <w:r w:rsidR="00813B58">
        <w:rPr>
          <w:rFonts w:ascii="Avenir Next" w:hAnsi="Avenir Next" w:cs="Arial"/>
          <w:color w:val="808080" w:themeColor="background1" w:themeShade="80"/>
          <w:sz w:val="22"/>
          <w:szCs w:val="22"/>
          <w:lang w:val="en-GB"/>
        </w:rPr>
        <w:t>in the nature of entrusting</w:t>
      </w:r>
      <w:proofErr w:type="gramEnd"/>
      <w:r w:rsidR="00813B58">
        <w:rPr>
          <w:rFonts w:ascii="Avenir Next" w:hAnsi="Avenir Next" w:cs="Arial"/>
          <w:color w:val="808080" w:themeColor="background1" w:themeShade="80"/>
          <w:sz w:val="22"/>
          <w:szCs w:val="22"/>
          <w:lang w:val="en-GB"/>
        </w:rPr>
        <w:t xml:space="preserve"> the administration or realisation of all or part of the debtor’s assets located in the US to the foreign representative.</w:t>
      </w:r>
    </w:p>
    <w:p w14:paraId="2D10BD79" w14:textId="77777777" w:rsidR="00216C97" w:rsidRDefault="00216C97" w:rsidP="00576050">
      <w:pPr>
        <w:ind w:left="567"/>
        <w:jc w:val="both"/>
        <w:rPr>
          <w:rFonts w:ascii="Avenir Next" w:hAnsi="Avenir Next" w:cs="Arial"/>
          <w:color w:val="808080" w:themeColor="background1" w:themeShade="80"/>
          <w:sz w:val="22"/>
          <w:szCs w:val="22"/>
          <w:lang w:val="en-GB"/>
        </w:rPr>
      </w:pPr>
    </w:p>
    <w:p w14:paraId="4AE9AAFE" w14:textId="579D6E5C" w:rsidR="00216C97" w:rsidRDefault="00216C97" w:rsidP="005760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doing so, the foreign representative can have control over the debtor’s assets </w:t>
      </w:r>
      <w:r w:rsidR="00C0212F">
        <w:rPr>
          <w:rFonts w:ascii="Avenir Next" w:hAnsi="Avenir Next" w:cs="Arial"/>
          <w:color w:val="808080" w:themeColor="background1" w:themeShade="80"/>
          <w:sz w:val="22"/>
          <w:szCs w:val="22"/>
          <w:lang w:val="en-GB"/>
        </w:rPr>
        <w:t xml:space="preserve">and to take steps to ensure that the relevant </w:t>
      </w:r>
      <w:r w:rsidR="00C0212F" w:rsidRPr="00576050">
        <w:rPr>
          <w:rFonts w:ascii="Avenir Next" w:hAnsi="Avenir Next" w:cs="Arial"/>
          <w:i/>
          <w:iCs/>
          <w:color w:val="808080" w:themeColor="background1" w:themeShade="80"/>
          <w:sz w:val="22"/>
          <w:szCs w:val="22"/>
          <w:lang w:val="en-GB"/>
        </w:rPr>
        <w:t>ipso facto</w:t>
      </w:r>
      <w:r w:rsidR="00C0212F">
        <w:rPr>
          <w:rFonts w:ascii="Avenir Next" w:hAnsi="Avenir Next" w:cs="Arial"/>
          <w:color w:val="808080" w:themeColor="background1" w:themeShade="80"/>
          <w:sz w:val="22"/>
          <w:szCs w:val="22"/>
          <w:lang w:val="en-GB"/>
        </w:rPr>
        <w:t xml:space="preserve"> clauses are not exercised. </w:t>
      </w:r>
    </w:p>
    <w:p w14:paraId="0059DEE9" w14:textId="77777777" w:rsidR="00C0212F" w:rsidRDefault="00C0212F" w:rsidP="00576050">
      <w:pPr>
        <w:ind w:left="567"/>
        <w:jc w:val="both"/>
        <w:rPr>
          <w:rFonts w:ascii="Avenir Next" w:hAnsi="Avenir Next" w:cs="Arial"/>
          <w:color w:val="808080" w:themeColor="background1" w:themeShade="80"/>
          <w:sz w:val="22"/>
          <w:szCs w:val="22"/>
          <w:lang w:val="en-GB"/>
        </w:rPr>
      </w:pPr>
    </w:p>
    <w:p w14:paraId="4DFC6E4C" w14:textId="76784CFC" w:rsidR="00C0212F" w:rsidRPr="00DC276E" w:rsidRDefault="00C0212F" w:rsidP="0057605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such clauses may not be enforceable in the US, the</w:t>
      </w:r>
      <w:r w:rsidR="00AD0D2D">
        <w:rPr>
          <w:rFonts w:ascii="Avenir Next" w:hAnsi="Avenir Next" w:cs="Arial"/>
          <w:color w:val="808080" w:themeColor="background1" w:themeShade="80"/>
          <w:sz w:val="22"/>
          <w:szCs w:val="22"/>
          <w:lang w:val="en-GB"/>
        </w:rPr>
        <w:t xml:space="preserve">re is a risk that such clause may be exercised </w:t>
      </w:r>
      <w:r w:rsidR="00DC276E">
        <w:rPr>
          <w:rFonts w:ascii="Avenir Next" w:hAnsi="Avenir Next" w:cs="Arial"/>
          <w:color w:val="808080" w:themeColor="background1" w:themeShade="80"/>
          <w:sz w:val="22"/>
          <w:szCs w:val="22"/>
          <w:lang w:val="en-GB"/>
        </w:rPr>
        <w:t xml:space="preserve">nevertheless which may jeopardize the restructuring proceeding in the UK, particularly when such </w:t>
      </w:r>
      <w:r w:rsidR="00DC276E">
        <w:rPr>
          <w:rFonts w:ascii="Avenir Next" w:hAnsi="Avenir Next" w:cs="Arial"/>
          <w:i/>
          <w:iCs/>
          <w:color w:val="808080" w:themeColor="background1" w:themeShade="80"/>
          <w:sz w:val="22"/>
          <w:szCs w:val="22"/>
          <w:lang w:val="en-GB"/>
        </w:rPr>
        <w:t xml:space="preserve">ipso facto </w:t>
      </w:r>
      <w:r w:rsidR="00DC276E">
        <w:rPr>
          <w:rFonts w:ascii="Avenir Next" w:hAnsi="Avenir Next" w:cs="Arial"/>
          <w:color w:val="808080" w:themeColor="background1" w:themeShade="80"/>
          <w:sz w:val="22"/>
          <w:szCs w:val="22"/>
          <w:lang w:val="en-GB"/>
        </w:rPr>
        <w:t>clauses are valid and enforceable in the UK.</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66B07F03"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4C480BD0" w14:textId="011AE56B" w:rsidR="00AB2F42" w:rsidRDefault="00AB2F42" w:rsidP="00A77C17">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consider appealing against the denial to recognise the foreign proceeding as a foreign main proceeding.</w:t>
      </w:r>
    </w:p>
    <w:p w14:paraId="4B22F234" w14:textId="77777777" w:rsidR="00AB2F42" w:rsidRDefault="00AB2F42" w:rsidP="00A77C17">
      <w:pPr>
        <w:ind w:left="567"/>
        <w:jc w:val="both"/>
        <w:rPr>
          <w:rFonts w:ascii="Avenir Next" w:hAnsi="Avenir Next" w:cs="Arial"/>
          <w:color w:val="808080" w:themeColor="background1" w:themeShade="80"/>
          <w:sz w:val="22"/>
          <w:szCs w:val="22"/>
          <w:lang w:val="en-GB"/>
        </w:rPr>
      </w:pPr>
    </w:p>
    <w:p w14:paraId="55D111B1" w14:textId="38C5C2EF" w:rsidR="00867A8F" w:rsidRDefault="00AB2F42" w:rsidP="00A77C17">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alternative, t</w:t>
      </w:r>
      <w:r w:rsidR="000624C6">
        <w:rPr>
          <w:rFonts w:ascii="Avenir Next" w:hAnsi="Avenir Next" w:cs="Arial"/>
          <w:color w:val="808080" w:themeColor="background1" w:themeShade="80"/>
          <w:sz w:val="22"/>
          <w:szCs w:val="22"/>
          <w:lang w:val="en-GB"/>
        </w:rPr>
        <w:t xml:space="preserve">he foreign representative should </w:t>
      </w:r>
      <w:r w:rsidR="001974D3">
        <w:rPr>
          <w:rFonts w:ascii="Avenir Next" w:hAnsi="Avenir Next" w:cs="Arial"/>
          <w:color w:val="808080" w:themeColor="background1" w:themeShade="80"/>
          <w:sz w:val="22"/>
          <w:szCs w:val="22"/>
          <w:lang w:val="en-GB"/>
        </w:rPr>
        <w:t xml:space="preserve">reapply to the insolvency court of Country B but this time to recognise the foreign proceeding </w:t>
      </w:r>
      <w:r w:rsidR="00CF470C">
        <w:rPr>
          <w:rFonts w:ascii="Avenir Next" w:hAnsi="Avenir Next" w:cs="Arial"/>
          <w:color w:val="808080" w:themeColor="background1" w:themeShade="80"/>
          <w:sz w:val="22"/>
          <w:szCs w:val="22"/>
          <w:lang w:val="en-GB"/>
        </w:rPr>
        <w:t xml:space="preserve">that is pending in Country A </w:t>
      </w:r>
      <w:r w:rsidR="001974D3">
        <w:rPr>
          <w:rFonts w:ascii="Avenir Next" w:hAnsi="Avenir Next" w:cs="Arial"/>
          <w:color w:val="808080" w:themeColor="background1" w:themeShade="80"/>
          <w:sz w:val="22"/>
          <w:szCs w:val="22"/>
          <w:lang w:val="en-GB"/>
        </w:rPr>
        <w:t>as a “Foreign Non-Main Proceeding”</w:t>
      </w:r>
      <w:r w:rsidR="00E419B4">
        <w:rPr>
          <w:rFonts w:ascii="Avenir Next" w:hAnsi="Avenir Next" w:cs="Arial"/>
          <w:color w:val="808080" w:themeColor="background1" w:themeShade="80"/>
          <w:sz w:val="22"/>
          <w:szCs w:val="22"/>
          <w:lang w:val="en-GB"/>
        </w:rPr>
        <w:t>.</w:t>
      </w:r>
      <w:r w:rsidR="001974D3">
        <w:rPr>
          <w:rFonts w:ascii="Avenir Next" w:hAnsi="Avenir Next" w:cs="Arial"/>
          <w:color w:val="808080" w:themeColor="background1" w:themeShade="80"/>
          <w:sz w:val="22"/>
          <w:szCs w:val="22"/>
          <w:lang w:val="en-GB"/>
        </w:rPr>
        <w:t xml:space="preserve"> This is because </w:t>
      </w:r>
      <w:r w:rsidR="00B86D8D">
        <w:rPr>
          <w:rFonts w:ascii="Avenir Next" w:hAnsi="Avenir Next" w:cs="Arial"/>
          <w:color w:val="808080" w:themeColor="background1" w:themeShade="80"/>
          <w:sz w:val="22"/>
          <w:szCs w:val="22"/>
          <w:lang w:val="en-GB"/>
        </w:rPr>
        <w:t xml:space="preserve">the foreign debtor does not have much in Country A and it </w:t>
      </w:r>
      <w:r w:rsidR="00DD5CEF">
        <w:rPr>
          <w:rFonts w:ascii="Avenir Next" w:hAnsi="Avenir Next" w:cs="Arial"/>
          <w:color w:val="808080" w:themeColor="background1" w:themeShade="80"/>
          <w:sz w:val="22"/>
          <w:szCs w:val="22"/>
          <w:lang w:val="en-GB"/>
        </w:rPr>
        <w:t xml:space="preserve">may be </w:t>
      </w:r>
      <w:r w:rsidR="00222DC5">
        <w:rPr>
          <w:rFonts w:ascii="Avenir Next" w:hAnsi="Avenir Next" w:cs="Arial"/>
          <w:color w:val="808080" w:themeColor="background1" w:themeShade="80"/>
          <w:sz w:val="22"/>
          <w:szCs w:val="22"/>
          <w:lang w:val="en-GB"/>
        </w:rPr>
        <w:t>considered to only have an establishment in Country A</w:t>
      </w:r>
      <w:r w:rsidR="000713DF">
        <w:rPr>
          <w:rFonts w:ascii="Avenir Next" w:hAnsi="Avenir Next" w:cs="Arial"/>
          <w:color w:val="808080" w:themeColor="background1" w:themeShade="80"/>
          <w:sz w:val="22"/>
          <w:szCs w:val="22"/>
          <w:lang w:val="en-GB"/>
        </w:rPr>
        <w:t>.</w:t>
      </w:r>
    </w:p>
    <w:p w14:paraId="0782D630" w14:textId="77777777" w:rsidR="00E419B4" w:rsidRDefault="00E419B4" w:rsidP="00A77C17">
      <w:pPr>
        <w:ind w:left="567"/>
        <w:jc w:val="both"/>
        <w:rPr>
          <w:rFonts w:ascii="Avenir Next" w:hAnsi="Avenir Next" w:cs="Arial"/>
          <w:color w:val="808080" w:themeColor="background1" w:themeShade="80"/>
          <w:sz w:val="22"/>
          <w:szCs w:val="22"/>
          <w:lang w:val="en-GB"/>
        </w:rPr>
      </w:pPr>
    </w:p>
    <w:p w14:paraId="0A4D9B76" w14:textId="0AC041B5" w:rsidR="00E419B4" w:rsidRDefault="00346173" w:rsidP="00A77C17">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also consider applying for interim relief </w:t>
      </w:r>
      <w:r w:rsidR="00555D88">
        <w:rPr>
          <w:rFonts w:ascii="Avenir Next" w:hAnsi="Avenir Next" w:cs="Arial"/>
          <w:color w:val="808080" w:themeColor="background1" w:themeShade="80"/>
          <w:sz w:val="22"/>
          <w:szCs w:val="22"/>
          <w:lang w:val="en-GB"/>
        </w:rPr>
        <w:t xml:space="preserve">to protect the assets of the foreign debtor pending disposal of the recognition application. </w:t>
      </w:r>
    </w:p>
    <w:p w14:paraId="2BBED704" w14:textId="77777777" w:rsidR="00E8602E" w:rsidRDefault="00E8602E" w:rsidP="00A77C17">
      <w:pPr>
        <w:ind w:left="567"/>
        <w:jc w:val="both"/>
        <w:rPr>
          <w:rFonts w:ascii="Avenir Next" w:hAnsi="Avenir Next" w:cs="Arial"/>
          <w:color w:val="808080" w:themeColor="background1" w:themeShade="80"/>
          <w:sz w:val="22"/>
          <w:szCs w:val="22"/>
          <w:lang w:val="en-GB"/>
        </w:rPr>
      </w:pPr>
    </w:p>
    <w:p w14:paraId="14DB0234" w14:textId="0072554C" w:rsidR="00E8602E" w:rsidRDefault="00E8602E" w:rsidP="00A77C17">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so far as what the foreign representative should have done at the outset, the foreign representative should have </w:t>
      </w:r>
      <w:r w:rsidR="00FB1150">
        <w:rPr>
          <w:rFonts w:ascii="Avenir Next" w:hAnsi="Avenir Next" w:cs="Arial"/>
          <w:color w:val="808080" w:themeColor="background1" w:themeShade="80"/>
          <w:sz w:val="22"/>
          <w:szCs w:val="22"/>
          <w:lang w:val="en-GB"/>
        </w:rPr>
        <w:t xml:space="preserve">highlighted to the court of Country B of the </w:t>
      </w:r>
      <w:r w:rsidR="004734E1">
        <w:rPr>
          <w:rFonts w:ascii="Avenir Next" w:hAnsi="Avenir Next" w:cs="Arial"/>
          <w:color w:val="808080" w:themeColor="background1" w:themeShade="80"/>
          <w:sz w:val="22"/>
          <w:szCs w:val="22"/>
          <w:lang w:val="en-GB"/>
        </w:rPr>
        <w:t xml:space="preserve">“Presumption concerning recognition”, whereby the foreign debtor’s registered address </w:t>
      </w:r>
      <w:r w:rsidR="009C6B94">
        <w:rPr>
          <w:rFonts w:ascii="Avenir Next" w:hAnsi="Avenir Next" w:cs="Arial"/>
          <w:color w:val="808080" w:themeColor="background1" w:themeShade="80"/>
          <w:sz w:val="22"/>
          <w:szCs w:val="22"/>
          <w:lang w:val="en-GB"/>
        </w:rPr>
        <w:t xml:space="preserve">is presumed to be the foreign debtor’s centre of main interest unless there are any proof to the contrary. </w:t>
      </w:r>
      <w:r w:rsidR="00554F55">
        <w:rPr>
          <w:rFonts w:ascii="Avenir Next" w:hAnsi="Avenir Next" w:cs="Arial"/>
          <w:color w:val="808080" w:themeColor="background1" w:themeShade="80"/>
          <w:sz w:val="22"/>
          <w:szCs w:val="22"/>
          <w:lang w:val="en-GB"/>
        </w:rPr>
        <w:t xml:space="preserve">In such case where there are no proof to the contrary, the foreign representative could have argued that </w:t>
      </w:r>
      <w:proofErr w:type="gramStart"/>
      <w:r w:rsidR="00554F55">
        <w:rPr>
          <w:rFonts w:ascii="Avenir Next" w:hAnsi="Avenir Next" w:cs="Arial"/>
          <w:color w:val="808080" w:themeColor="background1" w:themeShade="80"/>
          <w:sz w:val="22"/>
          <w:szCs w:val="22"/>
          <w:lang w:val="en-GB"/>
        </w:rPr>
        <w:t xml:space="preserve">Country </w:t>
      </w:r>
      <w:r w:rsidR="00A77C17">
        <w:rPr>
          <w:rFonts w:ascii="Avenir Next" w:hAnsi="Avenir Next" w:cs="Arial"/>
          <w:color w:val="808080" w:themeColor="background1" w:themeShade="80"/>
          <w:sz w:val="22"/>
          <w:szCs w:val="22"/>
          <w:lang w:val="en-GB"/>
        </w:rPr>
        <w:t xml:space="preserve"> A</w:t>
      </w:r>
      <w:proofErr w:type="gramEnd"/>
      <w:r w:rsidR="00A77C17">
        <w:rPr>
          <w:rFonts w:ascii="Avenir Next" w:hAnsi="Avenir Next" w:cs="Arial"/>
          <w:color w:val="808080" w:themeColor="background1" w:themeShade="80"/>
          <w:sz w:val="22"/>
          <w:szCs w:val="22"/>
          <w:lang w:val="en-GB"/>
        </w:rPr>
        <w:t xml:space="preserve"> is the centre of main interest of the foreign debtor, and the foreign proceedings in Country A should be regarded and recognised as the foreign main proceeding. </w:t>
      </w:r>
    </w:p>
    <w:p w14:paraId="0032B443" w14:textId="77777777" w:rsidR="00DE3A08" w:rsidRDefault="00DE3A08" w:rsidP="00867A8F">
      <w:pPr>
        <w:ind w:left="720" w:hanging="720"/>
        <w:jc w:val="both"/>
        <w:rPr>
          <w:rFonts w:ascii="Avenir Next" w:hAnsi="Avenir Next" w:cs="Arial"/>
          <w:color w:val="808080" w:themeColor="background1" w:themeShade="80"/>
          <w:sz w:val="22"/>
          <w:szCs w:val="22"/>
          <w:lang w:val="en-GB"/>
        </w:rPr>
      </w:pPr>
    </w:p>
    <w:p w14:paraId="3272C028" w14:textId="77777777" w:rsidR="00DE3A08" w:rsidRPr="00B77352" w:rsidRDefault="00DE3A08" w:rsidP="00867A8F">
      <w:pPr>
        <w:ind w:left="720" w:hanging="720"/>
        <w:jc w:val="both"/>
        <w:rPr>
          <w:rFonts w:ascii="Avenir Next" w:hAnsi="Avenir Next" w:cs="Arial"/>
          <w:color w:val="808080" w:themeColor="background1" w:themeShade="80"/>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w:t>
      </w:r>
      <w:r w:rsidRPr="00E61F6E">
        <w:rPr>
          <w:rFonts w:ascii="Avenir Next" w:hAnsi="Avenir Next"/>
          <w:sz w:val="22"/>
          <w:szCs w:val="28"/>
        </w:rPr>
        <w:lastRenderedPageBreak/>
        <w:t xml:space="preserve">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w:t>
      </w:r>
      <w:r w:rsidRPr="00E61F6E">
        <w:rPr>
          <w:rFonts w:ascii="Avenir Next" w:hAnsi="Avenir Next"/>
          <w:sz w:val="22"/>
          <w:szCs w:val="28"/>
        </w:rPr>
        <w:lastRenderedPageBreak/>
        <w:t>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F738A34" w14:textId="33B3C30B" w:rsidR="002452FF" w:rsidRDefault="002452FF" w:rsidP="002452FF">
      <w:pPr>
        <w:ind w:left="567"/>
        <w:jc w:val="both"/>
        <w:rPr>
          <w:rFonts w:ascii="Avenir Next" w:hAnsi="Avenir Next"/>
          <w:color w:val="808080" w:themeColor="background1" w:themeShade="80"/>
          <w:sz w:val="22"/>
          <w:szCs w:val="28"/>
        </w:rPr>
      </w:pPr>
      <w:r w:rsidRPr="002452FF">
        <w:rPr>
          <w:rFonts w:ascii="Avenir Next" w:hAnsi="Avenir Next"/>
          <w:color w:val="808080" w:themeColor="background1" w:themeShade="80"/>
          <w:sz w:val="22"/>
          <w:szCs w:val="28"/>
        </w:rPr>
        <w:t>This question will be answered in 3 parts.</w:t>
      </w:r>
    </w:p>
    <w:p w14:paraId="3F016845" w14:textId="77777777" w:rsidR="002452FF" w:rsidRDefault="002452FF" w:rsidP="002452FF">
      <w:pPr>
        <w:ind w:left="567"/>
        <w:jc w:val="both"/>
        <w:rPr>
          <w:rFonts w:ascii="Avenir Next" w:hAnsi="Avenir Next"/>
          <w:color w:val="808080" w:themeColor="background1" w:themeShade="80"/>
          <w:sz w:val="22"/>
          <w:szCs w:val="28"/>
        </w:rPr>
      </w:pPr>
    </w:p>
    <w:p w14:paraId="7EE09F77" w14:textId="32A073BA" w:rsidR="002452FF" w:rsidRPr="002452FF" w:rsidRDefault="002452FF" w:rsidP="009B4010">
      <w:pPr>
        <w:ind w:left="284"/>
        <w:jc w:val="both"/>
        <w:rPr>
          <w:rFonts w:ascii="Avenir Next" w:hAnsi="Avenir Next"/>
          <w:b/>
          <w:bCs/>
          <w:color w:val="808080" w:themeColor="background1" w:themeShade="80"/>
          <w:sz w:val="22"/>
          <w:szCs w:val="28"/>
          <w:u w:val="single"/>
        </w:rPr>
      </w:pPr>
      <w:r w:rsidRPr="002452FF">
        <w:rPr>
          <w:rFonts w:ascii="Avenir Next" w:hAnsi="Avenir Next"/>
          <w:b/>
          <w:bCs/>
          <w:color w:val="808080" w:themeColor="background1" w:themeShade="80"/>
          <w:sz w:val="22"/>
          <w:szCs w:val="28"/>
          <w:u w:val="single"/>
        </w:rPr>
        <w:t>Part A – Determination of COMI</w:t>
      </w:r>
    </w:p>
    <w:p w14:paraId="6385947B" w14:textId="77777777" w:rsidR="002452FF" w:rsidRDefault="002452FF" w:rsidP="009E3CA7">
      <w:pPr>
        <w:jc w:val="both"/>
        <w:rPr>
          <w:rFonts w:ascii="Avenir Next" w:hAnsi="Avenir Next"/>
          <w:sz w:val="22"/>
          <w:szCs w:val="28"/>
        </w:rPr>
      </w:pPr>
    </w:p>
    <w:p w14:paraId="1C3E1AEC" w14:textId="77777777" w:rsidR="00DE7216" w:rsidRDefault="00DE7216"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must be</w:t>
      </w:r>
      <w:r w:rsidR="00BB108F">
        <w:rPr>
          <w:rFonts w:ascii="Avenir Next" w:hAnsi="Avenir Next"/>
          <w:color w:val="808080" w:themeColor="background1" w:themeShade="80"/>
          <w:sz w:val="22"/>
          <w:szCs w:val="28"/>
        </w:rPr>
        <w:t xml:space="preserve"> first determine</w:t>
      </w:r>
      <w:r>
        <w:rPr>
          <w:rFonts w:ascii="Avenir Next" w:hAnsi="Avenir Next"/>
          <w:color w:val="808080" w:themeColor="background1" w:themeShade="80"/>
          <w:sz w:val="22"/>
          <w:szCs w:val="28"/>
        </w:rPr>
        <w:t>d</w:t>
      </w:r>
      <w:r w:rsidR="00BB108F">
        <w:rPr>
          <w:rFonts w:ascii="Avenir Next" w:hAnsi="Avenir Next"/>
          <w:color w:val="808080" w:themeColor="background1" w:themeShade="80"/>
          <w:sz w:val="22"/>
          <w:szCs w:val="28"/>
        </w:rPr>
        <w:t xml:space="preserve"> whether the Cayman Islands is Globe Holdings’ </w:t>
      </w:r>
      <w:proofErr w:type="spellStart"/>
      <w:r w:rsidR="00A9775B">
        <w:rPr>
          <w:rFonts w:ascii="Avenir Next" w:hAnsi="Avenir Next"/>
          <w:color w:val="808080" w:themeColor="background1" w:themeShade="80"/>
          <w:sz w:val="22"/>
          <w:szCs w:val="28"/>
        </w:rPr>
        <w:t>cent</w:t>
      </w:r>
      <w:r w:rsidR="009B2430">
        <w:rPr>
          <w:rFonts w:ascii="Avenir Next" w:hAnsi="Avenir Next"/>
          <w:color w:val="808080" w:themeColor="background1" w:themeShade="80"/>
          <w:sz w:val="22"/>
          <w:szCs w:val="28"/>
        </w:rPr>
        <w:t>re</w:t>
      </w:r>
      <w:proofErr w:type="spellEnd"/>
      <w:r w:rsidR="00BB108F">
        <w:rPr>
          <w:rFonts w:ascii="Avenir Next" w:hAnsi="Avenir Next"/>
          <w:color w:val="808080" w:themeColor="background1" w:themeShade="80"/>
          <w:sz w:val="22"/>
          <w:szCs w:val="28"/>
        </w:rPr>
        <w:t xml:space="preserve"> of main interest </w:t>
      </w:r>
      <w:r w:rsidR="00A9775B">
        <w:rPr>
          <w:rFonts w:ascii="Avenir Next" w:hAnsi="Avenir Next"/>
          <w:color w:val="808080" w:themeColor="background1" w:themeShade="80"/>
          <w:sz w:val="22"/>
          <w:szCs w:val="28"/>
        </w:rPr>
        <w:t>(“</w:t>
      </w:r>
      <w:r w:rsidR="00A9775B" w:rsidRPr="000B135F">
        <w:rPr>
          <w:rFonts w:ascii="Avenir Next" w:hAnsi="Avenir Next"/>
          <w:b/>
          <w:bCs/>
          <w:color w:val="808080" w:themeColor="background1" w:themeShade="80"/>
          <w:sz w:val="22"/>
          <w:szCs w:val="28"/>
        </w:rPr>
        <w:t>COMI</w:t>
      </w:r>
      <w:r w:rsidR="00A9775B">
        <w:rPr>
          <w:rFonts w:ascii="Avenir Next" w:hAnsi="Avenir Next"/>
          <w:color w:val="808080" w:themeColor="background1" w:themeShade="80"/>
          <w:sz w:val="22"/>
          <w:szCs w:val="28"/>
        </w:rPr>
        <w:t xml:space="preserve">”) or is it merely an establishment. </w:t>
      </w:r>
    </w:p>
    <w:p w14:paraId="0AC617A1" w14:textId="77777777" w:rsidR="00DE7216" w:rsidRDefault="00DE7216" w:rsidP="000B135F">
      <w:pPr>
        <w:ind w:left="567"/>
        <w:jc w:val="both"/>
        <w:rPr>
          <w:rFonts w:ascii="Avenir Next" w:hAnsi="Avenir Next"/>
          <w:color w:val="808080" w:themeColor="background1" w:themeShade="80"/>
          <w:sz w:val="22"/>
          <w:szCs w:val="28"/>
        </w:rPr>
      </w:pPr>
    </w:p>
    <w:p w14:paraId="4B33F93D" w14:textId="0940C7F7" w:rsidR="00DE7216" w:rsidRDefault="00DE7216"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starting point is </w:t>
      </w:r>
      <w:r w:rsidR="000A698A">
        <w:rPr>
          <w:rFonts w:ascii="Avenir Next" w:hAnsi="Avenir Next"/>
          <w:color w:val="808080" w:themeColor="background1" w:themeShade="80"/>
          <w:sz w:val="22"/>
          <w:szCs w:val="28"/>
        </w:rPr>
        <w:t xml:space="preserve">the presumption </w:t>
      </w:r>
      <w:r w:rsidR="00251603">
        <w:rPr>
          <w:rFonts w:ascii="Avenir Next" w:hAnsi="Avenir Next"/>
          <w:color w:val="808080" w:themeColor="background1" w:themeShade="80"/>
          <w:sz w:val="22"/>
          <w:szCs w:val="28"/>
        </w:rPr>
        <w:t xml:space="preserve">concerning recognition pursuant to Article 16 of the MLCBI, where </w:t>
      </w:r>
      <w:r w:rsidR="00C97AE7">
        <w:rPr>
          <w:rFonts w:ascii="Avenir Next" w:hAnsi="Avenir Next"/>
          <w:color w:val="808080" w:themeColor="background1" w:themeShade="80"/>
          <w:sz w:val="22"/>
          <w:szCs w:val="28"/>
        </w:rPr>
        <w:t xml:space="preserve">Globe </w:t>
      </w:r>
      <w:proofErr w:type="spellStart"/>
      <w:r w:rsidR="00C97AE7">
        <w:rPr>
          <w:rFonts w:ascii="Avenir Next" w:hAnsi="Avenir Next"/>
          <w:color w:val="808080" w:themeColor="background1" w:themeShade="80"/>
          <w:sz w:val="22"/>
          <w:szCs w:val="28"/>
        </w:rPr>
        <w:t>Holdings’s</w:t>
      </w:r>
      <w:proofErr w:type="spellEnd"/>
      <w:r w:rsidR="00C97AE7">
        <w:rPr>
          <w:rFonts w:ascii="Avenir Next" w:hAnsi="Avenir Next"/>
          <w:color w:val="808080" w:themeColor="background1" w:themeShade="80"/>
          <w:sz w:val="22"/>
          <w:szCs w:val="28"/>
        </w:rPr>
        <w:t xml:space="preserve"> registered office is presumed to be the COMI unless there are any proof to the contrary. </w:t>
      </w:r>
      <w:r w:rsidR="00871BF8">
        <w:rPr>
          <w:rFonts w:ascii="Avenir Next" w:hAnsi="Avenir Next"/>
          <w:color w:val="808080" w:themeColor="background1" w:themeShade="80"/>
          <w:sz w:val="22"/>
          <w:szCs w:val="28"/>
        </w:rPr>
        <w:t>To that end, Cayman Islands is presumed to be the COMI of Globe Holdings.</w:t>
      </w:r>
    </w:p>
    <w:p w14:paraId="469AECD0" w14:textId="77777777" w:rsidR="00A72F2F" w:rsidRDefault="00A72F2F" w:rsidP="000B135F">
      <w:pPr>
        <w:ind w:left="567"/>
        <w:jc w:val="both"/>
        <w:rPr>
          <w:rFonts w:ascii="Avenir Next" w:hAnsi="Avenir Next"/>
          <w:color w:val="808080" w:themeColor="background1" w:themeShade="80"/>
          <w:sz w:val="22"/>
          <w:szCs w:val="28"/>
        </w:rPr>
      </w:pPr>
    </w:p>
    <w:p w14:paraId="679D53BE" w14:textId="2ACF02A6" w:rsidR="00A72F2F" w:rsidRDefault="00A72F2F"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next step is to determine if there </w:t>
      </w:r>
      <w:r w:rsidR="00F72843">
        <w:rPr>
          <w:rFonts w:ascii="Avenir Next" w:hAnsi="Avenir Next"/>
          <w:color w:val="808080" w:themeColor="background1" w:themeShade="80"/>
          <w:sz w:val="22"/>
          <w:szCs w:val="28"/>
        </w:rPr>
        <w:t>is</w:t>
      </w:r>
      <w:r>
        <w:rPr>
          <w:rFonts w:ascii="Avenir Next" w:hAnsi="Avenir Next"/>
          <w:color w:val="808080" w:themeColor="background1" w:themeShade="80"/>
          <w:sz w:val="22"/>
          <w:szCs w:val="28"/>
        </w:rPr>
        <w:t xml:space="preserve"> any </w:t>
      </w:r>
      <w:r w:rsidR="00F72843">
        <w:rPr>
          <w:rFonts w:ascii="Avenir Next" w:hAnsi="Avenir Next"/>
          <w:color w:val="808080" w:themeColor="background1" w:themeShade="80"/>
          <w:sz w:val="22"/>
          <w:szCs w:val="28"/>
        </w:rPr>
        <w:t xml:space="preserve">evidence that may displace the presumption of Cayman Islands being the COMI of Globe Holdings. In this respect, </w:t>
      </w:r>
      <w:r w:rsidR="00AD0729">
        <w:rPr>
          <w:rFonts w:ascii="Avenir Next" w:hAnsi="Avenir Next"/>
          <w:color w:val="808080" w:themeColor="background1" w:themeShade="80"/>
          <w:sz w:val="22"/>
          <w:szCs w:val="28"/>
        </w:rPr>
        <w:t>reference should be made to UNCITRAL Guide to Enactment, para 144 – 149, where the factors to determine the COMI are set out thereunder.</w:t>
      </w:r>
      <w:r w:rsidR="00326D83">
        <w:rPr>
          <w:rFonts w:ascii="Avenir Next" w:hAnsi="Avenir Next"/>
          <w:color w:val="808080" w:themeColor="background1" w:themeShade="80"/>
          <w:sz w:val="22"/>
          <w:szCs w:val="28"/>
        </w:rPr>
        <w:t xml:space="preserve"> The principal factors are namely:</w:t>
      </w:r>
    </w:p>
    <w:p w14:paraId="7180E713" w14:textId="77777777" w:rsidR="00326D83" w:rsidRDefault="00326D83" w:rsidP="00326D83">
      <w:pPr>
        <w:jc w:val="both"/>
        <w:rPr>
          <w:rFonts w:ascii="Avenir Next" w:hAnsi="Avenir Next"/>
          <w:color w:val="808080" w:themeColor="background1" w:themeShade="80"/>
          <w:sz w:val="22"/>
          <w:szCs w:val="28"/>
        </w:rPr>
      </w:pPr>
    </w:p>
    <w:p w14:paraId="7D4C24CE" w14:textId="41025BF7" w:rsidR="00326D83" w:rsidRDefault="00326D83" w:rsidP="00326D83">
      <w:pPr>
        <w:pStyle w:val="ListParagraph"/>
        <w:numPr>
          <w:ilvl w:val="0"/>
          <w:numId w:val="62"/>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where the central administration of the debtor takes place</w:t>
      </w:r>
      <w:r>
        <w:rPr>
          <w:rFonts w:ascii="Avenir Next" w:hAnsi="Avenir Next"/>
          <w:color w:val="808080" w:themeColor="background1" w:themeShade="80"/>
          <w:sz w:val="22"/>
          <w:szCs w:val="28"/>
        </w:rPr>
        <w:t>, and</w:t>
      </w:r>
    </w:p>
    <w:p w14:paraId="5AA0075C" w14:textId="77777777" w:rsidR="00326D83" w:rsidRDefault="00326D83" w:rsidP="00326D83">
      <w:pPr>
        <w:pStyle w:val="ListParagraph"/>
        <w:ind w:left="1701" w:hanging="567"/>
        <w:jc w:val="both"/>
        <w:rPr>
          <w:rFonts w:ascii="Avenir Next" w:hAnsi="Avenir Next"/>
          <w:color w:val="808080" w:themeColor="background1" w:themeShade="80"/>
          <w:sz w:val="22"/>
          <w:szCs w:val="28"/>
        </w:rPr>
      </w:pPr>
    </w:p>
    <w:p w14:paraId="106CAAD6" w14:textId="1311508A" w:rsidR="00326D83" w:rsidRPr="00326D83" w:rsidRDefault="00326D83" w:rsidP="00326D83">
      <w:pPr>
        <w:pStyle w:val="ListParagraph"/>
        <w:numPr>
          <w:ilvl w:val="0"/>
          <w:numId w:val="62"/>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which is readily ascertainable as such by creditors of the debtor</w:t>
      </w:r>
      <w:r>
        <w:rPr>
          <w:rFonts w:ascii="Avenir Next" w:hAnsi="Avenir Next"/>
          <w:color w:val="808080" w:themeColor="background1" w:themeShade="80"/>
          <w:sz w:val="22"/>
          <w:szCs w:val="28"/>
        </w:rPr>
        <w:t>.</w:t>
      </w:r>
    </w:p>
    <w:p w14:paraId="56E95BF0" w14:textId="77777777" w:rsidR="00E47CE6" w:rsidRDefault="00E47CE6" w:rsidP="000B135F">
      <w:pPr>
        <w:ind w:left="567"/>
        <w:jc w:val="both"/>
        <w:rPr>
          <w:rFonts w:ascii="Avenir Next" w:hAnsi="Avenir Next"/>
          <w:color w:val="808080" w:themeColor="background1" w:themeShade="80"/>
          <w:sz w:val="22"/>
          <w:szCs w:val="28"/>
        </w:rPr>
      </w:pPr>
    </w:p>
    <w:p w14:paraId="21C619E1" w14:textId="1D86035B" w:rsidR="00227B27" w:rsidRDefault="00E47CE6"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At this juncture, it is important to bear in mind the UK Court of Appeal’s decision in </w:t>
      </w:r>
      <w:r w:rsidR="00C540BE" w:rsidRPr="00B35CF6">
        <w:rPr>
          <w:rFonts w:ascii="Avenir Next" w:hAnsi="Avenir Next"/>
          <w:b/>
          <w:bCs/>
          <w:i/>
          <w:iCs/>
          <w:sz w:val="22"/>
          <w:szCs w:val="28"/>
        </w:rPr>
        <w:t xml:space="preserve">East-West Logistics LLP v </w:t>
      </w:r>
      <w:proofErr w:type="spellStart"/>
      <w:r w:rsidR="00C540BE" w:rsidRPr="00B35CF6">
        <w:rPr>
          <w:rFonts w:ascii="Avenir Next" w:hAnsi="Avenir Next"/>
          <w:b/>
          <w:bCs/>
          <w:i/>
          <w:iCs/>
          <w:sz w:val="22"/>
          <w:szCs w:val="28"/>
        </w:rPr>
        <w:t>Melars</w:t>
      </w:r>
      <w:proofErr w:type="spellEnd"/>
      <w:r w:rsidR="00C540BE" w:rsidRPr="00B35CF6">
        <w:rPr>
          <w:rFonts w:ascii="Avenir Next" w:hAnsi="Avenir Next"/>
          <w:b/>
          <w:bCs/>
          <w:i/>
          <w:iCs/>
          <w:sz w:val="22"/>
          <w:szCs w:val="28"/>
        </w:rPr>
        <w:t xml:space="preserve"> Group Ltd</w:t>
      </w:r>
      <w:r w:rsidR="00C540BE" w:rsidRPr="00B35CF6">
        <w:rPr>
          <w:rFonts w:ascii="Avenir Next" w:hAnsi="Avenir Next"/>
          <w:b/>
          <w:bCs/>
          <w:sz w:val="22"/>
          <w:szCs w:val="28"/>
        </w:rPr>
        <w:t xml:space="preserve"> [2023] 1 BCLC 307</w:t>
      </w:r>
      <w:r w:rsidR="00C540BE">
        <w:rPr>
          <w:rFonts w:ascii="Avenir Next" w:hAnsi="Avenir Next"/>
          <w:color w:val="808080" w:themeColor="background1" w:themeShade="80"/>
          <w:sz w:val="22"/>
          <w:szCs w:val="28"/>
        </w:rPr>
        <w:t xml:space="preserve"> </w:t>
      </w:r>
      <w:r w:rsidR="00241A86">
        <w:rPr>
          <w:rFonts w:ascii="Avenir Next" w:hAnsi="Avenir Next"/>
          <w:color w:val="808080" w:themeColor="background1" w:themeShade="80"/>
          <w:sz w:val="22"/>
          <w:szCs w:val="28"/>
        </w:rPr>
        <w:t>(“</w:t>
      </w:r>
      <w:proofErr w:type="spellStart"/>
      <w:r w:rsidR="00241A86" w:rsidRPr="00241A86">
        <w:rPr>
          <w:rFonts w:ascii="Avenir Next" w:hAnsi="Avenir Next"/>
          <w:b/>
          <w:bCs/>
          <w:i/>
          <w:iCs/>
          <w:sz w:val="22"/>
          <w:szCs w:val="28"/>
        </w:rPr>
        <w:t>Melars</w:t>
      </w:r>
      <w:proofErr w:type="spellEnd"/>
      <w:r w:rsidR="00241A86" w:rsidRPr="00241A86">
        <w:rPr>
          <w:rFonts w:ascii="Avenir Next" w:hAnsi="Avenir Next"/>
          <w:b/>
          <w:bCs/>
          <w:i/>
          <w:iCs/>
          <w:sz w:val="22"/>
          <w:szCs w:val="28"/>
        </w:rPr>
        <w:t xml:space="preserve"> Group Ltd</w:t>
      </w:r>
      <w:r w:rsidR="00241A86">
        <w:rPr>
          <w:rFonts w:ascii="Avenir Next" w:hAnsi="Avenir Next"/>
          <w:color w:val="808080" w:themeColor="background1" w:themeShade="80"/>
          <w:sz w:val="22"/>
          <w:szCs w:val="28"/>
        </w:rPr>
        <w:t xml:space="preserve">”) </w:t>
      </w:r>
      <w:r w:rsidR="00D65974">
        <w:rPr>
          <w:rFonts w:ascii="Avenir Next" w:hAnsi="Avenir Next"/>
          <w:color w:val="808080" w:themeColor="background1" w:themeShade="80"/>
          <w:sz w:val="22"/>
          <w:szCs w:val="28"/>
        </w:rPr>
        <w:t xml:space="preserve">where the Court of Appeal upheld the High Court’s decision that </w:t>
      </w:r>
      <w:r w:rsidR="006825B4">
        <w:rPr>
          <w:rFonts w:ascii="Avenir Next" w:hAnsi="Avenir Next"/>
          <w:color w:val="808080" w:themeColor="background1" w:themeShade="80"/>
          <w:sz w:val="22"/>
          <w:szCs w:val="28"/>
        </w:rPr>
        <w:t xml:space="preserve">the company’s COMI was in Malta and not in the UK due to the presumption concerning recognition which has not been rebutted. </w:t>
      </w:r>
      <w:r w:rsidR="00B35CF6">
        <w:rPr>
          <w:rFonts w:ascii="Avenir Next" w:hAnsi="Avenir Next"/>
          <w:color w:val="808080" w:themeColor="background1" w:themeShade="80"/>
          <w:sz w:val="22"/>
          <w:szCs w:val="28"/>
        </w:rPr>
        <w:t xml:space="preserve">As such the court had no jurisdiction to make any winding-up order. In </w:t>
      </w:r>
      <w:r w:rsidR="00790D96">
        <w:rPr>
          <w:rFonts w:ascii="Avenir Next" w:hAnsi="Avenir Next"/>
          <w:color w:val="808080" w:themeColor="background1" w:themeShade="80"/>
          <w:sz w:val="22"/>
          <w:szCs w:val="28"/>
        </w:rPr>
        <w:t xml:space="preserve">determining whether the </w:t>
      </w:r>
      <w:r w:rsidR="006B1D9C">
        <w:rPr>
          <w:rFonts w:ascii="Avenir Next" w:hAnsi="Avenir Next"/>
          <w:color w:val="808080" w:themeColor="background1" w:themeShade="80"/>
          <w:sz w:val="22"/>
          <w:szCs w:val="28"/>
        </w:rPr>
        <w:t xml:space="preserve">presumption has been rebutted, the Court of Appeal held </w:t>
      </w:r>
      <w:r w:rsidR="00227B27">
        <w:rPr>
          <w:rFonts w:ascii="Avenir Next" w:hAnsi="Avenir Next"/>
          <w:color w:val="808080" w:themeColor="background1" w:themeShade="80"/>
          <w:sz w:val="22"/>
          <w:szCs w:val="28"/>
        </w:rPr>
        <w:t>the following:</w:t>
      </w:r>
    </w:p>
    <w:p w14:paraId="659D6806" w14:textId="77777777" w:rsidR="00227B27" w:rsidRDefault="00227B27" w:rsidP="000B135F">
      <w:pPr>
        <w:ind w:left="567"/>
        <w:jc w:val="both"/>
        <w:rPr>
          <w:rFonts w:ascii="Avenir Next" w:hAnsi="Avenir Next"/>
          <w:color w:val="808080" w:themeColor="background1" w:themeShade="80"/>
          <w:sz w:val="22"/>
          <w:szCs w:val="28"/>
        </w:rPr>
      </w:pPr>
    </w:p>
    <w:p w14:paraId="5A837754" w14:textId="5CA6C778" w:rsidR="00E47CE6" w:rsidRDefault="00227B27" w:rsidP="00227B27">
      <w:pPr>
        <w:pStyle w:val="ListParagraph"/>
        <w:numPr>
          <w:ilvl w:val="0"/>
          <w:numId w:val="61"/>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that</w:t>
      </w:r>
      <w:r w:rsidR="006B1D9C" w:rsidRPr="00227B27">
        <w:rPr>
          <w:rFonts w:ascii="Avenir Next" w:hAnsi="Avenir Next"/>
          <w:color w:val="808080" w:themeColor="background1" w:themeShade="80"/>
          <w:sz w:val="22"/>
          <w:szCs w:val="28"/>
        </w:rPr>
        <w:t xml:space="preserve"> the “</w:t>
      </w:r>
      <w:r w:rsidR="006B1D9C" w:rsidRPr="00227B27">
        <w:rPr>
          <w:rFonts w:ascii="Avenir Next" w:hAnsi="Avenir Next"/>
          <w:i/>
          <w:iCs/>
          <w:color w:val="808080" w:themeColor="background1" w:themeShade="80"/>
          <w:sz w:val="22"/>
          <w:szCs w:val="28"/>
        </w:rPr>
        <w:t>proof to the contrary</w:t>
      </w:r>
      <w:r w:rsidR="006B1D9C" w:rsidRPr="00227B27">
        <w:rPr>
          <w:rFonts w:ascii="Avenir Next" w:hAnsi="Avenir Next"/>
          <w:color w:val="808080" w:themeColor="background1" w:themeShade="80"/>
          <w:sz w:val="22"/>
          <w:szCs w:val="28"/>
        </w:rPr>
        <w:t xml:space="preserve">” </w:t>
      </w:r>
      <w:r w:rsidRPr="00227B27">
        <w:rPr>
          <w:rFonts w:ascii="Avenir Next" w:hAnsi="Avenir Next"/>
          <w:color w:val="808080" w:themeColor="background1" w:themeShade="80"/>
          <w:sz w:val="22"/>
          <w:szCs w:val="28"/>
        </w:rPr>
        <w:t>comprises of “</w:t>
      </w:r>
      <w:r w:rsidRPr="00227B27">
        <w:rPr>
          <w:rFonts w:ascii="Avenir Next" w:hAnsi="Avenir Next"/>
          <w:i/>
          <w:iCs/>
          <w:color w:val="808080" w:themeColor="background1" w:themeShade="80"/>
          <w:sz w:val="22"/>
          <w:szCs w:val="28"/>
        </w:rPr>
        <w:t>evidence of factors which were both objective and ascertainable by 3</w:t>
      </w:r>
      <w:r w:rsidRPr="00227B27">
        <w:rPr>
          <w:rFonts w:ascii="Avenir Next" w:hAnsi="Avenir Next"/>
          <w:i/>
          <w:iCs/>
          <w:color w:val="808080" w:themeColor="background1" w:themeShade="80"/>
          <w:sz w:val="22"/>
          <w:szCs w:val="28"/>
          <w:vertAlign w:val="superscript"/>
        </w:rPr>
        <w:t>rd</w:t>
      </w:r>
      <w:r w:rsidRPr="00227B27">
        <w:rPr>
          <w:rFonts w:ascii="Avenir Next" w:hAnsi="Avenir Next"/>
          <w:i/>
          <w:iCs/>
          <w:color w:val="808080" w:themeColor="background1" w:themeShade="80"/>
          <w:sz w:val="22"/>
          <w:szCs w:val="28"/>
        </w:rPr>
        <w:t xml:space="preserve"> parties showing that the debtor actually conducted the administration of its interests on a regular basis in a different location from the location of its registered office.</w:t>
      </w:r>
      <w:r w:rsidRPr="00227B27">
        <w:rPr>
          <w:rFonts w:ascii="Avenir Next" w:hAnsi="Avenir Next"/>
          <w:color w:val="808080" w:themeColor="background1" w:themeShade="80"/>
          <w:sz w:val="22"/>
          <w:szCs w:val="28"/>
        </w:rPr>
        <w:t>”</w:t>
      </w:r>
    </w:p>
    <w:p w14:paraId="76E15BF4" w14:textId="77777777" w:rsidR="00227B27" w:rsidRDefault="00227B27" w:rsidP="00227B27">
      <w:pPr>
        <w:pStyle w:val="ListParagraph"/>
        <w:ind w:left="1701"/>
        <w:jc w:val="both"/>
        <w:rPr>
          <w:rFonts w:ascii="Avenir Next" w:hAnsi="Avenir Next"/>
          <w:color w:val="808080" w:themeColor="background1" w:themeShade="80"/>
          <w:sz w:val="22"/>
          <w:szCs w:val="28"/>
        </w:rPr>
      </w:pPr>
    </w:p>
    <w:p w14:paraId="12971AB6" w14:textId="1C67337C" w:rsidR="00227B27" w:rsidRDefault="00AF6CF1" w:rsidP="00227B27">
      <w:pPr>
        <w:pStyle w:val="ListParagraph"/>
        <w:numPr>
          <w:ilvl w:val="0"/>
          <w:numId w:val="61"/>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t>
      </w:r>
      <w:r w:rsidR="00C168B6" w:rsidRPr="00AF6CF1">
        <w:rPr>
          <w:rFonts w:ascii="Avenir Next" w:hAnsi="Avenir Next"/>
          <w:i/>
          <w:iCs/>
          <w:color w:val="808080" w:themeColor="background1" w:themeShade="80"/>
          <w:sz w:val="22"/>
          <w:szCs w:val="28"/>
        </w:rPr>
        <w:t xml:space="preserve">The presumption could not be ignored or disregarded simply because there was a lack of evidence that the debtor actually carried out any activities at the place of its registered office or because evidence of actual administration </w:t>
      </w:r>
      <w:r w:rsidR="00D25DF6" w:rsidRPr="00AF6CF1">
        <w:rPr>
          <w:rFonts w:ascii="Avenir Next" w:hAnsi="Avenir Next"/>
          <w:i/>
          <w:iCs/>
          <w:color w:val="808080" w:themeColor="background1" w:themeShade="80"/>
          <w:sz w:val="22"/>
          <w:szCs w:val="28"/>
        </w:rPr>
        <w:t xml:space="preserve">of its interests were </w:t>
      </w:r>
      <w:proofErr w:type="gramStart"/>
      <w:r w:rsidR="00D25DF6" w:rsidRPr="00AF6CF1">
        <w:rPr>
          <w:rFonts w:ascii="Avenir Next" w:hAnsi="Avenir Next"/>
          <w:i/>
          <w:iCs/>
          <w:color w:val="808080" w:themeColor="background1" w:themeShade="80"/>
          <w:sz w:val="22"/>
          <w:szCs w:val="28"/>
        </w:rPr>
        <w:t>sparse</w:t>
      </w:r>
      <w:proofErr w:type="gramEnd"/>
      <w:r>
        <w:rPr>
          <w:rFonts w:ascii="Avenir Next" w:hAnsi="Avenir Next"/>
          <w:color w:val="808080" w:themeColor="background1" w:themeShade="80"/>
          <w:sz w:val="22"/>
          <w:szCs w:val="28"/>
        </w:rPr>
        <w:t>”</w:t>
      </w:r>
    </w:p>
    <w:p w14:paraId="7A6C880F" w14:textId="77777777" w:rsidR="001F4FD8" w:rsidRPr="001F4FD8" w:rsidRDefault="001F4FD8" w:rsidP="001F4FD8">
      <w:pPr>
        <w:pStyle w:val="ListParagraph"/>
        <w:rPr>
          <w:rFonts w:ascii="Avenir Next" w:hAnsi="Avenir Next"/>
          <w:color w:val="808080" w:themeColor="background1" w:themeShade="80"/>
          <w:sz w:val="22"/>
          <w:szCs w:val="28"/>
        </w:rPr>
      </w:pPr>
    </w:p>
    <w:p w14:paraId="18CFE40D" w14:textId="086E324C" w:rsidR="001F4FD8" w:rsidRPr="00227B27" w:rsidRDefault="00D31562" w:rsidP="00227B27">
      <w:pPr>
        <w:pStyle w:val="ListParagraph"/>
        <w:numPr>
          <w:ilvl w:val="0"/>
          <w:numId w:val="61"/>
        </w:numPr>
        <w:ind w:left="1701" w:hanging="567"/>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determine factors “</w:t>
      </w:r>
      <w:r w:rsidRPr="00AF6CF1">
        <w:rPr>
          <w:rFonts w:ascii="Avenir Next" w:hAnsi="Avenir Next"/>
          <w:i/>
          <w:iCs/>
          <w:color w:val="808080" w:themeColor="background1" w:themeShade="80"/>
          <w:sz w:val="22"/>
          <w:szCs w:val="28"/>
        </w:rPr>
        <w:t>ascertainable by third parties</w:t>
      </w:r>
      <w:r>
        <w:rPr>
          <w:rFonts w:ascii="Avenir Next" w:hAnsi="Avenir Next"/>
          <w:color w:val="808080" w:themeColor="background1" w:themeShade="80"/>
          <w:sz w:val="22"/>
          <w:szCs w:val="28"/>
        </w:rPr>
        <w:t>”, the court would “</w:t>
      </w:r>
      <w:r w:rsidRPr="00AF6CF1">
        <w:rPr>
          <w:rFonts w:ascii="Avenir Next" w:hAnsi="Avenir Next"/>
          <w:i/>
          <w:iCs/>
          <w:color w:val="808080" w:themeColor="background1" w:themeShade="80"/>
          <w:sz w:val="22"/>
          <w:szCs w:val="28"/>
        </w:rPr>
        <w:t>look at the operations of the company from the external (</w:t>
      </w:r>
      <w:proofErr w:type="spellStart"/>
      <w:r w:rsidRPr="00AF6CF1">
        <w:rPr>
          <w:rFonts w:ascii="Avenir Next" w:hAnsi="Avenir Next"/>
          <w:i/>
          <w:iCs/>
          <w:color w:val="808080" w:themeColor="background1" w:themeShade="80"/>
          <w:sz w:val="22"/>
          <w:szCs w:val="28"/>
        </w:rPr>
        <w:t>ie</w:t>
      </w:r>
      <w:proofErr w:type="spellEnd"/>
      <w:r w:rsidRPr="00AF6CF1">
        <w:rPr>
          <w:rFonts w:ascii="Avenir Next" w:hAnsi="Avenir Next"/>
          <w:i/>
          <w:iCs/>
          <w:color w:val="808080" w:themeColor="background1" w:themeShade="80"/>
          <w:sz w:val="22"/>
          <w:szCs w:val="28"/>
        </w:rPr>
        <w:t xml:space="preserve"> objective) perspective </w:t>
      </w:r>
      <w:r w:rsidRPr="00AF6CF1">
        <w:rPr>
          <w:rFonts w:ascii="Avenir Next" w:hAnsi="Avenir Next"/>
          <w:i/>
          <w:iCs/>
          <w:color w:val="808080" w:themeColor="background1" w:themeShade="80"/>
          <w:sz w:val="22"/>
          <w:szCs w:val="28"/>
        </w:rPr>
        <w:lastRenderedPageBreak/>
        <w:t>of third parties, rather than the internal (</w:t>
      </w:r>
      <w:proofErr w:type="spellStart"/>
      <w:r w:rsidRPr="00AF6CF1">
        <w:rPr>
          <w:rFonts w:ascii="Avenir Next" w:hAnsi="Avenir Next"/>
          <w:i/>
          <w:iCs/>
          <w:color w:val="808080" w:themeColor="background1" w:themeShade="80"/>
          <w:sz w:val="22"/>
          <w:szCs w:val="28"/>
        </w:rPr>
        <w:t>ie</w:t>
      </w:r>
      <w:proofErr w:type="spellEnd"/>
      <w:r w:rsidRPr="00AF6CF1">
        <w:rPr>
          <w:rFonts w:ascii="Avenir Next" w:hAnsi="Avenir Next"/>
          <w:i/>
          <w:iCs/>
          <w:color w:val="808080" w:themeColor="background1" w:themeShade="80"/>
          <w:sz w:val="22"/>
          <w:szCs w:val="28"/>
        </w:rPr>
        <w:t xml:space="preserve"> subjective) perspective of the debtor company itself.</w:t>
      </w:r>
      <w:r w:rsidR="00AF6CF1">
        <w:rPr>
          <w:rFonts w:ascii="Avenir Next" w:hAnsi="Avenir Next"/>
          <w:color w:val="808080" w:themeColor="background1" w:themeShade="80"/>
          <w:sz w:val="22"/>
          <w:szCs w:val="28"/>
        </w:rPr>
        <w:t>”</w:t>
      </w:r>
    </w:p>
    <w:p w14:paraId="1699B177" w14:textId="77777777" w:rsidR="00981814" w:rsidRDefault="00981814" w:rsidP="00AD0729">
      <w:pPr>
        <w:jc w:val="both"/>
        <w:rPr>
          <w:rFonts w:ascii="Avenir Next" w:hAnsi="Avenir Next"/>
          <w:color w:val="808080" w:themeColor="background1" w:themeShade="80"/>
          <w:sz w:val="22"/>
          <w:szCs w:val="28"/>
        </w:rPr>
      </w:pPr>
    </w:p>
    <w:p w14:paraId="67988321" w14:textId="0CC251D9" w:rsidR="00A345C9" w:rsidRDefault="006F583D" w:rsidP="000B135F">
      <w:pPr>
        <w:ind w:left="567"/>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Having regard to the facts of the case, there</w:t>
      </w:r>
      <w:proofErr w:type="gramEnd"/>
      <w:r>
        <w:rPr>
          <w:rFonts w:ascii="Avenir Next" w:hAnsi="Avenir Next"/>
          <w:color w:val="808080" w:themeColor="background1" w:themeShade="80"/>
          <w:sz w:val="22"/>
          <w:szCs w:val="28"/>
        </w:rPr>
        <w:t xml:space="preserve"> are </w:t>
      </w:r>
      <w:r w:rsidR="009A7526">
        <w:rPr>
          <w:rFonts w:ascii="Avenir Next" w:hAnsi="Avenir Next"/>
          <w:color w:val="808080" w:themeColor="background1" w:themeShade="80"/>
          <w:sz w:val="22"/>
          <w:szCs w:val="28"/>
        </w:rPr>
        <w:t>4</w:t>
      </w:r>
      <w:r>
        <w:rPr>
          <w:rFonts w:ascii="Avenir Next" w:hAnsi="Avenir Next"/>
          <w:color w:val="808080" w:themeColor="background1" w:themeShade="80"/>
          <w:sz w:val="22"/>
          <w:szCs w:val="28"/>
        </w:rPr>
        <w:t xml:space="preserve"> factors that may</w:t>
      </w:r>
      <w:r w:rsidR="00670760">
        <w:rPr>
          <w:rFonts w:ascii="Avenir Next" w:hAnsi="Avenir Next"/>
          <w:color w:val="808080" w:themeColor="background1" w:themeShade="80"/>
          <w:sz w:val="22"/>
          <w:szCs w:val="28"/>
        </w:rPr>
        <w:t xml:space="preserve"> amount to “</w:t>
      </w:r>
      <w:r w:rsidR="00670760" w:rsidRPr="00114A2D">
        <w:rPr>
          <w:rFonts w:ascii="Avenir Next" w:hAnsi="Avenir Next"/>
          <w:i/>
          <w:iCs/>
          <w:color w:val="808080" w:themeColor="background1" w:themeShade="80"/>
          <w:sz w:val="22"/>
          <w:szCs w:val="28"/>
        </w:rPr>
        <w:t>proof to the contrary</w:t>
      </w:r>
      <w:r w:rsidR="00670760">
        <w:rPr>
          <w:rFonts w:ascii="Avenir Next" w:hAnsi="Avenir Next"/>
          <w:color w:val="808080" w:themeColor="background1" w:themeShade="80"/>
          <w:sz w:val="22"/>
          <w:szCs w:val="28"/>
        </w:rPr>
        <w:t>” to displace the presumption of the Cayman Islands being the COMI of Globe Holdings. These are as follows:</w:t>
      </w:r>
    </w:p>
    <w:p w14:paraId="23641243" w14:textId="77777777" w:rsidR="00670760" w:rsidRDefault="00670760" w:rsidP="000B135F">
      <w:pPr>
        <w:ind w:left="567"/>
        <w:jc w:val="both"/>
        <w:rPr>
          <w:rFonts w:ascii="Avenir Next" w:hAnsi="Avenir Next"/>
          <w:color w:val="808080" w:themeColor="background1" w:themeShade="80"/>
          <w:sz w:val="22"/>
          <w:szCs w:val="28"/>
        </w:rPr>
      </w:pPr>
    </w:p>
    <w:p w14:paraId="76C9AA62" w14:textId="74C30B24" w:rsidR="00114A2D" w:rsidRDefault="00114A2D" w:rsidP="00114A2D">
      <w:pPr>
        <w:pStyle w:val="ListParagraph"/>
        <w:numPr>
          <w:ilvl w:val="0"/>
          <w:numId w:val="63"/>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First, </w:t>
      </w:r>
      <w:r w:rsidR="002F6982">
        <w:rPr>
          <w:rFonts w:ascii="Avenir Next" w:hAnsi="Avenir Next"/>
          <w:color w:val="808080" w:themeColor="background1" w:themeShade="80"/>
          <w:sz w:val="22"/>
          <w:szCs w:val="28"/>
        </w:rPr>
        <w:t>Globe Holdings has no business operations of its own as its business is carried out through its subsidiaries incorporated and operated in the US. Its headquarters are also in the US</w:t>
      </w:r>
      <w:r w:rsidR="002F6982">
        <w:rPr>
          <w:rFonts w:ascii="Avenir Next" w:hAnsi="Avenir Next"/>
          <w:color w:val="808080" w:themeColor="background1" w:themeShade="80"/>
          <w:sz w:val="22"/>
          <w:szCs w:val="28"/>
        </w:rPr>
        <w:t>.</w:t>
      </w:r>
    </w:p>
    <w:p w14:paraId="5F0AE674" w14:textId="77777777" w:rsidR="002F6982" w:rsidRDefault="002F6982" w:rsidP="002F6982">
      <w:pPr>
        <w:pStyle w:val="ListParagraph"/>
        <w:ind w:left="1701"/>
        <w:jc w:val="both"/>
        <w:rPr>
          <w:rFonts w:ascii="Avenir Next" w:hAnsi="Avenir Next"/>
          <w:color w:val="808080" w:themeColor="background1" w:themeShade="80"/>
          <w:sz w:val="22"/>
          <w:szCs w:val="28"/>
        </w:rPr>
      </w:pPr>
    </w:p>
    <w:p w14:paraId="0A215146" w14:textId="1F0AF489" w:rsidR="002F6982" w:rsidRDefault="002F6982" w:rsidP="00114A2D">
      <w:pPr>
        <w:pStyle w:val="ListParagraph"/>
        <w:numPr>
          <w:ilvl w:val="0"/>
          <w:numId w:val="63"/>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Second, </w:t>
      </w:r>
      <w:r>
        <w:rPr>
          <w:rFonts w:ascii="Avenir Next" w:hAnsi="Avenir Next"/>
          <w:color w:val="808080" w:themeColor="background1" w:themeShade="80"/>
          <w:sz w:val="22"/>
          <w:szCs w:val="28"/>
        </w:rPr>
        <w:t>all its employees are NOT based in the Cayman Islands but in the US</w:t>
      </w:r>
      <w:r>
        <w:rPr>
          <w:rFonts w:ascii="Avenir Next" w:hAnsi="Avenir Next"/>
          <w:color w:val="808080" w:themeColor="background1" w:themeShade="80"/>
          <w:sz w:val="22"/>
          <w:szCs w:val="28"/>
        </w:rPr>
        <w:t>.</w:t>
      </w:r>
    </w:p>
    <w:p w14:paraId="1B248CA6" w14:textId="77777777" w:rsidR="002F6982" w:rsidRPr="002F6982" w:rsidRDefault="002F6982" w:rsidP="002F6982">
      <w:pPr>
        <w:pStyle w:val="ListParagraph"/>
        <w:rPr>
          <w:rFonts w:ascii="Avenir Next" w:hAnsi="Avenir Next"/>
          <w:color w:val="808080" w:themeColor="background1" w:themeShade="80"/>
          <w:sz w:val="22"/>
          <w:szCs w:val="28"/>
        </w:rPr>
      </w:pPr>
    </w:p>
    <w:p w14:paraId="694BC72A" w14:textId="05E91561" w:rsidR="002F6982" w:rsidRDefault="002F6982" w:rsidP="00114A2D">
      <w:pPr>
        <w:pStyle w:val="ListParagraph"/>
        <w:numPr>
          <w:ilvl w:val="0"/>
          <w:numId w:val="63"/>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Third, </w:t>
      </w:r>
      <w:r>
        <w:rPr>
          <w:rFonts w:ascii="Avenir Next" w:hAnsi="Avenir Next"/>
          <w:color w:val="808080" w:themeColor="background1" w:themeShade="80"/>
          <w:sz w:val="22"/>
          <w:szCs w:val="28"/>
        </w:rPr>
        <w:t>the Notes issued by Globe Holdings are governed by New York law</w:t>
      </w:r>
      <w:r>
        <w:rPr>
          <w:rFonts w:ascii="Avenir Next" w:hAnsi="Avenir Next"/>
          <w:color w:val="808080" w:themeColor="background1" w:themeShade="80"/>
          <w:sz w:val="22"/>
          <w:szCs w:val="28"/>
        </w:rPr>
        <w:t>.</w:t>
      </w:r>
    </w:p>
    <w:p w14:paraId="18AB8FA7" w14:textId="77777777" w:rsidR="002F6982" w:rsidRPr="002F6982" w:rsidRDefault="002F6982" w:rsidP="002F6982">
      <w:pPr>
        <w:pStyle w:val="ListParagraph"/>
        <w:rPr>
          <w:rFonts w:ascii="Avenir Next" w:hAnsi="Avenir Next"/>
          <w:color w:val="808080" w:themeColor="background1" w:themeShade="80"/>
          <w:sz w:val="22"/>
          <w:szCs w:val="28"/>
        </w:rPr>
      </w:pPr>
    </w:p>
    <w:p w14:paraId="7110481E" w14:textId="6B60BE6F" w:rsidR="002F6982" w:rsidRPr="00114A2D" w:rsidRDefault="002F6982" w:rsidP="00114A2D">
      <w:pPr>
        <w:pStyle w:val="ListParagraph"/>
        <w:numPr>
          <w:ilvl w:val="0"/>
          <w:numId w:val="63"/>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Fourth, </w:t>
      </w:r>
      <w:r>
        <w:rPr>
          <w:rFonts w:ascii="Avenir Next" w:hAnsi="Avenir Next"/>
          <w:color w:val="808080" w:themeColor="background1" w:themeShade="80"/>
          <w:sz w:val="22"/>
          <w:szCs w:val="28"/>
        </w:rPr>
        <w:t xml:space="preserve">the Restructuring Support Agreement which Globe Holdings </w:t>
      </w:r>
      <w:proofErr w:type="gramStart"/>
      <w:r>
        <w:rPr>
          <w:rFonts w:ascii="Avenir Next" w:hAnsi="Avenir Next"/>
          <w:color w:val="808080" w:themeColor="background1" w:themeShade="80"/>
          <w:sz w:val="22"/>
          <w:szCs w:val="28"/>
        </w:rPr>
        <w:t>entered into</w:t>
      </w:r>
      <w:proofErr w:type="gramEnd"/>
      <w:r>
        <w:rPr>
          <w:rFonts w:ascii="Avenir Next" w:hAnsi="Avenir Next"/>
          <w:color w:val="808080" w:themeColor="background1" w:themeShade="80"/>
          <w:sz w:val="22"/>
          <w:szCs w:val="28"/>
        </w:rPr>
        <w:t xml:space="preserve"> with its Noteholders is also governed by New York law</w:t>
      </w:r>
      <w:r w:rsidR="003E1F7B">
        <w:rPr>
          <w:rFonts w:ascii="Avenir Next" w:hAnsi="Avenir Next"/>
          <w:color w:val="808080" w:themeColor="background1" w:themeShade="80"/>
          <w:sz w:val="22"/>
          <w:szCs w:val="28"/>
        </w:rPr>
        <w:t>.</w:t>
      </w:r>
    </w:p>
    <w:p w14:paraId="6C4D439A" w14:textId="77777777" w:rsidR="00670760" w:rsidRDefault="00670760" w:rsidP="000B135F">
      <w:pPr>
        <w:ind w:left="567"/>
        <w:jc w:val="both"/>
        <w:rPr>
          <w:rFonts w:ascii="Avenir Next" w:hAnsi="Avenir Next"/>
          <w:color w:val="808080" w:themeColor="background1" w:themeShade="80"/>
          <w:sz w:val="22"/>
          <w:szCs w:val="28"/>
        </w:rPr>
      </w:pPr>
    </w:p>
    <w:p w14:paraId="44BF2BAF" w14:textId="675C57A6" w:rsidR="00A81E49" w:rsidRDefault="009A7526"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w:t>
      </w:r>
      <w:r w:rsidR="008C73DB">
        <w:rPr>
          <w:rFonts w:ascii="Avenir Next" w:hAnsi="Avenir Next"/>
          <w:color w:val="808080" w:themeColor="background1" w:themeShade="80"/>
          <w:sz w:val="22"/>
          <w:szCs w:val="28"/>
        </w:rPr>
        <w:t xml:space="preserve">it is arguable that these 4 factors are insufficient to displace the presumption of </w:t>
      </w:r>
      <w:r w:rsidR="008C73DB">
        <w:rPr>
          <w:rFonts w:ascii="Avenir Next" w:hAnsi="Avenir Next"/>
          <w:color w:val="808080" w:themeColor="background1" w:themeShade="80"/>
          <w:sz w:val="22"/>
          <w:szCs w:val="28"/>
        </w:rPr>
        <w:t>the Cayman Islands being the COMI of Globe Holdings</w:t>
      </w:r>
      <w:r w:rsidR="008C73DB">
        <w:rPr>
          <w:rFonts w:ascii="Avenir Next" w:hAnsi="Avenir Next"/>
          <w:color w:val="808080" w:themeColor="background1" w:themeShade="80"/>
          <w:sz w:val="22"/>
          <w:szCs w:val="28"/>
        </w:rPr>
        <w:t>.</w:t>
      </w:r>
      <w:r w:rsidR="005B0F92">
        <w:rPr>
          <w:rFonts w:ascii="Avenir Next" w:hAnsi="Avenir Next"/>
          <w:color w:val="808080" w:themeColor="background1" w:themeShade="80"/>
          <w:sz w:val="22"/>
          <w:szCs w:val="28"/>
        </w:rPr>
        <w:t xml:space="preserve"> This is because:</w:t>
      </w:r>
    </w:p>
    <w:p w14:paraId="4E4C530C" w14:textId="77777777" w:rsidR="005B0F92" w:rsidRDefault="005B0F92" w:rsidP="000B135F">
      <w:pPr>
        <w:ind w:left="567"/>
        <w:jc w:val="both"/>
        <w:rPr>
          <w:rFonts w:ascii="Avenir Next" w:hAnsi="Avenir Next"/>
          <w:color w:val="808080" w:themeColor="background1" w:themeShade="80"/>
          <w:sz w:val="22"/>
          <w:szCs w:val="28"/>
        </w:rPr>
      </w:pPr>
    </w:p>
    <w:p w14:paraId="5C6FCD00" w14:textId="37C73AA1" w:rsidR="005B0F92" w:rsidRDefault="003D417D" w:rsidP="005B0F92">
      <w:pPr>
        <w:pStyle w:val="ListParagraph"/>
        <w:numPr>
          <w:ilvl w:val="0"/>
          <w:numId w:val="64"/>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w:t>
      </w:r>
      <w:proofErr w:type="gramStart"/>
      <w:r>
        <w:rPr>
          <w:rFonts w:ascii="Avenir Next" w:hAnsi="Avenir Next"/>
          <w:color w:val="808080" w:themeColor="background1" w:themeShade="80"/>
          <w:sz w:val="22"/>
          <w:szCs w:val="28"/>
        </w:rPr>
        <w:t>holds itself as</w:t>
      </w:r>
      <w:proofErr w:type="gramEnd"/>
      <w:r>
        <w:rPr>
          <w:rFonts w:ascii="Avenir Next" w:hAnsi="Avenir Next"/>
          <w:color w:val="808080" w:themeColor="background1" w:themeShade="80"/>
          <w:sz w:val="22"/>
          <w:szCs w:val="28"/>
        </w:rPr>
        <w:t xml:space="preserve"> a Cayman Islands </w:t>
      </w:r>
      <w:r w:rsidR="00AD0256">
        <w:rPr>
          <w:rFonts w:ascii="Avenir Next" w:hAnsi="Avenir Next"/>
          <w:color w:val="808080" w:themeColor="background1" w:themeShade="80"/>
          <w:sz w:val="22"/>
          <w:szCs w:val="28"/>
        </w:rPr>
        <w:t>company and this can be seen from public filings with the SEC, and this is ascertainable by 3</w:t>
      </w:r>
      <w:r w:rsidR="00AD0256" w:rsidRPr="00AD0256">
        <w:rPr>
          <w:rFonts w:ascii="Avenir Next" w:hAnsi="Avenir Next"/>
          <w:color w:val="808080" w:themeColor="background1" w:themeShade="80"/>
          <w:sz w:val="22"/>
          <w:szCs w:val="28"/>
          <w:vertAlign w:val="superscript"/>
        </w:rPr>
        <w:t>rd</w:t>
      </w:r>
      <w:r w:rsidR="00AD0256">
        <w:rPr>
          <w:rFonts w:ascii="Avenir Next" w:hAnsi="Avenir Next"/>
          <w:color w:val="808080" w:themeColor="background1" w:themeShade="80"/>
          <w:sz w:val="22"/>
          <w:szCs w:val="28"/>
        </w:rPr>
        <w:t xml:space="preserve"> parties.</w:t>
      </w:r>
    </w:p>
    <w:p w14:paraId="13EFAB91" w14:textId="77777777" w:rsidR="00AD0256" w:rsidRDefault="00AD0256" w:rsidP="00AD0256">
      <w:pPr>
        <w:pStyle w:val="ListParagraph"/>
        <w:ind w:left="1701"/>
        <w:jc w:val="both"/>
        <w:rPr>
          <w:rFonts w:ascii="Avenir Next" w:hAnsi="Avenir Next"/>
          <w:color w:val="808080" w:themeColor="background1" w:themeShade="80"/>
          <w:sz w:val="22"/>
          <w:szCs w:val="28"/>
        </w:rPr>
      </w:pPr>
    </w:p>
    <w:p w14:paraId="195EE129" w14:textId="56FA4973" w:rsidR="00AD0256" w:rsidRDefault="008C5576" w:rsidP="005B0F92">
      <w:pPr>
        <w:pStyle w:val="ListParagraph"/>
        <w:numPr>
          <w:ilvl w:val="0"/>
          <w:numId w:val="64"/>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conducted its scheme proceedings in the Cayman </w:t>
      </w:r>
      <w:proofErr w:type="gramStart"/>
      <w:r>
        <w:rPr>
          <w:rFonts w:ascii="Avenir Next" w:hAnsi="Avenir Next"/>
          <w:color w:val="808080" w:themeColor="background1" w:themeShade="80"/>
          <w:sz w:val="22"/>
          <w:szCs w:val="28"/>
        </w:rPr>
        <w:t>Islands</w:t>
      </w:r>
      <w:proofErr w:type="gramEnd"/>
      <w:r>
        <w:rPr>
          <w:rFonts w:ascii="Avenir Next" w:hAnsi="Avenir Next"/>
          <w:color w:val="808080" w:themeColor="background1" w:themeShade="80"/>
          <w:sz w:val="22"/>
          <w:szCs w:val="28"/>
        </w:rPr>
        <w:t xml:space="preserve"> and this is also ascertainable by 3</w:t>
      </w:r>
      <w:r w:rsidRPr="008C5576">
        <w:rPr>
          <w:rFonts w:ascii="Avenir Next" w:hAnsi="Avenir Next"/>
          <w:color w:val="808080" w:themeColor="background1" w:themeShade="80"/>
          <w:sz w:val="22"/>
          <w:szCs w:val="28"/>
          <w:vertAlign w:val="superscript"/>
        </w:rPr>
        <w:t>rd</w:t>
      </w:r>
      <w:r>
        <w:rPr>
          <w:rFonts w:ascii="Avenir Next" w:hAnsi="Avenir Next"/>
          <w:color w:val="808080" w:themeColor="background1" w:themeShade="80"/>
          <w:sz w:val="22"/>
          <w:szCs w:val="28"/>
        </w:rPr>
        <w:t xml:space="preserve"> parties.</w:t>
      </w:r>
    </w:p>
    <w:p w14:paraId="5E71007A" w14:textId="77777777" w:rsidR="008C5576" w:rsidRPr="008C5576" w:rsidRDefault="008C5576" w:rsidP="008C5576">
      <w:pPr>
        <w:pStyle w:val="ListParagraph"/>
        <w:rPr>
          <w:rFonts w:ascii="Avenir Next" w:hAnsi="Avenir Next"/>
          <w:color w:val="808080" w:themeColor="background1" w:themeShade="80"/>
          <w:sz w:val="22"/>
          <w:szCs w:val="28"/>
        </w:rPr>
      </w:pPr>
    </w:p>
    <w:p w14:paraId="76420970" w14:textId="7129D34E" w:rsidR="008C5576" w:rsidRPr="00241A86" w:rsidRDefault="00241A86" w:rsidP="005B0F92">
      <w:pPr>
        <w:pStyle w:val="ListParagraph"/>
        <w:numPr>
          <w:ilvl w:val="0"/>
          <w:numId w:val="64"/>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lack of evidence that Globe Holdings </w:t>
      </w:r>
      <w:proofErr w:type="gramStart"/>
      <w:r>
        <w:rPr>
          <w:rFonts w:ascii="Avenir Next" w:hAnsi="Avenir Next"/>
          <w:color w:val="808080" w:themeColor="background1" w:themeShade="80"/>
          <w:sz w:val="22"/>
          <w:szCs w:val="28"/>
        </w:rPr>
        <w:t>actually carried</w:t>
      </w:r>
      <w:proofErr w:type="gramEnd"/>
      <w:r>
        <w:rPr>
          <w:rFonts w:ascii="Avenir Next" w:hAnsi="Avenir Next"/>
          <w:color w:val="808080" w:themeColor="background1" w:themeShade="80"/>
          <w:sz w:val="22"/>
          <w:szCs w:val="28"/>
        </w:rPr>
        <w:t xml:space="preserve"> out any business activity in the Cayman Islands is insufficient to displace the presumption (</w:t>
      </w:r>
      <w:proofErr w:type="spellStart"/>
      <w:r w:rsidRPr="00241A86">
        <w:rPr>
          <w:rFonts w:ascii="Avenir Next" w:hAnsi="Avenir Next"/>
          <w:b/>
          <w:bCs/>
          <w:i/>
          <w:iCs/>
          <w:sz w:val="22"/>
          <w:szCs w:val="28"/>
        </w:rPr>
        <w:t>Melars</w:t>
      </w:r>
      <w:proofErr w:type="spellEnd"/>
      <w:r w:rsidRPr="00241A86">
        <w:rPr>
          <w:rFonts w:ascii="Avenir Next" w:hAnsi="Avenir Next"/>
          <w:b/>
          <w:bCs/>
          <w:i/>
          <w:iCs/>
          <w:sz w:val="22"/>
          <w:szCs w:val="28"/>
        </w:rPr>
        <w:t xml:space="preserve"> Group Ltd</w:t>
      </w:r>
      <w:r>
        <w:rPr>
          <w:rFonts w:ascii="Avenir Next" w:hAnsi="Avenir Next"/>
          <w:b/>
          <w:bCs/>
          <w:i/>
          <w:iCs/>
          <w:sz w:val="22"/>
          <w:szCs w:val="28"/>
        </w:rPr>
        <w:t>).</w:t>
      </w:r>
    </w:p>
    <w:p w14:paraId="2A763E90" w14:textId="77777777" w:rsidR="00241A86" w:rsidRPr="00241A86" w:rsidRDefault="00241A86" w:rsidP="00241A86">
      <w:pPr>
        <w:pStyle w:val="ListParagraph"/>
        <w:rPr>
          <w:rFonts w:ascii="Avenir Next" w:hAnsi="Avenir Next"/>
          <w:color w:val="808080" w:themeColor="background1" w:themeShade="80"/>
          <w:sz w:val="22"/>
          <w:szCs w:val="28"/>
        </w:rPr>
      </w:pPr>
    </w:p>
    <w:p w14:paraId="433384B0" w14:textId="003A87DF" w:rsidR="00241A86" w:rsidRPr="005B0F92" w:rsidRDefault="00F266F2" w:rsidP="005B0F92">
      <w:pPr>
        <w:pStyle w:val="ListParagraph"/>
        <w:numPr>
          <w:ilvl w:val="0"/>
          <w:numId w:val="64"/>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fact that the Notes </w:t>
      </w:r>
      <w:proofErr w:type="gramStart"/>
      <w:r>
        <w:rPr>
          <w:rFonts w:ascii="Avenir Next" w:hAnsi="Avenir Next"/>
          <w:color w:val="808080" w:themeColor="background1" w:themeShade="80"/>
          <w:sz w:val="22"/>
          <w:szCs w:val="28"/>
        </w:rPr>
        <w:t>issued</w:t>
      </w:r>
      <w:proofErr w:type="gramEnd"/>
      <w:r>
        <w:rPr>
          <w:rFonts w:ascii="Avenir Next" w:hAnsi="Avenir Next"/>
          <w:color w:val="808080" w:themeColor="background1" w:themeShade="80"/>
          <w:sz w:val="22"/>
          <w:szCs w:val="28"/>
        </w:rPr>
        <w:t xml:space="preserve"> and the </w:t>
      </w:r>
      <w:r>
        <w:rPr>
          <w:rFonts w:ascii="Avenir Next" w:hAnsi="Avenir Next"/>
          <w:color w:val="808080" w:themeColor="background1" w:themeShade="80"/>
          <w:sz w:val="22"/>
          <w:szCs w:val="28"/>
        </w:rPr>
        <w:t>Restructuring Support Agreement</w:t>
      </w:r>
      <w:r>
        <w:rPr>
          <w:rFonts w:ascii="Avenir Next" w:hAnsi="Avenir Next"/>
          <w:color w:val="808080" w:themeColor="background1" w:themeShade="80"/>
          <w:sz w:val="22"/>
          <w:szCs w:val="28"/>
        </w:rPr>
        <w:t xml:space="preserve"> </w:t>
      </w:r>
      <w:r w:rsidR="002E089D">
        <w:rPr>
          <w:rFonts w:ascii="Avenir Next" w:hAnsi="Avenir Next"/>
          <w:color w:val="808080" w:themeColor="background1" w:themeShade="80"/>
          <w:sz w:val="22"/>
          <w:szCs w:val="28"/>
        </w:rPr>
        <w:t xml:space="preserve">entered into are governed by New York law does not </w:t>
      </w:r>
      <w:r w:rsidR="00832D1D">
        <w:rPr>
          <w:rFonts w:ascii="Avenir Next" w:hAnsi="Avenir Next"/>
          <w:color w:val="808080" w:themeColor="background1" w:themeShade="80"/>
          <w:sz w:val="22"/>
          <w:szCs w:val="28"/>
        </w:rPr>
        <w:t xml:space="preserve">sufficiently establish that Globe Holding actually conducted the administration of its interests on a regular basis in New York/ US so as to displace the presumption in </w:t>
      </w:r>
      <w:proofErr w:type="spellStart"/>
      <w:r w:rsidR="00832D1D">
        <w:rPr>
          <w:rFonts w:ascii="Avenir Next" w:hAnsi="Avenir Next"/>
          <w:color w:val="808080" w:themeColor="background1" w:themeShade="80"/>
          <w:sz w:val="22"/>
          <w:szCs w:val="28"/>
        </w:rPr>
        <w:t>favour</w:t>
      </w:r>
      <w:proofErr w:type="spellEnd"/>
      <w:r w:rsidR="00832D1D">
        <w:rPr>
          <w:rFonts w:ascii="Avenir Next" w:hAnsi="Avenir Next"/>
          <w:color w:val="808080" w:themeColor="background1" w:themeShade="80"/>
          <w:sz w:val="22"/>
          <w:szCs w:val="28"/>
        </w:rPr>
        <w:t xml:space="preserve"> of the Cayman Islands.</w:t>
      </w:r>
    </w:p>
    <w:p w14:paraId="69588AB3" w14:textId="77777777" w:rsidR="008C73DB" w:rsidRDefault="008C73DB" w:rsidP="000B135F">
      <w:pPr>
        <w:ind w:left="567"/>
        <w:jc w:val="both"/>
        <w:rPr>
          <w:rFonts w:ascii="Avenir Next" w:hAnsi="Avenir Next"/>
          <w:color w:val="808080" w:themeColor="background1" w:themeShade="80"/>
          <w:sz w:val="22"/>
          <w:szCs w:val="28"/>
        </w:rPr>
      </w:pPr>
    </w:p>
    <w:p w14:paraId="43E3C4F4" w14:textId="4F61157A" w:rsidR="00832D1D" w:rsidRDefault="00832D1D" w:rsidP="009B4010">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that end, the presumption concerning recognition is not displaced and </w:t>
      </w:r>
      <w:r w:rsidR="002452FF">
        <w:rPr>
          <w:rFonts w:ascii="Avenir Next" w:hAnsi="Avenir Next"/>
          <w:color w:val="808080" w:themeColor="background1" w:themeShade="80"/>
          <w:sz w:val="22"/>
          <w:szCs w:val="28"/>
        </w:rPr>
        <w:t xml:space="preserve">the Cayman Islands is presumed to be the COMI of Globe Holdings. </w:t>
      </w:r>
    </w:p>
    <w:p w14:paraId="050F7293" w14:textId="77777777" w:rsidR="00832D1D" w:rsidRDefault="00832D1D" w:rsidP="00832D1D">
      <w:pPr>
        <w:jc w:val="both"/>
        <w:rPr>
          <w:rFonts w:ascii="Avenir Next" w:hAnsi="Avenir Next"/>
          <w:color w:val="808080" w:themeColor="background1" w:themeShade="80"/>
          <w:sz w:val="22"/>
          <w:szCs w:val="28"/>
        </w:rPr>
      </w:pPr>
    </w:p>
    <w:p w14:paraId="476A9C02" w14:textId="2B2BE423" w:rsidR="002452FF" w:rsidRPr="002452FF" w:rsidRDefault="002452FF" w:rsidP="009B4010">
      <w:pPr>
        <w:ind w:left="284"/>
        <w:jc w:val="both"/>
        <w:rPr>
          <w:rFonts w:ascii="Avenir Next" w:hAnsi="Avenir Next"/>
          <w:b/>
          <w:bCs/>
          <w:color w:val="808080" w:themeColor="background1" w:themeShade="80"/>
          <w:sz w:val="22"/>
          <w:szCs w:val="28"/>
          <w:u w:val="single"/>
        </w:rPr>
      </w:pPr>
      <w:r w:rsidRPr="002452FF">
        <w:rPr>
          <w:rFonts w:ascii="Avenir Next" w:hAnsi="Avenir Next"/>
          <w:b/>
          <w:bCs/>
          <w:color w:val="808080" w:themeColor="background1" w:themeShade="80"/>
          <w:sz w:val="22"/>
          <w:szCs w:val="28"/>
          <w:u w:val="single"/>
        </w:rPr>
        <w:t xml:space="preserve">Part </w:t>
      </w:r>
      <w:r>
        <w:rPr>
          <w:rFonts w:ascii="Avenir Next" w:hAnsi="Avenir Next"/>
          <w:b/>
          <w:bCs/>
          <w:color w:val="808080" w:themeColor="background1" w:themeShade="80"/>
          <w:sz w:val="22"/>
          <w:szCs w:val="28"/>
          <w:u w:val="single"/>
        </w:rPr>
        <w:t>B</w:t>
      </w:r>
      <w:r w:rsidRPr="002452FF">
        <w:rPr>
          <w:rFonts w:ascii="Avenir Next" w:hAnsi="Avenir Next"/>
          <w:b/>
          <w:bCs/>
          <w:color w:val="808080" w:themeColor="background1" w:themeShade="80"/>
          <w:sz w:val="22"/>
          <w:szCs w:val="28"/>
          <w:u w:val="single"/>
        </w:rPr>
        <w:t xml:space="preserve"> – </w:t>
      </w:r>
      <w:r w:rsidR="00001967">
        <w:rPr>
          <w:rFonts w:ascii="Avenir Next" w:hAnsi="Avenir Next"/>
          <w:b/>
          <w:bCs/>
          <w:color w:val="808080" w:themeColor="background1" w:themeShade="80"/>
          <w:sz w:val="22"/>
          <w:szCs w:val="28"/>
          <w:u w:val="single"/>
        </w:rPr>
        <w:t xml:space="preserve">Next steps for Recognition </w:t>
      </w:r>
      <w:r w:rsidR="009B4010">
        <w:rPr>
          <w:rFonts w:ascii="Avenir Next" w:hAnsi="Avenir Next"/>
          <w:b/>
          <w:bCs/>
          <w:color w:val="808080" w:themeColor="background1" w:themeShade="80"/>
          <w:sz w:val="22"/>
          <w:szCs w:val="28"/>
          <w:u w:val="single"/>
        </w:rPr>
        <w:t>of Foreign Proceedings in the US</w:t>
      </w:r>
    </w:p>
    <w:p w14:paraId="31ACA60A" w14:textId="77777777" w:rsidR="002452FF" w:rsidRDefault="002452FF" w:rsidP="00832D1D">
      <w:pPr>
        <w:jc w:val="both"/>
        <w:rPr>
          <w:rFonts w:ascii="Avenir Next" w:hAnsi="Avenir Next"/>
          <w:color w:val="808080" w:themeColor="background1" w:themeShade="80"/>
          <w:sz w:val="22"/>
          <w:szCs w:val="28"/>
        </w:rPr>
      </w:pPr>
    </w:p>
    <w:p w14:paraId="30D7E6F9" w14:textId="338E4C19" w:rsidR="009E3CA7" w:rsidRDefault="009B4010" w:rsidP="009B4010">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Having established that the Cayman Islands is the COMI of </w:t>
      </w:r>
      <w:r w:rsidR="00520219">
        <w:rPr>
          <w:rFonts w:ascii="Avenir Next" w:hAnsi="Avenir Next"/>
          <w:color w:val="808080" w:themeColor="background1" w:themeShade="80"/>
          <w:sz w:val="22"/>
          <w:szCs w:val="28"/>
        </w:rPr>
        <w:t>Globe Holdings</w:t>
      </w:r>
      <w:r>
        <w:rPr>
          <w:rFonts w:ascii="Avenir Next" w:hAnsi="Avenir Next"/>
          <w:color w:val="808080" w:themeColor="background1" w:themeShade="80"/>
          <w:sz w:val="22"/>
          <w:szCs w:val="28"/>
        </w:rPr>
        <w:t>, Globe Holdings</w:t>
      </w:r>
      <w:r w:rsidR="00520219">
        <w:rPr>
          <w:rFonts w:ascii="Avenir Next" w:hAnsi="Avenir Next"/>
          <w:color w:val="808080" w:themeColor="background1" w:themeShade="80"/>
          <w:sz w:val="22"/>
          <w:szCs w:val="28"/>
        </w:rPr>
        <w:t xml:space="preserve"> should file a</w:t>
      </w:r>
      <w:r w:rsidR="00D63E79">
        <w:rPr>
          <w:rFonts w:ascii="Avenir Next" w:hAnsi="Avenir Next"/>
          <w:color w:val="808080" w:themeColor="background1" w:themeShade="80"/>
          <w:sz w:val="22"/>
          <w:szCs w:val="28"/>
        </w:rPr>
        <w:t xml:space="preserve"> court </w:t>
      </w:r>
      <w:r w:rsidR="00520219">
        <w:rPr>
          <w:rFonts w:ascii="Avenir Next" w:hAnsi="Avenir Next"/>
          <w:color w:val="808080" w:themeColor="background1" w:themeShade="80"/>
          <w:sz w:val="22"/>
          <w:szCs w:val="28"/>
        </w:rPr>
        <w:t xml:space="preserve">application in the </w:t>
      </w:r>
      <w:r>
        <w:rPr>
          <w:rFonts w:ascii="Avenir Next" w:hAnsi="Avenir Next"/>
          <w:color w:val="808080" w:themeColor="background1" w:themeShade="80"/>
          <w:sz w:val="22"/>
          <w:szCs w:val="28"/>
        </w:rPr>
        <w:t>US</w:t>
      </w:r>
      <w:r w:rsidR="00D63E79">
        <w:rPr>
          <w:rFonts w:ascii="Avenir Next" w:hAnsi="Avenir Next"/>
          <w:color w:val="808080" w:themeColor="background1" w:themeShade="80"/>
          <w:sz w:val="22"/>
          <w:szCs w:val="28"/>
        </w:rPr>
        <w:t xml:space="preserve"> for recognition of the Cayman Scheme as a Foreign Main Proceeding. </w:t>
      </w:r>
    </w:p>
    <w:p w14:paraId="32ABA0B5" w14:textId="77777777" w:rsidR="00D63E79" w:rsidRDefault="00D63E79" w:rsidP="000B135F">
      <w:pPr>
        <w:ind w:left="567"/>
        <w:jc w:val="both"/>
        <w:rPr>
          <w:rFonts w:ascii="Avenir Next" w:hAnsi="Avenir Next"/>
          <w:color w:val="808080" w:themeColor="background1" w:themeShade="80"/>
          <w:sz w:val="22"/>
          <w:szCs w:val="28"/>
        </w:rPr>
      </w:pPr>
    </w:p>
    <w:p w14:paraId="416F1CB5" w14:textId="52554E73" w:rsidR="00D63E79" w:rsidRDefault="00892EAE" w:rsidP="000B135F">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part of its application for recognition, Globe Holdings should include the following</w:t>
      </w:r>
      <w:r w:rsidR="001D3B7D">
        <w:rPr>
          <w:rFonts w:ascii="Avenir Next" w:hAnsi="Avenir Next"/>
          <w:color w:val="808080" w:themeColor="background1" w:themeShade="80"/>
          <w:sz w:val="22"/>
          <w:szCs w:val="28"/>
        </w:rPr>
        <w:t xml:space="preserve"> pursuant to Article 15 of MLCBI</w:t>
      </w:r>
      <w:r>
        <w:rPr>
          <w:rFonts w:ascii="Avenir Next" w:hAnsi="Avenir Next"/>
          <w:color w:val="808080" w:themeColor="background1" w:themeShade="80"/>
          <w:sz w:val="22"/>
          <w:szCs w:val="28"/>
        </w:rPr>
        <w:t>:</w:t>
      </w:r>
    </w:p>
    <w:p w14:paraId="065243A9" w14:textId="77777777" w:rsidR="00892EAE" w:rsidRDefault="00892EAE" w:rsidP="000B135F">
      <w:pPr>
        <w:ind w:left="567"/>
        <w:jc w:val="both"/>
        <w:rPr>
          <w:rFonts w:ascii="Avenir Next" w:hAnsi="Avenir Next"/>
          <w:color w:val="808080" w:themeColor="background1" w:themeShade="80"/>
          <w:sz w:val="22"/>
          <w:szCs w:val="28"/>
        </w:rPr>
      </w:pPr>
    </w:p>
    <w:p w14:paraId="4DD5CFD4" w14:textId="70E16E02" w:rsidR="00892EAE" w:rsidRDefault="001D3B7D" w:rsidP="00892EAE">
      <w:pPr>
        <w:pStyle w:val="ListParagraph"/>
        <w:numPr>
          <w:ilvl w:val="0"/>
          <w:numId w:val="65"/>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w:t>
      </w:r>
      <w:r w:rsidR="00FE038C">
        <w:rPr>
          <w:rFonts w:ascii="Avenir Next" w:hAnsi="Avenir Next"/>
          <w:color w:val="808080" w:themeColor="background1" w:themeShade="80"/>
          <w:sz w:val="22"/>
          <w:szCs w:val="28"/>
        </w:rPr>
        <w:t>Sanction Order</w:t>
      </w:r>
      <w:r w:rsidR="00003DF4">
        <w:rPr>
          <w:rFonts w:ascii="Avenir Next" w:hAnsi="Avenir Next"/>
          <w:color w:val="808080" w:themeColor="background1" w:themeShade="80"/>
          <w:sz w:val="22"/>
          <w:szCs w:val="28"/>
        </w:rPr>
        <w:t>; or</w:t>
      </w:r>
    </w:p>
    <w:p w14:paraId="495DB1D4" w14:textId="77777777" w:rsidR="001D3B7D" w:rsidRDefault="001D3B7D" w:rsidP="001D3B7D">
      <w:pPr>
        <w:pStyle w:val="ListParagraph"/>
        <w:ind w:left="1701"/>
        <w:jc w:val="both"/>
        <w:rPr>
          <w:rFonts w:ascii="Avenir Next" w:hAnsi="Avenir Next"/>
          <w:color w:val="808080" w:themeColor="background1" w:themeShade="80"/>
          <w:sz w:val="22"/>
          <w:szCs w:val="28"/>
        </w:rPr>
      </w:pPr>
    </w:p>
    <w:p w14:paraId="460EE71A" w14:textId="77386338" w:rsidR="001D3B7D" w:rsidRDefault="001D3B7D" w:rsidP="00892EAE">
      <w:pPr>
        <w:pStyle w:val="ListParagraph"/>
        <w:numPr>
          <w:ilvl w:val="0"/>
          <w:numId w:val="65"/>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A certificate from the Cayman Islands’ court affirming the existence of the scheme proceedings and </w:t>
      </w:r>
      <w:r w:rsidR="00FE038C">
        <w:rPr>
          <w:rFonts w:ascii="Avenir Next" w:hAnsi="Avenir Next"/>
          <w:color w:val="808080" w:themeColor="background1" w:themeShade="80"/>
          <w:sz w:val="22"/>
          <w:szCs w:val="28"/>
        </w:rPr>
        <w:t>of the appointment of the foreign representative</w:t>
      </w:r>
      <w:r w:rsidR="00003DF4">
        <w:rPr>
          <w:rFonts w:ascii="Avenir Next" w:hAnsi="Avenir Next"/>
          <w:color w:val="808080" w:themeColor="background1" w:themeShade="80"/>
          <w:sz w:val="22"/>
          <w:szCs w:val="28"/>
        </w:rPr>
        <w:t>, and</w:t>
      </w:r>
    </w:p>
    <w:p w14:paraId="20631B13" w14:textId="77777777" w:rsidR="00003DF4" w:rsidRPr="00003DF4" w:rsidRDefault="00003DF4" w:rsidP="00003DF4">
      <w:pPr>
        <w:pStyle w:val="ListParagraph"/>
        <w:rPr>
          <w:rFonts w:ascii="Avenir Next" w:hAnsi="Avenir Next"/>
          <w:color w:val="808080" w:themeColor="background1" w:themeShade="80"/>
          <w:sz w:val="22"/>
          <w:szCs w:val="28"/>
        </w:rPr>
      </w:pPr>
    </w:p>
    <w:p w14:paraId="3475A5B7" w14:textId="7877F370" w:rsidR="00003DF4" w:rsidRPr="00892EAE" w:rsidRDefault="00003DF4" w:rsidP="00892EAE">
      <w:pPr>
        <w:pStyle w:val="ListParagraph"/>
        <w:numPr>
          <w:ilvl w:val="0"/>
          <w:numId w:val="65"/>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 identifying all foreign proceedings in respect of Globe Holdings that are known.</w:t>
      </w:r>
    </w:p>
    <w:p w14:paraId="43A441E9" w14:textId="77777777" w:rsidR="00126E19" w:rsidRPr="00E2622D" w:rsidRDefault="00126E19" w:rsidP="00707FC8">
      <w:pPr>
        <w:jc w:val="both"/>
        <w:rPr>
          <w:rFonts w:ascii="Avenir Next" w:hAnsi="Avenir Next" w:cs="Arial"/>
          <w:sz w:val="22"/>
          <w:szCs w:val="22"/>
          <w:lang w:val="en-GB"/>
        </w:rPr>
      </w:pPr>
    </w:p>
    <w:bookmarkEnd w:id="1"/>
    <w:p w14:paraId="10050D8C" w14:textId="7DCBBDFC" w:rsidR="00B67211" w:rsidRDefault="00B67211" w:rsidP="00B67211">
      <w:pPr>
        <w:ind w:left="284"/>
        <w:jc w:val="both"/>
        <w:rPr>
          <w:rFonts w:ascii="Avenir Next" w:hAnsi="Avenir Next"/>
          <w:b/>
          <w:bCs/>
          <w:color w:val="808080" w:themeColor="background1" w:themeShade="80"/>
          <w:sz w:val="22"/>
          <w:szCs w:val="28"/>
          <w:u w:val="single"/>
        </w:rPr>
      </w:pPr>
      <w:r w:rsidRPr="002452FF">
        <w:rPr>
          <w:rFonts w:ascii="Avenir Next" w:hAnsi="Avenir Next"/>
          <w:b/>
          <w:bCs/>
          <w:color w:val="808080" w:themeColor="background1" w:themeShade="80"/>
          <w:sz w:val="22"/>
          <w:szCs w:val="28"/>
          <w:u w:val="single"/>
        </w:rPr>
        <w:t xml:space="preserve">Part </w:t>
      </w:r>
      <w:r>
        <w:rPr>
          <w:rFonts w:ascii="Avenir Next" w:hAnsi="Avenir Next"/>
          <w:b/>
          <w:bCs/>
          <w:color w:val="808080" w:themeColor="background1" w:themeShade="80"/>
          <w:sz w:val="22"/>
          <w:szCs w:val="28"/>
          <w:u w:val="single"/>
        </w:rPr>
        <w:t>C</w:t>
      </w:r>
      <w:r w:rsidRPr="002452FF">
        <w:rPr>
          <w:rFonts w:ascii="Avenir Next" w:hAnsi="Avenir Next"/>
          <w:b/>
          <w:bCs/>
          <w:color w:val="808080" w:themeColor="background1" w:themeShade="80"/>
          <w:sz w:val="22"/>
          <w:szCs w:val="28"/>
          <w:u w:val="single"/>
        </w:rPr>
        <w:t xml:space="preserve"> – </w:t>
      </w:r>
      <w:r>
        <w:rPr>
          <w:rFonts w:ascii="Avenir Next" w:hAnsi="Avenir Next"/>
          <w:b/>
          <w:bCs/>
          <w:color w:val="808080" w:themeColor="background1" w:themeShade="80"/>
          <w:sz w:val="22"/>
          <w:szCs w:val="28"/>
          <w:u w:val="single"/>
        </w:rPr>
        <w:t xml:space="preserve">Relief to be requested upon filing of application for </w:t>
      </w:r>
      <w:proofErr w:type="gramStart"/>
      <w:r>
        <w:rPr>
          <w:rFonts w:ascii="Avenir Next" w:hAnsi="Avenir Next"/>
          <w:b/>
          <w:bCs/>
          <w:color w:val="808080" w:themeColor="background1" w:themeShade="80"/>
          <w:sz w:val="22"/>
          <w:szCs w:val="28"/>
          <w:u w:val="single"/>
        </w:rPr>
        <w:t>recognition</w:t>
      </w:r>
      <w:proofErr w:type="gramEnd"/>
    </w:p>
    <w:p w14:paraId="351035E6" w14:textId="77777777" w:rsidR="00B67211" w:rsidRDefault="00B67211" w:rsidP="00B67211">
      <w:pPr>
        <w:ind w:left="284"/>
        <w:jc w:val="both"/>
        <w:rPr>
          <w:rFonts w:ascii="Avenir Next" w:hAnsi="Avenir Next"/>
          <w:b/>
          <w:bCs/>
          <w:color w:val="808080" w:themeColor="background1" w:themeShade="80"/>
          <w:sz w:val="22"/>
          <w:szCs w:val="28"/>
          <w:u w:val="single"/>
        </w:rPr>
      </w:pPr>
    </w:p>
    <w:p w14:paraId="1FEB7831" w14:textId="77777777" w:rsidR="00734CD7" w:rsidRDefault="00B67211" w:rsidP="00B67211">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Upon filing of the recognition application, Globe Holding should consider applying for </w:t>
      </w:r>
      <w:r w:rsidR="00734CD7">
        <w:rPr>
          <w:rFonts w:ascii="Avenir Next" w:hAnsi="Avenir Next"/>
          <w:color w:val="808080" w:themeColor="background1" w:themeShade="80"/>
          <w:sz w:val="22"/>
          <w:szCs w:val="28"/>
        </w:rPr>
        <w:t>the following interim reliefs to protect its assets:</w:t>
      </w:r>
    </w:p>
    <w:p w14:paraId="5C1899D7" w14:textId="77777777" w:rsidR="00734CD7" w:rsidRDefault="00734CD7" w:rsidP="00B67211">
      <w:pPr>
        <w:ind w:left="567"/>
        <w:jc w:val="both"/>
        <w:rPr>
          <w:rFonts w:ascii="Avenir Next" w:hAnsi="Avenir Next"/>
          <w:color w:val="808080" w:themeColor="background1" w:themeShade="80"/>
          <w:sz w:val="22"/>
          <w:szCs w:val="28"/>
        </w:rPr>
      </w:pPr>
    </w:p>
    <w:p w14:paraId="20D2DAFC" w14:textId="35A45DAF" w:rsidR="00B92D03" w:rsidRDefault="00B92D03" w:rsidP="00734CD7">
      <w:pPr>
        <w:pStyle w:val="ListParagraph"/>
        <w:numPr>
          <w:ilvl w:val="0"/>
          <w:numId w:val="66"/>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 order to entrust the administration or realization of all or part of Globe Holdings’ assets located in the US to the foreign representative of Globe Holdings (</w:t>
      </w:r>
      <w:r w:rsidRPr="00B92D03">
        <w:rPr>
          <w:rFonts w:ascii="Avenir Next" w:hAnsi="Avenir Next"/>
          <w:b/>
          <w:bCs/>
          <w:i/>
          <w:iCs/>
          <w:color w:val="808080" w:themeColor="background1" w:themeShade="80"/>
          <w:sz w:val="22"/>
          <w:szCs w:val="28"/>
        </w:rPr>
        <w:t>Article 19(1)(b) of MLCBI</w:t>
      </w:r>
      <w:proofErr w:type="gramStart"/>
      <w:r>
        <w:rPr>
          <w:rFonts w:ascii="Avenir Next" w:hAnsi="Avenir Next"/>
          <w:color w:val="808080" w:themeColor="background1" w:themeShade="80"/>
          <w:sz w:val="22"/>
          <w:szCs w:val="28"/>
        </w:rPr>
        <w:t>);</w:t>
      </w:r>
      <w:proofErr w:type="gramEnd"/>
      <w:r>
        <w:rPr>
          <w:rFonts w:ascii="Avenir Next" w:hAnsi="Avenir Next"/>
          <w:color w:val="808080" w:themeColor="background1" w:themeShade="80"/>
          <w:sz w:val="22"/>
          <w:szCs w:val="28"/>
        </w:rPr>
        <w:t xml:space="preserve"> </w:t>
      </w:r>
    </w:p>
    <w:p w14:paraId="13C517BD" w14:textId="77777777" w:rsidR="00B92D03" w:rsidRDefault="00B92D03" w:rsidP="00B92D03">
      <w:pPr>
        <w:pStyle w:val="ListParagraph"/>
        <w:ind w:left="1701"/>
        <w:jc w:val="both"/>
        <w:rPr>
          <w:rFonts w:ascii="Avenir Next" w:hAnsi="Avenir Next"/>
          <w:color w:val="808080" w:themeColor="background1" w:themeShade="80"/>
          <w:sz w:val="22"/>
          <w:szCs w:val="28"/>
        </w:rPr>
      </w:pPr>
    </w:p>
    <w:p w14:paraId="6F70F502" w14:textId="0F44078B" w:rsidR="00B67211" w:rsidRDefault="003B378E" w:rsidP="00734CD7">
      <w:pPr>
        <w:pStyle w:val="ListParagraph"/>
        <w:numPr>
          <w:ilvl w:val="0"/>
          <w:numId w:val="66"/>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 order to suspend the right to transfer, encumber or otherwise dispose of any assets of Globe Holdings (</w:t>
      </w:r>
      <w:r w:rsidRPr="00C275DB">
        <w:rPr>
          <w:rFonts w:ascii="Avenir Next" w:hAnsi="Avenir Next"/>
          <w:b/>
          <w:bCs/>
          <w:i/>
          <w:iCs/>
          <w:color w:val="808080" w:themeColor="background1" w:themeShade="80"/>
          <w:sz w:val="22"/>
          <w:szCs w:val="28"/>
        </w:rPr>
        <w:t>Article 21(1)(c) of MLCBI</w:t>
      </w:r>
      <w:r>
        <w:rPr>
          <w:rFonts w:ascii="Avenir Next" w:hAnsi="Avenir Next"/>
          <w:color w:val="808080" w:themeColor="background1" w:themeShade="80"/>
          <w:sz w:val="22"/>
          <w:szCs w:val="28"/>
        </w:rPr>
        <w:t>); and</w:t>
      </w:r>
      <w:r w:rsidR="00B67211" w:rsidRPr="00734CD7">
        <w:rPr>
          <w:rFonts w:ascii="Avenir Next" w:hAnsi="Avenir Next"/>
          <w:color w:val="808080" w:themeColor="background1" w:themeShade="80"/>
          <w:sz w:val="22"/>
          <w:szCs w:val="28"/>
        </w:rPr>
        <w:t xml:space="preserve"> </w:t>
      </w:r>
    </w:p>
    <w:p w14:paraId="2F3537D7" w14:textId="77777777" w:rsidR="003B378E" w:rsidRPr="003B378E" w:rsidRDefault="003B378E" w:rsidP="003B378E">
      <w:pPr>
        <w:pStyle w:val="ListParagraph"/>
        <w:rPr>
          <w:rFonts w:ascii="Avenir Next" w:hAnsi="Avenir Next"/>
          <w:color w:val="808080" w:themeColor="background1" w:themeShade="80"/>
          <w:sz w:val="22"/>
          <w:szCs w:val="28"/>
        </w:rPr>
      </w:pPr>
    </w:p>
    <w:p w14:paraId="1BFF60E7" w14:textId="4789A9D7" w:rsidR="003B378E" w:rsidRPr="00734CD7" w:rsidRDefault="003B378E" w:rsidP="00734CD7">
      <w:pPr>
        <w:pStyle w:val="ListParagraph"/>
        <w:numPr>
          <w:ilvl w:val="0"/>
          <w:numId w:val="66"/>
        </w:numPr>
        <w:ind w:left="1701" w:hanging="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order for the examination of witnesses, the taking of evidence or the delivery of information concerning Globe Holdings’ assets, affairs, rights, </w:t>
      </w:r>
      <w:proofErr w:type="gramStart"/>
      <w:r>
        <w:rPr>
          <w:rFonts w:ascii="Avenir Next" w:hAnsi="Avenir Next"/>
          <w:color w:val="808080" w:themeColor="background1" w:themeShade="80"/>
          <w:sz w:val="22"/>
          <w:szCs w:val="28"/>
        </w:rPr>
        <w:t>obligations</w:t>
      </w:r>
      <w:proofErr w:type="gramEnd"/>
      <w:r>
        <w:rPr>
          <w:rFonts w:ascii="Avenir Next" w:hAnsi="Avenir Next"/>
          <w:color w:val="808080" w:themeColor="background1" w:themeShade="80"/>
          <w:sz w:val="22"/>
          <w:szCs w:val="28"/>
        </w:rPr>
        <w:t xml:space="preserve"> and liabilities</w:t>
      </w:r>
      <w:r w:rsidR="00C275DB">
        <w:rPr>
          <w:rFonts w:ascii="Avenir Next" w:hAnsi="Avenir Next"/>
          <w:color w:val="808080" w:themeColor="background1" w:themeShade="80"/>
          <w:sz w:val="22"/>
          <w:szCs w:val="28"/>
        </w:rPr>
        <w:t xml:space="preserve"> (</w:t>
      </w:r>
      <w:r w:rsidR="00C275DB" w:rsidRPr="00C275DB">
        <w:rPr>
          <w:rFonts w:ascii="Avenir Next" w:hAnsi="Avenir Next"/>
          <w:b/>
          <w:bCs/>
          <w:i/>
          <w:iCs/>
          <w:color w:val="808080" w:themeColor="background1" w:themeShade="80"/>
          <w:sz w:val="22"/>
          <w:szCs w:val="28"/>
        </w:rPr>
        <w:t>Article 21(1)(</w:t>
      </w:r>
      <w:r w:rsidR="00C275DB" w:rsidRPr="00C275DB">
        <w:rPr>
          <w:rFonts w:ascii="Avenir Next" w:hAnsi="Avenir Next"/>
          <w:b/>
          <w:bCs/>
          <w:i/>
          <w:iCs/>
          <w:color w:val="808080" w:themeColor="background1" w:themeShade="80"/>
          <w:sz w:val="22"/>
          <w:szCs w:val="28"/>
        </w:rPr>
        <w:t>d</w:t>
      </w:r>
      <w:r w:rsidR="00C275DB" w:rsidRPr="00C275DB">
        <w:rPr>
          <w:rFonts w:ascii="Avenir Next" w:hAnsi="Avenir Next"/>
          <w:b/>
          <w:bCs/>
          <w:i/>
          <w:iCs/>
          <w:color w:val="808080" w:themeColor="background1" w:themeShade="80"/>
          <w:sz w:val="22"/>
          <w:szCs w:val="28"/>
        </w:rPr>
        <w:t>) of MLCBI</w:t>
      </w:r>
      <w:r w:rsidR="00C275DB">
        <w:rPr>
          <w:rFonts w:ascii="Avenir Next" w:hAnsi="Avenir Next"/>
          <w:color w:val="808080" w:themeColor="background1" w:themeShade="80"/>
          <w:sz w:val="22"/>
          <w:szCs w:val="28"/>
        </w:rPr>
        <w:t>).</w:t>
      </w:r>
    </w:p>
    <w:p w14:paraId="2BB46F4E" w14:textId="77777777" w:rsidR="00B67211" w:rsidRPr="00B67211" w:rsidRDefault="00B67211" w:rsidP="00B67211">
      <w:pPr>
        <w:ind w:left="284"/>
        <w:jc w:val="both"/>
        <w:rPr>
          <w:rFonts w:ascii="Avenir Next" w:hAnsi="Avenir Next"/>
          <w:color w:val="808080" w:themeColor="background1" w:themeShade="80"/>
          <w:sz w:val="22"/>
          <w:szCs w:val="28"/>
        </w:rPr>
      </w:pPr>
    </w:p>
    <w:p w14:paraId="1B7A3707" w14:textId="5643041F" w:rsidR="003B378E" w:rsidRDefault="003B378E" w:rsidP="003B378E">
      <w:pPr>
        <w:ind w:left="567"/>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reasons for the above </w:t>
      </w:r>
      <w:r w:rsidR="001B254D">
        <w:rPr>
          <w:rFonts w:ascii="Avenir Next" w:hAnsi="Avenir Next"/>
          <w:color w:val="808080" w:themeColor="background1" w:themeShade="80"/>
          <w:sz w:val="22"/>
          <w:szCs w:val="28"/>
        </w:rPr>
        <w:t>are</w:t>
      </w:r>
      <w:r>
        <w:rPr>
          <w:rFonts w:ascii="Avenir Next" w:hAnsi="Avenir Next"/>
          <w:color w:val="808080" w:themeColor="background1" w:themeShade="80"/>
          <w:sz w:val="22"/>
          <w:szCs w:val="28"/>
        </w:rPr>
        <w:t xml:space="preserve"> </w:t>
      </w:r>
      <w:proofErr w:type="gramStart"/>
      <w:r>
        <w:rPr>
          <w:rFonts w:ascii="Avenir Next" w:hAnsi="Avenir Next"/>
          <w:color w:val="808080" w:themeColor="background1" w:themeShade="80"/>
          <w:sz w:val="22"/>
          <w:szCs w:val="28"/>
        </w:rPr>
        <w:t>so that</w:t>
      </w:r>
      <w:proofErr w:type="gramEnd"/>
      <w:r>
        <w:rPr>
          <w:rFonts w:ascii="Avenir Next" w:hAnsi="Avenir Next"/>
          <w:color w:val="808080" w:themeColor="background1" w:themeShade="80"/>
          <w:sz w:val="22"/>
          <w:szCs w:val="28"/>
        </w:rPr>
        <w:t xml:space="preserve"> Globe Holdings’ assets can be preserved pending </w:t>
      </w:r>
      <w:r w:rsidR="00E02910">
        <w:rPr>
          <w:rFonts w:ascii="Avenir Next" w:hAnsi="Avenir Next"/>
          <w:color w:val="808080" w:themeColor="background1" w:themeShade="80"/>
          <w:sz w:val="22"/>
          <w:szCs w:val="28"/>
        </w:rPr>
        <w:t xml:space="preserve">the anticipated class action litigation and that no assets of Globe Holdings may be disposed of to avoid any </w:t>
      </w:r>
      <w:r w:rsidR="001B254D">
        <w:rPr>
          <w:rFonts w:ascii="Avenir Next" w:hAnsi="Avenir Next"/>
          <w:color w:val="808080" w:themeColor="background1" w:themeShade="80"/>
          <w:sz w:val="22"/>
          <w:szCs w:val="28"/>
        </w:rPr>
        <w:t xml:space="preserve">payment obligation. The examination of witnesses and taking of evidence are to enable the foreign representative of Globe Holdings to take or preserve evidence from the relevant people </w:t>
      </w:r>
      <w:r w:rsidR="00C275DB">
        <w:rPr>
          <w:rFonts w:ascii="Avenir Next" w:hAnsi="Avenir Next"/>
          <w:color w:val="808080" w:themeColor="background1" w:themeShade="80"/>
          <w:sz w:val="22"/>
          <w:szCs w:val="28"/>
        </w:rPr>
        <w:t>so that the class action litigation may be answered or responded accordingly.</w:t>
      </w:r>
    </w:p>
    <w:p w14:paraId="6D8F5E51" w14:textId="77777777" w:rsidR="0077498C" w:rsidRPr="00B67211" w:rsidRDefault="0077498C" w:rsidP="00707FC8">
      <w:pPr>
        <w:jc w:val="both"/>
        <w:rPr>
          <w:rFonts w:ascii="Avenir Next" w:hAnsi="Avenir Next" w:cs="Arial"/>
          <w:color w:val="000000" w:themeColor="text1"/>
          <w:sz w:val="22"/>
          <w:szCs w:val="22"/>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4798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F678" w14:textId="77777777" w:rsidR="00047980" w:rsidRDefault="00047980" w:rsidP="00241B44">
      <w:r>
        <w:separator/>
      </w:r>
    </w:p>
  </w:endnote>
  <w:endnote w:type="continuationSeparator" w:id="0">
    <w:p w14:paraId="5667E748" w14:textId="77777777" w:rsidR="00047980" w:rsidRDefault="000479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7849AB0" w:rsidR="000300E0" w:rsidRPr="00B46CE2" w:rsidRDefault="00A37F0B" w:rsidP="000300E0">
    <w:pPr>
      <w:pStyle w:val="Footer"/>
      <w:ind w:right="360"/>
      <w:rPr>
        <w:rFonts w:ascii="Avenir Next" w:hAnsi="Avenir Next"/>
        <w:sz w:val="22"/>
        <w:szCs w:val="22"/>
      </w:rPr>
    </w:pPr>
    <w:r w:rsidRPr="00C804BF">
      <w:rPr>
        <w:rFonts w:ascii="Avenir Next" w:hAnsi="Avenir Next" w:cs="Arial"/>
        <w:sz w:val="22"/>
        <w:szCs w:val="22"/>
      </w:rPr>
      <w:t>202324-1399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160B" w14:textId="77777777" w:rsidR="00047980" w:rsidRDefault="00047980" w:rsidP="00241B44">
      <w:r>
        <w:separator/>
      </w:r>
    </w:p>
  </w:footnote>
  <w:footnote w:type="continuationSeparator" w:id="0">
    <w:p w14:paraId="4A56308E" w14:textId="77777777" w:rsidR="00047980" w:rsidRDefault="0004798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EF66" w14:textId="77777777" w:rsidR="00203201" w:rsidRDefault="0020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3FE9" w14:textId="77777777" w:rsidR="00203201" w:rsidRDefault="0020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0972" w14:textId="77777777" w:rsidR="00203201" w:rsidRDefault="0020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7B433E"/>
    <w:multiLevelType w:val="hybridMultilevel"/>
    <w:tmpl w:val="438228F8"/>
    <w:lvl w:ilvl="0" w:tplc="2C8C3CE4">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071D95"/>
    <w:multiLevelType w:val="hybridMultilevel"/>
    <w:tmpl w:val="CA4A16BA"/>
    <w:lvl w:ilvl="0" w:tplc="405A17A0">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C66790"/>
    <w:multiLevelType w:val="hybridMultilevel"/>
    <w:tmpl w:val="FF4ED944"/>
    <w:lvl w:ilvl="0" w:tplc="3006B4FE">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B501E13"/>
    <w:multiLevelType w:val="hybridMultilevel"/>
    <w:tmpl w:val="81D66096"/>
    <w:lvl w:ilvl="0" w:tplc="20DAAAE4">
      <w:start w:val="1"/>
      <w:numFmt w:val="upp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F22916"/>
    <w:multiLevelType w:val="hybridMultilevel"/>
    <w:tmpl w:val="E1E49A3C"/>
    <w:lvl w:ilvl="0" w:tplc="41F6011C">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42" w15:restartNumberingAfterBreak="0">
    <w:nsid w:val="53A47651"/>
    <w:multiLevelType w:val="hybridMultilevel"/>
    <w:tmpl w:val="545CCD72"/>
    <w:lvl w:ilvl="0" w:tplc="EE1E76CE">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4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3C96136"/>
    <w:multiLevelType w:val="hybridMultilevel"/>
    <w:tmpl w:val="EC844184"/>
    <w:lvl w:ilvl="0" w:tplc="38A8EA80">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4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C5586C"/>
    <w:multiLevelType w:val="hybridMultilevel"/>
    <w:tmpl w:val="30CA43B2"/>
    <w:lvl w:ilvl="0" w:tplc="B7BE9658">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61" w15:restartNumberingAfterBreak="0">
    <w:nsid w:val="76545482"/>
    <w:multiLevelType w:val="hybridMultilevel"/>
    <w:tmpl w:val="CF8CEE5A"/>
    <w:lvl w:ilvl="0" w:tplc="18BAF196">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6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5"/>
  </w:num>
  <w:num w:numId="3" w16cid:durableId="1837500537">
    <w:abstractNumId w:val="48"/>
  </w:num>
  <w:num w:numId="4" w16cid:durableId="577205504">
    <w:abstractNumId w:val="58"/>
  </w:num>
  <w:num w:numId="5" w16cid:durableId="587693970">
    <w:abstractNumId w:val="8"/>
  </w:num>
  <w:num w:numId="6" w16cid:durableId="937175523">
    <w:abstractNumId w:val="56"/>
  </w:num>
  <w:num w:numId="7" w16cid:durableId="1654067440">
    <w:abstractNumId w:val="24"/>
  </w:num>
  <w:num w:numId="8" w16cid:durableId="1105736194">
    <w:abstractNumId w:val="50"/>
  </w:num>
  <w:num w:numId="9" w16cid:durableId="337470287">
    <w:abstractNumId w:val="28"/>
  </w:num>
  <w:num w:numId="10" w16cid:durableId="409736686">
    <w:abstractNumId w:val="15"/>
  </w:num>
  <w:num w:numId="11" w16cid:durableId="2113239495">
    <w:abstractNumId w:val="34"/>
  </w:num>
  <w:num w:numId="12" w16cid:durableId="277688465">
    <w:abstractNumId w:val="54"/>
  </w:num>
  <w:num w:numId="13" w16cid:durableId="2058502388">
    <w:abstractNumId w:val="6"/>
  </w:num>
  <w:num w:numId="14" w16cid:durableId="1848598104">
    <w:abstractNumId w:val="43"/>
  </w:num>
  <w:num w:numId="15" w16cid:durableId="634214434">
    <w:abstractNumId w:val="16"/>
  </w:num>
  <w:num w:numId="16" w16cid:durableId="1164055646">
    <w:abstractNumId w:val="17"/>
  </w:num>
  <w:num w:numId="17" w16cid:durableId="4065661">
    <w:abstractNumId w:val="36"/>
  </w:num>
  <w:num w:numId="18" w16cid:durableId="970591766">
    <w:abstractNumId w:val="7"/>
  </w:num>
  <w:num w:numId="19" w16cid:durableId="1299339140">
    <w:abstractNumId w:val="35"/>
  </w:num>
  <w:num w:numId="20" w16cid:durableId="1327175081">
    <w:abstractNumId w:val="64"/>
  </w:num>
  <w:num w:numId="21" w16cid:durableId="2089498112">
    <w:abstractNumId w:val="22"/>
  </w:num>
  <w:num w:numId="22" w16cid:durableId="221064104">
    <w:abstractNumId w:val="53"/>
  </w:num>
  <w:num w:numId="23" w16cid:durableId="860243873">
    <w:abstractNumId w:val="62"/>
  </w:num>
  <w:num w:numId="24" w16cid:durableId="1555506834">
    <w:abstractNumId w:val="52"/>
  </w:num>
  <w:num w:numId="25" w16cid:durableId="1954677308">
    <w:abstractNumId w:val="40"/>
  </w:num>
  <w:num w:numId="26" w16cid:durableId="998270126">
    <w:abstractNumId w:val="63"/>
  </w:num>
  <w:num w:numId="27" w16cid:durableId="657656171">
    <w:abstractNumId w:val="57"/>
  </w:num>
  <w:num w:numId="28" w16cid:durableId="1116829249">
    <w:abstractNumId w:val="11"/>
  </w:num>
  <w:num w:numId="29" w16cid:durableId="1055274873">
    <w:abstractNumId w:val="12"/>
  </w:num>
  <w:num w:numId="30" w16cid:durableId="790785319">
    <w:abstractNumId w:val="37"/>
  </w:num>
  <w:num w:numId="31" w16cid:durableId="781922295">
    <w:abstractNumId w:val="4"/>
  </w:num>
  <w:num w:numId="32" w16cid:durableId="268047206">
    <w:abstractNumId w:val="39"/>
  </w:num>
  <w:num w:numId="33" w16cid:durableId="198930779">
    <w:abstractNumId w:val="0"/>
  </w:num>
  <w:num w:numId="34" w16cid:durableId="480577945">
    <w:abstractNumId w:val="49"/>
  </w:num>
  <w:num w:numId="35" w16cid:durableId="984242224">
    <w:abstractNumId w:val="27"/>
  </w:num>
  <w:num w:numId="36" w16cid:durableId="485898662">
    <w:abstractNumId w:val="51"/>
  </w:num>
  <w:num w:numId="37" w16cid:durableId="1147433143">
    <w:abstractNumId w:val="31"/>
  </w:num>
  <w:num w:numId="38" w16cid:durableId="827285019">
    <w:abstractNumId w:val="45"/>
  </w:num>
  <w:num w:numId="39" w16cid:durableId="128666775">
    <w:abstractNumId w:val="5"/>
  </w:num>
  <w:num w:numId="40" w16cid:durableId="1339426664">
    <w:abstractNumId w:val="25"/>
  </w:num>
  <w:num w:numId="41" w16cid:durableId="1969971734">
    <w:abstractNumId w:val="55"/>
  </w:num>
  <w:num w:numId="42" w16cid:durableId="368453801">
    <w:abstractNumId w:val="21"/>
  </w:num>
  <w:num w:numId="43" w16cid:durableId="51392340">
    <w:abstractNumId w:val="38"/>
  </w:num>
  <w:num w:numId="44" w16cid:durableId="1531332188">
    <w:abstractNumId w:val="14"/>
  </w:num>
  <w:num w:numId="45" w16cid:durableId="8337133">
    <w:abstractNumId w:val="13"/>
  </w:num>
  <w:num w:numId="46" w16cid:durableId="1612931796">
    <w:abstractNumId w:val="44"/>
  </w:num>
  <w:num w:numId="47" w16cid:durableId="89930162">
    <w:abstractNumId w:val="23"/>
  </w:num>
  <w:num w:numId="48" w16cid:durableId="1477838578">
    <w:abstractNumId w:val="9"/>
  </w:num>
  <w:num w:numId="49" w16cid:durableId="2073384460">
    <w:abstractNumId w:val="59"/>
  </w:num>
  <w:num w:numId="50" w16cid:durableId="59720369">
    <w:abstractNumId w:val="33"/>
  </w:num>
  <w:num w:numId="51" w16cid:durableId="1379276728">
    <w:abstractNumId w:val="10"/>
  </w:num>
  <w:num w:numId="52" w16cid:durableId="921179279">
    <w:abstractNumId w:val="20"/>
  </w:num>
  <w:num w:numId="53" w16cid:durableId="1060514793">
    <w:abstractNumId w:val="30"/>
  </w:num>
  <w:num w:numId="54" w16cid:durableId="64230155">
    <w:abstractNumId w:val="3"/>
  </w:num>
  <w:num w:numId="55" w16cid:durableId="1681084025">
    <w:abstractNumId w:val="2"/>
  </w:num>
  <w:num w:numId="56" w16cid:durableId="1275090443">
    <w:abstractNumId w:val="19"/>
  </w:num>
  <w:num w:numId="57" w16cid:durableId="269969236">
    <w:abstractNumId w:val="46"/>
  </w:num>
  <w:num w:numId="58" w16cid:durableId="1360817249">
    <w:abstractNumId w:val="32"/>
  </w:num>
  <w:num w:numId="59" w16cid:durableId="1090197989">
    <w:abstractNumId w:val="47"/>
  </w:num>
  <w:num w:numId="60" w16cid:durableId="1653369733">
    <w:abstractNumId w:val="29"/>
  </w:num>
  <w:num w:numId="61" w16cid:durableId="1458257417">
    <w:abstractNumId w:val="41"/>
  </w:num>
  <w:num w:numId="62" w16cid:durableId="2138838917">
    <w:abstractNumId w:val="42"/>
  </w:num>
  <w:num w:numId="63" w16cid:durableId="709458006">
    <w:abstractNumId w:val="60"/>
  </w:num>
  <w:num w:numId="64" w16cid:durableId="167912720">
    <w:abstractNumId w:val="61"/>
  </w:num>
  <w:num w:numId="65" w16cid:durableId="1573352412">
    <w:abstractNumId w:val="26"/>
  </w:num>
  <w:num w:numId="66" w16cid:durableId="202427956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67"/>
    <w:rsid w:val="00001E0C"/>
    <w:rsid w:val="00003DF4"/>
    <w:rsid w:val="00006421"/>
    <w:rsid w:val="000077DD"/>
    <w:rsid w:val="00010BA0"/>
    <w:rsid w:val="00011778"/>
    <w:rsid w:val="0001365B"/>
    <w:rsid w:val="00020557"/>
    <w:rsid w:val="000232A1"/>
    <w:rsid w:val="00023A13"/>
    <w:rsid w:val="000250C7"/>
    <w:rsid w:val="00025CCF"/>
    <w:rsid w:val="000300E0"/>
    <w:rsid w:val="0003114A"/>
    <w:rsid w:val="000352C1"/>
    <w:rsid w:val="0003619C"/>
    <w:rsid w:val="0003743B"/>
    <w:rsid w:val="00037621"/>
    <w:rsid w:val="00044D46"/>
    <w:rsid w:val="00045088"/>
    <w:rsid w:val="00045904"/>
    <w:rsid w:val="000464F7"/>
    <w:rsid w:val="00047980"/>
    <w:rsid w:val="0005141D"/>
    <w:rsid w:val="00055A1D"/>
    <w:rsid w:val="00060E02"/>
    <w:rsid w:val="000624C6"/>
    <w:rsid w:val="00065166"/>
    <w:rsid w:val="00067A88"/>
    <w:rsid w:val="00070B92"/>
    <w:rsid w:val="000713DF"/>
    <w:rsid w:val="00073474"/>
    <w:rsid w:val="00077D49"/>
    <w:rsid w:val="00082609"/>
    <w:rsid w:val="00083B38"/>
    <w:rsid w:val="000851CC"/>
    <w:rsid w:val="00093BE8"/>
    <w:rsid w:val="000A68ED"/>
    <w:rsid w:val="000A698A"/>
    <w:rsid w:val="000A7BBB"/>
    <w:rsid w:val="000B135F"/>
    <w:rsid w:val="000B4FEB"/>
    <w:rsid w:val="000B5FF1"/>
    <w:rsid w:val="000B609F"/>
    <w:rsid w:val="000C08E4"/>
    <w:rsid w:val="000C147F"/>
    <w:rsid w:val="000C6BB9"/>
    <w:rsid w:val="000D32A9"/>
    <w:rsid w:val="000D55A8"/>
    <w:rsid w:val="000E4841"/>
    <w:rsid w:val="000E6325"/>
    <w:rsid w:val="000F1677"/>
    <w:rsid w:val="000F3D6C"/>
    <w:rsid w:val="000F579C"/>
    <w:rsid w:val="000F7213"/>
    <w:rsid w:val="00100E8F"/>
    <w:rsid w:val="00101707"/>
    <w:rsid w:val="00101A9E"/>
    <w:rsid w:val="00107CB4"/>
    <w:rsid w:val="00112F36"/>
    <w:rsid w:val="00114082"/>
    <w:rsid w:val="0011473D"/>
    <w:rsid w:val="00114A2D"/>
    <w:rsid w:val="00115C85"/>
    <w:rsid w:val="00123855"/>
    <w:rsid w:val="00126A4D"/>
    <w:rsid w:val="00126E19"/>
    <w:rsid w:val="0012794D"/>
    <w:rsid w:val="001374D8"/>
    <w:rsid w:val="00140E0A"/>
    <w:rsid w:val="0014171F"/>
    <w:rsid w:val="0014622C"/>
    <w:rsid w:val="00147770"/>
    <w:rsid w:val="00151F58"/>
    <w:rsid w:val="00152348"/>
    <w:rsid w:val="00152845"/>
    <w:rsid w:val="0015456D"/>
    <w:rsid w:val="0015549B"/>
    <w:rsid w:val="00155FA2"/>
    <w:rsid w:val="001578CB"/>
    <w:rsid w:val="00161F1B"/>
    <w:rsid w:val="00162829"/>
    <w:rsid w:val="00165A7F"/>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4D3"/>
    <w:rsid w:val="001A24E7"/>
    <w:rsid w:val="001A2B78"/>
    <w:rsid w:val="001A36C9"/>
    <w:rsid w:val="001A7E9A"/>
    <w:rsid w:val="001B0F70"/>
    <w:rsid w:val="001B254D"/>
    <w:rsid w:val="001B5016"/>
    <w:rsid w:val="001C0188"/>
    <w:rsid w:val="001C45FC"/>
    <w:rsid w:val="001C51C3"/>
    <w:rsid w:val="001C63E8"/>
    <w:rsid w:val="001D02C5"/>
    <w:rsid w:val="001D3B7D"/>
    <w:rsid w:val="001D4862"/>
    <w:rsid w:val="001D7BA4"/>
    <w:rsid w:val="001E25B9"/>
    <w:rsid w:val="001E49E0"/>
    <w:rsid w:val="001E60C3"/>
    <w:rsid w:val="001E7B5A"/>
    <w:rsid w:val="001F1E0F"/>
    <w:rsid w:val="001F4FD8"/>
    <w:rsid w:val="001F7412"/>
    <w:rsid w:val="00200FDD"/>
    <w:rsid w:val="00201874"/>
    <w:rsid w:val="00202133"/>
    <w:rsid w:val="0020264E"/>
    <w:rsid w:val="00203201"/>
    <w:rsid w:val="0020725B"/>
    <w:rsid w:val="00216C97"/>
    <w:rsid w:val="002175BA"/>
    <w:rsid w:val="00222DC5"/>
    <w:rsid w:val="0022599E"/>
    <w:rsid w:val="00227B27"/>
    <w:rsid w:val="00227C5E"/>
    <w:rsid w:val="002305E8"/>
    <w:rsid w:val="0023198D"/>
    <w:rsid w:val="0023317E"/>
    <w:rsid w:val="00234F2C"/>
    <w:rsid w:val="00240B0E"/>
    <w:rsid w:val="0024116D"/>
    <w:rsid w:val="00241A86"/>
    <w:rsid w:val="00241B44"/>
    <w:rsid w:val="002452FF"/>
    <w:rsid w:val="00245EFB"/>
    <w:rsid w:val="00250E19"/>
    <w:rsid w:val="00251603"/>
    <w:rsid w:val="0025386E"/>
    <w:rsid w:val="002539D7"/>
    <w:rsid w:val="00257437"/>
    <w:rsid w:val="002638B0"/>
    <w:rsid w:val="00264FFF"/>
    <w:rsid w:val="002650D7"/>
    <w:rsid w:val="002654E8"/>
    <w:rsid w:val="00265E8D"/>
    <w:rsid w:val="0026647A"/>
    <w:rsid w:val="002668D3"/>
    <w:rsid w:val="002675BE"/>
    <w:rsid w:val="0027299F"/>
    <w:rsid w:val="00272AA4"/>
    <w:rsid w:val="00276913"/>
    <w:rsid w:val="0028135B"/>
    <w:rsid w:val="00282480"/>
    <w:rsid w:val="00284EBE"/>
    <w:rsid w:val="0029433F"/>
    <w:rsid w:val="00294829"/>
    <w:rsid w:val="00294F3B"/>
    <w:rsid w:val="0029690F"/>
    <w:rsid w:val="002A1EEC"/>
    <w:rsid w:val="002A29FB"/>
    <w:rsid w:val="002A2A60"/>
    <w:rsid w:val="002A7E18"/>
    <w:rsid w:val="002B1C45"/>
    <w:rsid w:val="002C13C8"/>
    <w:rsid w:val="002C3547"/>
    <w:rsid w:val="002D0021"/>
    <w:rsid w:val="002D3473"/>
    <w:rsid w:val="002D46E9"/>
    <w:rsid w:val="002D5C95"/>
    <w:rsid w:val="002E00F8"/>
    <w:rsid w:val="002E089D"/>
    <w:rsid w:val="002E1BB5"/>
    <w:rsid w:val="002E2322"/>
    <w:rsid w:val="002E38E2"/>
    <w:rsid w:val="002F1956"/>
    <w:rsid w:val="002F2D44"/>
    <w:rsid w:val="002F3440"/>
    <w:rsid w:val="002F4EC0"/>
    <w:rsid w:val="002F6982"/>
    <w:rsid w:val="002F71BE"/>
    <w:rsid w:val="002F75A3"/>
    <w:rsid w:val="002F78CA"/>
    <w:rsid w:val="00303C2F"/>
    <w:rsid w:val="0030732D"/>
    <w:rsid w:val="00312911"/>
    <w:rsid w:val="003144EF"/>
    <w:rsid w:val="003148CA"/>
    <w:rsid w:val="00315506"/>
    <w:rsid w:val="003220BA"/>
    <w:rsid w:val="00322F3B"/>
    <w:rsid w:val="00323940"/>
    <w:rsid w:val="00326292"/>
    <w:rsid w:val="00326415"/>
    <w:rsid w:val="00326D83"/>
    <w:rsid w:val="00330937"/>
    <w:rsid w:val="00330F31"/>
    <w:rsid w:val="0033442A"/>
    <w:rsid w:val="00334648"/>
    <w:rsid w:val="0033768C"/>
    <w:rsid w:val="00337938"/>
    <w:rsid w:val="00340769"/>
    <w:rsid w:val="00341AA6"/>
    <w:rsid w:val="00342459"/>
    <w:rsid w:val="003427B9"/>
    <w:rsid w:val="00346173"/>
    <w:rsid w:val="00346B16"/>
    <w:rsid w:val="003512EA"/>
    <w:rsid w:val="00361A0A"/>
    <w:rsid w:val="0036565C"/>
    <w:rsid w:val="0036625E"/>
    <w:rsid w:val="0036760B"/>
    <w:rsid w:val="0037465A"/>
    <w:rsid w:val="0037544E"/>
    <w:rsid w:val="00380BAB"/>
    <w:rsid w:val="00382C98"/>
    <w:rsid w:val="0038533C"/>
    <w:rsid w:val="00386568"/>
    <w:rsid w:val="00387106"/>
    <w:rsid w:val="00391F3E"/>
    <w:rsid w:val="003948D5"/>
    <w:rsid w:val="00395B3D"/>
    <w:rsid w:val="003963D4"/>
    <w:rsid w:val="00396821"/>
    <w:rsid w:val="00397D3A"/>
    <w:rsid w:val="003A051E"/>
    <w:rsid w:val="003A2FEE"/>
    <w:rsid w:val="003B1310"/>
    <w:rsid w:val="003B170F"/>
    <w:rsid w:val="003B2CB8"/>
    <w:rsid w:val="003B378E"/>
    <w:rsid w:val="003B3C5F"/>
    <w:rsid w:val="003C089D"/>
    <w:rsid w:val="003C4471"/>
    <w:rsid w:val="003C66B1"/>
    <w:rsid w:val="003D0A6D"/>
    <w:rsid w:val="003D417D"/>
    <w:rsid w:val="003E0B16"/>
    <w:rsid w:val="003E1F7B"/>
    <w:rsid w:val="003E67D1"/>
    <w:rsid w:val="00405DC1"/>
    <w:rsid w:val="0040710D"/>
    <w:rsid w:val="0041139B"/>
    <w:rsid w:val="004137C3"/>
    <w:rsid w:val="00413D3A"/>
    <w:rsid w:val="0041462A"/>
    <w:rsid w:val="00415F1F"/>
    <w:rsid w:val="00417B0F"/>
    <w:rsid w:val="0042108F"/>
    <w:rsid w:val="0042196D"/>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392C"/>
    <w:rsid w:val="0045446F"/>
    <w:rsid w:val="0045683E"/>
    <w:rsid w:val="00465DE3"/>
    <w:rsid w:val="0047025B"/>
    <w:rsid w:val="004734E1"/>
    <w:rsid w:val="00491675"/>
    <w:rsid w:val="00493855"/>
    <w:rsid w:val="0049508F"/>
    <w:rsid w:val="004A1073"/>
    <w:rsid w:val="004A171E"/>
    <w:rsid w:val="004A57DD"/>
    <w:rsid w:val="004A7B51"/>
    <w:rsid w:val="004A7D71"/>
    <w:rsid w:val="004A7EF3"/>
    <w:rsid w:val="004B11FD"/>
    <w:rsid w:val="004B1750"/>
    <w:rsid w:val="004B23A2"/>
    <w:rsid w:val="004B74D8"/>
    <w:rsid w:val="004C183A"/>
    <w:rsid w:val="004C4E97"/>
    <w:rsid w:val="004C732F"/>
    <w:rsid w:val="004D1A5A"/>
    <w:rsid w:val="004D2FFF"/>
    <w:rsid w:val="004D3721"/>
    <w:rsid w:val="004D64F9"/>
    <w:rsid w:val="004E0549"/>
    <w:rsid w:val="004E1674"/>
    <w:rsid w:val="004E2E92"/>
    <w:rsid w:val="004E30B0"/>
    <w:rsid w:val="004E622C"/>
    <w:rsid w:val="004F5FDF"/>
    <w:rsid w:val="004F7F3B"/>
    <w:rsid w:val="0050157D"/>
    <w:rsid w:val="005053AC"/>
    <w:rsid w:val="00506803"/>
    <w:rsid w:val="0050682B"/>
    <w:rsid w:val="00507AAC"/>
    <w:rsid w:val="005177FE"/>
    <w:rsid w:val="00520219"/>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4F55"/>
    <w:rsid w:val="00555D88"/>
    <w:rsid w:val="00556777"/>
    <w:rsid w:val="0055688E"/>
    <w:rsid w:val="00560534"/>
    <w:rsid w:val="0056391B"/>
    <w:rsid w:val="005650E2"/>
    <w:rsid w:val="00565292"/>
    <w:rsid w:val="0056535A"/>
    <w:rsid w:val="00565DEE"/>
    <w:rsid w:val="00567AD7"/>
    <w:rsid w:val="00567F31"/>
    <w:rsid w:val="00573E73"/>
    <w:rsid w:val="00575B2D"/>
    <w:rsid w:val="00576050"/>
    <w:rsid w:val="005833D0"/>
    <w:rsid w:val="005846F3"/>
    <w:rsid w:val="0058622F"/>
    <w:rsid w:val="00587461"/>
    <w:rsid w:val="00590023"/>
    <w:rsid w:val="00592F82"/>
    <w:rsid w:val="005A0CCA"/>
    <w:rsid w:val="005A726D"/>
    <w:rsid w:val="005B0F92"/>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0BEF"/>
    <w:rsid w:val="0066252C"/>
    <w:rsid w:val="006661EF"/>
    <w:rsid w:val="00670760"/>
    <w:rsid w:val="006715F7"/>
    <w:rsid w:val="0067294B"/>
    <w:rsid w:val="00677736"/>
    <w:rsid w:val="0067785F"/>
    <w:rsid w:val="00677AEB"/>
    <w:rsid w:val="00680EF2"/>
    <w:rsid w:val="006825B4"/>
    <w:rsid w:val="006839C2"/>
    <w:rsid w:val="00687A1D"/>
    <w:rsid w:val="006920CC"/>
    <w:rsid w:val="00692AB2"/>
    <w:rsid w:val="0069647C"/>
    <w:rsid w:val="00697EA1"/>
    <w:rsid w:val="006A1850"/>
    <w:rsid w:val="006A2646"/>
    <w:rsid w:val="006A3DF0"/>
    <w:rsid w:val="006A6530"/>
    <w:rsid w:val="006B1D9C"/>
    <w:rsid w:val="006B435A"/>
    <w:rsid w:val="006B4C64"/>
    <w:rsid w:val="006B4FFC"/>
    <w:rsid w:val="006D0E6E"/>
    <w:rsid w:val="006D6BD5"/>
    <w:rsid w:val="006E04E4"/>
    <w:rsid w:val="006E481A"/>
    <w:rsid w:val="006E5298"/>
    <w:rsid w:val="006F2CE3"/>
    <w:rsid w:val="006F51FA"/>
    <w:rsid w:val="006F583D"/>
    <w:rsid w:val="006F734A"/>
    <w:rsid w:val="00700D83"/>
    <w:rsid w:val="00703819"/>
    <w:rsid w:val="00704852"/>
    <w:rsid w:val="00706297"/>
    <w:rsid w:val="00706AD5"/>
    <w:rsid w:val="0070718E"/>
    <w:rsid w:val="007074E9"/>
    <w:rsid w:val="00707FC8"/>
    <w:rsid w:val="00710CB4"/>
    <w:rsid w:val="00713DA4"/>
    <w:rsid w:val="00714BF1"/>
    <w:rsid w:val="00721383"/>
    <w:rsid w:val="0072554C"/>
    <w:rsid w:val="00725911"/>
    <w:rsid w:val="00725CA7"/>
    <w:rsid w:val="00731DBD"/>
    <w:rsid w:val="007333CC"/>
    <w:rsid w:val="0073399A"/>
    <w:rsid w:val="00734563"/>
    <w:rsid w:val="00734CD7"/>
    <w:rsid w:val="00751F66"/>
    <w:rsid w:val="007603F5"/>
    <w:rsid w:val="00764DB0"/>
    <w:rsid w:val="00766F8A"/>
    <w:rsid w:val="0076764D"/>
    <w:rsid w:val="0077498C"/>
    <w:rsid w:val="00777183"/>
    <w:rsid w:val="00784128"/>
    <w:rsid w:val="00784B4B"/>
    <w:rsid w:val="007854ED"/>
    <w:rsid w:val="00786B6A"/>
    <w:rsid w:val="00790D96"/>
    <w:rsid w:val="00793173"/>
    <w:rsid w:val="007B3AC7"/>
    <w:rsid w:val="007B497A"/>
    <w:rsid w:val="007C1FCC"/>
    <w:rsid w:val="007C32A8"/>
    <w:rsid w:val="007C3FE5"/>
    <w:rsid w:val="007C590B"/>
    <w:rsid w:val="007C6201"/>
    <w:rsid w:val="007C6988"/>
    <w:rsid w:val="007D28A1"/>
    <w:rsid w:val="007D7C92"/>
    <w:rsid w:val="007E1154"/>
    <w:rsid w:val="007E6BA4"/>
    <w:rsid w:val="007E7678"/>
    <w:rsid w:val="007F41F8"/>
    <w:rsid w:val="007F60D0"/>
    <w:rsid w:val="00800ED8"/>
    <w:rsid w:val="0080454E"/>
    <w:rsid w:val="00804C32"/>
    <w:rsid w:val="00806302"/>
    <w:rsid w:val="00807119"/>
    <w:rsid w:val="00812AFE"/>
    <w:rsid w:val="00813B58"/>
    <w:rsid w:val="00817D57"/>
    <w:rsid w:val="00822764"/>
    <w:rsid w:val="008241C4"/>
    <w:rsid w:val="0082483F"/>
    <w:rsid w:val="008264CB"/>
    <w:rsid w:val="008279C0"/>
    <w:rsid w:val="00832D1D"/>
    <w:rsid w:val="00835FD1"/>
    <w:rsid w:val="0084683C"/>
    <w:rsid w:val="00850E2E"/>
    <w:rsid w:val="008512FA"/>
    <w:rsid w:val="00853A74"/>
    <w:rsid w:val="00857763"/>
    <w:rsid w:val="00860E61"/>
    <w:rsid w:val="00867A8F"/>
    <w:rsid w:val="00871BF8"/>
    <w:rsid w:val="008723F3"/>
    <w:rsid w:val="00881DE6"/>
    <w:rsid w:val="008837A6"/>
    <w:rsid w:val="0089145D"/>
    <w:rsid w:val="00892EAE"/>
    <w:rsid w:val="00893A03"/>
    <w:rsid w:val="008A066C"/>
    <w:rsid w:val="008A0C6E"/>
    <w:rsid w:val="008A46CF"/>
    <w:rsid w:val="008A4DF2"/>
    <w:rsid w:val="008A6CFE"/>
    <w:rsid w:val="008A7470"/>
    <w:rsid w:val="008B1A08"/>
    <w:rsid w:val="008B2DE3"/>
    <w:rsid w:val="008B3E9F"/>
    <w:rsid w:val="008B5333"/>
    <w:rsid w:val="008B6223"/>
    <w:rsid w:val="008C4B3A"/>
    <w:rsid w:val="008C5576"/>
    <w:rsid w:val="008C66E0"/>
    <w:rsid w:val="008C73DB"/>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548C"/>
    <w:rsid w:val="00956085"/>
    <w:rsid w:val="00957951"/>
    <w:rsid w:val="00962045"/>
    <w:rsid w:val="00967D11"/>
    <w:rsid w:val="00967EDA"/>
    <w:rsid w:val="00970897"/>
    <w:rsid w:val="0097337E"/>
    <w:rsid w:val="00980314"/>
    <w:rsid w:val="009816D0"/>
    <w:rsid w:val="00981814"/>
    <w:rsid w:val="00991428"/>
    <w:rsid w:val="00992676"/>
    <w:rsid w:val="00996691"/>
    <w:rsid w:val="009A4880"/>
    <w:rsid w:val="009A58D1"/>
    <w:rsid w:val="009A7526"/>
    <w:rsid w:val="009A7865"/>
    <w:rsid w:val="009B0723"/>
    <w:rsid w:val="009B07AD"/>
    <w:rsid w:val="009B0883"/>
    <w:rsid w:val="009B15E2"/>
    <w:rsid w:val="009B2430"/>
    <w:rsid w:val="009B4010"/>
    <w:rsid w:val="009B5832"/>
    <w:rsid w:val="009B6312"/>
    <w:rsid w:val="009B640D"/>
    <w:rsid w:val="009C0850"/>
    <w:rsid w:val="009C0B8E"/>
    <w:rsid w:val="009C1BC8"/>
    <w:rsid w:val="009C2442"/>
    <w:rsid w:val="009C410B"/>
    <w:rsid w:val="009C6B94"/>
    <w:rsid w:val="009D0811"/>
    <w:rsid w:val="009D0EE1"/>
    <w:rsid w:val="009D30BB"/>
    <w:rsid w:val="009E1355"/>
    <w:rsid w:val="009E2AEB"/>
    <w:rsid w:val="009E2E27"/>
    <w:rsid w:val="009E3CA7"/>
    <w:rsid w:val="009E4026"/>
    <w:rsid w:val="009E4DE3"/>
    <w:rsid w:val="009E796E"/>
    <w:rsid w:val="00A047EE"/>
    <w:rsid w:val="00A04F56"/>
    <w:rsid w:val="00A114EA"/>
    <w:rsid w:val="00A153F7"/>
    <w:rsid w:val="00A158D3"/>
    <w:rsid w:val="00A2274A"/>
    <w:rsid w:val="00A235B7"/>
    <w:rsid w:val="00A24D65"/>
    <w:rsid w:val="00A27A7A"/>
    <w:rsid w:val="00A300C3"/>
    <w:rsid w:val="00A345C9"/>
    <w:rsid w:val="00A37F0B"/>
    <w:rsid w:val="00A407EF"/>
    <w:rsid w:val="00A46B4C"/>
    <w:rsid w:val="00A5117B"/>
    <w:rsid w:val="00A54000"/>
    <w:rsid w:val="00A54689"/>
    <w:rsid w:val="00A60074"/>
    <w:rsid w:val="00A6627C"/>
    <w:rsid w:val="00A6649C"/>
    <w:rsid w:val="00A70BBC"/>
    <w:rsid w:val="00A71019"/>
    <w:rsid w:val="00A72F2F"/>
    <w:rsid w:val="00A77C17"/>
    <w:rsid w:val="00A81029"/>
    <w:rsid w:val="00A81E49"/>
    <w:rsid w:val="00A83CB5"/>
    <w:rsid w:val="00A865A7"/>
    <w:rsid w:val="00A902D4"/>
    <w:rsid w:val="00A96489"/>
    <w:rsid w:val="00A9775B"/>
    <w:rsid w:val="00AA3A42"/>
    <w:rsid w:val="00AA5311"/>
    <w:rsid w:val="00AA7BAA"/>
    <w:rsid w:val="00AB2F42"/>
    <w:rsid w:val="00AB685C"/>
    <w:rsid w:val="00AB6C2D"/>
    <w:rsid w:val="00AC08F7"/>
    <w:rsid w:val="00AC3839"/>
    <w:rsid w:val="00AC7082"/>
    <w:rsid w:val="00AD0256"/>
    <w:rsid w:val="00AD0729"/>
    <w:rsid w:val="00AD0D2D"/>
    <w:rsid w:val="00AD0E59"/>
    <w:rsid w:val="00AD2234"/>
    <w:rsid w:val="00AD3FEA"/>
    <w:rsid w:val="00AD7BBD"/>
    <w:rsid w:val="00AE0F2D"/>
    <w:rsid w:val="00AF228E"/>
    <w:rsid w:val="00AF302B"/>
    <w:rsid w:val="00AF3F8D"/>
    <w:rsid w:val="00AF6CF1"/>
    <w:rsid w:val="00B01C48"/>
    <w:rsid w:val="00B03C16"/>
    <w:rsid w:val="00B04137"/>
    <w:rsid w:val="00B1112C"/>
    <w:rsid w:val="00B11D19"/>
    <w:rsid w:val="00B12936"/>
    <w:rsid w:val="00B12C2D"/>
    <w:rsid w:val="00B14819"/>
    <w:rsid w:val="00B15031"/>
    <w:rsid w:val="00B17973"/>
    <w:rsid w:val="00B17AA9"/>
    <w:rsid w:val="00B24784"/>
    <w:rsid w:val="00B263D0"/>
    <w:rsid w:val="00B32DE4"/>
    <w:rsid w:val="00B33578"/>
    <w:rsid w:val="00B35CF6"/>
    <w:rsid w:val="00B370C3"/>
    <w:rsid w:val="00B411AE"/>
    <w:rsid w:val="00B413F5"/>
    <w:rsid w:val="00B457BF"/>
    <w:rsid w:val="00B46CE2"/>
    <w:rsid w:val="00B60190"/>
    <w:rsid w:val="00B61419"/>
    <w:rsid w:val="00B66441"/>
    <w:rsid w:val="00B67211"/>
    <w:rsid w:val="00B72F5F"/>
    <w:rsid w:val="00B736DF"/>
    <w:rsid w:val="00B74FBD"/>
    <w:rsid w:val="00B77352"/>
    <w:rsid w:val="00B82586"/>
    <w:rsid w:val="00B829A3"/>
    <w:rsid w:val="00B86D8D"/>
    <w:rsid w:val="00B86DB1"/>
    <w:rsid w:val="00B87869"/>
    <w:rsid w:val="00B92D03"/>
    <w:rsid w:val="00B953BD"/>
    <w:rsid w:val="00BA0E44"/>
    <w:rsid w:val="00BA47C5"/>
    <w:rsid w:val="00BB0F2B"/>
    <w:rsid w:val="00BB108F"/>
    <w:rsid w:val="00BC259C"/>
    <w:rsid w:val="00BC3056"/>
    <w:rsid w:val="00BD0D57"/>
    <w:rsid w:val="00BD1E7F"/>
    <w:rsid w:val="00BE1A50"/>
    <w:rsid w:val="00BF50F7"/>
    <w:rsid w:val="00C00111"/>
    <w:rsid w:val="00C0212F"/>
    <w:rsid w:val="00C02F29"/>
    <w:rsid w:val="00C10C13"/>
    <w:rsid w:val="00C168B6"/>
    <w:rsid w:val="00C17111"/>
    <w:rsid w:val="00C20747"/>
    <w:rsid w:val="00C20AFE"/>
    <w:rsid w:val="00C22A25"/>
    <w:rsid w:val="00C23B79"/>
    <w:rsid w:val="00C275DB"/>
    <w:rsid w:val="00C330D2"/>
    <w:rsid w:val="00C336FD"/>
    <w:rsid w:val="00C33D50"/>
    <w:rsid w:val="00C35671"/>
    <w:rsid w:val="00C35B77"/>
    <w:rsid w:val="00C370D3"/>
    <w:rsid w:val="00C376EB"/>
    <w:rsid w:val="00C4003A"/>
    <w:rsid w:val="00C4510C"/>
    <w:rsid w:val="00C46EC1"/>
    <w:rsid w:val="00C504E5"/>
    <w:rsid w:val="00C53E2C"/>
    <w:rsid w:val="00C540BE"/>
    <w:rsid w:val="00C550C8"/>
    <w:rsid w:val="00C56B61"/>
    <w:rsid w:val="00C606C3"/>
    <w:rsid w:val="00C620F4"/>
    <w:rsid w:val="00C642CB"/>
    <w:rsid w:val="00C668B6"/>
    <w:rsid w:val="00C671D7"/>
    <w:rsid w:val="00C6784E"/>
    <w:rsid w:val="00C67ECE"/>
    <w:rsid w:val="00C7161B"/>
    <w:rsid w:val="00C72848"/>
    <w:rsid w:val="00C7736C"/>
    <w:rsid w:val="00C82D87"/>
    <w:rsid w:val="00C841ED"/>
    <w:rsid w:val="00C85F17"/>
    <w:rsid w:val="00C8712A"/>
    <w:rsid w:val="00C91324"/>
    <w:rsid w:val="00C914F7"/>
    <w:rsid w:val="00C963D3"/>
    <w:rsid w:val="00C97AE7"/>
    <w:rsid w:val="00CA5010"/>
    <w:rsid w:val="00CA6E0D"/>
    <w:rsid w:val="00CB13B3"/>
    <w:rsid w:val="00CB2CBB"/>
    <w:rsid w:val="00CB56CE"/>
    <w:rsid w:val="00CB7CAC"/>
    <w:rsid w:val="00CC0EA0"/>
    <w:rsid w:val="00CC5335"/>
    <w:rsid w:val="00CC5BA4"/>
    <w:rsid w:val="00CC70BB"/>
    <w:rsid w:val="00CD3420"/>
    <w:rsid w:val="00CD4998"/>
    <w:rsid w:val="00CE1035"/>
    <w:rsid w:val="00CE2A6A"/>
    <w:rsid w:val="00CE76C7"/>
    <w:rsid w:val="00CF2819"/>
    <w:rsid w:val="00CF470C"/>
    <w:rsid w:val="00CF4F9D"/>
    <w:rsid w:val="00CF70DC"/>
    <w:rsid w:val="00D056A7"/>
    <w:rsid w:val="00D148DC"/>
    <w:rsid w:val="00D17FDC"/>
    <w:rsid w:val="00D227F7"/>
    <w:rsid w:val="00D25DF6"/>
    <w:rsid w:val="00D31562"/>
    <w:rsid w:val="00D444C5"/>
    <w:rsid w:val="00D44EB2"/>
    <w:rsid w:val="00D45AEA"/>
    <w:rsid w:val="00D5244F"/>
    <w:rsid w:val="00D52E4F"/>
    <w:rsid w:val="00D5696F"/>
    <w:rsid w:val="00D56A37"/>
    <w:rsid w:val="00D56F6E"/>
    <w:rsid w:val="00D57202"/>
    <w:rsid w:val="00D6386E"/>
    <w:rsid w:val="00D63E79"/>
    <w:rsid w:val="00D63EFD"/>
    <w:rsid w:val="00D64826"/>
    <w:rsid w:val="00D65974"/>
    <w:rsid w:val="00D7080A"/>
    <w:rsid w:val="00D80DF2"/>
    <w:rsid w:val="00D84150"/>
    <w:rsid w:val="00D84752"/>
    <w:rsid w:val="00D85AB0"/>
    <w:rsid w:val="00D86B3B"/>
    <w:rsid w:val="00D8748A"/>
    <w:rsid w:val="00D93196"/>
    <w:rsid w:val="00D94A4D"/>
    <w:rsid w:val="00D97041"/>
    <w:rsid w:val="00D9758D"/>
    <w:rsid w:val="00D97A93"/>
    <w:rsid w:val="00DA1083"/>
    <w:rsid w:val="00DA26C8"/>
    <w:rsid w:val="00DB243C"/>
    <w:rsid w:val="00DB45DD"/>
    <w:rsid w:val="00DB482A"/>
    <w:rsid w:val="00DB56F2"/>
    <w:rsid w:val="00DB6EF5"/>
    <w:rsid w:val="00DC276E"/>
    <w:rsid w:val="00DC3089"/>
    <w:rsid w:val="00DC4176"/>
    <w:rsid w:val="00DC4420"/>
    <w:rsid w:val="00DD0802"/>
    <w:rsid w:val="00DD0A50"/>
    <w:rsid w:val="00DD2E11"/>
    <w:rsid w:val="00DD5CEF"/>
    <w:rsid w:val="00DE03AF"/>
    <w:rsid w:val="00DE121C"/>
    <w:rsid w:val="00DE2A27"/>
    <w:rsid w:val="00DE3705"/>
    <w:rsid w:val="00DE3A08"/>
    <w:rsid w:val="00DE6633"/>
    <w:rsid w:val="00DE7216"/>
    <w:rsid w:val="00DF0D00"/>
    <w:rsid w:val="00DF75F8"/>
    <w:rsid w:val="00DF7A3A"/>
    <w:rsid w:val="00E00C00"/>
    <w:rsid w:val="00E02910"/>
    <w:rsid w:val="00E04A7C"/>
    <w:rsid w:val="00E059FB"/>
    <w:rsid w:val="00E069C4"/>
    <w:rsid w:val="00E07275"/>
    <w:rsid w:val="00E07866"/>
    <w:rsid w:val="00E07C5A"/>
    <w:rsid w:val="00E15BA9"/>
    <w:rsid w:val="00E23AE4"/>
    <w:rsid w:val="00E25B22"/>
    <w:rsid w:val="00E2622D"/>
    <w:rsid w:val="00E269BD"/>
    <w:rsid w:val="00E26E19"/>
    <w:rsid w:val="00E27E3C"/>
    <w:rsid w:val="00E315C8"/>
    <w:rsid w:val="00E31DF3"/>
    <w:rsid w:val="00E32814"/>
    <w:rsid w:val="00E33448"/>
    <w:rsid w:val="00E33486"/>
    <w:rsid w:val="00E34181"/>
    <w:rsid w:val="00E419B4"/>
    <w:rsid w:val="00E43CDC"/>
    <w:rsid w:val="00E450A4"/>
    <w:rsid w:val="00E47CE6"/>
    <w:rsid w:val="00E506BE"/>
    <w:rsid w:val="00E52252"/>
    <w:rsid w:val="00E53987"/>
    <w:rsid w:val="00E55547"/>
    <w:rsid w:val="00E57410"/>
    <w:rsid w:val="00E61C42"/>
    <w:rsid w:val="00E6302B"/>
    <w:rsid w:val="00E6452F"/>
    <w:rsid w:val="00E64619"/>
    <w:rsid w:val="00E64F45"/>
    <w:rsid w:val="00E6742D"/>
    <w:rsid w:val="00E71CB0"/>
    <w:rsid w:val="00E73529"/>
    <w:rsid w:val="00E77C3D"/>
    <w:rsid w:val="00E82E22"/>
    <w:rsid w:val="00E83B96"/>
    <w:rsid w:val="00E850FE"/>
    <w:rsid w:val="00E8602E"/>
    <w:rsid w:val="00E86C0F"/>
    <w:rsid w:val="00E909F0"/>
    <w:rsid w:val="00E90D47"/>
    <w:rsid w:val="00E93993"/>
    <w:rsid w:val="00E9597C"/>
    <w:rsid w:val="00EA0913"/>
    <w:rsid w:val="00EA0A2F"/>
    <w:rsid w:val="00EA6D31"/>
    <w:rsid w:val="00EB146B"/>
    <w:rsid w:val="00EB45AC"/>
    <w:rsid w:val="00EC008F"/>
    <w:rsid w:val="00EC2AEA"/>
    <w:rsid w:val="00EC7B11"/>
    <w:rsid w:val="00EC7F95"/>
    <w:rsid w:val="00ED0BC4"/>
    <w:rsid w:val="00ED3771"/>
    <w:rsid w:val="00ED4AB7"/>
    <w:rsid w:val="00ED6A32"/>
    <w:rsid w:val="00EE4971"/>
    <w:rsid w:val="00EF090E"/>
    <w:rsid w:val="00F033DA"/>
    <w:rsid w:val="00F11AAB"/>
    <w:rsid w:val="00F13FB1"/>
    <w:rsid w:val="00F16247"/>
    <w:rsid w:val="00F17BC1"/>
    <w:rsid w:val="00F17C87"/>
    <w:rsid w:val="00F20272"/>
    <w:rsid w:val="00F223E7"/>
    <w:rsid w:val="00F2288D"/>
    <w:rsid w:val="00F25779"/>
    <w:rsid w:val="00F266F2"/>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72843"/>
    <w:rsid w:val="00F8292C"/>
    <w:rsid w:val="00F83E76"/>
    <w:rsid w:val="00F87BEA"/>
    <w:rsid w:val="00F90A57"/>
    <w:rsid w:val="00F97C5B"/>
    <w:rsid w:val="00FA05D2"/>
    <w:rsid w:val="00FA359A"/>
    <w:rsid w:val="00FA3D50"/>
    <w:rsid w:val="00FB009F"/>
    <w:rsid w:val="00FB1150"/>
    <w:rsid w:val="00FB25B0"/>
    <w:rsid w:val="00FB6136"/>
    <w:rsid w:val="00FC374A"/>
    <w:rsid w:val="00FC7B47"/>
    <w:rsid w:val="00FD035C"/>
    <w:rsid w:val="00FD1A35"/>
    <w:rsid w:val="00FD1FE6"/>
    <w:rsid w:val="00FD36C5"/>
    <w:rsid w:val="00FD428C"/>
    <w:rsid w:val="00FD6310"/>
    <w:rsid w:val="00FD7C7B"/>
    <w:rsid w:val="00FD7FD0"/>
    <w:rsid w:val="00FE038C"/>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4641</Words>
  <Characters>26086</Characters>
  <Application>Microsoft Office Word</Application>
  <DocSecurity>0</DocSecurity>
  <Lines>1630</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Chee Chien</cp:lastModifiedBy>
  <cp:revision>178</cp:revision>
  <cp:lastPrinted>2019-08-27T05:42:00Z</cp:lastPrinted>
  <dcterms:created xsi:type="dcterms:W3CDTF">2024-02-04T10:03:00Z</dcterms:created>
  <dcterms:modified xsi:type="dcterms:W3CDTF">2024-02-06T07:30:00Z</dcterms:modified>
</cp:coreProperties>
</file>