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39335C">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39335C">
      <w:pPr>
        <w:pStyle w:val="ListParagraph"/>
        <w:numPr>
          <w:ilvl w:val="0"/>
          <w:numId w:val="1"/>
        </w:numPr>
        <w:ind w:left="426" w:hanging="426"/>
        <w:jc w:val="both"/>
        <w:rPr>
          <w:rFonts w:ascii="Avenir Next" w:hAnsi="Avenir Next" w:cs="Arial"/>
          <w:sz w:val="22"/>
          <w:szCs w:val="22"/>
          <w:lang w:val="en-GB"/>
        </w:rPr>
      </w:pPr>
      <w:r w:rsidRPr="004D0578">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39335C">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Pr="004D0578" w:rsidRDefault="00AD0E59" w:rsidP="0039335C">
      <w:pPr>
        <w:pStyle w:val="ListParagraph"/>
        <w:numPr>
          <w:ilvl w:val="0"/>
          <w:numId w:val="11"/>
        </w:numPr>
        <w:ind w:left="426" w:hanging="426"/>
        <w:rPr>
          <w:rFonts w:ascii="Avenir Next" w:hAnsi="Avenir Next"/>
          <w:sz w:val="22"/>
          <w:szCs w:val="28"/>
        </w:rPr>
      </w:pPr>
      <w:r w:rsidRPr="004D0578">
        <w:rPr>
          <w:rFonts w:ascii="Avenir Next" w:hAnsi="Avenir Next"/>
          <w:sz w:val="22"/>
          <w:szCs w:val="28"/>
        </w:rPr>
        <w:t>Rise of corporations.</w:t>
      </w:r>
    </w:p>
    <w:p w14:paraId="3E790C4C" w14:textId="77777777" w:rsidR="00AD0E59" w:rsidRPr="004D0578" w:rsidRDefault="00AD0E59" w:rsidP="00AD0E59">
      <w:pPr>
        <w:pStyle w:val="ListParagraph"/>
        <w:ind w:left="426" w:hanging="426"/>
        <w:rPr>
          <w:rFonts w:ascii="Avenir Next" w:hAnsi="Avenir Next"/>
          <w:sz w:val="22"/>
          <w:szCs w:val="28"/>
        </w:rPr>
      </w:pPr>
    </w:p>
    <w:p w14:paraId="44D98AEA" w14:textId="77777777" w:rsidR="00AD0E59" w:rsidRPr="004D0578" w:rsidRDefault="00AD0E59" w:rsidP="0039335C">
      <w:pPr>
        <w:pStyle w:val="ListParagraph"/>
        <w:numPr>
          <w:ilvl w:val="0"/>
          <w:numId w:val="11"/>
        </w:numPr>
        <w:ind w:left="426" w:hanging="426"/>
        <w:rPr>
          <w:rFonts w:ascii="Avenir Next" w:hAnsi="Avenir Next"/>
          <w:sz w:val="22"/>
          <w:szCs w:val="28"/>
        </w:rPr>
      </w:pPr>
      <w:r w:rsidRPr="004D0578">
        <w:rPr>
          <w:rFonts w:ascii="Avenir Next" w:hAnsi="Avenir Next"/>
          <w:sz w:val="22"/>
          <w:szCs w:val="28"/>
        </w:rPr>
        <w:t>Internationalisation.</w:t>
      </w:r>
    </w:p>
    <w:p w14:paraId="68B2FB89" w14:textId="77777777" w:rsidR="00AD0E59" w:rsidRPr="004D0578" w:rsidRDefault="00AD0E59" w:rsidP="00AD0E59">
      <w:pPr>
        <w:ind w:left="426" w:hanging="426"/>
        <w:rPr>
          <w:rFonts w:ascii="Avenir Next" w:hAnsi="Avenir Next"/>
          <w:sz w:val="22"/>
          <w:szCs w:val="28"/>
        </w:rPr>
      </w:pPr>
    </w:p>
    <w:p w14:paraId="3568B061" w14:textId="0AA438B4" w:rsidR="00AD0E59" w:rsidRPr="004D0578" w:rsidRDefault="00AD0E59" w:rsidP="0039335C">
      <w:pPr>
        <w:pStyle w:val="ListParagraph"/>
        <w:numPr>
          <w:ilvl w:val="0"/>
          <w:numId w:val="11"/>
        </w:numPr>
        <w:ind w:left="426" w:hanging="426"/>
        <w:rPr>
          <w:rFonts w:ascii="Avenir Next" w:hAnsi="Avenir Next"/>
          <w:sz w:val="22"/>
          <w:szCs w:val="28"/>
        </w:rPr>
      </w:pPr>
      <w:r w:rsidRPr="004D0578">
        <w:rPr>
          <w:rFonts w:ascii="Avenir Next" w:hAnsi="Avenir Next"/>
          <w:sz w:val="22"/>
          <w:szCs w:val="28"/>
        </w:rPr>
        <w:t>Globali</w:t>
      </w:r>
      <w:r w:rsidR="00B66441" w:rsidRPr="004D0578">
        <w:rPr>
          <w:rFonts w:ascii="Avenir Next" w:hAnsi="Avenir Next"/>
          <w:sz w:val="22"/>
          <w:szCs w:val="28"/>
        </w:rPr>
        <w:t>z</w:t>
      </w:r>
      <w:r w:rsidRPr="004D0578">
        <w:rPr>
          <w:rFonts w:ascii="Avenir Next" w:hAnsi="Avenir Next"/>
          <w:sz w:val="22"/>
          <w:szCs w:val="28"/>
        </w:rPr>
        <w:t>ation.</w:t>
      </w:r>
    </w:p>
    <w:p w14:paraId="0C434B83" w14:textId="77777777" w:rsidR="00AD0E59" w:rsidRPr="004D0578" w:rsidRDefault="00AD0E59" w:rsidP="00AD0E59">
      <w:pPr>
        <w:ind w:left="426" w:hanging="426"/>
        <w:rPr>
          <w:rFonts w:ascii="Avenir Next" w:hAnsi="Avenir Next"/>
          <w:sz w:val="22"/>
          <w:szCs w:val="28"/>
        </w:rPr>
      </w:pPr>
    </w:p>
    <w:p w14:paraId="0CB4A501" w14:textId="77777777" w:rsidR="00AD0E59" w:rsidRPr="004D0578" w:rsidRDefault="00AD0E59" w:rsidP="0039335C">
      <w:pPr>
        <w:pStyle w:val="ListParagraph"/>
        <w:numPr>
          <w:ilvl w:val="0"/>
          <w:numId w:val="11"/>
        </w:numPr>
        <w:ind w:left="426" w:hanging="426"/>
        <w:rPr>
          <w:rFonts w:ascii="Avenir Next" w:hAnsi="Avenir Next"/>
          <w:sz w:val="22"/>
          <w:szCs w:val="28"/>
        </w:rPr>
      </w:pPr>
      <w:r w:rsidRPr="004D0578">
        <w:rPr>
          <w:rFonts w:ascii="Avenir Next" w:hAnsi="Avenir Next"/>
          <w:sz w:val="22"/>
          <w:szCs w:val="28"/>
        </w:rPr>
        <w:t>Universalism.</w:t>
      </w:r>
    </w:p>
    <w:p w14:paraId="092AC4A0" w14:textId="77777777" w:rsidR="00AD0E59" w:rsidRPr="004D0578" w:rsidRDefault="00AD0E59" w:rsidP="00AD0E59">
      <w:pPr>
        <w:ind w:left="426" w:hanging="426"/>
        <w:rPr>
          <w:rFonts w:ascii="Avenir Next" w:hAnsi="Avenir Next"/>
          <w:sz w:val="22"/>
          <w:szCs w:val="28"/>
        </w:rPr>
      </w:pPr>
    </w:p>
    <w:p w14:paraId="48C5D683" w14:textId="77777777" w:rsidR="00AD0E59" w:rsidRPr="004D0578" w:rsidRDefault="00AD0E59" w:rsidP="0039335C">
      <w:pPr>
        <w:pStyle w:val="ListParagraph"/>
        <w:numPr>
          <w:ilvl w:val="0"/>
          <w:numId w:val="11"/>
        </w:numPr>
        <w:ind w:left="426" w:hanging="426"/>
        <w:rPr>
          <w:rFonts w:ascii="Avenir Next" w:hAnsi="Avenir Next"/>
          <w:sz w:val="22"/>
          <w:szCs w:val="28"/>
        </w:rPr>
      </w:pPr>
      <w:r w:rsidRPr="004D0578">
        <w:rPr>
          <w:rFonts w:ascii="Avenir Next" w:hAnsi="Avenir Next"/>
          <w:sz w:val="22"/>
          <w:szCs w:val="28"/>
        </w:rPr>
        <w:t>Territorialism.</w:t>
      </w:r>
    </w:p>
    <w:p w14:paraId="68C335C1" w14:textId="77777777" w:rsidR="00AD0E59" w:rsidRPr="004D0578" w:rsidRDefault="00AD0E59" w:rsidP="00AD0E59">
      <w:pPr>
        <w:ind w:left="426" w:hanging="426"/>
        <w:rPr>
          <w:rFonts w:ascii="Avenir Next" w:hAnsi="Avenir Next"/>
          <w:sz w:val="22"/>
          <w:szCs w:val="28"/>
        </w:rPr>
      </w:pPr>
    </w:p>
    <w:p w14:paraId="23F228F9" w14:textId="77777777" w:rsidR="00AD0E59" w:rsidRPr="004D0578" w:rsidRDefault="00AD0E59" w:rsidP="0039335C">
      <w:pPr>
        <w:pStyle w:val="ListParagraph"/>
        <w:numPr>
          <w:ilvl w:val="0"/>
          <w:numId w:val="11"/>
        </w:numPr>
        <w:ind w:left="426" w:hanging="426"/>
        <w:rPr>
          <w:rFonts w:ascii="Avenir Next" w:hAnsi="Avenir Next"/>
          <w:sz w:val="22"/>
          <w:szCs w:val="28"/>
        </w:rPr>
      </w:pPr>
      <w:r w:rsidRPr="004D0578">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D0578" w:rsidRDefault="00AD0E59" w:rsidP="0039335C">
      <w:pPr>
        <w:pStyle w:val="ListParagraph"/>
        <w:numPr>
          <w:ilvl w:val="0"/>
          <w:numId w:val="10"/>
        </w:numPr>
        <w:ind w:left="426" w:hanging="426"/>
        <w:jc w:val="both"/>
        <w:rPr>
          <w:rFonts w:ascii="Avenir Next" w:hAnsi="Avenir Next" w:cs="Arial"/>
          <w:sz w:val="22"/>
          <w:szCs w:val="22"/>
          <w:lang w:val="en-GB"/>
        </w:rPr>
      </w:pPr>
      <w:r w:rsidRPr="004D0578">
        <w:rPr>
          <w:rFonts w:ascii="Avenir Next" w:hAnsi="Avenir Next" w:cs="Arial"/>
          <w:sz w:val="22"/>
          <w:szCs w:val="22"/>
          <w:lang w:val="en-GB"/>
        </w:rPr>
        <w:t>Options (i), (ii), (iii), (iv) and (vi).</w:t>
      </w:r>
    </w:p>
    <w:p w14:paraId="5376196D" w14:textId="77777777" w:rsidR="00AD0E59" w:rsidRPr="004D0578" w:rsidRDefault="00AD0E59" w:rsidP="00AD0E59">
      <w:pPr>
        <w:ind w:left="426" w:hanging="426"/>
        <w:jc w:val="both"/>
        <w:rPr>
          <w:rFonts w:ascii="Avenir Next" w:hAnsi="Avenir Next" w:cs="Arial"/>
          <w:b/>
          <w:bCs/>
          <w:sz w:val="22"/>
          <w:szCs w:val="22"/>
          <w:lang w:val="en-GB"/>
        </w:rPr>
      </w:pPr>
    </w:p>
    <w:p w14:paraId="74BA3C6B" w14:textId="77777777" w:rsidR="00AD0E59" w:rsidRPr="004D0578" w:rsidRDefault="00AD0E59" w:rsidP="0039335C">
      <w:pPr>
        <w:pStyle w:val="ListParagraph"/>
        <w:numPr>
          <w:ilvl w:val="0"/>
          <w:numId w:val="10"/>
        </w:numPr>
        <w:ind w:left="426" w:hanging="426"/>
        <w:jc w:val="both"/>
        <w:rPr>
          <w:rFonts w:ascii="Avenir Next" w:hAnsi="Avenir Next" w:cs="Arial"/>
          <w:sz w:val="22"/>
          <w:szCs w:val="22"/>
          <w:lang w:val="en-GB"/>
        </w:rPr>
      </w:pPr>
      <w:r w:rsidRPr="004D0578">
        <w:rPr>
          <w:rFonts w:ascii="Avenir Next" w:hAnsi="Avenir Next" w:cs="Arial"/>
          <w:sz w:val="22"/>
          <w:szCs w:val="22"/>
          <w:lang w:val="en-GB"/>
        </w:rPr>
        <w:t>Options (i),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39335C">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4D0578" w:rsidRDefault="00AD0E59" w:rsidP="0039335C">
      <w:pPr>
        <w:pStyle w:val="ListParagraph"/>
        <w:numPr>
          <w:ilvl w:val="0"/>
          <w:numId w:val="10"/>
        </w:numPr>
        <w:ind w:left="426" w:hanging="426"/>
        <w:jc w:val="both"/>
        <w:rPr>
          <w:rFonts w:ascii="Avenir Next" w:hAnsi="Avenir Next" w:cs="Arial"/>
          <w:sz w:val="22"/>
          <w:szCs w:val="22"/>
          <w:highlight w:val="yellow"/>
          <w:lang w:val="en-GB"/>
        </w:rPr>
      </w:pPr>
      <w:r w:rsidRPr="004D0578">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4D0578" w:rsidRDefault="00893A03" w:rsidP="0039335C">
      <w:pPr>
        <w:pStyle w:val="ListParagraph"/>
        <w:numPr>
          <w:ilvl w:val="0"/>
          <w:numId w:val="12"/>
        </w:numPr>
        <w:ind w:left="426" w:hanging="426"/>
        <w:jc w:val="both"/>
        <w:rPr>
          <w:rFonts w:ascii="Avenir Next" w:hAnsi="Avenir Next"/>
          <w:sz w:val="22"/>
          <w:szCs w:val="28"/>
        </w:rPr>
      </w:pPr>
      <w:r w:rsidRPr="004D0578">
        <w:rPr>
          <w:rFonts w:ascii="Avenir Next" w:hAnsi="Avenir Next"/>
          <w:sz w:val="22"/>
          <w:szCs w:val="28"/>
        </w:rPr>
        <w:t>It is legislation that imposes a mandatory reciprocity on the participating members.</w:t>
      </w:r>
    </w:p>
    <w:p w14:paraId="0FE2C4BF" w14:textId="77777777" w:rsidR="00893A03" w:rsidRPr="004D0578" w:rsidRDefault="00893A03" w:rsidP="00893A03">
      <w:pPr>
        <w:pStyle w:val="ListParagraph"/>
        <w:ind w:left="426" w:hanging="426"/>
        <w:jc w:val="both"/>
        <w:rPr>
          <w:rFonts w:ascii="Avenir Next" w:hAnsi="Avenir Next"/>
          <w:sz w:val="22"/>
          <w:szCs w:val="28"/>
        </w:rPr>
      </w:pPr>
    </w:p>
    <w:p w14:paraId="09A2897D" w14:textId="77777777" w:rsidR="00893A03" w:rsidRPr="004D0578" w:rsidRDefault="00893A03" w:rsidP="0039335C">
      <w:pPr>
        <w:pStyle w:val="ListParagraph"/>
        <w:numPr>
          <w:ilvl w:val="0"/>
          <w:numId w:val="12"/>
        </w:numPr>
        <w:ind w:left="426" w:hanging="426"/>
        <w:jc w:val="both"/>
        <w:rPr>
          <w:rFonts w:ascii="Avenir Next" w:hAnsi="Avenir Next"/>
          <w:sz w:val="22"/>
          <w:szCs w:val="28"/>
        </w:rPr>
      </w:pPr>
      <w:r w:rsidRPr="004D0578">
        <w:rPr>
          <w:rFonts w:ascii="Avenir Next" w:hAnsi="Avenir Next"/>
          <w:sz w:val="22"/>
          <w:szCs w:val="28"/>
        </w:rPr>
        <w:t>It is a legislative text that serves as a recommendation for incorporation in national laws.</w:t>
      </w:r>
    </w:p>
    <w:p w14:paraId="3B81396E" w14:textId="77777777" w:rsidR="00893A03" w:rsidRPr="004D0578" w:rsidRDefault="00893A03" w:rsidP="00893A03">
      <w:pPr>
        <w:ind w:left="426" w:hanging="426"/>
        <w:jc w:val="both"/>
        <w:rPr>
          <w:rFonts w:ascii="Avenir Next" w:hAnsi="Avenir Next"/>
          <w:sz w:val="22"/>
          <w:szCs w:val="28"/>
        </w:rPr>
      </w:pPr>
    </w:p>
    <w:p w14:paraId="67851391" w14:textId="77777777" w:rsidR="00893A03" w:rsidRPr="004D0578" w:rsidRDefault="00893A03" w:rsidP="0039335C">
      <w:pPr>
        <w:pStyle w:val="ListParagraph"/>
        <w:numPr>
          <w:ilvl w:val="0"/>
          <w:numId w:val="12"/>
        </w:numPr>
        <w:ind w:left="426" w:hanging="426"/>
        <w:jc w:val="both"/>
        <w:rPr>
          <w:rFonts w:ascii="Avenir Next" w:hAnsi="Avenir Next"/>
          <w:sz w:val="22"/>
          <w:szCs w:val="28"/>
        </w:rPr>
      </w:pPr>
      <w:r w:rsidRPr="004D0578">
        <w:rPr>
          <w:rFonts w:ascii="Avenir Next" w:hAnsi="Avenir Next"/>
          <w:sz w:val="22"/>
          <w:szCs w:val="28"/>
        </w:rPr>
        <w:t>It is intended to substantively unify the insolvency laws of the foreign nations.</w:t>
      </w:r>
    </w:p>
    <w:p w14:paraId="774C7D03" w14:textId="77777777" w:rsidR="00893A03" w:rsidRPr="004D0578" w:rsidRDefault="00893A03" w:rsidP="00893A03">
      <w:pPr>
        <w:ind w:left="426" w:hanging="426"/>
        <w:jc w:val="both"/>
        <w:rPr>
          <w:rFonts w:ascii="Avenir Next" w:hAnsi="Avenir Next"/>
          <w:sz w:val="22"/>
          <w:szCs w:val="28"/>
        </w:rPr>
      </w:pPr>
    </w:p>
    <w:p w14:paraId="4C64C60A" w14:textId="77777777" w:rsidR="00893A03" w:rsidRPr="004D0578" w:rsidRDefault="00893A03" w:rsidP="0039335C">
      <w:pPr>
        <w:pStyle w:val="ListParagraph"/>
        <w:numPr>
          <w:ilvl w:val="0"/>
          <w:numId w:val="12"/>
        </w:numPr>
        <w:ind w:left="426" w:hanging="426"/>
        <w:jc w:val="both"/>
        <w:rPr>
          <w:rFonts w:ascii="Avenir Next" w:hAnsi="Avenir Next"/>
          <w:sz w:val="22"/>
          <w:szCs w:val="28"/>
        </w:rPr>
      </w:pPr>
      <w:r w:rsidRPr="004D0578">
        <w:rPr>
          <w:rFonts w:ascii="Avenir Next" w:hAnsi="Avenir Next"/>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39335C">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39335C">
      <w:pPr>
        <w:pStyle w:val="ListParagraph"/>
        <w:numPr>
          <w:ilvl w:val="0"/>
          <w:numId w:val="2"/>
        </w:numPr>
        <w:ind w:left="426" w:hanging="426"/>
        <w:jc w:val="both"/>
        <w:rPr>
          <w:rFonts w:ascii="Avenir Next" w:hAnsi="Avenir Next" w:cs="Arial"/>
          <w:sz w:val="22"/>
          <w:szCs w:val="22"/>
          <w:lang w:val="en-GB"/>
        </w:rPr>
      </w:pPr>
      <w:r w:rsidRPr="004D0578">
        <w:rPr>
          <w:rFonts w:ascii="Avenir Next" w:hAnsi="Avenir Next" w:cs="Arial"/>
          <w:sz w:val="22"/>
          <w:szCs w:val="22"/>
          <w:highlight w:val="yellow"/>
          <w:lang w:val="en-GB"/>
        </w:rPr>
        <w:t>Options (i),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39335C">
      <w:pPr>
        <w:pStyle w:val="ListParagraph"/>
        <w:numPr>
          <w:ilvl w:val="0"/>
          <w:numId w:val="2"/>
        </w:numPr>
        <w:ind w:left="426" w:hanging="426"/>
        <w:jc w:val="both"/>
        <w:rPr>
          <w:rFonts w:ascii="Avenir Next" w:hAnsi="Avenir Next" w:cs="Arial"/>
          <w:sz w:val="22"/>
          <w:szCs w:val="22"/>
          <w:lang w:val="en-GB"/>
        </w:rPr>
      </w:pPr>
      <w:r w:rsidRPr="00893A03">
        <w:rPr>
          <w:rFonts w:ascii="Avenir Next" w:hAnsi="Avenir Next" w:cs="Arial"/>
          <w:sz w:val="22"/>
          <w:szCs w:val="22"/>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39335C">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Pr="004D0578" w:rsidRDefault="00812AFE" w:rsidP="0039335C">
      <w:pPr>
        <w:pStyle w:val="ListParagraph"/>
        <w:numPr>
          <w:ilvl w:val="0"/>
          <w:numId w:val="13"/>
        </w:numPr>
        <w:ind w:left="426" w:hanging="426"/>
        <w:jc w:val="both"/>
        <w:rPr>
          <w:rFonts w:ascii="Avenir Next" w:hAnsi="Avenir Next"/>
          <w:sz w:val="22"/>
          <w:szCs w:val="32"/>
        </w:rPr>
      </w:pPr>
      <w:r w:rsidRPr="004D0578">
        <w:rPr>
          <w:rFonts w:ascii="Avenir Next" w:hAnsi="Avenir Next"/>
          <w:sz w:val="22"/>
          <w:szCs w:val="32"/>
        </w:rPr>
        <w:t>To provide greater legal certainty for trade and investment.</w:t>
      </w:r>
    </w:p>
    <w:p w14:paraId="6108D362" w14:textId="77777777" w:rsidR="00812AFE" w:rsidRPr="004D0578" w:rsidRDefault="00812AFE" w:rsidP="00C00111">
      <w:pPr>
        <w:pStyle w:val="ListParagraph"/>
        <w:ind w:left="426" w:hanging="426"/>
        <w:jc w:val="both"/>
        <w:rPr>
          <w:rFonts w:ascii="Avenir Next" w:hAnsi="Avenir Next"/>
          <w:sz w:val="22"/>
          <w:szCs w:val="32"/>
        </w:rPr>
      </w:pPr>
    </w:p>
    <w:p w14:paraId="2AA2541C" w14:textId="3C7E8949" w:rsidR="00812AFE" w:rsidRPr="004D0578" w:rsidRDefault="00812AFE" w:rsidP="0039335C">
      <w:pPr>
        <w:pStyle w:val="ListParagraph"/>
        <w:numPr>
          <w:ilvl w:val="0"/>
          <w:numId w:val="13"/>
        </w:numPr>
        <w:ind w:left="426" w:hanging="426"/>
        <w:jc w:val="both"/>
        <w:rPr>
          <w:rFonts w:ascii="Avenir Next" w:hAnsi="Avenir Next"/>
          <w:sz w:val="22"/>
          <w:szCs w:val="32"/>
        </w:rPr>
      </w:pPr>
      <w:r w:rsidRPr="004D0578">
        <w:rPr>
          <w:rFonts w:ascii="Avenir Next" w:hAnsi="Avenir Next"/>
          <w:sz w:val="22"/>
          <w:szCs w:val="32"/>
        </w:rPr>
        <w:t>To provide protection and maximi</w:t>
      </w:r>
      <w:r w:rsidR="00B66441" w:rsidRPr="004D0578">
        <w:rPr>
          <w:rFonts w:ascii="Avenir Next" w:hAnsi="Avenir Next"/>
          <w:sz w:val="22"/>
          <w:szCs w:val="32"/>
        </w:rPr>
        <w:t>z</w:t>
      </w:r>
      <w:r w:rsidRPr="004D0578">
        <w:rPr>
          <w:rFonts w:ascii="Avenir Next" w:hAnsi="Avenir Next"/>
          <w:sz w:val="22"/>
          <w:szCs w:val="32"/>
        </w:rPr>
        <w:t>ation of value of the debtor’s assets.</w:t>
      </w:r>
    </w:p>
    <w:p w14:paraId="3081732A" w14:textId="77777777" w:rsidR="00812AFE" w:rsidRPr="004D0578" w:rsidRDefault="00812AFE" w:rsidP="00C00111">
      <w:pPr>
        <w:ind w:left="426" w:hanging="426"/>
        <w:jc w:val="both"/>
        <w:rPr>
          <w:rFonts w:ascii="Avenir Next" w:hAnsi="Avenir Next"/>
          <w:sz w:val="22"/>
          <w:szCs w:val="32"/>
        </w:rPr>
      </w:pPr>
    </w:p>
    <w:p w14:paraId="712BE68D" w14:textId="57043B4B" w:rsidR="00812AFE" w:rsidRPr="004D0578" w:rsidRDefault="00812AFE" w:rsidP="0039335C">
      <w:pPr>
        <w:pStyle w:val="ListParagraph"/>
        <w:numPr>
          <w:ilvl w:val="0"/>
          <w:numId w:val="13"/>
        </w:numPr>
        <w:ind w:left="426" w:hanging="426"/>
        <w:jc w:val="both"/>
        <w:rPr>
          <w:rFonts w:ascii="Avenir Next" w:hAnsi="Avenir Next"/>
          <w:sz w:val="22"/>
          <w:szCs w:val="32"/>
        </w:rPr>
      </w:pPr>
      <w:r w:rsidRPr="004D0578">
        <w:rPr>
          <w:rFonts w:ascii="Avenir Next" w:hAnsi="Avenir Next"/>
          <w:sz w:val="22"/>
          <w:szCs w:val="32"/>
          <w:lang w:val="en-GB"/>
        </w:rPr>
        <w:t>To provide a fair and efficient administration of cross-border insolvencies that protects all creditors and the debtors.</w:t>
      </w:r>
      <w:r w:rsidR="004D0578" w:rsidRPr="004D0578">
        <w:rPr>
          <w:rFonts w:ascii="Avenir Next" w:hAnsi="Avenir Next"/>
          <w:sz w:val="22"/>
          <w:szCs w:val="32"/>
          <w:lang w:val="en-GB"/>
        </w:rPr>
        <w:t xml:space="preserve"> </w:t>
      </w:r>
    </w:p>
    <w:p w14:paraId="3C389653" w14:textId="77777777" w:rsidR="00812AFE" w:rsidRPr="004D0578" w:rsidRDefault="00812AFE" w:rsidP="00C00111">
      <w:pPr>
        <w:ind w:left="426" w:hanging="426"/>
        <w:jc w:val="both"/>
        <w:rPr>
          <w:rFonts w:ascii="Avenir Next" w:hAnsi="Avenir Next"/>
          <w:sz w:val="22"/>
          <w:szCs w:val="32"/>
        </w:rPr>
      </w:pPr>
    </w:p>
    <w:p w14:paraId="61EBC598" w14:textId="77777777" w:rsidR="00812AFE" w:rsidRPr="004D0578" w:rsidRDefault="00812AFE" w:rsidP="0039335C">
      <w:pPr>
        <w:pStyle w:val="ListParagraph"/>
        <w:numPr>
          <w:ilvl w:val="0"/>
          <w:numId w:val="13"/>
        </w:numPr>
        <w:ind w:left="426" w:hanging="426"/>
        <w:jc w:val="both"/>
        <w:rPr>
          <w:rFonts w:ascii="Avenir Next" w:hAnsi="Avenir Next"/>
          <w:sz w:val="22"/>
          <w:szCs w:val="32"/>
        </w:rPr>
      </w:pPr>
      <w:r w:rsidRPr="004D0578">
        <w:rPr>
          <w:rFonts w:ascii="Avenir Next" w:hAnsi="Avenir Next"/>
          <w:sz w:val="22"/>
          <w:szCs w:val="32"/>
        </w:rPr>
        <w:t>To facilitate the rescue of financial troubled businesses.</w:t>
      </w:r>
    </w:p>
    <w:p w14:paraId="2D083116" w14:textId="77777777" w:rsidR="00812AFE" w:rsidRPr="004D0578" w:rsidRDefault="00812AFE" w:rsidP="00C00111">
      <w:pPr>
        <w:ind w:left="426" w:hanging="426"/>
        <w:jc w:val="both"/>
        <w:rPr>
          <w:rFonts w:ascii="Avenir Next" w:hAnsi="Avenir Next"/>
          <w:sz w:val="22"/>
          <w:szCs w:val="32"/>
        </w:rPr>
      </w:pPr>
    </w:p>
    <w:p w14:paraId="2E4FDCCE" w14:textId="77777777" w:rsidR="00812AFE" w:rsidRPr="004D0578" w:rsidRDefault="00812AFE" w:rsidP="0039335C">
      <w:pPr>
        <w:pStyle w:val="ListParagraph"/>
        <w:numPr>
          <w:ilvl w:val="0"/>
          <w:numId w:val="13"/>
        </w:numPr>
        <w:ind w:left="426" w:hanging="426"/>
        <w:jc w:val="both"/>
        <w:rPr>
          <w:rFonts w:ascii="Avenir Next" w:hAnsi="Avenir Next"/>
          <w:sz w:val="22"/>
          <w:szCs w:val="32"/>
        </w:rPr>
      </w:pPr>
      <w:r w:rsidRPr="004D0578">
        <w:rPr>
          <w:rFonts w:ascii="Avenir Next" w:hAnsi="Avenir Next"/>
          <w:sz w:val="22"/>
          <w:szCs w:val="32"/>
        </w:rPr>
        <w:t>To ensure substantive unification of insolvency laws of member-states.</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4D0578" w:rsidRDefault="00812AFE" w:rsidP="0039335C">
      <w:pPr>
        <w:pStyle w:val="ListParagraph"/>
        <w:numPr>
          <w:ilvl w:val="0"/>
          <w:numId w:val="3"/>
        </w:numPr>
        <w:ind w:left="426" w:hanging="426"/>
        <w:jc w:val="both"/>
        <w:rPr>
          <w:rFonts w:ascii="Avenir Next" w:hAnsi="Avenir Next" w:cs="Arial"/>
          <w:sz w:val="22"/>
          <w:szCs w:val="22"/>
          <w:highlight w:val="yellow"/>
          <w:lang w:val="en-GB"/>
        </w:rPr>
      </w:pPr>
      <w:r w:rsidRPr="004D0578">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39335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39335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39335C">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Pr="004B6978" w:rsidRDefault="003220BA" w:rsidP="0039335C">
      <w:pPr>
        <w:pStyle w:val="ListParagraph"/>
        <w:numPr>
          <w:ilvl w:val="0"/>
          <w:numId w:val="14"/>
        </w:numPr>
        <w:ind w:left="426" w:hanging="426"/>
        <w:jc w:val="both"/>
        <w:rPr>
          <w:rFonts w:ascii="Avenir Next" w:hAnsi="Avenir Next"/>
          <w:sz w:val="22"/>
          <w:szCs w:val="28"/>
        </w:rPr>
      </w:pPr>
      <w:r w:rsidRPr="004B6978">
        <w:rPr>
          <w:rFonts w:ascii="Avenir Next" w:hAnsi="Avenir Next"/>
          <w:sz w:val="22"/>
          <w:szCs w:val="28"/>
        </w:rPr>
        <w:t xml:space="preserve">An insolvency proceeding is commenced in jurisdiction A, but a significant asset is located outside of jurisdiction A. </w:t>
      </w:r>
    </w:p>
    <w:p w14:paraId="22DB26FD" w14:textId="77777777" w:rsidR="003220BA" w:rsidRPr="004B6978" w:rsidRDefault="003220BA" w:rsidP="00C00111">
      <w:pPr>
        <w:pStyle w:val="ListParagraph"/>
        <w:ind w:left="426" w:hanging="426"/>
        <w:jc w:val="both"/>
        <w:rPr>
          <w:rFonts w:ascii="Avenir Next" w:hAnsi="Avenir Next"/>
          <w:sz w:val="22"/>
          <w:szCs w:val="28"/>
        </w:rPr>
      </w:pPr>
    </w:p>
    <w:p w14:paraId="4C73762D" w14:textId="77777777" w:rsidR="003220BA" w:rsidRPr="004B6978" w:rsidRDefault="003220BA" w:rsidP="0039335C">
      <w:pPr>
        <w:pStyle w:val="ListParagraph"/>
        <w:numPr>
          <w:ilvl w:val="0"/>
          <w:numId w:val="14"/>
        </w:numPr>
        <w:ind w:left="426" w:hanging="426"/>
        <w:jc w:val="both"/>
        <w:rPr>
          <w:rFonts w:ascii="Avenir Next" w:hAnsi="Avenir Next"/>
          <w:sz w:val="22"/>
          <w:szCs w:val="28"/>
        </w:rPr>
      </w:pPr>
      <w:r w:rsidRPr="004B6978">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39335C">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Pr="004B6978" w:rsidRDefault="003220BA" w:rsidP="0039335C">
      <w:pPr>
        <w:pStyle w:val="ListParagraph"/>
        <w:numPr>
          <w:ilvl w:val="0"/>
          <w:numId w:val="14"/>
        </w:numPr>
        <w:ind w:left="426" w:hanging="426"/>
        <w:jc w:val="both"/>
        <w:rPr>
          <w:rFonts w:ascii="Avenir Next" w:hAnsi="Avenir Next"/>
          <w:sz w:val="22"/>
          <w:szCs w:val="28"/>
        </w:rPr>
      </w:pPr>
      <w:r w:rsidRPr="004B6978">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39335C">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4B6978" w:rsidRDefault="003220BA" w:rsidP="0039335C">
      <w:pPr>
        <w:pStyle w:val="ListParagraph"/>
        <w:numPr>
          <w:ilvl w:val="0"/>
          <w:numId w:val="4"/>
        </w:numPr>
        <w:ind w:left="426" w:hanging="426"/>
        <w:jc w:val="both"/>
        <w:rPr>
          <w:rFonts w:ascii="Avenir Next" w:hAnsi="Avenir Next" w:cs="Arial"/>
          <w:sz w:val="22"/>
          <w:szCs w:val="22"/>
          <w:highlight w:val="yellow"/>
          <w:lang w:val="en-GB"/>
        </w:rPr>
      </w:pPr>
      <w:r w:rsidRPr="004B6978">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39335C">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39335C">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39335C">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39335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39335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4B6978" w:rsidRDefault="009344C1" w:rsidP="0039335C">
      <w:pPr>
        <w:pStyle w:val="ListParagraph"/>
        <w:numPr>
          <w:ilvl w:val="0"/>
          <w:numId w:val="5"/>
        </w:numPr>
        <w:ind w:left="426" w:hanging="426"/>
        <w:jc w:val="both"/>
        <w:rPr>
          <w:rFonts w:ascii="Avenir Next" w:hAnsi="Avenir Next" w:cs="Arial"/>
          <w:sz w:val="22"/>
          <w:szCs w:val="22"/>
          <w:highlight w:val="yellow"/>
          <w:lang w:val="en-GB"/>
        </w:rPr>
      </w:pPr>
      <w:r w:rsidRPr="004B6978">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39335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39335C">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39335C">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E73484" w:rsidRDefault="00F51EE5" w:rsidP="0039335C">
      <w:pPr>
        <w:pStyle w:val="ListParagraph"/>
        <w:numPr>
          <w:ilvl w:val="0"/>
          <w:numId w:val="15"/>
        </w:numPr>
        <w:ind w:left="426" w:hanging="426"/>
        <w:jc w:val="both"/>
        <w:rPr>
          <w:rFonts w:ascii="Avenir Next" w:hAnsi="Avenir Next"/>
          <w:sz w:val="22"/>
          <w:szCs w:val="28"/>
        </w:rPr>
      </w:pPr>
      <w:r w:rsidRPr="00E73484">
        <w:rPr>
          <w:rFonts w:ascii="Avenir Next" w:hAnsi="Avenir Next"/>
          <w:sz w:val="22"/>
          <w:szCs w:val="28"/>
          <w:lang w:val="en-GB"/>
        </w:rPr>
        <w:t>The difficulty of agreeing multilateral treaties dealing with insolvency law.</w:t>
      </w:r>
    </w:p>
    <w:p w14:paraId="7B3BA1EA" w14:textId="77777777" w:rsidR="00F51EE5" w:rsidRPr="00E73484" w:rsidRDefault="00F51EE5" w:rsidP="00F51EE5">
      <w:pPr>
        <w:jc w:val="both"/>
        <w:rPr>
          <w:rFonts w:ascii="Avenir Next" w:hAnsi="Avenir Next"/>
          <w:sz w:val="22"/>
          <w:szCs w:val="28"/>
        </w:rPr>
      </w:pPr>
    </w:p>
    <w:p w14:paraId="39BF8E5C" w14:textId="77777777" w:rsidR="00F51EE5" w:rsidRPr="00E73484" w:rsidRDefault="00F51EE5" w:rsidP="0039335C">
      <w:pPr>
        <w:pStyle w:val="ListParagraph"/>
        <w:numPr>
          <w:ilvl w:val="0"/>
          <w:numId w:val="15"/>
        </w:numPr>
        <w:ind w:left="426" w:hanging="426"/>
        <w:jc w:val="both"/>
        <w:rPr>
          <w:rFonts w:ascii="Avenir Next" w:hAnsi="Avenir Next"/>
          <w:sz w:val="22"/>
          <w:szCs w:val="28"/>
        </w:rPr>
      </w:pPr>
      <w:r w:rsidRPr="00E73484">
        <w:rPr>
          <w:rFonts w:ascii="Avenir Next" w:hAnsi="Avenir Next"/>
          <w:sz w:val="22"/>
          <w:szCs w:val="28"/>
          <w:lang w:val="en-GB"/>
        </w:rPr>
        <w:t>To eradicate the use of comity.</w:t>
      </w:r>
    </w:p>
    <w:p w14:paraId="04C53F1C" w14:textId="77777777" w:rsidR="00F51EE5" w:rsidRPr="00E73484" w:rsidRDefault="00F51EE5" w:rsidP="00F51EE5">
      <w:pPr>
        <w:jc w:val="both"/>
        <w:rPr>
          <w:rFonts w:ascii="Avenir Next" w:hAnsi="Avenir Next"/>
          <w:sz w:val="22"/>
          <w:szCs w:val="28"/>
        </w:rPr>
      </w:pPr>
    </w:p>
    <w:p w14:paraId="1E12C6ED" w14:textId="77777777" w:rsidR="00F51EE5" w:rsidRPr="00E73484" w:rsidRDefault="00F51EE5" w:rsidP="0039335C">
      <w:pPr>
        <w:pStyle w:val="ListParagraph"/>
        <w:numPr>
          <w:ilvl w:val="0"/>
          <w:numId w:val="15"/>
        </w:numPr>
        <w:ind w:left="426" w:hanging="426"/>
        <w:jc w:val="both"/>
        <w:rPr>
          <w:rFonts w:ascii="Avenir Next" w:hAnsi="Avenir Next"/>
          <w:sz w:val="22"/>
          <w:szCs w:val="28"/>
        </w:rPr>
      </w:pPr>
      <w:r w:rsidRPr="00E73484">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39335C">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E73484" w:rsidRDefault="00F51EE5" w:rsidP="0039335C">
      <w:pPr>
        <w:pStyle w:val="ListParagraph"/>
        <w:numPr>
          <w:ilvl w:val="0"/>
          <w:numId w:val="6"/>
        </w:numPr>
        <w:ind w:left="426" w:hanging="426"/>
        <w:jc w:val="both"/>
        <w:rPr>
          <w:rFonts w:ascii="Avenir Next" w:hAnsi="Avenir Next" w:cs="Arial"/>
          <w:sz w:val="22"/>
          <w:szCs w:val="22"/>
          <w:highlight w:val="yellow"/>
          <w:lang w:val="en-GB"/>
        </w:rPr>
      </w:pPr>
      <w:r w:rsidRPr="00E73484">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39335C">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39335C">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E73484" w:rsidRDefault="0097337E" w:rsidP="0039335C">
      <w:pPr>
        <w:pStyle w:val="ListParagraph"/>
        <w:numPr>
          <w:ilvl w:val="0"/>
          <w:numId w:val="16"/>
        </w:numPr>
        <w:ind w:left="426" w:hanging="426"/>
        <w:rPr>
          <w:rFonts w:ascii="Avenir Next" w:hAnsi="Avenir Next"/>
          <w:sz w:val="22"/>
          <w:szCs w:val="28"/>
        </w:rPr>
      </w:pPr>
      <w:r w:rsidRPr="00E73484">
        <w:rPr>
          <w:rFonts w:ascii="Avenir Next" w:hAnsi="Avenir Next"/>
          <w:sz w:val="22"/>
          <w:szCs w:val="28"/>
        </w:rPr>
        <w:t>COMI is a well-defined term in the MLCBI.</w:t>
      </w:r>
    </w:p>
    <w:p w14:paraId="6B23A10A" w14:textId="77777777" w:rsidR="0097337E" w:rsidRPr="00E73484" w:rsidRDefault="0097337E" w:rsidP="0097337E">
      <w:pPr>
        <w:ind w:left="426" w:hanging="426"/>
        <w:rPr>
          <w:rFonts w:ascii="Avenir Next" w:hAnsi="Avenir Next"/>
          <w:sz w:val="22"/>
          <w:szCs w:val="28"/>
        </w:rPr>
      </w:pPr>
    </w:p>
    <w:p w14:paraId="50E5E1C9" w14:textId="77777777" w:rsidR="0097337E" w:rsidRPr="00E73484" w:rsidRDefault="0097337E" w:rsidP="0039335C">
      <w:pPr>
        <w:pStyle w:val="ListParagraph"/>
        <w:numPr>
          <w:ilvl w:val="0"/>
          <w:numId w:val="16"/>
        </w:numPr>
        <w:ind w:left="426" w:hanging="426"/>
        <w:rPr>
          <w:rFonts w:ascii="Avenir Next" w:hAnsi="Avenir Next"/>
          <w:sz w:val="22"/>
          <w:szCs w:val="28"/>
        </w:rPr>
      </w:pPr>
      <w:r w:rsidRPr="00E73484">
        <w:rPr>
          <w:rFonts w:ascii="Avenir Next" w:hAnsi="Avenir Next"/>
          <w:sz w:val="22"/>
          <w:szCs w:val="28"/>
        </w:rPr>
        <w:t>COMI stands for comity.</w:t>
      </w:r>
    </w:p>
    <w:p w14:paraId="1E13BE41" w14:textId="77777777" w:rsidR="0097337E" w:rsidRPr="00E73484" w:rsidRDefault="0097337E" w:rsidP="0097337E">
      <w:pPr>
        <w:ind w:left="426" w:hanging="426"/>
        <w:rPr>
          <w:rFonts w:ascii="Avenir Next" w:hAnsi="Avenir Next"/>
          <w:sz w:val="22"/>
          <w:szCs w:val="28"/>
        </w:rPr>
      </w:pPr>
    </w:p>
    <w:p w14:paraId="76767C1B" w14:textId="77777777" w:rsidR="0097337E" w:rsidRPr="00E73484" w:rsidRDefault="0097337E" w:rsidP="0039335C">
      <w:pPr>
        <w:pStyle w:val="ListParagraph"/>
        <w:numPr>
          <w:ilvl w:val="0"/>
          <w:numId w:val="16"/>
        </w:numPr>
        <w:ind w:left="426" w:hanging="426"/>
        <w:rPr>
          <w:rFonts w:ascii="Avenir Next" w:hAnsi="Avenir Next"/>
          <w:sz w:val="22"/>
          <w:szCs w:val="28"/>
        </w:rPr>
      </w:pPr>
      <w:r w:rsidRPr="00E73484">
        <w:rPr>
          <w:rFonts w:ascii="Avenir Next" w:hAnsi="Avenir Next"/>
          <w:sz w:val="22"/>
          <w:szCs w:val="28"/>
        </w:rPr>
        <w:t>The debtor’s registered office is irrelevant for purposes of determining COMI.</w:t>
      </w:r>
    </w:p>
    <w:p w14:paraId="3A84165D" w14:textId="77777777" w:rsidR="0097337E" w:rsidRPr="00E73484" w:rsidRDefault="0097337E" w:rsidP="0097337E">
      <w:pPr>
        <w:pStyle w:val="ListParagraph"/>
        <w:rPr>
          <w:rFonts w:ascii="Avenir Next" w:hAnsi="Avenir Next"/>
          <w:sz w:val="22"/>
          <w:szCs w:val="28"/>
        </w:rPr>
      </w:pPr>
    </w:p>
    <w:p w14:paraId="785ABFAE" w14:textId="77777777" w:rsidR="0097337E" w:rsidRPr="00E73484" w:rsidRDefault="0097337E" w:rsidP="0039335C">
      <w:pPr>
        <w:pStyle w:val="ListParagraph"/>
        <w:numPr>
          <w:ilvl w:val="0"/>
          <w:numId w:val="16"/>
        </w:numPr>
        <w:ind w:left="426" w:hanging="426"/>
        <w:rPr>
          <w:rFonts w:ascii="Avenir Next" w:hAnsi="Avenir Next"/>
          <w:sz w:val="22"/>
          <w:szCs w:val="28"/>
        </w:rPr>
      </w:pPr>
      <w:r w:rsidRPr="00E73484">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39335C">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39335C">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73484" w:rsidRDefault="0097337E" w:rsidP="0039335C">
      <w:pPr>
        <w:pStyle w:val="ListParagraph"/>
        <w:numPr>
          <w:ilvl w:val="0"/>
          <w:numId w:val="7"/>
        </w:numPr>
        <w:ind w:left="426" w:hanging="426"/>
        <w:jc w:val="both"/>
        <w:rPr>
          <w:rFonts w:ascii="Avenir Next" w:hAnsi="Avenir Next" w:cs="Arial"/>
          <w:sz w:val="22"/>
          <w:szCs w:val="22"/>
          <w:highlight w:val="yellow"/>
          <w:lang w:val="en-GB"/>
        </w:rPr>
      </w:pPr>
      <w:r w:rsidRPr="00E73484">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39335C">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30917D14" w:rsidR="009A58D1" w:rsidRDefault="009A58D1" w:rsidP="0039335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r w:rsidR="00E73484">
        <w:rPr>
          <w:rFonts w:ascii="Avenir Next" w:hAnsi="Avenir Next"/>
          <w:sz w:val="22"/>
          <w:szCs w:val="28"/>
        </w:rPr>
        <w:t xml:space="preserve"> </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681CB67B" w:rsidR="009A58D1" w:rsidRDefault="009A58D1" w:rsidP="0039335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r w:rsidR="00E73484">
        <w:rPr>
          <w:rFonts w:ascii="Avenir Next" w:hAnsi="Avenir Next"/>
          <w:sz w:val="22"/>
          <w:szCs w:val="28"/>
        </w:rPr>
        <w:t xml:space="preserve"> </w:t>
      </w:r>
    </w:p>
    <w:p w14:paraId="13823AD3" w14:textId="77777777" w:rsidR="009A58D1" w:rsidRPr="00477E4D" w:rsidRDefault="009A58D1" w:rsidP="009A58D1">
      <w:pPr>
        <w:jc w:val="both"/>
        <w:rPr>
          <w:rFonts w:ascii="Avenir Next" w:hAnsi="Avenir Next"/>
          <w:sz w:val="22"/>
          <w:szCs w:val="28"/>
        </w:rPr>
      </w:pPr>
    </w:p>
    <w:p w14:paraId="06176C99" w14:textId="5AF79BB1" w:rsidR="009A58D1" w:rsidRPr="004C03EB" w:rsidRDefault="009A58D1" w:rsidP="0039335C">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r w:rsidR="00E73484">
        <w:rPr>
          <w:rFonts w:ascii="Avenir Next" w:hAnsi="Avenir Next"/>
          <w:sz w:val="22"/>
          <w:szCs w:val="28"/>
        </w:rPr>
        <w:t xml:space="preserve"> </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39335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39335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E73484" w:rsidRDefault="009A58D1" w:rsidP="0039335C">
      <w:pPr>
        <w:pStyle w:val="ListParagraph"/>
        <w:numPr>
          <w:ilvl w:val="0"/>
          <w:numId w:val="8"/>
        </w:numPr>
        <w:ind w:left="426" w:hanging="426"/>
        <w:jc w:val="both"/>
        <w:rPr>
          <w:rFonts w:ascii="Avenir Next" w:hAnsi="Avenir Next" w:cs="Arial"/>
          <w:sz w:val="22"/>
          <w:szCs w:val="22"/>
          <w:highlight w:val="yellow"/>
          <w:lang w:val="en-GB"/>
        </w:rPr>
      </w:pPr>
      <w:r w:rsidRPr="00E73484">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39335C">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Pr="00E73484" w:rsidRDefault="00C4510C" w:rsidP="0039335C">
      <w:pPr>
        <w:pStyle w:val="ListParagraph"/>
        <w:numPr>
          <w:ilvl w:val="0"/>
          <w:numId w:val="9"/>
        </w:numPr>
        <w:ind w:left="426" w:hanging="426"/>
        <w:jc w:val="both"/>
        <w:rPr>
          <w:rFonts w:ascii="Avenir Next" w:hAnsi="Avenir Next" w:cs="Arial"/>
          <w:sz w:val="22"/>
          <w:szCs w:val="22"/>
          <w:lang w:val="en-GB"/>
        </w:rPr>
      </w:pPr>
      <w:r w:rsidRPr="00E73484">
        <w:rPr>
          <w:rFonts w:ascii="Avenir Next" w:hAnsi="Avenir Next" w:cs="Arial"/>
          <w:sz w:val="22"/>
          <w:szCs w:val="22"/>
          <w:lang w:val="en-GB"/>
        </w:rPr>
        <w:t>The foreign representative always has the powers to bring avoidance actions.</w:t>
      </w:r>
    </w:p>
    <w:p w14:paraId="61F62A93" w14:textId="77777777" w:rsidR="00C4510C" w:rsidRPr="00E73484" w:rsidRDefault="00C4510C" w:rsidP="00C00111">
      <w:pPr>
        <w:pStyle w:val="ListParagraph"/>
        <w:ind w:left="426" w:hanging="426"/>
        <w:jc w:val="both"/>
        <w:rPr>
          <w:rFonts w:ascii="Avenir Next" w:hAnsi="Avenir Next" w:cs="Arial"/>
          <w:sz w:val="22"/>
          <w:szCs w:val="22"/>
          <w:lang w:val="en-GB"/>
        </w:rPr>
      </w:pPr>
    </w:p>
    <w:p w14:paraId="3BCC256A" w14:textId="77777777" w:rsidR="00C4510C" w:rsidRPr="00E73484" w:rsidRDefault="00C4510C" w:rsidP="0039335C">
      <w:pPr>
        <w:pStyle w:val="ListParagraph"/>
        <w:numPr>
          <w:ilvl w:val="0"/>
          <w:numId w:val="9"/>
        </w:numPr>
        <w:ind w:left="426" w:hanging="426"/>
        <w:jc w:val="both"/>
        <w:rPr>
          <w:rFonts w:ascii="Avenir Next" w:hAnsi="Avenir Next" w:cs="Arial"/>
          <w:sz w:val="22"/>
          <w:szCs w:val="22"/>
          <w:lang w:val="en-GB"/>
        </w:rPr>
      </w:pPr>
      <w:r w:rsidRPr="00E73484">
        <w:rPr>
          <w:rFonts w:ascii="Avenir Next" w:hAnsi="Avenir Next" w:cs="Arial"/>
          <w:sz w:val="22"/>
          <w:szCs w:val="22"/>
          <w:lang w:val="en-GB"/>
        </w:rPr>
        <w:t>The hotchpot rule prioritises local creditors.</w:t>
      </w:r>
    </w:p>
    <w:p w14:paraId="21C42F72" w14:textId="77777777" w:rsidR="00C4510C" w:rsidRPr="00E73484" w:rsidRDefault="00C4510C" w:rsidP="00C00111">
      <w:pPr>
        <w:ind w:hanging="426"/>
        <w:jc w:val="both"/>
        <w:rPr>
          <w:rFonts w:ascii="Avenir Next" w:hAnsi="Avenir Next" w:cs="Arial"/>
          <w:sz w:val="22"/>
          <w:szCs w:val="22"/>
          <w:lang w:val="en-GB"/>
        </w:rPr>
      </w:pPr>
    </w:p>
    <w:p w14:paraId="7E5CFD61" w14:textId="77777777" w:rsidR="00C4510C" w:rsidRDefault="00C4510C" w:rsidP="0039335C">
      <w:pPr>
        <w:pStyle w:val="ListParagraph"/>
        <w:numPr>
          <w:ilvl w:val="0"/>
          <w:numId w:val="9"/>
        </w:numPr>
        <w:ind w:left="426" w:hanging="426"/>
        <w:jc w:val="both"/>
        <w:rPr>
          <w:rFonts w:ascii="Avenir Next" w:hAnsi="Avenir Next" w:cs="Arial"/>
          <w:sz w:val="22"/>
          <w:szCs w:val="22"/>
          <w:lang w:val="en-GB"/>
        </w:rPr>
      </w:pPr>
      <w:r w:rsidRPr="00E73484">
        <w:rPr>
          <w:rFonts w:ascii="Avenir Next" w:hAnsi="Avenir Next" w:cs="Arial"/>
          <w:sz w:val="22"/>
          <w:szCs w:val="22"/>
          <w:lang w:val="en-GB"/>
        </w:rPr>
        <w:t>The recognition of a foreign main proceeding is an absolute proof that the debtor is insolvent</w:t>
      </w:r>
      <w:r w:rsidRPr="00387EA9">
        <w:rPr>
          <w:rFonts w:ascii="Avenir Next" w:hAnsi="Avenir Next" w:cs="Arial"/>
          <w:sz w:val="22"/>
          <w:szCs w:val="22"/>
          <w:lang w:val="en-GB"/>
        </w:rPr>
        <w:t xml:space="preserve">.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E73484" w:rsidRDefault="00C4510C" w:rsidP="0039335C">
      <w:pPr>
        <w:pStyle w:val="ListParagraph"/>
        <w:numPr>
          <w:ilvl w:val="0"/>
          <w:numId w:val="9"/>
        </w:numPr>
        <w:ind w:left="426" w:hanging="426"/>
        <w:jc w:val="both"/>
        <w:rPr>
          <w:rFonts w:ascii="Avenir Next" w:hAnsi="Avenir Next" w:cs="Arial"/>
          <w:sz w:val="22"/>
          <w:szCs w:val="22"/>
          <w:highlight w:val="yellow"/>
          <w:lang w:val="en-GB"/>
        </w:rPr>
      </w:pPr>
      <w:r w:rsidRPr="00E73484">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AFBED5B" w14:textId="77777777" w:rsidR="00362B4D" w:rsidRDefault="00866290" w:rsidP="00F618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as a European Union regulation, </w:t>
      </w:r>
      <w:r w:rsidR="00F618EC">
        <w:rPr>
          <w:rFonts w:ascii="Avenir Next" w:hAnsi="Avenir Next" w:cs="Arial"/>
          <w:color w:val="808080" w:themeColor="background1" w:themeShade="80"/>
          <w:sz w:val="22"/>
          <w:szCs w:val="22"/>
          <w:lang w:val="en-GB"/>
        </w:rPr>
        <w:t xml:space="preserve">once adopted becomes part of the domestic law of each EU Member State, such that insolvency proceedings taking place in any EU Member State could be recognised and enforced </w:t>
      </w:r>
      <w:r w:rsidR="00661473">
        <w:rPr>
          <w:rFonts w:ascii="Avenir Next" w:hAnsi="Avenir Next" w:cs="Arial"/>
          <w:color w:val="808080" w:themeColor="background1" w:themeShade="80"/>
          <w:sz w:val="22"/>
          <w:szCs w:val="22"/>
          <w:lang w:val="en-GB"/>
        </w:rPr>
        <w:t>throughout</w:t>
      </w:r>
      <w:r w:rsidR="00F618EC">
        <w:rPr>
          <w:rFonts w:ascii="Avenir Next" w:hAnsi="Avenir Next" w:cs="Arial"/>
          <w:color w:val="808080" w:themeColor="background1" w:themeShade="80"/>
          <w:sz w:val="22"/>
          <w:szCs w:val="22"/>
          <w:lang w:val="en-GB"/>
        </w:rPr>
        <w:t xml:space="preserve"> </w:t>
      </w:r>
      <w:r w:rsidR="006F1802">
        <w:rPr>
          <w:rFonts w:ascii="Avenir Next" w:hAnsi="Avenir Next" w:cs="Arial"/>
          <w:color w:val="808080" w:themeColor="background1" w:themeShade="80"/>
          <w:sz w:val="22"/>
          <w:szCs w:val="22"/>
          <w:lang w:val="en-GB"/>
        </w:rPr>
        <w:t>the rest of the European Union.</w:t>
      </w:r>
      <w:r w:rsidR="00362B4D">
        <w:rPr>
          <w:rFonts w:ascii="Avenir Next" w:hAnsi="Avenir Next" w:cs="Arial"/>
          <w:color w:val="808080" w:themeColor="background1" w:themeShade="80"/>
          <w:sz w:val="22"/>
          <w:szCs w:val="22"/>
          <w:lang w:val="en-GB"/>
        </w:rPr>
        <w:t xml:space="preserve"> </w:t>
      </w:r>
    </w:p>
    <w:p w14:paraId="3837EE09" w14:textId="77777777" w:rsidR="00362B4D" w:rsidRDefault="00362B4D" w:rsidP="00F618EC">
      <w:pPr>
        <w:jc w:val="both"/>
        <w:rPr>
          <w:rFonts w:ascii="Avenir Next" w:hAnsi="Avenir Next" w:cs="Arial"/>
          <w:color w:val="808080" w:themeColor="background1" w:themeShade="80"/>
          <w:sz w:val="22"/>
          <w:szCs w:val="22"/>
          <w:lang w:val="en-GB"/>
        </w:rPr>
      </w:pPr>
    </w:p>
    <w:p w14:paraId="0C0F417A" w14:textId="0DED91A6" w:rsidR="00362B4D" w:rsidRDefault="00362B4D" w:rsidP="00F618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C534A8">
        <w:rPr>
          <w:rFonts w:ascii="Avenir Next" w:hAnsi="Avenir Next" w:cs="Arial"/>
          <w:color w:val="808080" w:themeColor="background1" w:themeShade="80"/>
          <w:sz w:val="22"/>
          <w:szCs w:val="22"/>
          <w:lang w:val="en-GB"/>
        </w:rPr>
        <w:t xml:space="preserve">he MLCBI is 'soft law', </w:t>
      </w:r>
      <w:r w:rsidR="00784158">
        <w:rPr>
          <w:rFonts w:ascii="Avenir Next" w:hAnsi="Avenir Next" w:cs="Arial"/>
          <w:color w:val="808080" w:themeColor="background1" w:themeShade="80"/>
          <w:sz w:val="22"/>
          <w:szCs w:val="22"/>
          <w:lang w:val="en-GB"/>
        </w:rPr>
        <w:t>designed to be</w:t>
      </w:r>
      <w:r w:rsidR="00C534A8">
        <w:rPr>
          <w:rFonts w:ascii="Avenir Next" w:hAnsi="Avenir Next" w:cs="Arial"/>
          <w:color w:val="808080" w:themeColor="background1" w:themeShade="80"/>
          <w:sz w:val="22"/>
          <w:szCs w:val="22"/>
          <w:lang w:val="en-GB"/>
        </w:rPr>
        <w:t xml:space="preserve"> "</w:t>
      </w:r>
      <w:r w:rsidR="00C534A8">
        <w:rPr>
          <w:rFonts w:ascii="Avenir Next" w:hAnsi="Avenir Next" w:cs="Arial"/>
          <w:i/>
          <w:iCs/>
          <w:color w:val="808080" w:themeColor="background1" w:themeShade="80"/>
          <w:sz w:val="22"/>
          <w:szCs w:val="22"/>
          <w:lang w:val="en-GB"/>
        </w:rPr>
        <w:t>a legislative text that is recommended to Sta</w:t>
      </w:r>
      <w:r w:rsidR="00B91486">
        <w:rPr>
          <w:rFonts w:ascii="Avenir Next" w:hAnsi="Avenir Next" w:cs="Arial"/>
          <w:i/>
          <w:iCs/>
          <w:color w:val="808080" w:themeColor="background1" w:themeShade="80"/>
          <w:sz w:val="22"/>
          <w:szCs w:val="22"/>
          <w:lang w:val="en-GB"/>
        </w:rPr>
        <w:t>t</w:t>
      </w:r>
      <w:r w:rsidR="00C534A8">
        <w:rPr>
          <w:rFonts w:ascii="Avenir Next" w:hAnsi="Avenir Next" w:cs="Arial"/>
          <w:i/>
          <w:iCs/>
          <w:color w:val="808080" w:themeColor="background1" w:themeShade="80"/>
          <w:sz w:val="22"/>
          <w:szCs w:val="22"/>
          <w:lang w:val="en-GB"/>
        </w:rPr>
        <w:t>es for incorporation into their national law"</w:t>
      </w:r>
      <w:r w:rsidR="00C534A8">
        <w:rPr>
          <w:rStyle w:val="FootnoteReference"/>
          <w:rFonts w:ascii="Avenir Next" w:hAnsi="Avenir Next" w:cs="Arial"/>
          <w:i/>
          <w:iCs/>
          <w:color w:val="808080" w:themeColor="background1" w:themeShade="80"/>
          <w:sz w:val="22"/>
          <w:szCs w:val="22"/>
          <w:lang w:val="en-GB"/>
        </w:rPr>
        <w:footnoteReference w:id="1"/>
      </w:r>
      <w:r w:rsidR="00C534A8">
        <w:rPr>
          <w:rFonts w:ascii="Avenir Next" w:hAnsi="Avenir Next" w:cs="Arial"/>
          <w:i/>
          <w:iCs/>
          <w:color w:val="808080" w:themeColor="background1" w:themeShade="80"/>
          <w:sz w:val="22"/>
          <w:szCs w:val="22"/>
          <w:lang w:val="en-GB"/>
        </w:rPr>
        <w:t xml:space="preserve"> </w:t>
      </w:r>
      <w:r w:rsidR="00546FB5">
        <w:rPr>
          <w:rFonts w:ascii="Avenir Next" w:hAnsi="Avenir Next" w:cs="Arial"/>
          <w:color w:val="808080" w:themeColor="background1" w:themeShade="80"/>
          <w:sz w:val="22"/>
          <w:szCs w:val="22"/>
          <w:lang w:val="en-GB"/>
        </w:rPr>
        <w:t>as a vehicle for</w:t>
      </w:r>
      <w:r w:rsidR="00B9219A">
        <w:rPr>
          <w:rFonts w:ascii="Avenir Next" w:hAnsi="Avenir Next" w:cs="Arial"/>
          <w:color w:val="808080" w:themeColor="background1" w:themeShade="80"/>
          <w:sz w:val="22"/>
          <w:szCs w:val="22"/>
          <w:lang w:val="en-GB"/>
        </w:rPr>
        <w:t xml:space="preserve"> harmonisation of laws focusing on procedural rules for access, recognition, relief and coordination</w:t>
      </w:r>
      <w:r w:rsidR="008B5C71">
        <w:rPr>
          <w:rFonts w:ascii="Avenir Next" w:hAnsi="Avenir Next" w:cs="Arial"/>
          <w:color w:val="808080" w:themeColor="background1" w:themeShade="80"/>
          <w:sz w:val="22"/>
          <w:szCs w:val="22"/>
          <w:lang w:val="en-GB"/>
        </w:rPr>
        <w:t xml:space="preserve"> (but leaving each jurisdiction to determine, via application of its own domestic laws and practices) how </w:t>
      </w:r>
      <w:r w:rsidR="003A66F7">
        <w:rPr>
          <w:rFonts w:ascii="Avenir Next" w:hAnsi="Avenir Next" w:cs="Arial"/>
          <w:color w:val="808080" w:themeColor="background1" w:themeShade="80"/>
          <w:sz w:val="22"/>
          <w:szCs w:val="22"/>
          <w:lang w:val="en-GB"/>
        </w:rPr>
        <w:t>harmonisation is to be achieved</w:t>
      </w:r>
      <w:r w:rsidR="008B5C71">
        <w:rPr>
          <w:rFonts w:ascii="Avenir Next" w:hAnsi="Avenir Next" w:cs="Arial"/>
          <w:color w:val="808080" w:themeColor="background1" w:themeShade="80"/>
          <w:sz w:val="22"/>
          <w:szCs w:val="22"/>
          <w:lang w:val="en-GB"/>
        </w:rPr>
        <w:t xml:space="preserve">. </w:t>
      </w:r>
      <w:r w:rsidR="00CB2A06">
        <w:rPr>
          <w:rFonts w:ascii="Avenir Next" w:hAnsi="Avenir Next" w:cs="Arial"/>
          <w:color w:val="808080" w:themeColor="background1" w:themeShade="80"/>
          <w:sz w:val="22"/>
          <w:szCs w:val="22"/>
          <w:lang w:val="en-GB"/>
        </w:rPr>
        <w:t xml:space="preserve"> </w:t>
      </w:r>
    </w:p>
    <w:p w14:paraId="47DF44B4" w14:textId="77777777" w:rsidR="00362B4D" w:rsidRDefault="00362B4D" w:rsidP="00F618EC">
      <w:pPr>
        <w:jc w:val="both"/>
        <w:rPr>
          <w:rFonts w:ascii="Avenir Next" w:hAnsi="Avenir Next" w:cs="Arial"/>
          <w:color w:val="808080" w:themeColor="background1" w:themeShade="80"/>
          <w:sz w:val="22"/>
          <w:szCs w:val="22"/>
          <w:lang w:val="en-GB"/>
        </w:rPr>
      </w:pPr>
    </w:p>
    <w:p w14:paraId="2E37309B" w14:textId="1C4674E1" w:rsidR="00652571" w:rsidRDefault="003A66F7" w:rsidP="00F618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MLCBI is inherently more flexible than the EIR, as </w:t>
      </w:r>
      <w:r w:rsidR="004C7777">
        <w:rPr>
          <w:rFonts w:ascii="Avenir Next" w:hAnsi="Avenir Next" w:cs="Arial"/>
          <w:color w:val="808080" w:themeColor="background1" w:themeShade="80"/>
          <w:sz w:val="22"/>
          <w:szCs w:val="22"/>
          <w:lang w:val="en-GB"/>
        </w:rPr>
        <w:t xml:space="preserve">MLCBI Member States </w:t>
      </w:r>
      <w:r w:rsidR="006B274D">
        <w:rPr>
          <w:rFonts w:ascii="Avenir Next" w:hAnsi="Avenir Next" w:cs="Arial"/>
          <w:color w:val="808080" w:themeColor="background1" w:themeShade="80"/>
          <w:sz w:val="22"/>
          <w:szCs w:val="22"/>
          <w:lang w:val="en-GB"/>
        </w:rPr>
        <w:t xml:space="preserve">can modify / adapt / leave out </w:t>
      </w:r>
      <w:r w:rsidR="00AA7C0D">
        <w:rPr>
          <w:rFonts w:ascii="Avenir Next" w:hAnsi="Avenir Next" w:cs="Arial"/>
          <w:color w:val="808080" w:themeColor="background1" w:themeShade="80"/>
          <w:sz w:val="22"/>
          <w:szCs w:val="22"/>
          <w:lang w:val="en-GB"/>
        </w:rPr>
        <w:t>some of its provisions</w:t>
      </w:r>
      <w:r w:rsidR="00362B4D">
        <w:rPr>
          <w:rFonts w:ascii="Avenir Next" w:hAnsi="Avenir Next" w:cs="Arial"/>
          <w:color w:val="808080" w:themeColor="background1" w:themeShade="80"/>
          <w:sz w:val="22"/>
          <w:szCs w:val="22"/>
          <w:lang w:val="en-GB"/>
        </w:rPr>
        <w:t xml:space="preserve">. </w:t>
      </w:r>
      <w:r w:rsidR="004C7777">
        <w:rPr>
          <w:rFonts w:ascii="Avenir Next" w:hAnsi="Avenir Next" w:cs="Arial"/>
          <w:color w:val="808080" w:themeColor="background1" w:themeShade="80"/>
          <w:sz w:val="22"/>
          <w:szCs w:val="22"/>
          <w:lang w:val="en-GB"/>
        </w:rPr>
        <w:t>U</w:t>
      </w:r>
      <w:r w:rsidR="00AA7C0D">
        <w:rPr>
          <w:rFonts w:ascii="Avenir Next" w:hAnsi="Avenir Next" w:cs="Arial"/>
          <w:color w:val="808080" w:themeColor="background1" w:themeShade="80"/>
          <w:sz w:val="22"/>
          <w:szCs w:val="22"/>
          <w:lang w:val="en-GB"/>
        </w:rPr>
        <w:t xml:space="preserve">nder the EIR the possibility of changes being made to a uniform text to which EU Member States are parties is much more restricted. </w:t>
      </w:r>
      <w:r w:rsidR="00954F31">
        <w:rPr>
          <w:rFonts w:ascii="Avenir Next" w:hAnsi="Avenir Next" w:cs="Arial"/>
          <w:color w:val="808080" w:themeColor="background1" w:themeShade="80"/>
          <w:sz w:val="22"/>
          <w:szCs w:val="22"/>
          <w:lang w:val="en-GB"/>
        </w:rPr>
        <w:t>The downside of the MLCBI's flexibility is, however, the lesser degree of certainty and harmonisation achieved</w:t>
      </w:r>
      <w:r w:rsidR="00B94DFF">
        <w:rPr>
          <w:rFonts w:ascii="Avenir Next" w:hAnsi="Avenir Next" w:cs="Arial"/>
          <w:color w:val="808080" w:themeColor="background1" w:themeShade="80"/>
          <w:sz w:val="22"/>
          <w:szCs w:val="22"/>
          <w:lang w:val="en-GB"/>
        </w:rPr>
        <w:t xml:space="preserve"> across Member States</w:t>
      </w:r>
      <w:r w:rsidR="00954F31">
        <w:rPr>
          <w:rFonts w:ascii="Avenir Next" w:hAnsi="Avenir Next" w:cs="Arial"/>
          <w:color w:val="808080" w:themeColor="background1" w:themeShade="80"/>
          <w:sz w:val="22"/>
          <w:szCs w:val="22"/>
          <w:lang w:val="en-GB"/>
        </w:rPr>
        <w:t xml:space="preserve"> (typically lower than </w:t>
      </w:r>
      <w:r w:rsidR="00B94DFF">
        <w:rPr>
          <w:rFonts w:ascii="Avenir Next" w:hAnsi="Avenir Next" w:cs="Arial"/>
          <w:color w:val="808080" w:themeColor="background1" w:themeShade="80"/>
          <w:sz w:val="22"/>
          <w:szCs w:val="22"/>
          <w:lang w:val="en-GB"/>
        </w:rPr>
        <w:t xml:space="preserve">through 'hard law' like the EIR). </w:t>
      </w:r>
    </w:p>
    <w:p w14:paraId="7716EC51" w14:textId="77777777" w:rsidR="00B77352" w:rsidRPr="00E2622D" w:rsidRDefault="00B77352" w:rsidP="004C7777">
      <w:pPr>
        <w:jc w:val="both"/>
        <w:rPr>
          <w:rFonts w:ascii="Avenir Next" w:hAnsi="Avenir Next" w:cs="Arial"/>
          <w:sz w:val="22"/>
          <w:szCs w:val="22"/>
          <w:lang w:val="en-GB"/>
        </w:rPr>
      </w:pPr>
    </w:p>
    <w:p w14:paraId="16F2E09D" w14:textId="77777777" w:rsidR="004C7777" w:rsidRDefault="004C7777" w:rsidP="004C7777">
      <w:pPr>
        <w:ind w:left="720" w:hanging="720"/>
        <w:jc w:val="both"/>
        <w:rPr>
          <w:rFonts w:ascii="Avenir Next Demi Bold" w:hAnsi="Avenir Next Demi Bold" w:cs="Arial"/>
          <w:b/>
          <w:bCs/>
          <w:sz w:val="22"/>
          <w:szCs w:val="22"/>
          <w:lang w:val="en-GB"/>
        </w:rPr>
      </w:pPr>
    </w:p>
    <w:p w14:paraId="4D58F55B" w14:textId="77777777" w:rsidR="004C7777" w:rsidRDefault="004C7777" w:rsidP="004C7777">
      <w:pPr>
        <w:ind w:left="720" w:hanging="720"/>
        <w:jc w:val="both"/>
        <w:rPr>
          <w:rFonts w:ascii="Avenir Next Demi Bold" w:hAnsi="Avenir Next Demi Bold" w:cs="Arial"/>
          <w:b/>
          <w:bCs/>
          <w:sz w:val="22"/>
          <w:szCs w:val="22"/>
          <w:lang w:val="en-GB"/>
        </w:rPr>
      </w:pPr>
    </w:p>
    <w:p w14:paraId="13A800F9" w14:textId="77777777" w:rsidR="004C7777" w:rsidRDefault="004C7777" w:rsidP="004C7777">
      <w:pPr>
        <w:ind w:left="720" w:hanging="720"/>
        <w:jc w:val="both"/>
        <w:rPr>
          <w:rFonts w:ascii="Avenir Next Demi Bold" w:hAnsi="Avenir Next Demi Bold" w:cs="Arial"/>
          <w:b/>
          <w:bCs/>
          <w:sz w:val="22"/>
          <w:szCs w:val="22"/>
          <w:lang w:val="en-GB"/>
        </w:rPr>
      </w:pPr>
    </w:p>
    <w:p w14:paraId="1C61515B" w14:textId="68C9755B" w:rsidR="00C72848" w:rsidRDefault="002C13C8" w:rsidP="004C7777">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221E9234" w14:textId="77777777" w:rsidR="004C7777" w:rsidRPr="004C7777" w:rsidRDefault="004C7777" w:rsidP="004C7777">
      <w:pPr>
        <w:ind w:left="720" w:hanging="720"/>
        <w:jc w:val="both"/>
        <w:rPr>
          <w:rFonts w:ascii="Avenir Next Demi Bold" w:hAnsi="Avenir Next Demi Bold" w:cs="Arial"/>
          <w:b/>
          <w:bCs/>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16B7F475" w:rsidR="00867A8F" w:rsidRPr="00B77352" w:rsidRDefault="00F71099" w:rsidP="003405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tailoring the relief that can be granted under Article 21 of the MLCBI, the Court must take into account whether it is for a foreign main proceeding, or a foreign non main proceeding, given that "</w:t>
      </w:r>
      <w:r>
        <w:rPr>
          <w:rFonts w:ascii="Avenir Next" w:hAnsi="Avenir Next" w:cs="Arial"/>
          <w:i/>
          <w:iCs/>
          <w:color w:val="808080" w:themeColor="background1" w:themeShade="80"/>
          <w:sz w:val="22"/>
          <w:szCs w:val="22"/>
          <w:lang w:val="en-GB"/>
        </w:rPr>
        <w:t>the interests and the authority of a representative of a foreign non-main proceeding are typically narrower than the interests and the authority of a representative of a foreign main proceeding, who normally seeks to gain control over all assets of the insolvent debtor"</w:t>
      </w:r>
      <w:r>
        <w:rPr>
          <w:rStyle w:val="FootnoteReference"/>
          <w:rFonts w:ascii="Avenir Next" w:hAnsi="Avenir Next" w:cs="Arial"/>
          <w:i/>
          <w:iCs/>
          <w:color w:val="808080" w:themeColor="background1" w:themeShade="80"/>
          <w:sz w:val="22"/>
          <w:szCs w:val="22"/>
          <w:lang w:val="en-GB"/>
        </w:rPr>
        <w:footnoteReference w:id="2"/>
      </w:r>
      <w:r w:rsidR="007801D3">
        <w:rPr>
          <w:rFonts w:ascii="Avenir Next" w:hAnsi="Avenir Next" w:cs="Arial"/>
          <w:color w:val="808080" w:themeColor="background1" w:themeShade="80"/>
          <w:sz w:val="22"/>
          <w:szCs w:val="22"/>
          <w:lang w:val="en-GB"/>
        </w:rPr>
        <w:t xml:space="preserve">. The weight given to this idea is reflected in Article 21(3), which recognises that </w:t>
      </w:r>
      <w:r w:rsidR="00A90FE8">
        <w:rPr>
          <w:rFonts w:ascii="Avenir Next" w:hAnsi="Avenir Next" w:cs="Arial"/>
          <w:color w:val="808080" w:themeColor="background1" w:themeShade="80"/>
          <w:sz w:val="22"/>
          <w:szCs w:val="22"/>
          <w:lang w:val="en-GB"/>
        </w:rPr>
        <w:t>"</w:t>
      </w:r>
      <w:r w:rsidR="00A90FE8">
        <w:rPr>
          <w:rFonts w:ascii="Avenir Next" w:hAnsi="Avenir Next" w:cs="Arial"/>
          <w:i/>
          <w:iCs/>
          <w:color w:val="808080" w:themeColor="background1" w:themeShade="80"/>
          <w:sz w:val="22"/>
          <w:szCs w:val="22"/>
          <w:lang w:val="en-GB"/>
        </w:rPr>
        <w:t>the court must be satisfied that the relief relates to asset that, under the law of th</w:t>
      </w:r>
      <w:r w:rsidR="001534C3">
        <w:rPr>
          <w:rFonts w:ascii="Avenir Next" w:hAnsi="Avenir Next" w:cs="Arial"/>
          <w:i/>
          <w:iCs/>
          <w:color w:val="808080" w:themeColor="background1" w:themeShade="80"/>
          <w:sz w:val="22"/>
          <w:szCs w:val="22"/>
          <w:lang w:val="en-GB"/>
        </w:rPr>
        <w:t xml:space="preserve">is State </w:t>
      </w:r>
      <w:r w:rsidR="001534C3">
        <w:rPr>
          <w:rFonts w:ascii="Avenir Next" w:hAnsi="Avenir Next" w:cs="Arial"/>
          <w:color w:val="808080" w:themeColor="background1" w:themeShade="80"/>
          <w:sz w:val="22"/>
          <w:szCs w:val="22"/>
          <w:lang w:val="en-GB"/>
        </w:rPr>
        <w:t xml:space="preserve">[the enacting state], </w:t>
      </w:r>
      <w:r w:rsidR="001534C3">
        <w:rPr>
          <w:rFonts w:ascii="Avenir Next" w:hAnsi="Avenir Next" w:cs="Arial"/>
          <w:i/>
          <w:iCs/>
          <w:color w:val="808080" w:themeColor="background1" w:themeShade="80"/>
          <w:sz w:val="22"/>
          <w:szCs w:val="22"/>
          <w:lang w:val="en-GB"/>
        </w:rPr>
        <w:t>should be administrated in the foreign non main proceeding or concerns information required in that proceeding"</w:t>
      </w:r>
      <w:r w:rsidR="007801D3">
        <w:rPr>
          <w:rFonts w:ascii="Avenir Next" w:hAnsi="Avenir Next" w:cs="Arial"/>
          <w:color w:val="808080" w:themeColor="background1" w:themeShade="80"/>
          <w:sz w:val="22"/>
          <w:szCs w:val="22"/>
          <w:lang w:val="en-GB"/>
        </w:rPr>
        <w:t xml:space="preserve">. However, the Courts of the enacting states are not </w:t>
      </w:r>
      <w:r w:rsidR="003405F9">
        <w:rPr>
          <w:rFonts w:ascii="Avenir Next" w:hAnsi="Avenir Next" w:cs="Arial"/>
          <w:color w:val="808080" w:themeColor="background1" w:themeShade="80"/>
          <w:sz w:val="22"/>
          <w:szCs w:val="22"/>
          <w:lang w:val="en-GB"/>
        </w:rPr>
        <w:t xml:space="preserve">unnecessarily restricted in </w:t>
      </w:r>
      <w:r w:rsidR="007801D3">
        <w:rPr>
          <w:rFonts w:ascii="Avenir Next" w:hAnsi="Avenir Next" w:cs="Arial"/>
          <w:color w:val="808080" w:themeColor="background1" w:themeShade="80"/>
          <w:sz w:val="22"/>
          <w:szCs w:val="22"/>
          <w:lang w:val="en-GB"/>
        </w:rPr>
        <w:t>their</w:t>
      </w:r>
      <w:r w:rsidR="003405F9">
        <w:rPr>
          <w:rFonts w:ascii="Avenir Next" w:hAnsi="Avenir Next" w:cs="Arial"/>
          <w:color w:val="808080" w:themeColor="background1" w:themeShade="80"/>
          <w:sz w:val="22"/>
          <w:szCs w:val="22"/>
          <w:lang w:val="en-GB"/>
        </w:rPr>
        <w:t xml:space="preserve"> ability to grant any type of relief that is available under the law of the enacting State, and as needed in the circumstances of the case, and can tailor to the relief to the case at hand.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3E735E34" w:rsidR="00867A8F" w:rsidRPr="00B77352" w:rsidRDefault="009C527E" w:rsidP="00D92FB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of the MLCBI </w:t>
      </w:r>
      <w:r w:rsidR="00D92FB0">
        <w:rPr>
          <w:rFonts w:ascii="Avenir Next" w:hAnsi="Avenir Next" w:cs="Arial"/>
          <w:color w:val="808080" w:themeColor="background1" w:themeShade="80"/>
          <w:sz w:val="22"/>
          <w:szCs w:val="22"/>
          <w:lang w:val="en-GB"/>
        </w:rPr>
        <w:t xml:space="preserve">relates to access of foreign creditors to an insolvency proceeding under the laws of an </w:t>
      </w:r>
      <w:r w:rsidR="00C230EA">
        <w:rPr>
          <w:rFonts w:ascii="Avenir Next" w:hAnsi="Avenir Next" w:cs="Arial"/>
          <w:color w:val="808080" w:themeColor="background1" w:themeShade="80"/>
          <w:sz w:val="22"/>
          <w:szCs w:val="22"/>
          <w:lang w:val="en-GB"/>
        </w:rPr>
        <w:t xml:space="preserve">enacting state, </w:t>
      </w:r>
      <w:r w:rsidR="006A1040">
        <w:rPr>
          <w:rFonts w:ascii="Avenir Next" w:hAnsi="Avenir Next" w:cs="Arial"/>
          <w:color w:val="808080" w:themeColor="background1" w:themeShade="80"/>
          <w:sz w:val="22"/>
          <w:szCs w:val="22"/>
          <w:lang w:val="en-GB"/>
        </w:rPr>
        <w:t xml:space="preserve">providing them with the same rights regarding the commencement of, and participation in, an insolvency proceeding under the enacting state as </w:t>
      </w:r>
      <w:r w:rsidR="00B64FA2">
        <w:rPr>
          <w:rFonts w:ascii="Avenir Next" w:hAnsi="Avenir Next" w:cs="Arial"/>
          <w:color w:val="808080" w:themeColor="background1" w:themeShade="80"/>
          <w:sz w:val="22"/>
          <w:szCs w:val="22"/>
          <w:lang w:val="en-GB"/>
        </w:rPr>
        <w:t>domestic creditors.</w:t>
      </w:r>
      <w:r w:rsidR="00E20A44">
        <w:rPr>
          <w:rFonts w:ascii="Avenir Next" w:hAnsi="Avenir Next" w:cs="Arial"/>
          <w:color w:val="808080" w:themeColor="background1" w:themeShade="80"/>
          <w:sz w:val="22"/>
          <w:szCs w:val="22"/>
          <w:lang w:val="en-GB"/>
        </w:rPr>
        <w:t xml:space="preserve"> The underlying principle is that foreign creditors should not be treated any worse than local creditors</w:t>
      </w:r>
      <w:r w:rsidR="00095767">
        <w:rPr>
          <w:rFonts w:ascii="Avenir Next" w:hAnsi="Avenir Next" w:cs="Arial"/>
          <w:color w:val="808080" w:themeColor="background1" w:themeShade="80"/>
          <w:sz w:val="22"/>
          <w:szCs w:val="22"/>
          <w:lang w:val="en-GB"/>
        </w:rPr>
        <w:t xml:space="preserve"> (the "</w:t>
      </w:r>
      <w:r w:rsidR="00095767">
        <w:rPr>
          <w:rFonts w:ascii="Avenir Next" w:hAnsi="Avenir Next" w:cs="Arial"/>
          <w:i/>
          <w:iCs/>
          <w:color w:val="808080" w:themeColor="background1" w:themeShade="80"/>
          <w:sz w:val="22"/>
          <w:szCs w:val="22"/>
          <w:lang w:val="en-GB"/>
        </w:rPr>
        <w:t>non discrimination principle"</w:t>
      </w:r>
      <w:r w:rsidR="00095767">
        <w:rPr>
          <w:rFonts w:ascii="Avenir Next" w:hAnsi="Avenir Next" w:cs="Arial"/>
          <w:color w:val="808080" w:themeColor="background1" w:themeShade="80"/>
          <w:sz w:val="22"/>
          <w:szCs w:val="22"/>
          <w:lang w:val="en-GB"/>
        </w:rPr>
        <w:t xml:space="preserve">) </w:t>
      </w:r>
      <w:r w:rsidR="00E20A44">
        <w:rPr>
          <w:rFonts w:ascii="Avenir Next" w:hAnsi="Avenir Next" w:cs="Arial"/>
          <w:color w:val="808080" w:themeColor="background1" w:themeShade="80"/>
          <w:sz w:val="22"/>
          <w:szCs w:val="22"/>
          <w:lang w:val="en-GB"/>
        </w:rPr>
        <w:t xml:space="preserve">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127391E" w14:textId="7C0536B9" w:rsidR="00100E8F" w:rsidRPr="00B77352" w:rsidRDefault="005E3D95" w:rsidP="009A0E8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determination that a foreign proceeding is a "foreign main proceeding" </w:t>
      </w:r>
      <w:r w:rsidR="00526BCF">
        <w:rPr>
          <w:rFonts w:ascii="Avenir Next" w:hAnsi="Avenir Next" w:cs="Arial"/>
          <w:color w:val="808080" w:themeColor="background1" w:themeShade="80"/>
          <w:sz w:val="22"/>
          <w:szCs w:val="22"/>
          <w:lang w:val="en-GB"/>
        </w:rPr>
        <w:t>(versus a "foreign non-main proceeding")</w:t>
      </w:r>
      <w:r w:rsidR="00956B1C">
        <w:rPr>
          <w:rFonts w:ascii="Avenir Next" w:hAnsi="Avenir Next" w:cs="Arial"/>
          <w:color w:val="808080" w:themeColor="background1" w:themeShade="80"/>
          <w:sz w:val="22"/>
          <w:szCs w:val="22"/>
          <w:lang w:val="en-GB"/>
        </w:rPr>
        <w:t xml:space="preserve"> impacts the </w:t>
      </w:r>
      <w:r w:rsidR="00113B3E">
        <w:rPr>
          <w:rFonts w:ascii="Avenir Next" w:hAnsi="Avenir Next" w:cs="Arial"/>
          <w:color w:val="808080" w:themeColor="background1" w:themeShade="80"/>
          <w:sz w:val="22"/>
          <w:szCs w:val="22"/>
          <w:lang w:val="en-GB"/>
        </w:rPr>
        <w:t>nature of the relief accorded to the foreign representative</w:t>
      </w:r>
      <w:r w:rsidR="00CC78DA">
        <w:rPr>
          <w:rFonts w:ascii="Avenir Next" w:hAnsi="Avenir Next" w:cs="Arial"/>
          <w:color w:val="808080" w:themeColor="background1" w:themeShade="80"/>
          <w:sz w:val="22"/>
          <w:szCs w:val="22"/>
          <w:lang w:val="en-GB"/>
        </w:rPr>
        <w:t xml:space="preserve">. Article 20 of the MLCBI </w:t>
      </w:r>
      <w:r w:rsidR="00AC6687">
        <w:rPr>
          <w:rFonts w:ascii="Avenir Next" w:hAnsi="Avenir Next" w:cs="Arial"/>
          <w:color w:val="808080" w:themeColor="background1" w:themeShade="80"/>
          <w:sz w:val="22"/>
          <w:szCs w:val="22"/>
          <w:lang w:val="en-GB"/>
        </w:rPr>
        <w:t xml:space="preserve">provides for automatic mandatory relief, </w:t>
      </w:r>
      <w:r w:rsidR="009A0E86">
        <w:rPr>
          <w:rFonts w:ascii="Avenir Next" w:hAnsi="Avenir Next" w:cs="Arial"/>
          <w:color w:val="808080" w:themeColor="background1" w:themeShade="80"/>
          <w:sz w:val="22"/>
          <w:szCs w:val="22"/>
          <w:lang w:val="en-GB"/>
        </w:rPr>
        <w:t xml:space="preserve">but this automatic relief is </w:t>
      </w:r>
      <w:r w:rsidR="00AC6687">
        <w:rPr>
          <w:rFonts w:ascii="Avenir Next" w:hAnsi="Avenir Next" w:cs="Arial"/>
          <w:color w:val="808080" w:themeColor="background1" w:themeShade="80"/>
          <w:sz w:val="22"/>
          <w:szCs w:val="22"/>
          <w:lang w:val="en-GB"/>
        </w:rPr>
        <w:t>only available if the recognised foreign proceeding qualifie</w:t>
      </w:r>
      <w:r w:rsidR="000159A2">
        <w:rPr>
          <w:rFonts w:ascii="Avenir Next" w:hAnsi="Avenir Next" w:cs="Arial"/>
          <w:color w:val="808080" w:themeColor="background1" w:themeShade="80"/>
          <w:sz w:val="22"/>
          <w:szCs w:val="22"/>
          <w:lang w:val="en-GB"/>
        </w:rPr>
        <w:t xml:space="preserve">s </w:t>
      </w:r>
      <w:r w:rsidR="00AC6687">
        <w:rPr>
          <w:rFonts w:ascii="Avenir Next" w:hAnsi="Avenir Next" w:cs="Arial"/>
          <w:color w:val="808080" w:themeColor="background1" w:themeShade="80"/>
          <w:sz w:val="22"/>
          <w:szCs w:val="22"/>
          <w:lang w:val="en-GB"/>
        </w:rPr>
        <w:t>as a foreign main proceeding</w:t>
      </w:r>
      <w:r w:rsidR="009A0E86">
        <w:rPr>
          <w:rFonts w:ascii="Avenir Next" w:hAnsi="Avenir Next" w:cs="Arial"/>
          <w:color w:val="808080" w:themeColor="background1" w:themeShade="80"/>
          <w:sz w:val="22"/>
          <w:szCs w:val="22"/>
          <w:lang w:val="en-GB"/>
        </w:rPr>
        <w:t xml:space="preserve"> (whereas discretionary relief in Articles 19 and 21 may be issued in favour of both foreign main proceedings and foreign non-main proceedings).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2D7DF02B" w:rsidR="00867A8F" w:rsidRPr="00705469" w:rsidRDefault="00200B1F" w:rsidP="009D1227">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w:t>
      </w:r>
      <w:r w:rsidR="00F14DE9">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of the MLC</w:t>
      </w:r>
      <w:r w:rsidR="00F14DE9">
        <w:rPr>
          <w:rFonts w:ascii="Avenir Next" w:hAnsi="Avenir Next" w:cs="Arial"/>
          <w:color w:val="808080" w:themeColor="background1" w:themeShade="80"/>
          <w:sz w:val="22"/>
          <w:szCs w:val="22"/>
          <w:lang w:val="en-GB"/>
        </w:rPr>
        <w:t>BI "</w:t>
      </w:r>
      <w:r w:rsidR="00F14DE9">
        <w:rPr>
          <w:rFonts w:ascii="Avenir Next" w:hAnsi="Avenir Next" w:cs="Arial"/>
          <w:i/>
          <w:iCs/>
          <w:color w:val="808080" w:themeColor="background1" w:themeShade="80"/>
          <w:sz w:val="22"/>
          <w:szCs w:val="22"/>
          <w:lang w:val="en-GB"/>
        </w:rPr>
        <w:t>'foreign main proceeding' means a foreign proceeding taking place in the State where the debtor has the centre of its main interests"</w:t>
      </w:r>
      <w:r w:rsidR="00F14DE9">
        <w:rPr>
          <w:rFonts w:ascii="Avenir Next" w:hAnsi="Avenir Next" w:cs="Arial"/>
          <w:color w:val="808080" w:themeColor="background1" w:themeShade="80"/>
          <w:sz w:val="22"/>
          <w:szCs w:val="22"/>
          <w:lang w:val="en-GB"/>
        </w:rPr>
        <w:t>. Under Article (c) "</w:t>
      </w:r>
      <w:r w:rsidR="00F14DE9">
        <w:rPr>
          <w:rFonts w:ascii="Avenir Next" w:hAnsi="Avenir Next" w:cs="Arial"/>
          <w:i/>
          <w:iCs/>
          <w:color w:val="808080" w:themeColor="background1" w:themeShade="80"/>
          <w:sz w:val="22"/>
          <w:szCs w:val="22"/>
          <w:lang w:val="en-GB"/>
        </w:rPr>
        <w:t xml:space="preserve">'foreign non main </w:t>
      </w:r>
      <w:r w:rsidR="009D1227">
        <w:rPr>
          <w:rFonts w:ascii="Avenir Next" w:hAnsi="Avenir Next" w:cs="Arial"/>
          <w:i/>
          <w:iCs/>
          <w:color w:val="808080" w:themeColor="background1" w:themeShade="80"/>
          <w:sz w:val="22"/>
          <w:szCs w:val="22"/>
          <w:lang w:val="en-GB"/>
        </w:rPr>
        <w:t>proceeding</w:t>
      </w:r>
      <w:r w:rsidR="00F14DE9">
        <w:rPr>
          <w:rFonts w:ascii="Avenir Next" w:hAnsi="Avenir Next" w:cs="Arial"/>
          <w:i/>
          <w:iCs/>
          <w:color w:val="808080" w:themeColor="background1" w:themeShade="80"/>
          <w:sz w:val="22"/>
          <w:szCs w:val="22"/>
          <w:lang w:val="en-GB"/>
        </w:rPr>
        <w:t xml:space="preserve">' means a foreign proceeding, other than a foreign main proceeding, taking place in a State </w:t>
      </w:r>
      <w:r w:rsidR="00F14DE9">
        <w:rPr>
          <w:rFonts w:ascii="Avenir Next" w:hAnsi="Avenir Next" w:cs="Arial"/>
          <w:i/>
          <w:iCs/>
          <w:color w:val="808080" w:themeColor="background1" w:themeShade="80"/>
          <w:sz w:val="22"/>
          <w:szCs w:val="22"/>
          <w:lang w:val="en-GB"/>
        </w:rPr>
        <w:lastRenderedPageBreak/>
        <w:t>where the debtor has an establishment"</w:t>
      </w:r>
      <w:r w:rsidR="00F14DE9">
        <w:rPr>
          <w:rFonts w:ascii="Avenir Next" w:hAnsi="Avenir Next" w:cs="Arial"/>
          <w:color w:val="808080" w:themeColor="background1" w:themeShade="80"/>
          <w:sz w:val="22"/>
          <w:szCs w:val="22"/>
          <w:lang w:val="en-GB"/>
        </w:rPr>
        <w:t xml:space="preserve">. Under Article 2(f), and </w:t>
      </w:r>
      <w:r w:rsidR="009D1227">
        <w:rPr>
          <w:rFonts w:ascii="Avenir Next" w:hAnsi="Avenir Next" w:cs="Arial"/>
          <w:color w:val="808080" w:themeColor="background1" w:themeShade="80"/>
          <w:sz w:val="22"/>
          <w:szCs w:val="22"/>
          <w:lang w:val="en-GB"/>
        </w:rPr>
        <w:t>establishment</w:t>
      </w:r>
      <w:r w:rsidR="00F14DE9">
        <w:rPr>
          <w:rFonts w:ascii="Avenir Next" w:hAnsi="Avenir Next" w:cs="Arial"/>
          <w:color w:val="808080" w:themeColor="background1" w:themeShade="80"/>
          <w:sz w:val="22"/>
          <w:szCs w:val="22"/>
          <w:lang w:val="en-GB"/>
        </w:rPr>
        <w:t xml:space="preserve"> </w:t>
      </w:r>
      <w:r w:rsidR="00705469">
        <w:rPr>
          <w:rFonts w:ascii="Avenir Next" w:hAnsi="Avenir Next" w:cs="Arial"/>
          <w:color w:val="808080" w:themeColor="background1" w:themeShade="80"/>
          <w:sz w:val="22"/>
          <w:szCs w:val="22"/>
          <w:lang w:val="en-GB"/>
        </w:rPr>
        <w:t>means "</w:t>
      </w:r>
      <w:r w:rsidR="00705469">
        <w:rPr>
          <w:rFonts w:ascii="Avenir Next" w:hAnsi="Avenir Next" w:cs="Arial"/>
          <w:i/>
          <w:iCs/>
          <w:color w:val="808080" w:themeColor="background1" w:themeShade="80"/>
          <w:sz w:val="22"/>
          <w:szCs w:val="22"/>
          <w:lang w:val="en-GB"/>
        </w:rPr>
        <w:t>any place of operations where the debtor carries out a non-transitory economic activity with human means and goods or services"</w:t>
      </w:r>
      <w:r w:rsidR="00705469">
        <w:rPr>
          <w:rFonts w:ascii="Avenir Next" w:hAnsi="Avenir Next" w:cs="Arial"/>
          <w:color w:val="808080" w:themeColor="background1" w:themeShade="80"/>
          <w:sz w:val="22"/>
          <w:szCs w:val="22"/>
          <w:lang w:val="en-GB"/>
        </w:rPr>
        <w:t xml:space="preserve">. Consequently, the foreign proceeding </w:t>
      </w:r>
      <w:r w:rsidR="0093558D">
        <w:rPr>
          <w:rFonts w:ascii="Avenir Next" w:hAnsi="Avenir Next" w:cs="Arial"/>
          <w:color w:val="808080" w:themeColor="background1" w:themeShade="80"/>
          <w:sz w:val="22"/>
          <w:szCs w:val="22"/>
          <w:lang w:val="en-GB"/>
        </w:rPr>
        <w:t>filed in Germany should</w:t>
      </w:r>
      <w:r w:rsidR="009053E3">
        <w:rPr>
          <w:rFonts w:ascii="Avenir Next" w:hAnsi="Avenir Next" w:cs="Arial"/>
          <w:color w:val="808080" w:themeColor="background1" w:themeShade="80"/>
          <w:sz w:val="22"/>
          <w:szCs w:val="22"/>
          <w:lang w:val="en-GB"/>
        </w:rPr>
        <w:t xml:space="preserve"> be recognised as the foreign main proceeding (provided the centre of main interests was Germany at the date of the commencement of the foreign proceedings), and the foreign proceeding filed in Bermuda should be recognised as the foreign non main proceedings. The foreign man proceeding, in Germany, is expected to have "</w:t>
      </w:r>
      <w:r w:rsidR="009053E3">
        <w:rPr>
          <w:rFonts w:ascii="Avenir Next" w:hAnsi="Avenir Next" w:cs="Arial"/>
          <w:i/>
          <w:iCs/>
          <w:color w:val="808080" w:themeColor="background1" w:themeShade="80"/>
          <w:sz w:val="22"/>
          <w:szCs w:val="22"/>
          <w:lang w:val="en-GB"/>
        </w:rPr>
        <w:t>principal responsibility for managing the insolvency of the debtor regardless of the number of States in which the debtor has assets and creditors"</w:t>
      </w:r>
      <w:r w:rsidR="009053E3">
        <w:rPr>
          <w:rStyle w:val="FootnoteReference"/>
          <w:rFonts w:ascii="Avenir Next" w:hAnsi="Avenir Next" w:cs="Arial"/>
          <w:i/>
          <w:iCs/>
          <w:color w:val="808080" w:themeColor="background1" w:themeShade="80"/>
          <w:sz w:val="22"/>
          <w:szCs w:val="22"/>
          <w:lang w:val="en-GB"/>
        </w:rPr>
        <w:footnoteReference w:id="3"/>
      </w:r>
      <w:r w:rsidR="009053E3">
        <w:rPr>
          <w:rFonts w:ascii="Avenir Next" w:hAnsi="Avenir Next" w:cs="Arial"/>
          <w:i/>
          <w:iCs/>
          <w:color w:val="808080" w:themeColor="background1" w:themeShade="80"/>
          <w:sz w:val="22"/>
          <w:szCs w:val="22"/>
          <w:lang w:val="en-GB"/>
        </w:rPr>
        <w:t xml:space="preserve">.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5C7D2FC1" w:rsidR="00867A8F" w:rsidRPr="00B77352" w:rsidRDefault="00927685" w:rsidP="0092768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Joint Provisional Liquidators have commenced a recognition proceeding in the US, it appears that the US Court has not (yet) granted the requested recognition. As such, the Joint Provisional Liquidators could, under Article 19 of the MLCBI request </w:t>
      </w:r>
      <w:r w:rsidR="00292C02">
        <w:rPr>
          <w:rFonts w:ascii="Avenir Next" w:hAnsi="Avenir Next" w:cs="Arial"/>
          <w:color w:val="808080" w:themeColor="background1" w:themeShade="80"/>
          <w:sz w:val="22"/>
          <w:szCs w:val="22"/>
          <w:lang w:val="en-GB"/>
        </w:rPr>
        <w:t xml:space="preserve">interim relief (which may be granted upon the application for recognition). </w:t>
      </w:r>
      <w:r w:rsidR="002E0842">
        <w:rPr>
          <w:rFonts w:ascii="Avenir Next" w:hAnsi="Avenir Next" w:cs="Arial"/>
          <w:color w:val="808080" w:themeColor="background1" w:themeShade="80"/>
          <w:sz w:val="22"/>
          <w:szCs w:val="22"/>
          <w:lang w:val="en-GB"/>
        </w:rPr>
        <w:t xml:space="preserve">This interim relief can be ordered at the discretion of the Court, pending a decision on recognition, </w:t>
      </w:r>
      <w:r w:rsidR="005B4656">
        <w:rPr>
          <w:rFonts w:ascii="Avenir Next" w:hAnsi="Avenir Next" w:cs="Arial"/>
          <w:color w:val="808080" w:themeColor="background1" w:themeShade="80"/>
          <w:sz w:val="22"/>
          <w:szCs w:val="22"/>
          <w:lang w:val="en-GB"/>
        </w:rPr>
        <w:t>provided it is "</w:t>
      </w:r>
      <w:r w:rsidR="005B4656">
        <w:rPr>
          <w:rFonts w:ascii="Avenir Next" w:hAnsi="Avenir Next" w:cs="Arial"/>
          <w:i/>
          <w:iCs/>
          <w:color w:val="808080" w:themeColor="background1" w:themeShade="80"/>
          <w:sz w:val="22"/>
          <w:szCs w:val="22"/>
          <w:lang w:val="en-GB"/>
        </w:rPr>
        <w:t>urgently needed to protect the assets of the debtor or the interests of creditors"</w:t>
      </w:r>
      <w:r w:rsidR="005B4656">
        <w:rPr>
          <w:rFonts w:ascii="Avenir Next" w:hAnsi="Avenir Next" w:cs="Arial"/>
          <w:color w:val="808080" w:themeColor="background1" w:themeShade="80"/>
          <w:sz w:val="22"/>
          <w:szCs w:val="22"/>
          <w:lang w:val="en-GB"/>
        </w:rPr>
        <w:t xml:space="preserve">, </w:t>
      </w:r>
      <w:r w:rsidR="002E0842">
        <w:rPr>
          <w:rFonts w:ascii="Avenir Next" w:hAnsi="Avenir Next" w:cs="Arial"/>
          <w:color w:val="808080" w:themeColor="background1" w:themeShade="80"/>
          <w:sz w:val="22"/>
          <w:szCs w:val="22"/>
          <w:lang w:val="en-GB"/>
        </w:rPr>
        <w:t>and provided that such relief would not interfere with the administration of the foreign main proceeding</w:t>
      </w:r>
      <w:r w:rsidR="007249E1">
        <w:rPr>
          <w:rFonts w:ascii="Avenir Next" w:hAnsi="Avenir Next" w:cs="Arial"/>
          <w:color w:val="808080" w:themeColor="background1" w:themeShade="80"/>
          <w:sz w:val="22"/>
          <w:szCs w:val="22"/>
          <w:lang w:val="en-GB"/>
        </w:rPr>
        <w:t>. Such relief can include: (a) staying execution against the debtor's assets</w:t>
      </w:r>
      <w:r w:rsidR="00905D69">
        <w:rPr>
          <w:rFonts w:ascii="Avenir Next" w:hAnsi="Avenir Next" w:cs="Arial"/>
          <w:color w:val="808080" w:themeColor="background1" w:themeShade="80"/>
          <w:sz w:val="22"/>
          <w:szCs w:val="22"/>
          <w:lang w:val="en-GB"/>
        </w:rPr>
        <w:t>; (b) entrusting the administration or realisation of all or part of the debtor's assets located in the US to the foreign representative or another person designed by the Court, in order to protect and preserve the value of assets that, by their nature or because of other circumstances, are perishable, susceptible to devaluation or otherwise in jeopardy (c)</w:t>
      </w:r>
      <w:r w:rsidR="00D42E74">
        <w:rPr>
          <w:rFonts w:ascii="Avenir Next" w:hAnsi="Avenir Next" w:cs="Arial"/>
          <w:color w:val="808080" w:themeColor="background1" w:themeShade="80"/>
          <w:sz w:val="22"/>
          <w:szCs w:val="22"/>
          <w:lang w:val="en-GB"/>
        </w:rPr>
        <w:t xml:space="preserve"> suspending the right to transfer, encumber or otherwise dispose of any assets of the debtor (d) providing for the examination of witnesses, the taking of evidence or the delivery of information concerning the debtor's assets, affairs, rights, obligations or liabilities. </w:t>
      </w:r>
      <w:r w:rsidR="00DA5B27">
        <w:rPr>
          <w:rFonts w:ascii="Avenir Next" w:hAnsi="Avenir Next" w:cs="Arial"/>
          <w:color w:val="808080" w:themeColor="background1" w:themeShade="80"/>
          <w:sz w:val="22"/>
          <w:szCs w:val="22"/>
          <w:lang w:val="en-GB"/>
        </w:rPr>
        <w:t>Whether such urgent interim relief</w:t>
      </w:r>
      <w:r w:rsidR="007E0981">
        <w:rPr>
          <w:rFonts w:ascii="Avenir Next" w:hAnsi="Avenir Next" w:cs="Arial"/>
          <w:color w:val="808080" w:themeColor="background1" w:themeShade="80"/>
          <w:sz w:val="22"/>
          <w:szCs w:val="22"/>
          <w:lang w:val="en-GB"/>
        </w:rPr>
        <w:t xml:space="preserve"> is authorised would depend on whether that relief is availability in collective insolvency procedures in the US</w:t>
      </w:r>
      <w:r w:rsidR="00806C35">
        <w:rPr>
          <w:rFonts w:ascii="Avenir Next" w:hAnsi="Avenir Next" w:cs="Arial"/>
          <w:color w:val="808080" w:themeColor="background1" w:themeShade="80"/>
          <w:sz w:val="22"/>
          <w:szCs w:val="22"/>
          <w:lang w:val="en-GB"/>
        </w:rPr>
        <w:t xml:space="preserve">. </w:t>
      </w:r>
      <w:r w:rsidR="005B4656">
        <w:rPr>
          <w:rFonts w:ascii="Avenir Next" w:hAnsi="Avenir Next" w:cs="Arial"/>
          <w:color w:val="808080" w:themeColor="background1" w:themeShade="80"/>
          <w:sz w:val="22"/>
          <w:szCs w:val="22"/>
          <w:lang w:val="en-GB"/>
        </w:rPr>
        <w:t xml:space="preserve">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Pr="00704340" w:rsidRDefault="00F31EE9" w:rsidP="00F31EE9">
      <w:pPr>
        <w:jc w:val="both"/>
        <w:rPr>
          <w:rFonts w:ascii="Avenir Next" w:hAnsi="Avenir Next" w:cs="Arial"/>
          <w:sz w:val="22"/>
          <w:szCs w:val="22"/>
          <w:lang w:val="en-GB"/>
        </w:rPr>
      </w:pPr>
      <w:r w:rsidRPr="00704340">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704340">
        <w:rPr>
          <w:rFonts w:ascii="Avenir Next" w:hAnsi="Avenir Next" w:cs="Arial"/>
          <w:i/>
          <w:iCs/>
          <w:sz w:val="22"/>
          <w:szCs w:val="22"/>
          <w:lang w:val="en-GB"/>
        </w:rPr>
        <w:t>ipso facto</w:t>
      </w:r>
      <w:r w:rsidRPr="00704340">
        <w:rPr>
          <w:rFonts w:ascii="Avenir Next" w:hAnsi="Avenir Next" w:cs="Arial"/>
          <w:sz w:val="22"/>
          <w:szCs w:val="22"/>
          <w:lang w:val="en-GB"/>
        </w:rPr>
        <w:t xml:space="preserve"> clauses (that is, bankruptcy-triggered terminations) that are not enforceable under the US Bankruptcy Code. Based on these facts, explain what steps, if any, should the foreign representative take to protect the assets and why?</w:t>
      </w:r>
    </w:p>
    <w:p w14:paraId="2EBCC997" w14:textId="77777777" w:rsidR="00817D57" w:rsidRPr="002C7F6C" w:rsidRDefault="00817D57" w:rsidP="00707FC8">
      <w:pPr>
        <w:jc w:val="both"/>
        <w:rPr>
          <w:rFonts w:ascii="Avenir Next" w:hAnsi="Avenir Next" w:cs="Arial"/>
          <w:sz w:val="22"/>
          <w:szCs w:val="22"/>
          <w:highlight w:val="yellow"/>
          <w:lang w:val="en-GB"/>
        </w:rPr>
      </w:pPr>
    </w:p>
    <w:p w14:paraId="0BB0DDAD" w14:textId="39D0AD6F" w:rsidR="002B1FB3" w:rsidRPr="0005749E" w:rsidRDefault="002B1FB3" w:rsidP="00F7603B">
      <w:pPr>
        <w:jc w:val="both"/>
        <w:rPr>
          <w:rFonts w:ascii="Avenir Next" w:hAnsi="Avenir Next" w:cs="Arial"/>
          <w:color w:val="808080" w:themeColor="background1" w:themeShade="80"/>
          <w:sz w:val="22"/>
          <w:szCs w:val="22"/>
          <w:lang w:val="en-GB"/>
        </w:rPr>
      </w:pPr>
      <w:r w:rsidRPr="0005749E">
        <w:rPr>
          <w:rFonts w:ascii="Avenir Next" w:hAnsi="Avenir Next" w:cs="Arial"/>
          <w:color w:val="808080" w:themeColor="background1" w:themeShade="80"/>
          <w:sz w:val="22"/>
          <w:szCs w:val="22"/>
          <w:lang w:val="en-GB"/>
        </w:rPr>
        <w:t xml:space="preserve">Ipso facto </w:t>
      </w:r>
      <w:r w:rsidR="00F7603B" w:rsidRPr="0005749E">
        <w:rPr>
          <w:rFonts w:ascii="Avenir Next" w:hAnsi="Avenir Next" w:cs="Arial"/>
          <w:color w:val="808080" w:themeColor="background1" w:themeShade="80"/>
          <w:sz w:val="22"/>
          <w:szCs w:val="22"/>
          <w:lang w:val="en-GB"/>
        </w:rPr>
        <w:t>clauses allow the termination of contracts upon one of the parties entering into insolvency proceedings</w:t>
      </w:r>
      <w:r w:rsidR="00512A30">
        <w:rPr>
          <w:rFonts w:ascii="Avenir Next" w:hAnsi="Avenir Next" w:cs="Arial"/>
          <w:color w:val="808080" w:themeColor="background1" w:themeShade="80"/>
          <w:sz w:val="22"/>
          <w:szCs w:val="22"/>
          <w:lang w:val="en-GB"/>
        </w:rPr>
        <w:t xml:space="preserve">. In this scenario, </w:t>
      </w:r>
      <w:r w:rsidR="00F7603B" w:rsidRPr="0005749E">
        <w:rPr>
          <w:rFonts w:ascii="Avenir Next" w:hAnsi="Avenir Next" w:cs="Arial"/>
          <w:color w:val="808080" w:themeColor="background1" w:themeShade="80"/>
          <w:sz w:val="22"/>
          <w:szCs w:val="22"/>
          <w:lang w:val="en-GB"/>
        </w:rPr>
        <w:t>if the clauses are held to be enforceable</w:t>
      </w:r>
      <w:r w:rsidR="0005749E">
        <w:rPr>
          <w:rFonts w:ascii="Avenir Next" w:hAnsi="Avenir Next" w:cs="Arial"/>
          <w:color w:val="808080" w:themeColor="background1" w:themeShade="80"/>
          <w:sz w:val="22"/>
          <w:szCs w:val="22"/>
          <w:lang w:val="en-GB"/>
        </w:rPr>
        <w:t xml:space="preserve">, </w:t>
      </w:r>
      <w:r w:rsidR="007A04BF" w:rsidRPr="0005749E">
        <w:rPr>
          <w:rFonts w:ascii="Avenir Next" w:hAnsi="Avenir Next" w:cs="Arial"/>
          <w:color w:val="808080" w:themeColor="background1" w:themeShade="80"/>
          <w:sz w:val="22"/>
          <w:szCs w:val="22"/>
          <w:lang w:val="en-GB"/>
        </w:rPr>
        <w:t>the US leases and intellectual property licences could be terminated</w:t>
      </w:r>
      <w:r w:rsidR="0005749E" w:rsidRPr="0005749E">
        <w:rPr>
          <w:rFonts w:ascii="Avenir Next" w:hAnsi="Avenir Next" w:cs="Arial"/>
          <w:color w:val="808080" w:themeColor="background1" w:themeShade="80"/>
          <w:sz w:val="22"/>
          <w:szCs w:val="22"/>
          <w:lang w:val="en-GB"/>
        </w:rPr>
        <w:t xml:space="preserve">, which would negatively affect the value of the foreign debtor's assets. </w:t>
      </w:r>
      <w:r w:rsidR="00316D68">
        <w:rPr>
          <w:rFonts w:ascii="Avenir Next" w:hAnsi="Avenir Next" w:cs="Arial"/>
          <w:color w:val="808080" w:themeColor="background1" w:themeShade="80"/>
          <w:sz w:val="22"/>
          <w:szCs w:val="22"/>
          <w:lang w:val="en-GB"/>
        </w:rPr>
        <w:t>As these assets need to be safeguarded, for the benefit of all creditors in future distributions, t</w:t>
      </w:r>
      <w:r w:rsidR="00C116F0">
        <w:rPr>
          <w:rFonts w:ascii="Avenir Next" w:hAnsi="Avenir Next" w:cs="Arial"/>
          <w:color w:val="808080" w:themeColor="background1" w:themeShade="80"/>
          <w:sz w:val="22"/>
          <w:szCs w:val="22"/>
          <w:lang w:val="en-GB"/>
        </w:rPr>
        <w:t xml:space="preserve">he impact of these clauses therefore needs to be understood by the foreign representative as a priority (and local advice provided by US Counsel on their enforceability (or otherwise) under the US Bankruptcy Code).  </w:t>
      </w:r>
      <w:r w:rsidR="00512A30">
        <w:rPr>
          <w:rFonts w:ascii="Avenir Next" w:hAnsi="Avenir Next" w:cs="Arial"/>
          <w:color w:val="808080" w:themeColor="background1" w:themeShade="80"/>
          <w:sz w:val="22"/>
          <w:szCs w:val="22"/>
          <w:lang w:val="en-GB"/>
        </w:rPr>
        <w:t xml:space="preserve">Provided that local law advice confirmed that these clauses would not be enforceable under the US Bankruptcy Code, there could be merit in the foreign representative communicating this to the foreign debtor's counterparties in the leases / licences, to clarify any future </w:t>
      </w:r>
      <w:r w:rsidR="00512A30">
        <w:rPr>
          <w:rFonts w:ascii="Avenir Next" w:hAnsi="Avenir Next" w:cs="Arial"/>
          <w:color w:val="808080" w:themeColor="background1" w:themeShade="80"/>
          <w:sz w:val="22"/>
          <w:szCs w:val="22"/>
          <w:lang w:val="en-GB"/>
        </w:rPr>
        <w:lastRenderedPageBreak/>
        <w:t xml:space="preserve">impact of the recognition application on these agreements. </w:t>
      </w:r>
      <w:r w:rsidR="000C1151">
        <w:rPr>
          <w:rFonts w:ascii="Avenir Next" w:hAnsi="Avenir Next" w:cs="Arial"/>
          <w:color w:val="808080" w:themeColor="background1" w:themeShade="80"/>
          <w:sz w:val="22"/>
          <w:szCs w:val="22"/>
          <w:lang w:val="en-GB"/>
        </w:rPr>
        <w:t xml:space="preserve">The foreign representative may also request the US Court's assistance in preserving the status quo pending the recognition hearing given the 35 day gap, including seeking court orders protecting the assets for the benefit of creditors. </w:t>
      </w:r>
    </w:p>
    <w:p w14:paraId="029C47C8" w14:textId="407A62D4" w:rsidR="00867A8F" w:rsidRDefault="00867A8F" w:rsidP="0005749E">
      <w:pPr>
        <w:jc w:val="both"/>
        <w:rPr>
          <w:rFonts w:ascii="Avenir Next" w:hAnsi="Avenir Next" w:cs="Arial"/>
          <w:sz w:val="22"/>
          <w:szCs w:val="22"/>
          <w:lang w:val="en-GB"/>
        </w:rPr>
      </w:pPr>
    </w:p>
    <w:p w14:paraId="552796D2" w14:textId="5EDABC87" w:rsidR="000077DD" w:rsidRPr="00890E30" w:rsidRDefault="000077DD" w:rsidP="000077DD">
      <w:pPr>
        <w:rPr>
          <w:rFonts w:ascii="Avenir Next Demi Bold" w:hAnsi="Avenir Next Demi Bold" w:cs="Arial"/>
          <w:b/>
          <w:bCs/>
          <w:sz w:val="22"/>
          <w:szCs w:val="22"/>
          <w:lang w:val="en-GB"/>
        </w:rPr>
      </w:pPr>
      <w:r w:rsidRPr="00890E30">
        <w:rPr>
          <w:rFonts w:ascii="Avenir Next Demi Bold" w:hAnsi="Avenir Next Demi Bold" w:cs="Arial"/>
          <w:b/>
          <w:bCs/>
          <w:sz w:val="22"/>
          <w:szCs w:val="22"/>
          <w:lang w:val="en-GB"/>
        </w:rPr>
        <w:t xml:space="preserve">Question 3.4 [maximum </w:t>
      </w:r>
      <w:r w:rsidR="00B457BF" w:rsidRPr="00890E30">
        <w:rPr>
          <w:rFonts w:ascii="Avenir Next Demi Bold" w:hAnsi="Avenir Next Demi Bold" w:cs="Arial"/>
          <w:b/>
          <w:bCs/>
          <w:sz w:val="22"/>
          <w:szCs w:val="22"/>
          <w:lang w:val="en-GB"/>
        </w:rPr>
        <w:t>4</w:t>
      </w:r>
      <w:r w:rsidRPr="00890E30">
        <w:rPr>
          <w:rFonts w:ascii="Avenir Next Demi Bold" w:hAnsi="Avenir Next Demi Bold" w:cs="Arial"/>
          <w:b/>
          <w:bCs/>
          <w:sz w:val="22"/>
          <w:szCs w:val="22"/>
          <w:lang w:val="en-GB"/>
        </w:rPr>
        <w:t xml:space="preserve"> mark</w:t>
      </w:r>
      <w:r w:rsidR="00B457BF" w:rsidRPr="00890E30">
        <w:rPr>
          <w:rFonts w:ascii="Avenir Next Demi Bold" w:hAnsi="Avenir Next Demi Bold" w:cs="Arial"/>
          <w:b/>
          <w:bCs/>
          <w:sz w:val="22"/>
          <w:szCs w:val="22"/>
          <w:lang w:val="en-GB"/>
        </w:rPr>
        <w:t>s</w:t>
      </w:r>
      <w:r w:rsidRPr="00890E30">
        <w:rPr>
          <w:rFonts w:ascii="Avenir Next Demi Bold" w:hAnsi="Avenir Next Demi Bold" w:cs="Arial"/>
          <w:b/>
          <w:bCs/>
          <w:sz w:val="22"/>
          <w:szCs w:val="22"/>
          <w:lang w:val="en-GB"/>
        </w:rPr>
        <w:t>]</w:t>
      </w:r>
    </w:p>
    <w:p w14:paraId="6AD1D79E" w14:textId="77777777" w:rsidR="000077DD" w:rsidRPr="00890E30" w:rsidRDefault="000077DD" w:rsidP="000077DD">
      <w:pPr>
        <w:rPr>
          <w:rFonts w:ascii="Avenir Next" w:hAnsi="Avenir Next" w:cs="Arial"/>
          <w:b/>
          <w:bCs/>
          <w:sz w:val="22"/>
          <w:szCs w:val="22"/>
          <w:lang w:val="en-GB"/>
        </w:rPr>
      </w:pPr>
    </w:p>
    <w:p w14:paraId="7251C639" w14:textId="77777777" w:rsidR="00AF302B" w:rsidRPr="00890E30" w:rsidRDefault="00AF302B" w:rsidP="00AF302B">
      <w:pPr>
        <w:jc w:val="both"/>
        <w:rPr>
          <w:rFonts w:ascii="Avenir Next" w:hAnsi="Avenir Next" w:cs="Arial"/>
          <w:sz w:val="22"/>
          <w:szCs w:val="22"/>
          <w:lang w:val="en-GB"/>
        </w:rPr>
      </w:pPr>
      <w:r w:rsidRPr="00890E30">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7B17EA59" w14:textId="4FAAB578" w:rsidR="00E910F5" w:rsidRDefault="00E910F5" w:rsidP="00DD3466">
      <w:pPr>
        <w:jc w:val="both"/>
        <w:rPr>
          <w:rFonts w:ascii="Avenir Next" w:hAnsi="Avenir Next" w:cs="Arial"/>
          <w:color w:val="808080" w:themeColor="background1" w:themeShade="80"/>
          <w:sz w:val="22"/>
          <w:szCs w:val="22"/>
          <w:lang w:val="en-GB"/>
        </w:rPr>
      </w:pPr>
    </w:p>
    <w:p w14:paraId="683B924D" w14:textId="32BE5A21" w:rsidR="00074750" w:rsidRPr="001C0CC8" w:rsidRDefault="00C714F6" w:rsidP="00DD346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could look to have the recognition decision reviewed as "</w:t>
      </w:r>
      <w:r>
        <w:rPr>
          <w:rFonts w:ascii="Avenir Next" w:hAnsi="Avenir Next" w:cs="Arial"/>
          <w:i/>
          <w:iCs/>
          <w:color w:val="808080" w:themeColor="background1" w:themeShade="80"/>
          <w:sz w:val="22"/>
          <w:szCs w:val="22"/>
          <w:lang w:val="en-GB"/>
        </w:rPr>
        <w:t>a decision on recognition may also be subject to a review of whether, in the decision-making process, the requirements for recognition were observed. Some appeal procedures give the appeal court the authority to review the merits of the case in its entirety, including factual aspects</w:t>
      </w:r>
      <w:r w:rsidR="00A74F1A">
        <w:rPr>
          <w:rFonts w:ascii="Avenir Next" w:hAnsi="Avenir Next" w:cs="Arial"/>
          <w:i/>
          <w:iCs/>
          <w:color w:val="808080" w:themeColor="background1" w:themeShade="80"/>
          <w:sz w:val="22"/>
          <w:szCs w:val="22"/>
          <w:lang w:val="en-GB"/>
        </w:rPr>
        <w:t>"</w:t>
      </w:r>
      <w:r w:rsidR="00A74F1A">
        <w:rPr>
          <w:rStyle w:val="FootnoteReference"/>
          <w:rFonts w:ascii="Avenir Next" w:hAnsi="Avenir Next" w:cs="Arial"/>
          <w:i/>
          <w:iCs/>
          <w:color w:val="808080" w:themeColor="background1" w:themeShade="80"/>
          <w:sz w:val="22"/>
          <w:szCs w:val="22"/>
          <w:lang w:val="en-GB"/>
        </w:rPr>
        <w:footnoteReference w:id="4"/>
      </w:r>
      <w:r w:rsidR="00A74F1A">
        <w:rPr>
          <w:rFonts w:ascii="Avenir Next" w:hAnsi="Avenir Next" w:cs="Arial"/>
          <w:color w:val="808080" w:themeColor="background1" w:themeShade="80"/>
          <w:sz w:val="22"/>
          <w:szCs w:val="22"/>
          <w:lang w:val="en-GB"/>
        </w:rPr>
        <w:t>. However, such an appeal "</w:t>
      </w:r>
      <w:r w:rsidR="00A74F1A">
        <w:rPr>
          <w:rFonts w:ascii="Avenir Next" w:hAnsi="Avenir Next" w:cs="Arial"/>
          <w:i/>
          <w:iCs/>
          <w:color w:val="808080" w:themeColor="background1" w:themeShade="80"/>
          <w:sz w:val="22"/>
          <w:szCs w:val="22"/>
          <w:lang w:val="en-GB"/>
        </w:rPr>
        <w:t>would be limited to the question of whether the requirements of Articles 15 and 16 were observed"</w:t>
      </w:r>
      <w:r w:rsidR="00A74F1A">
        <w:rPr>
          <w:rStyle w:val="FootnoteReference"/>
          <w:rFonts w:ascii="Avenir Next" w:hAnsi="Avenir Next" w:cs="Arial"/>
          <w:i/>
          <w:iCs/>
          <w:color w:val="808080" w:themeColor="background1" w:themeShade="80"/>
          <w:sz w:val="22"/>
          <w:szCs w:val="22"/>
          <w:lang w:val="en-GB"/>
        </w:rPr>
        <w:footnoteReference w:id="5"/>
      </w:r>
      <w:r w:rsidR="00074750">
        <w:rPr>
          <w:rFonts w:ascii="Avenir Next" w:hAnsi="Avenir Next" w:cs="Arial"/>
          <w:color w:val="808080" w:themeColor="background1" w:themeShade="80"/>
          <w:sz w:val="22"/>
          <w:szCs w:val="22"/>
          <w:lang w:val="en-GB"/>
        </w:rPr>
        <w:t xml:space="preserve">. Such an appeal would therefore likely focus on the Court's consideration of the rebuttable presumption in Article 16(3) of the MLCBI </w:t>
      </w:r>
      <w:r w:rsidR="001C0CC8">
        <w:rPr>
          <w:rFonts w:ascii="Avenir Next" w:hAnsi="Avenir Next" w:cs="Arial"/>
          <w:color w:val="808080" w:themeColor="background1" w:themeShade="80"/>
          <w:sz w:val="22"/>
          <w:szCs w:val="22"/>
          <w:lang w:val="en-GB"/>
        </w:rPr>
        <w:t>that "</w:t>
      </w:r>
      <w:r w:rsidR="001C0CC8">
        <w:rPr>
          <w:rFonts w:ascii="Avenir Next" w:hAnsi="Avenir Next" w:cs="Arial"/>
          <w:i/>
          <w:iCs/>
          <w:color w:val="808080" w:themeColor="background1" w:themeShade="80"/>
          <w:sz w:val="22"/>
          <w:szCs w:val="22"/>
          <w:lang w:val="en-GB"/>
        </w:rPr>
        <w:t xml:space="preserve">in the absence of proof to the contrary, the debtor's registered office </w:t>
      </w:r>
      <w:r w:rsidR="001C0CC8">
        <w:rPr>
          <w:rFonts w:ascii="Avenir Next" w:hAnsi="Avenir Next" w:cs="Arial"/>
          <w:color w:val="808080" w:themeColor="background1" w:themeShade="80"/>
          <w:sz w:val="22"/>
          <w:szCs w:val="22"/>
          <w:lang w:val="en-GB"/>
        </w:rPr>
        <w:t xml:space="preserve">[i.e. in Country A] </w:t>
      </w:r>
      <w:r w:rsidR="001C0CC8">
        <w:rPr>
          <w:rFonts w:ascii="Avenir Next" w:hAnsi="Avenir Next" w:cs="Arial"/>
          <w:i/>
          <w:iCs/>
          <w:color w:val="808080" w:themeColor="background1" w:themeShade="80"/>
          <w:sz w:val="22"/>
          <w:szCs w:val="22"/>
          <w:lang w:val="en-GB"/>
        </w:rPr>
        <w:t>… is presumed to be the centre of the debtor's main interests"</w:t>
      </w:r>
      <w:r w:rsidR="001C0CC8">
        <w:rPr>
          <w:rFonts w:ascii="Avenir Next" w:hAnsi="Avenir Next" w:cs="Arial"/>
          <w:color w:val="808080" w:themeColor="background1" w:themeShade="80"/>
          <w:sz w:val="22"/>
          <w:szCs w:val="22"/>
          <w:lang w:val="en-GB"/>
        </w:rPr>
        <w:t xml:space="preserve">, such that </w:t>
      </w:r>
      <w:r w:rsidR="00DA7BE1">
        <w:rPr>
          <w:rFonts w:ascii="Avenir Next" w:hAnsi="Avenir Next" w:cs="Arial"/>
          <w:color w:val="808080" w:themeColor="background1" w:themeShade="80"/>
          <w:sz w:val="22"/>
          <w:szCs w:val="22"/>
          <w:lang w:val="en-GB"/>
        </w:rPr>
        <w:t xml:space="preserve">the foreign proceedings should be recognised as foreign main proceedings. That being said, </w:t>
      </w:r>
      <w:r w:rsidR="004156A0">
        <w:rPr>
          <w:rFonts w:ascii="Avenir Next" w:hAnsi="Avenir Next" w:cs="Arial"/>
          <w:color w:val="808080" w:themeColor="background1" w:themeShade="80"/>
          <w:sz w:val="22"/>
          <w:szCs w:val="22"/>
          <w:lang w:val="en-GB"/>
        </w:rPr>
        <w:t>given</w:t>
      </w:r>
      <w:r w:rsidR="00812AF5">
        <w:rPr>
          <w:rFonts w:ascii="Avenir Next" w:hAnsi="Avenir Next" w:cs="Arial"/>
          <w:color w:val="808080" w:themeColor="background1" w:themeShade="80"/>
          <w:sz w:val="22"/>
          <w:szCs w:val="22"/>
          <w:lang w:val="en-GB"/>
        </w:rPr>
        <w:t xml:space="preserve"> that the registered office "but not much else" is located in Country</w:t>
      </w:r>
      <w:r w:rsidR="00D2212F">
        <w:rPr>
          <w:rFonts w:ascii="Avenir Next" w:hAnsi="Avenir Next" w:cs="Arial"/>
          <w:color w:val="808080" w:themeColor="background1" w:themeShade="80"/>
          <w:sz w:val="22"/>
          <w:szCs w:val="22"/>
          <w:lang w:val="en-GB"/>
        </w:rPr>
        <w:t xml:space="preserve"> A, on its own and without anything else, </w:t>
      </w:r>
      <w:r w:rsidR="004156A0">
        <w:rPr>
          <w:rFonts w:ascii="Avenir Next" w:hAnsi="Avenir Next" w:cs="Arial"/>
          <w:color w:val="808080" w:themeColor="background1" w:themeShade="80"/>
          <w:sz w:val="22"/>
          <w:szCs w:val="22"/>
          <w:lang w:val="en-GB"/>
        </w:rPr>
        <w:t xml:space="preserve">it is likely that the first instance Court felt this to be </w:t>
      </w:r>
      <w:r w:rsidR="00D2212F">
        <w:rPr>
          <w:rFonts w:ascii="Avenir Next" w:hAnsi="Avenir Next" w:cs="Arial"/>
          <w:color w:val="808080" w:themeColor="background1" w:themeShade="80"/>
          <w:sz w:val="22"/>
          <w:szCs w:val="22"/>
          <w:lang w:val="en-GB"/>
        </w:rPr>
        <w:t xml:space="preserve">insufficient evidence for </w:t>
      </w:r>
      <w:r w:rsidR="004156A0">
        <w:rPr>
          <w:rFonts w:ascii="Avenir Next" w:hAnsi="Avenir Next" w:cs="Arial"/>
          <w:color w:val="808080" w:themeColor="background1" w:themeShade="80"/>
          <w:sz w:val="22"/>
          <w:szCs w:val="22"/>
          <w:lang w:val="en-GB"/>
        </w:rPr>
        <w:t xml:space="preserve">it </w:t>
      </w:r>
      <w:r w:rsidR="00D2212F">
        <w:rPr>
          <w:rFonts w:ascii="Avenir Next" w:hAnsi="Avenir Next" w:cs="Arial"/>
          <w:color w:val="808080" w:themeColor="background1" w:themeShade="80"/>
          <w:sz w:val="22"/>
          <w:szCs w:val="22"/>
          <w:lang w:val="en-GB"/>
        </w:rPr>
        <w:t>to conclude that Country A is the debtor's COMI.</w:t>
      </w:r>
      <w:r w:rsidR="004156A0">
        <w:rPr>
          <w:rFonts w:ascii="Avenir Next" w:hAnsi="Avenir Next" w:cs="Arial"/>
          <w:color w:val="808080" w:themeColor="background1" w:themeShade="80"/>
          <w:sz w:val="22"/>
          <w:szCs w:val="22"/>
          <w:lang w:val="en-GB"/>
        </w:rPr>
        <w:t xml:space="preserve"> Absent any additional information, an appellate Court is unlikely to reverse that decision.  </w:t>
      </w:r>
    </w:p>
    <w:p w14:paraId="740CF3FD" w14:textId="77777777" w:rsidR="00775324" w:rsidRDefault="00775324" w:rsidP="00DD3466">
      <w:pPr>
        <w:jc w:val="both"/>
        <w:rPr>
          <w:rFonts w:ascii="Avenir Next" w:hAnsi="Avenir Next" w:cs="Arial"/>
          <w:color w:val="808080" w:themeColor="background1" w:themeShade="80"/>
          <w:sz w:val="22"/>
          <w:szCs w:val="22"/>
          <w:lang w:val="en-GB"/>
        </w:rPr>
      </w:pPr>
    </w:p>
    <w:p w14:paraId="436D9314" w14:textId="0E766C75" w:rsidR="00853244" w:rsidRPr="00B57F33" w:rsidRDefault="00890E30" w:rsidP="00DD346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outset, the foreign representative should </w:t>
      </w:r>
      <w:r w:rsidR="00DD3466">
        <w:rPr>
          <w:rFonts w:ascii="Avenir Next" w:hAnsi="Avenir Next" w:cs="Arial"/>
          <w:color w:val="808080" w:themeColor="background1" w:themeShade="80"/>
          <w:sz w:val="22"/>
          <w:szCs w:val="22"/>
          <w:lang w:val="en-GB"/>
        </w:rPr>
        <w:t>have sought further information from the originating Court as "</w:t>
      </w:r>
      <w:r w:rsidR="00DD3466">
        <w:rPr>
          <w:rFonts w:ascii="Avenir Next" w:hAnsi="Avenir Next" w:cs="Arial"/>
          <w:i/>
          <w:iCs/>
          <w:color w:val="808080" w:themeColor="background1" w:themeShade="80"/>
          <w:sz w:val="22"/>
          <w:szCs w:val="22"/>
          <w:lang w:val="en-GB"/>
        </w:rPr>
        <w:t xml:space="preserve">recognition of a foreign proceeding would be assisted if the originating Court </w:t>
      </w:r>
      <w:r w:rsidR="009B02DD">
        <w:rPr>
          <w:rFonts w:ascii="Avenir Next" w:hAnsi="Avenir Next" w:cs="Arial"/>
          <w:color w:val="808080" w:themeColor="background1" w:themeShade="80"/>
          <w:sz w:val="22"/>
          <w:szCs w:val="22"/>
          <w:lang w:val="en-GB"/>
        </w:rPr>
        <w:t xml:space="preserve">[i.e. Country A] </w:t>
      </w:r>
      <w:r w:rsidR="00DD3466">
        <w:rPr>
          <w:rFonts w:ascii="Avenir Next" w:hAnsi="Avenir Next" w:cs="Arial"/>
          <w:i/>
          <w:iCs/>
          <w:color w:val="808080" w:themeColor="background1" w:themeShade="80"/>
          <w:sz w:val="22"/>
          <w:szCs w:val="22"/>
          <w:lang w:val="en-GB"/>
        </w:rPr>
        <w:t xml:space="preserve">mentioned in its orders any information that would facilitate the finding by a receiving Court </w:t>
      </w:r>
      <w:r w:rsidR="009B02DD">
        <w:rPr>
          <w:rFonts w:ascii="Avenir Next" w:hAnsi="Avenir Next" w:cs="Arial"/>
          <w:color w:val="808080" w:themeColor="background1" w:themeShade="80"/>
          <w:sz w:val="22"/>
          <w:szCs w:val="22"/>
          <w:lang w:val="en-GB"/>
        </w:rPr>
        <w:t xml:space="preserve">[i.e. Country B] </w:t>
      </w:r>
      <w:r w:rsidR="00DD3466">
        <w:rPr>
          <w:rFonts w:ascii="Avenir Next" w:hAnsi="Avenir Next" w:cs="Arial"/>
          <w:i/>
          <w:iCs/>
          <w:color w:val="808080" w:themeColor="background1" w:themeShade="80"/>
          <w:sz w:val="22"/>
          <w:szCs w:val="22"/>
          <w:lang w:val="en-GB"/>
        </w:rPr>
        <w:t>that the proceeding is a foreign proceeding … this would be particularly helpful when the originating Court</w:t>
      </w:r>
      <w:r w:rsidR="00853244">
        <w:rPr>
          <w:rFonts w:ascii="Avenir Next" w:hAnsi="Avenir Next" w:cs="Arial"/>
          <w:i/>
          <w:iCs/>
          <w:color w:val="808080" w:themeColor="background1" w:themeShade="80"/>
          <w:sz w:val="22"/>
          <w:szCs w:val="22"/>
          <w:lang w:val="en-GB"/>
        </w:rPr>
        <w:t xml:space="preserve"> </w:t>
      </w:r>
      <w:r w:rsidR="00B57F33">
        <w:rPr>
          <w:rFonts w:ascii="Avenir Next" w:hAnsi="Avenir Next" w:cs="Arial"/>
          <w:i/>
          <w:iCs/>
          <w:color w:val="808080" w:themeColor="background1" w:themeShade="80"/>
          <w:sz w:val="22"/>
          <w:szCs w:val="22"/>
          <w:lang w:val="en-GB"/>
        </w:rPr>
        <w:t>was aware of the international character of the debtor or its business, and of the likelihood that recognition of the proceeding would be sought under the Model Law"</w:t>
      </w:r>
      <w:r w:rsidR="00B91486">
        <w:rPr>
          <w:rStyle w:val="FootnoteReference"/>
          <w:rFonts w:ascii="Avenir Next" w:hAnsi="Avenir Next" w:cs="Arial"/>
          <w:i/>
          <w:iCs/>
          <w:color w:val="808080" w:themeColor="background1" w:themeShade="80"/>
          <w:sz w:val="22"/>
          <w:szCs w:val="22"/>
          <w:lang w:val="en-GB"/>
        </w:rPr>
        <w:footnoteReference w:id="6"/>
      </w:r>
      <w:r w:rsidR="00B57F33">
        <w:rPr>
          <w:rFonts w:ascii="Avenir Next" w:hAnsi="Avenir Next" w:cs="Arial"/>
          <w:color w:val="808080" w:themeColor="background1" w:themeShade="80"/>
          <w:sz w:val="22"/>
          <w:szCs w:val="22"/>
          <w:lang w:val="en-GB"/>
        </w:rPr>
        <w:t>.</w:t>
      </w:r>
      <w:r w:rsidR="00B638F4">
        <w:rPr>
          <w:rFonts w:ascii="Avenir Next" w:hAnsi="Avenir Next" w:cs="Arial"/>
          <w:color w:val="808080" w:themeColor="background1" w:themeShade="80"/>
          <w:sz w:val="22"/>
          <w:szCs w:val="22"/>
          <w:lang w:val="en-GB"/>
        </w:rPr>
        <w:t xml:space="preserve"> The foreign representative could also have considered applying for recognition of the Country A proceedings as foreign non-main proceedings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w:t>
      </w:r>
      <w:r w:rsidRPr="00E61F6E">
        <w:rPr>
          <w:rFonts w:ascii="Avenir Next" w:hAnsi="Avenir Next"/>
          <w:sz w:val="22"/>
          <w:szCs w:val="28"/>
        </w:rPr>
        <w:lastRenderedPageBreak/>
        <w:t>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46142FB2" w14:textId="6CF24C9B" w:rsidR="0007768E" w:rsidRDefault="003E593E" w:rsidP="00EB48C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order to ensure a successful restructuring for Global Holdings, </w:t>
      </w:r>
      <w:r w:rsidR="0032364E">
        <w:rPr>
          <w:rFonts w:ascii="Avenir Next" w:hAnsi="Avenir Next"/>
          <w:color w:val="808080" w:themeColor="background1" w:themeShade="80"/>
          <w:sz w:val="22"/>
          <w:szCs w:val="28"/>
        </w:rPr>
        <w:t xml:space="preserve">given the international nature of the business </w:t>
      </w:r>
      <w:r w:rsidR="002A5794">
        <w:rPr>
          <w:rFonts w:ascii="Avenir Next" w:hAnsi="Avenir Next"/>
          <w:color w:val="808080" w:themeColor="background1" w:themeShade="80"/>
          <w:sz w:val="22"/>
          <w:szCs w:val="28"/>
        </w:rPr>
        <w:t xml:space="preserve">across both Cayman and the </w:t>
      </w:r>
      <w:r w:rsidR="008374A2">
        <w:rPr>
          <w:rFonts w:ascii="Avenir Next" w:hAnsi="Avenir Next"/>
          <w:color w:val="808080" w:themeColor="background1" w:themeShade="80"/>
          <w:sz w:val="22"/>
          <w:szCs w:val="28"/>
        </w:rPr>
        <w:t>US (including the fact that the client's primary operations and significant assets are located in the US)</w:t>
      </w:r>
      <w:r w:rsidR="002A5794">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the foreign representative should consider</w:t>
      </w:r>
      <w:r w:rsidR="00EB48C2">
        <w:rPr>
          <w:rFonts w:ascii="Avenir Next" w:hAnsi="Avenir Next"/>
          <w:color w:val="808080" w:themeColor="background1" w:themeShade="80"/>
          <w:sz w:val="22"/>
          <w:szCs w:val="28"/>
        </w:rPr>
        <w:t xml:space="preserve"> a</w:t>
      </w:r>
      <w:r w:rsidRPr="00EB48C2">
        <w:rPr>
          <w:rFonts w:ascii="Avenir Next" w:hAnsi="Avenir Next"/>
          <w:color w:val="808080" w:themeColor="background1" w:themeShade="80"/>
          <w:sz w:val="22"/>
          <w:szCs w:val="28"/>
        </w:rPr>
        <w:t xml:space="preserve">pplying for recognition proceedings in the </w:t>
      </w:r>
      <w:r w:rsidR="008374A2">
        <w:rPr>
          <w:rFonts w:ascii="Avenir Next" w:hAnsi="Avenir Next"/>
          <w:color w:val="808080" w:themeColor="background1" w:themeShade="80"/>
          <w:sz w:val="22"/>
          <w:szCs w:val="28"/>
        </w:rPr>
        <w:t>US</w:t>
      </w:r>
      <w:r w:rsidR="00EB48C2">
        <w:rPr>
          <w:rFonts w:ascii="Avenir Next" w:hAnsi="Avenir Next"/>
          <w:color w:val="808080" w:themeColor="background1" w:themeShade="80"/>
          <w:sz w:val="22"/>
          <w:szCs w:val="28"/>
        </w:rPr>
        <w:t xml:space="preserve"> under Chapter 15 of the US Bankruptcy Code. This filing strategy would allow for coordination of the Cayman-based restructuring efforts</w:t>
      </w:r>
      <w:r w:rsidR="00432734">
        <w:rPr>
          <w:rFonts w:ascii="Avenir Next" w:hAnsi="Avenir Next"/>
          <w:color w:val="808080" w:themeColor="background1" w:themeShade="80"/>
          <w:sz w:val="22"/>
          <w:szCs w:val="28"/>
        </w:rPr>
        <w:t xml:space="preserve"> (the "</w:t>
      </w:r>
      <w:r w:rsidR="00432734">
        <w:rPr>
          <w:rFonts w:ascii="Avenir Next" w:hAnsi="Avenir Next"/>
          <w:b/>
          <w:bCs/>
          <w:color w:val="808080" w:themeColor="background1" w:themeShade="80"/>
          <w:sz w:val="22"/>
          <w:szCs w:val="28"/>
        </w:rPr>
        <w:t>Cayman Restructuring</w:t>
      </w:r>
      <w:r w:rsidR="00432734">
        <w:rPr>
          <w:rFonts w:ascii="Avenir Next" w:hAnsi="Avenir Next"/>
          <w:color w:val="808080" w:themeColor="background1" w:themeShade="80"/>
          <w:sz w:val="22"/>
          <w:szCs w:val="28"/>
        </w:rPr>
        <w:t>")</w:t>
      </w:r>
      <w:r w:rsidR="00B93B49">
        <w:rPr>
          <w:rFonts w:ascii="Avenir Next" w:hAnsi="Avenir Next"/>
          <w:color w:val="808080" w:themeColor="background1" w:themeShade="80"/>
          <w:sz w:val="22"/>
          <w:szCs w:val="28"/>
        </w:rPr>
        <w:t>, overwhelmingly supported by Noteholders, with protection and recognition of this process from the US.</w:t>
      </w:r>
      <w:r w:rsidR="00432734">
        <w:rPr>
          <w:rFonts w:ascii="Avenir Next" w:hAnsi="Avenir Next"/>
          <w:color w:val="808080" w:themeColor="background1" w:themeShade="80"/>
          <w:sz w:val="22"/>
          <w:szCs w:val="28"/>
        </w:rPr>
        <w:t xml:space="preserve"> </w:t>
      </w:r>
    </w:p>
    <w:p w14:paraId="54C91193" w14:textId="77777777" w:rsidR="0007768E" w:rsidRDefault="0007768E" w:rsidP="00EB48C2">
      <w:pPr>
        <w:jc w:val="both"/>
        <w:rPr>
          <w:rFonts w:ascii="Avenir Next" w:hAnsi="Avenir Next"/>
          <w:color w:val="808080" w:themeColor="background1" w:themeShade="80"/>
          <w:sz w:val="22"/>
          <w:szCs w:val="28"/>
        </w:rPr>
      </w:pPr>
    </w:p>
    <w:p w14:paraId="7D35FEC8" w14:textId="4ACF7FEC" w:rsidR="008C2290" w:rsidRDefault="00432734" w:rsidP="00EB48C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Cayman Restructuring </w:t>
      </w:r>
      <w:r w:rsidR="00CF3C03">
        <w:rPr>
          <w:rFonts w:ascii="Avenir Next" w:hAnsi="Avenir Next"/>
          <w:color w:val="808080" w:themeColor="background1" w:themeShade="80"/>
          <w:sz w:val="22"/>
          <w:szCs w:val="28"/>
        </w:rPr>
        <w:t>would, under Article 2(a) qualify as a 'foreign proceeding'</w:t>
      </w:r>
      <w:r w:rsidR="009F0AAD">
        <w:rPr>
          <w:rFonts w:ascii="Avenir Next" w:hAnsi="Avenir Next"/>
          <w:color w:val="808080" w:themeColor="background1" w:themeShade="80"/>
          <w:sz w:val="22"/>
          <w:szCs w:val="28"/>
        </w:rPr>
        <w:t xml:space="preserve">, capable of recognition, </w:t>
      </w:r>
      <w:r w:rsidR="00CF3C03">
        <w:rPr>
          <w:rFonts w:ascii="Avenir Next" w:hAnsi="Avenir Next"/>
          <w:color w:val="808080" w:themeColor="background1" w:themeShade="80"/>
          <w:sz w:val="22"/>
          <w:szCs w:val="28"/>
        </w:rPr>
        <w:t xml:space="preserve">as </w:t>
      </w:r>
      <w:r w:rsidR="002C5682">
        <w:rPr>
          <w:rFonts w:ascii="Avenir Next" w:hAnsi="Avenir Next"/>
          <w:color w:val="808080" w:themeColor="background1" w:themeShade="80"/>
          <w:sz w:val="22"/>
          <w:szCs w:val="28"/>
        </w:rPr>
        <w:t xml:space="preserve">a </w:t>
      </w:r>
      <w:r w:rsidR="00CF3C03">
        <w:rPr>
          <w:rFonts w:ascii="Avenir Next" w:hAnsi="Avenir Next"/>
          <w:color w:val="808080" w:themeColor="background1" w:themeShade="80"/>
          <w:sz w:val="22"/>
          <w:szCs w:val="28"/>
        </w:rPr>
        <w:t>"</w:t>
      </w:r>
      <w:r w:rsidR="00CF3C03">
        <w:rPr>
          <w:rFonts w:ascii="Avenir Next" w:hAnsi="Avenir Next"/>
          <w:i/>
          <w:iCs/>
          <w:color w:val="808080" w:themeColor="background1" w:themeShade="80"/>
          <w:sz w:val="22"/>
          <w:szCs w:val="28"/>
        </w:rPr>
        <w:t xml:space="preserve">collective judicial or administrative proceeding in a foreign state … pursuant to a law relating to insolvency in which proceeding the assets and </w:t>
      </w:r>
      <w:r w:rsidR="004E57F8">
        <w:rPr>
          <w:rFonts w:ascii="Avenir Next" w:hAnsi="Avenir Next"/>
          <w:i/>
          <w:iCs/>
          <w:color w:val="808080" w:themeColor="background1" w:themeShade="80"/>
          <w:sz w:val="22"/>
          <w:szCs w:val="28"/>
        </w:rPr>
        <w:t xml:space="preserve">affairs of the debtor are subject to control or supervision by a foreign court, for the purpose of </w:t>
      </w:r>
      <w:r w:rsidR="004E57F8" w:rsidRPr="002D1CE1">
        <w:rPr>
          <w:rFonts w:ascii="Avenir Next" w:hAnsi="Avenir Next"/>
          <w:i/>
          <w:iCs/>
          <w:color w:val="808080" w:themeColor="background1" w:themeShade="80"/>
          <w:sz w:val="22"/>
          <w:szCs w:val="28"/>
          <w:u w:val="single"/>
        </w:rPr>
        <w:t>reorgani</w:t>
      </w:r>
      <w:r w:rsidR="002D1CE1">
        <w:rPr>
          <w:rFonts w:ascii="Avenir Next" w:hAnsi="Avenir Next"/>
          <w:i/>
          <w:iCs/>
          <w:color w:val="808080" w:themeColor="background1" w:themeShade="80"/>
          <w:sz w:val="22"/>
          <w:szCs w:val="28"/>
          <w:u w:val="single"/>
        </w:rPr>
        <w:t>s</w:t>
      </w:r>
      <w:r w:rsidR="004E57F8" w:rsidRPr="002D1CE1">
        <w:rPr>
          <w:rFonts w:ascii="Avenir Next" w:hAnsi="Avenir Next"/>
          <w:i/>
          <w:iCs/>
          <w:color w:val="808080" w:themeColor="background1" w:themeShade="80"/>
          <w:sz w:val="22"/>
          <w:szCs w:val="28"/>
          <w:u w:val="single"/>
        </w:rPr>
        <w:t>ation</w:t>
      </w:r>
      <w:r w:rsidR="004E57F8">
        <w:rPr>
          <w:rFonts w:ascii="Avenir Next" w:hAnsi="Avenir Next"/>
          <w:i/>
          <w:iCs/>
          <w:color w:val="808080" w:themeColor="background1" w:themeShade="80"/>
          <w:sz w:val="22"/>
          <w:szCs w:val="28"/>
        </w:rPr>
        <w:t xml:space="preserve"> or liquidation"</w:t>
      </w:r>
      <w:r w:rsidR="002D1CE1">
        <w:rPr>
          <w:rFonts w:ascii="Avenir Next" w:hAnsi="Avenir Next"/>
          <w:i/>
          <w:iCs/>
          <w:color w:val="808080" w:themeColor="background1" w:themeShade="80"/>
          <w:sz w:val="22"/>
          <w:szCs w:val="28"/>
        </w:rPr>
        <w:t xml:space="preserve"> </w:t>
      </w:r>
      <w:r w:rsidR="002D1CE1">
        <w:rPr>
          <w:rFonts w:ascii="Avenir Next" w:hAnsi="Avenir Next"/>
          <w:color w:val="808080" w:themeColor="background1" w:themeShade="80"/>
          <w:sz w:val="22"/>
          <w:szCs w:val="28"/>
        </w:rPr>
        <w:t>(emphasis added)</w:t>
      </w:r>
      <w:r w:rsidR="008D5F6F">
        <w:rPr>
          <w:rFonts w:ascii="Avenir Next" w:hAnsi="Avenir Next"/>
          <w:color w:val="808080" w:themeColor="background1" w:themeShade="80"/>
          <w:sz w:val="22"/>
          <w:szCs w:val="28"/>
        </w:rPr>
        <w:t>, intended to "</w:t>
      </w:r>
      <w:r w:rsidR="008D5F6F">
        <w:rPr>
          <w:rFonts w:ascii="Avenir Next" w:hAnsi="Avenir Next"/>
          <w:i/>
          <w:iCs/>
          <w:color w:val="808080" w:themeColor="background1" w:themeShade="80"/>
          <w:sz w:val="22"/>
          <w:szCs w:val="28"/>
        </w:rPr>
        <w:t>refer broadly to proceedings involving debtors that are in severe financial distress or insolvent</w:t>
      </w:r>
      <w:r w:rsidR="008C2290">
        <w:rPr>
          <w:rFonts w:ascii="Avenir Next" w:hAnsi="Avenir Next"/>
          <w:color w:val="808080" w:themeColor="background1" w:themeShade="80"/>
          <w:sz w:val="22"/>
          <w:szCs w:val="28"/>
        </w:rPr>
        <w:t xml:space="preserve"> [Globe Holdings being both cash flow and balance sheet insolvent]</w:t>
      </w:r>
      <w:r w:rsidR="008D5F6F">
        <w:rPr>
          <w:rFonts w:ascii="Avenir Next" w:hAnsi="Avenir Next"/>
          <w:i/>
          <w:iCs/>
          <w:color w:val="808080" w:themeColor="background1" w:themeShade="80"/>
          <w:sz w:val="22"/>
          <w:szCs w:val="28"/>
        </w:rPr>
        <w:t>"</w:t>
      </w:r>
      <w:r w:rsidR="008D5F6F">
        <w:rPr>
          <w:rStyle w:val="FootnoteReference"/>
          <w:rFonts w:ascii="Avenir Next" w:hAnsi="Avenir Next"/>
          <w:i/>
          <w:iCs/>
          <w:color w:val="808080" w:themeColor="background1" w:themeShade="80"/>
          <w:sz w:val="22"/>
          <w:szCs w:val="28"/>
        </w:rPr>
        <w:footnoteReference w:id="7"/>
      </w:r>
      <w:r w:rsidR="008D5F6F">
        <w:rPr>
          <w:rFonts w:ascii="Avenir Next" w:hAnsi="Avenir Next"/>
          <w:i/>
          <w:iCs/>
          <w:color w:val="808080" w:themeColor="background1" w:themeShade="80"/>
          <w:sz w:val="22"/>
          <w:szCs w:val="28"/>
        </w:rPr>
        <w:t>.</w:t>
      </w:r>
    </w:p>
    <w:p w14:paraId="39D99C1A" w14:textId="77777777" w:rsidR="008C2290" w:rsidRDefault="008C2290" w:rsidP="00EB48C2">
      <w:pPr>
        <w:jc w:val="both"/>
        <w:rPr>
          <w:rFonts w:ascii="Avenir Next" w:hAnsi="Avenir Next"/>
          <w:color w:val="808080" w:themeColor="background1" w:themeShade="80"/>
          <w:sz w:val="22"/>
          <w:szCs w:val="28"/>
        </w:rPr>
      </w:pPr>
    </w:p>
    <w:p w14:paraId="3C6DB66D" w14:textId="6905E850" w:rsidR="002A5794" w:rsidRPr="006A513C" w:rsidRDefault="002A5794" w:rsidP="00EB48C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When applying to the US Court for recognition, the Cayman foreign representative should apply for recognition of the Cayman Restructuring as a foreign main proceeding</w:t>
      </w:r>
      <w:r w:rsidR="00FF47B9">
        <w:rPr>
          <w:rFonts w:ascii="Avenir Next" w:hAnsi="Avenir Next"/>
          <w:color w:val="808080" w:themeColor="background1" w:themeShade="80"/>
          <w:sz w:val="22"/>
          <w:szCs w:val="28"/>
        </w:rPr>
        <w:t>,  i.e. one taking place where the debtor had its centre of main interests ("</w:t>
      </w:r>
      <w:r w:rsidR="00FF47B9">
        <w:rPr>
          <w:rFonts w:ascii="Avenir Next" w:hAnsi="Avenir Next"/>
          <w:b/>
          <w:bCs/>
          <w:color w:val="808080" w:themeColor="background1" w:themeShade="80"/>
          <w:sz w:val="22"/>
          <w:szCs w:val="28"/>
        </w:rPr>
        <w:t>COMI</w:t>
      </w:r>
      <w:r w:rsidR="00FF47B9">
        <w:rPr>
          <w:rFonts w:ascii="Avenir Next" w:hAnsi="Avenir Next"/>
          <w:color w:val="808080" w:themeColor="background1" w:themeShade="80"/>
          <w:sz w:val="22"/>
          <w:szCs w:val="28"/>
        </w:rPr>
        <w:t>") at the date of commencement of the foreign proceedings</w:t>
      </w:r>
      <w:r w:rsidR="00154780">
        <w:rPr>
          <w:rFonts w:ascii="Avenir Next" w:hAnsi="Avenir Next"/>
          <w:color w:val="808080" w:themeColor="background1" w:themeShade="80"/>
          <w:sz w:val="22"/>
          <w:szCs w:val="28"/>
        </w:rPr>
        <w:t xml:space="preserve"> (i.e. not in 2009, when the company was first incorporated)</w:t>
      </w:r>
      <w:r w:rsidR="00FF47B9">
        <w:rPr>
          <w:rFonts w:ascii="Avenir Next" w:hAnsi="Avenir Next"/>
          <w:color w:val="808080" w:themeColor="background1" w:themeShade="80"/>
          <w:sz w:val="22"/>
          <w:szCs w:val="28"/>
        </w:rPr>
        <w:t xml:space="preserve">. </w:t>
      </w:r>
      <w:r w:rsidR="0093663B">
        <w:rPr>
          <w:rFonts w:ascii="Avenir Next" w:hAnsi="Avenir Next"/>
          <w:color w:val="808080" w:themeColor="background1" w:themeShade="80"/>
          <w:sz w:val="22"/>
          <w:szCs w:val="28"/>
        </w:rPr>
        <w:t>Determining a debtor's COMI requires consideration of the guidance in Recital 13 of the EC Insolvency Regulation (1346/2000) and Recitals 28-30 of the Recast EU Insolvency Regulation</w:t>
      </w:r>
      <w:r w:rsidR="00F141AF">
        <w:rPr>
          <w:rFonts w:ascii="Avenir Next" w:hAnsi="Avenir Next"/>
          <w:color w:val="808080" w:themeColor="background1" w:themeShade="80"/>
          <w:sz w:val="22"/>
          <w:szCs w:val="28"/>
        </w:rPr>
        <w:t>, in order to establish "</w:t>
      </w:r>
      <w:r w:rsidR="00F141AF">
        <w:rPr>
          <w:rFonts w:ascii="Avenir Next" w:hAnsi="Avenir Next"/>
          <w:i/>
          <w:iCs/>
          <w:color w:val="808080" w:themeColor="background1" w:themeShade="80"/>
          <w:sz w:val="22"/>
          <w:szCs w:val="28"/>
        </w:rPr>
        <w:t>where the debtor conducts the administration of his interests on a regular basis</w:t>
      </w:r>
      <w:r w:rsidR="006A513C">
        <w:rPr>
          <w:rFonts w:ascii="Avenir Next" w:hAnsi="Avenir Next"/>
          <w:i/>
          <w:iCs/>
          <w:color w:val="808080" w:themeColor="background1" w:themeShade="80"/>
          <w:sz w:val="22"/>
          <w:szCs w:val="28"/>
        </w:rPr>
        <w:t xml:space="preserve"> and is therefore ascertainable by third parties"</w:t>
      </w:r>
      <w:r w:rsidR="006A513C">
        <w:rPr>
          <w:rFonts w:ascii="Avenir Next" w:hAnsi="Avenir Next"/>
          <w:color w:val="808080" w:themeColor="background1" w:themeShade="80"/>
          <w:sz w:val="22"/>
          <w:szCs w:val="28"/>
        </w:rPr>
        <w:t>. The required analysis will require a holistic weighting of factors</w:t>
      </w:r>
      <w:r w:rsidR="006A3686">
        <w:rPr>
          <w:rFonts w:ascii="Avenir Next" w:hAnsi="Avenir Next"/>
          <w:color w:val="808080" w:themeColor="background1" w:themeShade="80"/>
          <w:sz w:val="22"/>
          <w:szCs w:val="28"/>
        </w:rPr>
        <w:t xml:space="preserve">, given the change from Globe Holding's original country of incorporation (Canada) and its subsequent </w:t>
      </w:r>
      <w:r w:rsidR="009337BE">
        <w:rPr>
          <w:rFonts w:ascii="Avenir Next" w:hAnsi="Avenir Next"/>
          <w:color w:val="808080" w:themeColor="background1" w:themeShade="80"/>
          <w:sz w:val="22"/>
          <w:szCs w:val="28"/>
        </w:rPr>
        <w:t>re-domestication in the Cayman Islands. However, factors that point to the debtor's COMI being the Cayman Islands</w:t>
      </w:r>
      <w:r w:rsidR="002532FF">
        <w:rPr>
          <w:rFonts w:ascii="Avenir Next" w:hAnsi="Avenir Next"/>
          <w:color w:val="808080" w:themeColor="background1" w:themeShade="80"/>
          <w:sz w:val="22"/>
          <w:szCs w:val="28"/>
        </w:rPr>
        <w:t>, rather than Canada,</w:t>
      </w:r>
      <w:r w:rsidR="009337BE">
        <w:rPr>
          <w:rFonts w:ascii="Avenir Next" w:hAnsi="Avenir Next"/>
          <w:color w:val="808080" w:themeColor="background1" w:themeShade="80"/>
          <w:sz w:val="22"/>
          <w:szCs w:val="28"/>
        </w:rPr>
        <w:t xml:space="preserve"> would include: (a) </w:t>
      </w:r>
      <w:r w:rsidR="00154780">
        <w:rPr>
          <w:rFonts w:ascii="Avenir Next" w:hAnsi="Avenir Next"/>
          <w:color w:val="808080" w:themeColor="background1" w:themeShade="80"/>
          <w:sz w:val="22"/>
          <w:szCs w:val="28"/>
        </w:rPr>
        <w:t xml:space="preserve">the information contained in its notices of re-incorporation (b) the public filings at the SEC </w:t>
      </w:r>
      <w:r w:rsidR="00C66983">
        <w:rPr>
          <w:rFonts w:ascii="Avenir Next" w:hAnsi="Avenir Next"/>
          <w:color w:val="808080" w:themeColor="background1" w:themeShade="80"/>
          <w:sz w:val="22"/>
          <w:szCs w:val="28"/>
        </w:rPr>
        <w:t xml:space="preserve">(c) its Cayman bank account (which, in isolation would be insufficient but is persuasive in the broader context of other Cayman connections), (d) the location of the debtor's books and records </w:t>
      </w:r>
      <w:r w:rsidR="007E21A8">
        <w:rPr>
          <w:rFonts w:ascii="Avenir Next" w:hAnsi="Avenir Next"/>
          <w:color w:val="808080" w:themeColor="background1" w:themeShade="80"/>
          <w:sz w:val="22"/>
          <w:szCs w:val="28"/>
        </w:rPr>
        <w:t>(e) the information included in the prospectus for the Notes</w:t>
      </w:r>
      <w:r w:rsidR="002A168F">
        <w:rPr>
          <w:rFonts w:ascii="Avenir Next" w:hAnsi="Avenir Next"/>
          <w:color w:val="808080" w:themeColor="background1" w:themeShade="80"/>
          <w:sz w:val="22"/>
          <w:szCs w:val="28"/>
        </w:rPr>
        <w:t xml:space="preserve"> and</w:t>
      </w:r>
      <w:r w:rsidR="007E21A8">
        <w:rPr>
          <w:rFonts w:ascii="Avenir Next" w:hAnsi="Avenir Next"/>
          <w:color w:val="808080" w:themeColor="background1" w:themeShade="80"/>
          <w:sz w:val="22"/>
          <w:szCs w:val="28"/>
        </w:rPr>
        <w:t xml:space="preserve"> </w:t>
      </w:r>
      <w:r w:rsidR="00160EC1">
        <w:rPr>
          <w:rFonts w:ascii="Avenir Next" w:hAnsi="Avenir Next"/>
          <w:color w:val="808080" w:themeColor="background1" w:themeShade="80"/>
          <w:sz w:val="22"/>
          <w:szCs w:val="28"/>
        </w:rPr>
        <w:t>(f) the location from which the Cayman Restructuring was organise</w:t>
      </w:r>
      <w:r w:rsidR="002A168F">
        <w:rPr>
          <w:rFonts w:ascii="Avenir Next" w:hAnsi="Avenir Next"/>
          <w:color w:val="808080" w:themeColor="background1" w:themeShade="80"/>
          <w:sz w:val="22"/>
          <w:szCs w:val="28"/>
        </w:rPr>
        <w:t xml:space="preserve">d. </w:t>
      </w:r>
    </w:p>
    <w:p w14:paraId="06198904" w14:textId="77777777" w:rsidR="002A5794" w:rsidRDefault="002A5794" w:rsidP="00EB48C2">
      <w:pPr>
        <w:jc w:val="both"/>
        <w:rPr>
          <w:rFonts w:ascii="Avenir Next" w:hAnsi="Avenir Next"/>
          <w:color w:val="808080" w:themeColor="background1" w:themeShade="80"/>
          <w:sz w:val="22"/>
          <w:szCs w:val="28"/>
        </w:rPr>
      </w:pPr>
    </w:p>
    <w:p w14:paraId="02C7BB3A" w14:textId="57FC536E" w:rsidR="003E593E" w:rsidRDefault="00CA4FE8" w:rsidP="00EB48C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When applying to the US Courts</w:t>
      </w:r>
      <w:r w:rsidR="00174EB5">
        <w:rPr>
          <w:rFonts w:ascii="Avenir Next" w:hAnsi="Avenir Next"/>
          <w:color w:val="808080" w:themeColor="background1" w:themeShade="80"/>
          <w:sz w:val="22"/>
          <w:szCs w:val="28"/>
        </w:rPr>
        <w:t xml:space="preserve"> for recognition</w:t>
      </w:r>
      <w:r>
        <w:rPr>
          <w:rFonts w:ascii="Avenir Next" w:hAnsi="Avenir Next"/>
          <w:color w:val="808080" w:themeColor="background1" w:themeShade="80"/>
          <w:sz w:val="22"/>
          <w:szCs w:val="28"/>
        </w:rPr>
        <w:t xml:space="preserve">, the Cayman foreign representative </w:t>
      </w:r>
      <w:r w:rsidR="00174EB5">
        <w:rPr>
          <w:rFonts w:ascii="Avenir Next" w:hAnsi="Avenir Next"/>
          <w:color w:val="808080" w:themeColor="background1" w:themeShade="80"/>
          <w:sz w:val="22"/>
          <w:szCs w:val="28"/>
        </w:rPr>
        <w:t>would need to provide</w:t>
      </w:r>
      <w:r w:rsidR="00026862">
        <w:rPr>
          <w:rFonts w:ascii="Avenir Next" w:hAnsi="Avenir Next"/>
          <w:color w:val="808080" w:themeColor="background1" w:themeShade="80"/>
          <w:sz w:val="22"/>
          <w:szCs w:val="28"/>
        </w:rPr>
        <w:t xml:space="preserve"> copies of the Convening Order and the Sanction order, in accordance with the requirements of Article 15(2) of the MLCBI mandating the provision of:</w:t>
      </w:r>
      <w:r w:rsidR="00174EB5">
        <w:rPr>
          <w:rFonts w:ascii="Avenir Next" w:hAnsi="Avenir Next"/>
          <w:color w:val="808080" w:themeColor="background1" w:themeShade="80"/>
          <w:sz w:val="22"/>
          <w:szCs w:val="28"/>
        </w:rPr>
        <w:t xml:space="preserve"> </w:t>
      </w:r>
    </w:p>
    <w:p w14:paraId="2237E22F" w14:textId="77777777" w:rsidR="00174EB5" w:rsidRDefault="00174EB5" w:rsidP="00EB48C2">
      <w:pPr>
        <w:jc w:val="both"/>
        <w:rPr>
          <w:rFonts w:ascii="Avenir Next" w:hAnsi="Avenir Next"/>
          <w:color w:val="808080" w:themeColor="background1" w:themeShade="80"/>
          <w:sz w:val="22"/>
          <w:szCs w:val="28"/>
        </w:rPr>
      </w:pPr>
    </w:p>
    <w:p w14:paraId="377586BE" w14:textId="2FE574D7" w:rsidR="00026862" w:rsidRDefault="00174EB5" w:rsidP="00A013A4">
      <w:pPr>
        <w:pStyle w:val="ListParagraph"/>
        <w:numPr>
          <w:ilvl w:val="0"/>
          <w:numId w:val="19"/>
        </w:numPr>
        <w:jc w:val="both"/>
        <w:rPr>
          <w:rFonts w:ascii="Avenir Next" w:hAnsi="Avenir Next"/>
          <w:color w:val="808080" w:themeColor="background1" w:themeShade="80"/>
          <w:sz w:val="22"/>
          <w:szCs w:val="28"/>
        </w:rPr>
      </w:pPr>
      <w:r w:rsidRPr="00026862">
        <w:rPr>
          <w:rFonts w:ascii="Avenir Next" w:hAnsi="Avenir Next"/>
          <w:color w:val="808080" w:themeColor="background1" w:themeShade="80"/>
          <w:sz w:val="22"/>
          <w:szCs w:val="28"/>
        </w:rPr>
        <w:t>a certified copy of the decision commencing the foreign proceeding and appointing the foreign representative</w:t>
      </w:r>
      <w:r w:rsidR="00026862">
        <w:rPr>
          <w:rFonts w:ascii="Avenir Next" w:hAnsi="Avenir Next"/>
          <w:color w:val="808080" w:themeColor="background1" w:themeShade="80"/>
          <w:sz w:val="22"/>
          <w:szCs w:val="28"/>
        </w:rPr>
        <w:t xml:space="preserve">; </w:t>
      </w:r>
      <w:r w:rsidR="00026862" w:rsidRPr="00026862">
        <w:rPr>
          <w:rFonts w:ascii="Avenir Next" w:hAnsi="Avenir Next"/>
          <w:color w:val="808080" w:themeColor="background1" w:themeShade="80"/>
          <w:sz w:val="22"/>
          <w:szCs w:val="28"/>
        </w:rPr>
        <w:t xml:space="preserve"> </w:t>
      </w:r>
      <w:r w:rsidR="000E10CD">
        <w:rPr>
          <w:rFonts w:ascii="Avenir Next" w:hAnsi="Avenir Next"/>
          <w:color w:val="808080" w:themeColor="background1" w:themeShade="80"/>
          <w:sz w:val="22"/>
          <w:szCs w:val="28"/>
        </w:rPr>
        <w:t xml:space="preserve">or </w:t>
      </w:r>
    </w:p>
    <w:p w14:paraId="324F036C" w14:textId="77777777" w:rsidR="000E10CD" w:rsidRDefault="000E10CD" w:rsidP="000E10CD">
      <w:pPr>
        <w:pStyle w:val="ListParagraph"/>
        <w:ind w:left="360"/>
        <w:jc w:val="both"/>
        <w:rPr>
          <w:rFonts w:ascii="Avenir Next" w:hAnsi="Avenir Next"/>
          <w:color w:val="808080" w:themeColor="background1" w:themeShade="80"/>
          <w:sz w:val="22"/>
          <w:szCs w:val="28"/>
        </w:rPr>
      </w:pPr>
    </w:p>
    <w:p w14:paraId="000E2F64" w14:textId="21535059" w:rsidR="00026862" w:rsidRDefault="000E10CD" w:rsidP="00A013A4">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certificate from the foreign court affirming the existence of the foreign proceeding and of the appointment of the foreign representative; or </w:t>
      </w:r>
    </w:p>
    <w:p w14:paraId="529A73F5" w14:textId="77777777" w:rsidR="000E10CD" w:rsidRPr="000E10CD" w:rsidRDefault="000E10CD" w:rsidP="000E10CD">
      <w:pPr>
        <w:jc w:val="both"/>
        <w:rPr>
          <w:rFonts w:ascii="Avenir Next" w:hAnsi="Avenir Next"/>
          <w:color w:val="808080" w:themeColor="background1" w:themeShade="80"/>
          <w:sz w:val="22"/>
          <w:szCs w:val="28"/>
        </w:rPr>
      </w:pPr>
    </w:p>
    <w:p w14:paraId="2FC3F11A" w14:textId="01D6462D" w:rsidR="000E10CD" w:rsidRDefault="000E10CD" w:rsidP="00A013A4">
      <w:pPr>
        <w:pStyle w:val="ListParagraph"/>
        <w:numPr>
          <w:ilvl w:val="0"/>
          <w:numId w:val="19"/>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absence of the evidence referred to in subparagraphs (a) and (b), any other evidence acceptable to the Court of the existence of the foreign proceeding and of the appointment of the foreign representative. </w:t>
      </w:r>
    </w:p>
    <w:p w14:paraId="0BF7319A" w14:textId="77777777" w:rsidR="000E10CD" w:rsidRPr="000E10CD" w:rsidRDefault="000E10CD" w:rsidP="000E10CD">
      <w:pPr>
        <w:pStyle w:val="ListParagraph"/>
        <w:rPr>
          <w:rFonts w:ascii="Avenir Next" w:hAnsi="Avenir Next"/>
          <w:color w:val="808080" w:themeColor="background1" w:themeShade="80"/>
          <w:sz w:val="22"/>
          <w:szCs w:val="28"/>
        </w:rPr>
      </w:pPr>
    </w:p>
    <w:p w14:paraId="3B3C1B7C" w14:textId="7ADE18EF" w:rsidR="000E10CD" w:rsidRPr="00B96AF2" w:rsidRDefault="008B26A8" w:rsidP="000E10C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foreign representative will also have to include a statement identifying all foreign proceedings in respect of the debtor that are known to the foreign representative (which, on the information above appears to be none)</w:t>
      </w:r>
      <w:r w:rsidR="00D24B88">
        <w:rPr>
          <w:rFonts w:ascii="Avenir Next" w:hAnsi="Avenir Next"/>
          <w:color w:val="808080" w:themeColor="background1" w:themeShade="80"/>
          <w:sz w:val="22"/>
          <w:szCs w:val="28"/>
        </w:rPr>
        <w:t xml:space="preserve">. </w:t>
      </w:r>
      <w:r w:rsidR="00B96AF2">
        <w:rPr>
          <w:rFonts w:ascii="Avenir Next" w:hAnsi="Avenir Next"/>
          <w:color w:val="808080" w:themeColor="background1" w:themeShade="80"/>
          <w:sz w:val="22"/>
          <w:szCs w:val="28"/>
        </w:rPr>
        <w:t>This process is designed to avoid "</w:t>
      </w:r>
      <w:r w:rsidR="00B96AF2">
        <w:rPr>
          <w:rFonts w:ascii="Avenir Next" w:hAnsi="Avenir Next"/>
          <w:i/>
          <w:iCs/>
          <w:color w:val="808080" w:themeColor="background1" w:themeShade="80"/>
          <w:sz w:val="22"/>
          <w:szCs w:val="28"/>
        </w:rPr>
        <w:t>cumbersome and time-consuming letters rogatory or other forms of diplomatic or consular communications"</w:t>
      </w:r>
      <w:r w:rsidR="00B96AF2">
        <w:rPr>
          <w:rStyle w:val="FootnoteReference"/>
          <w:rFonts w:ascii="Avenir Next" w:hAnsi="Avenir Next"/>
          <w:i/>
          <w:iCs/>
          <w:color w:val="808080" w:themeColor="background1" w:themeShade="80"/>
          <w:sz w:val="22"/>
          <w:szCs w:val="28"/>
        </w:rPr>
        <w:footnoteReference w:id="8"/>
      </w:r>
      <w:r w:rsidR="00B96AF2">
        <w:rPr>
          <w:rFonts w:ascii="Avenir Next" w:hAnsi="Avenir Next"/>
          <w:color w:val="808080" w:themeColor="background1" w:themeShade="80"/>
          <w:sz w:val="22"/>
          <w:szCs w:val="28"/>
        </w:rPr>
        <w:t xml:space="preserve">, and – as such – these documents do not need to be authenticated in any special way, including by legalization. </w:t>
      </w:r>
    </w:p>
    <w:p w14:paraId="301B662A" w14:textId="77777777" w:rsidR="00D24B88" w:rsidRDefault="00D24B88" w:rsidP="000E10CD">
      <w:pPr>
        <w:jc w:val="both"/>
        <w:rPr>
          <w:rFonts w:ascii="Avenir Next" w:hAnsi="Avenir Next"/>
          <w:color w:val="808080" w:themeColor="background1" w:themeShade="80"/>
          <w:sz w:val="22"/>
          <w:szCs w:val="28"/>
        </w:rPr>
      </w:pPr>
    </w:p>
    <w:p w14:paraId="6D8F5E51" w14:textId="27DDA782" w:rsidR="0077498C" w:rsidRDefault="00D24B88"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Given the potential threat of the </w:t>
      </w:r>
      <w:r w:rsidR="00862092">
        <w:rPr>
          <w:rFonts w:ascii="Avenir Next" w:hAnsi="Avenir Next"/>
          <w:color w:val="808080" w:themeColor="background1" w:themeShade="80"/>
          <w:sz w:val="22"/>
          <w:szCs w:val="28"/>
        </w:rPr>
        <w:t xml:space="preserve">US class action, at the time of filing the recognition application, the foreign representative could apply for urgent interim relief </w:t>
      </w:r>
      <w:r w:rsidR="007D0AF1">
        <w:rPr>
          <w:rFonts w:ascii="Avenir Next" w:hAnsi="Avenir Next"/>
          <w:color w:val="808080" w:themeColor="background1" w:themeShade="80"/>
          <w:sz w:val="22"/>
          <w:szCs w:val="28"/>
        </w:rPr>
        <w:t>(to protect the US assets of the debtor or the interests of the creditors), including a stay on any potential US litigation or enforcement actions in connection with Globe Holdings and its subsidiaries (whilst the recognition process is ongoing</w:t>
      </w:r>
      <w:r w:rsidR="00A42E5B">
        <w:rPr>
          <w:rFonts w:ascii="Avenir Next" w:hAnsi="Avenir Next"/>
          <w:color w:val="808080" w:themeColor="background1" w:themeShade="80"/>
          <w:sz w:val="22"/>
          <w:szCs w:val="28"/>
        </w:rPr>
        <w:t xml:space="preserve">). </w:t>
      </w:r>
      <w:r w:rsidR="00CF3B64">
        <w:rPr>
          <w:rFonts w:ascii="Avenir Next" w:hAnsi="Avenir Next"/>
          <w:color w:val="808080" w:themeColor="background1" w:themeShade="80"/>
          <w:sz w:val="22"/>
          <w:szCs w:val="28"/>
        </w:rPr>
        <w:t xml:space="preserve">Provided the US Court grants recognition of the Cayman Restructuring as a foreign main proceeding, </w:t>
      </w:r>
      <w:r w:rsidR="000104AD">
        <w:rPr>
          <w:rFonts w:ascii="Avenir Next" w:hAnsi="Avenir Next"/>
          <w:color w:val="808080" w:themeColor="background1" w:themeShade="80"/>
          <w:sz w:val="22"/>
          <w:szCs w:val="28"/>
        </w:rPr>
        <w:t xml:space="preserve">upon recognition being granted, </w:t>
      </w:r>
      <w:r w:rsidR="00EC4C48">
        <w:rPr>
          <w:rFonts w:ascii="Avenir Next" w:hAnsi="Avenir Next"/>
          <w:color w:val="808080" w:themeColor="background1" w:themeShade="80"/>
          <w:sz w:val="22"/>
          <w:szCs w:val="28"/>
        </w:rPr>
        <w:t xml:space="preserve">a stay of execution against the debtor's assets and a stay of the commencement or continuation of individual actions or individual proceedings concerning the debtor's assets would follow. </w:t>
      </w:r>
      <w:bookmarkEnd w:id="1"/>
    </w:p>
    <w:p w14:paraId="35751085" w14:textId="77777777" w:rsidR="002532FF" w:rsidRPr="002532FF" w:rsidRDefault="002532FF" w:rsidP="00707FC8">
      <w:pPr>
        <w:jc w:val="both"/>
        <w:rPr>
          <w:rFonts w:ascii="Avenir Next" w:hAnsi="Avenir Next"/>
          <w:color w:val="808080" w:themeColor="background1" w:themeShade="80"/>
          <w:sz w:val="22"/>
          <w:szCs w:val="28"/>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3C50038B" w:rsidR="00A70BBC" w:rsidRDefault="008E44CB" w:rsidP="00AD45B9">
    <w:pPr>
      <w:pStyle w:val="Footer"/>
      <w:ind w:right="360"/>
    </w:pPr>
    <w:r>
      <w:fldChar w:fldCharType="begin"/>
    </w:r>
    <w:r w:rsidR="001D1693">
      <w:instrText xml:space="preserve">DOCPROPERTY DOCXDOCID DMS=FileSystem Format=&lt;&lt;NAME&gt;&gt;-&lt;&lt;SDTE&gt;&gt; \* MERGEFORMAT </w:instrText>
    </w:r>
    <w:r>
      <w:fldChar w:fldCharType="separate"/>
    </w:r>
    <w:r w:rsidR="001D1693">
      <w:t>FC202324-1387.assessment2A-23/02/2024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4FE928C0" w:rsidR="00A70BBC" w:rsidRDefault="008E44CB" w:rsidP="00AD45B9">
    <w:pPr>
      <w:pStyle w:val="Footer"/>
      <w:ind w:right="360"/>
    </w:pPr>
    <w:r>
      <w:fldChar w:fldCharType="begin"/>
    </w:r>
    <w:r w:rsidR="001D1693">
      <w:instrText xml:space="preserve">DOCPROPERTY DOCXDOCID DMS=FileSystem Format=&lt;&lt;NAME&gt;&gt;-&lt;&lt;SDTE&gt;&gt; \* MERGEFORMAT </w:instrText>
    </w:r>
    <w:r>
      <w:fldChar w:fldCharType="separate"/>
    </w:r>
    <w:r w:rsidR="001D1693">
      <w:t>FC202324-1387.assessment2A-23/02/2024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44B0AE40" w:rsidR="000300E0" w:rsidRPr="000300E0" w:rsidRDefault="00AD45B9" w:rsidP="000300E0">
    <w:pPr>
      <w:pStyle w:val="Footer"/>
      <w:ind w:right="360"/>
      <w:rPr>
        <w:rFonts w:ascii="Avenir Next" w:hAnsi="Avenir Next" w:cs="Arial"/>
        <w:sz w:val="22"/>
        <w:szCs w:val="22"/>
      </w:rPr>
    </w:pPr>
    <w:r>
      <w:rPr>
        <w:rFonts w:ascii="Avenir Next" w:hAnsi="Avenir Next" w:cs="Arial"/>
        <w:sz w:val="22"/>
        <w:szCs w:val="22"/>
      </w:rPr>
      <w:fldChar w:fldCharType="begin"/>
    </w:r>
    <w:r w:rsidR="001D1693">
      <w:rPr>
        <w:rFonts w:ascii="Avenir Next" w:hAnsi="Avenir Next" w:cs="Arial"/>
        <w:sz w:val="22"/>
        <w:szCs w:val="22"/>
      </w:rPr>
      <w:instrText xml:space="preserve">DOCPROPERTY DOCXDOCID DMS=FileSystem Format=&lt;&lt;NAME&gt;&gt;-&lt;&lt;SDTE&gt;&gt; \* MERGEFORMAT </w:instrText>
    </w:r>
    <w:r>
      <w:rPr>
        <w:rFonts w:ascii="Avenir Next" w:hAnsi="Avenir Next" w:cs="Arial"/>
        <w:sz w:val="22"/>
        <w:szCs w:val="22"/>
      </w:rPr>
      <w:fldChar w:fldCharType="separate"/>
    </w:r>
    <w:r w:rsidR="001D1693">
      <w:rPr>
        <w:rFonts w:ascii="Avenir Next" w:hAnsi="Avenir Next" w:cs="Arial"/>
        <w:sz w:val="22"/>
        <w:szCs w:val="22"/>
      </w:rPr>
      <w:t>FC202324-1387.assessment2A-23/02/2024</w:t>
    </w:r>
    <w:r>
      <w:rPr>
        <w:rFonts w:ascii="Avenir Next" w:hAnsi="Avenir Next"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3C618C2" w:rsidR="000300E0" w:rsidRPr="00B46CE2" w:rsidRDefault="004D0578" w:rsidP="000300E0">
    <w:pPr>
      <w:pStyle w:val="Footer"/>
      <w:ind w:right="360"/>
      <w:rPr>
        <w:rFonts w:ascii="Avenir Next" w:hAnsi="Avenir Next"/>
        <w:sz w:val="22"/>
        <w:szCs w:val="22"/>
      </w:rPr>
    </w:pPr>
    <w:r w:rsidRPr="004D0578">
      <w:rPr>
        <w:rFonts w:ascii="Avenir Next" w:hAnsi="Avenir Next"/>
        <w:sz w:val="22"/>
        <w:szCs w:val="22"/>
      </w:rPr>
      <w:t>FC202324-1387</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538CD2DF" w:rsidR="00B46CE2" w:rsidRDefault="00B46CE2" w:rsidP="00AD4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 w:id="1">
    <w:p w14:paraId="14747266" w14:textId="64D5C899" w:rsidR="00C534A8" w:rsidRDefault="00C534A8">
      <w:pPr>
        <w:pStyle w:val="FootnoteText"/>
      </w:pPr>
      <w:r>
        <w:rPr>
          <w:rStyle w:val="FootnoteReference"/>
        </w:rPr>
        <w:footnoteRef/>
      </w:r>
      <w:r>
        <w:t xml:space="preserve"> UNICTRAL Guide to Enactment </w:t>
      </w:r>
      <w:r w:rsidRPr="0049270C">
        <w:rPr>
          <w:sz w:val="16"/>
          <w:szCs w:val="16"/>
        </w:rPr>
        <w:t>(1997, updated 2014)</w:t>
      </w:r>
    </w:p>
  </w:footnote>
  <w:footnote w:id="2">
    <w:p w14:paraId="02A4753B" w14:textId="346D307C" w:rsidR="00F71099" w:rsidRPr="00F437F9" w:rsidRDefault="00F71099">
      <w:pPr>
        <w:pStyle w:val="FootnoteText"/>
        <w:rPr>
          <w:b/>
          <w:bCs/>
          <w:u w:val="single"/>
        </w:rPr>
      </w:pPr>
      <w:r>
        <w:rPr>
          <w:rStyle w:val="FootnoteReference"/>
        </w:rPr>
        <w:footnoteRef/>
      </w:r>
      <w:r w:rsidR="00F437F9">
        <w:t xml:space="preserve"> </w:t>
      </w:r>
      <w:r w:rsidR="00F437F9" w:rsidRPr="0049270C">
        <w:rPr>
          <w:sz w:val="16"/>
          <w:szCs w:val="16"/>
        </w:rPr>
        <w:t xml:space="preserve">UNCITRAL Guide to Enactment and Interpretation </w:t>
      </w:r>
      <w:r w:rsidR="0049270C" w:rsidRPr="0049270C">
        <w:rPr>
          <w:sz w:val="16"/>
          <w:szCs w:val="16"/>
        </w:rPr>
        <w:t xml:space="preserve">(1997, updated 2014) </w:t>
      </w:r>
      <w:r w:rsidR="00F437F9" w:rsidRPr="0049270C">
        <w:rPr>
          <w:sz w:val="16"/>
          <w:szCs w:val="16"/>
        </w:rPr>
        <w:t>(Article 21)</w:t>
      </w:r>
      <w:r>
        <w:t xml:space="preserve"> </w:t>
      </w:r>
    </w:p>
  </w:footnote>
  <w:footnote w:id="3">
    <w:p w14:paraId="53736DD3" w14:textId="4A2FA47E" w:rsidR="009053E3" w:rsidRPr="009053E3" w:rsidRDefault="009053E3">
      <w:pPr>
        <w:pStyle w:val="FootnoteText"/>
        <w:rPr>
          <w:b/>
          <w:bCs/>
          <w:u w:val="single"/>
        </w:rPr>
      </w:pPr>
      <w:r>
        <w:rPr>
          <w:rStyle w:val="FootnoteReference"/>
        </w:rPr>
        <w:footnoteRef/>
      </w:r>
      <w:r>
        <w:t xml:space="preserve"> </w:t>
      </w:r>
      <w:r w:rsidRPr="0049270C">
        <w:rPr>
          <w:sz w:val="16"/>
          <w:szCs w:val="16"/>
        </w:rPr>
        <w:t xml:space="preserve">UNCITRAL Guide to Enactment and Interpretation (1997, updated 2014) </w:t>
      </w:r>
      <w:r>
        <w:rPr>
          <w:sz w:val="16"/>
          <w:szCs w:val="16"/>
        </w:rPr>
        <w:t>page 28, paragraph 31</w:t>
      </w:r>
      <w:r>
        <w:t xml:space="preserve"> </w:t>
      </w:r>
    </w:p>
  </w:footnote>
  <w:footnote w:id="4">
    <w:p w14:paraId="2AAC3252" w14:textId="6D607C30" w:rsidR="00A74F1A" w:rsidRDefault="00A74F1A">
      <w:pPr>
        <w:pStyle w:val="FootnoteText"/>
      </w:pPr>
      <w:r>
        <w:rPr>
          <w:rStyle w:val="FootnoteReference"/>
        </w:rPr>
        <w:footnoteRef/>
      </w:r>
      <w:r>
        <w:t xml:space="preserve"> </w:t>
      </w:r>
      <w:r w:rsidRPr="0049270C">
        <w:rPr>
          <w:sz w:val="16"/>
          <w:szCs w:val="16"/>
        </w:rPr>
        <w:t xml:space="preserve">UNCITRAL Guide to Enactment and Interpretation (1997, updated 2014) (Article </w:t>
      </w:r>
      <w:r>
        <w:rPr>
          <w:sz w:val="16"/>
          <w:szCs w:val="16"/>
        </w:rPr>
        <w:t>17)</w:t>
      </w:r>
    </w:p>
  </w:footnote>
  <w:footnote w:id="5">
    <w:p w14:paraId="26E97D69" w14:textId="0DAAF1A9" w:rsidR="00A74F1A" w:rsidRDefault="00A74F1A">
      <w:pPr>
        <w:pStyle w:val="FootnoteText"/>
      </w:pPr>
      <w:r>
        <w:rPr>
          <w:rStyle w:val="FootnoteReference"/>
        </w:rPr>
        <w:footnoteRef/>
      </w:r>
      <w:r>
        <w:t xml:space="preserve"> </w:t>
      </w:r>
      <w:r w:rsidRPr="00A74F1A">
        <w:rPr>
          <w:sz w:val="16"/>
          <w:szCs w:val="16"/>
        </w:rPr>
        <w:t>Ibid</w:t>
      </w:r>
    </w:p>
  </w:footnote>
  <w:footnote w:id="6">
    <w:p w14:paraId="046468AD" w14:textId="0ADF8EBD" w:rsidR="00B91486" w:rsidRDefault="00B91486">
      <w:pPr>
        <w:pStyle w:val="FootnoteText"/>
      </w:pPr>
      <w:r>
        <w:rPr>
          <w:rStyle w:val="FootnoteReference"/>
        </w:rPr>
        <w:footnoteRef/>
      </w:r>
      <w:r>
        <w:t xml:space="preserve"> </w:t>
      </w:r>
      <w:r w:rsidRPr="0049270C">
        <w:rPr>
          <w:sz w:val="16"/>
          <w:szCs w:val="16"/>
        </w:rPr>
        <w:t xml:space="preserve">UNCITRAL Guide to Enactment and Interpretation (1997, updated 2014) (Article </w:t>
      </w:r>
      <w:r w:rsidR="005E2312">
        <w:rPr>
          <w:sz w:val="16"/>
          <w:szCs w:val="16"/>
        </w:rPr>
        <w:t>17)</w:t>
      </w:r>
    </w:p>
  </w:footnote>
  <w:footnote w:id="7">
    <w:p w14:paraId="1A8D5163" w14:textId="20D66490" w:rsidR="008D5F6F" w:rsidRDefault="008D5F6F">
      <w:pPr>
        <w:pStyle w:val="FootnoteText"/>
      </w:pPr>
      <w:r>
        <w:rPr>
          <w:rStyle w:val="FootnoteReference"/>
        </w:rPr>
        <w:footnoteRef/>
      </w:r>
      <w:r>
        <w:t xml:space="preserve"> </w:t>
      </w:r>
      <w:r w:rsidRPr="0049270C">
        <w:rPr>
          <w:sz w:val="16"/>
          <w:szCs w:val="16"/>
        </w:rPr>
        <w:t>UNCITRAL Guide to Enactment and Interpretation (1997, updated 2014) (Article</w:t>
      </w:r>
      <w:r>
        <w:rPr>
          <w:sz w:val="16"/>
          <w:szCs w:val="16"/>
        </w:rPr>
        <w:t xml:space="preserve"> 2)</w:t>
      </w:r>
    </w:p>
  </w:footnote>
  <w:footnote w:id="8">
    <w:p w14:paraId="1ADB2344" w14:textId="21FE023D" w:rsidR="00B96AF2" w:rsidRDefault="00B96AF2">
      <w:pPr>
        <w:pStyle w:val="FootnoteText"/>
      </w:pPr>
      <w:r>
        <w:rPr>
          <w:rStyle w:val="FootnoteReference"/>
        </w:rPr>
        <w:footnoteRef/>
      </w:r>
      <w:r>
        <w:t xml:space="preserve"> </w:t>
      </w:r>
      <w:r w:rsidRPr="0049270C">
        <w:rPr>
          <w:sz w:val="16"/>
          <w:szCs w:val="16"/>
        </w:rPr>
        <w:t>UNCITRAL Guide to Enactment and Interpretation (1997, updated 2014) (Article</w:t>
      </w:r>
      <w:r>
        <w:rPr>
          <w:sz w:val="16"/>
          <w:szCs w:val="16"/>
        </w:rPr>
        <w:t xml:space="preserve"> </w:t>
      </w:r>
      <w:r>
        <w:rPr>
          <w:sz w:val="16"/>
          <w:szCs w:val="16"/>
        </w:rPr>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E545" w14:textId="77777777" w:rsidR="0039335C" w:rsidRDefault="00393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E296" w14:textId="77777777" w:rsidR="0039335C" w:rsidRDefault="00393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90F7" w14:textId="77777777" w:rsidR="0039335C" w:rsidRDefault="00393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6527255"/>
    <w:multiLevelType w:val="hybridMultilevel"/>
    <w:tmpl w:val="BCFCB3E0"/>
    <w:lvl w:ilvl="0" w:tplc="93769F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1F959BD"/>
    <w:multiLevelType w:val="hybridMultilevel"/>
    <w:tmpl w:val="25E297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6"/>
  </w:num>
  <w:num w:numId="3" w16cid:durableId="970591766">
    <w:abstractNumId w:val="2"/>
  </w:num>
  <w:num w:numId="4" w16cid:durableId="1327175081">
    <w:abstractNumId w:val="18"/>
  </w:num>
  <w:num w:numId="5" w16cid:durableId="998270126">
    <w:abstractNumId w:val="17"/>
  </w:num>
  <w:num w:numId="6" w16cid:durableId="657656171">
    <w:abstractNumId w:val="16"/>
  </w:num>
  <w:num w:numId="7" w16cid:durableId="1116829249">
    <w:abstractNumId w:val="4"/>
  </w:num>
  <w:num w:numId="8" w16cid:durableId="1055274873">
    <w:abstractNumId w:val="5"/>
  </w:num>
  <w:num w:numId="9" w16cid:durableId="790785319">
    <w:abstractNumId w:val="12"/>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4"/>
  </w:num>
  <w:num w:numId="18" w16cid:durableId="1715740287">
    <w:abstractNumId w:val="15"/>
  </w:num>
  <w:num w:numId="19" w16cid:durableId="15696833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67D9"/>
    <w:rsid w:val="000077DD"/>
    <w:rsid w:val="000104AD"/>
    <w:rsid w:val="00010BA0"/>
    <w:rsid w:val="00011778"/>
    <w:rsid w:val="0001365B"/>
    <w:rsid w:val="000159A2"/>
    <w:rsid w:val="00020557"/>
    <w:rsid w:val="000232A1"/>
    <w:rsid w:val="000250C7"/>
    <w:rsid w:val="00025CCF"/>
    <w:rsid w:val="00026862"/>
    <w:rsid w:val="000300E0"/>
    <w:rsid w:val="0003114A"/>
    <w:rsid w:val="000352C1"/>
    <w:rsid w:val="0003619C"/>
    <w:rsid w:val="0003743B"/>
    <w:rsid w:val="00037621"/>
    <w:rsid w:val="00044D46"/>
    <w:rsid w:val="00045088"/>
    <w:rsid w:val="00045904"/>
    <w:rsid w:val="000464F7"/>
    <w:rsid w:val="0005141D"/>
    <w:rsid w:val="0005749E"/>
    <w:rsid w:val="00060E02"/>
    <w:rsid w:val="00065166"/>
    <w:rsid w:val="00067A88"/>
    <w:rsid w:val="00070B92"/>
    <w:rsid w:val="00073474"/>
    <w:rsid w:val="00074750"/>
    <w:rsid w:val="0007768E"/>
    <w:rsid w:val="00077D49"/>
    <w:rsid w:val="00082609"/>
    <w:rsid w:val="00083B38"/>
    <w:rsid w:val="000851CC"/>
    <w:rsid w:val="00093BE8"/>
    <w:rsid w:val="00095767"/>
    <w:rsid w:val="000A68ED"/>
    <w:rsid w:val="000B4FEB"/>
    <w:rsid w:val="000B5FF1"/>
    <w:rsid w:val="000B609F"/>
    <w:rsid w:val="000C1151"/>
    <w:rsid w:val="000C147F"/>
    <w:rsid w:val="000C6BB9"/>
    <w:rsid w:val="000D32A9"/>
    <w:rsid w:val="000D55A8"/>
    <w:rsid w:val="000E10CD"/>
    <w:rsid w:val="000E4841"/>
    <w:rsid w:val="000E6325"/>
    <w:rsid w:val="000F1677"/>
    <w:rsid w:val="000F3D6C"/>
    <w:rsid w:val="000F579C"/>
    <w:rsid w:val="00100E8F"/>
    <w:rsid w:val="00101707"/>
    <w:rsid w:val="00101A9E"/>
    <w:rsid w:val="00113B3E"/>
    <w:rsid w:val="00114082"/>
    <w:rsid w:val="0011473D"/>
    <w:rsid w:val="00115C85"/>
    <w:rsid w:val="00123855"/>
    <w:rsid w:val="00126A4D"/>
    <w:rsid w:val="00126E19"/>
    <w:rsid w:val="001302D9"/>
    <w:rsid w:val="001374D8"/>
    <w:rsid w:val="00140E0A"/>
    <w:rsid w:val="0014171F"/>
    <w:rsid w:val="0014622C"/>
    <w:rsid w:val="00151F58"/>
    <w:rsid w:val="00152348"/>
    <w:rsid w:val="00152845"/>
    <w:rsid w:val="001534C3"/>
    <w:rsid w:val="0015456D"/>
    <w:rsid w:val="00154780"/>
    <w:rsid w:val="0015549B"/>
    <w:rsid w:val="00155FA2"/>
    <w:rsid w:val="001578CB"/>
    <w:rsid w:val="00160EC1"/>
    <w:rsid w:val="00161F1B"/>
    <w:rsid w:val="00162829"/>
    <w:rsid w:val="001672E0"/>
    <w:rsid w:val="00167C32"/>
    <w:rsid w:val="00171921"/>
    <w:rsid w:val="0017257C"/>
    <w:rsid w:val="00174EB5"/>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0CC8"/>
    <w:rsid w:val="001C45FC"/>
    <w:rsid w:val="001D02C5"/>
    <w:rsid w:val="001D1693"/>
    <w:rsid w:val="001D4862"/>
    <w:rsid w:val="001E25B9"/>
    <w:rsid w:val="001E49E0"/>
    <w:rsid w:val="001E60C3"/>
    <w:rsid w:val="001E7B5A"/>
    <w:rsid w:val="001F7412"/>
    <w:rsid w:val="00200B1F"/>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2FF"/>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2C02"/>
    <w:rsid w:val="0029433F"/>
    <w:rsid w:val="00294829"/>
    <w:rsid w:val="00294F3B"/>
    <w:rsid w:val="0029690F"/>
    <w:rsid w:val="002A168F"/>
    <w:rsid w:val="002A1EEC"/>
    <w:rsid w:val="002A29FB"/>
    <w:rsid w:val="002A2A60"/>
    <w:rsid w:val="002A5794"/>
    <w:rsid w:val="002B1C45"/>
    <w:rsid w:val="002B1FB3"/>
    <w:rsid w:val="002C13C8"/>
    <w:rsid w:val="002C3547"/>
    <w:rsid w:val="002C5682"/>
    <w:rsid w:val="002C7F6C"/>
    <w:rsid w:val="002D0021"/>
    <w:rsid w:val="002D1CE1"/>
    <w:rsid w:val="002D3473"/>
    <w:rsid w:val="002D5C95"/>
    <w:rsid w:val="002E00F8"/>
    <w:rsid w:val="002E0842"/>
    <w:rsid w:val="002E1BB5"/>
    <w:rsid w:val="002E2322"/>
    <w:rsid w:val="002E38E2"/>
    <w:rsid w:val="002F1956"/>
    <w:rsid w:val="002F3440"/>
    <w:rsid w:val="002F4C01"/>
    <w:rsid w:val="002F4EC0"/>
    <w:rsid w:val="002F71BE"/>
    <w:rsid w:val="002F75A3"/>
    <w:rsid w:val="002F78CA"/>
    <w:rsid w:val="00303C2F"/>
    <w:rsid w:val="00312911"/>
    <w:rsid w:val="003144EF"/>
    <w:rsid w:val="003148CA"/>
    <w:rsid w:val="00315506"/>
    <w:rsid w:val="00316D68"/>
    <w:rsid w:val="003220BA"/>
    <w:rsid w:val="00322F3B"/>
    <w:rsid w:val="0032364E"/>
    <w:rsid w:val="00323940"/>
    <w:rsid w:val="00326292"/>
    <w:rsid w:val="00326415"/>
    <w:rsid w:val="00330937"/>
    <w:rsid w:val="00330F31"/>
    <w:rsid w:val="0033442A"/>
    <w:rsid w:val="00334648"/>
    <w:rsid w:val="0033768C"/>
    <w:rsid w:val="00337938"/>
    <w:rsid w:val="003405F9"/>
    <w:rsid w:val="00340769"/>
    <w:rsid w:val="00341AA6"/>
    <w:rsid w:val="00342459"/>
    <w:rsid w:val="003427B9"/>
    <w:rsid w:val="00346B16"/>
    <w:rsid w:val="00361A0A"/>
    <w:rsid w:val="00362158"/>
    <w:rsid w:val="00362B4D"/>
    <w:rsid w:val="0036565C"/>
    <w:rsid w:val="0036625E"/>
    <w:rsid w:val="0036760B"/>
    <w:rsid w:val="0037465A"/>
    <w:rsid w:val="0037544E"/>
    <w:rsid w:val="00380BAB"/>
    <w:rsid w:val="00382C98"/>
    <w:rsid w:val="0038533C"/>
    <w:rsid w:val="00386568"/>
    <w:rsid w:val="00387106"/>
    <w:rsid w:val="00391F3E"/>
    <w:rsid w:val="0039335C"/>
    <w:rsid w:val="003948D5"/>
    <w:rsid w:val="003963D4"/>
    <w:rsid w:val="00396821"/>
    <w:rsid w:val="00397D3A"/>
    <w:rsid w:val="003A051E"/>
    <w:rsid w:val="003A2FEE"/>
    <w:rsid w:val="003A66F7"/>
    <w:rsid w:val="003B1310"/>
    <w:rsid w:val="003B170F"/>
    <w:rsid w:val="003B3C5F"/>
    <w:rsid w:val="003C089D"/>
    <w:rsid w:val="003C4471"/>
    <w:rsid w:val="003C66B1"/>
    <w:rsid w:val="003D0A6D"/>
    <w:rsid w:val="003E0B16"/>
    <w:rsid w:val="003E593E"/>
    <w:rsid w:val="003E67D1"/>
    <w:rsid w:val="00405DC1"/>
    <w:rsid w:val="0040710D"/>
    <w:rsid w:val="0041139B"/>
    <w:rsid w:val="004137C3"/>
    <w:rsid w:val="00413D3A"/>
    <w:rsid w:val="004156A0"/>
    <w:rsid w:val="00415F1F"/>
    <w:rsid w:val="00417B0F"/>
    <w:rsid w:val="0042108F"/>
    <w:rsid w:val="00422242"/>
    <w:rsid w:val="00424D07"/>
    <w:rsid w:val="00430FED"/>
    <w:rsid w:val="00432179"/>
    <w:rsid w:val="00432734"/>
    <w:rsid w:val="00434292"/>
    <w:rsid w:val="00434A8C"/>
    <w:rsid w:val="00435583"/>
    <w:rsid w:val="00436884"/>
    <w:rsid w:val="00437297"/>
    <w:rsid w:val="00443403"/>
    <w:rsid w:val="00444284"/>
    <w:rsid w:val="00445CE6"/>
    <w:rsid w:val="00447FE6"/>
    <w:rsid w:val="004534C2"/>
    <w:rsid w:val="00454257"/>
    <w:rsid w:val="0045446F"/>
    <w:rsid w:val="0045683E"/>
    <w:rsid w:val="0046090F"/>
    <w:rsid w:val="0047025B"/>
    <w:rsid w:val="00487B61"/>
    <w:rsid w:val="00491675"/>
    <w:rsid w:val="0049270C"/>
    <w:rsid w:val="00493855"/>
    <w:rsid w:val="0049508F"/>
    <w:rsid w:val="004A171E"/>
    <w:rsid w:val="004A3A6C"/>
    <w:rsid w:val="004A57DD"/>
    <w:rsid w:val="004A7B51"/>
    <w:rsid w:val="004A7D71"/>
    <w:rsid w:val="004A7EF3"/>
    <w:rsid w:val="004B11FD"/>
    <w:rsid w:val="004B23A2"/>
    <w:rsid w:val="004B6978"/>
    <w:rsid w:val="004C4E97"/>
    <w:rsid w:val="004C7777"/>
    <w:rsid w:val="004D0578"/>
    <w:rsid w:val="004D1A5A"/>
    <w:rsid w:val="004D2FFF"/>
    <w:rsid w:val="004D3721"/>
    <w:rsid w:val="004D64F9"/>
    <w:rsid w:val="004E0549"/>
    <w:rsid w:val="004E1674"/>
    <w:rsid w:val="004E2E92"/>
    <w:rsid w:val="004E30B0"/>
    <w:rsid w:val="004E57F8"/>
    <w:rsid w:val="004E622C"/>
    <w:rsid w:val="004F5FDF"/>
    <w:rsid w:val="0050157D"/>
    <w:rsid w:val="005049C4"/>
    <w:rsid w:val="00506803"/>
    <w:rsid w:val="0050682B"/>
    <w:rsid w:val="00507AAC"/>
    <w:rsid w:val="00512A30"/>
    <w:rsid w:val="005177FE"/>
    <w:rsid w:val="0052263B"/>
    <w:rsid w:val="00524728"/>
    <w:rsid w:val="00526BCF"/>
    <w:rsid w:val="00530003"/>
    <w:rsid w:val="00530E88"/>
    <w:rsid w:val="005331CA"/>
    <w:rsid w:val="0053353F"/>
    <w:rsid w:val="00533739"/>
    <w:rsid w:val="00537970"/>
    <w:rsid w:val="00540B44"/>
    <w:rsid w:val="00540E3A"/>
    <w:rsid w:val="00544127"/>
    <w:rsid w:val="00544273"/>
    <w:rsid w:val="00544B33"/>
    <w:rsid w:val="005463A9"/>
    <w:rsid w:val="00546FB5"/>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4656"/>
    <w:rsid w:val="005B67AC"/>
    <w:rsid w:val="005C2C94"/>
    <w:rsid w:val="005C36BC"/>
    <w:rsid w:val="005C4865"/>
    <w:rsid w:val="005D43E0"/>
    <w:rsid w:val="005D58A3"/>
    <w:rsid w:val="005E1B79"/>
    <w:rsid w:val="005E2312"/>
    <w:rsid w:val="005E3D95"/>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2571"/>
    <w:rsid w:val="00654C2F"/>
    <w:rsid w:val="00657087"/>
    <w:rsid w:val="00661473"/>
    <w:rsid w:val="0066252C"/>
    <w:rsid w:val="006661EF"/>
    <w:rsid w:val="0067294B"/>
    <w:rsid w:val="00677348"/>
    <w:rsid w:val="00677736"/>
    <w:rsid w:val="0067785F"/>
    <w:rsid w:val="00677AEB"/>
    <w:rsid w:val="00680EF2"/>
    <w:rsid w:val="006839C2"/>
    <w:rsid w:val="00687A1D"/>
    <w:rsid w:val="006920CC"/>
    <w:rsid w:val="00692AB2"/>
    <w:rsid w:val="0069647C"/>
    <w:rsid w:val="00697EA1"/>
    <w:rsid w:val="006A1040"/>
    <w:rsid w:val="006A1850"/>
    <w:rsid w:val="006A2646"/>
    <w:rsid w:val="006A3686"/>
    <w:rsid w:val="006A3DF0"/>
    <w:rsid w:val="006A513C"/>
    <w:rsid w:val="006A6530"/>
    <w:rsid w:val="006B274D"/>
    <w:rsid w:val="006B435A"/>
    <w:rsid w:val="006B477D"/>
    <w:rsid w:val="006B4C64"/>
    <w:rsid w:val="006B4FFC"/>
    <w:rsid w:val="006C09BF"/>
    <w:rsid w:val="006D0E6E"/>
    <w:rsid w:val="006D6BD5"/>
    <w:rsid w:val="006E481A"/>
    <w:rsid w:val="006E5298"/>
    <w:rsid w:val="006F1802"/>
    <w:rsid w:val="006F2CE3"/>
    <w:rsid w:val="006F734A"/>
    <w:rsid w:val="00700D83"/>
    <w:rsid w:val="00703819"/>
    <w:rsid w:val="00704340"/>
    <w:rsid w:val="00704852"/>
    <w:rsid w:val="00705469"/>
    <w:rsid w:val="00706297"/>
    <w:rsid w:val="00706AD5"/>
    <w:rsid w:val="007074E9"/>
    <w:rsid w:val="00707FC8"/>
    <w:rsid w:val="00713DA4"/>
    <w:rsid w:val="00714BF1"/>
    <w:rsid w:val="00721383"/>
    <w:rsid w:val="007249E1"/>
    <w:rsid w:val="0072554C"/>
    <w:rsid w:val="00725911"/>
    <w:rsid w:val="00731DBD"/>
    <w:rsid w:val="007333CC"/>
    <w:rsid w:val="0073399A"/>
    <w:rsid w:val="00751F66"/>
    <w:rsid w:val="007603F5"/>
    <w:rsid w:val="00764DB0"/>
    <w:rsid w:val="00766F8A"/>
    <w:rsid w:val="0076764D"/>
    <w:rsid w:val="0077498C"/>
    <w:rsid w:val="00775324"/>
    <w:rsid w:val="00777183"/>
    <w:rsid w:val="007801D3"/>
    <w:rsid w:val="00784128"/>
    <w:rsid w:val="00784158"/>
    <w:rsid w:val="00784B4B"/>
    <w:rsid w:val="007854ED"/>
    <w:rsid w:val="00793173"/>
    <w:rsid w:val="007A04BF"/>
    <w:rsid w:val="007B0F9A"/>
    <w:rsid w:val="007B3AC7"/>
    <w:rsid w:val="007B497A"/>
    <w:rsid w:val="007B4A1D"/>
    <w:rsid w:val="007B73AC"/>
    <w:rsid w:val="007C1FCC"/>
    <w:rsid w:val="007C32A8"/>
    <w:rsid w:val="007C3FE5"/>
    <w:rsid w:val="007C6201"/>
    <w:rsid w:val="007C6988"/>
    <w:rsid w:val="007D0AF1"/>
    <w:rsid w:val="007D28A1"/>
    <w:rsid w:val="007D7C92"/>
    <w:rsid w:val="007E0981"/>
    <w:rsid w:val="007E1154"/>
    <w:rsid w:val="007E21A8"/>
    <w:rsid w:val="007E6BA4"/>
    <w:rsid w:val="007E7678"/>
    <w:rsid w:val="007F41F8"/>
    <w:rsid w:val="007F60D0"/>
    <w:rsid w:val="0080454E"/>
    <w:rsid w:val="00804C32"/>
    <w:rsid w:val="00806302"/>
    <w:rsid w:val="00806C35"/>
    <w:rsid w:val="00807119"/>
    <w:rsid w:val="00812AF5"/>
    <w:rsid w:val="00812AFE"/>
    <w:rsid w:val="0081567B"/>
    <w:rsid w:val="00817D57"/>
    <w:rsid w:val="00822764"/>
    <w:rsid w:val="008241C4"/>
    <w:rsid w:val="0082483F"/>
    <w:rsid w:val="008264CB"/>
    <w:rsid w:val="008279C0"/>
    <w:rsid w:val="00835FD1"/>
    <w:rsid w:val="008374A2"/>
    <w:rsid w:val="0084683C"/>
    <w:rsid w:val="008512FA"/>
    <w:rsid w:val="00853244"/>
    <w:rsid w:val="00853A74"/>
    <w:rsid w:val="00857763"/>
    <w:rsid w:val="00860E61"/>
    <w:rsid w:val="00862092"/>
    <w:rsid w:val="00862832"/>
    <w:rsid w:val="00866290"/>
    <w:rsid w:val="00867A8F"/>
    <w:rsid w:val="008723F3"/>
    <w:rsid w:val="00881DE6"/>
    <w:rsid w:val="008837A6"/>
    <w:rsid w:val="00890E30"/>
    <w:rsid w:val="0089145D"/>
    <w:rsid w:val="00893A03"/>
    <w:rsid w:val="008A0C6E"/>
    <w:rsid w:val="008A46CF"/>
    <w:rsid w:val="008A4DF2"/>
    <w:rsid w:val="008A6CFE"/>
    <w:rsid w:val="008A7470"/>
    <w:rsid w:val="008B1A08"/>
    <w:rsid w:val="008B26A8"/>
    <w:rsid w:val="008B2DE3"/>
    <w:rsid w:val="008B5333"/>
    <w:rsid w:val="008B5C71"/>
    <w:rsid w:val="008B6223"/>
    <w:rsid w:val="008C2290"/>
    <w:rsid w:val="008C66E0"/>
    <w:rsid w:val="008D5F6F"/>
    <w:rsid w:val="008E2DFA"/>
    <w:rsid w:val="008E3339"/>
    <w:rsid w:val="008E44CB"/>
    <w:rsid w:val="008E549B"/>
    <w:rsid w:val="008F18EF"/>
    <w:rsid w:val="008F20FC"/>
    <w:rsid w:val="008F2B24"/>
    <w:rsid w:val="008F5FFE"/>
    <w:rsid w:val="0090421A"/>
    <w:rsid w:val="009053E3"/>
    <w:rsid w:val="00905A43"/>
    <w:rsid w:val="00905D69"/>
    <w:rsid w:val="00907DC2"/>
    <w:rsid w:val="00912C79"/>
    <w:rsid w:val="00921769"/>
    <w:rsid w:val="009260A2"/>
    <w:rsid w:val="00927685"/>
    <w:rsid w:val="009337BE"/>
    <w:rsid w:val="009344C1"/>
    <w:rsid w:val="0093558D"/>
    <w:rsid w:val="0093663B"/>
    <w:rsid w:val="00937505"/>
    <w:rsid w:val="00942123"/>
    <w:rsid w:val="00951031"/>
    <w:rsid w:val="0095207B"/>
    <w:rsid w:val="00954461"/>
    <w:rsid w:val="00954F31"/>
    <w:rsid w:val="00956085"/>
    <w:rsid w:val="00956B1C"/>
    <w:rsid w:val="00957951"/>
    <w:rsid w:val="00962045"/>
    <w:rsid w:val="00967EDA"/>
    <w:rsid w:val="00970897"/>
    <w:rsid w:val="0097337E"/>
    <w:rsid w:val="00980314"/>
    <w:rsid w:val="009816D0"/>
    <w:rsid w:val="00991428"/>
    <w:rsid w:val="00992676"/>
    <w:rsid w:val="00996691"/>
    <w:rsid w:val="009A0E86"/>
    <w:rsid w:val="009A4880"/>
    <w:rsid w:val="009A58D1"/>
    <w:rsid w:val="009A7865"/>
    <w:rsid w:val="009B02DD"/>
    <w:rsid w:val="009B0723"/>
    <w:rsid w:val="009B07AD"/>
    <w:rsid w:val="009B0883"/>
    <w:rsid w:val="009B15E2"/>
    <w:rsid w:val="009B5832"/>
    <w:rsid w:val="009B6312"/>
    <w:rsid w:val="009B640D"/>
    <w:rsid w:val="009C0850"/>
    <w:rsid w:val="009C0B8E"/>
    <w:rsid w:val="009C1BC8"/>
    <w:rsid w:val="009C2442"/>
    <w:rsid w:val="009C527E"/>
    <w:rsid w:val="009D0811"/>
    <w:rsid w:val="009D0EE1"/>
    <w:rsid w:val="009D1227"/>
    <w:rsid w:val="009D30BB"/>
    <w:rsid w:val="009E2AEB"/>
    <w:rsid w:val="009E2E27"/>
    <w:rsid w:val="009E3CA7"/>
    <w:rsid w:val="009E4DE3"/>
    <w:rsid w:val="009F0AAD"/>
    <w:rsid w:val="00A047EE"/>
    <w:rsid w:val="00A114EA"/>
    <w:rsid w:val="00A153F7"/>
    <w:rsid w:val="00A2274A"/>
    <w:rsid w:val="00A235B7"/>
    <w:rsid w:val="00A27A7A"/>
    <w:rsid w:val="00A407EF"/>
    <w:rsid w:val="00A42E5B"/>
    <w:rsid w:val="00A46B4C"/>
    <w:rsid w:val="00A5117B"/>
    <w:rsid w:val="00A54000"/>
    <w:rsid w:val="00A54689"/>
    <w:rsid w:val="00A60074"/>
    <w:rsid w:val="00A6627C"/>
    <w:rsid w:val="00A6649C"/>
    <w:rsid w:val="00A70BBC"/>
    <w:rsid w:val="00A71019"/>
    <w:rsid w:val="00A74F1A"/>
    <w:rsid w:val="00A81029"/>
    <w:rsid w:val="00A83CB5"/>
    <w:rsid w:val="00A865A7"/>
    <w:rsid w:val="00A90FE8"/>
    <w:rsid w:val="00A96489"/>
    <w:rsid w:val="00AA3A42"/>
    <w:rsid w:val="00AA5311"/>
    <w:rsid w:val="00AA7BAA"/>
    <w:rsid w:val="00AA7C0D"/>
    <w:rsid w:val="00AB685C"/>
    <w:rsid w:val="00AB6C2D"/>
    <w:rsid w:val="00AC08F7"/>
    <w:rsid w:val="00AC3839"/>
    <w:rsid w:val="00AC6687"/>
    <w:rsid w:val="00AC7082"/>
    <w:rsid w:val="00AD0E59"/>
    <w:rsid w:val="00AD3FEA"/>
    <w:rsid w:val="00AD45B9"/>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57F33"/>
    <w:rsid w:val="00B60190"/>
    <w:rsid w:val="00B61419"/>
    <w:rsid w:val="00B638F4"/>
    <w:rsid w:val="00B64FA2"/>
    <w:rsid w:val="00B66441"/>
    <w:rsid w:val="00B72F5F"/>
    <w:rsid w:val="00B736DF"/>
    <w:rsid w:val="00B74FBD"/>
    <w:rsid w:val="00B77352"/>
    <w:rsid w:val="00B82586"/>
    <w:rsid w:val="00B829A3"/>
    <w:rsid w:val="00B86DB1"/>
    <w:rsid w:val="00B87869"/>
    <w:rsid w:val="00B91486"/>
    <w:rsid w:val="00B9219A"/>
    <w:rsid w:val="00B93B49"/>
    <w:rsid w:val="00B94DFF"/>
    <w:rsid w:val="00B953BD"/>
    <w:rsid w:val="00B96AF2"/>
    <w:rsid w:val="00BA0E44"/>
    <w:rsid w:val="00BA47C5"/>
    <w:rsid w:val="00BB0F2B"/>
    <w:rsid w:val="00BB4DB8"/>
    <w:rsid w:val="00BD0D57"/>
    <w:rsid w:val="00BE1A50"/>
    <w:rsid w:val="00BE495E"/>
    <w:rsid w:val="00BF50F7"/>
    <w:rsid w:val="00C00111"/>
    <w:rsid w:val="00C02F29"/>
    <w:rsid w:val="00C10C13"/>
    <w:rsid w:val="00C116F0"/>
    <w:rsid w:val="00C17111"/>
    <w:rsid w:val="00C20747"/>
    <w:rsid w:val="00C20AFE"/>
    <w:rsid w:val="00C22A25"/>
    <w:rsid w:val="00C230EA"/>
    <w:rsid w:val="00C23B79"/>
    <w:rsid w:val="00C268F0"/>
    <w:rsid w:val="00C312CC"/>
    <w:rsid w:val="00C33D50"/>
    <w:rsid w:val="00C35671"/>
    <w:rsid w:val="00C35B77"/>
    <w:rsid w:val="00C370D3"/>
    <w:rsid w:val="00C376EB"/>
    <w:rsid w:val="00C4003A"/>
    <w:rsid w:val="00C4510C"/>
    <w:rsid w:val="00C46EC1"/>
    <w:rsid w:val="00C504E5"/>
    <w:rsid w:val="00C534A8"/>
    <w:rsid w:val="00C53E2C"/>
    <w:rsid w:val="00C550C8"/>
    <w:rsid w:val="00C56B61"/>
    <w:rsid w:val="00C606C3"/>
    <w:rsid w:val="00C620F4"/>
    <w:rsid w:val="00C668B6"/>
    <w:rsid w:val="00C66983"/>
    <w:rsid w:val="00C67ECE"/>
    <w:rsid w:val="00C714F6"/>
    <w:rsid w:val="00C7161B"/>
    <w:rsid w:val="00C72848"/>
    <w:rsid w:val="00C7736C"/>
    <w:rsid w:val="00C82D87"/>
    <w:rsid w:val="00C841ED"/>
    <w:rsid w:val="00C85F17"/>
    <w:rsid w:val="00C8712A"/>
    <w:rsid w:val="00C91324"/>
    <w:rsid w:val="00C914F7"/>
    <w:rsid w:val="00C945FA"/>
    <w:rsid w:val="00C963D3"/>
    <w:rsid w:val="00CA4FE8"/>
    <w:rsid w:val="00CA6E0D"/>
    <w:rsid w:val="00CB2A06"/>
    <w:rsid w:val="00CB2CBB"/>
    <w:rsid w:val="00CB56CE"/>
    <w:rsid w:val="00CB7CAC"/>
    <w:rsid w:val="00CC0EA0"/>
    <w:rsid w:val="00CC5335"/>
    <w:rsid w:val="00CC5BA4"/>
    <w:rsid w:val="00CC70BB"/>
    <w:rsid w:val="00CC78DA"/>
    <w:rsid w:val="00CD3420"/>
    <w:rsid w:val="00CD4998"/>
    <w:rsid w:val="00CE1035"/>
    <w:rsid w:val="00CE2A6A"/>
    <w:rsid w:val="00CF2819"/>
    <w:rsid w:val="00CF3B64"/>
    <w:rsid w:val="00CF3C03"/>
    <w:rsid w:val="00CF4F9D"/>
    <w:rsid w:val="00CF70DC"/>
    <w:rsid w:val="00D148DC"/>
    <w:rsid w:val="00D17FDC"/>
    <w:rsid w:val="00D2212F"/>
    <w:rsid w:val="00D24B88"/>
    <w:rsid w:val="00D42E74"/>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2FB0"/>
    <w:rsid w:val="00D93196"/>
    <w:rsid w:val="00D94A4D"/>
    <w:rsid w:val="00D97A93"/>
    <w:rsid w:val="00DA1083"/>
    <w:rsid w:val="00DA26C8"/>
    <w:rsid w:val="00DA5B27"/>
    <w:rsid w:val="00DA7BE1"/>
    <w:rsid w:val="00DB243C"/>
    <w:rsid w:val="00DB45DD"/>
    <w:rsid w:val="00DB482A"/>
    <w:rsid w:val="00DB56F2"/>
    <w:rsid w:val="00DB6EF5"/>
    <w:rsid w:val="00DC3089"/>
    <w:rsid w:val="00DC4420"/>
    <w:rsid w:val="00DD0802"/>
    <w:rsid w:val="00DD0A50"/>
    <w:rsid w:val="00DD2E11"/>
    <w:rsid w:val="00DD3466"/>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0A44"/>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484"/>
    <w:rsid w:val="00E73529"/>
    <w:rsid w:val="00E77C3D"/>
    <w:rsid w:val="00E82E22"/>
    <w:rsid w:val="00E850FE"/>
    <w:rsid w:val="00E909F0"/>
    <w:rsid w:val="00E90D47"/>
    <w:rsid w:val="00E910F5"/>
    <w:rsid w:val="00E93993"/>
    <w:rsid w:val="00E9597C"/>
    <w:rsid w:val="00EA0913"/>
    <w:rsid w:val="00EA0A2F"/>
    <w:rsid w:val="00EA3247"/>
    <w:rsid w:val="00EA6D31"/>
    <w:rsid w:val="00EB146B"/>
    <w:rsid w:val="00EB45AC"/>
    <w:rsid w:val="00EB48C2"/>
    <w:rsid w:val="00EC2AEA"/>
    <w:rsid w:val="00EC4C48"/>
    <w:rsid w:val="00EC7B11"/>
    <w:rsid w:val="00EC7F95"/>
    <w:rsid w:val="00ED0BC4"/>
    <w:rsid w:val="00ED3771"/>
    <w:rsid w:val="00ED4AB7"/>
    <w:rsid w:val="00ED6A32"/>
    <w:rsid w:val="00EE4971"/>
    <w:rsid w:val="00EF090E"/>
    <w:rsid w:val="00F033DA"/>
    <w:rsid w:val="00F11AAB"/>
    <w:rsid w:val="00F13FB1"/>
    <w:rsid w:val="00F141AF"/>
    <w:rsid w:val="00F14DE9"/>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437F9"/>
    <w:rsid w:val="00F51EE5"/>
    <w:rsid w:val="00F55241"/>
    <w:rsid w:val="00F5524B"/>
    <w:rsid w:val="00F60538"/>
    <w:rsid w:val="00F618EC"/>
    <w:rsid w:val="00F61DD2"/>
    <w:rsid w:val="00F6523A"/>
    <w:rsid w:val="00F66AFF"/>
    <w:rsid w:val="00F71099"/>
    <w:rsid w:val="00F71433"/>
    <w:rsid w:val="00F7241A"/>
    <w:rsid w:val="00F7603B"/>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47B9"/>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Metadata/LabelInfo.xml><?xml version="1.0" encoding="utf-8"?>
<clbl:labelList xmlns:clbl="http://schemas.microsoft.com/office/2020/mipLabelMetadata">
  <clbl:label id="{ebc75974-4c05-4e8d-bc32-9bd992881176}" enabled="0" method="" siteId="{ebc75974-4c05-4e8d-bc32-9bd992881176}" removed="1"/>
</clbl:labelList>
</file>

<file path=docProps/app.xml><?xml version="1.0" encoding="utf-8"?>
<Properties xmlns="http://schemas.openxmlformats.org/officeDocument/2006/extended-properties" xmlns:vt="http://schemas.openxmlformats.org/officeDocument/2006/docPropsVTypes">
  <Template>Normal.dotm</Template>
  <TotalTime>300</TotalTime>
  <Pages>13</Pages>
  <Words>5130</Words>
  <Characters>27148</Characters>
  <Application>Microsoft Office Word</Application>
  <DocSecurity>0</DocSecurity>
  <Lines>608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Rivett</cp:lastModifiedBy>
  <cp:revision>154</cp:revision>
  <cp:lastPrinted>2019-08-27T05:42:00Z</cp:lastPrinted>
  <dcterms:created xsi:type="dcterms:W3CDTF">2024-02-15T20:03:00Z</dcterms:created>
  <dcterms:modified xsi:type="dcterms:W3CDTF">2024-02-23T19:00:00Z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FC202324-1387.assessment2A-23/02/2024</vt:lpwstr>
  </property>
  <property fmtid="{D5CDD505-2E9C-101B-9397-08002B2CF9AE}" pid="3" name="DocXFormat">
    <vt:lpwstr>FILE-DATE</vt:lpwstr>
  </property>
  <property fmtid="{D5CDD505-2E9C-101B-9397-08002B2CF9AE}" pid="4" name="DocXLocation">
    <vt:lpwstr>EveryPage</vt:lpwstr>
  </property>
</Properties>
</file>