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lastRenderedPageBreak/>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w:t>
      </w:r>
      <w:proofErr w:type="gramStart"/>
      <w:r w:rsidRPr="006925C1">
        <w:rPr>
          <w:rFonts w:ascii="Avenir Next" w:hAnsi="Avenir Next" w:cs="Arial"/>
          <w:sz w:val="22"/>
          <w:szCs w:val="22"/>
          <w:lang w:val="en-GB"/>
        </w:rPr>
        <w:t>a</w:t>
      </w:r>
      <w:proofErr w:type="gramEnd"/>
      <w:r w:rsidRPr="006925C1">
        <w:rPr>
          <w:rFonts w:ascii="Avenir Next" w:hAnsi="Avenir Next" w:cs="Arial"/>
          <w:sz w:val="22"/>
          <w:szCs w:val="22"/>
          <w:lang w:val="en-GB"/>
        </w:rPr>
        <w:t xml:space="preserve">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bookmarkStart w:id="0" w:name="_GoBack"/>
      <w:bookmarkEnd w:id="0"/>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w:t>
      </w:r>
      <w:proofErr w:type="gramStart"/>
      <w:r w:rsidRPr="006925C1">
        <w:rPr>
          <w:rFonts w:ascii="Avenir Next" w:hAnsi="Avenir Next" w:cs="Arial"/>
          <w:sz w:val="22"/>
          <w:szCs w:val="22"/>
          <w:lang w:val="en-GB"/>
        </w:rPr>
        <w:t>are</w:t>
      </w:r>
      <w:proofErr w:type="gramEnd"/>
      <w:r w:rsidRPr="006925C1">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6925C1">
        <w:rPr>
          <w:rFonts w:ascii="Avenir Next" w:hAnsi="Avenir Next" w:cs="Arial"/>
          <w:sz w:val="22"/>
          <w:szCs w:val="22"/>
          <w:lang w:val="en-GB"/>
        </w:rPr>
        <w:t>w</w:t>
      </w:r>
      <w:r w:rsidR="00C91062" w:rsidRPr="006925C1">
        <w:rPr>
          <w:rFonts w:ascii="Avenir Next" w:hAnsi="Avenir Next" w:cs="Arial"/>
          <w:sz w:val="22"/>
          <w:szCs w:val="22"/>
          <w:lang w:val="en-GB"/>
        </w:rPr>
        <w:t>ithin</w:t>
      </w:r>
      <w:proofErr w:type="gramEnd"/>
      <w:r w:rsidR="00C91062" w:rsidRPr="006925C1">
        <w:rPr>
          <w:rFonts w:ascii="Avenir Next" w:hAnsi="Avenir Next" w:cs="Arial"/>
          <w:sz w:val="22"/>
          <w:szCs w:val="22"/>
          <w:lang w:val="en-GB"/>
        </w:rPr>
        <w:t xml:space="preserve">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C199A" w:rsidRDefault="00AE5B6F" w:rsidP="00B04033">
      <w:pPr>
        <w:pStyle w:val="ListParagraph"/>
        <w:numPr>
          <w:ilvl w:val="0"/>
          <w:numId w:val="1"/>
        </w:numPr>
        <w:ind w:left="426"/>
        <w:jc w:val="both"/>
        <w:rPr>
          <w:rFonts w:ascii="Avenir Next" w:hAnsi="Avenir Next" w:cs="Arial"/>
          <w:sz w:val="22"/>
          <w:szCs w:val="22"/>
          <w:highlight w:val="yellow"/>
          <w:lang w:val="en-GB"/>
        </w:rPr>
      </w:pPr>
      <w:proofErr w:type="gramStart"/>
      <w:r w:rsidRPr="004C199A">
        <w:rPr>
          <w:rFonts w:ascii="Avenir Next" w:hAnsi="Avenir Next" w:cs="Arial"/>
          <w:sz w:val="22"/>
          <w:szCs w:val="22"/>
          <w:highlight w:val="yellow"/>
          <w:lang w:val="en-GB"/>
        </w:rPr>
        <w:t>w</w:t>
      </w:r>
      <w:r w:rsidR="00C91062" w:rsidRPr="004C199A">
        <w:rPr>
          <w:rFonts w:ascii="Avenir Next" w:hAnsi="Avenir Next" w:cs="Arial"/>
          <w:sz w:val="22"/>
          <w:szCs w:val="22"/>
          <w:highlight w:val="yellow"/>
          <w:lang w:val="en-GB"/>
        </w:rPr>
        <w:t>ithin</w:t>
      </w:r>
      <w:proofErr w:type="gramEnd"/>
      <w:r w:rsidR="00C91062" w:rsidRPr="004C199A">
        <w:rPr>
          <w:rFonts w:ascii="Avenir Next" w:hAnsi="Avenir Next" w:cs="Arial"/>
          <w:sz w:val="22"/>
          <w:szCs w:val="22"/>
          <w:highlight w:val="yellow"/>
          <w:lang w:val="en-GB"/>
        </w:rPr>
        <w:t xml:space="preserve"> </w:t>
      </w:r>
      <w:r w:rsidR="00733A34" w:rsidRPr="004C199A">
        <w:rPr>
          <w:rFonts w:ascii="Avenir Next" w:hAnsi="Avenir Next" w:cs="Arial"/>
          <w:sz w:val="22"/>
          <w:szCs w:val="22"/>
          <w:highlight w:val="yellow"/>
          <w:lang w:val="en-GB"/>
        </w:rPr>
        <w:t>eight</w:t>
      </w:r>
      <w:r w:rsidR="00C91062" w:rsidRPr="004C199A">
        <w:rPr>
          <w:rFonts w:ascii="Avenir Next" w:hAnsi="Avenir Next" w:cs="Arial"/>
          <w:sz w:val="22"/>
          <w:szCs w:val="22"/>
          <w:highlight w:val="yellow"/>
          <w:lang w:val="en-GB"/>
        </w:rPr>
        <w:t xml:space="preserve"> weeks of the commencement of the administration</w:t>
      </w:r>
      <w:r w:rsidR="00763348" w:rsidRPr="004C199A">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w</w:t>
      </w:r>
      <w:r w:rsidR="00C91062" w:rsidRPr="00197F24">
        <w:rPr>
          <w:rFonts w:ascii="Avenir Next" w:hAnsi="Avenir Next" w:cs="Arial"/>
          <w:sz w:val="22"/>
          <w:szCs w:val="22"/>
          <w:lang w:val="en-GB"/>
        </w:rPr>
        <w:t>ithin</w:t>
      </w:r>
      <w:proofErr w:type="gramEnd"/>
      <w:r w:rsidR="00C91062" w:rsidRPr="00197F24">
        <w:rPr>
          <w:rFonts w:ascii="Avenir Next" w:hAnsi="Avenir Next" w:cs="Arial"/>
          <w:sz w:val="22"/>
          <w:szCs w:val="22"/>
          <w:lang w:val="en-GB"/>
        </w:rPr>
        <w:t xml:space="preserve">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proofErr w:type="gramStart"/>
      <w:r w:rsidRPr="00197F24">
        <w:rPr>
          <w:rFonts w:ascii="Avenir Next" w:hAnsi="Avenir Next" w:cs="Arial"/>
          <w:sz w:val="22"/>
          <w:szCs w:val="22"/>
          <w:lang w:val="en-GB"/>
        </w:rPr>
        <w:t>o</w:t>
      </w:r>
      <w:r w:rsidR="00C91062" w:rsidRPr="00197F24">
        <w:rPr>
          <w:rFonts w:ascii="Avenir Next" w:hAnsi="Avenir Next" w:cs="Arial"/>
          <w:sz w:val="22"/>
          <w:szCs w:val="22"/>
          <w:lang w:val="en-GB"/>
        </w:rPr>
        <w:t>n</w:t>
      </w:r>
      <w:proofErr w:type="gramEnd"/>
      <w:r w:rsidR="00C91062" w:rsidRPr="00197F24">
        <w:rPr>
          <w:rFonts w:ascii="Avenir Next" w:hAnsi="Avenir Next" w:cs="Arial"/>
          <w:sz w:val="22"/>
          <w:szCs w:val="22"/>
          <w:lang w:val="en-GB"/>
        </w:rPr>
        <w:t xml:space="preserve">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E12F59" w:rsidRDefault="00E443D7" w:rsidP="00C55824">
      <w:pPr>
        <w:pStyle w:val="ListParagraph"/>
        <w:numPr>
          <w:ilvl w:val="0"/>
          <w:numId w:val="2"/>
        </w:numPr>
        <w:ind w:left="426"/>
        <w:jc w:val="both"/>
        <w:rPr>
          <w:rFonts w:ascii="Avenir Next" w:hAnsi="Avenir Next" w:cs="Arial"/>
          <w:sz w:val="22"/>
          <w:szCs w:val="22"/>
          <w:highlight w:val="yellow"/>
          <w:lang w:val="en-GB"/>
        </w:rPr>
      </w:pPr>
      <w:r w:rsidRPr="00E12F59">
        <w:rPr>
          <w:rFonts w:ascii="Avenir Next" w:hAnsi="Avenir Next" w:cs="Arial"/>
          <w:sz w:val="22"/>
          <w:szCs w:val="22"/>
          <w:highlight w:val="yellow"/>
          <w:lang w:val="en-GB"/>
        </w:rPr>
        <w:t>One year</w:t>
      </w:r>
      <w:r w:rsidR="00763348" w:rsidRPr="00E12F59">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500F35" w:rsidRDefault="00AE5B6F" w:rsidP="00B04033">
      <w:pPr>
        <w:pStyle w:val="ListParagraph"/>
        <w:numPr>
          <w:ilvl w:val="0"/>
          <w:numId w:val="3"/>
        </w:numPr>
        <w:ind w:left="426"/>
        <w:jc w:val="both"/>
        <w:rPr>
          <w:rFonts w:ascii="Avenir Next" w:hAnsi="Avenir Next" w:cs="Arial"/>
          <w:sz w:val="22"/>
          <w:szCs w:val="22"/>
          <w:highlight w:val="yellow"/>
          <w:lang w:val="en-GB"/>
        </w:rPr>
      </w:pPr>
      <w:r w:rsidRPr="00500F35">
        <w:rPr>
          <w:rFonts w:ascii="Avenir Next" w:hAnsi="Avenir Next" w:cs="Arial"/>
          <w:sz w:val="22"/>
          <w:szCs w:val="22"/>
          <w:highlight w:val="yellow"/>
          <w:lang w:val="en-GB"/>
        </w:rPr>
        <w:t>T</w:t>
      </w:r>
      <w:r w:rsidR="008D1616" w:rsidRPr="00500F35">
        <w:rPr>
          <w:rFonts w:ascii="Avenir Next" w:hAnsi="Avenir Next" w:cs="Arial"/>
          <w:sz w:val="22"/>
          <w:szCs w:val="22"/>
          <w:highlight w:val="yellow"/>
          <w:lang w:val="en-GB"/>
        </w:rPr>
        <w:t>he company is, or is likely to become, unable to pay their debts, as defined under s</w:t>
      </w:r>
      <w:r w:rsidR="00E833F4" w:rsidRPr="00500F35">
        <w:rPr>
          <w:rFonts w:ascii="Avenir Next" w:hAnsi="Avenir Next" w:cs="Arial"/>
          <w:sz w:val="22"/>
          <w:szCs w:val="22"/>
          <w:highlight w:val="yellow"/>
          <w:lang w:val="en-GB"/>
        </w:rPr>
        <w:t>ection</w:t>
      </w:r>
      <w:r w:rsidR="008D1616" w:rsidRPr="00500F35">
        <w:rPr>
          <w:rFonts w:ascii="Avenir Next" w:hAnsi="Avenir Next" w:cs="Arial"/>
          <w:sz w:val="22"/>
          <w:szCs w:val="22"/>
          <w:highlight w:val="yellow"/>
          <w:lang w:val="en-GB"/>
        </w:rPr>
        <w:t xml:space="preserve"> 123 of the Insolvency Act 1986</w:t>
      </w:r>
      <w:r w:rsidR="00763348" w:rsidRPr="00500F35">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500F35">
        <w:rPr>
          <w:rFonts w:ascii="Avenir Next" w:hAnsi="Avenir Next" w:cs="Arial"/>
          <w:sz w:val="22"/>
          <w:szCs w:val="22"/>
          <w:highlight w:val="yellow"/>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9545B4" w:rsidRDefault="00BA1CFD" w:rsidP="00B04033">
      <w:pPr>
        <w:pStyle w:val="ListParagraph"/>
        <w:numPr>
          <w:ilvl w:val="0"/>
          <w:numId w:val="5"/>
        </w:numPr>
        <w:ind w:left="426"/>
        <w:jc w:val="both"/>
        <w:rPr>
          <w:rFonts w:ascii="Avenir Next" w:hAnsi="Avenir Next" w:cs="Arial"/>
          <w:sz w:val="22"/>
          <w:szCs w:val="22"/>
          <w:highlight w:val="yellow"/>
          <w:lang w:val="en-GB"/>
        </w:rPr>
      </w:pPr>
      <w:r w:rsidRPr="009545B4">
        <w:rPr>
          <w:rFonts w:ascii="Avenir Next" w:hAnsi="Avenir Next" w:cs="Arial"/>
          <w:sz w:val="22"/>
          <w:szCs w:val="22"/>
          <w:highlight w:val="yellow"/>
          <w:lang w:val="en-GB"/>
        </w:rPr>
        <w:t>Administration</w:t>
      </w:r>
      <w:r w:rsidR="00763348" w:rsidRPr="009545B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500F35" w:rsidRDefault="00221444" w:rsidP="00221444">
      <w:pPr>
        <w:pStyle w:val="ListParagraph"/>
        <w:numPr>
          <w:ilvl w:val="0"/>
          <w:numId w:val="6"/>
        </w:numPr>
        <w:ind w:left="426"/>
        <w:jc w:val="both"/>
        <w:rPr>
          <w:rFonts w:ascii="Avenir Next" w:hAnsi="Avenir Next" w:cs="Arial"/>
          <w:sz w:val="22"/>
          <w:szCs w:val="22"/>
          <w:highlight w:val="yellow"/>
          <w:lang w:val="en-GB"/>
        </w:rPr>
      </w:pPr>
      <w:r w:rsidRPr="00500F35">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500F35" w:rsidRDefault="00BA1CFD" w:rsidP="00B04033">
      <w:pPr>
        <w:pStyle w:val="ListParagraph"/>
        <w:numPr>
          <w:ilvl w:val="0"/>
          <w:numId w:val="7"/>
        </w:numPr>
        <w:ind w:left="426"/>
        <w:jc w:val="both"/>
        <w:rPr>
          <w:rFonts w:ascii="Avenir Next" w:hAnsi="Avenir Next" w:cs="Arial"/>
          <w:sz w:val="22"/>
          <w:szCs w:val="22"/>
          <w:highlight w:val="yellow"/>
          <w:lang w:val="en-GB"/>
        </w:rPr>
      </w:pPr>
      <w:r w:rsidRPr="00500F35">
        <w:rPr>
          <w:rFonts w:ascii="Avenir Next" w:hAnsi="Avenir Next" w:cs="Arial"/>
          <w:sz w:val="22"/>
          <w:szCs w:val="22"/>
          <w:highlight w:val="yellow"/>
          <w:lang w:val="en-GB"/>
        </w:rPr>
        <w:t>Wrongful trading</w:t>
      </w:r>
      <w:r w:rsidR="00763348" w:rsidRPr="00500F35">
        <w:rPr>
          <w:rFonts w:ascii="Avenir Next" w:hAnsi="Avenir Next" w:cs="Arial"/>
          <w:sz w:val="22"/>
          <w:szCs w:val="22"/>
          <w:highlight w:val="yellow"/>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Breach of fiduciary duty</w:t>
      </w:r>
      <w:r w:rsidR="00763348" w:rsidRPr="00197F24">
        <w:rPr>
          <w:rFonts w:ascii="Avenir Next" w:hAnsi="Avenir Next" w:cs="Arial"/>
          <w:sz w:val="22"/>
          <w:szCs w:val="22"/>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w:t>
      </w:r>
      <w:proofErr w:type="gramStart"/>
      <w:r w:rsidRPr="00197F24">
        <w:rPr>
          <w:rFonts w:ascii="Avenir Next" w:hAnsi="Avenir Next" w:cs="Arial"/>
          <w:sz w:val="22"/>
          <w:szCs w:val="22"/>
          <w:lang w:val="en-GB"/>
        </w:rPr>
        <w:t>Appoint</w:t>
      </w:r>
      <w:proofErr w:type="gramEnd"/>
      <w:r w:rsidRPr="00197F24">
        <w:rPr>
          <w:rFonts w:ascii="Avenir Next" w:hAnsi="Avenir Next" w:cs="Arial"/>
          <w:sz w:val="22"/>
          <w:szCs w:val="22"/>
          <w:lang w:val="en-GB"/>
        </w:rPr>
        <w:t xml:space="preserve">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BD1D50" w:rsidRDefault="00450393" w:rsidP="00450393">
      <w:pPr>
        <w:pStyle w:val="ListParagraph"/>
        <w:numPr>
          <w:ilvl w:val="0"/>
          <w:numId w:val="8"/>
        </w:numPr>
        <w:ind w:left="426"/>
        <w:jc w:val="both"/>
        <w:rPr>
          <w:rFonts w:ascii="Avenir Next" w:hAnsi="Avenir Next" w:cs="Arial"/>
          <w:sz w:val="22"/>
          <w:szCs w:val="22"/>
          <w:highlight w:val="yellow"/>
          <w:lang w:val="en-GB"/>
        </w:rPr>
      </w:pPr>
      <w:r w:rsidRPr="00BD1D50">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516813" w:rsidRDefault="00E833F4" w:rsidP="00B04033">
      <w:pPr>
        <w:pStyle w:val="ListParagraph"/>
        <w:numPr>
          <w:ilvl w:val="0"/>
          <w:numId w:val="9"/>
        </w:numPr>
        <w:ind w:left="426"/>
        <w:jc w:val="both"/>
        <w:rPr>
          <w:rFonts w:ascii="Avenir Next" w:hAnsi="Avenir Next" w:cs="Arial"/>
          <w:sz w:val="22"/>
          <w:szCs w:val="22"/>
          <w:highlight w:val="yellow"/>
          <w:lang w:val="en-GB"/>
        </w:rPr>
      </w:pPr>
      <w:r w:rsidRPr="00516813">
        <w:rPr>
          <w:rFonts w:ascii="Avenir Next" w:hAnsi="Avenir Next" w:cs="Arial"/>
          <w:sz w:val="22"/>
          <w:szCs w:val="22"/>
          <w:highlight w:val="yellow"/>
          <w:lang w:val="en-GB"/>
        </w:rPr>
        <w:t>A</w:t>
      </w:r>
      <w:r w:rsidR="000D10C6" w:rsidRPr="00516813">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516813" w:rsidRDefault="000D4CFA" w:rsidP="004C7A8F">
      <w:pPr>
        <w:pStyle w:val="ListParagraph"/>
        <w:numPr>
          <w:ilvl w:val="0"/>
          <w:numId w:val="10"/>
        </w:numPr>
        <w:ind w:left="426"/>
        <w:jc w:val="both"/>
        <w:rPr>
          <w:rFonts w:ascii="Avenir Next" w:hAnsi="Avenir Next" w:cs="Arial"/>
          <w:sz w:val="22"/>
          <w:szCs w:val="22"/>
          <w:highlight w:val="yellow"/>
          <w:lang w:val="en-GB"/>
        </w:rPr>
      </w:pPr>
      <w:r w:rsidRPr="00516813">
        <w:rPr>
          <w:rFonts w:ascii="Avenir Next" w:hAnsi="Avenir Next" w:cs="Arial"/>
          <w:sz w:val="22"/>
          <w:szCs w:val="22"/>
          <w:highlight w:val="yellow"/>
          <w:lang w:val="en-GB"/>
        </w:rPr>
        <w:t>Twelve</w:t>
      </w:r>
      <w:r w:rsidR="004C7A8F" w:rsidRPr="00516813">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lastRenderedPageBreak/>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w:t>
      </w:r>
      <w:proofErr w:type="gramStart"/>
      <w:r>
        <w:rPr>
          <w:rFonts w:ascii="Avenir Next" w:hAnsi="Avenir Next" w:cs="Arial"/>
          <w:sz w:val="22"/>
          <w:szCs w:val="22"/>
          <w:lang w:val="en-GB"/>
        </w:rPr>
        <w:t>(iv) section</w:t>
      </w:r>
      <w:proofErr w:type="gramEnd"/>
      <w:r>
        <w:rPr>
          <w:rFonts w:ascii="Avenir Next" w:hAnsi="Avenir Next" w:cs="Arial"/>
          <w:sz w:val="22"/>
          <w:szCs w:val="22"/>
          <w:lang w:val="en-GB"/>
        </w:rPr>
        <w:t xml:space="preserve">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6E6A6DBE" w14:textId="63F40599" w:rsidR="00B654EE" w:rsidRDefault="007330B0" w:rsidP="00B654E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B654EE">
        <w:rPr>
          <w:rFonts w:ascii="Avenir Next" w:hAnsi="Avenir Next" w:cs="Arial"/>
          <w:color w:val="7B7B7B" w:themeColor="accent3" w:themeShade="BF"/>
          <w:sz w:val="22"/>
          <w:szCs w:val="22"/>
          <w:lang w:val="en-GB"/>
        </w:rPr>
        <w:t xml:space="preserve"> administrator or liquidator</w:t>
      </w:r>
    </w:p>
    <w:p w14:paraId="22C610C9" w14:textId="1563AE27" w:rsidR="00DE03AF" w:rsidRDefault="00B654EE" w:rsidP="00B654E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Secretary of State or the Official Receiver if the company is being wound up</w:t>
      </w:r>
    </w:p>
    <w:p w14:paraId="2C1CC9BD" w14:textId="7D3CA963" w:rsidR="00B654EE" w:rsidRDefault="007330B0" w:rsidP="00B654E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B654EE">
        <w:rPr>
          <w:rFonts w:ascii="Avenir Next" w:hAnsi="Avenir Next" w:cs="Arial"/>
          <w:color w:val="7B7B7B" w:themeColor="accent3" w:themeShade="BF"/>
          <w:sz w:val="22"/>
          <w:szCs w:val="22"/>
          <w:lang w:val="en-GB"/>
        </w:rPr>
        <w:t xml:space="preserve"> administr</w:t>
      </w:r>
      <w:r>
        <w:rPr>
          <w:rFonts w:ascii="Avenir Next" w:hAnsi="Avenir Next" w:cs="Arial"/>
          <w:color w:val="7B7B7B" w:themeColor="accent3" w:themeShade="BF"/>
          <w:sz w:val="22"/>
          <w:szCs w:val="22"/>
          <w:lang w:val="en-GB"/>
        </w:rPr>
        <w:t>ator</w:t>
      </w:r>
    </w:p>
    <w:p w14:paraId="1B3B2FC8" w14:textId="62E95CAC" w:rsidR="007330B0" w:rsidRPr="00B654EE" w:rsidRDefault="007330B0" w:rsidP="00B654EE">
      <w:pPr>
        <w:pStyle w:val="ListParagraph"/>
        <w:numPr>
          <w:ilvl w:val="0"/>
          <w:numId w:val="1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41407D58" w:rsidR="00197F24" w:rsidRDefault="007011B6"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 debts that do not form part of the payment holiday:</w:t>
      </w:r>
    </w:p>
    <w:p w14:paraId="62157FD8" w14:textId="26B393AD" w:rsidR="007011B6" w:rsidRPr="007011B6" w:rsidRDefault="007011B6" w:rsidP="007011B6">
      <w:pPr>
        <w:pStyle w:val="ListParagraph"/>
        <w:numPr>
          <w:ilvl w:val="0"/>
          <w:numId w:val="19"/>
        </w:numPr>
        <w:jc w:val="both"/>
        <w:rPr>
          <w:rFonts w:ascii="Avenir Next" w:hAnsi="Avenir Next" w:cs="Arial"/>
          <w:color w:val="7B7B7B" w:themeColor="accent3" w:themeShade="BF"/>
          <w:sz w:val="22"/>
          <w:szCs w:val="22"/>
          <w:lang w:val="en-GB"/>
        </w:rPr>
      </w:pPr>
      <w:r w:rsidRPr="007011B6">
        <w:rPr>
          <w:rFonts w:ascii="Avenir Next" w:hAnsi="Avenir Next" w:cs="Arial"/>
          <w:color w:val="7B7B7B" w:themeColor="accent3" w:themeShade="BF"/>
          <w:sz w:val="22"/>
          <w:szCs w:val="22"/>
          <w:lang w:val="en-GB"/>
        </w:rPr>
        <w:t>Amounts that are due to the monitor appointed to oversee the Moratorium in respect of his/her remuneration and expenses incurred;</w:t>
      </w:r>
    </w:p>
    <w:p w14:paraId="0DF1AC6B" w14:textId="5580049A" w:rsidR="007011B6" w:rsidRDefault="007011B6" w:rsidP="007011B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amounts that relate to the provision of goods or services to the company during the Moratorium</w:t>
      </w:r>
    </w:p>
    <w:p w14:paraId="2B3D6455" w14:textId="67693EA5" w:rsidR="007011B6" w:rsidRDefault="007011B6" w:rsidP="007011B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due to landlords in respect of rental during the Moratorium</w:t>
      </w:r>
    </w:p>
    <w:p w14:paraId="4B9527B7" w14:textId="5ECF519E" w:rsidR="007011B6" w:rsidRDefault="007011B6" w:rsidP="007011B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due to employees as stipulated in their employment contracts</w:t>
      </w:r>
    </w:p>
    <w:p w14:paraId="527AF74F" w14:textId="2089D4FF" w:rsidR="007011B6" w:rsidRPr="007011B6" w:rsidRDefault="007011B6" w:rsidP="007011B6">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due to employees as a result of redundancy</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6B78718" w14:textId="77777777" w:rsidR="00606A5C" w:rsidRDefault="00606A5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an administrator may require to continue supply of goods and services during the administration.</w:t>
      </w:r>
    </w:p>
    <w:p w14:paraId="513DBB3D" w14:textId="77777777" w:rsidR="00606A5C" w:rsidRDefault="00606A5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terms of the continued supply may be governed by sections 233, 233A and 233B of the Act.</w:t>
      </w:r>
    </w:p>
    <w:p w14:paraId="2E92BE25" w14:textId="446AD36C" w:rsidR="00197F24" w:rsidRPr="00606A5C" w:rsidRDefault="00606A5C" w:rsidP="00606A5C">
      <w:pPr>
        <w:pStyle w:val="ListParagraph"/>
        <w:numPr>
          <w:ilvl w:val="0"/>
          <w:numId w:val="20"/>
        </w:numPr>
        <w:jc w:val="both"/>
        <w:rPr>
          <w:rFonts w:ascii="Avenir Next" w:hAnsi="Avenir Next" w:cs="Arial"/>
          <w:color w:val="7B7B7B" w:themeColor="accent3" w:themeShade="BF"/>
          <w:sz w:val="22"/>
          <w:szCs w:val="22"/>
          <w:lang w:val="en-GB"/>
        </w:rPr>
      </w:pPr>
      <w:r w:rsidRPr="00606A5C">
        <w:rPr>
          <w:rFonts w:ascii="Avenir Next" w:hAnsi="Avenir Next" w:cs="Arial"/>
          <w:color w:val="7B7B7B" w:themeColor="accent3" w:themeShade="BF"/>
          <w:sz w:val="22"/>
          <w:szCs w:val="22"/>
          <w:lang w:val="en-GB"/>
        </w:rPr>
        <w:t>In terms of section 233 of the Act, suppliers of certain crucial supplies such as communication services and the provision of utilities are not allowed to request for the settlement of amounts due to the supplier to keep providing the services.  The relevant supplier may however request that the administrator provide a personal guarantee of payment as relates to the new supply.</w:t>
      </w:r>
    </w:p>
    <w:p w14:paraId="3DE007DA" w14:textId="6E0A7E52" w:rsidR="00606A5C" w:rsidRDefault="00606A5C" w:rsidP="00606A5C">
      <w:pPr>
        <w:pStyle w:val="ListParagraph"/>
        <w:numPr>
          <w:ilvl w:val="0"/>
          <w:numId w:val="20"/>
        </w:numPr>
        <w:jc w:val="both"/>
        <w:rPr>
          <w:rFonts w:ascii="Avenir Next" w:hAnsi="Avenir Next" w:cs="Arial"/>
          <w:color w:val="7B7B7B" w:themeColor="accent3" w:themeShade="BF"/>
          <w:sz w:val="22"/>
          <w:szCs w:val="22"/>
          <w:lang w:val="en-GB"/>
        </w:rPr>
      </w:pPr>
      <w:r w:rsidRPr="00606A5C">
        <w:rPr>
          <w:rFonts w:ascii="Avenir Next" w:hAnsi="Avenir Next" w:cs="Arial"/>
          <w:color w:val="7B7B7B" w:themeColor="accent3" w:themeShade="BF"/>
          <w:sz w:val="22"/>
          <w:szCs w:val="22"/>
          <w:lang w:val="en-GB"/>
        </w:rPr>
        <w:t>In terms of section 233A, a supplier is not able to terminate supply, change the nature and terms of the contract relating to the supply or increase prices for the supply.  This is due to the supplier not being able to invoke any clauses of the contract which would result in the above.</w:t>
      </w:r>
    </w:p>
    <w:p w14:paraId="239D07E7" w14:textId="42E1DF62" w:rsidR="00606A5C" w:rsidRPr="00606A5C" w:rsidRDefault="00606A5C" w:rsidP="00606A5C">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now prohibits clauses in supply contract which would allow the supplier to amend or terminate their contract with the company under administration when that company enters administration.  It also bars suppliers from making continued supplies subject the receipt of receipt of pre-administration debt and the supplier is also not allowed to make other changes to the contract.  Under this section, the supplier </w:t>
      </w:r>
      <w:r w:rsidR="00FE0D94">
        <w:rPr>
          <w:rFonts w:ascii="Avenir Next" w:hAnsi="Avenir Next" w:cs="Arial"/>
          <w:color w:val="7B7B7B" w:themeColor="accent3" w:themeShade="BF"/>
          <w:sz w:val="22"/>
          <w:szCs w:val="22"/>
          <w:lang w:val="en-GB"/>
        </w:rPr>
        <w:t>cannot request the administrator to provide a personal guarantee.  The supplier may however, cancel the contract if the administrator consents or if the court consents based on an application by the supplier which purports that the continued provision of goods or services would harm the suppler/</w:t>
      </w:r>
    </w:p>
    <w:p w14:paraId="47BC9362" w14:textId="77777777" w:rsidR="00606A5C" w:rsidRPr="00197F24" w:rsidRDefault="00606A5C" w:rsidP="00197F24">
      <w:pPr>
        <w:jc w:val="both"/>
        <w:rPr>
          <w:rFonts w:ascii="Avenir Next" w:hAnsi="Avenir Next" w:cs="Arial"/>
          <w:color w:val="7B7B7B" w:themeColor="accent3" w:themeShade="BF"/>
          <w:sz w:val="22"/>
          <w:szCs w:val="22"/>
          <w:lang w:val="en-GB"/>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4BCD27B" w14:textId="207E7825" w:rsidR="00A3337C" w:rsidRDefault="00A3337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order of priority of payments during liquidation is:</w:t>
      </w:r>
    </w:p>
    <w:p w14:paraId="39339155" w14:textId="0049FC6E" w:rsidR="00A3337C" w:rsidRDefault="00A3337C"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fixed charge creditors</w:t>
      </w:r>
    </w:p>
    <w:p w14:paraId="55B28DE3" w14:textId="12D3E1D9" w:rsidR="00A3337C" w:rsidRDefault="00A3337C" w:rsidP="00A3337C">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payments can be made from the proceeds on the sale of the assets which were subject to the fixed charge. The sale of the asset by the liquidator needs to be authorised by the holder of the fixed charge. If the proceeds do not cover all of the debt, the remainder will be classified as unsecured.</w:t>
      </w:r>
    </w:p>
    <w:p w14:paraId="4F986C62" w14:textId="3D723344" w:rsidR="0069584F" w:rsidRDefault="00C548B8"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 fees and expenses</w:t>
      </w:r>
    </w:p>
    <w:p w14:paraId="61258F98" w14:textId="731CAB7F" w:rsidR="00C548B8" w:rsidRDefault="00C548B8" w:rsidP="00C548B8">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costs include costs incurred by the liquidator that are directly attributable to the liquidation process and will include costs to preserve and sell assets, remuneration of the liquidator and their employees and other costs related to the administration of the liquidation</w:t>
      </w:r>
    </w:p>
    <w:p w14:paraId="2D76528D" w14:textId="339E00FB" w:rsidR="00197F24" w:rsidRDefault="00A3337C"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w:t>
      </w:r>
    </w:p>
    <w:p w14:paraId="0F7FF008" w14:textId="5D424654" w:rsidR="0069584F" w:rsidRDefault="0069584F" w:rsidP="0069584F">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Preferential </w:t>
      </w:r>
      <w:r w:rsidR="00C548B8">
        <w:rPr>
          <w:rFonts w:ascii="Avenir Next" w:hAnsi="Avenir Next" w:cs="Arial"/>
          <w:color w:val="7B7B7B" w:themeColor="accent3" w:themeShade="BF"/>
          <w:sz w:val="22"/>
          <w:szCs w:val="22"/>
          <w:lang w:val="en-GB"/>
        </w:rPr>
        <w:t>are paid once all costs listed in 2 above have been paid.</w:t>
      </w:r>
    </w:p>
    <w:p w14:paraId="646FE1D7" w14:textId="463F0FC9" w:rsidR="00C548B8" w:rsidRDefault="00C548B8" w:rsidP="00C548B8">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 creditors can be “ordinary” or “secondary”.</w:t>
      </w:r>
    </w:p>
    <w:p w14:paraId="7C4D778B" w14:textId="36358196" w:rsidR="00C548B8" w:rsidRDefault="00C548B8" w:rsidP="00C548B8">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“Ordinary” </w:t>
      </w:r>
      <w:r w:rsidR="00C2174C">
        <w:rPr>
          <w:rFonts w:ascii="Avenir Next" w:hAnsi="Avenir Next" w:cs="Arial"/>
          <w:color w:val="7B7B7B" w:themeColor="accent3" w:themeShade="BF"/>
          <w:sz w:val="22"/>
          <w:szCs w:val="22"/>
          <w:lang w:val="en-GB"/>
        </w:rPr>
        <w:t xml:space="preserve">preferential </w:t>
      </w:r>
      <w:r>
        <w:rPr>
          <w:rFonts w:ascii="Avenir Next" w:hAnsi="Avenir Next" w:cs="Arial"/>
          <w:color w:val="7B7B7B" w:themeColor="accent3" w:themeShade="BF"/>
          <w:sz w:val="22"/>
          <w:szCs w:val="22"/>
          <w:lang w:val="en-GB"/>
        </w:rPr>
        <w:t xml:space="preserve">creditors comprise mainly of employees that are due amounts </w:t>
      </w:r>
      <w:r w:rsidR="00C2174C">
        <w:rPr>
          <w:rFonts w:ascii="Avenir Next" w:hAnsi="Avenir Next" w:cs="Arial"/>
          <w:color w:val="7B7B7B" w:themeColor="accent3" w:themeShade="BF"/>
          <w:sz w:val="22"/>
          <w:szCs w:val="22"/>
          <w:lang w:val="en-GB"/>
        </w:rPr>
        <w:t>in respect of their employment prior to liquidation</w:t>
      </w:r>
    </w:p>
    <w:p w14:paraId="07C68334" w14:textId="12192C1C" w:rsidR="00C2174C" w:rsidRPr="00C548B8" w:rsidRDefault="00C2174C" w:rsidP="00C548B8">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“Secondary” preferential creditors are the HMRC and other eligible deposits </w:t>
      </w:r>
    </w:p>
    <w:p w14:paraId="5E897491" w14:textId="7C3E031B" w:rsidR="00A3337C" w:rsidRDefault="00A3337C"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Secured floating charge creditors</w:t>
      </w:r>
    </w:p>
    <w:p w14:paraId="02076BB6" w14:textId="01478342" w:rsidR="00C2174C" w:rsidRDefault="00C2174C" w:rsidP="00C2174C">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must calculate the net property remaining in the estate once amounts have been paid in terms of 1 -3. A “prescribed part” of this value must be set aside for distribution the unsecured creditors.  The value of the prescribed part is calculated as:</w:t>
      </w:r>
    </w:p>
    <w:p w14:paraId="2F8328D6" w14:textId="302793FD" w:rsidR="00C2174C" w:rsidRDefault="00C2174C" w:rsidP="00C2174C">
      <w:pPr>
        <w:pStyle w:val="ListParagraph"/>
        <w:numPr>
          <w:ilvl w:val="2"/>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50% of the net property is the net property is </w:t>
      </w:r>
      <w:r>
        <w:rPr>
          <w:rFonts w:ascii="Trebuchet MS" w:hAnsi="Trebuchet MS" w:cs="Arial"/>
          <w:color w:val="7B7B7B" w:themeColor="accent3" w:themeShade="BF"/>
          <w:sz w:val="22"/>
          <w:szCs w:val="22"/>
          <w:lang w:val="en-GB"/>
        </w:rPr>
        <w:t>£</w:t>
      </w:r>
      <w:r>
        <w:rPr>
          <w:rFonts w:ascii="Avenir Next" w:hAnsi="Avenir Next" w:cs="Arial"/>
          <w:color w:val="7B7B7B" w:themeColor="accent3" w:themeShade="BF"/>
          <w:sz w:val="22"/>
          <w:szCs w:val="22"/>
          <w:lang w:val="en-GB"/>
        </w:rPr>
        <w:t>10,000 or less or</w:t>
      </w:r>
    </w:p>
    <w:p w14:paraId="796510D2" w14:textId="65EA8945" w:rsidR="00C2174C" w:rsidRDefault="00C2174C" w:rsidP="00C2174C">
      <w:pPr>
        <w:pStyle w:val="ListParagraph"/>
        <w:numPr>
          <w:ilvl w:val="2"/>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net property is over </w:t>
      </w:r>
      <w:r>
        <w:rPr>
          <w:rFonts w:ascii="Trebuchet MS" w:hAnsi="Trebuchet MS"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10,000, 50% of </w:t>
      </w:r>
      <w:r>
        <w:rPr>
          <w:rFonts w:ascii="Trebuchet MS" w:hAnsi="Trebuchet MS"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10,000 plus 20% of the amount over </w:t>
      </w:r>
      <w:r>
        <w:rPr>
          <w:rFonts w:ascii="Trebuchet MS" w:hAnsi="Trebuchet MS"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10,000.  This is capped at </w:t>
      </w:r>
      <w:r>
        <w:rPr>
          <w:rFonts w:ascii="Trebuchet MS" w:hAnsi="Trebuchet MS" w:cs="Arial"/>
          <w:color w:val="7B7B7B" w:themeColor="accent3" w:themeShade="BF"/>
          <w:sz w:val="22"/>
          <w:szCs w:val="22"/>
          <w:lang w:val="en-GB"/>
        </w:rPr>
        <w:t>£</w:t>
      </w:r>
      <w:r>
        <w:rPr>
          <w:rFonts w:ascii="Avenir Next" w:hAnsi="Avenir Next" w:cs="Arial"/>
          <w:color w:val="7B7B7B" w:themeColor="accent3" w:themeShade="BF"/>
          <w:sz w:val="22"/>
          <w:szCs w:val="22"/>
          <w:lang w:val="en-GB"/>
        </w:rPr>
        <w:t>800,000.</w:t>
      </w:r>
    </w:p>
    <w:p w14:paraId="71A1154C" w14:textId="7F79274A" w:rsidR="00C2174C" w:rsidRPr="00C2174C" w:rsidRDefault="00C2174C" w:rsidP="00C2174C">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the amount available to floating charge holders is calculated</w:t>
      </w:r>
      <w:r w:rsidR="00631445">
        <w:rPr>
          <w:rFonts w:ascii="Avenir Next" w:hAnsi="Avenir Next" w:cs="Arial"/>
          <w:color w:val="7B7B7B" w:themeColor="accent3" w:themeShade="BF"/>
          <w:sz w:val="22"/>
          <w:szCs w:val="22"/>
          <w:lang w:val="en-GB"/>
        </w:rPr>
        <w:t>, it is paid in the priority of when the floating charge was created.</w:t>
      </w:r>
    </w:p>
    <w:p w14:paraId="59D3A7B5" w14:textId="2E14EEFB" w:rsidR="00A3337C" w:rsidRDefault="00A3337C"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Unsecured creditors</w:t>
      </w:r>
    </w:p>
    <w:p w14:paraId="7420EF58" w14:textId="2582B073" w:rsidR="00631445" w:rsidRDefault="00631445" w:rsidP="00631445">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creditors are paid with the funds set aside from the “prescribed part” and any surplus funds available after the payments mentioned above.  Payments are made in proportion to the proven claim as a % of total claims received.  </w:t>
      </w:r>
    </w:p>
    <w:p w14:paraId="1217BACD" w14:textId="1B7F0F11" w:rsidR="00A3337C" w:rsidRDefault="00A3337C" w:rsidP="00A3337C">
      <w:pPr>
        <w:pStyle w:val="ListParagraph"/>
        <w:numPr>
          <w:ilvl w:val="0"/>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Shareholders</w:t>
      </w:r>
    </w:p>
    <w:p w14:paraId="7471B8CB" w14:textId="416567C2" w:rsidR="00631445" w:rsidRDefault="00631445" w:rsidP="00631445">
      <w:pPr>
        <w:pStyle w:val="ListParagraph"/>
        <w:numPr>
          <w:ilvl w:val="1"/>
          <w:numId w:val="2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unlikely event that any finds remain after payments are made to all creditors, the surplus would be paid in proportion to the shareholders.</w:t>
      </w:r>
    </w:p>
    <w:p w14:paraId="6A4A50A5" w14:textId="47AACB34" w:rsidR="00DE5114" w:rsidRDefault="00DE5114" w:rsidP="00DE5114">
      <w:pPr>
        <w:jc w:val="both"/>
        <w:rPr>
          <w:rFonts w:ascii="Avenir Next" w:hAnsi="Avenir Next" w:cs="Arial"/>
          <w:color w:val="7B7B7B" w:themeColor="accent3" w:themeShade="BF"/>
          <w:sz w:val="22"/>
          <w:szCs w:val="22"/>
          <w:lang w:val="en-GB"/>
        </w:rPr>
      </w:pPr>
    </w:p>
    <w:p w14:paraId="7E42551D" w14:textId="72EAF343" w:rsidR="00DE5114" w:rsidRDefault="00DE5114" w:rsidP="00DE51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Should the liquidation come after a Part 1A Moratorium</w:t>
      </w:r>
      <w:r w:rsidR="00622C88">
        <w:rPr>
          <w:rFonts w:ascii="Avenir Next" w:hAnsi="Avenir Next" w:cs="Arial"/>
          <w:color w:val="7B7B7B" w:themeColor="accent3" w:themeShade="BF"/>
          <w:sz w:val="22"/>
          <w:szCs w:val="22"/>
          <w:lang w:val="en-GB"/>
        </w:rPr>
        <w:t xml:space="preserve">, s174A of the Act </w:t>
      </w:r>
      <w:r w:rsidR="00B26979">
        <w:rPr>
          <w:rFonts w:ascii="Avenir Next" w:hAnsi="Avenir Next" w:cs="Arial"/>
          <w:color w:val="7B7B7B" w:themeColor="accent3" w:themeShade="BF"/>
          <w:sz w:val="22"/>
          <w:szCs w:val="22"/>
          <w:lang w:val="en-GB"/>
        </w:rPr>
        <w:t>will apply which creates “super priority” debts which will rank after number 1 above but before number 2.  These amounts could include unpaid debt that was incurred during the Moratorium and also some pre-Moratorium debts.  These could be:</w:t>
      </w:r>
    </w:p>
    <w:p w14:paraId="4AA98245" w14:textId="594FC0AC" w:rsidR="00B26979" w:rsidRDefault="00B26979" w:rsidP="00B2697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due to employees pre and during Moratorium</w:t>
      </w:r>
    </w:p>
    <w:p w14:paraId="639F60EC" w14:textId="5BFB82F7" w:rsidR="00B26979" w:rsidRDefault="00B26979" w:rsidP="00B2697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Amounts due to creditors for goods and services received during the Moratorium</w:t>
      </w:r>
    </w:p>
    <w:p w14:paraId="5ADC3371" w14:textId="6F992260" w:rsidR="00B26979" w:rsidRPr="00B26979" w:rsidRDefault="00B26979" w:rsidP="00B26979">
      <w:pPr>
        <w:pStyle w:val="ListParagraph"/>
        <w:numPr>
          <w:ilvl w:val="0"/>
          <w:numId w:val="2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Financial services debt (secured or unsecured) due pre or during the Moratorium</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1" w:name="_Hlk17745211"/>
      <w:r w:rsidRPr="006925C1">
        <w:rPr>
          <w:rFonts w:ascii="Avenir Next" w:hAnsi="Avenir Next" w:cs="Arial"/>
          <w:sz w:val="22"/>
          <w:szCs w:val="22"/>
        </w:rPr>
        <w:lastRenderedPageBreak/>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6E83B6C" w14:textId="0E91397D" w:rsidR="00197F24" w:rsidRDefault="00D7155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issue as relates to the new floating charge is whether the new floating charge is voidable under section 245 of the Act.</w:t>
      </w:r>
    </w:p>
    <w:p w14:paraId="74571665" w14:textId="7AD62C74" w:rsidR="00D71553" w:rsidRDefault="00D7155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Ambitus Bank plc was a creditor to Blazer Laser prior to liquidation as it had it had advanced loans to the Company. It is unclear whether these loans were secured by any other security provided by the Company but it is likely that Ambitus Bank held a fixed charge over certain of the Company’s assets.  </w:t>
      </w:r>
    </w:p>
    <w:p w14:paraId="05746AC9" w14:textId="1895B7E4" w:rsidR="00D71553" w:rsidRDefault="00D7155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considering whether transaction can be declared invalid, consideration must be given to:</w:t>
      </w:r>
    </w:p>
    <w:p w14:paraId="60DC0D55" w14:textId="77777777" w:rsidR="00E578F2" w:rsidRDefault="00D71553" w:rsidP="00D71553">
      <w:pPr>
        <w:pStyle w:val="ListParagraph"/>
        <w:numPr>
          <w:ilvl w:val="0"/>
          <w:numId w:val="24"/>
        </w:numPr>
        <w:jc w:val="both"/>
        <w:rPr>
          <w:rFonts w:ascii="Avenir Next" w:hAnsi="Avenir Next" w:cs="Arial"/>
          <w:color w:val="7B7B7B" w:themeColor="accent3" w:themeShade="BF"/>
          <w:sz w:val="22"/>
          <w:szCs w:val="22"/>
          <w:lang w:val="en-GB"/>
        </w:rPr>
      </w:pPr>
      <w:r w:rsidRPr="00E578F2">
        <w:rPr>
          <w:rFonts w:ascii="Avenir Next" w:hAnsi="Avenir Next" w:cs="Arial"/>
          <w:b/>
          <w:color w:val="7B7B7B" w:themeColor="accent3" w:themeShade="BF"/>
          <w:sz w:val="22"/>
          <w:szCs w:val="22"/>
          <w:lang w:val="en-GB"/>
        </w:rPr>
        <w:t>The timing of the</w:t>
      </w:r>
      <w:r w:rsidR="00E578F2" w:rsidRPr="00E578F2">
        <w:rPr>
          <w:rFonts w:ascii="Avenir Next" w:hAnsi="Avenir Next" w:cs="Arial"/>
          <w:b/>
          <w:color w:val="7B7B7B" w:themeColor="accent3" w:themeShade="BF"/>
          <w:sz w:val="22"/>
          <w:szCs w:val="22"/>
          <w:lang w:val="en-GB"/>
        </w:rPr>
        <w:t xml:space="preserve"> creation of the charge</w:t>
      </w:r>
      <w:r w:rsidR="00E578F2">
        <w:rPr>
          <w:rFonts w:ascii="Avenir Next" w:hAnsi="Avenir Next" w:cs="Arial"/>
          <w:color w:val="7B7B7B" w:themeColor="accent3" w:themeShade="BF"/>
          <w:sz w:val="22"/>
          <w:szCs w:val="22"/>
          <w:lang w:val="en-GB"/>
        </w:rPr>
        <w:t xml:space="preserve"> – as the bank is not a connected person to the Company, this relevant time is 12 months prior to the commencement of winding up.  In this case winding up commenced on the date of petition which was 13 January 2024.  12 months prior to this date would be 13 January 2023.  The debenture containing the floating charge was issued in June 2023 and thus is within the relevant time</w:t>
      </w:r>
    </w:p>
    <w:p w14:paraId="42BC7075" w14:textId="5D5EB961" w:rsidR="00D71553" w:rsidRDefault="00E578F2" w:rsidP="00D7155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b/>
          <w:color w:val="7B7B7B" w:themeColor="accent3" w:themeShade="BF"/>
          <w:sz w:val="22"/>
          <w:szCs w:val="22"/>
          <w:lang w:val="en-GB"/>
        </w:rPr>
        <w:t xml:space="preserve">Was the Company unable to pay </w:t>
      </w:r>
      <w:r w:rsidRPr="00E578F2">
        <w:rPr>
          <w:rFonts w:ascii="Avenir Next" w:hAnsi="Avenir Next" w:cs="Arial"/>
          <w:b/>
          <w:color w:val="7B7B7B" w:themeColor="accent3" w:themeShade="BF"/>
          <w:sz w:val="22"/>
          <w:szCs w:val="22"/>
          <w:lang w:val="en-GB"/>
        </w:rPr>
        <w:t>its debts or became unable to pay its debt at the time of the creation of the Floating Charge</w:t>
      </w:r>
      <w:r>
        <w:rPr>
          <w:rFonts w:ascii="Avenir Next" w:hAnsi="Avenir Next" w:cs="Arial"/>
          <w:color w:val="7B7B7B" w:themeColor="accent3" w:themeShade="BF"/>
          <w:sz w:val="22"/>
          <w:szCs w:val="22"/>
          <w:lang w:val="en-GB"/>
        </w:rPr>
        <w:t xml:space="preserve"> – from the facts above, it appears that the Company was not able to pay its debts as the debenture was issued in order to prevent the bank from demanding repayments of the loans it had advanced.</w:t>
      </w:r>
    </w:p>
    <w:p w14:paraId="15FAAE2F" w14:textId="418F2054" w:rsidR="00E578F2" w:rsidRDefault="00E578F2" w:rsidP="00D71553">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b/>
          <w:color w:val="7B7B7B" w:themeColor="accent3" w:themeShade="BF"/>
          <w:sz w:val="22"/>
          <w:szCs w:val="22"/>
          <w:lang w:val="en-GB"/>
        </w:rPr>
        <w:t xml:space="preserve">Was new consideration given to the Company in exchange for the new floating charge </w:t>
      </w:r>
      <w:r>
        <w:rPr>
          <w:rFonts w:ascii="Avenir Next" w:hAnsi="Avenir Next" w:cs="Arial"/>
          <w:color w:val="7B7B7B" w:themeColor="accent3" w:themeShade="BF"/>
          <w:sz w:val="22"/>
          <w:szCs w:val="22"/>
          <w:lang w:val="en-GB"/>
        </w:rPr>
        <w:t xml:space="preserve">– in this case it does not appear that any further funds were advanced to </w:t>
      </w:r>
      <w:r>
        <w:rPr>
          <w:rFonts w:ascii="Avenir Next" w:hAnsi="Avenir Next" w:cs="Arial"/>
          <w:color w:val="7B7B7B" w:themeColor="accent3" w:themeShade="BF"/>
          <w:sz w:val="22"/>
          <w:szCs w:val="22"/>
          <w:lang w:val="en-GB"/>
        </w:rPr>
        <w:lastRenderedPageBreak/>
        <w:t>the Company by the Bank</w:t>
      </w:r>
      <w:r w:rsidR="00DC5F41">
        <w:rPr>
          <w:rFonts w:ascii="Avenir Next" w:hAnsi="Avenir Next" w:cs="Arial"/>
          <w:color w:val="7B7B7B" w:themeColor="accent3" w:themeShade="BF"/>
          <w:sz w:val="22"/>
          <w:szCs w:val="22"/>
          <w:lang w:val="en-GB"/>
        </w:rPr>
        <w:t xml:space="preserve"> but that the debenture was issued as a way of avoiding having the bank demand repayment of amounts due by the Company.</w:t>
      </w:r>
    </w:p>
    <w:p w14:paraId="0A0506E2" w14:textId="4DF7BF0D" w:rsidR="00DC5F41" w:rsidRPr="00DC5F41" w:rsidRDefault="00DC5F41" w:rsidP="00DC5F4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above 3 criteria, the floating charge can be rendered invalid and the liquidator can approach court to have it set aside.  In this case, the floating charge was over the entire business of the Company and all other creditors would have been prejudiced by the issue of the new floating charge.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5D5973BB" w14:textId="519C9AE6" w:rsidR="00CB43C2" w:rsidRDefault="009E7AB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issue as relates to the sale of the laser cutting machine is whether the sale is deemed to be a Transaction under value under section 238 of the Act.</w:t>
      </w:r>
      <w:r w:rsidR="00CB43C2">
        <w:rPr>
          <w:rFonts w:ascii="Avenir Next" w:hAnsi="Avenir Next" w:cs="Arial"/>
          <w:color w:val="7B7B7B" w:themeColor="accent3" w:themeShade="BF"/>
          <w:sz w:val="22"/>
          <w:szCs w:val="22"/>
          <w:lang w:val="en-GB"/>
        </w:rPr>
        <w:t xml:space="preserve"> In order to challenge the validity of the transaction, the liquidator must satisfy the court that:</w:t>
      </w:r>
    </w:p>
    <w:p w14:paraId="2B885C25" w14:textId="77777777" w:rsidR="00CB43C2" w:rsidRPr="0095186D" w:rsidRDefault="00CB43C2" w:rsidP="00CB43C2">
      <w:pPr>
        <w:pStyle w:val="ListParagraph"/>
        <w:numPr>
          <w:ilvl w:val="0"/>
          <w:numId w:val="26"/>
        </w:numPr>
        <w:jc w:val="both"/>
        <w:rPr>
          <w:rFonts w:ascii="Avenir Next" w:hAnsi="Avenir Next" w:cs="Arial"/>
          <w:b/>
          <w:color w:val="7B7B7B" w:themeColor="accent3" w:themeShade="BF"/>
          <w:sz w:val="22"/>
          <w:szCs w:val="22"/>
          <w:lang w:val="en-GB"/>
        </w:rPr>
      </w:pPr>
      <w:r w:rsidRPr="0095186D">
        <w:rPr>
          <w:rFonts w:ascii="Avenir Next" w:hAnsi="Avenir Next" w:cs="Arial"/>
          <w:b/>
          <w:color w:val="7B7B7B" w:themeColor="accent3" w:themeShade="BF"/>
          <w:sz w:val="22"/>
          <w:szCs w:val="22"/>
          <w:lang w:val="en-GB"/>
        </w:rPr>
        <w:t>The transaction was under value</w:t>
      </w:r>
    </w:p>
    <w:p w14:paraId="688C61C0" w14:textId="666F8DDE" w:rsidR="00CB43C2" w:rsidRDefault="00CB43C2" w:rsidP="00CB43C2">
      <w:pPr>
        <w:pStyle w:val="ListParagraph"/>
        <w:numPr>
          <w:ilvl w:val="1"/>
          <w:numId w:val="26"/>
        </w:numPr>
        <w:jc w:val="both"/>
        <w:rPr>
          <w:rFonts w:ascii="Avenir Next" w:hAnsi="Avenir Next" w:cs="Arial"/>
          <w:color w:val="7B7B7B" w:themeColor="accent3" w:themeShade="BF"/>
          <w:sz w:val="22"/>
          <w:szCs w:val="22"/>
          <w:lang w:val="en-GB"/>
        </w:rPr>
      </w:pPr>
      <w:r w:rsidRPr="00CB43C2">
        <w:rPr>
          <w:rFonts w:ascii="Avenir Next" w:hAnsi="Avenir Next" w:cs="Arial"/>
          <w:color w:val="7B7B7B" w:themeColor="accent3" w:themeShade="BF"/>
          <w:sz w:val="22"/>
          <w:szCs w:val="22"/>
          <w:lang w:val="en-GB"/>
        </w:rPr>
        <w:t xml:space="preserve">The sale of the machines for </w:t>
      </w:r>
      <w:r w:rsidRPr="00CB43C2">
        <w:rPr>
          <w:rFonts w:ascii="Trebuchet MS" w:hAnsi="Trebuchet MS" w:cs="Arial"/>
          <w:color w:val="7B7B7B" w:themeColor="accent3" w:themeShade="BF"/>
          <w:sz w:val="22"/>
          <w:szCs w:val="22"/>
          <w:lang w:val="en-GB"/>
        </w:rPr>
        <w:t>£</w:t>
      </w:r>
      <w:r w:rsidRPr="00CB43C2">
        <w:rPr>
          <w:rFonts w:ascii="Avenir Next" w:hAnsi="Avenir Next" w:cs="Arial"/>
          <w:color w:val="7B7B7B" w:themeColor="accent3" w:themeShade="BF"/>
          <w:sz w:val="22"/>
          <w:szCs w:val="22"/>
          <w:lang w:val="en-GB"/>
        </w:rPr>
        <w:t xml:space="preserve">40,000 which had been purchased a year earlier for </w:t>
      </w:r>
      <w:r w:rsidRPr="00CB43C2">
        <w:rPr>
          <w:rFonts w:ascii="Trebuchet MS" w:hAnsi="Trebuchet MS" w:cs="Arial"/>
          <w:color w:val="7B7B7B" w:themeColor="accent3" w:themeShade="BF"/>
          <w:sz w:val="22"/>
          <w:szCs w:val="22"/>
          <w:lang w:val="en-GB"/>
        </w:rPr>
        <w:t>£</w:t>
      </w:r>
      <w:r w:rsidRPr="00CB43C2">
        <w:rPr>
          <w:rFonts w:ascii="Avenir Next" w:hAnsi="Avenir Next" w:cs="Arial"/>
          <w:color w:val="7B7B7B" w:themeColor="accent3" w:themeShade="BF"/>
          <w:sz w:val="22"/>
          <w:szCs w:val="22"/>
          <w:lang w:val="en-GB"/>
        </w:rPr>
        <w:t>100,000 appears to under value as it is unlikely that the assets would have depreciated in value by 60% in a single year. If there is a dispute over the value being under value, a valuation by an independent may be sourced if required.</w:t>
      </w:r>
    </w:p>
    <w:p w14:paraId="60A27336" w14:textId="725FA2D5" w:rsidR="00CB43C2" w:rsidRPr="0095186D" w:rsidRDefault="00CB43C2" w:rsidP="00CB43C2">
      <w:pPr>
        <w:pStyle w:val="ListParagraph"/>
        <w:numPr>
          <w:ilvl w:val="0"/>
          <w:numId w:val="26"/>
        </w:numPr>
        <w:jc w:val="both"/>
        <w:rPr>
          <w:rFonts w:ascii="Avenir Next" w:hAnsi="Avenir Next" w:cs="Arial"/>
          <w:b/>
          <w:color w:val="7B7B7B" w:themeColor="accent3" w:themeShade="BF"/>
          <w:sz w:val="22"/>
          <w:szCs w:val="22"/>
          <w:lang w:val="en-GB"/>
        </w:rPr>
      </w:pPr>
      <w:r w:rsidRPr="0095186D">
        <w:rPr>
          <w:rFonts w:ascii="Avenir Next" w:hAnsi="Avenir Next" w:cs="Arial"/>
          <w:b/>
          <w:color w:val="7B7B7B" w:themeColor="accent3" w:themeShade="BF"/>
          <w:sz w:val="22"/>
          <w:szCs w:val="22"/>
          <w:lang w:val="en-GB"/>
        </w:rPr>
        <w:t>The transaction took place at a “relevant time”</w:t>
      </w:r>
    </w:p>
    <w:p w14:paraId="59F6C907" w14:textId="2710DA61" w:rsidR="00CB43C2" w:rsidRDefault="00CB43C2" w:rsidP="00CB43C2">
      <w:pPr>
        <w:pStyle w:val="ListParagraph"/>
        <w:numPr>
          <w:ilvl w:val="1"/>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relevant time in the 2 years prior to the start of liquidation proceedings i.e. between 13 January 2022 and 13 January 2024</w:t>
      </w:r>
    </w:p>
    <w:p w14:paraId="4C969022" w14:textId="1DD26630" w:rsidR="00CB43C2" w:rsidRDefault="00CB43C2" w:rsidP="00CB43C2">
      <w:pPr>
        <w:pStyle w:val="ListParagraph"/>
        <w:numPr>
          <w:ilvl w:val="1"/>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took place in January 2023 and thus took place at a relevant time</w:t>
      </w:r>
    </w:p>
    <w:p w14:paraId="2BA70E43" w14:textId="0C71FF74" w:rsidR="00CB43C2" w:rsidRPr="0095186D" w:rsidRDefault="001B2821" w:rsidP="00CB43C2">
      <w:pPr>
        <w:pStyle w:val="ListParagraph"/>
        <w:numPr>
          <w:ilvl w:val="0"/>
          <w:numId w:val="26"/>
        </w:numPr>
        <w:jc w:val="both"/>
        <w:rPr>
          <w:rFonts w:ascii="Avenir Next" w:hAnsi="Avenir Next" w:cs="Arial"/>
          <w:b/>
          <w:color w:val="7B7B7B" w:themeColor="accent3" w:themeShade="BF"/>
          <w:sz w:val="22"/>
          <w:szCs w:val="22"/>
          <w:lang w:val="en-GB"/>
        </w:rPr>
      </w:pPr>
      <w:r w:rsidRPr="0095186D">
        <w:rPr>
          <w:rFonts w:ascii="Avenir Next" w:hAnsi="Avenir Next" w:cs="Arial"/>
          <w:b/>
          <w:color w:val="7B7B7B" w:themeColor="accent3" w:themeShade="BF"/>
          <w:sz w:val="22"/>
          <w:szCs w:val="22"/>
          <w:lang w:val="en-GB"/>
        </w:rPr>
        <w:t>Was the company unable to pay its debts as they became due or became unable to pay them as a result of entering into the transaction</w:t>
      </w:r>
    </w:p>
    <w:p w14:paraId="0C61C881" w14:textId="25A5A533" w:rsidR="001B2821" w:rsidRDefault="001B2821" w:rsidP="001B2821">
      <w:pPr>
        <w:pStyle w:val="ListParagraph"/>
        <w:numPr>
          <w:ilvl w:val="1"/>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the transaction is between the Company and a connected person, there is a presumption that the Company was insolvent at the time of the transaction.</w:t>
      </w:r>
    </w:p>
    <w:p w14:paraId="5EBF5225" w14:textId="4D25AC1D" w:rsidR="001B2821" w:rsidRDefault="001B2821" w:rsidP="001B2821">
      <w:pPr>
        <w:pStyle w:val="ListParagraph"/>
        <w:numPr>
          <w:ilvl w:val="1"/>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may refute this by providing evidence that it was solvent at the time.</w:t>
      </w:r>
    </w:p>
    <w:p w14:paraId="3948A515" w14:textId="64D2C1A6" w:rsidR="001B2821" w:rsidRDefault="001B2821" w:rsidP="001B282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may attempt to defend itself against having the transaction declared invalid by virtue of it being a Transaction </w:t>
      </w:r>
      <w:proofErr w:type="gramStart"/>
      <w:r>
        <w:rPr>
          <w:rFonts w:ascii="Avenir Next" w:hAnsi="Avenir Next" w:cs="Arial"/>
          <w:color w:val="7B7B7B" w:themeColor="accent3" w:themeShade="BF"/>
          <w:sz w:val="22"/>
          <w:szCs w:val="22"/>
          <w:lang w:val="en-GB"/>
        </w:rPr>
        <w:t>Under</w:t>
      </w:r>
      <w:proofErr w:type="gramEnd"/>
      <w:r>
        <w:rPr>
          <w:rFonts w:ascii="Avenir Next" w:hAnsi="Avenir Next" w:cs="Arial"/>
          <w:color w:val="7B7B7B" w:themeColor="accent3" w:themeShade="BF"/>
          <w:sz w:val="22"/>
          <w:szCs w:val="22"/>
          <w:lang w:val="en-GB"/>
        </w:rPr>
        <w:t xml:space="preserve"> Value.  The Company would need to prove to the court that it sold the machines in good </w:t>
      </w:r>
      <w:proofErr w:type="gramStart"/>
      <w:r>
        <w:rPr>
          <w:rFonts w:ascii="Avenir Next" w:hAnsi="Avenir Next" w:cs="Arial"/>
          <w:color w:val="7B7B7B" w:themeColor="accent3" w:themeShade="BF"/>
          <w:sz w:val="22"/>
          <w:szCs w:val="22"/>
          <w:lang w:val="en-GB"/>
        </w:rPr>
        <w:t>faith, that</w:t>
      </w:r>
      <w:proofErr w:type="gramEnd"/>
      <w:r>
        <w:rPr>
          <w:rFonts w:ascii="Avenir Next" w:hAnsi="Avenir Next" w:cs="Arial"/>
          <w:color w:val="7B7B7B" w:themeColor="accent3" w:themeShade="BF"/>
          <w:sz w:val="22"/>
          <w:szCs w:val="22"/>
          <w:lang w:val="en-GB"/>
        </w:rPr>
        <w:t xml:space="preserve"> it was for the purpose of carrying on the business and that when the transaction was concluded, the Company believed it would benefit the business.  While the sale may have temporarily relieved some cash flow pressures of the Company, it is unlikely that the Company would be able to defend itself on this point.</w:t>
      </w:r>
    </w:p>
    <w:p w14:paraId="451BCAB9" w14:textId="77777777" w:rsidR="001B2821" w:rsidRDefault="001B2821" w:rsidP="001B2821">
      <w:pPr>
        <w:jc w:val="both"/>
        <w:rPr>
          <w:rFonts w:ascii="Avenir Next" w:hAnsi="Avenir Next" w:cs="Arial"/>
          <w:color w:val="7B7B7B" w:themeColor="accent3" w:themeShade="BF"/>
          <w:sz w:val="22"/>
          <w:szCs w:val="22"/>
          <w:lang w:val="en-GB"/>
        </w:rPr>
      </w:pPr>
    </w:p>
    <w:p w14:paraId="045BD6C6" w14:textId="397389F6" w:rsidR="001B2821" w:rsidRDefault="001B2821" w:rsidP="001B282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above facts, the Court is likely to declare that the transaction was undervalue.  It should then make an order that the Company be placed in the same position it would have bee, had the transaction not taken place.  The machines should be returned to the Company and the amounts received should be returned to the director.</w:t>
      </w:r>
    </w:p>
    <w:p w14:paraId="5BC7E7BA" w14:textId="77777777" w:rsidR="001B2821" w:rsidRPr="001B2821" w:rsidRDefault="001B2821" w:rsidP="001B2821">
      <w:pPr>
        <w:jc w:val="both"/>
        <w:rPr>
          <w:rFonts w:ascii="Avenir Next" w:hAnsi="Avenir Next" w:cs="Arial"/>
          <w:color w:val="7B7B7B" w:themeColor="accent3" w:themeShade="BF"/>
          <w:sz w:val="22"/>
          <w:szCs w:val="22"/>
          <w:lang w:val="en-GB"/>
        </w:rPr>
      </w:pPr>
    </w:p>
    <w:p w14:paraId="070ABF9B" w14:textId="3A7ACBB1" w:rsidR="0095186D" w:rsidRDefault="0095186D">
      <w:pPr>
        <w:rPr>
          <w:rFonts w:ascii="Avenir Next" w:hAnsi="Avenir Next" w:cs="Arial"/>
          <w:b/>
          <w:sz w:val="22"/>
          <w:szCs w:val="22"/>
        </w:rPr>
      </w:pPr>
      <w:r>
        <w:rPr>
          <w:rFonts w:ascii="Avenir Next" w:hAnsi="Avenir Next" w:cs="Arial"/>
          <w:b/>
          <w:sz w:val="22"/>
          <w:szCs w:val="22"/>
        </w:rPr>
        <w:br w:type="page"/>
      </w:r>
    </w:p>
    <w:p w14:paraId="13E50BE3" w14:textId="77777777"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6212AD34" w:rsidR="00CF3708" w:rsidRDefault="00786EC9"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issue at hand is to determine whether the payments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are classified as </w:t>
      </w:r>
      <w:r w:rsidR="0095186D">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preferen</w:t>
      </w:r>
      <w:r w:rsidR="0095186D">
        <w:rPr>
          <w:rFonts w:ascii="Avenir Next" w:hAnsi="Avenir Next" w:cs="Arial"/>
          <w:color w:val="7B7B7B" w:themeColor="accent3" w:themeShade="BF"/>
          <w:sz w:val="22"/>
          <w:szCs w:val="22"/>
          <w:lang w:val="en-GB"/>
        </w:rPr>
        <w:t>ce</w:t>
      </w:r>
      <w:r>
        <w:rPr>
          <w:rFonts w:ascii="Avenir Next" w:hAnsi="Avenir Next" w:cs="Arial"/>
          <w:color w:val="7B7B7B" w:themeColor="accent3" w:themeShade="BF"/>
          <w:sz w:val="22"/>
          <w:szCs w:val="22"/>
          <w:lang w:val="en-GB"/>
        </w:rPr>
        <w:t xml:space="preserve"> in terms of section 239 of the Act</w:t>
      </w:r>
      <w:r w:rsidR="0095186D">
        <w:rPr>
          <w:rFonts w:ascii="Avenir Next" w:hAnsi="Avenir Next" w:cs="Arial"/>
          <w:color w:val="7B7B7B" w:themeColor="accent3" w:themeShade="BF"/>
          <w:sz w:val="22"/>
          <w:szCs w:val="22"/>
          <w:lang w:val="en-GB"/>
        </w:rPr>
        <w:t xml:space="preserve"> and can this be challenged in court by the liquidator.  The liquidator would need to assess whether the transaction meets the following criteria:</w:t>
      </w:r>
    </w:p>
    <w:p w14:paraId="018B9B55" w14:textId="2E35A281" w:rsidR="0095186D" w:rsidRDefault="0095186D" w:rsidP="0095186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Was the party which has allegedly been preferred a creditor to the Company when the transaction took place:</w:t>
      </w:r>
    </w:p>
    <w:p w14:paraId="7DCCC7EC" w14:textId="58D96480" w:rsidR="0095186D" w:rsidRDefault="0095186D" w:rsidP="0095186D">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was a key supplier when the payments took place</w:t>
      </w:r>
    </w:p>
    <w:p w14:paraId="26F1699A" w14:textId="5E9CC4FD" w:rsidR="0095186D" w:rsidRDefault="0095186D" w:rsidP="0095186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Was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put into a better position when the Company went into liquidation than if the payments had not taken place:</w:t>
      </w:r>
    </w:p>
    <w:p w14:paraId="3F3E0ED4" w14:textId="42AF0D9C" w:rsidR="0095186D" w:rsidRDefault="0095186D" w:rsidP="0095186D">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had all outstanding debts paid in full and was not owed any monies at the time of the winding up order</w:t>
      </w:r>
    </w:p>
    <w:p w14:paraId="50A9F9F4" w14:textId="6487A2F0" w:rsidR="0095186D" w:rsidRDefault="003B2CDA" w:rsidP="0095186D">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Was the Company influenced by the desire to prefer the supplier</w:t>
      </w:r>
    </w:p>
    <w:p w14:paraId="4282B00C" w14:textId="089D2926" w:rsidR="003B2CDA" w:rsidRDefault="003B2CDA" w:rsidP="003B2CDA">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is difficult to prove.  The Company wanted to ensure continued supply of inventory from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to continue trading.  Based on the facts as presented, the decision to make the payments was driven by commercial rationale and not a desire to prefer the supplier.</w:t>
      </w:r>
    </w:p>
    <w:p w14:paraId="10404184" w14:textId="15F1C0B3" w:rsidR="003B2CDA" w:rsidRDefault="003B2CDA" w:rsidP="003B2CD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Was the preference given at a relevant time</w:t>
      </w:r>
    </w:p>
    <w:p w14:paraId="767A441A" w14:textId="18233569" w:rsidR="003B2CDA" w:rsidRDefault="003B2CDA" w:rsidP="003B2CDA">
      <w:pPr>
        <w:pStyle w:val="ListParagraph"/>
        <w:numPr>
          <w:ilvl w:val="1"/>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Relevant time as relates to a transaction which took place within 6 months of the start of the winding up.  This transaction took place a month before </w:t>
      </w:r>
      <w:r w:rsidR="00A630E6">
        <w:rPr>
          <w:rFonts w:ascii="Avenir Next" w:hAnsi="Avenir Next" w:cs="Arial"/>
          <w:color w:val="7B7B7B" w:themeColor="accent3" w:themeShade="BF"/>
          <w:sz w:val="22"/>
          <w:szCs w:val="22"/>
          <w:lang w:val="en-GB"/>
        </w:rPr>
        <w:t>the granting of the winding up order and meets this criteria.</w:t>
      </w:r>
    </w:p>
    <w:p w14:paraId="19C4AEE6" w14:textId="0AE3222B" w:rsidR="00A630E6" w:rsidRDefault="00A630E6" w:rsidP="00A630E6">
      <w:pPr>
        <w:jc w:val="both"/>
        <w:rPr>
          <w:rFonts w:ascii="Avenir Next" w:hAnsi="Avenir Next" w:cs="Arial"/>
          <w:color w:val="7B7B7B" w:themeColor="accent3" w:themeShade="BF"/>
          <w:sz w:val="22"/>
          <w:szCs w:val="22"/>
          <w:lang w:val="en-GB"/>
        </w:rPr>
      </w:pPr>
    </w:p>
    <w:p w14:paraId="46A27F3F" w14:textId="66AB3804" w:rsidR="00A630E6" w:rsidRPr="00A630E6" w:rsidRDefault="00A630E6" w:rsidP="00A630E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it appears that the Company made the decision to pay the amounts due to Aluminium </w:t>
      </w:r>
      <w:proofErr w:type="spellStart"/>
      <w:r>
        <w:rPr>
          <w:rFonts w:ascii="Avenir Next" w:hAnsi="Avenir Next" w:cs="Arial"/>
          <w:color w:val="7B7B7B" w:themeColor="accent3" w:themeShade="BF"/>
          <w:sz w:val="22"/>
          <w:szCs w:val="22"/>
          <w:lang w:val="en-GB"/>
        </w:rPr>
        <w:t>Alumini</w:t>
      </w:r>
      <w:proofErr w:type="spellEnd"/>
      <w:r>
        <w:rPr>
          <w:rFonts w:ascii="Avenir Next" w:hAnsi="Avenir Next" w:cs="Arial"/>
          <w:color w:val="7B7B7B" w:themeColor="accent3" w:themeShade="BF"/>
          <w:sz w:val="22"/>
          <w:szCs w:val="22"/>
          <w:lang w:val="en-GB"/>
        </w:rPr>
        <w:t xml:space="preserve"> to continue the supply of metal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as</w:t>
      </w:r>
      <w:proofErr w:type="gramEnd"/>
      <w:r>
        <w:rPr>
          <w:rFonts w:ascii="Avenir Next" w:hAnsi="Avenir Next" w:cs="Arial"/>
          <w:color w:val="7B7B7B" w:themeColor="accent3" w:themeShade="BF"/>
          <w:sz w:val="22"/>
          <w:szCs w:val="22"/>
          <w:lang w:val="en-GB"/>
        </w:rPr>
        <w:t xml:space="preserve"> a commercially rational decision, the payments may not be considered as a preference.  The liquidator would have to prove otherwise to the court in order to have the transaction avoided by the court.</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1"/>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2C53" w14:textId="77777777" w:rsidR="00A501E6" w:rsidRDefault="00A501E6" w:rsidP="00241B44">
      <w:r>
        <w:separator/>
      </w:r>
    </w:p>
  </w:endnote>
  <w:endnote w:type="continuationSeparator" w:id="0">
    <w:p w14:paraId="40F2CD96" w14:textId="77777777" w:rsidR="00A501E6" w:rsidRDefault="00A501E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3B2CDA" w:rsidRPr="00FC7B47" w:rsidRDefault="003B2CD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3B2CDA" w:rsidRPr="00FC7B47" w:rsidRDefault="003B2CD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5CE354E2" w:rsidR="003B2CDA" w:rsidRPr="009B4976" w:rsidRDefault="003B2CDA" w:rsidP="00606A5C">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E07A57">
          <w:rPr>
            <w:rStyle w:val="PageNumber"/>
            <w:rFonts w:ascii="Avenir Next" w:hAnsi="Avenir Next" w:cs="Arial"/>
            <w:noProof/>
            <w:sz w:val="22"/>
            <w:szCs w:val="22"/>
          </w:rPr>
          <w:t>10</w:t>
        </w:r>
        <w:r w:rsidRPr="00A84235">
          <w:rPr>
            <w:rStyle w:val="PageNumber"/>
            <w:rFonts w:ascii="Avenir Next" w:hAnsi="Avenir Next" w:cs="Arial"/>
            <w:sz w:val="22"/>
            <w:szCs w:val="22"/>
          </w:rPr>
          <w:fldChar w:fldCharType="end"/>
        </w:r>
      </w:p>
    </w:sdtContent>
  </w:sdt>
  <w:p w14:paraId="30F05E79" w14:textId="1D31EE2B" w:rsidR="003B2CDA" w:rsidRPr="00A84235" w:rsidRDefault="00E07A57" w:rsidP="009B4976">
    <w:pPr>
      <w:pStyle w:val="Footer"/>
      <w:ind w:right="360"/>
      <w:rPr>
        <w:rFonts w:ascii="Avenir Next" w:hAnsi="Avenir Next" w:cs="Arial"/>
        <w:sz w:val="22"/>
        <w:szCs w:val="22"/>
        <w:lang w:val="en-GB"/>
      </w:rPr>
    </w:pPr>
    <w:r>
      <w:rPr>
        <w:rFonts w:ascii="Avenir Next" w:hAnsi="Avenir Next" w:cs="Arial"/>
        <w:sz w:val="22"/>
        <w:szCs w:val="22"/>
        <w:lang w:val="en-GB"/>
      </w:rPr>
      <w:t>FC202324-1426</w:t>
    </w:r>
    <w:r w:rsidR="003B2CDA"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7FEA" w14:textId="77777777" w:rsidR="00A501E6" w:rsidRDefault="00A501E6" w:rsidP="00241B44">
      <w:r>
        <w:separator/>
      </w:r>
    </w:p>
  </w:footnote>
  <w:footnote w:type="continuationSeparator" w:id="0">
    <w:p w14:paraId="1B2132CD" w14:textId="77777777" w:rsidR="00A501E6" w:rsidRDefault="00A501E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4573D"/>
    <w:multiLevelType w:val="hybridMultilevel"/>
    <w:tmpl w:val="0FFEE8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3166FF4"/>
    <w:multiLevelType w:val="hybridMultilevel"/>
    <w:tmpl w:val="2B547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DA16C1"/>
    <w:multiLevelType w:val="hybridMultilevel"/>
    <w:tmpl w:val="18A860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E223EC"/>
    <w:multiLevelType w:val="hybridMultilevel"/>
    <w:tmpl w:val="BDF88478"/>
    <w:lvl w:ilvl="0" w:tplc="3F4E10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04694"/>
    <w:multiLevelType w:val="hybridMultilevel"/>
    <w:tmpl w:val="B3E278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DC70558"/>
    <w:multiLevelType w:val="hybridMultilevel"/>
    <w:tmpl w:val="6778D9D6"/>
    <w:lvl w:ilvl="0" w:tplc="3F4E107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95533"/>
    <w:multiLevelType w:val="hybridMultilevel"/>
    <w:tmpl w:val="957655B4"/>
    <w:lvl w:ilvl="0" w:tplc="3F4E10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466BB"/>
    <w:multiLevelType w:val="hybridMultilevel"/>
    <w:tmpl w:val="D292E05C"/>
    <w:lvl w:ilvl="0" w:tplc="466401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1" w15:restartNumberingAfterBreak="0">
    <w:nsid w:val="66784BBE"/>
    <w:multiLevelType w:val="hybridMultilevel"/>
    <w:tmpl w:val="04245C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E96D8F"/>
    <w:multiLevelType w:val="hybridMultilevel"/>
    <w:tmpl w:val="C6DA18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4"/>
  </w:num>
  <w:num w:numId="5">
    <w:abstractNumId w:val="17"/>
  </w:num>
  <w:num w:numId="6">
    <w:abstractNumId w:val="2"/>
  </w:num>
  <w:num w:numId="7">
    <w:abstractNumId w:val="19"/>
  </w:num>
  <w:num w:numId="8">
    <w:abstractNumId w:val="24"/>
  </w:num>
  <w:num w:numId="9">
    <w:abstractNumId w:val="15"/>
  </w:num>
  <w:num w:numId="10">
    <w:abstractNumId w:val="26"/>
  </w:num>
  <w:num w:numId="11">
    <w:abstractNumId w:val="9"/>
  </w:num>
  <w:num w:numId="12">
    <w:abstractNumId w:val="22"/>
  </w:num>
  <w:num w:numId="13">
    <w:abstractNumId w:val="16"/>
  </w:num>
  <w:num w:numId="14">
    <w:abstractNumId w:val="8"/>
  </w:num>
  <w:num w:numId="15">
    <w:abstractNumId w:val="20"/>
  </w:num>
  <w:num w:numId="16">
    <w:abstractNumId w:val="23"/>
  </w:num>
  <w:num w:numId="17">
    <w:abstractNumId w:val="12"/>
  </w:num>
  <w:num w:numId="18">
    <w:abstractNumId w:val="18"/>
  </w:num>
  <w:num w:numId="19">
    <w:abstractNumId w:val="13"/>
  </w:num>
  <w:num w:numId="20">
    <w:abstractNumId w:val="4"/>
  </w:num>
  <w:num w:numId="21">
    <w:abstractNumId w:val="3"/>
  </w:num>
  <w:num w:numId="22">
    <w:abstractNumId w:val="11"/>
  </w:num>
  <w:num w:numId="23">
    <w:abstractNumId w:val="6"/>
  </w:num>
  <w:num w:numId="24">
    <w:abstractNumId w:val="21"/>
  </w:num>
  <w:num w:numId="25">
    <w:abstractNumId w:val="10"/>
  </w:num>
  <w:num w:numId="26">
    <w:abstractNumId w:val="25"/>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2821"/>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2CDA"/>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C199A"/>
    <w:rsid w:val="004C7A8F"/>
    <w:rsid w:val="004D1A5A"/>
    <w:rsid w:val="004D1DDC"/>
    <w:rsid w:val="004D2FFF"/>
    <w:rsid w:val="004D3721"/>
    <w:rsid w:val="004D64F9"/>
    <w:rsid w:val="004E3A6B"/>
    <w:rsid w:val="004E622C"/>
    <w:rsid w:val="004F5FDF"/>
    <w:rsid w:val="00500F35"/>
    <w:rsid w:val="005038A9"/>
    <w:rsid w:val="00516813"/>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06A5C"/>
    <w:rsid w:val="00610388"/>
    <w:rsid w:val="00610AC7"/>
    <w:rsid w:val="00612CA5"/>
    <w:rsid w:val="006153EC"/>
    <w:rsid w:val="00621A17"/>
    <w:rsid w:val="00622C88"/>
    <w:rsid w:val="00627CC9"/>
    <w:rsid w:val="00627E7B"/>
    <w:rsid w:val="00630542"/>
    <w:rsid w:val="00631445"/>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584F"/>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11B6"/>
    <w:rsid w:val="00704852"/>
    <w:rsid w:val="0070524B"/>
    <w:rsid w:val="007074E9"/>
    <w:rsid w:val="00713DA4"/>
    <w:rsid w:val="00714BF1"/>
    <w:rsid w:val="00721383"/>
    <w:rsid w:val="0073158B"/>
    <w:rsid w:val="007330B0"/>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6EC9"/>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86D"/>
    <w:rsid w:val="00951AA8"/>
    <w:rsid w:val="0095207B"/>
    <w:rsid w:val="009545B4"/>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E7AB5"/>
    <w:rsid w:val="009F275E"/>
    <w:rsid w:val="00A047EE"/>
    <w:rsid w:val="00A14496"/>
    <w:rsid w:val="00A2274A"/>
    <w:rsid w:val="00A235B7"/>
    <w:rsid w:val="00A27A7A"/>
    <w:rsid w:val="00A3337C"/>
    <w:rsid w:val="00A34ABE"/>
    <w:rsid w:val="00A407EF"/>
    <w:rsid w:val="00A46B4C"/>
    <w:rsid w:val="00A501E6"/>
    <w:rsid w:val="00A5117B"/>
    <w:rsid w:val="00A56D34"/>
    <w:rsid w:val="00A60074"/>
    <w:rsid w:val="00A630E6"/>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22263"/>
    <w:rsid w:val="00B26979"/>
    <w:rsid w:val="00B44713"/>
    <w:rsid w:val="00B455E5"/>
    <w:rsid w:val="00B51B95"/>
    <w:rsid w:val="00B56103"/>
    <w:rsid w:val="00B64929"/>
    <w:rsid w:val="00B654EE"/>
    <w:rsid w:val="00B736DF"/>
    <w:rsid w:val="00B743D6"/>
    <w:rsid w:val="00B74FBD"/>
    <w:rsid w:val="00B77F46"/>
    <w:rsid w:val="00B82586"/>
    <w:rsid w:val="00B829A3"/>
    <w:rsid w:val="00B86DB1"/>
    <w:rsid w:val="00B87869"/>
    <w:rsid w:val="00B9639B"/>
    <w:rsid w:val="00BA1CFD"/>
    <w:rsid w:val="00BB0F2B"/>
    <w:rsid w:val="00BC231B"/>
    <w:rsid w:val="00BD1D50"/>
    <w:rsid w:val="00BE4FF3"/>
    <w:rsid w:val="00BF2C93"/>
    <w:rsid w:val="00BF3C3A"/>
    <w:rsid w:val="00BF50F7"/>
    <w:rsid w:val="00BF6641"/>
    <w:rsid w:val="00C02F29"/>
    <w:rsid w:val="00C17718"/>
    <w:rsid w:val="00C20AFE"/>
    <w:rsid w:val="00C2174C"/>
    <w:rsid w:val="00C22A25"/>
    <w:rsid w:val="00C305F5"/>
    <w:rsid w:val="00C35671"/>
    <w:rsid w:val="00C35B77"/>
    <w:rsid w:val="00C376EB"/>
    <w:rsid w:val="00C46A92"/>
    <w:rsid w:val="00C46EC1"/>
    <w:rsid w:val="00C52796"/>
    <w:rsid w:val="00C53E2C"/>
    <w:rsid w:val="00C548B8"/>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43C2"/>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71553"/>
    <w:rsid w:val="00D84752"/>
    <w:rsid w:val="00D86B3B"/>
    <w:rsid w:val="00D8748A"/>
    <w:rsid w:val="00D93196"/>
    <w:rsid w:val="00DA0DC0"/>
    <w:rsid w:val="00DB243C"/>
    <w:rsid w:val="00DB482A"/>
    <w:rsid w:val="00DB50FB"/>
    <w:rsid w:val="00DB56F2"/>
    <w:rsid w:val="00DB6EF5"/>
    <w:rsid w:val="00DC3089"/>
    <w:rsid w:val="00DC4420"/>
    <w:rsid w:val="00DC5F41"/>
    <w:rsid w:val="00DD0802"/>
    <w:rsid w:val="00DD2E11"/>
    <w:rsid w:val="00DE03AF"/>
    <w:rsid w:val="00DE121C"/>
    <w:rsid w:val="00DE5114"/>
    <w:rsid w:val="00DE6633"/>
    <w:rsid w:val="00DF75F8"/>
    <w:rsid w:val="00DF7A3A"/>
    <w:rsid w:val="00E00C00"/>
    <w:rsid w:val="00E07A57"/>
    <w:rsid w:val="00E07C5A"/>
    <w:rsid w:val="00E12F59"/>
    <w:rsid w:val="00E15BA9"/>
    <w:rsid w:val="00E26E19"/>
    <w:rsid w:val="00E31DF3"/>
    <w:rsid w:val="00E443D7"/>
    <w:rsid w:val="00E450A4"/>
    <w:rsid w:val="00E506BE"/>
    <w:rsid w:val="00E51AF2"/>
    <w:rsid w:val="00E55547"/>
    <w:rsid w:val="00E56312"/>
    <w:rsid w:val="00E578F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0D94"/>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3288F-A91E-4BE7-A097-9145794E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van Staden</cp:lastModifiedBy>
  <cp:revision>3</cp:revision>
  <cp:lastPrinted>2019-08-27T05:42:00Z</cp:lastPrinted>
  <dcterms:created xsi:type="dcterms:W3CDTF">2024-02-22T10:46:00Z</dcterms:created>
  <dcterms:modified xsi:type="dcterms:W3CDTF">2024-02-22T10:47:00Z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