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B5388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B263D0">
      <w:pPr>
        <w:pStyle w:val="ListParagraph"/>
        <w:numPr>
          <w:ilvl w:val="0"/>
          <w:numId w:val="14"/>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C07878" w:rsidRDefault="00B263D0" w:rsidP="00B263D0">
      <w:pPr>
        <w:pStyle w:val="ListParagraph"/>
        <w:numPr>
          <w:ilvl w:val="0"/>
          <w:numId w:val="14"/>
        </w:numPr>
        <w:ind w:left="426" w:hanging="426"/>
        <w:jc w:val="both"/>
        <w:rPr>
          <w:rFonts w:ascii="Avenir Next" w:hAnsi="Avenir Next" w:cs="Arial"/>
          <w:sz w:val="22"/>
          <w:szCs w:val="22"/>
          <w:highlight w:val="yellow"/>
          <w:lang w:val="en-GB"/>
        </w:rPr>
      </w:pPr>
      <w:r w:rsidRPr="00C07878">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B263D0">
      <w:pPr>
        <w:pStyle w:val="ListParagraph"/>
        <w:numPr>
          <w:ilvl w:val="0"/>
          <w:numId w:val="14"/>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4E1674">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Internationalisation.</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AD0E59">
      <w:pPr>
        <w:pStyle w:val="ListParagraph"/>
        <w:numPr>
          <w:ilvl w:val="0"/>
          <w:numId w:val="5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C07878" w:rsidRDefault="00AD0E59" w:rsidP="00AD0E59">
      <w:pPr>
        <w:pStyle w:val="ListParagraph"/>
        <w:numPr>
          <w:ilvl w:val="0"/>
          <w:numId w:val="50"/>
        </w:numPr>
        <w:ind w:left="426" w:hanging="426"/>
        <w:jc w:val="both"/>
        <w:rPr>
          <w:rFonts w:ascii="Avenir Next" w:hAnsi="Avenir Next" w:cs="Arial"/>
          <w:sz w:val="22"/>
          <w:szCs w:val="22"/>
          <w:highlight w:val="yellow"/>
          <w:lang w:val="en-GB"/>
        </w:rPr>
      </w:pPr>
      <w:r w:rsidRPr="00C07878">
        <w:rPr>
          <w:rFonts w:ascii="Avenir Next" w:hAnsi="Avenir Next" w:cs="Arial"/>
          <w:sz w:val="22"/>
          <w:szCs w:val="22"/>
          <w:highlight w:val="yellow"/>
          <w:lang w:val="en-GB"/>
        </w:rPr>
        <w:lastRenderedPageBreak/>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C07878" w:rsidRDefault="00893A03" w:rsidP="00893A03">
      <w:pPr>
        <w:pStyle w:val="ListParagraph"/>
        <w:numPr>
          <w:ilvl w:val="0"/>
          <w:numId w:val="16"/>
        </w:numPr>
        <w:ind w:left="426" w:hanging="426"/>
        <w:jc w:val="both"/>
        <w:rPr>
          <w:rFonts w:ascii="Avenir Next" w:hAnsi="Avenir Next" w:cs="Arial"/>
          <w:sz w:val="22"/>
          <w:szCs w:val="22"/>
          <w:highlight w:val="yellow"/>
          <w:lang w:val="en-GB"/>
        </w:rPr>
      </w:pPr>
      <w:r w:rsidRPr="00C07878">
        <w:rPr>
          <w:rFonts w:ascii="Avenir Next" w:hAnsi="Avenir Next" w:cs="Arial"/>
          <w:sz w:val="22"/>
          <w:szCs w:val="22"/>
          <w:highlight w:val="yellow"/>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E0334B" w:rsidRDefault="00812AFE" w:rsidP="00C00111">
      <w:pPr>
        <w:pStyle w:val="ListParagraph"/>
        <w:numPr>
          <w:ilvl w:val="0"/>
          <w:numId w:val="18"/>
        </w:numPr>
        <w:ind w:left="426" w:hanging="426"/>
        <w:jc w:val="both"/>
        <w:rPr>
          <w:rFonts w:ascii="Avenir Next" w:hAnsi="Avenir Next" w:cs="Arial"/>
          <w:sz w:val="22"/>
          <w:szCs w:val="22"/>
          <w:highlight w:val="yellow"/>
          <w:lang w:val="en-GB"/>
        </w:rPr>
      </w:pPr>
      <w:r w:rsidRPr="00E0334B">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0334B" w:rsidRDefault="00812AFE" w:rsidP="00C00111">
      <w:pPr>
        <w:pStyle w:val="ListParagraph"/>
        <w:numPr>
          <w:ilvl w:val="0"/>
          <w:numId w:val="18"/>
        </w:numPr>
        <w:ind w:left="426" w:hanging="426"/>
        <w:jc w:val="both"/>
        <w:rPr>
          <w:rFonts w:ascii="Avenir Next" w:hAnsi="Avenir Next" w:cs="Arial"/>
          <w:sz w:val="22"/>
          <w:szCs w:val="22"/>
          <w:lang w:val="en-GB"/>
        </w:rPr>
      </w:pPr>
      <w:r w:rsidRPr="00E0334B">
        <w:rPr>
          <w:rFonts w:ascii="Avenir Next" w:hAnsi="Avenir Next" w:cs="Arial"/>
          <w:sz w:val="22"/>
          <w:szCs w:val="22"/>
          <w:lang w:val="en-GB"/>
        </w:rPr>
        <w:t>None of the above.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0334B" w:rsidRDefault="003220BA" w:rsidP="00C00111">
      <w:pPr>
        <w:pStyle w:val="ListParagraph"/>
        <w:numPr>
          <w:ilvl w:val="0"/>
          <w:numId w:val="20"/>
        </w:numPr>
        <w:ind w:left="426" w:hanging="426"/>
        <w:jc w:val="both"/>
        <w:rPr>
          <w:rFonts w:ascii="Avenir Next" w:hAnsi="Avenir Next" w:cs="Arial"/>
          <w:sz w:val="22"/>
          <w:szCs w:val="22"/>
          <w:highlight w:val="yellow"/>
          <w:lang w:val="en-GB"/>
        </w:rPr>
      </w:pPr>
      <w:r w:rsidRPr="00E0334B">
        <w:rPr>
          <w:rFonts w:ascii="Avenir Next" w:hAnsi="Avenir Next" w:cs="Arial"/>
          <w:sz w:val="22"/>
          <w:szCs w:val="22"/>
          <w:highlight w:val="yellow"/>
          <w:lang w:val="en-GB"/>
        </w:rPr>
        <w:t xml:space="preserve">Options (ii) and (iii).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3220BA" w:rsidRDefault="003220BA" w:rsidP="00C00111">
      <w:pPr>
        <w:pStyle w:val="ListParagraph"/>
        <w:numPr>
          <w:ilvl w:val="0"/>
          <w:numId w:val="20"/>
        </w:numPr>
        <w:ind w:left="426" w:hanging="426"/>
        <w:jc w:val="both"/>
        <w:rPr>
          <w:rFonts w:ascii="Avenir Next" w:hAnsi="Avenir Next" w:cs="Arial"/>
          <w:sz w:val="22"/>
          <w:szCs w:val="22"/>
          <w:lang w:val="en-GB"/>
        </w:rPr>
      </w:pPr>
      <w:r w:rsidRPr="003220BA">
        <w:rPr>
          <w:rFonts w:ascii="Avenir Next" w:hAnsi="Avenir Next" w:cs="Arial"/>
          <w:sz w:val="22"/>
          <w:szCs w:val="22"/>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C00111">
      <w:pPr>
        <w:pStyle w:val="ListParagraph"/>
        <w:numPr>
          <w:ilvl w:val="0"/>
          <w:numId w:val="26"/>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Pr="002E0547" w:rsidRDefault="009344C1" w:rsidP="00C00111">
      <w:pPr>
        <w:pStyle w:val="ListParagraph"/>
        <w:numPr>
          <w:ilvl w:val="0"/>
          <w:numId w:val="26"/>
        </w:numPr>
        <w:ind w:left="426" w:hanging="426"/>
        <w:jc w:val="both"/>
        <w:rPr>
          <w:rFonts w:ascii="Avenir Next" w:hAnsi="Avenir Next" w:cs="Arial"/>
          <w:sz w:val="22"/>
          <w:szCs w:val="22"/>
          <w:highlight w:val="yellow"/>
          <w:lang w:val="en-GB"/>
        </w:rPr>
      </w:pPr>
      <w:r w:rsidRPr="002E0547">
        <w:rPr>
          <w:rFonts w:ascii="Avenir Next" w:hAnsi="Avenir Next" w:cs="Arial"/>
          <w:sz w:val="22"/>
          <w:szCs w:val="22"/>
          <w:highlight w:val="yellow"/>
          <w:lang w:val="en-GB"/>
        </w:rPr>
        <w:t>Likely no effect within jurisdiction B.</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2E0547" w:rsidRDefault="00F51EE5" w:rsidP="00C00111">
      <w:pPr>
        <w:pStyle w:val="ListParagraph"/>
        <w:numPr>
          <w:ilvl w:val="0"/>
          <w:numId w:val="27"/>
        </w:numPr>
        <w:ind w:left="426" w:hanging="426"/>
        <w:jc w:val="both"/>
        <w:rPr>
          <w:rFonts w:ascii="Avenir Next" w:hAnsi="Avenir Next" w:cs="Arial"/>
          <w:sz w:val="22"/>
          <w:szCs w:val="22"/>
          <w:highlight w:val="yellow"/>
          <w:lang w:val="en-GB"/>
        </w:rPr>
      </w:pPr>
      <w:r w:rsidRPr="002E0547">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97337E">
      <w:pPr>
        <w:pStyle w:val="ListParagraph"/>
        <w:numPr>
          <w:ilvl w:val="0"/>
          <w:numId w:val="28"/>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97337E">
      <w:pPr>
        <w:pStyle w:val="ListParagraph"/>
        <w:numPr>
          <w:ilvl w:val="0"/>
          <w:numId w:val="2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2E0547" w:rsidRDefault="0097337E" w:rsidP="0097337E">
      <w:pPr>
        <w:pStyle w:val="ListParagraph"/>
        <w:numPr>
          <w:ilvl w:val="0"/>
          <w:numId w:val="28"/>
        </w:numPr>
        <w:ind w:left="426" w:hanging="426"/>
        <w:jc w:val="both"/>
        <w:rPr>
          <w:rFonts w:ascii="Avenir Next" w:hAnsi="Avenir Next" w:cs="Arial"/>
          <w:sz w:val="22"/>
          <w:szCs w:val="22"/>
          <w:highlight w:val="yellow"/>
          <w:lang w:val="en-GB"/>
        </w:rPr>
      </w:pPr>
      <w:r w:rsidRPr="002E0547">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97337E">
      <w:pPr>
        <w:pStyle w:val="ListParagraph"/>
        <w:numPr>
          <w:ilvl w:val="0"/>
          <w:numId w:val="28"/>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2E0547" w:rsidRDefault="009A58D1" w:rsidP="009A58D1">
      <w:pPr>
        <w:pStyle w:val="ListParagraph"/>
        <w:numPr>
          <w:ilvl w:val="0"/>
          <w:numId w:val="29"/>
        </w:numPr>
        <w:ind w:left="426" w:hanging="426"/>
        <w:jc w:val="both"/>
        <w:rPr>
          <w:rFonts w:ascii="Avenir Next" w:hAnsi="Avenir Next" w:cs="Arial"/>
          <w:sz w:val="22"/>
          <w:szCs w:val="22"/>
          <w:highlight w:val="yellow"/>
          <w:lang w:val="en-GB"/>
        </w:rPr>
      </w:pPr>
      <w:r w:rsidRPr="002E0547">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D34CC0" w:rsidRDefault="00C4510C" w:rsidP="00C00111">
      <w:pPr>
        <w:pStyle w:val="ListParagraph"/>
        <w:numPr>
          <w:ilvl w:val="0"/>
          <w:numId w:val="30"/>
        </w:numPr>
        <w:ind w:left="426" w:hanging="426"/>
        <w:jc w:val="both"/>
        <w:rPr>
          <w:rFonts w:ascii="Avenir Next" w:hAnsi="Avenir Next" w:cs="Arial"/>
          <w:sz w:val="22"/>
          <w:szCs w:val="22"/>
          <w:highlight w:val="yellow"/>
          <w:lang w:val="en-GB"/>
        </w:rPr>
      </w:pPr>
      <w:r w:rsidRPr="00D34CC0">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654B0E66" w14:textId="6891DE2D" w:rsidR="00CB56CE" w:rsidRDefault="002B3286"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Answer: </w:t>
      </w:r>
      <w:r w:rsidR="00A0303D">
        <w:rPr>
          <w:rFonts w:ascii="Avenir Next" w:hAnsi="Avenir Next" w:cs="Arial"/>
          <w:color w:val="808080" w:themeColor="background1" w:themeShade="80"/>
          <w:sz w:val="22"/>
          <w:szCs w:val="22"/>
          <w:lang w:val="en-GB"/>
        </w:rPr>
        <w:t>The key distinctions between MLCBI and EU regulations are:</w:t>
      </w:r>
    </w:p>
    <w:p w14:paraId="4BC17479" w14:textId="5BDE4ADF" w:rsidR="00A0303D" w:rsidRDefault="00A0303D" w:rsidP="00A0303D">
      <w:pPr>
        <w:pStyle w:val="ListParagraph"/>
        <w:numPr>
          <w:ilvl w:val="0"/>
          <w:numId w:val="6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MLCBI is a global framework developed by UNCITRAL to promote the recognition and enforcement of foreign insolvency proceedings and provide for cooperation with foreign courts and foreign representatives. The EU Regulations apply to EU member states. It provides for a harmonised set of rules that is applicable only to EU member States (except Denmark).</w:t>
      </w:r>
    </w:p>
    <w:p w14:paraId="4ED67881" w14:textId="3EF6C7AE" w:rsidR="00A0303D" w:rsidRDefault="00A0303D" w:rsidP="00A0303D">
      <w:pPr>
        <w:pStyle w:val="ListParagraph"/>
        <w:numPr>
          <w:ilvl w:val="0"/>
          <w:numId w:val="6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While MLCBI is dependent on voluntary adoption by States, the EU Regulations are binding on all EU States (except Denmark) and provide automatic recognition of insolvency proceedings across EU member states. However, it applies to proceedings where the COMI of the debtor is in the EU.</w:t>
      </w:r>
    </w:p>
    <w:p w14:paraId="15B7663B" w14:textId="651A8781" w:rsidR="00A0303D" w:rsidRDefault="00A0303D" w:rsidP="00A0303D">
      <w:p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key advantage of MLCBI is that it is flexible and can be adopted by states into their domestic laws by fitting it accordingly into their legal systems. However, the disadvantage is that it is not binding and lacks uniformity (since different legal systems adopt it differently).</w:t>
      </w:r>
    </w:p>
    <w:p w14:paraId="6FC6620E" w14:textId="77777777" w:rsidR="00A0303D" w:rsidRDefault="00A0303D" w:rsidP="00A0303D">
      <w:pPr>
        <w:ind w:left="360"/>
        <w:jc w:val="both"/>
        <w:rPr>
          <w:rFonts w:ascii="Avenir Next" w:hAnsi="Avenir Next" w:cs="Arial"/>
          <w:color w:val="808080" w:themeColor="background1" w:themeShade="80"/>
          <w:sz w:val="22"/>
          <w:szCs w:val="22"/>
          <w:lang w:val="en-GB"/>
        </w:rPr>
      </w:pPr>
    </w:p>
    <w:p w14:paraId="04C8AB3D" w14:textId="0AE0D402" w:rsidR="00A0303D" w:rsidRPr="00A0303D" w:rsidRDefault="00A0303D" w:rsidP="00A0303D">
      <w:p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key advantage of EU Regulations is that it is binding on all member States</w:t>
      </w:r>
      <w:r w:rsidR="00C74E85">
        <w:rPr>
          <w:rFonts w:ascii="Avenir Next" w:hAnsi="Avenir Next" w:cs="Arial"/>
          <w:color w:val="808080" w:themeColor="background1" w:themeShade="80"/>
          <w:sz w:val="22"/>
          <w:szCs w:val="22"/>
          <w:lang w:val="en-GB"/>
        </w:rPr>
        <w:t xml:space="preserve"> and provides for automatic recognition and coordinated proceedings. The disadvantage is that it has limited applicability.</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lastRenderedPageBreak/>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2ED61D56" w:rsidR="00867A8F" w:rsidRDefault="00516272"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Answer: </w:t>
      </w:r>
      <w:r w:rsidR="00175998">
        <w:rPr>
          <w:rFonts w:ascii="Avenir Next" w:hAnsi="Avenir Next" w:cs="Arial"/>
          <w:color w:val="808080" w:themeColor="background1" w:themeShade="80"/>
          <w:sz w:val="22"/>
          <w:szCs w:val="22"/>
          <w:lang w:val="en-GB"/>
        </w:rPr>
        <w:t>The court has been endowed with discretionary powers under Article 21 of the MLCBI to grant any appropriate post-recognition relief, wherever necessary, to protect the assets of the debtor or the interest of creditors. The question of what constitutes appropriate relief is for the courts to decide. In case of a foreign main proceeding recognized under para 1 of article 21, the court must ensure that 1) it is necessary to protect the interests of creditors, 2) to protect the assets of the debtor, 3) also subjected to the exception of public policy under article 6.</w:t>
      </w:r>
    </w:p>
    <w:p w14:paraId="775BC01C" w14:textId="0C769816" w:rsidR="00175998" w:rsidRDefault="00175998" w:rsidP="004F02C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granting these reliefs, the court must also regard the provisions of article 22, which </w:t>
      </w:r>
      <w:r w:rsidR="004F02C9">
        <w:rPr>
          <w:rFonts w:ascii="Avenir Next" w:hAnsi="Avenir Next" w:cs="Arial"/>
          <w:color w:val="808080" w:themeColor="background1" w:themeShade="80"/>
          <w:sz w:val="22"/>
          <w:szCs w:val="22"/>
          <w:lang w:val="en-GB"/>
        </w:rPr>
        <w:t>mandates that the court to ensure that interests of the creditors and other person, including debtor is adequately protected. This means that there is need to achieve balance between different interests without unduly favouring one group of creditors over another.</w:t>
      </w:r>
      <w:r w:rsidR="004F02C9">
        <w:rPr>
          <w:rStyle w:val="FootnoteReference"/>
          <w:rFonts w:ascii="Avenir Next" w:hAnsi="Avenir Next" w:cs="Arial"/>
          <w:color w:val="808080" w:themeColor="background1" w:themeShade="80"/>
          <w:sz w:val="22"/>
          <w:szCs w:val="22"/>
          <w:lang w:val="en-GB"/>
        </w:rPr>
        <w:footnoteReference w:id="1"/>
      </w:r>
      <w:r w:rsidR="004F02C9">
        <w:rPr>
          <w:rFonts w:ascii="Avenir Next" w:hAnsi="Avenir Next" w:cs="Arial"/>
          <w:color w:val="808080" w:themeColor="background1" w:themeShade="80"/>
          <w:sz w:val="22"/>
          <w:szCs w:val="22"/>
          <w:lang w:val="en-GB"/>
        </w:rPr>
        <w:t xml:space="preserve"> </w:t>
      </w:r>
      <w:r w:rsidR="004F02C9" w:rsidRPr="004F02C9">
        <w:rPr>
          <w:rFonts w:ascii="Avenir Next" w:hAnsi="Avenir Next" w:cs="Arial"/>
          <w:color w:val="808080" w:themeColor="background1" w:themeShade="80"/>
          <w:sz w:val="22"/>
          <w:szCs w:val="22"/>
          <w:lang w:val="en-GB"/>
        </w:rPr>
        <w:t>It is in the nature of discretionary relief that the court may tailor such</w:t>
      </w:r>
      <w:r w:rsidR="004F02C9">
        <w:rPr>
          <w:rFonts w:ascii="Avenir Next" w:hAnsi="Avenir Next" w:cs="Arial"/>
          <w:color w:val="808080" w:themeColor="background1" w:themeShade="80"/>
          <w:sz w:val="22"/>
          <w:szCs w:val="22"/>
          <w:lang w:val="en-GB"/>
        </w:rPr>
        <w:t xml:space="preserve"> </w:t>
      </w:r>
      <w:r w:rsidR="004F02C9" w:rsidRPr="004F02C9">
        <w:rPr>
          <w:rFonts w:ascii="Avenir Next" w:hAnsi="Avenir Next" w:cs="Arial"/>
          <w:color w:val="808080" w:themeColor="background1" w:themeShade="80"/>
          <w:sz w:val="22"/>
          <w:szCs w:val="22"/>
          <w:lang w:val="en-GB"/>
        </w:rPr>
        <w:t>relief to the case at hand.</w:t>
      </w:r>
      <w:r w:rsidR="004F02C9">
        <w:rPr>
          <w:rStyle w:val="FootnoteReference"/>
          <w:rFonts w:ascii="Avenir Next" w:hAnsi="Avenir Next" w:cs="Arial"/>
          <w:color w:val="808080" w:themeColor="background1" w:themeShade="80"/>
          <w:sz w:val="22"/>
          <w:szCs w:val="22"/>
          <w:lang w:val="en-GB"/>
        </w:rPr>
        <w:footnoteReference w:id="2"/>
      </w:r>
      <w:r w:rsidR="004F02C9">
        <w:rPr>
          <w:rFonts w:ascii="Avenir Next" w:hAnsi="Avenir Next" w:cs="Arial"/>
          <w:color w:val="808080" w:themeColor="background1" w:themeShade="80"/>
          <w:sz w:val="22"/>
          <w:szCs w:val="22"/>
          <w:lang w:val="en-GB"/>
        </w:rPr>
        <w:t xml:space="preserve"> </w:t>
      </w:r>
    </w:p>
    <w:p w14:paraId="0CF8C0F8" w14:textId="55EF1ACD" w:rsidR="004F02C9" w:rsidRDefault="004F02C9" w:rsidP="004F02C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case of relief granted in foreign non-main proceedings, the court is required to be satisfied that relief relates to assets that, under the law of enacting State, should be administered in the foreign non-main proceeding or that it concerns information required in that proceeding.</w:t>
      </w:r>
      <w:r w:rsidR="00820D99">
        <w:rPr>
          <w:rStyle w:val="FootnoteReference"/>
          <w:rFonts w:ascii="Avenir Next" w:hAnsi="Avenir Next" w:cs="Arial"/>
          <w:color w:val="808080" w:themeColor="background1" w:themeShade="80"/>
          <w:sz w:val="22"/>
          <w:szCs w:val="22"/>
          <w:lang w:val="en-GB"/>
        </w:rPr>
        <w:footnoteReference w:id="3"/>
      </w:r>
    </w:p>
    <w:p w14:paraId="3CB87F35" w14:textId="60001C2D" w:rsidR="00455DE8" w:rsidRPr="00B77352" w:rsidRDefault="00455DE8" w:rsidP="004F02C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Cases in point: Kapila, Re Edelstan [2014] FCA 1112 [Australia]; Vitro SAB de CV 701 F.3d 1031 (USA)</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246A3CA8" w14:textId="2E16573A" w:rsidR="006B1370" w:rsidRDefault="00B824AE" w:rsidP="006B137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Answer: </w:t>
      </w:r>
      <w:r w:rsidR="001E4952">
        <w:rPr>
          <w:rFonts w:ascii="Avenir Next" w:hAnsi="Avenir Next" w:cs="Arial"/>
          <w:color w:val="808080" w:themeColor="background1" w:themeShade="80"/>
          <w:sz w:val="22"/>
          <w:szCs w:val="22"/>
          <w:lang w:val="en-GB"/>
        </w:rPr>
        <w:t xml:space="preserve">Article 13 of the MLCBI embodies the anti-discrimination principle that establishes principle of equality of treatment between foreign and local creditors. </w:t>
      </w:r>
      <w:r w:rsidR="006B1370">
        <w:rPr>
          <w:rFonts w:ascii="Avenir Next" w:hAnsi="Avenir Next" w:cs="Arial"/>
          <w:color w:val="808080" w:themeColor="background1" w:themeShade="80"/>
          <w:sz w:val="22"/>
          <w:szCs w:val="22"/>
          <w:lang w:val="en-GB"/>
        </w:rPr>
        <w:t>Paragraph 1</w:t>
      </w:r>
      <w:r w:rsidR="001E4952">
        <w:rPr>
          <w:rFonts w:ascii="Avenir Next" w:hAnsi="Avenir Next" w:cs="Arial"/>
          <w:color w:val="808080" w:themeColor="background1" w:themeShade="80"/>
          <w:sz w:val="22"/>
          <w:szCs w:val="22"/>
          <w:lang w:val="en-GB"/>
        </w:rPr>
        <w:t xml:space="preserve"> provides foreign creditors </w:t>
      </w:r>
      <w:r w:rsidR="006B1370">
        <w:rPr>
          <w:rFonts w:ascii="Avenir Next" w:hAnsi="Avenir Next" w:cs="Arial"/>
          <w:color w:val="808080" w:themeColor="background1" w:themeShade="80"/>
          <w:sz w:val="22"/>
          <w:szCs w:val="22"/>
          <w:lang w:val="en-GB"/>
        </w:rPr>
        <w:t>with the same rights as local creditors regarding the commencement of and participation in insolvency proceedings.</w:t>
      </w:r>
      <w:r w:rsidR="006B1370">
        <w:rPr>
          <w:rStyle w:val="FootnoteReference"/>
          <w:rFonts w:ascii="Avenir Next" w:hAnsi="Avenir Next" w:cs="Arial"/>
          <w:color w:val="808080" w:themeColor="background1" w:themeShade="80"/>
          <w:sz w:val="22"/>
          <w:szCs w:val="22"/>
          <w:lang w:val="en-GB"/>
        </w:rPr>
        <w:footnoteReference w:id="4"/>
      </w:r>
      <w:r w:rsidR="006B1370">
        <w:rPr>
          <w:rFonts w:ascii="Avenir Next" w:hAnsi="Avenir Next" w:cs="Arial"/>
          <w:color w:val="808080" w:themeColor="background1" w:themeShade="80"/>
          <w:sz w:val="22"/>
          <w:szCs w:val="22"/>
          <w:lang w:val="en-GB"/>
        </w:rPr>
        <w:t xml:space="preserve"> This right is subject to the proviso contained in paragraph 2 which maintains that the provision contained in para 1 do not affect the ranking of claims in insolvency proceedings (including any provisions that might assign a special ranking to claims of foreign creditors).</w:t>
      </w:r>
      <w:r w:rsidR="006B1370">
        <w:rPr>
          <w:rStyle w:val="FootnoteReference"/>
          <w:rFonts w:ascii="Avenir Next" w:hAnsi="Avenir Next" w:cs="Arial"/>
          <w:color w:val="808080" w:themeColor="background1" w:themeShade="80"/>
          <w:sz w:val="22"/>
          <w:szCs w:val="22"/>
          <w:lang w:val="en-GB"/>
        </w:rPr>
        <w:footnoteReference w:id="5"/>
      </w:r>
      <w:r w:rsidR="006B1370">
        <w:rPr>
          <w:rFonts w:ascii="Avenir Next" w:hAnsi="Avenir Next" w:cs="Arial"/>
          <w:color w:val="808080" w:themeColor="background1" w:themeShade="80"/>
          <w:sz w:val="22"/>
          <w:szCs w:val="22"/>
          <w:lang w:val="en-GB"/>
        </w:rPr>
        <w:t xml:space="preserve"> It provides that foreign creditors shall not be ranked lower than the class of general, non-preferential (unsecured) claims according to local law.</w:t>
      </w:r>
      <w:r w:rsidR="006B1370">
        <w:rPr>
          <w:rStyle w:val="FootnoteReference"/>
          <w:rFonts w:ascii="Avenir Next" w:hAnsi="Avenir Next" w:cs="Arial"/>
          <w:color w:val="808080" w:themeColor="background1" w:themeShade="80"/>
          <w:sz w:val="22"/>
          <w:szCs w:val="22"/>
          <w:lang w:val="en-GB"/>
        </w:rPr>
        <w:footnoteReference w:id="6"/>
      </w:r>
      <w:r w:rsidR="006B1370">
        <w:rPr>
          <w:rFonts w:ascii="Avenir Next" w:hAnsi="Avenir Next" w:cs="Arial"/>
          <w:color w:val="808080" w:themeColor="background1" w:themeShade="80"/>
          <w:sz w:val="22"/>
          <w:szCs w:val="22"/>
          <w:lang w:val="en-GB"/>
        </w:rPr>
        <w:t xml:space="preserve"> An alternative provision in </w:t>
      </w:r>
      <w:r w:rsidR="002B3286">
        <w:rPr>
          <w:rFonts w:ascii="Avenir Next" w:hAnsi="Avenir Next" w:cs="Arial"/>
          <w:color w:val="808080" w:themeColor="background1" w:themeShade="80"/>
          <w:sz w:val="22"/>
          <w:szCs w:val="22"/>
          <w:lang w:val="en-GB"/>
        </w:rPr>
        <w:t xml:space="preserve">the </w:t>
      </w:r>
      <w:r w:rsidR="006B1370">
        <w:rPr>
          <w:rFonts w:ascii="Avenir Next" w:hAnsi="Avenir Next" w:cs="Arial"/>
          <w:color w:val="808080" w:themeColor="background1" w:themeShade="80"/>
          <w:sz w:val="22"/>
          <w:szCs w:val="22"/>
          <w:lang w:val="en-GB"/>
        </w:rPr>
        <w:t xml:space="preserve">footnote of paragraph 2 </w:t>
      </w:r>
      <w:r w:rsidR="002B3286">
        <w:rPr>
          <w:rFonts w:ascii="Avenir Next" w:hAnsi="Avenir Next" w:cs="Arial"/>
          <w:color w:val="808080" w:themeColor="background1" w:themeShade="80"/>
          <w:sz w:val="22"/>
          <w:szCs w:val="22"/>
          <w:lang w:val="en-GB"/>
        </w:rPr>
        <w:t>permits states that deny recognition to foreign tax and social security claims to continue to discriminate against tho</w:t>
      </w:r>
      <w:r w:rsidR="00633388">
        <w:rPr>
          <w:rFonts w:ascii="Avenir Next" w:hAnsi="Avenir Next" w:cs="Arial"/>
          <w:color w:val="808080" w:themeColor="background1" w:themeShade="80"/>
          <w:sz w:val="22"/>
          <w:szCs w:val="22"/>
          <w:lang w:val="en-GB"/>
        </w:rPr>
        <w:t>s</w:t>
      </w:r>
      <w:r w:rsidR="002B3286">
        <w:rPr>
          <w:rFonts w:ascii="Avenir Next" w:hAnsi="Avenir Next" w:cs="Arial"/>
          <w:color w:val="808080" w:themeColor="background1" w:themeShade="80"/>
          <w:sz w:val="22"/>
          <w:szCs w:val="22"/>
          <w:lang w:val="en-GB"/>
        </w:rPr>
        <w:t>e claims.</w:t>
      </w:r>
      <w:r w:rsidR="002B3286">
        <w:rPr>
          <w:rStyle w:val="FootnoteReference"/>
          <w:rFonts w:ascii="Avenir Next" w:hAnsi="Avenir Next" w:cs="Arial"/>
          <w:color w:val="808080" w:themeColor="background1" w:themeShade="80"/>
          <w:sz w:val="22"/>
          <w:szCs w:val="22"/>
          <w:lang w:val="en-GB"/>
        </w:rPr>
        <w:footnoteReference w:id="7"/>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lastRenderedPageBreak/>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6C6ED64F" w14:textId="77777777" w:rsidR="0057650B" w:rsidRDefault="0057650B" w:rsidP="00100E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three kinds of reliefs available under the MLCBI:</w:t>
      </w:r>
    </w:p>
    <w:p w14:paraId="43FD33AA" w14:textId="02A22C58" w:rsidR="0057650B" w:rsidRDefault="0057650B" w:rsidP="0057650B">
      <w:pPr>
        <w:pStyle w:val="ListParagraph"/>
        <w:numPr>
          <w:ilvl w:val="0"/>
          <w:numId w:val="5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Interim Relief (urgent) that can be sought at any time after application to recognize a foreign proceeding has been made (Art. 19)</w:t>
      </w:r>
    </w:p>
    <w:p w14:paraId="68A0C5C3" w14:textId="2CEC8C02" w:rsidR="0057650B" w:rsidRDefault="0057650B" w:rsidP="0057650B">
      <w:pPr>
        <w:pStyle w:val="ListParagraph"/>
        <w:numPr>
          <w:ilvl w:val="0"/>
          <w:numId w:val="5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Mandatory automatic relief upon recognition of foreign proceedings as a ‘foreign main proceeding’ (Art. 20)</w:t>
      </w:r>
    </w:p>
    <w:p w14:paraId="3CB7FEFA" w14:textId="713C3552" w:rsidR="0057650B" w:rsidRDefault="0057650B" w:rsidP="0057650B">
      <w:pPr>
        <w:pStyle w:val="ListParagraph"/>
        <w:numPr>
          <w:ilvl w:val="0"/>
          <w:numId w:val="5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Discretionary post-recognition relief available to the main or non-main proceedings. (Art. 21)</w:t>
      </w:r>
    </w:p>
    <w:p w14:paraId="1B45BC86" w14:textId="77777777" w:rsidR="0057650B" w:rsidRPr="0057650B" w:rsidRDefault="0057650B" w:rsidP="0057650B">
      <w:pPr>
        <w:ind w:left="360"/>
        <w:jc w:val="both"/>
        <w:rPr>
          <w:rFonts w:ascii="Avenir Next" w:hAnsi="Avenir Next" w:cs="Arial"/>
          <w:color w:val="808080" w:themeColor="background1" w:themeShade="80"/>
          <w:sz w:val="22"/>
          <w:szCs w:val="22"/>
          <w:lang w:val="en-GB"/>
        </w:rPr>
      </w:pPr>
    </w:p>
    <w:p w14:paraId="18F91E21" w14:textId="343CC975" w:rsidR="00867A8F" w:rsidRDefault="0057650B" w:rsidP="00100E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w:t>
      </w:r>
      <w:r w:rsidR="00F16652">
        <w:rPr>
          <w:rFonts w:ascii="Avenir Next" w:hAnsi="Avenir Next" w:cs="Arial"/>
          <w:color w:val="808080" w:themeColor="background1" w:themeShade="80"/>
          <w:sz w:val="22"/>
          <w:szCs w:val="22"/>
          <w:lang w:val="en-GB"/>
        </w:rPr>
        <w:t xml:space="preserve"> the case of </w:t>
      </w:r>
      <w:r w:rsidR="00F16652" w:rsidRPr="001F48D2">
        <w:rPr>
          <w:rFonts w:ascii="Avenir Next" w:hAnsi="Avenir Next" w:cs="Arial"/>
          <w:b/>
          <w:bCs/>
          <w:color w:val="808080" w:themeColor="background1" w:themeShade="80"/>
          <w:sz w:val="22"/>
          <w:szCs w:val="22"/>
          <w:lang w:val="en-GB"/>
        </w:rPr>
        <w:t>foreign main proceedings</w:t>
      </w:r>
      <w:r w:rsidR="006C7DA4">
        <w:rPr>
          <w:rFonts w:ascii="Avenir Next" w:hAnsi="Avenir Next" w:cs="Arial"/>
          <w:color w:val="808080" w:themeColor="background1" w:themeShade="80"/>
          <w:sz w:val="22"/>
          <w:szCs w:val="22"/>
          <w:lang w:val="en-GB"/>
        </w:rPr>
        <w:t>,</w:t>
      </w:r>
      <w:r w:rsidR="00F16652">
        <w:rPr>
          <w:rFonts w:ascii="Avenir Next" w:hAnsi="Avenir Next" w:cs="Arial"/>
          <w:color w:val="808080" w:themeColor="background1" w:themeShade="80"/>
          <w:sz w:val="22"/>
          <w:szCs w:val="22"/>
          <w:lang w:val="en-GB"/>
        </w:rPr>
        <w:t xml:space="preserve"> the relief granted under </w:t>
      </w:r>
      <w:r w:rsidR="00BC5B0B">
        <w:rPr>
          <w:rFonts w:ascii="Avenir Next" w:hAnsi="Avenir Next" w:cs="Arial"/>
          <w:color w:val="808080" w:themeColor="background1" w:themeShade="80"/>
          <w:sz w:val="22"/>
          <w:szCs w:val="22"/>
          <w:lang w:val="en-GB"/>
        </w:rPr>
        <w:t>Article</w:t>
      </w:r>
      <w:r w:rsidR="00F16652">
        <w:rPr>
          <w:rFonts w:ascii="Avenir Next" w:hAnsi="Avenir Next" w:cs="Arial"/>
          <w:color w:val="808080" w:themeColor="background1" w:themeShade="80"/>
          <w:sz w:val="22"/>
          <w:szCs w:val="22"/>
          <w:lang w:val="en-GB"/>
        </w:rPr>
        <w:t xml:space="preserve"> 20 is automatic mandatory relief</w:t>
      </w:r>
      <w:r>
        <w:rPr>
          <w:rFonts w:ascii="Avenir Next" w:hAnsi="Avenir Next" w:cs="Arial"/>
          <w:color w:val="808080" w:themeColor="background1" w:themeShade="80"/>
          <w:sz w:val="22"/>
          <w:szCs w:val="22"/>
          <w:lang w:val="en-GB"/>
        </w:rPr>
        <w:t xml:space="preserve">. The effects of article 20 flow automatically </w:t>
      </w:r>
      <w:r w:rsidR="001F48D2">
        <w:rPr>
          <w:rFonts w:ascii="Avenir Next" w:hAnsi="Avenir Next" w:cs="Arial"/>
          <w:color w:val="808080" w:themeColor="background1" w:themeShade="80"/>
          <w:sz w:val="22"/>
          <w:szCs w:val="22"/>
          <w:lang w:val="en-GB"/>
        </w:rPr>
        <w:t>and allow time for steps to be taken to organize an orderly and fair cross-border insolvency proceeding. However, the scope of these effects is dependent on the exceptions and limitations that may exist in the law of the enacting State.</w:t>
      </w:r>
      <w:r w:rsidR="001F48D2">
        <w:rPr>
          <w:rStyle w:val="FootnoteReference"/>
          <w:rFonts w:ascii="Avenir Next" w:hAnsi="Avenir Next" w:cs="Arial"/>
          <w:color w:val="808080" w:themeColor="background1" w:themeShade="80"/>
          <w:sz w:val="22"/>
          <w:szCs w:val="22"/>
          <w:lang w:val="en-GB"/>
        </w:rPr>
        <w:footnoteReference w:id="8"/>
      </w:r>
      <w:r w:rsidR="001F48D2">
        <w:rPr>
          <w:rFonts w:ascii="Avenir Next" w:hAnsi="Avenir Next" w:cs="Arial"/>
          <w:color w:val="808080" w:themeColor="background1" w:themeShade="80"/>
          <w:sz w:val="22"/>
          <w:szCs w:val="22"/>
          <w:lang w:val="en-GB"/>
        </w:rPr>
        <w:t xml:space="preserve"> </w:t>
      </w:r>
    </w:p>
    <w:p w14:paraId="4F89F246" w14:textId="37DA2720" w:rsidR="001F48D2" w:rsidRDefault="001F48D2" w:rsidP="00100E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case of a </w:t>
      </w:r>
      <w:r w:rsidRPr="00210BBF">
        <w:rPr>
          <w:rFonts w:ascii="Avenir Next" w:hAnsi="Avenir Next" w:cs="Arial"/>
          <w:b/>
          <w:bCs/>
          <w:color w:val="808080" w:themeColor="background1" w:themeShade="80"/>
          <w:sz w:val="22"/>
          <w:szCs w:val="22"/>
          <w:lang w:val="en-GB"/>
        </w:rPr>
        <w:t>foreign non-main proceeding</w:t>
      </w:r>
      <w:r>
        <w:rPr>
          <w:rFonts w:ascii="Avenir Next" w:hAnsi="Avenir Next" w:cs="Arial"/>
          <w:color w:val="808080" w:themeColor="background1" w:themeShade="80"/>
          <w:sz w:val="22"/>
          <w:szCs w:val="22"/>
          <w:lang w:val="en-GB"/>
        </w:rPr>
        <w:t xml:space="preserve">, the relief granted under </w:t>
      </w:r>
      <w:r w:rsidR="00210BBF">
        <w:rPr>
          <w:rFonts w:ascii="Avenir Next" w:hAnsi="Avenir Next" w:cs="Arial"/>
          <w:color w:val="808080" w:themeColor="background1" w:themeShade="80"/>
          <w:sz w:val="22"/>
          <w:szCs w:val="22"/>
          <w:lang w:val="en-GB"/>
        </w:rPr>
        <w:t>Article</w:t>
      </w:r>
      <w:r>
        <w:rPr>
          <w:rFonts w:ascii="Avenir Next" w:hAnsi="Avenir Next" w:cs="Arial"/>
          <w:color w:val="808080" w:themeColor="background1" w:themeShade="80"/>
          <w:sz w:val="22"/>
          <w:szCs w:val="22"/>
          <w:lang w:val="en-GB"/>
        </w:rPr>
        <w:t xml:space="preserve"> 21 is discretionary in nature. It is considered that the interests and authorities of foreign representatives of a non-main proceeding are much narrower than </w:t>
      </w:r>
      <w:r w:rsidR="00210BBF">
        <w:rPr>
          <w:rFonts w:ascii="Avenir Next" w:hAnsi="Avenir Next" w:cs="Arial"/>
          <w:color w:val="808080" w:themeColor="background1" w:themeShade="80"/>
          <w:sz w:val="22"/>
          <w:szCs w:val="22"/>
          <w:lang w:val="en-GB"/>
        </w:rPr>
        <w:t>the interests and authority of foreign representatives</w:t>
      </w:r>
      <w:r>
        <w:rPr>
          <w:rFonts w:ascii="Avenir Next" w:hAnsi="Avenir Next" w:cs="Arial"/>
          <w:color w:val="808080" w:themeColor="background1" w:themeShade="80"/>
          <w:sz w:val="22"/>
          <w:szCs w:val="22"/>
          <w:lang w:val="en-GB"/>
        </w:rPr>
        <w:t xml:space="preserve"> of main proceedings. The MLCBI</w:t>
      </w:r>
      <w:r w:rsidR="00210BBF">
        <w:rPr>
          <w:rFonts w:ascii="Avenir Next" w:hAnsi="Avenir Next" w:cs="Arial"/>
          <w:color w:val="808080" w:themeColor="background1" w:themeShade="80"/>
          <w:sz w:val="22"/>
          <w:szCs w:val="22"/>
          <w:lang w:val="en-GB"/>
        </w:rPr>
        <w:t>, under para 3 of article 21, clarifies that relief granted to foreign non-main proceedings</w:t>
      </w:r>
      <w:r>
        <w:rPr>
          <w:rFonts w:ascii="Avenir Next" w:hAnsi="Avenir Next" w:cs="Arial"/>
          <w:color w:val="808080" w:themeColor="background1" w:themeShade="80"/>
          <w:sz w:val="22"/>
          <w:szCs w:val="22"/>
          <w:lang w:val="en-GB"/>
        </w:rPr>
        <w:t xml:space="preserve"> should be limited to assets that are to be administered in non-main proceedings.</w:t>
      </w:r>
      <w:r w:rsidR="00210BBF">
        <w:rPr>
          <w:rFonts w:ascii="Avenir Next" w:hAnsi="Avenir Next" w:cs="Arial"/>
          <w:color w:val="808080" w:themeColor="background1" w:themeShade="80"/>
          <w:sz w:val="22"/>
          <w:szCs w:val="22"/>
          <w:lang w:val="en-GB"/>
        </w:rPr>
        <w:t xml:space="preserve"> Only such information must be provided to the representative concerning debtor’s assets and affairs, as is necessary for the non-main proceeding. The court must avoid giving broad powers to foreign representatives that interferes with the administration of another insolvency proceedings, specifically main proceedings.</w:t>
      </w:r>
      <w:r w:rsidR="00210BBF">
        <w:rPr>
          <w:rStyle w:val="FootnoteReference"/>
          <w:rFonts w:ascii="Avenir Next" w:hAnsi="Avenir Next" w:cs="Arial"/>
          <w:color w:val="808080" w:themeColor="background1" w:themeShade="80"/>
          <w:sz w:val="22"/>
          <w:szCs w:val="22"/>
          <w:lang w:val="en-GB"/>
        </w:rPr>
        <w:footnoteReference w:id="9"/>
      </w:r>
    </w:p>
    <w:p w14:paraId="2349A9EE" w14:textId="77777777" w:rsidR="0057650B" w:rsidRDefault="0057650B" w:rsidP="00100E8F">
      <w:pPr>
        <w:ind w:left="720" w:hanging="720"/>
        <w:jc w:val="both"/>
        <w:rPr>
          <w:rFonts w:ascii="Avenir Next" w:hAnsi="Avenir Next" w:cs="Arial"/>
          <w:color w:val="808080" w:themeColor="background1" w:themeShade="80"/>
          <w:sz w:val="22"/>
          <w:szCs w:val="22"/>
          <w:lang w:val="en-GB"/>
        </w:rPr>
      </w:pP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6EB2F0C4" w:rsidR="00867A8F" w:rsidRDefault="00455DE8"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that the COMI is in Germany, the foreign main proceedings must start in Germany. USA will recognize the proceedings in Germany as primary insolvency proceedings. Since the debtor has an ‘establishment’ in Bermuda, the proceedings therein shall be recognized as secondary insolvency proceedings or foreign non-main proceedings. For this purpose, a </w:t>
      </w:r>
      <w:r w:rsidR="00443086">
        <w:rPr>
          <w:rFonts w:ascii="Avenir Next" w:hAnsi="Avenir Next" w:cs="Arial"/>
          <w:color w:val="808080" w:themeColor="background1" w:themeShade="80"/>
          <w:sz w:val="22"/>
          <w:szCs w:val="22"/>
          <w:lang w:val="en-GB"/>
        </w:rPr>
        <w:t>Chapter</w:t>
      </w:r>
      <w:r>
        <w:rPr>
          <w:rFonts w:ascii="Avenir Next" w:hAnsi="Avenir Next" w:cs="Arial"/>
          <w:color w:val="808080" w:themeColor="background1" w:themeShade="80"/>
          <w:sz w:val="22"/>
          <w:szCs w:val="22"/>
          <w:lang w:val="en-GB"/>
        </w:rPr>
        <w:t xml:space="preserve"> 15 application must be made to seek recognition under the US Bankruptcy Code.</w:t>
      </w:r>
    </w:p>
    <w:p w14:paraId="5CA072C2" w14:textId="4CA4181B" w:rsidR="00443086" w:rsidRPr="00B77352" w:rsidRDefault="00443086"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recognized in USA, it would foster coordination and cooperation between US and foreign proceedings. The relief provided by the courts hereunder might impose an automatic stay on the actions of other </w:t>
      </w:r>
      <w:r w:rsidR="00DD454F">
        <w:rPr>
          <w:rFonts w:ascii="Avenir Next" w:hAnsi="Avenir Next" w:cs="Arial"/>
          <w:color w:val="808080" w:themeColor="background1" w:themeShade="80"/>
          <w:sz w:val="22"/>
          <w:szCs w:val="22"/>
          <w:lang w:val="en-GB"/>
        </w:rPr>
        <w:t>debtors’</w:t>
      </w:r>
      <w:r>
        <w:rPr>
          <w:rFonts w:ascii="Avenir Next" w:hAnsi="Avenir Next" w:cs="Arial"/>
          <w:color w:val="808080" w:themeColor="background1" w:themeShade="80"/>
          <w:sz w:val="22"/>
          <w:szCs w:val="22"/>
          <w:lang w:val="en-GB"/>
        </w:rPr>
        <w:t xml:space="preserve"> creditors.</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lastRenderedPageBreak/>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3937CDFF" w14:textId="4731BE6F" w:rsidR="00867A8F" w:rsidRDefault="00443086"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Answer:</w:t>
      </w:r>
      <w:r w:rsidR="008E5C96">
        <w:rPr>
          <w:rFonts w:ascii="Avenir Next" w:hAnsi="Avenir Next" w:cs="Arial"/>
          <w:color w:val="808080" w:themeColor="background1" w:themeShade="80"/>
          <w:sz w:val="22"/>
          <w:szCs w:val="22"/>
          <w:lang w:val="en-GB"/>
        </w:rPr>
        <w:t xml:space="preserve"> The commencement of recognition proceedings under Chapter 15 of the US Bankruptcy Code does not, in any way, prevent the filing of any other legal action against the joint </w:t>
      </w:r>
      <w:r w:rsidR="005C6877">
        <w:rPr>
          <w:rFonts w:ascii="Avenir Next" w:hAnsi="Avenir Next" w:cs="Arial"/>
          <w:color w:val="808080" w:themeColor="background1" w:themeShade="80"/>
          <w:sz w:val="22"/>
          <w:szCs w:val="22"/>
          <w:lang w:val="en-GB"/>
        </w:rPr>
        <w:t xml:space="preserve">provisional </w:t>
      </w:r>
      <w:r w:rsidR="008E5C96">
        <w:rPr>
          <w:rFonts w:ascii="Avenir Next" w:hAnsi="Avenir Next" w:cs="Arial"/>
          <w:color w:val="808080" w:themeColor="background1" w:themeShade="80"/>
          <w:sz w:val="22"/>
          <w:szCs w:val="22"/>
          <w:lang w:val="en-GB"/>
        </w:rPr>
        <w:t>liquidators. The relief of automatic stay available under US law (relating to article 19/20/21 of MLCBI) is only applicable to the extent that it affects the assets, properties, or estate of the debtor. Therefore, a suit for tortious interference against the joint provisional liquidators can run parallelly to the recognition proceedings as the provisions of automatic stay shall not apply</w:t>
      </w:r>
      <w:r w:rsidR="005C6877">
        <w:rPr>
          <w:rFonts w:ascii="Avenir Next" w:hAnsi="Avenir Next" w:cs="Arial"/>
          <w:color w:val="808080" w:themeColor="background1" w:themeShade="80"/>
          <w:sz w:val="22"/>
          <w:szCs w:val="22"/>
          <w:lang w:val="en-GB"/>
        </w:rPr>
        <w:t xml:space="preserve"> to the tort committed by the foreign representative.</w:t>
      </w:r>
    </w:p>
    <w:p w14:paraId="7C7C3F7D" w14:textId="359C8168" w:rsidR="005C6877" w:rsidRPr="00B77352" w:rsidRDefault="005C6877"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 as per CSL Australia v Britannia Bulkers A/S (2009) – US Bankruptcy Code Section 1509(e) provides that subject to article 10, a foreign representative is subject to applicable non-bankruptcy law and must comply with court orders.</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2AF7F65D" w14:textId="36441911" w:rsidR="00DD454F" w:rsidRDefault="00EE7AB5" w:rsidP="00DD454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Answer: It is clear in US bankruptcy jurisprudence that ipso facto clauses are not enforceable under US law. </w:t>
      </w:r>
      <w:r w:rsidR="008C0E0E">
        <w:rPr>
          <w:rFonts w:ascii="Avenir Next" w:hAnsi="Avenir Next" w:cs="Arial"/>
          <w:color w:val="808080" w:themeColor="background1" w:themeShade="80"/>
          <w:sz w:val="22"/>
          <w:szCs w:val="22"/>
          <w:lang w:val="en-GB"/>
        </w:rPr>
        <w:t xml:space="preserve">The facts of this case are somewhat similar to the Pan Ocean case (2014) wherein the </w:t>
      </w:r>
      <w:r w:rsidR="00DD454F">
        <w:rPr>
          <w:rFonts w:ascii="Avenir Next" w:hAnsi="Avenir Next" w:cs="Arial"/>
          <w:color w:val="808080" w:themeColor="background1" w:themeShade="80"/>
          <w:sz w:val="22"/>
          <w:szCs w:val="22"/>
          <w:lang w:val="en-GB"/>
        </w:rPr>
        <w:t xml:space="preserve">Korean insolvency regime, where proceedings were started, declared ipso facto clauses null and void. The contract between Brazilian and Korean companies contained an ipso facto clause that allows termination of the contract upon one party entering into an insolvency proceeding. The Korean liquidator approached the UK courts as a foreign representative and requested relief of preventing the Brazilian party from exercising the ipso-facto clause. </w:t>
      </w:r>
      <w:r w:rsidR="00CA5E4F" w:rsidRPr="00CA5E4F">
        <w:rPr>
          <w:rFonts w:ascii="Avenir Next" w:hAnsi="Avenir Next" w:cs="Arial"/>
          <w:color w:val="808080" w:themeColor="background1" w:themeShade="80"/>
          <w:sz w:val="22"/>
          <w:szCs w:val="22"/>
          <w:lang w:val="en-GB"/>
        </w:rPr>
        <w:t xml:space="preserve">English High Court decided it would not intervene to prevent </w:t>
      </w:r>
      <w:r w:rsidR="00CA5E4F">
        <w:rPr>
          <w:rFonts w:ascii="Avenir Next" w:hAnsi="Avenir Next" w:cs="Arial"/>
          <w:color w:val="808080" w:themeColor="background1" w:themeShade="80"/>
          <w:sz w:val="22"/>
          <w:szCs w:val="22"/>
          <w:lang w:val="en-GB"/>
        </w:rPr>
        <w:t xml:space="preserve">the </w:t>
      </w:r>
      <w:r w:rsidR="00CA5E4F" w:rsidRPr="00CA5E4F">
        <w:rPr>
          <w:rFonts w:ascii="Avenir Next" w:hAnsi="Avenir Next" w:cs="Arial"/>
          <w:color w:val="808080" w:themeColor="background1" w:themeShade="80"/>
          <w:sz w:val="22"/>
          <w:szCs w:val="22"/>
          <w:lang w:val="en-GB"/>
        </w:rPr>
        <w:t>termination of an English law contract for insolvency even though such termination was inoperative or invalid under the foreign law governing insolvency.</w:t>
      </w:r>
      <w:r w:rsidR="00CA5E4F">
        <w:rPr>
          <w:rStyle w:val="FootnoteReference"/>
          <w:rFonts w:ascii="Avenir Next" w:hAnsi="Avenir Next" w:cs="Arial"/>
          <w:color w:val="808080" w:themeColor="background1" w:themeShade="80"/>
          <w:sz w:val="22"/>
          <w:szCs w:val="22"/>
          <w:lang w:val="en-GB"/>
        </w:rPr>
        <w:footnoteReference w:id="10"/>
      </w:r>
    </w:p>
    <w:p w14:paraId="3C6B9332" w14:textId="60536449" w:rsidR="00CA5E4F" w:rsidRPr="00F31EE9" w:rsidRDefault="00CA5E4F" w:rsidP="00DD454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given case, the facts </w:t>
      </w:r>
      <w:r w:rsidR="00714A69">
        <w:rPr>
          <w:rFonts w:ascii="Avenir Next" w:hAnsi="Avenir Next" w:cs="Arial"/>
          <w:color w:val="808080" w:themeColor="background1" w:themeShade="80"/>
          <w:sz w:val="22"/>
          <w:szCs w:val="22"/>
          <w:lang w:val="en-GB"/>
        </w:rPr>
        <w:t>mention that leases and IP licenses are governed by US law, and therefore, application of ipso facto clauses is a matter of policy, and US courts have every right to apply their policies to the lease and license governed under their law. The foreign representative may seek appropriate relief before the courts (vide article 21, MLCBI). However, since the parties had made a choice of law governing their contracts as US law, the court cannot be expected to apply UK law (where ipso facto clauses are valid).</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 xml:space="preserve">e the foreign proceeding as the foreign main proceeding in order to sell certain assets within the territorial jurisdiction of Country B, but unfortunately the insolvency court considering the petition for recognition denied the recognition of </w:t>
      </w:r>
      <w:r w:rsidRPr="000A7632">
        <w:rPr>
          <w:rFonts w:ascii="Avenir Next" w:hAnsi="Avenir Next" w:cs="Arial"/>
          <w:sz w:val="22"/>
          <w:szCs w:val="22"/>
          <w:lang w:val="en-GB"/>
        </w:rPr>
        <w:lastRenderedPageBreak/>
        <w:t>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55D111B1" w14:textId="341F9837" w:rsidR="00867A8F" w:rsidRDefault="00513CFD"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Answer: The foreign debtor only has a registered office in Country A. Under the MLCBI presumptions under </w:t>
      </w:r>
      <w:r w:rsidR="00297408">
        <w:rPr>
          <w:rFonts w:ascii="Avenir Next" w:hAnsi="Avenir Next" w:cs="Arial"/>
          <w:color w:val="808080" w:themeColor="background1" w:themeShade="80"/>
          <w:sz w:val="22"/>
          <w:szCs w:val="22"/>
          <w:lang w:val="en-GB"/>
        </w:rPr>
        <w:t>Article</w:t>
      </w:r>
      <w:r>
        <w:rPr>
          <w:rFonts w:ascii="Avenir Next" w:hAnsi="Avenir Next" w:cs="Arial"/>
          <w:color w:val="808080" w:themeColor="background1" w:themeShade="80"/>
          <w:sz w:val="22"/>
          <w:szCs w:val="22"/>
          <w:lang w:val="en-GB"/>
        </w:rPr>
        <w:t xml:space="preserve"> 16, in the absence of the contrary, a registered office can be counted to evaluate the debtor's COMI. There is a chance that the court has rejected the foreign representative’s recognition application on the ground that it fails to establish the </w:t>
      </w:r>
      <w:r w:rsidR="00297408">
        <w:rPr>
          <w:rFonts w:ascii="Avenir Next" w:hAnsi="Avenir Next" w:cs="Arial"/>
          <w:color w:val="808080" w:themeColor="background1" w:themeShade="80"/>
          <w:sz w:val="22"/>
          <w:szCs w:val="22"/>
          <w:lang w:val="en-GB"/>
        </w:rPr>
        <w:t>debtor's</w:t>
      </w:r>
      <w:r>
        <w:rPr>
          <w:rFonts w:ascii="Avenir Next" w:hAnsi="Avenir Next" w:cs="Arial"/>
          <w:color w:val="808080" w:themeColor="background1" w:themeShade="80"/>
          <w:sz w:val="22"/>
          <w:szCs w:val="22"/>
          <w:lang w:val="en-GB"/>
        </w:rPr>
        <w:t xml:space="preserve"> COMI in country A. In such cases, where it is difficult to determine the </w:t>
      </w:r>
      <w:r w:rsidR="00297408">
        <w:rPr>
          <w:rFonts w:ascii="Avenir Next" w:hAnsi="Avenir Next" w:cs="Arial"/>
          <w:color w:val="808080" w:themeColor="background1" w:themeShade="80"/>
          <w:sz w:val="22"/>
          <w:szCs w:val="22"/>
          <w:lang w:val="en-GB"/>
        </w:rPr>
        <w:t>debtor's</w:t>
      </w:r>
      <w:r>
        <w:rPr>
          <w:rFonts w:ascii="Avenir Next" w:hAnsi="Avenir Next" w:cs="Arial"/>
          <w:color w:val="808080" w:themeColor="background1" w:themeShade="80"/>
          <w:sz w:val="22"/>
          <w:szCs w:val="22"/>
          <w:lang w:val="en-GB"/>
        </w:rPr>
        <w:t xml:space="preserve"> comi based on primary factors, a) where central administration of debtor takes place, b) which is readily ascertainable by creditors, the court also looks at factors like location of banks, employees, </w:t>
      </w:r>
      <w:r w:rsidR="00297408">
        <w:rPr>
          <w:rFonts w:ascii="Avenir Next" w:hAnsi="Avenir Next" w:cs="Arial"/>
          <w:color w:val="808080" w:themeColor="background1" w:themeShade="80"/>
          <w:sz w:val="22"/>
          <w:szCs w:val="22"/>
          <w:lang w:val="en-GB"/>
        </w:rPr>
        <w:t>debtor’s</w:t>
      </w:r>
      <w:r>
        <w:rPr>
          <w:rFonts w:ascii="Avenir Next" w:hAnsi="Avenir Next" w:cs="Arial"/>
          <w:color w:val="808080" w:themeColor="background1" w:themeShade="80"/>
          <w:sz w:val="22"/>
          <w:szCs w:val="22"/>
          <w:lang w:val="en-GB"/>
        </w:rPr>
        <w:t xml:space="preserve"> books and records, location from which reorganization of debtor was being conducted, etc. </w:t>
      </w:r>
    </w:p>
    <w:p w14:paraId="6841A1DE" w14:textId="1DA09CD0" w:rsidR="00D5244F" w:rsidRDefault="00297408"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court has </w:t>
      </w:r>
      <w:r w:rsidR="00985C40">
        <w:rPr>
          <w:rFonts w:ascii="Avenir Next" w:hAnsi="Avenir Next" w:cs="Arial"/>
          <w:color w:val="808080" w:themeColor="background1" w:themeShade="80"/>
          <w:sz w:val="22"/>
          <w:szCs w:val="22"/>
          <w:lang w:val="en-GB"/>
        </w:rPr>
        <w:t xml:space="preserve">rejected the application, the foreign representative should make an application to identify the proceedings as a foreign non-main proceeding. </w:t>
      </w:r>
    </w:p>
    <w:p w14:paraId="696BA185" w14:textId="77777777" w:rsidR="00985C40" w:rsidRDefault="00985C40" w:rsidP="00707FC8">
      <w:pPr>
        <w:jc w:val="both"/>
        <w:rPr>
          <w:rFonts w:ascii="Avenir Next" w:hAnsi="Avenir Next" w:cs="Arial"/>
          <w:color w:val="808080" w:themeColor="background1" w:themeShade="80"/>
          <w:sz w:val="22"/>
          <w:szCs w:val="22"/>
          <w:lang w:val="en-GB"/>
        </w:rPr>
      </w:pPr>
    </w:p>
    <w:p w14:paraId="5B260845" w14:textId="46BD4301" w:rsidR="00985C40" w:rsidRDefault="00985C40" w:rsidP="00707FC8">
      <w:pPr>
        <w:jc w:val="both"/>
        <w:rPr>
          <w:rFonts w:ascii="Avenir Next" w:hAnsi="Avenir Next" w:cs="Arial"/>
          <w:b/>
          <w:sz w:val="22"/>
          <w:szCs w:val="22"/>
          <w:lang w:val="en-GB"/>
        </w:rPr>
      </w:pPr>
      <w:r>
        <w:rPr>
          <w:rFonts w:ascii="Avenir Next" w:hAnsi="Avenir Next" w:cs="Arial"/>
          <w:color w:val="808080" w:themeColor="background1" w:themeShade="80"/>
          <w:sz w:val="22"/>
          <w:szCs w:val="22"/>
          <w:lang w:val="en-GB"/>
        </w:rPr>
        <w:t>At the outset, the foreign representative should have considered the provisions of article 2 of the MLCBI to confirm where the debtors COMI is because if a foreign proceeding that is not opened in the jurisdiction of the Debtor’s COMI and also does not have an establishment, cannot be recognized as foreign proceeding under model law. Now, the FR must ensure that it has an establishment in Country A – a place of operation where the debtor carries out non-transitory economic activity with human means and goods or services. Further, the FR must also ensure that the application for recognition is not violative of the public policy of the state where recognition is being sought. (article 6, public policy exception).</w:t>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bookmarkStart w:id="4" w:name="_Hlk159280330"/>
      <w:r w:rsidRPr="00E61F6E">
        <w:rPr>
          <w:rFonts w:ascii="Avenir Next" w:hAnsi="Avenir Next"/>
          <w:sz w:val="22"/>
          <w:szCs w:val="28"/>
        </w:rPr>
        <w:lastRenderedPageBreak/>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bookmarkEnd w:id="4"/>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5"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5"/>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30D7E6F9" w14:textId="5F1D2C6B" w:rsidR="009E3CA7" w:rsidRDefault="00253DB9"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Answer: The key filing strategy are following:</w:t>
      </w:r>
    </w:p>
    <w:p w14:paraId="4BF7225F" w14:textId="77777777" w:rsidR="00253DB9" w:rsidRDefault="00253DB9" w:rsidP="009E3CA7">
      <w:pPr>
        <w:jc w:val="both"/>
        <w:rPr>
          <w:rFonts w:ascii="Avenir Next" w:hAnsi="Avenir Next"/>
          <w:color w:val="808080" w:themeColor="background1" w:themeShade="80"/>
          <w:sz w:val="22"/>
          <w:szCs w:val="28"/>
        </w:rPr>
      </w:pPr>
    </w:p>
    <w:p w14:paraId="719AEFE1" w14:textId="662A40AC" w:rsidR="00253DB9" w:rsidRDefault="00253DB9" w:rsidP="009E3CA7">
      <w:pPr>
        <w:jc w:val="both"/>
        <w:rPr>
          <w:rFonts w:ascii="Avenir Next" w:hAnsi="Avenir Next"/>
          <w:color w:val="808080" w:themeColor="background1" w:themeShade="80"/>
          <w:sz w:val="22"/>
          <w:szCs w:val="28"/>
        </w:rPr>
      </w:pPr>
      <w:r w:rsidRPr="004D525A">
        <w:rPr>
          <w:rFonts w:ascii="Avenir Next" w:hAnsi="Avenir Next"/>
          <w:b/>
          <w:bCs/>
          <w:color w:val="808080" w:themeColor="background1" w:themeShade="80"/>
          <w:sz w:val="22"/>
          <w:szCs w:val="28"/>
        </w:rPr>
        <w:t>Introduction:</w:t>
      </w:r>
      <w:r>
        <w:rPr>
          <w:rFonts w:ascii="Avenir Next" w:hAnsi="Avenir Next"/>
          <w:color w:val="808080" w:themeColor="background1" w:themeShade="80"/>
          <w:sz w:val="22"/>
          <w:szCs w:val="28"/>
        </w:rPr>
        <w:t xml:space="preserve"> The debtor is incorporated and registered in </w:t>
      </w:r>
      <w:r w:rsidR="008805DC">
        <w:rPr>
          <w:rFonts w:ascii="Avenir Next" w:hAnsi="Avenir Next"/>
          <w:color w:val="808080" w:themeColor="background1" w:themeShade="80"/>
          <w:sz w:val="22"/>
          <w:szCs w:val="28"/>
        </w:rPr>
        <w:t xml:space="preserve">the </w:t>
      </w:r>
      <w:r>
        <w:rPr>
          <w:rFonts w:ascii="Avenir Next" w:hAnsi="Avenir Next"/>
          <w:color w:val="808080" w:themeColor="background1" w:themeShade="80"/>
          <w:sz w:val="22"/>
          <w:szCs w:val="28"/>
        </w:rPr>
        <w:t>Cayman Islands and operates through several direct and direct subsidiaries incorporated under US laws and operating in the US, including all employees and headquarters. It issues USD 25,000,000 in aggregate nominal principal amount of 6.625% senior unsecured notes, governed by New York law, due in 2023.</w:t>
      </w:r>
      <w:r w:rsidR="008805DC">
        <w:rPr>
          <w:rFonts w:ascii="Avenir Next" w:hAnsi="Avenir Next"/>
          <w:color w:val="808080" w:themeColor="background1" w:themeShade="80"/>
          <w:sz w:val="22"/>
          <w:szCs w:val="28"/>
        </w:rPr>
        <w:t xml:space="preserve"> In 2020, the company, owing to incremental challenges became insolvent. The legal advisors suggested that the most beneficial path for the company was to commence scheme under Cayman Islands law and apply for chapter 15 recognition proceedings in the US. The majority noteholders have agreed to this and agreed to delay interest payments and restructure notes through formal proceedings. In </w:t>
      </w:r>
      <w:r w:rsidR="008A4732">
        <w:rPr>
          <w:rFonts w:ascii="Avenir Next" w:hAnsi="Avenir Next"/>
          <w:color w:val="808080" w:themeColor="background1" w:themeShade="80"/>
          <w:sz w:val="22"/>
          <w:szCs w:val="28"/>
        </w:rPr>
        <w:t xml:space="preserve">2021, 57% </w:t>
      </w:r>
      <w:r w:rsidR="00933BC3">
        <w:rPr>
          <w:rFonts w:ascii="Avenir Next" w:hAnsi="Avenir Next"/>
          <w:color w:val="808080" w:themeColor="background1" w:themeShade="80"/>
          <w:sz w:val="22"/>
          <w:szCs w:val="28"/>
        </w:rPr>
        <w:t xml:space="preserve">of </w:t>
      </w:r>
      <w:r w:rsidR="008A4732">
        <w:rPr>
          <w:rFonts w:ascii="Avenir Next" w:hAnsi="Avenir Next"/>
          <w:color w:val="808080" w:themeColor="background1" w:themeShade="80"/>
          <w:sz w:val="22"/>
          <w:szCs w:val="28"/>
        </w:rPr>
        <w:t xml:space="preserve">noteholders acceded to the ‘Restructuring Support Agreement’ (RSA) governed by New York law. The proceeding will take place in </w:t>
      </w:r>
      <w:r w:rsidR="00933BC3">
        <w:rPr>
          <w:rFonts w:ascii="Avenir Next" w:hAnsi="Avenir Next"/>
          <w:color w:val="808080" w:themeColor="background1" w:themeShade="80"/>
          <w:sz w:val="22"/>
          <w:szCs w:val="28"/>
        </w:rPr>
        <w:t xml:space="preserve">the </w:t>
      </w:r>
      <w:r w:rsidR="008A4732">
        <w:rPr>
          <w:rFonts w:ascii="Avenir Next" w:hAnsi="Avenir Next"/>
          <w:color w:val="808080" w:themeColor="background1" w:themeShade="80"/>
          <w:sz w:val="22"/>
          <w:szCs w:val="28"/>
        </w:rPr>
        <w:t xml:space="preserve">Cayman Islands. </w:t>
      </w:r>
    </w:p>
    <w:p w14:paraId="42480525" w14:textId="77777777" w:rsidR="008A4732" w:rsidRDefault="008A4732" w:rsidP="009E3CA7">
      <w:pPr>
        <w:jc w:val="both"/>
        <w:rPr>
          <w:rFonts w:ascii="Avenir Next" w:hAnsi="Avenir Next"/>
          <w:color w:val="808080" w:themeColor="background1" w:themeShade="80"/>
          <w:sz w:val="22"/>
          <w:szCs w:val="28"/>
        </w:rPr>
      </w:pPr>
    </w:p>
    <w:p w14:paraId="1C0CE4D3" w14:textId="03F692E8" w:rsidR="008A4732" w:rsidRDefault="008A4732"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Cayman Islands court authorised the </w:t>
      </w:r>
      <w:r w:rsidR="009837A3">
        <w:rPr>
          <w:rFonts w:ascii="Avenir Next" w:hAnsi="Avenir Next"/>
          <w:color w:val="808080" w:themeColor="background1" w:themeShade="80"/>
          <w:sz w:val="22"/>
          <w:szCs w:val="28"/>
        </w:rPr>
        <w:t xml:space="preserve">client to convene </w:t>
      </w:r>
      <w:r w:rsidR="00933BC3">
        <w:rPr>
          <w:rFonts w:ascii="Avenir Next" w:hAnsi="Avenir Next"/>
          <w:color w:val="808080" w:themeColor="background1" w:themeShade="80"/>
          <w:sz w:val="22"/>
          <w:szCs w:val="28"/>
        </w:rPr>
        <w:t>a single</w:t>
      </w:r>
      <w:r w:rsidR="009837A3">
        <w:rPr>
          <w:rFonts w:ascii="Avenir Next" w:hAnsi="Avenir Next"/>
          <w:color w:val="808080" w:themeColor="background1" w:themeShade="80"/>
          <w:sz w:val="22"/>
          <w:szCs w:val="28"/>
        </w:rPr>
        <w:t xml:space="preserve"> scheme</w:t>
      </w:r>
      <w:r w:rsidR="00933BC3">
        <w:rPr>
          <w:rFonts w:ascii="Avenir Next" w:hAnsi="Avenir Next"/>
          <w:color w:val="808080" w:themeColor="background1" w:themeShade="80"/>
          <w:sz w:val="22"/>
          <w:szCs w:val="28"/>
        </w:rPr>
        <w:t xml:space="preserve"> meeting, which resulted in support from noteholders</w:t>
      </w:r>
      <w:r w:rsidR="004D525A">
        <w:rPr>
          <w:rFonts w:ascii="Avenir Next" w:hAnsi="Avenir Next"/>
          <w:color w:val="808080" w:themeColor="background1" w:themeShade="80"/>
          <w:sz w:val="22"/>
          <w:szCs w:val="28"/>
        </w:rPr>
        <w:t xml:space="preserve">, with 91.83% in number and 99.34% in value voting in favour of the </w:t>
      </w:r>
      <w:r w:rsidR="00933BC3">
        <w:rPr>
          <w:rFonts w:ascii="Avenir Next" w:hAnsi="Avenir Next"/>
          <w:color w:val="808080" w:themeColor="background1" w:themeShade="80"/>
          <w:sz w:val="22"/>
          <w:szCs w:val="28"/>
        </w:rPr>
        <w:t xml:space="preserve">scheme. The scheme was sanctioned. It must also be established that </w:t>
      </w:r>
      <w:r w:rsidR="004D525A">
        <w:rPr>
          <w:rFonts w:ascii="Avenir Next" w:hAnsi="Avenir Next"/>
          <w:color w:val="808080" w:themeColor="background1" w:themeShade="80"/>
          <w:sz w:val="22"/>
          <w:szCs w:val="28"/>
        </w:rPr>
        <w:t xml:space="preserve">the </w:t>
      </w:r>
      <w:r w:rsidR="00933BC3">
        <w:rPr>
          <w:rFonts w:ascii="Avenir Next" w:hAnsi="Avenir Next"/>
          <w:color w:val="808080" w:themeColor="background1" w:themeShade="80"/>
          <w:sz w:val="22"/>
          <w:szCs w:val="28"/>
        </w:rPr>
        <w:t>Cayman Islands has not adopted the UNCITRAL MLCBI.</w:t>
      </w:r>
      <w:r w:rsidR="008C5512">
        <w:rPr>
          <w:rFonts w:ascii="Avenir Next" w:hAnsi="Avenir Next"/>
          <w:color w:val="808080" w:themeColor="background1" w:themeShade="80"/>
          <w:sz w:val="22"/>
          <w:szCs w:val="28"/>
        </w:rPr>
        <w:t xml:space="preserve"> Chapter 15 of US Bankruptcy Code is the domestic adoption of MLCBI.</w:t>
      </w:r>
    </w:p>
    <w:p w14:paraId="1BA8E537" w14:textId="77777777" w:rsidR="008C5512" w:rsidRDefault="008C5512" w:rsidP="009E3CA7">
      <w:pPr>
        <w:jc w:val="both"/>
        <w:rPr>
          <w:rFonts w:ascii="Avenir Next" w:hAnsi="Avenir Next"/>
          <w:color w:val="808080" w:themeColor="background1" w:themeShade="80"/>
          <w:sz w:val="22"/>
          <w:szCs w:val="28"/>
        </w:rPr>
      </w:pPr>
    </w:p>
    <w:p w14:paraId="36BBC587" w14:textId="77777777" w:rsidR="002D52BF" w:rsidRDefault="002D52BF" w:rsidP="009E3CA7">
      <w:pPr>
        <w:jc w:val="both"/>
        <w:rPr>
          <w:rFonts w:ascii="Avenir Next" w:hAnsi="Avenir Next"/>
          <w:color w:val="808080" w:themeColor="background1" w:themeShade="80"/>
          <w:sz w:val="22"/>
          <w:szCs w:val="28"/>
        </w:rPr>
      </w:pPr>
      <w:r>
        <w:rPr>
          <w:rFonts w:ascii="Avenir Next" w:hAnsi="Avenir Next"/>
          <w:b/>
          <w:bCs/>
          <w:color w:val="808080" w:themeColor="background1" w:themeShade="80"/>
          <w:sz w:val="22"/>
          <w:szCs w:val="28"/>
        </w:rPr>
        <w:t xml:space="preserve">Main/Non-main proceedings and </w:t>
      </w:r>
      <w:r w:rsidR="004D525A" w:rsidRPr="004D525A">
        <w:rPr>
          <w:rFonts w:ascii="Avenir Next" w:hAnsi="Avenir Next"/>
          <w:b/>
          <w:bCs/>
          <w:color w:val="808080" w:themeColor="background1" w:themeShade="80"/>
          <w:sz w:val="22"/>
          <w:szCs w:val="28"/>
        </w:rPr>
        <w:t>COMI:</w:t>
      </w:r>
      <w:r w:rsidR="004D525A">
        <w:rPr>
          <w:rFonts w:ascii="Avenir Next" w:hAnsi="Avenir Next"/>
          <w:color w:val="808080" w:themeColor="background1" w:themeShade="80"/>
          <w:sz w:val="22"/>
          <w:szCs w:val="28"/>
        </w:rPr>
        <w:t xml:space="preserve"> COMI is interpreted as a place where the debtor conducts administration of interests on a regular basis and is therefore ascertainable by a third party. In this case, the COMI is in the US. The fact sheet establishes that ‘</w:t>
      </w:r>
      <w:r w:rsidR="004D525A" w:rsidRPr="004D525A">
        <w:rPr>
          <w:rFonts w:ascii="Avenir Next" w:hAnsi="Avenir Next"/>
          <w:color w:val="808080" w:themeColor="background1" w:themeShade="80"/>
          <w:sz w:val="22"/>
          <w:szCs w:val="28"/>
        </w:rPr>
        <w:t xml:space="preserve">Globe Holdings has no business operations of its own. The business is carried out through its non-insurance company </w:t>
      </w:r>
      <w:r>
        <w:rPr>
          <w:rFonts w:ascii="Avenir Next" w:hAnsi="Avenir Next"/>
          <w:color w:val="808080" w:themeColor="background1" w:themeShade="80"/>
          <w:sz w:val="22"/>
          <w:szCs w:val="28"/>
        </w:rPr>
        <w:t xml:space="preserve">and </w:t>
      </w:r>
      <w:r w:rsidR="004D525A" w:rsidRPr="004D525A">
        <w:rPr>
          <w:rFonts w:ascii="Avenir Next" w:hAnsi="Avenir Next"/>
          <w:color w:val="808080" w:themeColor="background1" w:themeShade="80"/>
          <w:sz w:val="22"/>
          <w:szCs w:val="28"/>
        </w:rPr>
        <w:t>non-debtor subsidiaries</w:t>
      </w:r>
      <w:r>
        <w:rPr>
          <w:rFonts w:ascii="Avenir Next" w:hAnsi="Avenir Next"/>
          <w:color w:val="808080" w:themeColor="background1" w:themeShade="80"/>
          <w:sz w:val="22"/>
          <w:szCs w:val="28"/>
        </w:rPr>
        <w:t>, which</w:t>
      </w:r>
      <w:r w:rsidR="004D525A" w:rsidRPr="004D525A">
        <w:rPr>
          <w:rFonts w:ascii="Avenir Next" w:hAnsi="Avenir Next"/>
          <w:color w:val="808080" w:themeColor="background1" w:themeShade="80"/>
          <w:sz w:val="22"/>
          <w:szCs w:val="28"/>
        </w:rPr>
        <w:t xml:space="preserve"> are all incorporated under US laws and operating in the US. All employees are in the US. The headquarters are also in the US.</w:t>
      </w:r>
      <w:r w:rsidR="004D525A">
        <w:rPr>
          <w:rFonts w:ascii="Avenir Next" w:hAnsi="Avenir Next"/>
          <w:color w:val="808080" w:themeColor="background1" w:themeShade="80"/>
          <w:sz w:val="22"/>
          <w:szCs w:val="28"/>
        </w:rPr>
        <w:t xml:space="preserve">’ </w:t>
      </w:r>
    </w:p>
    <w:p w14:paraId="7204380D" w14:textId="77777777" w:rsidR="002D52BF" w:rsidRDefault="002D52BF" w:rsidP="009E3CA7">
      <w:pPr>
        <w:jc w:val="both"/>
        <w:rPr>
          <w:rFonts w:ascii="Avenir Next" w:hAnsi="Avenir Next"/>
          <w:color w:val="808080" w:themeColor="background1" w:themeShade="80"/>
          <w:sz w:val="22"/>
          <w:szCs w:val="28"/>
        </w:rPr>
      </w:pPr>
    </w:p>
    <w:p w14:paraId="55D206AF" w14:textId="2A161FF4" w:rsidR="008C5512" w:rsidRDefault="004D525A"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‘Interest’ includes not only commercial, </w:t>
      </w:r>
      <w:r w:rsidR="003D7922">
        <w:rPr>
          <w:rFonts w:ascii="Avenir Next" w:hAnsi="Avenir Next"/>
          <w:color w:val="808080" w:themeColor="background1" w:themeShade="80"/>
          <w:sz w:val="22"/>
          <w:szCs w:val="28"/>
        </w:rPr>
        <w:t>industrial,</w:t>
      </w:r>
      <w:r>
        <w:rPr>
          <w:rFonts w:ascii="Avenir Next" w:hAnsi="Avenir Next"/>
          <w:color w:val="808080" w:themeColor="background1" w:themeShade="80"/>
          <w:sz w:val="22"/>
          <w:szCs w:val="28"/>
        </w:rPr>
        <w:t xml:space="preserve"> or professional activities but also general economic activities (Virgos Schmitt Report 1996). Therefore, the Centre of Debtors’ Main Interest is in </w:t>
      </w:r>
      <w:r w:rsidR="00DF70C5">
        <w:rPr>
          <w:rFonts w:ascii="Avenir Next" w:hAnsi="Avenir Next"/>
          <w:color w:val="808080" w:themeColor="background1" w:themeShade="80"/>
          <w:sz w:val="22"/>
          <w:szCs w:val="28"/>
        </w:rPr>
        <w:t>the US</w:t>
      </w:r>
      <w:r>
        <w:rPr>
          <w:rFonts w:ascii="Avenir Next" w:hAnsi="Avenir Next"/>
          <w:color w:val="808080" w:themeColor="background1" w:themeShade="80"/>
          <w:sz w:val="22"/>
          <w:szCs w:val="28"/>
        </w:rPr>
        <w:t>.</w:t>
      </w:r>
      <w:r w:rsidR="002D52BF">
        <w:rPr>
          <w:rFonts w:ascii="Avenir Next" w:hAnsi="Avenir Next"/>
          <w:color w:val="808080" w:themeColor="background1" w:themeShade="80"/>
          <w:sz w:val="22"/>
          <w:szCs w:val="28"/>
        </w:rPr>
        <w:t xml:space="preserve"> </w:t>
      </w:r>
      <w:r w:rsidR="002D52BF" w:rsidRPr="002D52BF">
        <w:rPr>
          <w:rFonts w:ascii="Avenir Next" w:hAnsi="Avenir Next"/>
          <w:color w:val="808080" w:themeColor="background1" w:themeShade="80"/>
          <w:sz w:val="22"/>
          <w:szCs w:val="28"/>
        </w:rPr>
        <w:t xml:space="preserve">The </w:t>
      </w:r>
      <w:r w:rsidR="002D52BF">
        <w:rPr>
          <w:rFonts w:ascii="Avenir Next" w:hAnsi="Avenir Next"/>
          <w:color w:val="808080" w:themeColor="background1" w:themeShade="80"/>
          <w:sz w:val="22"/>
          <w:szCs w:val="28"/>
        </w:rPr>
        <w:t xml:space="preserve">main proceedings shall be opened in a US bankruptcy court, </w:t>
      </w:r>
      <w:r w:rsidR="002D52BF" w:rsidRPr="002D52BF">
        <w:rPr>
          <w:rFonts w:ascii="Avenir Next" w:hAnsi="Avenir Next"/>
          <w:color w:val="808080" w:themeColor="background1" w:themeShade="80"/>
          <w:sz w:val="22"/>
          <w:szCs w:val="28"/>
        </w:rPr>
        <w:t>and the foreign representative, appointed in accordance with the laws of the Cayman Islands</w:t>
      </w:r>
      <w:r w:rsidR="002D52BF">
        <w:rPr>
          <w:rFonts w:ascii="Avenir Next" w:hAnsi="Avenir Next"/>
          <w:color w:val="808080" w:themeColor="background1" w:themeShade="80"/>
          <w:sz w:val="22"/>
          <w:szCs w:val="28"/>
        </w:rPr>
        <w:t xml:space="preserve"> (since the company is registered there)</w:t>
      </w:r>
      <w:r w:rsidR="002D52BF" w:rsidRPr="002D52BF">
        <w:rPr>
          <w:rFonts w:ascii="Avenir Next" w:hAnsi="Avenir Next"/>
          <w:color w:val="808080" w:themeColor="background1" w:themeShade="80"/>
          <w:sz w:val="22"/>
          <w:szCs w:val="28"/>
        </w:rPr>
        <w:t>, could seek recognition of the foreign insolvency proceeding under Chapter 15 of the US Bankruptcy Code.</w:t>
      </w:r>
    </w:p>
    <w:p w14:paraId="005FA9B4" w14:textId="77777777" w:rsidR="004D525A" w:rsidRDefault="004D525A" w:rsidP="009E3CA7">
      <w:pPr>
        <w:jc w:val="both"/>
        <w:rPr>
          <w:rFonts w:ascii="Avenir Next" w:hAnsi="Avenir Next"/>
          <w:color w:val="808080" w:themeColor="background1" w:themeShade="80"/>
          <w:sz w:val="22"/>
          <w:szCs w:val="28"/>
        </w:rPr>
      </w:pPr>
    </w:p>
    <w:p w14:paraId="5592AAC6" w14:textId="4C65B764" w:rsidR="00B55E4C" w:rsidRDefault="00B55E4C"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For </w:t>
      </w:r>
      <w:r w:rsidR="00B8750C">
        <w:rPr>
          <w:rFonts w:ascii="Avenir Next" w:hAnsi="Avenir Next"/>
          <w:color w:val="808080" w:themeColor="background1" w:themeShade="80"/>
          <w:sz w:val="22"/>
          <w:szCs w:val="28"/>
        </w:rPr>
        <w:t xml:space="preserve">this case, the proceedings started in the Cayman Islands constitute a non-main insolvency proceeding since the debtor’s COMI is </w:t>
      </w:r>
      <w:r>
        <w:rPr>
          <w:rFonts w:ascii="Avenir Next" w:hAnsi="Avenir Next"/>
          <w:color w:val="808080" w:themeColor="background1" w:themeShade="80"/>
          <w:sz w:val="22"/>
          <w:szCs w:val="28"/>
        </w:rPr>
        <w:t xml:space="preserve">in </w:t>
      </w:r>
      <w:r w:rsidR="003D7922">
        <w:rPr>
          <w:rFonts w:ascii="Avenir Next" w:hAnsi="Avenir Next"/>
          <w:color w:val="808080" w:themeColor="background1" w:themeShade="80"/>
          <w:sz w:val="22"/>
          <w:szCs w:val="28"/>
        </w:rPr>
        <w:t>the US.</w:t>
      </w:r>
      <w:r>
        <w:rPr>
          <w:rFonts w:ascii="Avenir Next" w:hAnsi="Avenir Next"/>
          <w:color w:val="808080" w:themeColor="background1" w:themeShade="80"/>
          <w:sz w:val="22"/>
          <w:szCs w:val="28"/>
        </w:rPr>
        <w:t xml:space="preserve"> The debtor only has an </w:t>
      </w:r>
      <w:r w:rsidR="003D7922">
        <w:rPr>
          <w:rFonts w:ascii="Avenir Next" w:hAnsi="Avenir Next"/>
          <w:color w:val="808080" w:themeColor="background1" w:themeShade="80"/>
          <w:sz w:val="22"/>
          <w:szCs w:val="28"/>
        </w:rPr>
        <w:t>‘</w:t>
      </w:r>
      <w:r>
        <w:rPr>
          <w:rFonts w:ascii="Avenir Next" w:hAnsi="Avenir Next"/>
          <w:color w:val="808080" w:themeColor="background1" w:themeShade="80"/>
          <w:sz w:val="22"/>
          <w:szCs w:val="28"/>
        </w:rPr>
        <w:t>establishment</w:t>
      </w:r>
      <w:r w:rsidR="003D7922">
        <w:rPr>
          <w:rFonts w:ascii="Avenir Next" w:hAnsi="Avenir Next"/>
          <w:color w:val="808080" w:themeColor="background1" w:themeShade="80"/>
          <w:sz w:val="22"/>
          <w:szCs w:val="28"/>
        </w:rPr>
        <w:t>’</w:t>
      </w:r>
      <w:r w:rsidR="003D7922">
        <w:rPr>
          <w:rStyle w:val="FootnoteReference"/>
          <w:rFonts w:ascii="Avenir Next" w:hAnsi="Avenir Next"/>
          <w:color w:val="808080" w:themeColor="background1" w:themeShade="80"/>
          <w:sz w:val="22"/>
          <w:szCs w:val="28"/>
        </w:rPr>
        <w:footnoteReference w:id="11"/>
      </w:r>
      <w:r>
        <w:rPr>
          <w:rFonts w:ascii="Avenir Next" w:hAnsi="Avenir Next"/>
          <w:color w:val="808080" w:themeColor="background1" w:themeShade="80"/>
          <w:sz w:val="22"/>
          <w:szCs w:val="28"/>
        </w:rPr>
        <w:t xml:space="preserve"> in </w:t>
      </w:r>
      <w:r w:rsidR="00777C0C">
        <w:rPr>
          <w:rFonts w:ascii="Avenir Next" w:hAnsi="Avenir Next"/>
          <w:color w:val="808080" w:themeColor="background1" w:themeShade="80"/>
          <w:sz w:val="22"/>
          <w:szCs w:val="28"/>
        </w:rPr>
        <w:t xml:space="preserve">the </w:t>
      </w:r>
      <w:r>
        <w:rPr>
          <w:rFonts w:ascii="Avenir Next" w:hAnsi="Avenir Next"/>
          <w:color w:val="808080" w:themeColor="background1" w:themeShade="80"/>
          <w:sz w:val="22"/>
          <w:szCs w:val="28"/>
        </w:rPr>
        <w:t>Cayman Islands.</w:t>
      </w:r>
      <w:r w:rsidR="00777C0C">
        <w:rPr>
          <w:rFonts w:ascii="Avenir Next" w:hAnsi="Avenir Next"/>
          <w:color w:val="808080" w:themeColor="background1" w:themeShade="80"/>
          <w:sz w:val="22"/>
          <w:szCs w:val="28"/>
        </w:rPr>
        <w:t xml:space="preserve"> It carries non-transitory economic activities in the Cayman Islands</w:t>
      </w:r>
      <w:r w:rsidR="00683AF3">
        <w:rPr>
          <w:rFonts w:ascii="Avenir Next" w:hAnsi="Avenir Next"/>
          <w:color w:val="808080" w:themeColor="background1" w:themeShade="80"/>
          <w:sz w:val="22"/>
          <w:szCs w:val="28"/>
        </w:rPr>
        <w:t xml:space="preserve">, as is evident through its place of establishment, bank account, retention of counsels as well as starting the restructuring process in the Cayman Islands under the scheme. </w:t>
      </w:r>
      <w:r w:rsidR="003D7922">
        <w:rPr>
          <w:rFonts w:ascii="Avenir Next" w:hAnsi="Avenir Next"/>
          <w:color w:val="808080" w:themeColor="background1" w:themeShade="80"/>
          <w:sz w:val="22"/>
          <w:szCs w:val="28"/>
        </w:rPr>
        <w:t>Thus, the reliefs are not automatic but discretionary post-recognition reliefs.</w:t>
      </w:r>
    </w:p>
    <w:p w14:paraId="79E5A8C6" w14:textId="77777777" w:rsidR="003D7922" w:rsidRDefault="003D7922" w:rsidP="009E3CA7">
      <w:pPr>
        <w:jc w:val="both"/>
        <w:rPr>
          <w:rFonts w:ascii="Avenir Next" w:hAnsi="Avenir Next"/>
          <w:color w:val="808080" w:themeColor="background1" w:themeShade="80"/>
          <w:sz w:val="22"/>
          <w:szCs w:val="28"/>
        </w:rPr>
      </w:pPr>
    </w:p>
    <w:p w14:paraId="6A9B60DA" w14:textId="62B79564" w:rsidR="003D7922" w:rsidRDefault="003D7922" w:rsidP="009E3CA7">
      <w:pPr>
        <w:jc w:val="both"/>
        <w:rPr>
          <w:rFonts w:ascii="Avenir Next" w:hAnsi="Avenir Next"/>
          <w:color w:val="808080" w:themeColor="background1" w:themeShade="80"/>
          <w:sz w:val="22"/>
          <w:szCs w:val="28"/>
        </w:rPr>
      </w:pPr>
      <w:r w:rsidRPr="003D7922">
        <w:rPr>
          <w:rFonts w:ascii="Avenir Next" w:hAnsi="Avenir Next"/>
          <w:b/>
          <w:bCs/>
          <w:color w:val="808080" w:themeColor="background1" w:themeShade="80"/>
          <w:sz w:val="22"/>
          <w:szCs w:val="28"/>
        </w:rPr>
        <w:t>Papers to be submitted</w:t>
      </w:r>
      <w:r>
        <w:rPr>
          <w:rFonts w:ascii="Avenir Next" w:hAnsi="Avenir Next"/>
          <w:color w:val="808080" w:themeColor="background1" w:themeShade="80"/>
          <w:sz w:val="22"/>
          <w:szCs w:val="28"/>
        </w:rPr>
        <w:t xml:space="preserve"> - </w:t>
      </w:r>
      <w:r w:rsidRPr="003D7922">
        <w:rPr>
          <w:rFonts w:ascii="Avenir Next" w:hAnsi="Avenir Next"/>
          <w:color w:val="808080" w:themeColor="background1" w:themeShade="80"/>
          <w:sz w:val="22"/>
          <w:szCs w:val="28"/>
        </w:rPr>
        <w:t>Chapter 15 gives the foreign representative the right of direct access to US courts for this purpose</w:t>
      </w:r>
      <w:r>
        <w:rPr>
          <w:rFonts w:ascii="Avenir Next" w:hAnsi="Avenir Next"/>
          <w:color w:val="808080" w:themeColor="background1" w:themeShade="80"/>
          <w:sz w:val="22"/>
          <w:szCs w:val="28"/>
        </w:rPr>
        <w:t xml:space="preserve"> - </w:t>
      </w:r>
      <w:r w:rsidRPr="003D7922">
        <w:rPr>
          <w:rFonts w:ascii="Avenir Next" w:hAnsi="Avenir Next"/>
          <w:color w:val="808080" w:themeColor="background1" w:themeShade="80"/>
          <w:sz w:val="22"/>
          <w:szCs w:val="28"/>
        </w:rPr>
        <w:t>11 U.S.C. § 1509. The petition must be accompanied by documents showing the existence of the foreign proceedings and the appointment and authority of the foreign representative.</w:t>
      </w:r>
    </w:p>
    <w:p w14:paraId="167C7D67" w14:textId="3380D6CC" w:rsidR="00417841" w:rsidRDefault="00417841" w:rsidP="009E3CA7">
      <w:pPr>
        <w:jc w:val="both"/>
        <w:rPr>
          <w:rFonts w:ascii="Avenir Next" w:hAnsi="Avenir Next"/>
          <w:color w:val="808080" w:themeColor="background1" w:themeShade="80"/>
          <w:sz w:val="22"/>
          <w:szCs w:val="28"/>
        </w:rPr>
      </w:pPr>
      <w:r w:rsidRPr="00417841">
        <w:rPr>
          <w:rFonts w:ascii="Avenir Next" w:hAnsi="Avenir Next"/>
          <w:color w:val="808080" w:themeColor="background1" w:themeShade="80"/>
          <w:sz w:val="22"/>
          <w:szCs w:val="28"/>
        </w:rPr>
        <w:t>1 U.S. Code § 1515 - Application for recognition</w:t>
      </w:r>
    </w:p>
    <w:p w14:paraId="64D6EF39" w14:textId="1C450A7E" w:rsidR="00417841" w:rsidRPr="00417841" w:rsidRDefault="00417841" w:rsidP="00417841">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“(b) </w:t>
      </w:r>
      <w:r w:rsidRPr="00417841">
        <w:rPr>
          <w:rFonts w:ascii="Avenir Next" w:hAnsi="Avenir Next"/>
          <w:color w:val="808080" w:themeColor="background1" w:themeShade="80"/>
          <w:sz w:val="22"/>
          <w:szCs w:val="28"/>
        </w:rPr>
        <w:t>A petition for recognition shall be accompanied by—</w:t>
      </w:r>
    </w:p>
    <w:p w14:paraId="24A45C7D" w14:textId="51BA5F49" w:rsidR="00417841" w:rsidRPr="00417841" w:rsidRDefault="00417841" w:rsidP="00417841">
      <w:pPr>
        <w:jc w:val="both"/>
        <w:rPr>
          <w:rFonts w:ascii="Avenir Next" w:hAnsi="Avenir Next"/>
          <w:color w:val="808080" w:themeColor="background1" w:themeShade="80"/>
          <w:sz w:val="22"/>
          <w:szCs w:val="28"/>
        </w:rPr>
      </w:pPr>
      <w:r w:rsidRPr="00417841">
        <w:rPr>
          <w:rFonts w:ascii="Avenir Next" w:hAnsi="Avenir Next"/>
          <w:color w:val="808080" w:themeColor="background1" w:themeShade="80"/>
          <w:sz w:val="22"/>
          <w:szCs w:val="28"/>
        </w:rPr>
        <w:lastRenderedPageBreak/>
        <w:t>(1)</w:t>
      </w:r>
      <w:r>
        <w:rPr>
          <w:rFonts w:ascii="Avenir Next" w:hAnsi="Avenir Next"/>
          <w:color w:val="808080" w:themeColor="background1" w:themeShade="80"/>
          <w:sz w:val="22"/>
          <w:szCs w:val="28"/>
        </w:rPr>
        <w:t xml:space="preserve"> </w:t>
      </w:r>
      <w:r w:rsidRPr="00417841">
        <w:rPr>
          <w:rFonts w:ascii="Avenir Next" w:hAnsi="Avenir Next"/>
          <w:color w:val="808080" w:themeColor="background1" w:themeShade="80"/>
          <w:sz w:val="22"/>
          <w:szCs w:val="28"/>
        </w:rPr>
        <w:t xml:space="preserve">a certified copy of the decision commencing such foreign </w:t>
      </w:r>
      <w:r>
        <w:rPr>
          <w:rFonts w:ascii="Avenir Next" w:hAnsi="Avenir Next"/>
          <w:color w:val="808080" w:themeColor="background1" w:themeShade="80"/>
          <w:sz w:val="22"/>
          <w:szCs w:val="28"/>
        </w:rPr>
        <w:t>proceedings</w:t>
      </w:r>
      <w:r w:rsidRPr="00417841">
        <w:rPr>
          <w:rFonts w:ascii="Avenir Next" w:hAnsi="Avenir Next"/>
          <w:color w:val="808080" w:themeColor="background1" w:themeShade="80"/>
          <w:sz w:val="22"/>
          <w:szCs w:val="28"/>
        </w:rPr>
        <w:t xml:space="preserve"> and appointing the foreign representative;</w:t>
      </w:r>
    </w:p>
    <w:p w14:paraId="507CE7C6" w14:textId="47BCF2FB" w:rsidR="00417841" w:rsidRPr="00417841" w:rsidRDefault="00417841" w:rsidP="00417841">
      <w:pPr>
        <w:jc w:val="both"/>
        <w:rPr>
          <w:rFonts w:ascii="Avenir Next" w:hAnsi="Avenir Next"/>
          <w:color w:val="808080" w:themeColor="background1" w:themeShade="80"/>
          <w:sz w:val="22"/>
          <w:szCs w:val="28"/>
        </w:rPr>
      </w:pPr>
      <w:r w:rsidRPr="00417841">
        <w:rPr>
          <w:rFonts w:ascii="Avenir Next" w:hAnsi="Avenir Next"/>
          <w:color w:val="808080" w:themeColor="background1" w:themeShade="80"/>
          <w:sz w:val="22"/>
          <w:szCs w:val="28"/>
        </w:rPr>
        <w:t>(2)</w:t>
      </w:r>
      <w:r>
        <w:rPr>
          <w:rFonts w:ascii="Avenir Next" w:hAnsi="Avenir Next"/>
          <w:color w:val="808080" w:themeColor="background1" w:themeShade="80"/>
          <w:sz w:val="22"/>
          <w:szCs w:val="28"/>
        </w:rPr>
        <w:t xml:space="preserve"> </w:t>
      </w:r>
      <w:r w:rsidRPr="00417841">
        <w:rPr>
          <w:rFonts w:ascii="Avenir Next" w:hAnsi="Avenir Next"/>
          <w:color w:val="808080" w:themeColor="background1" w:themeShade="80"/>
          <w:sz w:val="22"/>
          <w:szCs w:val="28"/>
        </w:rPr>
        <w:t>a certificate from the foreign court affirming the existence of such foreign proceeding and of the appointment of the foreign representative; or</w:t>
      </w:r>
    </w:p>
    <w:p w14:paraId="2344495C" w14:textId="36C25DCD" w:rsidR="00417841" w:rsidRDefault="00417841" w:rsidP="00417841">
      <w:pPr>
        <w:jc w:val="both"/>
        <w:rPr>
          <w:rFonts w:ascii="Avenir Next" w:hAnsi="Avenir Next"/>
          <w:color w:val="808080" w:themeColor="background1" w:themeShade="80"/>
          <w:sz w:val="22"/>
          <w:szCs w:val="28"/>
        </w:rPr>
      </w:pPr>
      <w:r w:rsidRPr="00417841">
        <w:rPr>
          <w:rFonts w:ascii="Avenir Next" w:hAnsi="Avenir Next"/>
          <w:color w:val="808080" w:themeColor="background1" w:themeShade="80"/>
          <w:sz w:val="22"/>
          <w:szCs w:val="28"/>
        </w:rPr>
        <w:t>(3)</w:t>
      </w:r>
      <w:r>
        <w:rPr>
          <w:rFonts w:ascii="Avenir Next" w:hAnsi="Avenir Next"/>
          <w:color w:val="808080" w:themeColor="background1" w:themeShade="80"/>
          <w:sz w:val="22"/>
          <w:szCs w:val="28"/>
        </w:rPr>
        <w:t xml:space="preserve"> </w:t>
      </w:r>
      <w:r w:rsidRPr="00417841">
        <w:rPr>
          <w:rFonts w:ascii="Avenir Next" w:hAnsi="Avenir Next"/>
          <w:color w:val="808080" w:themeColor="background1" w:themeShade="80"/>
          <w:sz w:val="22"/>
          <w:szCs w:val="28"/>
        </w:rPr>
        <w:t>in the absence of evidence referred to in paragraphs (1) and (2), any other evidence acceptable to the court of the existence of such foreign proceeding and of the appointment of the foreign representative.</w:t>
      </w:r>
    </w:p>
    <w:p w14:paraId="20CAC1BB" w14:textId="77777777" w:rsidR="00417841" w:rsidRDefault="00417841" w:rsidP="00417841">
      <w:pPr>
        <w:jc w:val="both"/>
        <w:rPr>
          <w:rFonts w:ascii="Avenir Next" w:hAnsi="Avenir Next"/>
          <w:color w:val="808080" w:themeColor="background1" w:themeShade="80"/>
          <w:sz w:val="22"/>
          <w:szCs w:val="28"/>
        </w:rPr>
      </w:pPr>
    </w:p>
    <w:p w14:paraId="77451B30" w14:textId="7C02637E" w:rsidR="00417841" w:rsidRDefault="00417841" w:rsidP="00417841">
      <w:pPr>
        <w:jc w:val="both"/>
        <w:rPr>
          <w:rFonts w:ascii="Avenir Next" w:hAnsi="Avenir Next"/>
          <w:color w:val="808080" w:themeColor="background1" w:themeShade="80"/>
          <w:sz w:val="22"/>
          <w:szCs w:val="28"/>
        </w:rPr>
      </w:pPr>
      <w:r w:rsidRPr="00417841">
        <w:rPr>
          <w:rFonts w:ascii="Avenir Next" w:hAnsi="Avenir Next"/>
          <w:color w:val="808080" w:themeColor="background1" w:themeShade="80"/>
          <w:sz w:val="22"/>
          <w:szCs w:val="28"/>
        </w:rPr>
        <w:t>(c)</w:t>
      </w:r>
      <w:r>
        <w:rPr>
          <w:rFonts w:ascii="Avenir Next" w:hAnsi="Avenir Next"/>
          <w:color w:val="808080" w:themeColor="background1" w:themeShade="80"/>
          <w:sz w:val="22"/>
          <w:szCs w:val="28"/>
        </w:rPr>
        <w:t xml:space="preserve"> </w:t>
      </w:r>
      <w:r w:rsidRPr="00417841">
        <w:rPr>
          <w:rFonts w:ascii="Avenir Next" w:hAnsi="Avenir Next"/>
          <w:color w:val="808080" w:themeColor="background1" w:themeShade="80"/>
          <w:sz w:val="22"/>
          <w:szCs w:val="28"/>
        </w:rPr>
        <w:t>A petition for recognition shall also be accompanied by a statement identifying all foreign proceedings with respect to the debtor that are known to the foreign representative.</w:t>
      </w:r>
      <w:r>
        <w:rPr>
          <w:rFonts w:ascii="Avenir Next" w:hAnsi="Avenir Next"/>
          <w:color w:val="808080" w:themeColor="background1" w:themeShade="80"/>
          <w:sz w:val="22"/>
          <w:szCs w:val="28"/>
        </w:rPr>
        <w:t>”</w:t>
      </w:r>
    </w:p>
    <w:p w14:paraId="5EA6FBD2" w14:textId="73538C47" w:rsidR="004D525A" w:rsidRDefault="004D525A" w:rsidP="009E3CA7">
      <w:pPr>
        <w:jc w:val="both"/>
        <w:rPr>
          <w:rFonts w:ascii="Avenir Next" w:hAnsi="Avenir Next"/>
          <w:color w:val="808080" w:themeColor="background1" w:themeShade="80"/>
          <w:sz w:val="22"/>
          <w:szCs w:val="28"/>
        </w:rPr>
      </w:pPr>
    </w:p>
    <w:p w14:paraId="32D4B154" w14:textId="627716B7" w:rsidR="00683AF3" w:rsidRDefault="00683AF3" w:rsidP="009E3CA7">
      <w:pPr>
        <w:jc w:val="both"/>
        <w:rPr>
          <w:rFonts w:ascii="Avenir Next" w:hAnsi="Avenir Next"/>
          <w:color w:val="808080" w:themeColor="background1" w:themeShade="80"/>
          <w:sz w:val="22"/>
          <w:szCs w:val="28"/>
        </w:rPr>
      </w:pPr>
      <w:r w:rsidRPr="003241F1">
        <w:rPr>
          <w:rFonts w:ascii="Avenir Next" w:hAnsi="Avenir Next"/>
          <w:b/>
          <w:bCs/>
          <w:color w:val="808080" w:themeColor="background1" w:themeShade="80"/>
          <w:sz w:val="22"/>
          <w:szCs w:val="28"/>
        </w:rPr>
        <w:t>What relief should be requested</w:t>
      </w:r>
      <w:r>
        <w:rPr>
          <w:rFonts w:ascii="Avenir Next" w:hAnsi="Avenir Next"/>
          <w:color w:val="808080" w:themeColor="background1" w:themeShade="80"/>
          <w:sz w:val="22"/>
          <w:szCs w:val="28"/>
        </w:rPr>
        <w:t xml:space="preserve"> – Once the proceeding has been recognized (as non-main proceeding), the courts can grant relief that is necessary to protect the assets of the debtor or interest of creditors, which could be –</w:t>
      </w:r>
    </w:p>
    <w:p w14:paraId="173AA1DB" w14:textId="6E78F701" w:rsidR="00683AF3" w:rsidRDefault="00683AF3" w:rsidP="00683AF3">
      <w:pPr>
        <w:pStyle w:val="ListParagraph"/>
        <w:numPr>
          <w:ilvl w:val="0"/>
          <w:numId w:val="5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Moratorium/automatic stay on individual actions or individual proceedings concerning debtor’s assets, rights, obligations or liabilities.</w:t>
      </w:r>
    </w:p>
    <w:p w14:paraId="32789C53" w14:textId="74317FAC" w:rsidR="00683AF3" w:rsidRDefault="00683AF3" w:rsidP="00683AF3">
      <w:pPr>
        <w:pStyle w:val="ListParagraph"/>
        <w:numPr>
          <w:ilvl w:val="0"/>
          <w:numId w:val="5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Staying execution against debtors assets</w:t>
      </w:r>
    </w:p>
    <w:p w14:paraId="3E1BCF50" w14:textId="76DD4EFA" w:rsidR="00683AF3" w:rsidRDefault="00683AF3" w:rsidP="00683AF3">
      <w:pPr>
        <w:pStyle w:val="ListParagraph"/>
        <w:numPr>
          <w:ilvl w:val="0"/>
          <w:numId w:val="5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Suspending the right to transfer, encumber or otherwise dispose </w:t>
      </w:r>
      <w:r w:rsidR="003241F1">
        <w:rPr>
          <w:rFonts w:ascii="Avenir Next" w:hAnsi="Avenir Next"/>
          <w:color w:val="808080" w:themeColor="background1" w:themeShade="80"/>
          <w:sz w:val="22"/>
          <w:szCs w:val="28"/>
        </w:rPr>
        <w:t>of any assets of the debtor, etc.,</w:t>
      </w:r>
      <w:r>
        <w:rPr>
          <w:rFonts w:ascii="Avenir Next" w:hAnsi="Avenir Next"/>
          <w:color w:val="808080" w:themeColor="background1" w:themeShade="80"/>
          <w:sz w:val="22"/>
          <w:szCs w:val="28"/>
        </w:rPr>
        <w:t xml:space="preserve"> including any additional relief that may be available to the local insolvency representative. </w:t>
      </w:r>
    </w:p>
    <w:p w14:paraId="2BF34F4F" w14:textId="07DA73F4" w:rsidR="003241F1" w:rsidRPr="003241F1" w:rsidRDefault="003241F1" w:rsidP="003241F1">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court must keep in mind that the relief relates to assets in the administration of non-main proceeding. Once the court grants automatic stay after recognizing the foreign non - main proceeding, any class action litigation may also get barred. (however, since the question is unclear, it cannot be </w:t>
      </w:r>
      <w:r w:rsidR="00417841">
        <w:rPr>
          <w:rFonts w:ascii="Avenir Next" w:hAnsi="Avenir Next"/>
          <w:color w:val="808080" w:themeColor="background1" w:themeShade="80"/>
          <w:sz w:val="22"/>
          <w:szCs w:val="28"/>
        </w:rPr>
        <w:t>said for certain</w:t>
      </w:r>
      <w:r>
        <w:rPr>
          <w:rFonts w:ascii="Avenir Next" w:hAnsi="Avenir Next"/>
          <w:color w:val="808080" w:themeColor="background1" w:themeShade="80"/>
          <w:sz w:val="22"/>
          <w:szCs w:val="28"/>
        </w:rPr>
        <w:t xml:space="preserve"> whether the class-action suit has been filed.)</w:t>
      </w:r>
    </w:p>
    <w:p w14:paraId="234C5585" w14:textId="77777777" w:rsidR="00683AF3" w:rsidRDefault="00683AF3" w:rsidP="009E3CA7">
      <w:pPr>
        <w:jc w:val="both"/>
        <w:rPr>
          <w:rFonts w:ascii="Avenir Next" w:hAnsi="Avenir Next"/>
          <w:color w:val="808080" w:themeColor="background1" w:themeShade="80"/>
          <w:sz w:val="22"/>
          <w:szCs w:val="28"/>
        </w:rPr>
      </w:pPr>
    </w:p>
    <w:p w14:paraId="04CDA0F6" w14:textId="77777777" w:rsidR="00933BC3" w:rsidRDefault="00933BC3" w:rsidP="009E3CA7">
      <w:pPr>
        <w:jc w:val="both"/>
        <w:rPr>
          <w:rFonts w:ascii="Avenir Next" w:hAnsi="Avenir Next"/>
          <w:color w:val="808080" w:themeColor="background1" w:themeShade="80"/>
          <w:sz w:val="22"/>
          <w:szCs w:val="28"/>
        </w:rPr>
      </w:pPr>
    </w:p>
    <w:p w14:paraId="4B356ABF" w14:textId="77777777" w:rsidR="00933BC3" w:rsidRPr="00710C24" w:rsidRDefault="00933BC3" w:rsidP="009E3CA7">
      <w:pPr>
        <w:jc w:val="both"/>
        <w:rPr>
          <w:rFonts w:ascii="Avenir Next" w:hAnsi="Avenir Next"/>
          <w:color w:val="808080" w:themeColor="background1" w:themeShade="80"/>
          <w:sz w:val="22"/>
          <w:szCs w:val="28"/>
        </w:rPr>
      </w:pPr>
    </w:p>
    <w:p w14:paraId="43A441E9" w14:textId="77777777" w:rsidR="00126E19" w:rsidRPr="00E2622D" w:rsidRDefault="00126E19" w:rsidP="00707FC8">
      <w:pPr>
        <w:jc w:val="both"/>
        <w:rPr>
          <w:rFonts w:ascii="Avenir Next" w:hAnsi="Avenir Next" w:cs="Arial"/>
          <w:sz w:val="22"/>
          <w:szCs w:val="22"/>
          <w:lang w:val="en-GB"/>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B5388A">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7E9CB" w14:textId="77777777" w:rsidR="00B5388A" w:rsidRDefault="00B5388A" w:rsidP="00241B44">
      <w:r>
        <w:separator/>
      </w:r>
    </w:p>
  </w:endnote>
  <w:endnote w:type="continuationSeparator" w:id="0">
    <w:p w14:paraId="75424C18" w14:textId="77777777" w:rsidR="00B5388A" w:rsidRDefault="00B5388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20CC0717" w:rsidR="000300E0" w:rsidRPr="00B46CE2" w:rsidRDefault="00FC29E4" w:rsidP="000300E0">
    <w:pPr>
      <w:pStyle w:val="Footer"/>
      <w:ind w:right="360"/>
      <w:rPr>
        <w:rFonts w:ascii="Avenir Next" w:hAnsi="Avenir Next"/>
        <w:sz w:val="22"/>
        <w:szCs w:val="22"/>
      </w:rPr>
    </w:pPr>
    <w:r w:rsidRPr="00B62F89">
      <w:rPr>
        <w:rFonts w:ascii="Avenir Next" w:hAnsi="Avenir Next" w:cs="Arial"/>
        <w:sz w:val="22"/>
        <w:szCs w:val="22"/>
      </w:rPr>
      <w:t>202223-843</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114F7" w14:textId="77777777" w:rsidR="00B5388A" w:rsidRDefault="00B5388A" w:rsidP="00241B44">
      <w:r>
        <w:separator/>
      </w:r>
    </w:p>
  </w:footnote>
  <w:footnote w:type="continuationSeparator" w:id="0">
    <w:p w14:paraId="520D0D0D" w14:textId="77777777" w:rsidR="00B5388A" w:rsidRDefault="00B5388A" w:rsidP="00241B44">
      <w:r>
        <w:continuationSeparator/>
      </w:r>
    </w:p>
  </w:footnote>
  <w:footnote w:id="1">
    <w:p w14:paraId="1159D09F" w14:textId="66EB16B2" w:rsidR="004F02C9" w:rsidRPr="004F02C9" w:rsidRDefault="004F02C9" w:rsidP="004F02C9">
      <w:pPr>
        <w:pStyle w:val="FootnoteText"/>
        <w:jc w:val="both"/>
        <w:rPr>
          <w:lang w:val="en-IN"/>
        </w:rPr>
      </w:pPr>
      <w:r>
        <w:rPr>
          <w:rStyle w:val="FootnoteReference"/>
        </w:rPr>
        <w:footnoteRef/>
      </w:r>
      <w:r>
        <w:t xml:space="preserve"> Digest of Case Laws on UNCITRAL Model Law on Cross-border insolvency, available at </w:t>
      </w:r>
      <w:hyperlink r:id="rId1" w:history="1">
        <w:r w:rsidRPr="0079444A">
          <w:rPr>
            <w:rStyle w:val="Hyperlink"/>
          </w:rPr>
          <w:t>https://uncitral.un.org/sites/uncitral.un.org/files/media-documents/uncitral/en/20-06293_uncitral_mlcbi_digest_e.pdf</w:t>
        </w:r>
      </w:hyperlink>
      <w:r>
        <w:t xml:space="preserve"> </w:t>
      </w:r>
    </w:p>
  </w:footnote>
  <w:footnote w:id="2">
    <w:p w14:paraId="7AED8F7C" w14:textId="5E7D6AC9" w:rsidR="004F02C9" w:rsidRPr="004F02C9" w:rsidRDefault="004F02C9">
      <w:pPr>
        <w:pStyle w:val="FootnoteText"/>
        <w:rPr>
          <w:lang w:val="en-IN"/>
        </w:rPr>
      </w:pPr>
      <w:r>
        <w:rPr>
          <w:rStyle w:val="FootnoteReference"/>
        </w:rPr>
        <w:footnoteRef/>
      </w:r>
      <w:r>
        <w:t xml:space="preserve"> </w:t>
      </w:r>
      <w:r w:rsidRPr="001F48D2">
        <w:t>Model Law on Cross-Border Insolvency: The Judicial Perspective</w:t>
      </w:r>
      <w:r>
        <w:t xml:space="preserve">, available at </w:t>
      </w:r>
      <w:hyperlink r:id="rId2" w:history="1">
        <w:r w:rsidRPr="00414B8F">
          <w:rPr>
            <w:rStyle w:val="Hyperlink"/>
          </w:rPr>
          <w:t>https://uncitral.un.org/sites/uncitral.un.org/files/media-documents/uncitral/en/judicial-perspective-2013-e.pdf</w:t>
        </w:r>
      </w:hyperlink>
    </w:p>
  </w:footnote>
  <w:footnote w:id="3">
    <w:p w14:paraId="50E40F40" w14:textId="3C50DB68" w:rsidR="00820D99" w:rsidRPr="00820D99" w:rsidRDefault="00820D99">
      <w:pPr>
        <w:pStyle w:val="FootnoteText"/>
        <w:rPr>
          <w:lang w:val="en-IN"/>
        </w:rPr>
      </w:pPr>
      <w:r>
        <w:rPr>
          <w:rStyle w:val="FootnoteReference"/>
        </w:rPr>
        <w:footnoteRef/>
      </w:r>
      <w:r>
        <w:t xml:space="preserve"> </w:t>
      </w:r>
      <w:r w:rsidRPr="00D24A99">
        <w:rPr>
          <w:rFonts w:ascii="Arial" w:hAnsi="Arial" w:cs="Arial"/>
          <w:lang w:val="en-IN"/>
        </w:rPr>
        <w:t xml:space="preserve">I Fletcher, </w:t>
      </w:r>
      <w:r w:rsidRPr="00D24A99">
        <w:rPr>
          <w:rFonts w:ascii="Arial" w:hAnsi="Arial" w:cs="Arial"/>
          <w:i/>
          <w:iCs/>
          <w:lang w:val="en-IN"/>
        </w:rPr>
        <w:t>Insolvency in Private International Law</w:t>
      </w:r>
      <w:r w:rsidRPr="00D24A99">
        <w:rPr>
          <w:rFonts w:ascii="Arial" w:hAnsi="Arial" w:cs="Arial"/>
          <w:lang w:val="en-IN"/>
        </w:rPr>
        <w:t xml:space="preserve"> (OUP, 2</w:t>
      </w:r>
      <w:r w:rsidRPr="00D24A99">
        <w:rPr>
          <w:rFonts w:ascii="Arial" w:hAnsi="Arial" w:cs="Arial"/>
          <w:vertAlign w:val="superscript"/>
          <w:lang w:val="en-IN"/>
        </w:rPr>
        <w:t>nd</w:t>
      </w:r>
      <w:r w:rsidRPr="00D24A99">
        <w:rPr>
          <w:rFonts w:ascii="Arial" w:hAnsi="Arial" w:cs="Arial"/>
          <w:lang w:val="en-IN"/>
        </w:rPr>
        <w:t xml:space="preserve"> ed, 2005)</w:t>
      </w:r>
      <w:r>
        <w:rPr>
          <w:rFonts w:ascii="Arial" w:hAnsi="Arial" w:cs="Arial"/>
          <w:lang w:val="en-IN"/>
        </w:rPr>
        <w:t>, 476</w:t>
      </w:r>
    </w:p>
  </w:footnote>
  <w:footnote w:id="4">
    <w:p w14:paraId="5B3D9D9F" w14:textId="7005707A" w:rsidR="006B1370" w:rsidRPr="006B1370" w:rsidRDefault="006B1370" w:rsidP="002B3286">
      <w:pPr>
        <w:pStyle w:val="FootnoteText"/>
        <w:jc w:val="both"/>
        <w:rPr>
          <w:lang w:val="en-IN"/>
        </w:rPr>
      </w:pPr>
      <w:r>
        <w:rPr>
          <w:rStyle w:val="FootnoteReference"/>
        </w:rPr>
        <w:footnoteRef/>
      </w:r>
      <w:r>
        <w:t xml:space="preserve"> </w:t>
      </w:r>
      <w:r w:rsidRPr="00D24A99">
        <w:rPr>
          <w:rFonts w:ascii="Arial" w:hAnsi="Arial" w:cs="Arial"/>
          <w:lang w:val="en-IN"/>
        </w:rPr>
        <w:t xml:space="preserve">I Fletcher, </w:t>
      </w:r>
      <w:r w:rsidRPr="00D24A99">
        <w:rPr>
          <w:rFonts w:ascii="Arial" w:hAnsi="Arial" w:cs="Arial"/>
          <w:i/>
          <w:iCs/>
          <w:lang w:val="en-IN"/>
        </w:rPr>
        <w:t>Insolvency in Private International Law</w:t>
      </w:r>
      <w:r w:rsidRPr="00D24A99">
        <w:rPr>
          <w:rFonts w:ascii="Arial" w:hAnsi="Arial" w:cs="Arial"/>
          <w:lang w:val="en-IN"/>
        </w:rPr>
        <w:t xml:space="preserve"> (OUP, 2</w:t>
      </w:r>
      <w:r w:rsidRPr="00D24A99">
        <w:rPr>
          <w:rFonts w:ascii="Arial" w:hAnsi="Arial" w:cs="Arial"/>
          <w:vertAlign w:val="superscript"/>
          <w:lang w:val="en-IN"/>
        </w:rPr>
        <w:t>nd</w:t>
      </w:r>
      <w:r w:rsidRPr="00D24A99">
        <w:rPr>
          <w:rFonts w:ascii="Arial" w:hAnsi="Arial" w:cs="Arial"/>
          <w:lang w:val="en-IN"/>
        </w:rPr>
        <w:t xml:space="preserve"> ed, 2005)</w:t>
      </w:r>
      <w:r>
        <w:rPr>
          <w:rFonts w:ascii="Arial" w:hAnsi="Arial" w:cs="Arial"/>
          <w:lang w:val="en-IN"/>
        </w:rPr>
        <w:t>, 476</w:t>
      </w:r>
    </w:p>
  </w:footnote>
  <w:footnote w:id="5">
    <w:p w14:paraId="64C7590C" w14:textId="416B3B1D" w:rsidR="006B1370" w:rsidRPr="006B1370" w:rsidRDefault="006B1370" w:rsidP="002B3286">
      <w:pPr>
        <w:pStyle w:val="FootnoteText"/>
        <w:jc w:val="both"/>
        <w:rPr>
          <w:lang w:val="en-IN"/>
        </w:rPr>
      </w:pPr>
      <w:r>
        <w:rPr>
          <w:rStyle w:val="FootnoteReference"/>
        </w:rPr>
        <w:footnoteRef/>
      </w:r>
      <w:r>
        <w:t xml:space="preserve"> Digest of Case Laws on UNCITRAL Model Law on Cross-border insolvency, available at </w:t>
      </w:r>
      <w:hyperlink r:id="rId3" w:history="1">
        <w:r w:rsidRPr="0079444A">
          <w:rPr>
            <w:rStyle w:val="Hyperlink"/>
          </w:rPr>
          <w:t>https://uncitral.un.org/sites/uncitral.un.org/files/media-documents/uncitral/en/20-06293_uncitral_mlcbi_digest_e.pdf</w:t>
        </w:r>
      </w:hyperlink>
      <w:r>
        <w:t xml:space="preserve"> </w:t>
      </w:r>
    </w:p>
  </w:footnote>
  <w:footnote w:id="6">
    <w:p w14:paraId="55B3C832" w14:textId="5FF5DD59" w:rsidR="006B1370" w:rsidRPr="006B1370" w:rsidRDefault="006B1370" w:rsidP="002B3286">
      <w:pPr>
        <w:pStyle w:val="FootnoteText"/>
        <w:jc w:val="both"/>
        <w:rPr>
          <w:lang w:val="en-IN"/>
        </w:rPr>
      </w:pPr>
      <w:r>
        <w:rPr>
          <w:rStyle w:val="FootnoteReference"/>
        </w:rPr>
        <w:footnoteRef/>
      </w:r>
      <w:r>
        <w:t xml:space="preserve"> </w:t>
      </w:r>
      <w:r>
        <w:rPr>
          <w:lang w:val="en-IN"/>
        </w:rPr>
        <w:t>Fletcher, n1</w:t>
      </w:r>
    </w:p>
  </w:footnote>
  <w:footnote w:id="7">
    <w:p w14:paraId="32C8D319" w14:textId="63B62162" w:rsidR="002B3286" w:rsidRPr="002B3286" w:rsidRDefault="002B3286" w:rsidP="002B3286">
      <w:pPr>
        <w:pStyle w:val="FootnoteText"/>
        <w:jc w:val="both"/>
        <w:rPr>
          <w:lang w:val="en-IN"/>
        </w:rPr>
      </w:pPr>
      <w:r>
        <w:rPr>
          <w:rStyle w:val="FootnoteReference"/>
        </w:rPr>
        <w:footnoteRef/>
      </w:r>
      <w:r>
        <w:t xml:space="preserve"> Digest of Case Laws on UNCITRAL Model Law on Cross-border insolvency, available at </w:t>
      </w:r>
      <w:hyperlink r:id="rId4" w:history="1">
        <w:r w:rsidRPr="0079444A">
          <w:rPr>
            <w:rStyle w:val="Hyperlink"/>
          </w:rPr>
          <w:t>https://uncitral.un.org/sites/uncitral.un.org/files/media-documents/uncitral/en/20-06293_uncitral_mlcbi_digest_e.pdf</w:t>
        </w:r>
      </w:hyperlink>
    </w:p>
  </w:footnote>
  <w:footnote w:id="8">
    <w:p w14:paraId="135797AD" w14:textId="48DC0947" w:rsidR="001F48D2" w:rsidRPr="001F48D2" w:rsidRDefault="001F48D2">
      <w:pPr>
        <w:pStyle w:val="FootnoteText"/>
        <w:rPr>
          <w:lang w:val="en-IN"/>
        </w:rPr>
      </w:pPr>
      <w:r>
        <w:rPr>
          <w:rStyle w:val="FootnoteReference"/>
        </w:rPr>
        <w:footnoteRef/>
      </w:r>
      <w:r>
        <w:t xml:space="preserve"> </w:t>
      </w:r>
      <w:r w:rsidRPr="001F48D2">
        <w:t>Model Law on Cross-Border Insolvency: The Judicial Perspective</w:t>
      </w:r>
      <w:r>
        <w:t xml:space="preserve">, available at </w:t>
      </w:r>
      <w:hyperlink r:id="rId5" w:history="1">
        <w:r w:rsidRPr="00414B8F">
          <w:rPr>
            <w:rStyle w:val="Hyperlink"/>
          </w:rPr>
          <w:t>https://uncitral.un.org/sites/uncitral.un.org/files/media-documents/uncitral/en/judicial-perspective-2013-e.pdf</w:t>
        </w:r>
      </w:hyperlink>
      <w:r>
        <w:t xml:space="preserve"> </w:t>
      </w:r>
    </w:p>
  </w:footnote>
  <w:footnote w:id="9">
    <w:p w14:paraId="471BCC31" w14:textId="7491C35B" w:rsidR="00210BBF" w:rsidRPr="00210BBF" w:rsidRDefault="00210BBF">
      <w:pPr>
        <w:pStyle w:val="FootnoteText"/>
        <w:rPr>
          <w:lang w:val="en-IN"/>
        </w:rPr>
      </w:pPr>
      <w:r>
        <w:rPr>
          <w:rStyle w:val="FootnoteReference"/>
        </w:rPr>
        <w:footnoteRef/>
      </w:r>
      <w:r>
        <w:t xml:space="preserve"> </w:t>
      </w:r>
      <w:r>
        <w:rPr>
          <w:lang w:val="en-IN"/>
        </w:rPr>
        <w:t>Ibid</w:t>
      </w:r>
    </w:p>
  </w:footnote>
  <w:footnote w:id="10">
    <w:p w14:paraId="6D827E76" w14:textId="3496CD68" w:rsidR="00CA5E4F" w:rsidRPr="00CA5E4F" w:rsidRDefault="00CA5E4F">
      <w:pPr>
        <w:pStyle w:val="FootnoteText"/>
        <w:rPr>
          <w:lang w:val="en-IN"/>
        </w:rPr>
      </w:pPr>
      <w:r>
        <w:rPr>
          <w:rStyle w:val="FootnoteReference"/>
        </w:rPr>
        <w:footnoteRef/>
      </w:r>
      <w:r>
        <w:t xml:space="preserve"> </w:t>
      </w:r>
      <w:r w:rsidRPr="00CA5E4F">
        <w:t>https://www.lexology.com/library/detail.aspx?g=19307f77-9cd3-433f-a394-05bb894577aa</w:t>
      </w:r>
    </w:p>
  </w:footnote>
  <w:footnote w:id="11">
    <w:p w14:paraId="05E9B61A" w14:textId="5FB5FBE5" w:rsidR="003D7922" w:rsidRPr="003D7922" w:rsidRDefault="003D7922">
      <w:pPr>
        <w:pStyle w:val="FootnoteText"/>
        <w:rPr>
          <w:lang w:val="en-IN"/>
        </w:rPr>
      </w:pPr>
      <w:r>
        <w:rPr>
          <w:rStyle w:val="FootnoteReference"/>
        </w:rPr>
        <w:footnoteRef/>
      </w:r>
      <w:r>
        <w:t xml:space="preserve"> </w:t>
      </w:r>
      <w:r w:rsidRPr="003D7922">
        <w:t xml:space="preserve">An establishment is a place of operations where the debtor carries out a </w:t>
      </w:r>
      <w:r>
        <w:t>long-term</w:t>
      </w:r>
      <w:r w:rsidRPr="003D7922">
        <w:t xml:space="preserve"> economic activity. 11 U.S.C. § 1502(2).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D8374" w14:textId="77777777" w:rsidR="00FC29E4" w:rsidRDefault="00FC29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5C9A" w14:textId="77777777" w:rsidR="00FC29E4" w:rsidRDefault="00FC29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5CA0" w14:textId="77777777" w:rsidR="00FC29E4" w:rsidRDefault="00FC29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AB5258A"/>
    <w:multiLevelType w:val="hybridMultilevel"/>
    <w:tmpl w:val="2CBA276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6103D53"/>
    <w:multiLevelType w:val="hybridMultilevel"/>
    <w:tmpl w:val="CF0EFC9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7C163E81"/>
    <w:multiLevelType w:val="hybridMultilevel"/>
    <w:tmpl w:val="E4F05EB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2254">
    <w:abstractNumId w:val="1"/>
  </w:num>
  <w:num w:numId="2" w16cid:durableId="1946495759">
    <w:abstractNumId w:val="59"/>
  </w:num>
  <w:num w:numId="3" w16cid:durableId="1837500537">
    <w:abstractNumId w:val="42"/>
  </w:num>
  <w:num w:numId="4" w16cid:durableId="577205504">
    <w:abstractNumId w:val="53"/>
  </w:num>
  <w:num w:numId="5" w16cid:durableId="587693970">
    <w:abstractNumId w:val="8"/>
  </w:num>
  <w:num w:numId="6" w16cid:durableId="937175523">
    <w:abstractNumId w:val="51"/>
  </w:num>
  <w:num w:numId="7" w16cid:durableId="1654067440">
    <w:abstractNumId w:val="23"/>
  </w:num>
  <w:num w:numId="8" w16cid:durableId="1105736194">
    <w:abstractNumId w:val="45"/>
  </w:num>
  <w:num w:numId="9" w16cid:durableId="337470287">
    <w:abstractNumId w:val="26"/>
  </w:num>
  <w:num w:numId="10" w16cid:durableId="409736686">
    <w:abstractNumId w:val="15"/>
  </w:num>
  <w:num w:numId="11" w16cid:durableId="2113239495">
    <w:abstractNumId w:val="30"/>
  </w:num>
  <w:num w:numId="12" w16cid:durableId="277688465">
    <w:abstractNumId w:val="49"/>
  </w:num>
  <w:num w:numId="13" w16cid:durableId="2058502388">
    <w:abstractNumId w:val="6"/>
  </w:num>
  <w:num w:numId="14" w16cid:durableId="1848598104">
    <w:abstractNumId w:val="37"/>
  </w:num>
  <w:num w:numId="15" w16cid:durableId="634214434">
    <w:abstractNumId w:val="16"/>
  </w:num>
  <w:num w:numId="16" w16cid:durableId="1164055646">
    <w:abstractNumId w:val="17"/>
  </w:num>
  <w:num w:numId="17" w16cid:durableId="4065661">
    <w:abstractNumId w:val="32"/>
  </w:num>
  <w:num w:numId="18" w16cid:durableId="970591766">
    <w:abstractNumId w:val="7"/>
  </w:num>
  <w:num w:numId="19" w16cid:durableId="1299339140">
    <w:abstractNumId w:val="31"/>
  </w:num>
  <w:num w:numId="20" w16cid:durableId="1327175081">
    <w:abstractNumId w:val="58"/>
  </w:num>
  <w:num w:numId="21" w16cid:durableId="2089498112">
    <w:abstractNumId w:val="21"/>
  </w:num>
  <w:num w:numId="22" w16cid:durableId="221064104">
    <w:abstractNumId w:val="48"/>
  </w:num>
  <w:num w:numId="23" w16cid:durableId="860243873">
    <w:abstractNumId w:val="55"/>
  </w:num>
  <w:num w:numId="24" w16cid:durableId="1555506834">
    <w:abstractNumId w:val="47"/>
  </w:num>
  <w:num w:numId="25" w16cid:durableId="1954677308">
    <w:abstractNumId w:val="36"/>
  </w:num>
  <w:num w:numId="26" w16cid:durableId="998270126">
    <w:abstractNumId w:val="56"/>
  </w:num>
  <w:num w:numId="27" w16cid:durableId="657656171">
    <w:abstractNumId w:val="52"/>
  </w:num>
  <w:num w:numId="28" w16cid:durableId="1116829249">
    <w:abstractNumId w:val="11"/>
  </w:num>
  <w:num w:numId="29" w16cid:durableId="1055274873">
    <w:abstractNumId w:val="12"/>
  </w:num>
  <w:num w:numId="30" w16cid:durableId="790785319">
    <w:abstractNumId w:val="33"/>
  </w:num>
  <w:num w:numId="31" w16cid:durableId="781922295">
    <w:abstractNumId w:val="4"/>
  </w:num>
  <w:num w:numId="32" w16cid:durableId="268047206">
    <w:abstractNumId w:val="35"/>
  </w:num>
  <w:num w:numId="33" w16cid:durableId="198930779">
    <w:abstractNumId w:val="0"/>
  </w:num>
  <w:num w:numId="34" w16cid:durableId="480577945">
    <w:abstractNumId w:val="43"/>
  </w:num>
  <w:num w:numId="35" w16cid:durableId="984242224">
    <w:abstractNumId w:val="25"/>
  </w:num>
  <w:num w:numId="36" w16cid:durableId="485898662">
    <w:abstractNumId w:val="46"/>
  </w:num>
  <w:num w:numId="37" w16cid:durableId="1147433143">
    <w:abstractNumId w:val="28"/>
  </w:num>
  <w:num w:numId="38" w16cid:durableId="827285019">
    <w:abstractNumId w:val="40"/>
  </w:num>
  <w:num w:numId="39" w16cid:durableId="128666775">
    <w:abstractNumId w:val="5"/>
  </w:num>
  <w:num w:numId="40" w16cid:durableId="1339426664">
    <w:abstractNumId w:val="24"/>
  </w:num>
  <w:num w:numId="41" w16cid:durableId="1969971734">
    <w:abstractNumId w:val="50"/>
  </w:num>
  <w:num w:numId="42" w16cid:durableId="368453801">
    <w:abstractNumId w:val="20"/>
  </w:num>
  <w:num w:numId="43" w16cid:durableId="51392340">
    <w:abstractNumId w:val="34"/>
  </w:num>
  <w:num w:numId="44" w16cid:durableId="1531332188">
    <w:abstractNumId w:val="14"/>
  </w:num>
  <w:num w:numId="45" w16cid:durableId="8337133">
    <w:abstractNumId w:val="13"/>
  </w:num>
  <w:num w:numId="46" w16cid:durableId="1612931796">
    <w:abstractNumId w:val="39"/>
  </w:num>
  <w:num w:numId="47" w16cid:durableId="89930162">
    <w:abstractNumId w:val="22"/>
  </w:num>
  <w:num w:numId="48" w16cid:durableId="1477838578">
    <w:abstractNumId w:val="9"/>
  </w:num>
  <w:num w:numId="49" w16cid:durableId="2073384460">
    <w:abstractNumId w:val="54"/>
  </w:num>
  <w:num w:numId="50" w16cid:durableId="59720369">
    <w:abstractNumId w:val="29"/>
  </w:num>
  <w:num w:numId="51" w16cid:durableId="1379276728">
    <w:abstractNumId w:val="10"/>
  </w:num>
  <w:num w:numId="52" w16cid:durableId="921179279">
    <w:abstractNumId w:val="19"/>
  </w:num>
  <w:num w:numId="53" w16cid:durableId="1060514793">
    <w:abstractNumId w:val="27"/>
  </w:num>
  <w:num w:numId="54" w16cid:durableId="64230155">
    <w:abstractNumId w:val="3"/>
  </w:num>
  <w:num w:numId="55" w16cid:durableId="1681084025">
    <w:abstractNumId w:val="2"/>
  </w:num>
  <w:num w:numId="56" w16cid:durableId="1275090443">
    <w:abstractNumId w:val="18"/>
  </w:num>
  <w:num w:numId="57" w16cid:durableId="269969236">
    <w:abstractNumId w:val="41"/>
  </w:num>
  <w:num w:numId="58" w16cid:durableId="506946840">
    <w:abstractNumId w:val="38"/>
  </w:num>
  <w:num w:numId="59" w16cid:durableId="653989805">
    <w:abstractNumId w:val="57"/>
  </w:num>
  <w:num w:numId="60" w16cid:durableId="751465809">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89E"/>
    <w:rsid w:val="00001E0C"/>
    <w:rsid w:val="000077DD"/>
    <w:rsid w:val="000109BB"/>
    <w:rsid w:val="00010BA0"/>
    <w:rsid w:val="00011778"/>
    <w:rsid w:val="0001365B"/>
    <w:rsid w:val="00020557"/>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60E02"/>
    <w:rsid w:val="00065166"/>
    <w:rsid w:val="00067A88"/>
    <w:rsid w:val="00070B92"/>
    <w:rsid w:val="00073474"/>
    <w:rsid w:val="00077D49"/>
    <w:rsid w:val="00082609"/>
    <w:rsid w:val="00083B38"/>
    <w:rsid w:val="000851CC"/>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0E8F"/>
    <w:rsid w:val="00101707"/>
    <w:rsid w:val="00101A9E"/>
    <w:rsid w:val="00114082"/>
    <w:rsid w:val="0011473D"/>
    <w:rsid w:val="00115C85"/>
    <w:rsid w:val="00123855"/>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5998"/>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0188"/>
    <w:rsid w:val="001C45FC"/>
    <w:rsid w:val="001D02C5"/>
    <w:rsid w:val="001D4862"/>
    <w:rsid w:val="001E25B9"/>
    <w:rsid w:val="001E4952"/>
    <w:rsid w:val="001E49E0"/>
    <w:rsid w:val="001E60C3"/>
    <w:rsid w:val="001E7B5A"/>
    <w:rsid w:val="001F48D2"/>
    <w:rsid w:val="001F7412"/>
    <w:rsid w:val="00200FDD"/>
    <w:rsid w:val="00201874"/>
    <w:rsid w:val="00202133"/>
    <w:rsid w:val="0020264E"/>
    <w:rsid w:val="0020725B"/>
    <w:rsid w:val="00210BBF"/>
    <w:rsid w:val="002175BA"/>
    <w:rsid w:val="0022599E"/>
    <w:rsid w:val="00227C5E"/>
    <w:rsid w:val="002305E8"/>
    <w:rsid w:val="00230AFD"/>
    <w:rsid w:val="0023198D"/>
    <w:rsid w:val="0023317E"/>
    <w:rsid w:val="00234F2C"/>
    <w:rsid w:val="00240B0E"/>
    <w:rsid w:val="0024116D"/>
    <w:rsid w:val="00241B44"/>
    <w:rsid w:val="00245EFB"/>
    <w:rsid w:val="00250E19"/>
    <w:rsid w:val="0025386E"/>
    <w:rsid w:val="002539D7"/>
    <w:rsid w:val="00253DB9"/>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97408"/>
    <w:rsid w:val="002A1EEC"/>
    <w:rsid w:val="002A29FB"/>
    <w:rsid w:val="002A2A60"/>
    <w:rsid w:val="002B1C45"/>
    <w:rsid w:val="002B3286"/>
    <w:rsid w:val="002C13C8"/>
    <w:rsid w:val="002C3547"/>
    <w:rsid w:val="002D0021"/>
    <w:rsid w:val="002D3473"/>
    <w:rsid w:val="002D52BF"/>
    <w:rsid w:val="002D5C95"/>
    <w:rsid w:val="002E00F8"/>
    <w:rsid w:val="002E0547"/>
    <w:rsid w:val="002E1BB5"/>
    <w:rsid w:val="002E2322"/>
    <w:rsid w:val="002E38E2"/>
    <w:rsid w:val="002F1956"/>
    <w:rsid w:val="002F3440"/>
    <w:rsid w:val="002F4EC0"/>
    <w:rsid w:val="002F71A4"/>
    <w:rsid w:val="002F71BE"/>
    <w:rsid w:val="002F75A3"/>
    <w:rsid w:val="002F78CA"/>
    <w:rsid w:val="00303C2F"/>
    <w:rsid w:val="00312911"/>
    <w:rsid w:val="003144EF"/>
    <w:rsid w:val="003148CA"/>
    <w:rsid w:val="00315506"/>
    <w:rsid w:val="003220BA"/>
    <w:rsid w:val="00322F3B"/>
    <w:rsid w:val="00323940"/>
    <w:rsid w:val="003241F1"/>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3D4"/>
    <w:rsid w:val="00396821"/>
    <w:rsid w:val="00397D3A"/>
    <w:rsid w:val="003A051E"/>
    <w:rsid w:val="003A2FEE"/>
    <w:rsid w:val="003B1310"/>
    <w:rsid w:val="003B170F"/>
    <w:rsid w:val="003B3C5F"/>
    <w:rsid w:val="003C089D"/>
    <w:rsid w:val="003C4471"/>
    <w:rsid w:val="003C66B1"/>
    <w:rsid w:val="003D0A6D"/>
    <w:rsid w:val="003D7922"/>
    <w:rsid w:val="003E0B16"/>
    <w:rsid w:val="003E67D1"/>
    <w:rsid w:val="003E681A"/>
    <w:rsid w:val="00405DC1"/>
    <w:rsid w:val="0040710D"/>
    <w:rsid w:val="0041139B"/>
    <w:rsid w:val="004137C3"/>
    <w:rsid w:val="00413D3A"/>
    <w:rsid w:val="00415F1F"/>
    <w:rsid w:val="00417841"/>
    <w:rsid w:val="00417B0F"/>
    <w:rsid w:val="0042108F"/>
    <w:rsid w:val="00422242"/>
    <w:rsid w:val="00424D07"/>
    <w:rsid w:val="00430FED"/>
    <w:rsid w:val="00432179"/>
    <w:rsid w:val="00434292"/>
    <w:rsid w:val="00434A8C"/>
    <w:rsid w:val="00435583"/>
    <w:rsid w:val="00436884"/>
    <w:rsid w:val="00437297"/>
    <w:rsid w:val="00443086"/>
    <w:rsid w:val="00443403"/>
    <w:rsid w:val="00444284"/>
    <w:rsid w:val="00445CE6"/>
    <w:rsid w:val="00447FE6"/>
    <w:rsid w:val="004534C2"/>
    <w:rsid w:val="0045446F"/>
    <w:rsid w:val="00455DE8"/>
    <w:rsid w:val="0045683E"/>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525A"/>
    <w:rsid w:val="004D64F9"/>
    <w:rsid w:val="004E0549"/>
    <w:rsid w:val="004E1674"/>
    <w:rsid w:val="004E2E92"/>
    <w:rsid w:val="004E30B0"/>
    <w:rsid w:val="004E622C"/>
    <w:rsid w:val="004F02C9"/>
    <w:rsid w:val="004F5FDF"/>
    <w:rsid w:val="0050157D"/>
    <w:rsid w:val="00506803"/>
    <w:rsid w:val="0050682B"/>
    <w:rsid w:val="00507AAC"/>
    <w:rsid w:val="00513CFD"/>
    <w:rsid w:val="00516272"/>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6E4F"/>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7650B"/>
    <w:rsid w:val="005833D0"/>
    <w:rsid w:val="005846F3"/>
    <w:rsid w:val="0058622F"/>
    <w:rsid w:val="00587461"/>
    <w:rsid w:val="00590023"/>
    <w:rsid w:val="00592F82"/>
    <w:rsid w:val="005A0CCA"/>
    <w:rsid w:val="005A726D"/>
    <w:rsid w:val="005B67AC"/>
    <w:rsid w:val="005C2C94"/>
    <w:rsid w:val="005C36BC"/>
    <w:rsid w:val="005C4865"/>
    <w:rsid w:val="005C6877"/>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3388"/>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3AF3"/>
    <w:rsid w:val="00687A1D"/>
    <w:rsid w:val="006920CC"/>
    <w:rsid w:val="00692AB2"/>
    <w:rsid w:val="0069647C"/>
    <w:rsid w:val="00697EA1"/>
    <w:rsid w:val="006A1850"/>
    <w:rsid w:val="006A2646"/>
    <w:rsid w:val="006A3DF0"/>
    <w:rsid w:val="006A6530"/>
    <w:rsid w:val="006B1370"/>
    <w:rsid w:val="006B435A"/>
    <w:rsid w:val="006B4C64"/>
    <w:rsid w:val="006B4FFC"/>
    <w:rsid w:val="006C0585"/>
    <w:rsid w:val="006C7DA4"/>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A69"/>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77C0C"/>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2AFE"/>
    <w:rsid w:val="00817D57"/>
    <w:rsid w:val="00820D99"/>
    <w:rsid w:val="00822764"/>
    <w:rsid w:val="008241C4"/>
    <w:rsid w:val="0082483F"/>
    <w:rsid w:val="008264CB"/>
    <w:rsid w:val="00826E94"/>
    <w:rsid w:val="008279C0"/>
    <w:rsid w:val="00835FD1"/>
    <w:rsid w:val="0084683C"/>
    <w:rsid w:val="008512FA"/>
    <w:rsid w:val="00853A74"/>
    <w:rsid w:val="00857763"/>
    <w:rsid w:val="00860E61"/>
    <w:rsid w:val="00867A8F"/>
    <w:rsid w:val="008723F3"/>
    <w:rsid w:val="008805DC"/>
    <w:rsid w:val="00881DE6"/>
    <w:rsid w:val="008837A6"/>
    <w:rsid w:val="0089145D"/>
    <w:rsid w:val="00893A03"/>
    <w:rsid w:val="008A0C6E"/>
    <w:rsid w:val="008A46CF"/>
    <w:rsid w:val="008A4732"/>
    <w:rsid w:val="008A4DF2"/>
    <w:rsid w:val="008A6CFE"/>
    <w:rsid w:val="008A7470"/>
    <w:rsid w:val="008B1A08"/>
    <w:rsid w:val="008B2DE3"/>
    <w:rsid w:val="008B5333"/>
    <w:rsid w:val="008B6223"/>
    <w:rsid w:val="008C0E0E"/>
    <w:rsid w:val="008C5512"/>
    <w:rsid w:val="008C66E0"/>
    <w:rsid w:val="008E2DFA"/>
    <w:rsid w:val="008E3339"/>
    <w:rsid w:val="008E549B"/>
    <w:rsid w:val="008E5C96"/>
    <w:rsid w:val="008F18EF"/>
    <w:rsid w:val="008F20FC"/>
    <w:rsid w:val="008F2B24"/>
    <w:rsid w:val="008F5FFE"/>
    <w:rsid w:val="0090421A"/>
    <w:rsid w:val="00905A43"/>
    <w:rsid w:val="00907DC2"/>
    <w:rsid w:val="00912C79"/>
    <w:rsid w:val="009260A2"/>
    <w:rsid w:val="00933BC3"/>
    <w:rsid w:val="009344C1"/>
    <w:rsid w:val="00942123"/>
    <w:rsid w:val="00951031"/>
    <w:rsid w:val="0095207B"/>
    <w:rsid w:val="00954461"/>
    <w:rsid w:val="00956085"/>
    <w:rsid w:val="00957951"/>
    <w:rsid w:val="00962045"/>
    <w:rsid w:val="00967EDA"/>
    <w:rsid w:val="00970897"/>
    <w:rsid w:val="0097337E"/>
    <w:rsid w:val="00980314"/>
    <w:rsid w:val="009803DF"/>
    <w:rsid w:val="009816D0"/>
    <w:rsid w:val="009837A3"/>
    <w:rsid w:val="00985C40"/>
    <w:rsid w:val="00991428"/>
    <w:rsid w:val="00992676"/>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C5DF8"/>
    <w:rsid w:val="009D0811"/>
    <w:rsid w:val="009D0EE1"/>
    <w:rsid w:val="009D30BB"/>
    <w:rsid w:val="009E2AEB"/>
    <w:rsid w:val="009E2E27"/>
    <w:rsid w:val="009E3CA7"/>
    <w:rsid w:val="009E4DE3"/>
    <w:rsid w:val="00A0303D"/>
    <w:rsid w:val="00A047EE"/>
    <w:rsid w:val="00A114EA"/>
    <w:rsid w:val="00A153F7"/>
    <w:rsid w:val="00A2274A"/>
    <w:rsid w:val="00A235B7"/>
    <w:rsid w:val="00A27A7A"/>
    <w:rsid w:val="00A33C8E"/>
    <w:rsid w:val="00A407EF"/>
    <w:rsid w:val="00A46B4C"/>
    <w:rsid w:val="00A5117B"/>
    <w:rsid w:val="00A54000"/>
    <w:rsid w:val="00A54689"/>
    <w:rsid w:val="00A60074"/>
    <w:rsid w:val="00A6627C"/>
    <w:rsid w:val="00A6649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0E59"/>
    <w:rsid w:val="00AD3FEA"/>
    <w:rsid w:val="00AD7BBD"/>
    <w:rsid w:val="00AF228E"/>
    <w:rsid w:val="00AF302B"/>
    <w:rsid w:val="00B04137"/>
    <w:rsid w:val="00B1112C"/>
    <w:rsid w:val="00B11D19"/>
    <w:rsid w:val="00B12936"/>
    <w:rsid w:val="00B12C2D"/>
    <w:rsid w:val="00B14819"/>
    <w:rsid w:val="00B15031"/>
    <w:rsid w:val="00B17AA9"/>
    <w:rsid w:val="00B263D0"/>
    <w:rsid w:val="00B32DE4"/>
    <w:rsid w:val="00B33578"/>
    <w:rsid w:val="00B3416E"/>
    <w:rsid w:val="00B370C3"/>
    <w:rsid w:val="00B411AE"/>
    <w:rsid w:val="00B413F5"/>
    <w:rsid w:val="00B457BF"/>
    <w:rsid w:val="00B46CE2"/>
    <w:rsid w:val="00B5388A"/>
    <w:rsid w:val="00B55E4C"/>
    <w:rsid w:val="00B60190"/>
    <w:rsid w:val="00B61419"/>
    <w:rsid w:val="00B66441"/>
    <w:rsid w:val="00B72F5F"/>
    <w:rsid w:val="00B736DF"/>
    <w:rsid w:val="00B74FBD"/>
    <w:rsid w:val="00B77352"/>
    <w:rsid w:val="00B77D86"/>
    <w:rsid w:val="00B824AE"/>
    <w:rsid w:val="00B82586"/>
    <w:rsid w:val="00B829A3"/>
    <w:rsid w:val="00B86DB1"/>
    <w:rsid w:val="00B8750C"/>
    <w:rsid w:val="00B87869"/>
    <w:rsid w:val="00B953BD"/>
    <w:rsid w:val="00BA0E44"/>
    <w:rsid w:val="00BA47C5"/>
    <w:rsid w:val="00BB0F2B"/>
    <w:rsid w:val="00BC5B0B"/>
    <w:rsid w:val="00BD0D57"/>
    <w:rsid w:val="00BE1A50"/>
    <w:rsid w:val="00BF50F7"/>
    <w:rsid w:val="00C00111"/>
    <w:rsid w:val="00C02F29"/>
    <w:rsid w:val="00C07878"/>
    <w:rsid w:val="00C10C13"/>
    <w:rsid w:val="00C17111"/>
    <w:rsid w:val="00C20747"/>
    <w:rsid w:val="00C20AFE"/>
    <w:rsid w:val="00C22A25"/>
    <w:rsid w:val="00C23B79"/>
    <w:rsid w:val="00C33D50"/>
    <w:rsid w:val="00C35671"/>
    <w:rsid w:val="00C35B77"/>
    <w:rsid w:val="00C370D3"/>
    <w:rsid w:val="00C376EB"/>
    <w:rsid w:val="00C4003A"/>
    <w:rsid w:val="00C4510C"/>
    <w:rsid w:val="00C46EC1"/>
    <w:rsid w:val="00C504E5"/>
    <w:rsid w:val="00C53E2C"/>
    <w:rsid w:val="00C550C8"/>
    <w:rsid w:val="00C56B61"/>
    <w:rsid w:val="00C606C3"/>
    <w:rsid w:val="00C620F4"/>
    <w:rsid w:val="00C668B6"/>
    <w:rsid w:val="00C67ECE"/>
    <w:rsid w:val="00C7161B"/>
    <w:rsid w:val="00C72848"/>
    <w:rsid w:val="00C74E85"/>
    <w:rsid w:val="00C7736C"/>
    <w:rsid w:val="00C82D87"/>
    <w:rsid w:val="00C841ED"/>
    <w:rsid w:val="00C85F17"/>
    <w:rsid w:val="00C8712A"/>
    <w:rsid w:val="00C91324"/>
    <w:rsid w:val="00C914F7"/>
    <w:rsid w:val="00C963D3"/>
    <w:rsid w:val="00CA5E4F"/>
    <w:rsid w:val="00CA6E0D"/>
    <w:rsid w:val="00CB2CBB"/>
    <w:rsid w:val="00CB56CE"/>
    <w:rsid w:val="00CB7CAC"/>
    <w:rsid w:val="00CC0EA0"/>
    <w:rsid w:val="00CC5335"/>
    <w:rsid w:val="00CC5BA4"/>
    <w:rsid w:val="00CC70BB"/>
    <w:rsid w:val="00CD3420"/>
    <w:rsid w:val="00CD4998"/>
    <w:rsid w:val="00CE1035"/>
    <w:rsid w:val="00CE2A6A"/>
    <w:rsid w:val="00CF2819"/>
    <w:rsid w:val="00CF4F9D"/>
    <w:rsid w:val="00CF70DC"/>
    <w:rsid w:val="00D148DC"/>
    <w:rsid w:val="00D17FDC"/>
    <w:rsid w:val="00D34CC0"/>
    <w:rsid w:val="00D444C5"/>
    <w:rsid w:val="00D45AEA"/>
    <w:rsid w:val="00D5244F"/>
    <w:rsid w:val="00D52E4F"/>
    <w:rsid w:val="00D56A37"/>
    <w:rsid w:val="00D57202"/>
    <w:rsid w:val="00D6386E"/>
    <w:rsid w:val="00D63EFD"/>
    <w:rsid w:val="00D64826"/>
    <w:rsid w:val="00D7080A"/>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D454F"/>
    <w:rsid w:val="00DE03AF"/>
    <w:rsid w:val="00DE121C"/>
    <w:rsid w:val="00DE2A27"/>
    <w:rsid w:val="00DE3705"/>
    <w:rsid w:val="00DE6633"/>
    <w:rsid w:val="00DF70C5"/>
    <w:rsid w:val="00DF75F8"/>
    <w:rsid w:val="00DF7A3A"/>
    <w:rsid w:val="00E00C00"/>
    <w:rsid w:val="00E0334B"/>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1C42"/>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A79F3"/>
    <w:rsid w:val="00EB146B"/>
    <w:rsid w:val="00EB45AC"/>
    <w:rsid w:val="00EC2AEA"/>
    <w:rsid w:val="00EC7B11"/>
    <w:rsid w:val="00EC7F95"/>
    <w:rsid w:val="00ED0BC4"/>
    <w:rsid w:val="00ED3771"/>
    <w:rsid w:val="00ED4AB7"/>
    <w:rsid w:val="00ED6A32"/>
    <w:rsid w:val="00EE4971"/>
    <w:rsid w:val="00EE7AB5"/>
    <w:rsid w:val="00EF090E"/>
    <w:rsid w:val="00F033DA"/>
    <w:rsid w:val="00F11AAB"/>
    <w:rsid w:val="00F13FB1"/>
    <w:rsid w:val="00F16652"/>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51EE5"/>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29E4"/>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character" w:styleId="UnresolvedMention">
    <w:name w:val="Unresolved Mention"/>
    <w:basedOn w:val="DefaultParagraphFont"/>
    <w:uiPriority w:val="99"/>
    <w:semiHidden/>
    <w:unhideWhenUsed/>
    <w:rsid w:val="006B1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54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1719833">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239559657">
      <w:bodyDiv w:val="1"/>
      <w:marLeft w:val="0"/>
      <w:marRight w:val="0"/>
      <w:marTop w:val="0"/>
      <w:marBottom w:val="0"/>
      <w:divBdr>
        <w:top w:val="none" w:sz="0" w:space="0" w:color="auto"/>
        <w:left w:val="none" w:sz="0" w:space="0" w:color="auto"/>
        <w:bottom w:val="none" w:sz="0" w:space="0" w:color="auto"/>
        <w:right w:val="none" w:sz="0" w:space="0" w:color="auto"/>
      </w:divBdr>
      <w:divsChild>
        <w:div w:id="1778258500">
          <w:marLeft w:val="0"/>
          <w:marRight w:val="0"/>
          <w:marTop w:val="0"/>
          <w:marBottom w:val="0"/>
          <w:divBdr>
            <w:top w:val="none" w:sz="0" w:space="0" w:color="auto"/>
            <w:left w:val="none" w:sz="0" w:space="0" w:color="auto"/>
            <w:bottom w:val="none" w:sz="0" w:space="0" w:color="auto"/>
            <w:right w:val="none" w:sz="0" w:space="0" w:color="auto"/>
          </w:divBdr>
        </w:div>
      </w:divsChild>
    </w:div>
    <w:div w:id="1709644784">
      <w:bodyDiv w:val="1"/>
      <w:marLeft w:val="0"/>
      <w:marRight w:val="0"/>
      <w:marTop w:val="0"/>
      <w:marBottom w:val="0"/>
      <w:divBdr>
        <w:top w:val="none" w:sz="0" w:space="0" w:color="auto"/>
        <w:left w:val="none" w:sz="0" w:space="0" w:color="auto"/>
        <w:bottom w:val="none" w:sz="0" w:space="0" w:color="auto"/>
        <w:right w:val="none" w:sz="0" w:space="0" w:color="auto"/>
      </w:divBdr>
      <w:divsChild>
        <w:div w:id="967055158">
          <w:marLeft w:val="240"/>
          <w:marRight w:val="0"/>
          <w:marTop w:val="60"/>
          <w:marBottom w:val="60"/>
          <w:divBdr>
            <w:top w:val="none" w:sz="0" w:space="0" w:color="auto"/>
            <w:left w:val="none" w:sz="0" w:space="0" w:color="auto"/>
            <w:bottom w:val="none" w:sz="0" w:space="0" w:color="auto"/>
            <w:right w:val="none" w:sz="0" w:space="0" w:color="auto"/>
          </w:divBdr>
          <w:divsChild>
            <w:div w:id="1102216579">
              <w:marLeft w:val="0"/>
              <w:marRight w:val="0"/>
              <w:marTop w:val="0"/>
              <w:marBottom w:val="0"/>
              <w:divBdr>
                <w:top w:val="none" w:sz="0" w:space="0" w:color="auto"/>
                <w:left w:val="none" w:sz="0" w:space="0" w:color="auto"/>
                <w:bottom w:val="none" w:sz="0" w:space="0" w:color="auto"/>
                <w:right w:val="none" w:sz="0" w:space="0" w:color="auto"/>
              </w:divBdr>
            </w:div>
          </w:divsChild>
        </w:div>
        <w:div w:id="1379285808">
          <w:marLeft w:val="240"/>
          <w:marRight w:val="0"/>
          <w:marTop w:val="60"/>
          <w:marBottom w:val="60"/>
          <w:divBdr>
            <w:top w:val="none" w:sz="0" w:space="0" w:color="auto"/>
            <w:left w:val="none" w:sz="0" w:space="0" w:color="auto"/>
            <w:bottom w:val="none" w:sz="0" w:space="0" w:color="auto"/>
            <w:right w:val="none" w:sz="0" w:space="0" w:color="auto"/>
          </w:divBdr>
          <w:divsChild>
            <w:div w:id="275065200">
              <w:marLeft w:val="0"/>
              <w:marRight w:val="0"/>
              <w:marTop w:val="0"/>
              <w:marBottom w:val="0"/>
              <w:divBdr>
                <w:top w:val="none" w:sz="0" w:space="0" w:color="auto"/>
                <w:left w:val="none" w:sz="0" w:space="0" w:color="auto"/>
                <w:bottom w:val="none" w:sz="0" w:space="0" w:color="auto"/>
                <w:right w:val="none" w:sz="0" w:space="0" w:color="auto"/>
              </w:divBdr>
            </w:div>
          </w:divsChild>
        </w:div>
        <w:div w:id="1563827715">
          <w:marLeft w:val="240"/>
          <w:marRight w:val="0"/>
          <w:marTop w:val="60"/>
          <w:marBottom w:val="60"/>
          <w:divBdr>
            <w:top w:val="none" w:sz="0" w:space="0" w:color="auto"/>
            <w:left w:val="none" w:sz="0" w:space="0" w:color="auto"/>
            <w:bottom w:val="none" w:sz="0" w:space="0" w:color="auto"/>
            <w:right w:val="none" w:sz="0" w:space="0" w:color="auto"/>
          </w:divBdr>
          <w:divsChild>
            <w:div w:id="7640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uncitral.un.org/sites/uncitral.un.org/files/media-documents/uncitral/en/20-06293_uncitral_mlcbi_digest_e.pdf" TargetMode="External"/><Relationship Id="rId2" Type="http://schemas.openxmlformats.org/officeDocument/2006/relationships/hyperlink" Target="https://uncitral.un.org/sites/uncitral.un.org/files/media-documents/uncitral/en/judicial-perspective-2013-e.pdf" TargetMode="External"/><Relationship Id="rId1" Type="http://schemas.openxmlformats.org/officeDocument/2006/relationships/hyperlink" Target="https://uncitral.un.org/sites/uncitral.un.org/files/media-documents/uncitral/en/20-06293_uncitral_mlcbi_digest_e.pdf" TargetMode="External"/><Relationship Id="rId5" Type="http://schemas.openxmlformats.org/officeDocument/2006/relationships/hyperlink" Target="https://uncitral.un.org/sites/uncitral.un.org/files/media-documents/uncitral/en/judicial-perspective-2013-e.pdf" TargetMode="External"/><Relationship Id="rId4" Type="http://schemas.openxmlformats.org/officeDocument/2006/relationships/hyperlink" Target="https://uncitral.un.org/sites/uncitral.un.org/files/media-documents/uncitral/en/20-06293_uncitral_mlcbi_digest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4722</TotalTime>
  <Pages>14</Pages>
  <Words>5321</Words>
  <Characters>28150</Characters>
  <Application>Microsoft Office Word</Application>
  <DocSecurity>0</DocSecurity>
  <Lines>639</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Saksham Shukla</cp:lastModifiedBy>
  <cp:revision>62</cp:revision>
  <cp:lastPrinted>2019-08-27T05:42:00Z</cp:lastPrinted>
  <dcterms:created xsi:type="dcterms:W3CDTF">2023-01-19T09:32:00Z</dcterms:created>
  <dcterms:modified xsi:type="dcterms:W3CDTF">2024-02-22T02:41:00Z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2b71998162a532b6ff30b12524b629a02f52c152bbe8d17c3a34741b8eec41b0</vt:lpwstr>
  </property>
</Properties>
</file>