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D17E6F">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61C888AB" w14:textId="3CFBACDA" w:rsidR="0011473D" w:rsidRPr="00F33E2D" w:rsidRDefault="00E93993" w:rsidP="00F33E2D">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94A8B">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1E2C8F" w:rsidRDefault="00B263D0" w:rsidP="00B94A8B">
      <w:pPr>
        <w:pStyle w:val="ListParagraph"/>
        <w:numPr>
          <w:ilvl w:val="0"/>
          <w:numId w:val="1"/>
        </w:numPr>
        <w:ind w:left="426" w:hanging="426"/>
        <w:jc w:val="both"/>
        <w:rPr>
          <w:rFonts w:ascii="Avenir Next" w:hAnsi="Avenir Next" w:cs="Arial"/>
          <w:sz w:val="22"/>
          <w:szCs w:val="22"/>
          <w:highlight w:val="yellow"/>
          <w:lang w:val="en-GB"/>
        </w:rPr>
      </w:pPr>
      <w:r w:rsidRPr="001E2C8F">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94A8B">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B94A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B94A8B">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B94A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B94A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B94A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B94A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B94A8B">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B94A8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B94A8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F68E5" w:rsidRDefault="00AD0E59" w:rsidP="00B94A8B">
      <w:pPr>
        <w:pStyle w:val="ListParagraph"/>
        <w:numPr>
          <w:ilvl w:val="0"/>
          <w:numId w:val="10"/>
        </w:numPr>
        <w:ind w:left="426" w:hanging="426"/>
        <w:jc w:val="both"/>
        <w:rPr>
          <w:rFonts w:ascii="Avenir Next" w:hAnsi="Avenir Next" w:cs="Arial"/>
          <w:sz w:val="22"/>
          <w:szCs w:val="22"/>
          <w:highlight w:val="yellow"/>
          <w:lang w:val="en-GB"/>
        </w:rPr>
      </w:pPr>
      <w:proofErr w:type="gramStart"/>
      <w:r w:rsidRPr="001F68E5">
        <w:rPr>
          <w:rFonts w:ascii="Avenir Next" w:hAnsi="Avenir Next" w:cs="Arial"/>
          <w:sz w:val="22"/>
          <w:szCs w:val="22"/>
          <w:highlight w:val="yellow"/>
          <w:lang w:val="en-GB"/>
        </w:rPr>
        <w:lastRenderedPageBreak/>
        <w:t>All of</w:t>
      </w:r>
      <w:proofErr w:type="gramEnd"/>
      <w:r w:rsidRPr="001F68E5">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B94A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B94A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B94A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w:t>
      </w:r>
      <w:proofErr w:type="gramStart"/>
      <w:r w:rsidRPr="00894D34">
        <w:rPr>
          <w:rFonts w:ascii="Avenir Next" w:hAnsi="Avenir Next"/>
          <w:sz w:val="22"/>
          <w:szCs w:val="28"/>
        </w:rPr>
        <w:t>is intended</w:t>
      </w:r>
      <w:proofErr w:type="gramEnd"/>
      <w:r w:rsidRPr="00894D34">
        <w:rPr>
          <w:rFonts w:ascii="Avenir Next" w:hAnsi="Avenir Next"/>
          <w:sz w:val="22"/>
          <w:szCs w:val="28"/>
        </w:rPr>
        <w:t xml:space="preserve">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B94A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B94A8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B94A8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E2C73" w:rsidRDefault="00893A03" w:rsidP="008E2C73">
      <w:pPr>
        <w:pStyle w:val="ListParagraph"/>
        <w:numPr>
          <w:ilvl w:val="0"/>
          <w:numId w:val="10"/>
        </w:numPr>
        <w:ind w:left="426" w:hanging="426"/>
        <w:jc w:val="both"/>
        <w:rPr>
          <w:rFonts w:ascii="Avenir Next" w:hAnsi="Avenir Next" w:cs="Arial"/>
          <w:sz w:val="22"/>
          <w:szCs w:val="22"/>
          <w:highlight w:val="yellow"/>
          <w:lang w:val="en-GB"/>
        </w:rPr>
      </w:pPr>
      <w:r w:rsidRPr="008E2C73">
        <w:rPr>
          <w:rFonts w:ascii="Avenir Next" w:hAnsi="Avenir Next" w:cs="Arial"/>
          <w:sz w:val="22"/>
          <w:szCs w:val="22"/>
          <w:highlight w:val="yellow"/>
          <w:lang w:val="en-GB"/>
        </w:rPr>
        <w:t>Options (</w:t>
      </w:r>
      <w:proofErr w:type="spellStart"/>
      <w:r w:rsidRPr="008E2C73">
        <w:rPr>
          <w:rFonts w:ascii="Avenir Next" w:hAnsi="Avenir Next" w:cs="Arial"/>
          <w:sz w:val="22"/>
          <w:szCs w:val="22"/>
          <w:highlight w:val="yellow"/>
          <w:lang w:val="en-GB"/>
        </w:rPr>
        <w:t>i</w:t>
      </w:r>
      <w:proofErr w:type="spellEnd"/>
      <w:r w:rsidRPr="008E2C73">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B94A8B">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B94A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B94A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B94A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B94A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B94A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81760" w:rsidRDefault="00812AFE" w:rsidP="00B94A8B">
      <w:pPr>
        <w:pStyle w:val="ListParagraph"/>
        <w:numPr>
          <w:ilvl w:val="0"/>
          <w:numId w:val="3"/>
        </w:numPr>
        <w:ind w:left="426" w:hanging="426"/>
        <w:jc w:val="both"/>
        <w:rPr>
          <w:rFonts w:ascii="Avenir Next" w:hAnsi="Avenir Next" w:cs="Arial"/>
          <w:sz w:val="22"/>
          <w:szCs w:val="22"/>
          <w:highlight w:val="yellow"/>
          <w:lang w:val="en-GB"/>
        </w:rPr>
      </w:pPr>
      <w:r w:rsidRPr="00881760">
        <w:rPr>
          <w:rFonts w:ascii="Avenir Next" w:hAnsi="Avenir Next" w:cs="Arial"/>
          <w:sz w:val="22"/>
          <w:szCs w:val="22"/>
          <w:highlight w:val="yellow"/>
          <w:lang w:val="en-GB"/>
        </w:rPr>
        <w:t>Options (</w:t>
      </w:r>
      <w:proofErr w:type="spellStart"/>
      <w:r w:rsidRPr="00881760">
        <w:rPr>
          <w:rFonts w:ascii="Avenir Next" w:hAnsi="Avenir Next" w:cs="Arial"/>
          <w:sz w:val="22"/>
          <w:szCs w:val="22"/>
          <w:highlight w:val="yellow"/>
          <w:lang w:val="en-GB"/>
        </w:rPr>
        <w:t>i</w:t>
      </w:r>
      <w:proofErr w:type="spellEnd"/>
      <w:r w:rsidRPr="00881760">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B94A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B94A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B94A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B94A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w:t>
      </w:r>
      <w:proofErr w:type="gramStart"/>
      <w:r w:rsidRPr="00217019">
        <w:rPr>
          <w:rFonts w:ascii="Avenir Next" w:hAnsi="Avenir Next"/>
          <w:sz w:val="22"/>
          <w:szCs w:val="28"/>
        </w:rPr>
        <w:t>jurisdiction</w:t>
      </w:r>
      <w:proofErr w:type="gramEnd"/>
      <w:r w:rsidRPr="00217019">
        <w:rPr>
          <w:rFonts w:ascii="Avenir Next" w:hAnsi="Avenir Next"/>
          <w:sz w:val="22"/>
          <w:szCs w:val="28"/>
        </w:rPr>
        <w:t xml:space="preserve">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B94A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w:t>
      </w:r>
      <w:proofErr w:type="gramStart"/>
      <w:r w:rsidRPr="00217019">
        <w:rPr>
          <w:rFonts w:ascii="Avenir Next" w:hAnsi="Avenir Next"/>
          <w:sz w:val="22"/>
          <w:szCs w:val="28"/>
        </w:rPr>
        <w:t>jurisdiction</w:t>
      </w:r>
      <w:proofErr w:type="gramEnd"/>
      <w:r w:rsidRPr="00217019">
        <w:rPr>
          <w:rFonts w:ascii="Avenir Next" w:hAnsi="Avenir Next"/>
          <w:sz w:val="22"/>
          <w:szCs w:val="28"/>
        </w:rPr>
        <w:t xml:space="preserve">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B94A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w:t>
      </w:r>
      <w:proofErr w:type="gramStart"/>
      <w:r w:rsidRPr="00217019">
        <w:rPr>
          <w:rFonts w:ascii="Avenir Next" w:hAnsi="Avenir Next"/>
          <w:sz w:val="22"/>
          <w:szCs w:val="28"/>
        </w:rPr>
        <w:t>jurisdiction</w:t>
      </w:r>
      <w:proofErr w:type="gramEnd"/>
      <w:r w:rsidRPr="00217019">
        <w:rPr>
          <w:rFonts w:ascii="Avenir Next" w:hAnsi="Avenir Next"/>
          <w:sz w:val="22"/>
          <w:szCs w:val="28"/>
        </w:rPr>
        <w:t xml:space="preserve">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B94A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w:t>
      </w:r>
      <w:proofErr w:type="gramStart"/>
      <w:r w:rsidRPr="00217019">
        <w:rPr>
          <w:rFonts w:ascii="Avenir Next" w:hAnsi="Avenir Next"/>
          <w:sz w:val="22"/>
          <w:szCs w:val="28"/>
        </w:rPr>
        <w:t>jurisdiction</w:t>
      </w:r>
      <w:proofErr w:type="gramEnd"/>
      <w:r w:rsidRPr="00217019">
        <w:rPr>
          <w:rFonts w:ascii="Avenir Next" w:hAnsi="Avenir Next"/>
          <w:sz w:val="22"/>
          <w:szCs w:val="28"/>
        </w:rPr>
        <w:t xml:space="preserve">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B94A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w:t>
      </w:r>
      <w:proofErr w:type="gramStart"/>
      <w:r w:rsidRPr="00217019">
        <w:rPr>
          <w:rFonts w:ascii="Avenir Next" w:hAnsi="Avenir Next"/>
          <w:sz w:val="22"/>
          <w:szCs w:val="28"/>
        </w:rPr>
        <w:t>jurisdiction</w:t>
      </w:r>
      <w:proofErr w:type="gramEnd"/>
      <w:r w:rsidRPr="00217019">
        <w:rPr>
          <w:rFonts w:ascii="Avenir Next" w:hAnsi="Avenir Next"/>
          <w:sz w:val="22"/>
          <w:szCs w:val="28"/>
        </w:rPr>
        <w:t xml:space="preserve">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B94A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B94A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B94A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C07B33" w:rsidRDefault="003220BA" w:rsidP="00B94A8B">
      <w:pPr>
        <w:pStyle w:val="ListParagraph"/>
        <w:numPr>
          <w:ilvl w:val="0"/>
          <w:numId w:val="4"/>
        </w:numPr>
        <w:ind w:left="426" w:hanging="426"/>
        <w:jc w:val="both"/>
        <w:rPr>
          <w:rFonts w:ascii="Avenir Next" w:hAnsi="Avenir Next" w:cs="Arial"/>
          <w:sz w:val="22"/>
          <w:szCs w:val="22"/>
          <w:highlight w:val="yellow"/>
          <w:lang w:val="en-GB"/>
        </w:rPr>
      </w:pPr>
      <w:r w:rsidRPr="00C07B33">
        <w:rPr>
          <w:rFonts w:ascii="Avenir Next" w:hAnsi="Avenir Next" w:cs="Arial"/>
          <w:sz w:val="22"/>
          <w:szCs w:val="22"/>
          <w:highlight w:val="yellow"/>
          <w:lang w:val="en-GB"/>
        </w:rPr>
        <w:t>Options (</w:t>
      </w:r>
      <w:proofErr w:type="spellStart"/>
      <w:r w:rsidRPr="00C07B33">
        <w:rPr>
          <w:rFonts w:ascii="Avenir Next" w:hAnsi="Avenir Next" w:cs="Arial"/>
          <w:sz w:val="22"/>
          <w:szCs w:val="22"/>
          <w:highlight w:val="yellow"/>
          <w:lang w:val="en-GB"/>
        </w:rPr>
        <w:t>i</w:t>
      </w:r>
      <w:proofErr w:type="spellEnd"/>
      <w:r w:rsidRPr="00C07B33">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B94A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B94A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B94A8B">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63624C" w:rsidRDefault="009344C1" w:rsidP="00B94A8B">
      <w:pPr>
        <w:pStyle w:val="ListParagraph"/>
        <w:numPr>
          <w:ilvl w:val="0"/>
          <w:numId w:val="5"/>
        </w:numPr>
        <w:ind w:left="426" w:hanging="426"/>
        <w:jc w:val="both"/>
        <w:rPr>
          <w:rFonts w:ascii="Avenir Next" w:hAnsi="Avenir Next" w:cs="Arial"/>
          <w:sz w:val="22"/>
          <w:szCs w:val="22"/>
          <w:highlight w:val="yellow"/>
          <w:lang w:val="en-GB"/>
        </w:rPr>
      </w:pPr>
      <w:r w:rsidRPr="0063624C">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B94A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B94A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B94A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B94A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B94A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B94A8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7591C" w:rsidRDefault="00F51EE5" w:rsidP="00B94A8B">
      <w:pPr>
        <w:pStyle w:val="ListParagraph"/>
        <w:numPr>
          <w:ilvl w:val="0"/>
          <w:numId w:val="6"/>
        </w:numPr>
        <w:ind w:left="426" w:hanging="426"/>
        <w:jc w:val="both"/>
        <w:rPr>
          <w:rFonts w:ascii="Avenir Next" w:hAnsi="Avenir Next" w:cs="Arial"/>
          <w:sz w:val="22"/>
          <w:szCs w:val="22"/>
          <w:highlight w:val="yellow"/>
          <w:lang w:val="en-GB"/>
        </w:rPr>
      </w:pPr>
      <w:r w:rsidRPr="0047591C">
        <w:rPr>
          <w:rFonts w:ascii="Avenir Next" w:hAnsi="Avenir Next" w:cs="Arial"/>
          <w:sz w:val="22"/>
          <w:szCs w:val="22"/>
          <w:highlight w:val="yellow"/>
          <w:lang w:val="en-GB"/>
        </w:rPr>
        <w:t>Options (</w:t>
      </w:r>
      <w:proofErr w:type="spellStart"/>
      <w:r w:rsidRPr="0047591C">
        <w:rPr>
          <w:rFonts w:ascii="Avenir Next" w:hAnsi="Avenir Next" w:cs="Arial"/>
          <w:sz w:val="22"/>
          <w:szCs w:val="22"/>
          <w:highlight w:val="yellow"/>
          <w:lang w:val="en-GB"/>
        </w:rPr>
        <w:t>i</w:t>
      </w:r>
      <w:proofErr w:type="spellEnd"/>
      <w:r w:rsidRPr="0047591C">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B94A8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B94A8B">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B94A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B94A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B94A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B94A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COMI is being </w:t>
      </w:r>
      <w:proofErr w:type="gramStart"/>
      <w:r w:rsidRPr="007742D6">
        <w:rPr>
          <w:rFonts w:ascii="Avenir Next" w:hAnsi="Avenir Next"/>
          <w:sz w:val="22"/>
          <w:szCs w:val="28"/>
        </w:rPr>
        <w:t>tested</w:t>
      </w:r>
      <w:proofErr w:type="gramEnd"/>
      <w:r w:rsidRPr="007742D6">
        <w:rPr>
          <w:rFonts w:ascii="Avenir Next" w:hAnsi="Avenir Next"/>
          <w:sz w:val="22"/>
          <w:szCs w:val="28"/>
        </w:rPr>
        <w:t xml:space="preserve">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B94A8B">
      <w:pPr>
        <w:pStyle w:val="ListParagraph"/>
        <w:numPr>
          <w:ilvl w:val="0"/>
          <w:numId w:val="7"/>
        </w:numPr>
        <w:ind w:left="426" w:hanging="426"/>
        <w:jc w:val="both"/>
        <w:rPr>
          <w:rFonts w:ascii="Avenir Next" w:hAnsi="Avenir Next" w:cs="Arial"/>
          <w:sz w:val="22"/>
          <w:szCs w:val="22"/>
          <w:lang w:val="en-GB"/>
        </w:rPr>
      </w:pPr>
      <w:r w:rsidRPr="0073729B">
        <w:rPr>
          <w:rFonts w:ascii="Avenir Next" w:hAnsi="Avenir Next" w:cs="Arial"/>
          <w:sz w:val="22"/>
          <w:szCs w:val="22"/>
          <w:lang w:val="en-GB"/>
        </w:rPr>
        <w:t>Options (</w:t>
      </w:r>
      <w:proofErr w:type="spellStart"/>
      <w:r w:rsidRPr="0073729B">
        <w:rPr>
          <w:rFonts w:ascii="Avenir Next" w:hAnsi="Avenir Next" w:cs="Arial"/>
          <w:sz w:val="22"/>
          <w:szCs w:val="22"/>
          <w:lang w:val="en-GB"/>
        </w:rPr>
        <w:t>i</w:t>
      </w:r>
      <w:proofErr w:type="spellEnd"/>
      <w:r w:rsidRPr="0073729B">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B94A8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0047FF" w:rsidRDefault="0097337E" w:rsidP="00B94A8B">
      <w:pPr>
        <w:pStyle w:val="ListParagraph"/>
        <w:numPr>
          <w:ilvl w:val="0"/>
          <w:numId w:val="7"/>
        </w:numPr>
        <w:ind w:left="426" w:hanging="426"/>
        <w:jc w:val="both"/>
        <w:rPr>
          <w:rFonts w:ascii="Avenir Next" w:hAnsi="Avenir Next" w:cs="Arial"/>
          <w:sz w:val="22"/>
          <w:szCs w:val="22"/>
          <w:highlight w:val="yellow"/>
          <w:lang w:val="en-GB"/>
        </w:rPr>
      </w:pPr>
      <w:proofErr w:type="gramStart"/>
      <w:r w:rsidRPr="000047FF">
        <w:rPr>
          <w:rFonts w:ascii="Avenir Next" w:hAnsi="Avenir Next" w:cs="Arial"/>
          <w:sz w:val="22"/>
          <w:szCs w:val="22"/>
          <w:highlight w:val="yellow"/>
          <w:lang w:val="en-GB"/>
        </w:rPr>
        <w:t>All of</w:t>
      </w:r>
      <w:proofErr w:type="gramEnd"/>
      <w:r w:rsidRPr="000047FF">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B94A8B">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B94A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B94A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B94A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B94A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B94A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C543E" w:rsidRDefault="009A58D1" w:rsidP="00B94A8B">
      <w:pPr>
        <w:pStyle w:val="ListParagraph"/>
        <w:numPr>
          <w:ilvl w:val="0"/>
          <w:numId w:val="8"/>
        </w:numPr>
        <w:ind w:left="426" w:hanging="426"/>
        <w:jc w:val="both"/>
        <w:rPr>
          <w:rFonts w:ascii="Avenir Next" w:hAnsi="Avenir Next" w:cs="Arial"/>
          <w:sz w:val="22"/>
          <w:szCs w:val="22"/>
          <w:highlight w:val="yellow"/>
          <w:lang w:val="en-GB"/>
        </w:rPr>
      </w:pPr>
      <w:r w:rsidRPr="005C543E">
        <w:rPr>
          <w:rFonts w:ascii="Avenir Next" w:hAnsi="Avenir Next" w:cs="Arial"/>
          <w:sz w:val="22"/>
          <w:szCs w:val="22"/>
          <w:highlight w:val="yellow"/>
          <w:lang w:val="en-GB"/>
        </w:rPr>
        <w:t>Options (iii), (</w:t>
      </w:r>
      <w:proofErr w:type="spellStart"/>
      <w:r w:rsidRPr="005C543E">
        <w:rPr>
          <w:rFonts w:ascii="Avenir Next" w:hAnsi="Avenir Next" w:cs="Arial"/>
          <w:sz w:val="22"/>
          <w:szCs w:val="22"/>
          <w:highlight w:val="yellow"/>
          <w:lang w:val="en-GB"/>
        </w:rPr>
        <w:t>i</w:t>
      </w:r>
      <w:proofErr w:type="spellEnd"/>
      <w:r w:rsidRPr="005C543E">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B94A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B94A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B94A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B94A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271CB" w:rsidRDefault="00C4510C" w:rsidP="00B94A8B">
      <w:pPr>
        <w:pStyle w:val="ListParagraph"/>
        <w:numPr>
          <w:ilvl w:val="0"/>
          <w:numId w:val="9"/>
        </w:numPr>
        <w:ind w:left="426" w:hanging="426"/>
        <w:jc w:val="both"/>
        <w:rPr>
          <w:rFonts w:ascii="Avenir Next" w:hAnsi="Avenir Next" w:cs="Arial"/>
          <w:sz w:val="22"/>
          <w:szCs w:val="22"/>
          <w:highlight w:val="yellow"/>
          <w:lang w:val="en-GB"/>
        </w:rPr>
      </w:pPr>
      <w:r w:rsidRPr="00A271C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9002767" w14:textId="73B7E356" w:rsidR="00C602F9" w:rsidRDefault="004D50E0"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MLCBI and the E</w:t>
      </w:r>
      <w:r w:rsidR="00386335">
        <w:rPr>
          <w:rFonts w:ascii="Avenir Next" w:hAnsi="Avenir Next" w:cs="Arial"/>
          <w:color w:val="808080" w:themeColor="background1" w:themeShade="80"/>
          <w:sz w:val="22"/>
          <w:szCs w:val="22"/>
          <w:lang w:val="en-GB"/>
        </w:rPr>
        <w:t>U Regulation on Insolvency (EIR)</w:t>
      </w:r>
      <w:r>
        <w:rPr>
          <w:rFonts w:ascii="Avenir Next" w:hAnsi="Avenir Next" w:cs="Arial"/>
          <w:color w:val="808080" w:themeColor="background1" w:themeShade="80"/>
          <w:sz w:val="22"/>
          <w:szCs w:val="22"/>
          <w:lang w:val="en-GB"/>
        </w:rPr>
        <w:t xml:space="preserve"> lies in the scope of application</w:t>
      </w:r>
      <w:r w:rsidR="00386335">
        <w:rPr>
          <w:rFonts w:ascii="Avenir Next" w:hAnsi="Avenir Next" w:cs="Arial"/>
          <w:color w:val="808080" w:themeColor="background1" w:themeShade="80"/>
          <w:sz w:val="22"/>
          <w:szCs w:val="22"/>
          <w:lang w:val="en-GB"/>
        </w:rPr>
        <w:t xml:space="preserve">. </w:t>
      </w:r>
      <w:r w:rsidR="00C602F9">
        <w:rPr>
          <w:rFonts w:ascii="Avenir Next" w:hAnsi="Avenir Next" w:cs="Arial"/>
          <w:color w:val="808080" w:themeColor="background1" w:themeShade="80"/>
          <w:sz w:val="22"/>
          <w:szCs w:val="22"/>
          <w:lang w:val="en-GB"/>
        </w:rPr>
        <w:t xml:space="preserve">The MLCBI is a global initiative by UNICTRAL </w:t>
      </w:r>
      <w:r w:rsidR="00BC5599">
        <w:rPr>
          <w:rFonts w:ascii="Avenir Next" w:hAnsi="Avenir Next" w:cs="Arial"/>
          <w:color w:val="808080" w:themeColor="background1" w:themeShade="80"/>
          <w:sz w:val="22"/>
          <w:szCs w:val="22"/>
          <w:lang w:val="en-GB"/>
        </w:rPr>
        <w:t xml:space="preserve">that provides guidance </w:t>
      </w:r>
      <w:r w:rsidR="00F85BD0">
        <w:rPr>
          <w:rFonts w:ascii="Avenir Next" w:hAnsi="Avenir Next" w:cs="Arial"/>
          <w:color w:val="808080" w:themeColor="background1" w:themeShade="80"/>
          <w:sz w:val="22"/>
          <w:szCs w:val="22"/>
          <w:lang w:val="en-GB"/>
        </w:rPr>
        <w:t xml:space="preserve">on a procedural framework for cooperation among states as relates to access, recognition, </w:t>
      </w:r>
      <w:r w:rsidR="00664336">
        <w:rPr>
          <w:rFonts w:ascii="Avenir Next" w:hAnsi="Avenir Next" w:cs="Arial"/>
          <w:color w:val="808080" w:themeColor="background1" w:themeShade="80"/>
          <w:sz w:val="22"/>
          <w:szCs w:val="22"/>
          <w:lang w:val="en-GB"/>
        </w:rPr>
        <w:t>relief,</w:t>
      </w:r>
      <w:r w:rsidR="00F85BD0">
        <w:rPr>
          <w:rFonts w:ascii="Avenir Next" w:hAnsi="Avenir Next" w:cs="Arial"/>
          <w:color w:val="808080" w:themeColor="background1" w:themeShade="80"/>
          <w:sz w:val="22"/>
          <w:szCs w:val="22"/>
          <w:lang w:val="en-GB"/>
        </w:rPr>
        <w:t xml:space="preserve"> and cooperation</w:t>
      </w:r>
      <w:r w:rsidR="00BC5599">
        <w:rPr>
          <w:rFonts w:ascii="Avenir Next" w:hAnsi="Avenir Next" w:cs="Arial"/>
          <w:color w:val="808080" w:themeColor="background1" w:themeShade="80"/>
          <w:sz w:val="22"/>
          <w:szCs w:val="22"/>
          <w:lang w:val="en-GB"/>
        </w:rPr>
        <w:t xml:space="preserve">. </w:t>
      </w:r>
      <w:r w:rsidR="00F947D2">
        <w:rPr>
          <w:rFonts w:ascii="Avenir Next" w:hAnsi="Avenir Next" w:cs="Arial"/>
          <w:color w:val="808080" w:themeColor="background1" w:themeShade="80"/>
          <w:sz w:val="22"/>
          <w:szCs w:val="22"/>
          <w:lang w:val="en-GB"/>
        </w:rPr>
        <w:t xml:space="preserve">Its application is thus </w:t>
      </w:r>
      <w:r w:rsidR="00143B9F">
        <w:rPr>
          <w:rFonts w:ascii="Avenir Next" w:hAnsi="Avenir Next" w:cs="Arial"/>
          <w:color w:val="808080" w:themeColor="background1" w:themeShade="80"/>
          <w:sz w:val="22"/>
          <w:szCs w:val="22"/>
          <w:lang w:val="en-GB"/>
        </w:rPr>
        <w:t>universal</w:t>
      </w:r>
      <w:r w:rsidR="00F947D2">
        <w:rPr>
          <w:rFonts w:ascii="Avenir Next" w:hAnsi="Avenir Next" w:cs="Arial"/>
          <w:color w:val="808080" w:themeColor="background1" w:themeShade="80"/>
          <w:sz w:val="22"/>
          <w:szCs w:val="22"/>
          <w:lang w:val="en-GB"/>
        </w:rPr>
        <w:t xml:space="preserve"> to the extent that </w:t>
      </w:r>
      <w:r w:rsidR="00F35721">
        <w:rPr>
          <w:rFonts w:ascii="Avenir Next" w:hAnsi="Avenir Next" w:cs="Arial"/>
          <w:color w:val="808080" w:themeColor="background1" w:themeShade="80"/>
          <w:sz w:val="22"/>
          <w:szCs w:val="22"/>
          <w:lang w:val="en-GB"/>
        </w:rPr>
        <w:t xml:space="preserve">states have enacted the MLCBI and adopted the same as domestic law. On the other hand, the </w:t>
      </w:r>
      <w:r w:rsidR="00696E40">
        <w:rPr>
          <w:rFonts w:ascii="Avenir Next" w:hAnsi="Avenir Next" w:cs="Arial"/>
          <w:color w:val="808080" w:themeColor="background1" w:themeShade="80"/>
          <w:sz w:val="22"/>
          <w:szCs w:val="22"/>
          <w:lang w:val="en-GB"/>
        </w:rPr>
        <w:t xml:space="preserve">EIR, which </w:t>
      </w:r>
      <w:r w:rsidR="00F35721">
        <w:rPr>
          <w:rFonts w:ascii="Avenir Next" w:hAnsi="Avenir Next" w:cs="Arial"/>
          <w:color w:val="808080" w:themeColor="background1" w:themeShade="80"/>
          <w:sz w:val="22"/>
          <w:szCs w:val="22"/>
          <w:lang w:val="en-GB"/>
        </w:rPr>
        <w:t>is an initiative of the European Union</w:t>
      </w:r>
      <w:r w:rsidR="00696E40">
        <w:rPr>
          <w:rFonts w:ascii="Avenir Next" w:hAnsi="Avenir Next" w:cs="Arial"/>
          <w:color w:val="808080" w:themeColor="background1" w:themeShade="80"/>
          <w:sz w:val="22"/>
          <w:szCs w:val="22"/>
          <w:lang w:val="en-GB"/>
        </w:rPr>
        <w:t>, is a regulation which upon adoption becomes domestic law</w:t>
      </w:r>
      <w:r w:rsidR="00F35721">
        <w:rPr>
          <w:rFonts w:ascii="Avenir Next" w:hAnsi="Avenir Next" w:cs="Arial"/>
          <w:color w:val="808080" w:themeColor="background1" w:themeShade="80"/>
          <w:sz w:val="22"/>
          <w:szCs w:val="22"/>
          <w:lang w:val="en-GB"/>
        </w:rPr>
        <w:t xml:space="preserve"> </w:t>
      </w:r>
      <w:r w:rsidR="00696E40">
        <w:rPr>
          <w:rFonts w:ascii="Avenir Next" w:hAnsi="Avenir Next" w:cs="Arial"/>
          <w:color w:val="808080" w:themeColor="background1" w:themeShade="80"/>
          <w:sz w:val="22"/>
          <w:szCs w:val="22"/>
          <w:lang w:val="en-GB"/>
        </w:rPr>
        <w:t>that</w:t>
      </w:r>
      <w:r w:rsidR="00F35721">
        <w:rPr>
          <w:rFonts w:ascii="Avenir Next" w:hAnsi="Avenir Next" w:cs="Arial"/>
          <w:color w:val="808080" w:themeColor="background1" w:themeShade="80"/>
          <w:sz w:val="22"/>
          <w:szCs w:val="22"/>
          <w:lang w:val="en-GB"/>
        </w:rPr>
        <w:t xml:space="preserve"> only applies to the </w:t>
      </w:r>
      <w:r w:rsidR="00326F84">
        <w:rPr>
          <w:rFonts w:ascii="Avenir Next" w:hAnsi="Avenir Next" w:cs="Arial"/>
          <w:color w:val="808080" w:themeColor="background1" w:themeShade="80"/>
          <w:sz w:val="22"/>
          <w:szCs w:val="22"/>
          <w:lang w:val="en-GB"/>
        </w:rPr>
        <w:t>EU Member states</w:t>
      </w:r>
      <w:r w:rsidR="001A4BB1">
        <w:rPr>
          <w:rFonts w:ascii="Avenir Next" w:hAnsi="Avenir Next" w:cs="Arial"/>
          <w:color w:val="808080" w:themeColor="background1" w:themeShade="80"/>
          <w:sz w:val="22"/>
          <w:szCs w:val="22"/>
          <w:lang w:val="en-GB"/>
        </w:rPr>
        <w:t xml:space="preserve"> except Denmark which opted out</w:t>
      </w:r>
      <w:r w:rsidR="003C3039">
        <w:rPr>
          <w:rStyle w:val="FootnoteReference"/>
          <w:rFonts w:ascii="Avenir Next" w:hAnsi="Avenir Next" w:cs="Arial"/>
          <w:color w:val="808080" w:themeColor="background1" w:themeShade="80"/>
          <w:sz w:val="22"/>
          <w:szCs w:val="22"/>
          <w:lang w:val="en-GB"/>
        </w:rPr>
        <w:footnoteReference w:id="2"/>
      </w:r>
      <w:r w:rsidR="003C3039">
        <w:rPr>
          <w:rFonts w:ascii="Avenir Next" w:hAnsi="Avenir Next" w:cs="Arial"/>
          <w:color w:val="808080" w:themeColor="background1" w:themeShade="80"/>
          <w:sz w:val="22"/>
          <w:szCs w:val="22"/>
          <w:lang w:val="en-GB"/>
        </w:rPr>
        <w:t xml:space="preserve">. </w:t>
      </w:r>
      <w:r w:rsidR="00D87245">
        <w:rPr>
          <w:rFonts w:ascii="Avenir Next" w:hAnsi="Avenir Next" w:cs="Arial"/>
          <w:color w:val="808080" w:themeColor="background1" w:themeShade="80"/>
          <w:sz w:val="22"/>
          <w:szCs w:val="22"/>
          <w:lang w:val="en-GB"/>
        </w:rPr>
        <w:t xml:space="preserve">The MCLBI is thus a soft law instrument </w:t>
      </w:r>
      <w:r w:rsidR="0064234D">
        <w:rPr>
          <w:rFonts w:ascii="Avenir Next" w:hAnsi="Avenir Next" w:cs="Arial"/>
          <w:color w:val="808080" w:themeColor="background1" w:themeShade="80"/>
          <w:sz w:val="22"/>
          <w:szCs w:val="22"/>
          <w:lang w:val="en-GB"/>
        </w:rPr>
        <w:t xml:space="preserve">while the EIR is a binding legislative instrument. </w:t>
      </w:r>
    </w:p>
    <w:p w14:paraId="6740B75D" w14:textId="77777777" w:rsidR="001B58ED" w:rsidRDefault="001B58ED" w:rsidP="00B51183">
      <w:pPr>
        <w:jc w:val="both"/>
        <w:rPr>
          <w:rFonts w:ascii="Avenir Next" w:hAnsi="Avenir Next" w:cs="Arial"/>
          <w:color w:val="808080" w:themeColor="background1" w:themeShade="80"/>
          <w:sz w:val="22"/>
          <w:szCs w:val="22"/>
          <w:lang w:val="en-GB"/>
        </w:rPr>
      </w:pPr>
    </w:p>
    <w:p w14:paraId="6249588B" w14:textId="04E26A52" w:rsidR="00D22B87" w:rsidRDefault="005253E9"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 </w:t>
      </w:r>
      <w:r w:rsidR="00F30181">
        <w:rPr>
          <w:rFonts w:ascii="Avenir Next" w:hAnsi="Avenir Next" w:cs="Arial"/>
          <w:color w:val="808080" w:themeColor="background1" w:themeShade="80"/>
          <w:sz w:val="22"/>
          <w:szCs w:val="22"/>
          <w:lang w:val="en-GB"/>
        </w:rPr>
        <w:t>MLCBI attempts</w:t>
      </w:r>
      <w:r w:rsidR="000C3134">
        <w:rPr>
          <w:rFonts w:ascii="Avenir Next" w:hAnsi="Avenir Next" w:cs="Arial"/>
          <w:color w:val="808080" w:themeColor="background1" w:themeShade="80"/>
          <w:sz w:val="22"/>
          <w:szCs w:val="22"/>
          <w:lang w:val="en-GB"/>
        </w:rPr>
        <w:t xml:space="preserve"> to create a cooperation and coordination framework among states </w:t>
      </w:r>
      <w:r w:rsidR="008267D0">
        <w:rPr>
          <w:rFonts w:ascii="Avenir Next" w:hAnsi="Avenir Next" w:cs="Arial"/>
          <w:color w:val="808080" w:themeColor="background1" w:themeShade="80"/>
          <w:sz w:val="22"/>
          <w:szCs w:val="22"/>
          <w:lang w:val="en-GB"/>
        </w:rPr>
        <w:t xml:space="preserve">in the administration of cross border insolvency </w:t>
      </w:r>
      <w:r w:rsidR="000C3134">
        <w:rPr>
          <w:rFonts w:ascii="Avenir Next" w:hAnsi="Avenir Next" w:cs="Arial"/>
          <w:color w:val="808080" w:themeColor="background1" w:themeShade="80"/>
          <w:sz w:val="22"/>
          <w:szCs w:val="22"/>
          <w:lang w:val="en-GB"/>
        </w:rPr>
        <w:t>while the EIR provides for a more</w:t>
      </w:r>
      <w:r w:rsidR="008267D0">
        <w:rPr>
          <w:rFonts w:ascii="Avenir Next" w:hAnsi="Avenir Next" w:cs="Arial"/>
          <w:color w:val="808080" w:themeColor="background1" w:themeShade="80"/>
          <w:sz w:val="22"/>
          <w:szCs w:val="22"/>
          <w:lang w:val="en-GB"/>
        </w:rPr>
        <w:t xml:space="preserve"> prescriptive approach to dealing with cross border insolvency matters</w:t>
      </w:r>
      <w:r w:rsidR="008866AC">
        <w:rPr>
          <w:rFonts w:ascii="Avenir Next" w:hAnsi="Avenir Next" w:cs="Arial"/>
          <w:color w:val="808080" w:themeColor="background1" w:themeShade="80"/>
          <w:sz w:val="22"/>
          <w:szCs w:val="22"/>
          <w:lang w:val="en-GB"/>
        </w:rPr>
        <w:t xml:space="preserve"> more particularly recognition and enforcement</w:t>
      </w:r>
      <w:r w:rsidR="008267D0">
        <w:rPr>
          <w:rFonts w:ascii="Avenir Next" w:hAnsi="Avenir Next" w:cs="Arial"/>
          <w:color w:val="808080" w:themeColor="background1" w:themeShade="80"/>
          <w:sz w:val="22"/>
          <w:szCs w:val="22"/>
          <w:lang w:val="en-GB"/>
        </w:rPr>
        <w:t xml:space="preserve">. </w:t>
      </w:r>
      <w:r w:rsidR="00D22B87">
        <w:rPr>
          <w:rFonts w:ascii="Avenir Next" w:hAnsi="Avenir Next" w:cs="Arial"/>
          <w:color w:val="808080" w:themeColor="background1" w:themeShade="80"/>
          <w:sz w:val="22"/>
          <w:szCs w:val="22"/>
          <w:lang w:val="en-GB"/>
        </w:rPr>
        <w:t xml:space="preserve">The MLCBI approach is </w:t>
      </w:r>
      <w:r w:rsidR="00BC5599">
        <w:rPr>
          <w:rFonts w:ascii="Avenir Next" w:hAnsi="Avenir Next" w:cs="Arial"/>
          <w:color w:val="808080" w:themeColor="background1" w:themeShade="80"/>
          <w:sz w:val="22"/>
          <w:szCs w:val="22"/>
          <w:lang w:val="en-GB"/>
        </w:rPr>
        <w:t>less intrusive as it allows states to</w:t>
      </w:r>
      <w:r w:rsidR="00B51183">
        <w:rPr>
          <w:rFonts w:ascii="Avenir Next" w:hAnsi="Avenir Next" w:cs="Arial"/>
          <w:color w:val="808080" w:themeColor="background1" w:themeShade="80"/>
          <w:sz w:val="22"/>
          <w:szCs w:val="22"/>
          <w:lang w:val="en-GB"/>
        </w:rPr>
        <w:t xml:space="preserve"> determine whether they will adopt it or not. Further Art</w:t>
      </w:r>
      <w:r w:rsidR="007451CD">
        <w:rPr>
          <w:rFonts w:ascii="Avenir Next" w:hAnsi="Avenir Next" w:cs="Arial"/>
          <w:color w:val="808080" w:themeColor="background1" w:themeShade="80"/>
          <w:sz w:val="22"/>
          <w:szCs w:val="22"/>
          <w:lang w:val="en-GB"/>
        </w:rPr>
        <w:t>icle</w:t>
      </w:r>
      <w:r w:rsidR="00B51183">
        <w:rPr>
          <w:rFonts w:ascii="Avenir Next" w:hAnsi="Avenir Next" w:cs="Arial"/>
          <w:color w:val="808080" w:themeColor="background1" w:themeShade="80"/>
          <w:sz w:val="22"/>
          <w:szCs w:val="22"/>
          <w:lang w:val="en-GB"/>
        </w:rPr>
        <w:t xml:space="preserve"> 6</w:t>
      </w:r>
      <w:r w:rsidR="007451CD">
        <w:rPr>
          <w:rFonts w:ascii="Avenir Next" w:hAnsi="Avenir Next" w:cs="Arial"/>
          <w:color w:val="808080" w:themeColor="background1" w:themeShade="80"/>
          <w:sz w:val="22"/>
          <w:szCs w:val="22"/>
          <w:lang w:val="en-GB"/>
        </w:rPr>
        <w:t xml:space="preserve"> of MCLBI</w:t>
      </w:r>
      <w:r w:rsidR="00B51183">
        <w:rPr>
          <w:rFonts w:ascii="Avenir Next" w:hAnsi="Avenir Next" w:cs="Arial"/>
          <w:color w:val="808080" w:themeColor="background1" w:themeShade="80"/>
          <w:sz w:val="22"/>
          <w:szCs w:val="22"/>
          <w:lang w:val="en-GB"/>
        </w:rPr>
        <w:t xml:space="preserve"> protects sovereignty of enacting states by allowing them to</w:t>
      </w:r>
      <w:r w:rsidR="00C57F52">
        <w:rPr>
          <w:rFonts w:ascii="Avenir Next" w:hAnsi="Avenir Next" w:cs="Arial"/>
          <w:color w:val="808080" w:themeColor="background1" w:themeShade="80"/>
          <w:sz w:val="22"/>
          <w:szCs w:val="22"/>
          <w:lang w:val="en-GB"/>
        </w:rPr>
        <w:t xml:space="preserve"> decline or limit recognition and reliefs based on public policy considerations</w:t>
      </w:r>
      <w:r w:rsidR="00F85BD0">
        <w:rPr>
          <w:rFonts w:ascii="Avenir Next" w:hAnsi="Avenir Next" w:cs="Arial"/>
          <w:color w:val="808080" w:themeColor="background1" w:themeShade="80"/>
          <w:sz w:val="22"/>
          <w:szCs w:val="22"/>
          <w:lang w:val="en-GB"/>
        </w:rPr>
        <w:t xml:space="preserve"> thus recognising the differences in law</w:t>
      </w:r>
      <w:r w:rsidR="007451CD">
        <w:rPr>
          <w:rFonts w:ascii="Avenir Next" w:hAnsi="Avenir Next" w:cs="Arial"/>
          <w:color w:val="808080" w:themeColor="background1" w:themeShade="80"/>
          <w:sz w:val="22"/>
          <w:szCs w:val="22"/>
          <w:lang w:val="en-GB"/>
        </w:rPr>
        <w:t>, l</w:t>
      </w:r>
      <w:r w:rsidR="00F85BD0">
        <w:rPr>
          <w:rFonts w:ascii="Avenir Next" w:hAnsi="Avenir Next" w:cs="Arial"/>
          <w:color w:val="808080" w:themeColor="background1" w:themeShade="80"/>
          <w:sz w:val="22"/>
          <w:szCs w:val="22"/>
          <w:lang w:val="en-GB"/>
        </w:rPr>
        <w:t>egal systems and political and self-interest of each state</w:t>
      </w:r>
      <w:r w:rsidR="00C57F52">
        <w:rPr>
          <w:rFonts w:ascii="Avenir Next" w:hAnsi="Avenir Next" w:cs="Arial"/>
          <w:color w:val="808080" w:themeColor="background1" w:themeShade="80"/>
          <w:sz w:val="22"/>
          <w:szCs w:val="22"/>
          <w:lang w:val="en-GB"/>
        </w:rPr>
        <w:t>.</w:t>
      </w:r>
      <w:r w:rsidR="00FA544F">
        <w:rPr>
          <w:rFonts w:ascii="Avenir Next" w:hAnsi="Avenir Next" w:cs="Arial"/>
          <w:color w:val="808080" w:themeColor="background1" w:themeShade="80"/>
          <w:sz w:val="22"/>
          <w:szCs w:val="22"/>
          <w:lang w:val="en-GB"/>
        </w:rPr>
        <w:t xml:space="preserve"> M</w:t>
      </w:r>
      <w:r w:rsidR="005C0FAD">
        <w:rPr>
          <w:rFonts w:ascii="Avenir Next" w:hAnsi="Avenir Next" w:cs="Arial"/>
          <w:color w:val="808080" w:themeColor="background1" w:themeShade="80"/>
          <w:sz w:val="22"/>
          <w:szCs w:val="22"/>
          <w:lang w:val="en-GB"/>
        </w:rPr>
        <w:t xml:space="preserve">ember states have less room to determine </w:t>
      </w:r>
      <w:r w:rsidR="005C0FAD">
        <w:rPr>
          <w:rFonts w:ascii="Avenir Next" w:hAnsi="Avenir Next" w:cs="Arial"/>
          <w:color w:val="808080" w:themeColor="background1" w:themeShade="80"/>
          <w:sz w:val="22"/>
          <w:szCs w:val="22"/>
          <w:lang w:val="en-GB"/>
        </w:rPr>
        <w:lastRenderedPageBreak/>
        <w:t>certain aspects of the operation of the EIR</w:t>
      </w:r>
      <w:r w:rsidR="00294471">
        <w:rPr>
          <w:rFonts w:ascii="Avenir Next" w:hAnsi="Avenir Next" w:cs="Arial"/>
          <w:color w:val="808080" w:themeColor="background1" w:themeShade="80"/>
          <w:sz w:val="22"/>
          <w:szCs w:val="22"/>
          <w:lang w:val="en-GB"/>
        </w:rPr>
        <w:t xml:space="preserve"> </w:t>
      </w:r>
      <w:r w:rsidR="005C0FAD">
        <w:rPr>
          <w:rFonts w:ascii="Avenir Next" w:hAnsi="Avenir Next" w:cs="Arial"/>
          <w:color w:val="808080" w:themeColor="background1" w:themeShade="80"/>
          <w:sz w:val="22"/>
          <w:szCs w:val="22"/>
          <w:lang w:val="en-GB"/>
        </w:rPr>
        <w:t>and states may not adopt it as it has a likely impact on the local laws and their implementation.</w:t>
      </w:r>
    </w:p>
    <w:p w14:paraId="21E981C7" w14:textId="77777777" w:rsidR="00DF5BA2" w:rsidRDefault="00DF5BA2" w:rsidP="00B51183">
      <w:pPr>
        <w:jc w:val="both"/>
        <w:rPr>
          <w:rFonts w:ascii="Avenir Next" w:hAnsi="Avenir Next" w:cs="Arial"/>
          <w:color w:val="808080" w:themeColor="background1" w:themeShade="80"/>
          <w:sz w:val="22"/>
          <w:szCs w:val="22"/>
          <w:lang w:val="en-GB"/>
        </w:rPr>
      </w:pPr>
    </w:p>
    <w:p w14:paraId="0F6C1488" w14:textId="431116B2" w:rsidR="00DF5BA2" w:rsidRDefault="00DF5BA2"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the MCLBI provides for a template for a predictable procedure </w:t>
      </w:r>
      <w:r w:rsidR="00176EEF">
        <w:rPr>
          <w:rFonts w:ascii="Avenir Next" w:hAnsi="Avenir Next" w:cs="Arial"/>
          <w:color w:val="808080" w:themeColor="background1" w:themeShade="80"/>
          <w:sz w:val="22"/>
          <w:szCs w:val="22"/>
          <w:lang w:val="en-GB"/>
        </w:rPr>
        <w:t>for applying for recognition and assistance to foreign courts and foreign representatives. On the converse, recognition under the EIR is automatic</w:t>
      </w:r>
      <w:r w:rsidR="007F5218">
        <w:rPr>
          <w:rStyle w:val="FootnoteReference"/>
          <w:rFonts w:ascii="Avenir Next" w:hAnsi="Avenir Next" w:cs="Arial"/>
          <w:color w:val="808080" w:themeColor="background1" w:themeShade="80"/>
          <w:sz w:val="22"/>
          <w:szCs w:val="22"/>
          <w:lang w:val="en-GB"/>
        </w:rPr>
        <w:footnoteReference w:id="3"/>
      </w:r>
      <w:r w:rsidR="00176EEF">
        <w:rPr>
          <w:rFonts w:ascii="Avenir Next" w:hAnsi="Avenir Next" w:cs="Arial"/>
          <w:color w:val="808080" w:themeColor="background1" w:themeShade="80"/>
          <w:sz w:val="22"/>
          <w:szCs w:val="22"/>
          <w:lang w:val="en-GB"/>
        </w:rPr>
        <w:t xml:space="preserve">. </w:t>
      </w:r>
      <w:r w:rsidR="007F5218">
        <w:rPr>
          <w:rFonts w:ascii="Avenir Next" w:hAnsi="Avenir Next" w:cs="Arial"/>
          <w:color w:val="808080" w:themeColor="background1" w:themeShade="80"/>
          <w:sz w:val="22"/>
          <w:szCs w:val="22"/>
          <w:lang w:val="en-GB"/>
        </w:rPr>
        <w:t xml:space="preserve">The commencement of insolvency proceedings in any EU state gives effect to the insolvency proceedings in all other EU state without the requirement for publication. </w:t>
      </w:r>
    </w:p>
    <w:p w14:paraId="3EC58E19" w14:textId="77777777" w:rsidR="00294471" w:rsidRDefault="00294471" w:rsidP="00B51183">
      <w:pPr>
        <w:jc w:val="both"/>
        <w:rPr>
          <w:rFonts w:ascii="Avenir Next" w:hAnsi="Avenir Next" w:cs="Arial"/>
          <w:color w:val="808080" w:themeColor="background1" w:themeShade="80"/>
          <w:sz w:val="22"/>
          <w:szCs w:val="22"/>
          <w:lang w:val="en-GB"/>
        </w:rPr>
      </w:pPr>
    </w:p>
    <w:p w14:paraId="66855418" w14:textId="77777777" w:rsidR="00CC2D92" w:rsidRDefault="00E23BFF"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the MLCBI is the universal approach which has contributed significantly to the administration of </w:t>
      </w:r>
      <w:r w:rsidR="00D21F5A">
        <w:rPr>
          <w:rFonts w:ascii="Avenir Next" w:hAnsi="Avenir Next" w:cs="Arial"/>
          <w:color w:val="808080" w:themeColor="background1" w:themeShade="80"/>
          <w:sz w:val="22"/>
          <w:szCs w:val="22"/>
          <w:lang w:val="en-GB"/>
        </w:rPr>
        <w:t>cross border insolvency matters. The MLCBI also allows states to adopt it and modify the application as necessary thus cre</w:t>
      </w:r>
      <w:r w:rsidR="00B60814">
        <w:rPr>
          <w:rFonts w:ascii="Avenir Next" w:hAnsi="Avenir Next" w:cs="Arial"/>
          <w:color w:val="808080" w:themeColor="background1" w:themeShade="80"/>
          <w:sz w:val="22"/>
          <w:szCs w:val="22"/>
          <w:lang w:val="en-GB"/>
        </w:rPr>
        <w:t xml:space="preserve">ating flexibility. </w:t>
      </w:r>
    </w:p>
    <w:p w14:paraId="7AF36315" w14:textId="77777777" w:rsidR="00CC2D92" w:rsidRDefault="00CC2D92" w:rsidP="00B51183">
      <w:pPr>
        <w:jc w:val="both"/>
        <w:rPr>
          <w:rFonts w:ascii="Avenir Next" w:hAnsi="Avenir Next" w:cs="Arial"/>
          <w:color w:val="808080" w:themeColor="background1" w:themeShade="80"/>
          <w:sz w:val="22"/>
          <w:szCs w:val="22"/>
          <w:lang w:val="en-GB"/>
        </w:rPr>
      </w:pPr>
    </w:p>
    <w:p w14:paraId="07FD58D6" w14:textId="23F7F80A" w:rsidR="00D21F5A" w:rsidRDefault="00B60814"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key benefit of the EIR </w:t>
      </w:r>
      <w:r w:rsidR="00471D82">
        <w:rPr>
          <w:rFonts w:ascii="Avenir Next" w:hAnsi="Avenir Next" w:cs="Arial"/>
          <w:color w:val="808080" w:themeColor="background1" w:themeShade="80"/>
          <w:sz w:val="22"/>
          <w:szCs w:val="22"/>
          <w:lang w:val="en-GB"/>
        </w:rPr>
        <w:t xml:space="preserve">is the uniformity and certainty </w:t>
      </w:r>
      <w:r w:rsidR="00396573">
        <w:rPr>
          <w:rFonts w:ascii="Avenir Next" w:hAnsi="Avenir Next" w:cs="Arial"/>
          <w:color w:val="808080" w:themeColor="background1" w:themeShade="80"/>
          <w:sz w:val="22"/>
          <w:szCs w:val="22"/>
          <w:lang w:val="en-GB"/>
        </w:rPr>
        <w:t>that the EIR has created in the EU economic block regarding dealing with cross border insolvency</w:t>
      </w:r>
      <w:r w:rsidR="00F81CEF">
        <w:rPr>
          <w:rFonts w:ascii="Avenir Next" w:hAnsi="Avenir Next" w:cs="Arial"/>
          <w:color w:val="808080" w:themeColor="background1" w:themeShade="80"/>
          <w:sz w:val="22"/>
          <w:szCs w:val="22"/>
          <w:lang w:val="en-GB"/>
        </w:rPr>
        <w:t xml:space="preserve"> due to its binding nature</w:t>
      </w:r>
      <w:r w:rsidR="00396573">
        <w:rPr>
          <w:rFonts w:ascii="Avenir Next" w:hAnsi="Avenir Next" w:cs="Arial"/>
          <w:color w:val="808080" w:themeColor="background1" w:themeShade="80"/>
          <w:sz w:val="22"/>
          <w:szCs w:val="22"/>
          <w:lang w:val="en-GB"/>
        </w:rPr>
        <w:t xml:space="preserve">. </w:t>
      </w:r>
      <w:r w:rsidR="004D6AE4">
        <w:rPr>
          <w:rFonts w:ascii="Avenir Next" w:hAnsi="Avenir Next" w:cs="Arial"/>
          <w:color w:val="808080" w:themeColor="background1" w:themeShade="80"/>
          <w:sz w:val="22"/>
          <w:szCs w:val="22"/>
          <w:lang w:val="en-GB"/>
        </w:rPr>
        <w:t xml:space="preserve">This inspires investor confidence as </w:t>
      </w:r>
      <w:r w:rsidR="00AB586E">
        <w:rPr>
          <w:rFonts w:ascii="Avenir Next" w:hAnsi="Avenir Next" w:cs="Arial"/>
          <w:color w:val="808080" w:themeColor="background1" w:themeShade="80"/>
          <w:sz w:val="22"/>
          <w:szCs w:val="22"/>
          <w:lang w:val="en-GB"/>
        </w:rPr>
        <w:t xml:space="preserve">it creates predictability in dealing with issues within the EU. </w:t>
      </w:r>
    </w:p>
    <w:p w14:paraId="5246FC7F" w14:textId="77777777" w:rsidR="00B60814" w:rsidRDefault="00B60814" w:rsidP="00B51183">
      <w:pPr>
        <w:jc w:val="both"/>
        <w:rPr>
          <w:rFonts w:ascii="Avenir Next" w:hAnsi="Avenir Next" w:cs="Arial"/>
          <w:color w:val="808080" w:themeColor="background1" w:themeShade="80"/>
          <w:sz w:val="22"/>
          <w:szCs w:val="22"/>
          <w:lang w:val="en-GB"/>
        </w:rPr>
      </w:pPr>
    </w:p>
    <w:p w14:paraId="6B368F05" w14:textId="77777777" w:rsidR="00CC2D92" w:rsidRDefault="007451CD"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w:t>
      </w:r>
      <w:r w:rsidR="00484C94">
        <w:rPr>
          <w:rFonts w:ascii="Avenir Next" w:hAnsi="Avenir Next" w:cs="Arial"/>
          <w:color w:val="808080" w:themeColor="background1" w:themeShade="80"/>
          <w:sz w:val="22"/>
          <w:szCs w:val="22"/>
          <w:lang w:val="en-GB"/>
        </w:rPr>
        <w:t xml:space="preserve">isadvantage </w:t>
      </w:r>
      <w:r>
        <w:rPr>
          <w:rFonts w:ascii="Avenir Next" w:hAnsi="Avenir Next" w:cs="Arial"/>
          <w:color w:val="808080" w:themeColor="background1" w:themeShade="80"/>
          <w:sz w:val="22"/>
          <w:szCs w:val="22"/>
          <w:lang w:val="en-GB"/>
        </w:rPr>
        <w:t xml:space="preserve">of the MLCBI </w:t>
      </w:r>
      <w:r w:rsidR="00564AF2">
        <w:rPr>
          <w:rFonts w:ascii="Avenir Next" w:hAnsi="Avenir Next" w:cs="Arial"/>
          <w:color w:val="808080" w:themeColor="background1" w:themeShade="80"/>
          <w:sz w:val="22"/>
          <w:szCs w:val="22"/>
          <w:lang w:val="en-GB"/>
        </w:rPr>
        <w:t xml:space="preserve">is that it is not binding on any state and states may adopt and modify </w:t>
      </w:r>
      <w:r w:rsidR="006A3A2E">
        <w:rPr>
          <w:rFonts w:ascii="Avenir Next" w:hAnsi="Avenir Next" w:cs="Arial"/>
          <w:color w:val="808080" w:themeColor="background1" w:themeShade="80"/>
          <w:sz w:val="22"/>
          <w:szCs w:val="22"/>
          <w:lang w:val="en-GB"/>
        </w:rPr>
        <w:t>as desired or as per their policy and political interests. This creates uncertainty in its applica</w:t>
      </w:r>
      <w:r w:rsidR="00C25D8D">
        <w:rPr>
          <w:rFonts w:ascii="Avenir Next" w:hAnsi="Avenir Next" w:cs="Arial"/>
          <w:color w:val="808080" w:themeColor="background1" w:themeShade="80"/>
          <w:sz w:val="22"/>
          <w:szCs w:val="22"/>
          <w:lang w:val="en-GB"/>
        </w:rPr>
        <w:t>tion, thus hindering</w:t>
      </w:r>
      <w:r w:rsidR="007D6593">
        <w:rPr>
          <w:rFonts w:ascii="Avenir Next" w:hAnsi="Avenir Next" w:cs="Arial"/>
          <w:color w:val="808080" w:themeColor="background1" w:themeShade="80"/>
          <w:sz w:val="22"/>
          <w:szCs w:val="22"/>
          <w:lang w:val="en-GB"/>
        </w:rPr>
        <w:t xml:space="preserve"> attempts to create certainty in the global economy regarding cross border insolvency. </w:t>
      </w:r>
    </w:p>
    <w:p w14:paraId="1B46EE92" w14:textId="77777777" w:rsidR="00CC2D92" w:rsidRDefault="00CC2D92" w:rsidP="00B51183">
      <w:pPr>
        <w:jc w:val="both"/>
        <w:rPr>
          <w:rFonts w:ascii="Avenir Next" w:hAnsi="Avenir Next" w:cs="Arial"/>
          <w:color w:val="808080" w:themeColor="background1" w:themeShade="80"/>
          <w:sz w:val="22"/>
          <w:szCs w:val="22"/>
          <w:lang w:val="en-GB"/>
        </w:rPr>
      </w:pPr>
    </w:p>
    <w:p w14:paraId="39C1C7F9" w14:textId="26B18CBD" w:rsidR="00F85BD0" w:rsidRDefault="00BD649A" w:rsidP="00B51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w:t>
      </w:r>
      <w:r w:rsidR="00CC2D92">
        <w:rPr>
          <w:rFonts w:ascii="Avenir Next" w:hAnsi="Avenir Next" w:cs="Arial"/>
          <w:color w:val="808080" w:themeColor="background1" w:themeShade="80"/>
          <w:sz w:val="22"/>
          <w:szCs w:val="22"/>
          <w:lang w:val="en-GB"/>
        </w:rPr>
        <w:t xml:space="preserve">, the </w:t>
      </w:r>
      <w:r w:rsidR="008C44DA">
        <w:rPr>
          <w:rFonts w:ascii="Avenir Next" w:hAnsi="Avenir Next" w:cs="Arial"/>
          <w:color w:val="808080" w:themeColor="background1" w:themeShade="80"/>
          <w:sz w:val="22"/>
          <w:szCs w:val="22"/>
          <w:lang w:val="en-GB"/>
        </w:rPr>
        <w:t xml:space="preserve">disadvantage of the EIR lies in its limited scope of application which excludes states outside the EU. Further, </w:t>
      </w:r>
      <w:r w:rsidR="004666B4">
        <w:rPr>
          <w:rFonts w:ascii="Avenir Next" w:hAnsi="Avenir Next" w:cs="Arial"/>
          <w:color w:val="808080" w:themeColor="background1" w:themeShade="80"/>
          <w:sz w:val="22"/>
          <w:szCs w:val="22"/>
          <w:lang w:val="en-GB"/>
        </w:rPr>
        <w:t xml:space="preserve">the </w:t>
      </w:r>
      <w:r w:rsidR="00C45DBC">
        <w:rPr>
          <w:rFonts w:ascii="Avenir Next" w:hAnsi="Avenir Next" w:cs="Arial"/>
          <w:color w:val="808080" w:themeColor="background1" w:themeShade="80"/>
          <w:sz w:val="22"/>
          <w:szCs w:val="22"/>
          <w:lang w:val="en-GB"/>
        </w:rPr>
        <w:t xml:space="preserve">adoption of the EIR as a domestic law as drafted without modification </w:t>
      </w:r>
      <w:r w:rsidR="00A711F1">
        <w:rPr>
          <w:rFonts w:ascii="Avenir Next" w:hAnsi="Avenir Next" w:cs="Arial"/>
          <w:color w:val="808080" w:themeColor="background1" w:themeShade="80"/>
          <w:sz w:val="22"/>
          <w:szCs w:val="22"/>
          <w:lang w:val="en-GB"/>
        </w:rPr>
        <w:t>is</w:t>
      </w:r>
      <w:r w:rsidR="008C44DA">
        <w:rPr>
          <w:rFonts w:ascii="Avenir Next" w:hAnsi="Avenir Next" w:cs="Arial"/>
          <w:color w:val="808080" w:themeColor="background1" w:themeShade="80"/>
          <w:sz w:val="22"/>
          <w:szCs w:val="22"/>
          <w:lang w:val="en-GB"/>
        </w:rPr>
        <w:t xml:space="preserve"> disadvantageous </w:t>
      </w:r>
      <w:r w:rsidR="00A711F1">
        <w:rPr>
          <w:rFonts w:ascii="Avenir Next" w:hAnsi="Avenir Next" w:cs="Arial"/>
          <w:color w:val="808080" w:themeColor="background1" w:themeShade="80"/>
          <w:sz w:val="22"/>
          <w:szCs w:val="22"/>
          <w:lang w:val="en-GB"/>
        </w:rPr>
        <w:t>as it does not take into consideration the diverse policy</w:t>
      </w:r>
      <w:r w:rsidR="00220180">
        <w:rPr>
          <w:rFonts w:ascii="Avenir Next" w:hAnsi="Avenir Next" w:cs="Arial"/>
          <w:color w:val="808080" w:themeColor="background1" w:themeShade="80"/>
          <w:sz w:val="22"/>
          <w:szCs w:val="22"/>
          <w:lang w:val="en-GB"/>
        </w:rPr>
        <w:t xml:space="preserve"> and political interests of individual states. </w:t>
      </w:r>
    </w:p>
    <w:p w14:paraId="12DC88B6" w14:textId="77777777" w:rsidR="00220180" w:rsidRDefault="00220180" w:rsidP="00B51183">
      <w:pPr>
        <w:jc w:val="both"/>
        <w:rPr>
          <w:rFonts w:ascii="Avenir Next" w:hAnsi="Avenir Next" w:cs="Arial"/>
          <w:color w:val="808080" w:themeColor="background1" w:themeShade="80"/>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1F67DEF9" w14:textId="26648CEE" w:rsidR="00C81626" w:rsidRDefault="00DA600E" w:rsidP="00DD0B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primary consideration courts need to make while granting discretionary relief in both foreign non main and foreign main proceedings</w:t>
      </w:r>
      <w:r w:rsidR="00C81626">
        <w:rPr>
          <w:rFonts w:ascii="Avenir Next" w:hAnsi="Avenir Next" w:cs="Arial"/>
          <w:color w:val="808080" w:themeColor="background1" w:themeShade="80"/>
          <w:sz w:val="22"/>
          <w:szCs w:val="22"/>
          <w:lang w:val="en-GB"/>
        </w:rPr>
        <w:t xml:space="preserve"> is the adequate protection of the interests of creditors in the enacting state</w:t>
      </w:r>
      <w:r w:rsidR="000F6E7F">
        <w:rPr>
          <w:rFonts w:ascii="Avenir Next" w:hAnsi="Avenir Next" w:cs="Arial"/>
          <w:color w:val="808080" w:themeColor="background1" w:themeShade="80"/>
          <w:sz w:val="22"/>
          <w:szCs w:val="22"/>
          <w:lang w:val="en-GB"/>
        </w:rPr>
        <w:t xml:space="preserve"> as envisioned in Article 21(2) of the MLCBI. </w:t>
      </w:r>
    </w:p>
    <w:p w14:paraId="6246C73C" w14:textId="77777777" w:rsidR="00C81626" w:rsidRDefault="00C81626" w:rsidP="00DD0B0C">
      <w:pPr>
        <w:jc w:val="both"/>
        <w:rPr>
          <w:rFonts w:ascii="Avenir Next" w:hAnsi="Avenir Next" w:cs="Arial"/>
          <w:color w:val="808080" w:themeColor="background1" w:themeShade="80"/>
          <w:sz w:val="22"/>
          <w:szCs w:val="22"/>
          <w:lang w:val="en-GB"/>
        </w:rPr>
      </w:pPr>
    </w:p>
    <w:p w14:paraId="7FEB6070" w14:textId="6EE1AA15" w:rsidR="00AE6FCE" w:rsidRPr="002B397D" w:rsidRDefault="00DD0B0C" w:rsidP="00DD0B0C">
      <w:pPr>
        <w:jc w:val="both"/>
        <w:rPr>
          <w:rFonts w:ascii="Avenir Next" w:hAnsi="Avenir Next" w:cs="Arial"/>
          <w:color w:val="808080" w:themeColor="background1" w:themeShade="80"/>
          <w:sz w:val="22"/>
          <w:szCs w:val="22"/>
          <w:lang w:val="en-GB"/>
        </w:rPr>
      </w:pPr>
      <w:r w:rsidRPr="002B397D">
        <w:rPr>
          <w:rFonts w:ascii="Avenir Next" w:hAnsi="Avenir Next" w:cs="Arial"/>
          <w:color w:val="808080" w:themeColor="background1" w:themeShade="80"/>
          <w:sz w:val="22"/>
          <w:szCs w:val="22"/>
          <w:lang w:val="en-GB"/>
        </w:rPr>
        <w:t>According to Article 21(3)</w:t>
      </w:r>
      <w:r w:rsidR="00965ADE" w:rsidRPr="002B397D">
        <w:rPr>
          <w:rFonts w:ascii="Avenir Next" w:hAnsi="Avenir Next" w:cs="Arial"/>
          <w:color w:val="808080" w:themeColor="background1" w:themeShade="80"/>
          <w:sz w:val="22"/>
          <w:szCs w:val="22"/>
          <w:lang w:val="en-GB"/>
        </w:rPr>
        <w:t>, the Courts in granting</w:t>
      </w:r>
      <w:r w:rsidR="00EC241A" w:rsidRPr="002B397D">
        <w:rPr>
          <w:rFonts w:ascii="Avenir Next" w:hAnsi="Avenir Next" w:cs="Arial"/>
          <w:color w:val="808080" w:themeColor="background1" w:themeShade="80"/>
          <w:sz w:val="22"/>
          <w:szCs w:val="22"/>
          <w:lang w:val="en-GB"/>
        </w:rPr>
        <w:t xml:space="preserve"> </w:t>
      </w:r>
      <w:r w:rsidR="0093488C">
        <w:rPr>
          <w:rFonts w:ascii="Avenir Next" w:hAnsi="Avenir Next" w:cs="Arial"/>
          <w:color w:val="808080" w:themeColor="background1" w:themeShade="80"/>
          <w:sz w:val="22"/>
          <w:szCs w:val="22"/>
          <w:lang w:val="en-GB"/>
        </w:rPr>
        <w:t xml:space="preserve">discretionary </w:t>
      </w:r>
      <w:r w:rsidR="00EC241A" w:rsidRPr="002B397D">
        <w:rPr>
          <w:rFonts w:ascii="Avenir Next" w:hAnsi="Avenir Next" w:cs="Arial"/>
          <w:color w:val="808080" w:themeColor="background1" w:themeShade="80"/>
          <w:sz w:val="22"/>
          <w:szCs w:val="22"/>
          <w:lang w:val="en-GB"/>
        </w:rPr>
        <w:t xml:space="preserve">post recognition relief </w:t>
      </w:r>
      <w:r w:rsidR="00AE6FCE" w:rsidRPr="002B397D">
        <w:rPr>
          <w:rFonts w:ascii="Avenir Next" w:hAnsi="Avenir Next" w:cs="Arial"/>
          <w:color w:val="808080" w:themeColor="background1" w:themeShade="80"/>
          <w:sz w:val="22"/>
          <w:szCs w:val="22"/>
          <w:lang w:val="en-GB"/>
        </w:rPr>
        <w:t xml:space="preserve">in non-main foreign proceedings must be satisfied </w:t>
      </w:r>
      <w:r w:rsidR="00F61665" w:rsidRPr="002B397D">
        <w:rPr>
          <w:rFonts w:ascii="Avenir Next" w:hAnsi="Avenir Next" w:cs="Arial"/>
          <w:color w:val="808080" w:themeColor="background1" w:themeShade="80"/>
          <w:sz w:val="22"/>
          <w:szCs w:val="22"/>
          <w:lang w:val="en-GB"/>
        </w:rPr>
        <w:t xml:space="preserve">that the relief being granted relates to assets that under the law of the enacting state </w:t>
      </w:r>
      <w:r w:rsidR="006151B5" w:rsidRPr="002B397D">
        <w:rPr>
          <w:rFonts w:ascii="Avenir Next" w:hAnsi="Avenir Next" w:cs="Arial"/>
          <w:color w:val="808080" w:themeColor="background1" w:themeShade="80"/>
          <w:sz w:val="22"/>
          <w:szCs w:val="22"/>
          <w:lang w:val="en-GB"/>
        </w:rPr>
        <w:t xml:space="preserve">should be administered under the foreign non main proceeding or that the relief is related to information that is necessary in the foreign non main proceeding. </w:t>
      </w:r>
    </w:p>
    <w:p w14:paraId="31D006D3" w14:textId="77777777" w:rsidR="006151B5" w:rsidRPr="002B397D" w:rsidRDefault="006151B5" w:rsidP="00DD0B0C">
      <w:pPr>
        <w:jc w:val="both"/>
        <w:rPr>
          <w:rFonts w:ascii="Avenir Next" w:hAnsi="Avenir Next" w:cs="Arial"/>
          <w:color w:val="808080" w:themeColor="background1" w:themeShade="80"/>
          <w:sz w:val="22"/>
          <w:szCs w:val="22"/>
          <w:lang w:val="en-GB"/>
        </w:rPr>
      </w:pPr>
    </w:p>
    <w:p w14:paraId="3DD74D16" w14:textId="0361784F" w:rsidR="006151B5" w:rsidRDefault="00951A3F" w:rsidP="00DD0B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w:t>
      </w:r>
      <w:r w:rsidR="006151B5" w:rsidRPr="002B397D">
        <w:rPr>
          <w:rFonts w:ascii="Avenir Next" w:hAnsi="Avenir Next" w:cs="Arial"/>
          <w:color w:val="808080" w:themeColor="background1" w:themeShade="80"/>
          <w:sz w:val="22"/>
          <w:szCs w:val="22"/>
          <w:lang w:val="en-GB"/>
        </w:rPr>
        <w:t xml:space="preserve">, the relief granted under </w:t>
      </w:r>
      <w:r w:rsidR="0088411E">
        <w:rPr>
          <w:rFonts w:ascii="Avenir Next" w:hAnsi="Avenir Next" w:cs="Arial"/>
          <w:color w:val="808080" w:themeColor="background1" w:themeShade="80"/>
          <w:sz w:val="22"/>
          <w:szCs w:val="22"/>
          <w:lang w:val="en-GB"/>
        </w:rPr>
        <w:t xml:space="preserve">Article 21 </w:t>
      </w:r>
      <w:r w:rsidR="002B397D" w:rsidRPr="002B397D">
        <w:rPr>
          <w:rFonts w:ascii="Avenir Next" w:hAnsi="Avenir Next" w:cs="Arial"/>
          <w:color w:val="808080" w:themeColor="background1" w:themeShade="80"/>
          <w:sz w:val="22"/>
          <w:szCs w:val="22"/>
          <w:lang w:val="en-GB"/>
        </w:rPr>
        <w:t>must not interfere with the administration of another insolvency proceeding, particularly the main proceeding</w:t>
      </w:r>
      <w:r w:rsidR="002B566A">
        <w:rPr>
          <w:rFonts w:ascii="Avenir Next" w:hAnsi="Avenir Next" w:cs="Arial"/>
          <w:color w:val="808080" w:themeColor="background1" w:themeShade="80"/>
          <w:sz w:val="22"/>
          <w:szCs w:val="22"/>
          <w:lang w:val="en-GB"/>
        </w:rPr>
        <w:t xml:space="preserve"> and should also not contravene public policy as safeguarded under Article 6. </w:t>
      </w:r>
    </w:p>
    <w:p w14:paraId="1345ABAB" w14:textId="77777777" w:rsidR="00D00D54" w:rsidRDefault="00D00D54" w:rsidP="00DD0B0C">
      <w:pPr>
        <w:jc w:val="both"/>
        <w:rPr>
          <w:rFonts w:ascii="Avenir Next" w:hAnsi="Avenir Next" w:cs="Arial"/>
          <w:color w:val="808080" w:themeColor="background1" w:themeShade="80"/>
          <w:sz w:val="22"/>
          <w:szCs w:val="22"/>
          <w:lang w:val="en-GB"/>
        </w:rPr>
      </w:pPr>
    </w:p>
    <w:p w14:paraId="18E4D37D" w14:textId="72B20FDE" w:rsidR="0088411E" w:rsidRDefault="0088411E" w:rsidP="00DD0B0C">
      <w:pPr>
        <w:jc w:val="both"/>
        <w:rPr>
          <w:rFonts w:ascii="Avenir Next" w:hAnsi="Avenir Next" w:cs="Arial"/>
          <w:color w:val="808080" w:themeColor="background1" w:themeShade="80"/>
          <w:sz w:val="22"/>
          <w:szCs w:val="22"/>
          <w:lang w:val="en-GB"/>
        </w:rPr>
      </w:pPr>
      <w:r w:rsidRPr="004F0D43">
        <w:rPr>
          <w:rFonts w:ascii="Avenir Next" w:hAnsi="Avenir Next" w:cs="Arial"/>
          <w:color w:val="808080" w:themeColor="background1" w:themeShade="80"/>
          <w:sz w:val="22"/>
          <w:szCs w:val="22"/>
          <w:lang w:val="en-GB"/>
        </w:rPr>
        <w:t>While exercising its discretionary power, the court should</w:t>
      </w:r>
      <w:r w:rsidR="00951A3F" w:rsidRPr="004F0D43">
        <w:rPr>
          <w:rFonts w:ascii="Avenir Next" w:hAnsi="Avenir Next" w:cs="Arial"/>
          <w:color w:val="808080" w:themeColor="background1" w:themeShade="80"/>
          <w:sz w:val="22"/>
          <w:szCs w:val="22"/>
          <w:lang w:val="en-GB"/>
        </w:rPr>
        <w:t xml:space="preserve"> also</w:t>
      </w:r>
      <w:r w:rsidRPr="004F0D43">
        <w:rPr>
          <w:rFonts w:ascii="Avenir Next" w:hAnsi="Avenir Next" w:cs="Arial"/>
          <w:color w:val="808080" w:themeColor="background1" w:themeShade="80"/>
          <w:sz w:val="22"/>
          <w:szCs w:val="22"/>
          <w:lang w:val="en-GB"/>
        </w:rPr>
        <w:t xml:space="preserve"> attempt to foster cooperation in management of cross border insolvency matters</w:t>
      </w:r>
      <w:r>
        <w:rPr>
          <w:rFonts w:ascii="Avenir Next" w:hAnsi="Avenir Next" w:cs="Arial"/>
          <w:color w:val="808080" w:themeColor="background1" w:themeShade="80"/>
          <w:sz w:val="22"/>
          <w:szCs w:val="22"/>
          <w:lang w:val="en-GB"/>
        </w:rPr>
        <w:t>.</w:t>
      </w:r>
    </w:p>
    <w:p w14:paraId="207191DD" w14:textId="77777777" w:rsidR="00E5725A" w:rsidRDefault="00E5725A" w:rsidP="00396D70">
      <w:pPr>
        <w:jc w:val="both"/>
        <w:rPr>
          <w:rFonts w:ascii="Avenir Next Demi Bold" w:hAnsi="Avenir Next Demi Bold" w:cs="Arial"/>
          <w:b/>
          <w:bCs/>
          <w:sz w:val="22"/>
          <w:szCs w:val="22"/>
          <w:lang w:val="en-GB"/>
        </w:rPr>
      </w:pPr>
    </w:p>
    <w:p w14:paraId="328CBF04" w14:textId="77777777" w:rsidR="00396D70" w:rsidRDefault="00396D70" w:rsidP="00396D70">
      <w:pPr>
        <w:jc w:val="both"/>
        <w:rPr>
          <w:rFonts w:ascii="Avenir Next Demi Bold" w:hAnsi="Avenir Next Demi Bold" w:cs="Arial"/>
          <w:b/>
          <w:bCs/>
          <w:sz w:val="22"/>
          <w:szCs w:val="22"/>
          <w:lang w:val="en-GB"/>
        </w:rPr>
      </w:pPr>
    </w:p>
    <w:p w14:paraId="072A7D16" w14:textId="77777777" w:rsidR="00396D70" w:rsidRDefault="00396D70" w:rsidP="00396D70">
      <w:pPr>
        <w:jc w:val="both"/>
        <w:rPr>
          <w:rFonts w:ascii="Avenir Next Demi Bold" w:hAnsi="Avenir Next Demi Bold" w:cs="Arial"/>
          <w:b/>
          <w:bCs/>
          <w:sz w:val="22"/>
          <w:szCs w:val="22"/>
          <w:lang w:val="en-GB"/>
        </w:rPr>
      </w:pPr>
    </w:p>
    <w:p w14:paraId="34516371" w14:textId="392D786C"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0BAF7693" w14:textId="38CC0D78" w:rsidR="00D706F5" w:rsidRDefault="00D47240" w:rsidP="00D472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of the MLCBI provides for the anti-discrimination principle</w:t>
      </w:r>
      <w:r w:rsidR="00826F95">
        <w:rPr>
          <w:rFonts w:ascii="Avenir Next" w:hAnsi="Avenir Next" w:cs="Arial"/>
          <w:color w:val="808080" w:themeColor="background1" w:themeShade="80"/>
          <w:sz w:val="22"/>
          <w:szCs w:val="22"/>
          <w:lang w:val="en-GB"/>
        </w:rPr>
        <w:t xml:space="preserve"> enshrines the principle of equal treatment of domestic and local creditors. The provisions </w:t>
      </w:r>
      <w:r>
        <w:rPr>
          <w:rFonts w:ascii="Avenir Next" w:hAnsi="Avenir Next" w:cs="Arial"/>
          <w:color w:val="808080" w:themeColor="background1" w:themeShade="80"/>
          <w:sz w:val="22"/>
          <w:szCs w:val="22"/>
          <w:lang w:val="en-GB"/>
        </w:rPr>
        <w:t xml:space="preserve">grant foreign creditors </w:t>
      </w:r>
      <w:r w:rsidR="00480799">
        <w:rPr>
          <w:rFonts w:ascii="Avenir Next" w:hAnsi="Avenir Next" w:cs="Arial"/>
          <w:color w:val="808080" w:themeColor="background1" w:themeShade="80"/>
          <w:sz w:val="22"/>
          <w:szCs w:val="22"/>
          <w:lang w:val="en-GB"/>
        </w:rPr>
        <w:t xml:space="preserve">access rights </w:t>
      </w:r>
      <w:r>
        <w:rPr>
          <w:rFonts w:ascii="Avenir Next" w:hAnsi="Avenir Next" w:cs="Arial"/>
          <w:color w:val="808080" w:themeColor="background1" w:themeShade="80"/>
          <w:sz w:val="22"/>
          <w:szCs w:val="22"/>
          <w:lang w:val="en-GB"/>
        </w:rPr>
        <w:t xml:space="preserve">and rights </w:t>
      </w:r>
      <w:proofErr w:type="gramStart"/>
      <w:r w:rsidR="00480799">
        <w:rPr>
          <w:rFonts w:ascii="Avenir Next" w:hAnsi="Avenir Next" w:cs="Arial"/>
          <w:color w:val="808080" w:themeColor="background1" w:themeShade="80"/>
          <w:sz w:val="22"/>
          <w:szCs w:val="22"/>
          <w:lang w:val="en-GB"/>
        </w:rPr>
        <w:t>similar to</w:t>
      </w:r>
      <w:proofErr w:type="gramEnd"/>
      <w:r w:rsidR="0048079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local creditors of the enacting state as far as commencement and participation in insolvency proceedings are concerned. However, the rights under Article 13 do not affect the ranking of claims </w:t>
      </w:r>
      <w:r w:rsidR="00B11BA1">
        <w:rPr>
          <w:rFonts w:ascii="Avenir Next" w:hAnsi="Avenir Next" w:cs="Arial"/>
          <w:color w:val="808080" w:themeColor="background1" w:themeShade="80"/>
          <w:sz w:val="22"/>
          <w:szCs w:val="22"/>
          <w:lang w:val="en-GB"/>
        </w:rPr>
        <w:t>provided that</w:t>
      </w:r>
      <w:r>
        <w:rPr>
          <w:rFonts w:ascii="Avenir Next" w:hAnsi="Avenir Next" w:cs="Arial"/>
          <w:color w:val="808080" w:themeColor="background1" w:themeShade="80"/>
          <w:sz w:val="22"/>
          <w:szCs w:val="22"/>
          <w:lang w:val="en-GB"/>
        </w:rPr>
        <w:t xml:space="preserve"> the claims of foreign creditors are not treated to be of lesser priority by the virtue of the creditor being foreign alone. There are additional exceptions to the application of Article 13 that allows </w:t>
      </w:r>
      <w:r w:rsidR="00A95D7E">
        <w:rPr>
          <w:rFonts w:ascii="Avenir Next" w:hAnsi="Avenir Next" w:cs="Arial"/>
          <w:color w:val="808080" w:themeColor="background1" w:themeShade="80"/>
          <w:sz w:val="22"/>
          <w:szCs w:val="22"/>
          <w:lang w:val="en-GB"/>
        </w:rPr>
        <w:t xml:space="preserve">enacting states that do not </w:t>
      </w:r>
      <w:r>
        <w:rPr>
          <w:rFonts w:ascii="Avenir Next" w:hAnsi="Avenir Next" w:cs="Arial"/>
          <w:color w:val="808080" w:themeColor="background1" w:themeShade="80"/>
          <w:sz w:val="22"/>
          <w:szCs w:val="22"/>
          <w:lang w:val="en-GB"/>
        </w:rPr>
        <w:t>recognise foreign tax and social security claim</w:t>
      </w:r>
      <w:r w:rsidR="00A95D7E">
        <w:rPr>
          <w:rFonts w:ascii="Avenir Next" w:hAnsi="Avenir Next" w:cs="Arial"/>
          <w:color w:val="808080" w:themeColor="background1" w:themeShade="80"/>
          <w:sz w:val="22"/>
          <w:szCs w:val="22"/>
          <w:lang w:val="en-GB"/>
        </w:rPr>
        <w:t xml:space="preserve">s to exclude the same. </w:t>
      </w:r>
    </w:p>
    <w:p w14:paraId="5F4CA147" w14:textId="77777777" w:rsidR="00D706F5" w:rsidRDefault="00D706F5" w:rsidP="00D47240">
      <w:pPr>
        <w:jc w:val="both"/>
        <w:rPr>
          <w:rFonts w:ascii="Avenir Next" w:hAnsi="Avenir Next" w:cs="Arial"/>
          <w:color w:val="808080" w:themeColor="background1" w:themeShade="80"/>
          <w:sz w:val="22"/>
          <w:szCs w:val="22"/>
          <w:lang w:val="en-GB"/>
        </w:rPr>
      </w:pPr>
    </w:p>
    <w:p w14:paraId="741D1873" w14:textId="6DE1348F" w:rsidR="00867A8F" w:rsidRPr="00B77352" w:rsidRDefault="007E0A6B" w:rsidP="00D472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protections </w:t>
      </w:r>
      <w:r w:rsidR="001164E6">
        <w:rPr>
          <w:rFonts w:ascii="Avenir Next" w:hAnsi="Avenir Next" w:cs="Arial"/>
          <w:color w:val="808080" w:themeColor="background1" w:themeShade="80"/>
          <w:sz w:val="22"/>
          <w:szCs w:val="22"/>
          <w:lang w:val="en-GB"/>
        </w:rPr>
        <w:t>provide</w:t>
      </w:r>
      <w:r>
        <w:rPr>
          <w:rFonts w:ascii="Avenir Next" w:hAnsi="Avenir Next" w:cs="Arial"/>
          <w:color w:val="808080" w:themeColor="background1" w:themeShade="80"/>
          <w:sz w:val="22"/>
          <w:szCs w:val="22"/>
          <w:lang w:val="en-GB"/>
        </w:rPr>
        <w:t xml:space="preserve"> the </w:t>
      </w:r>
      <w:r w:rsidR="001164E6">
        <w:rPr>
          <w:rFonts w:ascii="Avenir Next" w:hAnsi="Avenir Next" w:cs="Arial"/>
          <w:color w:val="808080" w:themeColor="background1" w:themeShade="80"/>
          <w:sz w:val="22"/>
          <w:szCs w:val="22"/>
          <w:lang w:val="en-GB"/>
        </w:rPr>
        <w:t xml:space="preserve">bare minimum ranking of foreign claims </w:t>
      </w:r>
      <w:r w:rsidR="004B53EF">
        <w:rPr>
          <w:rFonts w:ascii="Avenir Next" w:hAnsi="Avenir Next" w:cs="Arial"/>
          <w:color w:val="808080" w:themeColor="background1" w:themeShade="80"/>
          <w:sz w:val="22"/>
          <w:szCs w:val="22"/>
          <w:lang w:val="en-GB"/>
        </w:rPr>
        <w:t xml:space="preserve">and thus </w:t>
      </w:r>
      <w:r w:rsidR="00D706F5">
        <w:rPr>
          <w:rFonts w:ascii="Avenir Next" w:hAnsi="Avenir Next" w:cs="Arial"/>
          <w:color w:val="808080" w:themeColor="background1" w:themeShade="80"/>
          <w:sz w:val="22"/>
          <w:szCs w:val="22"/>
          <w:lang w:val="en-GB"/>
        </w:rPr>
        <w:t>offers comfort to investors in international trade that the treatment of claims of all creditors will be fair and just</w:t>
      </w:r>
      <w:r w:rsidR="004B53EF">
        <w:rPr>
          <w:rFonts w:ascii="Avenir Next" w:hAnsi="Avenir Next" w:cs="Arial"/>
          <w:color w:val="808080" w:themeColor="background1" w:themeShade="80"/>
          <w:sz w:val="22"/>
          <w:szCs w:val="22"/>
          <w:lang w:val="en-GB"/>
        </w:rPr>
        <w:t>. A</w:t>
      </w:r>
      <w:r w:rsidR="00E250E3">
        <w:rPr>
          <w:rFonts w:ascii="Avenir Next" w:hAnsi="Avenir Next" w:cs="Arial"/>
          <w:color w:val="808080" w:themeColor="background1" w:themeShade="80"/>
          <w:sz w:val="22"/>
          <w:szCs w:val="22"/>
          <w:lang w:val="en-GB"/>
        </w:rPr>
        <w:t>s such, a</w:t>
      </w:r>
      <w:r w:rsidR="004B53EF">
        <w:rPr>
          <w:rFonts w:ascii="Avenir Next" w:hAnsi="Avenir Next" w:cs="Arial"/>
          <w:color w:val="808080" w:themeColor="background1" w:themeShade="80"/>
          <w:sz w:val="22"/>
          <w:szCs w:val="22"/>
          <w:lang w:val="en-GB"/>
        </w:rPr>
        <w:t xml:space="preserve">ny </w:t>
      </w:r>
      <w:r w:rsidR="00D706F5">
        <w:rPr>
          <w:rFonts w:ascii="Avenir Next" w:hAnsi="Avenir Next" w:cs="Arial"/>
          <w:color w:val="808080" w:themeColor="background1" w:themeShade="80"/>
          <w:sz w:val="22"/>
          <w:szCs w:val="22"/>
          <w:lang w:val="en-GB"/>
        </w:rPr>
        <w:t xml:space="preserve">discrimination </w:t>
      </w:r>
      <w:r w:rsidR="00E250E3">
        <w:rPr>
          <w:rFonts w:ascii="Avenir Next" w:hAnsi="Avenir Next" w:cs="Arial"/>
          <w:color w:val="808080" w:themeColor="background1" w:themeShade="80"/>
          <w:sz w:val="22"/>
          <w:szCs w:val="22"/>
          <w:lang w:val="en-GB"/>
        </w:rPr>
        <w:t>will amount</w:t>
      </w:r>
      <w:r w:rsidR="00D706F5">
        <w:rPr>
          <w:rFonts w:ascii="Avenir Next" w:hAnsi="Avenir Next" w:cs="Arial"/>
          <w:color w:val="808080" w:themeColor="background1" w:themeShade="80"/>
          <w:sz w:val="22"/>
          <w:szCs w:val="22"/>
          <w:lang w:val="en-GB"/>
        </w:rPr>
        <w:t xml:space="preserve"> to breach which can then be raised by the foreign representatives who are granted access to the courts of the enacting state under the MLCBI. </w:t>
      </w:r>
      <w:r w:rsidR="00D47240">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EE93931" w14:textId="77777777" w:rsidR="00AA45E6" w:rsidRDefault="008235DA" w:rsidP="00280D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principles underpinning the MLCBI is the </w:t>
      </w:r>
      <w:r w:rsidR="00C32356">
        <w:rPr>
          <w:rFonts w:ascii="Avenir Next" w:hAnsi="Avenir Next" w:cs="Arial"/>
          <w:color w:val="808080" w:themeColor="background1" w:themeShade="80"/>
          <w:sz w:val="22"/>
          <w:szCs w:val="22"/>
          <w:lang w:val="en-GB"/>
        </w:rPr>
        <w:t>protection of primary insolvency proceedings. This is evidenced by the</w:t>
      </w:r>
      <w:r w:rsidR="003123B6">
        <w:rPr>
          <w:rFonts w:ascii="Avenir Next" w:hAnsi="Avenir Next" w:cs="Arial"/>
          <w:color w:val="808080" w:themeColor="background1" w:themeShade="80"/>
          <w:sz w:val="22"/>
          <w:szCs w:val="22"/>
          <w:lang w:val="en-GB"/>
        </w:rPr>
        <w:t xml:space="preserve"> provisions of Article 29 and 30</w:t>
      </w:r>
      <w:r w:rsidR="006633BA">
        <w:rPr>
          <w:rFonts w:ascii="Avenir Next" w:hAnsi="Avenir Next" w:cs="Arial"/>
          <w:color w:val="808080" w:themeColor="background1" w:themeShade="80"/>
          <w:sz w:val="22"/>
          <w:szCs w:val="22"/>
          <w:lang w:val="en-GB"/>
        </w:rPr>
        <w:t xml:space="preserve"> which address the </w:t>
      </w:r>
      <w:r w:rsidR="00E9565E">
        <w:rPr>
          <w:rFonts w:ascii="Avenir Next" w:hAnsi="Avenir Next" w:cs="Arial"/>
          <w:color w:val="808080" w:themeColor="background1" w:themeShade="80"/>
          <w:sz w:val="22"/>
          <w:szCs w:val="22"/>
          <w:lang w:val="en-GB"/>
        </w:rPr>
        <w:t>hierarchy of proceedings where concurrent proceedings exist</w:t>
      </w:r>
      <w:r w:rsidR="003123B6">
        <w:rPr>
          <w:rFonts w:ascii="Avenir Next" w:hAnsi="Avenir Next" w:cs="Arial"/>
          <w:color w:val="808080" w:themeColor="background1" w:themeShade="80"/>
          <w:sz w:val="22"/>
          <w:szCs w:val="22"/>
          <w:lang w:val="en-GB"/>
        </w:rPr>
        <w:t xml:space="preserve">. </w:t>
      </w:r>
    </w:p>
    <w:p w14:paraId="3F358DD2" w14:textId="77777777" w:rsidR="00AA45E6" w:rsidRDefault="00AA45E6" w:rsidP="00280DF7">
      <w:pPr>
        <w:jc w:val="both"/>
        <w:rPr>
          <w:rFonts w:ascii="Avenir Next" w:hAnsi="Avenir Next" w:cs="Arial"/>
          <w:color w:val="808080" w:themeColor="background1" w:themeShade="80"/>
          <w:sz w:val="22"/>
          <w:szCs w:val="22"/>
          <w:lang w:val="en-GB"/>
        </w:rPr>
      </w:pPr>
    </w:p>
    <w:p w14:paraId="6E792E71" w14:textId="0443FC5F" w:rsidR="00D87ED8" w:rsidRDefault="00504A0E" w:rsidP="00280D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with respect to the relief available in foreign main versus foreign non-main </w:t>
      </w:r>
      <w:r w:rsidR="00FE3CA0">
        <w:rPr>
          <w:rFonts w:ascii="Avenir Next" w:hAnsi="Avenir Next" w:cs="Arial"/>
          <w:color w:val="808080" w:themeColor="background1" w:themeShade="80"/>
          <w:sz w:val="22"/>
          <w:szCs w:val="22"/>
          <w:lang w:val="en-GB"/>
        </w:rPr>
        <w:t xml:space="preserve">proceedings is the automatic relief </w:t>
      </w:r>
      <w:r w:rsidR="00780FC4">
        <w:rPr>
          <w:rFonts w:ascii="Avenir Next" w:hAnsi="Avenir Next" w:cs="Arial"/>
          <w:color w:val="808080" w:themeColor="background1" w:themeShade="80"/>
          <w:sz w:val="22"/>
          <w:szCs w:val="22"/>
          <w:lang w:val="en-GB"/>
        </w:rPr>
        <w:t xml:space="preserve">in foreign main and the discretionary relief in foreign non-main proceedings. </w:t>
      </w:r>
    </w:p>
    <w:p w14:paraId="33E079C5" w14:textId="77777777" w:rsidR="00A94B9D" w:rsidRDefault="00A94B9D" w:rsidP="00280DF7">
      <w:pPr>
        <w:jc w:val="both"/>
        <w:rPr>
          <w:rFonts w:ascii="Avenir Next" w:hAnsi="Avenir Next" w:cs="Arial"/>
          <w:color w:val="808080" w:themeColor="background1" w:themeShade="80"/>
          <w:sz w:val="22"/>
          <w:szCs w:val="22"/>
          <w:lang w:val="en-GB"/>
        </w:rPr>
      </w:pPr>
    </w:p>
    <w:p w14:paraId="615C5B72" w14:textId="046E7057" w:rsidR="00CA42FC" w:rsidRDefault="003123B6" w:rsidP="00280D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foreign main </w:t>
      </w:r>
      <w:r w:rsidR="0073625A">
        <w:rPr>
          <w:rFonts w:ascii="Avenir Next" w:hAnsi="Avenir Next" w:cs="Arial"/>
          <w:color w:val="808080" w:themeColor="background1" w:themeShade="80"/>
          <w:sz w:val="22"/>
          <w:szCs w:val="22"/>
          <w:lang w:val="en-GB"/>
        </w:rPr>
        <w:t xml:space="preserve">proceeding having supremacy to the foreign non main proceeding, </w:t>
      </w:r>
      <w:r w:rsidR="00B40A2D">
        <w:rPr>
          <w:rFonts w:ascii="Avenir Next" w:hAnsi="Avenir Next" w:cs="Arial"/>
          <w:color w:val="808080" w:themeColor="background1" w:themeShade="80"/>
          <w:sz w:val="22"/>
          <w:szCs w:val="22"/>
          <w:lang w:val="en-GB"/>
        </w:rPr>
        <w:t xml:space="preserve">Article 20 of the MLCBI provides for </w:t>
      </w:r>
      <w:r w:rsidR="00F90023">
        <w:rPr>
          <w:rFonts w:ascii="Avenir Next" w:hAnsi="Avenir Next" w:cs="Arial"/>
          <w:color w:val="808080" w:themeColor="background1" w:themeShade="80"/>
          <w:sz w:val="22"/>
          <w:szCs w:val="22"/>
          <w:lang w:val="en-GB"/>
        </w:rPr>
        <w:t xml:space="preserve">an automatic mandatory relief </w:t>
      </w:r>
      <w:r w:rsidR="0082752E">
        <w:rPr>
          <w:rFonts w:ascii="Avenir Next" w:hAnsi="Avenir Next" w:cs="Arial"/>
          <w:color w:val="808080" w:themeColor="background1" w:themeShade="80"/>
          <w:sz w:val="22"/>
          <w:szCs w:val="22"/>
          <w:lang w:val="en-GB"/>
        </w:rPr>
        <w:t>following the recognition of a foreign main proceeding. The automatic relief</w:t>
      </w:r>
      <w:r w:rsidR="00731648">
        <w:rPr>
          <w:rFonts w:ascii="Avenir Next" w:hAnsi="Avenir Next" w:cs="Arial"/>
          <w:color w:val="808080" w:themeColor="background1" w:themeShade="80"/>
          <w:sz w:val="22"/>
          <w:szCs w:val="22"/>
          <w:lang w:val="en-GB"/>
        </w:rPr>
        <w:t xml:space="preserve"> </w:t>
      </w:r>
      <w:r w:rsidR="00D64CCD">
        <w:rPr>
          <w:rFonts w:ascii="Avenir Next" w:hAnsi="Avenir Next" w:cs="Arial"/>
          <w:color w:val="808080" w:themeColor="background1" w:themeShade="80"/>
          <w:sz w:val="22"/>
          <w:szCs w:val="22"/>
          <w:lang w:val="en-GB"/>
        </w:rPr>
        <w:t>is aimed</w:t>
      </w:r>
      <w:r w:rsidR="00B40A2D">
        <w:rPr>
          <w:rFonts w:ascii="Avenir Next" w:hAnsi="Avenir Next" w:cs="Arial"/>
          <w:color w:val="808080" w:themeColor="background1" w:themeShade="80"/>
          <w:sz w:val="22"/>
          <w:szCs w:val="22"/>
          <w:lang w:val="en-GB"/>
        </w:rPr>
        <w:t xml:space="preserve"> at </w:t>
      </w:r>
      <w:r w:rsidR="00284B5D">
        <w:rPr>
          <w:rFonts w:ascii="Avenir Next" w:hAnsi="Avenir Next" w:cs="Arial"/>
          <w:color w:val="808080" w:themeColor="background1" w:themeShade="80"/>
          <w:sz w:val="22"/>
          <w:szCs w:val="22"/>
          <w:lang w:val="en-GB"/>
        </w:rPr>
        <w:t xml:space="preserve">allowing the foreign representative to organise an orderly and fair cross border insolvency </w:t>
      </w:r>
      <w:r w:rsidR="00B61CEE">
        <w:rPr>
          <w:rFonts w:ascii="Avenir Next" w:hAnsi="Avenir Next" w:cs="Arial"/>
          <w:color w:val="808080" w:themeColor="background1" w:themeShade="80"/>
          <w:sz w:val="22"/>
          <w:szCs w:val="22"/>
          <w:lang w:val="en-GB"/>
        </w:rPr>
        <w:t xml:space="preserve">proceeding </w:t>
      </w:r>
      <w:r w:rsidR="00284B5D">
        <w:rPr>
          <w:rFonts w:ascii="Avenir Next" w:hAnsi="Avenir Next" w:cs="Arial"/>
          <w:color w:val="808080" w:themeColor="background1" w:themeShade="80"/>
          <w:sz w:val="22"/>
          <w:szCs w:val="22"/>
          <w:lang w:val="en-GB"/>
        </w:rPr>
        <w:t xml:space="preserve">and administration of the debtors’ assets. </w:t>
      </w:r>
      <w:r w:rsidR="00200567">
        <w:rPr>
          <w:rFonts w:ascii="Avenir Next" w:hAnsi="Avenir Next" w:cs="Arial"/>
          <w:color w:val="808080" w:themeColor="background1" w:themeShade="80"/>
          <w:sz w:val="22"/>
          <w:szCs w:val="22"/>
          <w:lang w:val="en-GB"/>
        </w:rPr>
        <w:t xml:space="preserve">The automatic relief may include </w:t>
      </w:r>
      <w:r w:rsidR="0035512F">
        <w:rPr>
          <w:rFonts w:ascii="Avenir Next" w:hAnsi="Avenir Next" w:cs="Arial"/>
          <w:color w:val="808080" w:themeColor="background1" w:themeShade="80"/>
          <w:sz w:val="22"/>
          <w:szCs w:val="22"/>
          <w:lang w:val="en-GB"/>
        </w:rPr>
        <w:t xml:space="preserve">a stay on commencement or continuation of any action against the debtor or their assets and suspension of dealing with the assets of the </w:t>
      </w:r>
      <w:r w:rsidR="00BD718C">
        <w:rPr>
          <w:rFonts w:ascii="Avenir Next" w:hAnsi="Avenir Next" w:cs="Arial"/>
          <w:color w:val="808080" w:themeColor="background1" w:themeShade="80"/>
          <w:sz w:val="22"/>
          <w:szCs w:val="22"/>
          <w:lang w:val="en-GB"/>
        </w:rPr>
        <w:t>debtor. Further</w:t>
      </w:r>
      <w:r w:rsidR="00D87ED8">
        <w:rPr>
          <w:rFonts w:ascii="Avenir Next" w:hAnsi="Avenir Next" w:cs="Arial"/>
          <w:color w:val="808080" w:themeColor="background1" w:themeShade="80"/>
          <w:sz w:val="22"/>
          <w:szCs w:val="22"/>
          <w:lang w:val="en-GB"/>
        </w:rPr>
        <w:t>,</w:t>
      </w:r>
      <w:r w:rsidR="006D2476">
        <w:rPr>
          <w:rFonts w:ascii="Avenir Next" w:hAnsi="Avenir Next" w:cs="Arial"/>
          <w:color w:val="808080" w:themeColor="background1" w:themeShade="80"/>
          <w:sz w:val="22"/>
          <w:szCs w:val="22"/>
          <w:lang w:val="en-GB"/>
        </w:rPr>
        <w:t xml:space="preserve"> in foreign main proceedings, </w:t>
      </w:r>
      <w:r w:rsidR="00C47EDA">
        <w:rPr>
          <w:rFonts w:ascii="Avenir Next" w:hAnsi="Avenir Next" w:cs="Arial"/>
          <w:color w:val="808080" w:themeColor="background1" w:themeShade="80"/>
          <w:sz w:val="22"/>
          <w:szCs w:val="22"/>
          <w:lang w:val="en-GB"/>
        </w:rPr>
        <w:t>courts may grant additional relief including the examination of witnesses</w:t>
      </w:r>
      <w:r w:rsidR="00BD718C">
        <w:rPr>
          <w:rFonts w:ascii="Avenir Next" w:hAnsi="Avenir Next" w:cs="Arial"/>
          <w:color w:val="808080" w:themeColor="background1" w:themeShade="80"/>
          <w:sz w:val="22"/>
          <w:szCs w:val="22"/>
          <w:lang w:val="en-GB"/>
        </w:rPr>
        <w:t xml:space="preserve">, preservation of assets and delivery of documents. </w:t>
      </w:r>
    </w:p>
    <w:p w14:paraId="32476C62" w14:textId="77777777" w:rsidR="006D2476" w:rsidRDefault="006D2476" w:rsidP="00280DF7">
      <w:pPr>
        <w:jc w:val="both"/>
        <w:rPr>
          <w:rFonts w:ascii="Avenir Next" w:hAnsi="Avenir Next" w:cs="Arial"/>
          <w:color w:val="808080" w:themeColor="background1" w:themeShade="80"/>
          <w:sz w:val="22"/>
          <w:szCs w:val="22"/>
          <w:lang w:val="en-GB"/>
        </w:rPr>
      </w:pPr>
    </w:p>
    <w:p w14:paraId="2FB0A851" w14:textId="29137412" w:rsidR="00372C23" w:rsidRDefault="00284B5D" w:rsidP="00280D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9B17BD">
        <w:rPr>
          <w:rFonts w:ascii="Avenir Next" w:hAnsi="Avenir Next" w:cs="Arial"/>
          <w:color w:val="808080" w:themeColor="background1" w:themeShade="80"/>
          <w:sz w:val="22"/>
          <w:szCs w:val="22"/>
          <w:lang w:val="en-GB"/>
        </w:rPr>
        <w:t xml:space="preserve">hand, </w:t>
      </w:r>
      <w:r w:rsidR="007F6E29">
        <w:rPr>
          <w:rFonts w:ascii="Avenir Next" w:hAnsi="Avenir Next" w:cs="Arial"/>
          <w:color w:val="808080" w:themeColor="background1" w:themeShade="80"/>
          <w:sz w:val="22"/>
          <w:szCs w:val="22"/>
          <w:lang w:val="en-GB"/>
        </w:rPr>
        <w:t xml:space="preserve">the relief available upon recognition of foreign non main proceedings </w:t>
      </w:r>
      <w:r w:rsidR="00FA2C21">
        <w:rPr>
          <w:rFonts w:ascii="Avenir Next" w:hAnsi="Avenir Next" w:cs="Arial"/>
          <w:color w:val="808080" w:themeColor="background1" w:themeShade="80"/>
          <w:sz w:val="22"/>
          <w:szCs w:val="22"/>
          <w:lang w:val="en-GB"/>
        </w:rPr>
        <w:t>is discretionary and is aimed at protecting the interests of the creditors and preserving the assets of the debtor</w:t>
      </w:r>
      <w:r w:rsidR="004333CA">
        <w:rPr>
          <w:rFonts w:ascii="Avenir Next" w:hAnsi="Avenir Next" w:cs="Arial"/>
          <w:color w:val="808080" w:themeColor="background1" w:themeShade="80"/>
          <w:sz w:val="22"/>
          <w:szCs w:val="22"/>
          <w:lang w:val="en-GB"/>
        </w:rPr>
        <w:t xml:space="preserve">, particularly those situated in the enacting state. </w:t>
      </w:r>
      <w:r w:rsidR="00372C23">
        <w:rPr>
          <w:rFonts w:ascii="Avenir Next" w:hAnsi="Avenir Next" w:cs="Arial"/>
          <w:color w:val="808080" w:themeColor="background1" w:themeShade="80"/>
          <w:sz w:val="22"/>
          <w:szCs w:val="22"/>
          <w:lang w:val="en-GB"/>
        </w:rPr>
        <w:t xml:space="preserve">Additionally, under Article 23, the relief available </w:t>
      </w:r>
      <w:r w:rsidR="00B704D5">
        <w:rPr>
          <w:rFonts w:ascii="Avenir Next" w:hAnsi="Avenir Next" w:cs="Arial"/>
          <w:color w:val="808080" w:themeColor="background1" w:themeShade="80"/>
          <w:sz w:val="22"/>
          <w:szCs w:val="22"/>
          <w:lang w:val="en-GB"/>
        </w:rPr>
        <w:t>regarding</w:t>
      </w:r>
      <w:r w:rsidR="00372C23">
        <w:rPr>
          <w:rFonts w:ascii="Avenir Next" w:hAnsi="Avenir Next" w:cs="Arial"/>
          <w:color w:val="808080" w:themeColor="background1" w:themeShade="80"/>
          <w:sz w:val="22"/>
          <w:szCs w:val="22"/>
          <w:lang w:val="en-GB"/>
        </w:rPr>
        <w:t xml:space="preserve"> power to avoid antecedent transactions </w:t>
      </w:r>
      <w:r w:rsidR="0020627A">
        <w:rPr>
          <w:rFonts w:ascii="Avenir Next" w:hAnsi="Avenir Next" w:cs="Arial"/>
          <w:color w:val="808080" w:themeColor="background1" w:themeShade="80"/>
          <w:sz w:val="22"/>
          <w:szCs w:val="22"/>
          <w:lang w:val="en-GB"/>
        </w:rPr>
        <w:t xml:space="preserve">in a </w:t>
      </w:r>
      <w:r w:rsidR="0079671C">
        <w:rPr>
          <w:rFonts w:ascii="Avenir Next" w:hAnsi="Avenir Next" w:cs="Arial"/>
          <w:color w:val="808080" w:themeColor="background1" w:themeShade="80"/>
          <w:sz w:val="22"/>
          <w:szCs w:val="22"/>
          <w:lang w:val="en-GB"/>
        </w:rPr>
        <w:t>non-main</w:t>
      </w:r>
      <w:r w:rsidR="0020627A">
        <w:rPr>
          <w:rFonts w:ascii="Avenir Next" w:hAnsi="Avenir Next" w:cs="Arial"/>
          <w:color w:val="808080" w:themeColor="background1" w:themeShade="80"/>
          <w:sz w:val="22"/>
          <w:szCs w:val="22"/>
          <w:lang w:val="en-GB"/>
        </w:rPr>
        <w:t xml:space="preserve"> proceeding is likely to be more restrictive than for a main proceeding. </w:t>
      </w:r>
      <w:r w:rsidR="00AC2B9E">
        <w:rPr>
          <w:rFonts w:ascii="Avenir Next" w:hAnsi="Avenir Next" w:cs="Arial"/>
          <w:color w:val="808080" w:themeColor="background1" w:themeShade="80"/>
          <w:sz w:val="22"/>
          <w:szCs w:val="22"/>
          <w:lang w:val="en-GB"/>
        </w:rPr>
        <w:t>The courts while granting the discretionary relief often considers</w:t>
      </w:r>
      <w:r w:rsidR="00896FD6">
        <w:rPr>
          <w:rFonts w:ascii="Avenir Next" w:hAnsi="Avenir Next" w:cs="Arial"/>
          <w:color w:val="808080" w:themeColor="background1" w:themeShade="80"/>
          <w:sz w:val="22"/>
          <w:szCs w:val="22"/>
          <w:lang w:val="en-GB"/>
        </w:rPr>
        <w:t xml:space="preserve"> the interest of all stakeholders, the connection of the debtor with the court’s jurisdiction including presence of assets or significant creditors as well as domestic policies.</w:t>
      </w:r>
      <w:r w:rsidR="00AC2B9E">
        <w:rPr>
          <w:rStyle w:val="FootnoteReference"/>
          <w:rFonts w:ascii="Avenir Next" w:hAnsi="Avenir Next" w:cs="Arial"/>
          <w:color w:val="808080" w:themeColor="background1" w:themeShade="80"/>
          <w:sz w:val="22"/>
          <w:szCs w:val="22"/>
          <w:lang w:val="en-GB"/>
        </w:rPr>
        <w:footnoteReference w:id="4"/>
      </w:r>
    </w:p>
    <w:p w14:paraId="3EDDE27D" w14:textId="77777777" w:rsidR="00B704D5" w:rsidRDefault="00B704D5" w:rsidP="00280DF7">
      <w:pPr>
        <w:jc w:val="both"/>
        <w:rPr>
          <w:rFonts w:ascii="Avenir Next" w:hAnsi="Avenir Next" w:cs="Arial"/>
          <w:color w:val="808080" w:themeColor="background1" w:themeShade="80"/>
          <w:sz w:val="22"/>
          <w:szCs w:val="22"/>
          <w:lang w:val="en-GB"/>
        </w:rPr>
      </w:pPr>
    </w:p>
    <w:p w14:paraId="43CA4764" w14:textId="73D679B6" w:rsidR="00B704D5" w:rsidRPr="00B77352" w:rsidRDefault="00B704D5" w:rsidP="00280D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should be noted that the interim collective relief prior to recognition if an application</w:t>
      </w:r>
      <w:r w:rsidR="00DC6F44">
        <w:rPr>
          <w:rFonts w:ascii="Avenir Next" w:hAnsi="Avenir Next" w:cs="Arial"/>
          <w:color w:val="808080" w:themeColor="background1" w:themeShade="80"/>
          <w:sz w:val="22"/>
          <w:szCs w:val="22"/>
          <w:lang w:val="en-GB"/>
        </w:rPr>
        <w:t xml:space="preserve"> for recognition</w:t>
      </w:r>
      <w:r>
        <w:rPr>
          <w:rFonts w:ascii="Avenir Next" w:hAnsi="Avenir Next" w:cs="Arial"/>
          <w:color w:val="808080" w:themeColor="background1" w:themeShade="80"/>
          <w:sz w:val="22"/>
          <w:szCs w:val="22"/>
          <w:lang w:val="en-GB"/>
        </w:rPr>
        <w:t xml:space="preserve"> has been made by the foreign representative, which relief terminates upon the recognition decision being made, is available to both foreign main and foreign non main proceedings. </w:t>
      </w:r>
    </w:p>
    <w:p w14:paraId="396F3E81" w14:textId="77777777" w:rsidR="00257437" w:rsidRPr="00E2622D" w:rsidRDefault="00257437" w:rsidP="00707FC8">
      <w:pPr>
        <w:jc w:val="both"/>
        <w:rPr>
          <w:rFonts w:ascii="Avenir Next" w:hAnsi="Avenir Next" w:cs="Arial"/>
          <w:bCs/>
          <w:sz w:val="22"/>
          <w:szCs w:val="22"/>
          <w:lang w:val="en-GB"/>
        </w:rPr>
      </w:pPr>
    </w:p>
    <w:p w14:paraId="607D9392" w14:textId="6751108B" w:rsidR="00C370D3" w:rsidRPr="00280DF7" w:rsidRDefault="00DF75F8" w:rsidP="00C370D3">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 xml:space="preserve">main proceedings as well as the recognition proceedings in the US have </w:t>
      </w:r>
      <w:proofErr w:type="gramStart"/>
      <w:r w:rsidRPr="001A40F2">
        <w:rPr>
          <w:rFonts w:ascii="Avenir Next" w:hAnsi="Avenir Next" w:cs="Arial"/>
          <w:sz w:val="22"/>
          <w:szCs w:val="28"/>
          <w:lang w:val="en-GB"/>
        </w:rPr>
        <w:t>been opened</w:t>
      </w:r>
      <w:proofErr w:type="gramEnd"/>
      <w:r w:rsidRPr="001A40F2">
        <w:rPr>
          <w:rFonts w:ascii="Avenir Next" w:hAnsi="Avenir Next" w:cs="Arial"/>
          <w:sz w:val="22"/>
          <w:szCs w:val="28"/>
          <w:lang w:val="en-GB"/>
        </w:rPr>
        <w:t>.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637722" w:rsidRDefault="00637722" w:rsidP="00867A8F">
      <w:pPr>
        <w:ind w:left="720" w:hanging="720"/>
        <w:jc w:val="both"/>
        <w:rPr>
          <w:rFonts w:ascii="Avenir Next" w:hAnsi="Avenir Next" w:cs="Arial"/>
          <w:color w:val="808080" w:themeColor="background1" w:themeShade="80"/>
          <w:sz w:val="22"/>
          <w:szCs w:val="22"/>
          <w:lang w:val="en-GB"/>
        </w:rPr>
      </w:pPr>
    </w:p>
    <w:p w14:paraId="2DFFAC66" w14:textId="61BCA377" w:rsidR="00637722" w:rsidRDefault="001C5609"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principles of the </w:t>
      </w:r>
      <w:r w:rsidR="00980780">
        <w:rPr>
          <w:rFonts w:ascii="Avenir Next" w:hAnsi="Avenir Next" w:cs="Arial"/>
          <w:color w:val="808080" w:themeColor="background1" w:themeShade="80"/>
          <w:sz w:val="22"/>
          <w:szCs w:val="22"/>
          <w:lang w:val="en-GB"/>
        </w:rPr>
        <w:t xml:space="preserve">MLCBI, a foreign proceeding can either be a foreign main proceeding or a foreign non main proceeding. The distinction is drawn based on whether the debtor has a Centre of Main Interest or an establishment in </w:t>
      </w:r>
      <w:r w:rsidR="00A44BE8">
        <w:rPr>
          <w:rFonts w:ascii="Avenir Next" w:hAnsi="Avenir Next" w:cs="Arial"/>
          <w:color w:val="808080" w:themeColor="background1" w:themeShade="80"/>
          <w:sz w:val="22"/>
          <w:szCs w:val="22"/>
          <w:lang w:val="en-GB"/>
        </w:rPr>
        <w:t>the</w:t>
      </w:r>
      <w:r w:rsidR="00980780">
        <w:rPr>
          <w:rFonts w:ascii="Avenir Next" w:hAnsi="Avenir Next" w:cs="Arial"/>
          <w:color w:val="808080" w:themeColor="background1" w:themeShade="80"/>
          <w:sz w:val="22"/>
          <w:szCs w:val="22"/>
          <w:lang w:val="en-GB"/>
        </w:rPr>
        <w:t xml:space="preserve"> jurisdi</w:t>
      </w:r>
      <w:r w:rsidR="00776B0F">
        <w:rPr>
          <w:rFonts w:ascii="Avenir Next" w:hAnsi="Avenir Next" w:cs="Arial"/>
          <w:color w:val="808080" w:themeColor="background1" w:themeShade="80"/>
          <w:sz w:val="22"/>
          <w:szCs w:val="22"/>
          <w:lang w:val="en-GB"/>
        </w:rPr>
        <w:t>ction</w:t>
      </w:r>
      <w:r w:rsidR="00A44BE8">
        <w:rPr>
          <w:rFonts w:ascii="Avenir Next" w:hAnsi="Avenir Next" w:cs="Arial"/>
          <w:color w:val="808080" w:themeColor="background1" w:themeShade="80"/>
          <w:sz w:val="22"/>
          <w:szCs w:val="22"/>
          <w:lang w:val="en-GB"/>
        </w:rPr>
        <w:t xml:space="preserve"> where the foreign proceeding is filed</w:t>
      </w:r>
      <w:r w:rsidR="00776B0F">
        <w:rPr>
          <w:rFonts w:ascii="Avenir Next" w:hAnsi="Avenir Next" w:cs="Arial"/>
          <w:color w:val="808080" w:themeColor="background1" w:themeShade="80"/>
          <w:sz w:val="22"/>
          <w:szCs w:val="22"/>
          <w:lang w:val="en-GB"/>
        </w:rPr>
        <w:t>. Based on the above facts, the debtors Centre of Main Interest is in Germany and thus the foreign main</w:t>
      </w:r>
      <w:r w:rsidR="00167648">
        <w:rPr>
          <w:rFonts w:ascii="Avenir Next" w:hAnsi="Avenir Next" w:cs="Arial"/>
          <w:color w:val="808080" w:themeColor="background1" w:themeShade="80"/>
          <w:sz w:val="22"/>
          <w:szCs w:val="22"/>
          <w:lang w:val="en-GB"/>
        </w:rPr>
        <w:t xml:space="preserve"> </w:t>
      </w:r>
      <w:r w:rsidR="00776B0F">
        <w:rPr>
          <w:rFonts w:ascii="Avenir Next" w:hAnsi="Avenir Next" w:cs="Arial"/>
          <w:color w:val="808080" w:themeColor="background1" w:themeShade="80"/>
          <w:sz w:val="22"/>
          <w:szCs w:val="22"/>
          <w:lang w:val="en-GB"/>
        </w:rPr>
        <w:t xml:space="preserve">proceeding </w:t>
      </w:r>
      <w:r w:rsidR="00167648">
        <w:rPr>
          <w:rFonts w:ascii="Avenir Next" w:hAnsi="Avenir Next" w:cs="Arial"/>
          <w:color w:val="808080" w:themeColor="background1" w:themeShade="80"/>
          <w:sz w:val="22"/>
          <w:szCs w:val="22"/>
          <w:lang w:val="en-GB"/>
        </w:rPr>
        <w:t>must</w:t>
      </w:r>
      <w:r w:rsidR="00626C4A">
        <w:rPr>
          <w:rFonts w:ascii="Avenir Next" w:hAnsi="Avenir Next" w:cs="Arial"/>
          <w:color w:val="808080" w:themeColor="background1" w:themeShade="80"/>
          <w:sz w:val="22"/>
          <w:szCs w:val="22"/>
          <w:lang w:val="en-GB"/>
        </w:rPr>
        <w:t xml:space="preserve"> have been</w:t>
      </w:r>
      <w:r w:rsidR="00167648">
        <w:rPr>
          <w:rFonts w:ascii="Avenir Next" w:hAnsi="Avenir Next" w:cs="Arial"/>
          <w:color w:val="808080" w:themeColor="background1" w:themeShade="80"/>
          <w:sz w:val="22"/>
          <w:szCs w:val="22"/>
          <w:lang w:val="en-GB"/>
        </w:rPr>
        <w:t xml:space="preserve"> filed in </w:t>
      </w:r>
      <w:r w:rsidR="00637722">
        <w:rPr>
          <w:rFonts w:ascii="Avenir Next" w:hAnsi="Avenir Next" w:cs="Arial"/>
          <w:color w:val="808080" w:themeColor="background1" w:themeShade="80"/>
          <w:sz w:val="22"/>
          <w:szCs w:val="22"/>
          <w:lang w:val="en-GB"/>
        </w:rPr>
        <w:t>Germany</w:t>
      </w:r>
      <w:r w:rsidR="00626C4A">
        <w:rPr>
          <w:rFonts w:ascii="Avenir Next" w:hAnsi="Avenir Next" w:cs="Arial"/>
          <w:color w:val="808080" w:themeColor="background1" w:themeShade="80"/>
          <w:sz w:val="22"/>
          <w:szCs w:val="22"/>
          <w:lang w:val="en-GB"/>
        </w:rPr>
        <w:t xml:space="preserve"> for it to be recognised in the US as such</w:t>
      </w:r>
      <w:r w:rsidR="00167648">
        <w:rPr>
          <w:rFonts w:ascii="Avenir Next" w:hAnsi="Avenir Next" w:cs="Arial"/>
          <w:color w:val="808080" w:themeColor="background1" w:themeShade="80"/>
          <w:sz w:val="22"/>
          <w:szCs w:val="22"/>
          <w:lang w:val="en-GB"/>
        </w:rPr>
        <w:t>. Additionally, the debtor has a</w:t>
      </w:r>
      <w:r w:rsidR="001762D6">
        <w:rPr>
          <w:rFonts w:ascii="Avenir Next" w:hAnsi="Avenir Next" w:cs="Arial"/>
          <w:color w:val="808080" w:themeColor="background1" w:themeShade="80"/>
          <w:sz w:val="22"/>
          <w:szCs w:val="22"/>
          <w:lang w:val="en-GB"/>
        </w:rPr>
        <w:t>n</w:t>
      </w:r>
      <w:r w:rsidR="00167648">
        <w:rPr>
          <w:rFonts w:ascii="Avenir Next" w:hAnsi="Avenir Next" w:cs="Arial"/>
          <w:color w:val="808080" w:themeColor="background1" w:themeShade="80"/>
          <w:sz w:val="22"/>
          <w:szCs w:val="22"/>
          <w:lang w:val="en-GB"/>
        </w:rPr>
        <w:t xml:space="preserve"> establishment in Bermuda, therefor</w:t>
      </w:r>
      <w:r w:rsidR="00626C4A">
        <w:rPr>
          <w:rFonts w:ascii="Avenir Next" w:hAnsi="Avenir Next" w:cs="Arial"/>
          <w:color w:val="808080" w:themeColor="background1" w:themeShade="80"/>
          <w:sz w:val="22"/>
          <w:szCs w:val="22"/>
          <w:lang w:val="en-GB"/>
        </w:rPr>
        <w:t xml:space="preserve">e for purposes of </w:t>
      </w:r>
      <w:r w:rsidR="00A83799">
        <w:rPr>
          <w:rFonts w:ascii="Avenir Next" w:hAnsi="Avenir Next" w:cs="Arial"/>
          <w:color w:val="808080" w:themeColor="background1" w:themeShade="80"/>
          <w:sz w:val="22"/>
          <w:szCs w:val="22"/>
          <w:lang w:val="en-GB"/>
        </w:rPr>
        <w:t>recognition a</w:t>
      </w:r>
      <w:r w:rsidR="0056691B">
        <w:rPr>
          <w:rFonts w:ascii="Avenir Next" w:hAnsi="Avenir Next" w:cs="Arial"/>
          <w:color w:val="808080" w:themeColor="background1" w:themeShade="80"/>
          <w:sz w:val="22"/>
          <w:szCs w:val="22"/>
          <w:lang w:val="en-GB"/>
        </w:rPr>
        <w:t xml:space="preserve"> proceeding </w:t>
      </w:r>
      <w:r w:rsidR="00477B7E">
        <w:rPr>
          <w:rFonts w:ascii="Avenir Next" w:hAnsi="Avenir Next" w:cs="Arial"/>
          <w:color w:val="808080" w:themeColor="background1" w:themeShade="80"/>
          <w:sz w:val="22"/>
          <w:szCs w:val="22"/>
          <w:lang w:val="en-GB"/>
        </w:rPr>
        <w:t>opened</w:t>
      </w:r>
      <w:r w:rsidR="0056691B">
        <w:rPr>
          <w:rFonts w:ascii="Avenir Next" w:hAnsi="Avenir Next" w:cs="Arial"/>
          <w:color w:val="808080" w:themeColor="background1" w:themeShade="80"/>
          <w:sz w:val="22"/>
          <w:szCs w:val="22"/>
          <w:lang w:val="en-GB"/>
        </w:rPr>
        <w:t xml:space="preserve"> in Bermuda is a</w:t>
      </w:r>
      <w:r w:rsidR="00167648">
        <w:rPr>
          <w:rFonts w:ascii="Avenir Next" w:hAnsi="Avenir Next" w:cs="Arial"/>
          <w:color w:val="808080" w:themeColor="background1" w:themeShade="80"/>
          <w:sz w:val="22"/>
          <w:szCs w:val="22"/>
          <w:lang w:val="en-GB"/>
        </w:rPr>
        <w:t xml:space="preserve"> </w:t>
      </w:r>
      <w:r w:rsidR="001762D6">
        <w:rPr>
          <w:rFonts w:ascii="Avenir Next" w:hAnsi="Avenir Next" w:cs="Arial"/>
          <w:color w:val="808080" w:themeColor="background1" w:themeShade="80"/>
          <w:sz w:val="22"/>
          <w:szCs w:val="22"/>
          <w:lang w:val="en-GB"/>
        </w:rPr>
        <w:t>foreign non main proceeding</w:t>
      </w:r>
      <w:r w:rsidR="0056691B">
        <w:rPr>
          <w:rFonts w:ascii="Avenir Next" w:hAnsi="Avenir Next" w:cs="Arial"/>
          <w:color w:val="808080" w:themeColor="background1" w:themeShade="80"/>
          <w:sz w:val="22"/>
          <w:szCs w:val="22"/>
          <w:lang w:val="en-GB"/>
        </w:rPr>
        <w:t xml:space="preserve">. </w:t>
      </w:r>
      <w:r w:rsidR="001762D6">
        <w:rPr>
          <w:rFonts w:ascii="Avenir Next" w:hAnsi="Avenir Next" w:cs="Arial"/>
          <w:color w:val="808080" w:themeColor="background1" w:themeShade="80"/>
          <w:sz w:val="22"/>
          <w:szCs w:val="22"/>
          <w:lang w:val="en-GB"/>
        </w:rPr>
        <w:t xml:space="preserve"> </w:t>
      </w:r>
    </w:p>
    <w:p w14:paraId="16CAE53E" w14:textId="77777777" w:rsidR="001762D6" w:rsidRDefault="001762D6" w:rsidP="001762D6">
      <w:pPr>
        <w:jc w:val="both"/>
        <w:rPr>
          <w:rFonts w:ascii="Avenir Next" w:hAnsi="Avenir Next" w:cs="Arial"/>
          <w:color w:val="808080" w:themeColor="background1" w:themeShade="80"/>
          <w:sz w:val="22"/>
          <w:szCs w:val="22"/>
          <w:lang w:val="en-GB"/>
        </w:rPr>
      </w:pPr>
    </w:p>
    <w:p w14:paraId="0AC3CC4D" w14:textId="6FE88CA3" w:rsidR="00062491" w:rsidRDefault="001762D6"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Concerning the </w:t>
      </w:r>
      <w:r w:rsidR="009079BD">
        <w:rPr>
          <w:rFonts w:ascii="Avenir Next" w:hAnsi="Avenir Next" w:cs="Arial"/>
          <w:color w:val="808080" w:themeColor="background1" w:themeShade="80"/>
          <w:sz w:val="22"/>
          <w:szCs w:val="22"/>
          <w:lang w:val="en-GB"/>
        </w:rPr>
        <w:t xml:space="preserve">likely result of the opened recognition proceedings in the US, </w:t>
      </w:r>
      <w:r w:rsidR="009018A3">
        <w:rPr>
          <w:rFonts w:ascii="Avenir Next" w:hAnsi="Avenir Next" w:cs="Arial"/>
          <w:color w:val="808080" w:themeColor="background1" w:themeShade="80"/>
          <w:sz w:val="22"/>
          <w:szCs w:val="22"/>
          <w:lang w:val="en-GB"/>
        </w:rPr>
        <w:t>since</w:t>
      </w:r>
      <w:r w:rsidR="004D2F17">
        <w:rPr>
          <w:rFonts w:ascii="Avenir Next" w:hAnsi="Avenir Next" w:cs="Arial"/>
          <w:color w:val="808080" w:themeColor="background1" w:themeShade="80"/>
          <w:sz w:val="22"/>
          <w:szCs w:val="22"/>
          <w:lang w:val="en-GB"/>
        </w:rPr>
        <w:t xml:space="preserve"> the US is an enacting state of the MLCBI</w:t>
      </w:r>
      <w:r w:rsidR="009018A3">
        <w:rPr>
          <w:rFonts w:ascii="Avenir Next" w:hAnsi="Avenir Next" w:cs="Arial"/>
          <w:color w:val="808080" w:themeColor="background1" w:themeShade="80"/>
          <w:sz w:val="22"/>
          <w:szCs w:val="22"/>
          <w:lang w:val="en-GB"/>
        </w:rPr>
        <w:t xml:space="preserve"> </w:t>
      </w:r>
      <w:r w:rsidR="009018A3">
        <w:rPr>
          <w:rFonts w:ascii="Avenir Next" w:hAnsi="Avenir Next" w:cs="Arial"/>
          <w:color w:val="808080" w:themeColor="background1" w:themeShade="80"/>
          <w:sz w:val="22"/>
          <w:szCs w:val="22"/>
        </w:rPr>
        <w:t>following the adoption of the</w:t>
      </w:r>
      <w:r w:rsidR="009018A3" w:rsidRPr="009018A3">
        <w:rPr>
          <w:rFonts w:ascii="Avenir Next" w:hAnsi="Avenir Next" w:cs="Arial"/>
          <w:color w:val="808080" w:themeColor="background1" w:themeShade="80"/>
          <w:sz w:val="22"/>
          <w:szCs w:val="22"/>
        </w:rPr>
        <w:t xml:space="preserve"> Model Law through Chapter 15 of the United States Bankruptcy Code</w:t>
      </w:r>
      <w:r w:rsidR="00366AD8">
        <w:rPr>
          <w:rFonts w:ascii="Avenir Next" w:hAnsi="Avenir Next" w:cs="Arial"/>
          <w:color w:val="808080" w:themeColor="background1" w:themeShade="80"/>
          <w:sz w:val="22"/>
          <w:szCs w:val="22"/>
        </w:rPr>
        <w:t xml:space="preserve">, </w:t>
      </w:r>
      <w:r w:rsidR="00AA12B3">
        <w:rPr>
          <w:rFonts w:ascii="Avenir Next" w:hAnsi="Avenir Next" w:cs="Arial"/>
          <w:color w:val="808080" w:themeColor="background1" w:themeShade="80"/>
          <w:sz w:val="22"/>
          <w:szCs w:val="22"/>
          <w:lang w:val="en-GB"/>
        </w:rPr>
        <w:t xml:space="preserve">both </w:t>
      </w:r>
      <w:r w:rsidR="004D2F17">
        <w:rPr>
          <w:rFonts w:ascii="Avenir Next" w:hAnsi="Avenir Next" w:cs="Arial"/>
          <w:color w:val="808080" w:themeColor="background1" w:themeShade="80"/>
          <w:sz w:val="22"/>
          <w:szCs w:val="22"/>
          <w:lang w:val="en-GB"/>
        </w:rPr>
        <w:t>the</w:t>
      </w:r>
      <w:r w:rsidR="00A510C3">
        <w:rPr>
          <w:rFonts w:ascii="Avenir Next" w:hAnsi="Avenir Next" w:cs="Arial"/>
          <w:color w:val="808080" w:themeColor="background1" w:themeShade="80"/>
          <w:sz w:val="22"/>
          <w:szCs w:val="22"/>
          <w:lang w:val="en-GB"/>
        </w:rPr>
        <w:t xml:space="preserve"> proceedings in Bermuda </w:t>
      </w:r>
      <w:r w:rsidR="00AA12B3">
        <w:rPr>
          <w:rFonts w:ascii="Avenir Next" w:hAnsi="Avenir Next" w:cs="Arial"/>
          <w:color w:val="808080" w:themeColor="background1" w:themeShade="80"/>
          <w:sz w:val="22"/>
          <w:szCs w:val="22"/>
          <w:lang w:val="en-GB"/>
        </w:rPr>
        <w:t xml:space="preserve">and Germany </w:t>
      </w:r>
      <w:r w:rsidR="00A510C3">
        <w:rPr>
          <w:rFonts w:ascii="Avenir Next" w:hAnsi="Avenir Next" w:cs="Arial"/>
          <w:color w:val="808080" w:themeColor="background1" w:themeShade="80"/>
          <w:sz w:val="22"/>
          <w:szCs w:val="22"/>
          <w:lang w:val="en-GB"/>
        </w:rPr>
        <w:t xml:space="preserve">will be subject to the interim collective relief if the foreign representative makes an application </w:t>
      </w:r>
      <w:r w:rsidR="00AA12B3">
        <w:rPr>
          <w:rFonts w:ascii="Avenir Next" w:hAnsi="Avenir Next" w:cs="Arial"/>
          <w:color w:val="808080" w:themeColor="background1" w:themeShade="80"/>
          <w:sz w:val="22"/>
          <w:szCs w:val="22"/>
          <w:lang w:val="en-GB"/>
        </w:rPr>
        <w:t>for such relief after filing an application for recognition.</w:t>
      </w:r>
      <w:r w:rsidR="00A43503">
        <w:rPr>
          <w:rFonts w:ascii="Avenir Next" w:hAnsi="Avenir Next" w:cs="Arial"/>
          <w:color w:val="808080" w:themeColor="background1" w:themeShade="80"/>
          <w:sz w:val="22"/>
          <w:szCs w:val="22"/>
          <w:lang w:val="en-GB"/>
        </w:rPr>
        <w:t xml:space="preserve"> </w:t>
      </w:r>
    </w:p>
    <w:p w14:paraId="07BAF4FC" w14:textId="77777777" w:rsidR="00062491" w:rsidRDefault="00062491" w:rsidP="001762D6">
      <w:pPr>
        <w:jc w:val="both"/>
        <w:rPr>
          <w:rFonts w:ascii="Avenir Next" w:hAnsi="Avenir Next" w:cs="Arial"/>
          <w:color w:val="808080" w:themeColor="background1" w:themeShade="80"/>
          <w:sz w:val="22"/>
          <w:szCs w:val="22"/>
          <w:lang w:val="en-GB"/>
        </w:rPr>
      </w:pPr>
    </w:p>
    <w:p w14:paraId="2E1497B8" w14:textId="77777777" w:rsidR="00E43685" w:rsidRDefault="00AA12B3"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r w:rsidR="00DE419C">
        <w:rPr>
          <w:rFonts w:ascii="Avenir Next" w:hAnsi="Avenir Next" w:cs="Arial"/>
          <w:color w:val="808080" w:themeColor="background1" w:themeShade="80"/>
          <w:sz w:val="22"/>
          <w:szCs w:val="22"/>
          <w:lang w:val="en-GB"/>
        </w:rPr>
        <w:t xml:space="preserve">Courts of the US are satisfied that the proceedings qualify as foreign proceedings and that a foreign representative </w:t>
      </w:r>
      <w:r w:rsidR="003B01F1">
        <w:rPr>
          <w:rFonts w:ascii="Avenir Next" w:hAnsi="Avenir Next" w:cs="Arial"/>
          <w:color w:val="808080" w:themeColor="background1" w:themeShade="80"/>
          <w:sz w:val="22"/>
          <w:szCs w:val="22"/>
          <w:lang w:val="en-GB"/>
        </w:rPr>
        <w:t xml:space="preserve">is in place, the Courts will </w:t>
      </w:r>
      <w:r w:rsidR="00C83E57">
        <w:rPr>
          <w:rFonts w:ascii="Avenir Next" w:hAnsi="Avenir Next" w:cs="Arial"/>
          <w:color w:val="808080" w:themeColor="background1" w:themeShade="80"/>
          <w:sz w:val="22"/>
          <w:szCs w:val="22"/>
          <w:lang w:val="en-GB"/>
        </w:rPr>
        <w:t xml:space="preserve">rely on the provisions of Article 16 of the MLCBI to presume that the foreign proceedings, the foreign </w:t>
      </w:r>
      <w:r w:rsidR="00E43685">
        <w:rPr>
          <w:rFonts w:ascii="Avenir Next" w:hAnsi="Avenir Next" w:cs="Arial"/>
          <w:color w:val="808080" w:themeColor="background1" w:themeShade="80"/>
          <w:sz w:val="22"/>
          <w:szCs w:val="22"/>
          <w:lang w:val="en-GB"/>
        </w:rPr>
        <w:t>representative,</w:t>
      </w:r>
      <w:r w:rsidR="00C83E57">
        <w:rPr>
          <w:rFonts w:ascii="Avenir Next" w:hAnsi="Avenir Next" w:cs="Arial"/>
          <w:color w:val="808080" w:themeColor="background1" w:themeShade="80"/>
          <w:sz w:val="22"/>
          <w:szCs w:val="22"/>
          <w:lang w:val="en-GB"/>
        </w:rPr>
        <w:t xml:space="preserve"> and the documents filed in the recognition application are </w:t>
      </w:r>
      <w:r w:rsidR="00E639E7">
        <w:rPr>
          <w:rFonts w:ascii="Avenir Next" w:hAnsi="Avenir Next" w:cs="Arial"/>
          <w:color w:val="808080" w:themeColor="background1" w:themeShade="80"/>
          <w:sz w:val="22"/>
          <w:szCs w:val="22"/>
          <w:lang w:val="en-GB"/>
        </w:rPr>
        <w:t xml:space="preserve">authentic and thus dispense with the evidentiary burden </w:t>
      </w:r>
      <w:r w:rsidR="00E43685">
        <w:rPr>
          <w:rFonts w:ascii="Avenir Next" w:hAnsi="Avenir Next" w:cs="Arial"/>
          <w:color w:val="808080" w:themeColor="background1" w:themeShade="80"/>
          <w:sz w:val="22"/>
          <w:szCs w:val="22"/>
          <w:lang w:val="en-GB"/>
        </w:rPr>
        <w:t xml:space="preserve">of proof for an efficient recognition proceeding. The court will </w:t>
      </w:r>
      <w:r w:rsidR="003B01F1">
        <w:rPr>
          <w:rFonts w:ascii="Avenir Next" w:hAnsi="Avenir Next" w:cs="Arial"/>
          <w:color w:val="808080" w:themeColor="background1" w:themeShade="80"/>
          <w:sz w:val="22"/>
          <w:szCs w:val="22"/>
          <w:lang w:val="en-GB"/>
        </w:rPr>
        <w:t xml:space="preserve">then offer the appropriate reliefs. </w:t>
      </w:r>
    </w:p>
    <w:p w14:paraId="00D7CC08" w14:textId="77777777" w:rsidR="00E43685" w:rsidRDefault="00E43685" w:rsidP="001762D6">
      <w:pPr>
        <w:jc w:val="both"/>
        <w:rPr>
          <w:rFonts w:ascii="Avenir Next" w:hAnsi="Avenir Next" w:cs="Arial"/>
          <w:color w:val="808080" w:themeColor="background1" w:themeShade="80"/>
          <w:sz w:val="22"/>
          <w:szCs w:val="22"/>
          <w:lang w:val="en-GB"/>
        </w:rPr>
      </w:pPr>
    </w:p>
    <w:p w14:paraId="332E04BB" w14:textId="7DF5F7BC" w:rsidR="001A52BD" w:rsidRDefault="00041807"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About</w:t>
      </w:r>
      <w:r w:rsidR="003B01F1">
        <w:rPr>
          <w:rFonts w:ascii="Avenir Next" w:hAnsi="Avenir Next" w:cs="Arial"/>
          <w:color w:val="808080" w:themeColor="background1" w:themeShade="80"/>
          <w:sz w:val="22"/>
          <w:szCs w:val="22"/>
          <w:lang w:val="en-GB"/>
        </w:rPr>
        <w:t xml:space="preserve"> the foreign main proceedings in Germany, they qualify </w:t>
      </w:r>
      <w:r w:rsidR="00A510C3">
        <w:rPr>
          <w:rFonts w:ascii="Avenir Next" w:hAnsi="Avenir Next" w:cs="Arial"/>
          <w:color w:val="808080" w:themeColor="background1" w:themeShade="80"/>
          <w:sz w:val="22"/>
          <w:szCs w:val="22"/>
          <w:lang w:val="en-GB"/>
        </w:rPr>
        <w:t xml:space="preserve">for an automatic relief </w:t>
      </w:r>
      <w:r w:rsidR="007E541F">
        <w:rPr>
          <w:rFonts w:ascii="Avenir Next" w:hAnsi="Avenir Next" w:cs="Arial"/>
          <w:color w:val="808080" w:themeColor="background1" w:themeShade="80"/>
          <w:sz w:val="22"/>
          <w:szCs w:val="22"/>
          <w:lang w:val="en-GB"/>
        </w:rPr>
        <w:t xml:space="preserve">following recognition </w:t>
      </w:r>
      <w:r w:rsidR="00A510C3">
        <w:rPr>
          <w:rFonts w:ascii="Avenir Next" w:hAnsi="Avenir Next" w:cs="Arial"/>
          <w:color w:val="808080" w:themeColor="background1" w:themeShade="80"/>
          <w:sz w:val="22"/>
          <w:szCs w:val="22"/>
          <w:lang w:val="en-GB"/>
        </w:rPr>
        <w:t>under the provisions of Article 20</w:t>
      </w:r>
      <w:r w:rsidR="00F57254">
        <w:rPr>
          <w:rFonts w:ascii="Avenir Next" w:hAnsi="Avenir Next" w:cs="Arial"/>
          <w:color w:val="808080" w:themeColor="background1" w:themeShade="80"/>
          <w:sz w:val="22"/>
          <w:szCs w:val="22"/>
          <w:lang w:val="en-GB"/>
        </w:rPr>
        <w:t xml:space="preserve"> of the MLCBI</w:t>
      </w:r>
      <w:r w:rsidR="00A510C3">
        <w:rPr>
          <w:rFonts w:ascii="Avenir Next" w:hAnsi="Avenir Next" w:cs="Arial"/>
          <w:color w:val="808080" w:themeColor="background1" w:themeShade="80"/>
          <w:sz w:val="22"/>
          <w:szCs w:val="22"/>
          <w:lang w:val="en-GB"/>
        </w:rPr>
        <w:t xml:space="preserve">. </w:t>
      </w:r>
      <w:r w:rsidR="00C452F4">
        <w:rPr>
          <w:rFonts w:ascii="Avenir Next" w:hAnsi="Avenir Next" w:cs="Arial"/>
          <w:color w:val="808080" w:themeColor="background1" w:themeShade="80"/>
          <w:sz w:val="22"/>
          <w:szCs w:val="22"/>
          <w:lang w:val="en-GB"/>
        </w:rPr>
        <w:t>The US Bankruptcy Code further provides that such relief shall only be granted if the court is satisfied that the</w:t>
      </w:r>
      <w:r w:rsidR="009927DF">
        <w:rPr>
          <w:rFonts w:ascii="Avenir Next" w:hAnsi="Avenir Next" w:cs="Arial"/>
          <w:color w:val="808080" w:themeColor="background1" w:themeShade="80"/>
          <w:sz w:val="22"/>
          <w:szCs w:val="22"/>
          <w:lang w:val="en-GB"/>
        </w:rPr>
        <w:t xml:space="preserve"> assets of the debtor and the</w:t>
      </w:r>
      <w:r w:rsidR="00C452F4">
        <w:rPr>
          <w:rFonts w:ascii="Avenir Next" w:hAnsi="Avenir Next" w:cs="Arial"/>
          <w:color w:val="808080" w:themeColor="background1" w:themeShade="80"/>
          <w:sz w:val="22"/>
          <w:szCs w:val="22"/>
          <w:lang w:val="en-GB"/>
        </w:rPr>
        <w:t xml:space="preserve"> interests of </w:t>
      </w:r>
      <w:r w:rsidR="00640C12">
        <w:rPr>
          <w:rFonts w:ascii="Avenir Next" w:hAnsi="Avenir Next" w:cs="Arial"/>
          <w:color w:val="808080" w:themeColor="background1" w:themeShade="80"/>
          <w:sz w:val="22"/>
          <w:szCs w:val="22"/>
          <w:lang w:val="en-GB"/>
        </w:rPr>
        <w:t>the creditors and other interested parties, including the debtor are</w:t>
      </w:r>
      <w:r w:rsidR="00AC05AE">
        <w:rPr>
          <w:rFonts w:ascii="Avenir Next" w:hAnsi="Avenir Next" w:cs="Arial"/>
          <w:color w:val="808080" w:themeColor="background1" w:themeShade="80"/>
          <w:sz w:val="22"/>
          <w:szCs w:val="22"/>
          <w:lang w:val="en-GB"/>
        </w:rPr>
        <w:t xml:space="preserve"> sufficiently</w:t>
      </w:r>
      <w:r w:rsidR="00640C12">
        <w:rPr>
          <w:rFonts w:ascii="Avenir Next" w:hAnsi="Avenir Next" w:cs="Arial"/>
          <w:color w:val="808080" w:themeColor="background1" w:themeShade="80"/>
          <w:sz w:val="22"/>
          <w:szCs w:val="22"/>
          <w:lang w:val="en-GB"/>
        </w:rPr>
        <w:t xml:space="preserve"> protected</w:t>
      </w:r>
      <w:r w:rsidR="00752950">
        <w:rPr>
          <w:rFonts w:ascii="Avenir Next" w:hAnsi="Avenir Next" w:cs="Arial"/>
          <w:color w:val="808080" w:themeColor="background1" w:themeShade="80"/>
          <w:sz w:val="22"/>
          <w:szCs w:val="22"/>
          <w:lang w:val="en-GB"/>
        </w:rPr>
        <w:t>.</w:t>
      </w:r>
      <w:r w:rsidR="00752950">
        <w:rPr>
          <w:rStyle w:val="FootnoteReference"/>
          <w:rFonts w:ascii="Avenir Next" w:hAnsi="Avenir Next" w:cs="Arial"/>
          <w:color w:val="808080" w:themeColor="background1" w:themeShade="80"/>
          <w:sz w:val="22"/>
          <w:szCs w:val="22"/>
          <w:lang w:val="en-GB"/>
        </w:rPr>
        <w:footnoteReference w:id="5"/>
      </w:r>
    </w:p>
    <w:p w14:paraId="2D2470C2" w14:textId="77777777" w:rsidR="001A52BD" w:rsidRDefault="001A52BD" w:rsidP="001762D6">
      <w:pPr>
        <w:jc w:val="both"/>
        <w:rPr>
          <w:rFonts w:ascii="Avenir Next" w:hAnsi="Avenir Next" w:cs="Arial"/>
          <w:color w:val="808080" w:themeColor="background1" w:themeShade="80"/>
          <w:sz w:val="22"/>
          <w:szCs w:val="22"/>
          <w:lang w:val="en-GB"/>
        </w:rPr>
      </w:pPr>
    </w:p>
    <w:p w14:paraId="40DAC7A6" w14:textId="6D175485" w:rsidR="001762D6" w:rsidRDefault="00452141"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US Court recognises the </w:t>
      </w:r>
      <w:r w:rsidR="007E541F">
        <w:rPr>
          <w:rFonts w:ascii="Avenir Next" w:hAnsi="Avenir Next" w:cs="Arial"/>
          <w:color w:val="808080" w:themeColor="background1" w:themeShade="80"/>
          <w:sz w:val="22"/>
          <w:szCs w:val="22"/>
          <w:lang w:val="en-GB"/>
        </w:rPr>
        <w:t xml:space="preserve">foreign non </w:t>
      </w:r>
      <w:r w:rsidR="00A40CCD">
        <w:rPr>
          <w:rFonts w:ascii="Avenir Next" w:hAnsi="Avenir Next" w:cs="Arial"/>
          <w:color w:val="808080" w:themeColor="background1" w:themeShade="80"/>
          <w:sz w:val="22"/>
          <w:szCs w:val="22"/>
          <w:lang w:val="en-GB"/>
        </w:rPr>
        <w:t>main proceedings</w:t>
      </w:r>
      <w:r w:rsidR="00A07126">
        <w:rPr>
          <w:rFonts w:ascii="Avenir Next" w:hAnsi="Avenir Next" w:cs="Arial"/>
          <w:color w:val="808080" w:themeColor="background1" w:themeShade="80"/>
          <w:sz w:val="22"/>
          <w:szCs w:val="22"/>
          <w:lang w:val="en-GB"/>
        </w:rPr>
        <w:t>, the US Courts can grant reliefs</w:t>
      </w:r>
      <w:r w:rsidR="007D3FBB">
        <w:rPr>
          <w:rFonts w:ascii="Avenir Next" w:hAnsi="Avenir Next" w:cs="Arial"/>
          <w:color w:val="808080" w:themeColor="background1" w:themeShade="80"/>
          <w:sz w:val="22"/>
          <w:szCs w:val="22"/>
          <w:lang w:val="en-GB"/>
        </w:rPr>
        <w:t xml:space="preserve"> which must relate to the assets that under the law of the US should be administered </w:t>
      </w:r>
      <w:r w:rsidR="00761AA8">
        <w:rPr>
          <w:rFonts w:ascii="Avenir Next" w:hAnsi="Avenir Next" w:cs="Arial"/>
          <w:color w:val="808080" w:themeColor="background1" w:themeShade="80"/>
          <w:sz w:val="22"/>
          <w:szCs w:val="22"/>
          <w:lang w:val="en-GB"/>
        </w:rPr>
        <w:t xml:space="preserve">in the Bermuda proceedings or concerns information required in the Bermuda insolvency proceeding. The relief in the Bermuda proceeding must also not interfere </w:t>
      </w:r>
      <w:r w:rsidR="00F14A87">
        <w:rPr>
          <w:rFonts w:ascii="Avenir Next" w:hAnsi="Avenir Next" w:cs="Arial"/>
          <w:color w:val="808080" w:themeColor="background1" w:themeShade="80"/>
          <w:sz w:val="22"/>
          <w:szCs w:val="22"/>
          <w:lang w:val="en-GB"/>
        </w:rPr>
        <w:t xml:space="preserve">with the administration of another insolvency proceeding, especially the proceeding in Germany. </w:t>
      </w:r>
      <w:r w:rsidR="003C4260">
        <w:rPr>
          <w:rFonts w:ascii="Avenir Next" w:hAnsi="Avenir Next" w:cs="Arial"/>
          <w:color w:val="808080" w:themeColor="background1" w:themeShade="80"/>
          <w:sz w:val="22"/>
          <w:szCs w:val="22"/>
          <w:lang w:val="en-GB"/>
        </w:rPr>
        <w:t xml:space="preserve">This </w:t>
      </w:r>
      <w:proofErr w:type="gramStart"/>
      <w:r w:rsidR="003C4260">
        <w:rPr>
          <w:rFonts w:ascii="Avenir Next" w:hAnsi="Avenir Next" w:cs="Arial"/>
          <w:color w:val="808080" w:themeColor="background1" w:themeShade="80"/>
          <w:sz w:val="22"/>
          <w:szCs w:val="22"/>
          <w:lang w:val="en-GB"/>
        </w:rPr>
        <w:t>is in compliance with</w:t>
      </w:r>
      <w:proofErr w:type="gramEnd"/>
      <w:r w:rsidR="003C4260">
        <w:rPr>
          <w:rFonts w:ascii="Avenir Next" w:hAnsi="Avenir Next" w:cs="Arial"/>
          <w:color w:val="808080" w:themeColor="background1" w:themeShade="80"/>
          <w:sz w:val="22"/>
          <w:szCs w:val="22"/>
          <w:lang w:val="en-GB"/>
        </w:rPr>
        <w:t xml:space="preserve"> Article 21 of the MLCBI as adopted by the US</w:t>
      </w:r>
      <w:r w:rsidR="008649A4">
        <w:rPr>
          <w:rFonts w:ascii="Avenir Next" w:hAnsi="Avenir Next" w:cs="Arial"/>
          <w:color w:val="808080" w:themeColor="background1" w:themeShade="80"/>
          <w:sz w:val="22"/>
          <w:szCs w:val="22"/>
          <w:lang w:val="en-GB"/>
        </w:rPr>
        <w:t xml:space="preserve"> under Section 1521 (c) of the US Bankruptcy Code. </w:t>
      </w:r>
    </w:p>
    <w:p w14:paraId="6695F50A" w14:textId="77777777" w:rsidR="00605AFA" w:rsidRDefault="00605AFA" w:rsidP="001762D6">
      <w:pPr>
        <w:jc w:val="both"/>
        <w:rPr>
          <w:rFonts w:ascii="Avenir Next" w:hAnsi="Avenir Next" w:cs="Arial"/>
          <w:color w:val="808080" w:themeColor="background1" w:themeShade="80"/>
          <w:sz w:val="22"/>
          <w:szCs w:val="22"/>
          <w:lang w:val="en-GB"/>
        </w:rPr>
      </w:pPr>
    </w:p>
    <w:p w14:paraId="06C88B5E" w14:textId="419CD406" w:rsidR="00BF4202" w:rsidRDefault="00605AFA"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B5253">
        <w:rPr>
          <w:rFonts w:ascii="Avenir Next" w:hAnsi="Avenir Next" w:cs="Arial"/>
          <w:color w:val="808080" w:themeColor="background1" w:themeShade="80"/>
          <w:sz w:val="22"/>
          <w:szCs w:val="22"/>
          <w:lang w:val="en-GB"/>
        </w:rPr>
        <w:t xml:space="preserve">reliefs that may be granted </w:t>
      </w:r>
      <w:r w:rsidR="00074C98">
        <w:rPr>
          <w:rFonts w:ascii="Avenir Next" w:hAnsi="Avenir Next" w:cs="Arial"/>
          <w:color w:val="808080" w:themeColor="background1" w:themeShade="80"/>
          <w:sz w:val="22"/>
          <w:szCs w:val="22"/>
          <w:lang w:val="en-GB"/>
        </w:rPr>
        <w:t xml:space="preserve">include stay of commencement or continuation of action concerning the </w:t>
      </w:r>
      <w:r w:rsidR="00286D9C">
        <w:rPr>
          <w:rFonts w:ascii="Avenir Next" w:hAnsi="Avenir Next" w:cs="Arial"/>
          <w:color w:val="808080" w:themeColor="background1" w:themeShade="80"/>
          <w:sz w:val="22"/>
          <w:szCs w:val="22"/>
          <w:lang w:val="en-GB"/>
        </w:rPr>
        <w:t>debtors’</w:t>
      </w:r>
      <w:r w:rsidR="00074C98">
        <w:rPr>
          <w:rFonts w:ascii="Avenir Next" w:hAnsi="Avenir Next" w:cs="Arial"/>
          <w:color w:val="808080" w:themeColor="background1" w:themeShade="80"/>
          <w:sz w:val="22"/>
          <w:szCs w:val="22"/>
          <w:lang w:val="en-GB"/>
        </w:rPr>
        <w:t xml:space="preserve"> rights, </w:t>
      </w:r>
      <w:r w:rsidR="00A94BD3">
        <w:rPr>
          <w:rFonts w:ascii="Avenir Next" w:hAnsi="Avenir Next" w:cs="Arial"/>
          <w:color w:val="808080" w:themeColor="background1" w:themeShade="80"/>
          <w:sz w:val="22"/>
          <w:szCs w:val="22"/>
          <w:lang w:val="en-GB"/>
        </w:rPr>
        <w:t>obligations,</w:t>
      </w:r>
      <w:r w:rsidR="00074C98">
        <w:rPr>
          <w:rFonts w:ascii="Avenir Next" w:hAnsi="Avenir Next" w:cs="Arial"/>
          <w:color w:val="808080" w:themeColor="background1" w:themeShade="80"/>
          <w:sz w:val="22"/>
          <w:szCs w:val="22"/>
          <w:lang w:val="en-GB"/>
        </w:rPr>
        <w:t xml:space="preserve"> and </w:t>
      </w:r>
      <w:r w:rsidR="00D2783C">
        <w:rPr>
          <w:rFonts w:ascii="Avenir Next" w:hAnsi="Avenir Next" w:cs="Arial"/>
          <w:color w:val="808080" w:themeColor="background1" w:themeShade="80"/>
          <w:sz w:val="22"/>
          <w:szCs w:val="22"/>
          <w:lang w:val="en-GB"/>
        </w:rPr>
        <w:t xml:space="preserve">liabilities, stay of execution against the </w:t>
      </w:r>
      <w:r w:rsidR="00307350">
        <w:rPr>
          <w:rFonts w:ascii="Avenir Next" w:hAnsi="Avenir Next" w:cs="Arial"/>
          <w:color w:val="808080" w:themeColor="background1" w:themeShade="80"/>
          <w:sz w:val="22"/>
          <w:szCs w:val="22"/>
          <w:lang w:val="en-GB"/>
        </w:rPr>
        <w:t>debtors’</w:t>
      </w:r>
      <w:r w:rsidR="00D2783C">
        <w:rPr>
          <w:rFonts w:ascii="Avenir Next" w:hAnsi="Avenir Next" w:cs="Arial"/>
          <w:color w:val="808080" w:themeColor="background1" w:themeShade="80"/>
          <w:sz w:val="22"/>
          <w:szCs w:val="22"/>
          <w:lang w:val="en-GB"/>
        </w:rPr>
        <w:t xml:space="preserve"> assets and suspension of the right to transfer</w:t>
      </w:r>
      <w:r w:rsidR="003B2324">
        <w:rPr>
          <w:rFonts w:ascii="Avenir Next" w:hAnsi="Avenir Next" w:cs="Arial"/>
          <w:color w:val="808080" w:themeColor="background1" w:themeShade="80"/>
          <w:sz w:val="22"/>
          <w:szCs w:val="22"/>
          <w:lang w:val="en-GB"/>
        </w:rPr>
        <w:t xml:space="preserve">, encumber or otherwise dispose of the </w:t>
      </w:r>
      <w:r w:rsidR="00D17B77">
        <w:rPr>
          <w:rFonts w:ascii="Avenir Next" w:hAnsi="Avenir Next" w:cs="Arial"/>
          <w:color w:val="808080" w:themeColor="background1" w:themeShade="80"/>
          <w:sz w:val="22"/>
          <w:szCs w:val="22"/>
          <w:lang w:val="en-GB"/>
        </w:rPr>
        <w:t>debtor</w:t>
      </w:r>
      <w:r w:rsidR="00C9258A">
        <w:rPr>
          <w:rFonts w:ascii="Avenir Next" w:hAnsi="Avenir Next" w:cs="Arial"/>
          <w:color w:val="808080" w:themeColor="background1" w:themeShade="80"/>
          <w:sz w:val="22"/>
          <w:szCs w:val="22"/>
          <w:lang w:val="en-GB"/>
        </w:rPr>
        <w:t xml:space="preserve">’s </w:t>
      </w:r>
      <w:r w:rsidR="003B2324">
        <w:rPr>
          <w:rFonts w:ascii="Avenir Next" w:hAnsi="Avenir Next" w:cs="Arial"/>
          <w:color w:val="808080" w:themeColor="background1" w:themeShade="80"/>
          <w:sz w:val="22"/>
          <w:szCs w:val="22"/>
          <w:lang w:val="en-GB"/>
        </w:rPr>
        <w:t xml:space="preserve">assets. </w:t>
      </w:r>
    </w:p>
    <w:p w14:paraId="113ED690" w14:textId="77777777" w:rsidR="00210A8F" w:rsidRDefault="00210A8F" w:rsidP="001762D6">
      <w:pPr>
        <w:jc w:val="both"/>
        <w:rPr>
          <w:rFonts w:ascii="Avenir Next" w:hAnsi="Avenir Next" w:cs="Arial"/>
          <w:color w:val="808080" w:themeColor="background1" w:themeShade="80"/>
          <w:sz w:val="22"/>
          <w:szCs w:val="22"/>
          <w:lang w:val="en-GB"/>
        </w:rPr>
      </w:pPr>
    </w:p>
    <w:p w14:paraId="23477597" w14:textId="7F3E39DD" w:rsidR="004B5253" w:rsidRPr="00B77352" w:rsidRDefault="004B5253" w:rsidP="001762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consequence of recognition for each of the proceedings above </w:t>
      </w:r>
      <w:r w:rsidR="003A7E9E">
        <w:rPr>
          <w:rFonts w:ascii="Avenir Next" w:hAnsi="Avenir Next" w:cs="Arial"/>
          <w:color w:val="808080" w:themeColor="background1" w:themeShade="80"/>
          <w:sz w:val="22"/>
          <w:szCs w:val="22"/>
          <w:lang w:val="en-GB"/>
        </w:rPr>
        <w:t xml:space="preserve">is to grant the foreign representative standing </w:t>
      </w:r>
      <w:r w:rsidR="007A2B31">
        <w:rPr>
          <w:rFonts w:ascii="Avenir Next" w:hAnsi="Avenir Next" w:cs="Arial"/>
          <w:color w:val="808080" w:themeColor="background1" w:themeShade="80"/>
          <w:sz w:val="22"/>
          <w:szCs w:val="22"/>
          <w:lang w:val="en-GB"/>
        </w:rPr>
        <w:t>to initiate action under the laws of US,</w:t>
      </w:r>
      <w:r w:rsidR="003A595E">
        <w:rPr>
          <w:rFonts w:ascii="Avenir Next" w:hAnsi="Avenir Next" w:cs="Arial"/>
          <w:color w:val="808080" w:themeColor="background1" w:themeShade="80"/>
          <w:sz w:val="22"/>
          <w:szCs w:val="22"/>
          <w:lang w:val="en-GB"/>
        </w:rPr>
        <w:t xml:space="preserve"> intervene in local proceedings in US where the debtor is a party and </w:t>
      </w:r>
      <w:r w:rsidR="006F71DF">
        <w:rPr>
          <w:rFonts w:ascii="Avenir Next" w:hAnsi="Avenir Next" w:cs="Arial"/>
          <w:color w:val="808080" w:themeColor="background1" w:themeShade="80"/>
          <w:sz w:val="22"/>
          <w:szCs w:val="22"/>
          <w:lang w:val="en-GB"/>
        </w:rPr>
        <w:t xml:space="preserve">grant them </w:t>
      </w:r>
      <w:r w:rsidR="005C2082">
        <w:rPr>
          <w:rFonts w:ascii="Avenir Next" w:hAnsi="Avenir Next" w:cs="Arial"/>
          <w:color w:val="808080" w:themeColor="background1" w:themeShade="80"/>
          <w:sz w:val="22"/>
          <w:szCs w:val="22"/>
          <w:lang w:val="en-GB"/>
        </w:rPr>
        <w:t xml:space="preserve">the right to avoid antecedent transactions.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4377F875"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t>
      </w:r>
      <w:proofErr w:type="gramStart"/>
      <w:r w:rsidRPr="00785854">
        <w:rPr>
          <w:rFonts w:ascii="Avenir Next" w:hAnsi="Avenir Next" w:cs="Arial"/>
          <w:sz w:val="22"/>
          <w:szCs w:val="28"/>
        </w:rPr>
        <w:t>were sued</w:t>
      </w:r>
      <w:proofErr w:type="gramEnd"/>
      <w:r w:rsidRPr="00785854">
        <w:rPr>
          <w:rFonts w:ascii="Avenir Next" w:hAnsi="Avenir Next" w:cs="Arial"/>
          <w:sz w:val="22"/>
          <w:szCs w:val="28"/>
        </w:rPr>
        <w:t xml:space="preserve"> and served with discovery in connection with their alleged tortious interference with contract rights of the US-based vendors of the foreign debtor. Explain the </w:t>
      </w:r>
      <w:proofErr w:type="gramStart"/>
      <w:r w:rsidRPr="00785854">
        <w:rPr>
          <w:rFonts w:ascii="Avenir Next" w:hAnsi="Avenir Next" w:cs="Arial"/>
          <w:sz w:val="22"/>
          <w:szCs w:val="28"/>
        </w:rPr>
        <w:t>likely outcome</w:t>
      </w:r>
      <w:proofErr w:type="gramEnd"/>
      <w:r w:rsidR="00664336" w:rsidRPr="00785854">
        <w:rPr>
          <w:rFonts w:ascii="Avenir Next" w:hAnsi="Avenir Next" w:cs="Arial"/>
          <w:sz w:val="22"/>
          <w:szCs w:val="28"/>
        </w:rPr>
        <w:t xml:space="preserve">. </w:t>
      </w:r>
    </w:p>
    <w:p w14:paraId="47594532" w14:textId="77777777" w:rsidR="00622C2B" w:rsidRPr="00E2622D" w:rsidRDefault="00622C2B" w:rsidP="00707FC8">
      <w:pPr>
        <w:jc w:val="both"/>
        <w:rPr>
          <w:rFonts w:ascii="Avenir Next" w:hAnsi="Avenir Next" w:cs="Arial"/>
          <w:sz w:val="22"/>
          <w:szCs w:val="22"/>
          <w:lang w:val="en-GB"/>
        </w:rPr>
      </w:pPr>
    </w:p>
    <w:p w14:paraId="3937CDFF" w14:textId="4B703A4E" w:rsidR="00867A8F" w:rsidRDefault="008318FD" w:rsidP="00EC41F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provisions of Article 10 of the MLCBI on safe conduct </w:t>
      </w:r>
      <w:r w:rsidR="00C03E73">
        <w:rPr>
          <w:rFonts w:ascii="Avenir Next" w:hAnsi="Avenir Next" w:cs="Arial"/>
          <w:color w:val="808080" w:themeColor="background1" w:themeShade="80"/>
          <w:sz w:val="22"/>
          <w:szCs w:val="22"/>
          <w:lang w:val="en-GB"/>
        </w:rPr>
        <w:t>clarifies</w:t>
      </w:r>
      <w:r w:rsidR="003A34EA">
        <w:rPr>
          <w:rFonts w:ascii="Avenir Next" w:hAnsi="Avenir Next" w:cs="Arial"/>
          <w:color w:val="808080" w:themeColor="background1" w:themeShade="80"/>
          <w:sz w:val="22"/>
          <w:szCs w:val="22"/>
          <w:lang w:val="en-GB"/>
        </w:rPr>
        <w:t xml:space="preserve"> that a recognition application alone does not place a foreign representative, in this case, joint liquidators, under the </w:t>
      </w:r>
      <w:r w:rsidR="00940E6D">
        <w:rPr>
          <w:rFonts w:ascii="Avenir Next" w:hAnsi="Avenir Next" w:cs="Arial"/>
          <w:color w:val="808080" w:themeColor="background1" w:themeShade="80"/>
          <w:sz w:val="22"/>
          <w:szCs w:val="22"/>
          <w:lang w:val="en-GB"/>
        </w:rPr>
        <w:t>jurisdiction of the enacting state</w:t>
      </w:r>
      <w:r w:rsidR="00401FCE">
        <w:rPr>
          <w:rFonts w:ascii="Avenir Next" w:hAnsi="Avenir Next" w:cs="Arial"/>
          <w:color w:val="808080" w:themeColor="background1" w:themeShade="80"/>
          <w:sz w:val="22"/>
          <w:szCs w:val="22"/>
          <w:lang w:val="en-GB"/>
        </w:rPr>
        <w:t>, US,</w:t>
      </w:r>
      <w:r w:rsidR="00940E6D">
        <w:rPr>
          <w:rFonts w:ascii="Avenir Next" w:hAnsi="Avenir Next" w:cs="Arial"/>
          <w:color w:val="808080" w:themeColor="background1" w:themeShade="80"/>
          <w:sz w:val="22"/>
          <w:szCs w:val="22"/>
          <w:lang w:val="en-GB"/>
        </w:rPr>
        <w:t xml:space="preserve"> </w:t>
      </w:r>
      <w:r w:rsidR="00401FCE">
        <w:rPr>
          <w:rFonts w:ascii="Avenir Next" w:hAnsi="Avenir Next" w:cs="Arial"/>
          <w:color w:val="808080" w:themeColor="background1" w:themeShade="80"/>
          <w:sz w:val="22"/>
          <w:szCs w:val="22"/>
          <w:lang w:val="en-GB"/>
        </w:rPr>
        <w:t>concerning matters unrelated to insolvency</w:t>
      </w:r>
      <w:r w:rsidR="00940E6D">
        <w:rPr>
          <w:rFonts w:ascii="Avenir Next" w:hAnsi="Avenir Next" w:cs="Arial"/>
          <w:color w:val="808080" w:themeColor="background1" w:themeShade="80"/>
          <w:sz w:val="22"/>
          <w:szCs w:val="22"/>
          <w:lang w:val="en-GB"/>
        </w:rPr>
        <w:t xml:space="preserve">, there is an </w:t>
      </w:r>
      <w:r w:rsidR="00CF0F82">
        <w:rPr>
          <w:rFonts w:ascii="Avenir Next" w:hAnsi="Avenir Next" w:cs="Arial"/>
          <w:color w:val="808080" w:themeColor="background1" w:themeShade="80"/>
          <w:sz w:val="22"/>
          <w:szCs w:val="22"/>
          <w:lang w:val="en-GB"/>
        </w:rPr>
        <w:t xml:space="preserve">exception for instance a tort or misconduct by the foreign representative may be a ground for the </w:t>
      </w:r>
      <w:r w:rsidR="00FF7A47">
        <w:rPr>
          <w:rFonts w:ascii="Avenir Next" w:hAnsi="Avenir Next" w:cs="Arial"/>
          <w:color w:val="808080" w:themeColor="background1" w:themeShade="80"/>
          <w:sz w:val="22"/>
          <w:szCs w:val="22"/>
          <w:lang w:val="en-GB"/>
        </w:rPr>
        <w:t xml:space="preserve">court of the enacting state to exercise its jurisdiction against the foreign representative. </w:t>
      </w:r>
      <w:r w:rsidR="00401FCE">
        <w:rPr>
          <w:rFonts w:ascii="Avenir Next" w:hAnsi="Avenir Next" w:cs="Arial"/>
          <w:color w:val="808080" w:themeColor="background1" w:themeShade="80"/>
          <w:sz w:val="22"/>
          <w:szCs w:val="22"/>
          <w:lang w:val="en-GB"/>
        </w:rPr>
        <w:t>Additionally, t</w:t>
      </w:r>
      <w:r w:rsidR="00A44F8C">
        <w:rPr>
          <w:rFonts w:ascii="Avenir Next" w:hAnsi="Avenir Next" w:cs="Arial"/>
          <w:color w:val="808080" w:themeColor="background1" w:themeShade="80"/>
          <w:sz w:val="22"/>
          <w:szCs w:val="22"/>
          <w:lang w:val="en-GB"/>
        </w:rPr>
        <w:t xml:space="preserve">he </w:t>
      </w:r>
      <w:r w:rsidR="00A44F8C" w:rsidRPr="00A44F8C">
        <w:rPr>
          <w:rFonts w:ascii="Avenir Next" w:hAnsi="Avenir Next" w:cs="Arial"/>
          <w:color w:val="808080" w:themeColor="background1" w:themeShade="80"/>
          <w:sz w:val="22"/>
          <w:szCs w:val="22"/>
          <w:lang w:val="en-GB"/>
        </w:rPr>
        <w:t xml:space="preserve">United States Bankruptcy Code, 11 U.S.C. sect. 1509 </w:t>
      </w:r>
      <w:r w:rsidR="00A44F8C" w:rsidRPr="00A44F8C">
        <w:rPr>
          <w:rFonts w:ascii="Avenir Next" w:hAnsi="Avenir Next" w:cs="Arial"/>
          <w:i/>
          <w:iCs/>
          <w:color w:val="808080" w:themeColor="background1" w:themeShade="80"/>
          <w:sz w:val="22"/>
          <w:szCs w:val="22"/>
          <w:lang w:val="en-GB"/>
        </w:rPr>
        <w:t>(e)</w:t>
      </w:r>
      <w:r w:rsidR="00923314">
        <w:rPr>
          <w:rStyle w:val="FootnoteReference"/>
          <w:rFonts w:ascii="Avenir Next" w:hAnsi="Avenir Next" w:cs="Arial"/>
          <w:i/>
          <w:iCs/>
          <w:color w:val="808080" w:themeColor="background1" w:themeShade="80"/>
          <w:sz w:val="22"/>
          <w:szCs w:val="22"/>
          <w:lang w:val="en-GB"/>
        </w:rPr>
        <w:footnoteReference w:id="6"/>
      </w:r>
      <w:r w:rsidR="00A44F8C" w:rsidRPr="00A44F8C">
        <w:rPr>
          <w:rFonts w:ascii="Avenir Next" w:hAnsi="Avenir Next" w:cs="Arial"/>
          <w:color w:val="808080" w:themeColor="background1" w:themeShade="80"/>
          <w:sz w:val="22"/>
          <w:szCs w:val="22"/>
          <w:lang w:val="en-GB"/>
        </w:rPr>
        <w:t>, provides that</w:t>
      </w:r>
      <w:r w:rsidR="00A44F8C">
        <w:rPr>
          <w:rFonts w:ascii="Avenir Next" w:hAnsi="Avenir Next" w:cs="Arial"/>
          <w:color w:val="808080" w:themeColor="background1" w:themeShade="80"/>
          <w:sz w:val="22"/>
          <w:szCs w:val="22"/>
          <w:lang w:val="en-GB"/>
        </w:rPr>
        <w:t xml:space="preserve"> </w:t>
      </w:r>
      <w:r w:rsidR="00A44F8C" w:rsidRPr="00A44F8C">
        <w:rPr>
          <w:rFonts w:ascii="Avenir Next" w:hAnsi="Avenir Next" w:cs="Arial"/>
          <w:color w:val="808080" w:themeColor="background1" w:themeShade="80"/>
          <w:sz w:val="22"/>
          <w:szCs w:val="22"/>
          <w:lang w:val="en-GB"/>
        </w:rPr>
        <w:t>a foreign representative is subject to applicable non-bankruptcy law and must therefore comply with court orders</w:t>
      </w:r>
      <w:r w:rsidR="00A44F8C">
        <w:rPr>
          <w:rFonts w:ascii="Avenir Next" w:hAnsi="Avenir Next" w:cs="Arial"/>
          <w:color w:val="808080" w:themeColor="background1" w:themeShade="80"/>
          <w:sz w:val="22"/>
          <w:szCs w:val="22"/>
          <w:lang w:val="en-GB"/>
        </w:rPr>
        <w:t xml:space="preserve">. </w:t>
      </w:r>
      <w:r w:rsidR="00A44F8C" w:rsidRPr="00A44F8C">
        <w:rPr>
          <w:rFonts w:ascii="Avenir Next" w:hAnsi="Avenir Next" w:cs="Arial"/>
          <w:color w:val="808080" w:themeColor="background1" w:themeShade="80"/>
          <w:sz w:val="22"/>
          <w:szCs w:val="22"/>
          <w:lang w:val="en-GB"/>
        </w:rPr>
        <w:t xml:space="preserve"> </w:t>
      </w:r>
    </w:p>
    <w:p w14:paraId="65BA558E" w14:textId="77777777" w:rsidR="007B51F6" w:rsidRDefault="007B51F6" w:rsidP="00EC41F4">
      <w:pPr>
        <w:autoSpaceDE w:val="0"/>
        <w:autoSpaceDN w:val="0"/>
        <w:adjustRightInd w:val="0"/>
        <w:jc w:val="both"/>
        <w:rPr>
          <w:rFonts w:ascii="Avenir Next" w:hAnsi="Avenir Next" w:cs="Arial"/>
          <w:color w:val="808080" w:themeColor="background1" w:themeShade="80"/>
          <w:sz w:val="22"/>
          <w:szCs w:val="22"/>
          <w:lang w:val="en-GB"/>
        </w:rPr>
      </w:pPr>
    </w:p>
    <w:p w14:paraId="19BBCCC2" w14:textId="365F9C92" w:rsidR="007B51F6" w:rsidRDefault="007B51F6" w:rsidP="00EC41F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the </w:t>
      </w:r>
      <w:r w:rsidR="00B42680">
        <w:rPr>
          <w:rFonts w:ascii="Avenir Next" w:hAnsi="Avenir Next" w:cs="Arial"/>
          <w:color w:val="808080" w:themeColor="background1" w:themeShade="80"/>
          <w:sz w:val="22"/>
          <w:szCs w:val="22"/>
          <w:lang w:val="en-GB"/>
        </w:rPr>
        <w:t xml:space="preserve">suit against the joint </w:t>
      </w:r>
      <w:r w:rsidR="00BC6E9C">
        <w:rPr>
          <w:rFonts w:ascii="Avenir Next" w:hAnsi="Avenir Next" w:cs="Arial"/>
          <w:color w:val="808080" w:themeColor="background1" w:themeShade="80"/>
          <w:sz w:val="22"/>
          <w:szCs w:val="22"/>
          <w:lang w:val="en-GB"/>
        </w:rPr>
        <w:t xml:space="preserve">provisional </w:t>
      </w:r>
      <w:r w:rsidR="00B42680">
        <w:rPr>
          <w:rFonts w:ascii="Avenir Next" w:hAnsi="Avenir Next" w:cs="Arial"/>
          <w:color w:val="808080" w:themeColor="background1" w:themeShade="80"/>
          <w:sz w:val="22"/>
          <w:szCs w:val="22"/>
          <w:lang w:val="en-GB"/>
        </w:rPr>
        <w:t xml:space="preserve">liquidators on allegations of tortious interference </w:t>
      </w:r>
      <w:r w:rsidR="002654CB">
        <w:rPr>
          <w:rFonts w:ascii="Avenir Next" w:hAnsi="Avenir Next" w:cs="Arial"/>
          <w:color w:val="808080" w:themeColor="background1" w:themeShade="80"/>
          <w:sz w:val="22"/>
          <w:szCs w:val="22"/>
          <w:lang w:val="en-GB"/>
        </w:rPr>
        <w:t xml:space="preserve">with contract rights of the US-Based vendors of the foreign debtor may be heard and determined under the US Law, thus bringing the joint liquidators under the jurisdiction of the US courts. </w:t>
      </w:r>
    </w:p>
    <w:p w14:paraId="14EA619E" w14:textId="77777777" w:rsidR="0055441C" w:rsidRDefault="0055441C" w:rsidP="00EC41F4">
      <w:pPr>
        <w:autoSpaceDE w:val="0"/>
        <w:autoSpaceDN w:val="0"/>
        <w:adjustRightInd w:val="0"/>
        <w:jc w:val="both"/>
        <w:rPr>
          <w:rFonts w:ascii="Avenir Next" w:hAnsi="Avenir Next" w:cs="Arial"/>
          <w:color w:val="808080" w:themeColor="background1" w:themeShade="80"/>
          <w:sz w:val="22"/>
          <w:szCs w:val="22"/>
          <w:lang w:val="en-GB"/>
        </w:rPr>
      </w:pPr>
    </w:p>
    <w:p w14:paraId="311D797F" w14:textId="4126725E" w:rsidR="0055441C" w:rsidRDefault="0055441C" w:rsidP="00EC41F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outcome of the suit may affect the administration of the </w:t>
      </w:r>
      <w:r w:rsidR="00687502">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w:t>
      </w:r>
      <w:r w:rsidR="00687502">
        <w:rPr>
          <w:rFonts w:ascii="Avenir Next" w:hAnsi="Avenir Next" w:cs="Arial"/>
          <w:color w:val="808080" w:themeColor="background1" w:themeShade="80"/>
          <w:sz w:val="22"/>
          <w:szCs w:val="22"/>
          <w:lang w:val="en-GB"/>
        </w:rPr>
        <w:t xml:space="preserve">, particularly with respect to the US creditors and potential action, the joint liquidators may seek </w:t>
      </w:r>
      <w:r w:rsidR="00F30A5E">
        <w:rPr>
          <w:rFonts w:ascii="Avenir Next" w:hAnsi="Avenir Next" w:cs="Arial"/>
          <w:color w:val="808080" w:themeColor="background1" w:themeShade="80"/>
          <w:sz w:val="22"/>
          <w:szCs w:val="22"/>
          <w:lang w:val="en-GB"/>
        </w:rPr>
        <w:t>an interim collective relief</w:t>
      </w:r>
      <w:r w:rsidR="00C3108F">
        <w:rPr>
          <w:rFonts w:ascii="Avenir Next" w:hAnsi="Avenir Next" w:cs="Arial"/>
          <w:color w:val="808080" w:themeColor="background1" w:themeShade="80"/>
          <w:sz w:val="22"/>
          <w:szCs w:val="22"/>
          <w:lang w:val="en-GB"/>
        </w:rPr>
        <w:t xml:space="preserve"> as provided by Article 19</w:t>
      </w:r>
      <w:r w:rsidR="00F30A5E">
        <w:rPr>
          <w:rFonts w:ascii="Avenir Next" w:hAnsi="Avenir Next" w:cs="Arial"/>
          <w:color w:val="808080" w:themeColor="background1" w:themeShade="80"/>
          <w:sz w:val="22"/>
          <w:szCs w:val="22"/>
          <w:lang w:val="en-GB"/>
        </w:rPr>
        <w:t xml:space="preserve">, seeking the court’s intervention to </w:t>
      </w:r>
      <w:r w:rsidR="00C3108F">
        <w:rPr>
          <w:rFonts w:ascii="Avenir Next" w:hAnsi="Avenir Next" w:cs="Arial"/>
          <w:color w:val="808080" w:themeColor="background1" w:themeShade="80"/>
          <w:sz w:val="22"/>
          <w:szCs w:val="22"/>
          <w:lang w:val="en-GB"/>
        </w:rPr>
        <w:t xml:space="preserve">stay the suit by the US based vendors pending the determination of the recognition application. </w:t>
      </w:r>
    </w:p>
    <w:p w14:paraId="4800E55A" w14:textId="77777777" w:rsidR="00886822" w:rsidRDefault="00886822" w:rsidP="00EC41F4">
      <w:pPr>
        <w:autoSpaceDE w:val="0"/>
        <w:autoSpaceDN w:val="0"/>
        <w:adjustRightInd w:val="0"/>
        <w:jc w:val="both"/>
        <w:rPr>
          <w:rFonts w:ascii="Avenir Next" w:hAnsi="Avenir Next" w:cs="Arial"/>
          <w:color w:val="808080" w:themeColor="background1" w:themeShade="80"/>
          <w:sz w:val="22"/>
          <w:szCs w:val="22"/>
          <w:lang w:val="en-GB"/>
        </w:rPr>
      </w:pPr>
    </w:p>
    <w:p w14:paraId="67DF9416" w14:textId="25B22691" w:rsidR="00886822" w:rsidRDefault="00886822" w:rsidP="00EC41F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the joint liquidators act as agents of the debtor and as such if the recognition application is granted as prayed, </w:t>
      </w:r>
      <w:r w:rsidR="00993A1C">
        <w:rPr>
          <w:rFonts w:ascii="Avenir Next" w:hAnsi="Avenir Next" w:cs="Arial"/>
          <w:color w:val="808080" w:themeColor="background1" w:themeShade="80"/>
          <w:sz w:val="22"/>
          <w:szCs w:val="22"/>
          <w:lang w:val="en-GB"/>
        </w:rPr>
        <w:t xml:space="preserve">under Article 20, </w:t>
      </w:r>
      <w:r>
        <w:rPr>
          <w:rFonts w:ascii="Avenir Next" w:hAnsi="Avenir Next" w:cs="Arial"/>
          <w:color w:val="808080" w:themeColor="background1" w:themeShade="80"/>
          <w:sz w:val="22"/>
          <w:szCs w:val="22"/>
          <w:lang w:val="en-GB"/>
        </w:rPr>
        <w:t xml:space="preserve">the stay </w:t>
      </w:r>
      <w:r w:rsidR="00997BFF">
        <w:rPr>
          <w:rFonts w:ascii="Avenir Next" w:hAnsi="Avenir Next" w:cs="Arial"/>
          <w:color w:val="808080" w:themeColor="background1" w:themeShade="80"/>
          <w:sz w:val="22"/>
          <w:szCs w:val="22"/>
          <w:lang w:val="en-GB"/>
        </w:rPr>
        <w:t xml:space="preserve">orders that suspend commencement or continuation of action against the debtor, their assets, </w:t>
      </w:r>
      <w:r w:rsidR="00664336">
        <w:rPr>
          <w:rFonts w:ascii="Avenir Next" w:hAnsi="Avenir Next" w:cs="Arial"/>
          <w:color w:val="808080" w:themeColor="background1" w:themeShade="80"/>
          <w:sz w:val="22"/>
          <w:szCs w:val="22"/>
          <w:lang w:val="en-GB"/>
        </w:rPr>
        <w:t>rights,</w:t>
      </w:r>
      <w:r w:rsidR="00997BFF">
        <w:rPr>
          <w:rFonts w:ascii="Avenir Next" w:hAnsi="Avenir Next" w:cs="Arial"/>
          <w:color w:val="808080" w:themeColor="background1" w:themeShade="80"/>
          <w:sz w:val="22"/>
          <w:szCs w:val="22"/>
          <w:lang w:val="en-GB"/>
        </w:rPr>
        <w:t xml:space="preserve"> and obligations may kick in as far as the actions of the joint liquidators relate to </w:t>
      </w:r>
      <w:r w:rsidR="00630082">
        <w:rPr>
          <w:rFonts w:ascii="Avenir Next" w:hAnsi="Avenir Next" w:cs="Arial"/>
          <w:color w:val="808080" w:themeColor="background1" w:themeShade="80"/>
          <w:sz w:val="22"/>
          <w:szCs w:val="22"/>
          <w:lang w:val="en-GB"/>
        </w:rPr>
        <w:t>these aspects</w:t>
      </w:r>
      <w:r w:rsidR="00997BFF">
        <w:rPr>
          <w:rFonts w:ascii="Avenir Next" w:hAnsi="Avenir Next" w:cs="Arial"/>
          <w:color w:val="808080" w:themeColor="background1" w:themeShade="80"/>
          <w:sz w:val="22"/>
          <w:szCs w:val="22"/>
          <w:lang w:val="en-GB"/>
        </w:rPr>
        <w:t xml:space="preserve">. </w:t>
      </w:r>
    </w:p>
    <w:p w14:paraId="13FFB501" w14:textId="77777777" w:rsidR="00F84C05" w:rsidRDefault="00F84C05" w:rsidP="00EC41F4">
      <w:pPr>
        <w:autoSpaceDE w:val="0"/>
        <w:autoSpaceDN w:val="0"/>
        <w:adjustRightInd w:val="0"/>
        <w:jc w:val="both"/>
        <w:rPr>
          <w:rFonts w:ascii="Avenir Next" w:hAnsi="Avenir Next" w:cs="Arial"/>
          <w:color w:val="808080" w:themeColor="background1" w:themeShade="80"/>
          <w:sz w:val="22"/>
          <w:szCs w:val="22"/>
          <w:lang w:val="en-GB"/>
        </w:rPr>
      </w:pPr>
    </w:p>
    <w:p w14:paraId="60906376" w14:textId="3E175713" w:rsidR="00F84C05" w:rsidRDefault="00F84C05" w:rsidP="00EC41F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the </w:t>
      </w:r>
      <w:r w:rsidR="00993A1C">
        <w:rPr>
          <w:rFonts w:ascii="Avenir Next" w:hAnsi="Avenir Next" w:cs="Arial"/>
          <w:color w:val="808080" w:themeColor="background1" w:themeShade="80"/>
          <w:sz w:val="22"/>
          <w:szCs w:val="22"/>
          <w:lang w:val="en-GB"/>
        </w:rPr>
        <w:t xml:space="preserve">reliefs granted under Article 20, the joint liquidators may seek </w:t>
      </w:r>
      <w:r w:rsidR="001A2AAD">
        <w:rPr>
          <w:rFonts w:ascii="Avenir Next" w:hAnsi="Avenir Next" w:cs="Arial"/>
          <w:color w:val="808080" w:themeColor="background1" w:themeShade="80"/>
          <w:sz w:val="22"/>
          <w:szCs w:val="22"/>
          <w:lang w:val="en-GB"/>
        </w:rPr>
        <w:t xml:space="preserve">additional reliefs under the provisions of Article 21 (g) </w:t>
      </w:r>
      <w:r w:rsidR="0025176D">
        <w:rPr>
          <w:rFonts w:ascii="Avenir Next" w:hAnsi="Avenir Next" w:cs="Arial"/>
          <w:color w:val="808080" w:themeColor="background1" w:themeShade="80"/>
          <w:sz w:val="22"/>
          <w:szCs w:val="22"/>
          <w:lang w:val="en-GB"/>
        </w:rPr>
        <w:t xml:space="preserve">to </w:t>
      </w:r>
      <w:r w:rsidR="00BE1CFB">
        <w:rPr>
          <w:rFonts w:ascii="Avenir Next" w:hAnsi="Avenir Next" w:cs="Arial"/>
          <w:color w:val="808080" w:themeColor="background1" w:themeShade="80"/>
          <w:sz w:val="22"/>
          <w:szCs w:val="22"/>
          <w:lang w:val="en-GB"/>
        </w:rPr>
        <w:t xml:space="preserve">suspend the action by the US Based creditors </w:t>
      </w:r>
      <w:r w:rsidR="0025176D">
        <w:rPr>
          <w:rFonts w:ascii="Avenir Next" w:hAnsi="Avenir Next" w:cs="Arial"/>
          <w:color w:val="808080" w:themeColor="background1" w:themeShade="80"/>
          <w:sz w:val="22"/>
          <w:szCs w:val="22"/>
          <w:lang w:val="en-GB"/>
        </w:rPr>
        <w:t xml:space="preserve">citing the likelihood </w:t>
      </w:r>
      <w:r w:rsidR="00BE1CFB">
        <w:rPr>
          <w:rFonts w:ascii="Avenir Next" w:hAnsi="Avenir Next" w:cs="Arial"/>
          <w:color w:val="808080" w:themeColor="background1" w:themeShade="80"/>
          <w:sz w:val="22"/>
          <w:szCs w:val="22"/>
          <w:lang w:val="en-GB"/>
        </w:rPr>
        <w:t xml:space="preserve">of the suit for tortious interference </w:t>
      </w:r>
      <w:r w:rsidR="00AF73FA">
        <w:rPr>
          <w:rFonts w:ascii="Avenir Next" w:hAnsi="Avenir Next" w:cs="Arial"/>
          <w:color w:val="808080" w:themeColor="background1" w:themeShade="80"/>
          <w:sz w:val="22"/>
          <w:szCs w:val="22"/>
          <w:lang w:val="en-GB"/>
        </w:rPr>
        <w:t xml:space="preserve">to adversely affect the outcomes for all other creditors </w:t>
      </w:r>
      <w:r w:rsidR="00E01646">
        <w:rPr>
          <w:rFonts w:ascii="Avenir Next" w:hAnsi="Avenir Next" w:cs="Arial"/>
          <w:color w:val="808080" w:themeColor="background1" w:themeShade="80"/>
          <w:sz w:val="22"/>
          <w:szCs w:val="22"/>
          <w:lang w:val="en-GB"/>
        </w:rPr>
        <w:t xml:space="preserve">as well as the general administration of the estate of the debtor. </w:t>
      </w:r>
    </w:p>
    <w:p w14:paraId="3FCAD526" w14:textId="77777777" w:rsidR="00687502" w:rsidRDefault="00687502" w:rsidP="00EC41F4">
      <w:pPr>
        <w:autoSpaceDE w:val="0"/>
        <w:autoSpaceDN w:val="0"/>
        <w:adjustRightInd w:val="0"/>
        <w:jc w:val="both"/>
        <w:rPr>
          <w:rFonts w:ascii="Avenir Next" w:hAnsi="Avenir Next" w:cs="Arial"/>
          <w:color w:val="808080" w:themeColor="background1" w:themeShade="80"/>
          <w:sz w:val="22"/>
          <w:szCs w:val="22"/>
          <w:lang w:val="en-GB"/>
        </w:rPr>
      </w:pPr>
    </w:p>
    <w:p w14:paraId="770FF28A" w14:textId="1880FAB9" w:rsidR="002C7D22" w:rsidRDefault="00687502" w:rsidP="00687502">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outcome will be dependent on the findings of the US court as regard the jurisdiction of the courts to determine the matter, whether the joint provisional liquidators are covered by the immunity under Article 10 and whether the discovery outcome is likely to be in the interest of the various stakeholders</w:t>
      </w:r>
      <w:r w:rsidR="001A2AAD">
        <w:rPr>
          <w:rFonts w:ascii="Avenir Next" w:hAnsi="Avenir Next" w:cs="Arial"/>
          <w:color w:val="808080" w:themeColor="background1" w:themeShade="80"/>
          <w:sz w:val="22"/>
          <w:szCs w:val="22"/>
          <w:lang w:val="en-GB"/>
        </w:rPr>
        <w:t>, particular</w:t>
      </w:r>
      <w:r w:rsidR="008345C1">
        <w:rPr>
          <w:rFonts w:ascii="Avenir Next" w:hAnsi="Avenir Next" w:cs="Arial"/>
          <w:color w:val="808080" w:themeColor="background1" w:themeShade="80"/>
          <w:sz w:val="22"/>
          <w:szCs w:val="22"/>
          <w:lang w:val="en-GB"/>
        </w:rPr>
        <w:t xml:space="preserve">ly the creditors and the protection of the </w:t>
      </w:r>
      <w:r w:rsidR="001204B9">
        <w:rPr>
          <w:rFonts w:ascii="Avenir Next" w:hAnsi="Avenir Next" w:cs="Arial"/>
          <w:color w:val="808080" w:themeColor="background1" w:themeShade="80"/>
          <w:sz w:val="22"/>
          <w:szCs w:val="22"/>
          <w:lang w:val="en-GB"/>
        </w:rPr>
        <w:t>debtors’</w:t>
      </w:r>
      <w:r w:rsidR="008345C1">
        <w:rPr>
          <w:rFonts w:ascii="Avenir Next" w:hAnsi="Avenir Next" w:cs="Arial"/>
          <w:color w:val="808080" w:themeColor="background1" w:themeShade="80"/>
          <w:sz w:val="22"/>
          <w:szCs w:val="22"/>
          <w:lang w:val="en-GB"/>
        </w:rPr>
        <w:t xml:space="preserve"> assets.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015AFA68" w14:textId="0C3D98B0" w:rsidR="00D04C1B"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lastRenderedPageBreak/>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500EC0">
      <w:pPr>
        <w:jc w:val="both"/>
        <w:rPr>
          <w:rFonts w:ascii="Avenir Next" w:hAnsi="Avenir Next" w:cs="Arial"/>
          <w:sz w:val="22"/>
          <w:szCs w:val="22"/>
          <w:lang w:val="en-GB"/>
        </w:rPr>
      </w:pPr>
    </w:p>
    <w:p w14:paraId="7258C5D0" w14:textId="6EE41742" w:rsidR="007A770F" w:rsidRDefault="00A41D5A"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principle, Section 365 (e) of the US Bankruptcy Code </w:t>
      </w:r>
      <w:r w:rsidR="00E80E9B">
        <w:rPr>
          <w:rFonts w:ascii="Avenir Next" w:hAnsi="Avenir Next" w:cs="Arial"/>
          <w:color w:val="808080" w:themeColor="background1" w:themeShade="80"/>
          <w:sz w:val="22"/>
          <w:szCs w:val="22"/>
          <w:lang w:val="en-GB"/>
        </w:rPr>
        <w:t xml:space="preserve">expressly prohibits terminations </w:t>
      </w:r>
      <w:r w:rsidR="00351152">
        <w:rPr>
          <w:rFonts w:ascii="Avenir Next" w:hAnsi="Avenir Next" w:cs="Arial"/>
          <w:color w:val="808080" w:themeColor="background1" w:themeShade="80"/>
          <w:sz w:val="22"/>
          <w:szCs w:val="22"/>
          <w:lang w:val="en-GB"/>
        </w:rPr>
        <w:t xml:space="preserve">of executory contracts and unexpired leases </w:t>
      </w:r>
      <w:r w:rsidR="00C6738B">
        <w:rPr>
          <w:rFonts w:ascii="Avenir Next" w:hAnsi="Avenir Next" w:cs="Arial"/>
          <w:color w:val="808080" w:themeColor="background1" w:themeShade="80"/>
          <w:sz w:val="22"/>
          <w:szCs w:val="22"/>
          <w:lang w:val="en-GB"/>
        </w:rPr>
        <w:t xml:space="preserve">based on the insolvency of a debtor. The rationale is to </w:t>
      </w:r>
      <w:r w:rsidR="00377AAD">
        <w:rPr>
          <w:rFonts w:ascii="Avenir Next" w:hAnsi="Avenir Next" w:cs="Arial"/>
          <w:color w:val="808080" w:themeColor="background1" w:themeShade="80"/>
          <w:sz w:val="22"/>
          <w:szCs w:val="22"/>
          <w:lang w:val="en-GB"/>
        </w:rPr>
        <w:t>accord all creditors fair treatment</w:t>
      </w:r>
      <w:r w:rsidR="0072474B">
        <w:rPr>
          <w:rFonts w:ascii="Avenir Next" w:hAnsi="Avenir Next" w:cs="Arial"/>
          <w:color w:val="808080" w:themeColor="background1" w:themeShade="80"/>
          <w:sz w:val="22"/>
          <w:szCs w:val="22"/>
          <w:lang w:val="en-GB"/>
        </w:rPr>
        <w:t xml:space="preserve">, </w:t>
      </w:r>
      <w:r w:rsidR="00351152">
        <w:rPr>
          <w:rFonts w:ascii="Avenir Next" w:hAnsi="Avenir Next" w:cs="Arial"/>
          <w:color w:val="808080" w:themeColor="background1" w:themeShade="80"/>
          <w:sz w:val="22"/>
          <w:szCs w:val="22"/>
          <w:lang w:val="en-GB"/>
        </w:rPr>
        <w:t>since there are creditors who may be relying on the</w:t>
      </w:r>
      <w:r w:rsidR="0072474B">
        <w:rPr>
          <w:rFonts w:ascii="Avenir Next" w:hAnsi="Avenir Next" w:cs="Arial"/>
          <w:color w:val="808080" w:themeColor="background1" w:themeShade="80"/>
          <w:sz w:val="22"/>
          <w:szCs w:val="22"/>
          <w:lang w:val="en-GB"/>
        </w:rPr>
        <w:t xml:space="preserve"> ongoing</w:t>
      </w:r>
      <w:r w:rsidR="00351152">
        <w:rPr>
          <w:rFonts w:ascii="Avenir Next" w:hAnsi="Avenir Next" w:cs="Arial"/>
          <w:color w:val="808080" w:themeColor="background1" w:themeShade="80"/>
          <w:sz w:val="22"/>
          <w:szCs w:val="22"/>
          <w:lang w:val="en-GB"/>
        </w:rPr>
        <w:t xml:space="preserve"> leases</w:t>
      </w:r>
      <w:r w:rsidR="0072474B">
        <w:rPr>
          <w:rFonts w:ascii="Avenir Next" w:hAnsi="Avenir Next" w:cs="Arial"/>
          <w:color w:val="808080" w:themeColor="background1" w:themeShade="80"/>
          <w:sz w:val="22"/>
          <w:szCs w:val="22"/>
          <w:lang w:val="en-GB"/>
        </w:rPr>
        <w:t xml:space="preserve"> or contracts,</w:t>
      </w:r>
      <w:r w:rsidR="00377AAD">
        <w:rPr>
          <w:rFonts w:ascii="Avenir Next" w:hAnsi="Avenir Next" w:cs="Arial"/>
          <w:color w:val="808080" w:themeColor="background1" w:themeShade="80"/>
          <w:sz w:val="22"/>
          <w:szCs w:val="22"/>
          <w:lang w:val="en-GB"/>
        </w:rPr>
        <w:t xml:space="preserve"> while allowing the office holders to attempt to rehabilitate the debtor’s financial position. </w:t>
      </w:r>
      <w:r w:rsidR="00CC58CD">
        <w:rPr>
          <w:rFonts w:ascii="Avenir Next" w:hAnsi="Avenir Next" w:cs="Arial"/>
          <w:color w:val="808080" w:themeColor="background1" w:themeShade="80"/>
          <w:sz w:val="22"/>
          <w:szCs w:val="22"/>
          <w:lang w:val="en-GB"/>
        </w:rPr>
        <w:t>The foreign representative should therefore</w:t>
      </w:r>
      <w:r w:rsidR="00A7474C">
        <w:rPr>
          <w:rFonts w:ascii="Avenir Next" w:hAnsi="Avenir Next" w:cs="Arial"/>
          <w:color w:val="808080" w:themeColor="background1" w:themeShade="80"/>
          <w:sz w:val="22"/>
          <w:szCs w:val="22"/>
          <w:lang w:val="en-GB"/>
        </w:rPr>
        <w:t xml:space="preserve">, as part of executing their mandate as office holder, assume the leases and the intellectual property licenses and treat them as assets of the </w:t>
      </w:r>
      <w:r w:rsidR="001205AD">
        <w:rPr>
          <w:rFonts w:ascii="Avenir Next" w:hAnsi="Avenir Next" w:cs="Arial"/>
          <w:color w:val="808080" w:themeColor="background1" w:themeShade="80"/>
          <w:sz w:val="22"/>
          <w:szCs w:val="22"/>
          <w:lang w:val="en-GB"/>
        </w:rPr>
        <w:t>debtor’s</w:t>
      </w:r>
      <w:r w:rsidR="00A7474C">
        <w:rPr>
          <w:rFonts w:ascii="Avenir Next" w:hAnsi="Avenir Next" w:cs="Arial"/>
          <w:color w:val="808080" w:themeColor="background1" w:themeShade="80"/>
          <w:sz w:val="22"/>
          <w:szCs w:val="22"/>
          <w:lang w:val="en-GB"/>
        </w:rPr>
        <w:t xml:space="preserve"> estate</w:t>
      </w:r>
      <w:r w:rsidR="006F10C2">
        <w:rPr>
          <w:rFonts w:ascii="Avenir Next" w:hAnsi="Avenir Next" w:cs="Arial"/>
          <w:color w:val="808080" w:themeColor="background1" w:themeShade="80"/>
          <w:sz w:val="22"/>
          <w:szCs w:val="22"/>
          <w:lang w:val="en-GB"/>
        </w:rPr>
        <w:t xml:space="preserve"> in as far as the law in US allows post recognition. </w:t>
      </w:r>
      <w:r w:rsidR="001205AD">
        <w:rPr>
          <w:rFonts w:ascii="Avenir Next" w:hAnsi="Avenir Next" w:cs="Arial"/>
          <w:color w:val="808080" w:themeColor="background1" w:themeShade="80"/>
          <w:sz w:val="22"/>
          <w:szCs w:val="22"/>
          <w:lang w:val="en-GB"/>
        </w:rPr>
        <w:t xml:space="preserve">However, should the creditors attempt to enforce the ipso facto clauses, the </w:t>
      </w:r>
      <w:r w:rsidR="007A770F">
        <w:rPr>
          <w:rFonts w:ascii="Avenir Next" w:hAnsi="Avenir Next" w:cs="Arial"/>
          <w:color w:val="808080" w:themeColor="background1" w:themeShade="80"/>
          <w:sz w:val="22"/>
          <w:szCs w:val="22"/>
          <w:lang w:val="en-GB"/>
        </w:rPr>
        <w:t xml:space="preserve">foreign representative may consider the options discussed in the subsequent paragraphs. </w:t>
      </w:r>
    </w:p>
    <w:p w14:paraId="4E83A156" w14:textId="77777777" w:rsidR="00797CED" w:rsidRDefault="00797CED" w:rsidP="00500EC0">
      <w:pPr>
        <w:jc w:val="both"/>
        <w:rPr>
          <w:rFonts w:ascii="Avenir Next" w:hAnsi="Avenir Next" w:cs="Arial"/>
          <w:color w:val="808080" w:themeColor="background1" w:themeShade="80"/>
          <w:sz w:val="22"/>
          <w:szCs w:val="22"/>
          <w:lang w:val="en-GB"/>
        </w:rPr>
      </w:pPr>
    </w:p>
    <w:p w14:paraId="443EC176" w14:textId="0DA82B9C" w:rsidR="00D04C1B" w:rsidRDefault="00D04C1B" w:rsidP="00500EC0">
      <w:pPr>
        <w:jc w:val="both"/>
        <w:rPr>
          <w:rFonts w:ascii="Avenir Next" w:hAnsi="Avenir Next" w:cs="Arial"/>
          <w:color w:val="808080" w:themeColor="background1" w:themeShade="80"/>
          <w:sz w:val="22"/>
          <w:szCs w:val="22"/>
          <w:lang w:val="en-GB"/>
        </w:rPr>
      </w:pPr>
      <w:r w:rsidRPr="00D04C1B">
        <w:rPr>
          <w:rFonts w:ascii="Avenir Next" w:hAnsi="Avenir Next" w:cs="Arial"/>
          <w:color w:val="808080" w:themeColor="background1" w:themeShade="80"/>
          <w:sz w:val="22"/>
          <w:szCs w:val="22"/>
          <w:lang w:val="en-GB"/>
        </w:rPr>
        <w:t xml:space="preserve">Since the </w:t>
      </w:r>
      <w:r>
        <w:rPr>
          <w:rFonts w:ascii="Avenir Next" w:hAnsi="Avenir Next" w:cs="Arial"/>
          <w:color w:val="808080" w:themeColor="background1" w:themeShade="80"/>
          <w:sz w:val="22"/>
          <w:szCs w:val="22"/>
          <w:lang w:val="en-GB"/>
        </w:rPr>
        <w:t xml:space="preserve">foreign representative has commenced proceedings in the US for recognition, they can seek </w:t>
      </w:r>
      <w:r w:rsidRPr="00797CED">
        <w:rPr>
          <w:rFonts w:ascii="Avenir Next" w:hAnsi="Avenir Next" w:cs="Arial"/>
          <w:color w:val="808080" w:themeColor="background1" w:themeShade="80"/>
          <w:sz w:val="22"/>
          <w:szCs w:val="22"/>
          <w:lang w:val="en-GB"/>
        </w:rPr>
        <w:t xml:space="preserve">interim relief </w:t>
      </w:r>
      <w:r w:rsidR="00242DD7">
        <w:rPr>
          <w:rFonts w:ascii="Avenir Next" w:hAnsi="Avenir Next" w:cs="Arial"/>
          <w:color w:val="808080" w:themeColor="background1" w:themeShade="80"/>
          <w:sz w:val="22"/>
          <w:szCs w:val="22"/>
          <w:lang w:val="en-GB"/>
        </w:rPr>
        <w:t xml:space="preserve">for the 35 days </w:t>
      </w:r>
      <w:r w:rsidRPr="00797CED">
        <w:rPr>
          <w:rFonts w:ascii="Avenir Next" w:hAnsi="Avenir Next" w:cs="Arial"/>
          <w:color w:val="808080" w:themeColor="background1" w:themeShade="80"/>
          <w:sz w:val="22"/>
          <w:szCs w:val="22"/>
          <w:lang w:val="en-GB"/>
        </w:rPr>
        <w:t>as per Article 19</w:t>
      </w:r>
      <w:r>
        <w:rPr>
          <w:rFonts w:ascii="Avenir Next" w:hAnsi="Avenir Next" w:cs="Arial"/>
          <w:color w:val="808080" w:themeColor="background1" w:themeShade="80"/>
          <w:sz w:val="22"/>
          <w:szCs w:val="22"/>
          <w:lang w:val="en-GB"/>
        </w:rPr>
        <w:t xml:space="preserve"> pending the determination of the recognition applicatio</w:t>
      </w:r>
      <w:r w:rsidR="003D28DC">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w:t>
      </w:r>
      <w:r w:rsidR="00C05A77">
        <w:rPr>
          <w:rFonts w:ascii="Avenir Next" w:hAnsi="Avenir Next" w:cs="Arial"/>
          <w:color w:val="808080" w:themeColor="background1" w:themeShade="80"/>
          <w:sz w:val="22"/>
          <w:szCs w:val="22"/>
          <w:lang w:val="en-GB"/>
        </w:rPr>
        <w:t xml:space="preserve">The interim relief to be sought should be </w:t>
      </w:r>
      <w:r w:rsidR="00C46B80">
        <w:rPr>
          <w:rFonts w:ascii="Avenir Next" w:hAnsi="Avenir Next" w:cs="Arial"/>
          <w:color w:val="808080" w:themeColor="background1" w:themeShade="80"/>
          <w:sz w:val="22"/>
          <w:szCs w:val="22"/>
          <w:lang w:val="en-GB"/>
        </w:rPr>
        <w:t xml:space="preserve">at the discretion of the court </w:t>
      </w:r>
      <w:r w:rsidR="00345567">
        <w:rPr>
          <w:rFonts w:ascii="Avenir Next" w:hAnsi="Avenir Next" w:cs="Arial"/>
          <w:color w:val="808080" w:themeColor="background1" w:themeShade="80"/>
          <w:sz w:val="22"/>
          <w:szCs w:val="22"/>
          <w:lang w:val="en-GB"/>
        </w:rPr>
        <w:t xml:space="preserve">and should relate to the </w:t>
      </w:r>
      <w:r w:rsidR="00273A13" w:rsidRPr="00797CED">
        <w:rPr>
          <w:rFonts w:ascii="Avenir Next" w:hAnsi="Avenir Next" w:cs="Arial"/>
          <w:color w:val="808080" w:themeColor="background1" w:themeShade="80"/>
          <w:sz w:val="22"/>
          <w:szCs w:val="22"/>
          <w:lang w:val="en-GB"/>
        </w:rPr>
        <w:t>suspension of the right to encumber or otherwise deal with the assets of the debtor</w:t>
      </w:r>
      <w:r w:rsidR="00E0444C">
        <w:rPr>
          <w:rFonts w:ascii="Avenir Next" w:hAnsi="Avenir Next" w:cs="Arial"/>
          <w:color w:val="808080" w:themeColor="background1" w:themeShade="80"/>
          <w:sz w:val="22"/>
          <w:szCs w:val="22"/>
          <w:lang w:val="en-GB"/>
        </w:rPr>
        <w:t xml:space="preserve"> </w:t>
      </w:r>
      <w:r w:rsidR="001541AC">
        <w:rPr>
          <w:rFonts w:ascii="Avenir Next" w:hAnsi="Avenir Next" w:cs="Arial"/>
          <w:color w:val="808080" w:themeColor="background1" w:themeShade="80"/>
          <w:sz w:val="22"/>
          <w:szCs w:val="22"/>
          <w:lang w:val="en-GB"/>
        </w:rPr>
        <w:t>to</w:t>
      </w:r>
      <w:r w:rsidR="009C7825">
        <w:rPr>
          <w:rFonts w:ascii="Avenir Next" w:hAnsi="Avenir Next" w:cs="Arial"/>
          <w:color w:val="808080" w:themeColor="background1" w:themeShade="80"/>
          <w:sz w:val="22"/>
          <w:szCs w:val="22"/>
          <w:lang w:val="en-GB"/>
        </w:rPr>
        <w:t xml:space="preserve"> bar the creditors from enforcing the ipso facto clauses</w:t>
      </w:r>
      <w:r w:rsidR="000F4BFE">
        <w:rPr>
          <w:rFonts w:ascii="Avenir Next" w:hAnsi="Avenir Next" w:cs="Arial"/>
          <w:color w:val="808080" w:themeColor="background1" w:themeShade="80"/>
          <w:sz w:val="22"/>
          <w:szCs w:val="22"/>
          <w:lang w:val="en-GB"/>
        </w:rPr>
        <w:t xml:space="preserve">. </w:t>
      </w:r>
      <w:r w:rsidR="007E7C41">
        <w:rPr>
          <w:rFonts w:ascii="Avenir Next" w:hAnsi="Avenir Next" w:cs="Arial"/>
          <w:color w:val="808080" w:themeColor="background1" w:themeShade="80"/>
          <w:sz w:val="22"/>
          <w:szCs w:val="22"/>
          <w:lang w:val="en-GB"/>
        </w:rPr>
        <w:t>This would</w:t>
      </w:r>
      <w:r w:rsidR="00604854">
        <w:rPr>
          <w:rFonts w:ascii="Avenir Next" w:hAnsi="Avenir Next" w:cs="Arial"/>
          <w:color w:val="808080" w:themeColor="background1" w:themeShade="80"/>
          <w:sz w:val="22"/>
          <w:szCs w:val="22"/>
          <w:lang w:val="en-GB"/>
        </w:rPr>
        <w:t xml:space="preserve"> create a protection around the leases and intellectual property assets </w:t>
      </w:r>
      <w:r w:rsidR="00B84808">
        <w:rPr>
          <w:rFonts w:ascii="Avenir Next" w:hAnsi="Avenir Next" w:cs="Arial"/>
          <w:color w:val="808080" w:themeColor="background1" w:themeShade="80"/>
          <w:sz w:val="22"/>
          <w:szCs w:val="22"/>
          <w:lang w:val="en-GB"/>
        </w:rPr>
        <w:t>of the debtor</w:t>
      </w:r>
      <w:r w:rsidR="00EB13DC">
        <w:rPr>
          <w:rFonts w:ascii="Avenir Next" w:hAnsi="Avenir Next" w:cs="Arial"/>
          <w:color w:val="808080" w:themeColor="background1" w:themeShade="80"/>
          <w:sz w:val="22"/>
          <w:szCs w:val="22"/>
          <w:lang w:val="en-GB"/>
        </w:rPr>
        <w:t xml:space="preserve"> against any pre-emptive action</w:t>
      </w:r>
      <w:r w:rsidR="00B84808">
        <w:rPr>
          <w:rFonts w:ascii="Avenir Next" w:hAnsi="Avenir Next" w:cs="Arial"/>
          <w:color w:val="808080" w:themeColor="background1" w:themeShade="80"/>
          <w:sz w:val="22"/>
          <w:szCs w:val="22"/>
          <w:lang w:val="en-GB"/>
        </w:rPr>
        <w:t xml:space="preserve">. </w:t>
      </w:r>
    </w:p>
    <w:p w14:paraId="02264A7F" w14:textId="77777777" w:rsidR="00797CED" w:rsidRDefault="00797CED" w:rsidP="00500EC0">
      <w:pPr>
        <w:jc w:val="both"/>
        <w:rPr>
          <w:rFonts w:ascii="Avenir Next" w:hAnsi="Avenir Next" w:cs="Arial"/>
          <w:color w:val="808080" w:themeColor="background1" w:themeShade="80"/>
          <w:sz w:val="22"/>
          <w:szCs w:val="22"/>
          <w:lang w:val="en-GB"/>
        </w:rPr>
      </w:pPr>
    </w:p>
    <w:p w14:paraId="75494A7E" w14:textId="74C34476" w:rsidR="00D061B9" w:rsidRDefault="008522F2"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the restructuring proceedings are recognised as such</w:t>
      </w:r>
      <w:r w:rsidR="00B544E9">
        <w:rPr>
          <w:rFonts w:ascii="Avenir Next" w:hAnsi="Avenir Next" w:cs="Arial"/>
          <w:color w:val="808080" w:themeColor="background1" w:themeShade="80"/>
          <w:sz w:val="22"/>
          <w:szCs w:val="22"/>
          <w:lang w:val="en-GB"/>
        </w:rPr>
        <w:t>,</w:t>
      </w:r>
      <w:r w:rsidR="008F6805">
        <w:rPr>
          <w:rFonts w:ascii="Avenir Next" w:hAnsi="Avenir Next" w:cs="Arial"/>
          <w:color w:val="808080" w:themeColor="background1" w:themeShade="80"/>
          <w:sz w:val="22"/>
          <w:szCs w:val="22"/>
          <w:lang w:val="en-GB"/>
        </w:rPr>
        <w:t xml:space="preserve"> the </w:t>
      </w:r>
      <w:r w:rsidR="008F6805" w:rsidRPr="00797CED">
        <w:rPr>
          <w:rFonts w:ascii="Avenir Next" w:hAnsi="Avenir Next" w:cs="Arial"/>
          <w:color w:val="808080" w:themeColor="background1" w:themeShade="80"/>
          <w:sz w:val="22"/>
          <w:szCs w:val="22"/>
          <w:lang w:val="en-GB"/>
        </w:rPr>
        <w:t>automatic relief available under Article 20 of the MLCBI will apply</w:t>
      </w:r>
      <w:r w:rsidR="0072158B">
        <w:rPr>
          <w:rFonts w:ascii="Avenir Next" w:hAnsi="Avenir Next" w:cs="Arial"/>
          <w:color w:val="808080" w:themeColor="background1" w:themeShade="80"/>
          <w:sz w:val="22"/>
          <w:szCs w:val="22"/>
          <w:lang w:val="en-GB"/>
        </w:rPr>
        <w:t>.</w:t>
      </w:r>
      <w:r w:rsidR="00BD67A7">
        <w:rPr>
          <w:rFonts w:ascii="Avenir Next" w:hAnsi="Avenir Next" w:cs="Arial"/>
          <w:color w:val="808080" w:themeColor="background1" w:themeShade="80"/>
          <w:sz w:val="22"/>
          <w:szCs w:val="22"/>
          <w:lang w:val="en-GB"/>
        </w:rPr>
        <w:t xml:space="preserve"> </w:t>
      </w:r>
      <w:r w:rsidR="0072158B">
        <w:rPr>
          <w:rFonts w:ascii="Avenir Next" w:hAnsi="Avenir Next" w:cs="Arial"/>
          <w:color w:val="808080" w:themeColor="background1" w:themeShade="80"/>
          <w:sz w:val="22"/>
          <w:szCs w:val="22"/>
          <w:lang w:val="en-GB"/>
        </w:rPr>
        <w:t>T</w:t>
      </w:r>
      <w:r w:rsidR="00B544E9">
        <w:rPr>
          <w:rFonts w:ascii="Avenir Next" w:hAnsi="Avenir Next" w:cs="Arial"/>
          <w:color w:val="808080" w:themeColor="background1" w:themeShade="80"/>
          <w:sz w:val="22"/>
          <w:szCs w:val="22"/>
          <w:lang w:val="en-GB"/>
        </w:rPr>
        <w:t xml:space="preserve">he </w:t>
      </w:r>
      <w:r w:rsidR="002A1BD1">
        <w:rPr>
          <w:rFonts w:ascii="Avenir Next" w:hAnsi="Avenir Next" w:cs="Arial"/>
          <w:color w:val="808080" w:themeColor="background1" w:themeShade="80"/>
          <w:sz w:val="22"/>
          <w:szCs w:val="22"/>
          <w:lang w:val="en-GB"/>
        </w:rPr>
        <w:t xml:space="preserve">US court may grant relief </w:t>
      </w:r>
      <w:r w:rsidR="00F020FC">
        <w:rPr>
          <w:rFonts w:ascii="Avenir Next" w:hAnsi="Avenir Next" w:cs="Arial"/>
          <w:color w:val="808080" w:themeColor="background1" w:themeShade="80"/>
          <w:sz w:val="22"/>
          <w:szCs w:val="22"/>
          <w:lang w:val="en-GB"/>
        </w:rPr>
        <w:t>including</w:t>
      </w:r>
      <w:r w:rsidR="00195480">
        <w:rPr>
          <w:rFonts w:ascii="Avenir Next" w:hAnsi="Avenir Next" w:cs="Arial"/>
          <w:color w:val="808080" w:themeColor="background1" w:themeShade="80"/>
          <w:sz w:val="22"/>
          <w:szCs w:val="22"/>
          <w:lang w:val="en-GB"/>
        </w:rPr>
        <w:t xml:space="preserve"> the stay of actions and legal proceedings</w:t>
      </w:r>
      <w:r w:rsidR="008B387A">
        <w:rPr>
          <w:rFonts w:ascii="Avenir Next" w:hAnsi="Avenir Next" w:cs="Arial"/>
          <w:color w:val="808080" w:themeColor="background1" w:themeShade="80"/>
          <w:sz w:val="22"/>
          <w:szCs w:val="22"/>
          <w:lang w:val="en-GB"/>
        </w:rPr>
        <w:t xml:space="preserve"> and</w:t>
      </w:r>
      <w:r w:rsidR="00F020FC">
        <w:rPr>
          <w:rFonts w:ascii="Avenir Next" w:hAnsi="Avenir Next" w:cs="Arial"/>
          <w:color w:val="808080" w:themeColor="background1" w:themeShade="80"/>
          <w:sz w:val="22"/>
          <w:szCs w:val="22"/>
          <w:lang w:val="en-GB"/>
        </w:rPr>
        <w:t xml:space="preserve"> entrusting the </w:t>
      </w:r>
      <w:r w:rsidR="00F020FC" w:rsidRPr="00797CED">
        <w:rPr>
          <w:rFonts w:ascii="Avenir Next" w:hAnsi="Avenir Next" w:cs="Arial"/>
          <w:color w:val="808080" w:themeColor="background1" w:themeShade="80"/>
          <w:sz w:val="22"/>
          <w:szCs w:val="22"/>
          <w:lang w:val="en-GB"/>
        </w:rPr>
        <w:t xml:space="preserve">administration </w:t>
      </w:r>
      <w:r w:rsidR="005A497F" w:rsidRPr="00797CED">
        <w:rPr>
          <w:rFonts w:ascii="Avenir Next" w:hAnsi="Avenir Next" w:cs="Arial"/>
          <w:color w:val="808080" w:themeColor="background1" w:themeShade="80"/>
          <w:sz w:val="22"/>
          <w:szCs w:val="22"/>
          <w:lang w:val="en-GB"/>
        </w:rPr>
        <w:t xml:space="preserve">and realisation of </w:t>
      </w:r>
      <w:r w:rsidR="008459D1" w:rsidRPr="00797CED">
        <w:rPr>
          <w:rFonts w:ascii="Avenir Next" w:hAnsi="Avenir Next" w:cs="Arial"/>
          <w:color w:val="808080" w:themeColor="background1" w:themeShade="80"/>
          <w:sz w:val="22"/>
          <w:szCs w:val="22"/>
          <w:lang w:val="en-GB"/>
        </w:rPr>
        <w:t>debtors’</w:t>
      </w:r>
      <w:r w:rsidR="005A497F" w:rsidRPr="00797CED">
        <w:rPr>
          <w:rFonts w:ascii="Avenir Next" w:hAnsi="Avenir Next" w:cs="Arial"/>
          <w:color w:val="808080" w:themeColor="background1" w:themeShade="80"/>
          <w:sz w:val="22"/>
          <w:szCs w:val="22"/>
          <w:lang w:val="en-GB"/>
        </w:rPr>
        <w:t xml:space="preserve"> assets</w:t>
      </w:r>
      <w:r w:rsidR="005A497F">
        <w:rPr>
          <w:rFonts w:ascii="Avenir Next" w:hAnsi="Avenir Next" w:cs="Arial"/>
          <w:color w:val="808080" w:themeColor="background1" w:themeShade="80"/>
          <w:sz w:val="22"/>
          <w:szCs w:val="22"/>
          <w:lang w:val="en-GB"/>
        </w:rPr>
        <w:t xml:space="preserve"> to the foreign representative as envisioned under Article 21. </w:t>
      </w:r>
      <w:r w:rsidR="001E5DDC">
        <w:rPr>
          <w:rFonts w:ascii="Avenir Next" w:hAnsi="Avenir Next" w:cs="Arial"/>
          <w:color w:val="808080" w:themeColor="background1" w:themeShade="80"/>
          <w:sz w:val="22"/>
          <w:szCs w:val="22"/>
          <w:lang w:val="en-GB"/>
        </w:rPr>
        <w:t xml:space="preserve">The courts further have the power to hand over all the assets of the debtor in US to </w:t>
      </w:r>
      <w:r w:rsidR="00C0297C">
        <w:rPr>
          <w:rFonts w:ascii="Avenir Next" w:hAnsi="Avenir Next" w:cs="Arial"/>
          <w:color w:val="808080" w:themeColor="background1" w:themeShade="80"/>
          <w:sz w:val="22"/>
          <w:szCs w:val="22"/>
          <w:lang w:val="en-GB"/>
        </w:rPr>
        <w:t>the foreign representative provided the interests of all local creditors are protected. The foreign rep</w:t>
      </w:r>
      <w:r w:rsidR="00810CF5">
        <w:rPr>
          <w:rFonts w:ascii="Avenir Next" w:hAnsi="Avenir Next" w:cs="Arial"/>
          <w:color w:val="808080" w:themeColor="background1" w:themeShade="80"/>
          <w:sz w:val="22"/>
          <w:szCs w:val="22"/>
          <w:lang w:val="en-GB"/>
        </w:rPr>
        <w:t>resentative</w:t>
      </w:r>
      <w:r w:rsidR="00C0297C">
        <w:rPr>
          <w:rFonts w:ascii="Avenir Next" w:hAnsi="Avenir Next" w:cs="Arial"/>
          <w:color w:val="808080" w:themeColor="background1" w:themeShade="80"/>
          <w:sz w:val="22"/>
          <w:szCs w:val="22"/>
          <w:lang w:val="en-GB"/>
        </w:rPr>
        <w:t xml:space="preserve"> will therefore have to show that the restructuring plan </w:t>
      </w:r>
      <w:r w:rsidR="006E72A3">
        <w:rPr>
          <w:rFonts w:ascii="Avenir Next" w:hAnsi="Avenir Next" w:cs="Arial"/>
          <w:color w:val="808080" w:themeColor="background1" w:themeShade="80"/>
          <w:sz w:val="22"/>
          <w:szCs w:val="22"/>
          <w:lang w:val="en-GB"/>
        </w:rPr>
        <w:t>will achieve a better outcome for all creditors</w:t>
      </w:r>
      <w:r w:rsidR="00D061B9">
        <w:rPr>
          <w:rFonts w:ascii="Avenir Next" w:hAnsi="Avenir Next" w:cs="Arial"/>
          <w:color w:val="808080" w:themeColor="background1" w:themeShade="80"/>
          <w:sz w:val="22"/>
          <w:szCs w:val="22"/>
          <w:lang w:val="en-GB"/>
        </w:rPr>
        <w:t xml:space="preserve"> if all the assets are placed under their control</w:t>
      </w:r>
      <w:r w:rsidR="008B387A">
        <w:rPr>
          <w:rFonts w:ascii="Avenir Next" w:hAnsi="Avenir Next" w:cs="Arial"/>
          <w:color w:val="808080" w:themeColor="background1" w:themeShade="80"/>
          <w:sz w:val="22"/>
          <w:szCs w:val="22"/>
          <w:lang w:val="en-GB"/>
        </w:rPr>
        <w:t xml:space="preserve"> and </w:t>
      </w:r>
      <w:r w:rsidR="00877CF9">
        <w:rPr>
          <w:rFonts w:ascii="Avenir Next" w:hAnsi="Avenir Next" w:cs="Arial"/>
          <w:color w:val="808080" w:themeColor="background1" w:themeShade="80"/>
          <w:sz w:val="22"/>
          <w:szCs w:val="22"/>
          <w:lang w:val="en-GB"/>
        </w:rPr>
        <w:t xml:space="preserve">enforce the reliefs granted to prevent any attempts by the US creditors to enforce the ipso </w:t>
      </w:r>
      <w:r w:rsidR="00273D3F">
        <w:rPr>
          <w:rFonts w:ascii="Avenir Next" w:hAnsi="Avenir Next" w:cs="Arial"/>
          <w:color w:val="808080" w:themeColor="background1" w:themeShade="80"/>
          <w:sz w:val="22"/>
          <w:szCs w:val="22"/>
          <w:lang w:val="en-GB"/>
        </w:rPr>
        <w:t xml:space="preserve">facto clauses. </w:t>
      </w:r>
    </w:p>
    <w:p w14:paraId="0883DB62" w14:textId="77777777" w:rsidR="00D04153" w:rsidRDefault="00D04153" w:rsidP="00500EC0">
      <w:pPr>
        <w:jc w:val="both"/>
        <w:rPr>
          <w:rFonts w:ascii="Avenir Next" w:hAnsi="Avenir Next" w:cs="Arial"/>
          <w:color w:val="808080" w:themeColor="background1" w:themeShade="80"/>
          <w:sz w:val="22"/>
          <w:szCs w:val="22"/>
          <w:lang w:val="en-GB"/>
        </w:rPr>
      </w:pPr>
    </w:p>
    <w:p w14:paraId="736909BC" w14:textId="2D9205EB" w:rsidR="00D04153" w:rsidRDefault="009F72F6"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a practical perspective, the foreign representative may also consider</w:t>
      </w:r>
      <w:r w:rsidR="009D4DE8">
        <w:rPr>
          <w:rFonts w:ascii="Avenir Next" w:hAnsi="Avenir Next" w:cs="Arial"/>
          <w:color w:val="808080" w:themeColor="background1" w:themeShade="80"/>
          <w:sz w:val="22"/>
          <w:szCs w:val="22"/>
          <w:lang w:val="en-GB"/>
        </w:rPr>
        <w:t xml:space="preserve"> engaging US based legal counsel in line with the principles of cooperation in the MLCBI to facilitate negotiations </w:t>
      </w:r>
      <w:r w:rsidR="003429E5">
        <w:rPr>
          <w:rFonts w:ascii="Avenir Next" w:hAnsi="Avenir Next" w:cs="Arial"/>
          <w:color w:val="808080" w:themeColor="background1" w:themeShade="80"/>
          <w:sz w:val="22"/>
          <w:szCs w:val="22"/>
          <w:lang w:val="en-GB"/>
        </w:rPr>
        <w:t xml:space="preserve">with the creditors whose contracts have ipso facto clauses. This may result into the foreign representative entering into agreements with the </w:t>
      </w:r>
      <w:r w:rsidR="0099722E">
        <w:rPr>
          <w:rFonts w:ascii="Avenir Next" w:hAnsi="Avenir Next" w:cs="Arial"/>
          <w:color w:val="808080" w:themeColor="background1" w:themeShade="80"/>
          <w:sz w:val="22"/>
          <w:szCs w:val="22"/>
          <w:lang w:val="en-GB"/>
        </w:rPr>
        <w:t>creditors to maintain the use of the assets</w:t>
      </w:r>
      <w:r w:rsidR="00CE5C77">
        <w:rPr>
          <w:rFonts w:ascii="Avenir Next" w:hAnsi="Avenir Next" w:cs="Arial"/>
          <w:color w:val="808080" w:themeColor="background1" w:themeShade="80"/>
          <w:sz w:val="22"/>
          <w:szCs w:val="22"/>
          <w:lang w:val="en-GB"/>
        </w:rPr>
        <w:t xml:space="preserve"> towards achieving a better outcome for all creditors. </w:t>
      </w:r>
      <w:r w:rsidR="000F6E7F">
        <w:rPr>
          <w:rFonts w:ascii="Avenir Next" w:hAnsi="Avenir Next" w:cs="Arial"/>
          <w:color w:val="808080" w:themeColor="background1" w:themeShade="80"/>
          <w:sz w:val="22"/>
          <w:szCs w:val="22"/>
          <w:lang w:val="en-GB"/>
        </w:rPr>
        <w:t xml:space="preserve"> </w:t>
      </w:r>
    </w:p>
    <w:p w14:paraId="23092194" w14:textId="77777777" w:rsidR="003C3DAA" w:rsidRDefault="003C3DAA" w:rsidP="00500EC0">
      <w:pPr>
        <w:jc w:val="both"/>
        <w:rPr>
          <w:rFonts w:ascii="Avenir Next" w:hAnsi="Avenir Next" w:cs="Arial"/>
          <w:color w:val="808080" w:themeColor="background1" w:themeShade="80"/>
          <w:sz w:val="22"/>
          <w:szCs w:val="22"/>
          <w:lang w:val="en-GB"/>
        </w:rPr>
      </w:pPr>
    </w:p>
    <w:p w14:paraId="03031E73" w14:textId="304ACD59" w:rsidR="003C3DAA" w:rsidRDefault="003C3DAA"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the position of the US law on bankruptcy triggered terminations </w:t>
      </w:r>
      <w:r w:rsidR="002C4E4A">
        <w:rPr>
          <w:rFonts w:ascii="Avenir Next" w:hAnsi="Avenir Next" w:cs="Arial"/>
          <w:color w:val="808080" w:themeColor="background1" w:themeShade="80"/>
          <w:sz w:val="22"/>
          <w:szCs w:val="22"/>
          <w:lang w:val="en-GB"/>
        </w:rPr>
        <w:t xml:space="preserve">provides a safeguard that allows the foreign representatives to reap the benefits of </w:t>
      </w:r>
      <w:r w:rsidR="001E2C74">
        <w:rPr>
          <w:rFonts w:ascii="Avenir Next" w:hAnsi="Avenir Next" w:cs="Arial"/>
          <w:color w:val="808080" w:themeColor="background1" w:themeShade="80"/>
          <w:sz w:val="22"/>
          <w:szCs w:val="22"/>
          <w:lang w:val="en-GB"/>
        </w:rPr>
        <w:t xml:space="preserve">executory contracts and unexpired leases while administering the estate of the insolvent debtor. </w:t>
      </w:r>
    </w:p>
    <w:p w14:paraId="78EB80B5" w14:textId="3AE68444" w:rsidR="001E5DDC" w:rsidRDefault="001E5DDC" w:rsidP="00D04C1B">
      <w:pPr>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4E04543F" w14:textId="782CAF3E" w:rsidR="004F29C1" w:rsidRDefault="004F29C1" w:rsidP="000077DD">
      <w:pPr>
        <w:jc w:val="both"/>
        <w:rPr>
          <w:rFonts w:ascii="Avenir Next" w:hAnsi="Avenir Next" w:cs="Arial"/>
          <w:sz w:val="22"/>
          <w:szCs w:val="22"/>
          <w:lang w:val="en-GB"/>
        </w:rPr>
      </w:pPr>
    </w:p>
    <w:p w14:paraId="6E18E911" w14:textId="21413107" w:rsidR="00766800" w:rsidRDefault="00215C89" w:rsidP="00500EC0">
      <w:pPr>
        <w:jc w:val="both"/>
        <w:rPr>
          <w:rFonts w:ascii="Avenir Next" w:hAnsi="Avenir Next" w:cs="Arial"/>
          <w:color w:val="808080" w:themeColor="background1" w:themeShade="80"/>
          <w:sz w:val="22"/>
          <w:szCs w:val="22"/>
          <w:lang w:val="en-GB"/>
        </w:rPr>
      </w:pPr>
      <w:r w:rsidRPr="00300914">
        <w:rPr>
          <w:rFonts w:ascii="Avenir Next" w:hAnsi="Avenir Next" w:cs="Arial"/>
          <w:color w:val="808080" w:themeColor="background1" w:themeShade="80"/>
          <w:sz w:val="22"/>
          <w:szCs w:val="22"/>
          <w:lang w:val="en-GB"/>
        </w:rPr>
        <w:lastRenderedPageBreak/>
        <w:t>F</w:t>
      </w:r>
      <w:r w:rsidR="00B4440A" w:rsidRPr="00300914">
        <w:rPr>
          <w:rFonts w:ascii="Avenir Next" w:hAnsi="Avenir Next" w:cs="Arial"/>
          <w:color w:val="808080" w:themeColor="background1" w:themeShade="80"/>
          <w:sz w:val="22"/>
          <w:szCs w:val="22"/>
          <w:lang w:val="en-GB"/>
        </w:rPr>
        <w:t xml:space="preserve">rom the onset, prior to filing the recognition proceedings, the foreign representative should </w:t>
      </w:r>
      <w:r w:rsidR="009B42F7" w:rsidRPr="00300914">
        <w:rPr>
          <w:rFonts w:ascii="Avenir Next" w:hAnsi="Avenir Next" w:cs="Arial"/>
          <w:color w:val="808080" w:themeColor="background1" w:themeShade="80"/>
          <w:sz w:val="22"/>
          <w:szCs w:val="22"/>
          <w:lang w:val="en-GB"/>
        </w:rPr>
        <w:t xml:space="preserve">examine the business and affairs of the debtor to determine whether </w:t>
      </w:r>
      <w:r w:rsidR="00FE0F4E" w:rsidRPr="00300914">
        <w:rPr>
          <w:rFonts w:ascii="Avenir Next" w:hAnsi="Avenir Next" w:cs="Arial"/>
          <w:color w:val="808080" w:themeColor="background1" w:themeShade="80"/>
          <w:sz w:val="22"/>
          <w:szCs w:val="22"/>
          <w:lang w:val="en-GB"/>
        </w:rPr>
        <w:t>Country A would qualify as a Centre of Main Interest</w:t>
      </w:r>
      <w:r w:rsidR="00300914" w:rsidRPr="00300914">
        <w:rPr>
          <w:rFonts w:ascii="Avenir Next" w:hAnsi="Avenir Next" w:cs="Arial"/>
          <w:color w:val="808080" w:themeColor="background1" w:themeShade="80"/>
          <w:sz w:val="22"/>
          <w:szCs w:val="22"/>
          <w:lang w:val="en-GB"/>
        </w:rPr>
        <w:t xml:space="preserve">s (COMI) </w:t>
      </w:r>
      <w:r w:rsidR="00FE0F4E" w:rsidRPr="00300914">
        <w:rPr>
          <w:rFonts w:ascii="Avenir Next" w:hAnsi="Avenir Next" w:cs="Arial"/>
          <w:color w:val="808080" w:themeColor="background1" w:themeShade="80"/>
          <w:sz w:val="22"/>
          <w:szCs w:val="22"/>
          <w:lang w:val="en-GB"/>
        </w:rPr>
        <w:t xml:space="preserve">of the debtor. This analysis should consider </w:t>
      </w:r>
      <w:r w:rsidR="00FA3EA4" w:rsidRPr="00300914">
        <w:rPr>
          <w:rFonts w:ascii="Avenir Next" w:hAnsi="Avenir Next" w:cs="Arial"/>
          <w:color w:val="808080" w:themeColor="background1" w:themeShade="80"/>
          <w:sz w:val="22"/>
          <w:szCs w:val="22"/>
          <w:lang w:val="en-GB"/>
        </w:rPr>
        <w:t xml:space="preserve">the </w:t>
      </w:r>
      <w:r w:rsidR="00300914" w:rsidRPr="00300914">
        <w:rPr>
          <w:rFonts w:ascii="Avenir Next" w:hAnsi="Avenir Next" w:cs="Arial"/>
          <w:color w:val="808080" w:themeColor="background1" w:themeShade="80"/>
          <w:sz w:val="22"/>
          <w:szCs w:val="22"/>
          <w:lang w:val="en-GB"/>
        </w:rPr>
        <w:t xml:space="preserve">definition of </w:t>
      </w:r>
      <w:r w:rsidR="00300914">
        <w:rPr>
          <w:rFonts w:ascii="Avenir Next" w:hAnsi="Avenir Next" w:cs="Arial"/>
          <w:color w:val="808080" w:themeColor="background1" w:themeShade="80"/>
          <w:sz w:val="22"/>
          <w:szCs w:val="22"/>
          <w:lang w:val="en-GB"/>
        </w:rPr>
        <w:t>COMI as provided under</w:t>
      </w:r>
      <w:r w:rsidR="000D580C">
        <w:rPr>
          <w:rFonts w:ascii="Avenir Next" w:hAnsi="Avenir Next" w:cs="Arial"/>
          <w:color w:val="808080" w:themeColor="background1" w:themeShade="80"/>
          <w:sz w:val="22"/>
          <w:szCs w:val="22"/>
          <w:lang w:val="en-GB"/>
        </w:rPr>
        <w:t xml:space="preserve"> Para 12(e)</w:t>
      </w:r>
      <w:r w:rsidR="00300914">
        <w:rPr>
          <w:rFonts w:ascii="Avenir Next" w:hAnsi="Avenir Next" w:cs="Arial"/>
          <w:color w:val="808080" w:themeColor="background1" w:themeShade="80"/>
          <w:sz w:val="22"/>
          <w:szCs w:val="22"/>
          <w:lang w:val="en-GB"/>
        </w:rPr>
        <w:t xml:space="preserve"> </w:t>
      </w:r>
      <w:r w:rsidR="000D580C">
        <w:rPr>
          <w:rFonts w:ascii="Avenir Next" w:hAnsi="Avenir Next" w:cs="Arial"/>
          <w:color w:val="808080" w:themeColor="background1" w:themeShade="80"/>
          <w:sz w:val="22"/>
          <w:szCs w:val="22"/>
          <w:lang w:val="en-GB"/>
        </w:rPr>
        <w:t xml:space="preserve">of Article 2 of </w:t>
      </w:r>
      <w:r w:rsidR="00300914">
        <w:rPr>
          <w:rFonts w:ascii="Avenir Next" w:hAnsi="Avenir Next" w:cs="Arial"/>
          <w:color w:val="808080" w:themeColor="background1" w:themeShade="80"/>
          <w:sz w:val="22"/>
          <w:szCs w:val="22"/>
          <w:lang w:val="en-GB"/>
        </w:rPr>
        <w:t xml:space="preserve">the MLCBI i.e., </w:t>
      </w:r>
      <w:r w:rsidR="0031767E">
        <w:rPr>
          <w:rFonts w:ascii="Avenir Next" w:hAnsi="Avenir Next" w:cs="Arial"/>
          <w:color w:val="808080" w:themeColor="background1" w:themeShade="80"/>
          <w:sz w:val="22"/>
          <w:szCs w:val="22"/>
          <w:lang w:val="en-GB"/>
        </w:rPr>
        <w:t>the place where the debtor conducts central administration of its interests on a regular basis and is ascertainable by third partie</w:t>
      </w:r>
      <w:r w:rsidR="008E525E">
        <w:rPr>
          <w:rFonts w:ascii="Avenir Next" w:hAnsi="Avenir Next" w:cs="Arial"/>
          <w:color w:val="808080" w:themeColor="background1" w:themeShade="80"/>
          <w:sz w:val="22"/>
          <w:szCs w:val="22"/>
          <w:lang w:val="en-GB"/>
        </w:rPr>
        <w:t xml:space="preserve">s such as creditors. </w:t>
      </w:r>
      <w:r w:rsidR="00DE7251">
        <w:rPr>
          <w:rFonts w:ascii="Avenir Next" w:hAnsi="Avenir Next" w:cs="Arial"/>
          <w:color w:val="808080" w:themeColor="background1" w:themeShade="80"/>
          <w:sz w:val="22"/>
          <w:szCs w:val="22"/>
          <w:lang w:val="en-GB"/>
        </w:rPr>
        <w:t xml:space="preserve">Based on the facts presented, it may not be sufficient to say that the </w:t>
      </w:r>
      <w:r w:rsidR="00B901CB">
        <w:rPr>
          <w:rFonts w:ascii="Avenir Next" w:hAnsi="Avenir Next" w:cs="Arial"/>
          <w:color w:val="808080" w:themeColor="background1" w:themeShade="80"/>
          <w:sz w:val="22"/>
          <w:szCs w:val="22"/>
          <w:lang w:val="en-GB"/>
        </w:rPr>
        <w:t xml:space="preserve">location of the registered office alone </w:t>
      </w:r>
      <w:r w:rsidR="00720AC9">
        <w:rPr>
          <w:rFonts w:ascii="Avenir Next" w:hAnsi="Avenir Next" w:cs="Arial"/>
          <w:color w:val="808080" w:themeColor="background1" w:themeShade="80"/>
          <w:sz w:val="22"/>
          <w:szCs w:val="22"/>
          <w:lang w:val="en-GB"/>
        </w:rPr>
        <w:t xml:space="preserve">will be conclusive proof of COMI. </w:t>
      </w:r>
      <w:r w:rsidR="00B6265A">
        <w:rPr>
          <w:rFonts w:ascii="Avenir Next" w:hAnsi="Avenir Next" w:cs="Arial"/>
          <w:color w:val="808080" w:themeColor="background1" w:themeShade="80"/>
          <w:sz w:val="22"/>
          <w:szCs w:val="22"/>
          <w:lang w:val="en-GB"/>
        </w:rPr>
        <w:t xml:space="preserve">Additionally, the foreign representative should have also considered all the other affairs of the debtor </w:t>
      </w:r>
      <w:r w:rsidR="001067AA">
        <w:rPr>
          <w:rFonts w:ascii="Avenir Next" w:hAnsi="Avenir Next" w:cs="Arial"/>
          <w:color w:val="808080" w:themeColor="background1" w:themeShade="80"/>
          <w:sz w:val="22"/>
          <w:szCs w:val="22"/>
          <w:lang w:val="en-GB"/>
        </w:rPr>
        <w:t xml:space="preserve">including location </w:t>
      </w:r>
      <w:r w:rsidR="003D0B9B">
        <w:rPr>
          <w:rFonts w:ascii="Avenir Next" w:hAnsi="Avenir Next" w:cs="Arial"/>
          <w:color w:val="808080" w:themeColor="background1" w:themeShade="80"/>
          <w:sz w:val="22"/>
          <w:szCs w:val="22"/>
          <w:lang w:val="en-GB"/>
        </w:rPr>
        <w:t>where financing was organised and authorised, location of books and records</w:t>
      </w:r>
      <w:r w:rsidR="00F14CA7">
        <w:rPr>
          <w:rFonts w:ascii="Avenir Next" w:hAnsi="Avenir Next" w:cs="Arial"/>
          <w:color w:val="808080" w:themeColor="background1" w:themeShade="80"/>
          <w:sz w:val="22"/>
          <w:szCs w:val="22"/>
          <w:lang w:val="en-GB"/>
        </w:rPr>
        <w:t>, primary bank</w:t>
      </w:r>
      <w:r w:rsidR="007B6AD5">
        <w:rPr>
          <w:rFonts w:ascii="Avenir Next" w:hAnsi="Avenir Next" w:cs="Arial"/>
          <w:color w:val="808080" w:themeColor="background1" w:themeShade="80"/>
          <w:sz w:val="22"/>
          <w:szCs w:val="22"/>
          <w:lang w:val="en-GB"/>
        </w:rPr>
        <w:t xml:space="preserve"> </w:t>
      </w:r>
      <w:r w:rsidR="00F14CA7">
        <w:rPr>
          <w:rFonts w:ascii="Avenir Next" w:hAnsi="Avenir Next" w:cs="Arial"/>
          <w:color w:val="808080" w:themeColor="background1" w:themeShade="80"/>
          <w:sz w:val="22"/>
          <w:szCs w:val="22"/>
          <w:lang w:val="en-GB"/>
        </w:rPr>
        <w:t xml:space="preserve">of the debtor as well as office operations and address that the debtor’s creditors are aware of. </w:t>
      </w:r>
    </w:p>
    <w:p w14:paraId="6BBF90A3" w14:textId="77777777" w:rsidR="00766800" w:rsidRDefault="00766800" w:rsidP="00500EC0">
      <w:pPr>
        <w:jc w:val="both"/>
        <w:rPr>
          <w:rFonts w:ascii="Avenir Next" w:hAnsi="Avenir Next" w:cs="Arial"/>
          <w:color w:val="808080" w:themeColor="background1" w:themeShade="80"/>
          <w:sz w:val="22"/>
          <w:szCs w:val="22"/>
          <w:lang w:val="en-GB"/>
        </w:rPr>
      </w:pPr>
    </w:p>
    <w:p w14:paraId="39722E84" w14:textId="5A330D75" w:rsidR="00B6265A" w:rsidRDefault="00F14CA7"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outcome of th</w:t>
      </w:r>
      <w:r w:rsidR="00766800">
        <w:rPr>
          <w:rFonts w:ascii="Avenir Next" w:hAnsi="Avenir Next" w:cs="Arial"/>
          <w:color w:val="808080" w:themeColor="background1" w:themeShade="80"/>
          <w:sz w:val="22"/>
          <w:szCs w:val="22"/>
          <w:lang w:val="en-GB"/>
        </w:rPr>
        <w:t>e above</w:t>
      </w:r>
      <w:r>
        <w:rPr>
          <w:rFonts w:ascii="Avenir Next" w:hAnsi="Avenir Next" w:cs="Arial"/>
          <w:color w:val="808080" w:themeColor="background1" w:themeShade="80"/>
          <w:sz w:val="22"/>
          <w:szCs w:val="22"/>
          <w:lang w:val="en-GB"/>
        </w:rPr>
        <w:t xml:space="preserve"> analysis may present a more likely COMI</w:t>
      </w:r>
      <w:r w:rsidR="00766800">
        <w:rPr>
          <w:rFonts w:ascii="Avenir Next" w:hAnsi="Avenir Next" w:cs="Arial"/>
          <w:color w:val="808080" w:themeColor="background1" w:themeShade="80"/>
          <w:sz w:val="22"/>
          <w:szCs w:val="22"/>
          <w:lang w:val="en-GB"/>
        </w:rPr>
        <w:t xml:space="preserve">, where most operations and administration take place. This would then have </w:t>
      </w:r>
      <w:r w:rsidR="00E62590">
        <w:rPr>
          <w:rFonts w:ascii="Avenir Next" w:hAnsi="Avenir Next" w:cs="Arial"/>
          <w:color w:val="808080" w:themeColor="background1" w:themeShade="80"/>
          <w:sz w:val="22"/>
          <w:szCs w:val="22"/>
          <w:lang w:val="en-GB"/>
        </w:rPr>
        <w:t xml:space="preserve">advised on the location of filing of the main </w:t>
      </w:r>
      <w:r w:rsidR="00BC016B">
        <w:rPr>
          <w:rFonts w:ascii="Avenir Next" w:hAnsi="Avenir Next" w:cs="Arial"/>
          <w:color w:val="808080" w:themeColor="background1" w:themeShade="80"/>
          <w:sz w:val="22"/>
          <w:szCs w:val="22"/>
          <w:lang w:val="en-GB"/>
        </w:rPr>
        <w:t>proceeding which</w:t>
      </w:r>
      <w:r w:rsidR="007B6AD5">
        <w:rPr>
          <w:rFonts w:ascii="Avenir Next" w:hAnsi="Avenir Next" w:cs="Arial"/>
          <w:color w:val="808080" w:themeColor="background1" w:themeShade="80"/>
          <w:sz w:val="22"/>
          <w:szCs w:val="22"/>
          <w:lang w:val="en-GB"/>
        </w:rPr>
        <w:t xml:space="preserve"> in turn </w:t>
      </w:r>
      <w:r w:rsidR="00A0133C">
        <w:rPr>
          <w:rFonts w:ascii="Avenir Next" w:hAnsi="Avenir Next" w:cs="Arial"/>
          <w:color w:val="808080" w:themeColor="background1" w:themeShade="80"/>
          <w:sz w:val="22"/>
          <w:szCs w:val="22"/>
          <w:lang w:val="en-GB"/>
        </w:rPr>
        <w:t xml:space="preserve">affects whether the proceedings would be recognised as main proceedings or </w:t>
      </w:r>
      <w:r w:rsidR="008261B8">
        <w:rPr>
          <w:rFonts w:ascii="Avenir Next" w:hAnsi="Avenir Next" w:cs="Arial"/>
          <w:color w:val="808080" w:themeColor="background1" w:themeShade="80"/>
          <w:sz w:val="22"/>
          <w:szCs w:val="22"/>
          <w:lang w:val="en-GB"/>
        </w:rPr>
        <w:t>non-main</w:t>
      </w:r>
      <w:r w:rsidR="00A0133C">
        <w:rPr>
          <w:rFonts w:ascii="Avenir Next" w:hAnsi="Avenir Next" w:cs="Arial"/>
          <w:color w:val="808080" w:themeColor="background1" w:themeShade="80"/>
          <w:sz w:val="22"/>
          <w:szCs w:val="22"/>
          <w:lang w:val="en-GB"/>
        </w:rPr>
        <w:t xml:space="preserve"> proceedings. </w:t>
      </w:r>
    </w:p>
    <w:p w14:paraId="2D4111EF" w14:textId="77777777" w:rsidR="008261B8" w:rsidRDefault="008261B8" w:rsidP="00500EC0">
      <w:pPr>
        <w:jc w:val="both"/>
        <w:rPr>
          <w:rFonts w:ascii="Avenir Next" w:hAnsi="Avenir Next" w:cs="Arial"/>
          <w:color w:val="808080" w:themeColor="background1" w:themeShade="80"/>
          <w:sz w:val="22"/>
          <w:szCs w:val="22"/>
          <w:lang w:val="en-GB"/>
        </w:rPr>
      </w:pPr>
    </w:p>
    <w:p w14:paraId="760F624A" w14:textId="123077DE" w:rsidR="008261B8" w:rsidRDefault="008261B8"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the facts be as they are, the foreign representative may have also benefited from a well drafted petition justifying why the COMI is in country A, the basis of that decision and provided sufficient evidence to convince the court that the only ascertainable COMI of the debtor is </w:t>
      </w:r>
      <w:r w:rsidR="00F141A7">
        <w:rPr>
          <w:rFonts w:ascii="Avenir Next" w:hAnsi="Avenir Next" w:cs="Arial"/>
          <w:color w:val="808080" w:themeColor="background1" w:themeShade="80"/>
          <w:sz w:val="22"/>
          <w:szCs w:val="22"/>
          <w:lang w:val="en-GB"/>
        </w:rPr>
        <w:t>in</w:t>
      </w:r>
      <w:r w:rsidR="00B856D1">
        <w:rPr>
          <w:rFonts w:ascii="Avenir Next" w:hAnsi="Avenir Next" w:cs="Arial"/>
          <w:color w:val="808080" w:themeColor="background1" w:themeShade="80"/>
          <w:sz w:val="22"/>
          <w:szCs w:val="22"/>
          <w:lang w:val="en-GB"/>
        </w:rPr>
        <w:t xml:space="preserve"> country A and thus the proceedings should be recognised as foreign main proceedings. </w:t>
      </w:r>
    </w:p>
    <w:p w14:paraId="264966A0" w14:textId="77777777" w:rsidR="00F141A7" w:rsidRDefault="00F141A7" w:rsidP="00500EC0">
      <w:pPr>
        <w:jc w:val="both"/>
        <w:rPr>
          <w:rFonts w:ascii="Avenir Next" w:hAnsi="Avenir Next" w:cs="Arial"/>
          <w:color w:val="808080" w:themeColor="background1" w:themeShade="80"/>
          <w:sz w:val="22"/>
          <w:szCs w:val="22"/>
          <w:lang w:val="en-GB"/>
        </w:rPr>
      </w:pPr>
    </w:p>
    <w:p w14:paraId="6D46CE96" w14:textId="21DF92CE" w:rsidR="009A0C0B" w:rsidRDefault="009A0C0B"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envisioned in</w:t>
      </w:r>
      <w:r w:rsidR="00BB1001">
        <w:rPr>
          <w:rFonts w:ascii="Avenir Next" w:hAnsi="Avenir Next" w:cs="Arial"/>
          <w:color w:val="808080" w:themeColor="background1" w:themeShade="80"/>
          <w:sz w:val="22"/>
          <w:szCs w:val="22"/>
          <w:lang w:val="en-GB"/>
        </w:rPr>
        <w:t xml:space="preserve"> Article 26 of</w:t>
      </w:r>
      <w:r>
        <w:rPr>
          <w:rFonts w:ascii="Avenir Next" w:hAnsi="Avenir Next" w:cs="Arial"/>
          <w:color w:val="808080" w:themeColor="background1" w:themeShade="80"/>
          <w:sz w:val="22"/>
          <w:szCs w:val="22"/>
          <w:lang w:val="en-GB"/>
        </w:rPr>
        <w:t xml:space="preserve"> the MLCBI, </w:t>
      </w:r>
      <w:r w:rsidR="00AB6E22">
        <w:rPr>
          <w:rFonts w:ascii="Avenir Next" w:hAnsi="Avenir Next" w:cs="Arial"/>
          <w:color w:val="808080" w:themeColor="background1" w:themeShade="80"/>
          <w:sz w:val="22"/>
          <w:szCs w:val="22"/>
          <w:lang w:val="en-GB"/>
        </w:rPr>
        <w:t xml:space="preserve">communication between the foreign representatives and competent courts in foreign jurisdictions is encourage for an efficient management of the insolvent debtor’s assets. The foreign representatives may explore direct communication with the court </w:t>
      </w:r>
      <w:r w:rsidR="008A5280">
        <w:rPr>
          <w:rFonts w:ascii="Avenir Next" w:hAnsi="Avenir Next" w:cs="Arial"/>
          <w:color w:val="808080" w:themeColor="background1" w:themeShade="80"/>
          <w:sz w:val="22"/>
          <w:szCs w:val="22"/>
          <w:lang w:val="en-GB"/>
        </w:rPr>
        <w:t xml:space="preserve">by any means appropriate to the court to bring to the attention of the court the intention to sell assets in country B and elaborate why the assistance of the court would be beneficial to achieve a better outcome for the creditors. </w:t>
      </w:r>
    </w:p>
    <w:p w14:paraId="2E029683" w14:textId="77777777" w:rsidR="00C1146F" w:rsidRDefault="00C1146F" w:rsidP="00500EC0">
      <w:pPr>
        <w:jc w:val="both"/>
        <w:rPr>
          <w:rFonts w:ascii="Avenir Next" w:hAnsi="Avenir Next" w:cs="Arial"/>
          <w:color w:val="808080" w:themeColor="background1" w:themeShade="80"/>
          <w:sz w:val="22"/>
          <w:szCs w:val="22"/>
          <w:lang w:val="en-GB"/>
        </w:rPr>
      </w:pPr>
    </w:p>
    <w:p w14:paraId="48609793" w14:textId="64A877A3" w:rsidR="00F141A7" w:rsidRDefault="00F141A7"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denial </w:t>
      </w:r>
      <w:r w:rsidR="003A3810">
        <w:rPr>
          <w:rFonts w:ascii="Avenir Next" w:hAnsi="Avenir Next" w:cs="Arial"/>
          <w:color w:val="808080" w:themeColor="background1" w:themeShade="80"/>
          <w:sz w:val="22"/>
          <w:szCs w:val="22"/>
          <w:lang w:val="en-GB"/>
        </w:rPr>
        <w:t xml:space="preserve">by the court to recognise the proceeding as a foreign main proceeding, the foreign representative should review the decision of the court to understand the grounds of denial and </w:t>
      </w:r>
      <w:r w:rsidR="00F90BD2">
        <w:rPr>
          <w:rFonts w:ascii="Avenir Next" w:hAnsi="Avenir Next" w:cs="Arial"/>
          <w:color w:val="808080" w:themeColor="background1" w:themeShade="80"/>
          <w:sz w:val="22"/>
          <w:szCs w:val="22"/>
          <w:lang w:val="en-GB"/>
        </w:rPr>
        <w:t xml:space="preserve">determine whether to seek a review from the same court or appeal the decision of the court subject to the procedural laws of country B. </w:t>
      </w:r>
      <w:r w:rsidR="00C53E27">
        <w:rPr>
          <w:rFonts w:ascii="Avenir Next" w:hAnsi="Avenir Next" w:cs="Arial"/>
          <w:color w:val="808080" w:themeColor="background1" w:themeShade="80"/>
          <w:sz w:val="22"/>
          <w:szCs w:val="22"/>
          <w:lang w:val="en-GB"/>
        </w:rPr>
        <w:t>The provisions of Article 17</w:t>
      </w:r>
      <w:r w:rsidR="00330CBB">
        <w:rPr>
          <w:rFonts w:ascii="Avenir Next" w:hAnsi="Avenir Next" w:cs="Arial"/>
          <w:color w:val="808080" w:themeColor="background1" w:themeShade="80"/>
          <w:sz w:val="22"/>
          <w:szCs w:val="22"/>
          <w:lang w:val="en-GB"/>
        </w:rPr>
        <w:t>(4)</w:t>
      </w:r>
      <w:r w:rsidR="00C53E27">
        <w:rPr>
          <w:rFonts w:ascii="Avenir Next" w:hAnsi="Avenir Next" w:cs="Arial"/>
          <w:color w:val="808080" w:themeColor="background1" w:themeShade="80"/>
          <w:sz w:val="22"/>
          <w:szCs w:val="22"/>
          <w:lang w:val="en-GB"/>
        </w:rPr>
        <w:t xml:space="preserve"> allow the court to modify </w:t>
      </w:r>
      <w:r w:rsidR="00AB1D10">
        <w:rPr>
          <w:rFonts w:ascii="Avenir Next" w:hAnsi="Avenir Next" w:cs="Arial"/>
          <w:color w:val="808080" w:themeColor="background1" w:themeShade="80"/>
          <w:sz w:val="22"/>
          <w:szCs w:val="22"/>
          <w:lang w:val="en-GB"/>
        </w:rPr>
        <w:t>a</w:t>
      </w:r>
      <w:r w:rsidR="00C53E27">
        <w:rPr>
          <w:rFonts w:ascii="Avenir Next" w:hAnsi="Avenir Next" w:cs="Arial"/>
          <w:color w:val="808080" w:themeColor="background1" w:themeShade="80"/>
          <w:sz w:val="22"/>
          <w:szCs w:val="22"/>
          <w:lang w:val="en-GB"/>
        </w:rPr>
        <w:t xml:space="preserve"> </w:t>
      </w:r>
      <w:r w:rsidR="00330CBB">
        <w:rPr>
          <w:rFonts w:ascii="Avenir Next" w:hAnsi="Avenir Next" w:cs="Arial"/>
          <w:color w:val="808080" w:themeColor="background1" w:themeShade="80"/>
          <w:sz w:val="22"/>
          <w:szCs w:val="22"/>
          <w:lang w:val="en-GB"/>
        </w:rPr>
        <w:t xml:space="preserve">recognition decision. </w:t>
      </w:r>
      <w:r w:rsidR="00A32A6C">
        <w:rPr>
          <w:rFonts w:ascii="Avenir Next" w:hAnsi="Avenir Next" w:cs="Arial"/>
          <w:color w:val="808080" w:themeColor="background1" w:themeShade="80"/>
          <w:sz w:val="22"/>
          <w:szCs w:val="22"/>
          <w:lang w:val="en-GB"/>
        </w:rPr>
        <w:t>The UNCITRAL Legislative Guide offers rec</w:t>
      </w:r>
      <w:r w:rsidR="00AB1D10">
        <w:rPr>
          <w:rFonts w:ascii="Avenir Next" w:hAnsi="Avenir Next" w:cs="Arial"/>
          <w:color w:val="808080" w:themeColor="background1" w:themeShade="80"/>
          <w:sz w:val="22"/>
          <w:szCs w:val="22"/>
          <w:lang w:val="en-GB"/>
        </w:rPr>
        <w:t xml:space="preserve">ommendations on appeal and review of recognition decisions. </w:t>
      </w:r>
      <w:r w:rsidR="00A17E51">
        <w:rPr>
          <w:rFonts w:ascii="Avenir Next" w:hAnsi="Avenir Next" w:cs="Arial"/>
          <w:color w:val="808080" w:themeColor="background1" w:themeShade="80"/>
          <w:sz w:val="22"/>
          <w:szCs w:val="22"/>
          <w:lang w:val="en-GB"/>
        </w:rPr>
        <w:t>Paragraph 120</w:t>
      </w:r>
      <w:r w:rsidR="00374B81">
        <w:rPr>
          <w:rFonts w:ascii="Avenir Next" w:hAnsi="Avenir Next" w:cs="Arial"/>
          <w:color w:val="808080" w:themeColor="background1" w:themeShade="80"/>
          <w:sz w:val="22"/>
          <w:szCs w:val="22"/>
          <w:lang w:val="en-GB"/>
        </w:rPr>
        <w:t xml:space="preserve"> </w:t>
      </w:r>
      <w:r w:rsidR="00E14D4F">
        <w:rPr>
          <w:rFonts w:ascii="Avenir Next" w:hAnsi="Avenir Next" w:cs="Arial"/>
          <w:color w:val="808080" w:themeColor="background1" w:themeShade="80"/>
          <w:sz w:val="22"/>
          <w:szCs w:val="22"/>
          <w:lang w:val="en-GB"/>
        </w:rPr>
        <w:t xml:space="preserve">of the </w:t>
      </w:r>
      <w:r w:rsidR="00601896">
        <w:rPr>
          <w:rFonts w:ascii="Avenir Next" w:hAnsi="Avenir Next" w:cs="Arial"/>
          <w:color w:val="808080" w:themeColor="background1" w:themeShade="80"/>
          <w:sz w:val="22"/>
          <w:szCs w:val="22"/>
          <w:lang w:val="en-GB"/>
        </w:rPr>
        <w:t xml:space="preserve">Guide to Enactment of the MLCBI </w:t>
      </w:r>
      <w:r w:rsidR="00374B81">
        <w:rPr>
          <w:rFonts w:ascii="Avenir Next" w:hAnsi="Avenir Next" w:cs="Arial"/>
          <w:color w:val="808080" w:themeColor="background1" w:themeShade="80"/>
          <w:sz w:val="22"/>
          <w:szCs w:val="22"/>
          <w:lang w:val="en-GB"/>
        </w:rPr>
        <w:t>and Recommendations 137 and 138 address</w:t>
      </w:r>
      <w:r w:rsidR="00A17E51">
        <w:rPr>
          <w:rFonts w:ascii="Avenir Next" w:hAnsi="Avenir Next" w:cs="Arial"/>
          <w:color w:val="808080" w:themeColor="background1" w:themeShade="80"/>
          <w:sz w:val="22"/>
          <w:szCs w:val="22"/>
          <w:lang w:val="en-GB"/>
        </w:rPr>
        <w:t xml:space="preserve"> the right to appeal </w:t>
      </w:r>
      <w:r w:rsidR="00B9617A">
        <w:rPr>
          <w:rFonts w:ascii="Avenir Next" w:hAnsi="Avenir Next" w:cs="Arial"/>
          <w:color w:val="808080" w:themeColor="background1" w:themeShade="80"/>
          <w:sz w:val="22"/>
          <w:szCs w:val="22"/>
          <w:lang w:val="en-GB"/>
        </w:rPr>
        <w:t xml:space="preserve">and review. The Guide further recommends that such appeals should be heard promptly. </w:t>
      </w:r>
    </w:p>
    <w:p w14:paraId="217E97C3" w14:textId="08090FB7" w:rsidR="006E01A1" w:rsidRDefault="006E01A1" w:rsidP="00500EC0">
      <w:pPr>
        <w:jc w:val="both"/>
        <w:rPr>
          <w:rFonts w:ascii="Avenir Next" w:hAnsi="Avenir Next" w:cs="Arial"/>
          <w:color w:val="808080" w:themeColor="background1" w:themeShade="80"/>
          <w:sz w:val="22"/>
          <w:szCs w:val="22"/>
          <w:lang w:val="en-GB"/>
        </w:rPr>
      </w:pPr>
    </w:p>
    <w:p w14:paraId="19F17040" w14:textId="320F9E89" w:rsidR="00E77BEE" w:rsidRDefault="000B35C8" w:rsidP="00500E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communication, review and appeal options fail to grant the desired outcome to the foreign representative, the foreign representative may consider </w:t>
      </w:r>
      <w:r w:rsidR="00AA784C">
        <w:rPr>
          <w:rFonts w:ascii="Avenir Next" w:hAnsi="Avenir Next" w:cs="Arial"/>
          <w:color w:val="808080" w:themeColor="background1" w:themeShade="80"/>
          <w:sz w:val="22"/>
          <w:szCs w:val="22"/>
          <w:lang w:val="en-GB"/>
        </w:rPr>
        <w:t>re-evaluating strategies including communication with the competent authority</w:t>
      </w:r>
      <w:r w:rsidR="001471AD">
        <w:rPr>
          <w:rFonts w:ascii="Avenir Next" w:hAnsi="Avenir Next" w:cs="Arial"/>
          <w:color w:val="808080" w:themeColor="background1" w:themeShade="80"/>
          <w:sz w:val="22"/>
          <w:szCs w:val="22"/>
          <w:lang w:val="en-GB"/>
        </w:rPr>
        <w:t xml:space="preserve"> in charge of insolvency matters in the country considered highly likely to be the COMI. This may be towards </w:t>
      </w:r>
      <w:r w:rsidR="00933A1A">
        <w:rPr>
          <w:rFonts w:ascii="Avenir Next" w:hAnsi="Avenir Next" w:cs="Arial"/>
          <w:color w:val="808080" w:themeColor="background1" w:themeShade="80"/>
          <w:sz w:val="22"/>
          <w:szCs w:val="22"/>
          <w:lang w:val="en-GB"/>
        </w:rPr>
        <w:t xml:space="preserve">initiating primary proceedings in the country which the foreign representatives appointed in that jurisdiction may then seek recognition in Country B in collaboration with the existing foreign representative in Country A. While this option may </w:t>
      </w:r>
      <w:r w:rsidR="00DD5371">
        <w:rPr>
          <w:rFonts w:ascii="Avenir Next" w:hAnsi="Avenir Next" w:cs="Arial"/>
          <w:color w:val="808080" w:themeColor="background1" w:themeShade="80"/>
          <w:sz w:val="22"/>
          <w:szCs w:val="22"/>
          <w:lang w:val="en-GB"/>
        </w:rPr>
        <w:t xml:space="preserve">be procedurally long, it may be explored as the only alternative to </w:t>
      </w:r>
      <w:r w:rsidR="00F40DC6">
        <w:rPr>
          <w:rFonts w:ascii="Avenir Next" w:hAnsi="Avenir Next" w:cs="Arial"/>
          <w:color w:val="808080" w:themeColor="background1" w:themeShade="80"/>
          <w:sz w:val="22"/>
          <w:szCs w:val="22"/>
          <w:lang w:val="en-GB"/>
        </w:rPr>
        <w:t xml:space="preserve">accessing the assets situate in B, assuming the administration and realisation of assets is only possible where foreign main proceedings are involved. </w:t>
      </w:r>
    </w:p>
    <w:p w14:paraId="6EACACAE" w14:textId="77777777" w:rsidR="00E77BEE" w:rsidRDefault="00E77BEE" w:rsidP="00E77BEE">
      <w:pPr>
        <w:ind w:left="720"/>
        <w:jc w:val="both"/>
        <w:rPr>
          <w:rFonts w:ascii="Avenir Next" w:hAnsi="Avenir Next" w:cs="Arial"/>
          <w:color w:val="808080" w:themeColor="background1" w:themeShade="80"/>
          <w:sz w:val="22"/>
          <w:szCs w:val="22"/>
          <w:lang w:val="en-GB"/>
        </w:rPr>
      </w:pPr>
    </w:p>
    <w:p w14:paraId="12B4B9FB" w14:textId="77777777" w:rsidR="0079732B" w:rsidRDefault="0079732B" w:rsidP="00E77BEE">
      <w:pPr>
        <w:ind w:left="720"/>
        <w:jc w:val="both"/>
        <w:rPr>
          <w:rFonts w:ascii="Avenir Next" w:hAnsi="Avenir Next" w:cs="Arial"/>
          <w:color w:val="808080" w:themeColor="background1" w:themeShade="80"/>
          <w:sz w:val="22"/>
          <w:szCs w:val="22"/>
          <w:lang w:val="en-GB"/>
        </w:rPr>
      </w:pPr>
    </w:p>
    <w:p w14:paraId="36FE92B6" w14:textId="77777777" w:rsidR="00F975C1" w:rsidRDefault="00F975C1" w:rsidP="00E77BEE">
      <w:pPr>
        <w:ind w:left="720"/>
        <w:jc w:val="both"/>
        <w:rPr>
          <w:rFonts w:ascii="Avenir Next" w:hAnsi="Avenir Next" w:cs="Arial"/>
          <w:color w:val="808080" w:themeColor="background1" w:themeShade="80"/>
          <w:sz w:val="22"/>
          <w:szCs w:val="22"/>
          <w:lang w:val="en-GB"/>
        </w:rPr>
      </w:pPr>
    </w:p>
    <w:p w14:paraId="7B9C0714" w14:textId="77777777" w:rsidR="00F975C1" w:rsidRDefault="00F975C1" w:rsidP="00E77BEE">
      <w:pPr>
        <w:ind w:left="720"/>
        <w:jc w:val="both"/>
        <w:rPr>
          <w:rFonts w:ascii="Avenir Next" w:hAnsi="Avenir Next" w:cs="Arial"/>
          <w:color w:val="808080" w:themeColor="background1" w:themeShade="80"/>
          <w:sz w:val="22"/>
          <w:szCs w:val="22"/>
          <w:lang w:val="en-GB"/>
        </w:rPr>
      </w:pPr>
    </w:p>
    <w:p w14:paraId="44A36FBA" w14:textId="77777777" w:rsidR="00F975C1" w:rsidRDefault="00F975C1" w:rsidP="00E77BEE">
      <w:pPr>
        <w:ind w:left="720"/>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lastRenderedPageBreak/>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t>
      </w:r>
      <w:proofErr w:type="gramStart"/>
      <w:r w:rsidRPr="00E61F6E">
        <w:rPr>
          <w:rFonts w:ascii="Avenir Next" w:hAnsi="Avenir Next"/>
          <w:sz w:val="22"/>
          <w:szCs w:val="28"/>
        </w:rPr>
        <w:t>was initially formed</w:t>
      </w:r>
      <w:proofErr w:type="gramEnd"/>
      <w:r w:rsidRPr="00E61F6E">
        <w:rPr>
          <w:rFonts w:ascii="Avenir Next" w:hAnsi="Avenir Next"/>
          <w:sz w:val="22"/>
          <w:szCs w:val="28"/>
        </w:rPr>
        <w:t xml:space="preserve">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w:t>
      </w:r>
      <w:proofErr w:type="gramStart"/>
      <w:r w:rsidRPr="00E61F6E">
        <w:rPr>
          <w:rFonts w:ascii="Avenir Next" w:hAnsi="Avenir Next"/>
          <w:sz w:val="22"/>
          <w:szCs w:val="28"/>
        </w:rPr>
        <w:t xml:space="preserve">Inc.  </w:t>
      </w:r>
      <w:proofErr w:type="gramEnd"/>
      <w:r w:rsidRPr="00E61F6E">
        <w:rPr>
          <w:rFonts w:ascii="Avenir Next" w:hAnsi="Avenir Next"/>
          <w:sz w:val="22"/>
          <w:szCs w:val="28"/>
        </w:rPr>
        <w:t>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w:t>
      </w:r>
      <w:proofErr w:type="gramStart"/>
      <w:r w:rsidRPr="00E61F6E">
        <w:rPr>
          <w:rFonts w:ascii="Avenir Next" w:hAnsi="Avenir Next"/>
          <w:sz w:val="22"/>
          <w:szCs w:val="28"/>
        </w:rPr>
        <w:t xml:space="preserve">.  </w:t>
      </w:r>
      <w:proofErr w:type="gramEnd"/>
      <w:r w:rsidRPr="00E61F6E">
        <w:rPr>
          <w:rFonts w:ascii="Avenir Next" w:hAnsi="Avenir Next"/>
          <w:sz w:val="22"/>
          <w:szCs w:val="28"/>
        </w:rPr>
        <w:t xml:space="preserve">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ed by its local Cayman counsel virtually</w:t>
      </w:r>
      <w:proofErr w:type="gramStart"/>
      <w:r w:rsidRPr="00E61F6E">
        <w:rPr>
          <w:rFonts w:ascii="Avenir Next" w:hAnsi="Avenir Next"/>
          <w:sz w:val="22"/>
          <w:szCs w:val="28"/>
        </w:rPr>
        <w:t xml:space="preserve">.  </w:t>
      </w:r>
      <w:proofErr w:type="gramEnd"/>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lient also maintains its books and records in the Cayman Islands</w:t>
      </w:r>
      <w:proofErr w:type="gramStart"/>
      <w:r w:rsidRPr="00E61F6E">
        <w:rPr>
          <w:rFonts w:ascii="Avenir Next" w:hAnsi="Avenir Next"/>
          <w:sz w:val="22"/>
          <w:szCs w:val="28"/>
        </w:rPr>
        <w:t xml:space="preserve">.  </w:t>
      </w:r>
      <w:proofErr w:type="gramEnd"/>
      <w:r w:rsidRPr="00E61F6E">
        <w:rPr>
          <w:rFonts w:ascii="Avenir Next" w:hAnsi="Avenir Next"/>
          <w:sz w:val="22"/>
          <w:szCs w:val="28"/>
        </w:rPr>
        <w:t>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w:t>
      </w:r>
      <w:proofErr w:type="gramStart"/>
      <w:r w:rsidRPr="00E61F6E">
        <w:rPr>
          <w:rFonts w:ascii="Avenir Next" w:hAnsi="Avenir Next"/>
          <w:sz w:val="22"/>
          <w:szCs w:val="28"/>
        </w:rPr>
        <w:t>carried out</w:t>
      </w:r>
      <w:proofErr w:type="gramEnd"/>
      <w:r w:rsidRPr="00E61F6E">
        <w:rPr>
          <w:rFonts w:ascii="Avenir Next" w:hAnsi="Avenir Next"/>
          <w:sz w:val="22"/>
          <w:szCs w:val="28"/>
        </w:rPr>
        <w:t xml:space="preserve">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proofErr w:type="gramStart"/>
      <w:r w:rsidRPr="00E61F6E">
        <w:rPr>
          <w:rFonts w:ascii="Avenir Next" w:hAnsi="Avenir Next"/>
          <w:sz w:val="22"/>
          <w:szCs w:val="28"/>
        </w:rPr>
        <w:t xml:space="preserve">.  </w:t>
      </w:r>
      <w:proofErr w:type="gramEnd"/>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t>
      </w:r>
      <w:proofErr w:type="gramStart"/>
      <w:r w:rsidRPr="00E61F6E">
        <w:rPr>
          <w:rFonts w:ascii="Avenir Next" w:hAnsi="Avenir Next"/>
          <w:sz w:val="22"/>
          <w:szCs w:val="28"/>
        </w:rPr>
        <w:t>was informed</w:t>
      </w:r>
      <w:proofErr w:type="gramEnd"/>
      <w:r w:rsidRPr="00E61F6E">
        <w:rPr>
          <w:rFonts w:ascii="Avenir Next" w:hAnsi="Avenir Next"/>
          <w:sz w:val="22"/>
          <w:szCs w:val="28"/>
        </w:rPr>
        <w:t xml:space="preserve"> its shares would be suspended from the NASDAQ Stock Market due to delinquencies in filing its 10-K. Thereafter, on November 6, 2020, its shares </w:t>
      </w:r>
      <w:proofErr w:type="gramStart"/>
      <w:r w:rsidRPr="00E61F6E">
        <w:rPr>
          <w:rFonts w:ascii="Avenir Next" w:hAnsi="Avenir Next"/>
          <w:sz w:val="22"/>
          <w:szCs w:val="28"/>
        </w:rPr>
        <w:t>were delisted</w:t>
      </w:r>
      <w:proofErr w:type="gramEnd"/>
      <w:r w:rsidRPr="00E61F6E">
        <w:rPr>
          <w:rFonts w:ascii="Avenir Next" w:hAnsi="Avenir Next"/>
          <w:sz w:val="22"/>
          <w:szCs w:val="28"/>
        </w:rPr>
        <w:t xml:space="preserve">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including the land, building, building improvements and contents including furniture and fixtures</w:t>
      </w:r>
      <w:proofErr w:type="gramStart"/>
      <w:r w:rsidRPr="00E61F6E">
        <w:rPr>
          <w:rFonts w:ascii="Avenir Next" w:hAnsi="Avenir Next"/>
          <w:sz w:val="22"/>
          <w:szCs w:val="28"/>
        </w:rPr>
        <w:t xml:space="preserve">.  </w:t>
      </w:r>
      <w:proofErr w:type="gramEnd"/>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being both cash flow and balance sheet insolvent</w:t>
      </w:r>
      <w:proofErr w:type="gramStart"/>
      <w:r w:rsidRPr="00E61F6E">
        <w:rPr>
          <w:rFonts w:ascii="Avenir Next" w:hAnsi="Avenir Next"/>
          <w:sz w:val="22"/>
          <w:szCs w:val="28"/>
        </w:rPr>
        <w:t xml:space="preserve">.  </w:t>
      </w:r>
      <w:bookmarkEnd w:id="4"/>
      <w:proofErr w:type="gramEnd"/>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 xml:space="preserve">ultimately determined that the most value accretive path for the Noteholders was to </w:t>
      </w:r>
      <w:r w:rsidRPr="00E61F6E">
        <w:rPr>
          <w:rFonts w:ascii="Avenir Next" w:hAnsi="Avenir Next"/>
          <w:sz w:val="22"/>
          <w:szCs w:val="28"/>
        </w:rPr>
        <w:lastRenderedPageBreak/>
        <w:t xml:space="preserve">commence </w:t>
      </w:r>
      <w:bookmarkStart w:id="5" w:name="_Hlk157142728"/>
      <w:r w:rsidRPr="00E61F6E">
        <w:rPr>
          <w:rFonts w:ascii="Avenir Next" w:hAnsi="Avenir Next"/>
          <w:sz w:val="22"/>
          <w:szCs w:val="28"/>
        </w:rPr>
        <w:t>a scheme under Cayman Islands law, followed by a chapter 15 recognition proceeding in the United States,</w:t>
      </w:r>
      <w:bookmarkEnd w:id="5"/>
      <w:r w:rsidRPr="00E61F6E">
        <w:rPr>
          <w:rFonts w:ascii="Avenir Next" w:hAnsi="Avenir Next"/>
          <w:sz w:val="22"/>
          <w:szCs w:val="28"/>
        </w:rPr>
        <w:t xml:space="preserve">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proofErr w:type="gramStart"/>
      <w:r w:rsidRPr="00E61F6E">
        <w:rPr>
          <w:rFonts w:ascii="Avenir Next" w:hAnsi="Avenir Next"/>
          <w:sz w:val="22"/>
          <w:szCs w:val="28"/>
        </w:rPr>
        <w:t xml:space="preserve">.  </w:t>
      </w:r>
      <w:proofErr w:type="gramEnd"/>
      <w:r w:rsidRPr="00E61F6E">
        <w:rPr>
          <w:rFonts w:ascii="Avenir Next" w:hAnsi="Avenir Next"/>
          <w:sz w:val="22"/>
          <w:szCs w:val="28"/>
        </w:rPr>
        <w:t>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restructuring, their expectations were that any such restructuring would take place in the Cayman Islands, which </w:t>
      </w:r>
      <w:proofErr w:type="gramStart"/>
      <w:r w:rsidRPr="00E61F6E">
        <w:rPr>
          <w:rFonts w:ascii="Avenir Next" w:hAnsi="Avenir Next"/>
          <w:sz w:val="22"/>
          <w:szCs w:val="28"/>
        </w:rPr>
        <w:t>is reflected</w:t>
      </w:r>
      <w:proofErr w:type="gramEnd"/>
      <w:r w:rsidRPr="00E61F6E">
        <w:rPr>
          <w:rFonts w:ascii="Avenir Next" w:hAnsi="Avenir Next"/>
          <w:sz w:val="22"/>
          <w:szCs w:val="28"/>
        </w:rPr>
        <w:t xml:space="preserve">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Scheme Meeting </w:t>
      </w:r>
      <w:proofErr w:type="gramStart"/>
      <w:r w:rsidRPr="00E61F6E">
        <w:rPr>
          <w:rFonts w:ascii="Avenir Next" w:hAnsi="Avenir Next"/>
          <w:sz w:val="22"/>
          <w:szCs w:val="28"/>
        </w:rPr>
        <w:t>was held</w:t>
      </w:r>
      <w:proofErr w:type="gramEnd"/>
      <w:r w:rsidRPr="00E61F6E">
        <w:rPr>
          <w:rFonts w:ascii="Avenir Next" w:hAnsi="Avenir Next"/>
          <w:sz w:val="22"/>
          <w:szCs w:val="28"/>
        </w:rPr>
        <w:t xml:space="preserve">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t>
      </w:r>
      <w:proofErr w:type="gramStart"/>
      <w:r w:rsidRPr="00E61F6E">
        <w:rPr>
          <w:rFonts w:ascii="Avenir Next" w:hAnsi="Avenir Next"/>
          <w:sz w:val="22"/>
          <w:szCs w:val="28"/>
        </w:rPr>
        <w:t>were also afforded</w:t>
      </w:r>
      <w:proofErr w:type="gramEnd"/>
      <w:r w:rsidRPr="00E61F6E">
        <w:rPr>
          <w:rFonts w:ascii="Avenir Next" w:hAnsi="Avenir Next"/>
          <w:sz w:val="22"/>
          <w:szCs w:val="28"/>
        </w:rPr>
        <w:t xml:space="preserve"> the convenience of observing the Scheme Meeting via Zoom and in person via a satellite location in New York. Following the Scheme Meeting, the </w:t>
      </w:r>
      <w:proofErr w:type="gramStart"/>
      <w:r w:rsidRPr="00E61F6E">
        <w:rPr>
          <w:rFonts w:ascii="Avenir Next" w:hAnsi="Avenir Next"/>
          <w:sz w:val="22"/>
          <w:szCs w:val="28"/>
        </w:rPr>
        <w:t>chairman</w:t>
      </w:r>
      <w:proofErr w:type="gramEnd"/>
      <w:r w:rsidRPr="00E61F6E">
        <w:rPr>
          <w:rFonts w:ascii="Avenir Next" w:hAnsi="Avenir Next"/>
          <w:sz w:val="22"/>
          <w:szCs w:val="28"/>
        </w:rPr>
        <w:t xml:space="preserve">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t>
      </w:r>
      <w:proofErr w:type="gramStart"/>
      <w:r w:rsidRPr="00E61F6E">
        <w:rPr>
          <w:rFonts w:ascii="Avenir Next" w:hAnsi="Avenir Next"/>
          <w:sz w:val="22"/>
          <w:szCs w:val="28"/>
        </w:rPr>
        <w:t>was held</w:t>
      </w:r>
      <w:proofErr w:type="gramEnd"/>
      <w:r w:rsidRPr="00E61F6E">
        <w:rPr>
          <w:rFonts w:ascii="Avenir Next" w:hAnsi="Avenir Next"/>
          <w:sz w:val="22"/>
          <w:szCs w:val="28"/>
        </w:rPr>
        <w:t>,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w:t>
      </w:r>
      <w:proofErr w:type="gramStart"/>
      <w:r>
        <w:rPr>
          <w:rFonts w:ascii="Avenir Next" w:hAnsi="Avenir Next"/>
          <w:sz w:val="22"/>
          <w:szCs w:val="28"/>
        </w:rPr>
        <w:t>been filed</w:t>
      </w:r>
      <w:proofErr w:type="gramEnd"/>
      <w:r>
        <w:rPr>
          <w:rFonts w:ascii="Avenir Next" w:hAnsi="Avenir Next"/>
          <w:sz w:val="22"/>
          <w:szCs w:val="28"/>
        </w:rPr>
        <w:t xml:space="preserve"> yet. </w:t>
      </w:r>
    </w:p>
    <w:p w14:paraId="50B55399" w14:textId="77777777" w:rsidR="00A3270E" w:rsidRDefault="00A3270E" w:rsidP="009E3CA7">
      <w:pPr>
        <w:jc w:val="both"/>
        <w:rPr>
          <w:rFonts w:ascii="Avenir Next" w:hAnsi="Avenir Next"/>
          <w:color w:val="808080" w:themeColor="background1" w:themeShade="80"/>
          <w:sz w:val="22"/>
          <w:szCs w:val="28"/>
        </w:rPr>
      </w:pPr>
    </w:p>
    <w:p w14:paraId="21841E55" w14:textId="65656EED" w:rsidR="00560A67" w:rsidRDefault="001440B0" w:rsidP="00500EC0">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Based on the facts presented, a </w:t>
      </w:r>
      <w:r w:rsidR="00F91670">
        <w:rPr>
          <w:rFonts w:ascii="Avenir Next" w:hAnsi="Avenir Next"/>
          <w:color w:val="808080" w:themeColor="background1" w:themeShade="80"/>
          <w:sz w:val="22"/>
          <w:szCs w:val="28"/>
          <w:lang w:val="en-GB"/>
        </w:rPr>
        <w:t xml:space="preserve">key filing strategy </w:t>
      </w:r>
      <w:r w:rsidR="00830508">
        <w:rPr>
          <w:rFonts w:ascii="Avenir Next" w:hAnsi="Avenir Next"/>
          <w:color w:val="808080" w:themeColor="background1" w:themeShade="80"/>
          <w:sz w:val="22"/>
          <w:szCs w:val="28"/>
          <w:lang w:val="en-GB"/>
        </w:rPr>
        <w:t xml:space="preserve">to ensure a successful restructuring would involve an analysis of </w:t>
      </w:r>
      <w:r w:rsidR="007C4B8A">
        <w:rPr>
          <w:rFonts w:ascii="Avenir Next" w:hAnsi="Avenir Next"/>
          <w:color w:val="808080" w:themeColor="background1" w:themeShade="80"/>
          <w:sz w:val="22"/>
          <w:szCs w:val="28"/>
          <w:lang w:val="en-GB"/>
        </w:rPr>
        <w:t xml:space="preserve">the Centre of Main Interest (COMI) and the establishment of </w:t>
      </w:r>
      <w:r w:rsidR="003862DF">
        <w:rPr>
          <w:rFonts w:ascii="Avenir Next" w:hAnsi="Avenir Next"/>
          <w:color w:val="808080" w:themeColor="background1" w:themeShade="80"/>
          <w:sz w:val="22"/>
          <w:szCs w:val="28"/>
          <w:lang w:val="en-GB"/>
        </w:rPr>
        <w:t xml:space="preserve">Globe </w:t>
      </w:r>
      <w:r w:rsidR="006B3C14">
        <w:rPr>
          <w:rFonts w:ascii="Avenir Next" w:hAnsi="Avenir Next"/>
          <w:color w:val="808080" w:themeColor="background1" w:themeShade="80"/>
          <w:sz w:val="22"/>
          <w:szCs w:val="28"/>
          <w:lang w:val="en-GB"/>
        </w:rPr>
        <w:t xml:space="preserve">Financial </w:t>
      </w:r>
      <w:r w:rsidR="003862DF">
        <w:rPr>
          <w:rFonts w:ascii="Avenir Next" w:hAnsi="Avenir Next"/>
          <w:color w:val="808080" w:themeColor="background1" w:themeShade="80"/>
          <w:sz w:val="22"/>
          <w:szCs w:val="28"/>
          <w:lang w:val="en-GB"/>
        </w:rPr>
        <w:t>Holdings</w:t>
      </w:r>
      <w:r w:rsidR="006B3C14">
        <w:rPr>
          <w:rFonts w:ascii="Avenir Next" w:hAnsi="Avenir Next"/>
          <w:color w:val="808080" w:themeColor="background1" w:themeShade="80"/>
          <w:sz w:val="22"/>
          <w:szCs w:val="28"/>
          <w:lang w:val="en-GB"/>
        </w:rPr>
        <w:t xml:space="preserve"> Inc.</w:t>
      </w:r>
      <w:r w:rsidR="003862DF">
        <w:rPr>
          <w:rFonts w:ascii="Avenir Next" w:hAnsi="Avenir Next"/>
          <w:color w:val="808080" w:themeColor="background1" w:themeShade="80"/>
          <w:sz w:val="22"/>
          <w:szCs w:val="28"/>
          <w:lang w:val="en-GB"/>
        </w:rPr>
        <w:t xml:space="preserve"> (the Debtor)</w:t>
      </w:r>
      <w:r w:rsidR="007E07FD">
        <w:rPr>
          <w:rFonts w:ascii="Avenir Next" w:hAnsi="Avenir Next"/>
          <w:color w:val="808080" w:themeColor="background1" w:themeShade="80"/>
          <w:sz w:val="22"/>
          <w:szCs w:val="28"/>
          <w:lang w:val="en-GB"/>
        </w:rPr>
        <w:t xml:space="preserve"> to determine the nature of recognition proceedings</w:t>
      </w:r>
      <w:r w:rsidR="00FB54C7">
        <w:rPr>
          <w:rFonts w:ascii="Avenir Next" w:hAnsi="Avenir Next"/>
          <w:color w:val="808080" w:themeColor="background1" w:themeShade="80"/>
          <w:sz w:val="22"/>
          <w:szCs w:val="28"/>
          <w:lang w:val="en-GB"/>
        </w:rPr>
        <w:t xml:space="preserve"> to be filed. </w:t>
      </w:r>
      <w:r w:rsidR="006F37C6">
        <w:rPr>
          <w:rFonts w:ascii="Avenir Next" w:hAnsi="Avenir Next"/>
          <w:color w:val="808080" w:themeColor="background1" w:themeShade="80"/>
          <w:sz w:val="22"/>
          <w:szCs w:val="28"/>
          <w:lang w:val="en-GB"/>
        </w:rPr>
        <w:t>The following paragraphs will</w:t>
      </w:r>
      <w:r w:rsidR="00560A67">
        <w:rPr>
          <w:rFonts w:ascii="Avenir Next" w:hAnsi="Avenir Next"/>
          <w:color w:val="808080" w:themeColor="background1" w:themeShade="80"/>
          <w:sz w:val="22"/>
          <w:szCs w:val="28"/>
          <w:lang w:val="en-GB"/>
        </w:rPr>
        <w:t xml:space="preserve"> discuss the COMI and establishment analysis</w:t>
      </w:r>
      <w:r w:rsidR="004F65A0">
        <w:rPr>
          <w:rFonts w:ascii="Avenir Next" w:hAnsi="Avenir Next"/>
          <w:color w:val="808080" w:themeColor="background1" w:themeShade="80"/>
          <w:sz w:val="22"/>
          <w:szCs w:val="28"/>
          <w:lang w:val="en-GB"/>
        </w:rPr>
        <w:t xml:space="preserve"> to draw a conclusion on whether to file for the recognition of the Cayman’s scheme as a foreign main or foreign non main proceeding in the U.S</w:t>
      </w:r>
      <w:r w:rsidR="00125E6D">
        <w:rPr>
          <w:rFonts w:ascii="Avenir Next" w:hAnsi="Avenir Next"/>
          <w:color w:val="808080" w:themeColor="background1" w:themeShade="80"/>
          <w:sz w:val="22"/>
          <w:szCs w:val="28"/>
          <w:lang w:val="en-GB"/>
        </w:rPr>
        <w:t>, the nature of application to be made in the US</w:t>
      </w:r>
      <w:r w:rsidR="00270082">
        <w:rPr>
          <w:rFonts w:ascii="Avenir Next" w:hAnsi="Avenir Next"/>
          <w:color w:val="808080" w:themeColor="background1" w:themeShade="80"/>
          <w:sz w:val="22"/>
          <w:szCs w:val="28"/>
          <w:lang w:val="en-GB"/>
        </w:rPr>
        <w:t xml:space="preserve"> and the accompanying documents as well as the reliefs to be sought. </w:t>
      </w:r>
      <w:r w:rsidR="00CA23EC">
        <w:rPr>
          <w:rFonts w:ascii="Avenir Next" w:hAnsi="Avenir Next"/>
          <w:color w:val="808080" w:themeColor="background1" w:themeShade="80"/>
          <w:sz w:val="22"/>
          <w:szCs w:val="28"/>
          <w:lang w:val="en-GB"/>
        </w:rPr>
        <w:t xml:space="preserve">Further, options to mitigate the brewing class action and </w:t>
      </w:r>
      <w:r w:rsidR="00D80E82">
        <w:rPr>
          <w:rFonts w:ascii="Avenir Next" w:hAnsi="Avenir Next"/>
          <w:color w:val="808080" w:themeColor="background1" w:themeShade="80"/>
          <w:sz w:val="22"/>
          <w:szCs w:val="28"/>
          <w:lang w:val="en-GB"/>
        </w:rPr>
        <w:t xml:space="preserve">ensure a successful restructuring will be explored. </w:t>
      </w:r>
    </w:p>
    <w:p w14:paraId="4E3D41F8" w14:textId="77777777" w:rsidR="00EF166D" w:rsidRDefault="00EF166D" w:rsidP="00500EC0">
      <w:pPr>
        <w:jc w:val="both"/>
        <w:rPr>
          <w:rFonts w:ascii="Avenir Next" w:hAnsi="Avenir Next"/>
          <w:color w:val="808080" w:themeColor="background1" w:themeShade="80"/>
          <w:sz w:val="22"/>
          <w:szCs w:val="28"/>
          <w:lang w:val="en-GB"/>
        </w:rPr>
      </w:pPr>
    </w:p>
    <w:p w14:paraId="3580146D" w14:textId="77777777" w:rsidR="00DE5C9A" w:rsidRDefault="0028120E" w:rsidP="00500EC0">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First, we </w:t>
      </w:r>
      <w:r w:rsidR="00BC1EC3">
        <w:rPr>
          <w:rFonts w:ascii="Avenir Next" w:hAnsi="Avenir Next"/>
          <w:color w:val="808080" w:themeColor="background1" w:themeShade="80"/>
          <w:sz w:val="22"/>
          <w:szCs w:val="28"/>
          <w:lang w:val="en-GB"/>
        </w:rPr>
        <w:t xml:space="preserve">will explore the likely COMI of the Debtor. </w:t>
      </w:r>
      <w:r w:rsidR="00EF166D">
        <w:rPr>
          <w:rFonts w:ascii="Avenir Next" w:hAnsi="Avenir Next"/>
          <w:color w:val="808080" w:themeColor="background1" w:themeShade="80"/>
          <w:sz w:val="22"/>
          <w:szCs w:val="28"/>
          <w:lang w:val="en-GB"/>
        </w:rPr>
        <w:t>Article</w:t>
      </w:r>
      <w:r>
        <w:rPr>
          <w:rFonts w:ascii="Avenir Next" w:hAnsi="Avenir Next"/>
          <w:color w:val="808080" w:themeColor="background1" w:themeShade="80"/>
          <w:sz w:val="22"/>
          <w:szCs w:val="28"/>
          <w:lang w:val="en-GB"/>
        </w:rPr>
        <w:t xml:space="preserve"> 16 of the MLCBI</w:t>
      </w:r>
      <w:r w:rsidR="00A27236">
        <w:rPr>
          <w:rFonts w:ascii="Avenir Next" w:hAnsi="Avenir Next"/>
          <w:color w:val="808080" w:themeColor="background1" w:themeShade="80"/>
          <w:sz w:val="22"/>
          <w:szCs w:val="28"/>
          <w:lang w:val="en-GB"/>
        </w:rPr>
        <w:t xml:space="preserve">, </w:t>
      </w:r>
      <w:r w:rsidR="001A7B5F">
        <w:rPr>
          <w:rFonts w:ascii="Avenir Next" w:hAnsi="Avenir Next"/>
          <w:color w:val="808080" w:themeColor="background1" w:themeShade="80"/>
          <w:sz w:val="22"/>
          <w:szCs w:val="28"/>
          <w:lang w:val="en-GB"/>
        </w:rPr>
        <w:t>Article 3 of the European Regulation</w:t>
      </w:r>
      <w:r w:rsidR="00A27236">
        <w:rPr>
          <w:rFonts w:ascii="Avenir Next" w:hAnsi="Avenir Next"/>
          <w:color w:val="808080" w:themeColor="background1" w:themeShade="80"/>
          <w:sz w:val="22"/>
          <w:szCs w:val="28"/>
          <w:lang w:val="en-GB"/>
        </w:rPr>
        <w:t xml:space="preserve"> and Section 1516 (c) of the US Bankruptcy Code</w:t>
      </w:r>
      <w:r w:rsidR="001A7B5F">
        <w:rPr>
          <w:rFonts w:ascii="Avenir Next" w:hAnsi="Avenir Next"/>
          <w:color w:val="808080" w:themeColor="background1" w:themeShade="80"/>
          <w:sz w:val="22"/>
          <w:szCs w:val="28"/>
          <w:lang w:val="en-GB"/>
        </w:rPr>
        <w:t xml:space="preserve"> provide that the COMI o</w:t>
      </w:r>
      <w:r w:rsidR="001A4281">
        <w:rPr>
          <w:rFonts w:ascii="Avenir Next" w:hAnsi="Avenir Next"/>
          <w:color w:val="808080" w:themeColor="background1" w:themeShade="80"/>
          <w:sz w:val="22"/>
          <w:szCs w:val="28"/>
          <w:lang w:val="en-GB"/>
        </w:rPr>
        <w:t>f a debtor is presumed to be the debtor’s registered office</w:t>
      </w:r>
      <w:r w:rsidR="003500FC">
        <w:rPr>
          <w:rFonts w:ascii="Avenir Next" w:hAnsi="Avenir Next"/>
          <w:color w:val="808080" w:themeColor="background1" w:themeShade="80"/>
          <w:sz w:val="22"/>
          <w:szCs w:val="28"/>
          <w:lang w:val="en-GB"/>
        </w:rPr>
        <w:t xml:space="preserve"> unless it can be shown that the COMI is elsewhere. </w:t>
      </w:r>
      <w:r w:rsidR="006C00C8">
        <w:rPr>
          <w:rFonts w:ascii="Avenir Next" w:hAnsi="Avenir Next"/>
          <w:color w:val="808080" w:themeColor="background1" w:themeShade="80"/>
          <w:sz w:val="22"/>
          <w:szCs w:val="28"/>
          <w:lang w:val="en-GB"/>
        </w:rPr>
        <w:t>The courts</w:t>
      </w:r>
      <w:r w:rsidR="00FD5DE4">
        <w:rPr>
          <w:rStyle w:val="FootnoteReference"/>
          <w:rFonts w:ascii="Avenir Next" w:hAnsi="Avenir Next"/>
          <w:color w:val="808080" w:themeColor="background1" w:themeShade="80"/>
          <w:sz w:val="22"/>
          <w:szCs w:val="28"/>
          <w:lang w:val="en-GB"/>
        </w:rPr>
        <w:footnoteReference w:id="7"/>
      </w:r>
      <w:r w:rsidR="006C00C8">
        <w:rPr>
          <w:rFonts w:ascii="Avenir Next" w:hAnsi="Avenir Next"/>
          <w:color w:val="808080" w:themeColor="background1" w:themeShade="80"/>
          <w:sz w:val="22"/>
          <w:szCs w:val="28"/>
          <w:lang w:val="en-GB"/>
        </w:rPr>
        <w:t xml:space="preserve"> </w:t>
      </w:r>
      <w:r w:rsidR="00463A50">
        <w:rPr>
          <w:rFonts w:ascii="Avenir Next" w:hAnsi="Avenir Next"/>
          <w:color w:val="808080" w:themeColor="background1" w:themeShade="80"/>
          <w:sz w:val="22"/>
          <w:szCs w:val="28"/>
          <w:lang w:val="en-GB"/>
        </w:rPr>
        <w:t xml:space="preserve">have also established that </w:t>
      </w:r>
      <w:r w:rsidR="00463A50" w:rsidRPr="00463A50">
        <w:rPr>
          <w:rFonts w:ascii="Avenir Next" w:hAnsi="Avenir Next"/>
          <w:color w:val="808080" w:themeColor="background1" w:themeShade="80"/>
          <w:sz w:val="22"/>
          <w:szCs w:val="28"/>
          <w:lang w:val="en-GB"/>
        </w:rPr>
        <w:t>the COMI presumption may be overcome particularly in the case of a ‘letterbox’ company not carrying out any business” in the country where its registered office is located</w:t>
      </w:r>
      <w:r w:rsidR="00463A50">
        <w:rPr>
          <w:rFonts w:ascii="Avenir Next" w:hAnsi="Avenir Next"/>
          <w:color w:val="808080" w:themeColor="background1" w:themeShade="80"/>
          <w:sz w:val="22"/>
          <w:szCs w:val="28"/>
          <w:lang w:val="en-GB"/>
        </w:rPr>
        <w:t>.</w:t>
      </w:r>
    </w:p>
    <w:p w14:paraId="1E8ACB24" w14:textId="3AD558CA" w:rsidR="00BA060F" w:rsidRPr="00853D1F" w:rsidRDefault="00AF149D" w:rsidP="00500EC0">
      <w:pPr>
        <w:spacing w:before="360" w:after="360"/>
        <w:jc w:val="both"/>
        <w:rPr>
          <w:rFonts w:ascii="IBM Plex Sans" w:hAnsi="IBM Plex Sans"/>
          <w:color w:val="212121"/>
          <w:shd w:val="clear" w:color="auto" w:fill="FFFFFF"/>
        </w:rPr>
      </w:pPr>
      <w:r>
        <w:rPr>
          <w:rFonts w:ascii="Avenir Next" w:hAnsi="Avenir Next"/>
          <w:color w:val="808080" w:themeColor="background1" w:themeShade="80"/>
          <w:sz w:val="22"/>
          <w:szCs w:val="28"/>
          <w:lang w:val="en-GB"/>
        </w:rPr>
        <w:lastRenderedPageBreak/>
        <w:t>C</w:t>
      </w:r>
      <w:r w:rsidR="009850A6" w:rsidRPr="00824C6F">
        <w:rPr>
          <w:rFonts w:ascii="Avenir Next" w:hAnsi="Avenir Next"/>
          <w:color w:val="808080" w:themeColor="background1" w:themeShade="80"/>
          <w:sz w:val="22"/>
          <w:szCs w:val="28"/>
          <w:lang w:val="en-GB"/>
        </w:rPr>
        <w:t xml:space="preserve">ertain factors </w:t>
      </w:r>
      <w:r w:rsidR="00667285">
        <w:rPr>
          <w:rFonts w:ascii="Avenir Next" w:hAnsi="Avenir Next"/>
          <w:color w:val="808080" w:themeColor="background1" w:themeShade="80"/>
          <w:sz w:val="22"/>
          <w:szCs w:val="28"/>
          <w:lang w:val="en-GB"/>
        </w:rPr>
        <w:t xml:space="preserve">as discussed </w:t>
      </w:r>
      <w:r w:rsidR="001903FA">
        <w:rPr>
          <w:rFonts w:ascii="Avenir Next" w:hAnsi="Avenir Next"/>
          <w:color w:val="808080" w:themeColor="background1" w:themeShade="80"/>
          <w:sz w:val="22"/>
          <w:szCs w:val="28"/>
          <w:lang w:val="en-GB"/>
        </w:rPr>
        <w:t xml:space="preserve">by </w:t>
      </w:r>
      <w:r w:rsidR="00DD5AFC">
        <w:rPr>
          <w:rFonts w:ascii="Avenir Next" w:hAnsi="Avenir Next"/>
          <w:color w:val="808080" w:themeColor="background1" w:themeShade="80"/>
          <w:sz w:val="22"/>
          <w:szCs w:val="28"/>
          <w:lang w:val="en-GB"/>
        </w:rPr>
        <w:t>Martin Glenn, Chief United States Bankruptcy Judge</w:t>
      </w:r>
      <w:r w:rsidR="00853D1F">
        <w:rPr>
          <w:rFonts w:ascii="Avenir Next" w:hAnsi="Avenir Next"/>
          <w:color w:val="808080" w:themeColor="background1" w:themeShade="80"/>
          <w:sz w:val="22"/>
          <w:szCs w:val="28"/>
          <w:lang w:val="en-GB"/>
        </w:rPr>
        <w:t xml:space="preserve"> in </w:t>
      </w:r>
      <w:r w:rsidR="00853D1F" w:rsidRPr="00604F3A">
        <w:rPr>
          <w:rFonts w:ascii="Avenir Next" w:hAnsi="Avenir Next"/>
          <w:i/>
          <w:iCs/>
          <w:color w:val="808080" w:themeColor="background1" w:themeShade="80"/>
          <w:sz w:val="22"/>
          <w:szCs w:val="28"/>
          <w:lang w:val="en-GB"/>
        </w:rPr>
        <w:t>re Modern Land (China) Co.,</w:t>
      </w:r>
      <w:r w:rsidR="00D047D8" w:rsidRPr="00604F3A">
        <w:rPr>
          <w:rStyle w:val="FootnoteReference"/>
          <w:rFonts w:ascii="Avenir Next" w:hAnsi="Avenir Next"/>
          <w:i/>
          <w:iCs/>
          <w:color w:val="808080" w:themeColor="background1" w:themeShade="80"/>
          <w:sz w:val="22"/>
          <w:szCs w:val="28"/>
          <w:lang w:val="en-GB"/>
        </w:rPr>
        <w:footnoteReference w:id="8"/>
      </w:r>
      <w:r w:rsidR="007134F1">
        <w:rPr>
          <w:rFonts w:ascii="Avenir Next" w:hAnsi="Avenir Next"/>
          <w:color w:val="808080" w:themeColor="background1" w:themeShade="80"/>
          <w:sz w:val="22"/>
          <w:szCs w:val="28"/>
          <w:lang w:val="en-GB"/>
        </w:rPr>
        <w:t>(the China Case)</w:t>
      </w:r>
      <w:r w:rsidR="00DD5AFC">
        <w:rPr>
          <w:rFonts w:ascii="Avenir Next" w:hAnsi="Avenir Next"/>
          <w:color w:val="808080" w:themeColor="background1" w:themeShade="80"/>
          <w:sz w:val="22"/>
          <w:szCs w:val="28"/>
          <w:lang w:val="en-GB"/>
        </w:rPr>
        <w:t xml:space="preserve"> </w:t>
      </w:r>
      <w:r w:rsidR="009850A6" w:rsidRPr="00824C6F">
        <w:rPr>
          <w:rFonts w:ascii="Avenir Next" w:hAnsi="Avenir Next"/>
          <w:color w:val="808080" w:themeColor="background1" w:themeShade="80"/>
          <w:sz w:val="22"/>
          <w:szCs w:val="28"/>
          <w:lang w:val="en-GB"/>
        </w:rPr>
        <w:t>will be relevant in determining the Debtor’s COMI in the present case. These include</w:t>
      </w:r>
      <w:r w:rsidR="00824C6F" w:rsidRPr="00824C6F">
        <w:rPr>
          <w:rFonts w:ascii="Avenir Next" w:hAnsi="Avenir Next"/>
          <w:color w:val="808080" w:themeColor="background1" w:themeShade="80"/>
          <w:sz w:val="22"/>
          <w:szCs w:val="28"/>
          <w:lang w:val="en-GB"/>
        </w:rPr>
        <w:t xml:space="preserve">: </w:t>
      </w:r>
    </w:p>
    <w:p w14:paraId="4E7BCEE4" w14:textId="77777777" w:rsidR="00824C6F" w:rsidRDefault="008B6AB3" w:rsidP="00500EC0">
      <w:pPr>
        <w:pStyle w:val="ListParagraph"/>
        <w:numPr>
          <w:ilvl w:val="0"/>
          <w:numId w:val="29"/>
        </w:numPr>
        <w:jc w:val="both"/>
        <w:rPr>
          <w:rFonts w:ascii="Avenir Next" w:hAnsi="Avenir Next"/>
          <w:color w:val="808080" w:themeColor="background1" w:themeShade="80"/>
          <w:sz w:val="22"/>
          <w:szCs w:val="28"/>
          <w:lang w:val="en-GB"/>
        </w:rPr>
      </w:pPr>
      <w:r w:rsidRPr="00824C6F">
        <w:rPr>
          <w:rFonts w:ascii="Avenir Next" w:hAnsi="Avenir Next"/>
          <w:color w:val="808080" w:themeColor="background1" w:themeShade="80"/>
          <w:sz w:val="22"/>
          <w:szCs w:val="28"/>
          <w:lang w:val="en-GB"/>
        </w:rPr>
        <w:t>the place of incorporation of the Debtor which is in the Cayman</w:t>
      </w:r>
      <w:r w:rsidR="00637B2B" w:rsidRPr="00824C6F">
        <w:rPr>
          <w:rFonts w:ascii="Avenir Next" w:hAnsi="Avenir Next"/>
          <w:color w:val="808080" w:themeColor="background1" w:themeShade="80"/>
          <w:sz w:val="22"/>
          <w:szCs w:val="28"/>
          <w:lang w:val="en-GB"/>
        </w:rPr>
        <w:t xml:space="preserve"> Islands. </w:t>
      </w:r>
    </w:p>
    <w:p w14:paraId="381DA46A" w14:textId="1E9D497A" w:rsidR="008A22BC" w:rsidRDefault="00637B2B" w:rsidP="00500EC0">
      <w:pPr>
        <w:pStyle w:val="ListParagraph"/>
        <w:numPr>
          <w:ilvl w:val="0"/>
          <w:numId w:val="29"/>
        </w:numPr>
        <w:jc w:val="both"/>
        <w:rPr>
          <w:rFonts w:ascii="Avenir Next" w:hAnsi="Avenir Next"/>
          <w:color w:val="808080" w:themeColor="background1" w:themeShade="80"/>
          <w:sz w:val="22"/>
          <w:szCs w:val="28"/>
          <w:lang w:val="en-GB"/>
        </w:rPr>
      </w:pPr>
      <w:r w:rsidRPr="00824C6F">
        <w:rPr>
          <w:rFonts w:ascii="Avenir Next" w:hAnsi="Avenir Next"/>
          <w:color w:val="808080" w:themeColor="background1" w:themeShade="80"/>
          <w:sz w:val="22"/>
          <w:szCs w:val="28"/>
          <w:lang w:val="en-GB"/>
        </w:rPr>
        <w:t xml:space="preserve">In addition to re-incorporating as a Cayman Islands entity, the Debtor </w:t>
      </w:r>
      <w:r w:rsidR="003345A4" w:rsidRPr="00824C6F">
        <w:rPr>
          <w:rFonts w:ascii="Avenir Next" w:hAnsi="Avenir Next"/>
          <w:color w:val="808080" w:themeColor="background1" w:themeShade="80"/>
          <w:sz w:val="22"/>
          <w:szCs w:val="28"/>
          <w:lang w:val="en-GB"/>
        </w:rPr>
        <w:t>provided various notices including SEC fili</w:t>
      </w:r>
      <w:r w:rsidR="002F64FE" w:rsidRPr="00824C6F">
        <w:rPr>
          <w:rFonts w:ascii="Avenir Next" w:hAnsi="Avenir Next"/>
          <w:color w:val="808080" w:themeColor="background1" w:themeShade="80"/>
          <w:sz w:val="22"/>
          <w:szCs w:val="28"/>
          <w:lang w:val="en-GB"/>
        </w:rPr>
        <w:t>ngs notifying third parties of its Cayman’s reincorporation</w:t>
      </w:r>
      <w:r w:rsidR="007E7C1A" w:rsidRPr="00824C6F">
        <w:rPr>
          <w:rFonts w:ascii="Avenir Next" w:hAnsi="Avenir Next"/>
          <w:color w:val="808080" w:themeColor="background1" w:themeShade="80"/>
          <w:sz w:val="22"/>
          <w:szCs w:val="28"/>
          <w:lang w:val="en-GB"/>
        </w:rPr>
        <w:t xml:space="preserve"> thus the Debtor identifying as a Cayman company. </w:t>
      </w:r>
    </w:p>
    <w:p w14:paraId="316A7D3E" w14:textId="4F40C737" w:rsidR="007124A9" w:rsidRDefault="007124A9"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prospectus </w:t>
      </w:r>
      <w:r w:rsidR="003616AE">
        <w:rPr>
          <w:rFonts w:ascii="Avenir Next" w:hAnsi="Avenir Next"/>
          <w:color w:val="808080" w:themeColor="background1" w:themeShade="80"/>
          <w:sz w:val="22"/>
          <w:szCs w:val="28"/>
          <w:lang w:val="en-GB"/>
        </w:rPr>
        <w:t xml:space="preserve">provided in connection with the issuance of the Notes at SEC </w:t>
      </w:r>
      <w:r w:rsidR="00CA4651">
        <w:rPr>
          <w:rFonts w:ascii="Avenir Next" w:hAnsi="Avenir Next"/>
          <w:color w:val="808080" w:themeColor="background1" w:themeShade="80"/>
          <w:sz w:val="22"/>
          <w:szCs w:val="28"/>
          <w:lang w:val="en-GB"/>
        </w:rPr>
        <w:t xml:space="preserve">disclosed that the Debtor was a Cayman company. </w:t>
      </w:r>
    </w:p>
    <w:p w14:paraId="2B8646AB" w14:textId="72C6B9C6" w:rsidR="00C67B74" w:rsidRDefault="00C67B74"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w:t>
      </w:r>
      <w:r w:rsidR="009D5023">
        <w:rPr>
          <w:rFonts w:ascii="Avenir Next" w:hAnsi="Avenir Next"/>
          <w:color w:val="808080" w:themeColor="background1" w:themeShade="80"/>
          <w:sz w:val="22"/>
          <w:szCs w:val="28"/>
          <w:lang w:val="en-GB"/>
        </w:rPr>
        <w:t xml:space="preserve">books and records of the Debtor are maintained in the Cayman Islands. </w:t>
      </w:r>
    </w:p>
    <w:p w14:paraId="70C7BF4D" w14:textId="77777777" w:rsidR="008A22BC" w:rsidRPr="008A22BC" w:rsidRDefault="007E7C1A" w:rsidP="00500EC0">
      <w:pPr>
        <w:pStyle w:val="ListParagraph"/>
        <w:numPr>
          <w:ilvl w:val="0"/>
          <w:numId w:val="29"/>
        </w:numPr>
        <w:jc w:val="both"/>
        <w:rPr>
          <w:rFonts w:ascii="Avenir Next" w:hAnsi="Avenir Next"/>
          <w:color w:val="808080" w:themeColor="background1" w:themeShade="80"/>
          <w:sz w:val="22"/>
          <w:szCs w:val="28"/>
          <w:lang w:val="en-GB"/>
        </w:rPr>
      </w:pPr>
      <w:r w:rsidRPr="00824C6F">
        <w:rPr>
          <w:rFonts w:ascii="Avenir Next" w:hAnsi="Avenir Next"/>
          <w:color w:val="808080" w:themeColor="background1" w:themeShade="80"/>
          <w:sz w:val="22"/>
          <w:szCs w:val="28"/>
          <w:lang w:val="en-GB"/>
        </w:rPr>
        <w:t xml:space="preserve">Further the </w:t>
      </w:r>
      <w:r w:rsidR="00A108AD" w:rsidRPr="00824C6F">
        <w:rPr>
          <w:rFonts w:ascii="Avenir Next" w:hAnsi="Avenir Next"/>
          <w:color w:val="808080" w:themeColor="background1" w:themeShade="80"/>
          <w:sz w:val="22"/>
          <w:szCs w:val="28"/>
          <w:lang w:val="en-GB"/>
        </w:rPr>
        <w:t>long-standing</w:t>
      </w:r>
      <w:r w:rsidR="00884E76" w:rsidRPr="00824C6F">
        <w:rPr>
          <w:rFonts w:ascii="Avenir Next" w:hAnsi="Avenir Next"/>
          <w:color w:val="808080" w:themeColor="background1" w:themeShade="80"/>
          <w:sz w:val="22"/>
          <w:szCs w:val="28"/>
          <w:lang w:val="en-GB"/>
        </w:rPr>
        <w:t xml:space="preserve"> counsel</w:t>
      </w:r>
      <w:r w:rsidRPr="00824C6F">
        <w:rPr>
          <w:rFonts w:ascii="Avenir Next" w:hAnsi="Avenir Next"/>
          <w:color w:val="808080" w:themeColor="background1" w:themeShade="80"/>
          <w:sz w:val="22"/>
          <w:szCs w:val="28"/>
          <w:lang w:val="en-GB"/>
        </w:rPr>
        <w:t xml:space="preserve"> of the Debtor</w:t>
      </w:r>
      <w:r w:rsidR="00F54EE1" w:rsidRPr="00824C6F">
        <w:rPr>
          <w:rFonts w:ascii="Avenir Next" w:hAnsi="Avenir Next"/>
          <w:color w:val="808080" w:themeColor="background1" w:themeShade="80"/>
          <w:sz w:val="22"/>
          <w:szCs w:val="28"/>
          <w:lang w:val="en-GB"/>
        </w:rPr>
        <w:t>, Cedar and Woods</w:t>
      </w:r>
      <w:r w:rsidR="002D12A3" w:rsidRPr="00824C6F">
        <w:rPr>
          <w:rFonts w:ascii="Avenir Next" w:hAnsi="Avenir Next"/>
          <w:color w:val="808080" w:themeColor="background1" w:themeShade="80"/>
          <w:sz w:val="22"/>
          <w:szCs w:val="28"/>
        </w:rPr>
        <w:t>,</w:t>
      </w:r>
      <w:r w:rsidR="00F54EE1" w:rsidRPr="00824C6F">
        <w:rPr>
          <w:rFonts w:ascii="Avenir Next" w:hAnsi="Avenir Next"/>
          <w:color w:val="808080" w:themeColor="background1" w:themeShade="80"/>
          <w:sz w:val="22"/>
          <w:szCs w:val="28"/>
        </w:rPr>
        <w:t xml:space="preserve"> </w:t>
      </w:r>
      <w:r w:rsidR="00884E76" w:rsidRPr="00824C6F">
        <w:rPr>
          <w:rFonts w:ascii="Avenir Next" w:hAnsi="Avenir Next"/>
          <w:color w:val="808080" w:themeColor="background1" w:themeShade="80"/>
          <w:sz w:val="22"/>
          <w:szCs w:val="28"/>
        </w:rPr>
        <w:t xml:space="preserve">and </w:t>
      </w:r>
      <w:r w:rsidR="00A108AD" w:rsidRPr="00824C6F">
        <w:rPr>
          <w:rFonts w:ascii="Avenir Next" w:hAnsi="Avenir Next"/>
          <w:color w:val="808080" w:themeColor="background1" w:themeShade="80"/>
          <w:sz w:val="22"/>
          <w:szCs w:val="28"/>
        </w:rPr>
        <w:t xml:space="preserve">its other professionals </w:t>
      </w:r>
      <w:r w:rsidR="002D12A3" w:rsidRPr="00824C6F">
        <w:rPr>
          <w:rFonts w:ascii="Avenir Next" w:hAnsi="Avenir Next"/>
          <w:color w:val="808080" w:themeColor="background1" w:themeShade="80"/>
          <w:sz w:val="22"/>
          <w:szCs w:val="28"/>
        </w:rPr>
        <w:t>are Cayman based</w:t>
      </w:r>
      <w:r w:rsidR="00A108AD" w:rsidRPr="00824C6F">
        <w:rPr>
          <w:rFonts w:ascii="Avenir Next" w:hAnsi="Avenir Next"/>
          <w:color w:val="808080" w:themeColor="background1" w:themeShade="80"/>
          <w:sz w:val="22"/>
          <w:szCs w:val="28"/>
        </w:rPr>
        <w:t xml:space="preserve">. </w:t>
      </w:r>
    </w:p>
    <w:p w14:paraId="33BE244E" w14:textId="77777777" w:rsidR="00510A79" w:rsidRPr="00510A79" w:rsidRDefault="00A108AD" w:rsidP="00500EC0">
      <w:pPr>
        <w:pStyle w:val="ListParagraph"/>
        <w:numPr>
          <w:ilvl w:val="0"/>
          <w:numId w:val="29"/>
        </w:numPr>
        <w:jc w:val="both"/>
        <w:rPr>
          <w:rFonts w:ascii="Avenir Next" w:hAnsi="Avenir Next"/>
          <w:color w:val="808080" w:themeColor="background1" w:themeShade="80"/>
          <w:sz w:val="22"/>
          <w:szCs w:val="28"/>
          <w:lang w:val="en-GB"/>
        </w:rPr>
      </w:pPr>
      <w:r w:rsidRPr="00824C6F">
        <w:rPr>
          <w:rFonts w:ascii="Avenir Next" w:hAnsi="Avenir Next"/>
          <w:color w:val="808080" w:themeColor="background1" w:themeShade="80"/>
          <w:sz w:val="22"/>
          <w:szCs w:val="28"/>
        </w:rPr>
        <w:t xml:space="preserve">Additionally, </w:t>
      </w:r>
      <w:r w:rsidR="002D12A3" w:rsidRPr="00824C6F">
        <w:rPr>
          <w:rFonts w:ascii="Avenir Next" w:hAnsi="Avenir Next"/>
          <w:color w:val="808080" w:themeColor="background1" w:themeShade="80"/>
          <w:sz w:val="22"/>
          <w:szCs w:val="28"/>
        </w:rPr>
        <w:t>most restructuring activity is in Caymans and done by Cayman actors,</w:t>
      </w:r>
      <w:r w:rsidRPr="00824C6F">
        <w:rPr>
          <w:rFonts w:ascii="Avenir Next" w:hAnsi="Avenir Next"/>
          <w:color w:val="808080" w:themeColor="background1" w:themeShade="80"/>
          <w:sz w:val="22"/>
          <w:szCs w:val="28"/>
        </w:rPr>
        <w:t xml:space="preserve"> </w:t>
      </w:r>
      <w:r w:rsidR="00FC4C12" w:rsidRPr="00824C6F">
        <w:rPr>
          <w:rFonts w:ascii="Avenir Next" w:hAnsi="Avenir Next"/>
          <w:color w:val="808080" w:themeColor="background1" w:themeShade="80"/>
          <w:sz w:val="22"/>
          <w:szCs w:val="28"/>
        </w:rPr>
        <w:t>including the</w:t>
      </w:r>
      <w:r w:rsidR="005C7099" w:rsidRPr="00824C6F">
        <w:rPr>
          <w:rFonts w:ascii="Avenir Next" w:hAnsi="Avenir Next"/>
          <w:color w:val="808080" w:themeColor="background1" w:themeShade="80"/>
          <w:sz w:val="22"/>
          <w:szCs w:val="28"/>
        </w:rPr>
        <w:t xml:space="preserve"> organization of the </w:t>
      </w:r>
      <w:r w:rsidR="0011445A" w:rsidRPr="00824C6F">
        <w:rPr>
          <w:rFonts w:ascii="Avenir Next" w:hAnsi="Avenir Next"/>
          <w:color w:val="808080" w:themeColor="background1" w:themeShade="80"/>
          <w:sz w:val="22"/>
          <w:szCs w:val="28"/>
        </w:rPr>
        <w:t>regular and special board meetings</w:t>
      </w:r>
      <w:r w:rsidR="00BA060F">
        <w:rPr>
          <w:rFonts w:ascii="Avenir Next" w:hAnsi="Avenir Next"/>
          <w:color w:val="808080" w:themeColor="background1" w:themeShade="80"/>
          <w:sz w:val="22"/>
          <w:szCs w:val="28"/>
        </w:rPr>
        <w:t xml:space="preserve"> following the support for bond restructuring</w:t>
      </w:r>
      <w:r w:rsidR="0011445A" w:rsidRPr="00824C6F">
        <w:rPr>
          <w:rFonts w:ascii="Avenir Next" w:hAnsi="Avenir Next"/>
          <w:color w:val="808080" w:themeColor="background1" w:themeShade="80"/>
          <w:sz w:val="22"/>
          <w:szCs w:val="28"/>
        </w:rPr>
        <w:t xml:space="preserve"> by the Cayman counsel</w:t>
      </w:r>
      <w:r w:rsidR="00510A79">
        <w:rPr>
          <w:rFonts w:ascii="Avenir Next" w:hAnsi="Avenir Next"/>
          <w:color w:val="808080" w:themeColor="background1" w:themeShade="80"/>
          <w:sz w:val="22"/>
          <w:szCs w:val="28"/>
        </w:rPr>
        <w:t xml:space="preserve">. </w:t>
      </w:r>
    </w:p>
    <w:p w14:paraId="0410DAE2" w14:textId="33FF72D1" w:rsidR="00FC4C12" w:rsidRPr="00FC4C12" w:rsidRDefault="00510A79"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 xml:space="preserve">The supervision of the Debtor’s restructuring by </w:t>
      </w:r>
      <w:r w:rsidR="0011445A" w:rsidRPr="00824C6F">
        <w:rPr>
          <w:rFonts w:ascii="Avenir Next" w:hAnsi="Avenir Next"/>
          <w:color w:val="808080" w:themeColor="background1" w:themeShade="80"/>
          <w:sz w:val="22"/>
          <w:szCs w:val="28"/>
        </w:rPr>
        <w:t xml:space="preserve">the </w:t>
      </w:r>
      <w:r w:rsidR="000305FB" w:rsidRPr="00824C6F">
        <w:rPr>
          <w:rFonts w:ascii="Avenir Next" w:hAnsi="Avenir Next"/>
          <w:color w:val="808080" w:themeColor="background1" w:themeShade="80"/>
          <w:sz w:val="22"/>
          <w:szCs w:val="28"/>
        </w:rPr>
        <w:t>Cayman Court</w:t>
      </w:r>
      <w:r w:rsidR="00CA32C9">
        <w:rPr>
          <w:rFonts w:ascii="Avenir Next" w:hAnsi="Avenir Next"/>
          <w:color w:val="808080" w:themeColor="background1" w:themeShade="80"/>
          <w:sz w:val="22"/>
          <w:szCs w:val="28"/>
        </w:rPr>
        <w:t xml:space="preserve"> </w:t>
      </w:r>
      <w:r w:rsidR="008D6918">
        <w:rPr>
          <w:rFonts w:ascii="Avenir Next" w:hAnsi="Avenir Next"/>
          <w:color w:val="808080" w:themeColor="background1" w:themeShade="80"/>
          <w:sz w:val="22"/>
          <w:szCs w:val="28"/>
        </w:rPr>
        <w:t>under the</w:t>
      </w:r>
      <w:r w:rsidR="00CA32C9">
        <w:rPr>
          <w:rFonts w:ascii="Avenir Next" w:hAnsi="Avenir Next"/>
          <w:color w:val="808080" w:themeColor="background1" w:themeShade="80"/>
          <w:sz w:val="22"/>
          <w:szCs w:val="28"/>
        </w:rPr>
        <w:t xml:space="preserve"> Restructuring </w:t>
      </w:r>
      <w:r w:rsidR="008D6918">
        <w:rPr>
          <w:rFonts w:ascii="Avenir Next" w:hAnsi="Avenir Next"/>
          <w:color w:val="808080" w:themeColor="background1" w:themeShade="80"/>
          <w:sz w:val="22"/>
          <w:szCs w:val="28"/>
        </w:rPr>
        <w:t>Support Agreement</w:t>
      </w:r>
      <w:r w:rsidR="00283267">
        <w:rPr>
          <w:rFonts w:ascii="Avenir Next" w:hAnsi="Avenir Next"/>
          <w:color w:val="808080" w:themeColor="background1" w:themeShade="80"/>
          <w:sz w:val="22"/>
          <w:szCs w:val="28"/>
        </w:rPr>
        <w:t xml:space="preserve"> (RSA)</w:t>
      </w:r>
      <w:r w:rsidR="009761C7">
        <w:rPr>
          <w:rFonts w:ascii="Avenir Next" w:hAnsi="Avenir Next"/>
          <w:color w:val="808080" w:themeColor="background1" w:themeShade="80"/>
          <w:sz w:val="22"/>
          <w:szCs w:val="28"/>
        </w:rPr>
        <w:t xml:space="preserve"> also </w:t>
      </w:r>
      <w:r w:rsidR="00996643">
        <w:rPr>
          <w:rFonts w:ascii="Avenir Next" w:hAnsi="Avenir Next"/>
          <w:color w:val="808080" w:themeColor="background1" w:themeShade="80"/>
          <w:sz w:val="22"/>
          <w:szCs w:val="28"/>
        </w:rPr>
        <w:t>points</w:t>
      </w:r>
      <w:r w:rsidR="009761C7">
        <w:rPr>
          <w:rFonts w:ascii="Avenir Next" w:hAnsi="Avenir Next"/>
          <w:color w:val="808080" w:themeColor="background1" w:themeShade="80"/>
          <w:sz w:val="22"/>
          <w:szCs w:val="28"/>
        </w:rPr>
        <w:t xml:space="preserve"> towards restructuring activities </w:t>
      </w:r>
      <w:proofErr w:type="gramStart"/>
      <w:r w:rsidR="009761C7">
        <w:rPr>
          <w:rFonts w:ascii="Avenir Next" w:hAnsi="Avenir Next"/>
          <w:color w:val="808080" w:themeColor="background1" w:themeShade="80"/>
          <w:sz w:val="22"/>
          <w:szCs w:val="28"/>
        </w:rPr>
        <w:t xml:space="preserve">being </w:t>
      </w:r>
      <w:r w:rsidR="00667285">
        <w:rPr>
          <w:rFonts w:ascii="Avenir Next" w:hAnsi="Avenir Next"/>
          <w:color w:val="808080" w:themeColor="background1" w:themeShade="80"/>
          <w:sz w:val="22"/>
          <w:szCs w:val="28"/>
        </w:rPr>
        <w:t>organized</w:t>
      </w:r>
      <w:proofErr w:type="gramEnd"/>
      <w:r w:rsidR="00667285">
        <w:rPr>
          <w:rFonts w:ascii="Avenir Next" w:hAnsi="Avenir Next"/>
          <w:color w:val="808080" w:themeColor="background1" w:themeShade="80"/>
          <w:sz w:val="22"/>
          <w:szCs w:val="28"/>
        </w:rPr>
        <w:t xml:space="preserve"> in Cayman. </w:t>
      </w:r>
    </w:p>
    <w:p w14:paraId="63252D0C" w14:textId="39CAD675" w:rsidR="00211617" w:rsidRPr="001F7351" w:rsidRDefault="00804F32"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 xml:space="preserve">The scheme meetings </w:t>
      </w:r>
      <w:proofErr w:type="gramStart"/>
      <w:r>
        <w:rPr>
          <w:rFonts w:ascii="Avenir Next" w:hAnsi="Avenir Next"/>
          <w:color w:val="808080" w:themeColor="background1" w:themeShade="80"/>
          <w:sz w:val="22"/>
          <w:szCs w:val="28"/>
        </w:rPr>
        <w:t>were also held</w:t>
      </w:r>
      <w:proofErr w:type="gramEnd"/>
      <w:r>
        <w:rPr>
          <w:rFonts w:ascii="Avenir Next" w:hAnsi="Avenir Next"/>
          <w:color w:val="808080" w:themeColor="background1" w:themeShade="80"/>
          <w:sz w:val="22"/>
          <w:szCs w:val="28"/>
        </w:rPr>
        <w:t xml:space="preserve"> in the Cayman Islands at the offices of Cedar and Woods </w:t>
      </w:r>
      <w:r w:rsidR="00211617">
        <w:rPr>
          <w:rFonts w:ascii="Avenir Next" w:hAnsi="Avenir Next"/>
          <w:color w:val="808080" w:themeColor="background1" w:themeShade="80"/>
          <w:sz w:val="22"/>
          <w:szCs w:val="28"/>
        </w:rPr>
        <w:t>and chaired by an individual who was present in person thus the assumption that they reside in Cayman</w:t>
      </w:r>
      <w:r w:rsidR="00582D4D">
        <w:rPr>
          <w:rFonts w:ascii="Avenir Next" w:hAnsi="Avenir Next"/>
          <w:color w:val="808080" w:themeColor="background1" w:themeShade="80"/>
          <w:sz w:val="22"/>
          <w:szCs w:val="28"/>
        </w:rPr>
        <w:t xml:space="preserve"> (the habitual residence of an individual would determine the COMI)</w:t>
      </w:r>
      <w:r w:rsidR="004A7919">
        <w:rPr>
          <w:rFonts w:ascii="Avenir Next" w:hAnsi="Avenir Next"/>
          <w:color w:val="808080" w:themeColor="background1" w:themeShade="80"/>
          <w:sz w:val="22"/>
          <w:szCs w:val="28"/>
        </w:rPr>
        <w:t xml:space="preserve">. </w:t>
      </w:r>
    </w:p>
    <w:p w14:paraId="784DA678" w14:textId="06FAD982" w:rsidR="001F7351" w:rsidRPr="00147E63" w:rsidRDefault="001F7351"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 xml:space="preserve">The expectations of the creditors </w:t>
      </w:r>
      <w:r w:rsidR="00283267">
        <w:rPr>
          <w:rFonts w:ascii="Avenir Next" w:hAnsi="Avenir Next"/>
          <w:color w:val="808080" w:themeColor="background1" w:themeShade="80"/>
          <w:sz w:val="22"/>
          <w:szCs w:val="28"/>
        </w:rPr>
        <w:t xml:space="preserve">were that the restructuring would take place in the Cayman Islands as per the RSA. </w:t>
      </w:r>
    </w:p>
    <w:p w14:paraId="7BD31970" w14:textId="1BDE1328" w:rsidR="00560A67" w:rsidRPr="00BF1FD6" w:rsidRDefault="00390FE7" w:rsidP="00500EC0">
      <w:pPr>
        <w:pStyle w:val="ListParagraph"/>
        <w:numPr>
          <w:ilvl w:val="0"/>
          <w:numId w:val="29"/>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rPr>
        <w:t xml:space="preserve">Since COMI is being </w:t>
      </w:r>
      <w:proofErr w:type="gramStart"/>
      <w:r>
        <w:rPr>
          <w:rFonts w:ascii="Avenir Next" w:hAnsi="Avenir Next"/>
          <w:color w:val="808080" w:themeColor="background1" w:themeShade="80"/>
          <w:sz w:val="22"/>
          <w:szCs w:val="28"/>
        </w:rPr>
        <w:t>tested</w:t>
      </w:r>
      <w:proofErr w:type="gramEnd"/>
      <w:r>
        <w:rPr>
          <w:rFonts w:ascii="Avenir Next" w:hAnsi="Avenir Next"/>
          <w:color w:val="808080" w:themeColor="background1" w:themeShade="80"/>
          <w:sz w:val="22"/>
          <w:szCs w:val="28"/>
        </w:rPr>
        <w:t xml:space="preserve"> as at the date of the recognition proceeding, the</w:t>
      </w:r>
      <w:r w:rsidR="00147E63">
        <w:rPr>
          <w:rFonts w:ascii="Avenir Next" w:hAnsi="Avenir Next"/>
          <w:color w:val="808080" w:themeColor="background1" w:themeShade="80"/>
          <w:sz w:val="22"/>
          <w:szCs w:val="28"/>
        </w:rPr>
        <w:t xml:space="preserve"> bank account opened </w:t>
      </w:r>
      <w:r w:rsidR="00630285">
        <w:rPr>
          <w:rFonts w:ascii="Avenir Next" w:hAnsi="Avenir Next"/>
          <w:color w:val="808080" w:themeColor="background1" w:themeShade="80"/>
          <w:sz w:val="22"/>
          <w:szCs w:val="28"/>
        </w:rPr>
        <w:t xml:space="preserve">for payment of </w:t>
      </w:r>
      <w:r w:rsidR="003749BF">
        <w:rPr>
          <w:rFonts w:ascii="Avenir Next" w:hAnsi="Avenir Next"/>
          <w:color w:val="808080" w:themeColor="background1" w:themeShade="80"/>
          <w:sz w:val="22"/>
          <w:szCs w:val="28"/>
        </w:rPr>
        <w:t>certain operating</w:t>
      </w:r>
      <w:r w:rsidR="00630285">
        <w:rPr>
          <w:rFonts w:ascii="Avenir Next" w:hAnsi="Avenir Next"/>
          <w:color w:val="808080" w:themeColor="background1" w:themeShade="80"/>
          <w:sz w:val="22"/>
          <w:szCs w:val="28"/>
        </w:rPr>
        <w:t xml:space="preserve"> expenses </w:t>
      </w:r>
      <w:r w:rsidR="006C2452">
        <w:rPr>
          <w:rFonts w:ascii="Avenir Next" w:hAnsi="Avenir Next"/>
          <w:color w:val="808080" w:themeColor="background1" w:themeShade="80"/>
          <w:sz w:val="22"/>
          <w:szCs w:val="28"/>
        </w:rPr>
        <w:t xml:space="preserve">in Caymans </w:t>
      </w:r>
      <w:r w:rsidR="00147E63">
        <w:rPr>
          <w:rFonts w:ascii="Avenir Next" w:hAnsi="Avenir Next"/>
          <w:color w:val="808080" w:themeColor="background1" w:themeShade="80"/>
          <w:sz w:val="22"/>
          <w:szCs w:val="28"/>
        </w:rPr>
        <w:t xml:space="preserve">a few days before the </w:t>
      </w:r>
      <w:r w:rsidR="006C2452">
        <w:rPr>
          <w:rFonts w:ascii="Avenir Next" w:hAnsi="Avenir Next"/>
          <w:color w:val="808080" w:themeColor="background1" w:themeShade="80"/>
          <w:sz w:val="22"/>
          <w:szCs w:val="28"/>
        </w:rPr>
        <w:t>restructuring proceedings</w:t>
      </w:r>
      <w:r w:rsidR="00630285">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would be a </w:t>
      </w:r>
      <w:r w:rsidR="001F3BAC">
        <w:rPr>
          <w:rFonts w:ascii="Avenir Next" w:hAnsi="Avenir Next"/>
          <w:color w:val="808080" w:themeColor="background1" w:themeShade="80"/>
          <w:sz w:val="22"/>
          <w:szCs w:val="28"/>
        </w:rPr>
        <w:t xml:space="preserve">relevant fact for </w:t>
      </w:r>
      <w:r w:rsidR="00EA4E75">
        <w:rPr>
          <w:rFonts w:ascii="Avenir Next" w:hAnsi="Avenir Next"/>
          <w:color w:val="808080" w:themeColor="background1" w:themeShade="80"/>
          <w:sz w:val="22"/>
          <w:szCs w:val="28"/>
        </w:rPr>
        <w:t>consideration as it does not sign</w:t>
      </w:r>
      <w:r w:rsidR="003749BF">
        <w:rPr>
          <w:rFonts w:ascii="Avenir Next" w:hAnsi="Avenir Next"/>
          <w:color w:val="808080" w:themeColor="background1" w:themeShade="80"/>
          <w:sz w:val="22"/>
          <w:szCs w:val="28"/>
        </w:rPr>
        <w:t xml:space="preserve">ify COMI manipulation of COMI shifting in bad faith. </w:t>
      </w:r>
    </w:p>
    <w:p w14:paraId="021A03B8" w14:textId="77777777" w:rsidR="00147E63" w:rsidRDefault="00147E63" w:rsidP="00500EC0">
      <w:pPr>
        <w:jc w:val="both"/>
        <w:rPr>
          <w:rFonts w:ascii="Avenir Next" w:hAnsi="Avenir Next"/>
          <w:color w:val="808080" w:themeColor="background1" w:themeShade="80"/>
          <w:sz w:val="22"/>
          <w:szCs w:val="28"/>
          <w:lang w:val="en-GB"/>
        </w:rPr>
      </w:pPr>
    </w:p>
    <w:p w14:paraId="668AF032" w14:textId="7A16B149" w:rsidR="00667285" w:rsidRDefault="003B0115" w:rsidP="00500EC0">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Aligned with the decision of the Court in</w:t>
      </w:r>
      <w:r w:rsidRPr="00611B6E">
        <w:rPr>
          <w:rFonts w:ascii="Avenir Next" w:hAnsi="Avenir Next"/>
          <w:color w:val="808080" w:themeColor="background1" w:themeShade="80"/>
          <w:sz w:val="22"/>
          <w:szCs w:val="28"/>
          <w:lang w:val="en-GB"/>
        </w:rPr>
        <w:t xml:space="preserve"> </w:t>
      </w:r>
      <w:r w:rsidRPr="007161FC">
        <w:rPr>
          <w:rFonts w:ascii="Avenir Next" w:hAnsi="Avenir Next"/>
          <w:i/>
          <w:iCs/>
          <w:color w:val="808080" w:themeColor="background1" w:themeShade="80"/>
          <w:sz w:val="22"/>
          <w:szCs w:val="28"/>
          <w:lang w:val="en-GB"/>
        </w:rPr>
        <w:t xml:space="preserve">re </w:t>
      </w:r>
      <w:proofErr w:type="spellStart"/>
      <w:r w:rsidRPr="007161FC">
        <w:rPr>
          <w:rFonts w:ascii="Avenir Next" w:hAnsi="Avenir Next"/>
          <w:i/>
          <w:iCs/>
          <w:color w:val="808080" w:themeColor="background1" w:themeShade="80"/>
          <w:sz w:val="22"/>
          <w:szCs w:val="28"/>
          <w:lang w:val="en-GB"/>
        </w:rPr>
        <w:t>Eurofood</w:t>
      </w:r>
      <w:proofErr w:type="spellEnd"/>
      <w:r w:rsidRPr="007161FC">
        <w:rPr>
          <w:rFonts w:ascii="Avenir Next" w:hAnsi="Avenir Next"/>
          <w:i/>
          <w:iCs/>
          <w:color w:val="808080" w:themeColor="background1" w:themeShade="80"/>
          <w:sz w:val="22"/>
          <w:szCs w:val="28"/>
          <w:lang w:val="en-GB"/>
        </w:rPr>
        <w:t xml:space="preserve"> IFSC Ltd</w:t>
      </w:r>
      <w:r w:rsidR="002A4CD9">
        <w:rPr>
          <w:rStyle w:val="FootnoteReference"/>
          <w:rFonts w:ascii="Avenir Next" w:hAnsi="Avenir Next"/>
          <w:color w:val="808080" w:themeColor="background1" w:themeShade="80"/>
          <w:sz w:val="22"/>
          <w:szCs w:val="28"/>
          <w:lang w:val="en-GB"/>
        </w:rPr>
        <w:footnoteReference w:id="9"/>
      </w:r>
      <w:r w:rsidR="002A4CD9">
        <w:rPr>
          <w:rFonts w:ascii="Avenir Next" w:hAnsi="Avenir Next"/>
          <w:color w:val="808080" w:themeColor="background1" w:themeShade="80"/>
          <w:sz w:val="22"/>
          <w:szCs w:val="28"/>
          <w:lang w:val="en-GB"/>
        </w:rPr>
        <w:t xml:space="preserve"> where the Court held that </w:t>
      </w:r>
      <w:r w:rsidR="002A4CD9" w:rsidRPr="002A4CD9">
        <w:rPr>
          <w:rFonts w:ascii="Avenir Next" w:hAnsi="Avenir Next"/>
          <w:color w:val="808080" w:themeColor="background1" w:themeShade="80"/>
          <w:sz w:val="22"/>
          <w:szCs w:val="28"/>
          <w:lang w:val="en-GB"/>
        </w:rPr>
        <w:t xml:space="preserve">the COMI </w:t>
      </w:r>
      <w:r w:rsidRPr="002A4CD9">
        <w:rPr>
          <w:rFonts w:ascii="Avenir Next" w:hAnsi="Avenir Next"/>
          <w:color w:val="808080" w:themeColor="background1" w:themeShade="80"/>
          <w:sz w:val="22"/>
          <w:szCs w:val="28"/>
          <w:lang w:val="en-GB"/>
        </w:rPr>
        <w:t>must be identified based on criteria that are</w:t>
      </w:r>
      <w:r w:rsidR="002A4CD9">
        <w:rPr>
          <w:rFonts w:ascii="Avenir Next" w:hAnsi="Avenir Next"/>
          <w:color w:val="808080" w:themeColor="background1" w:themeShade="80"/>
          <w:sz w:val="22"/>
          <w:szCs w:val="28"/>
          <w:lang w:val="en-GB"/>
        </w:rPr>
        <w:t xml:space="preserve"> </w:t>
      </w:r>
      <w:r w:rsidRPr="002A4CD9">
        <w:rPr>
          <w:rFonts w:ascii="Avenir Next" w:hAnsi="Avenir Next"/>
          <w:color w:val="808080" w:themeColor="background1" w:themeShade="80"/>
          <w:sz w:val="22"/>
          <w:szCs w:val="28"/>
          <w:lang w:val="en-GB"/>
        </w:rPr>
        <w:t>objective</w:t>
      </w:r>
      <w:r w:rsidR="002A4CD9">
        <w:rPr>
          <w:rFonts w:ascii="Avenir Next" w:hAnsi="Avenir Next"/>
          <w:color w:val="808080" w:themeColor="background1" w:themeShade="80"/>
          <w:sz w:val="22"/>
          <w:szCs w:val="28"/>
          <w:lang w:val="en-GB"/>
        </w:rPr>
        <w:t xml:space="preserve"> and </w:t>
      </w:r>
      <w:r w:rsidRPr="002A4CD9">
        <w:rPr>
          <w:rFonts w:ascii="Avenir Next" w:hAnsi="Avenir Next"/>
          <w:color w:val="808080" w:themeColor="background1" w:themeShade="80"/>
          <w:sz w:val="22"/>
          <w:szCs w:val="28"/>
          <w:lang w:val="en-GB"/>
        </w:rPr>
        <w:t>ascertainable by third parties</w:t>
      </w:r>
      <w:r w:rsidR="002A4CD9">
        <w:rPr>
          <w:rFonts w:ascii="Avenir Next" w:hAnsi="Avenir Next"/>
          <w:color w:val="808080" w:themeColor="background1" w:themeShade="80"/>
          <w:sz w:val="22"/>
          <w:szCs w:val="28"/>
          <w:lang w:val="en-GB"/>
        </w:rPr>
        <w:t xml:space="preserve">, </w:t>
      </w:r>
      <w:r w:rsidR="009B6928">
        <w:rPr>
          <w:rFonts w:ascii="Avenir Next" w:hAnsi="Avenir Next"/>
          <w:color w:val="808080" w:themeColor="background1" w:themeShade="80"/>
          <w:sz w:val="22"/>
          <w:szCs w:val="28"/>
          <w:lang w:val="en-GB"/>
        </w:rPr>
        <w:t>the facts present enough evidence to conclude that the COMI of the Debtor is in Cayman</w:t>
      </w:r>
      <w:r w:rsidR="001A2524">
        <w:rPr>
          <w:rFonts w:ascii="Avenir Next" w:hAnsi="Avenir Next"/>
          <w:color w:val="808080" w:themeColor="background1" w:themeShade="80"/>
          <w:sz w:val="22"/>
          <w:szCs w:val="28"/>
          <w:lang w:val="en-GB"/>
        </w:rPr>
        <w:t xml:space="preserve"> Islands and therefore the restructuring proceedings</w:t>
      </w:r>
      <w:r w:rsidR="00996643">
        <w:rPr>
          <w:rFonts w:ascii="Avenir Next" w:hAnsi="Avenir Next"/>
          <w:color w:val="808080" w:themeColor="background1" w:themeShade="80"/>
          <w:sz w:val="22"/>
          <w:szCs w:val="28"/>
          <w:lang w:val="en-GB"/>
        </w:rPr>
        <w:t xml:space="preserve"> in Cayman</w:t>
      </w:r>
      <w:r w:rsidR="002A33E9">
        <w:rPr>
          <w:rFonts w:ascii="Avenir Next" w:hAnsi="Avenir Next"/>
          <w:color w:val="808080" w:themeColor="background1" w:themeShade="80"/>
          <w:sz w:val="22"/>
          <w:szCs w:val="28"/>
          <w:lang w:val="en-GB"/>
        </w:rPr>
        <w:t xml:space="preserve"> Islands</w:t>
      </w:r>
      <w:r w:rsidR="00996643">
        <w:rPr>
          <w:rFonts w:ascii="Avenir Next" w:hAnsi="Avenir Next"/>
          <w:color w:val="808080" w:themeColor="background1" w:themeShade="80"/>
          <w:sz w:val="22"/>
          <w:szCs w:val="28"/>
          <w:lang w:val="en-GB"/>
        </w:rPr>
        <w:t xml:space="preserve"> qualify for recognition as foreign main proceedings. </w:t>
      </w:r>
      <w:r w:rsidR="001A2524">
        <w:rPr>
          <w:rFonts w:ascii="Avenir Next" w:hAnsi="Avenir Next"/>
          <w:color w:val="808080" w:themeColor="background1" w:themeShade="80"/>
          <w:sz w:val="22"/>
          <w:szCs w:val="28"/>
          <w:lang w:val="en-GB"/>
        </w:rPr>
        <w:t xml:space="preserve"> </w:t>
      </w:r>
    </w:p>
    <w:p w14:paraId="46D8DCF3" w14:textId="19433CB2" w:rsidR="00833F85" w:rsidRPr="00667285" w:rsidRDefault="00833F85" w:rsidP="00500EC0">
      <w:pPr>
        <w:jc w:val="both"/>
        <w:rPr>
          <w:rFonts w:ascii="Avenir Next" w:hAnsi="Avenir Next"/>
          <w:color w:val="808080" w:themeColor="background1" w:themeShade="80"/>
          <w:sz w:val="22"/>
          <w:szCs w:val="28"/>
          <w:lang w:val="en-GB"/>
        </w:rPr>
      </w:pPr>
    </w:p>
    <w:p w14:paraId="39A7FB0C" w14:textId="7FA47537" w:rsidR="002B721C" w:rsidRDefault="003C78BB" w:rsidP="00500EC0">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Having est</w:t>
      </w:r>
      <w:r w:rsidR="008106DF">
        <w:rPr>
          <w:rFonts w:ascii="Avenir Next" w:hAnsi="Avenir Next"/>
          <w:color w:val="808080" w:themeColor="background1" w:themeShade="80"/>
          <w:sz w:val="22"/>
          <w:szCs w:val="28"/>
          <w:lang w:val="en-GB"/>
        </w:rPr>
        <w:t xml:space="preserve">ablished the COMI of the Debtor, we will further assess the Debtor’s establishment </w:t>
      </w:r>
      <w:r w:rsidR="009D7E49">
        <w:rPr>
          <w:rFonts w:ascii="Avenir Next" w:hAnsi="Avenir Next"/>
          <w:color w:val="808080" w:themeColor="background1" w:themeShade="80"/>
          <w:sz w:val="22"/>
          <w:szCs w:val="28"/>
          <w:lang w:val="en-GB"/>
        </w:rPr>
        <w:t>pursuant to the provisions of the MLCBI to determine whether the proceedings could be recognised as foreign non main proceedings.</w:t>
      </w:r>
      <w:r w:rsidR="00A212A2">
        <w:rPr>
          <w:rFonts w:ascii="Avenir Next" w:hAnsi="Avenir Next"/>
          <w:color w:val="808080" w:themeColor="background1" w:themeShade="80"/>
          <w:sz w:val="22"/>
          <w:szCs w:val="28"/>
          <w:lang w:val="en-GB"/>
        </w:rPr>
        <w:t xml:space="preserve"> Section</w:t>
      </w:r>
      <w:r w:rsidR="000B75B8">
        <w:rPr>
          <w:rFonts w:ascii="Avenir Next" w:hAnsi="Avenir Next"/>
          <w:color w:val="808080" w:themeColor="background1" w:themeShade="80"/>
          <w:sz w:val="22"/>
          <w:szCs w:val="28"/>
          <w:lang w:val="en-GB"/>
        </w:rPr>
        <w:t xml:space="preserve"> 1502(2) of</w:t>
      </w:r>
      <w:r w:rsidR="00A212A2">
        <w:rPr>
          <w:rFonts w:ascii="Avenir Next" w:hAnsi="Avenir Next"/>
          <w:color w:val="808080" w:themeColor="background1" w:themeShade="80"/>
          <w:sz w:val="22"/>
          <w:szCs w:val="28"/>
          <w:lang w:val="en-GB"/>
        </w:rPr>
        <w:t xml:space="preserve"> </w:t>
      </w:r>
      <w:r w:rsidR="000B75B8">
        <w:rPr>
          <w:rFonts w:ascii="Avenir Next" w:hAnsi="Avenir Next"/>
          <w:color w:val="808080" w:themeColor="background1" w:themeShade="80"/>
          <w:sz w:val="22"/>
          <w:szCs w:val="28"/>
          <w:lang w:val="en-GB"/>
        </w:rPr>
        <w:t>t</w:t>
      </w:r>
      <w:r w:rsidR="00A212A2">
        <w:rPr>
          <w:rFonts w:ascii="Avenir Next" w:hAnsi="Avenir Next"/>
          <w:color w:val="808080" w:themeColor="background1" w:themeShade="80"/>
          <w:sz w:val="22"/>
          <w:szCs w:val="28"/>
          <w:lang w:val="en-GB"/>
        </w:rPr>
        <w:t xml:space="preserve">he US Bankruptcy Code </w:t>
      </w:r>
      <w:r w:rsidR="000B75B8">
        <w:rPr>
          <w:rFonts w:ascii="Avenir Next" w:hAnsi="Avenir Next"/>
          <w:color w:val="808080" w:themeColor="background1" w:themeShade="80"/>
          <w:sz w:val="22"/>
          <w:szCs w:val="28"/>
          <w:lang w:val="en-GB"/>
        </w:rPr>
        <w:t xml:space="preserve">defines an establishment as </w:t>
      </w:r>
      <w:r w:rsidR="000B75B8" w:rsidRPr="000B75B8">
        <w:rPr>
          <w:rFonts w:ascii="Avenir Next" w:hAnsi="Avenir Next"/>
          <w:color w:val="808080" w:themeColor="background1" w:themeShade="80"/>
          <w:sz w:val="22"/>
          <w:szCs w:val="28"/>
        </w:rPr>
        <w:t>any place of operations where the debtor carries out a non</w:t>
      </w:r>
      <w:r w:rsidR="00273EF2">
        <w:rPr>
          <w:rFonts w:ascii="Avenir Next" w:hAnsi="Avenir Next"/>
          <w:color w:val="808080" w:themeColor="background1" w:themeShade="80"/>
          <w:sz w:val="22"/>
          <w:szCs w:val="28"/>
        </w:rPr>
        <w:t>-</w:t>
      </w:r>
      <w:r w:rsidR="000B75B8" w:rsidRPr="000B75B8">
        <w:rPr>
          <w:rFonts w:ascii="Avenir Next" w:hAnsi="Avenir Next"/>
          <w:color w:val="808080" w:themeColor="background1" w:themeShade="80"/>
          <w:sz w:val="22"/>
          <w:szCs w:val="28"/>
        </w:rPr>
        <w:t>transitory economic activity</w:t>
      </w:r>
      <w:r w:rsidR="00273EF2">
        <w:rPr>
          <w:rFonts w:ascii="Avenir Next" w:hAnsi="Avenir Next"/>
          <w:color w:val="808080" w:themeColor="background1" w:themeShade="80"/>
          <w:sz w:val="22"/>
          <w:szCs w:val="28"/>
          <w:lang w:val="en-GB"/>
        </w:rPr>
        <w:t xml:space="preserve">. </w:t>
      </w:r>
      <w:r w:rsidR="003E15FD">
        <w:rPr>
          <w:rFonts w:ascii="Avenir Next" w:hAnsi="Avenir Next"/>
          <w:color w:val="808080" w:themeColor="background1" w:themeShade="80"/>
          <w:sz w:val="22"/>
          <w:szCs w:val="28"/>
          <w:lang w:val="en-GB"/>
        </w:rPr>
        <w:t xml:space="preserve">In determining whether an establishment exists, the factor to consider </w:t>
      </w:r>
      <w:r w:rsidR="00462F71">
        <w:rPr>
          <w:rFonts w:ascii="Avenir Next" w:hAnsi="Avenir Next"/>
          <w:color w:val="808080" w:themeColor="background1" w:themeShade="80"/>
          <w:sz w:val="22"/>
          <w:szCs w:val="28"/>
          <w:lang w:val="en-GB"/>
        </w:rPr>
        <w:t xml:space="preserve">are as follows: </w:t>
      </w:r>
    </w:p>
    <w:p w14:paraId="30D9F947" w14:textId="77777777" w:rsidR="00462F71" w:rsidRDefault="00462F71" w:rsidP="00500EC0">
      <w:pPr>
        <w:jc w:val="both"/>
        <w:rPr>
          <w:rFonts w:ascii="Avenir Next" w:hAnsi="Avenir Next"/>
          <w:color w:val="808080" w:themeColor="background1" w:themeShade="80"/>
          <w:sz w:val="22"/>
          <w:szCs w:val="28"/>
          <w:lang w:val="en-GB"/>
        </w:rPr>
      </w:pPr>
    </w:p>
    <w:p w14:paraId="5184C74F" w14:textId="69810A7D" w:rsidR="00FF2955" w:rsidRDefault="00273EF2" w:rsidP="00500EC0">
      <w:pPr>
        <w:pStyle w:val="ListParagraph"/>
        <w:numPr>
          <w:ilvl w:val="0"/>
          <w:numId w:val="33"/>
        </w:numPr>
        <w:jc w:val="both"/>
        <w:rPr>
          <w:rFonts w:ascii="Avenir Next" w:hAnsi="Avenir Next"/>
          <w:color w:val="808080" w:themeColor="background1" w:themeShade="80"/>
          <w:sz w:val="22"/>
          <w:szCs w:val="28"/>
        </w:rPr>
      </w:pPr>
      <w:r w:rsidRPr="00FF2955">
        <w:rPr>
          <w:rFonts w:ascii="Avenir Next" w:hAnsi="Avenir Next"/>
          <w:color w:val="808080" w:themeColor="background1" w:themeShade="80"/>
          <w:sz w:val="22"/>
          <w:szCs w:val="28"/>
        </w:rPr>
        <w:t xml:space="preserve">The economic impact of the Debtor’s operations </w:t>
      </w:r>
      <w:r w:rsidR="00E827BC" w:rsidRPr="00FF2955">
        <w:rPr>
          <w:rFonts w:ascii="Avenir Next" w:hAnsi="Avenir Next"/>
          <w:color w:val="808080" w:themeColor="background1" w:themeShade="80"/>
          <w:sz w:val="22"/>
          <w:szCs w:val="28"/>
        </w:rPr>
        <w:t>on the market</w:t>
      </w:r>
      <w:r w:rsidR="00AB4627" w:rsidRPr="00FF2955">
        <w:rPr>
          <w:rFonts w:ascii="Avenir Next" w:hAnsi="Avenir Next"/>
          <w:color w:val="808080" w:themeColor="background1" w:themeShade="80"/>
          <w:sz w:val="22"/>
          <w:szCs w:val="28"/>
        </w:rPr>
        <w:t xml:space="preserve">. </w:t>
      </w:r>
      <w:r w:rsidR="00CA0C50" w:rsidRPr="00FF2955">
        <w:rPr>
          <w:rFonts w:ascii="Avenir Next" w:hAnsi="Avenir Next"/>
          <w:color w:val="808080" w:themeColor="background1" w:themeShade="80"/>
          <w:sz w:val="22"/>
          <w:szCs w:val="28"/>
        </w:rPr>
        <w:t>S</w:t>
      </w:r>
      <w:r w:rsidR="00621A34" w:rsidRPr="00FF2955">
        <w:rPr>
          <w:rFonts w:ascii="Avenir Next" w:hAnsi="Avenir Next"/>
          <w:color w:val="808080" w:themeColor="background1" w:themeShade="80"/>
          <w:sz w:val="22"/>
          <w:szCs w:val="28"/>
        </w:rPr>
        <w:t>ince all</w:t>
      </w:r>
      <w:r w:rsidR="00CA0C50" w:rsidRPr="00FF2955">
        <w:rPr>
          <w:rFonts w:ascii="Avenir Next" w:hAnsi="Avenir Next"/>
          <w:color w:val="808080" w:themeColor="background1" w:themeShade="80"/>
          <w:sz w:val="22"/>
          <w:szCs w:val="28"/>
        </w:rPr>
        <w:t xml:space="preserve"> the business of the Debtor </w:t>
      </w:r>
      <w:proofErr w:type="gramStart"/>
      <w:r w:rsidR="00CA0C50" w:rsidRPr="00FF2955">
        <w:rPr>
          <w:rFonts w:ascii="Avenir Next" w:hAnsi="Avenir Next"/>
          <w:color w:val="808080" w:themeColor="background1" w:themeShade="80"/>
          <w:sz w:val="22"/>
          <w:szCs w:val="28"/>
        </w:rPr>
        <w:t xml:space="preserve">is </w:t>
      </w:r>
      <w:r w:rsidR="007251B5" w:rsidRPr="00FF2955">
        <w:rPr>
          <w:rFonts w:ascii="Avenir Next" w:hAnsi="Avenir Next"/>
          <w:color w:val="808080" w:themeColor="background1" w:themeShade="80"/>
          <w:sz w:val="22"/>
          <w:szCs w:val="28"/>
        </w:rPr>
        <w:t>conducted</w:t>
      </w:r>
      <w:proofErr w:type="gramEnd"/>
      <w:r w:rsidR="00CA0C50" w:rsidRPr="00FF2955">
        <w:rPr>
          <w:rFonts w:ascii="Avenir Next" w:hAnsi="Avenir Next"/>
          <w:color w:val="808080" w:themeColor="background1" w:themeShade="80"/>
          <w:sz w:val="22"/>
          <w:szCs w:val="28"/>
        </w:rPr>
        <w:t xml:space="preserve"> through its</w:t>
      </w:r>
      <w:r w:rsidR="00621A34" w:rsidRPr="00FF2955">
        <w:rPr>
          <w:rFonts w:ascii="Avenir Next" w:hAnsi="Avenir Next"/>
          <w:color w:val="808080" w:themeColor="background1" w:themeShade="80"/>
          <w:sz w:val="22"/>
          <w:szCs w:val="28"/>
        </w:rPr>
        <w:t xml:space="preserve"> non-insurance company non-debtor subsidiaries incorporated under US Laws, headquartered in US and with employees based in US, it can be concluded that the economic impact of the Debtor’s operation is in the US. </w:t>
      </w:r>
    </w:p>
    <w:p w14:paraId="21EA3223" w14:textId="1159994A" w:rsidR="00FF2955" w:rsidRDefault="007D4FBA" w:rsidP="00500EC0">
      <w:pPr>
        <w:pStyle w:val="ListParagraph"/>
        <w:numPr>
          <w:ilvl w:val="0"/>
          <w:numId w:val="33"/>
        </w:numPr>
        <w:jc w:val="both"/>
        <w:rPr>
          <w:rFonts w:ascii="Avenir Next" w:hAnsi="Avenir Next"/>
          <w:color w:val="808080" w:themeColor="background1" w:themeShade="80"/>
          <w:sz w:val="22"/>
          <w:szCs w:val="28"/>
        </w:rPr>
      </w:pPr>
      <w:r w:rsidRPr="00FF2955">
        <w:rPr>
          <w:rFonts w:ascii="Avenir Next" w:hAnsi="Avenir Next"/>
          <w:color w:val="808080" w:themeColor="background1" w:themeShade="80"/>
          <w:sz w:val="22"/>
          <w:szCs w:val="28"/>
        </w:rPr>
        <w:lastRenderedPageBreak/>
        <w:t>T</w:t>
      </w:r>
      <w:r w:rsidRPr="00FF2955">
        <w:rPr>
          <w:rFonts w:ascii="Avenir Next" w:hAnsi="Avenir Next"/>
          <w:color w:val="808080" w:themeColor="background1" w:themeShade="80"/>
          <w:sz w:val="22"/>
          <w:szCs w:val="28"/>
        </w:rPr>
        <w:t>he presence of an asset and minimal management or organization</w:t>
      </w:r>
      <w:r w:rsidRPr="00FF2955">
        <w:rPr>
          <w:rFonts w:ascii="Avenir Next" w:hAnsi="Avenir Next"/>
          <w:color w:val="808080" w:themeColor="background1" w:themeShade="80"/>
          <w:sz w:val="22"/>
          <w:szCs w:val="28"/>
        </w:rPr>
        <w:t xml:space="preserve"> can also determine an establishment as </w:t>
      </w:r>
      <w:proofErr w:type="gramStart"/>
      <w:r w:rsidRPr="00FF2955">
        <w:rPr>
          <w:rFonts w:ascii="Avenir Next" w:hAnsi="Avenir Next"/>
          <w:color w:val="808080" w:themeColor="background1" w:themeShade="80"/>
          <w:sz w:val="22"/>
          <w:szCs w:val="28"/>
        </w:rPr>
        <w:t>was held</w:t>
      </w:r>
      <w:proofErr w:type="gramEnd"/>
      <w:r w:rsidR="006E5879" w:rsidRPr="00FF2955">
        <w:rPr>
          <w:rFonts w:ascii="Avenir Next" w:hAnsi="Avenir Next"/>
          <w:color w:val="808080" w:themeColor="background1" w:themeShade="80"/>
          <w:sz w:val="22"/>
          <w:szCs w:val="28"/>
        </w:rPr>
        <w:t xml:space="preserve"> in</w:t>
      </w:r>
      <w:r w:rsidR="003C5AA4" w:rsidRPr="00FF2955">
        <w:rPr>
          <w:rFonts w:ascii="Avenir Next" w:hAnsi="Avenir Next"/>
          <w:i/>
          <w:iCs/>
          <w:color w:val="808080" w:themeColor="background1" w:themeShade="80"/>
          <w:sz w:val="22"/>
          <w:szCs w:val="28"/>
        </w:rPr>
        <w:t xml:space="preserve"> re Millennium Global Emerging Credit Master Fund Ltd.</w:t>
      </w:r>
      <w:r w:rsidR="003C5AA4" w:rsidRPr="00FF2955">
        <w:rPr>
          <w:rFonts w:ascii="Avenir Next" w:hAnsi="Avenir Next"/>
          <w:color w:val="808080" w:themeColor="background1" w:themeShade="80"/>
          <w:sz w:val="22"/>
          <w:szCs w:val="28"/>
        </w:rPr>
        <w:t>,</w:t>
      </w:r>
      <w:r w:rsidR="00D902B9">
        <w:rPr>
          <w:rStyle w:val="FootnoteReference"/>
          <w:rFonts w:ascii="Avenir Next" w:hAnsi="Avenir Next"/>
          <w:color w:val="808080" w:themeColor="background1" w:themeShade="80"/>
          <w:sz w:val="22"/>
          <w:szCs w:val="28"/>
        </w:rPr>
        <w:footnoteReference w:id="10"/>
      </w:r>
      <w:r w:rsidR="001E2FAF" w:rsidRPr="00FF2955">
        <w:rPr>
          <w:rFonts w:ascii="Avenir Next" w:hAnsi="Avenir Next"/>
          <w:color w:val="808080" w:themeColor="background1" w:themeShade="80"/>
          <w:sz w:val="22"/>
          <w:szCs w:val="28"/>
        </w:rPr>
        <w:t xml:space="preserve">. In the present case, </w:t>
      </w:r>
      <w:r w:rsidR="00FF2955" w:rsidRPr="00FF2955">
        <w:rPr>
          <w:rFonts w:ascii="Avenir Next" w:hAnsi="Avenir Next"/>
          <w:color w:val="808080" w:themeColor="background1" w:themeShade="80"/>
          <w:sz w:val="22"/>
          <w:szCs w:val="28"/>
        </w:rPr>
        <w:t>Debtor</w:t>
      </w:r>
      <w:r w:rsidR="00C85ADD" w:rsidRPr="00FF2955">
        <w:rPr>
          <w:rFonts w:ascii="Avenir Next" w:hAnsi="Avenir Next"/>
          <w:color w:val="808080" w:themeColor="background1" w:themeShade="80"/>
          <w:sz w:val="22"/>
          <w:szCs w:val="28"/>
        </w:rPr>
        <w:t xml:space="preserve"> has </w:t>
      </w:r>
      <w:r w:rsidR="00961344" w:rsidRPr="00FF2955">
        <w:rPr>
          <w:rFonts w:ascii="Avenir Next" w:hAnsi="Avenir Next"/>
          <w:color w:val="808080" w:themeColor="background1" w:themeShade="80"/>
          <w:sz w:val="22"/>
          <w:szCs w:val="28"/>
        </w:rPr>
        <w:t>corporate</w:t>
      </w:r>
      <w:r w:rsidR="00C85ADD" w:rsidRPr="00FF2955">
        <w:rPr>
          <w:rFonts w:ascii="Avenir Next" w:hAnsi="Avenir Next"/>
          <w:color w:val="808080" w:themeColor="background1" w:themeShade="80"/>
          <w:sz w:val="22"/>
          <w:szCs w:val="28"/>
        </w:rPr>
        <w:t xml:space="preserve"> headquarters in the US which include land</w:t>
      </w:r>
      <w:r w:rsidR="002158B6" w:rsidRPr="00FF2955">
        <w:rPr>
          <w:rFonts w:ascii="Avenir Next" w:hAnsi="Avenir Next"/>
          <w:color w:val="808080" w:themeColor="background1" w:themeShade="80"/>
          <w:sz w:val="22"/>
          <w:szCs w:val="28"/>
        </w:rPr>
        <w:t xml:space="preserve">, building, building improvements and contents including furniture and fixtures. </w:t>
      </w:r>
      <w:r w:rsidR="00581CBF" w:rsidRPr="00FF2955">
        <w:rPr>
          <w:rFonts w:ascii="Avenir Next" w:hAnsi="Avenir Next"/>
          <w:color w:val="808080" w:themeColor="background1" w:themeShade="80"/>
          <w:sz w:val="22"/>
          <w:szCs w:val="28"/>
        </w:rPr>
        <w:t xml:space="preserve">This qualifies for the presence of an asset which would make </w:t>
      </w:r>
      <w:r w:rsidR="00EA03D0" w:rsidRPr="00FF2955">
        <w:rPr>
          <w:rFonts w:ascii="Avenir Next" w:hAnsi="Avenir Next"/>
          <w:color w:val="808080" w:themeColor="background1" w:themeShade="80"/>
          <w:sz w:val="22"/>
          <w:szCs w:val="28"/>
        </w:rPr>
        <w:t>the US</w:t>
      </w:r>
      <w:r w:rsidR="00581CBF" w:rsidRPr="00FF2955">
        <w:rPr>
          <w:rFonts w:ascii="Avenir Next" w:hAnsi="Avenir Next"/>
          <w:color w:val="808080" w:themeColor="background1" w:themeShade="80"/>
          <w:sz w:val="22"/>
          <w:szCs w:val="28"/>
        </w:rPr>
        <w:t xml:space="preserve"> an establishment. </w:t>
      </w:r>
    </w:p>
    <w:p w14:paraId="707D015C" w14:textId="67AAE398" w:rsidR="00EA03D0" w:rsidRPr="00FF2955" w:rsidRDefault="00EA03D0" w:rsidP="00500EC0">
      <w:pPr>
        <w:pStyle w:val="ListParagraph"/>
        <w:numPr>
          <w:ilvl w:val="0"/>
          <w:numId w:val="33"/>
        </w:numPr>
        <w:jc w:val="both"/>
        <w:rPr>
          <w:rFonts w:ascii="Avenir Next" w:hAnsi="Avenir Next"/>
          <w:color w:val="808080" w:themeColor="background1" w:themeShade="80"/>
          <w:sz w:val="22"/>
          <w:szCs w:val="28"/>
        </w:rPr>
      </w:pPr>
      <w:r w:rsidRPr="00FF2955">
        <w:rPr>
          <w:rFonts w:ascii="Avenir Next" w:hAnsi="Avenir Next"/>
          <w:color w:val="808080" w:themeColor="background1" w:themeShade="80"/>
          <w:sz w:val="22"/>
          <w:szCs w:val="28"/>
        </w:rPr>
        <w:t xml:space="preserve">Similarly, in the Millennium Global case, the courts </w:t>
      </w:r>
      <w:r w:rsidR="00116768" w:rsidRPr="00FF2955">
        <w:rPr>
          <w:rFonts w:ascii="Avenir Next" w:hAnsi="Avenir Next"/>
          <w:color w:val="808080" w:themeColor="background1" w:themeShade="80"/>
          <w:sz w:val="22"/>
          <w:szCs w:val="28"/>
        </w:rPr>
        <w:t xml:space="preserve">held that the objective appearance to creditors whether the Debtor has a local presence can also </w:t>
      </w:r>
      <w:proofErr w:type="gramStart"/>
      <w:r w:rsidR="00116768" w:rsidRPr="00FF2955">
        <w:rPr>
          <w:rFonts w:ascii="Avenir Next" w:hAnsi="Avenir Next"/>
          <w:color w:val="808080" w:themeColor="background1" w:themeShade="80"/>
          <w:sz w:val="22"/>
          <w:szCs w:val="28"/>
        </w:rPr>
        <w:t>be used</w:t>
      </w:r>
      <w:proofErr w:type="gramEnd"/>
      <w:r w:rsidR="00116768" w:rsidRPr="00FF2955">
        <w:rPr>
          <w:rFonts w:ascii="Avenir Next" w:hAnsi="Avenir Next"/>
          <w:color w:val="808080" w:themeColor="background1" w:themeShade="80"/>
          <w:sz w:val="22"/>
          <w:szCs w:val="28"/>
        </w:rPr>
        <w:t xml:space="preserve"> to determine establishment. The Debtor in the present case </w:t>
      </w:r>
      <w:r w:rsidR="00B40D72" w:rsidRPr="00FF2955">
        <w:rPr>
          <w:rFonts w:ascii="Avenir Next" w:hAnsi="Avenir Next"/>
          <w:color w:val="808080" w:themeColor="background1" w:themeShade="80"/>
          <w:sz w:val="22"/>
          <w:szCs w:val="28"/>
        </w:rPr>
        <w:t xml:space="preserve">facilitated the participation of creditors in the Scheme meetings via Satellite location </w:t>
      </w:r>
      <w:r w:rsidR="00AA23FD" w:rsidRPr="00FF2955">
        <w:rPr>
          <w:rFonts w:ascii="Avenir Next" w:hAnsi="Avenir Next"/>
          <w:color w:val="808080" w:themeColor="background1" w:themeShade="80"/>
          <w:sz w:val="22"/>
          <w:szCs w:val="28"/>
        </w:rPr>
        <w:t xml:space="preserve">in New York, </w:t>
      </w:r>
      <w:proofErr w:type="gramStart"/>
      <w:r w:rsidR="00AA23FD" w:rsidRPr="00FF2955">
        <w:rPr>
          <w:rFonts w:ascii="Avenir Next" w:hAnsi="Avenir Next"/>
          <w:color w:val="808080" w:themeColor="background1" w:themeShade="80"/>
          <w:sz w:val="22"/>
          <w:szCs w:val="28"/>
        </w:rPr>
        <w:t xml:space="preserve">the </w:t>
      </w:r>
      <w:r w:rsidR="005452FB" w:rsidRPr="00FF2955">
        <w:rPr>
          <w:rFonts w:ascii="Avenir Next" w:hAnsi="Avenir Next"/>
          <w:color w:val="808080" w:themeColor="background1" w:themeShade="80"/>
          <w:sz w:val="22"/>
          <w:szCs w:val="28"/>
        </w:rPr>
        <w:t xml:space="preserve">Notes and the </w:t>
      </w:r>
      <w:r w:rsidR="00AA23FD" w:rsidRPr="00FF2955">
        <w:rPr>
          <w:rFonts w:ascii="Avenir Next" w:hAnsi="Avenir Next"/>
          <w:color w:val="808080" w:themeColor="background1" w:themeShade="80"/>
          <w:sz w:val="22"/>
          <w:szCs w:val="28"/>
        </w:rPr>
        <w:t>RSA was governed by US law and employees</w:t>
      </w:r>
      <w:proofErr w:type="gramEnd"/>
      <w:r w:rsidR="00AA23FD" w:rsidRPr="00FF2955">
        <w:rPr>
          <w:rFonts w:ascii="Avenir Next" w:hAnsi="Avenir Next"/>
          <w:color w:val="808080" w:themeColor="background1" w:themeShade="80"/>
          <w:sz w:val="22"/>
          <w:szCs w:val="28"/>
        </w:rPr>
        <w:t xml:space="preserve"> were based in the US thus creating an objective appearance of presence hence the US can be concluded to be an establishment. </w:t>
      </w:r>
    </w:p>
    <w:p w14:paraId="5241B980" w14:textId="77777777" w:rsidR="005E47C5" w:rsidRDefault="005E47C5" w:rsidP="00500EC0">
      <w:pPr>
        <w:shd w:val="clear" w:color="auto" w:fill="FFFFFF"/>
        <w:jc w:val="both"/>
        <w:rPr>
          <w:rFonts w:ascii="IBM Plex Sans" w:hAnsi="IBM Plex Sans"/>
          <w:color w:val="212121"/>
          <w:shd w:val="clear" w:color="auto" w:fill="EEEEEE"/>
        </w:rPr>
      </w:pPr>
    </w:p>
    <w:p w14:paraId="0C0D7CB3" w14:textId="77777777" w:rsidR="00672F36" w:rsidRDefault="005452FB"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Having satisfactorily established that the COMI of the Debtor is in Cayman Islands and the establishment in the US, </w:t>
      </w:r>
      <w:r w:rsidR="006A4C7A">
        <w:rPr>
          <w:rFonts w:ascii="Avenir Next" w:hAnsi="Avenir Next"/>
          <w:color w:val="808080" w:themeColor="background1" w:themeShade="80"/>
          <w:sz w:val="22"/>
          <w:szCs w:val="28"/>
        </w:rPr>
        <w:t xml:space="preserve">and based on the fact that </w:t>
      </w:r>
      <w:r w:rsidR="00CE4414">
        <w:rPr>
          <w:rFonts w:ascii="Avenir Next" w:hAnsi="Avenir Next"/>
          <w:color w:val="808080" w:themeColor="background1" w:themeShade="80"/>
          <w:sz w:val="22"/>
          <w:szCs w:val="28"/>
        </w:rPr>
        <w:t xml:space="preserve">the Sanction Order has been filed </w:t>
      </w:r>
      <w:r w:rsidR="00DE5C9A">
        <w:rPr>
          <w:rFonts w:ascii="Avenir Next" w:hAnsi="Avenir Next"/>
          <w:color w:val="808080" w:themeColor="background1" w:themeShade="80"/>
          <w:sz w:val="22"/>
          <w:szCs w:val="28"/>
        </w:rPr>
        <w:t>with the Registrar of Companies, making it binding,</w:t>
      </w:r>
      <w:r w:rsidR="00CE441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the </w:t>
      </w:r>
      <w:r w:rsidR="001E6F2A">
        <w:rPr>
          <w:rFonts w:ascii="Avenir Next" w:hAnsi="Avenir Next"/>
          <w:color w:val="808080" w:themeColor="background1" w:themeShade="80"/>
          <w:sz w:val="22"/>
          <w:szCs w:val="28"/>
        </w:rPr>
        <w:t xml:space="preserve">next step in the filing strategy would be to </w:t>
      </w:r>
      <w:r w:rsidR="006A4C7A">
        <w:rPr>
          <w:rFonts w:ascii="Avenir Next" w:hAnsi="Avenir Next"/>
          <w:color w:val="808080" w:themeColor="background1" w:themeShade="80"/>
          <w:sz w:val="22"/>
          <w:szCs w:val="28"/>
        </w:rPr>
        <w:t xml:space="preserve">institute </w:t>
      </w:r>
      <w:r w:rsidR="001B5D7D">
        <w:rPr>
          <w:rFonts w:ascii="Avenir Next" w:hAnsi="Avenir Next"/>
          <w:color w:val="808080" w:themeColor="background1" w:themeShade="80"/>
          <w:sz w:val="22"/>
          <w:szCs w:val="28"/>
        </w:rPr>
        <w:t xml:space="preserve">Chapter 15 </w:t>
      </w:r>
      <w:r w:rsidR="006A4C7A">
        <w:rPr>
          <w:rFonts w:ascii="Avenir Next" w:hAnsi="Avenir Next"/>
          <w:color w:val="808080" w:themeColor="background1" w:themeShade="80"/>
          <w:sz w:val="22"/>
          <w:szCs w:val="28"/>
        </w:rPr>
        <w:t>recognition proceedings in the US</w:t>
      </w:r>
      <w:r w:rsidR="00E72A7F">
        <w:rPr>
          <w:rFonts w:ascii="Avenir Next" w:hAnsi="Avenir Next"/>
          <w:color w:val="808080" w:themeColor="background1" w:themeShade="80"/>
          <w:sz w:val="22"/>
          <w:szCs w:val="28"/>
        </w:rPr>
        <w:t xml:space="preserve"> seeking the recognition of the Cayman Scheme as a foreign main proceeding</w:t>
      </w:r>
      <w:r w:rsidR="00DB29E8">
        <w:rPr>
          <w:rFonts w:ascii="Avenir Next" w:hAnsi="Avenir Next"/>
          <w:color w:val="808080" w:themeColor="background1" w:themeShade="80"/>
          <w:sz w:val="22"/>
          <w:szCs w:val="28"/>
        </w:rPr>
        <w:t>.</w:t>
      </w:r>
    </w:p>
    <w:p w14:paraId="43DA3392" w14:textId="04D83B47" w:rsidR="005507DC" w:rsidRDefault="00EE4C12" w:rsidP="00500EC0">
      <w:pPr>
        <w:spacing w:before="360" w:after="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Pursuant to Article </w:t>
      </w:r>
      <w:r w:rsidR="00E237D7">
        <w:rPr>
          <w:rFonts w:ascii="Avenir Next" w:hAnsi="Avenir Next"/>
          <w:color w:val="808080" w:themeColor="background1" w:themeShade="80"/>
          <w:sz w:val="22"/>
          <w:szCs w:val="28"/>
        </w:rPr>
        <w:t xml:space="preserve">15 of the MLCBI and Section 1515 of the US Bankruptcy Code, an application for recognition </w:t>
      </w:r>
      <w:r w:rsidR="00360124">
        <w:rPr>
          <w:rFonts w:ascii="Avenir Next" w:hAnsi="Avenir Next"/>
          <w:color w:val="808080" w:themeColor="background1" w:themeShade="80"/>
          <w:sz w:val="22"/>
          <w:szCs w:val="28"/>
        </w:rPr>
        <w:t xml:space="preserve">of a foreign proceeding in which a foreign representative, in this case </w:t>
      </w:r>
      <w:r w:rsidR="00172C9A">
        <w:rPr>
          <w:rFonts w:ascii="Avenir Next" w:hAnsi="Avenir Next"/>
          <w:color w:val="808080" w:themeColor="background1" w:themeShade="80"/>
          <w:sz w:val="22"/>
          <w:szCs w:val="28"/>
        </w:rPr>
        <w:t>a Restructuring Officer</w:t>
      </w:r>
      <w:r w:rsidR="00901F11">
        <w:rPr>
          <w:rStyle w:val="FootnoteReference"/>
          <w:rFonts w:ascii="Avenir Next" w:hAnsi="Avenir Next"/>
          <w:color w:val="808080" w:themeColor="background1" w:themeShade="80"/>
          <w:sz w:val="22"/>
          <w:szCs w:val="28"/>
        </w:rPr>
        <w:footnoteReference w:id="11"/>
      </w:r>
      <w:r w:rsidR="005507DC">
        <w:rPr>
          <w:rFonts w:ascii="Avenir Next" w:hAnsi="Avenir Next"/>
          <w:color w:val="808080" w:themeColor="background1" w:themeShade="80"/>
          <w:sz w:val="22"/>
          <w:szCs w:val="28"/>
        </w:rPr>
        <w:t xml:space="preserve"> (RO)</w:t>
      </w:r>
      <w:r w:rsidR="003347EC">
        <w:rPr>
          <w:rFonts w:ascii="Avenir Next" w:hAnsi="Avenir Next"/>
          <w:color w:val="808080" w:themeColor="background1" w:themeShade="80"/>
          <w:sz w:val="22"/>
          <w:szCs w:val="28"/>
        </w:rPr>
        <w:t xml:space="preserve">, has </w:t>
      </w:r>
      <w:proofErr w:type="gramStart"/>
      <w:r w:rsidR="003347EC">
        <w:rPr>
          <w:rFonts w:ascii="Avenir Next" w:hAnsi="Avenir Next"/>
          <w:color w:val="808080" w:themeColor="background1" w:themeShade="80"/>
          <w:sz w:val="22"/>
          <w:szCs w:val="28"/>
        </w:rPr>
        <w:t>been appointed</w:t>
      </w:r>
      <w:proofErr w:type="gramEnd"/>
      <w:r w:rsidR="003347EC">
        <w:rPr>
          <w:rFonts w:ascii="Avenir Next" w:hAnsi="Avenir Next"/>
          <w:color w:val="808080" w:themeColor="background1" w:themeShade="80"/>
          <w:sz w:val="22"/>
          <w:szCs w:val="28"/>
        </w:rPr>
        <w:t xml:space="preserve"> </w:t>
      </w:r>
      <w:r w:rsidR="005E58F6">
        <w:rPr>
          <w:rFonts w:ascii="Avenir Next" w:hAnsi="Avenir Next"/>
          <w:color w:val="808080" w:themeColor="background1" w:themeShade="80"/>
          <w:sz w:val="22"/>
          <w:szCs w:val="28"/>
        </w:rPr>
        <w:t xml:space="preserve">should be accompanied by certain documents. </w:t>
      </w:r>
      <w:r w:rsidR="005507DC">
        <w:rPr>
          <w:rFonts w:ascii="Avenir Next" w:hAnsi="Avenir Next"/>
          <w:color w:val="808080" w:themeColor="background1" w:themeShade="80"/>
          <w:sz w:val="22"/>
          <w:szCs w:val="28"/>
        </w:rPr>
        <w:t xml:space="preserve">In the case study, the papers that </w:t>
      </w:r>
      <w:r w:rsidR="00FF2955">
        <w:rPr>
          <w:rFonts w:ascii="Avenir Next" w:hAnsi="Avenir Next"/>
          <w:color w:val="808080" w:themeColor="background1" w:themeShade="80"/>
          <w:sz w:val="22"/>
          <w:szCs w:val="28"/>
        </w:rPr>
        <w:t xml:space="preserve">the RO needs to submit </w:t>
      </w:r>
      <w:r w:rsidR="00BA0D2F">
        <w:rPr>
          <w:rFonts w:ascii="Avenir Next" w:hAnsi="Avenir Next"/>
          <w:color w:val="808080" w:themeColor="background1" w:themeShade="80"/>
          <w:sz w:val="22"/>
          <w:szCs w:val="28"/>
        </w:rPr>
        <w:t xml:space="preserve">to the US Court to give effect to the Cayman Scheme </w:t>
      </w:r>
      <w:r w:rsidR="005507DC">
        <w:rPr>
          <w:rFonts w:ascii="Avenir Next" w:hAnsi="Avenir Next"/>
          <w:color w:val="808080" w:themeColor="background1" w:themeShade="80"/>
          <w:sz w:val="22"/>
          <w:szCs w:val="28"/>
        </w:rPr>
        <w:t>are as follows:</w:t>
      </w:r>
    </w:p>
    <w:p w14:paraId="04E85E1C" w14:textId="74C738B2" w:rsidR="00FF2955" w:rsidRDefault="00FF2955"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Petition for recognition of the Cayman Scheme</w:t>
      </w:r>
      <w:r w:rsidR="00A72B0C">
        <w:rPr>
          <w:rFonts w:ascii="Avenir Next" w:hAnsi="Avenir Next"/>
          <w:color w:val="808080" w:themeColor="background1" w:themeShade="80"/>
          <w:sz w:val="22"/>
          <w:szCs w:val="28"/>
        </w:rPr>
        <w:t>, the RO</w:t>
      </w:r>
      <w:r w:rsidR="000F23D3">
        <w:rPr>
          <w:rFonts w:ascii="Avenir Next" w:hAnsi="Avenir Next"/>
          <w:color w:val="808080" w:themeColor="background1" w:themeShade="80"/>
          <w:sz w:val="22"/>
          <w:szCs w:val="28"/>
        </w:rPr>
        <w:t xml:space="preserve"> and related relief </w:t>
      </w:r>
      <w:r w:rsidR="000F23D3" w:rsidRPr="00A72B0C">
        <w:rPr>
          <w:rFonts w:ascii="Avenir Next" w:hAnsi="Avenir Next"/>
          <w:color w:val="808080" w:themeColor="background1" w:themeShade="80"/>
          <w:sz w:val="22"/>
          <w:szCs w:val="28"/>
        </w:rPr>
        <w:t>under Chapter 15 of the Bankruptcy Code</w:t>
      </w:r>
      <w:r w:rsidR="000F23D3">
        <w:rPr>
          <w:rFonts w:ascii="Avenir Next" w:hAnsi="Avenir Next"/>
          <w:color w:val="808080" w:themeColor="background1" w:themeShade="80"/>
          <w:sz w:val="22"/>
          <w:szCs w:val="28"/>
        </w:rPr>
        <w:t xml:space="preserve">. </w:t>
      </w:r>
    </w:p>
    <w:p w14:paraId="4296FF25" w14:textId="47A0BD80" w:rsidR="00FF2955" w:rsidRDefault="00FF2955" w:rsidP="00500EC0">
      <w:pPr>
        <w:pStyle w:val="ListParagraph"/>
        <w:numPr>
          <w:ilvl w:val="0"/>
          <w:numId w:val="34"/>
        </w:numPr>
        <w:jc w:val="both"/>
        <w:rPr>
          <w:rFonts w:ascii="Avenir Next" w:hAnsi="Avenir Next"/>
          <w:color w:val="808080" w:themeColor="background1" w:themeShade="80"/>
          <w:sz w:val="22"/>
          <w:szCs w:val="28"/>
        </w:rPr>
      </w:pPr>
      <w:r w:rsidRPr="00FF2955">
        <w:rPr>
          <w:rFonts w:ascii="Avenir Next" w:hAnsi="Avenir Next"/>
          <w:color w:val="808080" w:themeColor="background1" w:themeShade="80"/>
          <w:sz w:val="22"/>
          <w:szCs w:val="28"/>
        </w:rPr>
        <w:t>Certified copy of the Sanction Order</w:t>
      </w:r>
      <w:r>
        <w:rPr>
          <w:rFonts w:ascii="Avenir Next" w:hAnsi="Avenir Next"/>
          <w:color w:val="808080" w:themeColor="background1" w:themeShade="80"/>
          <w:sz w:val="22"/>
          <w:szCs w:val="28"/>
        </w:rPr>
        <w:t xml:space="preserve"> commencing the Scheme and appointing the RO. </w:t>
      </w:r>
    </w:p>
    <w:p w14:paraId="0CC7FD4E" w14:textId="536BFB61" w:rsidR="005B508C" w:rsidRDefault="005B508C"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Certified copy of the Convening Order</w:t>
      </w:r>
      <w:r w:rsidR="00607433">
        <w:rPr>
          <w:rFonts w:ascii="Avenir Next" w:hAnsi="Avenir Next"/>
          <w:color w:val="808080" w:themeColor="background1" w:themeShade="80"/>
          <w:sz w:val="22"/>
          <w:szCs w:val="28"/>
        </w:rPr>
        <w:t xml:space="preserve">. </w:t>
      </w:r>
    </w:p>
    <w:p w14:paraId="0102A3FF" w14:textId="79B32CCD" w:rsidR="00607433" w:rsidRDefault="00607433"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Certified copy of the </w:t>
      </w:r>
      <w:r w:rsidR="00091CCC">
        <w:rPr>
          <w:rFonts w:ascii="Avenir Next" w:hAnsi="Avenir Next"/>
          <w:color w:val="808080" w:themeColor="background1" w:themeShade="80"/>
          <w:sz w:val="22"/>
          <w:szCs w:val="28"/>
        </w:rPr>
        <w:t>minutes of the Scheme Meeting</w:t>
      </w:r>
      <w:r w:rsidR="00D921AC">
        <w:rPr>
          <w:rFonts w:ascii="Avenir Next" w:hAnsi="Avenir Next"/>
          <w:color w:val="808080" w:themeColor="background1" w:themeShade="80"/>
          <w:sz w:val="22"/>
          <w:szCs w:val="28"/>
        </w:rPr>
        <w:t xml:space="preserve"> and resultant resolutions. </w:t>
      </w:r>
    </w:p>
    <w:p w14:paraId="07011552" w14:textId="77777777" w:rsidR="00D518B1" w:rsidRDefault="00D921AC"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Certified copy of the Restructuring Support Agreement.</w:t>
      </w:r>
    </w:p>
    <w:p w14:paraId="0BE3A119" w14:textId="0B3689E4" w:rsidR="00D921AC" w:rsidRPr="00FF2955" w:rsidRDefault="00D518B1"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Certified copy of the approval of Noteholders to the RSA</w:t>
      </w:r>
      <w:r w:rsidR="00131279">
        <w:rPr>
          <w:rFonts w:ascii="Avenir Next" w:hAnsi="Avenir Next"/>
          <w:color w:val="808080" w:themeColor="background1" w:themeShade="80"/>
          <w:sz w:val="22"/>
          <w:szCs w:val="28"/>
        </w:rPr>
        <w:t xml:space="preserve">. </w:t>
      </w:r>
    </w:p>
    <w:p w14:paraId="14CB5469" w14:textId="29620742" w:rsidR="00FF2955" w:rsidRDefault="00FF2955"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Court </w:t>
      </w:r>
      <w:r w:rsidR="001F1497">
        <w:rPr>
          <w:rFonts w:ascii="Avenir Next" w:hAnsi="Avenir Next"/>
          <w:color w:val="808080" w:themeColor="background1" w:themeShade="80"/>
          <w:sz w:val="22"/>
          <w:szCs w:val="28"/>
        </w:rPr>
        <w:t xml:space="preserve">affirming existence of the Scheme and RO’s appointment. </w:t>
      </w:r>
    </w:p>
    <w:p w14:paraId="08CE83D9" w14:textId="374C018B" w:rsidR="00BF154F" w:rsidRDefault="00702CE6"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statement identifying </w:t>
      </w:r>
      <w:r w:rsidR="00C62A07">
        <w:rPr>
          <w:rFonts w:ascii="Avenir Next" w:hAnsi="Avenir Next"/>
          <w:color w:val="808080" w:themeColor="background1" w:themeShade="80"/>
          <w:sz w:val="22"/>
          <w:szCs w:val="28"/>
        </w:rPr>
        <w:t xml:space="preserve">all foreign proceedings with respect to the Debtor that are known to the </w:t>
      </w:r>
      <w:r w:rsidR="00131279">
        <w:rPr>
          <w:rFonts w:ascii="Avenir Next" w:hAnsi="Avenir Next"/>
          <w:color w:val="808080" w:themeColor="background1" w:themeShade="80"/>
          <w:sz w:val="22"/>
          <w:szCs w:val="28"/>
        </w:rPr>
        <w:t xml:space="preserve">RO. </w:t>
      </w:r>
    </w:p>
    <w:p w14:paraId="0DCF3582" w14:textId="2BB1AF41" w:rsidR="00BF154F" w:rsidRPr="00BF154F" w:rsidRDefault="00BF154F" w:rsidP="00500EC0">
      <w:pPr>
        <w:pStyle w:val="ListParagraph"/>
        <w:numPr>
          <w:ilvl w:val="0"/>
          <w:numId w:val="34"/>
        </w:numPr>
        <w:jc w:val="both"/>
        <w:rPr>
          <w:rFonts w:ascii="Avenir Next" w:hAnsi="Avenir Next"/>
          <w:color w:val="808080" w:themeColor="background1" w:themeShade="80"/>
          <w:sz w:val="22"/>
          <w:szCs w:val="28"/>
        </w:rPr>
      </w:pPr>
      <w:r w:rsidRPr="00BF154F">
        <w:rPr>
          <w:rFonts w:ascii="Avenir Next" w:hAnsi="Avenir Next"/>
          <w:color w:val="808080" w:themeColor="background1" w:themeShade="80"/>
          <w:sz w:val="22"/>
          <w:szCs w:val="28"/>
        </w:rPr>
        <w:t xml:space="preserve">A statement </w:t>
      </w:r>
      <w:r>
        <w:rPr>
          <w:rFonts w:ascii="Avenir Next" w:hAnsi="Avenir Next"/>
          <w:color w:val="808080" w:themeColor="background1" w:themeShade="80"/>
          <w:sz w:val="22"/>
          <w:szCs w:val="28"/>
        </w:rPr>
        <w:t xml:space="preserve">explaining </w:t>
      </w:r>
      <w:r w:rsidRPr="00BF154F">
        <w:rPr>
          <w:rFonts w:ascii="Avenir Next" w:hAnsi="Avenir Next"/>
          <w:color w:val="808080" w:themeColor="background1" w:themeShade="80"/>
          <w:sz w:val="22"/>
          <w:szCs w:val="28"/>
        </w:rPr>
        <w:t>the legal consequences of the Cayman Scheme on Noteholders and other creditors.</w:t>
      </w:r>
    </w:p>
    <w:p w14:paraId="24A8EFD9" w14:textId="616AB3B8" w:rsidR="00C62A07" w:rsidRPr="00FF2955" w:rsidRDefault="00A31011" w:rsidP="00500EC0">
      <w:pPr>
        <w:pStyle w:val="ListParagraph"/>
        <w:numPr>
          <w:ilvl w:val="0"/>
          <w:numId w:val="3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translation of all the above documents if required by the US Court. </w:t>
      </w:r>
    </w:p>
    <w:p w14:paraId="16276507" w14:textId="7C759951" w:rsidR="005E47C5" w:rsidRDefault="00DB29E8"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p>
    <w:p w14:paraId="1F8380AF" w14:textId="0B9FDE92" w:rsidR="00493DF4" w:rsidRDefault="000322F7"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US Courts will then </w:t>
      </w:r>
      <w:r w:rsidR="0081641E">
        <w:rPr>
          <w:rFonts w:ascii="Avenir Next" w:hAnsi="Avenir Next"/>
          <w:color w:val="808080" w:themeColor="background1" w:themeShade="80"/>
          <w:sz w:val="22"/>
          <w:szCs w:val="28"/>
        </w:rPr>
        <w:t xml:space="preserve">rely on the recognition presumptions under Article 16 of the MLCBI to presume the authenticity of the documents as well as </w:t>
      </w:r>
      <w:r w:rsidR="0093097E">
        <w:rPr>
          <w:rFonts w:ascii="Avenir Next" w:hAnsi="Avenir Next"/>
          <w:color w:val="808080" w:themeColor="background1" w:themeShade="80"/>
          <w:sz w:val="22"/>
          <w:szCs w:val="28"/>
        </w:rPr>
        <w:t xml:space="preserve">the existence of a foreign proceeding and the appointment of the RO. </w:t>
      </w:r>
      <w:r w:rsidR="00781586">
        <w:rPr>
          <w:rFonts w:ascii="Avenir Next" w:hAnsi="Avenir Next"/>
          <w:color w:val="808080" w:themeColor="background1" w:themeShade="80"/>
          <w:sz w:val="22"/>
          <w:szCs w:val="28"/>
        </w:rPr>
        <w:t xml:space="preserve">If the requirements of </w:t>
      </w:r>
      <w:r w:rsidR="00F703BB">
        <w:rPr>
          <w:rFonts w:ascii="Avenir Next" w:hAnsi="Avenir Next"/>
          <w:color w:val="808080" w:themeColor="background1" w:themeShade="80"/>
          <w:sz w:val="22"/>
          <w:szCs w:val="28"/>
        </w:rPr>
        <w:t xml:space="preserve">Article 15 </w:t>
      </w:r>
      <w:proofErr w:type="gramStart"/>
      <w:r w:rsidR="00F703BB">
        <w:rPr>
          <w:rFonts w:ascii="Avenir Next" w:hAnsi="Avenir Next"/>
          <w:color w:val="808080" w:themeColor="background1" w:themeShade="80"/>
          <w:sz w:val="22"/>
          <w:szCs w:val="28"/>
        </w:rPr>
        <w:t>are met</w:t>
      </w:r>
      <w:proofErr w:type="gramEnd"/>
      <w:r w:rsidR="00F703BB">
        <w:rPr>
          <w:rFonts w:ascii="Avenir Next" w:hAnsi="Avenir Next"/>
          <w:color w:val="808080" w:themeColor="background1" w:themeShade="80"/>
          <w:sz w:val="22"/>
          <w:szCs w:val="28"/>
        </w:rPr>
        <w:t xml:space="preserve">, then recognition is granted as a matter of course. </w:t>
      </w:r>
      <w:r w:rsidR="00374563">
        <w:rPr>
          <w:rFonts w:ascii="Avenir Next" w:hAnsi="Avenir Next"/>
          <w:color w:val="808080" w:themeColor="background1" w:themeShade="80"/>
          <w:sz w:val="22"/>
          <w:szCs w:val="28"/>
        </w:rPr>
        <w:t xml:space="preserve">This is in line with several decisions of the US Courts, including the </w:t>
      </w:r>
      <w:proofErr w:type="spellStart"/>
      <w:r w:rsidR="00374563">
        <w:rPr>
          <w:rFonts w:ascii="Avenir Next" w:hAnsi="Avenir Next"/>
          <w:color w:val="808080" w:themeColor="background1" w:themeShade="80"/>
          <w:sz w:val="22"/>
          <w:szCs w:val="28"/>
        </w:rPr>
        <w:t>Agrokor</w:t>
      </w:r>
      <w:proofErr w:type="spellEnd"/>
      <w:r w:rsidR="00374563">
        <w:rPr>
          <w:rFonts w:ascii="Avenir Next" w:hAnsi="Avenir Next"/>
          <w:color w:val="808080" w:themeColor="background1" w:themeShade="80"/>
          <w:sz w:val="22"/>
          <w:szCs w:val="28"/>
        </w:rPr>
        <w:t xml:space="preserve"> case where the decision of a foreign co</w:t>
      </w:r>
      <w:r w:rsidR="00FA4900">
        <w:rPr>
          <w:rFonts w:ascii="Avenir Next" w:hAnsi="Avenir Next"/>
          <w:color w:val="808080" w:themeColor="background1" w:themeShade="80"/>
          <w:sz w:val="22"/>
          <w:szCs w:val="28"/>
        </w:rPr>
        <w:t xml:space="preserve">urt exercising proper </w:t>
      </w:r>
      <w:proofErr w:type="gramStart"/>
      <w:r w:rsidR="00FA4900">
        <w:rPr>
          <w:rFonts w:ascii="Avenir Next" w:hAnsi="Avenir Next"/>
          <w:color w:val="808080" w:themeColor="background1" w:themeShade="80"/>
          <w:sz w:val="22"/>
          <w:szCs w:val="28"/>
        </w:rPr>
        <w:t>jurisdiction</w:t>
      </w:r>
      <w:proofErr w:type="gramEnd"/>
      <w:r w:rsidR="00FA4900">
        <w:rPr>
          <w:rFonts w:ascii="Avenir Next" w:hAnsi="Avenir Next"/>
          <w:color w:val="808080" w:themeColor="background1" w:themeShade="80"/>
          <w:sz w:val="22"/>
          <w:szCs w:val="28"/>
        </w:rPr>
        <w:t xml:space="preserve"> was recognized and enforced in the US. </w:t>
      </w:r>
    </w:p>
    <w:p w14:paraId="5C6CD462" w14:textId="77777777" w:rsidR="006624A5" w:rsidRDefault="006624A5" w:rsidP="00500EC0">
      <w:pPr>
        <w:jc w:val="both"/>
        <w:rPr>
          <w:rFonts w:ascii="Avenir Next" w:hAnsi="Avenir Next"/>
          <w:color w:val="808080" w:themeColor="background1" w:themeShade="80"/>
          <w:sz w:val="22"/>
          <w:szCs w:val="28"/>
        </w:rPr>
      </w:pPr>
    </w:p>
    <w:p w14:paraId="36098462" w14:textId="06F56288" w:rsidR="006007AD" w:rsidRDefault="00113B22"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In terms of relie</w:t>
      </w:r>
      <w:r w:rsidR="00C84715">
        <w:rPr>
          <w:rFonts w:ascii="Avenir Next" w:hAnsi="Avenir Next"/>
          <w:color w:val="808080" w:themeColor="background1" w:themeShade="80"/>
          <w:sz w:val="22"/>
          <w:szCs w:val="28"/>
        </w:rPr>
        <w:t xml:space="preserve">f, </w:t>
      </w:r>
      <w:r w:rsidR="006007AD">
        <w:rPr>
          <w:rFonts w:ascii="Avenir Next" w:hAnsi="Avenir Next"/>
          <w:color w:val="808080" w:themeColor="background1" w:themeShade="80"/>
          <w:sz w:val="22"/>
          <w:szCs w:val="28"/>
        </w:rPr>
        <w:t xml:space="preserve">under Section 1519 of the US Bankruptcy Code, </w:t>
      </w:r>
      <w:r w:rsidR="002E0201">
        <w:rPr>
          <w:rFonts w:ascii="Avenir Next" w:hAnsi="Avenir Next"/>
          <w:color w:val="808080" w:themeColor="background1" w:themeShade="80"/>
          <w:sz w:val="22"/>
          <w:szCs w:val="28"/>
        </w:rPr>
        <w:t xml:space="preserve">the RO should seek that </w:t>
      </w:r>
      <w:r w:rsidR="006007AD">
        <w:rPr>
          <w:rFonts w:ascii="Avenir Next" w:hAnsi="Avenir Next"/>
          <w:color w:val="808080" w:themeColor="background1" w:themeShade="80"/>
          <w:sz w:val="22"/>
          <w:szCs w:val="28"/>
        </w:rPr>
        <w:t>the Court</w:t>
      </w:r>
      <w:r w:rsidR="002E0201">
        <w:rPr>
          <w:rFonts w:ascii="Avenir Next" w:hAnsi="Avenir Next"/>
          <w:color w:val="808080" w:themeColor="background1" w:themeShade="80"/>
          <w:sz w:val="22"/>
          <w:szCs w:val="28"/>
        </w:rPr>
        <w:t xml:space="preserve"> </w:t>
      </w:r>
      <w:r w:rsidR="00476107">
        <w:rPr>
          <w:rFonts w:ascii="Avenir Next" w:hAnsi="Avenir Next"/>
          <w:color w:val="808080" w:themeColor="background1" w:themeShade="80"/>
          <w:sz w:val="22"/>
          <w:szCs w:val="28"/>
        </w:rPr>
        <w:t>grant</w:t>
      </w:r>
      <w:r w:rsidR="002E0201">
        <w:rPr>
          <w:rFonts w:ascii="Avenir Next" w:hAnsi="Avenir Next"/>
          <w:color w:val="808080" w:themeColor="background1" w:themeShade="80"/>
          <w:sz w:val="22"/>
          <w:szCs w:val="28"/>
        </w:rPr>
        <w:t>’s</w:t>
      </w:r>
      <w:r w:rsidR="00476107">
        <w:rPr>
          <w:rFonts w:ascii="Avenir Next" w:hAnsi="Avenir Next"/>
          <w:color w:val="808080" w:themeColor="background1" w:themeShade="80"/>
          <w:sz w:val="22"/>
          <w:szCs w:val="28"/>
        </w:rPr>
        <w:t xml:space="preserve"> an interim relief </w:t>
      </w:r>
      <w:r w:rsidR="002E0201">
        <w:rPr>
          <w:rFonts w:ascii="Avenir Next" w:hAnsi="Avenir Next"/>
          <w:color w:val="808080" w:themeColor="background1" w:themeShade="80"/>
          <w:sz w:val="22"/>
          <w:szCs w:val="28"/>
        </w:rPr>
        <w:t>on day one</w:t>
      </w:r>
      <w:r w:rsidR="00E276AD">
        <w:rPr>
          <w:rFonts w:ascii="Avenir Next" w:hAnsi="Avenir Next"/>
          <w:color w:val="808080" w:themeColor="background1" w:themeShade="80"/>
          <w:sz w:val="22"/>
          <w:szCs w:val="28"/>
        </w:rPr>
        <w:t xml:space="preserve">, pending a ruling on the recognition petition, </w:t>
      </w:r>
      <w:r w:rsidR="006705BD">
        <w:rPr>
          <w:rFonts w:ascii="Avenir Next" w:hAnsi="Avenir Next"/>
          <w:color w:val="808080" w:themeColor="background1" w:themeShade="80"/>
          <w:sz w:val="22"/>
          <w:szCs w:val="28"/>
        </w:rPr>
        <w:t xml:space="preserve">staying execution against the Debtor’s assets and entrusting the RO with the </w:t>
      </w:r>
      <w:r w:rsidR="00585E63">
        <w:rPr>
          <w:rFonts w:ascii="Avenir Next" w:hAnsi="Avenir Next"/>
          <w:color w:val="808080" w:themeColor="background1" w:themeShade="80"/>
          <w:sz w:val="22"/>
          <w:szCs w:val="28"/>
        </w:rPr>
        <w:t>administration</w:t>
      </w:r>
      <w:r w:rsidR="00BE082F">
        <w:rPr>
          <w:rFonts w:ascii="Avenir Next" w:hAnsi="Avenir Next"/>
          <w:color w:val="808080" w:themeColor="background1" w:themeShade="80"/>
          <w:sz w:val="22"/>
          <w:szCs w:val="28"/>
        </w:rPr>
        <w:t xml:space="preserve"> of the Debtor’s assets to ensure the Scheme is able to meet its obligations </w:t>
      </w:r>
      <w:r w:rsidR="00B830A3">
        <w:rPr>
          <w:rFonts w:ascii="Avenir Next" w:hAnsi="Avenir Next"/>
          <w:color w:val="808080" w:themeColor="background1" w:themeShade="80"/>
          <w:sz w:val="22"/>
          <w:szCs w:val="28"/>
        </w:rPr>
        <w:t xml:space="preserve">following the extension of maturity of the Notes and settle the quarterly interests in kind from the Debtor’s assets. </w:t>
      </w:r>
    </w:p>
    <w:p w14:paraId="7B529EDB" w14:textId="77777777" w:rsidR="006007AD" w:rsidRDefault="006007AD" w:rsidP="00500EC0">
      <w:pPr>
        <w:jc w:val="both"/>
        <w:rPr>
          <w:rFonts w:ascii="Avenir Next" w:hAnsi="Avenir Next"/>
          <w:color w:val="808080" w:themeColor="background1" w:themeShade="80"/>
          <w:sz w:val="22"/>
          <w:szCs w:val="28"/>
        </w:rPr>
      </w:pPr>
    </w:p>
    <w:p w14:paraId="3E7D805D" w14:textId="5F53582E" w:rsidR="00113B22" w:rsidRDefault="00313487"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Since there is </w:t>
      </w:r>
      <w:r w:rsidR="00C84715">
        <w:rPr>
          <w:rFonts w:ascii="Avenir Next" w:hAnsi="Avenir Next"/>
          <w:color w:val="808080" w:themeColor="background1" w:themeShade="80"/>
          <w:sz w:val="22"/>
          <w:szCs w:val="28"/>
        </w:rPr>
        <w:t>a brewing class action</w:t>
      </w:r>
      <w:r w:rsidR="001937A4">
        <w:rPr>
          <w:rFonts w:ascii="Avenir Next" w:hAnsi="Avenir Next"/>
          <w:color w:val="808080" w:themeColor="background1" w:themeShade="80"/>
          <w:sz w:val="22"/>
          <w:szCs w:val="28"/>
        </w:rPr>
        <w:t xml:space="preserve"> litigation in the US</w:t>
      </w:r>
      <w:r w:rsidR="00C84715">
        <w:rPr>
          <w:rFonts w:ascii="Avenir Next" w:hAnsi="Avenir Next"/>
          <w:color w:val="808080" w:themeColor="background1" w:themeShade="80"/>
          <w:sz w:val="22"/>
          <w:szCs w:val="28"/>
        </w:rPr>
        <w:t>, the initial relief should</w:t>
      </w:r>
      <w:r>
        <w:rPr>
          <w:rFonts w:ascii="Avenir Next" w:hAnsi="Avenir Next"/>
          <w:color w:val="808080" w:themeColor="background1" w:themeShade="80"/>
          <w:sz w:val="22"/>
          <w:szCs w:val="28"/>
        </w:rPr>
        <w:t xml:space="preserve"> also</w:t>
      </w:r>
      <w:r w:rsidR="00C84715">
        <w:rPr>
          <w:rFonts w:ascii="Avenir Next" w:hAnsi="Avenir Next"/>
          <w:color w:val="808080" w:themeColor="background1" w:themeShade="80"/>
          <w:sz w:val="22"/>
          <w:szCs w:val="28"/>
        </w:rPr>
        <w:t xml:space="preserve"> relate to </w:t>
      </w:r>
      <w:r w:rsidR="00F025EC">
        <w:rPr>
          <w:rFonts w:ascii="Avenir Next" w:hAnsi="Avenir Next"/>
          <w:color w:val="808080" w:themeColor="background1" w:themeShade="80"/>
          <w:sz w:val="22"/>
          <w:szCs w:val="28"/>
        </w:rPr>
        <w:t xml:space="preserve">the stay of commencement of </w:t>
      </w:r>
      <w:r w:rsidR="001937A4">
        <w:rPr>
          <w:rFonts w:ascii="Avenir Next" w:hAnsi="Avenir Next"/>
          <w:color w:val="808080" w:themeColor="background1" w:themeShade="80"/>
          <w:sz w:val="22"/>
          <w:szCs w:val="28"/>
        </w:rPr>
        <w:t xml:space="preserve">any action concerning the Debtor’s </w:t>
      </w:r>
      <w:r w:rsidR="001D0384">
        <w:rPr>
          <w:rFonts w:ascii="Avenir Next" w:hAnsi="Avenir Next"/>
          <w:color w:val="808080" w:themeColor="background1" w:themeShade="80"/>
          <w:sz w:val="22"/>
          <w:szCs w:val="28"/>
        </w:rPr>
        <w:t>assets</w:t>
      </w:r>
      <w:r w:rsidR="001E47F2">
        <w:rPr>
          <w:rFonts w:ascii="Avenir Next" w:hAnsi="Avenir Next"/>
          <w:color w:val="808080" w:themeColor="background1" w:themeShade="80"/>
          <w:sz w:val="22"/>
          <w:szCs w:val="28"/>
        </w:rPr>
        <w:t>, rights obligations and liabilities</w:t>
      </w:r>
      <w:r w:rsidR="004F0DA4">
        <w:rPr>
          <w:rFonts w:ascii="Avenir Next" w:hAnsi="Avenir Next"/>
          <w:color w:val="808080" w:themeColor="background1" w:themeShade="80"/>
          <w:sz w:val="22"/>
          <w:szCs w:val="28"/>
        </w:rPr>
        <w:t xml:space="preserve"> as well as relief </w:t>
      </w:r>
      <w:r w:rsidR="0019716A">
        <w:rPr>
          <w:rFonts w:ascii="Avenir Next" w:hAnsi="Avenir Next"/>
          <w:color w:val="808080" w:themeColor="background1" w:themeShade="80"/>
          <w:sz w:val="22"/>
          <w:szCs w:val="28"/>
        </w:rPr>
        <w:t>to suspend the right to transfer, encumber or otherwise dispose of the assets of the Debtor</w:t>
      </w:r>
      <w:r w:rsidR="001E47F2">
        <w:rPr>
          <w:rFonts w:ascii="Avenir Next" w:hAnsi="Avenir Next"/>
          <w:color w:val="808080" w:themeColor="background1" w:themeShade="80"/>
          <w:sz w:val="22"/>
          <w:szCs w:val="28"/>
        </w:rPr>
        <w:t xml:space="preserve"> under Article 20 of the MLCBI. </w:t>
      </w:r>
      <w:r w:rsidR="004F0DA4">
        <w:rPr>
          <w:rFonts w:ascii="Avenir Next" w:hAnsi="Avenir Next"/>
          <w:color w:val="808080" w:themeColor="background1" w:themeShade="80"/>
          <w:sz w:val="22"/>
          <w:szCs w:val="28"/>
        </w:rPr>
        <w:t>This would cover the class action as well as the actions of the third party</w:t>
      </w:r>
      <w:r w:rsidR="0019716A">
        <w:rPr>
          <w:rFonts w:ascii="Avenir Next" w:hAnsi="Avenir Next"/>
          <w:color w:val="808080" w:themeColor="background1" w:themeShade="80"/>
          <w:sz w:val="22"/>
          <w:szCs w:val="28"/>
        </w:rPr>
        <w:t xml:space="preserve"> who is actively marketing </w:t>
      </w:r>
      <w:r w:rsidR="005E53E5">
        <w:rPr>
          <w:rFonts w:ascii="Avenir Next" w:hAnsi="Avenir Next"/>
          <w:color w:val="808080" w:themeColor="background1" w:themeShade="80"/>
          <w:sz w:val="22"/>
          <w:szCs w:val="28"/>
        </w:rPr>
        <w:t xml:space="preserve">the sale of the headquarters and related assets. </w:t>
      </w:r>
      <w:r w:rsidR="00D503FF">
        <w:rPr>
          <w:rFonts w:ascii="Avenir Next" w:hAnsi="Avenir Next"/>
          <w:color w:val="808080" w:themeColor="background1" w:themeShade="80"/>
          <w:sz w:val="22"/>
          <w:szCs w:val="28"/>
        </w:rPr>
        <w:t xml:space="preserve">The RO may also seek assistance </w:t>
      </w:r>
      <w:r w:rsidR="007162FB">
        <w:rPr>
          <w:rFonts w:ascii="Avenir Next" w:hAnsi="Avenir Next"/>
          <w:color w:val="808080" w:themeColor="background1" w:themeShade="80"/>
          <w:sz w:val="22"/>
          <w:szCs w:val="28"/>
        </w:rPr>
        <w:t>from the court</w:t>
      </w:r>
      <w:r w:rsidR="00D503FF">
        <w:rPr>
          <w:rFonts w:ascii="Avenir Next" w:hAnsi="Avenir Next"/>
          <w:color w:val="808080" w:themeColor="background1" w:themeShade="80"/>
          <w:sz w:val="22"/>
          <w:szCs w:val="28"/>
        </w:rPr>
        <w:t xml:space="preserve"> to gather and preserve the assets of the Debtor in the US</w:t>
      </w:r>
      <w:r w:rsidR="00051A5F">
        <w:rPr>
          <w:rFonts w:ascii="Avenir Next" w:hAnsi="Avenir Next"/>
          <w:color w:val="808080" w:themeColor="background1" w:themeShade="80"/>
          <w:sz w:val="22"/>
          <w:szCs w:val="28"/>
        </w:rPr>
        <w:t xml:space="preserve"> to ensure a successful restructuring. </w:t>
      </w:r>
    </w:p>
    <w:p w14:paraId="24C9276B" w14:textId="77777777" w:rsidR="006624A5" w:rsidRPr="0039446C" w:rsidRDefault="006624A5" w:rsidP="00500EC0">
      <w:pPr>
        <w:jc w:val="both"/>
        <w:rPr>
          <w:rFonts w:ascii="Avenir Next" w:hAnsi="Avenir Next"/>
          <w:color w:val="808080" w:themeColor="background1" w:themeShade="80"/>
          <w:sz w:val="22"/>
          <w:szCs w:val="28"/>
        </w:rPr>
      </w:pPr>
    </w:p>
    <w:p w14:paraId="549E9FD7" w14:textId="1EEE4F40" w:rsidR="0099585A" w:rsidRDefault="00A3761B"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granting relief, the court</w:t>
      </w:r>
      <w:r w:rsidR="004F3BC3">
        <w:rPr>
          <w:rFonts w:ascii="Avenir Next" w:hAnsi="Avenir Next"/>
          <w:color w:val="808080" w:themeColor="background1" w:themeShade="80"/>
          <w:sz w:val="22"/>
          <w:szCs w:val="28"/>
        </w:rPr>
        <w:t xml:space="preserve"> must be satisfied that the interests of the local creditors and all stakeholders </w:t>
      </w:r>
      <w:proofErr w:type="gramStart"/>
      <w:r w:rsidR="004F3BC3">
        <w:rPr>
          <w:rFonts w:ascii="Avenir Next" w:hAnsi="Avenir Next"/>
          <w:color w:val="808080" w:themeColor="background1" w:themeShade="80"/>
          <w:sz w:val="22"/>
          <w:szCs w:val="28"/>
        </w:rPr>
        <w:t xml:space="preserve">are </w:t>
      </w:r>
      <w:r w:rsidR="00F60E1D">
        <w:rPr>
          <w:rFonts w:ascii="Avenir Next" w:hAnsi="Avenir Next"/>
          <w:color w:val="808080" w:themeColor="background1" w:themeShade="80"/>
          <w:sz w:val="22"/>
          <w:szCs w:val="28"/>
        </w:rPr>
        <w:t>protected</w:t>
      </w:r>
      <w:proofErr w:type="gramEnd"/>
      <w:r w:rsidR="00F60E1D">
        <w:rPr>
          <w:rFonts w:ascii="Avenir Next" w:hAnsi="Avenir Next"/>
          <w:color w:val="808080" w:themeColor="background1" w:themeShade="80"/>
          <w:sz w:val="22"/>
          <w:szCs w:val="28"/>
        </w:rPr>
        <w:t>,</w:t>
      </w:r>
      <w:r w:rsidR="00400EE8">
        <w:rPr>
          <w:rFonts w:ascii="Avenir Next" w:hAnsi="Avenir Next"/>
          <w:color w:val="808080" w:themeColor="background1" w:themeShade="80"/>
          <w:sz w:val="22"/>
          <w:szCs w:val="28"/>
        </w:rPr>
        <w:t xml:space="preserve"> </w:t>
      </w:r>
      <w:r w:rsidR="00F60E1D">
        <w:rPr>
          <w:rFonts w:ascii="Avenir Next" w:hAnsi="Avenir Next"/>
          <w:color w:val="808080" w:themeColor="background1" w:themeShade="80"/>
          <w:sz w:val="22"/>
          <w:szCs w:val="28"/>
        </w:rPr>
        <w:t xml:space="preserve">the relief relates to assets that should be administered under the Cayman Scheme </w:t>
      </w:r>
      <w:r w:rsidR="00400EE8">
        <w:rPr>
          <w:rFonts w:ascii="Avenir Next" w:hAnsi="Avenir Next"/>
          <w:color w:val="808080" w:themeColor="background1" w:themeShade="80"/>
          <w:sz w:val="22"/>
          <w:szCs w:val="28"/>
        </w:rPr>
        <w:t>and that the relief does not interfere with the administration of the Cayman Scheme.</w:t>
      </w:r>
      <w:r w:rsidR="00B6690D">
        <w:rPr>
          <w:rFonts w:ascii="Avenir Next" w:hAnsi="Avenir Next"/>
          <w:color w:val="808080" w:themeColor="background1" w:themeShade="80"/>
          <w:sz w:val="22"/>
          <w:szCs w:val="28"/>
        </w:rPr>
        <w:t xml:space="preserve"> </w:t>
      </w:r>
    </w:p>
    <w:p w14:paraId="62579810" w14:textId="77777777" w:rsidR="0053659E" w:rsidRDefault="0053659E" w:rsidP="00500EC0">
      <w:pPr>
        <w:jc w:val="both"/>
        <w:rPr>
          <w:rFonts w:ascii="Avenir Next" w:hAnsi="Avenir Next"/>
          <w:color w:val="808080" w:themeColor="background1" w:themeShade="80"/>
          <w:sz w:val="22"/>
          <w:szCs w:val="28"/>
        </w:rPr>
      </w:pPr>
    </w:p>
    <w:p w14:paraId="0071EC07" w14:textId="0A7B9C28" w:rsidR="0053659E" w:rsidRDefault="0053659E" w:rsidP="00500EC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Finally, to address the </w:t>
      </w:r>
      <w:r w:rsidR="0010477F">
        <w:rPr>
          <w:rFonts w:ascii="Avenir Next" w:hAnsi="Avenir Next"/>
          <w:color w:val="808080" w:themeColor="background1" w:themeShade="80"/>
          <w:sz w:val="22"/>
          <w:szCs w:val="28"/>
        </w:rPr>
        <w:t>brewing class action</w:t>
      </w:r>
      <w:r w:rsidR="00164F3C">
        <w:rPr>
          <w:rFonts w:ascii="Avenir Next" w:hAnsi="Avenir Next"/>
          <w:color w:val="808080" w:themeColor="background1" w:themeShade="80"/>
          <w:sz w:val="22"/>
          <w:szCs w:val="28"/>
        </w:rPr>
        <w:t xml:space="preserve"> litigation in the US, the RO should explore cooperation</w:t>
      </w:r>
      <w:r w:rsidR="00360817">
        <w:rPr>
          <w:rFonts w:ascii="Avenir Next" w:hAnsi="Avenir Next"/>
          <w:color w:val="808080" w:themeColor="background1" w:themeShade="80"/>
          <w:sz w:val="22"/>
          <w:szCs w:val="28"/>
        </w:rPr>
        <w:t xml:space="preserve">, </w:t>
      </w:r>
      <w:r w:rsidR="00F95E1D">
        <w:rPr>
          <w:rFonts w:ascii="Avenir Next" w:hAnsi="Avenir Next"/>
          <w:color w:val="808080" w:themeColor="background1" w:themeShade="80"/>
          <w:sz w:val="22"/>
          <w:szCs w:val="28"/>
        </w:rPr>
        <w:t>coordination,</w:t>
      </w:r>
      <w:r w:rsidR="00164F3C">
        <w:rPr>
          <w:rFonts w:ascii="Avenir Next" w:hAnsi="Avenir Next"/>
          <w:color w:val="808080" w:themeColor="background1" w:themeShade="80"/>
          <w:sz w:val="22"/>
          <w:szCs w:val="28"/>
        </w:rPr>
        <w:t xml:space="preserve"> and communication mechanisms under the MLCBI </w:t>
      </w:r>
      <w:r w:rsidR="009B2981">
        <w:rPr>
          <w:rFonts w:ascii="Avenir Next" w:hAnsi="Avenir Next"/>
          <w:color w:val="808080" w:themeColor="background1" w:themeShade="80"/>
          <w:sz w:val="22"/>
          <w:szCs w:val="28"/>
        </w:rPr>
        <w:t xml:space="preserve">to avert any potential challenges that the </w:t>
      </w:r>
      <w:r w:rsidR="001B6175">
        <w:rPr>
          <w:rFonts w:ascii="Avenir Next" w:hAnsi="Avenir Next"/>
          <w:color w:val="808080" w:themeColor="background1" w:themeShade="80"/>
          <w:sz w:val="22"/>
          <w:szCs w:val="28"/>
        </w:rPr>
        <w:t xml:space="preserve">local creditors may prefer against the recognition proceedings. </w:t>
      </w:r>
      <w:r w:rsidR="00865850">
        <w:rPr>
          <w:rFonts w:ascii="Avenir Next" w:hAnsi="Avenir Next"/>
          <w:color w:val="808080" w:themeColor="background1" w:themeShade="80"/>
          <w:sz w:val="22"/>
          <w:szCs w:val="28"/>
        </w:rPr>
        <w:t xml:space="preserve">However, should the proceedings </w:t>
      </w:r>
      <w:proofErr w:type="gramStart"/>
      <w:r w:rsidR="00865850">
        <w:rPr>
          <w:rFonts w:ascii="Avenir Next" w:hAnsi="Avenir Next"/>
          <w:color w:val="808080" w:themeColor="background1" w:themeShade="80"/>
          <w:sz w:val="22"/>
          <w:szCs w:val="28"/>
        </w:rPr>
        <w:t>be challenged</w:t>
      </w:r>
      <w:proofErr w:type="gramEnd"/>
      <w:r w:rsidR="00865850">
        <w:rPr>
          <w:rFonts w:ascii="Avenir Next" w:hAnsi="Avenir Next"/>
          <w:color w:val="808080" w:themeColor="background1" w:themeShade="80"/>
          <w:sz w:val="22"/>
          <w:szCs w:val="28"/>
        </w:rPr>
        <w:t>, the RO</w:t>
      </w:r>
      <w:r w:rsidR="00E47719">
        <w:rPr>
          <w:rFonts w:ascii="Avenir Next" w:hAnsi="Avenir Next"/>
          <w:color w:val="808080" w:themeColor="background1" w:themeShade="80"/>
          <w:sz w:val="22"/>
          <w:szCs w:val="28"/>
        </w:rPr>
        <w:t xml:space="preserve"> should equally put in place a strategy to defend against </w:t>
      </w:r>
      <w:r w:rsidR="002A74BE">
        <w:rPr>
          <w:rFonts w:ascii="Avenir Next" w:hAnsi="Avenir Next"/>
          <w:color w:val="808080" w:themeColor="background1" w:themeShade="80"/>
          <w:sz w:val="22"/>
          <w:szCs w:val="28"/>
        </w:rPr>
        <w:t xml:space="preserve">the potential legal challenges. </w:t>
      </w:r>
      <w:r w:rsidR="00205B29">
        <w:rPr>
          <w:rFonts w:ascii="Avenir Next" w:hAnsi="Avenir Next"/>
          <w:color w:val="808080" w:themeColor="background1" w:themeShade="80"/>
          <w:sz w:val="22"/>
          <w:szCs w:val="28"/>
        </w:rPr>
        <w:t xml:space="preserve">For instance, should the noteholders object to the recognition application, the RO should have in place a contingency plan to </w:t>
      </w:r>
      <w:r w:rsidR="00F506A7">
        <w:rPr>
          <w:rFonts w:ascii="Avenir Next" w:hAnsi="Avenir Next"/>
          <w:color w:val="808080" w:themeColor="background1" w:themeShade="80"/>
          <w:sz w:val="22"/>
          <w:szCs w:val="28"/>
        </w:rPr>
        <w:t xml:space="preserve">seek liquidation in Cayman Islands and realize the US assets subject to recognition to honor the Debtor’s obligations. </w:t>
      </w:r>
    </w:p>
    <w:p w14:paraId="6E671AD0" w14:textId="77777777" w:rsidR="00B6690D" w:rsidRDefault="00B6690D" w:rsidP="00493DF4">
      <w:pPr>
        <w:jc w:val="both"/>
        <w:rPr>
          <w:rFonts w:ascii="Avenir Next" w:hAnsi="Avenir Next"/>
          <w:color w:val="808080" w:themeColor="background1" w:themeShade="80"/>
          <w:sz w:val="22"/>
          <w:szCs w:val="28"/>
        </w:rPr>
      </w:pPr>
    </w:p>
    <w:p w14:paraId="7EED4C64" w14:textId="2FD68AFC" w:rsidR="00493DF4" w:rsidRDefault="00400EE8" w:rsidP="00493DF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p>
    <w:bookmarkEnd w:id="1"/>
    <w:p w14:paraId="5FB888C3" w14:textId="55B9EFD4" w:rsidR="008439DA" w:rsidRPr="002A74BE" w:rsidRDefault="00C606C3" w:rsidP="002A74BE">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bookmarkStart w:id="6" w:name="a_1"/>
      <w:bookmarkEnd w:id="6"/>
    </w:p>
    <w:p w14:paraId="64E01260" w14:textId="4C81CD33" w:rsidR="00004DD5" w:rsidRDefault="00004DD5" w:rsidP="00004DD5">
      <w:pPr>
        <w:shd w:val="clear" w:color="auto" w:fill="FFFFFF"/>
        <w:rPr>
          <w:rFonts w:ascii="Open Sans" w:hAnsi="Open Sans" w:cs="Open Sans"/>
          <w:color w:val="333333"/>
        </w:rPr>
      </w:pPr>
      <w:bookmarkStart w:id="7" w:name="b_5"/>
      <w:bookmarkEnd w:id="7"/>
    </w:p>
    <w:p w14:paraId="300FAB12" w14:textId="77777777" w:rsidR="004A2661" w:rsidRPr="00A15B0E" w:rsidRDefault="004A2661" w:rsidP="00A15B0E">
      <w:pPr>
        <w:spacing w:before="100" w:beforeAutospacing="1" w:after="150"/>
        <w:rPr>
          <w:rFonts w:ascii="Arial" w:hAnsi="Arial" w:cs="Arial"/>
          <w:szCs w:val="20"/>
          <w:highlight w:val="yellow"/>
          <w:lang w:val="en-GB" w:eastAsia="en-GB"/>
        </w:rPr>
      </w:pPr>
      <w:bookmarkStart w:id="8" w:name="a_3"/>
      <w:bookmarkEnd w:id="8"/>
    </w:p>
    <w:p w14:paraId="630C0942" w14:textId="77777777" w:rsidR="004B3A1F" w:rsidRPr="00A729E3" w:rsidRDefault="004B3A1F" w:rsidP="007D1DF0">
      <w:pPr>
        <w:spacing w:before="360" w:after="360"/>
        <w:rPr>
          <w:rFonts w:ascii="Times-Roman" w:eastAsia="MS Mincho" w:hAnsi="Times-Roman" w:cs="Times-Roman"/>
          <w:sz w:val="21"/>
          <w:szCs w:val="21"/>
          <w:lang w:val="en-GB"/>
        </w:rPr>
      </w:pPr>
    </w:p>
    <w:sectPr w:rsidR="004B3A1F" w:rsidRPr="00A729E3" w:rsidSect="00D17E6F">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B72F" w14:textId="77777777" w:rsidR="00D17E6F" w:rsidRDefault="00D17E6F" w:rsidP="00241B44">
      <w:r>
        <w:separator/>
      </w:r>
    </w:p>
  </w:endnote>
  <w:endnote w:type="continuationSeparator" w:id="0">
    <w:p w14:paraId="2AEAA4BC" w14:textId="77777777" w:rsidR="00D17E6F" w:rsidRDefault="00D17E6F" w:rsidP="00241B44">
      <w:r>
        <w:continuationSeparator/>
      </w:r>
    </w:p>
  </w:endnote>
  <w:endnote w:type="continuationNotice" w:id="1">
    <w:p w14:paraId="58D8A623" w14:textId="77777777" w:rsidR="00D17E6F" w:rsidRDefault="00D1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IBM Plex Sans">
    <w:charset w:val="00"/>
    <w:family w:val="swiss"/>
    <w:pitch w:val="variable"/>
    <w:sig w:usb0="A00002EF" w:usb1="5000207B" w:usb2="00000000" w:usb3="00000000" w:csb0="0000019F" w:csb1="00000000"/>
  </w:font>
  <w:font w:name="Open Sans">
    <w:charset w:val="00"/>
    <w:family w:val="swiss"/>
    <w:pitch w:val="variable"/>
    <w:sig w:usb0="E00002EF" w:usb1="4000205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800C77" w:rsidR="000300E0" w:rsidRPr="00B46CE2" w:rsidRDefault="00387608" w:rsidP="000300E0">
    <w:pPr>
      <w:pStyle w:val="Footer"/>
      <w:ind w:right="360"/>
      <w:rPr>
        <w:rFonts w:ascii="Avenir Next" w:hAnsi="Avenir Next"/>
        <w:sz w:val="22"/>
        <w:szCs w:val="22"/>
      </w:rPr>
    </w:pPr>
    <w:r w:rsidRPr="00E51431">
      <w:rPr>
        <w:rFonts w:ascii="Avenir Next" w:hAnsi="Avenir Next" w:cs="Arial"/>
        <w:sz w:val="22"/>
        <w:szCs w:val="22"/>
      </w:rPr>
      <w:t>202223-778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4A0" w14:textId="77777777" w:rsidR="00D17E6F" w:rsidRDefault="00D17E6F" w:rsidP="00241B44">
      <w:r>
        <w:separator/>
      </w:r>
    </w:p>
  </w:footnote>
  <w:footnote w:type="continuationSeparator" w:id="0">
    <w:p w14:paraId="1B682E56" w14:textId="77777777" w:rsidR="00D17E6F" w:rsidRDefault="00D17E6F" w:rsidP="00241B44">
      <w:r>
        <w:continuationSeparator/>
      </w:r>
    </w:p>
  </w:footnote>
  <w:footnote w:type="continuationNotice" w:id="1">
    <w:p w14:paraId="0206AEAC" w14:textId="77777777" w:rsidR="00D17E6F" w:rsidRDefault="00D17E6F"/>
  </w:footnote>
  <w:footnote w:id="2">
    <w:p w14:paraId="392C64A6" w14:textId="7E058035" w:rsidR="003C3039" w:rsidRPr="003C3039" w:rsidRDefault="003C3039">
      <w:pPr>
        <w:pStyle w:val="FootnoteText"/>
        <w:rPr>
          <w:lang w:val="en-GB"/>
        </w:rPr>
      </w:pPr>
      <w:r>
        <w:rPr>
          <w:rStyle w:val="FootnoteReference"/>
        </w:rPr>
        <w:footnoteRef/>
      </w:r>
      <w:r>
        <w:t xml:space="preserve"> CMS Cameron McKenna Nabarro Olswang LLP - </w:t>
      </w:r>
      <w:r w:rsidRPr="003C3039">
        <w:rPr>
          <w:lang w:val="en-GB"/>
        </w:rPr>
        <w:t>The Recast EU Insolvency Regulation becomes effective today</w:t>
      </w:r>
      <w:r w:rsidR="0072111B">
        <w:rPr>
          <w:lang w:val="en-GB"/>
        </w:rPr>
        <w:t xml:space="preserve"> </w:t>
      </w:r>
      <w:r>
        <w:rPr>
          <w:lang w:val="en-GB"/>
        </w:rPr>
        <w:t xml:space="preserve">at </w:t>
      </w:r>
      <w:hyperlink r:id="rId1" w:history="1">
        <w:r w:rsidRPr="00E60893">
          <w:rPr>
            <w:rStyle w:val="Hyperlink"/>
          </w:rPr>
          <w:t>https://www.lexology.com/library/detail.aspx?g=30af655e-c3c3-41d4-80d8-65803b2a1877</w:t>
        </w:r>
      </w:hyperlink>
      <w:r>
        <w:t xml:space="preserve"> </w:t>
      </w:r>
      <w:r w:rsidR="005A1F44">
        <w:t xml:space="preserve">, </w:t>
      </w:r>
      <w:r w:rsidR="005A1F44">
        <w:rPr>
          <w:lang w:val="en-GB"/>
        </w:rPr>
        <w:t>accessed on 5 February 2024</w:t>
      </w:r>
    </w:p>
  </w:footnote>
  <w:footnote w:id="3">
    <w:p w14:paraId="01A09032" w14:textId="0D48E5A4" w:rsidR="007F5218" w:rsidRPr="007F5218" w:rsidRDefault="007F5218">
      <w:pPr>
        <w:pStyle w:val="FootnoteText"/>
        <w:rPr>
          <w:lang w:val="en-GB"/>
        </w:rPr>
      </w:pPr>
      <w:r>
        <w:rPr>
          <w:rStyle w:val="FootnoteReference"/>
        </w:rPr>
        <w:footnoteRef/>
      </w:r>
      <w:r>
        <w:t xml:space="preserve"> </w:t>
      </w:r>
      <w:r w:rsidR="005F4116" w:rsidRPr="005F4116">
        <w:t xml:space="preserve">A Comparative Analysis Of The UNCITRAL Model Law On Cross-Border Insolvency And Eu Insolvency Regulation 2017, Against The Background Of Various Sources Of Cross border Insolvency Law by Primrose E.R. </w:t>
      </w:r>
      <w:proofErr w:type="spellStart"/>
      <w:r w:rsidR="005F4116" w:rsidRPr="005F4116">
        <w:t>Kurasha</w:t>
      </w:r>
      <w:proofErr w:type="spellEnd"/>
      <w:r w:rsidR="005F4116" w:rsidRPr="005F4116">
        <w:t xml:space="preserve"> at </w:t>
      </w:r>
      <w:hyperlink r:id="rId2" w:history="1">
        <w:r w:rsidR="005F4116" w:rsidRPr="005F4116">
          <w:rPr>
            <w:rStyle w:val="Hyperlink"/>
          </w:rPr>
          <w:t>https://upjournals.up.ac.za/index.php/pslr/article/view/1902/1784</w:t>
        </w:r>
      </w:hyperlink>
      <w:r w:rsidR="005F4116" w:rsidRPr="005F4116">
        <w:t xml:space="preserve"> </w:t>
      </w:r>
      <w:r w:rsidR="004F0D43">
        <w:t xml:space="preserve">, </w:t>
      </w:r>
      <w:r w:rsidR="004F0D43" w:rsidRPr="005F4116">
        <w:t>accessed on 23 January 202</w:t>
      </w:r>
      <w:r w:rsidR="004F0D43">
        <w:t>4</w:t>
      </w:r>
    </w:p>
  </w:footnote>
  <w:footnote w:id="4">
    <w:p w14:paraId="28273B46" w14:textId="0A6D39D7" w:rsidR="00AC2B9E" w:rsidRPr="00AC2B9E" w:rsidRDefault="00AC2B9E">
      <w:pPr>
        <w:pStyle w:val="FootnoteText"/>
        <w:rPr>
          <w:lang w:val="en-GB"/>
        </w:rPr>
      </w:pPr>
      <w:r>
        <w:rPr>
          <w:rStyle w:val="FootnoteReference"/>
        </w:rPr>
        <w:footnoteRef/>
      </w:r>
      <w:r>
        <w:t xml:space="preserve"> </w:t>
      </w:r>
      <w:r w:rsidR="007D78D1" w:rsidRPr="007D78D1">
        <w:t>Norton Rose Fulbright - Overview of the key Chapter 15 decisions in 2019</w:t>
      </w:r>
      <w:r w:rsidR="007D78D1">
        <w:t xml:space="preserve"> accessed on 5 February 2024 at </w:t>
      </w:r>
      <w:hyperlink r:id="rId3" w:history="1">
        <w:r w:rsidR="00072BAE" w:rsidRPr="00E60893">
          <w:rPr>
            <w:rStyle w:val="Hyperlink"/>
          </w:rPr>
          <w:t>https://www.nortonrosefulbright.com/en-us/knowledge/publications/1496f7a8/key-chapter-15</w:t>
        </w:r>
      </w:hyperlink>
      <w:r w:rsidR="00072BAE">
        <w:t xml:space="preserve"> </w:t>
      </w:r>
    </w:p>
  </w:footnote>
  <w:footnote w:id="5">
    <w:p w14:paraId="602DE912" w14:textId="34AFC46C" w:rsidR="00752950" w:rsidRPr="00752950" w:rsidRDefault="00752950">
      <w:pPr>
        <w:pStyle w:val="FootnoteText"/>
        <w:rPr>
          <w:lang w:val="en-GB"/>
        </w:rPr>
      </w:pPr>
      <w:r>
        <w:rPr>
          <w:rStyle w:val="FootnoteReference"/>
        </w:rPr>
        <w:footnoteRef/>
      </w:r>
      <w:r>
        <w:t xml:space="preserve"> </w:t>
      </w:r>
      <w:r w:rsidR="00452141">
        <w:t xml:space="preserve">Section 1522 of the US Bankruptcy Code Chapter 15 at </w:t>
      </w:r>
      <w:hyperlink r:id="rId4" w:history="1">
        <w:r w:rsidR="00452141" w:rsidRPr="003D6F23">
          <w:rPr>
            <w:rStyle w:val="Hyperlink"/>
          </w:rPr>
          <w:t>https://www.law.cornell.edu/uscode/text/11/1522</w:t>
        </w:r>
      </w:hyperlink>
      <w:r w:rsidR="00470353">
        <w:rPr>
          <w:rStyle w:val="Hyperlink"/>
        </w:rPr>
        <w:t xml:space="preserve"> , </w:t>
      </w:r>
      <w:r w:rsidR="00470353">
        <w:t>accessed on 6 February 2024</w:t>
      </w:r>
    </w:p>
  </w:footnote>
  <w:footnote w:id="6">
    <w:p w14:paraId="2B79AFF5" w14:textId="673A6F27" w:rsidR="00923314" w:rsidRPr="00923314" w:rsidRDefault="00923314">
      <w:pPr>
        <w:pStyle w:val="FootnoteText"/>
        <w:rPr>
          <w:lang w:val="en-GB"/>
        </w:rPr>
      </w:pPr>
      <w:r>
        <w:rPr>
          <w:rStyle w:val="FootnoteReference"/>
        </w:rPr>
        <w:footnoteRef/>
      </w:r>
      <w:r>
        <w:t xml:space="preserve"> </w:t>
      </w:r>
      <w:r w:rsidR="0026262C" w:rsidRPr="0026262C">
        <w:t>Whether or not the court grants </w:t>
      </w:r>
      <w:hyperlink r:id="rId5" w:history="1">
        <w:r w:rsidR="0026262C" w:rsidRPr="0026262C">
          <w:t>recognition</w:t>
        </w:r>
      </w:hyperlink>
      <w:r w:rsidR="0026262C" w:rsidRPr="0026262C">
        <w:t xml:space="preserve">, and subject to sections 306 and 1510, a foreign representative is subject to applicable </w:t>
      </w:r>
      <w:proofErr w:type="spellStart"/>
      <w:r w:rsidR="0026262C" w:rsidRPr="0026262C">
        <w:t>nonbankruptcy</w:t>
      </w:r>
      <w:proofErr w:type="spellEnd"/>
      <w:r w:rsidR="0026262C" w:rsidRPr="0026262C">
        <w:t xml:space="preserve"> law.</w:t>
      </w:r>
      <w:r w:rsidR="0026262C">
        <w:t xml:space="preserve"> </w:t>
      </w:r>
    </w:p>
  </w:footnote>
  <w:footnote w:id="7">
    <w:p w14:paraId="51F8F768" w14:textId="398A5E1D" w:rsidR="00FD5DE4" w:rsidRPr="00FD5DE4" w:rsidRDefault="00FD5DE4">
      <w:pPr>
        <w:pStyle w:val="FootnoteText"/>
        <w:rPr>
          <w:lang w:val="en-GB"/>
        </w:rPr>
      </w:pPr>
      <w:r>
        <w:rPr>
          <w:rStyle w:val="FootnoteReference"/>
        </w:rPr>
        <w:footnoteRef/>
      </w:r>
      <w:r>
        <w:t xml:space="preserve"> </w:t>
      </w:r>
      <w:r>
        <w:t>ABC Learning, 445 B.R. 318, 328 (</w:t>
      </w:r>
      <w:proofErr w:type="spellStart"/>
      <w:r>
        <w:t>Bankr</w:t>
      </w:r>
      <w:proofErr w:type="spellEnd"/>
      <w:r>
        <w:t>. D. Del. 2010); aff’d, 728 F.3d 301 (3d Cir. 2013)</w:t>
      </w:r>
      <w:r>
        <w:t xml:space="preserve"> </w:t>
      </w:r>
      <w:r w:rsidR="00AF5EB6">
        <w:t xml:space="preserve">accessed on 13 February 2024 at </w:t>
      </w:r>
      <w:hyperlink r:id="rId6" w:history="1">
        <w:r w:rsidR="00AF5EB6" w:rsidRPr="00BF2427">
          <w:rPr>
            <w:rStyle w:val="Hyperlink"/>
          </w:rPr>
          <w:t>https://casetext.com/case/in-re-abc-learning-centres-ltd</w:t>
        </w:r>
      </w:hyperlink>
      <w:r w:rsidR="00AF5EB6">
        <w:t xml:space="preserve"> </w:t>
      </w:r>
    </w:p>
  </w:footnote>
  <w:footnote w:id="8">
    <w:p w14:paraId="2FF4970A" w14:textId="031C96EA" w:rsidR="00D047D8" w:rsidRPr="00D047D8" w:rsidRDefault="00D047D8">
      <w:pPr>
        <w:pStyle w:val="FootnoteText"/>
        <w:rPr>
          <w:lang w:val="en-GB"/>
        </w:rPr>
      </w:pPr>
      <w:r>
        <w:rPr>
          <w:rStyle w:val="FootnoteReference"/>
        </w:rPr>
        <w:footnoteRef/>
      </w:r>
      <w:r>
        <w:t xml:space="preserve"> </w:t>
      </w:r>
      <w:r w:rsidR="008104A4" w:rsidRPr="008104A4">
        <w:t>In re Modern Land (China) Co., 641 B.R. 768, 772 (</w:t>
      </w:r>
      <w:proofErr w:type="spellStart"/>
      <w:r w:rsidR="008104A4" w:rsidRPr="008104A4">
        <w:t>Bankr</w:t>
      </w:r>
      <w:proofErr w:type="spellEnd"/>
      <w:r w:rsidR="008104A4" w:rsidRPr="008104A4">
        <w:t xml:space="preserve">. S.D.N.Y. 2022) at </w:t>
      </w:r>
      <w:hyperlink r:id="rId7" w:history="1">
        <w:r w:rsidR="005424B6" w:rsidRPr="00BF2427">
          <w:rPr>
            <w:rStyle w:val="Hyperlink"/>
          </w:rPr>
          <w:t>https://casetext.com/case/in-re-modern-land-china-co-1</w:t>
        </w:r>
      </w:hyperlink>
      <w:r w:rsidR="005424B6">
        <w:t xml:space="preserve"> </w:t>
      </w:r>
    </w:p>
  </w:footnote>
  <w:footnote w:id="9">
    <w:p w14:paraId="14C18A56" w14:textId="2291C3DB" w:rsidR="002A4CD9" w:rsidRPr="002A4CD9" w:rsidRDefault="002A4CD9">
      <w:pPr>
        <w:pStyle w:val="FootnoteText"/>
        <w:rPr>
          <w:lang w:val="en-GB"/>
        </w:rPr>
      </w:pPr>
      <w:r>
        <w:rPr>
          <w:rStyle w:val="FootnoteReference"/>
        </w:rPr>
        <w:footnoteRef/>
      </w:r>
      <w:r>
        <w:t xml:space="preserve"> </w:t>
      </w:r>
      <w:r>
        <w:rPr>
          <w:rFonts w:ascii="IBM Plex Sans" w:hAnsi="IBM Plex Sans"/>
          <w:color w:val="212121"/>
          <w:shd w:val="clear" w:color="auto" w:fill="FFFFFF"/>
        </w:rPr>
        <w:t xml:space="preserve">Case 341/04, 2006 WL 1142304 (E.C.J. May 2, 2006) accessed on 13 February 2024 at </w:t>
      </w:r>
      <w:hyperlink r:id="rId8" w:history="1">
        <w:r w:rsidR="008104A4" w:rsidRPr="00BF2427">
          <w:rPr>
            <w:rStyle w:val="Hyperlink"/>
            <w:rFonts w:ascii="IBM Plex Sans" w:hAnsi="IBM Plex Sans"/>
            <w:shd w:val="clear" w:color="auto" w:fill="FFFFFF"/>
          </w:rPr>
          <w:t>https://eur-lex.europa.eu/legal-content/EN/TXT/PDF/?uri=CELEX:62004CJ0341&amp;from=MT</w:t>
        </w:r>
      </w:hyperlink>
    </w:p>
  </w:footnote>
  <w:footnote w:id="10">
    <w:p w14:paraId="4D365E33" w14:textId="3B7AF278" w:rsidR="00D902B9" w:rsidRPr="00D902B9" w:rsidRDefault="00D902B9">
      <w:pPr>
        <w:pStyle w:val="FootnoteText"/>
        <w:rPr>
          <w:lang w:val="en-GB"/>
        </w:rPr>
      </w:pPr>
      <w:r>
        <w:rPr>
          <w:rStyle w:val="FootnoteReference"/>
        </w:rPr>
        <w:footnoteRef/>
      </w:r>
      <w:r>
        <w:t xml:space="preserve"> </w:t>
      </w:r>
      <w:r w:rsidR="00C35A6C" w:rsidRPr="00C35A6C">
        <w:rPr>
          <w:rFonts w:cstheme="minorHAnsi"/>
        </w:rPr>
        <w:t xml:space="preserve">Case </w:t>
      </w:r>
      <w:r w:rsidR="00C35A6C" w:rsidRPr="00C35A6C">
        <w:rPr>
          <w:rFonts w:cstheme="minorHAnsi"/>
        </w:rPr>
        <w:t>458 B.R. 63, 81 n.41 (</w:t>
      </w:r>
      <w:proofErr w:type="spellStart"/>
      <w:r w:rsidR="00C35A6C" w:rsidRPr="00C35A6C">
        <w:rPr>
          <w:rFonts w:cstheme="minorHAnsi"/>
        </w:rPr>
        <w:t>Bankr</w:t>
      </w:r>
      <w:proofErr w:type="spellEnd"/>
      <w:r w:rsidR="00C35A6C" w:rsidRPr="00C35A6C">
        <w:rPr>
          <w:rFonts w:cstheme="minorHAnsi"/>
        </w:rPr>
        <w:t>. S.D.N.Y. 2011)</w:t>
      </w:r>
      <w:r w:rsidR="00C35A6C">
        <w:rPr>
          <w:lang w:val="en-GB"/>
        </w:rPr>
        <w:t xml:space="preserve"> a</w:t>
      </w:r>
      <w:r>
        <w:rPr>
          <w:lang w:val="en-GB"/>
        </w:rPr>
        <w:t xml:space="preserve">ccessed on 13 February 2024 at </w:t>
      </w:r>
      <w:hyperlink r:id="rId9" w:anchor="p84" w:history="1">
        <w:r w:rsidR="00B07BC4">
          <w:rPr>
            <w:rStyle w:val="Hyperlink"/>
          </w:rPr>
          <w:t xml:space="preserve">In re Millennium Global Emerging Credit Master Fund Ltd., 458 B.R. 63 | </w:t>
        </w:r>
        <w:proofErr w:type="spellStart"/>
        <w:r w:rsidR="00B07BC4">
          <w:rPr>
            <w:rStyle w:val="Hyperlink"/>
          </w:rPr>
          <w:t>Casetext</w:t>
        </w:r>
        <w:proofErr w:type="spellEnd"/>
        <w:r w:rsidR="00B07BC4">
          <w:rPr>
            <w:rStyle w:val="Hyperlink"/>
          </w:rPr>
          <w:t xml:space="preserve"> Search + Citator</w:t>
        </w:r>
      </w:hyperlink>
    </w:p>
  </w:footnote>
  <w:footnote w:id="11">
    <w:p w14:paraId="4D867FC4" w14:textId="01405943" w:rsidR="00901F11" w:rsidRPr="00901F11" w:rsidRDefault="00901F11">
      <w:pPr>
        <w:pStyle w:val="FootnoteText"/>
        <w:rPr>
          <w:lang w:val="en-GB"/>
        </w:rPr>
      </w:pPr>
      <w:r>
        <w:rPr>
          <w:rStyle w:val="FootnoteReference"/>
        </w:rPr>
        <w:footnoteRef/>
      </w:r>
      <w:r>
        <w:rPr>
          <w:lang w:val="en-GB"/>
        </w:rPr>
        <w:t xml:space="preserve"> </w:t>
      </w:r>
      <w:r w:rsidR="00180D86">
        <w:rPr>
          <w:lang w:val="en-GB"/>
        </w:rPr>
        <w:t>Harney’s Legal Guide</w:t>
      </w:r>
      <w:r w:rsidR="00816FC1">
        <w:rPr>
          <w:lang w:val="en-GB"/>
        </w:rPr>
        <w:t xml:space="preserve"> </w:t>
      </w:r>
      <w:r w:rsidR="00180D86">
        <w:rPr>
          <w:lang w:val="en-GB"/>
        </w:rPr>
        <w:t xml:space="preserve">- </w:t>
      </w:r>
      <w:r w:rsidR="00816FC1" w:rsidRPr="00816FC1">
        <w:rPr>
          <w:lang w:val="en-GB"/>
        </w:rPr>
        <w:t>The Cayman Islands insolvency reform: Restructuring officer and refined scheme of arrangement</w:t>
      </w:r>
      <w:r w:rsidR="00816FC1">
        <w:rPr>
          <w:lang w:val="en-GB"/>
        </w:rPr>
        <w:t xml:space="preserve"> accessed on 13 February 2024 at</w:t>
      </w:r>
      <w:r w:rsidR="00180D86">
        <w:rPr>
          <w:lang w:val="en-GB"/>
        </w:rPr>
        <w:t xml:space="preserve"> </w:t>
      </w:r>
      <w:r w:rsidR="00816FC1">
        <w:rPr>
          <w:lang w:val="en-GB"/>
        </w:rPr>
        <w:t xml:space="preserve"> </w:t>
      </w:r>
      <w:hyperlink r:id="rId10" w:history="1">
        <w:r w:rsidR="00816FC1" w:rsidRPr="00BF2427">
          <w:rPr>
            <w:rStyle w:val="Hyperlink"/>
            <w:lang w:val="en-GB"/>
          </w:rPr>
          <w:t>https://www.harneys.com/media/mmzhwltv/legal-guide-the-cayman-islands-insolvency-reform-restructuring-officer-and-refined-scheme-of-arrangement.pdf</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0A09AC"/>
    <w:multiLevelType w:val="multilevel"/>
    <w:tmpl w:val="5C7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E5266"/>
    <w:multiLevelType w:val="multilevel"/>
    <w:tmpl w:val="94C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77DEA"/>
    <w:multiLevelType w:val="multilevel"/>
    <w:tmpl w:val="B8B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A1976"/>
    <w:multiLevelType w:val="hybridMultilevel"/>
    <w:tmpl w:val="74566326"/>
    <w:lvl w:ilvl="0" w:tplc="DDC6A722">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0FCD4C42"/>
    <w:multiLevelType w:val="hybridMultilevel"/>
    <w:tmpl w:val="7458DB62"/>
    <w:lvl w:ilvl="0" w:tplc="83CEDF56">
      <w:start w:val="1"/>
      <w:numFmt w:val="lowerLetter"/>
      <w:lvlText w:val="(%1)"/>
      <w:lvlJc w:val="left"/>
      <w:pPr>
        <w:ind w:left="720" w:hanging="360"/>
      </w:pPr>
      <w:rPr>
        <w:rFonts w:ascii="Avenir Next" w:eastAsia="Times New Roman" w:hAnsi="Avenir Next" w:cstheme="minorBidi" w:hint="default"/>
        <w:color w:val="808080" w:themeColor="background1" w:themeShade="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086CEC"/>
    <w:multiLevelType w:val="multilevel"/>
    <w:tmpl w:val="ECC2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3D4B1C"/>
    <w:multiLevelType w:val="multilevel"/>
    <w:tmpl w:val="4694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92758"/>
    <w:multiLevelType w:val="hybridMultilevel"/>
    <w:tmpl w:val="14B8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C02078"/>
    <w:multiLevelType w:val="multilevel"/>
    <w:tmpl w:val="B6206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B0E2E"/>
    <w:multiLevelType w:val="multilevel"/>
    <w:tmpl w:val="6B8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851CA1"/>
    <w:multiLevelType w:val="hybridMultilevel"/>
    <w:tmpl w:val="B9BA94E6"/>
    <w:lvl w:ilvl="0" w:tplc="752ECC00">
      <w:start w:val="1"/>
      <w:numFmt w:val="bullet"/>
      <w:lvlText w:val="-"/>
      <w:lvlJc w:val="left"/>
      <w:pPr>
        <w:ind w:left="720" w:hanging="360"/>
      </w:pPr>
      <w:rPr>
        <w:rFonts w:ascii="Avenir Next" w:eastAsia="Times New Roman"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06DD6"/>
    <w:multiLevelType w:val="hybridMultilevel"/>
    <w:tmpl w:val="14B827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E15A98"/>
    <w:multiLevelType w:val="hybridMultilevel"/>
    <w:tmpl w:val="14B8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080DAE"/>
    <w:multiLevelType w:val="multilevel"/>
    <w:tmpl w:val="01A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B2138B"/>
    <w:multiLevelType w:val="hybridMultilevel"/>
    <w:tmpl w:val="B26430A8"/>
    <w:lvl w:ilvl="0" w:tplc="DDC6A722">
      <w:start w:val="1"/>
      <w:numFmt w:val="lowerLetter"/>
      <w:lvlText w:val="(%1)"/>
      <w:lvlJc w:val="left"/>
      <w:pPr>
        <w:ind w:left="785"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3C84CD5"/>
    <w:multiLevelType w:val="multilevel"/>
    <w:tmpl w:val="8CF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8641A5"/>
    <w:multiLevelType w:val="multilevel"/>
    <w:tmpl w:val="4816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25"/>
  </w:num>
  <w:num w:numId="2" w16cid:durableId="1164055646">
    <w:abstractNumId w:val="13"/>
  </w:num>
  <w:num w:numId="3" w16cid:durableId="970591766">
    <w:abstractNumId w:val="7"/>
  </w:num>
  <w:num w:numId="4" w16cid:durableId="1327175081">
    <w:abstractNumId w:val="33"/>
  </w:num>
  <w:num w:numId="5" w16cid:durableId="998270126">
    <w:abstractNumId w:val="32"/>
  </w:num>
  <w:num w:numId="6" w16cid:durableId="657656171">
    <w:abstractNumId w:val="31"/>
  </w:num>
  <w:num w:numId="7" w16cid:durableId="1116829249">
    <w:abstractNumId w:val="10"/>
  </w:num>
  <w:num w:numId="8" w16cid:durableId="1055274873">
    <w:abstractNumId w:val="11"/>
  </w:num>
  <w:num w:numId="9" w16cid:durableId="790785319">
    <w:abstractNumId w:val="23"/>
  </w:num>
  <w:num w:numId="10" w16cid:durableId="59720369">
    <w:abstractNumId w:val="22"/>
  </w:num>
  <w:num w:numId="11" w16cid:durableId="1379276728">
    <w:abstractNumId w:val="9"/>
  </w:num>
  <w:num w:numId="12" w16cid:durableId="921179279">
    <w:abstractNumId w:val="16"/>
  </w:num>
  <w:num w:numId="13" w16cid:durableId="1060514793">
    <w:abstractNumId w:val="17"/>
  </w:num>
  <w:num w:numId="14" w16cid:durableId="64230155">
    <w:abstractNumId w:val="6"/>
  </w:num>
  <w:num w:numId="15" w16cid:durableId="1681084025">
    <w:abstractNumId w:val="0"/>
  </w:num>
  <w:num w:numId="16" w16cid:durableId="1275090443">
    <w:abstractNumId w:val="15"/>
  </w:num>
  <w:num w:numId="17" w16cid:durableId="269969236">
    <w:abstractNumId w:val="26"/>
  </w:num>
  <w:num w:numId="18" w16cid:durableId="1762530766">
    <w:abstractNumId w:val="20"/>
  </w:num>
  <w:num w:numId="19" w16cid:durableId="932512661">
    <w:abstractNumId w:val="8"/>
  </w:num>
  <w:num w:numId="20" w16cid:durableId="1965312144">
    <w:abstractNumId w:val="3"/>
  </w:num>
  <w:num w:numId="21" w16cid:durableId="287007300">
    <w:abstractNumId w:val="1"/>
  </w:num>
  <w:num w:numId="22" w16cid:durableId="123501458">
    <w:abstractNumId w:val="2"/>
  </w:num>
  <w:num w:numId="23" w16cid:durableId="1465612788">
    <w:abstractNumId w:val="27"/>
  </w:num>
  <w:num w:numId="24" w16cid:durableId="1468665752">
    <w:abstractNumId w:val="30"/>
  </w:num>
  <w:num w:numId="25" w16cid:durableId="1212226338">
    <w:abstractNumId w:val="29"/>
  </w:num>
  <w:num w:numId="26" w16cid:durableId="1206214940">
    <w:abstractNumId w:val="12"/>
  </w:num>
  <w:num w:numId="27" w16cid:durableId="793600877">
    <w:abstractNumId w:val="19"/>
  </w:num>
  <w:num w:numId="28" w16cid:durableId="31810196">
    <w:abstractNumId w:val="18"/>
  </w:num>
  <w:num w:numId="29" w16cid:durableId="2094625754">
    <w:abstractNumId w:val="21"/>
  </w:num>
  <w:num w:numId="30" w16cid:durableId="2130736077">
    <w:abstractNumId w:val="28"/>
  </w:num>
  <w:num w:numId="31" w16cid:durableId="1302614489">
    <w:abstractNumId w:val="5"/>
  </w:num>
  <w:num w:numId="32" w16cid:durableId="1555651651">
    <w:abstractNumId w:val="4"/>
  </w:num>
  <w:num w:numId="33" w16cid:durableId="1163202309">
    <w:abstractNumId w:val="24"/>
  </w:num>
  <w:num w:numId="34" w16cid:durableId="58441582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F4"/>
    <w:rsid w:val="00001E0C"/>
    <w:rsid w:val="000045E9"/>
    <w:rsid w:val="000047FF"/>
    <w:rsid w:val="00004DD5"/>
    <w:rsid w:val="000077DD"/>
    <w:rsid w:val="00010BA0"/>
    <w:rsid w:val="00011778"/>
    <w:rsid w:val="0001365B"/>
    <w:rsid w:val="00020011"/>
    <w:rsid w:val="00020557"/>
    <w:rsid w:val="000232A1"/>
    <w:rsid w:val="00024044"/>
    <w:rsid w:val="000250C7"/>
    <w:rsid w:val="00025CCF"/>
    <w:rsid w:val="00027F08"/>
    <w:rsid w:val="000300E0"/>
    <w:rsid w:val="000305FB"/>
    <w:rsid w:val="00030DB7"/>
    <w:rsid w:val="0003114A"/>
    <w:rsid w:val="000322F7"/>
    <w:rsid w:val="00033509"/>
    <w:rsid w:val="0003421B"/>
    <w:rsid w:val="000352C1"/>
    <w:rsid w:val="0003619C"/>
    <w:rsid w:val="0003743B"/>
    <w:rsid w:val="00037621"/>
    <w:rsid w:val="00041807"/>
    <w:rsid w:val="00044D46"/>
    <w:rsid w:val="00045088"/>
    <w:rsid w:val="00045904"/>
    <w:rsid w:val="000464F7"/>
    <w:rsid w:val="00047D21"/>
    <w:rsid w:val="0005141D"/>
    <w:rsid w:val="00051A5F"/>
    <w:rsid w:val="00054997"/>
    <w:rsid w:val="00060E02"/>
    <w:rsid w:val="00062491"/>
    <w:rsid w:val="00065166"/>
    <w:rsid w:val="00067A88"/>
    <w:rsid w:val="00070B92"/>
    <w:rsid w:val="00072BAE"/>
    <w:rsid w:val="00073474"/>
    <w:rsid w:val="00074811"/>
    <w:rsid w:val="00074C98"/>
    <w:rsid w:val="00077D49"/>
    <w:rsid w:val="00082609"/>
    <w:rsid w:val="00083B38"/>
    <w:rsid w:val="000851CC"/>
    <w:rsid w:val="00091CCC"/>
    <w:rsid w:val="00093BE8"/>
    <w:rsid w:val="000943BA"/>
    <w:rsid w:val="000A24BB"/>
    <w:rsid w:val="000A68ED"/>
    <w:rsid w:val="000B35C8"/>
    <w:rsid w:val="000B4FEB"/>
    <w:rsid w:val="000B5FF1"/>
    <w:rsid w:val="000B609F"/>
    <w:rsid w:val="000B75B8"/>
    <w:rsid w:val="000C147F"/>
    <w:rsid w:val="000C3134"/>
    <w:rsid w:val="000C636B"/>
    <w:rsid w:val="000C6BB9"/>
    <w:rsid w:val="000D2FD1"/>
    <w:rsid w:val="000D32A9"/>
    <w:rsid w:val="000D55A8"/>
    <w:rsid w:val="000D580C"/>
    <w:rsid w:val="000E2C0D"/>
    <w:rsid w:val="000E4841"/>
    <w:rsid w:val="000E6325"/>
    <w:rsid w:val="000F1677"/>
    <w:rsid w:val="000F23D3"/>
    <w:rsid w:val="000F2DD0"/>
    <w:rsid w:val="000F3D6C"/>
    <w:rsid w:val="000F4BFE"/>
    <w:rsid w:val="000F579C"/>
    <w:rsid w:val="000F6E7F"/>
    <w:rsid w:val="00100E8F"/>
    <w:rsid w:val="00101707"/>
    <w:rsid w:val="00101A9E"/>
    <w:rsid w:val="0010477F"/>
    <w:rsid w:val="00105A8B"/>
    <w:rsid w:val="001067AA"/>
    <w:rsid w:val="00113B22"/>
    <w:rsid w:val="00114082"/>
    <w:rsid w:val="0011445A"/>
    <w:rsid w:val="0011473D"/>
    <w:rsid w:val="00115C85"/>
    <w:rsid w:val="001164E6"/>
    <w:rsid w:val="00116768"/>
    <w:rsid w:val="001204B9"/>
    <w:rsid w:val="001205AD"/>
    <w:rsid w:val="00120B71"/>
    <w:rsid w:val="00123855"/>
    <w:rsid w:val="00125E6D"/>
    <w:rsid w:val="00126A4D"/>
    <w:rsid w:val="00126E19"/>
    <w:rsid w:val="00131279"/>
    <w:rsid w:val="001374D8"/>
    <w:rsid w:val="00140E0A"/>
    <w:rsid w:val="0014171F"/>
    <w:rsid w:val="00143B9F"/>
    <w:rsid w:val="001440B0"/>
    <w:rsid w:val="0014622C"/>
    <w:rsid w:val="001471AD"/>
    <w:rsid w:val="00147E63"/>
    <w:rsid w:val="00150F87"/>
    <w:rsid w:val="00151F58"/>
    <w:rsid w:val="00152348"/>
    <w:rsid w:val="00152845"/>
    <w:rsid w:val="001541AC"/>
    <w:rsid w:val="0015456D"/>
    <w:rsid w:val="0015549B"/>
    <w:rsid w:val="00155FA2"/>
    <w:rsid w:val="00156A29"/>
    <w:rsid w:val="001578CB"/>
    <w:rsid w:val="00161F1B"/>
    <w:rsid w:val="00162829"/>
    <w:rsid w:val="00164F3C"/>
    <w:rsid w:val="0016515C"/>
    <w:rsid w:val="0016677E"/>
    <w:rsid w:val="001672E0"/>
    <w:rsid w:val="00167648"/>
    <w:rsid w:val="00167C32"/>
    <w:rsid w:val="0017257C"/>
    <w:rsid w:val="00172B61"/>
    <w:rsid w:val="00172C9A"/>
    <w:rsid w:val="00176079"/>
    <w:rsid w:val="001762D6"/>
    <w:rsid w:val="0017652E"/>
    <w:rsid w:val="00176EEF"/>
    <w:rsid w:val="00180548"/>
    <w:rsid w:val="00180AC4"/>
    <w:rsid w:val="00180CCE"/>
    <w:rsid w:val="00180D86"/>
    <w:rsid w:val="00180E7C"/>
    <w:rsid w:val="00181AAD"/>
    <w:rsid w:val="00182648"/>
    <w:rsid w:val="0018267A"/>
    <w:rsid w:val="00182779"/>
    <w:rsid w:val="001830DF"/>
    <w:rsid w:val="001903FA"/>
    <w:rsid w:val="00190FD2"/>
    <w:rsid w:val="0019184D"/>
    <w:rsid w:val="001937A4"/>
    <w:rsid w:val="00194FA3"/>
    <w:rsid w:val="00194FB7"/>
    <w:rsid w:val="00195480"/>
    <w:rsid w:val="0019644F"/>
    <w:rsid w:val="001966D9"/>
    <w:rsid w:val="0019716A"/>
    <w:rsid w:val="001A029F"/>
    <w:rsid w:val="001A24E7"/>
    <w:rsid w:val="001A2524"/>
    <w:rsid w:val="001A2AAD"/>
    <w:rsid w:val="001A2B78"/>
    <w:rsid w:val="001A4281"/>
    <w:rsid w:val="001A4BB1"/>
    <w:rsid w:val="001A52BD"/>
    <w:rsid w:val="001A7B5F"/>
    <w:rsid w:val="001A7E9A"/>
    <w:rsid w:val="001B0F70"/>
    <w:rsid w:val="001B1F49"/>
    <w:rsid w:val="001B5016"/>
    <w:rsid w:val="001B58ED"/>
    <w:rsid w:val="001B5D7D"/>
    <w:rsid w:val="001B6175"/>
    <w:rsid w:val="001C0188"/>
    <w:rsid w:val="001C45FC"/>
    <w:rsid w:val="001C5609"/>
    <w:rsid w:val="001D02C5"/>
    <w:rsid w:val="001D0384"/>
    <w:rsid w:val="001D4862"/>
    <w:rsid w:val="001D7281"/>
    <w:rsid w:val="001D7E6F"/>
    <w:rsid w:val="001E25B9"/>
    <w:rsid w:val="001E2C74"/>
    <w:rsid w:val="001E2C8F"/>
    <w:rsid w:val="001E2FAF"/>
    <w:rsid w:val="001E3928"/>
    <w:rsid w:val="001E47F2"/>
    <w:rsid w:val="001E49E0"/>
    <w:rsid w:val="001E5DDC"/>
    <w:rsid w:val="001E60C3"/>
    <w:rsid w:val="001E6F2A"/>
    <w:rsid w:val="001E7B5A"/>
    <w:rsid w:val="001F1497"/>
    <w:rsid w:val="001F3BAC"/>
    <w:rsid w:val="001F51AA"/>
    <w:rsid w:val="001F68E5"/>
    <w:rsid w:val="001F7351"/>
    <w:rsid w:val="001F7412"/>
    <w:rsid w:val="00200567"/>
    <w:rsid w:val="00200FDD"/>
    <w:rsid w:val="00201874"/>
    <w:rsid w:val="00202133"/>
    <w:rsid w:val="0020264E"/>
    <w:rsid w:val="00205741"/>
    <w:rsid w:val="00205B29"/>
    <w:rsid w:val="0020627A"/>
    <w:rsid w:val="00206474"/>
    <w:rsid w:val="0020725B"/>
    <w:rsid w:val="00210A8F"/>
    <w:rsid w:val="00211617"/>
    <w:rsid w:val="00214000"/>
    <w:rsid w:val="002158B6"/>
    <w:rsid w:val="00215C89"/>
    <w:rsid w:val="002175BA"/>
    <w:rsid w:val="00220180"/>
    <w:rsid w:val="0022599E"/>
    <w:rsid w:val="00227C5E"/>
    <w:rsid w:val="002305E8"/>
    <w:rsid w:val="00231357"/>
    <w:rsid w:val="0023198D"/>
    <w:rsid w:val="0023317E"/>
    <w:rsid w:val="002339CA"/>
    <w:rsid w:val="00234F2C"/>
    <w:rsid w:val="0024011C"/>
    <w:rsid w:val="00240B0E"/>
    <w:rsid w:val="0024116D"/>
    <w:rsid w:val="00241B44"/>
    <w:rsid w:val="00242DD7"/>
    <w:rsid w:val="00245EFB"/>
    <w:rsid w:val="00246BC3"/>
    <w:rsid w:val="00250E19"/>
    <w:rsid w:val="0025176D"/>
    <w:rsid w:val="0025386E"/>
    <w:rsid w:val="002539D7"/>
    <w:rsid w:val="00257437"/>
    <w:rsid w:val="002600BE"/>
    <w:rsid w:val="0026262C"/>
    <w:rsid w:val="0026370C"/>
    <w:rsid w:val="002638B0"/>
    <w:rsid w:val="00264FFF"/>
    <w:rsid w:val="002650D7"/>
    <w:rsid w:val="0026541C"/>
    <w:rsid w:val="002654CB"/>
    <w:rsid w:val="002654E8"/>
    <w:rsid w:val="0026647A"/>
    <w:rsid w:val="002668D3"/>
    <w:rsid w:val="002675BE"/>
    <w:rsid w:val="00270082"/>
    <w:rsid w:val="0027299F"/>
    <w:rsid w:val="00273A13"/>
    <w:rsid w:val="00273D3F"/>
    <w:rsid w:val="00273EF2"/>
    <w:rsid w:val="00276276"/>
    <w:rsid w:val="00276913"/>
    <w:rsid w:val="00280DF7"/>
    <w:rsid w:val="0028120E"/>
    <w:rsid w:val="0028135B"/>
    <w:rsid w:val="00282480"/>
    <w:rsid w:val="00283267"/>
    <w:rsid w:val="00284011"/>
    <w:rsid w:val="00284B5D"/>
    <w:rsid w:val="00284EBE"/>
    <w:rsid w:val="00286D9C"/>
    <w:rsid w:val="0029433F"/>
    <w:rsid w:val="00294471"/>
    <w:rsid w:val="00294829"/>
    <w:rsid w:val="00294F3B"/>
    <w:rsid w:val="0029690F"/>
    <w:rsid w:val="002A1BD1"/>
    <w:rsid w:val="002A1EEC"/>
    <w:rsid w:val="002A29FB"/>
    <w:rsid w:val="002A2A60"/>
    <w:rsid w:val="002A33E9"/>
    <w:rsid w:val="002A348F"/>
    <w:rsid w:val="002A4CD9"/>
    <w:rsid w:val="002A74BE"/>
    <w:rsid w:val="002B0FEE"/>
    <w:rsid w:val="002B1C45"/>
    <w:rsid w:val="002B2B8D"/>
    <w:rsid w:val="002B397D"/>
    <w:rsid w:val="002B566A"/>
    <w:rsid w:val="002B721C"/>
    <w:rsid w:val="002C13C8"/>
    <w:rsid w:val="002C3547"/>
    <w:rsid w:val="002C4E4A"/>
    <w:rsid w:val="002C7D22"/>
    <w:rsid w:val="002D0021"/>
    <w:rsid w:val="002D12A3"/>
    <w:rsid w:val="002D3473"/>
    <w:rsid w:val="002D4ED8"/>
    <w:rsid w:val="002D5C95"/>
    <w:rsid w:val="002D5EE1"/>
    <w:rsid w:val="002D6B61"/>
    <w:rsid w:val="002D7B80"/>
    <w:rsid w:val="002E00F8"/>
    <w:rsid w:val="002E0201"/>
    <w:rsid w:val="002E1574"/>
    <w:rsid w:val="002E1BB5"/>
    <w:rsid w:val="002E2322"/>
    <w:rsid w:val="002E263C"/>
    <w:rsid w:val="002E38E2"/>
    <w:rsid w:val="002E6149"/>
    <w:rsid w:val="002F1956"/>
    <w:rsid w:val="002F3440"/>
    <w:rsid w:val="002F4EC0"/>
    <w:rsid w:val="002F64FE"/>
    <w:rsid w:val="002F71BE"/>
    <w:rsid w:val="002F75A3"/>
    <w:rsid w:val="002F78CA"/>
    <w:rsid w:val="00300914"/>
    <w:rsid w:val="00301D34"/>
    <w:rsid w:val="00302622"/>
    <w:rsid w:val="00303C2F"/>
    <w:rsid w:val="00307350"/>
    <w:rsid w:val="00307557"/>
    <w:rsid w:val="00310C7A"/>
    <w:rsid w:val="003120F1"/>
    <w:rsid w:val="003123B6"/>
    <w:rsid w:val="00312911"/>
    <w:rsid w:val="00313487"/>
    <w:rsid w:val="003144EF"/>
    <w:rsid w:val="00314872"/>
    <w:rsid w:val="003148CA"/>
    <w:rsid w:val="00315506"/>
    <w:rsid w:val="0031767E"/>
    <w:rsid w:val="00320A19"/>
    <w:rsid w:val="00321876"/>
    <w:rsid w:val="003220BA"/>
    <w:rsid w:val="00322F3B"/>
    <w:rsid w:val="00323940"/>
    <w:rsid w:val="003253CF"/>
    <w:rsid w:val="00325EE6"/>
    <w:rsid w:val="00326292"/>
    <w:rsid w:val="00326415"/>
    <w:rsid w:val="00326523"/>
    <w:rsid w:val="00326F84"/>
    <w:rsid w:val="00330937"/>
    <w:rsid w:val="00330CBB"/>
    <w:rsid w:val="00330F31"/>
    <w:rsid w:val="0033442A"/>
    <w:rsid w:val="003345A4"/>
    <w:rsid w:val="00334648"/>
    <w:rsid w:val="003347EC"/>
    <w:rsid w:val="00335608"/>
    <w:rsid w:val="0033768C"/>
    <w:rsid w:val="00337938"/>
    <w:rsid w:val="00340769"/>
    <w:rsid w:val="00341AA6"/>
    <w:rsid w:val="00342459"/>
    <w:rsid w:val="003427B9"/>
    <w:rsid w:val="003429E5"/>
    <w:rsid w:val="00345567"/>
    <w:rsid w:val="00346B16"/>
    <w:rsid w:val="003500FC"/>
    <w:rsid w:val="00351152"/>
    <w:rsid w:val="003537DC"/>
    <w:rsid w:val="0035512F"/>
    <w:rsid w:val="00360124"/>
    <w:rsid w:val="00360817"/>
    <w:rsid w:val="003616AE"/>
    <w:rsid w:val="00361A0A"/>
    <w:rsid w:val="0036565C"/>
    <w:rsid w:val="0036625E"/>
    <w:rsid w:val="00366AD8"/>
    <w:rsid w:val="0036760B"/>
    <w:rsid w:val="00372C23"/>
    <w:rsid w:val="00374563"/>
    <w:rsid w:val="0037465A"/>
    <w:rsid w:val="003749BF"/>
    <w:rsid w:val="00374B81"/>
    <w:rsid w:val="0037544E"/>
    <w:rsid w:val="00377AAD"/>
    <w:rsid w:val="00380BAB"/>
    <w:rsid w:val="00382C98"/>
    <w:rsid w:val="0038533C"/>
    <w:rsid w:val="003862DF"/>
    <w:rsid w:val="00386335"/>
    <w:rsid w:val="00386568"/>
    <w:rsid w:val="00387106"/>
    <w:rsid w:val="00387608"/>
    <w:rsid w:val="00390FE7"/>
    <w:rsid w:val="00391F3E"/>
    <w:rsid w:val="00393875"/>
    <w:rsid w:val="0039446C"/>
    <w:rsid w:val="003948D5"/>
    <w:rsid w:val="003963D4"/>
    <w:rsid w:val="00396573"/>
    <w:rsid w:val="00396821"/>
    <w:rsid w:val="00396D70"/>
    <w:rsid w:val="0039708D"/>
    <w:rsid w:val="00397D3A"/>
    <w:rsid w:val="003A051E"/>
    <w:rsid w:val="003A2FEE"/>
    <w:rsid w:val="003A34EA"/>
    <w:rsid w:val="003A35C5"/>
    <w:rsid w:val="003A3810"/>
    <w:rsid w:val="003A4E3E"/>
    <w:rsid w:val="003A595E"/>
    <w:rsid w:val="003A7E9E"/>
    <w:rsid w:val="003B0115"/>
    <w:rsid w:val="003B01F1"/>
    <w:rsid w:val="003B1310"/>
    <w:rsid w:val="003B170F"/>
    <w:rsid w:val="003B2324"/>
    <w:rsid w:val="003B3C5F"/>
    <w:rsid w:val="003C089D"/>
    <w:rsid w:val="003C1084"/>
    <w:rsid w:val="003C3039"/>
    <w:rsid w:val="003C3DAA"/>
    <w:rsid w:val="003C4260"/>
    <w:rsid w:val="003C4471"/>
    <w:rsid w:val="003C483B"/>
    <w:rsid w:val="003C5AA4"/>
    <w:rsid w:val="003C66B1"/>
    <w:rsid w:val="003C78BB"/>
    <w:rsid w:val="003D0A6D"/>
    <w:rsid w:val="003D0B9B"/>
    <w:rsid w:val="003D190F"/>
    <w:rsid w:val="003D28DC"/>
    <w:rsid w:val="003D79F9"/>
    <w:rsid w:val="003E0B16"/>
    <w:rsid w:val="003E15FD"/>
    <w:rsid w:val="003E67D1"/>
    <w:rsid w:val="00400EE8"/>
    <w:rsid w:val="00401FCE"/>
    <w:rsid w:val="00405DC1"/>
    <w:rsid w:val="0040710D"/>
    <w:rsid w:val="004112DE"/>
    <w:rsid w:val="0041139B"/>
    <w:rsid w:val="004137C3"/>
    <w:rsid w:val="004138EC"/>
    <w:rsid w:val="00413D3A"/>
    <w:rsid w:val="00414037"/>
    <w:rsid w:val="00415028"/>
    <w:rsid w:val="00415F1F"/>
    <w:rsid w:val="00417B0F"/>
    <w:rsid w:val="0042108F"/>
    <w:rsid w:val="00422242"/>
    <w:rsid w:val="00424D07"/>
    <w:rsid w:val="00424D35"/>
    <w:rsid w:val="00430FED"/>
    <w:rsid w:val="00432179"/>
    <w:rsid w:val="004333CA"/>
    <w:rsid w:val="00434292"/>
    <w:rsid w:val="00434A8C"/>
    <w:rsid w:val="00435583"/>
    <w:rsid w:val="00436884"/>
    <w:rsid w:val="00437297"/>
    <w:rsid w:val="00442FDF"/>
    <w:rsid w:val="00443403"/>
    <w:rsid w:val="004441C2"/>
    <w:rsid w:val="00444284"/>
    <w:rsid w:val="00445CE6"/>
    <w:rsid w:val="00447FE6"/>
    <w:rsid w:val="004511BE"/>
    <w:rsid w:val="00452141"/>
    <w:rsid w:val="004534C2"/>
    <w:rsid w:val="0045446F"/>
    <w:rsid w:val="0045683E"/>
    <w:rsid w:val="004570B2"/>
    <w:rsid w:val="00462F71"/>
    <w:rsid w:val="00463A50"/>
    <w:rsid w:val="0046643F"/>
    <w:rsid w:val="004666B4"/>
    <w:rsid w:val="0047025B"/>
    <w:rsid w:val="00470353"/>
    <w:rsid w:val="00471D82"/>
    <w:rsid w:val="0047216A"/>
    <w:rsid w:val="00473590"/>
    <w:rsid w:val="00475181"/>
    <w:rsid w:val="0047591C"/>
    <w:rsid w:val="00476107"/>
    <w:rsid w:val="00476902"/>
    <w:rsid w:val="00476D9E"/>
    <w:rsid w:val="00477B7E"/>
    <w:rsid w:val="00480799"/>
    <w:rsid w:val="00484C94"/>
    <w:rsid w:val="00487D71"/>
    <w:rsid w:val="00491675"/>
    <w:rsid w:val="00491C58"/>
    <w:rsid w:val="00493855"/>
    <w:rsid w:val="00493DF4"/>
    <w:rsid w:val="0049508F"/>
    <w:rsid w:val="004A171E"/>
    <w:rsid w:val="004A2661"/>
    <w:rsid w:val="004A2F76"/>
    <w:rsid w:val="004A4957"/>
    <w:rsid w:val="004A57DD"/>
    <w:rsid w:val="004A7919"/>
    <w:rsid w:val="004A7B51"/>
    <w:rsid w:val="004A7D71"/>
    <w:rsid w:val="004A7EF3"/>
    <w:rsid w:val="004B11FD"/>
    <w:rsid w:val="004B23A2"/>
    <w:rsid w:val="004B3A1F"/>
    <w:rsid w:val="004B5253"/>
    <w:rsid w:val="004B53EF"/>
    <w:rsid w:val="004C3838"/>
    <w:rsid w:val="004C420F"/>
    <w:rsid w:val="004C4E97"/>
    <w:rsid w:val="004D1A5A"/>
    <w:rsid w:val="004D2F17"/>
    <w:rsid w:val="004D2FFF"/>
    <w:rsid w:val="004D3721"/>
    <w:rsid w:val="004D50E0"/>
    <w:rsid w:val="004D64F9"/>
    <w:rsid w:val="004D6AE4"/>
    <w:rsid w:val="004E0549"/>
    <w:rsid w:val="004E1674"/>
    <w:rsid w:val="004E26F9"/>
    <w:rsid w:val="004E2E92"/>
    <w:rsid w:val="004E30B0"/>
    <w:rsid w:val="004E622C"/>
    <w:rsid w:val="004E6648"/>
    <w:rsid w:val="004F0D43"/>
    <w:rsid w:val="004F0DA4"/>
    <w:rsid w:val="004F29C1"/>
    <w:rsid w:val="004F3BC3"/>
    <w:rsid w:val="004F40E1"/>
    <w:rsid w:val="004F5FDF"/>
    <w:rsid w:val="004F65A0"/>
    <w:rsid w:val="00500EC0"/>
    <w:rsid w:val="0050157D"/>
    <w:rsid w:val="00504A0E"/>
    <w:rsid w:val="00506803"/>
    <w:rsid w:val="0050682B"/>
    <w:rsid w:val="00507AAC"/>
    <w:rsid w:val="00510A79"/>
    <w:rsid w:val="005132F0"/>
    <w:rsid w:val="005177FE"/>
    <w:rsid w:val="005201A9"/>
    <w:rsid w:val="0052263B"/>
    <w:rsid w:val="00522C6E"/>
    <w:rsid w:val="00523B99"/>
    <w:rsid w:val="00524728"/>
    <w:rsid w:val="005253E9"/>
    <w:rsid w:val="00530003"/>
    <w:rsid w:val="00530E88"/>
    <w:rsid w:val="005331CA"/>
    <w:rsid w:val="0053353F"/>
    <w:rsid w:val="00533739"/>
    <w:rsid w:val="005363CD"/>
    <w:rsid w:val="0053659E"/>
    <w:rsid w:val="005365A7"/>
    <w:rsid w:val="00537970"/>
    <w:rsid w:val="00537AE1"/>
    <w:rsid w:val="00540B44"/>
    <w:rsid w:val="00540E3A"/>
    <w:rsid w:val="005424B6"/>
    <w:rsid w:val="00544127"/>
    <w:rsid w:val="00544273"/>
    <w:rsid w:val="005447FB"/>
    <w:rsid w:val="005452FB"/>
    <w:rsid w:val="005463A9"/>
    <w:rsid w:val="00547993"/>
    <w:rsid w:val="005507DC"/>
    <w:rsid w:val="005514A9"/>
    <w:rsid w:val="00553EB2"/>
    <w:rsid w:val="0055441C"/>
    <w:rsid w:val="00556777"/>
    <w:rsid w:val="0055688E"/>
    <w:rsid w:val="005578B3"/>
    <w:rsid w:val="00560534"/>
    <w:rsid w:val="005609EB"/>
    <w:rsid w:val="00560A67"/>
    <w:rsid w:val="00562FFF"/>
    <w:rsid w:val="0056391B"/>
    <w:rsid w:val="00564AF2"/>
    <w:rsid w:val="005650E2"/>
    <w:rsid w:val="00565292"/>
    <w:rsid w:val="0056535A"/>
    <w:rsid w:val="00565DEE"/>
    <w:rsid w:val="0056691B"/>
    <w:rsid w:val="00567AD7"/>
    <w:rsid w:val="00567F31"/>
    <w:rsid w:val="00571F4D"/>
    <w:rsid w:val="005739B2"/>
    <w:rsid w:val="00573E73"/>
    <w:rsid w:val="00575325"/>
    <w:rsid w:val="00575B2D"/>
    <w:rsid w:val="00577B9D"/>
    <w:rsid w:val="00581CBF"/>
    <w:rsid w:val="00582D4D"/>
    <w:rsid w:val="00583241"/>
    <w:rsid w:val="005833D0"/>
    <w:rsid w:val="005846F3"/>
    <w:rsid w:val="00585E63"/>
    <w:rsid w:val="0058622F"/>
    <w:rsid w:val="00587461"/>
    <w:rsid w:val="00590023"/>
    <w:rsid w:val="00592F82"/>
    <w:rsid w:val="005A0CCA"/>
    <w:rsid w:val="005A1F44"/>
    <w:rsid w:val="005A497F"/>
    <w:rsid w:val="005A726D"/>
    <w:rsid w:val="005B508C"/>
    <w:rsid w:val="005B5E39"/>
    <w:rsid w:val="005B67AC"/>
    <w:rsid w:val="005C0FAD"/>
    <w:rsid w:val="005C2082"/>
    <w:rsid w:val="005C2C94"/>
    <w:rsid w:val="005C36BC"/>
    <w:rsid w:val="005C4865"/>
    <w:rsid w:val="005C543E"/>
    <w:rsid w:val="005C7099"/>
    <w:rsid w:val="005D43E0"/>
    <w:rsid w:val="005D58A3"/>
    <w:rsid w:val="005D6AD6"/>
    <w:rsid w:val="005E0BB2"/>
    <w:rsid w:val="005E1B79"/>
    <w:rsid w:val="005E23BF"/>
    <w:rsid w:val="005E47C5"/>
    <w:rsid w:val="005E53E5"/>
    <w:rsid w:val="005E58F6"/>
    <w:rsid w:val="005E5C28"/>
    <w:rsid w:val="005F026D"/>
    <w:rsid w:val="005F21F4"/>
    <w:rsid w:val="005F2D0B"/>
    <w:rsid w:val="005F4116"/>
    <w:rsid w:val="005F4B31"/>
    <w:rsid w:val="005F7EF0"/>
    <w:rsid w:val="006007AD"/>
    <w:rsid w:val="00601896"/>
    <w:rsid w:val="00604854"/>
    <w:rsid w:val="00604F3A"/>
    <w:rsid w:val="00605AFA"/>
    <w:rsid w:val="00607433"/>
    <w:rsid w:val="00607775"/>
    <w:rsid w:val="00610388"/>
    <w:rsid w:val="00611B6E"/>
    <w:rsid w:val="00612CA5"/>
    <w:rsid w:val="006151B5"/>
    <w:rsid w:val="006153EC"/>
    <w:rsid w:val="006154E1"/>
    <w:rsid w:val="00616220"/>
    <w:rsid w:val="00616590"/>
    <w:rsid w:val="00617A39"/>
    <w:rsid w:val="00621A17"/>
    <w:rsid w:val="00621A34"/>
    <w:rsid w:val="00622586"/>
    <w:rsid w:val="00622C2B"/>
    <w:rsid w:val="00622DCB"/>
    <w:rsid w:val="006247A2"/>
    <w:rsid w:val="00626C4A"/>
    <w:rsid w:val="00627CC9"/>
    <w:rsid w:val="00627E7B"/>
    <w:rsid w:val="00630082"/>
    <w:rsid w:val="00630285"/>
    <w:rsid w:val="00630542"/>
    <w:rsid w:val="00632E44"/>
    <w:rsid w:val="00634622"/>
    <w:rsid w:val="0063624C"/>
    <w:rsid w:val="00636808"/>
    <w:rsid w:val="00637722"/>
    <w:rsid w:val="006379C2"/>
    <w:rsid w:val="00637B2B"/>
    <w:rsid w:val="00640C12"/>
    <w:rsid w:val="00641002"/>
    <w:rsid w:val="00641007"/>
    <w:rsid w:val="00641515"/>
    <w:rsid w:val="0064234D"/>
    <w:rsid w:val="006431D5"/>
    <w:rsid w:val="00651AE3"/>
    <w:rsid w:val="006538D0"/>
    <w:rsid w:val="00654C2F"/>
    <w:rsid w:val="00657087"/>
    <w:rsid w:val="006624A5"/>
    <w:rsid w:val="0066252C"/>
    <w:rsid w:val="006633BA"/>
    <w:rsid w:val="00664336"/>
    <w:rsid w:val="006661EF"/>
    <w:rsid w:val="00667285"/>
    <w:rsid w:val="006705BD"/>
    <w:rsid w:val="0067294B"/>
    <w:rsid w:val="00672F36"/>
    <w:rsid w:val="00673CAC"/>
    <w:rsid w:val="00677736"/>
    <w:rsid w:val="0067785F"/>
    <w:rsid w:val="00677AEB"/>
    <w:rsid w:val="006803D9"/>
    <w:rsid w:val="00680EF2"/>
    <w:rsid w:val="006839C2"/>
    <w:rsid w:val="00686436"/>
    <w:rsid w:val="00687502"/>
    <w:rsid w:val="00687A1D"/>
    <w:rsid w:val="006920CC"/>
    <w:rsid w:val="00692AB2"/>
    <w:rsid w:val="00692F43"/>
    <w:rsid w:val="0069647C"/>
    <w:rsid w:val="00696E40"/>
    <w:rsid w:val="00697EA1"/>
    <w:rsid w:val="006A1850"/>
    <w:rsid w:val="006A2646"/>
    <w:rsid w:val="006A3A2E"/>
    <w:rsid w:val="006A3DF0"/>
    <w:rsid w:val="006A4C7A"/>
    <w:rsid w:val="006A57E9"/>
    <w:rsid w:val="006A6530"/>
    <w:rsid w:val="006B113A"/>
    <w:rsid w:val="006B2C41"/>
    <w:rsid w:val="006B3549"/>
    <w:rsid w:val="006B3C14"/>
    <w:rsid w:val="006B42DA"/>
    <w:rsid w:val="006B435A"/>
    <w:rsid w:val="006B4C64"/>
    <w:rsid w:val="006B4FFC"/>
    <w:rsid w:val="006C00C8"/>
    <w:rsid w:val="006C2452"/>
    <w:rsid w:val="006C2C2F"/>
    <w:rsid w:val="006D0E6E"/>
    <w:rsid w:val="006D1002"/>
    <w:rsid w:val="006D2476"/>
    <w:rsid w:val="006D63D0"/>
    <w:rsid w:val="006D6BD5"/>
    <w:rsid w:val="006E01A1"/>
    <w:rsid w:val="006E481A"/>
    <w:rsid w:val="006E5298"/>
    <w:rsid w:val="006E5879"/>
    <w:rsid w:val="006E72A3"/>
    <w:rsid w:val="006F10C2"/>
    <w:rsid w:val="006F127A"/>
    <w:rsid w:val="006F2CE3"/>
    <w:rsid w:val="006F37C6"/>
    <w:rsid w:val="006F71DF"/>
    <w:rsid w:val="006F734A"/>
    <w:rsid w:val="00700D83"/>
    <w:rsid w:val="00702CE6"/>
    <w:rsid w:val="00703819"/>
    <w:rsid w:val="00704852"/>
    <w:rsid w:val="00706297"/>
    <w:rsid w:val="00706AD5"/>
    <w:rsid w:val="007074E9"/>
    <w:rsid w:val="00707FC8"/>
    <w:rsid w:val="00710D9B"/>
    <w:rsid w:val="00710E05"/>
    <w:rsid w:val="00711AC1"/>
    <w:rsid w:val="007124A9"/>
    <w:rsid w:val="007134F1"/>
    <w:rsid w:val="00713DA4"/>
    <w:rsid w:val="00714BF1"/>
    <w:rsid w:val="007161FC"/>
    <w:rsid w:val="007162FB"/>
    <w:rsid w:val="00720AC9"/>
    <w:rsid w:val="0072111B"/>
    <w:rsid w:val="00721383"/>
    <w:rsid w:val="0072158B"/>
    <w:rsid w:val="0072474B"/>
    <w:rsid w:val="007251B5"/>
    <w:rsid w:val="0072554C"/>
    <w:rsid w:val="00725911"/>
    <w:rsid w:val="00725B48"/>
    <w:rsid w:val="00726C84"/>
    <w:rsid w:val="00731648"/>
    <w:rsid w:val="00731DBD"/>
    <w:rsid w:val="007333CC"/>
    <w:rsid w:val="0073399A"/>
    <w:rsid w:val="0073625A"/>
    <w:rsid w:val="0073729B"/>
    <w:rsid w:val="007451CD"/>
    <w:rsid w:val="0075195E"/>
    <w:rsid w:val="00751F66"/>
    <w:rsid w:val="00752950"/>
    <w:rsid w:val="00754800"/>
    <w:rsid w:val="007603F5"/>
    <w:rsid w:val="00761AA8"/>
    <w:rsid w:val="00761BCE"/>
    <w:rsid w:val="00764DB0"/>
    <w:rsid w:val="00766800"/>
    <w:rsid w:val="00766F8A"/>
    <w:rsid w:val="00767412"/>
    <w:rsid w:val="0076764D"/>
    <w:rsid w:val="0077498C"/>
    <w:rsid w:val="00776B0F"/>
    <w:rsid w:val="00777183"/>
    <w:rsid w:val="00780FC4"/>
    <w:rsid w:val="00781586"/>
    <w:rsid w:val="00784128"/>
    <w:rsid w:val="00784B4B"/>
    <w:rsid w:val="007854ED"/>
    <w:rsid w:val="0079267E"/>
    <w:rsid w:val="00793173"/>
    <w:rsid w:val="0079671C"/>
    <w:rsid w:val="0079732B"/>
    <w:rsid w:val="00797CED"/>
    <w:rsid w:val="007A1D51"/>
    <w:rsid w:val="007A2B31"/>
    <w:rsid w:val="007A5C98"/>
    <w:rsid w:val="007A770F"/>
    <w:rsid w:val="007A7E2F"/>
    <w:rsid w:val="007B3AC7"/>
    <w:rsid w:val="007B497A"/>
    <w:rsid w:val="007B51F6"/>
    <w:rsid w:val="007B6AD5"/>
    <w:rsid w:val="007C1FCC"/>
    <w:rsid w:val="007C32A8"/>
    <w:rsid w:val="007C3FE5"/>
    <w:rsid w:val="007C4B8A"/>
    <w:rsid w:val="007C6201"/>
    <w:rsid w:val="007C6988"/>
    <w:rsid w:val="007D1DF0"/>
    <w:rsid w:val="007D28A1"/>
    <w:rsid w:val="007D3FBB"/>
    <w:rsid w:val="007D4FBA"/>
    <w:rsid w:val="007D6593"/>
    <w:rsid w:val="007D78D1"/>
    <w:rsid w:val="007D7C92"/>
    <w:rsid w:val="007E0291"/>
    <w:rsid w:val="007E07FD"/>
    <w:rsid w:val="007E0A6B"/>
    <w:rsid w:val="007E1154"/>
    <w:rsid w:val="007E541F"/>
    <w:rsid w:val="007E6BA4"/>
    <w:rsid w:val="007E7678"/>
    <w:rsid w:val="007E7C1A"/>
    <w:rsid w:val="007E7C41"/>
    <w:rsid w:val="007F41F8"/>
    <w:rsid w:val="007F5218"/>
    <w:rsid w:val="007F60D0"/>
    <w:rsid w:val="007F6E29"/>
    <w:rsid w:val="007F75E0"/>
    <w:rsid w:val="0080454E"/>
    <w:rsid w:val="00804C32"/>
    <w:rsid w:val="00804F32"/>
    <w:rsid w:val="00806302"/>
    <w:rsid w:val="00807119"/>
    <w:rsid w:val="008104A4"/>
    <w:rsid w:val="008106DF"/>
    <w:rsid w:val="00810CF5"/>
    <w:rsid w:val="00812AFE"/>
    <w:rsid w:val="0081641E"/>
    <w:rsid w:val="00816FC1"/>
    <w:rsid w:val="00817D57"/>
    <w:rsid w:val="00822764"/>
    <w:rsid w:val="008235DA"/>
    <w:rsid w:val="008241C4"/>
    <w:rsid w:val="0082483F"/>
    <w:rsid w:val="00824C6F"/>
    <w:rsid w:val="008261B8"/>
    <w:rsid w:val="008264CB"/>
    <w:rsid w:val="008267D0"/>
    <w:rsid w:val="00826F95"/>
    <w:rsid w:val="0082752E"/>
    <w:rsid w:val="008279C0"/>
    <w:rsid w:val="00830508"/>
    <w:rsid w:val="008318FD"/>
    <w:rsid w:val="00833F85"/>
    <w:rsid w:val="008345C1"/>
    <w:rsid w:val="00835FD1"/>
    <w:rsid w:val="00837092"/>
    <w:rsid w:val="008439DA"/>
    <w:rsid w:val="0084446E"/>
    <w:rsid w:val="008459D1"/>
    <w:rsid w:val="0084683C"/>
    <w:rsid w:val="008512FA"/>
    <w:rsid w:val="008522F2"/>
    <w:rsid w:val="00853A74"/>
    <w:rsid w:val="00853D1F"/>
    <w:rsid w:val="00856B6A"/>
    <w:rsid w:val="00857091"/>
    <w:rsid w:val="00857763"/>
    <w:rsid w:val="00860E61"/>
    <w:rsid w:val="008649A4"/>
    <w:rsid w:val="00865850"/>
    <w:rsid w:val="00867A8F"/>
    <w:rsid w:val="00871DAA"/>
    <w:rsid w:val="008723F3"/>
    <w:rsid w:val="00872F10"/>
    <w:rsid w:val="008732A7"/>
    <w:rsid w:val="00877CF9"/>
    <w:rsid w:val="00881760"/>
    <w:rsid w:val="00881DE6"/>
    <w:rsid w:val="008837A6"/>
    <w:rsid w:val="0088411E"/>
    <w:rsid w:val="00884E76"/>
    <w:rsid w:val="008866AC"/>
    <w:rsid w:val="00886822"/>
    <w:rsid w:val="0089145D"/>
    <w:rsid w:val="00893A03"/>
    <w:rsid w:val="00896FD6"/>
    <w:rsid w:val="008A0C6E"/>
    <w:rsid w:val="008A22BC"/>
    <w:rsid w:val="008A46CF"/>
    <w:rsid w:val="008A4DF2"/>
    <w:rsid w:val="008A5280"/>
    <w:rsid w:val="008A6CFE"/>
    <w:rsid w:val="008A7470"/>
    <w:rsid w:val="008A7545"/>
    <w:rsid w:val="008B1A08"/>
    <w:rsid w:val="008B2DE3"/>
    <w:rsid w:val="008B387A"/>
    <w:rsid w:val="008B5333"/>
    <w:rsid w:val="008B6223"/>
    <w:rsid w:val="008B6AB3"/>
    <w:rsid w:val="008C44DA"/>
    <w:rsid w:val="008C66E0"/>
    <w:rsid w:val="008D5795"/>
    <w:rsid w:val="008D6918"/>
    <w:rsid w:val="008D7737"/>
    <w:rsid w:val="008E2C73"/>
    <w:rsid w:val="008E2DFA"/>
    <w:rsid w:val="008E3339"/>
    <w:rsid w:val="008E525E"/>
    <w:rsid w:val="008E549B"/>
    <w:rsid w:val="008E667D"/>
    <w:rsid w:val="008E7137"/>
    <w:rsid w:val="008F18EF"/>
    <w:rsid w:val="008F20FC"/>
    <w:rsid w:val="008F2759"/>
    <w:rsid w:val="008F2B24"/>
    <w:rsid w:val="008F5FFE"/>
    <w:rsid w:val="008F6805"/>
    <w:rsid w:val="009018A3"/>
    <w:rsid w:val="00901F11"/>
    <w:rsid w:val="0090421A"/>
    <w:rsid w:val="00905A43"/>
    <w:rsid w:val="009079BD"/>
    <w:rsid w:val="00907DC2"/>
    <w:rsid w:val="00912C79"/>
    <w:rsid w:val="00913619"/>
    <w:rsid w:val="00923314"/>
    <w:rsid w:val="00923817"/>
    <w:rsid w:val="00925F63"/>
    <w:rsid w:val="009260A2"/>
    <w:rsid w:val="00927664"/>
    <w:rsid w:val="0093097E"/>
    <w:rsid w:val="00933A1A"/>
    <w:rsid w:val="009344C1"/>
    <w:rsid w:val="0093488C"/>
    <w:rsid w:val="00940E6D"/>
    <w:rsid w:val="00942123"/>
    <w:rsid w:val="00942AF2"/>
    <w:rsid w:val="00951031"/>
    <w:rsid w:val="00951A3F"/>
    <w:rsid w:val="0095207B"/>
    <w:rsid w:val="00954300"/>
    <w:rsid w:val="00954461"/>
    <w:rsid w:val="00956085"/>
    <w:rsid w:val="00957951"/>
    <w:rsid w:val="00961344"/>
    <w:rsid w:val="00961571"/>
    <w:rsid w:val="00962045"/>
    <w:rsid w:val="0096514C"/>
    <w:rsid w:val="00965ADE"/>
    <w:rsid w:val="00967EDA"/>
    <w:rsid w:val="00970897"/>
    <w:rsid w:val="0097337E"/>
    <w:rsid w:val="009761C7"/>
    <w:rsid w:val="00980314"/>
    <w:rsid w:val="00980780"/>
    <w:rsid w:val="009816D0"/>
    <w:rsid w:val="009850A6"/>
    <w:rsid w:val="00991428"/>
    <w:rsid w:val="00992676"/>
    <w:rsid w:val="009927DF"/>
    <w:rsid w:val="00993A1C"/>
    <w:rsid w:val="009956DE"/>
    <w:rsid w:val="0099585A"/>
    <w:rsid w:val="00996643"/>
    <w:rsid w:val="00996691"/>
    <w:rsid w:val="0099722E"/>
    <w:rsid w:val="00997BFF"/>
    <w:rsid w:val="009A0C0B"/>
    <w:rsid w:val="009A4880"/>
    <w:rsid w:val="009A58D1"/>
    <w:rsid w:val="009A7865"/>
    <w:rsid w:val="009B0723"/>
    <w:rsid w:val="009B07AD"/>
    <w:rsid w:val="009B0883"/>
    <w:rsid w:val="009B15E2"/>
    <w:rsid w:val="009B17BD"/>
    <w:rsid w:val="009B17E6"/>
    <w:rsid w:val="009B2981"/>
    <w:rsid w:val="009B42F7"/>
    <w:rsid w:val="009B5329"/>
    <w:rsid w:val="009B5832"/>
    <w:rsid w:val="009B5E0D"/>
    <w:rsid w:val="009B6312"/>
    <w:rsid w:val="009B640D"/>
    <w:rsid w:val="009B6928"/>
    <w:rsid w:val="009B741F"/>
    <w:rsid w:val="009C0850"/>
    <w:rsid w:val="009C0B8E"/>
    <w:rsid w:val="009C1BC8"/>
    <w:rsid w:val="009C2442"/>
    <w:rsid w:val="009C7825"/>
    <w:rsid w:val="009D0811"/>
    <w:rsid w:val="009D0EE1"/>
    <w:rsid w:val="009D30BB"/>
    <w:rsid w:val="009D4DE8"/>
    <w:rsid w:val="009D5023"/>
    <w:rsid w:val="009D7E49"/>
    <w:rsid w:val="009E2AEB"/>
    <w:rsid w:val="009E2E27"/>
    <w:rsid w:val="009E3CA7"/>
    <w:rsid w:val="009E4DE3"/>
    <w:rsid w:val="009F173C"/>
    <w:rsid w:val="009F1EBC"/>
    <w:rsid w:val="009F557B"/>
    <w:rsid w:val="009F72F6"/>
    <w:rsid w:val="00A0133C"/>
    <w:rsid w:val="00A047EE"/>
    <w:rsid w:val="00A05D61"/>
    <w:rsid w:val="00A07126"/>
    <w:rsid w:val="00A108AD"/>
    <w:rsid w:val="00A114EA"/>
    <w:rsid w:val="00A12B67"/>
    <w:rsid w:val="00A13D5E"/>
    <w:rsid w:val="00A153F7"/>
    <w:rsid w:val="00A15B0E"/>
    <w:rsid w:val="00A17E51"/>
    <w:rsid w:val="00A212A2"/>
    <w:rsid w:val="00A2274A"/>
    <w:rsid w:val="00A235B7"/>
    <w:rsid w:val="00A25695"/>
    <w:rsid w:val="00A271CB"/>
    <w:rsid w:val="00A27236"/>
    <w:rsid w:val="00A27A7A"/>
    <w:rsid w:val="00A31011"/>
    <w:rsid w:val="00A3270E"/>
    <w:rsid w:val="00A32A6C"/>
    <w:rsid w:val="00A3761B"/>
    <w:rsid w:val="00A407EF"/>
    <w:rsid w:val="00A40CCD"/>
    <w:rsid w:val="00A41D5A"/>
    <w:rsid w:val="00A43503"/>
    <w:rsid w:val="00A44BE8"/>
    <w:rsid w:val="00A44F8C"/>
    <w:rsid w:val="00A46B4C"/>
    <w:rsid w:val="00A50B5B"/>
    <w:rsid w:val="00A510C3"/>
    <w:rsid w:val="00A5117B"/>
    <w:rsid w:val="00A54000"/>
    <w:rsid w:val="00A54689"/>
    <w:rsid w:val="00A60074"/>
    <w:rsid w:val="00A6627C"/>
    <w:rsid w:val="00A6649C"/>
    <w:rsid w:val="00A67E90"/>
    <w:rsid w:val="00A70BBC"/>
    <w:rsid w:val="00A70E2A"/>
    <w:rsid w:val="00A71019"/>
    <w:rsid w:val="00A711F1"/>
    <w:rsid w:val="00A729E3"/>
    <w:rsid w:val="00A72B0C"/>
    <w:rsid w:val="00A7474C"/>
    <w:rsid w:val="00A81029"/>
    <w:rsid w:val="00A83799"/>
    <w:rsid w:val="00A83C8A"/>
    <w:rsid w:val="00A83CB5"/>
    <w:rsid w:val="00A865A7"/>
    <w:rsid w:val="00A8797B"/>
    <w:rsid w:val="00A926C8"/>
    <w:rsid w:val="00A94B9D"/>
    <w:rsid w:val="00A94BD3"/>
    <w:rsid w:val="00A95D7E"/>
    <w:rsid w:val="00A96489"/>
    <w:rsid w:val="00A971FD"/>
    <w:rsid w:val="00A97B75"/>
    <w:rsid w:val="00AA12B3"/>
    <w:rsid w:val="00AA23FD"/>
    <w:rsid w:val="00AA3A42"/>
    <w:rsid w:val="00AA45E6"/>
    <w:rsid w:val="00AA5311"/>
    <w:rsid w:val="00AA784C"/>
    <w:rsid w:val="00AA7BAA"/>
    <w:rsid w:val="00AB1D10"/>
    <w:rsid w:val="00AB4627"/>
    <w:rsid w:val="00AB586E"/>
    <w:rsid w:val="00AB63E8"/>
    <w:rsid w:val="00AB685C"/>
    <w:rsid w:val="00AB6C2D"/>
    <w:rsid w:val="00AB6E22"/>
    <w:rsid w:val="00AC05AE"/>
    <w:rsid w:val="00AC08F7"/>
    <w:rsid w:val="00AC2B9E"/>
    <w:rsid w:val="00AC3839"/>
    <w:rsid w:val="00AC7082"/>
    <w:rsid w:val="00AD0E59"/>
    <w:rsid w:val="00AD3FEA"/>
    <w:rsid w:val="00AD7BBD"/>
    <w:rsid w:val="00AE404C"/>
    <w:rsid w:val="00AE6FCE"/>
    <w:rsid w:val="00AF149D"/>
    <w:rsid w:val="00AF228E"/>
    <w:rsid w:val="00AF302B"/>
    <w:rsid w:val="00AF5EB6"/>
    <w:rsid w:val="00AF73FA"/>
    <w:rsid w:val="00B04137"/>
    <w:rsid w:val="00B07BC4"/>
    <w:rsid w:val="00B1112C"/>
    <w:rsid w:val="00B11BA1"/>
    <w:rsid w:val="00B11D19"/>
    <w:rsid w:val="00B12936"/>
    <w:rsid w:val="00B12C2D"/>
    <w:rsid w:val="00B14819"/>
    <w:rsid w:val="00B15031"/>
    <w:rsid w:val="00B17829"/>
    <w:rsid w:val="00B17AA9"/>
    <w:rsid w:val="00B20C47"/>
    <w:rsid w:val="00B23594"/>
    <w:rsid w:val="00B248C4"/>
    <w:rsid w:val="00B263D0"/>
    <w:rsid w:val="00B32DE4"/>
    <w:rsid w:val="00B33578"/>
    <w:rsid w:val="00B34228"/>
    <w:rsid w:val="00B35F27"/>
    <w:rsid w:val="00B370C3"/>
    <w:rsid w:val="00B40A2D"/>
    <w:rsid w:val="00B40D72"/>
    <w:rsid w:val="00B411AE"/>
    <w:rsid w:val="00B413F5"/>
    <w:rsid w:val="00B42680"/>
    <w:rsid w:val="00B4440A"/>
    <w:rsid w:val="00B457BF"/>
    <w:rsid w:val="00B46CE2"/>
    <w:rsid w:val="00B51183"/>
    <w:rsid w:val="00B53365"/>
    <w:rsid w:val="00B544E9"/>
    <w:rsid w:val="00B60190"/>
    <w:rsid w:val="00B60814"/>
    <w:rsid w:val="00B61419"/>
    <w:rsid w:val="00B61CEE"/>
    <w:rsid w:val="00B6265A"/>
    <w:rsid w:val="00B650FD"/>
    <w:rsid w:val="00B66441"/>
    <w:rsid w:val="00B6690D"/>
    <w:rsid w:val="00B704D5"/>
    <w:rsid w:val="00B72F5F"/>
    <w:rsid w:val="00B736DF"/>
    <w:rsid w:val="00B74FBD"/>
    <w:rsid w:val="00B77352"/>
    <w:rsid w:val="00B81095"/>
    <w:rsid w:val="00B82586"/>
    <w:rsid w:val="00B829A3"/>
    <w:rsid w:val="00B830A3"/>
    <w:rsid w:val="00B8424E"/>
    <w:rsid w:val="00B84808"/>
    <w:rsid w:val="00B856D1"/>
    <w:rsid w:val="00B85F61"/>
    <w:rsid w:val="00B86DB1"/>
    <w:rsid w:val="00B87869"/>
    <w:rsid w:val="00B901CB"/>
    <w:rsid w:val="00B915E8"/>
    <w:rsid w:val="00B93185"/>
    <w:rsid w:val="00B94A8B"/>
    <w:rsid w:val="00B953BD"/>
    <w:rsid w:val="00B9617A"/>
    <w:rsid w:val="00BA060F"/>
    <w:rsid w:val="00BA0D2F"/>
    <w:rsid w:val="00BA0E44"/>
    <w:rsid w:val="00BA47C5"/>
    <w:rsid w:val="00BB0F2B"/>
    <w:rsid w:val="00BB1001"/>
    <w:rsid w:val="00BC016B"/>
    <w:rsid w:val="00BC0A68"/>
    <w:rsid w:val="00BC1EC3"/>
    <w:rsid w:val="00BC493A"/>
    <w:rsid w:val="00BC5599"/>
    <w:rsid w:val="00BC6E9C"/>
    <w:rsid w:val="00BD0D57"/>
    <w:rsid w:val="00BD649A"/>
    <w:rsid w:val="00BD67A7"/>
    <w:rsid w:val="00BD718C"/>
    <w:rsid w:val="00BE082F"/>
    <w:rsid w:val="00BE1A50"/>
    <w:rsid w:val="00BE1CFB"/>
    <w:rsid w:val="00BE2B2E"/>
    <w:rsid w:val="00BF154F"/>
    <w:rsid w:val="00BF1FD6"/>
    <w:rsid w:val="00BF4079"/>
    <w:rsid w:val="00BF4202"/>
    <w:rsid w:val="00BF50F7"/>
    <w:rsid w:val="00C00111"/>
    <w:rsid w:val="00C0297C"/>
    <w:rsid w:val="00C02F29"/>
    <w:rsid w:val="00C03E73"/>
    <w:rsid w:val="00C05A77"/>
    <w:rsid w:val="00C07B33"/>
    <w:rsid w:val="00C10C13"/>
    <w:rsid w:val="00C1146F"/>
    <w:rsid w:val="00C1357D"/>
    <w:rsid w:val="00C17111"/>
    <w:rsid w:val="00C20069"/>
    <w:rsid w:val="00C20747"/>
    <w:rsid w:val="00C20AFE"/>
    <w:rsid w:val="00C22A25"/>
    <w:rsid w:val="00C23B79"/>
    <w:rsid w:val="00C252C7"/>
    <w:rsid w:val="00C25D8D"/>
    <w:rsid w:val="00C3108F"/>
    <w:rsid w:val="00C32356"/>
    <w:rsid w:val="00C3238E"/>
    <w:rsid w:val="00C33D50"/>
    <w:rsid w:val="00C35671"/>
    <w:rsid w:val="00C359F7"/>
    <w:rsid w:val="00C35A6C"/>
    <w:rsid w:val="00C35B77"/>
    <w:rsid w:val="00C370D3"/>
    <w:rsid w:val="00C376EB"/>
    <w:rsid w:val="00C4003A"/>
    <w:rsid w:val="00C405AC"/>
    <w:rsid w:val="00C42FD5"/>
    <w:rsid w:val="00C4510C"/>
    <w:rsid w:val="00C452F4"/>
    <w:rsid w:val="00C45DBC"/>
    <w:rsid w:val="00C46B80"/>
    <w:rsid w:val="00C46EC1"/>
    <w:rsid w:val="00C47EDA"/>
    <w:rsid w:val="00C504E5"/>
    <w:rsid w:val="00C53E27"/>
    <w:rsid w:val="00C53E2C"/>
    <w:rsid w:val="00C550C8"/>
    <w:rsid w:val="00C56B61"/>
    <w:rsid w:val="00C57F52"/>
    <w:rsid w:val="00C602F9"/>
    <w:rsid w:val="00C606C3"/>
    <w:rsid w:val="00C620F4"/>
    <w:rsid w:val="00C62A07"/>
    <w:rsid w:val="00C62CEE"/>
    <w:rsid w:val="00C668B6"/>
    <w:rsid w:val="00C6738B"/>
    <w:rsid w:val="00C67B74"/>
    <w:rsid w:val="00C67ECE"/>
    <w:rsid w:val="00C7161B"/>
    <w:rsid w:val="00C72848"/>
    <w:rsid w:val="00C7736C"/>
    <w:rsid w:val="00C81626"/>
    <w:rsid w:val="00C82D87"/>
    <w:rsid w:val="00C83E57"/>
    <w:rsid w:val="00C841ED"/>
    <w:rsid w:val="00C84715"/>
    <w:rsid w:val="00C85ADD"/>
    <w:rsid w:val="00C85F17"/>
    <w:rsid w:val="00C8712A"/>
    <w:rsid w:val="00C90E22"/>
    <w:rsid w:val="00C91324"/>
    <w:rsid w:val="00C914F7"/>
    <w:rsid w:val="00C9258A"/>
    <w:rsid w:val="00C9342C"/>
    <w:rsid w:val="00C963D3"/>
    <w:rsid w:val="00CA0C50"/>
    <w:rsid w:val="00CA23EC"/>
    <w:rsid w:val="00CA24B1"/>
    <w:rsid w:val="00CA32C9"/>
    <w:rsid w:val="00CA42FC"/>
    <w:rsid w:val="00CA4651"/>
    <w:rsid w:val="00CA6E0D"/>
    <w:rsid w:val="00CB2CBB"/>
    <w:rsid w:val="00CB376A"/>
    <w:rsid w:val="00CB4807"/>
    <w:rsid w:val="00CB56CE"/>
    <w:rsid w:val="00CB7CAC"/>
    <w:rsid w:val="00CC0EA0"/>
    <w:rsid w:val="00CC0F9E"/>
    <w:rsid w:val="00CC2D92"/>
    <w:rsid w:val="00CC5335"/>
    <w:rsid w:val="00CC58CD"/>
    <w:rsid w:val="00CC5BA4"/>
    <w:rsid w:val="00CC70BB"/>
    <w:rsid w:val="00CD0360"/>
    <w:rsid w:val="00CD31AE"/>
    <w:rsid w:val="00CD3420"/>
    <w:rsid w:val="00CD4499"/>
    <w:rsid w:val="00CD4998"/>
    <w:rsid w:val="00CD67BC"/>
    <w:rsid w:val="00CE1035"/>
    <w:rsid w:val="00CE2165"/>
    <w:rsid w:val="00CE2A6A"/>
    <w:rsid w:val="00CE4414"/>
    <w:rsid w:val="00CE5C77"/>
    <w:rsid w:val="00CE638C"/>
    <w:rsid w:val="00CF0F82"/>
    <w:rsid w:val="00CF2819"/>
    <w:rsid w:val="00CF43E7"/>
    <w:rsid w:val="00CF4F9D"/>
    <w:rsid w:val="00CF70DC"/>
    <w:rsid w:val="00CF75B1"/>
    <w:rsid w:val="00D00D54"/>
    <w:rsid w:val="00D04153"/>
    <w:rsid w:val="00D047D8"/>
    <w:rsid w:val="00D04C1B"/>
    <w:rsid w:val="00D061B9"/>
    <w:rsid w:val="00D119AE"/>
    <w:rsid w:val="00D148DC"/>
    <w:rsid w:val="00D17B77"/>
    <w:rsid w:val="00D17E6F"/>
    <w:rsid w:val="00D17FDC"/>
    <w:rsid w:val="00D20536"/>
    <w:rsid w:val="00D20FE5"/>
    <w:rsid w:val="00D21F5A"/>
    <w:rsid w:val="00D22B87"/>
    <w:rsid w:val="00D231ED"/>
    <w:rsid w:val="00D23378"/>
    <w:rsid w:val="00D2783C"/>
    <w:rsid w:val="00D444C5"/>
    <w:rsid w:val="00D45AEA"/>
    <w:rsid w:val="00D47240"/>
    <w:rsid w:val="00D503FF"/>
    <w:rsid w:val="00D518B1"/>
    <w:rsid w:val="00D5244F"/>
    <w:rsid w:val="00D52C9B"/>
    <w:rsid w:val="00D52E4F"/>
    <w:rsid w:val="00D56A37"/>
    <w:rsid w:val="00D57202"/>
    <w:rsid w:val="00D63652"/>
    <w:rsid w:val="00D6386E"/>
    <w:rsid w:val="00D63EFD"/>
    <w:rsid w:val="00D64826"/>
    <w:rsid w:val="00D64CCD"/>
    <w:rsid w:val="00D706F5"/>
    <w:rsid w:val="00D7080A"/>
    <w:rsid w:val="00D722E0"/>
    <w:rsid w:val="00D77E19"/>
    <w:rsid w:val="00D80DF2"/>
    <w:rsid w:val="00D80E82"/>
    <w:rsid w:val="00D82861"/>
    <w:rsid w:val="00D84150"/>
    <w:rsid w:val="00D84752"/>
    <w:rsid w:val="00D85AB0"/>
    <w:rsid w:val="00D86B3B"/>
    <w:rsid w:val="00D87245"/>
    <w:rsid w:val="00D8748A"/>
    <w:rsid w:val="00D87ED8"/>
    <w:rsid w:val="00D902B9"/>
    <w:rsid w:val="00D921AC"/>
    <w:rsid w:val="00D93196"/>
    <w:rsid w:val="00D94A4D"/>
    <w:rsid w:val="00D94AA4"/>
    <w:rsid w:val="00D97A93"/>
    <w:rsid w:val="00DA1083"/>
    <w:rsid w:val="00DA26C8"/>
    <w:rsid w:val="00DA4837"/>
    <w:rsid w:val="00DA600E"/>
    <w:rsid w:val="00DB243C"/>
    <w:rsid w:val="00DB29E8"/>
    <w:rsid w:val="00DB45DD"/>
    <w:rsid w:val="00DB482A"/>
    <w:rsid w:val="00DB49F1"/>
    <w:rsid w:val="00DB56F2"/>
    <w:rsid w:val="00DB6EF5"/>
    <w:rsid w:val="00DC2B18"/>
    <w:rsid w:val="00DC3089"/>
    <w:rsid w:val="00DC4420"/>
    <w:rsid w:val="00DC65AF"/>
    <w:rsid w:val="00DC6F44"/>
    <w:rsid w:val="00DD0802"/>
    <w:rsid w:val="00DD0A50"/>
    <w:rsid w:val="00DD0B0C"/>
    <w:rsid w:val="00DD2E11"/>
    <w:rsid w:val="00DD5371"/>
    <w:rsid w:val="00DD5AFC"/>
    <w:rsid w:val="00DE03AF"/>
    <w:rsid w:val="00DE121C"/>
    <w:rsid w:val="00DE2A27"/>
    <w:rsid w:val="00DE304A"/>
    <w:rsid w:val="00DE3705"/>
    <w:rsid w:val="00DE419C"/>
    <w:rsid w:val="00DE5A2D"/>
    <w:rsid w:val="00DE5C9A"/>
    <w:rsid w:val="00DE6633"/>
    <w:rsid w:val="00DE7251"/>
    <w:rsid w:val="00DF5BA2"/>
    <w:rsid w:val="00DF75F8"/>
    <w:rsid w:val="00DF7A3A"/>
    <w:rsid w:val="00E00C00"/>
    <w:rsid w:val="00E01646"/>
    <w:rsid w:val="00E0444C"/>
    <w:rsid w:val="00E04A7C"/>
    <w:rsid w:val="00E059FB"/>
    <w:rsid w:val="00E069C4"/>
    <w:rsid w:val="00E06C34"/>
    <w:rsid w:val="00E07275"/>
    <w:rsid w:val="00E07866"/>
    <w:rsid w:val="00E07C5A"/>
    <w:rsid w:val="00E14D4F"/>
    <w:rsid w:val="00E15BA9"/>
    <w:rsid w:val="00E211B3"/>
    <w:rsid w:val="00E237D7"/>
    <w:rsid w:val="00E23BFF"/>
    <w:rsid w:val="00E250E3"/>
    <w:rsid w:val="00E25B22"/>
    <w:rsid w:val="00E25B6C"/>
    <w:rsid w:val="00E2622D"/>
    <w:rsid w:val="00E26E19"/>
    <w:rsid w:val="00E276AD"/>
    <w:rsid w:val="00E27E3C"/>
    <w:rsid w:val="00E31DF3"/>
    <w:rsid w:val="00E32814"/>
    <w:rsid w:val="00E33448"/>
    <w:rsid w:val="00E33486"/>
    <w:rsid w:val="00E34181"/>
    <w:rsid w:val="00E40360"/>
    <w:rsid w:val="00E40C01"/>
    <w:rsid w:val="00E43685"/>
    <w:rsid w:val="00E43C23"/>
    <w:rsid w:val="00E450A4"/>
    <w:rsid w:val="00E47719"/>
    <w:rsid w:val="00E506BE"/>
    <w:rsid w:val="00E54932"/>
    <w:rsid w:val="00E55547"/>
    <w:rsid w:val="00E5725A"/>
    <w:rsid w:val="00E57410"/>
    <w:rsid w:val="00E61C42"/>
    <w:rsid w:val="00E62590"/>
    <w:rsid w:val="00E6302B"/>
    <w:rsid w:val="00E639E7"/>
    <w:rsid w:val="00E6452F"/>
    <w:rsid w:val="00E64619"/>
    <w:rsid w:val="00E64F45"/>
    <w:rsid w:val="00E6742D"/>
    <w:rsid w:val="00E71CB0"/>
    <w:rsid w:val="00E72A7F"/>
    <w:rsid w:val="00E73529"/>
    <w:rsid w:val="00E77BEE"/>
    <w:rsid w:val="00E77C3D"/>
    <w:rsid w:val="00E809C0"/>
    <w:rsid w:val="00E80C59"/>
    <w:rsid w:val="00E80E9B"/>
    <w:rsid w:val="00E827BC"/>
    <w:rsid w:val="00E82E22"/>
    <w:rsid w:val="00E850FE"/>
    <w:rsid w:val="00E8794A"/>
    <w:rsid w:val="00E909F0"/>
    <w:rsid w:val="00E90CD8"/>
    <w:rsid w:val="00E90D47"/>
    <w:rsid w:val="00E93993"/>
    <w:rsid w:val="00E9565E"/>
    <w:rsid w:val="00E9597C"/>
    <w:rsid w:val="00EA03D0"/>
    <w:rsid w:val="00EA0913"/>
    <w:rsid w:val="00EA0A2F"/>
    <w:rsid w:val="00EA10E3"/>
    <w:rsid w:val="00EA4E75"/>
    <w:rsid w:val="00EA6D31"/>
    <w:rsid w:val="00EB13DC"/>
    <w:rsid w:val="00EB146B"/>
    <w:rsid w:val="00EB45AC"/>
    <w:rsid w:val="00EB50DE"/>
    <w:rsid w:val="00EB7D99"/>
    <w:rsid w:val="00EC241A"/>
    <w:rsid w:val="00EC2AEA"/>
    <w:rsid w:val="00EC41F4"/>
    <w:rsid w:val="00EC7B11"/>
    <w:rsid w:val="00EC7F95"/>
    <w:rsid w:val="00ED0BC4"/>
    <w:rsid w:val="00ED3771"/>
    <w:rsid w:val="00ED4064"/>
    <w:rsid w:val="00ED4AB7"/>
    <w:rsid w:val="00ED4B0D"/>
    <w:rsid w:val="00ED6A32"/>
    <w:rsid w:val="00EE4971"/>
    <w:rsid w:val="00EE4C12"/>
    <w:rsid w:val="00EF090E"/>
    <w:rsid w:val="00EF166D"/>
    <w:rsid w:val="00EF57E0"/>
    <w:rsid w:val="00F01322"/>
    <w:rsid w:val="00F020FC"/>
    <w:rsid w:val="00F025EC"/>
    <w:rsid w:val="00F033DA"/>
    <w:rsid w:val="00F06CF6"/>
    <w:rsid w:val="00F1014B"/>
    <w:rsid w:val="00F11AAB"/>
    <w:rsid w:val="00F13D9E"/>
    <w:rsid w:val="00F13FB1"/>
    <w:rsid w:val="00F141A7"/>
    <w:rsid w:val="00F14A87"/>
    <w:rsid w:val="00F14CA7"/>
    <w:rsid w:val="00F177D8"/>
    <w:rsid w:val="00F17BC1"/>
    <w:rsid w:val="00F17C87"/>
    <w:rsid w:val="00F20272"/>
    <w:rsid w:val="00F223E7"/>
    <w:rsid w:val="00F2288D"/>
    <w:rsid w:val="00F25779"/>
    <w:rsid w:val="00F26B3F"/>
    <w:rsid w:val="00F2750A"/>
    <w:rsid w:val="00F27CD8"/>
    <w:rsid w:val="00F30181"/>
    <w:rsid w:val="00F30351"/>
    <w:rsid w:val="00F30A5E"/>
    <w:rsid w:val="00F31586"/>
    <w:rsid w:val="00F31EE9"/>
    <w:rsid w:val="00F3323E"/>
    <w:rsid w:val="00F33E2D"/>
    <w:rsid w:val="00F341F4"/>
    <w:rsid w:val="00F34F9D"/>
    <w:rsid w:val="00F35721"/>
    <w:rsid w:val="00F35CCE"/>
    <w:rsid w:val="00F40DC6"/>
    <w:rsid w:val="00F506A7"/>
    <w:rsid w:val="00F51EE5"/>
    <w:rsid w:val="00F54EE1"/>
    <w:rsid w:val="00F55241"/>
    <w:rsid w:val="00F5524B"/>
    <w:rsid w:val="00F57254"/>
    <w:rsid w:val="00F60022"/>
    <w:rsid w:val="00F60538"/>
    <w:rsid w:val="00F60E1D"/>
    <w:rsid w:val="00F61665"/>
    <w:rsid w:val="00F61DD2"/>
    <w:rsid w:val="00F6523A"/>
    <w:rsid w:val="00F66AFF"/>
    <w:rsid w:val="00F703BB"/>
    <w:rsid w:val="00F71433"/>
    <w:rsid w:val="00F7241A"/>
    <w:rsid w:val="00F81CEF"/>
    <w:rsid w:val="00F83E76"/>
    <w:rsid w:val="00F84C05"/>
    <w:rsid w:val="00F85BD0"/>
    <w:rsid w:val="00F87BEA"/>
    <w:rsid w:val="00F90023"/>
    <w:rsid w:val="00F900D2"/>
    <w:rsid w:val="00F90A57"/>
    <w:rsid w:val="00F90BD2"/>
    <w:rsid w:val="00F910CF"/>
    <w:rsid w:val="00F91670"/>
    <w:rsid w:val="00F91C38"/>
    <w:rsid w:val="00F947D2"/>
    <w:rsid w:val="00F95E1D"/>
    <w:rsid w:val="00F975C1"/>
    <w:rsid w:val="00F97C5B"/>
    <w:rsid w:val="00FA05D2"/>
    <w:rsid w:val="00FA2C21"/>
    <w:rsid w:val="00FA359A"/>
    <w:rsid w:val="00FA3D50"/>
    <w:rsid w:val="00FA3EA4"/>
    <w:rsid w:val="00FA4900"/>
    <w:rsid w:val="00FA544F"/>
    <w:rsid w:val="00FA7FAF"/>
    <w:rsid w:val="00FB009F"/>
    <w:rsid w:val="00FB25B0"/>
    <w:rsid w:val="00FB54C7"/>
    <w:rsid w:val="00FB6136"/>
    <w:rsid w:val="00FC297B"/>
    <w:rsid w:val="00FC374A"/>
    <w:rsid w:val="00FC4C12"/>
    <w:rsid w:val="00FC7B47"/>
    <w:rsid w:val="00FD035C"/>
    <w:rsid w:val="00FD1A35"/>
    <w:rsid w:val="00FD1FE6"/>
    <w:rsid w:val="00FD36C5"/>
    <w:rsid w:val="00FD428C"/>
    <w:rsid w:val="00FD5DE4"/>
    <w:rsid w:val="00FD6310"/>
    <w:rsid w:val="00FD761D"/>
    <w:rsid w:val="00FD7C7B"/>
    <w:rsid w:val="00FD7FD0"/>
    <w:rsid w:val="00FE0F4E"/>
    <w:rsid w:val="00FE1D12"/>
    <w:rsid w:val="00FE2122"/>
    <w:rsid w:val="00FE2A86"/>
    <w:rsid w:val="00FE2D84"/>
    <w:rsid w:val="00FE3CA0"/>
    <w:rsid w:val="00FE451F"/>
    <w:rsid w:val="00FF2955"/>
    <w:rsid w:val="00FF296F"/>
    <w:rsid w:val="00FF55BC"/>
    <w:rsid w:val="00FF5E23"/>
    <w:rsid w:val="00FF757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B0"/>
    <w:rPr>
      <w:rFonts w:eastAsia="Times New Roman"/>
      <w:sz w:val="20"/>
    </w:rPr>
  </w:style>
  <w:style w:type="paragraph" w:styleId="Heading1">
    <w:name w:val="heading 1"/>
    <w:basedOn w:val="Normal"/>
    <w:next w:val="Normal"/>
    <w:link w:val="Heading1Char"/>
    <w:uiPriority w:val="9"/>
    <w:qFormat/>
    <w:rsid w:val="003C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4997"/>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D47240"/>
    <w:rPr>
      <w:color w:val="605E5C"/>
      <w:shd w:val="clear" w:color="auto" w:fill="E1DFDD"/>
    </w:rPr>
  </w:style>
  <w:style w:type="character" w:customStyle="1" w:styleId="Heading2Char">
    <w:name w:val="Heading 2 Char"/>
    <w:basedOn w:val="DefaultParagraphFont"/>
    <w:link w:val="Heading2"/>
    <w:uiPriority w:val="9"/>
    <w:rsid w:val="00054997"/>
    <w:rPr>
      <w:rFonts w:ascii="Times New Roman" w:eastAsia="Times New Roman" w:hAnsi="Times New Roman" w:cs="Times New Roman"/>
      <w:b/>
      <w:bCs/>
      <w:sz w:val="36"/>
      <w:szCs w:val="36"/>
      <w:lang w:val="en-GB" w:eastAsia="en-GB"/>
    </w:rPr>
  </w:style>
  <w:style w:type="character" w:customStyle="1" w:styleId="ng-tns-c568490658-17">
    <w:name w:val="ng-tns-c568490658-17"/>
    <w:basedOn w:val="DefaultParagraphFont"/>
    <w:rsid w:val="00054997"/>
  </w:style>
  <w:style w:type="character" w:customStyle="1" w:styleId="Heading1Char">
    <w:name w:val="Heading 1 Char"/>
    <w:basedOn w:val="DefaultParagraphFont"/>
    <w:link w:val="Heading1"/>
    <w:uiPriority w:val="9"/>
    <w:rsid w:val="003C3039"/>
    <w:rPr>
      <w:rFonts w:asciiTheme="majorHAnsi" w:eastAsiaTheme="majorEastAsia" w:hAnsiTheme="majorHAnsi" w:cstheme="majorBidi"/>
      <w:color w:val="2F5496" w:themeColor="accent1" w:themeShade="BF"/>
      <w:sz w:val="32"/>
      <w:szCs w:val="32"/>
    </w:rPr>
  </w:style>
  <w:style w:type="paragraph" w:customStyle="1" w:styleId="blockquote">
    <w:name w:val="blockquote"/>
    <w:basedOn w:val="Normal"/>
    <w:rsid w:val="00A50B5B"/>
    <w:pPr>
      <w:spacing w:before="100" w:beforeAutospacing="1" w:after="100" w:afterAutospacing="1"/>
    </w:pPr>
    <w:rPr>
      <w:rFonts w:ascii="Times New Roman" w:hAnsi="Times New Roman" w:cs="Times New Roman"/>
      <w:sz w:val="24"/>
      <w:lang w:val="en-GB" w:eastAsia="en-GB"/>
    </w:rPr>
  </w:style>
  <w:style w:type="character" w:customStyle="1" w:styleId="num">
    <w:name w:val="num"/>
    <w:basedOn w:val="DefaultParagraphFont"/>
    <w:rsid w:val="00004DD5"/>
  </w:style>
  <w:style w:type="character" w:customStyle="1" w:styleId="chapeau">
    <w:name w:val="chapeau"/>
    <w:basedOn w:val="DefaultParagraphFont"/>
    <w:rsid w:val="00004DD5"/>
  </w:style>
  <w:style w:type="character" w:styleId="Emphasis">
    <w:name w:val="Emphasis"/>
    <w:basedOn w:val="DefaultParagraphFont"/>
    <w:uiPriority w:val="20"/>
    <w:qFormat/>
    <w:rsid w:val="0047216A"/>
    <w:rPr>
      <w:i/>
      <w:iCs/>
    </w:rPr>
  </w:style>
  <w:style w:type="paragraph" w:customStyle="1" w:styleId="paragraph">
    <w:name w:val="paragraph"/>
    <w:basedOn w:val="Normal"/>
    <w:rsid w:val="00927664"/>
    <w:pPr>
      <w:spacing w:before="100" w:beforeAutospacing="1" w:after="100" w:afterAutospacing="1"/>
    </w:pPr>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1408">
      <w:bodyDiv w:val="1"/>
      <w:marLeft w:val="0"/>
      <w:marRight w:val="0"/>
      <w:marTop w:val="0"/>
      <w:marBottom w:val="0"/>
      <w:divBdr>
        <w:top w:val="none" w:sz="0" w:space="0" w:color="auto"/>
        <w:left w:val="none" w:sz="0" w:space="0" w:color="auto"/>
        <w:bottom w:val="none" w:sz="0" w:space="0" w:color="auto"/>
        <w:right w:val="none" w:sz="0" w:space="0" w:color="auto"/>
      </w:divBdr>
    </w:div>
    <w:div w:id="340397644">
      <w:bodyDiv w:val="1"/>
      <w:marLeft w:val="0"/>
      <w:marRight w:val="0"/>
      <w:marTop w:val="0"/>
      <w:marBottom w:val="0"/>
      <w:divBdr>
        <w:top w:val="none" w:sz="0" w:space="0" w:color="auto"/>
        <w:left w:val="none" w:sz="0" w:space="0" w:color="auto"/>
        <w:bottom w:val="none" w:sz="0" w:space="0" w:color="auto"/>
        <w:right w:val="none" w:sz="0" w:space="0" w:color="auto"/>
      </w:divBdr>
      <w:divsChild>
        <w:div w:id="1430466916">
          <w:marLeft w:val="240"/>
          <w:marRight w:val="0"/>
          <w:marTop w:val="60"/>
          <w:marBottom w:val="60"/>
          <w:divBdr>
            <w:top w:val="none" w:sz="0" w:space="0" w:color="auto"/>
            <w:left w:val="none" w:sz="0" w:space="0" w:color="auto"/>
            <w:bottom w:val="none" w:sz="0" w:space="0" w:color="auto"/>
            <w:right w:val="none" w:sz="0" w:space="0" w:color="auto"/>
          </w:divBdr>
          <w:divsChild>
            <w:div w:id="1131703392">
              <w:marLeft w:val="0"/>
              <w:marRight w:val="0"/>
              <w:marTop w:val="0"/>
              <w:marBottom w:val="0"/>
              <w:divBdr>
                <w:top w:val="none" w:sz="0" w:space="0" w:color="auto"/>
                <w:left w:val="none" w:sz="0" w:space="0" w:color="auto"/>
                <w:bottom w:val="none" w:sz="0" w:space="0" w:color="auto"/>
                <w:right w:val="none" w:sz="0" w:space="0" w:color="auto"/>
              </w:divBdr>
            </w:div>
          </w:divsChild>
        </w:div>
        <w:div w:id="1198348957">
          <w:marLeft w:val="240"/>
          <w:marRight w:val="0"/>
          <w:marTop w:val="60"/>
          <w:marBottom w:val="60"/>
          <w:divBdr>
            <w:top w:val="none" w:sz="0" w:space="0" w:color="auto"/>
            <w:left w:val="none" w:sz="0" w:space="0" w:color="auto"/>
            <w:bottom w:val="none" w:sz="0" w:space="0" w:color="auto"/>
            <w:right w:val="none" w:sz="0" w:space="0" w:color="auto"/>
          </w:divBdr>
          <w:divsChild>
            <w:div w:id="510267181">
              <w:marLeft w:val="240"/>
              <w:marRight w:val="0"/>
              <w:marTop w:val="60"/>
              <w:marBottom w:val="60"/>
              <w:divBdr>
                <w:top w:val="none" w:sz="0" w:space="0" w:color="auto"/>
                <w:left w:val="none" w:sz="0" w:space="0" w:color="auto"/>
                <w:bottom w:val="none" w:sz="0" w:space="0" w:color="auto"/>
                <w:right w:val="none" w:sz="0" w:space="0" w:color="auto"/>
              </w:divBdr>
              <w:divsChild>
                <w:div w:id="1467358224">
                  <w:marLeft w:val="0"/>
                  <w:marRight w:val="0"/>
                  <w:marTop w:val="0"/>
                  <w:marBottom w:val="0"/>
                  <w:divBdr>
                    <w:top w:val="none" w:sz="0" w:space="0" w:color="auto"/>
                    <w:left w:val="none" w:sz="0" w:space="0" w:color="auto"/>
                    <w:bottom w:val="none" w:sz="0" w:space="0" w:color="auto"/>
                    <w:right w:val="none" w:sz="0" w:space="0" w:color="auto"/>
                  </w:divBdr>
                </w:div>
              </w:divsChild>
            </w:div>
            <w:div w:id="877812416">
              <w:marLeft w:val="240"/>
              <w:marRight w:val="0"/>
              <w:marTop w:val="60"/>
              <w:marBottom w:val="60"/>
              <w:divBdr>
                <w:top w:val="none" w:sz="0" w:space="0" w:color="auto"/>
                <w:left w:val="none" w:sz="0" w:space="0" w:color="auto"/>
                <w:bottom w:val="none" w:sz="0" w:space="0" w:color="auto"/>
                <w:right w:val="none" w:sz="0" w:space="0" w:color="auto"/>
              </w:divBdr>
              <w:divsChild>
                <w:div w:id="948506533">
                  <w:marLeft w:val="0"/>
                  <w:marRight w:val="0"/>
                  <w:marTop w:val="0"/>
                  <w:marBottom w:val="0"/>
                  <w:divBdr>
                    <w:top w:val="none" w:sz="0" w:space="0" w:color="auto"/>
                    <w:left w:val="none" w:sz="0" w:space="0" w:color="auto"/>
                    <w:bottom w:val="none" w:sz="0" w:space="0" w:color="auto"/>
                    <w:right w:val="none" w:sz="0" w:space="0" w:color="auto"/>
                  </w:divBdr>
                </w:div>
              </w:divsChild>
            </w:div>
            <w:div w:id="43216362">
              <w:marLeft w:val="240"/>
              <w:marRight w:val="0"/>
              <w:marTop w:val="60"/>
              <w:marBottom w:val="60"/>
              <w:divBdr>
                <w:top w:val="none" w:sz="0" w:space="0" w:color="auto"/>
                <w:left w:val="none" w:sz="0" w:space="0" w:color="auto"/>
                <w:bottom w:val="none" w:sz="0" w:space="0" w:color="auto"/>
                <w:right w:val="none" w:sz="0" w:space="0" w:color="auto"/>
              </w:divBdr>
              <w:divsChild>
                <w:div w:id="183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1516">
          <w:marLeft w:val="240"/>
          <w:marRight w:val="0"/>
          <w:marTop w:val="60"/>
          <w:marBottom w:val="60"/>
          <w:divBdr>
            <w:top w:val="none" w:sz="0" w:space="0" w:color="auto"/>
            <w:left w:val="none" w:sz="0" w:space="0" w:color="auto"/>
            <w:bottom w:val="none" w:sz="0" w:space="0" w:color="auto"/>
            <w:right w:val="none" w:sz="0" w:space="0" w:color="auto"/>
          </w:divBdr>
          <w:divsChild>
            <w:div w:id="1720668954">
              <w:marLeft w:val="0"/>
              <w:marRight w:val="0"/>
              <w:marTop w:val="0"/>
              <w:marBottom w:val="0"/>
              <w:divBdr>
                <w:top w:val="none" w:sz="0" w:space="0" w:color="auto"/>
                <w:left w:val="none" w:sz="0" w:space="0" w:color="auto"/>
                <w:bottom w:val="none" w:sz="0" w:space="0" w:color="auto"/>
                <w:right w:val="none" w:sz="0" w:space="0" w:color="auto"/>
              </w:divBdr>
            </w:div>
          </w:divsChild>
        </w:div>
        <w:div w:id="1691451325">
          <w:marLeft w:val="240"/>
          <w:marRight w:val="0"/>
          <w:marTop w:val="60"/>
          <w:marBottom w:val="60"/>
          <w:divBdr>
            <w:top w:val="none" w:sz="0" w:space="0" w:color="auto"/>
            <w:left w:val="none" w:sz="0" w:space="0" w:color="auto"/>
            <w:bottom w:val="none" w:sz="0" w:space="0" w:color="auto"/>
            <w:right w:val="none" w:sz="0" w:space="0" w:color="auto"/>
          </w:divBdr>
          <w:divsChild>
            <w:div w:id="9090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0189">
      <w:bodyDiv w:val="1"/>
      <w:marLeft w:val="0"/>
      <w:marRight w:val="0"/>
      <w:marTop w:val="0"/>
      <w:marBottom w:val="0"/>
      <w:divBdr>
        <w:top w:val="none" w:sz="0" w:space="0" w:color="auto"/>
        <w:left w:val="none" w:sz="0" w:space="0" w:color="auto"/>
        <w:bottom w:val="none" w:sz="0" w:space="0" w:color="auto"/>
        <w:right w:val="none" w:sz="0" w:space="0" w:color="auto"/>
      </w:divBdr>
      <w:divsChild>
        <w:div w:id="705712244">
          <w:marLeft w:val="0"/>
          <w:marRight w:val="0"/>
          <w:marTop w:val="0"/>
          <w:marBottom w:val="48"/>
          <w:divBdr>
            <w:top w:val="none" w:sz="0" w:space="0" w:color="auto"/>
            <w:left w:val="none" w:sz="0" w:space="0" w:color="auto"/>
            <w:bottom w:val="none" w:sz="0" w:space="0" w:color="auto"/>
            <w:right w:val="none" w:sz="0" w:space="0" w:color="auto"/>
          </w:divBdr>
        </w:div>
      </w:divsChild>
    </w:div>
    <w:div w:id="4760760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287407">
      <w:bodyDiv w:val="1"/>
      <w:marLeft w:val="0"/>
      <w:marRight w:val="0"/>
      <w:marTop w:val="0"/>
      <w:marBottom w:val="0"/>
      <w:divBdr>
        <w:top w:val="none" w:sz="0" w:space="0" w:color="auto"/>
        <w:left w:val="none" w:sz="0" w:space="0" w:color="auto"/>
        <w:bottom w:val="none" w:sz="0" w:space="0" w:color="auto"/>
        <w:right w:val="none" w:sz="0" w:space="0" w:color="auto"/>
      </w:divBdr>
    </w:div>
    <w:div w:id="1006522108">
      <w:bodyDiv w:val="1"/>
      <w:marLeft w:val="0"/>
      <w:marRight w:val="0"/>
      <w:marTop w:val="0"/>
      <w:marBottom w:val="0"/>
      <w:divBdr>
        <w:top w:val="none" w:sz="0" w:space="0" w:color="auto"/>
        <w:left w:val="none" w:sz="0" w:space="0" w:color="auto"/>
        <w:bottom w:val="none" w:sz="0" w:space="0" w:color="auto"/>
        <w:right w:val="none" w:sz="0" w:space="0" w:color="auto"/>
      </w:divBdr>
      <w:divsChild>
        <w:div w:id="22556814">
          <w:marLeft w:val="0"/>
          <w:marRight w:val="0"/>
          <w:marTop w:val="0"/>
          <w:marBottom w:val="0"/>
          <w:divBdr>
            <w:top w:val="none" w:sz="0" w:space="0" w:color="auto"/>
            <w:left w:val="none" w:sz="0" w:space="0" w:color="auto"/>
            <w:bottom w:val="none" w:sz="0" w:space="0" w:color="auto"/>
            <w:right w:val="none" w:sz="0" w:space="0" w:color="auto"/>
          </w:divBdr>
          <w:divsChild>
            <w:div w:id="266623132">
              <w:marLeft w:val="0"/>
              <w:marRight w:val="0"/>
              <w:marTop w:val="0"/>
              <w:marBottom w:val="0"/>
              <w:divBdr>
                <w:top w:val="none" w:sz="0" w:space="0" w:color="auto"/>
                <w:left w:val="none" w:sz="0" w:space="0" w:color="auto"/>
                <w:bottom w:val="none" w:sz="0" w:space="0" w:color="auto"/>
                <w:right w:val="none" w:sz="0" w:space="0" w:color="auto"/>
              </w:divBdr>
            </w:div>
            <w:div w:id="1959332695">
              <w:marLeft w:val="0"/>
              <w:marRight w:val="0"/>
              <w:marTop w:val="0"/>
              <w:marBottom w:val="0"/>
              <w:divBdr>
                <w:top w:val="none" w:sz="0" w:space="0" w:color="auto"/>
                <w:left w:val="none" w:sz="0" w:space="0" w:color="auto"/>
                <w:bottom w:val="none" w:sz="0" w:space="0" w:color="auto"/>
                <w:right w:val="none" w:sz="0" w:space="0" w:color="auto"/>
              </w:divBdr>
            </w:div>
          </w:divsChild>
        </w:div>
        <w:div w:id="1536962605">
          <w:marLeft w:val="0"/>
          <w:marRight w:val="0"/>
          <w:marTop w:val="0"/>
          <w:marBottom w:val="0"/>
          <w:divBdr>
            <w:top w:val="none" w:sz="0" w:space="0" w:color="auto"/>
            <w:left w:val="none" w:sz="0" w:space="0" w:color="auto"/>
            <w:bottom w:val="none" w:sz="0" w:space="0" w:color="auto"/>
            <w:right w:val="none" w:sz="0" w:space="0" w:color="auto"/>
          </w:divBdr>
          <w:divsChild>
            <w:div w:id="212087510">
              <w:marLeft w:val="0"/>
              <w:marRight w:val="0"/>
              <w:marTop w:val="0"/>
              <w:marBottom w:val="0"/>
              <w:divBdr>
                <w:top w:val="none" w:sz="0" w:space="0" w:color="auto"/>
                <w:left w:val="none" w:sz="0" w:space="0" w:color="auto"/>
                <w:bottom w:val="none" w:sz="0" w:space="0" w:color="auto"/>
                <w:right w:val="none" w:sz="0" w:space="0" w:color="auto"/>
              </w:divBdr>
              <w:divsChild>
                <w:div w:id="735585742">
                  <w:marLeft w:val="0"/>
                  <w:marRight w:val="0"/>
                  <w:marTop w:val="0"/>
                  <w:marBottom w:val="0"/>
                  <w:divBdr>
                    <w:top w:val="none" w:sz="0" w:space="0" w:color="auto"/>
                    <w:left w:val="none" w:sz="0" w:space="0" w:color="auto"/>
                    <w:bottom w:val="none" w:sz="0" w:space="0" w:color="auto"/>
                    <w:right w:val="none" w:sz="0" w:space="0" w:color="auto"/>
                  </w:divBdr>
                  <w:divsChild>
                    <w:div w:id="1191458587">
                      <w:marLeft w:val="0"/>
                      <w:marRight w:val="0"/>
                      <w:marTop w:val="0"/>
                      <w:marBottom w:val="0"/>
                      <w:divBdr>
                        <w:top w:val="none" w:sz="0" w:space="0" w:color="auto"/>
                        <w:left w:val="none" w:sz="0" w:space="0" w:color="auto"/>
                        <w:bottom w:val="none" w:sz="0" w:space="0" w:color="auto"/>
                        <w:right w:val="none" w:sz="0" w:space="0" w:color="auto"/>
                      </w:divBdr>
                      <w:divsChild>
                        <w:div w:id="1714423313">
                          <w:marLeft w:val="0"/>
                          <w:marRight w:val="0"/>
                          <w:marTop w:val="0"/>
                          <w:marBottom w:val="0"/>
                          <w:divBdr>
                            <w:top w:val="none" w:sz="0" w:space="0" w:color="auto"/>
                            <w:left w:val="none" w:sz="0" w:space="0" w:color="auto"/>
                            <w:bottom w:val="none" w:sz="0" w:space="0" w:color="auto"/>
                            <w:right w:val="none" w:sz="0" w:space="0" w:color="auto"/>
                          </w:divBdr>
                          <w:divsChild>
                            <w:div w:id="896433830">
                              <w:marLeft w:val="0"/>
                              <w:marRight w:val="0"/>
                              <w:marTop w:val="0"/>
                              <w:marBottom w:val="0"/>
                              <w:divBdr>
                                <w:top w:val="none" w:sz="0" w:space="0" w:color="auto"/>
                                <w:left w:val="none" w:sz="0" w:space="0" w:color="auto"/>
                                <w:bottom w:val="none" w:sz="0" w:space="0" w:color="auto"/>
                                <w:right w:val="none" w:sz="0" w:space="0" w:color="auto"/>
                              </w:divBdr>
                              <w:divsChild>
                                <w:div w:id="908811322">
                                  <w:marLeft w:val="-90"/>
                                  <w:marRight w:val="-90"/>
                                  <w:marTop w:val="0"/>
                                  <w:marBottom w:val="0"/>
                                  <w:divBdr>
                                    <w:top w:val="none" w:sz="0" w:space="0" w:color="auto"/>
                                    <w:left w:val="none" w:sz="0" w:space="0" w:color="auto"/>
                                    <w:bottom w:val="none" w:sz="0" w:space="0" w:color="auto"/>
                                    <w:right w:val="none" w:sz="0" w:space="0" w:color="auto"/>
                                  </w:divBdr>
                                  <w:divsChild>
                                    <w:div w:id="178475559">
                                      <w:marLeft w:val="0"/>
                                      <w:marRight w:val="0"/>
                                      <w:marTop w:val="0"/>
                                      <w:marBottom w:val="0"/>
                                      <w:divBdr>
                                        <w:top w:val="none" w:sz="0" w:space="0" w:color="auto"/>
                                        <w:left w:val="none" w:sz="0" w:space="0" w:color="auto"/>
                                        <w:bottom w:val="none" w:sz="0" w:space="0" w:color="auto"/>
                                        <w:right w:val="none" w:sz="0" w:space="0" w:color="auto"/>
                                      </w:divBdr>
                                      <w:divsChild>
                                        <w:div w:id="1833913397">
                                          <w:marLeft w:val="0"/>
                                          <w:marRight w:val="0"/>
                                          <w:marTop w:val="0"/>
                                          <w:marBottom w:val="0"/>
                                          <w:divBdr>
                                            <w:top w:val="none" w:sz="0" w:space="0" w:color="auto"/>
                                            <w:left w:val="none" w:sz="0" w:space="0" w:color="auto"/>
                                            <w:bottom w:val="none" w:sz="0" w:space="0" w:color="auto"/>
                                            <w:right w:val="none" w:sz="0" w:space="0" w:color="auto"/>
                                          </w:divBdr>
                                        </w:div>
                                        <w:div w:id="2058972151">
                                          <w:marLeft w:val="0"/>
                                          <w:marRight w:val="0"/>
                                          <w:marTop w:val="0"/>
                                          <w:marBottom w:val="0"/>
                                          <w:divBdr>
                                            <w:top w:val="none" w:sz="0" w:space="0" w:color="auto"/>
                                            <w:left w:val="none" w:sz="0" w:space="0" w:color="auto"/>
                                            <w:bottom w:val="none" w:sz="0" w:space="0" w:color="auto"/>
                                            <w:right w:val="none" w:sz="0" w:space="0" w:color="auto"/>
                                          </w:divBdr>
                                        </w:div>
                                        <w:div w:id="14209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8970">
                  <w:marLeft w:val="0"/>
                  <w:marRight w:val="0"/>
                  <w:marTop w:val="0"/>
                  <w:marBottom w:val="0"/>
                  <w:divBdr>
                    <w:top w:val="none" w:sz="0" w:space="0" w:color="auto"/>
                    <w:left w:val="none" w:sz="0" w:space="0" w:color="auto"/>
                    <w:bottom w:val="none" w:sz="0" w:space="0" w:color="auto"/>
                    <w:right w:val="none" w:sz="0" w:space="0" w:color="auto"/>
                  </w:divBdr>
                  <w:divsChild>
                    <w:div w:id="1092968633">
                      <w:marLeft w:val="0"/>
                      <w:marRight w:val="0"/>
                      <w:marTop w:val="0"/>
                      <w:marBottom w:val="0"/>
                      <w:divBdr>
                        <w:top w:val="none" w:sz="0" w:space="0" w:color="auto"/>
                        <w:left w:val="none" w:sz="0" w:space="0" w:color="auto"/>
                        <w:bottom w:val="none" w:sz="0" w:space="0" w:color="auto"/>
                        <w:right w:val="none" w:sz="0" w:space="0" w:color="auto"/>
                      </w:divBdr>
                      <w:divsChild>
                        <w:div w:id="224487686">
                          <w:marLeft w:val="0"/>
                          <w:marRight w:val="0"/>
                          <w:marTop w:val="0"/>
                          <w:marBottom w:val="0"/>
                          <w:divBdr>
                            <w:top w:val="none" w:sz="0" w:space="0" w:color="auto"/>
                            <w:left w:val="none" w:sz="0" w:space="0" w:color="auto"/>
                            <w:bottom w:val="none" w:sz="0" w:space="0" w:color="auto"/>
                            <w:right w:val="none" w:sz="0" w:space="0" w:color="auto"/>
                          </w:divBdr>
                          <w:divsChild>
                            <w:div w:id="1219780134">
                              <w:marLeft w:val="0"/>
                              <w:marRight w:val="0"/>
                              <w:marTop w:val="0"/>
                              <w:marBottom w:val="0"/>
                              <w:divBdr>
                                <w:top w:val="none" w:sz="0" w:space="0" w:color="auto"/>
                                <w:left w:val="none" w:sz="0" w:space="0" w:color="auto"/>
                                <w:bottom w:val="none" w:sz="0" w:space="0" w:color="auto"/>
                                <w:right w:val="none" w:sz="0" w:space="0" w:color="auto"/>
                              </w:divBdr>
                              <w:divsChild>
                                <w:div w:id="262155416">
                                  <w:marLeft w:val="0"/>
                                  <w:marRight w:val="0"/>
                                  <w:marTop w:val="0"/>
                                  <w:marBottom w:val="0"/>
                                  <w:divBdr>
                                    <w:top w:val="none" w:sz="0" w:space="0" w:color="auto"/>
                                    <w:left w:val="none" w:sz="0" w:space="0" w:color="auto"/>
                                    <w:bottom w:val="none" w:sz="0" w:space="0" w:color="auto"/>
                                    <w:right w:val="none" w:sz="0" w:space="0" w:color="auto"/>
                                  </w:divBdr>
                                  <w:divsChild>
                                    <w:div w:id="1790736810">
                                      <w:marLeft w:val="0"/>
                                      <w:marRight w:val="0"/>
                                      <w:marTop w:val="0"/>
                                      <w:marBottom w:val="0"/>
                                      <w:divBdr>
                                        <w:top w:val="none" w:sz="0" w:space="0" w:color="auto"/>
                                        <w:left w:val="none" w:sz="0" w:space="0" w:color="auto"/>
                                        <w:bottom w:val="none" w:sz="0" w:space="0" w:color="auto"/>
                                        <w:right w:val="none" w:sz="0" w:space="0" w:color="auto"/>
                                      </w:divBdr>
                                    </w:div>
                                    <w:div w:id="2468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2339">
                      <w:marLeft w:val="0"/>
                      <w:marRight w:val="0"/>
                      <w:marTop w:val="0"/>
                      <w:marBottom w:val="0"/>
                      <w:divBdr>
                        <w:top w:val="none" w:sz="0" w:space="0" w:color="auto"/>
                        <w:left w:val="none" w:sz="0" w:space="0" w:color="auto"/>
                        <w:bottom w:val="none" w:sz="0" w:space="0" w:color="auto"/>
                        <w:right w:val="none" w:sz="0" w:space="0" w:color="auto"/>
                      </w:divBdr>
                      <w:divsChild>
                        <w:div w:id="1575239703">
                          <w:marLeft w:val="0"/>
                          <w:marRight w:val="0"/>
                          <w:marTop w:val="0"/>
                          <w:marBottom w:val="0"/>
                          <w:divBdr>
                            <w:top w:val="none" w:sz="0" w:space="0" w:color="auto"/>
                            <w:left w:val="none" w:sz="0" w:space="0" w:color="auto"/>
                            <w:bottom w:val="none" w:sz="0" w:space="0" w:color="auto"/>
                            <w:right w:val="none" w:sz="0" w:space="0" w:color="auto"/>
                          </w:divBdr>
                          <w:divsChild>
                            <w:div w:id="41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36775">
      <w:bodyDiv w:val="1"/>
      <w:marLeft w:val="0"/>
      <w:marRight w:val="0"/>
      <w:marTop w:val="0"/>
      <w:marBottom w:val="0"/>
      <w:divBdr>
        <w:top w:val="none" w:sz="0" w:space="0" w:color="auto"/>
        <w:left w:val="none" w:sz="0" w:space="0" w:color="auto"/>
        <w:bottom w:val="none" w:sz="0" w:space="0" w:color="auto"/>
        <w:right w:val="none" w:sz="0" w:space="0" w:color="auto"/>
      </w:divBdr>
      <w:divsChild>
        <w:div w:id="169110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3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094931">
      <w:bodyDiv w:val="1"/>
      <w:marLeft w:val="0"/>
      <w:marRight w:val="0"/>
      <w:marTop w:val="0"/>
      <w:marBottom w:val="0"/>
      <w:divBdr>
        <w:top w:val="none" w:sz="0" w:space="0" w:color="auto"/>
        <w:left w:val="none" w:sz="0" w:space="0" w:color="auto"/>
        <w:bottom w:val="none" w:sz="0" w:space="0" w:color="auto"/>
        <w:right w:val="none" w:sz="0" w:space="0" w:color="auto"/>
      </w:divBdr>
    </w:div>
    <w:div w:id="1324430788">
      <w:bodyDiv w:val="1"/>
      <w:marLeft w:val="0"/>
      <w:marRight w:val="0"/>
      <w:marTop w:val="0"/>
      <w:marBottom w:val="0"/>
      <w:divBdr>
        <w:top w:val="none" w:sz="0" w:space="0" w:color="auto"/>
        <w:left w:val="none" w:sz="0" w:space="0" w:color="auto"/>
        <w:bottom w:val="none" w:sz="0" w:space="0" w:color="auto"/>
        <w:right w:val="none" w:sz="0" w:space="0" w:color="auto"/>
      </w:divBdr>
    </w:div>
    <w:div w:id="1879858647">
      <w:bodyDiv w:val="1"/>
      <w:marLeft w:val="0"/>
      <w:marRight w:val="0"/>
      <w:marTop w:val="0"/>
      <w:marBottom w:val="0"/>
      <w:divBdr>
        <w:top w:val="none" w:sz="0" w:space="0" w:color="auto"/>
        <w:left w:val="none" w:sz="0" w:space="0" w:color="auto"/>
        <w:bottom w:val="none" w:sz="0" w:space="0" w:color="auto"/>
        <w:right w:val="none" w:sz="0" w:space="0" w:color="auto"/>
      </w:divBdr>
    </w:div>
    <w:div w:id="1954172527">
      <w:bodyDiv w:val="1"/>
      <w:marLeft w:val="0"/>
      <w:marRight w:val="0"/>
      <w:marTop w:val="0"/>
      <w:marBottom w:val="0"/>
      <w:divBdr>
        <w:top w:val="none" w:sz="0" w:space="0" w:color="auto"/>
        <w:left w:val="none" w:sz="0" w:space="0" w:color="auto"/>
        <w:bottom w:val="none" w:sz="0" w:space="0" w:color="auto"/>
        <w:right w:val="none" w:sz="0" w:space="0" w:color="auto"/>
      </w:divBdr>
    </w:div>
    <w:div w:id="2031756933">
      <w:bodyDiv w:val="1"/>
      <w:marLeft w:val="0"/>
      <w:marRight w:val="0"/>
      <w:marTop w:val="0"/>
      <w:marBottom w:val="0"/>
      <w:divBdr>
        <w:top w:val="none" w:sz="0" w:space="0" w:color="auto"/>
        <w:left w:val="none" w:sz="0" w:space="0" w:color="auto"/>
        <w:bottom w:val="none" w:sz="0" w:space="0" w:color="auto"/>
        <w:right w:val="none" w:sz="0" w:space="0" w:color="auto"/>
      </w:divBdr>
      <w:divsChild>
        <w:div w:id="1772430682">
          <w:marLeft w:val="240"/>
          <w:marRight w:val="0"/>
          <w:marTop w:val="60"/>
          <w:marBottom w:val="60"/>
          <w:divBdr>
            <w:top w:val="none" w:sz="0" w:space="0" w:color="auto"/>
            <w:left w:val="none" w:sz="0" w:space="0" w:color="auto"/>
            <w:bottom w:val="none" w:sz="0" w:space="0" w:color="auto"/>
            <w:right w:val="none" w:sz="0" w:space="0" w:color="auto"/>
          </w:divBdr>
          <w:divsChild>
            <w:div w:id="615407762">
              <w:marLeft w:val="0"/>
              <w:marRight w:val="0"/>
              <w:marTop w:val="0"/>
              <w:marBottom w:val="0"/>
              <w:divBdr>
                <w:top w:val="none" w:sz="0" w:space="0" w:color="auto"/>
                <w:left w:val="none" w:sz="0" w:space="0" w:color="auto"/>
                <w:bottom w:val="none" w:sz="0" w:space="0" w:color="auto"/>
                <w:right w:val="none" w:sz="0" w:space="0" w:color="auto"/>
              </w:divBdr>
            </w:div>
          </w:divsChild>
        </w:div>
        <w:div w:id="1683899390">
          <w:marLeft w:val="240"/>
          <w:marRight w:val="0"/>
          <w:marTop w:val="60"/>
          <w:marBottom w:val="60"/>
          <w:divBdr>
            <w:top w:val="none" w:sz="0" w:space="0" w:color="auto"/>
            <w:left w:val="none" w:sz="0" w:space="0" w:color="auto"/>
            <w:bottom w:val="none" w:sz="0" w:space="0" w:color="auto"/>
            <w:right w:val="none" w:sz="0" w:space="0" w:color="auto"/>
          </w:divBdr>
          <w:divsChild>
            <w:div w:id="903175172">
              <w:marLeft w:val="240"/>
              <w:marRight w:val="0"/>
              <w:marTop w:val="60"/>
              <w:marBottom w:val="60"/>
              <w:divBdr>
                <w:top w:val="none" w:sz="0" w:space="0" w:color="auto"/>
                <w:left w:val="none" w:sz="0" w:space="0" w:color="auto"/>
                <w:bottom w:val="none" w:sz="0" w:space="0" w:color="auto"/>
                <w:right w:val="none" w:sz="0" w:space="0" w:color="auto"/>
              </w:divBdr>
              <w:divsChild>
                <w:div w:id="2106458881">
                  <w:marLeft w:val="0"/>
                  <w:marRight w:val="0"/>
                  <w:marTop w:val="0"/>
                  <w:marBottom w:val="0"/>
                  <w:divBdr>
                    <w:top w:val="none" w:sz="0" w:space="0" w:color="auto"/>
                    <w:left w:val="none" w:sz="0" w:space="0" w:color="auto"/>
                    <w:bottom w:val="none" w:sz="0" w:space="0" w:color="auto"/>
                    <w:right w:val="none" w:sz="0" w:space="0" w:color="auto"/>
                  </w:divBdr>
                </w:div>
              </w:divsChild>
            </w:div>
            <w:div w:id="1427071803">
              <w:marLeft w:val="240"/>
              <w:marRight w:val="0"/>
              <w:marTop w:val="60"/>
              <w:marBottom w:val="60"/>
              <w:divBdr>
                <w:top w:val="none" w:sz="0" w:space="0" w:color="auto"/>
                <w:left w:val="none" w:sz="0" w:space="0" w:color="auto"/>
                <w:bottom w:val="none" w:sz="0" w:space="0" w:color="auto"/>
                <w:right w:val="none" w:sz="0" w:space="0" w:color="auto"/>
              </w:divBdr>
              <w:divsChild>
                <w:div w:id="817652128">
                  <w:marLeft w:val="0"/>
                  <w:marRight w:val="0"/>
                  <w:marTop w:val="0"/>
                  <w:marBottom w:val="0"/>
                  <w:divBdr>
                    <w:top w:val="none" w:sz="0" w:space="0" w:color="auto"/>
                    <w:left w:val="none" w:sz="0" w:space="0" w:color="auto"/>
                    <w:bottom w:val="none" w:sz="0" w:space="0" w:color="auto"/>
                    <w:right w:val="none" w:sz="0" w:space="0" w:color="auto"/>
                  </w:divBdr>
                </w:div>
              </w:divsChild>
            </w:div>
            <w:div w:id="592469967">
              <w:marLeft w:val="240"/>
              <w:marRight w:val="0"/>
              <w:marTop w:val="60"/>
              <w:marBottom w:val="60"/>
              <w:divBdr>
                <w:top w:val="none" w:sz="0" w:space="0" w:color="auto"/>
                <w:left w:val="none" w:sz="0" w:space="0" w:color="auto"/>
                <w:bottom w:val="none" w:sz="0" w:space="0" w:color="auto"/>
                <w:right w:val="none" w:sz="0" w:space="0" w:color="auto"/>
              </w:divBdr>
              <w:divsChild>
                <w:div w:id="50732202">
                  <w:marLeft w:val="0"/>
                  <w:marRight w:val="0"/>
                  <w:marTop w:val="0"/>
                  <w:marBottom w:val="0"/>
                  <w:divBdr>
                    <w:top w:val="none" w:sz="0" w:space="0" w:color="auto"/>
                    <w:left w:val="none" w:sz="0" w:space="0" w:color="auto"/>
                    <w:bottom w:val="none" w:sz="0" w:space="0" w:color="auto"/>
                    <w:right w:val="none" w:sz="0" w:space="0" w:color="auto"/>
                  </w:divBdr>
                </w:div>
              </w:divsChild>
            </w:div>
            <w:div w:id="503594210">
              <w:marLeft w:val="240"/>
              <w:marRight w:val="0"/>
              <w:marTop w:val="60"/>
              <w:marBottom w:val="60"/>
              <w:divBdr>
                <w:top w:val="none" w:sz="0" w:space="0" w:color="auto"/>
                <w:left w:val="none" w:sz="0" w:space="0" w:color="auto"/>
                <w:bottom w:val="none" w:sz="0" w:space="0" w:color="auto"/>
                <w:right w:val="none" w:sz="0" w:space="0" w:color="auto"/>
              </w:divBdr>
              <w:divsChild>
                <w:div w:id="634675971">
                  <w:marLeft w:val="0"/>
                  <w:marRight w:val="0"/>
                  <w:marTop w:val="0"/>
                  <w:marBottom w:val="0"/>
                  <w:divBdr>
                    <w:top w:val="none" w:sz="0" w:space="0" w:color="auto"/>
                    <w:left w:val="none" w:sz="0" w:space="0" w:color="auto"/>
                    <w:bottom w:val="none" w:sz="0" w:space="0" w:color="auto"/>
                    <w:right w:val="none" w:sz="0" w:space="0" w:color="auto"/>
                  </w:divBdr>
                </w:div>
              </w:divsChild>
            </w:div>
            <w:div w:id="1571840570">
              <w:marLeft w:val="240"/>
              <w:marRight w:val="0"/>
              <w:marTop w:val="60"/>
              <w:marBottom w:val="60"/>
              <w:divBdr>
                <w:top w:val="none" w:sz="0" w:space="0" w:color="auto"/>
                <w:left w:val="none" w:sz="0" w:space="0" w:color="auto"/>
                <w:bottom w:val="none" w:sz="0" w:space="0" w:color="auto"/>
                <w:right w:val="none" w:sz="0" w:space="0" w:color="auto"/>
              </w:divBdr>
              <w:divsChild>
                <w:div w:id="9529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3894047">
      <w:bodyDiv w:val="1"/>
      <w:marLeft w:val="0"/>
      <w:marRight w:val="0"/>
      <w:marTop w:val="0"/>
      <w:marBottom w:val="0"/>
      <w:divBdr>
        <w:top w:val="none" w:sz="0" w:space="0" w:color="auto"/>
        <w:left w:val="none" w:sz="0" w:space="0" w:color="auto"/>
        <w:bottom w:val="none" w:sz="0" w:space="0" w:color="auto"/>
        <w:right w:val="none" w:sz="0" w:space="0" w:color="auto"/>
      </w:divBdr>
      <w:divsChild>
        <w:div w:id="2022538494">
          <w:marLeft w:val="240"/>
          <w:marRight w:val="0"/>
          <w:marTop w:val="60"/>
          <w:marBottom w:val="60"/>
          <w:divBdr>
            <w:top w:val="none" w:sz="0" w:space="0" w:color="auto"/>
            <w:left w:val="none" w:sz="0" w:space="0" w:color="auto"/>
            <w:bottom w:val="none" w:sz="0" w:space="0" w:color="auto"/>
            <w:right w:val="none" w:sz="0" w:space="0" w:color="auto"/>
          </w:divBdr>
          <w:divsChild>
            <w:div w:id="2042775921">
              <w:marLeft w:val="240"/>
              <w:marRight w:val="0"/>
              <w:marTop w:val="60"/>
              <w:marBottom w:val="60"/>
              <w:divBdr>
                <w:top w:val="none" w:sz="0" w:space="0" w:color="auto"/>
                <w:left w:val="none" w:sz="0" w:space="0" w:color="auto"/>
                <w:bottom w:val="none" w:sz="0" w:space="0" w:color="auto"/>
                <w:right w:val="none" w:sz="0" w:space="0" w:color="auto"/>
              </w:divBdr>
              <w:divsChild>
                <w:div w:id="1199078765">
                  <w:marLeft w:val="0"/>
                  <w:marRight w:val="0"/>
                  <w:marTop w:val="0"/>
                  <w:marBottom w:val="0"/>
                  <w:divBdr>
                    <w:top w:val="none" w:sz="0" w:space="0" w:color="auto"/>
                    <w:left w:val="none" w:sz="0" w:space="0" w:color="auto"/>
                    <w:bottom w:val="none" w:sz="0" w:space="0" w:color="auto"/>
                    <w:right w:val="none" w:sz="0" w:space="0" w:color="auto"/>
                  </w:divBdr>
                </w:div>
              </w:divsChild>
            </w:div>
            <w:div w:id="909969552">
              <w:marLeft w:val="240"/>
              <w:marRight w:val="0"/>
              <w:marTop w:val="60"/>
              <w:marBottom w:val="60"/>
              <w:divBdr>
                <w:top w:val="none" w:sz="0" w:space="0" w:color="auto"/>
                <w:left w:val="none" w:sz="0" w:space="0" w:color="auto"/>
                <w:bottom w:val="none" w:sz="0" w:space="0" w:color="auto"/>
                <w:right w:val="none" w:sz="0" w:space="0" w:color="auto"/>
              </w:divBdr>
              <w:divsChild>
                <w:div w:id="530647115">
                  <w:marLeft w:val="0"/>
                  <w:marRight w:val="0"/>
                  <w:marTop w:val="0"/>
                  <w:marBottom w:val="0"/>
                  <w:divBdr>
                    <w:top w:val="none" w:sz="0" w:space="0" w:color="auto"/>
                    <w:left w:val="none" w:sz="0" w:space="0" w:color="auto"/>
                    <w:bottom w:val="none" w:sz="0" w:space="0" w:color="auto"/>
                    <w:right w:val="none" w:sz="0" w:space="0" w:color="auto"/>
                  </w:divBdr>
                </w:div>
              </w:divsChild>
            </w:div>
            <w:div w:id="467481263">
              <w:marLeft w:val="240"/>
              <w:marRight w:val="0"/>
              <w:marTop w:val="60"/>
              <w:marBottom w:val="60"/>
              <w:divBdr>
                <w:top w:val="none" w:sz="0" w:space="0" w:color="auto"/>
                <w:left w:val="none" w:sz="0" w:space="0" w:color="auto"/>
                <w:bottom w:val="none" w:sz="0" w:space="0" w:color="auto"/>
                <w:right w:val="none" w:sz="0" w:space="0" w:color="auto"/>
              </w:divBdr>
              <w:divsChild>
                <w:div w:id="1960454975">
                  <w:marLeft w:val="0"/>
                  <w:marRight w:val="0"/>
                  <w:marTop w:val="0"/>
                  <w:marBottom w:val="0"/>
                  <w:divBdr>
                    <w:top w:val="none" w:sz="0" w:space="0" w:color="auto"/>
                    <w:left w:val="none" w:sz="0" w:space="0" w:color="auto"/>
                    <w:bottom w:val="none" w:sz="0" w:space="0" w:color="auto"/>
                    <w:right w:val="none" w:sz="0" w:space="0" w:color="auto"/>
                  </w:divBdr>
                </w:div>
              </w:divsChild>
            </w:div>
            <w:div w:id="2036273885">
              <w:marLeft w:val="240"/>
              <w:marRight w:val="0"/>
              <w:marTop w:val="60"/>
              <w:marBottom w:val="60"/>
              <w:divBdr>
                <w:top w:val="none" w:sz="0" w:space="0" w:color="auto"/>
                <w:left w:val="none" w:sz="0" w:space="0" w:color="auto"/>
                <w:bottom w:val="none" w:sz="0" w:space="0" w:color="auto"/>
                <w:right w:val="none" w:sz="0" w:space="0" w:color="auto"/>
              </w:divBdr>
              <w:divsChild>
                <w:div w:id="2010790869">
                  <w:marLeft w:val="0"/>
                  <w:marRight w:val="0"/>
                  <w:marTop w:val="0"/>
                  <w:marBottom w:val="0"/>
                  <w:divBdr>
                    <w:top w:val="none" w:sz="0" w:space="0" w:color="auto"/>
                    <w:left w:val="none" w:sz="0" w:space="0" w:color="auto"/>
                    <w:bottom w:val="none" w:sz="0" w:space="0" w:color="auto"/>
                    <w:right w:val="none" w:sz="0" w:space="0" w:color="auto"/>
                  </w:divBdr>
                </w:div>
              </w:divsChild>
            </w:div>
            <w:div w:id="214003468">
              <w:marLeft w:val="240"/>
              <w:marRight w:val="0"/>
              <w:marTop w:val="60"/>
              <w:marBottom w:val="60"/>
              <w:divBdr>
                <w:top w:val="none" w:sz="0" w:space="0" w:color="auto"/>
                <w:left w:val="none" w:sz="0" w:space="0" w:color="auto"/>
                <w:bottom w:val="none" w:sz="0" w:space="0" w:color="auto"/>
                <w:right w:val="none" w:sz="0" w:space="0" w:color="auto"/>
              </w:divBdr>
              <w:divsChild>
                <w:div w:id="1078669506">
                  <w:marLeft w:val="0"/>
                  <w:marRight w:val="0"/>
                  <w:marTop w:val="0"/>
                  <w:marBottom w:val="0"/>
                  <w:divBdr>
                    <w:top w:val="none" w:sz="0" w:space="0" w:color="auto"/>
                    <w:left w:val="none" w:sz="0" w:space="0" w:color="auto"/>
                    <w:bottom w:val="none" w:sz="0" w:space="0" w:color="auto"/>
                    <w:right w:val="none" w:sz="0" w:space="0" w:color="auto"/>
                  </w:divBdr>
                </w:div>
              </w:divsChild>
            </w:div>
            <w:div w:id="786463672">
              <w:marLeft w:val="240"/>
              <w:marRight w:val="0"/>
              <w:marTop w:val="60"/>
              <w:marBottom w:val="60"/>
              <w:divBdr>
                <w:top w:val="none" w:sz="0" w:space="0" w:color="auto"/>
                <w:left w:val="none" w:sz="0" w:space="0" w:color="auto"/>
                <w:bottom w:val="none" w:sz="0" w:space="0" w:color="auto"/>
                <w:right w:val="none" w:sz="0" w:space="0" w:color="auto"/>
              </w:divBdr>
              <w:divsChild>
                <w:div w:id="1463956825">
                  <w:marLeft w:val="0"/>
                  <w:marRight w:val="0"/>
                  <w:marTop w:val="0"/>
                  <w:marBottom w:val="0"/>
                  <w:divBdr>
                    <w:top w:val="none" w:sz="0" w:space="0" w:color="auto"/>
                    <w:left w:val="none" w:sz="0" w:space="0" w:color="auto"/>
                    <w:bottom w:val="none" w:sz="0" w:space="0" w:color="auto"/>
                    <w:right w:val="none" w:sz="0" w:space="0" w:color="auto"/>
                  </w:divBdr>
                </w:div>
              </w:divsChild>
            </w:div>
            <w:div w:id="1326325562">
              <w:marLeft w:val="240"/>
              <w:marRight w:val="0"/>
              <w:marTop w:val="60"/>
              <w:marBottom w:val="60"/>
              <w:divBdr>
                <w:top w:val="none" w:sz="0" w:space="0" w:color="auto"/>
                <w:left w:val="none" w:sz="0" w:space="0" w:color="auto"/>
                <w:bottom w:val="none" w:sz="0" w:space="0" w:color="auto"/>
                <w:right w:val="none" w:sz="0" w:space="0" w:color="auto"/>
              </w:divBdr>
              <w:divsChild>
                <w:div w:id="1908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855">
          <w:marLeft w:val="240"/>
          <w:marRight w:val="0"/>
          <w:marTop w:val="60"/>
          <w:marBottom w:val="6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 w:id="1081680622">
          <w:marLeft w:val="240"/>
          <w:marRight w:val="0"/>
          <w:marTop w:val="60"/>
          <w:marBottom w:val="60"/>
          <w:divBdr>
            <w:top w:val="none" w:sz="0" w:space="0" w:color="auto"/>
            <w:left w:val="none" w:sz="0" w:space="0" w:color="auto"/>
            <w:bottom w:val="none" w:sz="0" w:space="0" w:color="auto"/>
            <w:right w:val="none" w:sz="0" w:space="0" w:color="auto"/>
          </w:divBdr>
          <w:divsChild>
            <w:div w:id="1562132876">
              <w:marLeft w:val="0"/>
              <w:marRight w:val="0"/>
              <w:marTop w:val="0"/>
              <w:marBottom w:val="0"/>
              <w:divBdr>
                <w:top w:val="none" w:sz="0" w:space="0" w:color="auto"/>
                <w:left w:val="none" w:sz="0" w:space="0" w:color="auto"/>
                <w:bottom w:val="none" w:sz="0" w:space="0" w:color="auto"/>
                <w:right w:val="none" w:sz="0" w:space="0" w:color="auto"/>
              </w:divBdr>
            </w:div>
          </w:divsChild>
        </w:div>
        <w:div w:id="2017658002">
          <w:marLeft w:val="240"/>
          <w:marRight w:val="0"/>
          <w:marTop w:val="60"/>
          <w:marBottom w:val="60"/>
          <w:divBdr>
            <w:top w:val="none" w:sz="0" w:space="0" w:color="auto"/>
            <w:left w:val="none" w:sz="0" w:space="0" w:color="auto"/>
            <w:bottom w:val="none" w:sz="0" w:space="0" w:color="auto"/>
            <w:right w:val="none" w:sz="0" w:space="0" w:color="auto"/>
          </w:divBdr>
          <w:divsChild>
            <w:div w:id="448860348">
              <w:marLeft w:val="0"/>
              <w:marRight w:val="0"/>
              <w:marTop w:val="0"/>
              <w:marBottom w:val="0"/>
              <w:divBdr>
                <w:top w:val="none" w:sz="0" w:space="0" w:color="auto"/>
                <w:left w:val="none" w:sz="0" w:space="0" w:color="auto"/>
                <w:bottom w:val="none" w:sz="0" w:space="0" w:color="auto"/>
                <w:right w:val="none" w:sz="0" w:space="0" w:color="auto"/>
              </w:divBdr>
            </w:div>
          </w:divsChild>
        </w:div>
        <w:div w:id="2040743919">
          <w:marLeft w:val="240"/>
          <w:marRight w:val="0"/>
          <w:marTop w:val="60"/>
          <w:marBottom w:val="60"/>
          <w:divBdr>
            <w:top w:val="none" w:sz="0" w:space="0" w:color="auto"/>
            <w:left w:val="none" w:sz="0" w:space="0" w:color="auto"/>
            <w:bottom w:val="none" w:sz="0" w:space="0" w:color="auto"/>
            <w:right w:val="none" w:sz="0" w:space="0" w:color="auto"/>
          </w:divBdr>
          <w:divsChild>
            <w:div w:id="1884444821">
              <w:marLeft w:val="0"/>
              <w:marRight w:val="0"/>
              <w:marTop w:val="0"/>
              <w:marBottom w:val="0"/>
              <w:divBdr>
                <w:top w:val="none" w:sz="0" w:space="0" w:color="auto"/>
                <w:left w:val="none" w:sz="0" w:space="0" w:color="auto"/>
                <w:bottom w:val="none" w:sz="0" w:space="0" w:color="auto"/>
                <w:right w:val="none" w:sz="0" w:space="0" w:color="auto"/>
              </w:divBdr>
            </w:div>
          </w:divsChild>
        </w:div>
        <w:div w:id="269320174">
          <w:marLeft w:val="240"/>
          <w:marRight w:val="0"/>
          <w:marTop w:val="60"/>
          <w:marBottom w:val="60"/>
          <w:divBdr>
            <w:top w:val="none" w:sz="0" w:space="0" w:color="auto"/>
            <w:left w:val="none" w:sz="0" w:space="0" w:color="auto"/>
            <w:bottom w:val="none" w:sz="0" w:space="0" w:color="auto"/>
            <w:right w:val="none" w:sz="0" w:space="0" w:color="auto"/>
          </w:divBdr>
          <w:divsChild>
            <w:div w:id="11945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5241">
      <w:bodyDiv w:val="1"/>
      <w:marLeft w:val="0"/>
      <w:marRight w:val="0"/>
      <w:marTop w:val="0"/>
      <w:marBottom w:val="0"/>
      <w:divBdr>
        <w:top w:val="none" w:sz="0" w:space="0" w:color="auto"/>
        <w:left w:val="none" w:sz="0" w:space="0" w:color="auto"/>
        <w:bottom w:val="none" w:sz="0" w:space="0" w:color="auto"/>
        <w:right w:val="none" w:sz="0" w:space="0" w:color="auto"/>
      </w:divBdr>
      <w:divsChild>
        <w:div w:id="1265259901">
          <w:marLeft w:val="240"/>
          <w:marRight w:val="0"/>
          <w:marTop w:val="60"/>
          <w:marBottom w:val="60"/>
          <w:divBdr>
            <w:top w:val="none" w:sz="0" w:space="0" w:color="auto"/>
            <w:left w:val="none" w:sz="0" w:space="0" w:color="auto"/>
            <w:bottom w:val="none" w:sz="0" w:space="0" w:color="auto"/>
            <w:right w:val="none" w:sz="0" w:space="0" w:color="auto"/>
          </w:divBdr>
          <w:divsChild>
            <w:div w:id="539241353">
              <w:marLeft w:val="0"/>
              <w:marRight w:val="0"/>
              <w:marTop w:val="0"/>
              <w:marBottom w:val="0"/>
              <w:divBdr>
                <w:top w:val="none" w:sz="0" w:space="0" w:color="auto"/>
                <w:left w:val="none" w:sz="0" w:space="0" w:color="auto"/>
                <w:bottom w:val="none" w:sz="0" w:space="0" w:color="auto"/>
                <w:right w:val="none" w:sz="0" w:space="0" w:color="auto"/>
              </w:divBdr>
            </w:div>
          </w:divsChild>
        </w:div>
        <w:div w:id="1305159092">
          <w:marLeft w:val="240"/>
          <w:marRight w:val="0"/>
          <w:marTop w:val="60"/>
          <w:marBottom w:val="60"/>
          <w:divBdr>
            <w:top w:val="none" w:sz="0" w:space="0" w:color="auto"/>
            <w:left w:val="none" w:sz="0" w:space="0" w:color="auto"/>
            <w:bottom w:val="none" w:sz="0" w:space="0" w:color="auto"/>
            <w:right w:val="none" w:sz="0" w:space="0" w:color="auto"/>
          </w:divBdr>
          <w:divsChild>
            <w:div w:id="8962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62004CJ0341&amp;from=MT" TargetMode="External"/><Relationship Id="rId3" Type="http://schemas.openxmlformats.org/officeDocument/2006/relationships/hyperlink" Target="https://www.nortonrosefulbright.com/en-us/knowledge/publications/1496f7a8/key-chapter-15" TargetMode="External"/><Relationship Id="rId7" Type="http://schemas.openxmlformats.org/officeDocument/2006/relationships/hyperlink" Target="https://casetext.com/case/in-re-modern-land-china-co-1" TargetMode="External"/><Relationship Id="rId2" Type="http://schemas.openxmlformats.org/officeDocument/2006/relationships/hyperlink" Target="https://upjournals.up.ac.za/index.php/pslr/article/view/1902/1784" TargetMode="External"/><Relationship Id="rId1" Type="http://schemas.openxmlformats.org/officeDocument/2006/relationships/hyperlink" Target="https://www.lexology.com/library/detail.aspx?g=30af655e-c3c3-41d4-80d8-65803b2a1877" TargetMode="External"/><Relationship Id="rId6" Type="http://schemas.openxmlformats.org/officeDocument/2006/relationships/hyperlink" Target="https://casetext.com/case/in-re-abc-learning-centres-ltd" TargetMode="External"/><Relationship Id="rId5" Type="http://schemas.openxmlformats.org/officeDocument/2006/relationships/hyperlink" Target="https://www.law.cornell.edu/definitions/uscode.php?width=840&amp;height=800&amp;iframe=true&amp;def_id=11-USC-440369079-67197637&amp;term_occur=999&amp;term_src=title:11:chapter:15:subchapter:II:section:1509" TargetMode="External"/><Relationship Id="rId10" Type="http://schemas.openxmlformats.org/officeDocument/2006/relationships/hyperlink" Target="https://www.harneys.com/media/mmzhwltv/legal-guide-the-cayman-islands-insolvency-reform-restructuring-officer-and-refined-scheme-of-arrangement.pdf" TargetMode="External"/><Relationship Id="rId4" Type="http://schemas.openxmlformats.org/officeDocument/2006/relationships/hyperlink" Target="https://www.law.cornell.edu/uscode/text/11/1522" TargetMode="External"/><Relationship Id="rId9" Type="http://schemas.openxmlformats.org/officeDocument/2006/relationships/hyperlink" Target="https://casetext.com/case/in-re-millennium-global-emerging-credit-master-fund-lt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7154</Words>
  <Characters>40781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Onyango</cp:lastModifiedBy>
  <cp:revision>5</cp:revision>
  <cp:lastPrinted>2024-02-13T05:43:00Z</cp:lastPrinted>
  <dcterms:created xsi:type="dcterms:W3CDTF">2024-02-13T11:18:00Z</dcterms:created>
  <dcterms:modified xsi:type="dcterms:W3CDTF">2024-02-13T11:22:00Z</dcterms:modified>
</cp:coreProperties>
</file>