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44644" w:rsidRDefault="00AE5B6F" w:rsidP="00B04033">
      <w:pPr>
        <w:pStyle w:val="ListParagraph"/>
        <w:numPr>
          <w:ilvl w:val="0"/>
          <w:numId w:val="1"/>
        </w:numPr>
        <w:ind w:left="426"/>
        <w:jc w:val="both"/>
        <w:rPr>
          <w:rFonts w:ascii="Avenir Next" w:hAnsi="Avenir Next" w:cs="Arial"/>
          <w:sz w:val="22"/>
          <w:szCs w:val="22"/>
          <w:highlight w:val="yellow"/>
          <w:lang w:val="en-GB"/>
        </w:rPr>
      </w:pPr>
      <w:r w:rsidRPr="00244644">
        <w:rPr>
          <w:rFonts w:ascii="Avenir Next" w:hAnsi="Avenir Next" w:cs="Arial"/>
          <w:sz w:val="22"/>
          <w:szCs w:val="22"/>
          <w:highlight w:val="yellow"/>
          <w:lang w:val="en-GB"/>
        </w:rPr>
        <w:t>w</w:t>
      </w:r>
      <w:r w:rsidR="00C91062" w:rsidRPr="00244644">
        <w:rPr>
          <w:rFonts w:ascii="Avenir Next" w:hAnsi="Avenir Next" w:cs="Arial"/>
          <w:sz w:val="22"/>
          <w:szCs w:val="22"/>
          <w:highlight w:val="yellow"/>
          <w:lang w:val="en-GB"/>
        </w:rPr>
        <w:t xml:space="preserve">ithin </w:t>
      </w:r>
      <w:r w:rsidR="00733A34" w:rsidRPr="00244644">
        <w:rPr>
          <w:rFonts w:ascii="Avenir Next" w:hAnsi="Avenir Next" w:cs="Arial"/>
          <w:sz w:val="22"/>
          <w:szCs w:val="22"/>
          <w:highlight w:val="yellow"/>
          <w:lang w:val="en-GB"/>
        </w:rPr>
        <w:t>eight</w:t>
      </w:r>
      <w:r w:rsidR="00C91062" w:rsidRPr="00244644">
        <w:rPr>
          <w:rFonts w:ascii="Avenir Next" w:hAnsi="Avenir Next" w:cs="Arial"/>
          <w:sz w:val="22"/>
          <w:szCs w:val="22"/>
          <w:highlight w:val="yellow"/>
          <w:lang w:val="en-GB"/>
        </w:rPr>
        <w:t xml:space="preserve"> weeks of the commencement of the administration</w:t>
      </w:r>
      <w:r w:rsidR="00763348" w:rsidRPr="00244644">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0971C2" w:rsidRDefault="00E443D7" w:rsidP="00C55824">
      <w:pPr>
        <w:pStyle w:val="ListParagraph"/>
        <w:numPr>
          <w:ilvl w:val="0"/>
          <w:numId w:val="2"/>
        </w:numPr>
        <w:ind w:left="426"/>
        <w:jc w:val="both"/>
        <w:rPr>
          <w:rFonts w:ascii="Avenir Next" w:hAnsi="Avenir Next" w:cs="Arial"/>
          <w:sz w:val="22"/>
          <w:szCs w:val="22"/>
          <w:highlight w:val="yellow"/>
          <w:lang w:val="en-GB"/>
        </w:rPr>
      </w:pPr>
      <w:r w:rsidRPr="000971C2">
        <w:rPr>
          <w:rFonts w:ascii="Avenir Next" w:hAnsi="Avenir Next" w:cs="Arial"/>
          <w:sz w:val="22"/>
          <w:szCs w:val="22"/>
          <w:highlight w:val="yellow"/>
          <w:lang w:val="en-GB"/>
        </w:rPr>
        <w:t>One year</w:t>
      </w:r>
      <w:r w:rsidR="00763348" w:rsidRPr="000971C2">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362AC5" w:rsidRDefault="00AE5B6F" w:rsidP="00B04033">
      <w:pPr>
        <w:pStyle w:val="ListParagraph"/>
        <w:numPr>
          <w:ilvl w:val="0"/>
          <w:numId w:val="3"/>
        </w:numPr>
        <w:ind w:left="426"/>
        <w:jc w:val="both"/>
        <w:rPr>
          <w:rFonts w:ascii="Avenir Next" w:hAnsi="Avenir Next" w:cs="Arial"/>
          <w:sz w:val="22"/>
          <w:szCs w:val="22"/>
          <w:highlight w:val="yellow"/>
          <w:lang w:val="en-GB"/>
        </w:rPr>
      </w:pPr>
      <w:r w:rsidRPr="00362AC5">
        <w:rPr>
          <w:rFonts w:ascii="Avenir Next" w:hAnsi="Avenir Next" w:cs="Arial"/>
          <w:sz w:val="22"/>
          <w:szCs w:val="22"/>
          <w:highlight w:val="yellow"/>
          <w:lang w:val="en-GB"/>
        </w:rPr>
        <w:t>T</w:t>
      </w:r>
      <w:r w:rsidR="008D1616" w:rsidRPr="00362AC5">
        <w:rPr>
          <w:rFonts w:ascii="Avenir Next" w:hAnsi="Avenir Next" w:cs="Arial"/>
          <w:sz w:val="22"/>
          <w:szCs w:val="22"/>
          <w:highlight w:val="yellow"/>
          <w:lang w:val="en-GB"/>
        </w:rPr>
        <w:t>he company is, or is likely to become, unable to pay their debts, as defined under s</w:t>
      </w:r>
      <w:r w:rsidR="00E833F4" w:rsidRPr="00362AC5">
        <w:rPr>
          <w:rFonts w:ascii="Avenir Next" w:hAnsi="Avenir Next" w:cs="Arial"/>
          <w:sz w:val="22"/>
          <w:szCs w:val="22"/>
          <w:highlight w:val="yellow"/>
          <w:lang w:val="en-GB"/>
        </w:rPr>
        <w:t>ection</w:t>
      </w:r>
      <w:r w:rsidR="008D1616" w:rsidRPr="00362AC5">
        <w:rPr>
          <w:rFonts w:ascii="Avenir Next" w:hAnsi="Avenir Next" w:cs="Arial"/>
          <w:sz w:val="22"/>
          <w:szCs w:val="22"/>
          <w:highlight w:val="yellow"/>
          <w:lang w:val="en-GB"/>
        </w:rPr>
        <w:t xml:space="preserve"> 123 of the Insolvency Act 1986</w:t>
      </w:r>
      <w:r w:rsidR="00763348" w:rsidRPr="00362AC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E354F7" w:rsidRDefault="00C91062" w:rsidP="00B04033">
      <w:pPr>
        <w:pStyle w:val="ListParagraph"/>
        <w:numPr>
          <w:ilvl w:val="0"/>
          <w:numId w:val="4"/>
        </w:numPr>
        <w:ind w:left="426"/>
        <w:jc w:val="both"/>
        <w:rPr>
          <w:rFonts w:ascii="Avenir Next" w:hAnsi="Avenir Next" w:cs="Arial"/>
          <w:sz w:val="22"/>
          <w:szCs w:val="22"/>
          <w:lang w:val="en-GB"/>
        </w:rPr>
      </w:pPr>
      <w:r w:rsidRPr="00E354F7">
        <w:rPr>
          <w:rFonts w:ascii="Avenir Next" w:hAnsi="Avenir Next" w:cs="Arial"/>
          <w:sz w:val="22"/>
          <w:szCs w:val="22"/>
          <w:lang w:val="en-GB"/>
        </w:rPr>
        <w:t>The administrator</w:t>
      </w:r>
      <w:r w:rsidR="00763348" w:rsidRPr="00E354F7">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E354F7" w:rsidRDefault="00C91062" w:rsidP="00B04033">
      <w:pPr>
        <w:pStyle w:val="ListParagraph"/>
        <w:numPr>
          <w:ilvl w:val="0"/>
          <w:numId w:val="4"/>
        </w:numPr>
        <w:ind w:left="426"/>
        <w:jc w:val="both"/>
        <w:rPr>
          <w:rFonts w:ascii="Avenir Next" w:hAnsi="Avenir Next" w:cs="Arial"/>
          <w:sz w:val="22"/>
          <w:szCs w:val="22"/>
          <w:highlight w:val="yellow"/>
          <w:lang w:val="en-GB"/>
        </w:rPr>
      </w:pPr>
      <w:r w:rsidRPr="00E354F7">
        <w:rPr>
          <w:rFonts w:ascii="Avenir Next" w:hAnsi="Avenir Next" w:cs="Arial"/>
          <w:sz w:val="22"/>
          <w:szCs w:val="22"/>
          <w:highlight w:val="yellow"/>
          <w:lang w:val="en-GB"/>
        </w:rPr>
        <w:t>The purchaser</w:t>
      </w:r>
      <w:r w:rsidR="00763348" w:rsidRPr="00E354F7">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391474" w:rsidRDefault="00BA1CFD" w:rsidP="00B04033">
      <w:pPr>
        <w:pStyle w:val="ListParagraph"/>
        <w:numPr>
          <w:ilvl w:val="0"/>
          <w:numId w:val="5"/>
        </w:numPr>
        <w:ind w:left="426"/>
        <w:jc w:val="both"/>
        <w:rPr>
          <w:rFonts w:ascii="Avenir Next" w:hAnsi="Avenir Next" w:cs="Arial"/>
          <w:sz w:val="22"/>
          <w:szCs w:val="22"/>
          <w:highlight w:val="yellow"/>
          <w:lang w:val="en-GB"/>
        </w:rPr>
      </w:pPr>
      <w:r w:rsidRPr="00391474">
        <w:rPr>
          <w:rFonts w:ascii="Avenir Next" w:hAnsi="Avenir Next" w:cs="Arial"/>
          <w:sz w:val="22"/>
          <w:szCs w:val="22"/>
          <w:highlight w:val="yellow"/>
          <w:lang w:val="en-GB"/>
        </w:rPr>
        <w:t>Administration</w:t>
      </w:r>
      <w:r w:rsidR="00763348" w:rsidRPr="0039147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EB07A9" w:rsidRDefault="00221444" w:rsidP="00221444">
      <w:pPr>
        <w:pStyle w:val="ListParagraph"/>
        <w:numPr>
          <w:ilvl w:val="0"/>
          <w:numId w:val="6"/>
        </w:numPr>
        <w:ind w:left="426"/>
        <w:jc w:val="both"/>
        <w:rPr>
          <w:rFonts w:ascii="Avenir Next" w:hAnsi="Avenir Next" w:cs="Arial"/>
          <w:sz w:val="22"/>
          <w:szCs w:val="22"/>
          <w:highlight w:val="yellow"/>
          <w:lang w:val="en-GB"/>
        </w:rPr>
      </w:pPr>
      <w:r w:rsidRPr="00EB07A9">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585476" w:rsidRDefault="00BA1CFD" w:rsidP="00B04033">
      <w:pPr>
        <w:pStyle w:val="ListParagraph"/>
        <w:numPr>
          <w:ilvl w:val="0"/>
          <w:numId w:val="7"/>
        </w:numPr>
        <w:ind w:left="426"/>
        <w:jc w:val="both"/>
        <w:rPr>
          <w:rFonts w:ascii="Avenir Next" w:hAnsi="Avenir Next" w:cs="Arial"/>
          <w:sz w:val="22"/>
          <w:szCs w:val="22"/>
          <w:highlight w:val="yellow"/>
          <w:lang w:val="en-GB"/>
        </w:rPr>
      </w:pPr>
      <w:r w:rsidRPr="00585476">
        <w:rPr>
          <w:rFonts w:ascii="Avenir Next" w:hAnsi="Avenir Next" w:cs="Arial"/>
          <w:sz w:val="22"/>
          <w:szCs w:val="22"/>
          <w:highlight w:val="yellow"/>
          <w:lang w:val="en-GB"/>
        </w:rPr>
        <w:t>Wrongful trading</w:t>
      </w:r>
      <w:r w:rsidR="00763348" w:rsidRPr="00585476">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50BE1" w:rsidRDefault="00450393" w:rsidP="00450393">
      <w:pPr>
        <w:pStyle w:val="ListParagraph"/>
        <w:numPr>
          <w:ilvl w:val="0"/>
          <w:numId w:val="8"/>
        </w:numPr>
        <w:ind w:left="426"/>
        <w:jc w:val="both"/>
        <w:rPr>
          <w:rFonts w:ascii="Avenir Next" w:hAnsi="Avenir Next" w:cs="Arial"/>
          <w:sz w:val="22"/>
          <w:szCs w:val="22"/>
          <w:highlight w:val="yellow"/>
          <w:lang w:val="en-GB"/>
        </w:rPr>
      </w:pPr>
      <w:r w:rsidRPr="00B50BE1">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5A7CCA" w:rsidRDefault="00E833F4" w:rsidP="00B04033">
      <w:pPr>
        <w:pStyle w:val="ListParagraph"/>
        <w:numPr>
          <w:ilvl w:val="0"/>
          <w:numId w:val="9"/>
        </w:numPr>
        <w:ind w:left="426"/>
        <w:jc w:val="both"/>
        <w:rPr>
          <w:rFonts w:ascii="Avenir Next" w:hAnsi="Avenir Next" w:cs="Arial"/>
          <w:sz w:val="22"/>
          <w:szCs w:val="22"/>
          <w:highlight w:val="yellow"/>
          <w:lang w:val="en-GB"/>
        </w:rPr>
      </w:pPr>
      <w:r w:rsidRPr="005A7CCA">
        <w:rPr>
          <w:rFonts w:ascii="Avenir Next" w:hAnsi="Avenir Next" w:cs="Arial"/>
          <w:sz w:val="22"/>
          <w:szCs w:val="22"/>
          <w:highlight w:val="yellow"/>
          <w:lang w:val="en-GB"/>
        </w:rPr>
        <w:t>A</w:t>
      </w:r>
      <w:r w:rsidR="000D10C6" w:rsidRPr="005A7CC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AE31DD" w:rsidRDefault="000D4CFA" w:rsidP="004C7A8F">
      <w:pPr>
        <w:pStyle w:val="ListParagraph"/>
        <w:numPr>
          <w:ilvl w:val="0"/>
          <w:numId w:val="10"/>
        </w:numPr>
        <w:ind w:left="426"/>
        <w:jc w:val="both"/>
        <w:rPr>
          <w:rFonts w:ascii="Avenir Next" w:hAnsi="Avenir Next" w:cs="Arial"/>
          <w:sz w:val="22"/>
          <w:szCs w:val="22"/>
          <w:highlight w:val="yellow"/>
          <w:lang w:val="en-GB"/>
        </w:rPr>
      </w:pPr>
      <w:r w:rsidRPr="00AE31DD">
        <w:rPr>
          <w:rFonts w:ascii="Avenir Next" w:hAnsi="Avenir Next" w:cs="Arial"/>
          <w:sz w:val="22"/>
          <w:szCs w:val="22"/>
          <w:highlight w:val="yellow"/>
          <w:lang w:val="en-GB"/>
        </w:rPr>
        <w:t>Twelve</w:t>
      </w:r>
      <w:r w:rsidR="004C7A8F" w:rsidRPr="00AE31DD">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7AB0F10B" w:rsidR="00DE03AF" w:rsidRDefault="00B23E2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Insolvency Act 1986 </w:t>
      </w:r>
      <w:r w:rsidR="00751CEF">
        <w:rPr>
          <w:rFonts w:ascii="Avenir Next" w:hAnsi="Avenir Next" w:cs="Arial"/>
          <w:color w:val="7B7B7B" w:themeColor="accent3" w:themeShade="BF"/>
          <w:sz w:val="22"/>
          <w:szCs w:val="22"/>
          <w:lang w:val="en-GB"/>
        </w:rPr>
        <w:t xml:space="preserve">provides that it applies as does section 238. </w:t>
      </w:r>
      <w:r w:rsidR="00AE193C">
        <w:rPr>
          <w:rFonts w:ascii="Avenir Next" w:hAnsi="Avenir Next" w:cs="Arial"/>
          <w:color w:val="7B7B7B" w:themeColor="accent3" w:themeShade="BF"/>
          <w:sz w:val="22"/>
          <w:szCs w:val="22"/>
          <w:lang w:val="en-GB"/>
        </w:rPr>
        <w:t>Section 238 applies in the case of a company where: (a) the company enters administration, (b) the company goes into liquidation</w:t>
      </w:r>
      <w:r w:rsidR="004546C1">
        <w:rPr>
          <w:rFonts w:ascii="Avenir Next" w:hAnsi="Avenir Next" w:cs="Arial"/>
          <w:color w:val="7B7B7B" w:themeColor="accent3" w:themeShade="BF"/>
          <w:sz w:val="22"/>
          <w:szCs w:val="22"/>
          <w:lang w:val="en-GB"/>
        </w:rPr>
        <w:t xml:space="preserve">, with the “office-holder” being defined as the administrator or the liquidator as the case may be. </w:t>
      </w:r>
      <w:r w:rsidR="0026265A">
        <w:rPr>
          <w:rFonts w:ascii="Avenir Next" w:hAnsi="Avenir Next" w:cs="Arial"/>
          <w:color w:val="7B7B7B" w:themeColor="accent3" w:themeShade="BF"/>
          <w:sz w:val="22"/>
          <w:szCs w:val="22"/>
          <w:lang w:val="en-GB"/>
        </w:rPr>
        <w:t>As such, a liquidator or an administrator, as the case may be, may bring an action under s 245.</w:t>
      </w:r>
    </w:p>
    <w:p w14:paraId="5FC2D5D8" w14:textId="77777777" w:rsidR="0026265A" w:rsidRDefault="0026265A" w:rsidP="002A37BB">
      <w:pPr>
        <w:jc w:val="both"/>
        <w:rPr>
          <w:rFonts w:ascii="Avenir Next" w:hAnsi="Avenir Next" w:cs="Arial"/>
          <w:color w:val="7B7B7B" w:themeColor="accent3" w:themeShade="BF"/>
          <w:sz w:val="22"/>
          <w:szCs w:val="22"/>
          <w:lang w:val="en-GB"/>
        </w:rPr>
      </w:pPr>
    </w:p>
    <w:p w14:paraId="2668D6D5" w14:textId="4881C1E2" w:rsidR="0026265A" w:rsidRDefault="0026265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w:t>
      </w:r>
      <w:r w:rsidR="007E00A7">
        <w:rPr>
          <w:rFonts w:ascii="Avenir Next" w:hAnsi="Avenir Next" w:cs="Arial"/>
          <w:color w:val="7B7B7B" w:themeColor="accent3" w:themeShade="BF"/>
          <w:sz w:val="22"/>
          <w:szCs w:val="22"/>
          <w:lang w:val="en-GB"/>
        </w:rPr>
        <w:t xml:space="preserve">ction 7 of the Company Directors Disqualification Act 1986 provides that the Secretary of State, or </w:t>
      </w:r>
      <w:r w:rsidR="00823271">
        <w:rPr>
          <w:rFonts w:ascii="Avenir Next" w:hAnsi="Avenir Next" w:cs="Arial"/>
          <w:color w:val="7B7B7B" w:themeColor="accent3" w:themeShade="BF"/>
          <w:sz w:val="22"/>
          <w:szCs w:val="22"/>
          <w:lang w:val="en-GB"/>
        </w:rPr>
        <w:t xml:space="preserve">if the Secretary of State so directs, the official receiver (in certain cases pertaining to winding-up), </w:t>
      </w:r>
      <w:r w:rsidR="003E67F6">
        <w:rPr>
          <w:rFonts w:ascii="Avenir Next" w:hAnsi="Avenir Next" w:cs="Arial"/>
          <w:color w:val="7B7B7B" w:themeColor="accent3" w:themeShade="BF"/>
          <w:sz w:val="22"/>
          <w:szCs w:val="22"/>
          <w:lang w:val="en-GB"/>
        </w:rPr>
        <w:t xml:space="preserve">is to make an application for a disqualification order under s 6, if it appears to the Secretary of State that it is in the public interest that a disqualification order </w:t>
      </w:r>
      <w:r w:rsidR="00171129">
        <w:rPr>
          <w:rFonts w:ascii="Avenir Next" w:hAnsi="Avenir Next" w:cs="Arial"/>
          <w:color w:val="7B7B7B" w:themeColor="accent3" w:themeShade="BF"/>
          <w:sz w:val="22"/>
          <w:szCs w:val="22"/>
          <w:lang w:val="en-GB"/>
        </w:rPr>
        <w:t xml:space="preserve">should be made against any person. </w:t>
      </w:r>
      <w:r w:rsidR="0082378B">
        <w:rPr>
          <w:rFonts w:ascii="Avenir Next" w:hAnsi="Avenir Next" w:cs="Arial"/>
          <w:color w:val="7B7B7B" w:themeColor="accent3" w:themeShade="BF"/>
          <w:sz w:val="22"/>
          <w:szCs w:val="22"/>
          <w:lang w:val="en-GB"/>
        </w:rPr>
        <w:t>Therefore, the Secretary of State, or the official receiver (if so directed) may bring an action under s 6.</w:t>
      </w:r>
    </w:p>
    <w:p w14:paraId="2420E2AC" w14:textId="77777777" w:rsidR="0082378B" w:rsidRDefault="0082378B" w:rsidP="002A37BB">
      <w:pPr>
        <w:jc w:val="both"/>
        <w:rPr>
          <w:rFonts w:ascii="Avenir Next" w:hAnsi="Avenir Next" w:cs="Arial"/>
          <w:color w:val="7B7B7B" w:themeColor="accent3" w:themeShade="BF"/>
          <w:sz w:val="22"/>
          <w:szCs w:val="22"/>
          <w:lang w:val="en-GB"/>
        </w:rPr>
      </w:pPr>
    </w:p>
    <w:p w14:paraId="722BC642" w14:textId="75557175" w:rsidR="0082378B" w:rsidRDefault="00DE1AA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for section </w:t>
      </w:r>
      <w:r w:rsidR="00AF3013">
        <w:rPr>
          <w:rFonts w:ascii="Avenir Next" w:hAnsi="Avenir Next" w:cs="Arial"/>
          <w:color w:val="7B7B7B" w:themeColor="accent3" w:themeShade="BF"/>
          <w:sz w:val="22"/>
          <w:szCs w:val="22"/>
          <w:lang w:val="en-GB"/>
        </w:rPr>
        <w:t>246ZB of the Insolvency Act 1986 which relates to wrongful trading</w:t>
      </w:r>
      <w:r w:rsidR="00224353">
        <w:rPr>
          <w:rFonts w:ascii="Avenir Next" w:hAnsi="Avenir Next" w:cs="Arial"/>
          <w:color w:val="7B7B7B" w:themeColor="accent3" w:themeShade="BF"/>
          <w:sz w:val="22"/>
          <w:szCs w:val="22"/>
          <w:lang w:val="en-GB"/>
        </w:rPr>
        <w:t xml:space="preserve">: administration, it provides that </w:t>
      </w:r>
      <w:r w:rsidR="009C54F6">
        <w:rPr>
          <w:rFonts w:ascii="Avenir Next" w:hAnsi="Avenir Next" w:cs="Arial"/>
          <w:color w:val="7B7B7B" w:themeColor="accent3" w:themeShade="BF"/>
          <w:sz w:val="22"/>
          <w:szCs w:val="22"/>
          <w:lang w:val="en-GB"/>
        </w:rPr>
        <w:t xml:space="preserve">the administrator may make an application to the court for a declaration that </w:t>
      </w:r>
      <w:r w:rsidR="00E93A8D">
        <w:rPr>
          <w:rFonts w:ascii="Avenir Next" w:hAnsi="Avenir Next" w:cs="Arial"/>
          <w:color w:val="7B7B7B" w:themeColor="accent3" w:themeShade="BF"/>
          <w:sz w:val="22"/>
          <w:szCs w:val="22"/>
          <w:lang w:val="en-GB"/>
        </w:rPr>
        <w:t xml:space="preserve">a person (who is or has been a director of the company) is to be liable to make such contribution (if any) to the company’s assets as the court thinks proper. </w:t>
      </w:r>
      <w:r w:rsidR="00837F04">
        <w:rPr>
          <w:rFonts w:ascii="Avenir Next" w:hAnsi="Avenir Next" w:cs="Arial"/>
          <w:color w:val="7B7B7B" w:themeColor="accent3" w:themeShade="BF"/>
          <w:sz w:val="22"/>
          <w:szCs w:val="22"/>
          <w:lang w:val="en-GB"/>
        </w:rPr>
        <w:t>As such, an administrator can bring an action under s 246ZB.</w:t>
      </w:r>
    </w:p>
    <w:p w14:paraId="0050097C" w14:textId="77777777" w:rsidR="00131808" w:rsidRDefault="00131808" w:rsidP="002A37BB">
      <w:pPr>
        <w:jc w:val="both"/>
        <w:rPr>
          <w:rFonts w:ascii="Avenir Next" w:hAnsi="Avenir Next" w:cs="Arial"/>
          <w:color w:val="7B7B7B" w:themeColor="accent3" w:themeShade="BF"/>
          <w:sz w:val="22"/>
          <w:szCs w:val="22"/>
          <w:lang w:val="en-GB"/>
        </w:rPr>
      </w:pPr>
    </w:p>
    <w:p w14:paraId="27B29375" w14:textId="6D95FBDB" w:rsidR="00131808" w:rsidRPr="00197F24" w:rsidRDefault="00F76BF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Insolvency Act 1986 relates to dispositions being void unless they have been validated by the court. </w:t>
      </w:r>
      <w:r w:rsidR="00E05833">
        <w:rPr>
          <w:rFonts w:ascii="Avenir Next" w:hAnsi="Avenir Next" w:cs="Arial"/>
          <w:color w:val="7B7B7B" w:themeColor="accent3" w:themeShade="BF"/>
          <w:sz w:val="22"/>
          <w:szCs w:val="22"/>
          <w:lang w:val="en-GB"/>
        </w:rPr>
        <w:t>The liquida</w:t>
      </w:r>
      <w:r w:rsidR="00B573F8">
        <w:rPr>
          <w:rFonts w:ascii="Avenir Next" w:hAnsi="Avenir Next" w:cs="Arial"/>
          <w:color w:val="7B7B7B" w:themeColor="accent3" w:themeShade="BF"/>
          <w:sz w:val="22"/>
          <w:szCs w:val="22"/>
          <w:lang w:val="en-GB"/>
        </w:rPr>
        <w:t xml:space="preserve">tor will thus often use s 127 to retrieve assets of the company which has been disposed during the period between the petition of winding up and the winding up order being made. </w:t>
      </w:r>
      <w:r w:rsidR="001D0EFB">
        <w:rPr>
          <w:rFonts w:ascii="Avenir Next" w:hAnsi="Avenir Next" w:cs="Arial"/>
          <w:color w:val="7B7B7B" w:themeColor="accent3" w:themeShade="BF"/>
          <w:sz w:val="22"/>
          <w:szCs w:val="22"/>
          <w:lang w:val="en-GB"/>
        </w:rPr>
        <w:t xml:space="preserve">At the same time, the court has a discretion to make validation orders for disposals that have been made, and such applications for such orders are reasonably common. </w:t>
      </w:r>
      <w:r w:rsidR="006469A6">
        <w:rPr>
          <w:rFonts w:ascii="Avenir Next" w:hAnsi="Avenir Next" w:cs="Arial"/>
          <w:color w:val="7B7B7B" w:themeColor="accent3" w:themeShade="BF"/>
          <w:sz w:val="22"/>
          <w:szCs w:val="22"/>
          <w:lang w:val="en-GB"/>
        </w:rPr>
        <w:t xml:space="preserve">The court also has a discretion to </w:t>
      </w:r>
      <w:r w:rsidR="00B4044F">
        <w:rPr>
          <w:rFonts w:ascii="Avenir Next" w:hAnsi="Avenir Next" w:cs="Arial"/>
          <w:color w:val="7B7B7B" w:themeColor="accent3" w:themeShade="BF"/>
          <w:sz w:val="22"/>
          <w:szCs w:val="22"/>
          <w:lang w:val="en-GB"/>
        </w:rPr>
        <w:t xml:space="preserve">make sanction orders for dispositions which have not yet occurred. This means that persons whom disposals have been made </w:t>
      </w:r>
      <w:r w:rsidR="00371F6A">
        <w:rPr>
          <w:rFonts w:ascii="Avenir Next" w:hAnsi="Avenir Next" w:cs="Arial"/>
          <w:color w:val="7B7B7B" w:themeColor="accent3" w:themeShade="BF"/>
          <w:sz w:val="22"/>
          <w:szCs w:val="22"/>
          <w:lang w:val="en-GB"/>
        </w:rPr>
        <w:t xml:space="preserve">in favor of, and persons seeking to receive assets (in disposal) from the company may bring an action under s 127 as well.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7C0DA38" w:rsidR="00197F24" w:rsidRPr="00197F24" w:rsidRDefault="00BA52F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372435">
        <w:rPr>
          <w:rFonts w:ascii="Avenir Next" w:hAnsi="Avenir Next" w:cs="Arial"/>
          <w:color w:val="7B7B7B" w:themeColor="accent3" w:themeShade="BF"/>
          <w:sz w:val="22"/>
          <w:szCs w:val="22"/>
          <w:lang w:val="en-GB"/>
        </w:rPr>
        <w:t>f</w:t>
      </w:r>
      <w:r w:rsidR="00A64A30">
        <w:rPr>
          <w:rFonts w:ascii="Avenir Next" w:hAnsi="Avenir Next" w:cs="Arial"/>
          <w:color w:val="7B7B7B" w:themeColor="accent3" w:themeShade="BF"/>
          <w:sz w:val="22"/>
          <w:szCs w:val="22"/>
          <w:lang w:val="en-GB"/>
        </w:rPr>
        <w:t xml:space="preserve">ive </w:t>
      </w:r>
      <w:r>
        <w:rPr>
          <w:rFonts w:ascii="Avenir Next" w:hAnsi="Avenir Next" w:cs="Arial"/>
          <w:color w:val="7B7B7B" w:themeColor="accent3" w:themeShade="BF"/>
          <w:sz w:val="22"/>
          <w:szCs w:val="22"/>
          <w:lang w:val="en-GB"/>
        </w:rPr>
        <w:t>debts are debts for: (a) th</w:t>
      </w:r>
      <w:r w:rsidR="00842359">
        <w:rPr>
          <w:rFonts w:ascii="Avenir Next" w:hAnsi="Avenir Next" w:cs="Arial"/>
          <w:color w:val="7B7B7B" w:themeColor="accent3" w:themeShade="BF"/>
          <w:sz w:val="22"/>
          <w:szCs w:val="22"/>
          <w:lang w:val="en-GB"/>
        </w:rPr>
        <w:t>e remuneration or expenses of the monitor</w:t>
      </w:r>
      <w:r>
        <w:rPr>
          <w:rFonts w:ascii="Avenir Next" w:hAnsi="Avenir Next" w:cs="Arial"/>
          <w:color w:val="7B7B7B" w:themeColor="accent3" w:themeShade="BF"/>
          <w:sz w:val="22"/>
          <w:szCs w:val="22"/>
          <w:lang w:val="en-GB"/>
        </w:rPr>
        <w:t xml:space="preserve">; (b) goods or services supplied during the Moratorium; (c) rent </w:t>
      </w:r>
      <w:r w:rsidR="00A64A30">
        <w:rPr>
          <w:rFonts w:ascii="Avenir Next" w:hAnsi="Avenir Next" w:cs="Arial"/>
          <w:color w:val="7B7B7B" w:themeColor="accent3" w:themeShade="BF"/>
          <w:sz w:val="22"/>
          <w:szCs w:val="22"/>
          <w:lang w:val="en-GB"/>
        </w:rPr>
        <w:t>during the Moratorium period; (d) wages or salary pursuant to a contract of employment; and (e) 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2E92BE25" w14:textId="46B3EB2F" w:rsidR="00197F24" w:rsidRDefault="00197F24" w:rsidP="00197F24">
      <w:pPr>
        <w:jc w:val="both"/>
        <w:rPr>
          <w:rFonts w:ascii="Avenir Next" w:hAnsi="Avenir Next" w:cs="Arial"/>
          <w:color w:val="7B7B7B" w:themeColor="accent3" w:themeShade="BF"/>
          <w:sz w:val="22"/>
          <w:szCs w:val="22"/>
          <w:lang w:val="en-GB"/>
        </w:rPr>
      </w:pPr>
    </w:p>
    <w:p w14:paraId="116EC068" w14:textId="799B4231" w:rsidR="00947B69" w:rsidRDefault="00947B6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an administrator who wishes to continue to operate the business of the company in administration can require suppliers of goods and services to continue to supply those goods and services during administration. </w:t>
      </w:r>
      <w:r w:rsidR="00B0433F">
        <w:rPr>
          <w:rFonts w:ascii="Avenir Next" w:hAnsi="Avenir Next" w:cs="Arial"/>
          <w:color w:val="7B7B7B" w:themeColor="accent3" w:themeShade="BF"/>
          <w:sz w:val="22"/>
          <w:szCs w:val="22"/>
          <w:lang w:val="en-GB"/>
        </w:rPr>
        <w:t xml:space="preserve">The relevant law is found in sections 233, </w:t>
      </w:r>
      <w:r w:rsidR="0005044C">
        <w:rPr>
          <w:rFonts w:ascii="Avenir Next" w:hAnsi="Avenir Next" w:cs="Arial"/>
          <w:color w:val="7B7B7B" w:themeColor="accent3" w:themeShade="BF"/>
          <w:sz w:val="22"/>
          <w:szCs w:val="22"/>
          <w:lang w:val="en-GB"/>
        </w:rPr>
        <w:t xml:space="preserve">233A and 233B </w:t>
      </w:r>
      <w:r w:rsidR="00A0023B">
        <w:rPr>
          <w:rFonts w:ascii="Avenir Next" w:hAnsi="Avenir Next" w:cs="Arial"/>
          <w:color w:val="7B7B7B" w:themeColor="accent3" w:themeShade="BF"/>
          <w:sz w:val="22"/>
          <w:szCs w:val="22"/>
          <w:lang w:val="en-GB"/>
        </w:rPr>
        <w:t xml:space="preserve">of the Insolvency Act 1986. </w:t>
      </w:r>
    </w:p>
    <w:p w14:paraId="13286213" w14:textId="77777777" w:rsidR="003045AE" w:rsidRDefault="003045AE" w:rsidP="00197F24">
      <w:pPr>
        <w:jc w:val="both"/>
        <w:rPr>
          <w:rFonts w:ascii="Avenir Next" w:hAnsi="Avenir Next" w:cs="Arial"/>
          <w:color w:val="7B7B7B" w:themeColor="accent3" w:themeShade="BF"/>
          <w:sz w:val="22"/>
          <w:szCs w:val="22"/>
          <w:lang w:val="en-GB"/>
        </w:rPr>
      </w:pPr>
    </w:p>
    <w:p w14:paraId="380843DE" w14:textId="4C4767E1" w:rsidR="003045AE" w:rsidRDefault="00A928B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 233, </w:t>
      </w:r>
      <w:r w:rsidR="00E02DE2">
        <w:rPr>
          <w:rFonts w:ascii="Avenir Next" w:hAnsi="Avenir Next" w:cs="Arial"/>
          <w:color w:val="7B7B7B" w:themeColor="accent3" w:themeShade="BF"/>
          <w:sz w:val="22"/>
          <w:szCs w:val="22"/>
          <w:lang w:val="en-GB"/>
        </w:rPr>
        <w:t>a</w:t>
      </w:r>
      <w:r w:rsidR="00160E57">
        <w:rPr>
          <w:rFonts w:ascii="Avenir Next" w:hAnsi="Avenir Next" w:cs="Arial"/>
          <w:color w:val="7B7B7B" w:themeColor="accent3" w:themeShade="BF"/>
          <w:sz w:val="22"/>
          <w:szCs w:val="22"/>
          <w:lang w:val="en-GB"/>
        </w:rPr>
        <w:t>n administrator can ask suppliers of essential supplies, such as gas, electricity, water</w:t>
      </w:r>
      <w:r w:rsidR="00AE6DE8">
        <w:rPr>
          <w:rFonts w:ascii="Avenir Next" w:hAnsi="Avenir Next" w:cs="Arial"/>
          <w:color w:val="7B7B7B" w:themeColor="accent3" w:themeShade="BF"/>
          <w:sz w:val="22"/>
          <w:szCs w:val="22"/>
          <w:lang w:val="en-GB"/>
        </w:rPr>
        <w:t>, and of goods and services such as computer</w:t>
      </w:r>
      <w:r w:rsidR="006A3386">
        <w:rPr>
          <w:rFonts w:ascii="Avenir Next" w:hAnsi="Avenir Next" w:cs="Arial"/>
          <w:color w:val="7B7B7B" w:themeColor="accent3" w:themeShade="BF"/>
          <w:sz w:val="22"/>
          <w:szCs w:val="22"/>
          <w:lang w:val="en-GB"/>
        </w:rPr>
        <w:t xml:space="preserve"> hardware and software, point of sale terminals, and data storage and processing to continue </w:t>
      </w:r>
      <w:r w:rsidR="00386CA8">
        <w:rPr>
          <w:rFonts w:ascii="Avenir Next" w:hAnsi="Avenir Next" w:cs="Arial"/>
          <w:color w:val="7B7B7B" w:themeColor="accent3" w:themeShade="BF"/>
          <w:sz w:val="22"/>
          <w:szCs w:val="22"/>
          <w:lang w:val="en-GB"/>
        </w:rPr>
        <w:t xml:space="preserve">to provide supply. The </w:t>
      </w:r>
      <w:r w:rsidR="001B447E">
        <w:rPr>
          <w:rFonts w:ascii="Avenir Next" w:hAnsi="Avenir Next" w:cs="Arial"/>
          <w:color w:val="7B7B7B" w:themeColor="accent3" w:themeShade="BF"/>
          <w:sz w:val="22"/>
          <w:szCs w:val="22"/>
          <w:lang w:val="en-GB"/>
        </w:rPr>
        <w:t xml:space="preserve">suppliers can make it a condition of giving such supply that the administrator personally guarantees the payment of any charges made in respect of the supply. But, the supplier cannot make it a condition of giving the supply that </w:t>
      </w:r>
      <w:r w:rsidR="00915C0E">
        <w:rPr>
          <w:rFonts w:ascii="Avenir Next" w:hAnsi="Avenir Next" w:cs="Arial"/>
          <w:color w:val="7B7B7B" w:themeColor="accent3" w:themeShade="BF"/>
          <w:sz w:val="22"/>
          <w:szCs w:val="22"/>
          <w:lang w:val="en-GB"/>
        </w:rPr>
        <w:t xml:space="preserve">outstanding charges relating to supplies previously given to the company before the effective date </w:t>
      </w:r>
      <w:r w:rsidR="006B4377">
        <w:rPr>
          <w:rFonts w:ascii="Avenir Next" w:hAnsi="Avenir Next" w:cs="Arial"/>
          <w:color w:val="7B7B7B" w:themeColor="accent3" w:themeShade="BF"/>
          <w:sz w:val="22"/>
          <w:szCs w:val="22"/>
          <w:lang w:val="en-GB"/>
        </w:rPr>
        <w:t xml:space="preserve">are paid. </w:t>
      </w:r>
    </w:p>
    <w:p w14:paraId="556D844E" w14:textId="77777777" w:rsidR="00856DC9" w:rsidRDefault="00856DC9" w:rsidP="00197F24">
      <w:pPr>
        <w:jc w:val="both"/>
        <w:rPr>
          <w:rFonts w:ascii="Avenir Next" w:hAnsi="Avenir Next" w:cs="Arial"/>
          <w:color w:val="7B7B7B" w:themeColor="accent3" w:themeShade="BF"/>
          <w:sz w:val="22"/>
          <w:szCs w:val="22"/>
          <w:lang w:val="en-GB"/>
        </w:rPr>
      </w:pPr>
    </w:p>
    <w:p w14:paraId="0403B254" w14:textId="701858FD" w:rsidR="00856DC9" w:rsidRDefault="00856DC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s 233A provides that </w:t>
      </w:r>
      <w:r w:rsidR="00A1291A">
        <w:rPr>
          <w:rFonts w:ascii="Avenir Next" w:hAnsi="Avenir Next" w:cs="Arial"/>
          <w:color w:val="7B7B7B" w:themeColor="accent3" w:themeShade="BF"/>
          <w:sz w:val="22"/>
          <w:szCs w:val="22"/>
          <w:lang w:val="en-GB"/>
        </w:rPr>
        <w:t xml:space="preserve">suppliers of such services generally cannot rely on insolvency-related terms in contracts of supply </w:t>
      </w:r>
      <w:r w:rsidR="00870E0C">
        <w:rPr>
          <w:rFonts w:ascii="Avenir Next" w:hAnsi="Avenir Next" w:cs="Arial"/>
          <w:color w:val="7B7B7B" w:themeColor="accent3" w:themeShade="BF"/>
          <w:sz w:val="22"/>
          <w:szCs w:val="22"/>
          <w:lang w:val="en-GB"/>
        </w:rPr>
        <w:t xml:space="preserve">that would have entitled the supplier to terminate the supply, alter the terms relating to the supply, or compel higher payments for </w:t>
      </w:r>
      <w:r w:rsidR="0094280F">
        <w:rPr>
          <w:rFonts w:ascii="Avenir Next" w:hAnsi="Avenir Next" w:cs="Arial"/>
          <w:color w:val="7B7B7B" w:themeColor="accent3" w:themeShade="BF"/>
          <w:sz w:val="22"/>
          <w:szCs w:val="22"/>
          <w:lang w:val="en-GB"/>
        </w:rPr>
        <w:t xml:space="preserve">continuing to provide supply. </w:t>
      </w:r>
      <w:r w:rsidR="00C74153">
        <w:rPr>
          <w:rFonts w:ascii="Avenir Next" w:hAnsi="Avenir Next" w:cs="Arial"/>
          <w:color w:val="7B7B7B" w:themeColor="accent3" w:themeShade="BF"/>
          <w:sz w:val="22"/>
          <w:szCs w:val="22"/>
          <w:lang w:val="en-GB"/>
        </w:rPr>
        <w:t>These protections have been expanded by s 233B</w:t>
      </w:r>
      <w:r w:rsidR="003D5363">
        <w:rPr>
          <w:rFonts w:ascii="Avenir Next" w:hAnsi="Avenir Next" w:cs="Arial"/>
          <w:color w:val="7B7B7B" w:themeColor="accent3" w:themeShade="BF"/>
          <w:sz w:val="22"/>
          <w:szCs w:val="22"/>
          <w:lang w:val="en-GB"/>
        </w:rPr>
        <w:t xml:space="preserve"> which prohibits clauses allowing the supplier of goods of services to terminate or to “do any other thing” relating to such a contract if the company enters into formal insolvency procedures. </w:t>
      </w:r>
    </w:p>
    <w:p w14:paraId="35581635" w14:textId="77777777" w:rsidR="005A0D83" w:rsidRDefault="005A0D83" w:rsidP="00197F24">
      <w:pPr>
        <w:jc w:val="both"/>
        <w:rPr>
          <w:rFonts w:ascii="Avenir Next" w:hAnsi="Avenir Next" w:cs="Arial"/>
          <w:color w:val="7B7B7B" w:themeColor="accent3" w:themeShade="BF"/>
          <w:sz w:val="22"/>
          <w:szCs w:val="22"/>
          <w:lang w:val="en-GB"/>
        </w:rPr>
      </w:pPr>
    </w:p>
    <w:p w14:paraId="5CBA08CB" w14:textId="69C27277" w:rsidR="005A0D83" w:rsidRDefault="005A0D8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Essentially, the administrator can rely on s 233B to prevent suppliers from terminating the supply </w:t>
      </w:r>
      <w:r w:rsidR="0014698C">
        <w:rPr>
          <w:rFonts w:ascii="Avenir Next" w:hAnsi="Avenir Next" w:cs="Arial"/>
          <w:color w:val="7B7B7B" w:themeColor="accent3" w:themeShade="BF"/>
          <w:sz w:val="22"/>
          <w:szCs w:val="22"/>
          <w:lang w:val="en-GB"/>
        </w:rPr>
        <w:t xml:space="preserve">of needed goods and services upon </w:t>
      </w:r>
      <w:r w:rsidR="00FD30F5">
        <w:rPr>
          <w:rFonts w:ascii="Avenir Next" w:hAnsi="Avenir Next" w:cs="Arial"/>
          <w:color w:val="7B7B7B" w:themeColor="accent3" w:themeShade="BF"/>
          <w:sz w:val="22"/>
          <w:szCs w:val="22"/>
          <w:lang w:val="en-GB"/>
        </w:rPr>
        <w:t xml:space="preserve">the company entering into administration, </w:t>
      </w:r>
      <w:r w:rsidR="0080450B">
        <w:rPr>
          <w:rFonts w:ascii="Avenir Next" w:hAnsi="Avenir Next" w:cs="Arial"/>
          <w:color w:val="7B7B7B" w:themeColor="accent3" w:themeShade="BF"/>
          <w:sz w:val="22"/>
          <w:szCs w:val="22"/>
          <w:lang w:val="en-GB"/>
        </w:rPr>
        <w:t>and</w:t>
      </w:r>
      <w:r w:rsidR="00FD30F5">
        <w:rPr>
          <w:rFonts w:ascii="Avenir Next" w:hAnsi="Avenir Next" w:cs="Arial"/>
          <w:color w:val="7B7B7B" w:themeColor="accent3" w:themeShade="BF"/>
          <w:sz w:val="22"/>
          <w:szCs w:val="22"/>
          <w:lang w:val="en-GB"/>
        </w:rPr>
        <w:t xml:space="preserve"> also </w:t>
      </w:r>
      <w:r w:rsidR="00A47764">
        <w:rPr>
          <w:rFonts w:ascii="Avenir Next" w:hAnsi="Avenir Next" w:cs="Arial"/>
          <w:color w:val="7B7B7B" w:themeColor="accent3" w:themeShade="BF"/>
          <w:sz w:val="22"/>
          <w:szCs w:val="22"/>
          <w:lang w:val="en-GB"/>
        </w:rPr>
        <w:t>to prevent</w:t>
      </w:r>
      <w:r w:rsidR="00FD30F5">
        <w:rPr>
          <w:rFonts w:ascii="Avenir Next" w:hAnsi="Avenir Next" w:cs="Arial"/>
          <w:color w:val="7B7B7B" w:themeColor="accent3" w:themeShade="BF"/>
          <w:sz w:val="22"/>
          <w:szCs w:val="22"/>
          <w:lang w:val="en-GB"/>
        </w:rPr>
        <w:t xml:space="preserve"> the suppliers from making demands </w:t>
      </w:r>
      <w:r w:rsidR="00E44757">
        <w:rPr>
          <w:rFonts w:ascii="Avenir Next" w:hAnsi="Avenir Next" w:cs="Arial"/>
          <w:color w:val="7B7B7B" w:themeColor="accent3" w:themeShade="BF"/>
          <w:sz w:val="22"/>
          <w:szCs w:val="22"/>
          <w:lang w:val="en-GB"/>
        </w:rPr>
        <w:t>for arrears to be paid and for other changes to be made to the contract</w:t>
      </w:r>
      <w:r w:rsidR="00F22C3C">
        <w:rPr>
          <w:rFonts w:ascii="Avenir Next" w:hAnsi="Avenir Next" w:cs="Arial"/>
          <w:color w:val="7B7B7B" w:themeColor="accent3" w:themeShade="BF"/>
          <w:sz w:val="22"/>
          <w:szCs w:val="22"/>
          <w:lang w:val="en-GB"/>
        </w:rPr>
        <w:t>, in order for the administrator to secure continued supply. It is important to note that under s 233B, suppliers cannot insist on personal guarantees from the administrator (c.f. s 233).</w:t>
      </w:r>
    </w:p>
    <w:p w14:paraId="1B05843A" w14:textId="77777777" w:rsidR="0016155E" w:rsidRDefault="0016155E" w:rsidP="00197F24">
      <w:pPr>
        <w:jc w:val="both"/>
        <w:rPr>
          <w:rFonts w:ascii="Avenir Next" w:hAnsi="Avenir Next" w:cs="Arial"/>
          <w:color w:val="7B7B7B" w:themeColor="accent3" w:themeShade="BF"/>
          <w:sz w:val="22"/>
          <w:szCs w:val="22"/>
          <w:lang w:val="en-GB"/>
        </w:rPr>
      </w:pPr>
    </w:p>
    <w:p w14:paraId="64D840E8" w14:textId="6E697511" w:rsidR="0016155E" w:rsidRDefault="0016155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Importantly, s 233B further extends these restrictions on termination to all other suppliers</w:t>
      </w:r>
      <w:r w:rsidR="005914D8">
        <w:rPr>
          <w:rFonts w:ascii="Avenir Next" w:hAnsi="Avenir Next" w:cs="Arial"/>
          <w:color w:val="7B7B7B" w:themeColor="accent3" w:themeShade="BF"/>
          <w:sz w:val="22"/>
          <w:szCs w:val="22"/>
          <w:lang w:val="en-GB"/>
        </w:rPr>
        <w:t>, that are not caught under s 233 (</w:t>
      </w:r>
      <w:r>
        <w:rPr>
          <w:rFonts w:ascii="Avenir Next" w:hAnsi="Avenir Next" w:cs="Arial"/>
          <w:color w:val="7B7B7B" w:themeColor="accent3" w:themeShade="BF"/>
          <w:sz w:val="22"/>
          <w:szCs w:val="22"/>
          <w:lang w:val="en-GB"/>
        </w:rPr>
        <w:t>with some exceptions)</w:t>
      </w:r>
      <w:r w:rsidR="005914D8">
        <w:rPr>
          <w:rFonts w:ascii="Avenir Next" w:hAnsi="Avenir Next" w:cs="Arial"/>
          <w:color w:val="7B7B7B" w:themeColor="accent3" w:themeShade="BF"/>
          <w:sz w:val="22"/>
          <w:szCs w:val="22"/>
          <w:lang w:val="en-GB"/>
        </w:rPr>
        <w:t>.</w:t>
      </w:r>
    </w:p>
    <w:p w14:paraId="6356C503" w14:textId="77777777" w:rsidR="00BC3504" w:rsidRDefault="00BC3504" w:rsidP="00197F24">
      <w:pPr>
        <w:jc w:val="both"/>
        <w:rPr>
          <w:rFonts w:ascii="Avenir Next" w:hAnsi="Avenir Next" w:cs="Arial"/>
          <w:color w:val="7B7B7B" w:themeColor="accent3" w:themeShade="BF"/>
          <w:sz w:val="22"/>
          <w:szCs w:val="22"/>
          <w:lang w:val="en-GB"/>
        </w:rPr>
      </w:pPr>
    </w:p>
    <w:p w14:paraId="7400EC8F" w14:textId="19320741" w:rsidR="00BC3504" w:rsidRPr="00197F24" w:rsidRDefault="00BC350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it must be noted that a contract may still be terminated </w:t>
      </w:r>
      <w:r w:rsidR="001E68BC">
        <w:rPr>
          <w:rFonts w:ascii="Avenir Next" w:hAnsi="Avenir Next" w:cs="Arial"/>
          <w:color w:val="7B7B7B" w:themeColor="accent3" w:themeShade="BF"/>
          <w:sz w:val="22"/>
          <w:szCs w:val="22"/>
          <w:lang w:val="en-GB"/>
        </w:rPr>
        <w:t xml:space="preserve">by a supplier under s 233B, in a situation where the company or the administrator consents to such termination, or </w:t>
      </w:r>
      <w:r w:rsidR="00C66769">
        <w:rPr>
          <w:rFonts w:ascii="Avenir Next" w:hAnsi="Avenir Next" w:cs="Arial"/>
          <w:color w:val="7B7B7B" w:themeColor="accent3" w:themeShade="BF"/>
          <w:sz w:val="22"/>
          <w:szCs w:val="22"/>
          <w:lang w:val="en-GB"/>
        </w:rPr>
        <w:t>on successful application to the court, if the court is satisfied that the continuation of the contract by the supplier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0ED424EA" w:rsidR="00197F24" w:rsidRDefault="00B2077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922FD7">
        <w:rPr>
          <w:rFonts w:ascii="Avenir Next" w:hAnsi="Avenir Next" w:cs="Arial"/>
          <w:color w:val="7B7B7B" w:themeColor="accent3" w:themeShade="BF"/>
          <w:sz w:val="22"/>
          <w:szCs w:val="22"/>
          <w:lang w:val="en-GB"/>
        </w:rPr>
        <w:t>s a start, the holders of f</w:t>
      </w:r>
      <w:r w:rsidR="00C734B0">
        <w:rPr>
          <w:rFonts w:ascii="Avenir Next" w:hAnsi="Avenir Next" w:cs="Arial"/>
          <w:color w:val="7B7B7B" w:themeColor="accent3" w:themeShade="BF"/>
          <w:sz w:val="22"/>
          <w:szCs w:val="22"/>
          <w:lang w:val="en-GB"/>
        </w:rPr>
        <w:t>ixed security</w:t>
      </w:r>
      <w:r w:rsidR="00DC25EF">
        <w:rPr>
          <w:rFonts w:ascii="Avenir Next" w:hAnsi="Avenir Next" w:cs="Arial"/>
          <w:color w:val="7B7B7B" w:themeColor="accent3" w:themeShade="BF"/>
          <w:sz w:val="22"/>
          <w:szCs w:val="22"/>
          <w:lang w:val="en-GB"/>
        </w:rPr>
        <w:t xml:space="preserve"> (or fixed charges)</w:t>
      </w:r>
      <w:r>
        <w:rPr>
          <w:rFonts w:ascii="Avenir Next" w:hAnsi="Avenir Next" w:cs="Arial"/>
          <w:color w:val="7B7B7B" w:themeColor="accent3" w:themeShade="BF"/>
          <w:sz w:val="22"/>
          <w:szCs w:val="22"/>
          <w:lang w:val="en-GB"/>
        </w:rPr>
        <w:t xml:space="preserve"> such as mortgages</w:t>
      </w:r>
      <w:r w:rsidR="00C734B0">
        <w:rPr>
          <w:rFonts w:ascii="Avenir Next" w:hAnsi="Avenir Next" w:cs="Arial"/>
          <w:color w:val="7B7B7B" w:themeColor="accent3" w:themeShade="BF"/>
          <w:sz w:val="22"/>
          <w:szCs w:val="22"/>
          <w:lang w:val="en-GB"/>
        </w:rPr>
        <w:t xml:space="preserve"> will usually enforce their security outside any formal insolvency. </w:t>
      </w:r>
      <w:r w:rsidR="00A5235C">
        <w:rPr>
          <w:rFonts w:ascii="Avenir Next" w:hAnsi="Avenir Next" w:cs="Arial"/>
          <w:color w:val="7B7B7B" w:themeColor="accent3" w:themeShade="BF"/>
          <w:sz w:val="22"/>
          <w:szCs w:val="22"/>
          <w:lang w:val="en-GB"/>
        </w:rPr>
        <w:t xml:space="preserve">The </w:t>
      </w:r>
      <w:r w:rsidR="00922FD7">
        <w:rPr>
          <w:rFonts w:ascii="Avenir Next" w:hAnsi="Avenir Next" w:cs="Arial"/>
          <w:color w:val="7B7B7B" w:themeColor="accent3" w:themeShade="BF"/>
          <w:sz w:val="22"/>
          <w:szCs w:val="22"/>
          <w:lang w:val="en-GB"/>
        </w:rPr>
        <w:t xml:space="preserve">liquidator can only realise assets which belong to the company. </w:t>
      </w:r>
      <w:r w:rsidR="00334E7E">
        <w:rPr>
          <w:rFonts w:ascii="Avenir Next" w:hAnsi="Avenir Next" w:cs="Arial"/>
          <w:color w:val="7B7B7B" w:themeColor="accent3" w:themeShade="BF"/>
          <w:sz w:val="22"/>
          <w:szCs w:val="22"/>
          <w:lang w:val="en-GB"/>
        </w:rPr>
        <w:t>For instance, i</w:t>
      </w:r>
      <w:r w:rsidR="007337AB">
        <w:rPr>
          <w:rFonts w:ascii="Avenir Next" w:hAnsi="Avenir Next" w:cs="Arial"/>
          <w:color w:val="7B7B7B" w:themeColor="accent3" w:themeShade="BF"/>
          <w:sz w:val="22"/>
          <w:szCs w:val="22"/>
          <w:lang w:val="en-GB"/>
        </w:rPr>
        <w:t>n cases</w:t>
      </w:r>
      <w:r w:rsidR="007B137E">
        <w:rPr>
          <w:rFonts w:ascii="Avenir Next" w:hAnsi="Avenir Next" w:cs="Arial"/>
          <w:color w:val="7B7B7B" w:themeColor="accent3" w:themeShade="BF"/>
          <w:sz w:val="22"/>
          <w:szCs w:val="22"/>
          <w:lang w:val="en-GB"/>
        </w:rPr>
        <w:t xml:space="preserve"> of assets that are subjected to hire purchase, or if the contracts have provided for the retention of title, the liquidator would have no rights against such asse</w:t>
      </w:r>
      <w:r w:rsidR="006230C6">
        <w:rPr>
          <w:rFonts w:ascii="Avenir Next" w:hAnsi="Avenir Next" w:cs="Arial"/>
          <w:color w:val="7B7B7B" w:themeColor="accent3" w:themeShade="BF"/>
          <w:sz w:val="22"/>
          <w:szCs w:val="22"/>
          <w:lang w:val="en-GB"/>
        </w:rPr>
        <w:t>ts.</w:t>
      </w:r>
      <w:r w:rsidR="009B6392">
        <w:rPr>
          <w:rFonts w:ascii="Avenir Next" w:hAnsi="Avenir Next" w:cs="Arial"/>
          <w:color w:val="7B7B7B" w:themeColor="accent3" w:themeShade="BF"/>
          <w:sz w:val="22"/>
          <w:szCs w:val="22"/>
          <w:lang w:val="en-GB"/>
        </w:rPr>
        <w:t xml:space="preserve"> As such, in substance, holders of fixed security have the highest priority of payments in a liquidation. </w:t>
      </w:r>
    </w:p>
    <w:p w14:paraId="2024BFDB" w14:textId="77777777" w:rsidR="001F7074" w:rsidRDefault="001F7074" w:rsidP="00197F24">
      <w:pPr>
        <w:jc w:val="both"/>
        <w:rPr>
          <w:rFonts w:ascii="Avenir Next" w:hAnsi="Avenir Next" w:cs="Arial"/>
          <w:color w:val="7B7B7B" w:themeColor="accent3" w:themeShade="BF"/>
          <w:sz w:val="22"/>
          <w:szCs w:val="22"/>
          <w:lang w:val="en-GB"/>
        </w:rPr>
      </w:pPr>
    </w:p>
    <w:p w14:paraId="1B57D143" w14:textId="0E70F796" w:rsidR="001F7074" w:rsidRDefault="001F707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Next comes the statutory order for the priority of payments in a liquidation. </w:t>
      </w:r>
      <w:r w:rsidR="00CE2C50">
        <w:rPr>
          <w:rFonts w:ascii="Avenir Next" w:hAnsi="Avenir Next" w:cs="Arial"/>
          <w:color w:val="7B7B7B" w:themeColor="accent3" w:themeShade="BF"/>
          <w:sz w:val="22"/>
          <w:szCs w:val="22"/>
          <w:lang w:val="en-GB"/>
        </w:rPr>
        <w:t>Without accounting for the Moratorium debts (</w:t>
      </w:r>
      <w:r w:rsidR="00016667">
        <w:rPr>
          <w:rFonts w:ascii="Avenir Next" w:hAnsi="Avenir Next" w:cs="Arial"/>
          <w:color w:val="7B7B7B" w:themeColor="accent3" w:themeShade="BF"/>
          <w:sz w:val="22"/>
          <w:szCs w:val="22"/>
          <w:lang w:val="en-GB"/>
        </w:rPr>
        <w:t>found under s 174A Insolvency Act 1986 and dealt with later)</w:t>
      </w:r>
      <w:r w:rsidR="000A73D6">
        <w:rPr>
          <w:rFonts w:ascii="Avenir Next" w:hAnsi="Avenir Next" w:cs="Arial"/>
          <w:color w:val="7B7B7B" w:themeColor="accent3" w:themeShade="BF"/>
          <w:sz w:val="22"/>
          <w:szCs w:val="22"/>
          <w:lang w:val="en-GB"/>
        </w:rPr>
        <w:t xml:space="preserve">, the expenses of </w:t>
      </w:r>
      <w:r w:rsidR="00B63420">
        <w:rPr>
          <w:rFonts w:ascii="Avenir Next" w:hAnsi="Avenir Next" w:cs="Arial"/>
          <w:color w:val="7B7B7B" w:themeColor="accent3" w:themeShade="BF"/>
          <w:sz w:val="22"/>
          <w:szCs w:val="22"/>
          <w:lang w:val="en-GB"/>
        </w:rPr>
        <w:t xml:space="preserve">the </w:t>
      </w:r>
      <w:r w:rsidR="000A73D6">
        <w:rPr>
          <w:rFonts w:ascii="Avenir Next" w:hAnsi="Avenir Next" w:cs="Arial"/>
          <w:color w:val="7B7B7B" w:themeColor="accent3" w:themeShade="BF"/>
          <w:sz w:val="22"/>
          <w:szCs w:val="22"/>
          <w:lang w:val="en-GB"/>
        </w:rPr>
        <w:t>winding up, including remuneration for the liquidator, has highest priority</w:t>
      </w:r>
      <w:r w:rsidR="00B63420">
        <w:rPr>
          <w:rFonts w:ascii="Avenir Next" w:hAnsi="Avenir Next" w:cs="Arial"/>
          <w:color w:val="7B7B7B" w:themeColor="accent3" w:themeShade="BF"/>
          <w:sz w:val="22"/>
          <w:szCs w:val="22"/>
          <w:lang w:val="en-GB"/>
        </w:rPr>
        <w:t xml:space="preserve">, pursuant to s 115. </w:t>
      </w:r>
      <w:r w:rsidR="009A27D9">
        <w:rPr>
          <w:rFonts w:ascii="Avenir Next" w:hAnsi="Avenir Next" w:cs="Arial"/>
          <w:color w:val="7B7B7B" w:themeColor="accent3" w:themeShade="BF"/>
          <w:sz w:val="22"/>
          <w:szCs w:val="22"/>
          <w:lang w:val="en-GB"/>
        </w:rPr>
        <w:t xml:space="preserve">Some of the main winding-up expenses </w:t>
      </w:r>
      <w:r w:rsidR="00340E56">
        <w:rPr>
          <w:rFonts w:ascii="Avenir Next" w:hAnsi="Avenir Next" w:cs="Arial"/>
          <w:color w:val="7B7B7B" w:themeColor="accent3" w:themeShade="BF"/>
          <w:sz w:val="22"/>
          <w:szCs w:val="22"/>
          <w:lang w:val="en-GB"/>
        </w:rPr>
        <w:t xml:space="preserve">(in order of priority) include: (a) expenses incurred by liquidator in preserving, realising or getting in any assets of the company; (b) cost of security provided by liquidator; (c) </w:t>
      </w:r>
      <w:r w:rsidR="00975E5E">
        <w:rPr>
          <w:rFonts w:ascii="Avenir Next" w:hAnsi="Avenir Next" w:cs="Arial"/>
          <w:color w:val="7B7B7B" w:themeColor="accent3" w:themeShade="BF"/>
          <w:sz w:val="22"/>
          <w:szCs w:val="22"/>
          <w:lang w:val="en-GB"/>
        </w:rPr>
        <w:t xml:space="preserve">amounts payable to persons who have assisted in preparation of statement of affairs or accounts; (d) any necessary disbursements by liquidator; (e) </w:t>
      </w:r>
      <w:r w:rsidR="00BF7704">
        <w:rPr>
          <w:rFonts w:ascii="Avenir Next" w:hAnsi="Avenir Next" w:cs="Arial"/>
          <w:color w:val="7B7B7B" w:themeColor="accent3" w:themeShade="BF"/>
          <w:sz w:val="22"/>
          <w:szCs w:val="22"/>
          <w:lang w:val="en-GB"/>
        </w:rPr>
        <w:t>remuneration of persons employed by liquidator to perform services for company; (f) remuneration of the liquidator</w:t>
      </w:r>
      <w:r w:rsidR="00356FE0">
        <w:rPr>
          <w:rFonts w:ascii="Avenir Next" w:hAnsi="Avenir Next" w:cs="Arial"/>
          <w:color w:val="7B7B7B" w:themeColor="accent3" w:themeShade="BF"/>
          <w:sz w:val="22"/>
          <w:szCs w:val="22"/>
          <w:lang w:val="en-GB"/>
        </w:rPr>
        <w:t xml:space="preserve">; (g) corporation tax on chargeable gains resulting from the realisation of company assets; and (h) any other expenses properly chargeable by the liquidator in performing the winding-up. </w:t>
      </w:r>
    </w:p>
    <w:p w14:paraId="6272F541" w14:textId="77777777" w:rsidR="003B22B7" w:rsidRDefault="003B22B7" w:rsidP="00197F24">
      <w:pPr>
        <w:jc w:val="both"/>
        <w:rPr>
          <w:rFonts w:ascii="Avenir Next" w:hAnsi="Avenir Next" w:cs="Arial"/>
          <w:color w:val="7B7B7B" w:themeColor="accent3" w:themeShade="BF"/>
          <w:sz w:val="22"/>
          <w:szCs w:val="22"/>
          <w:lang w:val="en-GB"/>
        </w:rPr>
      </w:pPr>
    </w:p>
    <w:p w14:paraId="4738D9C3" w14:textId="27074240" w:rsidR="003B22B7" w:rsidRDefault="00846F6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that comes the preferential creditors, as per ss 386, 387 and </w:t>
      </w:r>
      <w:r w:rsidR="008B3908">
        <w:rPr>
          <w:rFonts w:ascii="Avenir Next" w:hAnsi="Avenir Next" w:cs="Arial"/>
          <w:color w:val="7B7B7B" w:themeColor="accent3" w:themeShade="BF"/>
          <w:sz w:val="22"/>
          <w:szCs w:val="22"/>
          <w:lang w:val="en-GB"/>
        </w:rPr>
        <w:t xml:space="preserve">Schedule 6. </w:t>
      </w:r>
      <w:r w:rsidR="00FC52A7">
        <w:rPr>
          <w:rFonts w:ascii="Avenir Next" w:hAnsi="Avenir Next" w:cs="Arial"/>
          <w:color w:val="7B7B7B" w:themeColor="accent3" w:themeShade="BF"/>
          <w:sz w:val="22"/>
          <w:szCs w:val="22"/>
          <w:lang w:val="en-GB"/>
        </w:rPr>
        <w:t xml:space="preserve">Pertinently, liquidators must act in accordance with the preferential debt regime and follow the priority of preferential creditors. </w:t>
      </w:r>
      <w:r w:rsidR="00F42DB6">
        <w:rPr>
          <w:rFonts w:ascii="Avenir Next" w:hAnsi="Avenir Next" w:cs="Arial"/>
          <w:color w:val="7B7B7B" w:themeColor="accent3" w:themeShade="BF"/>
          <w:sz w:val="22"/>
          <w:szCs w:val="22"/>
          <w:lang w:val="en-GB"/>
        </w:rPr>
        <w:t xml:space="preserve">Preferential debts </w:t>
      </w:r>
      <w:r w:rsidR="0082105F">
        <w:rPr>
          <w:rFonts w:ascii="Avenir Next" w:hAnsi="Avenir Next" w:cs="Arial"/>
          <w:color w:val="7B7B7B" w:themeColor="accent3" w:themeShade="BF"/>
          <w:sz w:val="22"/>
          <w:szCs w:val="22"/>
          <w:lang w:val="en-GB"/>
        </w:rPr>
        <w:t xml:space="preserve">are further subdivided in two classes, ordinary and secondary. Ordinary preferential debt ranks ahead of secondary preferential debts. For preferential debts within their respective classes, </w:t>
      </w:r>
      <w:r w:rsidR="00AF20EF">
        <w:rPr>
          <w:rFonts w:ascii="Avenir Next" w:hAnsi="Avenir Next" w:cs="Arial"/>
          <w:color w:val="7B7B7B" w:themeColor="accent3" w:themeShade="BF"/>
          <w:sz w:val="22"/>
          <w:szCs w:val="22"/>
          <w:lang w:val="en-GB"/>
        </w:rPr>
        <w:t xml:space="preserve">they rank equally and are paid in equal proportion should the company’s assets not be sufficient to pay them all. </w:t>
      </w:r>
      <w:r w:rsidR="00486963">
        <w:rPr>
          <w:rFonts w:ascii="Avenir Next" w:hAnsi="Avenir Next" w:cs="Arial"/>
          <w:color w:val="7B7B7B" w:themeColor="accent3" w:themeShade="BF"/>
          <w:sz w:val="22"/>
          <w:szCs w:val="22"/>
          <w:lang w:val="en-GB"/>
        </w:rPr>
        <w:t>Sche</w:t>
      </w:r>
      <w:r w:rsidR="00FE626E">
        <w:rPr>
          <w:rFonts w:ascii="Avenir Next" w:hAnsi="Avenir Next" w:cs="Arial"/>
          <w:color w:val="7B7B7B" w:themeColor="accent3" w:themeShade="BF"/>
          <w:sz w:val="22"/>
          <w:szCs w:val="22"/>
          <w:lang w:val="en-GB"/>
        </w:rPr>
        <w:t xml:space="preserve">dule 6 provides for the following preferential debts: (1) </w:t>
      </w:r>
      <w:r w:rsidR="002F34A6">
        <w:rPr>
          <w:rFonts w:ascii="Avenir Next" w:hAnsi="Avenir Next" w:cs="Arial"/>
          <w:color w:val="7B7B7B" w:themeColor="accent3" w:themeShade="BF"/>
          <w:sz w:val="22"/>
          <w:szCs w:val="22"/>
          <w:lang w:val="en-GB"/>
        </w:rPr>
        <w:t xml:space="preserve">sum owed on an employee’s contribution to an occupational pension scheme </w:t>
      </w:r>
      <w:r w:rsidR="001F2E0D">
        <w:rPr>
          <w:rFonts w:ascii="Avenir Next" w:hAnsi="Avenir Next" w:cs="Arial"/>
          <w:color w:val="7B7B7B" w:themeColor="accent3" w:themeShade="BF"/>
          <w:sz w:val="22"/>
          <w:szCs w:val="22"/>
          <w:lang w:val="en-GB"/>
        </w:rPr>
        <w:t xml:space="preserve">(contributions deducted from earnings of the company’s employees for a period of 4 months prior to commencement of winding up); (2) sum owed </w:t>
      </w:r>
      <w:r w:rsidR="00250CE3">
        <w:rPr>
          <w:rFonts w:ascii="Avenir Next" w:hAnsi="Avenir Next" w:cs="Arial"/>
          <w:color w:val="7B7B7B" w:themeColor="accent3" w:themeShade="BF"/>
          <w:sz w:val="22"/>
          <w:szCs w:val="22"/>
          <w:lang w:val="en-GB"/>
        </w:rPr>
        <w:t xml:space="preserve">on an employer’s contribution to an occupational pension scheme in the period of 12 months before the relevant date; (3) </w:t>
      </w:r>
      <w:r w:rsidR="007A73D5">
        <w:rPr>
          <w:rFonts w:ascii="Avenir Next" w:hAnsi="Avenir Next" w:cs="Arial"/>
          <w:color w:val="7B7B7B" w:themeColor="accent3" w:themeShade="BF"/>
          <w:sz w:val="22"/>
          <w:szCs w:val="22"/>
          <w:lang w:val="en-GB"/>
        </w:rPr>
        <w:t xml:space="preserve">remuneration owed by the company to an employee, </w:t>
      </w:r>
      <w:r w:rsidR="00516E05">
        <w:rPr>
          <w:rFonts w:ascii="Avenir Next" w:hAnsi="Avenir Next" w:cs="Arial"/>
          <w:color w:val="7B7B7B" w:themeColor="accent3" w:themeShade="BF"/>
          <w:sz w:val="22"/>
          <w:szCs w:val="22"/>
          <w:lang w:val="en-GB"/>
        </w:rPr>
        <w:t xml:space="preserve">up to a period of 4 months prior to commencement of winding up, </w:t>
      </w:r>
      <w:r w:rsidR="007A73D5">
        <w:rPr>
          <w:rFonts w:ascii="Avenir Next" w:hAnsi="Avenir Next" w:cs="Arial"/>
          <w:color w:val="7B7B7B" w:themeColor="accent3" w:themeShade="BF"/>
          <w:sz w:val="22"/>
          <w:szCs w:val="22"/>
          <w:lang w:val="en-GB"/>
        </w:rPr>
        <w:t>capped at GBP 800; (4)</w:t>
      </w:r>
      <w:r w:rsidR="00CA5069">
        <w:rPr>
          <w:rFonts w:ascii="Avenir Next" w:hAnsi="Avenir Next" w:cs="Arial"/>
          <w:color w:val="7B7B7B" w:themeColor="accent3" w:themeShade="BF"/>
          <w:sz w:val="22"/>
          <w:szCs w:val="22"/>
          <w:lang w:val="en-GB"/>
        </w:rPr>
        <w:t xml:space="preserve"> amounts owed by company by way of accrued holiday remuneration; (5) </w:t>
      </w:r>
      <w:r w:rsidR="002A5C1F">
        <w:rPr>
          <w:rFonts w:ascii="Avenir Next" w:hAnsi="Avenir Next" w:cs="Arial"/>
          <w:color w:val="7B7B7B" w:themeColor="accent3" w:themeShade="BF"/>
          <w:sz w:val="22"/>
          <w:szCs w:val="22"/>
          <w:lang w:val="en-GB"/>
        </w:rPr>
        <w:t xml:space="preserve">claims for monies advanced to pay wages or holiday remuneration; (6) </w:t>
      </w:r>
      <w:r w:rsidR="00467EBA">
        <w:rPr>
          <w:rFonts w:ascii="Avenir Next" w:hAnsi="Avenir Next" w:cs="Arial"/>
          <w:color w:val="7B7B7B" w:themeColor="accent3" w:themeShade="BF"/>
          <w:sz w:val="22"/>
          <w:szCs w:val="22"/>
          <w:lang w:val="en-GB"/>
        </w:rPr>
        <w:t xml:space="preserve">levies on the production of coal and steel; (7) </w:t>
      </w:r>
      <w:r w:rsidR="00456BA6">
        <w:rPr>
          <w:rFonts w:ascii="Avenir Next" w:hAnsi="Avenir Next" w:cs="Arial"/>
          <w:color w:val="7B7B7B" w:themeColor="accent3" w:themeShade="BF"/>
          <w:sz w:val="22"/>
          <w:szCs w:val="22"/>
          <w:lang w:val="en-GB"/>
        </w:rPr>
        <w:t xml:space="preserve">claims for sums the company is ordered to pay under the Reserve Forces (Safeguard of Employment) Act 1985; (8) </w:t>
      </w:r>
      <w:r w:rsidR="00DE0AD9">
        <w:rPr>
          <w:rFonts w:ascii="Avenir Next" w:hAnsi="Avenir Next" w:cs="Arial"/>
          <w:color w:val="7B7B7B" w:themeColor="accent3" w:themeShade="BF"/>
          <w:sz w:val="22"/>
          <w:szCs w:val="22"/>
          <w:lang w:val="en-GB"/>
        </w:rPr>
        <w:t xml:space="preserve">sums owed by company in respect of an eligible deposit that does not exceed compensation payable </w:t>
      </w:r>
      <w:r w:rsidR="009A198E">
        <w:rPr>
          <w:rFonts w:ascii="Avenir Next" w:hAnsi="Avenir Next" w:cs="Arial"/>
          <w:color w:val="7B7B7B" w:themeColor="accent3" w:themeShade="BF"/>
          <w:sz w:val="22"/>
          <w:szCs w:val="22"/>
          <w:lang w:val="en-GB"/>
        </w:rPr>
        <w:t xml:space="preserve">under the Financial Services Compensation Scheme; (9) </w:t>
      </w:r>
      <w:r w:rsidR="008E102B">
        <w:rPr>
          <w:rFonts w:ascii="Avenir Next" w:hAnsi="Avenir Next" w:cs="Arial"/>
          <w:color w:val="7B7B7B" w:themeColor="accent3" w:themeShade="BF"/>
          <w:sz w:val="22"/>
          <w:szCs w:val="22"/>
          <w:lang w:val="en-GB"/>
        </w:rPr>
        <w:t xml:space="preserve">sums owed by the company in respect of eligible deposits that exceed any compensation payable </w:t>
      </w:r>
      <w:r w:rsidR="00884D26">
        <w:rPr>
          <w:rFonts w:ascii="Avenir Next" w:hAnsi="Avenir Next" w:cs="Arial"/>
          <w:color w:val="7B7B7B" w:themeColor="accent3" w:themeShade="BF"/>
          <w:sz w:val="22"/>
          <w:szCs w:val="22"/>
          <w:lang w:val="en-GB"/>
        </w:rPr>
        <w:t xml:space="preserve">under the Financial Services Compensation Scheme; (10) </w:t>
      </w:r>
      <w:r w:rsidR="0089248A">
        <w:rPr>
          <w:rFonts w:ascii="Avenir Next" w:hAnsi="Avenir Next" w:cs="Arial"/>
          <w:color w:val="7B7B7B" w:themeColor="accent3" w:themeShade="BF"/>
          <w:sz w:val="22"/>
          <w:szCs w:val="22"/>
          <w:lang w:val="en-GB"/>
        </w:rPr>
        <w:t xml:space="preserve">sums owed by the company in relation to deposits </w:t>
      </w:r>
      <w:r w:rsidR="008C07A9">
        <w:rPr>
          <w:rFonts w:ascii="Avenir Next" w:hAnsi="Avenir Next" w:cs="Arial"/>
          <w:color w:val="7B7B7B" w:themeColor="accent3" w:themeShade="BF"/>
          <w:sz w:val="22"/>
          <w:szCs w:val="22"/>
          <w:lang w:val="en-GB"/>
        </w:rPr>
        <w:t>made through a non-UK branch of a credit institution (with some other conditions); and (11)</w:t>
      </w:r>
      <w:r w:rsidR="007050CE">
        <w:rPr>
          <w:rFonts w:ascii="Avenir Next" w:hAnsi="Avenir Next" w:cs="Arial"/>
          <w:color w:val="7B7B7B" w:themeColor="accent3" w:themeShade="BF"/>
          <w:sz w:val="22"/>
          <w:szCs w:val="22"/>
          <w:lang w:val="en-GB"/>
        </w:rPr>
        <w:t xml:space="preserve"> student loan repayments, VAT payments, PAYE income tax deductions, national insurance deductions, and Construction Industry Scheme deductions. </w:t>
      </w:r>
      <w:r w:rsidR="00F95411">
        <w:rPr>
          <w:rFonts w:ascii="Avenir Next" w:hAnsi="Avenir Next" w:cs="Arial"/>
          <w:color w:val="7B7B7B" w:themeColor="accent3" w:themeShade="BF"/>
          <w:sz w:val="22"/>
          <w:szCs w:val="22"/>
          <w:lang w:val="en-GB"/>
        </w:rPr>
        <w:t>Items (9)-(11) are secondary preferential debts, and as such, are paid after the other or</w:t>
      </w:r>
      <w:r w:rsidR="00711FB1">
        <w:rPr>
          <w:rFonts w:ascii="Avenir Next" w:hAnsi="Avenir Next" w:cs="Arial"/>
          <w:color w:val="7B7B7B" w:themeColor="accent3" w:themeShade="BF"/>
          <w:sz w:val="22"/>
          <w:szCs w:val="22"/>
          <w:lang w:val="en-GB"/>
        </w:rPr>
        <w:t xml:space="preserve">dinary preferential debts listed above. </w:t>
      </w:r>
    </w:p>
    <w:p w14:paraId="5E70D06E" w14:textId="77777777" w:rsidR="00FC4370" w:rsidRDefault="00FC4370" w:rsidP="00197F24">
      <w:pPr>
        <w:jc w:val="both"/>
        <w:rPr>
          <w:rFonts w:ascii="Avenir Next" w:hAnsi="Avenir Next" w:cs="Arial"/>
          <w:color w:val="7B7B7B" w:themeColor="accent3" w:themeShade="BF"/>
          <w:sz w:val="22"/>
          <w:szCs w:val="22"/>
          <w:lang w:val="en-GB"/>
        </w:rPr>
      </w:pPr>
    </w:p>
    <w:p w14:paraId="7299F85A" w14:textId="1B53EC47" w:rsidR="00FC4370" w:rsidRDefault="00FC437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Next, </w:t>
      </w:r>
      <w:r w:rsidR="00AB6E72">
        <w:rPr>
          <w:rFonts w:ascii="Avenir Next" w:hAnsi="Avenir Next" w:cs="Arial"/>
          <w:color w:val="7B7B7B" w:themeColor="accent3" w:themeShade="BF"/>
          <w:sz w:val="22"/>
          <w:szCs w:val="22"/>
          <w:lang w:val="en-GB"/>
        </w:rPr>
        <w:t>after payment to the preferential debts have been made, the floating charge holder will be paid. In situations where there is more than one floating charge holder, priority is determined based on which floating charge is created fi</w:t>
      </w:r>
      <w:r w:rsidR="00D21D80">
        <w:rPr>
          <w:rFonts w:ascii="Avenir Next" w:hAnsi="Avenir Next" w:cs="Arial"/>
          <w:color w:val="7B7B7B" w:themeColor="accent3" w:themeShade="BF"/>
          <w:sz w:val="22"/>
          <w:szCs w:val="22"/>
          <w:lang w:val="en-GB"/>
        </w:rPr>
        <w:t xml:space="preserve">rst. </w:t>
      </w:r>
      <w:r w:rsidR="00696706">
        <w:rPr>
          <w:rFonts w:ascii="Avenir Next" w:hAnsi="Avenir Next" w:cs="Arial"/>
          <w:color w:val="7B7B7B" w:themeColor="accent3" w:themeShade="BF"/>
          <w:sz w:val="22"/>
          <w:szCs w:val="22"/>
          <w:lang w:val="en-GB"/>
        </w:rPr>
        <w:t xml:space="preserve">Importantly, before making distributions to the floating charge holders, pursuant to s 176A, the liquidator has to </w:t>
      </w:r>
      <w:r w:rsidR="00C73CE9">
        <w:rPr>
          <w:rFonts w:ascii="Avenir Next" w:hAnsi="Avenir Next" w:cs="Arial"/>
          <w:color w:val="7B7B7B" w:themeColor="accent3" w:themeShade="BF"/>
          <w:sz w:val="22"/>
          <w:szCs w:val="22"/>
          <w:lang w:val="en-GB"/>
        </w:rPr>
        <w:t xml:space="preserve">make a “prescribed part” of the company’s net property available to </w:t>
      </w:r>
      <w:r w:rsidR="00514FE3">
        <w:rPr>
          <w:rFonts w:ascii="Avenir Next" w:hAnsi="Avenir Next" w:cs="Arial"/>
          <w:color w:val="7B7B7B" w:themeColor="accent3" w:themeShade="BF"/>
          <w:sz w:val="22"/>
          <w:szCs w:val="22"/>
          <w:lang w:val="en-GB"/>
        </w:rPr>
        <w:t>pay unsecured debts. This part of the company’s assets cannot be distribut</w:t>
      </w:r>
      <w:r w:rsidR="000A7C2F">
        <w:rPr>
          <w:rFonts w:ascii="Avenir Next" w:hAnsi="Avenir Next" w:cs="Arial"/>
          <w:color w:val="7B7B7B" w:themeColor="accent3" w:themeShade="BF"/>
          <w:sz w:val="22"/>
          <w:szCs w:val="22"/>
          <w:lang w:val="en-GB"/>
        </w:rPr>
        <w:t>e</w:t>
      </w:r>
      <w:r w:rsidR="00514FE3">
        <w:rPr>
          <w:rFonts w:ascii="Avenir Next" w:hAnsi="Avenir Next" w:cs="Arial"/>
          <w:color w:val="7B7B7B" w:themeColor="accent3" w:themeShade="BF"/>
          <w:sz w:val="22"/>
          <w:szCs w:val="22"/>
          <w:lang w:val="en-GB"/>
        </w:rPr>
        <w:t xml:space="preserve">d to the floating charge holder, unless there is excess to the amount required to satisfy all the unsecured debts. </w:t>
      </w:r>
      <w:r w:rsidR="00D951BC">
        <w:rPr>
          <w:rFonts w:ascii="Avenir Next" w:hAnsi="Avenir Next" w:cs="Arial"/>
          <w:color w:val="7B7B7B" w:themeColor="accent3" w:themeShade="BF"/>
          <w:sz w:val="22"/>
          <w:szCs w:val="22"/>
          <w:lang w:val="en-GB"/>
        </w:rPr>
        <w:t xml:space="preserve">For the purposes of calculation, the net property available </w:t>
      </w:r>
      <w:r w:rsidR="009C73AD">
        <w:rPr>
          <w:rFonts w:ascii="Avenir Next" w:hAnsi="Avenir Next" w:cs="Arial"/>
          <w:color w:val="7B7B7B" w:themeColor="accent3" w:themeShade="BF"/>
          <w:sz w:val="22"/>
          <w:szCs w:val="22"/>
          <w:lang w:val="en-GB"/>
        </w:rPr>
        <w:t xml:space="preserve">is the amount of the company’s property which would otherwise have been available to pay the floating charge holders. This is calculated after the liquidation expenses </w:t>
      </w:r>
      <w:r w:rsidR="005506FE">
        <w:rPr>
          <w:rFonts w:ascii="Avenir Next" w:hAnsi="Avenir Next" w:cs="Arial"/>
          <w:color w:val="7B7B7B" w:themeColor="accent3" w:themeShade="BF"/>
          <w:sz w:val="22"/>
          <w:szCs w:val="22"/>
          <w:lang w:val="en-GB"/>
        </w:rPr>
        <w:t xml:space="preserve">and preferential debts have been paid off. </w:t>
      </w:r>
      <w:r w:rsidR="00591303">
        <w:rPr>
          <w:rFonts w:ascii="Avenir Next" w:hAnsi="Avenir Next" w:cs="Arial"/>
          <w:color w:val="7B7B7B" w:themeColor="accent3" w:themeShade="BF"/>
          <w:sz w:val="22"/>
          <w:szCs w:val="22"/>
          <w:lang w:val="en-GB"/>
        </w:rPr>
        <w:t xml:space="preserve">The prescribed part is 50% of the net property where the company’s net property does not exceed GBP 10,000. </w:t>
      </w:r>
      <w:r w:rsidR="002363C1">
        <w:rPr>
          <w:rFonts w:ascii="Avenir Next" w:hAnsi="Avenir Next" w:cs="Arial"/>
          <w:color w:val="7B7B7B" w:themeColor="accent3" w:themeShade="BF"/>
          <w:sz w:val="22"/>
          <w:szCs w:val="22"/>
          <w:lang w:val="en-GB"/>
        </w:rPr>
        <w:t>However, where the net property is less than GBP 10,000, or where the liquidator thinks that</w:t>
      </w:r>
      <w:r w:rsidR="008D764C">
        <w:rPr>
          <w:rFonts w:ascii="Avenir Next" w:hAnsi="Avenir Next" w:cs="Arial"/>
          <w:color w:val="7B7B7B" w:themeColor="accent3" w:themeShade="BF"/>
          <w:sz w:val="22"/>
          <w:szCs w:val="22"/>
          <w:lang w:val="en-GB"/>
        </w:rPr>
        <w:t xml:space="preserve"> the costs of</w:t>
      </w:r>
      <w:r w:rsidR="002363C1">
        <w:rPr>
          <w:rFonts w:ascii="Avenir Next" w:hAnsi="Avenir Next" w:cs="Arial"/>
          <w:color w:val="7B7B7B" w:themeColor="accent3" w:themeShade="BF"/>
          <w:sz w:val="22"/>
          <w:szCs w:val="22"/>
          <w:lang w:val="en-GB"/>
        </w:rPr>
        <w:t xml:space="preserve"> distribution to the unsecured creditors would be disproportionate to the benefits, </w:t>
      </w:r>
      <w:r w:rsidR="001A6855">
        <w:rPr>
          <w:rFonts w:ascii="Avenir Next" w:hAnsi="Avenir Next" w:cs="Arial"/>
          <w:color w:val="7B7B7B" w:themeColor="accent3" w:themeShade="BF"/>
          <w:sz w:val="22"/>
          <w:szCs w:val="22"/>
          <w:lang w:val="en-GB"/>
        </w:rPr>
        <w:t xml:space="preserve">then there is no duty to make distribution of the “prescribed part”. </w:t>
      </w:r>
      <w:r w:rsidR="000B6101">
        <w:rPr>
          <w:rFonts w:ascii="Avenir Next" w:hAnsi="Avenir Next" w:cs="Arial"/>
          <w:color w:val="7B7B7B" w:themeColor="accent3" w:themeShade="BF"/>
          <w:sz w:val="22"/>
          <w:szCs w:val="22"/>
          <w:lang w:val="en-GB"/>
        </w:rPr>
        <w:t xml:space="preserve">As for the situation where the company’s net property exceeds GBP 10,000, the “prescribed part” is </w:t>
      </w:r>
      <w:r w:rsidR="00BD6470">
        <w:rPr>
          <w:rFonts w:ascii="Avenir Next" w:hAnsi="Avenir Next" w:cs="Arial"/>
          <w:color w:val="7B7B7B" w:themeColor="accent3" w:themeShade="BF"/>
          <w:sz w:val="22"/>
          <w:szCs w:val="22"/>
          <w:lang w:val="en-GB"/>
        </w:rPr>
        <w:t xml:space="preserve">the total of 50% of the first GBP 10,000, plus 20% of the excess in value above GBP 10,000, with the maximum value of the “prescribed part” being GBP 800,000. </w:t>
      </w:r>
      <w:r w:rsidR="00FD2FD9">
        <w:rPr>
          <w:rFonts w:ascii="Avenir Next" w:hAnsi="Avenir Next" w:cs="Arial"/>
          <w:color w:val="7B7B7B" w:themeColor="accent3" w:themeShade="BF"/>
          <w:sz w:val="22"/>
          <w:szCs w:val="22"/>
          <w:lang w:val="en-GB"/>
        </w:rPr>
        <w:t>Note that the floating charge holder (or any secured creditor) who may have outstanding unsecured balances owing t</w:t>
      </w:r>
      <w:r w:rsidR="008A2D67">
        <w:rPr>
          <w:rFonts w:ascii="Avenir Next" w:hAnsi="Avenir Next" w:cs="Arial"/>
          <w:color w:val="7B7B7B" w:themeColor="accent3" w:themeShade="BF"/>
          <w:sz w:val="22"/>
          <w:szCs w:val="22"/>
          <w:lang w:val="en-GB"/>
        </w:rPr>
        <w:t xml:space="preserve">o them are not permitted to participate </w:t>
      </w:r>
      <w:r w:rsidR="005E29E0">
        <w:rPr>
          <w:rFonts w:ascii="Avenir Next" w:hAnsi="Avenir Next" w:cs="Arial"/>
          <w:color w:val="7B7B7B" w:themeColor="accent3" w:themeShade="BF"/>
          <w:sz w:val="22"/>
          <w:szCs w:val="22"/>
          <w:lang w:val="en-GB"/>
        </w:rPr>
        <w:t xml:space="preserve">in such a distribution. </w:t>
      </w:r>
    </w:p>
    <w:p w14:paraId="122F03F5" w14:textId="5DA02AA1" w:rsidR="00A32A9D" w:rsidRDefault="00A32A9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Next comes the unsecured creditors. These are creditors </w:t>
      </w:r>
      <w:r w:rsidR="00C93A34">
        <w:rPr>
          <w:rFonts w:ascii="Avenir Next" w:hAnsi="Avenir Next" w:cs="Arial"/>
          <w:color w:val="7B7B7B" w:themeColor="accent3" w:themeShade="BF"/>
          <w:sz w:val="22"/>
          <w:szCs w:val="22"/>
          <w:lang w:val="en-GB"/>
        </w:rPr>
        <w:t>that have no security</w:t>
      </w:r>
      <w:r w:rsidR="00784EDD">
        <w:rPr>
          <w:rFonts w:ascii="Avenir Next" w:hAnsi="Avenir Next" w:cs="Arial"/>
          <w:color w:val="7B7B7B" w:themeColor="accent3" w:themeShade="BF"/>
          <w:sz w:val="22"/>
          <w:szCs w:val="22"/>
          <w:lang w:val="en-GB"/>
        </w:rPr>
        <w:t xml:space="preserve">. </w:t>
      </w:r>
    </w:p>
    <w:p w14:paraId="0F7BF7BA" w14:textId="77777777" w:rsidR="001E3AB8" w:rsidRDefault="001E3AB8" w:rsidP="00197F24">
      <w:pPr>
        <w:jc w:val="both"/>
        <w:rPr>
          <w:rFonts w:ascii="Avenir Next" w:hAnsi="Avenir Next" w:cs="Arial"/>
          <w:color w:val="7B7B7B" w:themeColor="accent3" w:themeShade="BF"/>
          <w:sz w:val="22"/>
          <w:szCs w:val="22"/>
          <w:lang w:val="en-GB"/>
        </w:rPr>
      </w:pPr>
    </w:p>
    <w:p w14:paraId="77591C7E" w14:textId="15F06947" w:rsidR="001E3AB8" w:rsidRDefault="001E3AB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Ranking below the unsecured creditors are the shareholders. Assuming there are sufficient funds to pay all the creditors, the remaining funds are to be distributed to the shareholders pursuant to the Company’s constitution. </w:t>
      </w:r>
    </w:p>
    <w:p w14:paraId="1155877C" w14:textId="77777777" w:rsidR="000B413A" w:rsidRDefault="000B413A" w:rsidP="00197F24">
      <w:pPr>
        <w:jc w:val="both"/>
        <w:rPr>
          <w:rFonts w:ascii="Avenir Next" w:hAnsi="Avenir Next" w:cs="Arial"/>
          <w:color w:val="7B7B7B" w:themeColor="accent3" w:themeShade="BF"/>
          <w:sz w:val="22"/>
          <w:szCs w:val="22"/>
          <w:lang w:val="en-GB"/>
        </w:rPr>
      </w:pPr>
    </w:p>
    <w:p w14:paraId="12C3DB95" w14:textId="36B91203" w:rsidR="000B413A" w:rsidRDefault="000B413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the concept of subordination may be relevant as well to the priority of payments to creditors. </w:t>
      </w:r>
      <w:r w:rsidR="00424DAB">
        <w:rPr>
          <w:rFonts w:ascii="Avenir Next" w:hAnsi="Avenir Next" w:cs="Arial"/>
          <w:color w:val="7B7B7B" w:themeColor="accent3" w:themeShade="BF"/>
          <w:sz w:val="22"/>
          <w:szCs w:val="22"/>
          <w:lang w:val="en-GB"/>
        </w:rPr>
        <w:t xml:space="preserve">A subordination agreement is essentially an agreement between creditors to vary their priority, i.e. for one creditor to take priority over another. For instance, </w:t>
      </w:r>
      <w:r w:rsidR="007A7192">
        <w:rPr>
          <w:rFonts w:ascii="Avenir Next" w:hAnsi="Avenir Next" w:cs="Arial"/>
          <w:color w:val="7B7B7B" w:themeColor="accent3" w:themeShade="BF"/>
          <w:sz w:val="22"/>
          <w:szCs w:val="22"/>
          <w:lang w:val="en-GB"/>
        </w:rPr>
        <w:t xml:space="preserve">the </w:t>
      </w:r>
      <w:r w:rsidR="00A62021">
        <w:rPr>
          <w:rFonts w:ascii="Avenir Next" w:hAnsi="Avenir Next" w:cs="Arial"/>
          <w:color w:val="7B7B7B" w:themeColor="accent3" w:themeShade="BF"/>
          <w:sz w:val="22"/>
          <w:szCs w:val="22"/>
          <w:lang w:val="en-GB"/>
        </w:rPr>
        <w:t>highest-ranking</w:t>
      </w:r>
      <w:r w:rsidR="007A7192">
        <w:rPr>
          <w:rFonts w:ascii="Avenir Next" w:hAnsi="Avenir Next" w:cs="Arial"/>
          <w:color w:val="7B7B7B" w:themeColor="accent3" w:themeShade="BF"/>
          <w:sz w:val="22"/>
          <w:szCs w:val="22"/>
          <w:lang w:val="en-GB"/>
        </w:rPr>
        <w:t xml:space="preserve"> secured creditor agrees to subordinate their priority to a lender. </w:t>
      </w:r>
      <w:r w:rsidR="007053A1">
        <w:rPr>
          <w:rFonts w:ascii="Avenir Next" w:hAnsi="Avenir Next" w:cs="Arial"/>
          <w:color w:val="7B7B7B" w:themeColor="accent3" w:themeShade="BF"/>
          <w:sz w:val="22"/>
          <w:szCs w:val="22"/>
          <w:lang w:val="en-GB"/>
        </w:rPr>
        <w:t xml:space="preserve">These agreements are valid because they do not affect the priority of other creditors. </w:t>
      </w:r>
    </w:p>
    <w:p w14:paraId="42B8D878" w14:textId="77777777" w:rsidR="005E76CF" w:rsidRDefault="005E76CF" w:rsidP="00197F24">
      <w:pPr>
        <w:jc w:val="both"/>
        <w:rPr>
          <w:rFonts w:ascii="Avenir Next" w:hAnsi="Avenir Next" w:cs="Arial"/>
          <w:color w:val="7B7B7B" w:themeColor="accent3" w:themeShade="BF"/>
          <w:sz w:val="22"/>
          <w:szCs w:val="22"/>
          <w:lang w:val="en-GB"/>
        </w:rPr>
      </w:pPr>
    </w:p>
    <w:p w14:paraId="19A8729F" w14:textId="48A2724A" w:rsidR="007C7472" w:rsidRDefault="00DC66A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w:t>
      </w:r>
      <w:r w:rsidR="00E62557">
        <w:rPr>
          <w:rFonts w:ascii="Avenir Next" w:hAnsi="Avenir Next" w:cs="Arial"/>
          <w:color w:val="7B7B7B" w:themeColor="accent3" w:themeShade="BF"/>
          <w:sz w:val="22"/>
          <w:szCs w:val="22"/>
          <w:lang w:val="en-GB"/>
        </w:rPr>
        <w:t xml:space="preserve">how the priority mentioned above would change if the company had been subject to a Moratorium under Part A1 of the Insolvency Act 1986 during the 12-week period </w:t>
      </w:r>
      <w:r w:rsidR="00677090">
        <w:rPr>
          <w:rFonts w:ascii="Avenir Next" w:hAnsi="Avenir Next" w:cs="Arial"/>
          <w:color w:val="7B7B7B" w:themeColor="accent3" w:themeShade="BF"/>
          <w:sz w:val="22"/>
          <w:szCs w:val="22"/>
          <w:lang w:val="en-GB"/>
        </w:rPr>
        <w:t xml:space="preserve">prior to the commencement of liquidation, </w:t>
      </w:r>
      <w:r w:rsidR="006437A0">
        <w:rPr>
          <w:rFonts w:ascii="Avenir Next" w:hAnsi="Avenir Next" w:cs="Arial"/>
          <w:color w:val="7B7B7B" w:themeColor="accent3" w:themeShade="BF"/>
          <w:sz w:val="22"/>
          <w:szCs w:val="22"/>
          <w:lang w:val="en-GB"/>
        </w:rPr>
        <w:t xml:space="preserve">s 174A is relevant. </w:t>
      </w:r>
      <w:r w:rsidR="001942A7">
        <w:rPr>
          <w:rFonts w:ascii="Avenir Next" w:hAnsi="Avenir Next" w:cs="Arial"/>
          <w:color w:val="7B7B7B" w:themeColor="accent3" w:themeShade="BF"/>
          <w:sz w:val="22"/>
          <w:szCs w:val="22"/>
          <w:lang w:val="en-GB"/>
        </w:rPr>
        <w:t xml:space="preserve">Section 174A applies where the proceedings </w:t>
      </w:r>
      <w:r w:rsidR="00E04963">
        <w:rPr>
          <w:rFonts w:ascii="Avenir Next" w:hAnsi="Avenir Next" w:cs="Arial"/>
          <w:color w:val="7B7B7B" w:themeColor="accent3" w:themeShade="BF"/>
          <w:sz w:val="22"/>
          <w:szCs w:val="22"/>
          <w:lang w:val="en-GB"/>
        </w:rPr>
        <w:t xml:space="preserve">for the winding up of a company are begun before the end of the period of 12 weeks beginning with the day after the end of any moratorium for the company under Part A1. </w:t>
      </w:r>
      <w:r w:rsidR="00690F90">
        <w:rPr>
          <w:rFonts w:ascii="Avenir Next" w:hAnsi="Avenir Next" w:cs="Arial"/>
          <w:color w:val="7B7B7B" w:themeColor="accent3" w:themeShade="BF"/>
          <w:sz w:val="22"/>
          <w:szCs w:val="22"/>
          <w:lang w:val="en-GB"/>
        </w:rPr>
        <w:t xml:space="preserve">In essence, pursuant to s 174A, </w:t>
      </w:r>
      <w:r w:rsidR="005169F7">
        <w:rPr>
          <w:rFonts w:ascii="Avenir Next" w:hAnsi="Avenir Next" w:cs="Arial"/>
          <w:color w:val="7B7B7B" w:themeColor="accent3" w:themeShade="BF"/>
          <w:sz w:val="22"/>
          <w:szCs w:val="22"/>
          <w:lang w:val="en-GB"/>
        </w:rPr>
        <w:t xml:space="preserve">certain pre-Moratorium debts, and Moratorium </w:t>
      </w:r>
      <w:r w:rsidR="00995E28">
        <w:rPr>
          <w:rFonts w:ascii="Avenir Next" w:hAnsi="Avenir Next" w:cs="Arial"/>
          <w:color w:val="7B7B7B" w:themeColor="accent3" w:themeShade="BF"/>
          <w:sz w:val="22"/>
          <w:szCs w:val="22"/>
          <w:lang w:val="en-GB"/>
        </w:rPr>
        <w:t>debts are paid in priority</w:t>
      </w:r>
      <w:r w:rsidR="007C7472">
        <w:rPr>
          <w:rFonts w:ascii="Avenir Next" w:hAnsi="Avenir Next" w:cs="Arial"/>
          <w:color w:val="7B7B7B" w:themeColor="accent3" w:themeShade="BF"/>
          <w:sz w:val="22"/>
          <w:szCs w:val="22"/>
          <w:lang w:val="en-GB"/>
        </w:rPr>
        <w:t xml:space="preserve"> </w:t>
      </w:r>
      <w:r w:rsidR="00471C14">
        <w:rPr>
          <w:rFonts w:ascii="Avenir Next" w:hAnsi="Avenir Next" w:cs="Arial"/>
          <w:color w:val="7B7B7B" w:themeColor="accent3" w:themeShade="BF"/>
          <w:sz w:val="22"/>
          <w:szCs w:val="22"/>
          <w:lang w:val="en-GB"/>
        </w:rPr>
        <w:t>to all other claims, even those of the liquidator’s fees and expenses</w:t>
      </w:r>
      <w:r w:rsidR="007C7472">
        <w:rPr>
          <w:rFonts w:ascii="Avenir Next" w:hAnsi="Avenir Next" w:cs="Arial"/>
          <w:color w:val="7B7B7B" w:themeColor="accent3" w:themeShade="BF"/>
          <w:sz w:val="22"/>
          <w:szCs w:val="22"/>
          <w:lang w:val="en-GB"/>
        </w:rPr>
        <w:t>.</w:t>
      </w:r>
      <w:r w:rsidR="00471C14">
        <w:rPr>
          <w:rFonts w:ascii="Avenir Next" w:hAnsi="Avenir Next" w:cs="Arial"/>
          <w:color w:val="7B7B7B" w:themeColor="accent3" w:themeShade="BF"/>
          <w:sz w:val="22"/>
          <w:szCs w:val="22"/>
          <w:lang w:val="en-GB"/>
        </w:rPr>
        <w:t xml:space="preserve"> </w:t>
      </w:r>
      <w:r w:rsidR="00665AEF">
        <w:rPr>
          <w:rFonts w:ascii="Avenir Next" w:hAnsi="Avenir Next" w:cs="Arial"/>
          <w:color w:val="7B7B7B" w:themeColor="accent3" w:themeShade="BF"/>
          <w:sz w:val="22"/>
          <w:szCs w:val="22"/>
          <w:lang w:val="en-GB"/>
        </w:rPr>
        <w:t xml:space="preserve">It therefore affords certain unsecured debts priority in a subsequent liquidation. </w:t>
      </w:r>
      <w:r w:rsidR="005107DA">
        <w:rPr>
          <w:rFonts w:ascii="Avenir Next" w:hAnsi="Avenir Next" w:cs="Arial"/>
          <w:color w:val="7B7B7B" w:themeColor="accent3" w:themeShade="BF"/>
          <w:sz w:val="22"/>
          <w:szCs w:val="22"/>
          <w:lang w:val="en-GB"/>
        </w:rPr>
        <w:t xml:space="preserve">Section 174A defines such “priority pre-moratorium debt” to include: (a) </w:t>
      </w:r>
      <w:r w:rsidR="00EA7AAC">
        <w:rPr>
          <w:rFonts w:ascii="Avenir Next" w:hAnsi="Avenir Next" w:cs="Arial"/>
          <w:color w:val="7B7B7B" w:themeColor="accent3" w:themeShade="BF"/>
          <w:sz w:val="22"/>
          <w:szCs w:val="22"/>
          <w:lang w:val="en-GB"/>
        </w:rPr>
        <w:t>pre-moratorium debt that is payable in respect of the remuneration or expenses of the monitor, goods</w:t>
      </w:r>
      <w:r w:rsidR="00587D73">
        <w:rPr>
          <w:rFonts w:ascii="Avenir Next" w:hAnsi="Avenir Next" w:cs="Arial"/>
          <w:color w:val="7B7B7B" w:themeColor="accent3" w:themeShade="BF"/>
          <w:sz w:val="22"/>
          <w:szCs w:val="22"/>
          <w:lang w:val="en-GB"/>
        </w:rPr>
        <w:t xml:space="preserve"> or services supplied, rent, or wages and salary </w:t>
      </w:r>
      <w:r w:rsidR="008223BE">
        <w:rPr>
          <w:rFonts w:ascii="Avenir Next" w:hAnsi="Avenir Next" w:cs="Arial"/>
          <w:color w:val="7B7B7B" w:themeColor="accent3" w:themeShade="BF"/>
          <w:sz w:val="22"/>
          <w:szCs w:val="22"/>
          <w:lang w:val="en-GB"/>
        </w:rPr>
        <w:t>(</w:t>
      </w:r>
      <w:r w:rsidR="00AF51BB">
        <w:rPr>
          <w:rFonts w:ascii="Avenir Next" w:hAnsi="Avenir Next" w:cs="Arial"/>
          <w:color w:val="7B7B7B" w:themeColor="accent3" w:themeShade="BF"/>
          <w:sz w:val="22"/>
          <w:szCs w:val="22"/>
          <w:lang w:val="en-GB"/>
        </w:rPr>
        <w:t xml:space="preserve">arising from a contract of employment) </w:t>
      </w:r>
      <w:r w:rsidR="00587D73">
        <w:rPr>
          <w:rFonts w:ascii="Avenir Next" w:hAnsi="Avenir Next" w:cs="Arial"/>
          <w:color w:val="7B7B7B" w:themeColor="accent3" w:themeShade="BF"/>
          <w:sz w:val="22"/>
          <w:szCs w:val="22"/>
          <w:lang w:val="en-GB"/>
        </w:rPr>
        <w:t>during the Moratorium</w:t>
      </w:r>
      <w:r w:rsidR="00301531">
        <w:rPr>
          <w:rFonts w:ascii="Avenir Next" w:hAnsi="Avenir Next" w:cs="Arial"/>
          <w:color w:val="7B7B7B" w:themeColor="accent3" w:themeShade="BF"/>
          <w:sz w:val="22"/>
          <w:szCs w:val="22"/>
          <w:lang w:val="en-GB"/>
        </w:rPr>
        <w:t>; (b) pre-moratorium debt that consists of a liability to make a redundancy payment which fell due before or during the Moratorium; (c) pre-moratorium debt that arises out of a contract or other instrument involving financial services</w:t>
      </w:r>
      <w:r w:rsidR="0030489E">
        <w:rPr>
          <w:rFonts w:ascii="Avenir Next" w:hAnsi="Avenir Next" w:cs="Arial"/>
          <w:color w:val="7B7B7B" w:themeColor="accent3" w:themeShade="BF"/>
          <w:sz w:val="22"/>
          <w:szCs w:val="22"/>
          <w:lang w:val="en-GB"/>
        </w:rPr>
        <w:t xml:space="preserve">, which is not relevant accelerated debt, and which fell due before or during the Moratorium. </w:t>
      </w:r>
    </w:p>
    <w:p w14:paraId="570E1E67" w14:textId="77777777" w:rsidR="007C7472" w:rsidRDefault="007C7472" w:rsidP="002A37BB">
      <w:pPr>
        <w:jc w:val="both"/>
        <w:rPr>
          <w:rFonts w:ascii="Avenir Next" w:hAnsi="Avenir Next" w:cs="Arial"/>
          <w:color w:val="7B7B7B" w:themeColor="accent3" w:themeShade="BF"/>
          <w:sz w:val="22"/>
          <w:szCs w:val="22"/>
          <w:lang w:val="en-GB"/>
        </w:rPr>
      </w:pPr>
    </w:p>
    <w:p w14:paraId="3DAA6780" w14:textId="57C72BD3" w:rsidR="00962045" w:rsidRDefault="007C747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completeness, s 174A also provides priority for any prescribed fees or expenses of the official receiver acting in any capacity in relation to the company. </w:t>
      </w:r>
      <w:r w:rsidR="002C7C6F">
        <w:rPr>
          <w:rFonts w:ascii="Avenir Next" w:hAnsi="Avenir Next" w:cs="Arial"/>
          <w:color w:val="7B7B7B" w:themeColor="accent3" w:themeShade="BF"/>
          <w:sz w:val="22"/>
          <w:szCs w:val="22"/>
          <w:lang w:val="en-GB"/>
        </w:rPr>
        <w:t xml:space="preserve"> </w:t>
      </w:r>
    </w:p>
    <w:p w14:paraId="2B5F8349" w14:textId="77777777" w:rsidR="00B051C3" w:rsidRDefault="00B051C3" w:rsidP="002A37BB">
      <w:pPr>
        <w:jc w:val="both"/>
        <w:rPr>
          <w:rFonts w:ascii="Avenir Next" w:hAnsi="Avenir Next" w:cs="Arial"/>
          <w:color w:val="7B7B7B" w:themeColor="accent3" w:themeShade="BF"/>
          <w:sz w:val="22"/>
          <w:szCs w:val="22"/>
          <w:lang w:val="en-GB"/>
        </w:rPr>
      </w:pPr>
    </w:p>
    <w:p w14:paraId="4553C76D" w14:textId="169C85AD" w:rsidR="00B051C3" w:rsidRDefault="00B051C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explained previously, since </w:t>
      </w:r>
      <w:r w:rsidR="00027183">
        <w:rPr>
          <w:rFonts w:ascii="Avenir Next" w:hAnsi="Avenir Next" w:cs="Arial"/>
          <w:color w:val="7B7B7B" w:themeColor="accent3" w:themeShade="BF"/>
          <w:sz w:val="22"/>
          <w:szCs w:val="22"/>
          <w:lang w:val="en-GB"/>
        </w:rPr>
        <w:t xml:space="preserve">holders of fixed security will usually enforce their security outside of any formal insolvency, s 174A would not affect their priority in this sense. </w:t>
      </w:r>
    </w:p>
    <w:p w14:paraId="4D940EE0" w14:textId="77777777" w:rsidR="000162B4" w:rsidRPr="000162B4" w:rsidRDefault="000162B4" w:rsidP="002A37BB">
      <w:pPr>
        <w:jc w:val="both"/>
        <w:rPr>
          <w:rFonts w:ascii="Avenir Next" w:hAnsi="Avenir Next" w:cs="Arial"/>
          <w:color w:val="7B7B7B" w:themeColor="accent3" w:themeShade="BF"/>
          <w:sz w:val="22"/>
          <w:szCs w:val="22"/>
          <w:lang w:val="en-GB"/>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w:t>
      </w:r>
      <w:r w:rsidRPr="006E0D3B">
        <w:rPr>
          <w:rFonts w:ascii="Avenir Next" w:hAnsi="Avenir Next" w:cs="Arial"/>
          <w:sz w:val="22"/>
          <w:szCs w:val="22"/>
          <w:lang w:val="en-GB"/>
        </w:rPr>
        <w:lastRenderedPageBreak/>
        <w:t xml:space="preserve">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E384F0A" w14:textId="7FDC3739" w:rsidR="00161B77" w:rsidRDefault="000350D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issue in relation to the floating charge is whether it would be liable to be avoided</w:t>
      </w:r>
      <w:r w:rsidR="00254405">
        <w:rPr>
          <w:rFonts w:ascii="Avenir Next" w:hAnsi="Avenir Next" w:cs="Arial"/>
          <w:color w:val="7B7B7B" w:themeColor="accent3" w:themeShade="BF"/>
          <w:sz w:val="22"/>
          <w:szCs w:val="22"/>
          <w:lang w:val="en-GB"/>
        </w:rPr>
        <w:t xml:space="preserve">. This is because the floating charge was granted by BLL (the company) </w:t>
      </w:r>
      <w:r w:rsidR="00836F81">
        <w:rPr>
          <w:rFonts w:ascii="Avenir Next" w:hAnsi="Avenir Next" w:cs="Arial"/>
          <w:color w:val="7B7B7B" w:themeColor="accent3" w:themeShade="BF"/>
          <w:sz w:val="22"/>
          <w:szCs w:val="22"/>
          <w:lang w:val="en-GB"/>
        </w:rPr>
        <w:t xml:space="preserve">to Ambitus Bank shortly before the creditor’s winding up petition was issued. In particular, the issue is whether the floating charge was </w:t>
      </w:r>
      <w:r w:rsidR="00161B77">
        <w:rPr>
          <w:rFonts w:ascii="Avenir Next" w:hAnsi="Avenir Next" w:cs="Arial"/>
          <w:color w:val="7B7B7B" w:themeColor="accent3" w:themeShade="BF"/>
          <w:sz w:val="22"/>
          <w:szCs w:val="22"/>
          <w:lang w:val="en-GB"/>
        </w:rPr>
        <w:t xml:space="preserve">created for any “new” consideration, rather than for past consideration. The relevant statutory provision </w:t>
      </w:r>
      <w:r w:rsidR="00C75CE0">
        <w:rPr>
          <w:rFonts w:ascii="Avenir Next" w:hAnsi="Avenir Next" w:cs="Arial"/>
          <w:color w:val="7B7B7B" w:themeColor="accent3" w:themeShade="BF"/>
          <w:sz w:val="22"/>
          <w:szCs w:val="22"/>
          <w:lang w:val="en-GB"/>
        </w:rPr>
        <w:t xml:space="preserve">is s 245 Insolvency Act 1986. </w:t>
      </w:r>
    </w:p>
    <w:p w14:paraId="21D08A6D" w14:textId="77777777" w:rsidR="00223171" w:rsidRDefault="00223171" w:rsidP="00197F24">
      <w:pPr>
        <w:jc w:val="both"/>
        <w:rPr>
          <w:rFonts w:ascii="Avenir Next" w:hAnsi="Avenir Next" w:cs="Arial"/>
          <w:color w:val="7B7B7B" w:themeColor="accent3" w:themeShade="BF"/>
          <w:sz w:val="22"/>
          <w:szCs w:val="22"/>
          <w:lang w:val="en-GB"/>
        </w:rPr>
      </w:pPr>
    </w:p>
    <w:p w14:paraId="404A9EA3" w14:textId="4D45E2DA" w:rsidR="00223171" w:rsidRDefault="00A514E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245 pr</w:t>
      </w:r>
      <w:r w:rsidR="003C3F3D">
        <w:rPr>
          <w:rFonts w:ascii="Avenir Next" w:hAnsi="Avenir Next" w:cs="Arial"/>
          <w:color w:val="7B7B7B" w:themeColor="accent3" w:themeShade="BF"/>
          <w:sz w:val="22"/>
          <w:szCs w:val="22"/>
          <w:lang w:val="en-GB"/>
        </w:rPr>
        <w:t xml:space="preserve">ovides that </w:t>
      </w:r>
      <w:r w:rsidR="001F3C70">
        <w:rPr>
          <w:rFonts w:ascii="Avenir Next" w:hAnsi="Avenir Next" w:cs="Arial"/>
          <w:color w:val="7B7B7B" w:themeColor="accent3" w:themeShade="BF"/>
          <w:sz w:val="22"/>
          <w:szCs w:val="22"/>
          <w:lang w:val="en-GB"/>
        </w:rPr>
        <w:t xml:space="preserve">where a floating charge is created in favour </w:t>
      </w:r>
      <w:r w:rsidR="00F60808">
        <w:rPr>
          <w:rFonts w:ascii="Avenir Next" w:hAnsi="Avenir Next" w:cs="Arial"/>
          <w:color w:val="7B7B7B" w:themeColor="accent3" w:themeShade="BF"/>
          <w:sz w:val="22"/>
          <w:szCs w:val="22"/>
          <w:lang w:val="en-GB"/>
        </w:rPr>
        <w:t xml:space="preserve">of a person who is not connected with the company, the relevant time would be any time </w:t>
      </w:r>
      <w:r w:rsidR="0040280E">
        <w:rPr>
          <w:rFonts w:ascii="Avenir Next" w:hAnsi="Avenir Next" w:cs="Arial"/>
          <w:color w:val="7B7B7B" w:themeColor="accent3" w:themeShade="BF"/>
          <w:sz w:val="22"/>
          <w:szCs w:val="22"/>
          <w:lang w:val="en-GB"/>
        </w:rPr>
        <w:t xml:space="preserve">the floating charge is created within the period of 12 months prior to the onset of insolvency. </w:t>
      </w:r>
      <w:r w:rsidR="00E925E5">
        <w:rPr>
          <w:rFonts w:ascii="Avenir Next" w:hAnsi="Avenir Next" w:cs="Arial"/>
          <w:color w:val="7B7B7B" w:themeColor="accent3" w:themeShade="BF"/>
          <w:sz w:val="22"/>
          <w:szCs w:val="22"/>
          <w:lang w:val="en-GB"/>
        </w:rPr>
        <w:t xml:space="preserve">In the present case, since Ambitus Bank plc is not a connected person to the company, </w:t>
      </w:r>
      <w:r w:rsidR="00967150">
        <w:rPr>
          <w:rFonts w:ascii="Avenir Next" w:hAnsi="Avenir Next" w:cs="Arial"/>
          <w:color w:val="7B7B7B" w:themeColor="accent3" w:themeShade="BF"/>
          <w:sz w:val="22"/>
          <w:szCs w:val="22"/>
          <w:lang w:val="en-GB"/>
        </w:rPr>
        <w:t xml:space="preserve">this timeline applies, and is met because the floating charge was granted </w:t>
      </w:r>
      <w:r w:rsidR="0070351B">
        <w:rPr>
          <w:rFonts w:ascii="Avenir Next" w:hAnsi="Avenir Next" w:cs="Arial"/>
          <w:color w:val="7B7B7B" w:themeColor="accent3" w:themeShade="BF"/>
          <w:sz w:val="22"/>
          <w:szCs w:val="22"/>
          <w:lang w:val="en-GB"/>
        </w:rPr>
        <w:t xml:space="preserve">about 6 months before the creditor’s winding up petition was issued. </w:t>
      </w:r>
    </w:p>
    <w:p w14:paraId="1E3ED736" w14:textId="77777777" w:rsidR="0070351B" w:rsidRDefault="0070351B" w:rsidP="00197F24">
      <w:pPr>
        <w:jc w:val="both"/>
        <w:rPr>
          <w:rFonts w:ascii="Avenir Next" w:hAnsi="Avenir Next" w:cs="Arial"/>
          <w:color w:val="7B7B7B" w:themeColor="accent3" w:themeShade="BF"/>
          <w:sz w:val="22"/>
          <w:szCs w:val="22"/>
          <w:lang w:val="en-GB"/>
        </w:rPr>
      </w:pPr>
    </w:p>
    <w:p w14:paraId="19B42480" w14:textId="598E30F0" w:rsidR="00A15D0B" w:rsidRDefault="0070351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w:t>
      </w:r>
      <w:r w:rsidR="008B3E1A">
        <w:rPr>
          <w:rFonts w:ascii="Avenir Next" w:hAnsi="Avenir Next" w:cs="Arial"/>
          <w:color w:val="7B7B7B" w:themeColor="accent3" w:themeShade="BF"/>
          <w:sz w:val="22"/>
          <w:szCs w:val="22"/>
          <w:lang w:val="en-GB"/>
        </w:rPr>
        <w:t xml:space="preserve">renders </w:t>
      </w:r>
      <w:r w:rsidR="00BB1F78">
        <w:rPr>
          <w:rFonts w:ascii="Avenir Next" w:hAnsi="Avenir Next" w:cs="Arial"/>
          <w:color w:val="7B7B7B" w:themeColor="accent3" w:themeShade="BF"/>
          <w:sz w:val="22"/>
          <w:szCs w:val="22"/>
          <w:lang w:val="en-GB"/>
        </w:rPr>
        <w:t xml:space="preserve">floating charges created within the relevant time to be invalid except to the extent of the aggregate of </w:t>
      </w:r>
      <w:r w:rsidR="00C76D4A">
        <w:rPr>
          <w:rFonts w:ascii="Avenir Next" w:hAnsi="Avenir Next" w:cs="Arial"/>
          <w:color w:val="7B7B7B" w:themeColor="accent3" w:themeShade="BF"/>
          <w:sz w:val="22"/>
          <w:szCs w:val="22"/>
          <w:lang w:val="en-GB"/>
        </w:rPr>
        <w:t xml:space="preserve">the value of </w:t>
      </w:r>
      <w:r w:rsidR="00DE0E7B">
        <w:rPr>
          <w:rFonts w:ascii="Avenir Next" w:hAnsi="Avenir Next" w:cs="Arial"/>
          <w:color w:val="7B7B7B" w:themeColor="accent3" w:themeShade="BF"/>
          <w:sz w:val="22"/>
          <w:szCs w:val="22"/>
          <w:lang w:val="en-GB"/>
        </w:rPr>
        <w:t>new consideration</w:t>
      </w:r>
      <w:r w:rsidR="00C76D4A">
        <w:rPr>
          <w:rFonts w:ascii="Avenir Next" w:hAnsi="Avenir Next" w:cs="Arial"/>
          <w:color w:val="7B7B7B" w:themeColor="accent3" w:themeShade="BF"/>
          <w:sz w:val="22"/>
          <w:szCs w:val="22"/>
          <w:lang w:val="en-GB"/>
        </w:rPr>
        <w:t xml:space="preserve">. </w:t>
      </w:r>
      <w:r w:rsidR="00FB36CC">
        <w:rPr>
          <w:rFonts w:ascii="Avenir Next" w:hAnsi="Avenir Next" w:cs="Arial"/>
          <w:color w:val="7B7B7B" w:themeColor="accent3" w:themeShade="BF"/>
          <w:sz w:val="22"/>
          <w:szCs w:val="22"/>
          <w:lang w:val="en-GB"/>
        </w:rPr>
        <w:t xml:space="preserve">The two main categories of new consideration are firstly, the value of so much of the consideration for the creation of the charge as consists of money paid, or goods or services supplied, to the company at the same time as, or after, the creation of the charge. </w:t>
      </w:r>
      <w:r w:rsidR="00AA780B">
        <w:rPr>
          <w:rFonts w:ascii="Avenir Next" w:hAnsi="Avenir Next" w:cs="Arial"/>
          <w:color w:val="7B7B7B" w:themeColor="accent3" w:themeShade="BF"/>
          <w:sz w:val="22"/>
          <w:szCs w:val="22"/>
          <w:lang w:val="en-GB"/>
        </w:rPr>
        <w:t xml:space="preserve">In this connection, the consideration must be given at the same time or shortly after the creation of the charge. In situations where an agreement is made for </w:t>
      </w:r>
      <w:r w:rsidR="00E037C4">
        <w:rPr>
          <w:rFonts w:ascii="Avenir Next" w:hAnsi="Avenir Next" w:cs="Arial"/>
          <w:color w:val="7B7B7B" w:themeColor="accent3" w:themeShade="BF"/>
          <w:sz w:val="22"/>
          <w:szCs w:val="22"/>
          <w:lang w:val="en-GB"/>
        </w:rPr>
        <w:t xml:space="preserve">the formal execution of the charge to take place after payments made to the company, </w:t>
      </w:r>
      <w:r w:rsidR="00EA745F">
        <w:rPr>
          <w:rFonts w:ascii="Avenir Next" w:hAnsi="Avenir Next" w:cs="Arial"/>
          <w:color w:val="7B7B7B" w:themeColor="accent3" w:themeShade="BF"/>
          <w:sz w:val="22"/>
          <w:szCs w:val="22"/>
          <w:lang w:val="en-GB"/>
        </w:rPr>
        <w:t xml:space="preserve">there must be minimal delay between the two. </w:t>
      </w:r>
      <w:r w:rsidR="00A15D0B">
        <w:rPr>
          <w:rFonts w:ascii="Avenir Next" w:hAnsi="Avenir Next" w:cs="Arial"/>
          <w:color w:val="7B7B7B" w:themeColor="accent3" w:themeShade="BF"/>
          <w:sz w:val="22"/>
          <w:szCs w:val="22"/>
          <w:lang w:val="en-GB"/>
        </w:rPr>
        <w:t xml:space="preserve">The second </w:t>
      </w:r>
      <w:r w:rsidR="00723B8E">
        <w:rPr>
          <w:rFonts w:ascii="Avenir Next" w:hAnsi="Avenir Next" w:cs="Arial"/>
          <w:color w:val="7B7B7B" w:themeColor="accent3" w:themeShade="BF"/>
          <w:sz w:val="22"/>
          <w:szCs w:val="22"/>
          <w:lang w:val="en-GB"/>
        </w:rPr>
        <w:t xml:space="preserve">category </w:t>
      </w:r>
      <w:r w:rsidR="00A15D0B">
        <w:rPr>
          <w:rFonts w:ascii="Avenir Next" w:hAnsi="Avenir Next" w:cs="Arial"/>
          <w:color w:val="7B7B7B" w:themeColor="accent3" w:themeShade="BF"/>
          <w:sz w:val="22"/>
          <w:szCs w:val="22"/>
          <w:lang w:val="en-GB"/>
        </w:rPr>
        <w:t xml:space="preserve">is the value of so much of that consideration as consists of the discharge or reduction, at the same time as, or after, the creation of the charge, of any debt of the company. </w:t>
      </w:r>
    </w:p>
    <w:p w14:paraId="582DB552" w14:textId="77777777" w:rsidR="00CD1365" w:rsidRDefault="00CD1365" w:rsidP="00197F24">
      <w:pPr>
        <w:jc w:val="both"/>
        <w:rPr>
          <w:rFonts w:ascii="Avenir Next" w:hAnsi="Avenir Next" w:cs="Arial"/>
          <w:color w:val="7B7B7B" w:themeColor="accent3" w:themeShade="BF"/>
          <w:sz w:val="22"/>
          <w:szCs w:val="22"/>
          <w:lang w:val="en-GB"/>
        </w:rPr>
      </w:pPr>
    </w:p>
    <w:p w14:paraId="7E1801CA" w14:textId="77777777" w:rsidR="00B218FA" w:rsidRDefault="00CD136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present case, it does not appear that any new consideration</w:t>
      </w:r>
      <w:r w:rsidR="00B72BAF">
        <w:rPr>
          <w:rFonts w:ascii="Avenir Next" w:hAnsi="Avenir Next" w:cs="Arial"/>
          <w:color w:val="7B7B7B" w:themeColor="accent3" w:themeShade="BF"/>
          <w:sz w:val="22"/>
          <w:szCs w:val="22"/>
          <w:lang w:val="en-GB"/>
        </w:rPr>
        <w:t xml:space="preserve"> (in the form of further loans, or a reduction of debts owed)</w:t>
      </w:r>
      <w:r>
        <w:rPr>
          <w:rFonts w:ascii="Avenir Next" w:hAnsi="Avenir Next" w:cs="Arial"/>
          <w:color w:val="7B7B7B" w:themeColor="accent3" w:themeShade="BF"/>
          <w:sz w:val="22"/>
          <w:szCs w:val="22"/>
          <w:lang w:val="en-GB"/>
        </w:rPr>
        <w:t xml:space="preserve"> was </w:t>
      </w:r>
      <w:r w:rsidR="00B72BAF">
        <w:rPr>
          <w:rFonts w:ascii="Avenir Next" w:hAnsi="Avenir Next" w:cs="Arial"/>
          <w:color w:val="7B7B7B" w:themeColor="accent3" w:themeShade="BF"/>
          <w:sz w:val="22"/>
          <w:szCs w:val="22"/>
          <w:lang w:val="en-GB"/>
        </w:rPr>
        <w:t>given by Ambitus Bank plc to BLL</w:t>
      </w:r>
      <w:r w:rsidR="00B60474">
        <w:rPr>
          <w:rFonts w:ascii="Avenir Next" w:hAnsi="Avenir Next" w:cs="Arial"/>
          <w:color w:val="7B7B7B" w:themeColor="accent3" w:themeShade="BF"/>
          <w:sz w:val="22"/>
          <w:szCs w:val="22"/>
          <w:lang w:val="en-GB"/>
        </w:rPr>
        <w:t xml:space="preserve"> for the floating charge</w:t>
      </w:r>
      <w:r w:rsidR="00523630">
        <w:rPr>
          <w:rFonts w:ascii="Avenir Next" w:hAnsi="Avenir Next" w:cs="Arial"/>
          <w:color w:val="7B7B7B" w:themeColor="accent3" w:themeShade="BF"/>
          <w:sz w:val="22"/>
          <w:szCs w:val="22"/>
          <w:lang w:val="en-GB"/>
        </w:rPr>
        <w:t xml:space="preserve">. </w:t>
      </w:r>
      <w:r w:rsidR="00CB0B56">
        <w:rPr>
          <w:rFonts w:ascii="Avenir Next" w:hAnsi="Avenir Next" w:cs="Arial"/>
          <w:color w:val="7B7B7B" w:themeColor="accent3" w:themeShade="BF"/>
          <w:sz w:val="22"/>
          <w:szCs w:val="22"/>
          <w:lang w:val="en-GB"/>
        </w:rPr>
        <w:t xml:space="preserve">Therefore, </w:t>
      </w:r>
      <w:r w:rsidR="00B60474">
        <w:rPr>
          <w:rFonts w:ascii="Avenir Next" w:hAnsi="Avenir Next" w:cs="Arial"/>
          <w:color w:val="7B7B7B" w:themeColor="accent3" w:themeShade="BF"/>
          <w:sz w:val="22"/>
          <w:szCs w:val="22"/>
          <w:lang w:val="en-GB"/>
        </w:rPr>
        <w:t xml:space="preserve">the floating charge given by BLL is not for new consideration, but rather for past consideration. As such, it would be caught by s 245 and be rendered invalid. </w:t>
      </w:r>
    </w:p>
    <w:p w14:paraId="5BB288A3" w14:textId="77777777" w:rsidR="00B218FA" w:rsidRDefault="00B218FA" w:rsidP="00197F24">
      <w:pPr>
        <w:jc w:val="both"/>
        <w:rPr>
          <w:rFonts w:ascii="Avenir Next" w:hAnsi="Avenir Next" w:cs="Arial"/>
          <w:color w:val="7B7B7B" w:themeColor="accent3" w:themeShade="BF"/>
          <w:sz w:val="22"/>
          <w:szCs w:val="22"/>
          <w:lang w:val="en-GB"/>
        </w:rPr>
      </w:pPr>
    </w:p>
    <w:p w14:paraId="36F0C426" w14:textId="1D034602" w:rsidR="00CD1365" w:rsidRDefault="00C6047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Ambitus Bank plc may make an argument that there was new consideration in the sense </w:t>
      </w:r>
      <w:r w:rsidR="00192591">
        <w:rPr>
          <w:rFonts w:ascii="Avenir Next" w:hAnsi="Avenir Next" w:cs="Arial"/>
          <w:color w:val="7B7B7B" w:themeColor="accent3" w:themeShade="BF"/>
          <w:sz w:val="22"/>
          <w:szCs w:val="22"/>
          <w:lang w:val="en-GB"/>
        </w:rPr>
        <w:t>that the floating charge was given</w:t>
      </w:r>
      <w:r w:rsidR="000C739C">
        <w:rPr>
          <w:rFonts w:ascii="Avenir Next" w:hAnsi="Avenir Next" w:cs="Arial"/>
          <w:color w:val="7B7B7B" w:themeColor="accent3" w:themeShade="BF"/>
          <w:sz w:val="22"/>
          <w:szCs w:val="22"/>
          <w:lang w:val="en-GB"/>
        </w:rPr>
        <w:t xml:space="preserve"> by BLL</w:t>
      </w:r>
      <w:r w:rsidR="00192591">
        <w:rPr>
          <w:rFonts w:ascii="Avenir Next" w:hAnsi="Avenir Next" w:cs="Arial"/>
          <w:color w:val="7B7B7B" w:themeColor="accent3" w:themeShade="BF"/>
          <w:sz w:val="22"/>
          <w:szCs w:val="22"/>
          <w:lang w:val="en-GB"/>
        </w:rPr>
        <w:t xml:space="preserve"> under pressure from Ambitus Bank plc </w:t>
      </w:r>
      <w:r w:rsidR="00762BCB">
        <w:rPr>
          <w:rFonts w:ascii="Avenir Next" w:hAnsi="Avenir Next" w:cs="Arial"/>
          <w:color w:val="7B7B7B" w:themeColor="accent3" w:themeShade="BF"/>
          <w:sz w:val="22"/>
          <w:szCs w:val="22"/>
          <w:lang w:val="en-GB"/>
        </w:rPr>
        <w:t xml:space="preserve">in order to prevent it from demanding repayment of the company’s loans. </w:t>
      </w:r>
      <w:r w:rsidR="00D67DFF">
        <w:rPr>
          <w:rFonts w:ascii="Avenir Next" w:hAnsi="Avenir Next" w:cs="Arial"/>
          <w:color w:val="7B7B7B" w:themeColor="accent3" w:themeShade="BF"/>
          <w:sz w:val="22"/>
          <w:szCs w:val="22"/>
          <w:lang w:val="en-GB"/>
        </w:rPr>
        <w:t xml:space="preserve">Ambitus Bank’s forbearance </w:t>
      </w:r>
      <w:r w:rsidR="002D0C69">
        <w:rPr>
          <w:rFonts w:ascii="Avenir Next" w:hAnsi="Avenir Next" w:cs="Arial"/>
          <w:color w:val="7B7B7B" w:themeColor="accent3" w:themeShade="BF"/>
          <w:sz w:val="22"/>
          <w:szCs w:val="22"/>
          <w:lang w:val="en-GB"/>
        </w:rPr>
        <w:t xml:space="preserve">could arguably be </w:t>
      </w:r>
      <w:r w:rsidR="00B218FA">
        <w:rPr>
          <w:rFonts w:ascii="Avenir Next" w:hAnsi="Avenir Next" w:cs="Arial"/>
          <w:color w:val="7B7B7B" w:themeColor="accent3" w:themeShade="BF"/>
          <w:sz w:val="22"/>
          <w:szCs w:val="22"/>
          <w:lang w:val="en-GB"/>
        </w:rPr>
        <w:t xml:space="preserve">seen as “new” consideration </w:t>
      </w:r>
      <w:r w:rsidR="003C4F5F">
        <w:rPr>
          <w:rFonts w:ascii="Avenir Next" w:hAnsi="Avenir Next" w:cs="Arial"/>
          <w:color w:val="7B7B7B" w:themeColor="accent3" w:themeShade="BF"/>
          <w:sz w:val="22"/>
          <w:szCs w:val="22"/>
          <w:lang w:val="en-GB"/>
        </w:rPr>
        <w:t xml:space="preserve">such that the floating charge would not be caught by s 245. However, </w:t>
      </w:r>
      <w:r w:rsidR="00264D4D">
        <w:rPr>
          <w:rFonts w:ascii="Avenir Next" w:hAnsi="Avenir Next" w:cs="Arial"/>
          <w:color w:val="7B7B7B" w:themeColor="accent3" w:themeShade="BF"/>
          <w:sz w:val="22"/>
          <w:szCs w:val="22"/>
          <w:lang w:val="en-GB"/>
        </w:rPr>
        <w:t xml:space="preserve">whether </w:t>
      </w:r>
      <w:r w:rsidR="0086561E">
        <w:rPr>
          <w:rFonts w:ascii="Avenir Next" w:hAnsi="Avenir Next" w:cs="Arial"/>
          <w:color w:val="7B7B7B" w:themeColor="accent3" w:themeShade="BF"/>
          <w:sz w:val="22"/>
          <w:szCs w:val="22"/>
          <w:lang w:val="en-GB"/>
        </w:rPr>
        <w:t xml:space="preserve">this conception of “new” consideration </w:t>
      </w:r>
      <w:r w:rsidR="00B44FB8">
        <w:rPr>
          <w:rFonts w:ascii="Avenir Next" w:hAnsi="Avenir Next" w:cs="Arial"/>
          <w:color w:val="7B7B7B" w:themeColor="accent3" w:themeShade="BF"/>
          <w:sz w:val="22"/>
          <w:szCs w:val="22"/>
          <w:lang w:val="en-GB"/>
        </w:rPr>
        <w:t>would</w:t>
      </w:r>
      <w:r w:rsidR="00264D4D">
        <w:rPr>
          <w:rFonts w:ascii="Avenir Next" w:hAnsi="Avenir Next" w:cs="Arial"/>
          <w:color w:val="7B7B7B" w:themeColor="accent3" w:themeShade="BF"/>
          <w:sz w:val="22"/>
          <w:szCs w:val="22"/>
          <w:lang w:val="en-GB"/>
        </w:rPr>
        <w:t xml:space="preserve"> be successful would</w:t>
      </w:r>
      <w:r w:rsidR="00B44FB8">
        <w:rPr>
          <w:rFonts w:ascii="Avenir Next" w:hAnsi="Avenir Next" w:cs="Arial"/>
          <w:color w:val="7B7B7B" w:themeColor="accent3" w:themeShade="BF"/>
          <w:sz w:val="22"/>
          <w:szCs w:val="22"/>
          <w:lang w:val="en-GB"/>
        </w:rPr>
        <w:t xml:space="preserve"> depend on the</w:t>
      </w:r>
      <w:r w:rsidR="00C525F9">
        <w:rPr>
          <w:rFonts w:ascii="Avenir Next" w:hAnsi="Avenir Next" w:cs="Arial"/>
          <w:color w:val="7B7B7B" w:themeColor="accent3" w:themeShade="BF"/>
          <w:sz w:val="22"/>
          <w:szCs w:val="22"/>
          <w:lang w:val="en-GB"/>
        </w:rPr>
        <w:t xml:space="preserve"> common law of the UK. </w:t>
      </w:r>
    </w:p>
    <w:p w14:paraId="528AC1AA" w14:textId="77777777" w:rsidR="002C7A05" w:rsidRDefault="002C7A05" w:rsidP="00197F24">
      <w:pPr>
        <w:jc w:val="both"/>
        <w:rPr>
          <w:rFonts w:ascii="Avenir Next" w:hAnsi="Avenir Next" w:cs="Arial"/>
          <w:color w:val="7B7B7B" w:themeColor="accent3" w:themeShade="BF"/>
          <w:sz w:val="22"/>
          <w:szCs w:val="22"/>
          <w:lang w:val="en-GB"/>
        </w:rPr>
      </w:pPr>
    </w:p>
    <w:p w14:paraId="65FE98B1" w14:textId="6EBC90B4" w:rsidR="002C7A05" w:rsidRPr="00197F24" w:rsidRDefault="002C7A0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completeness, even though the floating charge </w:t>
      </w:r>
      <w:r w:rsidR="00EB3134">
        <w:rPr>
          <w:rFonts w:ascii="Avenir Next" w:hAnsi="Avenir Next" w:cs="Arial"/>
          <w:color w:val="7B7B7B" w:themeColor="accent3" w:themeShade="BF"/>
          <w:sz w:val="22"/>
          <w:szCs w:val="22"/>
          <w:lang w:val="en-GB"/>
        </w:rPr>
        <w:t xml:space="preserve">granted in favour of Ambitus Bank plc may amount to a preference as well (within the ambit of s 239), the liquidator would </w:t>
      </w:r>
      <w:r w:rsidR="002A0496">
        <w:rPr>
          <w:rFonts w:ascii="Avenir Next" w:hAnsi="Avenir Next" w:cs="Arial"/>
          <w:color w:val="7B7B7B" w:themeColor="accent3" w:themeShade="BF"/>
          <w:sz w:val="22"/>
          <w:szCs w:val="22"/>
          <w:lang w:val="en-GB"/>
        </w:rPr>
        <w:t xml:space="preserve">not be able to avoid it on that </w:t>
      </w:r>
      <w:r w:rsidR="002A0496">
        <w:rPr>
          <w:rFonts w:ascii="Avenir Next" w:hAnsi="Avenir Next" w:cs="Arial"/>
          <w:color w:val="7B7B7B" w:themeColor="accent3" w:themeShade="BF"/>
          <w:sz w:val="22"/>
          <w:szCs w:val="22"/>
          <w:lang w:val="en-GB"/>
        </w:rPr>
        <w:lastRenderedPageBreak/>
        <w:t xml:space="preserve">basis. This is because it appears that the floating charge was granted because of commercial considerations (I.e. </w:t>
      </w:r>
      <w:r w:rsidR="00093192">
        <w:rPr>
          <w:rFonts w:ascii="Avenir Next" w:hAnsi="Avenir Next" w:cs="Arial"/>
          <w:color w:val="7B7B7B" w:themeColor="accent3" w:themeShade="BF"/>
          <w:sz w:val="22"/>
          <w:szCs w:val="22"/>
          <w:lang w:val="en-GB"/>
        </w:rPr>
        <w:t xml:space="preserve">to prevent the bank from demanding repayment of the company’s loans, which would presumably cause it to enter into insolvency). </w:t>
      </w:r>
      <w:r w:rsidR="00276214">
        <w:rPr>
          <w:rFonts w:ascii="Avenir Next" w:hAnsi="Avenir Next" w:cs="Arial"/>
          <w:color w:val="7B7B7B" w:themeColor="accent3" w:themeShade="BF"/>
          <w:sz w:val="22"/>
          <w:szCs w:val="22"/>
          <w:lang w:val="en-GB"/>
        </w:rPr>
        <w:t xml:space="preserve">Therefore, there would be no desire to prefer the bank, and an avoidance action of preference cannot be sustained.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231356E9" w:rsidR="00197F24" w:rsidRDefault="003139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sale of the laser cutting machines to Angela Bannister raises the issues of whether the transaction should be avoided </w:t>
      </w:r>
      <w:r w:rsidR="00105CD7">
        <w:rPr>
          <w:rFonts w:ascii="Avenir Next" w:hAnsi="Avenir Next" w:cs="Arial"/>
          <w:color w:val="7B7B7B" w:themeColor="accent3" w:themeShade="BF"/>
          <w:sz w:val="22"/>
          <w:szCs w:val="22"/>
          <w:lang w:val="en-GB"/>
        </w:rPr>
        <w:t xml:space="preserve">due to it being a transaction at an undervalue. </w:t>
      </w:r>
      <w:r w:rsidR="00D00054">
        <w:rPr>
          <w:rFonts w:ascii="Avenir Next" w:hAnsi="Avenir Next" w:cs="Arial"/>
          <w:color w:val="7B7B7B" w:themeColor="accent3" w:themeShade="BF"/>
          <w:sz w:val="22"/>
          <w:szCs w:val="22"/>
          <w:lang w:val="en-GB"/>
        </w:rPr>
        <w:t>Moreover, the liquidator may have a course of action against Angela Bannister</w:t>
      </w:r>
      <w:r w:rsidR="00656BA6">
        <w:rPr>
          <w:rFonts w:ascii="Avenir Next" w:hAnsi="Avenir Next" w:cs="Arial"/>
          <w:color w:val="7B7B7B" w:themeColor="accent3" w:themeShade="BF"/>
          <w:sz w:val="22"/>
          <w:szCs w:val="22"/>
          <w:lang w:val="en-GB"/>
        </w:rPr>
        <w:t xml:space="preserve"> for misfeasance</w:t>
      </w:r>
      <w:r w:rsidR="008F22D7">
        <w:rPr>
          <w:rFonts w:ascii="Avenir Next" w:hAnsi="Avenir Next" w:cs="Arial"/>
          <w:color w:val="7B7B7B" w:themeColor="accent3" w:themeShade="BF"/>
          <w:sz w:val="22"/>
          <w:szCs w:val="22"/>
          <w:lang w:val="en-GB"/>
        </w:rPr>
        <w:t xml:space="preserve"> or for her potential breaches of her</w:t>
      </w:r>
      <w:r w:rsidR="00645EA1">
        <w:rPr>
          <w:rFonts w:ascii="Avenir Next" w:hAnsi="Avenir Next" w:cs="Arial"/>
          <w:color w:val="7B7B7B" w:themeColor="accent3" w:themeShade="BF"/>
          <w:sz w:val="22"/>
          <w:szCs w:val="22"/>
          <w:lang w:val="en-GB"/>
        </w:rPr>
        <w:t xml:space="preserve"> fiduciary duties to BLL. </w:t>
      </w:r>
    </w:p>
    <w:p w14:paraId="1133D6C2" w14:textId="77777777" w:rsidR="002D50D3" w:rsidRDefault="002D50D3" w:rsidP="00197F24">
      <w:pPr>
        <w:jc w:val="both"/>
        <w:rPr>
          <w:rFonts w:ascii="Avenir Next" w:hAnsi="Avenir Next" w:cs="Arial"/>
          <w:color w:val="7B7B7B" w:themeColor="accent3" w:themeShade="BF"/>
          <w:sz w:val="22"/>
          <w:szCs w:val="22"/>
          <w:lang w:val="en-GB"/>
        </w:rPr>
      </w:pPr>
    </w:p>
    <w:p w14:paraId="1CC2FF86" w14:textId="7845BDCD" w:rsidR="002D50D3" w:rsidRDefault="005C3FD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the issue of the transaction being at an undervalue, the relevant statutory provision is s 238 of the Insolvency Act 1986. </w:t>
      </w:r>
      <w:r w:rsidR="009F476F">
        <w:rPr>
          <w:rFonts w:ascii="Avenir Next" w:hAnsi="Avenir Next" w:cs="Arial"/>
          <w:color w:val="7B7B7B" w:themeColor="accent3" w:themeShade="BF"/>
          <w:sz w:val="22"/>
          <w:szCs w:val="22"/>
          <w:lang w:val="en-GB"/>
        </w:rPr>
        <w:t xml:space="preserve">Pursuant to s 240, the relevant time </w:t>
      </w:r>
      <w:r w:rsidR="00C10EF1">
        <w:rPr>
          <w:rFonts w:ascii="Avenir Next" w:hAnsi="Avenir Next" w:cs="Arial"/>
          <w:color w:val="7B7B7B" w:themeColor="accent3" w:themeShade="BF"/>
          <w:sz w:val="22"/>
          <w:szCs w:val="22"/>
          <w:lang w:val="en-GB"/>
        </w:rPr>
        <w:t xml:space="preserve">for transactions at an undervalue </w:t>
      </w:r>
      <w:r w:rsidR="00BB7483">
        <w:rPr>
          <w:rFonts w:ascii="Avenir Next" w:hAnsi="Avenir Next" w:cs="Arial"/>
          <w:color w:val="7B7B7B" w:themeColor="accent3" w:themeShade="BF"/>
          <w:sz w:val="22"/>
          <w:szCs w:val="22"/>
          <w:lang w:val="en-GB"/>
        </w:rPr>
        <w:t xml:space="preserve">is </w:t>
      </w:r>
      <w:r w:rsidR="00C10EF1">
        <w:rPr>
          <w:rFonts w:ascii="Avenir Next" w:hAnsi="Avenir Next" w:cs="Arial"/>
          <w:color w:val="7B7B7B" w:themeColor="accent3" w:themeShade="BF"/>
          <w:sz w:val="22"/>
          <w:szCs w:val="22"/>
          <w:lang w:val="en-GB"/>
        </w:rPr>
        <w:t>a period of 2 years before the onset of insolvency, where the transaction is given</w:t>
      </w:r>
      <w:r w:rsidR="00BB7483">
        <w:rPr>
          <w:rFonts w:ascii="Avenir Next" w:hAnsi="Avenir Next" w:cs="Arial"/>
          <w:color w:val="7B7B7B" w:themeColor="accent3" w:themeShade="BF"/>
          <w:sz w:val="22"/>
          <w:szCs w:val="22"/>
          <w:lang w:val="en-GB"/>
        </w:rPr>
        <w:t xml:space="preserve"> to a person who is connected with the company. This is such a case because Angela Bannister is a director of BLL</w:t>
      </w:r>
      <w:r w:rsidR="00F60142">
        <w:rPr>
          <w:rFonts w:ascii="Avenir Next" w:hAnsi="Avenir Next" w:cs="Arial"/>
          <w:color w:val="7B7B7B" w:themeColor="accent3" w:themeShade="BF"/>
          <w:sz w:val="22"/>
          <w:szCs w:val="22"/>
          <w:lang w:val="en-GB"/>
        </w:rPr>
        <w:t xml:space="preserve">, and the transaction was entered into </w:t>
      </w:r>
      <w:r w:rsidR="00175032">
        <w:rPr>
          <w:rFonts w:ascii="Avenir Next" w:hAnsi="Avenir Next" w:cs="Arial"/>
          <w:color w:val="7B7B7B" w:themeColor="accent3" w:themeShade="BF"/>
          <w:sz w:val="22"/>
          <w:szCs w:val="22"/>
          <w:lang w:val="en-GB"/>
        </w:rPr>
        <w:t>a year before the creditor’s winding up petition was brought.</w:t>
      </w:r>
    </w:p>
    <w:p w14:paraId="669470BB" w14:textId="77777777" w:rsidR="00175032" w:rsidRDefault="00175032" w:rsidP="00197F24">
      <w:pPr>
        <w:jc w:val="both"/>
        <w:rPr>
          <w:rFonts w:ascii="Avenir Next" w:hAnsi="Avenir Next" w:cs="Arial"/>
          <w:color w:val="7B7B7B" w:themeColor="accent3" w:themeShade="BF"/>
          <w:sz w:val="22"/>
          <w:szCs w:val="22"/>
          <w:lang w:val="en-GB"/>
        </w:rPr>
      </w:pPr>
    </w:p>
    <w:p w14:paraId="3C3106E7" w14:textId="2BC752A5" w:rsidR="00175032" w:rsidRDefault="00905A5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 238, </w:t>
      </w:r>
      <w:r w:rsidR="00925452">
        <w:rPr>
          <w:rFonts w:ascii="Avenir Next" w:hAnsi="Avenir Next" w:cs="Arial"/>
          <w:color w:val="7B7B7B" w:themeColor="accent3" w:themeShade="BF"/>
          <w:sz w:val="22"/>
          <w:szCs w:val="22"/>
          <w:lang w:val="en-GB"/>
        </w:rPr>
        <w:t xml:space="preserve">a company enters into a transaction with a person at an undervalue if the company enters into a transaction with that person for a consideration the value of which, in money or money’s worth, is significantly less than the value, in money or money’s worth, of the consideration provided by the company. On the facts, this is likely to be fulfilled because </w:t>
      </w:r>
      <w:r w:rsidR="00A900DB">
        <w:rPr>
          <w:rFonts w:ascii="Avenir Next" w:hAnsi="Avenir Next" w:cs="Arial"/>
          <w:color w:val="7B7B7B" w:themeColor="accent3" w:themeShade="BF"/>
          <w:sz w:val="22"/>
          <w:szCs w:val="22"/>
          <w:lang w:val="en-GB"/>
        </w:rPr>
        <w:t xml:space="preserve">Angela Bannister was sold the laser cutting machines for consideration of GBP 40,000, when the machines had been bought by BLL for GBP 100,000 just a year ago. </w:t>
      </w:r>
      <w:r w:rsidR="005C3B57">
        <w:rPr>
          <w:rFonts w:ascii="Avenir Next" w:hAnsi="Avenir Next" w:cs="Arial"/>
          <w:color w:val="7B7B7B" w:themeColor="accent3" w:themeShade="BF"/>
          <w:sz w:val="22"/>
          <w:szCs w:val="22"/>
          <w:lang w:val="en-GB"/>
        </w:rPr>
        <w:t xml:space="preserve">Even accounting for some level of depreciation of the assets, the sale of the laser cutting machines at a price point which is so much lower than the purchase price a mere year ago strongly suggests that this was </w:t>
      </w:r>
      <w:r w:rsidR="00566F5B">
        <w:rPr>
          <w:rFonts w:ascii="Avenir Next" w:hAnsi="Avenir Next" w:cs="Arial"/>
          <w:color w:val="7B7B7B" w:themeColor="accent3" w:themeShade="BF"/>
          <w:sz w:val="22"/>
          <w:szCs w:val="22"/>
          <w:lang w:val="en-GB"/>
        </w:rPr>
        <w:t xml:space="preserve">a transaction at an undervalue. </w:t>
      </w:r>
    </w:p>
    <w:p w14:paraId="3E84AC29" w14:textId="77777777" w:rsidR="003C510E" w:rsidRDefault="003C510E" w:rsidP="00197F24">
      <w:pPr>
        <w:jc w:val="both"/>
        <w:rPr>
          <w:rFonts w:ascii="Avenir Next" w:hAnsi="Avenir Next" w:cs="Arial"/>
          <w:color w:val="7B7B7B" w:themeColor="accent3" w:themeShade="BF"/>
          <w:sz w:val="22"/>
          <w:szCs w:val="22"/>
          <w:lang w:val="en-GB"/>
        </w:rPr>
      </w:pPr>
    </w:p>
    <w:p w14:paraId="1DB12994" w14:textId="0EB312D0" w:rsidR="003C510E" w:rsidRDefault="003C510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defences found in s 238 to a transaction at an undervalue </w:t>
      </w:r>
      <w:r w:rsidR="0037676D">
        <w:rPr>
          <w:rFonts w:ascii="Avenir Next" w:hAnsi="Avenir Next" w:cs="Arial"/>
          <w:color w:val="7B7B7B" w:themeColor="accent3" w:themeShade="BF"/>
          <w:sz w:val="22"/>
          <w:szCs w:val="22"/>
          <w:lang w:val="en-GB"/>
        </w:rPr>
        <w:t xml:space="preserve">do not appear to be available to Angela Bannister in the present case. There does not appear to be any grounds to show that the company entered into this transaction with Angela Bannister in good faith and for the purposes of carrying on its business, and that at the time it did so, there were reasonable grounds for believing that the transaction would benefit the company. </w:t>
      </w:r>
      <w:r w:rsidR="00EC3E1F">
        <w:rPr>
          <w:rFonts w:ascii="Avenir Next" w:hAnsi="Avenir Next" w:cs="Arial"/>
          <w:color w:val="7B7B7B" w:themeColor="accent3" w:themeShade="BF"/>
          <w:sz w:val="22"/>
          <w:szCs w:val="22"/>
          <w:lang w:val="en-GB"/>
        </w:rPr>
        <w:t xml:space="preserve">Although BLL was suffering from cash flow problems, it did not make sense for them to sell the laser cutting machines to Angela Bannister for GBP 40,000 only. </w:t>
      </w:r>
      <w:r w:rsidR="00821D8F">
        <w:rPr>
          <w:rFonts w:ascii="Avenir Next" w:hAnsi="Avenir Next" w:cs="Arial"/>
          <w:color w:val="7B7B7B" w:themeColor="accent3" w:themeShade="BF"/>
          <w:sz w:val="22"/>
          <w:szCs w:val="22"/>
          <w:lang w:val="en-GB"/>
        </w:rPr>
        <w:t>They could have sold it on the open market, or obtained loan financing with the machines as security.</w:t>
      </w:r>
    </w:p>
    <w:p w14:paraId="5FBCEBB5" w14:textId="77777777" w:rsidR="00AE6028" w:rsidRDefault="00AE6028" w:rsidP="00197F24">
      <w:pPr>
        <w:jc w:val="both"/>
        <w:rPr>
          <w:rFonts w:ascii="Avenir Next" w:hAnsi="Avenir Next" w:cs="Arial"/>
          <w:color w:val="7B7B7B" w:themeColor="accent3" w:themeShade="BF"/>
          <w:sz w:val="22"/>
          <w:szCs w:val="22"/>
          <w:lang w:val="en-GB"/>
        </w:rPr>
      </w:pPr>
    </w:p>
    <w:p w14:paraId="62DCC098" w14:textId="01591182" w:rsidR="00AE6028" w:rsidRDefault="00AE602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remedy, the court may make such an order as it thinks fit for restoring the position to what it would have been if the company had not entered into that transaction. </w:t>
      </w:r>
    </w:p>
    <w:p w14:paraId="36DCAE3D" w14:textId="77777777" w:rsidR="00EA0631" w:rsidRDefault="00EA0631" w:rsidP="00197F24">
      <w:pPr>
        <w:jc w:val="both"/>
        <w:rPr>
          <w:rFonts w:ascii="Avenir Next" w:hAnsi="Avenir Next" w:cs="Arial"/>
          <w:color w:val="7B7B7B" w:themeColor="accent3" w:themeShade="BF"/>
          <w:sz w:val="22"/>
          <w:szCs w:val="22"/>
          <w:lang w:val="en-GB"/>
        </w:rPr>
      </w:pPr>
    </w:p>
    <w:p w14:paraId="2AE278CD" w14:textId="77777777" w:rsidR="00A13A24" w:rsidRDefault="003610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regard to the issue </w:t>
      </w:r>
      <w:r w:rsidR="00DE3CE5">
        <w:rPr>
          <w:rFonts w:ascii="Avenir Next" w:hAnsi="Avenir Next" w:cs="Arial"/>
          <w:color w:val="7B7B7B" w:themeColor="accent3" w:themeShade="BF"/>
          <w:sz w:val="22"/>
          <w:szCs w:val="22"/>
          <w:lang w:val="en-GB"/>
        </w:rPr>
        <w:t>of misfeasance</w:t>
      </w:r>
      <w:r w:rsidR="002227D9">
        <w:rPr>
          <w:rFonts w:ascii="Avenir Next" w:hAnsi="Avenir Next" w:cs="Arial"/>
          <w:color w:val="7B7B7B" w:themeColor="accent3" w:themeShade="BF"/>
          <w:sz w:val="22"/>
          <w:szCs w:val="22"/>
          <w:lang w:val="en-GB"/>
        </w:rPr>
        <w:t xml:space="preserve"> and breaches of fiduciary duty</w:t>
      </w:r>
      <w:r w:rsidR="00DE3CE5">
        <w:rPr>
          <w:rFonts w:ascii="Avenir Next" w:hAnsi="Avenir Next" w:cs="Arial"/>
          <w:color w:val="7B7B7B" w:themeColor="accent3" w:themeShade="BF"/>
          <w:sz w:val="22"/>
          <w:szCs w:val="22"/>
          <w:lang w:val="en-GB"/>
        </w:rPr>
        <w:t xml:space="preserve">, </w:t>
      </w:r>
      <w:r w:rsidR="0084252A">
        <w:rPr>
          <w:rFonts w:ascii="Avenir Next" w:hAnsi="Avenir Next" w:cs="Arial"/>
          <w:color w:val="7B7B7B" w:themeColor="accent3" w:themeShade="BF"/>
          <w:sz w:val="22"/>
          <w:szCs w:val="22"/>
          <w:lang w:val="en-GB"/>
        </w:rPr>
        <w:t>the relevant statutory provision is s 212</w:t>
      </w:r>
      <w:r w:rsidR="00455566">
        <w:rPr>
          <w:rFonts w:ascii="Avenir Next" w:hAnsi="Avenir Next" w:cs="Arial"/>
          <w:color w:val="7B7B7B" w:themeColor="accent3" w:themeShade="BF"/>
          <w:sz w:val="22"/>
          <w:szCs w:val="22"/>
          <w:lang w:val="en-GB"/>
        </w:rPr>
        <w:t xml:space="preserve">. </w:t>
      </w:r>
      <w:r w:rsidR="00F8013E">
        <w:rPr>
          <w:rFonts w:ascii="Avenir Next" w:hAnsi="Avenir Next" w:cs="Arial"/>
          <w:color w:val="7B7B7B" w:themeColor="accent3" w:themeShade="BF"/>
          <w:sz w:val="22"/>
          <w:szCs w:val="22"/>
          <w:lang w:val="en-GB"/>
        </w:rPr>
        <w:t xml:space="preserve">The section </w:t>
      </w:r>
      <w:r w:rsidR="00841A19">
        <w:rPr>
          <w:rFonts w:ascii="Avenir Next" w:hAnsi="Avenir Next" w:cs="Arial"/>
          <w:color w:val="7B7B7B" w:themeColor="accent3" w:themeShade="BF"/>
          <w:sz w:val="22"/>
          <w:szCs w:val="22"/>
          <w:lang w:val="en-GB"/>
        </w:rPr>
        <w:t xml:space="preserve">is a summary procedure which simplifies actions brought against </w:t>
      </w:r>
      <w:r w:rsidR="007B5C58">
        <w:rPr>
          <w:rFonts w:ascii="Avenir Next" w:hAnsi="Avenir Next" w:cs="Arial"/>
          <w:color w:val="7B7B7B" w:themeColor="accent3" w:themeShade="BF"/>
          <w:sz w:val="22"/>
          <w:szCs w:val="22"/>
          <w:lang w:val="en-GB"/>
        </w:rPr>
        <w:t xml:space="preserve">the former officers of the company. It does not create new causes of actions, but creates a simplified procedure for causes of action which the company could enforce. </w:t>
      </w:r>
      <w:r w:rsidR="0050121A">
        <w:rPr>
          <w:rFonts w:ascii="Avenir Next" w:hAnsi="Avenir Next" w:cs="Arial"/>
          <w:color w:val="7B7B7B" w:themeColor="accent3" w:themeShade="BF"/>
          <w:sz w:val="22"/>
          <w:szCs w:val="22"/>
          <w:lang w:val="en-GB"/>
        </w:rPr>
        <w:t xml:space="preserve">Section 212 provides that the court may consider the conduct of certain persons, and, if misfeasance or breaches of </w:t>
      </w:r>
      <w:r w:rsidR="002C3099">
        <w:rPr>
          <w:rFonts w:ascii="Avenir Next" w:hAnsi="Avenir Next" w:cs="Arial"/>
          <w:color w:val="7B7B7B" w:themeColor="accent3" w:themeShade="BF"/>
          <w:sz w:val="22"/>
          <w:szCs w:val="22"/>
          <w:lang w:val="en-GB"/>
        </w:rPr>
        <w:t xml:space="preserve">duties are found, </w:t>
      </w:r>
      <w:r w:rsidR="00C27EB0">
        <w:rPr>
          <w:rFonts w:ascii="Avenir Next" w:hAnsi="Avenir Next" w:cs="Arial"/>
          <w:color w:val="7B7B7B" w:themeColor="accent3" w:themeShade="BF"/>
          <w:sz w:val="22"/>
          <w:szCs w:val="22"/>
          <w:lang w:val="en-GB"/>
        </w:rPr>
        <w:t xml:space="preserve">order the repayment, restoration, or accounting of money or property, or the contribution </w:t>
      </w:r>
      <w:r w:rsidR="00161887">
        <w:rPr>
          <w:rFonts w:ascii="Avenir Next" w:hAnsi="Avenir Next" w:cs="Arial"/>
          <w:color w:val="7B7B7B" w:themeColor="accent3" w:themeShade="BF"/>
          <w:sz w:val="22"/>
          <w:szCs w:val="22"/>
          <w:lang w:val="en-GB"/>
        </w:rPr>
        <w:t>of such sums</w:t>
      </w:r>
      <w:r w:rsidR="005549DB">
        <w:rPr>
          <w:rFonts w:ascii="Avenir Next" w:hAnsi="Avenir Next" w:cs="Arial"/>
          <w:color w:val="7B7B7B" w:themeColor="accent3" w:themeShade="BF"/>
          <w:sz w:val="22"/>
          <w:szCs w:val="22"/>
          <w:lang w:val="en-GB"/>
        </w:rPr>
        <w:t xml:space="preserve"> to the company’s assets by way of compensation</w:t>
      </w:r>
      <w:r w:rsidR="00161887">
        <w:rPr>
          <w:rFonts w:ascii="Avenir Next" w:hAnsi="Avenir Next" w:cs="Arial"/>
          <w:color w:val="7B7B7B" w:themeColor="accent3" w:themeShade="BF"/>
          <w:sz w:val="22"/>
          <w:szCs w:val="22"/>
          <w:lang w:val="en-GB"/>
        </w:rPr>
        <w:t>,</w:t>
      </w:r>
      <w:r w:rsidR="005549DB">
        <w:rPr>
          <w:rFonts w:ascii="Avenir Next" w:hAnsi="Avenir Next" w:cs="Arial"/>
          <w:color w:val="7B7B7B" w:themeColor="accent3" w:themeShade="BF"/>
          <w:sz w:val="22"/>
          <w:szCs w:val="22"/>
          <w:lang w:val="en-GB"/>
        </w:rPr>
        <w:t xml:space="preserve"> as the court thinks just. </w:t>
      </w:r>
    </w:p>
    <w:p w14:paraId="564384C7" w14:textId="77777777" w:rsidR="00A13A24" w:rsidRDefault="00A13A24" w:rsidP="00197F24">
      <w:pPr>
        <w:jc w:val="both"/>
        <w:rPr>
          <w:rFonts w:ascii="Avenir Next" w:hAnsi="Avenir Next" w:cs="Arial"/>
          <w:color w:val="7B7B7B" w:themeColor="accent3" w:themeShade="BF"/>
          <w:sz w:val="22"/>
          <w:szCs w:val="22"/>
          <w:lang w:val="en-GB"/>
        </w:rPr>
      </w:pPr>
    </w:p>
    <w:p w14:paraId="2C90FF8C" w14:textId="14BB8CC9" w:rsidR="00EA0631" w:rsidRDefault="00A13A2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it is likely that </w:t>
      </w:r>
      <w:r w:rsidR="005F5678">
        <w:rPr>
          <w:rFonts w:ascii="Avenir Next" w:hAnsi="Avenir Next" w:cs="Arial"/>
          <w:color w:val="7B7B7B" w:themeColor="accent3" w:themeShade="BF"/>
          <w:sz w:val="22"/>
          <w:szCs w:val="22"/>
          <w:lang w:val="en-GB"/>
        </w:rPr>
        <w:t xml:space="preserve">the court may find that Angela Bannister has breached her fiduciary duties </w:t>
      </w:r>
      <w:r w:rsidR="00492082">
        <w:rPr>
          <w:rFonts w:ascii="Avenir Next" w:hAnsi="Avenir Next" w:cs="Arial"/>
          <w:color w:val="7B7B7B" w:themeColor="accent3" w:themeShade="BF"/>
          <w:sz w:val="22"/>
          <w:szCs w:val="22"/>
          <w:lang w:val="en-GB"/>
        </w:rPr>
        <w:t xml:space="preserve">because she has acted in conflict with the company’s interests by entering into an agreement </w:t>
      </w:r>
      <w:r w:rsidR="00492082">
        <w:rPr>
          <w:rFonts w:ascii="Avenir Next" w:hAnsi="Avenir Next" w:cs="Arial"/>
          <w:color w:val="7B7B7B" w:themeColor="accent3" w:themeShade="BF"/>
          <w:sz w:val="22"/>
          <w:szCs w:val="22"/>
          <w:lang w:val="en-GB"/>
        </w:rPr>
        <w:lastRenderedPageBreak/>
        <w:t xml:space="preserve">to purchase the laser cutting machines </w:t>
      </w:r>
      <w:r w:rsidR="004D6AE6">
        <w:rPr>
          <w:rFonts w:ascii="Avenir Next" w:hAnsi="Avenir Next" w:cs="Arial"/>
          <w:color w:val="7B7B7B" w:themeColor="accent3" w:themeShade="BF"/>
          <w:sz w:val="22"/>
          <w:szCs w:val="22"/>
          <w:lang w:val="en-GB"/>
        </w:rPr>
        <w:t xml:space="preserve">for a consideration of GBP 40,000. She </w:t>
      </w:r>
      <w:r w:rsidR="009A2530">
        <w:rPr>
          <w:rFonts w:ascii="Avenir Next" w:hAnsi="Avenir Next" w:cs="Arial"/>
          <w:color w:val="7B7B7B" w:themeColor="accent3" w:themeShade="BF"/>
          <w:sz w:val="22"/>
          <w:szCs w:val="22"/>
          <w:lang w:val="en-GB"/>
        </w:rPr>
        <w:t>also likely</w:t>
      </w:r>
      <w:r w:rsidR="004D6AE6">
        <w:rPr>
          <w:rFonts w:ascii="Avenir Next" w:hAnsi="Avenir Next" w:cs="Arial"/>
          <w:color w:val="7B7B7B" w:themeColor="accent3" w:themeShade="BF"/>
          <w:sz w:val="22"/>
          <w:szCs w:val="22"/>
          <w:lang w:val="en-GB"/>
        </w:rPr>
        <w:t xml:space="preserve"> has acted in breach of her duties to act in the best interests of the company for the same actions. </w:t>
      </w:r>
      <w:r w:rsidR="009A2530">
        <w:rPr>
          <w:rFonts w:ascii="Avenir Next" w:hAnsi="Avenir Next" w:cs="Arial"/>
          <w:color w:val="7B7B7B" w:themeColor="accent3" w:themeShade="BF"/>
          <w:sz w:val="22"/>
          <w:szCs w:val="22"/>
          <w:lang w:val="en-GB"/>
        </w:rPr>
        <w:t xml:space="preserve">As such, </w:t>
      </w:r>
      <w:r w:rsidR="00407859">
        <w:rPr>
          <w:rFonts w:ascii="Avenir Next" w:hAnsi="Avenir Next" w:cs="Arial"/>
          <w:color w:val="7B7B7B" w:themeColor="accent3" w:themeShade="BF"/>
          <w:sz w:val="22"/>
          <w:szCs w:val="22"/>
          <w:lang w:val="en-GB"/>
        </w:rPr>
        <w:t xml:space="preserve">the court will be likely to make an order for compensation to BLL. </w:t>
      </w:r>
    </w:p>
    <w:p w14:paraId="29366A95" w14:textId="77777777" w:rsidR="008569DB" w:rsidRDefault="008569DB" w:rsidP="00197F24">
      <w:pPr>
        <w:jc w:val="both"/>
        <w:rPr>
          <w:rFonts w:ascii="Avenir Next" w:hAnsi="Avenir Next" w:cs="Arial"/>
          <w:color w:val="7B7B7B" w:themeColor="accent3" w:themeShade="BF"/>
          <w:sz w:val="22"/>
          <w:szCs w:val="22"/>
          <w:lang w:val="en-GB"/>
        </w:rPr>
      </w:pPr>
    </w:p>
    <w:p w14:paraId="49D6FA7A" w14:textId="77777777" w:rsidR="008569DB" w:rsidRPr="00197F24" w:rsidRDefault="008569DB"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5925AFE5" w:rsidR="00CF3708" w:rsidRDefault="00542E9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to Aluminium Alumini Ltd </w:t>
      </w:r>
      <w:r w:rsidR="008857EC">
        <w:rPr>
          <w:rFonts w:ascii="Avenir Next" w:hAnsi="Avenir Next" w:cs="Arial"/>
          <w:color w:val="7B7B7B" w:themeColor="accent3" w:themeShade="BF"/>
          <w:sz w:val="22"/>
          <w:szCs w:val="22"/>
          <w:lang w:val="en-GB"/>
        </w:rPr>
        <w:t xml:space="preserve">raises the issue of whether these payments should be avoided on the basis of them being preferences. </w:t>
      </w:r>
      <w:r w:rsidR="00BB01E4">
        <w:rPr>
          <w:rFonts w:ascii="Avenir Next" w:hAnsi="Avenir Next" w:cs="Arial"/>
          <w:color w:val="7B7B7B" w:themeColor="accent3" w:themeShade="BF"/>
          <w:sz w:val="22"/>
          <w:szCs w:val="22"/>
          <w:lang w:val="en-GB"/>
        </w:rPr>
        <w:t xml:space="preserve">The relevant statutory provision is s 239 Insolvency Act 1986. </w:t>
      </w:r>
      <w:r w:rsidR="00BC62EA">
        <w:rPr>
          <w:rFonts w:ascii="Avenir Next" w:hAnsi="Avenir Next" w:cs="Arial"/>
          <w:color w:val="7B7B7B" w:themeColor="accent3" w:themeShade="BF"/>
          <w:sz w:val="22"/>
          <w:szCs w:val="22"/>
          <w:lang w:val="en-GB"/>
        </w:rPr>
        <w:t xml:space="preserve">Pursuant to s 240, the relevant time </w:t>
      </w:r>
      <w:r w:rsidR="00873CEF">
        <w:rPr>
          <w:rFonts w:ascii="Avenir Next" w:hAnsi="Avenir Next" w:cs="Arial"/>
          <w:color w:val="7B7B7B" w:themeColor="accent3" w:themeShade="BF"/>
          <w:sz w:val="22"/>
          <w:szCs w:val="22"/>
          <w:lang w:val="en-GB"/>
        </w:rPr>
        <w:t xml:space="preserve">for preferences is a period of 6 months </w:t>
      </w:r>
      <w:r w:rsidR="002577FE">
        <w:rPr>
          <w:rFonts w:ascii="Avenir Next" w:hAnsi="Avenir Next" w:cs="Arial"/>
          <w:color w:val="7B7B7B" w:themeColor="accent3" w:themeShade="BF"/>
          <w:sz w:val="22"/>
          <w:szCs w:val="22"/>
          <w:lang w:val="en-GB"/>
        </w:rPr>
        <w:t>before the onset of insolvency. This is applicable in the present case because Aluminimum Alumini Ltd is not a person connected with the company. It is merely one of the company’s key suppliers.</w:t>
      </w:r>
    </w:p>
    <w:p w14:paraId="5D2E0CA5" w14:textId="77777777" w:rsidR="002577FE" w:rsidRDefault="002577FE" w:rsidP="00CF3708">
      <w:pPr>
        <w:jc w:val="both"/>
        <w:rPr>
          <w:rFonts w:ascii="Avenir Next" w:hAnsi="Avenir Next" w:cs="Arial"/>
          <w:color w:val="7B7B7B" w:themeColor="accent3" w:themeShade="BF"/>
          <w:sz w:val="22"/>
          <w:szCs w:val="22"/>
          <w:lang w:val="en-GB"/>
        </w:rPr>
      </w:pPr>
    </w:p>
    <w:p w14:paraId="430B59DE" w14:textId="77777777" w:rsidR="0085188D" w:rsidRDefault="00A31F88"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an application pursuant to s 239 to succeed, it must be shown that: (a) the person whom the preference was made in favour of was at the time of the transaction, a creditor of the company; (b) </w:t>
      </w:r>
      <w:r w:rsidR="00770EB3">
        <w:rPr>
          <w:rFonts w:ascii="Avenir Next" w:hAnsi="Avenir Next" w:cs="Arial"/>
          <w:color w:val="7B7B7B" w:themeColor="accent3" w:themeShade="BF"/>
          <w:sz w:val="22"/>
          <w:szCs w:val="22"/>
          <w:lang w:val="en-GB"/>
        </w:rPr>
        <w:t>something was done, or suffered to be done, by the company that had the effect of putting that person in a better position</w:t>
      </w:r>
      <w:r w:rsidR="00986B55">
        <w:rPr>
          <w:rFonts w:ascii="Avenir Next" w:hAnsi="Avenir Next" w:cs="Arial"/>
          <w:color w:val="7B7B7B" w:themeColor="accent3" w:themeShade="BF"/>
          <w:sz w:val="22"/>
          <w:szCs w:val="22"/>
          <w:lang w:val="en-GB"/>
        </w:rPr>
        <w:t xml:space="preserve"> if </w:t>
      </w:r>
      <w:r w:rsidR="00F83253">
        <w:rPr>
          <w:rFonts w:ascii="Avenir Next" w:hAnsi="Avenir Next" w:cs="Arial"/>
          <w:color w:val="7B7B7B" w:themeColor="accent3" w:themeShade="BF"/>
          <w:sz w:val="22"/>
          <w:szCs w:val="22"/>
          <w:lang w:val="en-GB"/>
        </w:rPr>
        <w:t>the company gone into insolvent liquidation</w:t>
      </w:r>
      <w:r w:rsidR="00986B55">
        <w:rPr>
          <w:rFonts w:ascii="Avenir Next" w:hAnsi="Avenir Next" w:cs="Arial"/>
          <w:color w:val="7B7B7B" w:themeColor="accent3" w:themeShade="BF"/>
          <w:sz w:val="22"/>
          <w:szCs w:val="22"/>
          <w:lang w:val="en-GB"/>
        </w:rPr>
        <w:t>, as compared to if nothing had been done</w:t>
      </w:r>
      <w:r w:rsidR="00F83253">
        <w:rPr>
          <w:rFonts w:ascii="Avenir Next" w:hAnsi="Avenir Next" w:cs="Arial"/>
          <w:color w:val="7B7B7B" w:themeColor="accent3" w:themeShade="BF"/>
          <w:sz w:val="22"/>
          <w:szCs w:val="22"/>
          <w:lang w:val="en-GB"/>
        </w:rPr>
        <w:t>;</w:t>
      </w:r>
      <w:r w:rsidR="00986B55">
        <w:rPr>
          <w:rFonts w:ascii="Avenir Next" w:hAnsi="Avenir Next" w:cs="Arial"/>
          <w:color w:val="7B7B7B" w:themeColor="accent3" w:themeShade="BF"/>
          <w:sz w:val="22"/>
          <w:szCs w:val="22"/>
          <w:lang w:val="en-GB"/>
        </w:rPr>
        <w:t xml:space="preserve"> </w:t>
      </w:r>
      <w:r w:rsidR="00302804">
        <w:rPr>
          <w:rFonts w:ascii="Avenir Next" w:hAnsi="Avenir Next" w:cs="Arial"/>
          <w:color w:val="7B7B7B" w:themeColor="accent3" w:themeShade="BF"/>
          <w:sz w:val="22"/>
          <w:szCs w:val="22"/>
          <w:lang w:val="en-GB"/>
        </w:rPr>
        <w:t xml:space="preserve">(c) </w:t>
      </w:r>
      <w:r w:rsidR="00A22A26">
        <w:rPr>
          <w:rFonts w:ascii="Avenir Next" w:hAnsi="Avenir Next" w:cs="Arial"/>
          <w:color w:val="7B7B7B" w:themeColor="accent3" w:themeShade="BF"/>
          <w:sz w:val="22"/>
          <w:szCs w:val="22"/>
          <w:lang w:val="en-GB"/>
        </w:rPr>
        <w:t xml:space="preserve">the company was influenced by a desire to produce the effect in (b) </w:t>
      </w:r>
      <w:r w:rsidR="0085188D">
        <w:rPr>
          <w:rFonts w:ascii="Avenir Next" w:hAnsi="Avenir Next" w:cs="Arial"/>
          <w:color w:val="7B7B7B" w:themeColor="accent3" w:themeShade="BF"/>
          <w:sz w:val="22"/>
          <w:szCs w:val="22"/>
          <w:lang w:val="en-GB"/>
        </w:rPr>
        <w:t xml:space="preserve">for the person preferred, in giving the preference; and (d) the preference was given at the relevant time, as per s 240. </w:t>
      </w:r>
    </w:p>
    <w:p w14:paraId="3D37A800" w14:textId="77777777" w:rsidR="0085188D" w:rsidRDefault="0085188D" w:rsidP="00CF3708">
      <w:pPr>
        <w:jc w:val="both"/>
        <w:rPr>
          <w:rFonts w:ascii="Avenir Next" w:hAnsi="Avenir Next" w:cs="Arial"/>
          <w:color w:val="7B7B7B" w:themeColor="accent3" w:themeShade="BF"/>
          <w:sz w:val="22"/>
          <w:szCs w:val="22"/>
          <w:lang w:val="en-GB"/>
        </w:rPr>
      </w:pPr>
    </w:p>
    <w:p w14:paraId="2BB72E84" w14:textId="579237DD" w:rsidR="002577FE" w:rsidRDefault="0085188D"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present case,</w:t>
      </w:r>
      <w:r w:rsidR="00ED4ACF">
        <w:rPr>
          <w:rFonts w:ascii="Avenir Next" w:hAnsi="Avenir Next" w:cs="Arial"/>
          <w:color w:val="7B7B7B" w:themeColor="accent3" w:themeShade="BF"/>
          <w:sz w:val="22"/>
          <w:szCs w:val="22"/>
          <w:lang w:val="en-GB"/>
        </w:rPr>
        <w:t xml:space="preserve"> element (a) is not contentious because Aluminium Alumini Ltd was a </w:t>
      </w:r>
      <w:r w:rsidR="007C6476">
        <w:rPr>
          <w:rFonts w:ascii="Avenir Next" w:hAnsi="Avenir Next" w:cs="Arial"/>
          <w:color w:val="7B7B7B" w:themeColor="accent3" w:themeShade="BF"/>
          <w:sz w:val="22"/>
          <w:szCs w:val="22"/>
          <w:lang w:val="en-GB"/>
        </w:rPr>
        <w:t>creditor of the company at the material time.</w:t>
      </w:r>
      <w:r>
        <w:rPr>
          <w:rFonts w:ascii="Avenir Next" w:hAnsi="Avenir Next" w:cs="Arial"/>
          <w:color w:val="7B7B7B" w:themeColor="accent3" w:themeShade="BF"/>
          <w:sz w:val="22"/>
          <w:szCs w:val="22"/>
          <w:lang w:val="en-GB"/>
        </w:rPr>
        <w:t xml:space="preserve"> </w:t>
      </w:r>
      <w:r w:rsidR="00ED4ACF">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lement (</w:t>
      </w:r>
      <w:r w:rsidR="00ED4ACF">
        <w:rPr>
          <w:rFonts w:ascii="Avenir Next" w:hAnsi="Avenir Next" w:cs="Arial"/>
          <w:color w:val="7B7B7B" w:themeColor="accent3" w:themeShade="BF"/>
          <w:sz w:val="22"/>
          <w:szCs w:val="22"/>
          <w:lang w:val="en-GB"/>
        </w:rPr>
        <w:t>b</w:t>
      </w:r>
      <w:r>
        <w:rPr>
          <w:rFonts w:ascii="Avenir Next" w:hAnsi="Avenir Next" w:cs="Arial"/>
          <w:color w:val="7B7B7B" w:themeColor="accent3" w:themeShade="BF"/>
          <w:sz w:val="22"/>
          <w:szCs w:val="22"/>
          <w:lang w:val="en-GB"/>
        </w:rPr>
        <w:t xml:space="preserve">) is not contentious because </w:t>
      </w:r>
      <w:r w:rsidR="00725CA4">
        <w:rPr>
          <w:rFonts w:ascii="Avenir Next" w:hAnsi="Avenir Next" w:cs="Arial"/>
          <w:color w:val="7B7B7B" w:themeColor="accent3" w:themeShade="BF"/>
          <w:sz w:val="22"/>
          <w:szCs w:val="22"/>
          <w:lang w:val="en-GB"/>
        </w:rPr>
        <w:t xml:space="preserve">the sum of GBP 20,000 was paid to Aluminium Alumini Ltd to cover existing liabilities, and further payments were made in the form of cash on delivery. </w:t>
      </w:r>
      <w:r w:rsidR="008855D8">
        <w:rPr>
          <w:rFonts w:ascii="Avenir Next" w:hAnsi="Avenir Next" w:cs="Arial"/>
          <w:color w:val="7B7B7B" w:themeColor="accent3" w:themeShade="BF"/>
          <w:sz w:val="22"/>
          <w:szCs w:val="22"/>
          <w:lang w:val="en-GB"/>
        </w:rPr>
        <w:t xml:space="preserve">If this was not done, Aluminimum Alumini Ltd may not have been able to claim </w:t>
      </w:r>
      <w:r w:rsidR="00091C66">
        <w:rPr>
          <w:rFonts w:ascii="Avenir Next" w:hAnsi="Avenir Next" w:cs="Arial"/>
          <w:color w:val="7B7B7B" w:themeColor="accent3" w:themeShade="BF"/>
          <w:sz w:val="22"/>
          <w:szCs w:val="22"/>
          <w:lang w:val="en-GB"/>
        </w:rPr>
        <w:t xml:space="preserve">the full sum after BLL became insolvent </w:t>
      </w:r>
      <w:r w:rsidR="008855D8">
        <w:rPr>
          <w:rFonts w:ascii="Avenir Next" w:hAnsi="Avenir Next" w:cs="Arial"/>
          <w:color w:val="7B7B7B" w:themeColor="accent3" w:themeShade="BF"/>
          <w:sz w:val="22"/>
          <w:szCs w:val="22"/>
          <w:lang w:val="en-GB"/>
        </w:rPr>
        <w:t xml:space="preserve">(i.e. they are now in a better position as compared to if </w:t>
      </w:r>
      <w:r w:rsidR="00606433">
        <w:rPr>
          <w:rFonts w:ascii="Avenir Next" w:hAnsi="Avenir Next" w:cs="Arial"/>
          <w:color w:val="7B7B7B" w:themeColor="accent3" w:themeShade="BF"/>
          <w:sz w:val="22"/>
          <w:szCs w:val="22"/>
          <w:lang w:val="en-GB"/>
        </w:rPr>
        <w:t>the company went insolvent).</w:t>
      </w:r>
      <w:r w:rsidR="00F83253">
        <w:rPr>
          <w:rFonts w:ascii="Avenir Next" w:hAnsi="Avenir Next" w:cs="Arial"/>
          <w:color w:val="7B7B7B" w:themeColor="accent3" w:themeShade="BF"/>
          <w:sz w:val="22"/>
          <w:szCs w:val="22"/>
          <w:lang w:val="en-GB"/>
        </w:rPr>
        <w:t xml:space="preserve"> </w:t>
      </w:r>
      <w:r w:rsidR="000D21FF">
        <w:rPr>
          <w:rFonts w:ascii="Avenir Next" w:hAnsi="Avenir Next" w:cs="Arial"/>
          <w:color w:val="7B7B7B" w:themeColor="accent3" w:themeShade="BF"/>
          <w:sz w:val="22"/>
          <w:szCs w:val="22"/>
          <w:lang w:val="en-GB"/>
        </w:rPr>
        <w:t xml:space="preserve">Element (d) is not contentious because </w:t>
      </w:r>
      <w:r w:rsidR="009A4CB3">
        <w:rPr>
          <w:rFonts w:ascii="Avenir Next" w:hAnsi="Avenir Next" w:cs="Arial"/>
          <w:color w:val="7B7B7B" w:themeColor="accent3" w:themeShade="BF"/>
          <w:sz w:val="22"/>
          <w:szCs w:val="22"/>
          <w:lang w:val="en-GB"/>
        </w:rPr>
        <w:t xml:space="preserve">the preference was made within the relevant time (of 6 months before the onset of insolvency). </w:t>
      </w:r>
    </w:p>
    <w:p w14:paraId="0E6C7CBA" w14:textId="77777777" w:rsidR="009A4CB3" w:rsidRDefault="009A4CB3" w:rsidP="00CF3708">
      <w:pPr>
        <w:jc w:val="both"/>
        <w:rPr>
          <w:rFonts w:ascii="Avenir Next" w:hAnsi="Avenir Next" w:cs="Arial"/>
          <w:color w:val="7B7B7B" w:themeColor="accent3" w:themeShade="BF"/>
          <w:sz w:val="22"/>
          <w:szCs w:val="22"/>
          <w:lang w:val="en-GB"/>
        </w:rPr>
      </w:pPr>
    </w:p>
    <w:p w14:paraId="6E03D945" w14:textId="68F8F9EB" w:rsidR="009A4CB3" w:rsidRPr="00771377" w:rsidRDefault="009A4CB3"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for element (c), </w:t>
      </w:r>
      <w:r w:rsidR="00683F97">
        <w:rPr>
          <w:rFonts w:ascii="Avenir Next" w:hAnsi="Avenir Next" w:cs="Arial"/>
          <w:color w:val="7B7B7B" w:themeColor="accent3" w:themeShade="BF"/>
          <w:sz w:val="22"/>
          <w:szCs w:val="22"/>
          <w:lang w:val="en-GB"/>
        </w:rPr>
        <w:t xml:space="preserve">in my view, it is unlikely for the liquidator to succeed in making a case out that </w:t>
      </w:r>
      <w:r w:rsidR="00771F47">
        <w:rPr>
          <w:rFonts w:ascii="Avenir Next" w:hAnsi="Avenir Next" w:cs="Arial"/>
          <w:color w:val="7B7B7B" w:themeColor="accent3" w:themeShade="BF"/>
          <w:sz w:val="22"/>
          <w:szCs w:val="22"/>
          <w:lang w:val="en-GB"/>
        </w:rPr>
        <w:t xml:space="preserve">the company was influenced by a desire to prefer Aluminium Alumini Ltd when making the payments. This is because </w:t>
      </w:r>
      <w:r w:rsidR="00771377">
        <w:rPr>
          <w:rFonts w:ascii="Avenir Next" w:hAnsi="Avenir Next" w:cs="Arial"/>
          <w:color w:val="7B7B7B" w:themeColor="accent3" w:themeShade="BF"/>
          <w:sz w:val="22"/>
          <w:szCs w:val="22"/>
          <w:lang w:val="en-GB"/>
        </w:rPr>
        <w:t xml:space="preserve">of the guidance provided by Millett J in </w:t>
      </w:r>
      <w:r w:rsidR="00771377">
        <w:rPr>
          <w:rFonts w:ascii="Avenir Next" w:hAnsi="Avenir Next" w:cs="Arial"/>
          <w:i/>
          <w:iCs/>
          <w:color w:val="7B7B7B" w:themeColor="accent3" w:themeShade="BF"/>
          <w:sz w:val="22"/>
          <w:szCs w:val="22"/>
          <w:lang w:val="en-GB"/>
        </w:rPr>
        <w:t>Re MC Bacon Ltd</w:t>
      </w:r>
      <w:r w:rsidR="000D2195">
        <w:rPr>
          <w:rFonts w:ascii="Avenir Next" w:hAnsi="Avenir Next" w:cs="Arial"/>
          <w:color w:val="7B7B7B" w:themeColor="accent3" w:themeShade="BF"/>
          <w:sz w:val="22"/>
          <w:szCs w:val="22"/>
          <w:lang w:val="en-GB"/>
        </w:rPr>
        <w:t xml:space="preserve"> where Millett J delineated between the concept of intention (objective) and desire (subjective). Essentially, Millett J stated that a person may intend the necessary consequences of his actions, but </w:t>
      </w:r>
      <w:r w:rsidR="00606182">
        <w:rPr>
          <w:rFonts w:ascii="Avenir Next" w:hAnsi="Avenir Next" w:cs="Arial"/>
          <w:color w:val="7B7B7B" w:themeColor="accent3" w:themeShade="BF"/>
          <w:sz w:val="22"/>
          <w:szCs w:val="22"/>
          <w:lang w:val="en-GB"/>
        </w:rPr>
        <w:t xml:space="preserve">a person can choose the lesser of two evils without desiring either option. </w:t>
      </w:r>
      <w:r w:rsidR="00F263BA">
        <w:rPr>
          <w:rFonts w:ascii="Avenir Next" w:hAnsi="Avenir Next" w:cs="Arial"/>
          <w:color w:val="7B7B7B" w:themeColor="accent3" w:themeShade="BF"/>
          <w:sz w:val="22"/>
          <w:szCs w:val="22"/>
          <w:lang w:val="en-GB"/>
        </w:rPr>
        <w:t xml:space="preserve">Thus, </w:t>
      </w:r>
      <w:r w:rsidR="00D47487">
        <w:rPr>
          <w:rFonts w:ascii="Avenir Next" w:hAnsi="Avenir Next" w:cs="Arial"/>
          <w:color w:val="7B7B7B" w:themeColor="accent3" w:themeShade="BF"/>
          <w:sz w:val="22"/>
          <w:szCs w:val="22"/>
          <w:lang w:val="en-GB"/>
        </w:rPr>
        <w:t xml:space="preserve">although the company may have intended to prefer Aluminium Alumini Ltd, this does not mean that </w:t>
      </w:r>
      <w:r w:rsidR="00952E3C">
        <w:rPr>
          <w:rFonts w:ascii="Avenir Next" w:hAnsi="Avenir Next" w:cs="Arial"/>
          <w:color w:val="7B7B7B" w:themeColor="accent3" w:themeShade="BF"/>
          <w:sz w:val="22"/>
          <w:szCs w:val="22"/>
          <w:lang w:val="en-GB"/>
        </w:rPr>
        <w:t>they desired to do so as well. On the facts, it appears that the company may not have had any choice in the matter, and had to choose the lesser of two evils, by paying Aluminium Alumini Ltd off. This is due to</w:t>
      </w:r>
      <w:r w:rsidR="00F841E1">
        <w:rPr>
          <w:rFonts w:ascii="Avenir Next" w:hAnsi="Avenir Next" w:cs="Arial"/>
          <w:color w:val="7B7B7B" w:themeColor="accent3" w:themeShade="BF"/>
          <w:sz w:val="22"/>
          <w:szCs w:val="22"/>
          <w:lang w:val="en-GB"/>
        </w:rPr>
        <w:t xml:space="preserve"> Aluminium Alumini Ltd being one of the company’s key suppliers, and the company </w:t>
      </w:r>
      <w:r w:rsidR="008F1B6F">
        <w:rPr>
          <w:rFonts w:ascii="Avenir Next" w:hAnsi="Avenir Next" w:cs="Arial"/>
          <w:color w:val="7B7B7B" w:themeColor="accent3" w:themeShade="BF"/>
          <w:sz w:val="22"/>
          <w:szCs w:val="22"/>
          <w:lang w:val="en-GB"/>
        </w:rPr>
        <w:t xml:space="preserve">viewing the continued supply of metals from it being </w:t>
      </w:r>
      <w:r w:rsidR="009032CA">
        <w:rPr>
          <w:rFonts w:ascii="Avenir Next" w:hAnsi="Avenir Next" w:cs="Arial"/>
          <w:color w:val="7B7B7B" w:themeColor="accent3" w:themeShade="BF"/>
          <w:sz w:val="22"/>
          <w:szCs w:val="22"/>
          <w:lang w:val="en-GB"/>
        </w:rPr>
        <w:t>essential.</w:t>
      </w:r>
      <w:r w:rsidR="00A76963">
        <w:rPr>
          <w:rFonts w:ascii="Avenir Next" w:hAnsi="Avenir Next" w:cs="Arial"/>
          <w:color w:val="7B7B7B" w:themeColor="accent3" w:themeShade="BF"/>
          <w:sz w:val="22"/>
          <w:szCs w:val="22"/>
          <w:lang w:val="en-GB"/>
        </w:rPr>
        <w:t xml:space="preserve"> If the company did not agree to Aluminium Alumini Ltd’s terms</w:t>
      </w:r>
      <w:r w:rsidR="005D3786">
        <w:rPr>
          <w:rFonts w:ascii="Avenir Next" w:hAnsi="Avenir Next" w:cs="Arial"/>
          <w:color w:val="7B7B7B" w:themeColor="accent3" w:themeShade="BF"/>
          <w:sz w:val="22"/>
          <w:szCs w:val="22"/>
          <w:lang w:val="en-GB"/>
        </w:rPr>
        <w:t xml:space="preserve"> and make the payments, further supplies may not have been forthcoming, and </w:t>
      </w:r>
      <w:r w:rsidR="006E681C">
        <w:rPr>
          <w:rFonts w:ascii="Avenir Next" w:hAnsi="Avenir Next" w:cs="Arial"/>
          <w:color w:val="7B7B7B" w:themeColor="accent3" w:themeShade="BF"/>
          <w:sz w:val="22"/>
          <w:szCs w:val="22"/>
          <w:lang w:val="en-GB"/>
        </w:rPr>
        <w:t>the company would not have been able to continue its operations.</w:t>
      </w:r>
      <w:r w:rsidR="009032CA">
        <w:rPr>
          <w:rFonts w:ascii="Avenir Next" w:hAnsi="Avenir Next" w:cs="Arial"/>
          <w:color w:val="7B7B7B" w:themeColor="accent3" w:themeShade="BF"/>
          <w:sz w:val="22"/>
          <w:szCs w:val="22"/>
          <w:lang w:val="en-GB"/>
        </w:rPr>
        <w:t xml:space="preserve"> </w:t>
      </w:r>
      <w:r w:rsidR="00383EA6">
        <w:rPr>
          <w:rFonts w:ascii="Avenir Next" w:hAnsi="Avenir Next" w:cs="Arial"/>
          <w:color w:val="7B7B7B" w:themeColor="accent3" w:themeShade="BF"/>
          <w:sz w:val="22"/>
          <w:szCs w:val="22"/>
          <w:lang w:val="en-GB"/>
        </w:rPr>
        <w:t xml:space="preserve">Since the company is likely to be taken as having been influenced solely by commercial considerations in making the preference (i.e. securing an essential supply </w:t>
      </w:r>
      <w:r w:rsidR="00276532">
        <w:rPr>
          <w:rFonts w:ascii="Avenir Next" w:hAnsi="Avenir Next" w:cs="Arial"/>
          <w:color w:val="7B7B7B" w:themeColor="accent3" w:themeShade="BF"/>
          <w:sz w:val="22"/>
          <w:szCs w:val="22"/>
          <w:lang w:val="en-GB"/>
        </w:rPr>
        <w:t xml:space="preserve">of resources for the business) to continue with its trading, there can be no desire to prefer.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1282E34" w:rsidR="00241FA3" w:rsidRPr="00A84235" w:rsidRDefault="0079120D" w:rsidP="009B4976">
    <w:pPr>
      <w:pStyle w:val="Footer"/>
      <w:ind w:right="360"/>
      <w:rPr>
        <w:rFonts w:ascii="Avenir Next" w:hAnsi="Avenir Next" w:cs="Arial"/>
        <w:sz w:val="22"/>
        <w:szCs w:val="22"/>
        <w:lang w:val="en-GB"/>
      </w:rPr>
    </w:pPr>
    <w:r>
      <w:rPr>
        <w:rFonts w:ascii="Avenir Next" w:hAnsi="Avenir Next" w:cs="Arial"/>
        <w:sz w:val="22"/>
        <w:szCs w:val="22"/>
        <w:lang w:val="en-GB"/>
      </w:rPr>
      <w:t>202324-1381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3AE4" w14:textId="77777777" w:rsidR="008417D8" w:rsidRDefault="0084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DE1E" w14:textId="77777777" w:rsidR="008417D8" w:rsidRDefault="0084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5DF9" w14:textId="77777777" w:rsidR="008417D8" w:rsidRDefault="00841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52D8" w14:textId="77777777" w:rsidR="008417D8" w:rsidRDefault="0084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400"/>
    <w:rsid w:val="00007ECD"/>
    <w:rsid w:val="00010BA0"/>
    <w:rsid w:val="000162B4"/>
    <w:rsid w:val="00016667"/>
    <w:rsid w:val="00016D0F"/>
    <w:rsid w:val="00020557"/>
    <w:rsid w:val="00021FC2"/>
    <w:rsid w:val="0002443E"/>
    <w:rsid w:val="000250C7"/>
    <w:rsid w:val="00026F16"/>
    <w:rsid w:val="00027183"/>
    <w:rsid w:val="000350D7"/>
    <w:rsid w:val="00037621"/>
    <w:rsid w:val="00042309"/>
    <w:rsid w:val="0004444C"/>
    <w:rsid w:val="00044D46"/>
    <w:rsid w:val="00045088"/>
    <w:rsid w:val="00045904"/>
    <w:rsid w:val="000502FD"/>
    <w:rsid w:val="0005044C"/>
    <w:rsid w:val="00065166"/>
    <w:rsid w:val="00074150"/>
    <w:rsid w:val="00082609"/>
    <w:rsid w:val="00084407"/>
    <w:rsid w:val="000851CC"/>
    <w:rsid w:val="00086C55"/>
    <w:rsid w:val="00087F21"/>
    <w:rsid w:val="00091C66"/>
    <w:rsid w:val="00093192"/>
    <w:rsid w:val="00093BE8"/>
    <w:rsid w:val="000971C2"/>
    <w:rsid w:val="000A407B"/>
    <w:rsid w:val="000A68ED"/>
    <w:rsid w:val="000A73D6"/>
    <w:rsid w:val="000A7C2F"/>
    <w:rsid w:val="000B413A"/>
    <w:rsid w:val="000B5FF1"/>
    <w:rsid w:val="000B609F"/>
    <w:rsid w:val="000B6101"/>
    <w:rsid w:val="000C739C"/>
    <w:rsid w:val="000D10C6"/>
    <w:rsid w:val="000D2195"/>
    <w:rsid w:val="000D21FF"/>
    <w:rsid w:val="000D4CFA"/>
    <w:rsid w:val="000D55A8"/>
    <w:rsid w:val="000E4841"/>
    <w:rsid w:val="000F1677"/>
    <w:rsid w:val="000F25B4"/>
    <w:rsid w:val="000F3D6C"/>
    <w:rsid w:val="00101694"/>
    <w:rsid w:val="00101707"/>
    <w:rsid w:val="00102CC9"/>
    <w:rsid w:val="0010593A"/>
    <w:rsid w:val="00105CD7"/>
    <w:rsid w:val="0011473D"/>
    <w:rsid w:val="00115C85"/>
    <w:rsid w:val="00115FCB"/>
    <w:rsid w:val="00123855"/>
    <w:rsid w:val="00126A4D"/>
    <w:rsid w:val="00131808"/>
    <w:rsid w:val="0014171F"/>
    <w:rsid w:val="0014622C"/>
    <w:rsid w:val="0014698C"/>
    <w:rsid w:val="00152348"/>
    <w:rsid w:val="0015456D"/>
    <w:rsid w:val="00155FA2"/>
    <w:rsid w:val="00160E57"/>
    <w:rsid w:val="0016155E"/>
    <w:rsid w:val="00161887"/>
    <w:rsid w:val="00161B77"/>
    <w:rsid w:val="00161F1B"/>
    <w:rsid w:val="00162829"/>
    <w:rsid w:val="00171129"/>
    <w:rsid w:val="00174DB5"/>
    <w:rsid w:val="00175032"/>
    <w:rsid w:val="00180548"/>
    <w:rsid w:val="00180AC4"/>
    <w:rsid w:val="00180CCE"/>
    <w:rsid w:val="0018267A"/>
    <w:rsid w:val="00182779"/>
    <w:rsid w:val="00182788"/>
    <w:rsid w:val="001830DF"/>
    <w:rsid w:val="00192591"/>
    <w:rsid w:val="001942A7"/>
    <w:rsid w:val="001966D9"/>
    <w:rsid w:val="00197F24"/>
    <w:rsid w:val="001A007A"/>
    <w:rsid w:val="001A6855"/>
    <w:rsid w:val="001A7E9A"/>
    <w:rsid w:val="001B0F70"/>
    <w:rsid w:val="001B447E"/>
    <w:rsid w:val="001B5016"/>
    <w:rsid w:val="001C45FC"/>
    <w:rsid w:val="001D0469"/>
    <w:rsid w:val="001D0EFB"/>
    <w:rsid w:val="001D29C0"/>
    <w:rsid w:val="001D4862"/>
    <w:rsid w:val="001E1178"/>
    <w:rsid w:val="001E25B9"/>
    <w:rsid w:val="001E3AB8"/>
    <w:rsid w:val="001E49E0"/>
    <w:rsid w:val="001E68BC"/>
    <w:rsid w:val="001E7B5A"/>
    <w:rsid w:val="001F0EB8"/>
    <w:rsid w:val="001F2E0D"/>
    <w:rsid w:val="001F3C70"/>
    <w:rsid w:val="001F3C98"/>
    <w:rsid w:val="001F7074"/>
    <w:rsid w:val="001F7412"/>
    <w:rsid w:val="0020090A"/>
    <w:rsid w:val="0020204E"/>
    <w:rsid w:val="00202DFE"/>
    <w:rsid w:val="0020725B"/>
    <w:rsid w:val="002110F1"/>
    <w:rsid w:val="00221444"/>
    <w:rsid w:val="002227D9"/>
    <w:rsid w:val="00223171"/>
    <w:rsid w:val="00224353"/>
    <w:rsid w:val="002332E8"/>
    <w:rsid w:val="002356EA"/>
    <w:rsid w:val="002363C1"/>
    <w:rsid w:val="00237A00"/>
    <w:rsid w:val="0024116D"/>
    <w:rsid w:val="00241B44"/>
    <w:rsid w:val="00241FA3"/>
    <w:rsid w:val="00244644"/>
    <w:rsid w:val="00245EFB"/>
    <w:rsid w:val="00250CE3"/>
    <w:rsid w:val="0025386E"/>
    <w:rsid w:val="00254405"/>
    <w:rsid w:val="002577FE"/>
    <w:rsid w:val="0026265A"/>
    <w:rsid w:val="002638B0"/>
    <w:rsid w:val="00264D4D"/>
    <w:rsid w:val="0026647A"/>
    <w:rsid w:val="002668D3"/>
    <w:rsid w:val="0027299F"/>
    <w:rsid w:val="00276214"/>
    <w:rsid w:val="00276532"/>
    <w:rsid w:val="00284EBE"/>
    <w:rsid w:val="002903A7"/>
    <w:rsid w:val="0029433F"/>
    <w:rsid w:val="00294829"/>
    <w:rsid w:val="0029690F"/>
    <w:rsid w:val="00297C8A"/>
    <w:rsid w:val="002A0496"/>
    <w:rsid w:val="002A2A60"/>
    <w:rsid w:val="002A37BB"/>
    <w:rsid w:val="002A5C1F"/>
    <w:rsid w:val="002B0B3F"/>
    <w:rsid w:val="002B1C45"/>
    <w:rsid w:val="002B349C"/>
    <w:rsid w:val="002C13C8"/>
    <w:rsid w:val="002C3099"/>
    <w:rsid w:val="002C3547"/>
    <w:rsid w:val="002C46CB"/>
    <w:rsid w:val="002C5FE2"/>
    <w:rsid w:val="002C7A05"/>
    <w:rsid w:val="002C7C6F"/>
    <w:rsid w:val="002D0021"/>
    <w:rsid w:val="002D0C69"/>
    <w:rsid w:val="002D299D"/>
    <w:rsid w:val="002D3473"/>
    <w:rsid w:val="002D50D3"/>
    <w:rsid w:val="002F1956"/>
    <w:rsid w:val="002F3440"/>
    <w:rsid w:val="002F34A6"/>
    <w:rsid w:val="002F75A3"/>
    <w:rsid w:val="002F77D6"/>
    <w:rsid w:val="00301531"/>
    <w:rsid w:val="00302804"/>
    <w:rsid w:val="00303C2F"/>
    <w:rsid w:val="003045AE"/>
    <w:rsid w:val="0030489E"/>
    <w:rsid w:val="00311816"/>
    <w:rsid w:val="00313940"/>
    <w:rsid w:val="003144EF"/>
    <w:rsid w:val="00314F32"/>
    <w:rsid w:val="00326292"/>
    <w:rsid w:val="00326415"/>
    <w:rsid w:val="00330937"/>
    <w:rsid w:val="00330F31"/>
    <w:rsid w:val="00334648"/>
    <w:rsid w:val="00334957"/>
    <w:rsid w:val="00334E7E"/>
    <w:rsid w:val="0033768C"/>
    <w:rsid w:val="00337938"/>
    <w:rsid w:val="00340769"/>
    <w:rsid w:val="00340E56"/>
    <w:rsid w:val="00341AA6"/>
    <w:rsid w:val="00356FE0"/>
    <w:rsid w:val="0036103F"/>
    <w:rsid w:val="00361A0A"/>
    <w:rsid w:val="00362AC5"/>
    <w:rsid w:val="00364836"/>
    <w:rsid w:val="0036565C"/>
    <w:rsid w:val="0036625E"/>
    <w:rsid w:val="00371F6A"/>
    <w:rsid w:val="00372435"/>
    <w:rsid w:val="0037465A"/>
    <w:rsid w:val="0037676D"/>
    <w:rsid w:val="00382C98"/>
    <w:rsid w:val="00383EA6"/>
    <w:rsid w:val="0038410E"/>
    <w:rsid w:val="0038533C"/>
    <w:rsid w:val="00386568"/>
    <w:rsid w:val="00386CA8"/>
    <w:rsid w:val="00390B57"/>
    <w:rsid w:val="00391474"/>
    <w:rsid w:val="003948D5"/>
    <w:rsid w:val="00396821"/>
    <w:rsid w:val="00397D3A"/>
    <w:rsid w:val="003A051E"/>
    <w:rsid w:val="003A3964"/>
    <w:rsid w:val="003A4482"/>
    <w:rsid w:val="003B170F"/>
    <w:rsid w:val="003B22B7"/>
    <w:rsid w:val="003B3C5F"/>
    <w:rsid w:val="003C2034"/>
    <w:rsid w:val="003C3F3D"/>
    <w:rsid w:val="003C4471"/>
    <w:rsid w:val="003C4F5F"/>
    <w:rsid w:val="003C510E"/>
    <w:rsid w:val="003D0A6D"/>
    <w:rsid w:val="003D5363"/>
    <w:rsid w:val="003E0B16"/>
    <w:rsid w:val="003E1BBF"/>
    <w:rsid w:val="003E67D1"/>
    <w:rsid w:val="003E67F6"/>
    <w:rsid w:val="0040280E"/>
    <w:rsid w:val="00404329"/>
    <w:rsid w:val="00405DC1"/>
    <w:rsid w:val="00407859"/>
    <w:rsid w:val="00415F1F"/>
    <w:rsid w:val="0042108F"/>
    <w:rsid w:val="004240E8"/>
    <w:rsid w:val="00424DAB"/>
    <w:rsid w:val="00426A68"/>
    <w:rsid w:val="00430FED"/>
    <w:rsid w:val="00434A8C"/>
    <w:rsid w:val="00435114"/>
    <w:rsid w:val="00437297"/>
    <w:rsid w:val="00444284"/>
    <w:rsid w:val="00445CE6"/>
    <w:rsid w:val="00450393"/>
    <w:rsid w:val="004534C2"/>
    <w:rsid w:val="0045446F"/>
    <w:rsid w:val="004546C1"/>
    <w:rsid w:val="00455566"/>
    <w:rsid w:val="0045683E"/>
    <w:rsid w:val="00456BA6"/>
    <w:rsid w:val="00461F95"/>
    <w:rsid w:val="00467EBA"/>
    <w:rsid w:val="00471C14"/>
    <w:rsid w:val="00474C2B"/>
    <w:rsid w:val="00477C72"/>
    <w:rsid w:val="00486963"/>
    <w:rsid w:val="00491675"/>
    <w:rsid w:val="00492082"/>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D6AE6"/>
    <w:rsid w:val="004E186F"/>
    <w:rsid w:val="004E3A6B"/>
    <w:rsid w:val="004E622C"/>
    <w:rsid w:val="004F5FDF"/>
    <w:rsid w:val="0050121A"/>
    <w:rsid w:val="005038A9"/>
    <w:rsid w:val="005107DA"/>
    <w:rsid w:val="00514FE3"/>
    <w:rsid w:val="005169F7"/>
    <w:rsid w:val="00516E05"/>
    <w:rsid w:val="005177FE"/>
    <w:rsid w:val="00520242"/>
    <w:rsid w:val="0052263B"/>
    <w:rsid w:val="00523630"/>
    <w:rsid w:val="00524728"/>
    <w:rsid w:val="005331CA"/>
    <w:rsid w:val="00537970"/>
    <w:rsid w:val="00540E3A"/>
    <w:rsid w:val="00542E9F"/>
    <w:rsid w:val="00544127"/>
    <w:rsid w:val="005463A9"/>
    <w:rsid w:val="005506FE"/>
    <w:rsid w:val="00553EB2"/>
    <w:rsid w:val="005549DB"/>
    <w:rsid w:val="00555D1E"/>
    <w:rsid w:val="00560534"/>
    <w:rsid w:val="0056391B"/>
    <w:rsid w:val="005650E2"/>
    <w:rsid w:val="00566F5B"/>
    <w:rsid w:val="00567AD7"/>
    <w:rsid w:val="005720FB"/>
    <w:rsid w:val="00575B2D"/>
    <w:rsid w:val="005833D0"/>
    <w:rsid w:val="005842C9"/>
    <w:rsid w:val="005846F3"/>
    <w:rsid w:val="00585476"/>
    <w:rsid w:val="0058622F"/>
    <w:rsid w:val="00587D73"/>
    <w:rsid w:val="00591303"/>
    <w:rsid w:val="005914D8"/>
    <w:rsid w:val="005925B5"/>
    <w:rsid w:val="00592F82"/>
    <w:rsid w:val="005A0CCA"/>
    <w:rsid w:val="005A0D83"/>
    <w:rsid w:val="005A1083"/>
    <w:rsid w:val="005A6FF2"/>
    <w:rsid w:val="005A726D"/>
    <w:rsid w:val="005A7CCA"/>
    <w:rsid w:val="005B4DC9"/>
    <w:rsid w:val="005B67AC"/>
    <w:rsid w:val="005B79F4"/>
    <w:rsid w:val="005C3B57"/>
    <w:rsid w:val="005C3FD0"/>
    <w:rsid w:val="005D09BD"/>
    <w:rsid w:val="005D16DD"/>
    <w:rsid w:val="005D3786"/>
    <w:rsid w:val="005D43E0"/>
    <w:rsid w:val="005D58A3"/>
    <w:rsid w:val="005E1B79"/>
    <w:rsid w:val="005E29E0"/>
    <w:rsid w:val="005E6076"/>
    <w:rsid w:val="005E7008"/>
    <w:rsid w:val="005E76CF"/>
    <w:rsid w:val="005F026D"/>
    <w:rsid w:val="005F2AEA"/>
    <w:rsid w:val="005F2D0B"/>
    <w:rsid w:val="005F4B31"/>
    <w:rsid w:val="005F5678"/>
    <w:rsid w:val="006039EB"/>
    <w:rsid w:val="00606182"/>
    <w:rsid w:val="00606433"/>
    <w:rsid w:val="00610388"/>
    <w:rsid w:val="00610AC7"/>
    <w:rsid w:val="00612CA5"/>
    <w:rsid w:val="006153EC"/>
    <w:rsid w:val="00621A17"/>
    <w:rsid w:val="006230C6"/>
    <w:rsid w:val="00627CC9"/>
    <w:rsid w:val="00627E7B"/>
    <w:rsid w:val="00630542"/>
    <w:rsid w:val="00632E44"/>
    <w:rsid w:val="0063381C"/>
    <w:rsid w:val="00634622"/>
    <w:rsid w:val="00636808"/>
    <w:rsid w:val="00641515"/>
    <w:rsid w:val="006437A0"/>
    <w:rsid w:val="00645EA1"/>
    <w:rsid w:val="006469A6"/>
    <w:rsid w:val="00654C2F"/>
    <w:rsid w:val="00656BA6"/>
    <w:rsid w:val="00657087"/>
    <w:rsid w:val="00657F61"/>
    <w:rsid w:val="006624AB"/>
    <w:rsid w:val="006639DB"/>
    <w:rsid w:val="00665AEF"/>
    <w:rsid w:val="006661EF"/>
    <w:rsid w:val="00677090"/>
    <w:rsid w:val="00677AEB"/>
    <w:rsid w:val="00680EF2"/>
    <w:rsid w:val="00683F97"/>
    <w:rsid w:val="00687A1D"/>
    <w:rsid w:val="00690F90"/>
    <w:rsid w:val="006925C1"/>
    <w:rsid w:val="00696706"/>
    <w:rsid w:val="00697EA1"/>
    <w:rsid w:val="006A2646"/>
    <w:rsid w:val="006A3386"/>
    <w:rsid w:val="006A6530"/>
    <w:rsid w:val="006B31CE"/>
    <w:rsid w:val="006B435A"/>
    <w:rsid w:val="006B4377"/>
    <w:rsid w:val="006B4C64"/>
    <w:rsid w:val="006C7C12"/>
    <w:rsid w:val="006D282B"/>
    <w:rsid w:val="006D65FD"/>
    <w:rsid w:val="006D6BD5"/>
    <w:rsid w:val="006E0D3B"/>
    <w:rsid w:val="006E481A"/>
    <w:rsid w:val="006E5298"/>
    <w:rsid w:val="006E681C"/>
    <w:rsid w:val="006F4A78"/>
    <w:rsid w:val="006F734A"/>
    <w:rsid w:val="00700D83"/>
    <w:rsid w:val="0070351B"/>
    <w:rsid w:val="00704852"/>
    <w:rsid w:val="007050CE"/>
    <w:rsid w:val="0070524B"/>
    <w:rsid w:val="007053A1"/>
    <w:rsid w:val="007074E9"/>
    <w:rsid w:val="00711FB1"/>
    <w:rsid w:val="00713DA4"/>
    <w:rsid w:val="00714BF1"/>
    <w:rsid w:val="00721383"/>
    <w:rsid w:val="00723B8E"/>
    <w:rsid w:val="00725CA4"/>
    <w:rsid w:val="0072793C"/>
    <w:rsid w:val="0073158B"/>
    <w:rsid w:val="007333CC"/>
    <w:rsid w:val="007337AB"/>
    <w:rsid w:val="0073399A"/>
    <w:rsid w:val="00733A34"/>
    <w:rsid w:val="00740DAD"/>
    <w:rsid w:val="00741E85"/>
    <w:rsid w:val="00742AF3"/>
    <w:rsid w:val="00751CEF"/>
    <w:rsid w:val="007603F5"/>
    <w:rsid w:val="00762BCB"/>
    <w:rsid w:val="00763348"/>
    <w:rsid w:val="00764DB0"/>
    <w:rsid w:val="00766D86"/>
    <w:rsid w:val="0076764D"/>
    <w:rsid w:val="00770EB3"/>
    <w:rsid w:val="00771377"/>
    <w:rsid w:val="00771F47"/>
    <w:rsid w:val="0077498C"/>
    <w:rsid w:val="00774AD3"/>
    <w:rsid w:val="007809BC"/>
    <w:rsid w:val="00781B7B"/>
    <w:rsid w:val="007838C6"/>
    <w:rsid w:val="00784128"/>
    <w:rsid w:val="00784EDD"/>
    <w:rsid w:val="00787BCC"/>
    <w:rsid w:val="0079120D"/>
    <w:rsid w:val="00793173"/>
    <w:rsid w:val="007A2A33"/>
    <w:rsid w:val="007A5171"/>
    <w:rsid w:val="007A7192"/>
    <w:rsid w:val="007A73D5"/>
    <w:rsid w:val="007B137E"/>
    <w:rsid w:val="007B2DC5"/>
    <w:rsid w:val="007B5C58"/>
    <w:rsid w:val="007B5C89"/>
    <w:rsid w:val="007C1FCC"/>
    <w:rsid w:val="007C574F"/>
    <w:rsid w:val="007C6201"/>
    <w:rsid w:val="007C6476"/>
    <w:rsid w:val="007C7472"/>
    <w:rsid w:val="007D7C92"/>
    <w:rsid w:val="007E00A7"/>
    <w:rsid w:val="007E1154"/>
    <w:rsid w:val="007E2919"/>
    <w:rsid w:val="007E46A8"/>
    <w:rsid w:val="007E6BA4"/>
    <w:rsid w:val="007E6BD0"/>
    <w:rsid w:val="007F41F8"/>
    <w:rsid w:val="007F659B"/>
    <w:rsid w:val="0080441E"/>
    <w:rsid w:val="0080450B"/>
    <w:rsid w:val="0080454E"/>
    <w:rsid w:val="00804C32"/>
    <w:rsid w:val="00806302"/>
    <w:rsid w:val="00807119"/>
    <w:rsid w:val="0082105F"/>
    <w:rsid w:val="00821D8F"/>
    <w:rsid w:val="008223BE"/>
    <w:rsid w:val="00823271"/>
    <w:rsid w:val="0082378B"/>
    <w:rsid w:val="0082483F"/>
    <w:rsid w:val="008279C0"/>
    <w:rsid w:val="00831550"/>
    <w:rsid w:val="00835BD9"/>
    <w:rsid w:val="00836F81"/>
    <w:rsid w:val="00837F04"/>
    <w:rsid w:val="008417D8"/>
    <w:rsid w:val="00841A19"/>
    <w:rsid w:val="00842359"/>
    <w:rsid w:val="0084252A"/>
    <w:rsid w:val="00846F61"/>
    <w:rsid w:val="0085188D"/>
    <w:rsid w:val="008569DB"/>
    <w:rsid w:val="00856DC9"/>
    <w:rsid w:val="008605A7"/>
    <w:rsid w:val="00860FA9"/>
    <w:rsid w:val="0086561E"/>
    <w:rsid w:val="00867701"/>
    <w:rsid w:val="00870E0C"/>
    <w:rsid w:val="00871C74"/>
    <w:rsid w:val="008723F3"/>
    <w:rsid w:val="00873488"/>
    <w:rsid w:val="00873CEF"/>
    <w:rsid w:val="00876F56"/>
    <w:rsid w:val="00880059"/>
    <w:rsid w:val="00881DE6"/>
    <w:rsid w:val="008837A6"/>
    <w:rsid w:val="00884D26"/>
    <w:rsid w:val="008855D8"/>
    <w:rsid w:val="008857EC"/>
    <w:rsid w:val="0089145D"/>
    <w:rsid w:val="00891690"/>
    <w:rsid w:val="0089248A"/>
    <w:rsid w:val="008A2D67"/>
    <w:rsid w:val="008A4DF2"/>
    <w:rsid w:val="008A6CFE"/>
    <w:rsid w:val="008B3908"/>
    <w:rsid w:val="008B3E1A"/>
    <w:rsid w:val="008B5333"/>
    <w:rsid w:val="008B58D5"/>
    <w:rsid w:val="008B6223"/>
    <w:rsid w:val="008B72B8"/>
    <w:rsid w:val="008C07A9"/>
    <w:rsid w:val="008C66E0"/>
    <w:rsid w:val="008D1616"/>
    <w:rsid w:val="008D764C"/>
    <w:rsid w:val="008E102B"/>
    <w:rsid w:val="008E3339"/>
    <w:rsid w:val="008F1B6F"/>
    <w:rsid w:val="008F20FC"/>
    <w:rsid w:val="008F22D7"/>
    <w:rsid w:val="008F5FFE"/>
    <w:rsid w:val="009032CA"/>
    <w:rsid w:val="00905A43"/>
    <w:rsid w:val="00905A56"/>
    <w:rsid w:val="00912C79"/>
    <w:rsid w:val="00915C0E"/>
    <w:rsid w:val="00921B8C"/>
    <w:rsid w:val="00922FD7"/>
    <w:rsid w:val="00924DAF"/>
    <w:rsid w:val="00925452"/>
    <w:rsid w:val="00931D14"/>
    <w:rsid w:val="00942123"/>
    <w:rsid w:val="0094280F"/>
    <w:rsid w:val="00947B69"/>
    <w:rsid w:val="00951AA8"/>
    <w:rsid w:val="0095207B"/>
    <w:rsid w:val="00952E3C"/>
    <w:rsid w:val="00962045"/>
    <w:rsid w:val="009624EC"/>
    <w:rsid w:val="00967150"/>
    <w:rsid w:val="00975E5E"/>
    <w:rsid w:val="00980ADF"/>
    <w:rsid w:val="00980E61"/>
    <w:rsid w:val="00986B55"/>
    <w:rsid w:val="00991428"/>
    <w:rsid w:val="00992676"/>
    <w:rsid w:val="009954B2"/>
    <w:rsid w:val="00995E28"/>
    <w:rsid w:val="00996691"/>
    <w:rsid w:val="00996F9B"/>
    <w:rsid w:val="009A198E"/>
    <w:rsid w:val="009A2530"/>
    <w:rsid w:val="009A27D9"/>
    <w:rsid w:val="009A3AB7"/>
    <w:rsid w:val="009A4CB3"/>
    <w:rsid w:val="009A652D"/>
    <w:rsid w:val="009B0723"/>
    <w:rsid w:val="009B07AD"/>
    <w:rsid w:val="009B0883"/>
    <w:rsid w:val="009B15E2"/>
    <w:rsid w:val="009B489C"/>
    <w:rsid w:val="009B4976"/>
    <w:rsid w:val="009B6392"/>
    <w:rsid w:val="009C0B8E"/>
    <w:rsid w:val="009C1BC8"/>
    <w:rsid w:val="009C2442"/>
    <w:rsid w:val="009C54F6"/>
    <w:rsid w:val="009C73AD"/>
    <w:rsid w:val="009D0811"/>
    <w:rsid w:val="009D0EE1"/>
    <w:rsid w:val="009D3AF0"/>
    <w:rsid w:val="009D5527"/>
    <w:rsid w:val="009E2AEB"/>
    <w:rsid w:val="009E2E27"/>
    <w:rsid w:val="009E45DF"/>
    <w:rsid w:val="009E4DE3"/>
    <w:rsid w:val="009F275E"/>
    <w:rsid w:val="009F476F"/>
    <w:rsid w:val="00A0023B"/>
    <w:rsid w:val="00A047EE"/>
    <w:rsid w:val="00A1291A"/>
    <w:rsid w:val="00A13A24"/>
    <w:rsid w:val="00A14496"/>
    <w:rsid w:val="00A15D0B"/>
    <w:rsid w:val="00A2274A"/>
    <w:rsid w:val="00A22A26"/>
    <w:rsid w:val="00A235B7"/>
    <w:rsid w:val="00A24165"/>
    <w:rsid w:val="00A27A7A"/>
    <w:rsid w:val="00A31F88"/>
    <w:rsid w:val="00A32A9D"/>
    <w:rsid w:val="00A34ABE"/>
    <w:rsid w:val="00A407EF"/>
    <w:rsid w:val="00A46B4C"/>
    <w:rsid w:val="00A47764"/>
    <w:rsid w:val="00A5117B"/>
    <w:rsid w:val="00A514E0"/>
    <w:rsid w:val="00A5235C"/>
    <w:rsid w:val="00A56D34"/>
    <w:rsid w:val="00A60074"/>
    <w:rsid w:val="00A62021"/>
    <w:rsid w:val="00A64A30"/>
    <w:rsid w:val="00A6627C"/>
    <w:rsid w:val="00A71019"/>
    <w:rsid w:val="00A76963"/>
    <w:rsid w:val="00A81029"/>
    <w:rsid w:val="00A84235"/>
    <w:rsid w:val="00A845F5"/>
    <w:rsid w:val="00A900DB"/>
    <w:rsid w:val="00A90A86"/>
    <w:rsid w:val="00A928B3"/>
    <w:rsid w:val="00A96489"/>
    <w:rsid w:val="00AA2435"/>
    <w:rsid w:val="00AA780B"/>
    <w:rsid w:val="00AB2425"/>
    <w:rsid w:val="00AB685C"/>
    <w:rsid w:val="00AB6C2D"/>
    <w:rsid w:val="00AB6E72"/>
    <w:rsid w:val="00AC08F7"/>
    <w:rsid w:val="00AC317D"/>
    <w:rsid w:val="00AC3839"/>
    <w:rsid w:val="00AC7082"/>
    <w:rsid w:val="00AD4BE8"/>
    <w:rsid w:val="00AE193C"/>
    <w:rsid w:val="00AE31DD"/>
    <w:rsid w:val="00AE5B6F"/>
    <w:rsid w:val="00AE6028"/>
    <w:rsid w:val="00AE6DE8"/>
    <w:rsid w:val="00AF20EF"/>
    <w:rsid w:val="00AF228E"/>
    <w:rsid w:val="00AF3013"/>
    <w:rsid w:val="00AF51BB"/>
    <w:rsid w:val="00B016A8"/>
    <w:rsid w:val="00B04033"/>
    <w:rsid w:val="00B0433F"/>
    <w:rsid w:val="00B051C3"/>
    <w:rsid w:val="00B14819"/>
    <w:rsid w:val="00B15E2F"/>
    <w:rsid w:val="00B17AA9"/>
    <w:rsid w:val="00B20774"/>
    <w:rsid w:val="00B218FA"/>
    <w:rsid w:val="00B23E27"/>
    <w:rsid w:val="00B4044F"/>
    <w:rsid w:val="00B44713"/>
    <w:rsid w:val="00B44FB8"/>
    <w:rsid w:val="00B455E5"/>
    <w:rsid w:val="00B50BE1"/>
    <w:rsid w:val="00B51B95"/>
    <w:rsid w:val="00B56103"/>
    <w:rsid w:val="00B573F8"/>
    <w:rsid w:val="00B60474"/>
    <w:rsid w:val="00B63420"/>
    <w:rsid w:val="00B64929"/>
    <w:rsid w:val="00B72BAF"/>
    <w:rsid w:val="00B736DF"/>
    <w:rsid w:val="00B743D6"/>
    <w:rsid w:val="00B74FBD"/>
    <w:rsid w:val="00B7755B"/>
    <w:rsid w:val="00B77F46"/>
    <w:rsid w:val="00B82586"/>
    <w:rsid w:val="00B829A3"/>
    <w:rsid w:val="00B86DB1"/>
    <w:rsid w:val="00B87869"/>
    <w:rsid w:val="00B90515"/>
    <w:rsid w:val="00B9639B"/>
    <w:rsid w:val="00BA1CFD"/>
    <w:rsid w:val="00BA52F0"/>
    <w:rsid w:val="00BB01E4"/>
    <w:rsid w:val="00BB0F2B"/>
    <w:rsid w:val="00BB1F78"/>
    <w:rsid w:val="00BB7483"/>
    <w:rsid w:val="00BC231B"/>
    <w:rsid w:val="00BC3504"/>
    <w:rsid w:val="00BC62EA"/>
    <w:rsid w:val="00BD6470"/>
    <w:rsid w:val="00BE4FF3"/>
    <w:rsid w:val="00BF2C93"/>
    <w:rsid w:val="00BF3C3A"/>
    <w:rsid w:val="00BF50F7"/>
    <w:rsid w:val="00BF6641"/>
    <w:rsid w:val="00BF7704"/>
    <w:rsid w:val="00C02F29"/>
    <w:rsid w:val="00C036CB"/>
    <w:rsid w:val="00C10EF1"/>
    <w:rsid w:val="00C17718"/>
    <w:rsid w:val="00C20AFE"/>
    <w:rsid w:val="00C22A25"/>
    <w:rsid w:val="00C27EB0"/>
    <w:rsid w:val="00C305F5"/>
    <w:rsid w:val="00C35671"/>
    <w:rsid w:val="00C35B77"/>
    <w:rsid w:val="00C376EB"/>
    <w:rsid w:val="00C46A92"/>
    <w:rsid w:val="00C46EC1"/>
    <w:rsid w:val="00C525F9"/>
    <w:rsid w:val="00C52796"/>
    <w:rsid w:val="00C53E2C"/>
    <w:rsid w:val="00C550C8"/>
    <w:rsid w:val="00C55824"/>
    <w:rsid w:val="00C56B61"/>
    <w:rsid w:val="00C60476"/>
    <w:rsid w:val="00C606C3"/>
    <w:rsid w:val="00C620F4"/>
    <w:rsid w:val="00C66769"/>
    <w:rsid w:val="00C72848"/>
    <w:rsid w:val="00C734B0"/>
    <w:rsid w:val="00C73CE9"/>
    <w:rsid w:val="00C74153"/>
    <w:rsid w:val="00C75CE0"/>
    <w:rsid w:val="00C76D4A"/>
    <w:rsid w:val="00C7736C"/>
    <w:rsid w:val="00C82D87"/>
    <w:rsid w:val="00C8712A"/>
    <w:rsid w:val="00C902C8"/>
    <w:rsid w:val="00C91062"/>
    <w:rsid w:val="00C919D1"/>
    <w:rsid w:val="00C93A34"/>
    <w:rsid w:val="00C963D3"/>
    <w:rsid w:val="00CA5069"/>
    <w:rsid w:val="00CB09F0"/>
    <w:rsid w:val="00CB0B56"/>
    <w:rsid w:val="00CB1983"/>
    <w:rsid w:val="00CB2CBB"/>
    <w:rsid w:val="00CB7CAC"/>
    <w:rsid w:val="00CC5335"/>
    <w:rsid w:val="00CC5BA4"/>
    <w:rsid w:val="00CC72ED"/>
    <w:rsid w:val="00CD1365"/>
    <w:rsid w:val="00CD42C4"/>
    <w:rsid w:val="00CD4998"/>
    <w:rsid w:val="00CE1035"/>
    <w:rsid w:val="00CE2C50"/>
    <w:rsid w:val="00CE6E50"/>
    <w:rsid w:val="00CF2819"/>
    <w:rsid w:val="00CF3708"/>
    <w:rsid w:val="00CF4F9D"/>
    <w:rsid w:val="00CF70DC"/>
    <w:rsid w:val="00D00054"/>
    <w:rsid w:val="00D01697"/>
    <w:rsid w:val="00D148DC"/>
    <w:rsid w:val="00D17FDC"/>
    <w:rsid w:val="00D21D80"/>
    <w:rsid w:val="00D21D8C"/>
    <w:rsid w:val="00D47487"/>
    <w:rsid w:val="00D505F0"/>
    <w:rsid w:val="00D53719"/>
    <w:rsid w:val="00D63EFD"/>
    <w:rsid w:val="00D67DFF"/>
    <w:rsid w:val="00D74221"/>
    <w:rsid w:val="00D84752"/>
    <w:rsid w:val="00D86B3B"/>
    <w:rsid w:val="00D8748A"/>
    <w:rsid w:val="00D93196"/>
    <w:rsid w:val="00D951BC"/>
    <w:rsid w:val="00DA0DC0"/>
    <w:rsid w:val="00DB243C"/>
    <w:rsid w:val="00DB482A"/>
    <w:rsid w:val="00DB50FB"/>
    <w:rsid w:val="00DB56F2"/>
    <w:rsid w:val="00DB6EF5"/>
    <w:rsid w:val="00DC25EF"/>
    <w:rsid w:val="00DC3089"/>
    <w:rsid w:val="00DC4420"/>
    <w:rsid w:val="00DC66A7"/>
    <w:rsid w:val="00DD0802"/>
    <w:rsid w:val="00DD2E11"/>
    <w:rsid w:val="00DE03AF"/>
    <w:rsid w:val="00DE0AD9"/>
    <w:rsid w:val="00DE0E7B"/>
    <w:rsid w:val="00DE121C"/>
    <w:rsid w:val="00DE1AAD"/>
    <w:rsid w:val="00DE3CE5"/>
    <w:rsid w:val="00DE6633"/>
    <w:rsid w:val="00DF75F8"/>
    <w:rsid w:val="00DF7A3A"/>
    <w:rsid w:val="00E00C00"/>
    <w:rsid w:val="00E02DE2"/>
    <w:rsid w:val="00E037C4"/>
    <w:rsid w:val="00E04963"/>
    <w:rsid w:val="00E05833"/>
    <w:rsid w:val="00E07C5A"/>
    <w:rsid w:val="00E15BA9"/>
    <w:rsid w:val="00E26E19"/>
    <w:rsid w:val="00E304EE"/>
    <w:rsid w:val="00E31DF3"/>
    <w:rsid w:val="00E354F7"/>
    <w:rsid w:val="00E443D7"/>
    <w:rsid w:val="00E44757"/>
    <w:rsid w:val="00E450A4"/>
    <w:rsid w:val="00E506BE"/>
    <w:rsid w:val="00E51AF2"/>
    <w:rsid w:val="00E55547"/>
    <w:rsid w:val="00E56312"/>
    <w:rsid w:val="00E6146B"/>
    <w:rsid w:val="00E62557"/>
    <w:rsid w:val="00E6302B"/>
    <w:rsid w:val="00E632EB"/>
    <w:rsid w:val="00E6452F"/>
    <w:rsid w:val="00E64F45"/>
    <w:rsid w:val="00E6742D"/>
    <w:rsid w:val="00E71CB0"/>
    <w:rsid w:val="00E76DCE"/>
    <w:rsid w:val="00E77C3D"/>
    <w:rsid w:val="00E833F4"/>
    <w:rsid w:val="00E90991"/>
    <w:rsid w:val="00E909F0"/>
    <w:rsid w:val="00E90D47"/>
    <w:rsid w:val="00E925E5"/>
    <w:rsid w:val="00E93993"/>
    <w:rsid w:val="00E93A8D"/>
    <w:rsid w:val="00E94797"/>
    <w:rsid w:val="00E9597C"/>
    <w:rsid w:val="00EA0631"/>
    <w:rsid w:val="00EA0913"/>
    <w:rsid w:val="00EA5B00"/>
    <w:rsid w:val="00EA745F"/>
    <w:rsid w:val="00EA7AAC"/>
    <w:rsid w:val="00EB07A9"/>
    <w:rsid w:val="00EB146B"/>
    <w:rsid w:val="00EB3134"/>
    <w:rsid w:val="00EB45AC"/>
    <w:rsid w:val="00EC3E1F"/>
    <w:rsid w:val="00EC441F"/>
    <w:rsid w:val="00EC4755"/>
    <w:rsid w:val="00ED0BC4"/>
    <w:rsid w:val="00ED447D"/>
    <w:rsid w:val="00ED4ACF"/>
    <w:rsid w:val="00EE4971"/>
    <w:rsid w:val="00EE6CB0"/>
    <w:rsid w:val="00EF090E"/>
    <w:rsid w:val="00EF5572"/>
    <w:rsid w:val="00F01D7D"/>
    <w:rsid w:val="00F033DA"/>
    <w:rsid w:val="00F13691"/>
    <w:rsid w:val="00F13FB1"/>
    <w:rsid w:val="00F15CEB"/>
    <w:rsid w:val="00F17F23"/>
    <w:rsid w:val="00F22C3C"/>
    <w:rsid w:val="00F263BA"/>
    <w:rsid w:val="00F27CD8"/>
    <w:rsid w:val="00F30351"/>
    <w:rsid w:val="00F3323E"/>
    <w:rsid w:val="00F341F4"/>
    <w:rsid w:val="00F34F9D"/>
    <w:rsid w:val="00F35CCE"/>
    <w:rsid w:val="00F41146"/>
    <w:rsid w:val="00F422E3"/>
    <w:rsid w:val="00F42DB6"/>
    <w:rsid w:val="00F5524B"/>
    <w:rsid w:val="00F60142"/>
    <w:rsid w:val="00F60538"/>
    <w:rsid w:val="00F60808"/>
    <w:rsid w:val="00F61DD2"/>
    <w:rsid w:val="00F62E7A"/>
    <w:rsid w:val="00F66AFF"/>
    <w:rsid w:val="00F70126"/>
    <w:rsid w:val="00F71433"/>
    <w:rsid w:val="00F76BF0"/>
    <w:rsid w:val="00F8013E"/>
    <w:rsid w:val="00F83253"/>
    <w:rsid w:val="00F841E1"/>
    <w:rsid w:val="00F87B04"/>
    <w:rsid w:val="00F95411"/>
    <w:rsid w:val="00F97C5B"/>
    <w:rsid w:val="00FA12B9"/>
    <w:rsid w:val="00FA3D50"/>
    <w:rsid w:val="00FA417D"/>
    <w:rsid w:val="00FB31D6"/>
    <w:rsid w:val="00FB36CC"/>
    <w:rsid w:val="00FB7FBD"/>
    <w:rsid w:val="00FC374A"/>
    <w:rsid w:val="00FC4370"/>
    <w:rsid w:val="00FC52A7"/>
    <w:rsid w:val="00FC56E4"/>
    <w:rsid w:val="00FC74C8"/>
    <w:rsid w:val="00FC7B47"/>
    <w:rsid w:val="00FD035C"/>
    <w:rsid w:val="00FD1A35"/>
    <w:rsid w:val="00FD2EA4"/>
    <w:rsid w:val="00FD2FD9"/>
    <w:rsid w:val="00FD30F5"/>
    <w:rsid w:val="00FD36C5"/>
    <w:rsid w:val="00FD6310"/>
    <w:rsid w:val="00FD7C7B"/>
    <w:rsid w:val="00FE1D12"/>
    <w:rsid w:val="00FE2122"/>
    <w:rsid w:val="00FE2A86"/>
    <w:rsid w:val="00FE2DE2"/>
    <w:rsid w:val="00FE626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12</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Goh</cp:lastModifiedBy>
  <cp:revision>376</cp:revision>
  <cp:lastPrinted>2019-08-27T05:42:00Z</cp:lastPrinted>
  <dcterms:created xsi:type="dcterms:W3CDTF">2023-07-12T10:10:00Z</dcterms:created>
  <dcterms:modified xsi:type="dcterms:W3CDTF">2024-02-18T09:02:00Z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