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4B9C" w14:textId="671A9E30" w:rsidR="00F65C66" w:rsidRPr="003E502D" w:rsidRDefault="00F65C66" w:rsidP="006C04E7">
      <w:pPr>
        <w:spacing w:line="360" w:lineRule="auto"/>
        <w:ind w:firstLine="720"/>
        <w:rPr>
          <w:rFonts w:ascii="Arial" w:hAnsi="Arial" w:cs="Arial"/>
          <w:b/>
          <w:bCs/>
          <w:caps/>
          <w:sz w:val="24"/>
          <w:szCs w:val="24"/>
          <w:u w:val="single"/>
        </w:rPr>
      </w:pPr>
      <w:r w:rsidRPr="003E502D">
        <w:rPr>
          <w:rFonts w:ascii="Arial" w:hAnsi="Arial" w:cs="Arial"/>
          <w:b/>
          <w:bCs/>
          <w:caps/>
          <w:sz w:val="24"/>
          <w:szCs w:val="24"/>
          <w:u w:val="single"/>
        </w:rPr>
        <w:t>Topic: A critical analysis of the JIN Guidelines</w:t>
      </w:r>
    </w:p>
    <w:p w14:paraId="15C79316" w14:textId="77777777" w:rsidR="0049311B" w:rsidRPr="003E502D" w:rsidRDefault="0049311B" w:rsidP="006C04E7">
      <w:pPr>
        <w:spacing w:line="360" w:lineRule="auto"/>
        <w:ind w:firstLine="720"/>
        <w:rPr>
          <w:rFonts w:ascii="Arial" w:hAnsi="Arial" w:cs="Arial"/>
          <w:b/>
          <w:bCs/>
          <w:sz w:val="24"/>
          <w:szCs w:val="24"/>
          <w:u w:val="single"/>
        </w:rPr>
      </w:pPr>
    </w:p>
    <w:p w14:paraId="6FAE365C" w14:textId="334224E9" w:rsidR="0049311B" w:rsidRPr="003E502D" w:rsidRDefault="0049311B" w:rsidP="006C04E7">
      <w:pPr>
        <w:spacing w:line="360" w:lineRule="auto"/>
        <w:ind w:firstLine="720"/>
        <w:rPr>
          <w:rFonts w:ascii="Arial" w:hAnsi="Arial" w:cs="Arial"/>
          <w:b/>
          <w:bCs/>
          <w:sz w:val="24"/>
          <w:szCs w:val="24"/>
          <w:u w:val="single"/>
        </w:rPr>
      </w:pPr>
      <w:r w:rsidRPr="003E502D">
        <w:rPr>
          <w:rFonts w:ascii="Arial" w:hAnsi="Arial" w:cs="Arial"/>
          <w:b/>
          <w:bCs/>
          <w:sz w:val="24"/>
          <w:szCs w:val="24"/>
          <w:u w:val="single"/>
        </w:rPr>
        <w:t>Table of Contents</w:t>
      </w:r>
    </w:p>
    <w:p w14:paraId="7FE637CE" w14:textId="77777777" w:rsidR="0049311B" w:rsidRPr="003E502D" w:rsidRDefault="0049311B" w:rsidP="006C04E7">
      <w:pPr>
        <w:spacing w:line="360" w:lineRule="auto"/>
        <w:ind w:firstLine="720"/>
        <w:rPr>
          <w:rFonts w:ascii="Arial" w:hAnsi="Arial" w:cs="Arial"/>
          <w:b/>
          <w:bCs/>
          <w:sz w:val="24"/>
          <w:szCs w:val="24"/>
          <w:u w:val="single"/>
        </w:rPr>
      </w:pPr>
    </w:p>
    <w:p w14:paraId="67778EC2" w14:textId="46424D6A" w:rsidR="0049311B" w:rsidRPr="003E502D" w:rsidRDefault="0049311B" w:rsidP="0049311B">
      <w:pPr>
        <w:pStyle w:val="ListParagraph"/>
        <w:numPr>
          <w:ilvl w:val="0"/>
          <w:numId w:val="3"/>
        </w:numPr>
        <w:spacing w:line="360" w:lineRule="auto"/>
        <w:rPr>
          <w:rFonts w:ascii="Arial" w:hAnsi="Arial" w:cs="Arial"/>
        </w:rPr>
      </w:pPr>
      <w:r w:rsidRPr="003E502D">
        <w:rPr>
          <w:rFonts w:ascii="Arial" w:hAnsi="Arial" w:cs="Arial"/>
        </w:rPr>
        <w:t>Introduction</w:t>
      </w:r>
      <w:r w:rsidRPr="003E502D">
        <w:rPr>
          <w:rFonts w:ascii="Arial" w:hAnsi="Arial" w:cs="Arial"/>
        </w:rPr>
        <w:tab/>
      </w:r>
      <w:r w:rsidRPr="003E502D">
        <w:rPr>
          <w:rFonts w:ascii="Arial" w:hAnsi="Arial" w:cs="Arial"/>
        </w:rPr>
        <w:tab/>
      </w:r>
      <w:r w:rsidRPr="003E502D">
        <w:rPr>
          <w:rFonts w:ascii="Arial" w:hAnsi="Arial" w:cs="Arial"/>
        </w:rPr>
        <w:tab/>
        <w:t>Page 1</w:t>
      </w:r>
    </w:p>
    <w:p w14:paraId="6578B070" w14:textId="4859E901" w:rsidR="0049311B" w:rsidRPr="003E502D" w:rsidRDefault="0049311B" w:rsidP="0049311B">
      <w:pPr>
        <w:pStyle w:val="ListParagraph"/>
        <w:numPr>
          <w:ilvl w:val="0"/>
          <w:numId w:val="3"/>
        </w:numPr>
        <w:spacing w:line="360" w:lineRule="auto"/>
        <w:rPr>
          <w:rFonts w:ascii="Arial" w:hAnsi="Arial" w:cs="Arial"/>
        </w:rPr>
      </w:pPr>
      <w:r w:rsidRPr="003E502D">
        <w:rPr>
          <w:rFonts w:ascii="Arial" w:hAnsi="Arial" w:cs="Arial"/>
        </w:rPr>
        <w:t>Ease of Adoption</w:t>
      </w:r>
      <w:r w:rsidRPr="003E502D">
        <w:rPr>
          <w:rFonts w:ascii="Arial" w:hAnsi="Arial" w:cs="Arial"/>
        </w:rPr>
        <w:tab/>
      </w:r>
      <w:r w:rsidRPr="003E502D">
        <w:rPr>
          <w:rFonts w:ascii="Arial" w:hAnsi="Arial" w:cs="Arial"/>
        </w:rPr>
        <w:tab/>
        <w:t>Page 4</w:t>
      </w:r>
    </w:p>
    <w:p w14:paraId="635F0E14" w14:textId="05436731" w:rsidR="0049311B" w:rsidRPr="003E502D" w:rsidRDefault="0049311B" w:rsidP="0049311B">
      <w:pPr>
        <w:pStyle w:val="ListParagraph"/>
        <w:numPr>
          <w:ilvl w:val="0"/>
          <w:numId w:val="3"/>
        </w:numPr>
        <w:spacing w:line="360" w:lineRule="auto"/>
        <w:rPr>
          <w:rFonts w:ascii="Arial" w:hAnsi="Arial" w:cs="Arial"/>
        </w:rPr>
      </w:pPr>
      <w:r w:rsidRPr="003E502D">
        <w:rPr>
          <w:rFonts w:ascii="Arial" w:hAnsi="Arial" w:cs="Arial"/>
        </w:rPr>
        <w:t>Efficacy of Provisions</w:t>
      </w:r>
      <w:r w:rsidRPr="003E502D">
        <w:rPr>
          <w:rFonts w:ascii="Arial" w:hAnsi="Arial" w:cs="Arial"/>
        </w:rPr>
        <w:tab/>
      </w:r>
      <w:r w:rsidR="003E502D">
        <w:rPr>
          <w:rFonts w:ascii="Arial" w:hAnsi="Arial" w:cs="Arial"/>
        </w:rPr>
        <w:tab/>
      </w:r>
      <w:r w:rsidRPr="003E502D">
        <w:rPr>
          <w:rFonts w:ascii="Arial" w:hAnsi="Arial" w:cs="Arial"/>
        </w:rPr>
        <w:t>Page 5</w:t>
      </w:r>
    </w:p>
    <w:p w14:paraId="0E165029" w14:textId="6C667292" w:rsidR="0049311B" w:rsidRPr="003E502D" w:rsidRDefault="0049311B" w:rsidP="0049311B">
      <w:pPr>
        <w:pStyle w:val="ListParagraph"/>
        <w:numPr>
          <w:ilvl w:val="0"/>
          <w:numId w:val="3"/>
        </w:numPr>
        <w:spacing w:line="360" w:lineRule="auto"/>
        <w:rPr>
          <w:rFonts w:ascii="Arial" w:hAnsi="Arial" w:cs="Arial"/>
        </w:rPr>
      </w:pPr>
      <w:r w:rsidRPr="003E502D">
        <w:rPr>
          <w:rFonts w:ascii="Arial" w:hAnsi="Arial" w:cs="Arial"/>
        </w:rPr>
        <w:t>Conclusion</w:t>
      </w:r>
      <w:r w:rsidRPr="003E502D">
        <w:rPr>
          <w:rFonts w:ascii="Arial" w:hAnsi="Arial" w:cs="Arial"/>
        </w:rPr>
        <w:tab/>
      </w:r>
      <w:r w:rsidRPr="003E502D">
        <w:rPr>
          <w:rFonts w:ascii="Arial" w:hAnsi="Arial" w:cs="Arial"/>
        </w:rPr>
        <w:tab/>
      </w:r>
      <w:r w:rsidRPr="003E502D">
        <w:rPr>
          <w:rFonts w:ascii="Arial" w:hAnsi="Arial" w:cs="Arial"/>
        </w:rPr>
        <w:tab/>
        <w:t>Page 8</w:t>
      </w:r>
    </w:p>
    <w:p w14:paraId="43D48E96" w14:textId="77777777" w:rsidR="009633FB" w:rsidRPr="003E502D" w:rsidRDefault="009633FB" w:rsidP="006C04E7">
      <w:pPr>
        <w:spacing w:line="360" w:lineRule="auto"/>
        <w:rPr>
          <w:rFonts w:ascii="Arial" w:hAnsi="Arial" w:cs="Arial"/>
          <w:b/>
          <w:bCs/>
          <w:sz w:val="24"/>
          <w:szCs w:val="24"/>
        </w:rPr>
      </w:pPr>
    </w:p>
    <w:p w14:paraId="56966B3F" w14:textId="691D2702" w:rsidR="009633FB" w:rsidRPr="003E502D" w:rsidRDefault="009633FB" w:rsidP="006C04E7">
      <w:pPr>
        <w:spacing w:line="360" w:lineRule="auto"/>
        <w:rPr>
          <w:rFonts w:ascii="Arial" w:hAnsi="Arial" w:cs="Arial"/>
          <w:i/>
          <w:iCs/>
          <w:sz w:val="24"/>
          <w:szCs w:val="24"/>
        </w:rPr>
      </w:pPr>
      <w:r w:rsidRPr="003E502D">
        <w:rPr>
          <w:rFonts w:ascii="Arial" w:hAnsi="Arial" w:cs="Arial"/>
          <w:b/>
          <w:bCs/>
          <w:sz w:val="24"/>
          <w:szCs w:val="24"/>
        </w:rPr>
        <w:tab/>
      </w:r>
      <w:r w:rsidRPr="003E502D">
        <w:rPr>
          <w:rFonts w:ascii="Arial" w:hAnsi="Arial" w:cs="Arial"/>
          <w:i/>
          <w:iCs/>
          <w:sz w:val="24"/>
          <w:szCs w:val="24"/>
        </w:rPr>
        <w:t>Introduction</w:t>
      </w:r>
    </w:p>
    <w:p w14:paraId="6B16F9BA" w14:textId="77777777" w:rsidR="00F65C66" w:rsidRPr="003E502D" w:rsidRDefault="00F65C66" w:rsidP="006C04E7">
      <w:pPr>
        <w:spacing w:line="360" w:lineRule="auto"/>
        <w:rPr>
          <w:rFonts w:ascii="Arial" w:hAnsi="Arial" w:cs="Arial"/>
          <w:sz w:val="24"/>
          <w:szCs w:val="24"/>
        </w:rPr>
      </w:pPr>
    </w:p>
    <w:p w14:paraId="162B85BF" w14:textId="32D8913E" w:rsidR="00B663EB" w:rsidRPr="003E502D" w:rsidRDefault="00F65C66" w:rsidP="006C04E7">
      <w:pPr>
        <w:pStyle w:val="ListParagraph"/>
        <w:numPr>
          <w:ilvl w:val="0"/>
          <w:numId w:val="1"/>
        </w:numPr>
        <w:spacing w:line="360" w:lineRule="auto"/>
        <w:rPr>
          <w:rFonts w:ascii="Arial" w:hAnsi="Arial" w:cs="Arial"/>
        </w:rPr>
      </w:pPr>
      <w:r w:rsidRPr="003E502D">
        <w:rPr>
          <w:rFonts w:ascii="Arial" w:hAnsi="Arial" w:cs="Arial"/>
        </w:rPr>
        <w:t>The JIN Guidelines</w:t>
      </w:r>
      <w:r w:rsidR="003F5CBD" w:rsidRPr="003E502D">
        <w:rPr>
          <w:rFonts w:ascii="Arial" w:hAnsi="Arial" w:cs="Arial"/>
        </w:rPr>
        <w:t xml:space="preserve"> (the “Guidelines”)</w:t>
      </w:r>
      <w:r w:rsidRPr="003E502D">
        <w:rPr>
          <w:rFonts w:ascii="Arial" w:hAnsi="Arial" w:cs="Arial"/>
        </w:rPr>
        <w:t xml:space="preserve"> </w:t>
      </w:r>
      <w:proofErr w:type="gramStart"/>
      <w:r w:rsidRPr="003E502D">
        <w:rPr>
          <w:rFonts w:ascii="Arial" w:hAnsi="Arial" w:cs="Arial"/>
        </w:rPr>
        <w:t>are a reflection of</w:t>
      </w:r>
      <w:proofErr w:type="gramEnd"/>
      <w:r w:rsidRPr="003E502D">
        <w:rPr>
          <w:rFonts w:ascii="Arial" w:hAnsi="Arial" w:cs="Arial"/>
        </w:rPr>
        <w:t xml:space="preserve"> modified universalism</w:t>
      </w:r>
      <w:r w:rsidR="003F5CBD" w:rsidRPr="003E502D">
        <w:rPr>
          <w:rFonts w:ascii="Arial" w:hAnsi="Arial" w:cs="Arial"/>
        </w:rPr>
        <w:t>. Although procedural in nature, the intended effect of the Guidelines is the</w:t>
      </w:r>
      <w:r w:rsidRPr="003E502D">
        <w:rPr>
          <w:rFonts w:ascii="Arial" w:hAnsi="Arial" w:cs="Arial"/>
        </w:rPr>
        <w:t xml:space="preserve"> uniform treatment of creditors. </w:t>
      </w:r>
      <w:r w:rsidR="00215F1F" w:rsidRPr="003E502D">
        <w:rPr>
          <w:rFonts w:ascii="Arial" w:hAnsi="Arial" w:cs="Arial"/>
        </w:rPr>
        <w:t xml:space="preserve">A key aspect of such </w:t>
      </w:r>
      <w:proofErr w:type="gramStart"/>
      <w:r w:rsidR="00215F1F" w:rsidRPr="003E502D">
        <w:rPr>
          <w:rFonts w:ascii="Arial" w:hAnsi="Arial" w:cs="Arial"/>
        </w:rPr>
        <w:t>uninform</w:t>
      </w:r>
      <w:proofErr w:type="gramEnd"/>
      <w:r w:rsidR="00215F1F" w:rsidRPr="003E502D">
        <w:rPr>
          <w:rFonts w:ascii="Arial" w:hAnsi="Arial" w:cs="Arial"/>
        </w:rPr>
        <w:t xml:space="preserve"> treatment is the creditors’</w:t>
      </w:r>
      <w:r w:rsidR="003F5CBD" w:rsidRPr="003E502D">
        <w:rPr>
          <w:rFonts w:ascii="Arial" w:hAnsi="Arial" w:cs="Arial"/>
        </w:rPr>
        <w:t xml:space="preserve"> p</w:t>
      </w:r>
      <w:r w:rsidRPr="003E502D">
        <w:rPr>
          <w:rFonts w:ascii="Arial" w:hAnsi="Arial" w:cs="Arial"/>
        </w:rPr>
        <w:t>arity of access to information</w:t>
      </w:r>
      <w:r w:rsidR="003F5CBD" w:rsidRPr="003E502D">
        <w:rPr>
          <w:rFonts w:ascii="Arial" w:hAnsi="Arial" w:cs="Arial"/>
        </w:rPr>
        <w:t xml:space="preserve"> </w:t>
      </w:r>
      <w:r w:rsidR="00215F1F" w:rsidRPr="003E502D">
        <w:rPr>
          <w:rFonts w:ascii="Arial" w:hAnsi="Arial" w:cs="Arial"/>
        </w:rPr>
        <w:t>in</w:t>
      </w:r>
      <w:r w:rsidR="003F5CBD" w:rsidRPr="003E502D">
        <w:rPr>
          <w:rFonts w:ascii="Arial" w:hAnsi="Arial" w:cs="Arial"/>
        </w:rPr>
        <w:t xml:space="preserve"> the jurisdictions </w:t>
      </w:r>
      <w:r w:rsidR="00215F1F" w:rsidRPr="003E502D">
        <w:rPr>
          <w:rFonts w:ascii="Arial" w:hAnsi="Arial" w:cs="Arial"/>
        </w:rPr>
        <w:t xml:space="preserve">involved in the </w:t>
      </w:r>
      <w:proofErr w:type="gramStart"/>
      <w:r w:rsidR="003F5CBD" w:rsidRPr="003E502D">
        <w:rPr>
          <w:rFonts w:ascii="Arial" w:hAnsi="Arial" w:cs="Arial"/>
        </w:rPr>
        <w:t>cross border</w:t>
      </w:r>
      <w:proofErr w:type="gramEnd"/>
      <w:r w:rsidR="003F5CBD" w:rsidRPr="003E502D">
        <w:rPr>
          <w:rFonts w:ascii="Arial" w:hAnsi="Arial" w:cs="Arial"/>
        </w:rPr>
        <w:t xml:space="preserve"> </w:t>
      </w:r>
      <w:r w:rsidR="00CD4E2E" w:rsidRPr="003E502D">
        <w:rPr>
          <w:rFonts w:ascii="Arial" w:hAnsi="Arial" w:cs="Arial"/>
        </w:rPr>
        <w:t>insolvency</w:t>
      </w:r>
      <w:r w:rsidR="003F5CBD" w:rsidRPr="003E502D">
        <w:rPr>
          <w:rFonts w:ascii="Arial" w:hAnsi="Arial" w:cs="Arial"/>
        </w:rPr>
        <w:t xml:space="preserve">. </w:t>
      </w:r>
    </w:p>
    <w:p w14:paraId="0FF41FF2" w14:textId="77777777" w:rsidR="00071402" w:rsidRPr="003E502D" w:rsidRDefault="00071402" w:rsidP="006C04E7">
      <w:pPr>
        <w:pStyle w:val="ListParagraph"/>
        <w:spacing w:line="360" w:lineRule="auto"/>
        <w:rPr>
          <w:rFonts w:ascii="Arial" w:hAnsi="Arial" w:cs="Arial"/>
        </w:rPr>
      </w:pPr>
    </w:p>
    <w:p w14:paraId="256C257D" w14:textId="35461B78" w:rsidR="00071402" w:rsidRPr="003E502D" w:rsidRDefault="00215F1F" w:rsidP="006C04E7">
      <w:pPr>
        <w:pStyle w:val="ListParagraph"/>
        <w:numPr>
          <w:ilvl w:val="0"/>
          <w:numId w:val="1"/>
        </w:numPr>
        <w:spacing w:line="360" w:lineRule="auto"/>
        <w:rPr>
          <w:rFonts w:ascii="Arial" w:hAnsi="Arial" w:cs="Arial"/>
        </w:rPr>
      </w:pPr>
      <w:r w:rsidRPr="003E502D">
        <w:rPr>
          <w:rFonts w:ascii="Arial" w:hAnsi="Arial" w:cs="Arial"/>
        </w:rPr>
        <w:t>The</w:t>
      </w:r>
      <w:r w:rsidR="00F65C66" w:rsidRPr="003E502D">
        <w:rPr>
          <w:rFonts w:ascii="Arial" w:hAnsi="Arial" w:cs="Arial"/>
        </w:rPr>
        <w:t xml:space="preserve"> aims</w:t>
      </w:r>
      <w:r w:rsidRPr="003E502D">
        <w:rPr>
          <w:rFonts w:ascii="Arial" w:hAnsi="Arial" w:cs="Arial"/>
        </w:rPr>
        <w:t xml:space="preserve"> of the Guidelines</w:t>
      </w:r>
      <w:r w:rsidR="00F65C66" w:rsidRPr="003E502D">
        <w:rPr>
          <w:rFonts w:ascii="Arial" w:hAnsi="Arial" w:cs="Arial"/>
        </w:rPr>
        <w:t xml:space="preserve"> are </w:t>
      </w:r>
      <w:r w:rsidRPr="003E502D">
        <w:rPr>
          <w:rFonts w:ascii="Arial" w:hAnsi="Arial" w:cs="Arial"/>
        </w:rPr>
        <w:t>thus aligned</w:t>
      </w:r>
      <w:r w:rsidR="00F65C66" w:rsidRPr="003E502D">
        <w:rPr>
          <w:rFonts w:ascii="Arial" w:hAnsi="Arial" w:cs="Arial"/>
        </w:rPr>
        <w:t xml:space="preserve"> with the UNCITRAL Model Law</w:t>
      </w:r>
      <w:r w:rsidR="003F5CBD" w:rsidRPr="003E502D">
        <w:rPr>
          <w:rFonts w:ascii="Arial" w:hAnsi="Arial" w:cs="Arial"/>
        </w:rPr>
        <w:t xml:space="preserve"> on Cross-Border Insolvency (the “Model Law”) although its use is not limited to jurisdictions that have adopted the Model Law</w:t>
      </w:r>
      <w:r w:rsidR="00F65C66" w:rsidRPr="003E502D">
        <w:rPr>
          <w:rFonts w:ascii="Arial" w:hAnsi="Arial" w:cs="Arial"/>
        </w:rPr>
        <w:t>.</w:t>
      </w:r>
      <w:r w:rsidRPr="003E502D">
        <w:rPr>
          <w:rStyle w:val="FootnoteReference"/>
          <w:rFonts w:ascii="Arial" w:hAnsi="Arial" w:cs="Arial"/>
        </w:rPr>
        <w:footnoteReference w:id="1"/>
      </w:r>
      <w:r w:rsidR="00F65C66" w:rsidRPr="003E502D">
        <w:rPr>
          <w:rFonts w:ascii="Arial" w:hAnsi="Arial" w:cs="Arial"/>
        </w:rPr>
        <w:t xml:space="preserve"> </w:t>
      </w:r>
      <w:r w:rsidR="003F5CBD" w:rsidRPr="003E502D">
        <w:rPr>
          <w:rFonts w:ascii="Arial" w:hAnsi="Arial" w:cs="Arial"/>
        </w:rPr>
        <w:t>The Guidelines share some similar features with the Model Law</w:t>
      </w:r>
      <w:r w:rsidR="00CB3493" w:rsidRPr="003E502D">
        <w:rPr>
          <w:rStyle w:val="FootnoteReference"/>
          <w:rFonts w:ascii="Arial" w:hAnsi="Arial" w:cs="Arial"/>
        </w:rPr>
        <w:footnoteReference w:id="2"/>
      </w:r>
      <w:r w:rsidR="00CB3493" w:rsidRPr="003E502D">
        <w:rPr>
          <w:rFonts w:ascii="Arial" w:hAnsi="Arial" w:cs="Arial"/>
        </w:rPr>
        <w:t xml:space="preserve"> </w:t>
      </w:r>
      <w:r w:rsidR="003F5CBD" w:rsidRPr="003E502D">
        <w:rPr>
          <w:rFonts w:ascii="Arial" w:hAnsi="Arial" w:cs="Arial"/>
        </w:rPr>
        <w:t xml:space="preserve">although the Model Law goes further and provides for judicial relief and assistance such as staying execution of a debtor’s assets </w:t>
      </w:r>
      <w:r w:rsidR="00876852" w:rsidRPr="003E502D">
        <w:rPr>
          <w:rFonts w:ascii="Arial" w:hAnsi="Arial" w:cs="Arial"/>
        </w:rPr>
        <w:t>and</w:t>
      </w:r>
      <w:r w:rsidR="003F5CBD" w:rsidRPr="003E502D">
        <w:rPr>
          <w:rFonts w:ascii="Arial" w:hAnsi="Arial" w:cs="Arial"/>
        </w:rPr>
        <w:t xml:space="preserve"> staying individual actions or proceedings</w:t>
      </w:r>
      <w:r w:rsidR="00964877" w:rsidRPr="003E502D">
        <w:rPr>
          <w:rFonts w:ascii="Arial" w:hAnsi="Arial" w:cs="Arial"/>
        </w:rPr>
        <w:t xml:space="preserve"> from</w:t>
      </w:r>
      <w:r w:rsidR="003F5CBD" w:rsidRPr="003E502D">
        <w:rPr>
          <w:rFonts w:ascii="Arial" w:hAnsi="Arial" w:cs="Arial"/>
        </w:rPr>
        <w:t xml:space="preserve"> being commenced or continued concerning the debtor’s assets rights, obligations or liabilities</w:t>
      </w:r>
      <w:r w:rsidR="00CB3493" w:rsidRPr="003E502D">
        <w:rPr>
          <w:rStyle w:val="FootnoteReference"/>
          <w:rFonts w:ascii="Arial" w:hAnsi="Arial" w:cs="Arial"/>
        </w:rPr>
        <w:footnoteReference w:id="3"/>
      </w:r>
      <w:r w:rsidR="003F5CBD" w:rsidRPr="003E502D">
        <w:rPr>
          <w:rFonts w:ascii="Arial" w:hAnsi="Arial" w:cs="Arial"/>
        </w:rPr>
        <w:t>.</w:t>
      </w:r>
      <w:r w:rsidR="00876852" w:rsidRPr="003E502D">
        <w:rPr>
          <w:rFonts w:ascii="Arial" w:hAnsi="Arial" w:cs="Arial"/>
        </w:rPr>
        <w:t xml:space="preserve"> For </w:t>
      </w:r>
      <w:r w:rsidR="00876852" w:rsidRPr="003E502D">
        <w:rPr>
          <w:rFonts w:ascii="Arial" w:hAnsi="Arial" w:cs="Arial"/>
        </w:rPr>
        <w:lastRenderedPageBreak/>
        <w:t xml:space="preserve">jurisdictions that have adopted both the Model law and Guidelines, the latter can be regarded as serving a </w:t>
      </w:r>
      <w:r w:rsidR="00DD4514" w:rsidRPr="003E502D">
        <w:rPr>
          <w:rFonts w:ascii="Arial" w:hAnsi="Arial" w:cs="Arial"/>
        </w:rPr>
        <w:t>supp</w:t>
      </w:r>
      <w:r w:rsidR="00876852" w:rsidRPr="003E502D">
        <w:rPr>
          <w:rFonts w:ascii="Arial" w:hAnsi="Arial" w:cs="Arial"/>
        </w:rPr>
        <w:t>lementary function to the former.</w:t>
      </w:r>
      <w:r w:rsidR="00CD4E2E" w:rsidRPr="003E502D">
        <w:rPr>
          <w:rStyle w:val="FootnoteReference"/>
          <w:rFonts w:ascii="Arial" w:hAnsi="Arial" w:cs="Arial"/>
        </w:rPr>
        <w:footnoteReference w:id="4"/>
      </w:r>
    </w:p>
    <w:p w14:paraId="4C9646AB" w14:textId="77777777" w:rsidR="00FC0338" w:rsidRPr="003E502D" w:rsidRDefault="00FC0338" w:rsidP="006C04E7">
      <w:pPr>
        <w:spacing w:line="360" w:lineRule="auto"/>
        <w:rPr>
          <w:rFonts w:ascii="Arial" w:hAnsi="Arial" w:cs="Arial"/>
          <w:sz w:val="24"/>
          <w:szCs w:val="24"/>
        </w:rPr>
      </w:pPr>
    </w:p>
    <w:p w14:paraId="2D16A459" w14:textId="4EF05C04" w:rsidR="000F40DC" w:rsidRPr="003E502D" w:rsidRDefault="00F65C66" w:rsidP="006C04E7">
      <w:pPr>
        <w:pStyle w:val="ListParagraph"/>
        <w:numPr>
          <w:ilvl w:val="0"/>
          <w:numId w:val="1"/>
        </w:numPr>
        <w:spacing w:line="360" w:lineRule="auto"/>
        <w:rPr>
          <w:rFonts w:ascii="Arial" w:hAnsi="Arial" w:cs="Arial"/>
        </w:rPr>
      </w:pPr>
      <w:r w:rsidRPr="003E502D">
        <w:rPr>
          <w:rFonts w:ascii="Arial" w:hAnsi="Arial" w:cs="Arial"/>
        </w:rPr>
        <w:t>In S</w:t>
      </w:r>
      <w:r w:rsidR="003F5CBD" w:rsidRPr="003E502D">
        <w:rPr>
          <w:rFonts w:ascii="Arial" w:hAnsi="Arial" w:cs="Arial"/>
        </w:rPr>
        <w:t>ingapore</w:t>
      </w:r>
      <w:r w:rsidR="00876852" w:rsidRPr="003E502D">
        <w:rPr>
          <w:rFonts w:ascii="Arial" w:hAnsi="Arial" w:cs="Arial"/>
        </w:rPr>
        <w:t xml:space="preserve">, the Guidelines were </w:t>
      </w:r>
      <w:r w:rsidRPr="003E502D">
        <w:rPr>
          <w:rFonts w:ascii="Arial" w:hAnsi="Arial" w:cs="Arial"/>
        </w:rPr>
        <w:t>promulgated after an inaugural JIN conference in Oct</w:t>
      </w:r>
      <w:r w:rsidR="00964877" w:rsidRPr="003E502D">
        <w:rPr>
          <w:rFonts w:ascii="Arial" w:hAnsi="Arial" w:cs="Arial"/>
        </w:rPr>
        <w:t>ober</w:t>
      </w:r>
      <w:r w:rsidRPr="003E502D">
        <w:rPr>
          <w:rFonts w:ascii="Arial" w:hAnsi="Arial" w:cs="Arial"/>
        </w:rPr>
        <w:t xml:space="preserve"> 2016 </w:t>
      </w:r>
      <w:r w:rsidR="00DD4514" w:rsidRPr="003E502D">
        <w:rPr>
          <w:rFonts w:ascii="Arial" w:hAnsi="Arial" w:cs="Arial"/>
        </w:rPr>
        <w:t xml:space="preserve">(the “Inaugural Conference”) </w:t>
      </w:r>
      <w:r w:rsidRPr="003E502D">
        <w:rPr>
          <w:rFonts w:ascii="Arial" w:hAnsi="Arial" w:cs="Arial"/>
        </w:rPr>
        <w:t xml:space="preserve">with the first </w:t>
      </w:r>
      <w:r w:rsidR="003F5CBD" w:rsidRPr="003E502D">
        <w:rPr>
          <w:rFonts w:ascii="Arial" w:hAnsi="Arial" w:cs="Arial"/>
        </w:rPr>
        <w:t>jurisdictions</w:t>
      </w:r>
      <w:r w:rsidRPr="003E502D">
        <w:rPr>
          <w:rFonts w:ascii="Arial" w:hAnsi="Arial" w:cs="Arial"/>
        </w:rPr>
        <w:t xml:space="preserve"> (Singapore and Delaware) adopting the </w:t>
      </w:r>
      <w:r w:rsidR="003F5CBD" w:rsidRPr="003E502D">
        <w:rPr>
          <w:rFonts w:ascii="Arial" w:hAnsi="Arial" w:cs="Arial"/>
        </w:rPr>
        <w:t>G</w:t>
      </w:r>
      <w:r w:rsidRPr="003E502D">
        <w:rPr>
          <w:rFonts w:ascii="Arial" w:hAnsi="Arial" w:cs="Arial"/>
        </w:rPr>
        <w:t>uidelines in Feb</w:t>
      </w:r>
      <w:r w:rsidR="00964877" w:rsidRPr="003E502D">
        <w:rPr>
          <w:rFonts w:ascii="Arial" w:hAnsi="Arial" w:cs="Arial"/>
        </w:rPr>
        <w:t>ruary</w:t>
      </w:r>
      <w:r w:rsidRPr="003E502D">
        <w:rPr>
          <w:rFonts w:ascii="Arial" w:hAnsi="Arial" w:cs="Arial"/>
        </w:rPr>
        <w:t xml:space="preserve"> 2017. The Southern District of New Year entered a General Order adopting the Guidelines about a month later.  </w:t>
      </w:r>
      <w:r w:rsidR="00876852" w:rsidRPr="003E502D">
        <w:rPr>
          <w:rFonts w:ascii="Arial" w:hAnsi="Arial" w:cs="Arial"/>
        </w:rPr>
        <w:t>Other a</w:t>
      </w:r>
      <w:r w:rsidRPr="003E502D">
        <w:rPr>
          <w:rFonts w:ascii="Arial" w:hAnsi="Arial" w:cs="Arial"/>
        </w:rPr>
        <w:t>doptees include the Chancery Division of England &amp; Wales (May 2017), the Eastern Caribbean Supreme Court (May 2017), the Supreme Court of New South Wales (September 2017) and the Federal Court of Australia (Jan</w:t>
      </w:r>
      <w:r w:rsidR="00964877" w:rsidRPr="003E502D">
        <w:rPr>
          <w:rFonts w:ascii="Arial" w:hAnsi="Arial" w:cs="Arial"/>
        </w:rPr>
        <w:t>uary</w:t>
      </w:r>
      <w:r w:rsidRPr="003E502D">
        <w:rPr>
          <w:rFonts w:ascii="Arial" w:hAnsi="Arial" w:cs="Arial"/>
        </w:rPr>
        <w:t xml:space="preserve"> 2020). Hearteningly, the adoptees are not limited to those from common law jurisdictions. The Seoul Bankruptcy Court adopted the guidelines in July 2018</w:t>
      </w:r>
      <w:r w:rsidR="000F40DC" w:rsidRPr="003E502D">
        <w:rPr>
          <w:rFonts w:ascii="Arial" w:hAnsi="Arial" w:cs="Arial"/>
        </w:rPr>
        <w:t>. T</w:t>
      </w:r>
      <w:r w:rsidRPr="003E502D">
        <w:rPr>
          <w:rFonts w:ascii="Arial" w:hAnsi="Arial" w:cs="Arial"/>
        </w:rPr>
        <w:t>he Brazil</w:t>
      </w:r>
      <w:r w:rsidR="000F40DC" w:rsidRPr="003E502D">
        <w:rPr>
          <w:rFonts w:ascii="Arial" w:hAnsi="Arial" w:cs="Arial"/>
        </w:rPr>
        <w:t xml:space="preserve"> National Council of Justice did so in May 2021.</w:t>
      </w:r>
    </w:p>
    <w:p w14:paraId="0151477C" w14:textId="77777777" w:rsidR="00071402" w:rsidRPr="003E502D" w:rsidRDefault="00071402" w:rsidP="006C04E7">
      <w:pPr>
        <w:pStyle w:val="ListParagraph"/>
        <w:spacing w:line="360" w:lineRule="auto"/>
        <w:rPr>
          <w:rFonts w:ascii="Arial" w:hAnsi="Arial" w:cs="Arial"/>
        </w:rPr>
      </w:pPr>
    </w:p>
    <w:p w14:paraId="0ECA8CA3" w14:textId="3468AC1F" w:rsidR="00071402" w:rsidRPr="003E502D" w:rsidRDefault="00AA22DA" w:rsidP="006C04E7">
      <w:pPr>
        <w:pStyle w:val="ListParagraph"/>
        <w:numPr>
          <w:ilvl w:val="0"/>
          <w:numId w:val="1"/>
        </w:numPr>
        <w:spacing w:line="360" w:lineRule="auto"/>
        <w:rPr>
          <w:rFonts w:ascii="Arial" w:hAnsi="Arial" w:cs="Arial"/>
        </w:rPr>
      </w:pPr>
      <w:r w:rsidRPr="003E502D">
        <w:rPr>
          <w:rFonts w:ascii="Arial" w:hAnsi="Arial" w:cs="Arial"/>
        </w:rPr>
        <w:t xml:space="preserve">The </w:t>
      </w:r>
      <w:r w:rsidR="003F5CBD" w:rsidRPr="003E502D">
        <w:rPr>
          <w:rFonts w:ascii="Arial" w:hAnsi="Arial" w:cs="Arial"/>
        </w:rPr>
        <w:t>G</w:t>
      </w:r>
      <w:r w:rsidRPr="003E502D">
        <w:rPr>
          <w:rFonts w:ascii="Arial" w:hAnsi="Arial" w:cs="Arial"/>
        </w:rPr>
        <w:t xml:space="preserve">uidelines were drafted by Judges who participated in the </w:t>
      </w:r>
      <w:r w:rsidR="00DD4514" w:rsidRPr="003E502D">
        <w:rPr>
          <w:rFonts w:ascii="Arial" w:hAnsi="Arial" w:cs="Arial"/>
        </w:rPr>
        <w:t>I</w:t>
      </w:r>
      <w:r w:rsidRPr="003E502D">
        <w:rPr>
          <w:rFonts w:ascii="Arial" w:hAnsi="Arial" w:cs="Arial"/>
        </w:rPr>
        <w:t xml:space="preserve">naugural </w:t>
      </w:r>
      <w:proofErr w:type="gramStart"/>
      <w:r w:rsidR="00DD4514" w:rsidRPr="003E502D">
        <w:rPr>
          <w:rFonts w:ascii="Arial" w:hAnsi="Arial" w:cs="Arial"/>
        </w:rPr>
        <w:t>C</w:t>
      </w:r>
      <w:r w:rsidRPr="003E502D">
        <w:rPr>
          <w:rFonts w:ascii="Arial" w:hAnsi="Arial" w:cs="Arial"/>
        </w:rPr>
        <w:t>onference</w:t>
      </w:r>
      <w:proofErr w:type="gramEnd"/>
      <w:r w:rsidRPr="003E502D">
        <w:rPr>
          <w:rFonts w:ascii="Arial" w:hAnsi="Arial" w:cs="Arial"/>
        </w:rPr>
        <w:t xml:space="preserve"> and they </w:t>
      </w:r>
      <w:r w:rsidR="00DD4514" w:rsidRPr="003E502D">
        <w:rPr>
          <w:rFonts w:ascii="Arial" w:hAnsi="Arial" w:cs="Arial"/>
        </w:rPr>
        <w:t xml:space="preserve">purported to do so </w:t>
      </w:r>
      <w:r w:rsidR="00DD4514" w:rsidRPr="003E502D">
        <w:rPr>
          <w:rFonts w:ascii="Arial" w:hAnsi="Arial" w:cs="Arial"/>
          <w:i/>
          <w:iCs/>
        </w:rPr>
        <w:t>de novo</w:t>
      </w:r>
      <w:r w:rsidR="00DD4514" w:rsidRPr="003E502D">
        <w:rPr>
          <w:rFonts w:ascii="Arial" w:hAnsi="Arial" w:cs="Arial"/>
        </w:rPr>
        <w:t>. It</w:t>
      </w:r>
      <w:r w:rsidRPr="003E502D">
        <w:rPr>
          <w:rFonts w:ascii="Arial" w:hAnsi="Arial" w:cs="Arial"/>
        </w:rPr>
        <w:t xml:space="preserve"> is clear from the Guidelines</w:t>
      </w:r>
      <w:r w:rsidR="00DD4514" w:rsidRPr="003E502D">
        <w:rPr>
          <w:rFonts w:ascii="Arial" w:hAnsi="Arial" w:cs="Arial"/>
        </w:rPr>
        <w:t>, however,</w:t>
      </w:r>
      <w:r w:rsidRPr="003E502D">
        <w:rPr>
          <w:rFonts w:ascii="Arial" w:hAnsi="Arial" w:cs="Arial"/>
        </w:rPr>
        <w:t xml:space="preserve"> that existing guidelin</w:t>
      </w:r>
      <w:r w:rsidR="00FA678D" w:rsidRPr="003E502D">
        <w:rPr>
          <w:rFonts w:ascii="Arial" w:hAnsi="Arial" w:cs="Arial"/>
        </w:rPr>
        <w:t>e</w:t>
      </w:r>
      <w:r w:rsidRPr="003E502D">
        <w:rPr>
          <w:rFonts w:ascii="Arial" w:hAnsi="Arial" w:cs="Arial"/>
        </w:rPr>
        <w:t>s issued by ALI/III and the EU Cross-Border Insolvency Court-to-Court Communications</w:t>
      </w:r>
      <w:r w:rsidR="00854541" w:rsidRPr="003E502D">
        <w:rPr>
          <w:rFonts w:ascii="Arial" w:hAnsi="Arial" w:cs="Arial"/>
        </w:rPr>
        <w:t xml:space="preserve"> Principles and</w:t>
      </w:r>
      <w:r w:rsidRPr="003E502D">
        <w:rPr>
          <w:rFonts w:ascii="Arial" w:hAnsi="Arial" w:cs="Arial"/>
        </w:rPr>
        <w:t xml:space="preserve"> Guidelines served as inspiration</w:t>
      </w:r>
      <w:r w:rsidR="00FA678D" w:rsidRPr="003E502D">
        <w:rPr>
          <w:rFonts w:ascii="Arial" w:hAnsi="Arial" w:cs="Arial"/>
        </w:rPr>
        <w:t>.</w:t>
      </w:r>
      <w:r w:rsidR="00854541" w:rsidRPr="003E502D">
        <w:rPr>
          <w:rStyle w:val="FootnoteReference"/>
          <w:rFonts w:ascii="Arial" w:hAnsi="Arial" w:cs="Arial"/>
        </w:rPr>
        <w:footnoteReference w:id="5"/>
      </w:r>
      <w:r w:rsidR="00FA678D" w:rsidRPr="003E502D">
        <w:rPr>
          <w:rFonts w:ascii="Arial" w:hAnsi="Arial" w:cs="Arial"/>
        </w:rPr>
        <w:t xml:space="preserve"> </w:t>
      </w:r>
      <w:r w:rsidR="00876852" w:rsidRPr="003E502D">
        <w:rPr>
          <w:rFonts w:ascii="Arial" w:hAnsi="Arial" w:cs="Arial"/>
        </w:rPr>
        <w:t>Indeed ALI-III states in the Introduction to the ALI-III Global Principles for Cooperation in International Insolvency Cases that: “</w:t>
      </w:r>
      <w:r w:rsidR="00876852" w:rsidRPr="003E502D">
        <w:rPr>
          <w:rFonts w:ascii="Arial" w:hAnsi="Arial" w:cs="Arial"/>
          <w:i/>
          <w:iCs/>
        </w:rPr>
        <w:t>we would like to remind everyone about the excellent work that has been done on the ALI-III Global Principles and Guidelines 2012, upon which the JIN Guidelines have drawn</w:t>
      </w:r>
      <w:r w:rsidR="00876852" w:rsidRPr="003E502D">
        <w:rPr>
          <w:rFonts w:ascii="Arial" w:hAnsi="Arial" w:cs="Arial"/>
        </w:rPr>
        <w:t>.”</w:t>
      </w:r>
    </w:p>
    <w:p w14:paraId="1CFF7224" w14:textId="77777777" w:rsidR="00071402" w:rsidRPr="003E502D" w:rsidRDefault="00071402" w:rsidP="006C04E7">
      <w:pPr>
        <w:pStyle w:val="ListParagraph"/>
        <w:spacing w:line="360" w:lineRule="auto"/>
        <w:rPr>
          <w:rFonts w:ascii="Arial" w:hAnsi="Arial" w:cs="Arial"/>
        </w:rPr>
      </w:pPr>
    </w:p>
    <w:p w14:paraId="52FDD724" w14:textId="77777777" w:rsidR="00A80F57" w:rsidRPr="003E502D" w:rsidRDefault="00FA678D" w:rsidP="006C04E7">
      <w:pPr>
        <w:pStyle w:val="ListParagraph"/>
        <w:numPr>
          <w:ilvl w:val="0"/>
          <w:numId w:val="1"/>
        </w:numPr>
        <w:spacing w:line="360" w:lineRule="auto"/>
        <w:rPr>
          <w:rFonts w:ascii="Arial" w:hAnsi="Arial" w:cs="Arial"/>
        </w:rPr>
      </w:pPr>
      <w:r w:rsidRPr="003E502D">
        <w:rPr>
          <w:rFonts w:ascii="Arial" w:hAnsi="Arial" w:cs="Arial"/>
        </w:rPr>
        <w:lastRenderedPageBreak/>
        <w:t xml:space="preserve">Given the international </w:t>
      </w:r>
      <w:r w:rsidR="0027491D" w:rsidRPr="003E502D">
        <w:rPr>
          <w:rFonts w:ascii="Arial" w:hAnsi="Arial" w:cs="Arial"/>
        </w:rPr>
        <w:t>nature of the drafting effort, it would be wrong to suggest that the Guidelines have a Singapore focus even though they were initiated by the Singapore judiciary. It is however not incorrect to seek to understand the Guidelines as a part of a large</w:t>
      </w:r>
      <w:r w:rsidR="0096261F" w:rsidRPr="003E502D">
        <w:rPr>
          <w:rFonts w:ascii="Arial" w:hAnsi="Arial" w:cs="Arial"/>
        </w:rPr>
        <w:t>r</w:t>
      </w:r>
      <w:r w:rsidR="0027491D" w:rsidRPr="003E502D">
        <w:rPr>
          <w:rFonts w:ascii="Arial" w:hAnsi="Arial" w:cs="Arial"/>
        </w:rPr>
        <w:t xml:space="preserve"> initiative by Singapore to build its status as a legal hub be it in dispute resolution or </w:t>
      </w:r>
      <w:r w:rsidR="0096261F" w:rsidRPr="003E502D">
        <w:rPr>
          <w:rFonts w:ascii="Arial" w:hAnsi="Arial" w:cs="Arial"/>
        </w:rPr>
        <w:t>debt</w:t>
      </w:r>
      <w:r w:rsidR="0027491D" w:rsidRPr="003E502D">
        <w:rPr>
          <w:rFonts w:ascii="Arial" w:hAnsi="Arial" w:cs="Arial"/>
        </w:rPr>
        <w:t xml:space="preserve"> restructuring. Singapore well understands that </w:t>
      </w:r>
      <w:r w:rsidR="0096261F" w:rsidRPr="003E502D">
        <w:rPr>
          <w:rFonts w:ascii="Arial" w:hAnsi="Arial" w:cs="Arial"/>
        </w:rPr>
        <w:t>to gain traction in these attempts it needs to grow</w:t>
      </w:r>
      <w:r w:rsidR="0027491D" w:rsidRPr="003E502D">
        <w:rPr>
          <w:rFonts w:ascii="Arial" w:hAnsi="Arial" w:cs="Arial"/>
        </w:rPr>
        <w:t xml:space="preserve"> the sphere over which</w:t>
      </w:r>
      <w:r w:rsidR="0096261F" w:rsidRPr="003E502D">
        <w:rPr>
          <w:rFonts w:ascii="Arial" w:hAnsi="Arial" w:cs="Arial"/>
        </w:rPr>
        <w:t xml:space="preserve"> the hub has influence</w:t>
      </w:r>
      <w:r w:rsidR="0027491D" w:rsidRPr="003E502D">
        <w:rPr>
          <w:rFonts w:ascii="Arial" w:hAnsi="Arial" w:cs="Arial"/>
        </w:rPr>
        <w:t xml:space="preserve">. The Guidelines have the effect of allowing </w:t>
      </w:r>
      <w:r w:rsidR="00A80F57" w:rsidRPr="003E502D">
        <w:rPr>
          <w:rFonts w:ascii="Arial" w:hAnsi="Arial" w:cs="Arial"/>
        </w:rPr>
        <w:t>judicial</w:t>
      </w:r>
      <w:r w:rsidR="0027491D" w:rsidRPr="003E502D">
        <w:rPr>
          <w:rFonts w:ascii="Arial" w:hAnsi="Arial" w:cs="Arial"/>
        </w:rPr>
        <w:t xml:space="preserve"> </w:t>
      </w:r>
      <w:r w:rsidR="003F5CBD" w:rsidRPr="003E502D">
        <w:rPr>
          <w:rFonts w:ascii="Arial" w:hAnsi="Arial" w:cs="Arial"/>
        </w:rPr>
        <w:t xml:space="preserve">cooperation and </w:t>
      </w:r>
      <w:proofErr w:type="gramStart"/>
      <w:r w:rsidR="0027491D" w:rsidRPr="003E502D">
        <w:rPr>
          <w:rFonts w:ascii="Arial" w:hAnsi="Arial" w:cs="Arial"/>
        </w:rPr>
        <w:t>coordination</w:t>
      </w:r>
      <w:r w:rsidR="003F5CBD" w:rsidRPr="003E502D">
        <w:rPr>
          <w:rFonts w:ascii="Arial" w:hAnsi="Arial" w:cs="Arial"/>
        </w:rPr>
        <w:t xml:space="preserve"> </w:t>
      </w:r>
      <w:r w:rsidR="00A80F57" w:rsidRPr="003E502D">
        <w:rPr>
          <w:rFonts w:ascii="Arial" w:hAnsi="Arial" w:cs="Arial"/>
        </w:rPr>
        <w:t xml:space="preserve"> over</w:t>
      </w:r>
      <w:proofErr w:type="gramEnd"/>
      <w:r w:rsidR="00A80F57" w:rsidRPr="003E502D">
        <w:rPr>
          <w:rFonts w:ascii="Arial" w:hAnsi="Arial" w:cs="Arial"/>
        </w:rPr>
        <w:t xml:space="preserve"> </w:t>
      </w:r>
      <w:r w:rsidR="003F5CBD" w:rsidRPr="003E502D">
        <w:rPr>
          <w:rFonts w:ascii="Arial" w:hAnsi="Arial" w:cs="Arial"/>
        </w:rPr>
        <w:t>a wide geographical spread</w:t>
      </w:r>
      <w:r w:rsidR="00A80F57" w:rsidRPr="003E502D">
        <w:rPr>
          <w:rFonts w:ascii="Arial" w:hAnsi="Arial" w:cs="Arial"/>
        </w:rPr>
        <w:t xml:space="preserve">. With Singapore at the heart of the JIN, this </w:t>
      </w:r>
      <w:proofErr w:type="spellStart"/>
      <w:r w:rsidR="00A80F57" w:rsidRPr="003E502D">
        <w:rPr>
          <w:rFonts w:ascii="Arial" w:hAnsi="Arial" w:cs="Arial"/>
        </w:rPr>
        <w:t>favours</w:t>
      </w:r>
      <w:proofErr w:type="spellEnd"/>
      <w:r w:rsidR="0027491D" w:rsidRPr="003E502D">
        <w:rPr>
          <w:rFonts w:ascii="Arial" w:hAnsi="Arial" w:cs="Arial"/>
        </w:rPr>
        <w:t xml:space="preserve"> the use of Singapore as the jurisdiction to undertake </w:t>
      </w:r>
      <w:r w:rsidR="00A80F57" w:rsidRPr="003E502D">
        <w:rPr>
          <w:rFonts w:ascii="Arial" w:hAnsi="Arial" w:cs="Arial"/>
        </w:rPr>
        <w:t>global</w:t>
      </w:r>
      <w:r w:rsidR="003F5CBD" w:rsidRPr="003E502D">
        <w:rPr>
          <w:rFonts w:ascii="Arial" w:hAnsi="Arial" w:cs="Arial"/>
        </w:rPr>
        <w:t xml:space="preserve"> restructuring efforts</w:t>
      </w:r>
      <w:r w:rsidR="00876852" w:rsidRPr="003E502D">
        <w:rPr>
          <w:rFonts w:ascii="Arial" w:hAnsi="Arial" w:cs="Arial"/>
        </w:rPr>
        <w:t xml:space="preserve">. The Guidelines are </w:t>
      </w:r>
      <w:r w:rsidR="00A80F57" w:rsidRPr="003E502D">
        <w:rPr>
          <w:rFonts w:ascii="Arial" w:hAnsi="Arial" w:cs="Arial"/>
        </w:rPr>
        <w:t xml:space="preserve">therefore a significant </w:t>
      </w:r>
      <w:r w:rsidR="00876852" w:rsidRPr="003E502D">
        <w:rPr>
          <w:rFonts w:ascii="Arial" w:hAnsi="Arial" w:cs="Arial"/>
        </w:rPr>
        <w:t xml:space="preserve">aspect of Singapore’s </w:t>
      </w:r>
      <w:proofErr w:type="spellStart"/>
      <w:r w:rsidR="00876852" w:rsidRPr="003E502D">
        <w:rPr>
          <w:rFonts w:ascii="Arial" w:hAnsi="Arial" w:cs="Arial"/>
        </w:rPr>
        <w:t>endeavour</w:t>
      </w:r>
      <w:proofErr w:type="spellEnd"/>
      <w:r w:rsidR="00876852" w:rsidRPr="003E502D">
        <w:rPr>
          <w:rFonts w:ascii="Arial" w:hAnsi="Arial" w:cs="Arial"/>
        </w:rPr>
        <w:t xml:space="preserve"> to become a</w:t>
      </w:r>
      <w:r w:rsidR="00071402" w:rsidRPr="003E502D">
        <w:rPr>
          <w:rFonts w:ascii="Arial" w:hAnsi="Arial" w:cs="Arial"/>
        </w:rPr>
        <w:t>n</w:t>
      </w:r>
      <w:r w:rsidR="00876852" w:rsidRPr="003E502D">
        <w:rPr>
          <w:rFonts w:ascii="Arial" w:hAnsi="Arial" w:cs="Arial"/>
        </w:rPr>
        <w:t xml:space="preserve"> in</w:t>
      </w:r>
      <w:r w:rsidR="00A80F57" w:rsidRPr="003E502D">
        <w:rPr>
          <w:rFonts w:ascii="Arial" w:hAnsi="Arial" w:cs="Arial"/>
        </w:rPr>
        <w:t>ternational debt</w:t>
      </w:r>
      <w:r w:rsidR="00876852" w:rsidRPr="003E502D">
        <w:rPr>
          <w:rFonts w:ascii="Arial" w:hAnsi="Arial" w:cs="Arial"/>
        </w:rPr>
        <w:t xml:space="preserve"> restructuring hub. </w:t>
      </w:r>
    </w:p>
    <w:p w14:paraId="6F3358A4" w14:textId="77777777" w:rsidR="00A80F57" w:rsidRPr="003E502D" w:rsidRDefault="00A80F57" w:rsidP="006C04E7">
      <w:pPr>
        <w:pStyle w:val="ListParagraph"/>
        <w:spacing w:line="360" w:lineRule="auto"/>
        <w:rPr>
          <w:rFonts w:ascii="Arial" w:hAnsi="Arial" w:cs="Arial"/>
        </w:rPr>
      </w:pPr>
    </w:p>
    <w:p w14:paraId="66D6F13F" w14:textId="45FB12B5" w:rsidR="00F65C66" w:rsidRPr="003E502D" w:rsidRDefault="00876852" w:rsidP="006C04E7">
      <w:pPr>
        <w:pStyle w:val="ListParagraph"/>
        <w:numPr>
          <w:ilvl w:val="0"/>
          <w:numId w:val="1"/>
        </w:numPr>
        <w:spacing w:line="360" w:lineRule="auto"/>
        <w:rPr>
          <w:rFonts w:ascii="Arial" w:hAnsi="Arial" w:cs="Arial"/>
        </w:rPr>
      </w:pPr>
      <w:r w:rsidRPr="003E502D">
        <w:rPr>
          <w:rFonts w:ascii="Arial" w:hAnsi="Arial" w:cs="Arial"/>
        </w:rPr>
        <w:t xml:space="preserve">That </w:t>
      </w:r>
      <w:proofErr w:type="spellStart"/>
      <w:r w:rsidRPr="003E502D">
        <w:rPr>
          <w:rFonts w:ascii="Arial" w:hAnsi="Arial" w:cs="Arial"/>
        </w:rPr>
        <w:t>endeavour</w:t>
      </w:r>
      <w:proofErr w:type="spellEnd"/>
      <w:r w:rsidRPr="003E502D">
        <w:rPr>
          <w:rFonts w:ascii="Arial" w:hAnsi="Arial" w:cs="Arial"/>
        </w:rPr>
        <w:t xml:space="preserve"> is </w:t>
      </w:r>
      <w:r w:rsidR="00A80F57" w:rsidRPr="003E502D">
        <w:rPr>
          <w:rFonts w:ascii="Arial" w:hAnsi="Arial" w:cs="Arial"/>
        </w:rPr>
        <w:t>bolstered</w:t>
      </w:r>
      <w:r w:rsidRPr="003E502D">
        <w:rPr>
          <w:rFonts w:ascii="Arial" w:hAnsi="Arial" w:cs="Arial"/>
        </w:rPr>
        <w:t xml:space="preserve"> by the Singapore International Commercial Court having now inducted three eminent insolvency judges into its fold: Justice Christopher </w:t>
      </w:r>
      <w:proofErr w:type="spellStart"/>
      <w:r w:rsidRPr="003E502D">
        <w:rPr>
          <w:rFonts w:ascii="Arial" w:hAnsi="Arial" w:cs="Arial"/>
        </w:rPr>
        <w:t>Sontchi</w:t>
      </w:r>
      <w:proofErr w:type="spellEnd"/>
      <w:r w:rsidRPr="003E502D">
        <w:rPr>
          <w:rFonts w:ascii="Arial" w:hAnsi="Arial" w:cs="Arial"/>
        </w:rPr>
        <w:t xml:space="preserve"> (formerly </w:t>
      </w:r>
      <w:r w:rsidR="00071402" w:rsidRPr="003E502D">
        <w:rPr>
          <w:rFonts w:ascii="Arial" w:hAnsi="Arial" w:cs="Arial"/>
        </w:rPr>
        <w:t>the Chief Judge of the Bankruptcy Court for the District of Delaware), Justice</w:t>
      </w:r>
      <w:r w:rsidR="00E9609F" w:rsidRPr="003E502D">
        <w:rPr>
          <w:rFonts w:ascii="Arial" w:hAnsi="Arial" w:cs="Arial"/>
        </w:rPr>
        <w:t xml:space="preserve"> Arjan K</w:t>
      </w:r>
      <w:r w:rsidR="00071402" w:rsidRPr="003E502D">
        <w:rPr>
          <w:rFonts w:ascii="Arial" w:hAnsi="Arial" w:cs="Arial"/>
        </w:rPr>
        <w:t xml:space="preserve"> Sikri (formerly a </w:t>
      </w:r>
      <w:r w:rsidR="00071402" w:rsidRPr="003E502D">
        <w:rPr>
          <w:rFonts w:ascii="Arial" w:hAnsi="Arial" w:cs="Arial"/>
          <w:color w:val="333333"/>
        </w:rPr>
        <w:t>Judge of the Supreme Court of India) and Justice James</w:t>
      </w:r>
      <w:r w:rsidR="00E9609F" w:rsidRPr="003E502D">
        <w:rPr>
          <w:rFonts w:ascii="Arial" w:hAnsi="Arial" w:cs="Arial"/>
          <w:color w:val="333333"/>
        </w:rPr>
        <w:t xml:space="preserve"> M</w:t>
      </w:r>
      <w:r w:rsidR="00071402" w:rsidRPr="003E502D">
        <w:rPr>
          <w:rFonts w:ascii="Arial" w:hAnsi="Arial" w:cs="Arial"/>
          <w:color w:val="333333"/>
        </w:rPr>
        <w:t xml:space="preserve"> Peck (formerly a Judge in the Bankruptcy Court for the Southern District of New York). In 2021, Singapore’s Second Minister for Law, Mr Edwin Tong SC (who was formerly an insolvency lawyer) announced that the SICC provides a “</w:t>
      </w:r>
      <w:r w:rsidR="00071402" w:rsidRPr="003E502D">
        <w:rPr>
          <w:rFonts w:ascii="Arial" w:hAnsi="Arial" w:cs="Arial"/>
          <w:i/>
          <w:iCs/>
          <w:color w:val="333333"/>
        </w:rPr>
        <w:t>conducive, if not perhaps, natural forum for cross border insolvency matters that have a significant foreign element.”</w:t>
      </w:r>
      <w:r w:rsidR="009B7C69" w:rsidRPr="003E502D">
        <w:rPr>
          <w:rFonts w:ascii="Arial" w:hAnsi="Arial" w:cs="Arial"/>
          <w:color w:val="333333"/>
        </w:rPr>
        <w:t xml:space="preserve"> The</w:t>
      </w:r>
      <w:r w:rsidR="00A80F57" w:rsidRPr="003E502D">
        <w:rPr>
          <w:rFonts w:ascii="Arial" w:hAnsi="Arial" w:cs="Arial"/>
          <w:color w:val="333333"/>
        </w:rPr>
        <w:t xml:space="preserve"> use of the SICC as an international forum to handle cross-border insolvencies </w:t>
      </w:r>
      <w:r w:rsidR="00426194" w:rsidRPr="003E502D">
        <w:rPr>
          <w:rFonts w:ascii="Arial" w:hAnsi="Arial" w:cs="Arial"/>
          <w:color w:val="333333"/>
        </w:rPr>
        <w:t xml:space="preserve">coupled </w:t>
      </w:r>
      <w:r w:rsidR="00A80F57" w:rsidRPr="003E502D">
        <w:rPr>
          <w:rFonts w:ascii="Arial" w:hAnsi="Arial" w:cs="Arial"/>
          <w:color w:val="333333"/>
        </w:rPr>
        <w:t xml:space="preserve">with the ability to coordinate with other jurisdictions through the Guidelines </w:t>
      </w:r>
      <w:r w:rsidR="00426194" w:rsidRPr="003E502D">
        <w:rPr>
          <w:rFonts w:ascii="Arial" w:hAnsi="Arial" w:cs="Arial"/>
          <w:color w:val="333333"/>
        </w:rPr>
        <w:t>enhances Singapore’s</w:t>
      </w:r>
      <w:r w:rsidR="00A80F57" w:rsidRPr="003E502D">
        <w:rPr>
          <w:rFonts w:ascii="Arial" w:hAnsi="Arial" w:cs="Arial"/>
          <w:color w:val="333333"/>
        </w:rPr>
        <w:t xml:space="preserve"> attractive</w:t>
      </w:r>
      <w:r w:rsidR="00426194" w:rsidRPr="003E502D">
        <w:rPr>
          <w:rFonts w:ascii="Arial" w:hAnsi="Arial" w:cs="Arial"/>
          <w:color w:val="333333"/>
        </w:rPr>
        <w:t>ness</w:t>
      </w:r>
      <w:r w:rsidR="00A80F57" w:rsidRPr="003E502D">
        <w:rPr>
          <w:rFonts w:ascii="Arial" w:hAnsi="Arial" w:cs="Arial"/>
          <w:color w:val="333333"/>
        </w:rPr>
        <w:t xml:space="preserve"> as a debt restructuring </w:t>
      </w:r>
      <w:proofErr w:type="spellStart"/>
      <w:r w:rsidR="00A80F57" w:rsidRPr="003E502D">
        <w:rPr>
          <w:rFonts w:ascii="Arial" w:hAnsi="Arial" w:cs="Arial"/>
          <w:color w:val="333333"/>
        </w:rPr>
        <w:t>centre</w:t>
      </w:r>
      <w:proofErr w:type="spellEnd"/>
      <w:r w:rsidR="00A80F57" w:rsidRPr="003E502D">
        <w:rPr>
          <w:rFonts w:ascii="Arial" w:hAnsi="Arial" w:cs="Arial"/>
          <w:color w:val="333333"/>
        </w:rPr>
        <w:t xml:space="preserve">. </w:t>
      </w:r>
      <w:r w:rsidR="009B7C69" w:rsidRPr="003E502D">
        <w:rPr>
          <w:rFonts w:ascii="Arial" w:hAnsi="Arial" w:cs="Arial"/>
          <w:color w:val="333333"/>
        </w:rPr>
        <w:t xml:space="preserve"> </w:t>
      </w:r>
      <w:r w:rsidR="00A80F57" w:rsidRPr="003E502D">
        <w:rPr>
          <w:rFonts w:ascii="Arial" w:hAnsi="Arial" w:cs="Arial"/>
          <w:color w:val="333333"/>
        </w:rPr>
        <w:t xml:space="preserve">This is </w:t>
      </w:r>
      <w:r w:rsidR="00426194" w:rsidRPr="003E502D">
        <w:rPr>
          <w:rFonts w:ascii="Arial" w:hAnsi="Arial" w:cs="Arial"/>
          <w:color w:val="333333"/>
        </w:rPr>
        <w:t xml:space="preserve">further </w:t>
      </w:r>
      <w:r w:rsidR="00A80F57" w:rsidRPr="003E502D">
        <w:rPr>
          <w:rFonts w:ascii="Arial" w:hAnsi="Arial" w:cs="Arial"/>
          <w:color w:val="333333"/>
        </w:rPr>
        <w:t xml:space="preserve">complemented by </w:t>
      </w:r>
      <w:r w:rsidR="00426194" w:rsidRPr="003E502D">
        <w:rPr>
          <w:rFonts w:ascii="Arial" w:hAnsi="Arial" w:cs="Arial"/>
          <w:color w:val="333333"/>
        </w:rPr>
        <w:t xml:space="preserve">recent </w:t>
      </w:r>
      <w:r w:rsidR="00A80F57" w:rsidRPr="003E502D">
        <w:rPr>
          <w:rFonts w:ascii="Arial" w:hAnsi="Arial" w:cs="Arial"/>
          <w:color w:val="333333"/>
        </w:rPr>
        <w:t xml:space="preserve">efforts to </w:t>
      </w:r>
      <w:r w:rsidR="00426194" w:rsidRPr="003E502D">
        <w:rPr>
          <w:rFonts w:ascii="Arial" w:hAnsi="Arial" w:cs="Arial"/>
          <w:color w:val="333333"/>
        </w:rPr>
        <w:t xml:space="preserve">employ </w:t>
      </w:r>
      <w:r w:rsidR="00A80F57" w:rsidRPr="003E502D">
        <w:rPr>
          <w:rFonts w:ascii="Arial" w:hAnsi="Arial" w:cs="Arial"/>
          <w:color w:val="333333"/>
        </w:rPr>
        <w:t>mediat</w:t>
      </w:r>
      <w:r w:rsidR="00426194" w:rsidRPr="003E502D">
        <w:rPr>
          <w:rFonts w:ascii="Arial" w:hAnsi="Arial" w:cs="Arial"/>
          <w:color w:val="333333"/>
        </w:rPr>
        <w:t>ion to deal with some of the disputes arising in an insolvency context.</w:t>
      </w:r>
      <w:r w:rsidR="00426194" w:rsidRPr="003E502D">
        <w:rPr>
          <w:rStyle w:val="FootnoteReference"/>
          <w:rFonts w:ascii="Arial" w:hAnsi="Arial" w:cs="Arial"/>
          <w:color w:val="333333"/>
        </w:rPr>
        <w:footnoteReference w:id="6"/>
      </w:r>
      <w:r w:rsidR="00A80F57" w:rsidRPr="003E502D">
        <w:rPr>
          <w:rFonts w:ascii="Arial" w:hAnsi="Arial" w:cs="Arial"/>
          <w:color w:val="333333"/>
        </w:rPr>
        <w:t xml:space="preserve"> </w:t>
      </w:r>
      <w:r w:rsidR="00426194" w:rsidRPr="003E502D">
        <w:rPr>
          <w:rFonts w:ascii="Arial" w:hAnsi="Arial" w:cs="Arial"/>
          <w:color w:val="333333"/>
        </w:rPr>
        <w:t>I</w:t>
      </w:r>
      <w:r w:rsidR="00A80F57" w:rsidRPr="003E502D">
        <w:rPr>
          <w:rFonts w:ascii="Arial" w:hAnsi="Arial" w:cs="Arial"/>
          <w:color w:val="333333"/>
        </w:rPr>
        <w:t>n the case of cross-border insolvencies</w:t>
      </w:r>
      <w:r w:rsidR="00426194" w:rsidRPr="003E502D">
        <w:rPr>
          <w:rFonts w:ascii="Arial" w:hAnsi="Arial" w:cs="Arial"/>
          <w:color w:val="333333"/>
        </w:rPr>
        <w:t>, such attempts to promote mediation</w:t>
      </w:r>
      <w:r w:rsidR="00A80F57" w:rsidRPr="003E502D">
        <w:rPr>
          <w:rFonts w:ascii="Arial" w:hAnsi="Arial" w:cs="Arial"/>
          <w:color w:val="333333"/>
        </w:rPr>
        <w:t xml:space="preserve"> will</w:t>
      </w:r>
      <w:r w:rsidR="00426194" w:rsidRPr="003E502D">
        <w:rPr>
          <w:rFonts w:ascii="Arial" w:hAnsi="Arial" w:cs="Arial"/>
          <w:color w:val="333333"/>
        </w:rPr>
        <w:t xml:space="preserve"> likely</w:t>
      </w:r>
      <w:r w:rsidR="00A80F57" w:rsidRPr="003E502D">
        <w:rPr>
          <w:rFonts w:ascii="Arial" w:hAnsi="Arial" w:cs="Arial"/>
          <w:color w:val="333333"/>
        </w:rPr>
        <w:t xml:space="preserve"> leverage off </w:t>
      </w:r>
      <w:r w:rsidR="00A80F57" w:rsidRPr="003E502D">
        <w:rPr>
          <w:rFonts w:ascii="Arial" w:hAnsi="Arial" w:cs="Arial"/>
          <w:color w:val="333333"/>
        </w:rPr>
        <w:lastRenderedPageBreak/>
        <w:t xml:space="preserve">the success of </w:t>
      </w:r>
      <w:r w:rsidR="009B7C69" w:rsidRPr="003E502D">
        <w:rPr>
          <w:rFonts w:ascii="Arial" w:hAnsi="Arial" w:cs="Arial"/>
          <w:color w:val="333333"/>
        </w:rPr>
        <w:t>the Singapore International Mediation Centre</w:t>
      </w:r>
      <w:r w:rsidR="00A80F57" w:rsidRPr="003E502D">
        <w:rPr>
          <w:rFonts w:ascii="Arial" w:hAnsi="Arial" w:cs="Arial"/>
          <w:color w:val="333333"/>
        </w:rPr>
        <w:t xml:space="preserve"> and the Singapore Convention on Mediation.</w:t>
      </w:r>
      <w:r w:rsidR="00A80F57" w:rsidRPr="003E502D">
        <w:rPr>
          <w:rStyle w:val="FootnoteReference"/>
          <w:rFonts w:ascii="Arial" w:hAnsi="Arial" w:cs="Arial"/>
          <w:color w:val="333333"/>
        </w:rPr>
        <w:footnoteReference w:id="7"/>
      </w:r>
    </w:p>
    <w:p w14:paraId="7B31295C" w14:textId="77777777" w:rsidR="00071402" w:rsidRPr="003E502D" w:rsidRDefault="00071402" w:rsidP="006C04E7">
      <w:pPr>
        <w:pStyle w:val="ListParagraph"/>
        <w:spacing w:line="360" w:lineRule="auto"/>
        <w:rPr>
          <w:rFonts w:ascii="Arial" w:hAnsi="Arial" w:cs="Arial"/>
        </w:rPr>
      </w:pPr>
    </w:p>
    <w:p w14:paraId="75BA9C87" w14:textId="5EF8C7D8" w:rsidR="00071402" w:rsidRPr="003E502D" w:rsidRDefault="00071402" w:rsidP="006C04E7">
      <w:pPr>
        <w:pStyle w:val="ListParagraph"/>
        <w:numPr>
          <w:ilvl w:val="0"/>
          <w:numId w:val="1"/>
        </w:numPr>
        <w:spacing w:line="360" w:lineRule="auto"/>
        <w:rPr>
          <w:rFonts w:ascii="Arial" w:hAnsi="Arial" w:cs="Arial"/>
        </w:rPr>
      </w:pPr>
      <w:r w:rsidRPr="003E502D">
        <w:rPr>
          <w:rFonts w:ascii="Arial" w:hAnsi="Arial" w:cs="Arial"/>
        </w:rPr>
        <w:t>Seen in the context of these developments</w:t>
      </w:r>
      <w:r w:rsidR="009B7C69" w:rsidRPr="003E502D">
        <w:rPr>
          <w:rFonts w:ascii="Arial" w:hAnsi="Arial" w:cs="Arial"/>
        </w:rPr>
        <w:t>, the Guidelines can be regarded as a Singapore-initiated tool in judicial diplomacy</w:t>
      </w:r>
      <w:r w:rsidR="0066580A" w:rsidRPr="003E502D">
        <w:rPr>
          <w:rStyle w:val="FootnoteReference"/>
          <w:rFonts w:ascii="Arial" w:hAnsi="Arial" w:cs="Arial"/>
        </w:rPr>
        <w:footnoteReference w:id="8"/>
      </w:r>
      <w:r w:rsidR="007873D6" w:rsidRPr="003E502D">
        <w:rPr>
          <w:rFonts w:ascii="Arial" w:hAnsi="Arial" w:cs="Arial"/>
        </w:rPr>
        <w:t xml:space="preserve"> which add </w:t>
      </w:r>
      <w:proofErr w:type="spellStart"/>
      <w:r w:rsidR="007873D6" w:rsidRPr="003E502D">
        <w:rPr>
          <w:rFonts w:ascii="Arial" w:hAnsi="Arial" w:cs="Arial"/>
        </w:rPr>
        <w:t>lustre</w:t>
      </w:r>
      <w:proofErr w:type="spellEnd"/>
      <w:r w:rsidR="007873D6" w:rsidRPr="003E502D">
        <w:rPr>
          <w:rFonts w:ascii="Arial" w:hAnsi="Arial" w:cs="Arial"/>
        </w:rPr>
        <w:t xml:space="preserve"> to Singapore’s legal hub status</w:t>
      </w:r>
      <w:r w:rsidR="009B7C69" w:rsidRPr="003E502D">
        <w:rPr>
          <w:rFonts w:ascii="Arial" w:hAnsi="Arial" w:cs="Arial"/>
        </w:rPr>
        <w:t>.</w:t>
      </w:r>
      <w:r w:rsidR="0091043A" w:rsidRPr="003E502D">
        <w:rPr>
          <w:rFonts w:ascii="Arial" w:hAnsi="Arial" w:cs="Arial"/>
        </w:rPr>
        <w:t xml:space="preserve"> </w:t>
      </w:r>
      <w:r w:rsidR="001B54EB" w:rsidRPr="003E502D">
        <w:rPr>
          <w:rFonts w:ascii="Arial" w:hAnsi="Arial" w:cs="Arial"/>
        </w:rPr>
        <w:t>Indeed, t</w:t>
      </w:r>
      <w:r w:rsidR="0091043A" w:rsidRPr="003E502D">
        <w:rPr>
          <w:rFonts w:ascii="Arial" w:hAnsi="Arial" w:cs="Arial"/>
        </w:rPr>
        <w:t>he Guidelines play off Singapore’s reputation for neutrality as a “honest broker” to nations.</w:t>
      </w:r>
      <w:r w:rsidR="001B54EB" w:rsidRPr="003E502D">
        <w:rPr>
          <w:rStyle w:val="FootnoteReference"/>
          <w:rFonts w:ascii="Arial" w:hAnsi="Arial" w:cs="Arial"/>
        </w:rPr>
        <w:footnoteReference w:id="9"/>
      </w:r>
      <w:r w:rsidR="0091043A" w:rsidRPr="003E502D">
        <w:rPr>
          <w:rFonts w:ascii="Arial" w:hAnsi="Arial" w:cs="Arial"/>
        </w:rPr>
        <w:t xml:space="preserve"> </w:t>
      </w:r>
      <w:r w:rsidR="00742CDD" w:rsidRPr="003E502D">
        <w:rPr>
          <w:rFonts w:ascii="Arial" w:hAnsi="Arial" w:cs="Arial"/>
        </w:rPr>
        <w:t>They</w:t>
      </w:r>
      <w:r w:rsidR="0091043A" w:rsidRPr="003E502D">
        <w:rPr>
          <w:rFonts w:ascii="Arial" w:hAnsi="Arial" w:cs="Arial"/>
        </w:rPr>
        <w:t xml:space="preserve"> however also shrewdly capitalize on the fact that Association of </w:t>
      </w:r>
      <w:proofErr w:type="gramStart"/>
      <w:r w:rsidR="0091043A" w:rsidRPr="003E502D">
        <w:rPr>
          <w:rFonts w:ascii="Arial" w:hAnsi="Arial" w:cs="Arial"/>
        </w:rPr>
        <w:t>South East</w:t>
      </w:r>
      <w:proofErr w:type="gramEnd"/>
      <w:r w:rsidR="0091043A" w:rsidRPr="003E502D">
        <w:rPr>
          <w:rFonts w:ascii="Arial" w:hAnsi="Arial" w:cs="Arial"/>
        </w:rPr>
        <w:t xml:space="preserve"> Asian Nations</w:t>
      </w:r>
      <w:r w:rsidR="001B54EB" w:rsidRPr="003E502D">
        <w:rPr>
          <w:rFonts w:ascii="Arial" w:hAnsi="Arial" w:cs="Arial"/>
        </w:rPr>
        <w:t xml:space="preserve"> (“ASEAN”)</w:t>
      </w:r>
      <w:r w:rsidR="0091043A" w:rsidRPr="003E502D">
        <w:rPr>
          <w:rFonts w:ascii="Arial" w:hAnsi="Arial" w:cs="Arial"/>
        </w:rPr>
        <w:t xml:space="preserve"> which Singapore is a member of will be the world’s fourth fastest growing economy in 2030. </w:t>
      </w:r>
      <w:r w:rsidR="009426F0" w:rsidRPr="003E502D">
        <w:rPr>
          <w:rFonts w:ascii="Arial" w:hAnsi="Arial" w:cs="Arial"/>
        </w:rPr>
        <w:t xml:space="preserve">The amount of capital which ASEAN will attract </w:t>
      </w:r>
      <w:proofErr w:type="gramStart"/>
      <w:r w:rsidR="001B54EB" w:rsidRPr="003E502D">
        <w:rPr>
          <w:rFonts w:ascii="Arial" w:hAnsi="Arial" w:cs="Arial"/>
        </w:rPr>
        <w:t>in the near future</w:t>
      </w:r>
      <w:proofErr w:type="gramEnd"/>
      <w:r w:rsidR="009426F0" w:rsidRPr="003E502D">
        <w:rPr>
          <w:rFonts w:ascii="Arial" w:hAnsi="Arial" w:cs="Arial"/>
        </w:rPr>
        <w:t xml:space="preserve"> make</w:t>
      </w:r>
      <w:r w:rsidR="00742CDD" w:rsidRPr="003E502D">
        <w:rPr>
          <w:rFonts w:ascii="Arial" w:hAnsi="Arial" w:cs="Arial"/>
        </w:rPr>
        <w:t>s</w:t>
      </w:r>
      <w:r w:rsidR="009426F0" w:rsidRPr="003E502D">
        <w:rPr>
          <w:rFonts w:ascii="Arial" w:hAnsi="Arial" w:cs="Arial"/>
        </w:rPr>
        <w:t xml:space="preserve"> it a prime candidate for cross border insolvencies. It makes sense for there to be a set of guidelines </w:t>
      </w:r>
      <w:r w:rsidR="001B54EB" w:rsidRPr="003E502D">
        <w:rPr>
          <w:rFonts w:ascii="Arial" w:hAnsi="Arial" w:cs="Arial"/>
        </w:rPr>
        <w:t>to improve</w:t>
      </w:r>
      <w:r w:rsidR="009426F0" w:rsidRPr="003E502D">
        <w:rPr>
          <w:rFonts w:ascii="Arial" w:hAnsi="Arial" w:cs="Arial"/>
        </w:rPr>
        <w:t xml:space="preserve"> court-to-court coordination </w:t>
      </w:r>
      <w:r w:rsidR="00742CDD" w:rsidRPr="003E502D">
        <w:rPr>
          <w:rFonts w:ascii="Arial" w:hAnsi="Arial" w:cs="Arial"/>
        </w:rPr>
        <w:t>to pave the way for the orderly handling of</w:t>
      </w:r>
      <w:r w:rsidR="009426F0" w:rsidRPr="003E502D">
        <w:rPr>
          <w:rFonts w:ascii="Arial" w:hAnsi="Arial" w:cs="Arial"/>
        </w:rPr>
        <w:t xml:space="preserve"> such insolvencies.</w:t>
      </w:r>
    </w:p>
    <w:p w14:paraId="15310504" w14:textId="77777777" w:rsidR="009426F0" w:rsidRPr="003E502D" w:rsidRDefault="009426F0" w:rsidP="006C04E7">
      <w:pPr>
        <w:pStyle w:val="ListParagraph"/>
        <w:spacing w:line="360" w:lineRule="auto"/>
        <w:rPr>
          <w:rFonts w:ascii="Arial" w:hAnsi="Arial" w:cs="Arial"/>
        </w:rPr>
      </w:pPr>
    </w:p>
    <w:p w14:paraId="438D3ED4" w14:textId="1E008EAD" w:rsidR="00742CDD" w:rsidRPr="003E502D" w:rsidRDefault="009426F0" w:rsidP="006C04E7">
      <w:pPr>
        <w:pStyle w:val="ListParagraph"/>
        <w:numPr>
          <w:ilvl w:val="0"/>
          <w:numId w:val="1"/>
        </w:numPr>
        <w:spacing w:line="360" w:lineRule="auto"/>
        <w:rPr>
          <w:rFonts w:ascii="Arial" w:hAnsi="Arial" w:cs="Arial"/>
        </w:rPr>
      </w:pPr>
      <w:r w:rsidRPr="003E502D">
        <w:rPr>
          <w:rFonts w:ascii="Arial" w:hAnsi="Arial" w:cs="Arial"/>
        </w:rPr>
        <w:t xml:space="preserve">The fly in the ointment is that the jurisdictions which are key to this </w:t>
      </w:r>
      <w:proofErr w:type="gramStart"/>
      <w:r w:rsidRPr="003E502D">
        <w:rPr>
          <w:rFonts w:ascii="Arial" w:hAnsi="Arial" w:cs="Arial"/>
        </w:rPr>
        <w:t>strategy</w:t>
      </w:r>
      <w:proofErr w:type="gramEnd"/>
      <w:r w:rsidR="009633FB" w:rsidRPr="003E502D">
        <w:rPr>
          <w:rFonts w:ascii="Arial" w:hAnsi="Arial" w:cs="Arial"/>
        </w:rPr>
        <w:t xml:space="preserve"> </w:t>
      </w:r>
      <w:proofErr w:type="spellStart"/>
      <w:r w:rsidR="009633FB" w:rsidRPr="003E502D">
        <w:rPr>
          <w:rFonts w:ascii="Arial" w:hAnsi="Arial" w:cs="Arial"/>
        </w:rPr>
        <w:t>ie</w:t>
      </w:r>
      <w:proofErr w:type="spellEnd"/>
      <w:r w:rsidR="009633FB" w:rsidRPr="003E502D">
        <w:rPr>
          <w:rFonts w:ascii="Arial" w:hAnsi="Arial" w:cs="Arial"/>
        </w:rPr>
        <w:t xml:space="preserve"> the ASEAN </w:t>
      </w:r>
      <w:r w:rsidR="001B54EB" w:rsidRPr="003E502D">
        <w:rPr>
          <w:rFonts w:ascii="Arial" w:hAnsi="Arial" w:cs="Arial"/>
        </w:rPr>
        <w:t>nations</w:t>
      </w:r>
      <w:r w:rsidR="009633FB" w:rsidRPr="003E502D">
        <w:rPr>
          <w:rFonts w:ascii="Arial" w:hAnsi="Arial" w:cs="Arial"/>
        </w:rPr>
        <w:t xml:space="preserve">, are not adopters of the Guidelines. There is an unspoken wariness in these </w:t>
      </w:r>
      <w:r w:rsidR="001B54EB" w:rsidRPr="003E502D">
        <w:rPr>
          <w:rFonts w:ascii="Arial" w:hAnsi="Arial" w:cs="Arial"/>
        </w:rPr>
        <w:t>countries</w:t>
      </w:r>
      <w:r w:rsidR="009633FB" w:rsidRPr="003E502D">
        <w:rPr>
          <w:rFonts w:ascii="Arial" w:hAnsi="Arial" w:cs="Arial"/>
        </w:rPr>
        <w:t xml:space="preserve"> of such developments emanating from Singapore.</w:t>
      </w:r>
      <w:r w:rsidR="00742CDD" w:rsidRPr="003E502D">
        <w:rPr>
          <w:rStyle w:val="FootnoteReference"/>
          <w:rFonts w:ascii="Arial" w:hAnsi="Arial" w:cs="Arial"/>
        </w:rPr>
        <w:footnoteReference w:id="10"/>
      </w:r>
      <w:r w:rsidR="009633FB" w:rsidRPr="003E502D">
        <w:rPr>
          <w:rFonts w:ascii="Arial" w:hAnsi="Arial" w:cs="Arial"/>
        </w:rPr>
        <w:t xml:space="preserve"> </w:t>
      </w:r>
      <w:r w:rsidR="00742CDD" w:rsidRPr="003E502D">
        <w:rPr>
          <w:rFonts w:ascii="Arial" w:hAnsi="Arial" w:cs="Arial"/>
        </w:rPr>
        <w:t>It remains to be seen if this attitude will change in the future.</w:t>
      </w:r>
    </w:p>
    <w:p w14:paraId="243C9783" w14:textId="77777777" w:rsidR="00742CDD" w:rsidRPr="003E502D" w:rsidRDefault="00742CDD" w:rsidP="006C04E7">
      <w:pPr>
        <w:pStyle w:val="ListParagraph"/>
        <w:spacing w:line="360" w:lineRule="auto"/>
        <w:rPr>
          <w:rFonts w:ascii="Arial" w:hAnsi="Arial" w:cs="Arial"/>
        </w:rPr>
      </w:pPr>
    </w:p>
    <w:p w14:paraId="3EAA15AA" w14:textId="11F912FD" w:rsidR="009633FB" w:rsidRPr="003E502D" w:rsidRDefault="009633FB" w:rsidP="006C04E7">
      <w:pPr>
        <w:pStyle w:val="ListParagraph"/>
        <w:numPr>
          <w:ilvl w:val="0"/>
          <w:numId w:val="1"/>
        </w:numPr>
        <w:spacing w:line="360" w:lineRule="auto"/>
        <w:rPr>
          <w:rFonts w:ascii="Arial" w:hAnsi="Arial" w:cs="Arial"/>
        </w:rPr>
      </w:pPr>
      <w:r w:rsidRPr="003E502D">
        <w:rPr>
          <w:rFonts w:ascii="Arial" w:hAnsi="Arial" w:cs="Arial"/>
        </w:rPr>
        <w:t>This short paper will however leave aside these extra</w:t>
      </w:r>
      <w:r w:rsidR="00777C9A" w:rsidRPr="003E502D">
        <w:rPr>
          <w:rFonts w:ascii="Arial" w:hAnsi="Arial" w:cs="Arial"/>
        </w:rPr>
        <w:t>-</w:t>
      </w:r>
      <w:r w:rsidRPr="003E502D">
        <w:rPr>
          <w:rFonts w:ascii="Arial" w:hAnsi="Arial" w:cs="Arial"/>
        </w:rPr>
        <w:t xml:space="preserve">legal issues </w:t>
      </w:r>
      <w:r w:rsidR="00777C9A" w:rsidRPr="003E502D">
        <w:rPr>
          <w:rFonts w:ascii="Arial" w:hAnsi="Arial" w:cs="Arial"/>
        </w:rPr>
        <w:t>in assessing the Guidelines</w:t>
      </w:r>
      <w:r w:rsidRPr="003E502D">
        <w:rPr>
          <w:rFonts w:ascii="Arial" w:hAnsi="Arial" w:cs="Arial"/>
        </w:rPr>
        <w:t>. Instead</w:t>
      </w:r>
      <w:r w:rsidR="007E745A" w:rsidRPr="003E502D">
        <w:rPr>
          <w:rFonts w:ascii="Arial" w:hAnsi="Arial" w:cs="Arial"/>
        </w:rPr>
        <w:t>,</w:t>
      </w:r>
      <w:r w:rsidRPr="003E502D">
        <w:rPr>
          <w:rFonts w:ascii="Arial" w:hAnsi="Arial" w:cs="Arial"/>
        </w:rPr>
        <w:t xml:space="preserve"> this paper will seek to assess the </w:t>
      </w:r>
      <w:r w:rsidR="00091C4C" w:rsidRPr="003E502D">
        <w:rPr>
          <w:rFonts w:ascii="Arial" w:hAnsi="Arial" w:cs="Arial"/>
        </w:rPr>
        <w:t>efficacy</w:t>
      </w:r>
      <w:r w:rsidRPr="003E502D">
        <w:rPr>
          <w:rFonts w:ascii="Arial" w:hAnsi="Arial" w:cs="Arial"/>
        </w:rPr>
        <w:t xml:space="preserve"> of the Guidelines </w:t>
      </w:r>
      <w:r w:rsidR="00777C9A" w:rsidRPr="003E502D">
        <w:rPr>
          <w:rFonts w:ascii="Arial" w:hAnsi="Arial" w:cs="Arial"/>
        </w:rPr>
        <w:t xml:space="preserve">in terms of the ease of its adoption and the </w:t>
      </w:r>
      <w:r w:rsidR="00091C4C" w:rsidRPr="003E502D">
        <w:rPr>
          <w:rFonts w:ascii="Arial" w:hAnsi="Arial" w:cs="Arial"/>
        </w:rPr>
        <w:t>scope of</w:t>
      </w:r>
      <w:r w:rsidR="00777C9A" w:rsidRPr="003E502D">
        <w:rPr>
          <w:rFonts w:ascii="Arial" w:hAnsi="Arial" w:cs="Arial"/>
        </w:rPr>
        <w:t xml:space="preserve"> its provisions.</w:t>
      </w:r>
    </w:p>
    <w:p w14:paraId="03D7D494" w14:textId="77777777" w:rsidR="00777C9A" w:rsidRPr="003E502D" w:rsidRDefault="00777C9A" w:rsidP="006C04E7">
      <w:pPr>
        <w:pStyle w:val="ListParagraph"/>
        <w:spacing w:line="360" w:lineRule="auto"/>
        <w:rPr>
          <w:rFonts w:ascii="Arial" w:hAnsi="Arial" w:cs="Arial"/>
        </w:rPr>
      </w:pPr>
    </w:p>
    <w:p w14:paraId="14BA167A" w14:textId="77777777" w:rsidR="00777C9A" w:rsidRPr="003E502D" w:rsidRDefault="00777C9A" w:rsidP="006C04E7">
      <w:pPr>
        <w:spacing w:line="360" w:lineRule="auto"/>
        <w:ind w:left="360" w:firstLine="360"/>
        <w:rPr>
          <w:rFonts w:ascii="Arial" w:hAnsi="Arial" w:cs="Arial"/>
          <w:i/>
          <w:iCs/>
          <w:sz w:val="24"/>
          <w:szCs w:val="24"/>
        </w:rPr>
      </w:pPr>
      <w:r w:rsidRPr="003E502D">
        <w:rPr>
          <w:rFonts w:ascii="Arial" w:hAnsi="Arial" w:cs="Arial"/>
          <w:i/>
          <w:iCs/>
          <w:sz w:val="24"/>
          <w:szCs w:val="24"/>
        </w:rPr>
        <w:t>Ease of adoption</w:t>
      </w:r>
    </w:p>
    <w:p w14:paraId="68D9BA95" w14:textId="77777777" w:rsidR="00777C9A" w:rsidRPr="003E502D" w:rsidRDefault="00777C9A" w:rsidP="006C04E7">
      <w:pPr>
        <w:pStyle w:val="ListParagraph"/>
        <w:spacing w:line="360" w:lineRule="auto"/>
        <w:rPr>
          <w:rFonts w:ascii="Arial" w:hAnsi="Arial" w:cs="Arial"/>
        </w:rPr>
      </w:pPr>
    </w:p>
    <w:p w14:paraId="3ECC2AC4" w14:textId="77777777" w:rsidR="00777C9A" w:rsidRPr="003E502D" w:rsidRDefault="00777C9A" w:rsidP="006C04E7">
      <w:pPr>
        <w:pStyle w:val="ListParagraph"/>
        <w:spacing w:line="360" w:lineRule="auto"/>
        <w:rPr>
          <w:rFonts w:ascii="Arial" w:hAnsi="Arial" w:cs="Arial"/>
        </w:rPr>
      </w:pPr>
    </w:p>
    <w:p w14:paraId="420F391E" w14:textId="522FA434" w:rsidR="00A6528E" w:rsidRPr="003E502D" w:rsidRDefault="00E85FC1" w:rsidP="006C04E7">
      <w:pPr>
        <w:pStyle w:val="ListParagraph"/>
        <w:numPr>
          <w:ilvl w:val="0"/>
          <w:numId w:val="1"/>
        </w:numPr>
        <w:spacing w:line="360" w:lineRule="auto"/>
        <w:rPr>
          <w:rFonts w:ascii="Arial" w:hAnsi="Arial" w:cs="Arial"/>
        </w:rPr>
      </w:pPr>
      <w:r w:rsidRPr="003E502D">
        <w:rPr>
          <w:rFonts w:ascii="Arial" w:hAnsi="Arial" w:cs="Arial"/>
        </w:rPr>
        <w:t xml:space="preserve">Structurally, the Guidelines are </w:t>
      </w:r>
      <w:proofErr w:type="gramStart"/>
      <w:r w:rsidRPr="003E502D">
        <w:rPr>
          <w:rFonts w:ascii="Arial" w:hAnsi="Arial" w:cs="Arial"/>
        </w:rPr>
        <w:t>in the nature of a</w:t>
      </w:r>
      <w:proofErr w:type="gramEnd"/>
      <w:r w:rsidRPr="003E502D">
        <w:rPr>
          <w:rFonts w:ascii="Arial" w:hAnsi="Arial" w:cs="Arial"/>
        </w:rPr>
        <w:t xml:space="preserve"> court-to-court Memorandum of Understanding</w:t>
      </w:r>
      <w:r w:rsidR="0056622D" w:rsidRPr="003E502D">
        <w:rPr>
          <w:rFonts w:ascii="Arial" w:hAnsi="Arial" w:cs="Arial"/>
        </w:rPr>
        <w:t xml:space="preserve"> </w:t>
      </w:r>
      <w:r w:rsidR="005A3D5D" w:rsidRPr="003E502D">
        <w:rPr>
          <w:rFonts w:ascii="Arial" w:hAnsi="Arial" w:cs="Arial"/>
        </w:rPr>
        <w:t>with the purpose of</w:t>
      </w:r>
      <w:r w:rsidRPr="003E502D">
        <w:rPr>
          <w:rFonts w:ascii="Arial" w:hAnsi="Arial" w:cs="Arial"/>
        </w:rPr>
        <w:t xml:space="preserve"> facilitat</w:t>
      </w:r>
      <w:r w:rsidR="005A3D5D" w:rsidRPr="003E502D">
        <w:rPr>
          <w:rFonts w:ascii="Arial" w:hAnsi="Arial" w:cs="Arial"/>
        </w:rPr>
        <w:t>ing</w:t>
      </w:r>
      <w:r w:rsidRPr="003E502D">
        <w:rPr>
          <w:rFonts w:ascii="Arial" w:hAnsi="Arial" w:cs="Arial"/>
        </w:rPr>
        <w:t xml:space="preserve"> communication across different jurisdictions</w:t>
      </w:r>
      <w:r w:rsidR="005A3D5D" w:rsidRPr="003E502D">
        <w:rPr>
          <w:rFonts w:ascii="Arial" w:hAnsi="Arial" w:cs="Arial"/>
        </w:rPr>
        <w:t xml:space="preserve"> where there are proceedings in relation to a cross border insolvency</w:t>
      </w:r>
      <w:r w:rsidR="00A6528E" w:rsidRPr="003E502D">
        <w:rPr>
          <w:rFonts w:ascii="Arial" w:hAnsi="Arial" w:cs="Arial"/>
        </w:rPr>
        <w:t xml:space="preserve">. </w:t>
      </w:r>
      <w:r w:rsidR="0056622D" w:rsidRPr="003E502D">
        <w:rPr>
          <w:rFonts w:ascii="Arial" w:hAnsi="Arial" w:cs="Arial"/>
        </w:rPr>
        <w:t>Such memoranda have no binding legal effect.</w:t>
      </w:r>
      <w:r w:rsidR="0056622D" w:rsidRPr="003E502D">
        <w:rPr>
          <w:rStyle w:val="FootnoteReference"/>
          <w:rFonts w:ascii="Arial" w:hAnsi="Arial" w:cs="Arial"/>
        </w:rPr>
        <w:footnoteReference w:id="11"/>
      </w:r>
      <w:r w:rsidR="0056622D" w:rsidRPr="003E502D">
        <w:rPr>
          <w:rFonts w:ascii="Arial" w:hAnsi="Arial" w:cs="Arial"/>
        </w:rPr>
        <w:t xml:space="preserve">  </w:t>
      </w:r>
      <w:r w:rsidR="00A6528E" w:rsidRPr="003E502D">
        <w:rPr>
          <w:rFonts w:ascii="Arial" w:hAnsi="Arial" w:cs="Arial"/>
        </w:rPr>
        <w:t>Being a</w:t>
      </w:r>
      <w:r w:rsidR="0056622D" w:rsidRPr="003E502D">
        <w:rPr>
          <w:rFonts w:ascii="Arial" w:hAnsi="Arial" w:cs="Arial"/>
        </w:rPr>
        <w:t xml:space="preserve"> multi-court </w:t>
      </w:r>
      <w:r w:rsidR="00134D6D" w:rsidRPr="003E502D">
        <w:rPr>
          <w:rFonts w:ascii="Arial" w:hAnsi="Arial" w:cs="Arial"/>
        </w:rPr>
        <w:t>understanding</w:t>
      </w:r>
      <w:r w:rsidR="00A6528E" w:rsidRPr="003E502D">
        <w:rPr>
          <w:rFonts w:ascii="Arial" w:hAnsi="Arial" w:cs="Arial"/>
        </w:rPr>
        <w:t xml:space="preserve"> as opposed to legislation, there is no parliamentary approval required to adopt the Guidelines. This </w:t>
      </w:r>
      <w:proofErr w:type="gramStart"/>
      <w:r w:rsidR="00A6528E" w:rsidRPr="003E502D">
        <w:rPr>
          <w:rFonts w:ascii="Arial" w:hAnsi="Arial" w:cs="Arial"/>
        </w:rPr>
        <w:t>in itself paves</w:t>
      </w:r>
      <w:proofErr w:type="gramEnd"/>
      <w:r w:rsidR="00A6528E" w:rsidRPr="003E502D">
        <w:rPr>
          <w:rFonts w:ascii="Arial" w:hAnsi="Arial" w:cs="Arial"/>
        </w:rPr>
        <w:t xml:space="preserve"> the way for easy adoption.</w:t>
      </w:r>
      <w:r w:rsidR="00405645" w:rsidRPr="003E502D">
        <w:rPr>
          <w:rFonts w:ascii="Arial" w:hAnsi="Arial" w:cs="Arial"/>
        </w:rPr>
        <w:t xml:space="preserve"> This method of adoption contrasts with the Model Law which requires enactment by statute. As a result of the relatively easier path to adoption, it is entirely conceivable that jurisdictions may adopt the Guidelines without the Model Law</w:t>
      </w:r>
      <w:r w:rsidR="00462800" w:rsidRPr="003E502D">
        <w:rPr>
          <w:rFonts w:ascii="Arial" w:hAnsi="Arial" w:cs="Arial"/>
        </w:rPr>
        <w:t xml:space="preserve"> (</w:t>
      </w:r>
      <w:r w:rsidR="00462800" w:rsidRPr="003E502D">
        <w:rPr>
          <w:rFonts w:ascii="Arial" w:hAnsi="Arial" w:cs="Arial"/>
          <w:i/>
          <w:iCs/>
        </w:rPr>
        <w:t xml:space="preserve">for </w:t>
      </w:r>
      <w:proofErr w:type="spellStart"/>
      <w:r w:rsidR="00462800" w:rsidRPr="003E502D">
        <w:rPr>
          <w:rFonts w:ascii="Arial" w:hAnsi="Arial" w:cs="Arial"/>
          <w:i/>
          <w:iCs/>
        </w:rPr>
        <w:t>eg</w:t>
      </w:r>
      <w:proofErr w:type="spellEnd"/>
      <w:r w:rsidR="00462800" w:rsidRPr="003E502D">
        <w:rPr>
          <w:rFonts w:ascii="Arial" w:hAnsi="Arial" w:cs="Arial"/>
        </w:rPr>
        <w:t xml:space="preserve"> </w:t>
      </w:r>
      <w:r w:rsidR="0056622D" w:rsidRPr="003E502D">
        <w:rPr>
          <w:rFonts w:ascii="Arial" w:hAnsi="Arial" w:cs="Arial"/>
        </w:rPr>
        <w:t>t</w:t>
      </w:r>
      <w:r w:rsidR="00462800" w:rsidRPr="003E502D">
        <w:rPr>
          <w:rFonts w:ascii="Arial" w:hAnsi="Arial" w:cs="Arial"/>
        </w:rPr>
        <w:t>he National Commercial Court of Argentina has adopted the Guidelines even though it has not enacted the Model Law)</w:t>
      </w:r>
      <w:r w:rsidR="00405645" w:rsidRPr="003E502D">
        <w:rPr>
          <w:rFonts w:ascii="Arial" w:hAnsi="Arial" w:cs="Arial"/>
        </w:rPr>
        <w:t>. Even though the Guidelines were intended to supplement the Model Law (</w:t>
      </w:r>
      <w:r w:rsidR="0056622D" w:rsidRPr="003E502D">
        <w:rPr>
          <w:rFonts w:ascii="Arial" w:hAnsi="Arial" w:cs="Arial"/>
        </w:rPr>
        <w:t xml:space="preserve">indeed </w:t>
      </w:r>
      <w:r w:rsidR="00405645" w:rsidRPr="003E502D">
        <w:rPr>
          <w:rFonts w:ascii="Arial" w:hAnsi="Arial" w:cs="Arial"/>
        </w:rPr>
        <w:t>Singapore promulgated the Guidelines in the same year that the Model Law was given force of law in Singapore), the</w:t>
      </w:r>
      <w:r w:rsidR="009D22D3" w:rsidRPr="003E502D">
        <w:rPr>
          <w:rFonts w:ascii="Arial" w:hAnsi="Arial" w:cs="Arial"/>
        </w:rPr>
        <w:t xml:space="preserve">y </w:t>
      </w:r>
      <w:proofErr w:type="gramStart"/>
      <w:r w:rsidR="009D22D3" w:rsidRPr="003E502D">
        <w:rPr>
          <w:rFonts w:ascii="Arial" w:hAnsi="Arial" w:cs="Arial"/>
        </w:rPr>
        <w:t>are capable of operating</w:t>
      </w:r>
      <w:proofErr w:type="gramEnd"/>
      <w:r w:rsidR="009D22D3" w:rsidRPr="003E502D">
        <w:rPr>
          <w:rFonts w:ascii="Arial" w:hAnsi="Arial" w:cs="Arial"/>
        </w:rPr>
        <w:t xml:space="preserve"> independently and in such instances may</w:t>
      </w:r>
      <w:r w:rsidR="00405645" w:rsidRPr="003E502D">
        <w:rPr>
          <w:rFonts w:ascii="Arial" w:hAnsi="Arial" w:cs="Arial"/>
        </w:rPr>
        <w:t xml:space="preserve"> </w:t>
      </w:r>
      <w:r w:rsidR="00462800" w:rsidRPr="003E502D">
        <w:rPr>
          <w:rFonts w:ascii="Arial" w:hAnsi="Arial" w:cs="Arial"/>
        </w:rPr>
        <w:t xml:space="preserve">serve as </w:t>
      </w:r>
      <w:r w:rsidR="00462800" w:rsidRPr="003E502D">
        <w:rPr>
          <w:rFonts w:ascii="Arial" w:hAnsi="Arial" w:cs="Arial"/>
          <w:i/>
          <w:iCs/>
        </w:rPr>
        <w:t>Model Law</w:t>
      </w:r>
      <w:r w:rsidR="00462800" w:rsidRPr="003E502D">
        <w:rPr>
          <w:rFonts w:ascii="Arial" w:hAnsi="Arial" w:cs="Arial"/>
        </w:rPr>
        <w:t xml:space="preserve">-lite for jurisdictions that find </w:t>
      </w:r>
      <w:r w:rsidR="00405645" w:rsidRPr="003E502D">
        <w:rPr>
          <w:rFonts w:ascii="Arial" w:hAnsi="Arial" w:cs="Arial"/>
        </w:rPr>
        <w:t>the Model Law</w:t>
      </w:r>
      <w:r w:rsidR="009D22D3" w:rsidRPr="003E502D">
        <w:rPr>
          <w:rFonts w:ascii="Arial" w:hAnsi="Arial" w:cs="Arial"/>
        </w:rPr>
        <w:t xml:space="preserve"> too cumbersome to enact</w:t>
      </w:r>
      <w:r w:rsidR="00462800" w:rsidRPr="003E502D">
        <w:rPr>
          <w:rFonts w:ascii="Arial" w:hAnsi="Arial" w:cs="Arial"/>
        </w:rPr>
        <w:t>. I</w:t>
      </w:r>
      <w:r w:rsidR="009D22D3" w:rsidRPr="003E502D">
        <w:rPr>
          <w:rFonts w:ascii="Arial" w:hAnsi="Arial" w:cs="Arial"/>
        </w:rPr>
        <w:t>t is possible that</w:t>
      </w:r>
      <w:r w:rsidR="00462800" w:rsidRPr="003E502D">
        <w:rPr>
          <w:rFonts w:ascii="Arial" w:hAnsi="Arial" w:cs="Arial"/>
        </w:rPr>
        <w:t xml:space="preserve"> in such a context, the Guidelines </w:t>
      </w:r>
      <w:r w:rsidR="009D22D3" w:rsidRPr="003E502D">
        <w:rPr>
          <w:rFonts w:ascii="Arial" w:hAnsi="Arial" w:cs="Arial"/>
        </w:rPr>
        <w:t>would</w:t>
      </w:r>
      <w:r w:rsidR="00462800" w:rsidRPr="003E502D">
        <w:rPr>
          <w:rFonts w:ascii="Arial" w:hAnsi="Arial" w:cs="Arial"/>
        </w:rPr>
        <w:t xml:space="preserve"> give a foretaste of the benefits of the Model Law.</w:t>
      </w:r>
    </w:p>
    <w:p w14:paraId="19E7DBDB" w14:textId="77777777" w:rsidR="00462800" w:rsidRPr="003E502D" w:rsidRDefault="00462800" w:rsidP="006C04E7">
      <w:pPr>
        <w:pStyle w:val="ListParagraph"/>
        <w:spacing w:line="360" w:lineRule="auto"/>
        <w:rPr>
          <w:rFonts w:ascii="Arial" w:hAnsi="Arial" w:cs="Arial"/>
        </w:rPr>
      </w:pPr>
    </w:p>
    <w:p w14:paraId="09EDCD2B" w14:textId="1F862E10" w:rsidR="00462800" w:rsidRPr="003E502D" w:rsidRDefault="00D14350" w:rsidP="006C04E7">
      <w:pPr>
        <w:pStyle w:val="ListParagraph"/>
        <w:numPr>
          <w:ilvl w:val="0"/>
          <w:numId w:val="1"/>
        </w:numPr>
        <w:spacing w:line="360" w:lineRule="auto"/>
        <w:rPr>
          <w:rFonts w:ascii="Arial" w:hAnsi="Arial" w:cs="Arial"/>
        </w:rPr>
      </w:pPr>
      <w:r w:rsidRPr="003E502D">
        <w:rPr>
          <w:rFonts w:ascii="Arial" w:hAnsi="Arial" w:cs="Arial"/>
        </w:rPr>
        <w:t>Further</w:t>
      </w:r>
      <w:r w:rsidR="00462800" w:rsidRPr="003E502D">
        <w:rPr>
          <w:rFonts w:ascii="Arial" w:hAnsi="Arial" w:cs="Arial"/>
        </w:rPr>
        <w:t xml:space="preserve">, the simplicity of the Guidelines </w:t>
      </w:r>
      <w:r w:rsidR="00B62DFB" w:rsidRPr="003E502D">
        <w:rPr>
          <w:rFonts w:ascii="Arial" w:hAnsi="Arial" w:cs="Arial"/>
        </w:rPr>
        <w:t>and t</w:t>
      </w:r>
      <w:r w:rsidR="00462800" w:rsidRPr="003E502D">
        <w:rPr>
          <w:rFonts w:ascii="Arial" w:hAnsi="Arial" w:cs="Arial"/>
        </w:rPr>
        <w:t>he</w:t>
      </w:r>
      <w:r w:rsidR="00B62DFB" w:rsidRPr="003E502D">
        <w:rPr>
          <w:rFonts w:ascii="Arial" w:hAnsi="Arial" w:cs="Arial"/>
        </w:rPr>
        <w:t>ir</w:t>
      </w:r>
      <w:r w:rsidR="00462800" w:rsidRPr="003E502D">
        <w:rPr>
          <w:rFonts w:ascii="Arial" w:hAnsi="Arial" w:cs="Arial"/>
        </w:rPr>
        <w:t xml:space="preserve"> uncontroversial </w:t>
      </w:r>
      <w:proofErr w:type="gramStart"/>
      <w:r w:rsidR="00B62DFB" w:rsidRPr="003E502D">
        <w:rPr>
          <w:rFonts w:ascii="Arial" w:hAnsi="Arial" w:cs="Arial"/>
        </w:rPr>
        <w:t>nature</w:t>
      </w:r>
      <w:r w:rsidR="00462800" w:rsidRPr="003E502D">
        <w:rPr>
          <w:rFonts w:ascii="Arial" w:hAnsi="Arial" w:cs="Arial"/>
        </w:rPr>
        <w:t>,</w:t>
      </w:r>
      <w:proofErr w:type="gramEnd"/>
      <w:r w:rsidR="00462800" w:rsidRPr="003E502D">
        <w:rPr>
          <w:rFonts w:ascii="Arial" w:hAnsi="Arial" w:cs="Arial"/>
        </w:rPr>
        <w:t xml:space="preserve"> promotes adoption. Thus:</w:t>
      </w:r>
    </w:p>
    <w:p w14:paraId="39072B28" w14:textId="77777777" w:rsidR="00A6528E" w:rsidRPr="003E502D" w:rsidRDefault="00A6528E" w:rsidP="006C04E7">
      <w:pPr>
        <w:pStyle w:val="ListParagraph"/>
        <w:spacing w:line="360" w:lineRule="auto"/>
        <w:rPr>
          <w:rFonts w:ascii="Arial" w:hAnsi="Arial" w:cs="Arial"/>
        </w:rPr>
      </w:pPr>
    </w:p>
    <w:p w14:paraId="625C5055" w14:textId="3C0A0F52" w:rsidR="00986EBE" w:rsidRPr="003E502D" w:rsidRDefault="00E85FC1" w:rsidP="006C04E7">
      <w:pPr>
        <w:pStyle w:val="ListParagraph"/>
        <w:numPr>
          <w:ilvl w:val="1"/>
          <w:numId w:val="1"/>
        </w:numPr>
        <w:spacing w:line="360" w:lineRule="auto"/>
        <w:rPr>
          <w:rFonts w:ascii="Arial" w:hAnsi="Arial" w:cs="Arial"/>
        </w:rPr>
      </w:pPr>
      <w:r w:rsidRPr="003E502D">
        <w:rPr>
          <w:rFonts w:ascii="Arial" w:hAnsi="Arial" w:cs="Arial"/>
        </w:rPr>
        <w:t>Guidelines 7-9</w:t>
      </w:r>
      <w:r w:rsidR="00405645" w:rsidRPr="003E502D">
        <w:rPr>
          <w:rFonts w:ascii="Arial" w:hAnsi="Arial" w:cs="Arial"/>
        </w:rPr>
        <w:t>,</w:t>
      </w:r>
      <w:r w:rsidRPr="003E502D">
        <w:rPr>
          <w:rFonts w:ascii="Arial" w:hAnsi="Arial" w:cs="Arial"/>
        </w:rPr>
        <w:t xml:space="preserve"> which are the </w:t>
      </w:r>
      <w:proofErr w:type="spellStart"/>
      <w:r w:rsidRPr="003E502D">
        <w:rPr>
          <w:rFonts w:ascii="Arial" w:hAnsi="Arial" w:cs="Arial"/>
        </w:rPr>
        <w:t>centrepiece</w:t>
      </w:r>
      <w:proofErr w:type="spellEnd"/>
      <w:r w:rsidRPr="003E502D">
        <w:rPr>
          <w:rFonts w:ascii="Arial" w:hAnsi="Arial" w:cs="Arial"/>
        </w:rPr>
        <w:t xml:space="preserve"> of the Guidelines</w:t>
      </w:r>
      <w:r w:rsidR="00405645" w:rsidRPr="003E502D">
        <w:rPr>
          <w:rFonts w:ascii="Arial" w:hAnsi="Arial" w:cs="Arial"/>
        </w:rPr>
        <w:t>,</w:t>
      </w:r>
      <w:r w:rsidRPr="003E502D">
        <w:rPr>
          <w:rFonts w:ascii="Arial" w:hAnsi="Arial" w:cs="Arial"/>
        </w:rPr>
        <w:t xml:space="preserve"> provide for communications between courts and the attendance of parties when such communications take place.</w:t>
      </w:r>
      <w:r w:rsidR="00462800" w:rsidRPr="003E502D">
        <w:rPr>
          <w:rFonts w:ascii="Arial" w:hAnsi="Arial" w:cs="Arial"/>
        </w:rPr>
        <w:t xml:space="preserve"> Guideline 7 se</w:t>
      </w:r>
      <w:r w:rsidR="00231741" w:rsidRPr="003E502D">
        <w:rPr>
          <w:rFonts w:ascii="Arial" w:hAnsi="Arial" w:cs="Arial"/>
        </w:rPr>
        <w:t>ts out</w:t>
      </w:r>
      <w:r w:rsidR="00986EBE" w:rsidRPr="003E502D">
        <w:rPr>
          <w:rFonts w:ascii="Arial" w:hAnsi="Arial" w:cs="Arial"/>
        </w:rPr>
        <w:t xml:space="preserve"> the purpose</w:t>
      </w:r>
      <w:r w:rsidR="00231741" w:rsidRPr="003E502D">
        <w:rPr>
          <w:rFonts w:ascii="Arial" w:hAnsi="Arial" w:cs="Arial"/>
        </w:rPr>
        <w:t xml:space="preserve"> of such </w:t>
      </w:r>
      <w:r w:rsidR="00231741" w:rsidRPr="003E502D">
        <w:rPr>
          <w:rFonts w:ascii="Arial" w:hAnsi="Arial" w:cs="Arial"/>
        </w:rPr>
        <w:lastRenderedPageBreak/>
        <w:t>communication</w:t>
      </w:r>
      <w:r w:rsidR="00986EBE" w:rsidRPr="003E502D">
        <w:rPr>
          <w:rFonts w:ascii="Arial" w:hAnsi="Arial" w:cs="Arial"/>
        </w:rPr>
        <w:t xml:space="preserve"> (the orderly making of submissions and the rendering of decisions by the courts) </w:t>
      </w:r>
      <w:r w:rsidR="00B62DFB" w:rsidRPr="003E502D">
        <w:rPr>
          <w:rFonts w:ascii="Arial" w:hAnsi="Arial" w:cs="Arial"/>
        </w:rPr>
        <w:t>as well as the</w:t>
      </w:r>
      <w:r w:rsidR="00986EBE" w:rsidRPr="003E502D">
        <w:rPr>
          <w:rFonts w:ascii="Arial" w:hAnsi="Arial" w:cs="Arial"/>
        </w:rPr>
        <w:t xml:space="preserve"> modes and subject matter of</w:t>
      </w:r>
      <w:r w:rsidR="00231741" w:rsidRPr="003E502D">
        <w:rPr>
          <w:rFonts w:ascii="Arial" w:hAnsi="Arial" w:cs="Arial"/>
        </w:rPr>
        <w:t xml:space="preserve"> the same</w:t>
      </w:r>
      <w:r w:rsidR="00986EBE" w:rsidRPr="003E502D">
        <w:rPr>
          <w:rFonts w:ascii="Arial" w:hAnsi="Arial" w:cs="Arial"/>
        </w:rPr>
        <w:t>.</w:t>
      </w:r>
      <w:r w:rsidRPr="003E502D">
        <w:rPr>
          <w:rFonts w:ascii="Arial" w:hAnsi="Arial" w:cs="Arial"/>
        </w:rPr>
        <w:t xml:space="preserve"> In June 2020, the JIN published a further elaboration on the Modalities of Court-of-Court Communication to supplement the Guidelines. There is </w:t>
      </w:r>
      <w:r w:rsidR="00B62DFB" w:rsidRPr="003E502D">
        <w:rPr>
          <w:rFonts w:ascii="Arial" w:hAnsi="Arial" w:cs="Arial"/>
        </w:rPr>
        <w:t xml:space="preserve">to be </w:t>
      </w:r>
      <w:r w:rsidRPr="003E502D">
        <w:rPr>
          <w:rFonts w:ascii="Arial" w:hAnsi="Arial" w:cs="Arial"/>
        </w:rPr>
        <w:t>a Facilitator (in Singapore’s case, the Deputy Registrar of the Supreme Court has been designated as the Facilitator) designated to initiated communication on behalf of a</w:t>
      </w:r>
      <w:r w:rsidR="00A6528E" w:rsidRPr="003E502D">
        <w:rPr>
          <w:rFonts w:ascii="Arial" w:hAnsi="Arial" w:cs="Arial"/>
        </w:rPr>
        <w:t>n Initiating</w:t>
      </w:r>
      <w:r w:rsidRPr="003E502D">
        <w:rPr>
          <w:rFonts w:ascii="Arial" w:hAnsi="Arial" w:cs="Arial"/>
        </w:rPr>
        <w:t xml:space="preserve"> Judge</w:t>
      </w:r>
      <w:r w:rsidR="00A6528E" w:rsidRPr="003E502D">
        <w:rPr>
          <w:rFonts w:ascii="Arial" w:hAnsi="Arial" w:cs="Arial"/>
        </w:rPr>
        <w:t xml:space="preserve"> who will approach a Receiving Judge with certain </w:t>
      </w:r>
      <w:r w:rsidR="00B62DFB" w:rsidRPr="003E502D">
        <w:rPr>
          <w:rFonts w:ascii="Arial" w:hAnsi="Arial" w:cs="Arial"/>
        </w:rPr>
        <w:t xml:space="preserve">details </w:t>
      </w:r>
      <w:r w:rsidR="00A6528E" w:rsidRPr="003E502D">
        <w:rPr>
          <w:rFonts w:ascii="Arial" w:hAnsi="Arial" w:cs="Arial"/>
        </w:rPr>
        <w:t>for the proposed communication to take place.  These modalities are intended</w:t>
      </w:r>
      <w:r w:rsidR="00B62DFB" w:rsidRPr="003E502D">
        <w:rPr>
          <w:rFonts w:ascii="Arial" w:hAnsi="Arial" w:cs="Arial"/>
        </w:rPr>
        <w:t xml:space="preserve"> to</w:t>
      </w:r>
      <w:r w:rsidR="009A50B9" w:rsidRPr="003E502D">
        <w:rPr>
          <w:rFonts w:ascii="Arial" w:hAnsi="Arial" w:cs="Arial"/>
        </w:rPr>
        <w:t xml:space="preserve"> overcome any judicial hesitation in </w:t>
      </w:r>
      <w:r w:rsidR="00B62DFB" w:rsidRPr="003E502D">
        <w:rPr>
          <w:rFonts w:ascii="Arial" w:hAnsi="Arial" w:cs="Arial"/>
        </w:rPr>
        <w:t>initiat</w:t>
      </w:r>
      <w:r w:rsidR="009A50B9" w:rsidRPr="003E502D">
        <w:rPr>
          <w:rFonts w:ascii="Arial" w:hAnsi="Arial" w:cs="Arial"/>
        </w:rPr>
        <w:t>ing</w:t>
      </w:r>
      <w:r w:rsidR="00B62DFB" w:rsidRPr="003E502D">
        <w:rPr>
          <w:rFonts w:ascii="Arial" w:hAnsi="Arial" w:cs="Arial"/>
        </w:rPr>
        <w:t xml:space="preserve"> </w:t>
      </w:r>
      <w:r w:rsidR="00A6528E" w:rsidRPr="003E502D">
        <w:rPr>
          <w:rFonts w:ascii="Arial" w:hAnsi="Arial" w:cs="Arial"/>
        </w:rPr>
        <w:t>communication</w:t>
      </w:r>
      <w:r w:rsidR="00B62DFB" w:rsidRPr="003E502D">
        <w:rPr>
          <w:rFonts w:ascii="Arial" w:hAnsi="Arial" w:cs="Arial"/>
        </w:rPr>
        <w:t xml:space="preserve">. In exceptional circumstances, </w:t>
      </w:r>
      <w:r w:rsidR="00A6528E" w:rsidRPr="003E502D">
        <w:rPr>
          <w:rFonts w:ascii="Arial" w:hAnsi="Arial" w:cs="Arial"/>
        </w:rPr>
        <w:t>there is provision for an Initiating Judge to contact a Receiving Judge directly.</w:t>
      </w:r>
    </w:p>
    <w:p w14:paraId="406682D6" w14:textId="37B62954" w:rsidR="00986EBE" w:rsidRPr="003E502D" w:rsidRDefault="00A6528E" w:rsidP="006C04E7">
      <w:pPr>
        <w:pStyle w:val="ListParagraph"/>
        <w:spacing w:line="360" w:lineRule="auto"/>
        <w:ind w:left="1440"/>
        <w:rPr>
          <w:rFonts w:ascii="Arial" w:hAnsi="Arial" w:cs="Arial"/>
        </w:rPr>
      </w:pPr>
      <w:r w:rsidRPr="003E502D">
        <w:rPr>
          <w:rFonts w:ascii="Arial" w:hAnsi="Arial" w:cs="Arial"/>
        </w:rPr>
        <w:t xml:space="preserve"> </w:t>
      </w:r>
    </w:p>
    <w:p w14:paraId="61D0DB4A" w14:textId="6455C23F" w:rsidR="00A6528E" w:rsidRPr="003E502D" w:rsidRDefault="00A6528E" w:rsidP="006C04E7">
      <w:pPr>
        <w:pStyle w:val="ListParagraph"/>
        <w:numPr>
          <w:ilvl w:val="1"/>
          <w:numId w:val="1"/>
        </w:numPr>
        <w:spacing w:line="360" w:lineRule="auto"/>
        <w:rPr>
          <w:rFonts w:ascii="Arial" w:hAnsi="Arial" w:cs="Arial"/>
        </w:rPr>
      </w:pPr>
      <w:r w:rsidRPr="003E502D">
        <w:rPr>
          <w:rFonts w:ascii="Arial" w:hAnsi="Arial" w:cs="Arial"/>
        </w:rPr>
        <w:t xml:space="preserve">Guidelines 10 and 11 allow a Court to </w:t>
      </w:r>
      <w:proofErr w:type="spellStart"/>
      <w:r w:rsidRPr="003E502D">
        <w:rPr>
          <w:rFonts w:ascii="Arial" w:hAnsi="Arial" w:cs="Arial"/>
        </w:rPr>
        <w:t>authorise</w:t>
      </w:r>
      <w:proofErr w:type="spellEnd"/>
      <w:r w:rsidRPr="003E502D">
        <w:rPr>
          <w:rFonts w:ascii="Arial" w:hAnsi="Arial" w:cs="Arial"/>
        </w:rPr>
        <w:t xml:space="preserve"> a party or appropriate person to appear in a foreign court subject to the foreign court’s approval</w:t>
      </w:r>
      <w:r w:rsidR="00231741" w:rsidRPr="003E502D">
        <w:rPr>
          <w:rFonts w:ascii="Arial" w:hAnsi="Arial" w:cs="Arial"/>
        </w:rPr>
        <w:t xml:space="preserve"> and vice versa for a party in a foreign proceeding to be heard by it</w:t>
      </w:r>
      <w:r w:rsidRPr="003E502D">
        <w:rPr>
          <w:rFonts w:ascii="Arial" w:hAnsi="Arial" w:cs="Arial"/>
        </w:rPr>
        <w:t xml:space="preserve">. The attendance by a party to a foreign proceeding may take place without any submission to jurisdiction. </w:t>
      </w:r>
      <w:r w:rsidR="00B62DFB" w:rsidRPr="003E502D">
        <w:rPr>
          <w:rFonts w:ascii="Arial" w:hAnsi="Arial" w:cs="Arial"/>
        </w:rPr>
        <w:t>T</w:t>
      </w:r>
      <w:r w:rsidRPr="003E502D">
        <w:rPr>
          <w:rFonts w:ascii="Arial" w:hAnsi="Arial" w:cs="Arial"/>
        </w:rPr>
        <w:t xml:space="preserve">hese Guidelines thus facilitate information sharing between different proceedings by having parties or their counsel attend before </w:t>
      </w:r>
      <w:r w:rsidR="00231741" w:rsidRPr="003E502D">
        <w:rPr>
          <w:rFonts w:ascii="Arial" w:hAnsi="Arial" w:cs="Arial"/>
        </w:rPr>
        <w:t>different</w:t>
      </w:r>
      <w:r w:rsidRPr="003E502D">
        <w:rPr>
          <w:rFonts w:ascii="Arial" w:hAnsi="Arial" w:cs="Arial"/>
        </w:rPr>
        <w:t xml:space="preserve"> courts. Th</w:t>
      </w:r>
      <w:r w:rsidR="00405645" w:rsidRPr="003E502D">
        <w:rPr>
          <w:rFonts w:ascii="Arial" w:hAnsi="Arial" w:cs="Arial"/>
        </w:rPr>
        <w:t xml:space="preserve">is </w:t>
      </w:r>
      <w:r w:rsidR="00B62DFB" w:rsidRPr="003E502D">
        <w:rPr>
          <w:rFonts w:ascii="Arial" w:hAnsi="Arial" w:cs="Arial"/>
        </w:rPr>
        <w:t>serves as</w:t>
      </w:r>
      <w:r w:rsidR="00405645" w:rsidRPr="003E502D">
        <w:rPr>
          <w:rFonts w:ascii="Arial" w:hAnsi="Arial" w:cs="Arial"/>
        </w:rPr>
        <w:t xml:space="preserve"> a second channel of communication over and beyond that envisaged in Guidelines 7-9.</w:t>
      </w:r>
    </w:p>
    <w:p w14:paraId="4B69742F" w14:textId="77777777" w:rsidR="00405645" w:rsidRPr="003E502D" w:rsidRDefault="00405645" w:rsidP="006C04E7">
      <w:pPr>
        <w:pStyle w:val="ListParagraph"/>
        <w:spacing w:line="360" w:lineRule="auto"/>
        <w:rPr>
          <w:rFonts w:ascii="Arial" w:hAnsi="Arial" w:cs="Arial"/>
        </w:rPr>
      </w:pPr>
    </w:p>
    <w:p w14:paraId="27910650" w14:textId="77777777" w:rsidR="00405645" w:rsidRPr="003E502D" w:rsidRDefault="00405645" w:rsidP="006C04E7">
      <w:pPr>
        <w:pStyle w:val="ListParagraph"/>
        <w:numPr>
          <w:ilvl w:val="0"/>
          <w:numId w:val="1"/>
        </w:numPr>
        <w:spacing w:line="360" w:lineRule="auto"/>
        <w:rPr>
          <w:rFonts w:ascii="Arial" w:hAnsi="Arial" w:cs="Arial"/>
        </w:rPr>
      </w:pPr>
      <w:r w:rsidRPr="003E502D">
        <w:rPr>
          <w:rFonts w:ascii="Arial" w:hAnsi="Arial" w:cs="Arial"/>
        </w:rPr>
        <w:t>When either or both channels of communication are employed, a Court is expected to enter a protocol or order either at the application of parties or on its accord.</w:t>
      </w:r>
    </w:p>
    <w:p w14:paraId="01ABFF70" w14:textId="77777777" w:rsidR="00405645" w:rsidRPr="003E502D" w:rsidRDefault="00405645" w:rsidP="006C04E7">
      <w:pPr>
        <w:pStyle w:val="ListParagraph"/>
        <w:spacing w:line="360" w:lineRule="auto"/>
        <w:rPr>
          <w:rFonts w:ascii="Arial" w:hAnsi="Arial" w:cs="Arial"/>
        </w:rPr>
      </w:pPr>
    </w:p>
    <w:p w14:paraId="31A79348" w14:textId="1017B3E1" w:rsidR="00FC0338" w:rsidRPr="003E502D" w:rsidRDefault="00986EBE" w:rsidP="006C04E7">
      <w:pPr>
        <w:pStyle w:val="ListParagraph"/>
        <w:numPr>
          <w:ilvl w:val="0"/>
          <w:numId w:val="1"/>
        </w:numPr>
        <w:spacing w:line="360" w:lineRule="auto"/>
        <w:rPr>
          <w:rFonts w:ascii="Arial" w:hAnsi="Arial" w:cs="Arial"/>
        </w:rPr>
      </w:pPr>
      <w:r w:rsidRPr="003E502D">
        <w:rPr>
          <w:rFonts w:ascii="Arial" w:hAnsi="Arial" w:cs="Arial"/>
        </w:rPr>
        <w:t xml:space="preserve">In Guideline 5, there is express preservation of a Court’s powers to determine the rights of the parties before it in a manner which accords with the jurisdiction’s substantive laws. </w:t>
      </w:r>
      <w:r w:rsidR="002F2FE3" w:rsidRPr="003E502D">
        <w:rPr>
          <w:rFonts w:ascii="Arial" w:hAnsi="Arial" w:cs="Arial"/>
        </w:rPr>
        <w:t xml:space="preserve">This echoes </w:t>
      </w:r>
      <w:r w:rsidR="00854541" w:rsidRPr="003E502D">
        <w:rPr>
          <w:rFonts w:ascii="Arial" w:hAnsi="Arial" w:cs="Arial"/>
        </w:rPr>
        <w:t>Guideline</w:t>
      </w:r>
      <w:r w:rsidR="002F2FE3" w:rsidRPr="003E502D">
        <w:rPr>
          <w:rFonts w:ascii="Arial" w:hAnsi="Arial" w:cs="Arial"/>
        </w:rPr>
        <w:t xml:space="preserve"> 4(iii) which states</w:t>
      </w:r>
      <w:r w:rsidR="00854541" w:rsidRPr="003E502D">
        <w:rPr>
          <w:rFonts w:ascii="Arial" w:hAnsi="Arial" w:cs="Arial"/>
        </w:rPr>
        <w:t xml:space="preserve"> </w:t>
      </w:r>
      <w:r w:rsidR="002F2FE3" w:rsidRPr="003E502D">
        <w:rPr>
          <w:rFonts w:ascii="Arial" w:hAnsi="Arial" w:cs="Arial"/>
        </w:rPr>
        <w:t>that the Guidelines</w:t>
      </w:r>
      <w:r w:rsidR="00231741" w:rsidRPr="003E502D">
        <w:rPr>
          <w:rFonts w:ascii="Arial" w:hAnsi="Arial" w:cs="Arial"/>
        </w:rPr>
        <w:t>,</w:t>
      </w:r>
      <w:r w:rsidR="002F2FE3" w:rsidRPr="003E502D">
        <w:rPr>
          <w:rFonts w:ascii="Arial" w:hAnsi="Arial" w:cs="Arial"/>
        </w:rPr>
        <w:t xml:space="preserve"> when implemented</w:t>
      </w:r>
      <w:r w:rsidR="00231741" w:rsidRPr="003E502D">
        <w:rPr>
          <w:rFonts w:ascii="Arial" w:hAnsi="Arial" w:cs="Arial"/>
        </w:rPr>
        <w:t>,</w:t>
      </w:r>
      <w:r w:rsidR="002F2FE3" w:rsidRPr="003E502D">
        <w:rPr>
          <w:rFonts w:ascii="Arial" w:hAnsi="Arial" w:cs="Arial"/>
        </w:rPr>
        <w:t xml:space="preserve"> are not intended to </w:t>
      </w:r>
      <w:proofErr w:type="gramStart"/>
      <w:r w:rsidR="002F2FE3" w:rsidRPr="003E502D">
        <w:rPr>
          <w:rFonts w:ascii="Arial" w:hAnsi="Arial" w:cs="Arial"/>
        </w:rPr>
        <w:t>confer</w:t>
      </w:r>
      <w:proofErr w:type="gramEnd"/>
      <w:r w:rsidR="002F2FE3" w:rsidRPr="003E502D">
        <w:rPr>
          <w:rFonts w:ascii="Arial" w:hAnsi="Arial" w:cs="Arial"/>
        </w:rPr>
        <w:t xml:space="preserve"> or change jurisdiction, alter substantive rights, interfere with any function of duty arising out of any applicable </w:t>
      </w:r>
      <w:r w:rsidR="002F2FE3" w:rsidRPr="003E502D">
        <w:rPr>
          <w:rFonts w:ascii="Arial" w:hAnsi="Arial" w:cs="Arial"/>
        </w:rPr>
        <w:lastRenderedPageBreak/>
        <w:t xml:space="preserve">law or encroach upon any applicable law. </w:t>
      </w:r>
      <w:r w:rsidRPr="003E502D">
        <w:rPr>
          <w:rFonts w:ascii="Arial" w:hAnsi="Arial" w:cs="Arial"/>
        </w:rPr>
        <w:t>Indeed, Guideline</w:t>
      </w:r>
      <w:r w:rsidR="00B62DFB" w:rsidRPr="003E502D">
        <w:rPr>
          <w:rFonts w:ascii="Arial" w:hAnsi="Arial" w:cs="Arial"/>
        </w:rPr>
        <w:t xml:space="preserve"> 5</w:t>
      </w:r>
      <w:r w:rsidRPr="003E502D">
        <w:rPr>
          <w:rFonts w:ascii="Arial" w:hAnsi="Arial" w:cs="Arial"/>
        </w:rPr>
        <w:t xml:space="preserve"> state</w:t>
      </w:r>
      <w:r w:rsidR="00B62DFB" w:rsidRPr="003E502D">
        <w:rPr>
          <w:rFonts w:ascii="Arial" w:hAnsi="Arial" w:cs="Arial"/>
        </w:rPr>
        <w:t>s</w:t>
      </w:r>
      <w:r w:rsidRPr="003E502D">
        <w:rPr>
          <w:rFonts w:ascii="Arial" w:hAnsi="Arial" w:cs="Arial"/>
        </w:rPr>
        <w:t xml:space="preserve"> that any protocol or order under the Guidelines is purely </w:t>
      </w:r>
      <w:r w:rsidRPr="003E502D">
        <w:rPr>
          <w:rFonts w:ascii="Arial" w:hAnsi="Arial" w:cs="Arial"/>
          <w:i/>
          <w:iCs/>
        </w:rPr>
        <w:t>procedural</w:t>
      </w:r>
      <w:r w:rsidRPr="003E502D">
        <w:rPr>
          <w:rFonts w:ascii="Arial" w:hAnsi="Arial" w:cs="Arial"/>
        </w:rPr>
        <w:t xml:space="preserve"> in nature. This again is conducive to adoption since it ostensibly removes any concern that a Court may be compelled to apply substantive laws which are contrary to its own. As we shall see, however, there are other provisions</w:t>
      </w:r>
      <w:r w:rsidR="00B62DFB" w:rsidRPr="003E502D">
        <w:rPr>
          <w:rStyle w:val="FootnoteReference"/>
          <w:rFonts w:ascii="Arial" w:hAnsi="Arial" w:cs="Arial"/>
        </w:rPr>
        <w:footnoteReference w:id="12"/>
      </w:r>
      <w:r w:rsidR="000B43A5" w:rsidRPr="003E502D">
        <w:rPr>
          <w:rFonts w:ascii="Arial" w:hAnsi="Arial" w:cs="Arial"/>
        </w:rPr>
        <w:t xml:space="preserve"> </w:t>
      </w:r>
      <w:r w:rsidR="00B62DFB" w:rsidRPr="003E502D">
        <w:rPr>
          <w:rFonts w:ascii="Arial" w:hAnsi="Arial" w:cs="Arial"/>
        </w:rPr>
        <w:t xml:space="preserve">which may be interpreted as </w:t>
      </w:r>
      <w:r w:rsidRPr="003E502D">
        <w:rPr>
          <w:rFonts w:ascii="Arial" w:hAnsi="Arial" w:cs="Arial"/>
        </w:rPr>
        <w:t>limi</w:t>
      </w:r>
      <w:r w:rsidR="000B43A5" w:rsidRPr="003E502D">
        <w:rPr>
          <w:rFonts w:ascii="Arial" w:hAnsi="Arial" w:cs="Arial"/>
        </w:rPr>
        <w:t>t</w:t>
      </w:r>
      <w:r w:rsidR="00B62DFB" w:rsidRPr="003E502D">
        <w:rPr>
          <w:rFonts w:ascii="Arial" w:hAnsi="Arial" w:cs="Arial"/>
        </w:rPr>
        <w:t>ing</w:t>
      </w:r>
      <w:r w:rsidR="000B43A5" w:rsidRPr="003E502D">
        <w:rPr>
          <w:rFonts w:ascii="Arial" w:hAnsi="Arial" w:cs="Arial"/>
        </w:rPr>
        <w:t xml:space="preserve"> a Court’s ability to refuse to </w:t>
      </w:r>
      <w:proofErr w:type="gramStart"/>
      <w:r w:rsidR="000B43A5" w:rsidRPr="003E502D">
        <w:rPr>
          <w:rFonts w:ascii="Arial" w:hAnsi="Arial" w:cs="Arial"/>
        </w:rPr>
        <w:t>take action</w:t>
      </w:r>
      <w:proofErr w:type="gramEnd"/>
      <w:r w:rsidR="000B43A5" w:rsidRPr="003E502D">
        <w:rPr>
          <w:rFonts w:ascii="Arial" w:hAnsi="Arial" w:cs="Arial"/>
        </w:rPr>
        <w:t xml:space="preserve"> which is not </w:t>
      </w:r>
      <w:r w:rsidR="00B62DFB" w:rsidRPr="003E502D">
        <w:rPr>
          <w:rFonts w:ascii="Arial" w:hAnsi="Arial" w:cs="Arial"/>
        </w:rPr>
        <w:t>“</w:t>
      </w:r>
      <w:r w:rsidR="000B43A5" w:rsidRPr="003E502D">
        <w:rPr>
          <w:rFonts w:ascii="Arial" w:hAnsi="Arial" w:cs="Arial"/>
        </w:rPr>
        <w:t>manifestly</w:t>
      </w:r>
      <w:r w:rsidR="00B62DFB" w:rsidRPr="003E502D">
        <w:rPr>
          <w:rFonts w:ascii="Arial" w:hAnsi="Arial" w:cs="Arial"/>
        </w:rPr>
        <w:t>”</w:t>
      </w:r>
      <w:r w:rsidR="000B43A5" w:rsidRPr="003E502D">
        <w:rPr>
          <w:rFonts w:ascii="Arial" w:hAnsi="Arial" w:cs="Arial"/>
        </w:rPr>
        <w:t xml:space="preserve"> contrary to the policy of the jurisdiction. It </w:t>
      </w:r>
      <w:r w:rsidR="00B62DFB" w:rsidRPr="003E502D">
        <w:rPr>
          <w:rFonts w:ascii="Arial" w:hAnsi="Arial" w:cs="Arial"/>
        </w:rPr>
        <w:t>is</w:t>
      </w:r>
      <w:r w:rsidR="000B43A5" w:rsidRPr="003E502D">
        <w:rPr>
          <w:rFonts w:ascii="Arial" w:hAnsi="Arial" w:cs="Arial"/>
        </w:rPr>
        <w:t xml:space="preserve"> arguable that insofar as a ruling of a foreign Court is concerned, an adopting Court may have a limited basis to refuse the application of that ruling on its own soil</w:t>
      </w:r>
      <w:r w:rsidR="00FC0338" w:rsidRPr="003E502D">
        <w:rPr>
          <w:rFonts w:ascii="Arial" w:hAnsi="Arial" w:cs="Arial"/>
        </w:rPr>
        <w:t>.</w:t>
      </w:r>
    </w:p>
    <w:p w14:paraId="578C04F8" w14:textId="77777777" w:rsidR="00FC0338" w:rsidRPr="003E502D" w:rsidRDefault="00FC0338" w:rsidP="006C04E7">
      <w:pPr>
        <w:pStyle w:val="ListParagraph"/>
        <w:spacing w:line="360" w:lineRule="auto"/>
        <w:rPr>
          <w:rFonts w:ascii="Arial" w:hAnsi="Arial" w:cs="Arial"/>
        </w:rPr>
      </w:pPr>
    </w:p>
    <w:p w14:paraId="618869F0" w14:textId="1FAFD393" w:rsidR="000B43A5" w:rsidRPr="003E502D" w:rsidRDefault="000B43A5" w:rsidP="006C04E7">
      <w:pPr>
        <w:pStyle w:val="ListParagraph"/>
        <w:spacing w:line="360" w:lineRule="auto"/>
        <w:rPr>
          <w:rFonts w:ascii="Arial" w:hAnsi="Arial" w:cs="Arial"/>
          <w:i/>
          <w:iCs/>
        </w:rPr>
      </w:pPr>
      <w:r w:rsidRPr="003E502D">
        <w:rPr>
          <w:rFonts w:ascii="Arial" w:hAnsi="Arial" w:cs="Arial"/>
          <w:i/>
          <w:iCs/>
        </w:rPr>
        <w:t>Efficacy of Provisions</w:t>
      </w:r>
    </w:p>
    <w:p w14:paraId="0E365B60" w14:textId="77777777" w:rsidR="000B43A5" w:rsidRPr="003E502D" w:rsidRDefault="000B43A5" w:rsidP="006C04E7">
      <w:pPr>
        <w:pStyle w:val="ListParagraph"/>
        <w:spacing w:line="360" w:lineRule="auto"/>
        <w:rPr>
          <w:rFonts w:ascii="Arial" w:hAnsi="Arial" w:cs="Arial"/>
        </w:rPr>
      </w:pPr>
    </w:p>
    <w:p w14:paraId="3B8BD85D" w14:textId="449DEEB8" w:rsidR="002F2FE3" w:rsidRPr="003E502D" w:rsidRDefault="000B43A5" w:rsidP="006C04E7">
      <w:pPr>
        <w:pStyle w:val="ListParagraph"/>
        <w:numPr>
          <w:ilvl w:val="0"/>
          <w:numId w:val="1"/>
        </w:numPr>
        <w:spacing w:line="360" w:lineRule="auto"/>
        <w:rPr>
          <w:rFonts w:ascii="Arial" w:hAnsi="Arial" w:cs="Arial"/>
        </w:rPr>
      </w:pPr>
      <w:r w:rsidRPr="003E502D">
        <w:rPr>
          <w:rFonts w:ascii="Arial" w:hAnsi="Arial" w:cs="Arial"/>
        </w:rPr>
        <w:t>As already alluded to in the previous paragraph, Guideline</w:t>
      </w:r>
      <w:r w:rsidR="004B0323" w:rsidRPr="003E502D">
        <w:rPr>
          <w:rFonts w:ascii="Arial" w:hAnsi="Arial" w:cs="Arial"/>
        </w:rPr>
        <w:t xml:space="preserve"> 4(iii)</w:t>
      </w:r>
      <w:r w:rsidRPr="003E502D">
        <w:rPr>
          <w:rFonts w:ascii="Arial" w:hAnsi="Arial" w:cs="Arial"/>
        </w:rPr>
        <w:t xml:space="preserve"> provide</w:t>
      </w:r>
      <w:r w:rsidR="00231741" w:rsidRPr="003E502D">
        <w:rPr>
          <w:rFonts w:ascii="Arial" w:hAnsi="Arial" w:cs="Arial"/>
        </w:rPr>
        <w:t>s</w:t>
      </w:r>
      <w:r w:rsidRPr="003E502D">
        <w:rPr>
          <w:rFonts w:ascii="Arial" w:hAnsi="Arial" w:cs="Arial"/>
        </w:rPr>
        <w:t xml:space="preserve"> that the</w:t>
      </w:r>
      <w:r w:rsidR="00231741" w:rsidRPr="003E502D">
        <w:rPr>
          <w:rFonts w:ascii="Arial" w:hAnsi="Arial" w:cs="Arial"/>
        </w:rPr>
        <w:t xml:space="preserve"> Guidelines</w:t>
      </w:r>
      <w:r w:rsidR="002F2FE3" w:rsidRPr="003E502D">
        <w:rPr>
          <w:rFonts w:ascii="Arial" w:hAnsi="Arial" w:cs="Arial"/>
        </w:rPr>
        <w:t xml:space="preserve"> </w:t>
      </w:r>
      <w:r w:rsidRPr="003E502D">
        <w:rPr>
          <w:rFonts w:ascii="Arial" w:hAnsi="Arial" w:cs="Arial"/>
        </w:rPr>
        <w:t>are not intended to prevent a court from refusing to take an action that would be manifestly contrary to the public policy of the jurisdiction</w:t>
      </w:r>
      <w:r w:rsidR="002F2FE3" w:rsidRPr="003E502D">
        <w:rPr>
          <w:rFonts w:ascii="Arial" w:hAnsi="Arial" w:cs="Arial"/>
        </w:rPr>
        <w:t xml:space="preserve">. This may be interpreted </w:t>
      </w:r>
      <w:r w:rsidR="00231741" w:rsidRPr="003E502D">
        <w:rPr>
          <w:rFonts w:ascii="Arial" w:hAnsi="Arial" w:cs="Arial"/>
        </w:rPr>
        <w:t>as</w:t>
      </w:r>
      <w:r w:rsidR="002F2FE3" w:rsidRPr="003E502D">
        <w:rPr>
          <w:rFonts w:ascii="Arial" w:hAnsi="Arial" w:cs="Arial"/>
        </w:rPr>
        <w:t xml:space="preserve"> </w:t>
      </w:r>
      <w:r w:rsidR="002F2FE3" w:rsidRPr="003E502D">
        <w:rPr>
          <w:rFonts w:ascii="Arial" w:hAnsi="Arial" w:cs="Arial"/>
          <w:u w:val="single"/>
        </w:rPr>
        <w:t>limit</w:t>
      </w:r>
      <w:r w:rsidR="00231741" w:rsidRPr="003E502D">
        <w:rPr>
          <w:rFonts w:ascii="Arial" w:hAnsi="Arial" w:cs="Arial"/>
          <w:u w:val="single"/>
        </w:rPr>
        <w:t>ing</w:t>
      </w:r>
      <w:r w:rsidR="002F2FE3" w:rsidRPr="003E502D">
        <w:rPr>
          <w:rFonts w:ascii="Arial" w:hAnsi="Arial" w:cs="Arial"/>
        </w:rPr>
        <w:t xml:space="preserve"> the basis for an adopting Court to refuse to take an action unless such action is manifestly contrary to public policy.</w:t>
      </w:r>
      <w:r w:rsidR="000C5E7E" w:rsidRPr="003E502D">
        <w:rPr>
          <w:rStyle w:val="FootnoteReference"/>
          <w:rFonts w:ascii="Arial" w:hAnsi="Arial" w:cs="Arial"/>
        </w:rPr>
        <w:footnoteReference w:id="13"/>
      </w:r>
      <w:r w:rsidR="002F2FE3" w:rsidRPr="003E502D">
        <w:rPr>
          <w:rFonts w:ascii="Arial" w:hAnsi="Arial" w:cs="Arial"/>
        </w:rPr>
        <w:t xml:space="preserve"> The use of word “</w:t>
      </w:r>
      <w:r w:rsidR="002F2FE3" w:rsidRPr="003E502D">
        <w:rPr>
          <w:rFonts w:ascii="Arial" w:hAnsi="Arial" w:cs="Arial"/>
          <w:i/>
          <w:iCs/>
        </w:rPr>
        <w:t>manifestly</w:t>
      </w:r>
      <w:r w:rsidR="002F2FE3" w:rsidRPr="003E502D">
        <w:rPr>
          <w:rFonts w:ascii="Arial" w:hAnsi="Arial" w:cs="Arial"/>
        </w:rPr>
        <w:t>” suggests that unless such action is an obvious contradiction of a jurisdiction’s public policy,</w:t>
      </w:r>
      <w:r w:rsidR="000C5E7E" w:rsidRPr="003E502D">
        <w:rPr>
          <w:rStyle w:val="FootnoteReference"/>
          <w:rFonts w:ascii="Arial" w:hAnsi="Arial" w:cs="Arial"/>
        </w:rPr>
        <w:footnoteReference w:id="14"/>
      </w:r>
      <w:r w:rsidR="002F2FE3" w:rsidRPr="003E502D">
        <w:rPr>
          <w:rFonts w:ascii="Arial" w:hAnsi="Arial" w:cs="Arial"/>
        </w:rPr>
        <w:t xml:space="preserve"> a Court should not refuse to carry out the same. To </w:t>
      </w:r>
      <w:proofErr w:type="spellStart"/>
      <w:r w:rsidR="002F2FE3" w:rsidRPr="003E502D">
        <w:rPr>
          <w:rFonts w:ascii="Arial" w:hAnsi="Arial" w:cs="Arial"/>
        </w:rPr>
        <w:t>interprete</w:t>
      </w:r>
      <w:proofErr w:type="spellEnd"/>
      <w:r w:rsidR="002F2FE3" w:rsidRPr="003E502D">
        <w:rPr>
          <w:rFonts w:ascii="Arial" w:hAnsi="Arial" w:cs="Arial"/>
        </w:rPr>
        <w:t xml:space="preserve"> this harmoniously with the Guidelines that seek to preserve a Court’s power to apply its own substantive laws (see (Guideline 4(iv) and Guideline 5), th</w:t>
      </w:r>
      <w:r w:rsidR="00231741" w:rsidRPr="003E502D">
        <w:rPr>
          <w:rFonts w:ascii="Arial" w:hAnsi="Arial" w:cs="Arial"/>
        </w:rPr>
        <w:t>e</w:t>
      </w:r>
      <w:r w:rsidR="002F2FE3" w:rsidRPr="003E502D">
        <w:rPr>
          <w:rFonts w:ascii="Arial" w:hAnsi="Arial" w:cs="Arial"/>
        </w:rPr>
        <w:t xml:space="preserve"> scope of Guideline </w:t>
      </w:r>
      <w:r w:rsidR="00D90A43" w:rsidRPr="003E502D">
        <w:rPr>
          <w:rFonts w:ascii="Arial" w:hAnsi="Arial" w:cs="Arial"/>
        </w:rPr>
        <w:t xml:space="preserve">4(iii) </w:t>
      </w:r>
      <w:r w:rsidR="002F2FE3" w:rsidRPr="003E502D">
        <w:rPr>
          <w:rFonts w:ascii="Arial" w:hAnsi="Arial" w:cs="Arial"/>
        </w:rPr>
        <w:t xml:space="preserve">is </w:t>
      </w:r>
      <w:r w:rsidR="00D90A43" w:rsidRPr="003E502D">
        <w:rPr>
          <w:rFonts w:ascii="Arial" w:hAnsi="Arial" w:cs="Arial"/>
        </w:rPr>
        <w:t xml:space="preserve">necessarily </w:t>
      </w:r>
      <w:r w:rsidR="002F2FE3" w:rsidRPr="003E502D">
        <w:rPr>
          <w:rFonts w:ascii="Arial" w:hAnsi="Arial" w:cs="Arial"/>
        </w:rPr>
        <w:t>limited to</w:t>
      </w:r>
      <w:r w:rsidR="00D90A43" w:rsidRPr="003E502D">
        <w:rPr>
          <w:rFonts w:ascii="Arial" w:hAnsi="Arial" w:cs="Arial"/>
        </w:rPr>
        <w:t xml:space="preserve"> preclude a Court from refusing to </w:t>
      </w:r>
      <w:proofErr w:type="gramStart"/>
      <w:r w:rsidR="00D90A43" w:rsidRPr="003E502D">
        <w:rPr>
          <w:rFonts w:ascii="Arial" w:hAnsi="Arial" w:cs="Arial"/>
        </w:rPr>
        <w:t>take action</w:t>
      </w:r>
      <w:proofErr w:type="gramEnd"/>
      <w:r w:rsidR="00D90A43" w:rsidRPr="003E502D">
        <w:rPr>
          <w:rFonts w:ascii="Arial" w:hAnsi="Arial" w:cs="Arial"/>
        </w:rPr>
        <w:t xml:space="preserve"> in relation to </w:t>
      </w:r>
      <w:r w:rsidR="00A0677A" w:rsidRPr="003E502D">
        <w:rPr>
          <w:rFonts w:ascii="Arial" w:hAnsi="Arial" w:cs="Arial"/>
        </w:rPr>
        <w:t>a decree or</w:t>
      </w:r>
      <w:r w:rsidR="00D90A43" w:rsidRPr="003E502D">
        <w:rPr>
          <w:rFonts w:ascii="Arial" w:hAnsi="Arial" w:cs="Arial"/>
        </w:rPr>
        <w:t xml:space="preserve"> ruling of </w:t>
      </w:r>
      <w:r w:rsidR="002F2FE3" w:rsidRPr="003E502D">
        <w:rPr>
          <w:rFonts w:ascii="Arial" w:hAnsi="Arial" w:cs="Arial"/>
        </w:rPr>
        <w:t>a foreign Court.</w:t>
      </w:r>
    </w:p>
    <w:p w14:paraId="6905658B" w14:textId="4A5860F1" w:rsidR="002F2FE3" w:rsidRPr="003E502D" w:rsidRDefault="002F2FE3" w:rsidP="006C04E7">
      <w:pPr>
        <w:pStyle w:val="ListParagraph"/>
        <w:spacing w:line="360" w:lineRule="auto"/>
        <w:rPr>
          <w:rFonts w:ascii="Arial" w:hAnsi="Arial" w:cs="Arial"/>
        </w:rPr>
      </w:pPr>
      <w:r w:rsidRPr="003E502D">
        <w:rPr>
          <w:rFonts w:ascii="Arial" w:hAnsi="Arial" w:cs="Arial"/>
        </w:rPr>
        <w:lastRenderedPageBreak/>
        <w:t xml:space="preserve"> </w:t>
      </w:r>
    </w:p>
    <w:p w14:paraId="557ED6B7" w14:textId="29001FFC" w:rsidR="005E43A2" w:rsidRPr="003E502D" w:rsidRDefault="002F2FE3" w:rsidP="006C04E7">
      <w:pPr>
        <w:pStyle w:val="ListParagraph"/>
        <w:numPr>
          <w:ilvl w:val="0"/>
          <w:numId w:val="1"/>
        </w:numPr>
        <w:spacing w:line="360" w:lineRule="auto"/>
        <w:rPr>
          <w:rFonts w:ascii="Arial" w:hAnsi="Arial" w:cs="Arial"/>
        </w:rPr>
      </w:pPr>
      <w:r w:rsidRPr="003E502D">
        <w:rPr>
          <w:rFonts w:ascii="Arial" w:hAnsi="Arial" w:cs="Arial"/>
        </w:rPr>
        <w:t xml:space="preserve">This exposes one </w:t>
      </w:r>
      <w:r w:rsidR="007D5B73" w:rsidRPr="003E502D">
        <w:rPr>
          <w:rFonts w:ascii="Arial" w:hAnsi="Arial" w:cs="Arial"/>
        </w:rPr>
        <w:t>conundrum</w:t>
      </w:r>
      <w:r w:rsidRPr="003E502D">
        <w:rPr>
          <w:rFonts w:ascii="Arial" w:hAnsi="Arial" w:cs="Arial"/>
        </w:rPr>
        <w:t xml:space="preserve"> that underlies the Guidelines. </w:t>
      </w:r>
      <w:r w:rsidR="001622C0" w:rsidRPr="003E502D">
        <w:rPr>
          <w:rFonts w:ascii="Arial" w:hAnsi="Arial" w:cs="Arial"/>
        </w:rPr>
        <w:t>I</w:t>
      </w:r>
      <w:r w:rsidR="009E21B8" w:rsidRPr="003E502D">
        <w:rPr>
          <w:rFonts w:ascii="Arial" w:hAnsi="Arial" w:cs="Arial"/>
        </w:rPr>
        <w:t>t</w:t>
      </w:r>
      <w:r w:rsidR="001622C0" w:rsidRPr="003E502D">
        <w:rPr>
          <w:rFonts w:ascii="Arial" w:hAnsi="Arial" w:cs="Arial"/>
        </w:rPr>
        <w:t xml:space="preserve"> is</w:t>
      </w:r>
      <w:r w:rsidR="009E21B8" w:rsidRPr="003E502D">
        <w:rPr>
          <w:rFonts w:ascii="Arial" w:hAnsi="Arial" w:cs="Arial"/>
        </w:rPr>
        <w:t xml:space="preserve"> ostensibly drafted to deal with communication</w:t>
      </w:r>
      <w:r w:rsidR="001622C0" w:rsidRPr="003E502D">
        <w:rPr>
          <w:rFonts w:ascii="Arial" w:hAnsi="Arial" w:cs="Arial"/>
        </w:rPr>
        <w:t xml:space="preserve"> and in that sense</w:t>
      </w:r>
      <w:r w:rsidR="009E21B8" w:rsidRPr="003E502D">
        <w:rPr>
          <w:rFonts w:ascii="Arial" w:hAnsi="Arial" w:cs="Arial"/>
        </w:rPr>
        <w:t xml:space="preserve"> </w:t>
      </w:r>
      <w:r w:rsidR="001622C0" w:rsidRPr="003E502D">
        <w:rPr>
          <w:rFonts w:ascii="Arial" w:hAnsi="Arial" w:cs="Arial"/>
        </w:rPr>
        <w:t>would have</w:t>
      </w:r>
      <w:r w:rsidR="009E21B8" w:rsidRPr="003E502D">
        <w:rPr>
          <w:rFonts w:ascii="Arial" w:hAnsi="Arial" w:cs="Arial"/>
        </w:rPr>
        <w:t xml:space="preserve"> no teeth in facilitating cooperation where the substantive laws of different </w:t>
      </w:r>
      <w:r w:rsidR="004B0323" w:rsidRPr="003E502D">
        <w:rPr>
          <w:rFonts w:ascii="Arial" w:hAnsi="Arial" w:cs="Arial"/>
        </w:rPr>
        <w:t>jurisdictions</w:t>
      </w:r>
      <w:r w:rsidR="009E21B8" w:rsidRPr="003E502D">
        <w:rPr>
          <w:rFonts w:ascii="Arial" w:hAnsi="Arial" w:cs="Arial"/>
        </w:rPr>
        <w:t xml:space="preserve"> do not permit the same. Even between common law </w:t>
      </w:r>
      <w:r w:rsidR="004B0323" w:rsidRPr="003E502D">
        <w:rPr>
          <w:rFonts w:ascii="Arial" w:hAnsi="Arial" w:cs="Arial"/>
        </w:rPr>
        <w:t>jurisdictions</w:t>
      </w:r>
      <w:r w:rsidR="009E21B8" w:rsidRPr="003E502D">
        <w:rPr>
          <w:rFonts w:ascii="Arial" w:hAnsi="Arial" w:cs="Arial"/>
        </w:rPr>
        <w:t xml:space="preserve">, there are enough differences in the substantive law (for e.g. the United Kingdom continues to apply the </w:t>
      </w:r>
      <w:r w:rsidR="009E21B8" w:rsidRPr="003E502D">
        <w:rPr>
          <w:rFonts w:ascii="Arial" w:hAnsi="Arial" w:cs="Arial"/>
          <w:i/>
          <w:iCs/>
        </w:rPr>
        <w:t>Gibbs</w:t>
      </w:r>
      <w:r w:rsidR="009E21B8" w:rsidRPr="003E502D">
        <w:rPr>
          <w:rFonts w:ascii="Arial" w:hAnsi="Arial" w:cs="Arial"/>
        </w:rPr>
        <w:t xml:space="preserve"> rule which other common law jurisdictions</w:t>
      </w:r>
      <w:r w:rsidR="004B0323" w:rsidRPr="003E502D">
        <w:rPr>
          <w:rFonts w:ascii="Arial" w:hAnsi="Arial" w:cs="Arial"/>
        </w:rPr>
        <w:t xml:space="preserve"> such as the US</w:t>
      </w:r>
      <w:r w:rsidR="009E21B8" w:rsidRPr="003E502D">
        <w:rPr>
          <w:rFonts w:ascii="Arial" w:hAnsi="Arial" w:cs="Arial"/>
        </w:rPr>
        <w:t xml:space="preserve"> have disavowed)</w:t>
      </w:r>
      <w:r w:rsidR="004B0323" w:rsidRPr="003E502D">
        <w:rPr>
          <w:rFonts w:ascii="Arial" w:hAnsi="Arial" w:cs="Arial"/>
        </w:rPr>
        <w:t xml:space="preserve"> for significantly different outcomes </w:t>
      </w:r>
      <w:r w:rsidR="001622C0" w:rsidRPr="003E502D">
        <w:rPr>
          <w:rFonts w:ascii="Arial" w:hAnsi="Arial" w:cs="Arial"/>
        </w:rPr>
        <w:t>to emanate from the application of the laws of different</w:t>
      </w:r>
      <w:r w:rsidR="004B0323" w:rsidRPr="003E502D">
        <w:rPr>
          <w:rFonts w:ascii="Arial" w:hAnsi="Arial" w:cs="Arial"/>
        </w:rPr>
        <w:t xml:space="preserve"> jurisdiction</w:t>
      </w:r>
      <w:r w:rsidR="001622C0" w:rsidRPr="003E502D">
        <w:rPr>
          <w:rFonts w:ascii="Arial" w:hAnsi="Arial" w:cs="Arial"/>
        </w:rPr>
        <w:t>s</w:t>
      </w:r>
      <w:r w:rsidR="004B0323" w:rsidRPr="003E502D">
        <w:rPr>
          <w:rFonts w:ascii="Arial" w:hAnsi="Arial" w:cs="Arial"/>
        </w:rPr>
        <w:t>. These differences</w:t>
      </w:r>
      <w:r w:rsidR="00314E80" w:rsidRPr="003E502D">
        <w:rPr>
          <w:rFonts w:ascii="Arial" w:hAnsi="Arial" w:cs="Arial"/>
        </w:rPr>
        <w:t>, however,</w:t>
      </w:r>
      <w:r w:rsidR="004B0323" w:rsidRPr="003E502D">
        <w:rPr>
          <w:rFonts w:ascii="Arial" w:hAnsi="Arial" w:cs="Arial"/>
        </w:rPr>
        <w:t xml:space="preserve"> limit the ability to achieve uniformity in decisions between jurisdictions and </w:t>
      </w:r>
      <w:r w:rsidR="007D5B73" w:rsidRPr="003E502D">
        <w:rPr>
          <w:rFonts w:ascii="Arial" w:hAnsi="Arial" w:cs="Arial"/>
        </w:rPr>
        <w:t xml:space="preserve">ultimately </w:t>
      </w:r>
      <w:r w:rsidR="004B0323" w:rsidRPr="003E502D">
        <w:rPr>
          <w:rFonts w:ascii="Arial" w:hAnsi="Arial" w:cs="Arial"/>
        </w:rPr>
        <w:t xml:space="preserve">undermine the need to communicate in a bid to achieve such uniformity. This of course encroaches on the </w:t>
      </w:r>
      <w:r w:rsidR="004B0323" w:rsidRPr="003E502D">
        <w:rPr>
          <w:rFonts w:ascii="Arial" w:hAnsi="Arial" w:cs="Arial"/>
          <w:i/>
          <w:iCs/>
        </w:rPr>
        <w:t xml:space="preserve">raison </w:t>
      </w:r>
      <w:proofErr w:type="spellStart"/>
      <w:r w:rsidR="004B0323" w:rsidRPr="003E502D">
        <w:rPr>
          <w:rFonts w:ascii="Arial" w:hAnsi="Arial" w:cs="Arial"/>
          <w:i/>
          <w:iCs/>
        </w:rPr>
        <w:t>d</w:t>
      </w:r>
      <w:r w:rsidR="001622C0" w:rsidRPr="003E502D">
        <w:rPr>
          <w:rFonts w:ascii="Arial" w:hAnsi="Arial" w:cs="Arial"/>
          <w:i/>
          <w:iCs/>
        </w:rPr>
        <w:t>’</w:t>
      </w:r>
      <w:r w:rsidR="004B0323" w:rsidRPr="003E502D">
        <w:rPr>
          <w:rFonts w:ascii="Arial" w:hAnsi="Arial" w:cs="Arial"/>
          <w:i/>
          <w:iCs/>
        </w:rPr>
        <w:t>etre</w:t>
      </w:r>
      <w:proofErr w:type="spellEnd"/>
      <w:r w:rsidR="004B0323" w:rsidRPr="003E502D">
        <w:rPr>
          <w:rFonts w:ascii="Arial" w:hAnsi="Arial" w:cs="Arial"/>
        </w:rPr>
        <w:t xml:space="preserve"> of the Guidelines</w:t>
      </w:r>
      <w:r w:rsidR="0075714B" w:rsidRPr="003E502D">
        <w:rPr>
          <w:rFonts w:ascii="Arial" w:hAnsi="Arial" w:cs="Arial"/>
        </w:rPr>
        <w:t>.</w:t>
      </w:r>
      <w:r w:rsidR="0075714B" w:rsidRPr="003E502D">
        <w:rPr>
          <w:rStyle w:val="FootnoteReference"/>
          <w:rFonts w:ascii="Arial" w:hAnsi="Arial" w:cs="Arial"/>
        </w:rPr>
        <w:footnoteReference w:id="15"/>
      </w:r>
      <w:r w:rsidR="00FD4DF2" w:rsidRPr="003E502D">
        <w:rPr>
          <w:rFonts w:ascii="Arial" w:hAnsi="Arial" w:cs="Arial"/>
        </w:rPr>
        <w:t xml:space="preserve"> The problem is likely exacerbated </w:t>
      </w:r>
      <w:r w:rsidR="007D5B73" w:rsidRPr="003E502D">
        <w:rPr>
          <w:rFonts w:ascii="Arial" w:hAnsi="Arial" w:cs="Arial"/>
        </w:rPr>
        <w:t>between</w:t>
      </w:r>
      <w:r w:rsidR="00FD4DF2" w:rsidRPr="003E502D">
        <w:rPr>
          <w:rFonts w:ascii="Arial" w:hAnsi="Arial" w:cs="Arial"/>
        </w:rPr>
        <w:t xml:space="preserve"> common law and civil law jurisdictions </w:t>
      </w:r>
      <w:r w:rsidR="007D5B73" w:rsidRPr="003E502D">
        <w:rPr>
          <w:rFonts w:ascii="Arial" w:hAnsi="Arial" w:cs="Arial"/>
        </w:rPr>
        <w:t>given the greater potential for differences to arise</w:t>
      </w:r>
      <w:r w:rsidR="00FD4DF2" w:rsidRPr="003E502D">
        <w:rPr>
          <w:rFonts w:ascii="Arial" w:hAnsi="Arial" w:cs="Arial"/>
        </w:rPr>
        <w:t>.</w:t>
      </w:r>
      <w:r w:rsidR="001622C0" w:rsidRPr="003E502D">
        <w:rPr>
          <w:rFonts w:ascii="Arial" w:hAnsi="Arial" w:cs="Arial"/>
        </w:rPr>
        <w:t xml:space="preserve"> The use of the word “</w:t>
      </w:r>
      <w:r w:rsidR="001622C0" w:rsidRPr="003E502D">
        <w:rPr>
          <w:rFonts w:ascii="Arial" w:hAnsi="Arial" w:cs="Arial"/>
          <w:i/>
          <w:iCs/>
        </w:rPr>
        <w:t>manifestly</w:t>
      </w:r>
      <w:r w:rsidR="001622C0" w:rsidRPr="003E502D">
        <w:rPr>
          <w:rFonts w:ascii="Arial" w:hAnsi="Arial" w:cs="Arial"/>
        </w:rPr>
        <w:t xml:space="preserve">” to qualify what is contrary to public policy </w:t>
      </w:r>
      <w:r w:rsidR="007D5B73" w:rsidRPr="003E502D">
        <w:rPr>
          <w:rFonts w:ascii="Arial" w:hAnsi="Arial" w:cs="Arial"/>
        </w:rPr>
        <w:t>appears to be</w:t>
      </w:r>
      <w:r w:rsidR="001622C0" w:rsidRPr="003E502D">
        <w:rPr>
          <w:rFonts w:ascii="Arial" w:hAnsi="Arial" w:cs="Arial"/>
        </w:rPr>
        <w:t xml:space="preserve"> </w:t>
      </w:r>
      <w:proofErr w:type="gramStart"/>
      <w:r w:rsidR="001622C0" w:rsidRPr="003E502D">
        <w:rPr>
          <w:rFonts w:ascii="Arial" w:hAnsi="Arial" w:cs="Arial"/>
        </w:rPr>
        <w:t>attempt</w:t>
      </w:r>
      <w:proofErr w:type="gramEnd"/>
      <w:r w:rsidR="001622C0" w:rsidRPr="003E502D">
        <w:rPr>
          <w:rFonts w:ascii="Arial" w:hAnsi="Arial" w:cs="Arial"/>
        </w:rPr>
        <w:t xml:space="preserve"> to reduce obstacles to cooperation. </w:t>
      </w:r>
      <w:r w:rsidR="007D5B73" w:rsidRPr="003E502D">
        <w:rPr>
          <w:rFonts w:ascii="Arial" w:hAnsi="Arial" w:cs="Arial"/>
        </w:rPr>
        <w:t xml:space="preserve">It is noteworthy that </w:t>
      </w:r>
      <w:r w:rsidR="001019EE" w:rsidRPr="003E502D">
        <w:rPr>
          <w:rFonts w:ascii="Arial" w:hAnsi="Arial" w:cs="Arial"/>
        </w:rPr>
        <w:t>t</w:t>
      </w:r>
      <w:r w:rsidR="001622C0" w:rsidRPr="003E502D">
        <w:rPr>
          <w:rFonts w:ascii="Arial" w:hAnsi="Arial" w:cs="Arial"/>
        </w:rPr>
        <w:t>he same language appears in Article 6 of the Model Law and Principle 2 of the EU</w:t>
      </w:r>
      <w:r w:rsidR="00854541" w:rsidRPr="003E502D">
        <w:rPr>
          <w:rFonts w:ascii="Arial" w:hAnsi="Arial" w:cs="Arial"/>
        </w:rPr>
        <w:t xml:space="preserve"> </w:t>
      </w:r>
      <w:proofErr w:type="spellStart"/>
      <w:r w:rsidR="00854541" w:rsidRPr="003E502D">
        <w:rPr>
          <w:rFonts w:ascii="Arial" w:hAnsi="Arial" w:cs="Arial"/>
        </w:rPr>
        <w:t>JudgeCo</w:t>
      </w:r>
      <w:proofErr w:type="spellEnd"/>
      <w:r w:rsidR="00854541" w:rsidRPr="003E502D">
        <w:rPr>
          <w:rFonts w:ascii="Arial" w:hAnsi="Arial" w:cs="Arial"/>
        </w:rPr>
        <w:t xml:space="preserve"> </w:t>
      </w:r>
      <w:r w:rsidR="001622C0" w:rsidRPr="003E502D">
        <w:rPr>
          <w:rFonts w:ascii="Arial" w:hAnsi="Arial" w:cs="Arial"/>
        </w:rPr>
        <w:t>Principles.</w:t>
      </w:r>
      <w:r w:rsidR="007D5B73" w:rsidRPr="003E502D">
        <w:rPr>
          <w:rStyle w:val="FootnoteReference"/>
          <w:rFonts w:ascii="Arial" w:hAnsi="Arial" w:cs="Arial"/>
        </w:rPr>
        <w:footnoteReference w:id="16"/>
      </w:r>
      <w:r w:rsidR="001622C0" w:rsidRPr="003E502D">
        <w:rPr>
          <w:rFonts w:ascii="Arial" w:hAnsi="Arial" w:cs="Arial"/>
        </w:rPr>
        <w:t xml:space="preserve"> </w:t>
      </w:r>
      <w:r w:rsidR="001019EE" w:rsidRPr="003E502D">
        <w:rPr>
          <w:rFonts w:ascii="Arial" w:hAnsi="Arial" w:cs="Arial"/>
        </w:rPr>
        <w:t>Th</w:t>
      </w:r>
      <w:r w:rsidR="00D90A43" w:rsidRPr="003E502D">
        <w:rPr>
          <w:rFonts w:ascii="Arial" w:hAnsi="Arial" w:cs="Arial"/>
        </w:rPr>
        <w:t>e</w:t>
      </w:r>
      <w:r w:rsidR="001019EE" w:rsidRPr="003E502D">
        <w:rPr>
          <w:rFonts w:ascii="Arial" w:hAnsi="Arial" w:cs="Arial"/>
        </w:rPr>
        <w:t xml:space="preserve"> qualification </w:t>
      </w:r>
      <w:r w:rsidR="00D90A43" w:rsidRPr="003E502D">
        <w:rPr>
          <w:rFonts w:ascii="Arial" w:hAnsi="Arial" w:cs="Arial"/>
        </w:rPr>
        <w:t xml:space="preserve">may be regarded as one embodiment of </w:t>
      </w:r>
      <w:r w:rsidR="001019EE" w:rsidRPr="003E502D">
        <w:rPr>
          <w:rFonts w:ascii="Arial" w:hAnsi="Arial" w:cs="Arial"/>
        </w:rPr>
        <w:t>modified universalism</w:t>
      </w:r>
      <w:r w:rsidR="00D90A43" w:rsidRPr="003E502D">
        <w:rPr>
          <w:rFonts w:ascii="Arial" w:hAnsi="Arial" w:cs="Arial"/>
        </w:rPr>
        <w:t xml:space="preserve"> in these instruments</w:t>
      </w:r>
      <w:r w:rsidR="001019EE" w:rsidRPr="003E502D">
        <w:rPr>
          <w:rFonts w:ascii="Arial" w:hAnsi="Arial" w:cs="Arial"/>
        </w:rPr>
        <w:t>.</w:t>
      </w:r>
    </w:p>
    <w:p w14:paraId="7E0019D2" w14:textId="77777777" w:rsidR="005E43A2" w:rsidRPr="003E502D" w:rsidRDefault="005E43A2" w:rsidP="006C04E7">
      <w:pPr>
        <w:pStyle w:val="ListParagraph"/>
        <w:spacing w:line="360" w:lineRule="auto"/>
        <w:rPr>
          <w:rFonts w:ascii="Arial" w:hAnsi="Arial" w:cs="Arial"/>
        </w:rPr>
      </w:pPr>
    </w:p>
    <w:p w14:paraId="6246DEB6" w14:textId="343D6373" w:rsidR="006B06B9" w:rsidRPr="003E502D" w:rsidRDefault="001622C0" w:rsidP="006C04E7">
      <w:pPr>
        <w:pStyle w:val="ListParagraph"/>
        <w:numPr>
          <w:ilvl w:val="0"/>
          <w:numId w:val="1"/>
        </w:numPr>
        <w:spacing w:line="360" w:lineRule="auto"/>
        <w:rPr>
          <w:rFonts w:ascii="Arial" w:hAnsi="Arial" w:cs="Arial"/>
        </w:rPr>
      </w:pPr>
      <w:r w:rsidRPr="003E502D">
        <w:rPr>
          <w:rFonts w:ascii="Arial" w:hAnsi="Arial" w:cs="Arial"/>
        </w:rPr>
        <w:lastRenderedPageBreak/>
        <w:t>Unlike the Model Law</w:t>
      </w:r>
      <w:r w:rsidR="00FF70AB" w:rsidRPr="003E502D">
        <w:rPr>
          <w:rFonts w:ascii="Arial" w:hAnsi="Arial" w:cs="Arial"/>
        </w:rPr>
        <w:t xml:space="preserve"> and </w:t>
      </w:r>
      <w:proofErr w:type="spellStart"/>
      <w:r w:rsidR="00FF70AB" w:rsidRPr="003E502D">
        <w:rPr>
          <w:rFonts w:ascii="Arial" w:hAnsi="Arial" w:cs="Arial"/>
        </w:rPr>
        <w:t>EUJudgeCo</w:t>
      </w:r>
      <w:proofErr w:type="spellEnd"/>
      <w:r w:rsidR="00FF70AB" w:rsidRPr="003E502D">
        <w:rPr>
          <w:rFonts w:ascii="Arial" w:hAnsi="Arial" w:cs="Arial"/>
        </w:rPr>
        <w:t xml:space="preserve"> Principles and Guidelines</w:t>
      </w:r>
      <w:r w:rsidR="00FF70AB" w:rsidRPr="003E502D">
        <w:rPr>
          <w:rStyle w:val="FootnoteReference"/>
          <w:rFonts w:ascii="Arial" w:hAnsi="Arial" w:cs="Arial"/>
        </w:rPr>
        <w:footnoteReference w:id="17"/>
      </w:r>
      <w:r w:rsidRPr="003E502D">
        <w:rPr>
          <w:rFonts w:ascii="Arial" w:hAnsi="Arial" w:cs="Arial"/>
        </w:rPr>
        <w:t>, t</w:t>
      </w:r>
      <w:r w:rsidR="000742F8" w:rsidRPr="003E502D">
        <w:rPr>
          <w:rFonts w:ascii="Arial" w:hAnsi="Arial" w:cs="Arial"/>
        </w:rPr>
        <w:t>he Guidelines lack any content relating to recognition or assistance. Whilst this is part of the attraction of the Guidelines as they are more readily a</w:t>
      </w:r>
      <w:r w:rsidR="001019EE" w:rsidRPr="003E502D">
        <w:rPr>
          <w:rFonts w:ascii="Arial" w:hAnsi="Arial" w:cs="Arial"/>
        </w:rPr>
        <w:t>doptable</w:t>
      </w:r>
      <w:r w:rsidR="000742F8" w:rsidRPr="003E502D">
        <w:rPr>
          <w:rFonts w:ascii="Arial" w:hAnsi="Arial" w:cs="Arial"/>
        </w:rPr>
        <w:t>, it also removes an incentive for coordination. In this regard, t</w:t>
      </w:r>
      <w:r w:rsidR="00FD4DF2" w:rsidRPr="003E502D">
        <w:rPr>
          <w:rFonts w:ascii="Arial" w:hAnsi="Arial" w:cs="Arial"/>
        </w:rPr>
        <w:t>he utility of the Guidelines may</w:t>
      </w:r>
      <w:r w:rsidRPr="003E502D">
        <w:rPr>
          <w:rFonts w:ascii="Arial" w:hAnsi="Arial" w:cs="Arial"/>
        </w:rPr>
        <w:t xml:space="preserve"> also</w:t>
      </w:r>
      <w:r w:rsidR="00FD4DF2" w:rsidRPr="003E502D">
        <w:rPr>
          <w:rFonts w:ascii="Arial" w:hAnsi="Arial" w:cs="Arial"/>
        </w:rPr>
        <w:t xml:space="preserve"> be contrasted with the EU </w:t>
      </w:r>
      <w:proofErr w:type="spellStart"/>
      <w:r w:rsidR="00FD4DF2" w:rsidRPr="003E502D">
        <w:rPr>
          <w:rFonts w:ascii="Arial" w:hAnsi="Arial" w:cs="Arial"/>
        </w:rPr>
        <w:t>JudgeCo</w:t>
      </w:r>
      <w:proofErr w:type="spellEnd"/>
      <w:r w:rsidR="00FD4DF2" w:rsidRPr="003E502D">
        <w:rPr>
          <w:rFonts w:ascii="Arial" w:hAnsi="Arial" w:cs="Arial"/>
        </w:rPr>
        <w:t xml:space="preserve"> Principles and Guidelines.</w:t>
      </w:r>
      <w:r w:rsidRPr="003E502D">
        <w:rPr>
          <w:rFonts w:ascii="Arial" w:hAnsi="Arial" w:cs="Arial"/>
        </w:rPr>
        <w:t xml:space="preserve"> These Principles and Guidelines operate in conjunction with the</w:t>
      </w:r>
      <w:r w:rsidR="00FD4DF2" w:rsidRPr="003E502D">
        <w:rPr>
          <w:rFonts w:ascii="Arial" w:hAnsi="Arial" w:cs="Arial"/>
        </w:rPr>
        <w:t xml:space="preserve"> EU Insolvency Regulation</w:t>
      </w:r>
      <w:r w:rsidRPr="003E502D">
        <w:rPr>
          <w:rFonts w:ascii="Arial" w:hAnsi="Arial" w:cs="Arial"/>
        </w:rPr>
        <w:t xml:space="preserve"> which provides for</w:t>
      </w:r>
      <w:r w:rsidR="005E43A2" w:rsidRPr="003E502D">
        <w:rPr>
          <w:rFonts w:ascii="Arial" w:eastAsia="Times New Roman" w:hAnsi="Arial" w:cs="Arial"/>
          <w:color w:val="111111"/>
          <w:lang w:val="en-SG"/>
        </w:rPr>
        <w:t> automatic recognition to insolvency proceedings across the EU. Insolvency proceedings initiated in one member state are legitimized in other member states</w:t>
      </w:r>
      <w:r w:rsidR="001019EE" w:rsidRPr="003E502D">
        <w:rPr>
          <w:rFonts w:ascii="Arial" w:eastAsia="Times New Roman" w:hAnsi="Arial" w:cs="Arial"/>
          <w:color w:val="111111"/>
          <w:lang w:val="en-SG"/>
        </w:rPr>
        <w:t xml:space="preserve"> and orders made in these proceedings may be binding across states</w:t>
      </w:r>
      <w:r w:rsidR="005E43A2" w:rsidRPr="003E502D">
        <w:rPr>
          <w:rFonts w:ascii="Arial" w:eastAsia="Times New Roman" w:hAnsi="Arial" w:cs="Arial"/>
          <w:color w:val="111111"/>
          <w:lang w:val="en-SG"/>
        </w:rPr>
        <w:t>.</w:t>
      </w:r>
      <w:r w:rsidRPr="003E502D">
        <w:rPr>
          <w:rFonts w:ascii="Arial" w:eastAsia="Times New Roman" w:hAnsi="Arial" w:cs="Arial"/>
          <w:color w:val="111111"/>
          <w:lang w:val="en-SG"/>
        </w:rPr>
        <w:t xml:space="preserve"> </w:t>
      </w:r>
      <w:r w:rsidRPr="003E502D">
        <w:rPr>
          <w:rFonts w:ascii="Arial" w:hAnsi="Arial" w:cs="Arial"/>
          <w:lang w:val="en-SG"/>
        </w:rPr>
        <w:t>Such</w:t>
      </w:r>
      <w:r w:rsidR="001F0919" w:rsidRPr="003E502D">
        <w:rPr>
          <w:rFonts w:ascii="Arial" w:hAnsi="Arial" w:cs="Arial"/>
        </w:rPr>
        <w:t xml:space="preserve"> provision for recognition is an impetus towards coordination between different jurisdiction</w:t>
      </w:r>
      <w:r w:rsidR="005E43A2" w:rsidRPr="003E502D">
        <w:rPr>
          <w:rFonts w:ascii="Arial" w:hAnsi="Arial" w:cs="Arial"/>
        </w:rPr>
        <w:t>s</w:t>
      </w:r>
      <w:r w:rsidR="001F0919" w:rsidRPr="003E502D">
        <w:rPr>
          <w:rFonts w:ascii="Arial" w:hAnsi="Arial" w:cs="Arial"/>
        </w:rPr>
        <w:t>.</w:t>
      </w:r>
      <w:r w:rsidR="00FD4DF2" w:rsidRPr="003E502D">
        <w:rPr>
          <w:rFonts w:ascii="Arial" w:hAnsi="Arial" w:cs="Arial"/>
        </w:rPr>
        <w:t xml:space="preserve"> </w:t>
      </w:r>
    </w:p>
    <w:p w14:paraId="3926C952" w14:textId="77777777" w:rsidR="0066580A" w:rsidRPr="003E502D" w:rsidRDefault="0066580A" w:rsidP="006C04E7">
      <w:pPr>
        <w:spacing w:line="360" w:lineRule="auto"/>
        <w:rPr>
          <w:rFonts w:ascii="Arial" w:hAnsi="Arial" w:cs="Arial"/>
          <w:sz w:val="24"/>
          <w:szCs w:val="24"/>
        </w:rPr>
      </w:pPr>
    </w:p>
    <w:p w14:paraId="7FC27672" w14:textId="539F36E5" w:rsidR="006B06B9" w:rsidRPr="003E502D" w:rsidRDefault="001019EE" w:rsidP="006C04E7">
      <w:pPr>
        <w:pStyle w:val="ListParagraph"/>
        <w:numPr>
          <w:ilvl w:val="0"/>
          <w:numId w:val="1"/>
        </w:numPr>
        <w:spacing w:line="360" w:lineRule="auto"/>
        <w:rPr>
          <w:rFonts w:ascii="Arial" w:hAnsi="Arial" w:cs="Arial"/>
        </w:rPr>
      </w:pPr>
      <w:r w:rsidRPr="003E502D">
        <w:rPr>
          <w:rFonts w:ascii="Arial" w:hAnsi="Arial" w:cs="Arial"/>
        </w:rPr>
        <w:t>U</w:t>
      </w:r>
      <w:r w:rsidR="0066580A" w:rsidRPr="003E502D">
        <w:rPr>
          <w:rFonts w:ascii="Arial" w:hAnsi="Arial" w:cs="Arial"/>
        </w:rPr>
        <w:t xml:space="preserve">nder Article 31 of the EU Insolvency Regulation, it is the duty of insolvency office holders to provide for cross-border coordination between main and secondary insolvency proceedings. </w:t>
      </w:r>
      <w:r w:rsidR="006B06B9" w:rsidRPr="003E502D">
        <w:rPr>
          <w:rFonts w:ascii="Arial" w:hAnsi="Arial" w:cs="Arial"/>
        </w:rPr>
        <w:t xml:space="preserve">The EU </w:t>
      </w:r>
      <w:proofErr w:type="spellStart"/>
      <w:r w:rsidR="006B06B9" w:rsidRPr="003E502D">
        <w:rPr>
          <w:rFonts w:ascii="Arial" w:hAnsi="Arial" w:cs="Arial"/>
        </w:rPr>
        <w:t>JudgeCo</w:t>
      </w:r>
      <w:proofErr w:type="spellEnd"/>
      <w:r w:rsidR="006B06B9" w:rsidRPr="003E502D">
        <w:rPr>
          <w:rFonts w:ascii="Arial" w:hAnsi="Arial" w:cs="Arial"/>
        </w:rPr>
        <w:t xml:space="preserve"> Principles </w:t>
      </w:r>
      <w:r w:rsidRPr="003E502D">
        <w:rPr>
          <w:rFonts w:ascii="Arial" w:hAnsi="Arial" w:cs="Arial"/>
        </w:rPr>
        <w:t xml:space="preserve">also </w:t>
      </w:r>
      <w:r w:rsidR="006B06B9" w:rsidRPr="003E502D">
        <w:rPr>
          <w:rFonts w:ascii="Arial" w:hAnsi="Arial" w:cs="Arial"/>
        </w:rPr>
        <w:t>provide for the role of the insolvency practitioner to facilitat</w:t>
      </w:r>
      <w:r w:rsidR="0066580A" w:rsidRPr="003E502D">
        <w:rPr>
          <w:rFonts w:ascii="Arial" w:hAnsi="Arial" w:cs="Arial"/>
        </w:rPr>
        <w:t>e</w:t>
      </w:r>
      <w:r w:rsidR="006B06B9" w:rsidRPr="003E502D">
        <w:rPr>
          <w:rFonts w:ascii="Arial" w:hAnsi="Arial" w:cs="Arial"/>
        </w:rPr>
        <w:t xml:space="preserve"> coordination in cross-border proceedings.</w:t>
      </w:r>
      <w:r w:rsidR="006B06B9" w:rsidRPr="003E502D">
        <w:rPr>
          <w:rStyle w:val="FootnoteReference"/>
          <w:rFonts w:ascii="Arial" w:hAnsi="Arial" w:cs="Arial"/>
        </w:rPr>
        <w:footnoteReference w:id="18"/>
      </w:r>
      <w:r w:rsidR="006B06B9" w:rsidRPr="003E502D">
        <w:rPr>
          <w:rFonts w:ascii="Arial" w:hAnsi="Arial" w:cs="Arial"/>
        </w:rPr>
        <w:t xml:space="preserve"> Such a feature is absent in the Guidelines. Whilst it may be argued that </w:t>
      </w:r>
      <w:r w:rsidRPr="003E502D">
        <w:rPr>
          <w:rFonts w:ascii="Arial" w:hAnsi="Arial" w:cs="Arial"/>
        </w:rPr>
        <w:t xml:space="preserve">an order made by </w:t>
      </w:r>
      <w:r w:rsidR="006B06B9" w:rsidRPr="003E502D">
        <w:rPr>
          <w:rFonts w:ascii="Arial" w:hAnsi="Arial" w:cs="Arial"/>
        </w:rPr>
        <w:t>a Court under the Guidelines</w:t>
      </w:r>
      <w:r w:rsidR="0066580A" w:rsidRPr="003E502D">
        <w:rPr>
          <w:rFonts w:ascii="Arial" w:hAnsi="Arial" w:cs="Arial"/>
        </w:rPr>
        <w:t xml:space="preserve"> </w:t>
      </w:r>
      <w:r w:rsidR="006B06B9" w:rsidRPr="003E502D">
        <w:rPr>
          <w:rFonts w:ascii="Arial" w:hAnsi="Arial" w:cs="Arial"/>
        </w:rPr>
        <w:t xml:space="preserve">will have the ultimate effect of compelling insolvency practitioners </w:t>
      </w:r>
      <w:r w:rsidRPr="003E502D">
        <w:rPr>
          <w:rFonts w:ascii="Arial" w:hAnsi="Arial" w:cs="Arial"/>
        </w:rPr>
        <w:t xml:space="preserve">not to act </w:t>
      </w:r>
      <w:r w:rsidR="007D6639" w:rsidRPr="003E502D">
        <w:rPr>
          <w:rFonts w:ascii="Arial" w:hAnsi="Arial" w:cs="Arial"/>
        </w:rPr>
        <w:t xml:space="preserve">in a manner </w:t>
      </w:r>
      <w:r w:rsidRPr="003E502D">
        <w:rPr>
          <w:rFonts w:ascii="Arial" w:hAnsi="Arial" w:cs="Arial"/>
        </w:rPr>
        <w:t xml:space="preserve">to </w:t>
      </w:r>
      <w:r w:rsidR="007D6639" w:rsidRPr="003E502D">
        <w:rPr>
          <w:rFonts w:ascii="Arial" w:hAnsi="Arial" w:cs="Arial"/>
        </w:rPr>
        <w:t>interfere with the order</w:t>
      </w:r>
      <w:r w:rsidR="006B06B9" w:rsidRPr="003E502D">
        <w:rPr>
          <w:rFonts w:ascii="Arial" w:hAnsi="Arial" w:cs="Arial"/>
        </w:rPr>
        <w:t xml:space="preserve">, </w:t>
      </w:r>
      <w:r w:rsidR="00D90A43" w:rsidRPr="003E502D">
        <w:rPr>
          <w:rFonts w:ascii="Arial" w:hAnsi="Arial" w:cs="Arial"/>
        </w:rPr>
        <w:t xml:space="preserve">it is clear </w:t>
      </w:r>
      <w:r w:rsidR="006B06B9" w:rsidRPr="003E502D">
        <w:rPr>
          <w:rFonts w:ascii="Arial" w:hAnsi="Arial" w:cs="Arial"/>
        </w:rPr>
        <w:t>the express provision</w:t>
      </w:r>
      <w:r w:rsidR="007D6639" w:rsidRPr="003E502D">
        <w:rPr>
          <w:rFonts w:ascii="Arial" w:hAnsi="Arial" w:cs="Arial"/>
        </w:rPr>
        <w:t>s</w:t>
      </w:r>
      <w:r w:rsidR="006B06B9" w:rsidRPr="003E502D">
        <w:rPr>
          <w:rFonts w:ascii="Arial" w:hAnsi="Arial" w:cs="Arial"/>
        </w:rPr>
        <w:t xml:space="preserve"> </w:t>
      </w:r>
      <w:r w:rsidR="007D6639" w:rsidRPr="003E502D">
        <w:rPr>
          <w:rFonts w:ascii="Arial" w:hAnsi="Arial" w:cs="Arial"/>
        </w:rPr>
        <w:t>of</w:t>
      </w:r>
      <w:r w:rsidR="006B06B9" w:rsidRPr="003E502D">
        <w:rPr>
          <w:rFonts w:ascii="Arial" w:hAnsi="Arial" w:cs="Arial"/>
        </w:rPr>
        <w:t xml:space="preserve"> the EU </w:t>
      </w:r>
      <w:proofErr w:type="spellStart"/>
      <w:r w:rsidR="006B06B9" w:rsidRPr="003E502D">
        <w:rPr>
          <w:rFonts w:ascii="Arial" w:hAnsi="Arial" w:cs="Arial"/>
        </w:rPr>
        <w:t>JudgeCo</w:t>
      </w:r>
      <w:proofErr w:type="spellEnd"/>
      <w:r w:rsidR="006B06B9" w:rsidRPr="003E502D">
        <w:rPr>
          <w:rFonts w:ascii="Arial" w:hAnsi="Arial" w:cs="Arial"/>
        </w:rPr>
        <w:t xml:space="preserve"> </w:t>
      </w:r>
      <w:r w:rsidR="0066580A" w:rsidRPr="003E502D">
        <w:rPr>
          <w:rFonts w:ascii="Arial" w:hAnsi="Arial" w:cs="Arial"/>
        </w:rPr>
        <w:t>Principles</w:t>
      </w:r>
      <w:r w:rsidR="006B06B9" w:rsidRPr="003E502D">
        <w:rPr>
          <w:rFonts w:ascii="Arial" w:hAnsi="Arial" w:cs="Arial"/>
        </w:rPr>
        <w:t xml:space="preserve"> </w:t>
      </w:r>
      <w:r w:rsidR="00D90A43" w:rsidRPr="003E502D">
        <w:rPr>
          <w:rFonts w:ascii="Arial" w:hAnsi="Arial" w:cs="Arial"/>
        </w:rPr>
        <w:t xml:space="preserve">will </w:t>
      </w:r>
      <w:r w:rsidR="007D6639" w:rsidRPr="003E502D">
        <w:rPr>
          <w:rFonts w:ascii="Arial" w:hAnsi="Arial" w:cs="Arial"/>
        </w:rPr>
        <w:t>have a</w:t>
      </w:r>
      <w:r w:rsidR="00D90A43" w:rsidRPr="003E502D">
        <w:rPr>
          <w:rFonts w:ascii="Arial" w:hAnsi="Arial" w:cs="Arial"/>
        </w:rPr>
        <w:t xml:space="preserve"> more</w:t>
      </w:r>
      <w:r w:rsidR="007D6639" w:rsidRPr="003E502D">
        <w:rPr>
          <w:rFonts w:ascii="Arial" w:hAnsi="Arial" w:cs="Arial"/>
        </w:rPr>
        <w:t xml:space="preserve"> direct impact in ensuring</w:t>
      </w:r>
      <w:r w:rsidR="006B06B9" w:rsidRPr="003E502D">
        <w:rPr>
          <w:rFonts w:ascii="Arial" w:hAnsi="Arial" w:cs="Arial"/>
        </w:rPr>
        <w:t xml:space="preserve"> coordination</w:t>
      </w:r>
      <w:r w:rsidR="0066580A" w:rsidRPr="003E502D">
        <w:rPr>
          <w:rFonts w:ascii="Arial" w:hAnsi="Arial" w:cs="Arial"/>
        </w:rPr>
        <w:t xml:space="preserve"> b</w:t>
      </w:r>
      <w:r w:rsidR="007D6639" w:rsidRPr="003E502D">
        <w:rPr>
          <w:rFonts w:ascii="Arial" w:hAnsi="Arial" w:cs="Arial"/>
        </w:rPr>
        <w:t>etween</w:t>
      </w:r>
      <w:r w:rsidR="0066580A" w:rsidRPr="003E502D">
        <w:rPr>
          <w:rFonts w:ascii="Arial" w:hAnsi="Arial" w:cs="Arial"/>
        </w:rPr>
        <w:t xml:space="preserve"> insolvency practitioners</w:t>
      </w:r>
      <w:r w:rsidR="006B06B9" w:rsidRPr="003E502D">
        <w:rPr>
          <w:rFonts w:ascii="Arial" w:hAnsi="Arial" w:cs="Arial"/>
        </w:rPr>
        <w:t>.</w:t>
      </w:r>
    </w:p>
    <w:p w14:paraId="1B8A55EB" w14:textId="77777777" w:rsidR="00A87069" w:rsidRPr="003E502D" w:rsidRDefault="00A87069" w:rsidP="006C04E7">
      <w:pPr>
        <w:pStyle w:val="ListParagraph"/>
        <w:spacing w:line="360" w:lineRule="auto"/>
        <w:rPr>
          <w:rFonts w:ascii="Arial" w:hAnsi="Arial" w:cs="Arial"/>
        </w:rPr>
      </w:pPr>
    </w:p>
    <w:p w14:paraId="4A939A11" w14:textId="22C261F1" w:rsidR="00A87069" w:rsidRPr="003E502D" w:rsidRDefault="00A87069" w:rsidP="006C04E7">
      <w:pPr>
        <w:pStyle w:val="ListParagraph"/>
        <w:numPr>
          <w:ilvl w:val="0"/>
          <w:numId w:val="1"/>
        </w:numPr>
        <w:spacing w:line="360" w:lineRule="auto"/>
        <w:rPr>
          <w:rFonts w:ascii="Arial" w:hAnsi="Arial" w:cs="Arial"/>
        </w:rPr>
      </w:pPr>
      <w:r w:rsidRPr="003E502D">
        <w:rPr>
          <w:rFonts w:ascii="Arial" w:hAnsi="Arial" w:cs="Arial"/>
        </w:rPr>
        <w:t xml:space="preserve">Another notable difference is the provision for equality of arms in the EU </w:t>
      </w:r>
      <w:proofErr w:type="spellStart"/>
      <w:r w:rsidRPr="003E502D">
        <w:rPr>
          <w:rFonts w:ascii="Arial" w:hAnsi="Arial" w:cs="Arial"/>
        </w:rPr>
        <w:t>JudgeCo</w:t>
      </w:r>
      <w:proofErr w:type="spellEnd"/>
      <w:r w:rsidRPr="003E502D">
        <w:rPr>
          <w:rFonts w:ascii="Arial" w:hAnsi="Arial" w:cs="Arial"/>
        </w:rPr>
        <w:t xml:space="preserve"> Principles.</w:t>
      </w:r>
      <w:r w:rsidRPr="003E502D">
        <w:rPr>
          <w:rStyle w:val="FootnoteReference"/>
          <w:rFonts w:ascii="Arial" w:hAnsi="Arial" w:cs="Arial"/>
        </w:rPr>
        <w:footnoteReference w:id="19"/>
      </w:r>
      <w:r w:rsidRPr="003E502D">
        <w:rPr>
          <w:rFonts w:ascii="Arial" w:hAnsi="Arial" w:cs="Arial"/>
        </w:rPr>
        <w:t xml:space="preserve"> It appears that this is left to the adopting Courts in the Guidelines and hence is assumed.</w:t>
      </w:r>
    </w:p>
    <w:p w14:paraId="2C4505BE" w14:textId="77777777" w:rsidR="000742F8" w:rsidRPr="003E502D" w:rsidRDefault="000742F8" w:rsidP="006C04E7">
      <w:pPr>
        <w:spacing w:line="360" w:lineRule="auto"/>
        <w:rPr>
          <w:rFonts w:ascii="Arial" w:hAnsi="Arial" w:cs="Arial"/>
          <w:sz w:val="24"/>
          <w:szCs w:val="24"/>
        </w:rPr>
      </w:pPr>
    </w:p>
    <w:p w14:paraId="1D8ED65C" w14:textId="5683EDE5" w:rsidR="000742F8" w:rsidRPr="003E502D" w:rsidRDefault="000742F8" w:rsidP="006C04E7">
      <w:pPr>
        <w:pStyle w:val="ListParagraph"/>
        <w:numPr>
          <w:ilvl w:val="0"/>
          <w:numId w:val="1"/>
        </w:numPr>
        <w:spacing w:line="360" w:lineRule="auto"/>
        <w:rPr>
          <w:rFonts w:ascii="Arial" w:hAnsi="Arial" w:cs="Arial"/>
        </w:rPr>
      </w:pPr>
      <w:r w:rsidRPr="003E502D">
        <w:rPr>
          <w:rFonts w:ascii="Arial" w:hAnsi="Arial" w:cs="Arial"/>
        </w:rPr>
        <w:lastRenderedPageBreak/>
        <w:t xml:space="preserve">A key objective of the Guidelines is the avoidance and minimization of litigation, </w:t>
      </w:r>
      <w:proofErr w:type="gramStart"/>
      <w:r w:rsidRPr="003E502D">
        <w:rPr>
          <w:rFonts w:ascii="Arial" w:hAnsi="Arial" w:cs="Arial"/>
        </w:rPr>
        <w:t>costs</w:t>
      </w:r>
      <w:proofErr w:type="gramEnd"/>
      <w:r w:rsidRPr="003E502D">
        <w:rPr>
          <w:rFonts w:ascii="Arial" w:hAnsi="Arial" w:cs="Arial"/>
        </w:rPr>
        <w:t xml:space="preserve"> and inconvenience to the parties</w:t>
      </w:r>
      <w:r w:rsidR="00A87069" w:rsidRPr="003E502D">
        <w:rPr>
          <w:rFonts w:ascii="Arial" w:hAnsi="Arial" w:cs="Arial"/>
        </w:rPr>
        <w:t>.</w:t>
      </w:r>
      <w:r w:rsidR="003C21B9" w:rsidRPr="003E502D">
        <w:rPr>
          <w:rStyle w:val="FootnoteReference"/>
          <w:rFonts w:ascii="Arial" w:hAnsi="Arial" w:cs="Arial"/>
        </w:rPr>
        <w:footnoteReference w:id="20"/>
      </w:r>
      <w:r w:rsidRPr="003E502D">
        <w:rPr>
          <w:rFonts w:ascii="Arial" w:hAnsi="Arial" w:cs="Arial"/>
        </w:rPr>
        <w:t xml:space="preserve"> Whilst such litigation, costs and inconvenience may be minimized once an order is made or protocol agreed upon under the Guidelines, the process of getting to such an order or protocol could entail not insignificant litigation and/or costs. However, this may be something which Courts hearing an application for an order may sensibly try to curtail through the exercise of its case management powers.</w:t>
      </w:r>
    </w:p>
    <w:p w14:paraId="7903956D" w14:textId="77777777" w:rsidR="006750FC" w:rsidRPr="003E502D" w:rsidRDefault="006750FC" w:rsidP="006C04E7">
      <w:pPr>
        <w:pStyle w:val="ListParagraph"/>
        <w:spacing w:line="360" w:lineRule="auto"/>
        <w:rPr>
          <w:rFonts w:ascii="Arial" w:hAnsi="Arial" w:cs="Arial"/>
        </w:rPr>
      </w:pPr>
    </w:p>
    <w:p w14:paraId="5D4CFB63" w14:textId="0BDC817C" w:rsidR="00031096" w:rsidRPr="003E502D" w:rsidRDefault="006750FC" w:rsidP="006C04E7">
      <w:pPr>
        <w:pStyle w:val="ListParagraph"/>
        <w:numPr>
          <w:ilvl w:val="0"/>
          <w:numId w:val="1"/>
        </w:numPr>
        <w:spacing w:line="360" w:lineRule="auto"/>
        <w:rPr>
          <w:rFonts w:ascii="Arial" w:hAnsi="Arial" w:cs="Arial"/>
        </w:rPr>
      </w:pPr>
      <w:r w:rsidRPr="003E502D">
        <w:rPr>
          <w:rFonts w:ascii="Arial" w:hAnsi="Arial" w:cs="Arial"/>
        </w:rPr>
        <w:t>The case which s</w:t>
      </w:r>
      <w:r w:rsidR="002909A4" w:rsidRPr="003E502D">
        <w:rPr>
          <w:rFonts w:ascii="Arial" w:hAnsi="Arial" w:cs="Arial"/>
        </w:rPr>
        <w:t xml:space="preserve">parked </w:t>
      </w:r>
      <w:r w:rsidRPr="003E502D">
        <w:rPr>
          <w:rFonts w:ascii="Arial" w:hAnsi="Arial" w:cs="Arial"/>
        </w:rPr>
        <w:t>the development of s</w:t>
      </w:r>
      <w:r w:rsidR="002909A4" w:rsidRPr="003E502D">
        <w:rPr>
          <w:rFonts w:ascii="Arial" w:hAnsi="Arial" w:cs="Arial"/>
        </w:rPr>
        <w:t>uch</w:t>
      </w:r>
      <w:r w:rsidRPr="003E502D">
        <w:rPr>
          <w:rFonts w:ascii="Arial" w:hAnsi="Arial" w:cs="Arial"/>
        </w:rPr>
        <w:t xml:space="preserve"> court</w:t>
      </w:r>
      <w:r w:rsidR="000742F8" w:rsidRPr="003E502D">
        <w:rPr>
          <w:rFonts w:ascii="Arial" w:hAnsi="Arial" w:cs="Arial"/>
        </w:rPr>
        <w:t>-</w:t>
      </w:r>
      <w:r w:rsidRPr="003E502D">
        <w:rPr>
          <w:rFonts w:ascii="Arial" w:hAnsi="Arial" w:cs="Arial"/>
        </w:rPr>
        <w:t>to</w:t>
      </w:r>
      <w:r w:rsidR="000742F8" w:rsidRPr="003E502D">
        <w:rPr>
          <w:rFonts w:ascii="Arial" w:hAnsi="Arial" w:cs="Arial"/>
        </w:rPr>
        <w:t>-</w:t>
      </w:r>
      <w:r w:rsidRPr="003E502D">
        <w:rPr>
          <w:rFonts w:ascii="Arial" w:hAnsi="Arial" w:cs="Arial"/>
        </w:rPr>
        <w:t xml:space="preserve">court communication guidelines was </w:t>
      </w:r>
      <w:r w:rsidRPr="003E502D">
        <w:rPr>
          <w:rFonts w:ascii="Arial" w:hAnsi="Arial" w:cs="Arial"/>
          <w:i/>
          <w:iCs/>
        </w:rPr>
        <w:t>Re Nortel Networks Corporation et al</w:t>
      </w:r>
      <w:r w:rsidR="000742F8" w:rsidRPr="003E502D">
        <w:rPr>
          <w:rFonts w:ascii="Arial" w:hAnsi="Arial" w:cs="Arial"/>
        </w:rPr>
        <w:t>. In th</w:t>
      </w:r>
      <w:r w:rsidR="00D90A43" w:rsidRPr="003E502D">
        <w:rPr>
          <w:rFonts w:ascii="Arial" w:hAnsi="Arial" w:cs="Arial"/>
        </w:rPr>
        <w:t>at</w:t>
      </w:r>
      <w:r w:rsidR="000742F8" w:rsidRPr="003E502D">
        <w:rPr>
          <w:rFonts w:ascii="Arial" w:hAnsi="Arial" w:cs="Arial"/>
        </w:rPr>
        <w:t xml:space="preserve"> case, </w:t>
      </w:r>
      <w:r w:rsidRPr="003E502D">
        <w:rPr>
          <w:rFonts w:ascii="Arial" w:hAnsi="Arial" w:cs="Arial"/>
        </w:rPr>
        <w:t xml:space="preserve">communication and joint hearings </w:t>
      </w:r>
      <w:r w:rsidRPr="003E502D">
        <w:rPr>
          <w:rFonts w:ascii="Arial" w:hAnsi="Arial" w:cs="Arial"/>
          <w:color w:val="000000"/>
          <w:shd w:val="clear" w:color="auto" w:fill="FFFFFF"/>
        </w:rPr>
        <w:t>between the Ontario Superior Court and the US Bankruptcy Court in Delaware paved the way for an eventual settlement to distribute USD 7.3 billion in assets to the creditors. However</w:t>
      </w:r>
      <w:r w:rsidR="00031096" w:rsidRPr="003E502D">
        <w:rPr>
          <w:rFonts w:ascii="Arial" w:hAnsi="Arial" w:cs="Arial"/>
          <w:color w:val="000000"/>
          <w:shd w:val="clear" w:color="auto" w:fill="FFFFFF"/>
        </w:rPr>
        <w:t>,</w:t>
      </w:r>
      <w:r w:rsidRPr="003E502D">
        <w:rPr>
          <w:rFonts w:ascii="Arial" w:hAnsi="Arial" w:cs="Arial"/>
          <w:color w:val="000000"/>
          <w:shd w:val="clear" w:color="auto" w:fill="FFFFFF"/>
        </w:rPr>
        <w:t xml:space="preserve"> </w:t>
      </w:r>
      <w:r w:rsidR="00D90A43" w:rsidRPr="003E502D">
        <w:rPr>
          <w:rFonts w:ascii="Arial" w:hAnsi="Arial" w:cs="Arial"/>
          <w:color w:val="000000"/>
          <w:shd w:val="clear" w:color="auto" w:fill="FFFFFF"/>
        </w:rPr>
        <w:t>such coordination arose in circumstances where</w:t>
      </w:r>
      <w:r w:rsidR="000742F8" w:rsidRPr="003E502D">
        <w:rPr>
          <w:rFonts w:ascii="Arial" w:hAnsi="Arial" w:cs="Arial"/>
          <w:color w:val="000000"/>
          <w:shd w:val="clear" w:color="auto" w:fill="FFFFFF"/>
        </w:rPr>
        <w:t xml:space="preserve"> </w:t>
      </w:r>
      <w:r w:rsidRPr="003E502D">
        <w:rPr>
          <w:rFonts w:ascii="Arial" w:hAnsi="Arial" w:cs="Arial"/>
          <w:color w:val="000000"/>
          <w:shd w:val="clear" w:color="auto" w:fill="FFFFFF"/>
        </w:rPr>
        <w:t xml:space="preserve">the laws of both jurisdictions </w:t>
      </w:r>
      <w:r w:rsidR="000742F8" w:rsidRPr="003E502D">
        <w:rPr>
          <w:rFonts w:ascii="Arial" w:hAnsi="Arial" w:cs="Arial"/>
          <w:color w:val="000000"/>
          <w:shd w:val="clear" w:color="auto" w:fill="FFFFFF"/>
        </w:rPr>
        <w:t>a</w:t>
      </w:r>
      <w:r w:rsidRPr="003E502D">
        <w:rPr>
          <w:rFonts w:ascii="Arial" w:hAnsi="Arial" w:cs="Arial"/>
          <w:color w:val="000000"/>
          <w:shd w:val="clear" w:color="auto" w:fill="FFFFFF"/>
        </w:rPr>
        <w:t xml:space="preserve">re not so different and there was no time difference </w:t>
      </w:r>
      <w:r w:rsidR="00D90A43" w:rsidRPr="003E502D">
        <w:rPr>
          <w:rFonts w:ascii="Arial" w:hAnsi="Arial" w:cs="Arial"/>
          <w:color w:val="000000"/>
          <w:shd w:val="clear" w:color="auto" w:fill="FFFFFF"/>
        </w:rPr>
        <w:t>which</w:t>
      </w:r>
      <w:r w:rsidRPr="003E502D">
        <w:rPr>
          <w:rFonts w:ascii="Arial" w:hAnsi="Arial" w:cs="Arial"/>
          <w:color w:val="000000"/>
          <w:shd w:val="clear" w:color="auto" w:fill="FFFFFF"/>
        </w:rPr>
        <w:t xml:space="preserve"> inhibited the holding of the joint hearings.</w:t>
      </w:r>
      <w:r w:rsidR="00142CEF" w:rsidRPr="003E502D">
        <w:rPr>
          <w:rFonts w:ascii="Arial" w:hAnsi="Arial" w:cs="Arial"/>
          <w:color w:val="000000"/>
          <w:shd w:val="clear" w:color="auto" w:fill="FFFFFF"/>
        </w:rPr>
        <w:t xml:space="preserve"> The success of</w:t>
      </w:r>
      <w:r w:rsidR="00986424" w:rsidRPr="003E502D">
        <w:rPr>
          <w:rFonts w:ascii="Arial" w:hAnsi="Arial" w:cs="Arial"/>
          <w:color w:val="000000"/>
          <w:shd w:val="clear" w:color="auto" w:fill="FFFFFF"/>
        </w:rPr>
        <w:t xml:space="preserve"> </w:t>
      </w:r>
      <w:r w:rsidR="002909A4" w:rsidRPr="003E502D">
        <w:rPr>
          <w:rFonts w:ascii="Arial" w:hAnsi="Arial" w:cs="Arial"/>
          <w:i/>
          <w:iCs/>
          <w:color w:val="000000"/>
          <w:shd w:val="clear" w:color="auto" w:fill="FFFFFF"/>
        </w:rPr>
        <w:t>Re Nortel</w:t>
      </w:r>
      <w:r w:rsidR="002909A4" w:rsidRPr="003E502D">
        <w:rPr>
          <w:rFonts w:ascii="Arial" w:hAnsi="Arial" w:cs="Arial"/>
          <w:color w:val="000000"/>
          <w:shd w:val="clear" w:color="auto" w:fill="FFFFFF"/>
        </w:rPr>
        <w:t xml:space="preserve"> </w:t>
      </w:r>
      <w:r w:rsidR="00142CEF" w:rsidRPr="003E502D">
        <w:rPr>
          <w:rFonts w:ascii="Arial" w:hAnsi="Arial" w:cs="Arial"/>
          <w:color w:val="000000"/>
          <w:shd w:val="clear" w:color="auto" w:fill="FFFFFF"/>
        </w:rPr>
        <w:t xml:space="preserve">in court-to-court communication </w:t>
      </w:r>
      <w:r w:rsidR="002909A4" w:rsidRPr="003E502D">
        <w:rPr>
          <w:rFonts w:ascii="Arial" w:hAnsi="Arial" w:cs="Arial"/>
          <w:color w:val="000000"/>
          <w:shd w:val="clear" w:color="auto" w:fill="FFFFFF"/>
        </w:rPr>
        <w:t xml:space="preserve">therefore may not </w:t>
      </w:r>
      <w:r w:rsidR="00142CEF" w:rsidRPr="003E502D">
        <w:rPr>
          <w:rFonts w:ascii="Arial" w:hAnsi="Arial" w:cs="Arial"/>
          <w:color w:val="000000"/>
          <w:shd w:val="clear" w:color="auto" w:fill="FFFFFF"/>
        </w:rPr>
        <w:t>be repeatable in</w:t>
      </w:r>
      <w:r w:rsidR="002909A4" w:rsidRPr="003E502D">
        <w:rPr>
          <w:rFonts w:ascii="Arial" w:hAnsi="Arial" w:cs="Arial"/>
          <w:color w:val="000000"/>
          <w:shd w:val="clear" w:color="auto" w:fill="FFFFFF"/>
        </w:rPr>
        <w:t xml:space="preserve"> other cross</w:t>
      </w:r>
      <w:r w:rsidR="00142CEF" w:rsidRPr="003E502D">
        <w:rPr>
          <w:rFonts w:ascii="Arial" w:hAnsi="Arial" w:cs="Arial"/>
          <w:color w:val="000000"/>
          <w:shd w:val="clear" w:color="auto" w:fill="FFFFFF"/>
        </w:rPr>
        <w:t>-</w:t>
      </w:r>
      <w:r w:rsidR="002909A4" w:rsidRPr="003E502D">
        <w:rPr>
          <w:rFonts w:ascii="Arial" w:hAnsi="Arial" w:cs="Arial"/>
          <w:color w:val="000000"/>
          <w:shd w:val="clear" w:color="auto" w:fill="FFFFFF"/>
        </w:rPr>
        <w:t xml:space="preserve">border insolvencies. </w:t>
      </w:r>
      <w:r w:rsidR="00142CEF" w:rsidRPr="003E502D">
        <w:rPr>
          <w:rFonts w:ascii="Arial" w:hAnsi="Arial" w:cs="Arial"/>
          <w:color w:val="000000"/>
          <w:shd w:val="clear" w:color="auto" w:fill="FFFFFF"/>
        </w:rPr>
        <w:t>T</w:t>
      </w:r>
      <w:r w:rsidR="002909A4" w:rsidRPr="003E502D">
        <w:rPr>
          <w:rFonts w:ascii="Arial" w:hAnsi="Arial" w:cs="Arial"/>
          <w:color w:val="000000"/>
          <w:shd w:val="clear" w:color="auto" w:fill="FFFFFF"/>
        </w:rPr>
        <w:t>he</w:t>
      </w:r>
      <w:r w:rsidR="00986424" w:rsidRPr="003E502D">
        <w:rPr>
          <w:rFonts w:ascii="Arial" w:hAnsi="Arial" w:cs="Arial"/>
          <w:color w:val="000000"/>
          <w:shd w:val="clear" w:color="auto" w:fill="FFFFFF"/>
        </w:rPr>
        <w:t xml:space="preserve"> joint hearings</w:t>
      </w:r>
      <w:r w:rsidR="002909A4" w:rsidRPr="003E502D">
        <w:rPr>
          <w:rFonts w:ascii="Arial" w:hAnsi="Arial" w:cs="Arial"/>
          <w:color w:val="000000"/>
          <w:shd w:val="clear" w:color="auto" w:fill="FFFFFF"/>
        </w:rPr>
        <w:t xml:space="preserve"> which took place in </w:t>
      </w:r>
      <w:r w:rsidR="002909A4" w:rsidRPr="003E502D">
        <w:rPr>
          <w:rFonts w:ascii="Arial" w:hAnsi="Arial" w:cs="Arial"/>
          <w:i/>
          <w:iCs/>
          <w:color w:val="000000"/>
          <w:shd w:val="clear" w:color="auto" w:fill="FFFFFF"/>
        </w:rPr>
        <w:t>Re Nortel</w:t>
      </w:r>
      <w:r w:rsidR="00986424" w:rsidRPr="003E502D">
        <w:rPr>
          <w:rFonts w:ascii="Arial" w:hAnsi="Arial" w:cs="Arial"/>
          <w:color w:val="000000"/>
          <w:shd w:val="clear" w:color="auto" w:fill="FFFFFF"/>
        </w:rPr>
        <w:t xml:space="preserve"> will be much more difficult to organize between say the UK and Singapore. </w:t>
      </w:r>
      <w:r w:rsidR="002909A4" w:rsidRPr="003E502D">
        <w:rPr>
          <w:rFonts w:ascii="Arial" w:hAnsi="Arial" w:cs="Arial"/>
          <w:color w:val="000000"/>
          <w:shd w:val="clear" w:color="auto" w:fill="FFFFFF"/>
        </w:rPr>
        <w:t>In such cases,</w:t>
      </w:r>
      <w:r w:rsidR="00031096" w:rsidRPr="003E502D">
        <w:rPr>
          <w:rFonts w:ascii="Arial" w:hAnsi="Arial" w:cs="Arial"/>
          <w:color w:val="000000"/>
          <w:shd w:val="clear" w:color="auto" w:fill="FFFFFF"/>
        </w:rPr>
        <w:t xml:space="preserve"> the efficacy of the Guidelines </w:t>
      </w:r>
      <w:r w:rsidR="002909A4" w:rsidRPr="003E502D">
        <w:rPr>
          <w:rFonts w:ascii="Arial" w:hAnsi="Arial" w:cs="Arial"/>
          <w:color w:val="000000"/>
          <w:shd w:val="clear" w:color="auto" w:fill="FFFFFF"/>
        </w:rPr>
        <w:t>insofar as</w:t>
      </w:r>
      <w:r w:rsidR="00031096" w:rsidRPr="003E502D">
        <w:rPr>
          <w:rFonts w:ascii="Arial" w:hAnsi="Arial" w:cs="Arial"/>
          <w:color w:val="000000"/>
          <w:shd w:val="clear" w:color="auto" w:fill="FFFFFF"/>
        </w:rPr>
        <w:t xml:space="preserve"> court-to-court communication (Guidelines 7-9)</w:t>
      </w:r>
      <w:r w:rsidR="002909A4" w:rsidRPr="003E502D">
        <w:rPr>
          <w:rFonts w:ascii="Arial" w:hAnsi="Arial" w:cs="Arial"/>
          <w:color w:val="000000"/>
          <w:shd w:val="clear" w:color="auto" w:fill="FFFFFF"/>
        </w:rPr>
        <w:t xml:space="preserve"> is concerned</w:t>
      </w:r>
      <w:r w:rsidR="00031096" w:rsidRPr="003E502D">
        <w:rPr>
          <w:rFonts w:ascii="Arial" w:hAnsi="Arial" w:cs="Arial"/>
          <w:color w:val="000000"/>
          <w:shd w:val="clear" w:color="auto" w:fill="FFFFFF"/>
        </w:rPr>
        <w:t xml:space="preserve"> may be limited to information sharing. </w:t>
      </w:r>
      <w:r w:rsidR="002909A4" w:rsidRPr="003E502D">
        <w:rPr>
          <w:rFonts w:ascii="Arial" w:hAnsi="Arial" w:cs="Arial"/>
          <w:color w:val="000000"/>
          <w:shd w:val="clear" w:color="auto" w:fill="FFFFFF"/>
        </w:rPr>
        <w:t>G</w:t>
      </w:r>
      <w:r w:rsidR="00031096" w:rsidRPr="003E502D">
        <w:rPr>
          <w:rFonts w:ascii="Arial" w:hAnsi="Arial" w:cs="Arial"/>
          <w:color w:val="000000"/>
          <w:shd w:val="clear" w:color="auto" w:fill="FFFFFF"/>
        </w:rPr>
        <w:t xml:space="preserve">reater utility </w:t>
      </w:r>
      <w:r w:rsidR="002909A4" w:rsidRPr="003E502D">
        <w:rPr>
          <w:rFonts w:ascii="Arial" w:hAnsi="Arial" w:cs="Arial"/>
          <w:color w:val="000000"/>
          <w:shd w:val="clear" w:color="auto" w:fill="FFFFFF"/>
        </w:rPr>
        <w:t>may be derived from</w:t>
      </w:r>
      <w:r w:rsidR="00031096" w:rsidRPr="003E502D">
        <w:rPr>
          <w:rFonts w:ascii="Arial" w:hAnsi="Arial" w:cs="Arial"/>
          <w:color w:val="000000"/>
          <w:shd w:val="clear" w:color="auto" w:fill="FFFFFF"/>
        </w:rPr>
        <w:t xml:space="preserve"> the Guidelines (Guidelines 10-11) which permit </w:t>
      </w:r>
      <w:proofErr w:type="gramStart"/>
      <w:r w:rsidR="00031096" w:rsidRPr="003E502D">
        <w:rPr>
          <w:rFonts w:ascii="Arial" w:hAnsi="Arial" w:cs="Arial"/>
          <w:color w:val="000000"/>
          <w:shd w:val="clear" w:color="auto" w:fill="FFFFFF"/>
        </w:rPr>
        <w:t>the attendance</w:t>
      </w:r>
      <w:proofErr w:type="gramEnd"/>
      <w:r w:rsidR="00031096" w:rsidRPr="003E502D">
        <w:rPr>
          <w:rFonts w:ascii="Arial" w:hAnsi="Arial" w:cs="Arial"/>
          <w:color w:val="000000"/>
          <w:shd w:val="clear" w:color="auto" w:fill="FFFFFF"/>
        </w:rPr>
        <w:t xml:space="preserve"> in court by foreign counsel. Such Guidelines allow a Court to hear firsthand from counsel involved in the foreign proceedings without concern by that counsel that he/she/the party represented is submitting to jurisdiction with all the attendant consequences. The Court will be at liberty to probe and understand better various issues that may not be apparent from written documentation. This can </w:t>
      </w:r>
      <w:r w:rsidR="00FD4DF2" w:rsidRPr="003E502D">
        <w:rPr>
          <w:rFonts w:ascii="Arial" w:hAnsi="Arial" w:cs="Arial"/>
          <w:color w:val="000000"/>
          <w:shd w:val="clear" w:color="auto" w:fill="FFFFFF"/>
        </w:rPr>
        <w:t>p</w:t>
      </w:r>
      <w:r w:rsidR="00031096" w:rsidRPr="003E502D">
        <w:rPr>
          <w:rFonts w:ascii="Arial" w:hAnsi="Arial" w:cs="Arial"/>
          <w:color w:val="000000"/>
          <w:shd w:val="clear" w:color="auto" w:fill="FFFFFF"/>
        </w:rPr>
        <w:t>ut that Court in a better position to coordinate with its counterpart elsewhere.</w:t>
      </w:r>
    </w:p>
    <w:p w14:paraId="28433B9D" w14:textId="77777777" w:rsidR="003E502D" w:rsidRPr="003E502D" w:rsidRDefault="003E502D" w:rsidP="003E502D">
      <w:pPr>
        <w:pStyle w:val="ListParagraph"/>
        <w:spacing w:line="360" w:lineRule="auto"/>
        <w:rPr>
          <w:rFonts w:ascii="Arial" w:hAnsi="Arial" w:cs="Arial"/>
        </w:rPr>
      </w:pPr>
    </w:p>
    <w:p w14:paraId="777B4074" w14:textId="77777777" w:rsidR="0049311B" w:rsidRPr="003E502D" w:rsidRDefault="0049311B" w:rsidP="0049311B">
      <w:pPr>
        <w:pStyle w:val="ListParagraph"/>
        <w:spacing w:line="360" w:lineRule="auto"/>
        <w:rPr>
          <w:rFonts w:ascii="Arial" w:hAnsi="Arial" w:cs="Arial"/>
          <w:color w:val="000000"/>
          <w:shd w:val="clear" w:color="auto" w:fill="FFFFFF"/>
        </w:rPr>
      </w:pPr>
    </w:p>
    <w:p w14:paraId="055E9F99" w14:textId="32A0AC96" w:rsidR="0049311B" w:rsidRPr="003E502D" w:rsidRDefault="0049311B" w:rsidP="0049311B">
      <w:pPr>
        <w:pStyle w:val="ListParagraph"/>
        <w:spacing w:line="360" w:lineRule="auto"/>
        <w:rPr>
          <w:rFonts w:ascii="Arial" w:hAnsi="Arial" w:cs="Arial"/>
          <w:i/>
          <w:iCs/>
        </w:rPr>
      </w:pPr>
      <w:r w:rsidRPr="003E502D">
        <w:rPr>
          <w:rFonts w:ascii="Arial" w:hAnsi="Arial" w:cs="Arial"/>
          <w:i/>
          <w:iCs/>
          <w:color w:val="000000"/>
          <w:shd w:val="clear" w:color="auto" w:fill="FFFFFF"/>
        </w:rPr>
        <w:lastRenderedPageBreak/>
        <w:t>Conclusion</w:t>
      </w:r>
    </w:p>
    <w:p w14:paraId="3BA7E2D5" w14:textId="77777777" w:rsidR="00031096" w:rsidRPr="003E502D" w:rsidRDefault="00031096" w:rsidP="006C04E7">
      <w:pPr>
        <w:pStyle w:val="ListParagraph"/>
        <w:spacing w:line="360" w:lineRule="auto"/>
        <w:rPr>
          <w:rFonts w:ascii="Arial" w:hAnsi="Arial" w:cs="Arial"/>
        </w:rPr>
      </w:pPr>
    </w:p>
    <w:p w14:paraId="55197DF0" w14:textId="68D2C24B" w:rsidR="00FC0338" w:rsidRPr="003E502D" w:rsidRDefault="00031096" w:rsidP="006C04E7">
      <w:pPr>
        <w:pStyle w:val="ListParagraph"/>
        <w:numPr>
          <w:ilvl w:val="0"/>
          <w:numId w:val="1"/>
        </w:numPr>
        <w:spacing w:line="360" w:lineRule="auto"/>
        <w:rPr>
          <w:rFonts w:ascii="Arial" w:hAnsi="Arial" w:cs="Arial"/>
        </w:rPr>
      </w:pPr>
      <w:proofErr w:type="gramStart"/>
      <w:r w:rsidRPr="003E502D">
        <w:rPr>
          <w:rFonts w:ascii="Arial" w:hAnsi="Arial" w:cs="Arial"/>
          <w:color w:val="000000"/>
          <w:shd w:val="clear" w:color="auto" w:fill="FFFFFF"/>
        </w:rPr>
        <w:t>Thus</w:t>
      </w:r>
      <w:proofErr w:type="gramEnd"/>
      <w:r w:rsidRPr="003E502D">
        <w:rPr>
          <w:rFonts w:ascii="Arial" w:hAnsi="Arial" w:cs="Arial"/>
          <w:color w:val="000000"/>
          <w:shd w:val="clear" w:color="auto" w:fill="FFFFFF"/>
        </w:rPr>
        <w:t xml:space="preserve"> whilst the Guidelines may bring parties closer to more uniform results in proceedings in different jurisdictions, it is not a panacea to do so. Different substantive laws and logistical difficulties may still stand in the way of achieving the tight coordination needed for such uniformity. Still the Guidelines are to be lauded as being a step in the right direction</w:t>
      </w:r>
      <w:r w:rsidR="00FD4DF2" w:rsidRPr="003E502D">
        <w:rPr>
          <w:rFonts w:ascii="Arial" w:hAnsi="Arial" w:cs="Arial"/>
          <w:color w:val="000000"/>
          <w:shd w:val="clear" w:color="auto" w:fill="FFFFFF"/>
        </w:rPr>
        <w:t xml:space="preserve"> towards this objective.</w:t>
      </w:r>
    </w:p>
    <w:p w14:paraId="27F02425" w14:textId="77777777" w:rsidR="0066580A" w:rsidRPr="003E502D" w:rsidRDefault="0066580A" w:rsidP="006C04E7">
      <w:pPr>
        <w:pStyle w:val="ListParagraph"/>
        <w:spacing w:line="360" w:lineRule="auto"/>
        <w:rPr>
          <w:rFonts w:ascii="Arial" w:hAnsi="Arial" w:cs="Arial"/>
        </w:rPr>
      </w:pPr>
    </w:p>
    <w:p w14:paraId="70858604" w14:textId="77777777" w:rsidR="007E745A" w:rsidRPr="003E502D" w:rsidRDefault="007E745A" w:rsidP="006C04E7">
      <w:pPr>
        <w:pStyle w:val="ListParagraph"/>
        <w:spacing w:line="360" w:lineRule="auto"/>
        <w:rPr>
          <w:rFonts w:ascii="Arial" w:hAnsi="Arial" w:cs="Arial"/>
        </w:rPr>
      </w:pPr>
    </w:p>
    <w:p w14:paraId="580737AF" w14:textId="77777777" w:rsidR="0066580A" w:rsidRPr="003E502D" w:rsidRDefault="0066580A" w:rsidP="006C04E7">
      <w:pPr>
        <w:spacing w:line="360" w:lineRule="auto"/>
        <w:rPr>
          <w:rFonts w:ascii="Arial" w:hAnsi="Arial" w:cs="Arial"/>
          <w:sz w:val="24"/>
          <w:szCs w:val="24"/>
        </w:rPr>
      </w:pPr>
    </w:p>
    <w:p w14:paraId="3E643965" w14:textId="44BE1401" w:rsidR="003B5D9D" w:rsidRPr="003E502D" w:rsidRDefault="003B5D9D" w:rsidP="006C04E7">
      <w:pPr>
        <w:spacing w:line="360" w:lineRule="auto"/>
        <w:ind w:left="720"/>
        <w:rPr>
          <w:rFonts w:ascii="Arial" w:hAnsi="Arial" w:cs="Arial"/>
          <w:sz w:val="24"/>
          <w:szCs w:val="24"/>
        </w:rPr>
      </w:pPr>
      <w:r w:rsidRPr="003E502D">
        <w:rPr>
          <w:rFonts w:ascii="Arial" w:hAnsi="Arial" w:cs="Arial"/>
          <w:sz w:val="24"/>
          <w:szCs w:val="24"/>
        </w:rPr>
        <w:t>Eddee Ng</w:t>
      </w:r>
    </w:p>
    <w:p w14:paraId="73C1692E" w14:textId="44A67205" w:rsidR="003B5D9D" w:rsidRPr="003E502D" w:rsidRDefault="003B5D9D" w:rsidP="006C04E7">
      <w:pPr>
        <w:spacing w:line="360" w:lineRule="auto"/>
        <w:ind w:left="720"/>
        <w:rPr>
          <w:rFonts w:ascii="Arial" w:hAnsi="Arial" w:cs="Arial"/>
          <w:sz w:val="24"/>
          <w:szCs w:val="24"/>
        </w:rPr>
      </w:pPr>
      <w:r w:rsidRPr="003E502D">
        <w:rPr>
          <w:rFonts w:ascii="Arial" w:hAnsi="Arial" w:cs="Arial"/>
          <w:sz w:val="24"/>
          <w:szCs w:val="24"/>
        </w:rPr>
        <w:t>INSOL Class of 2023/2024</w:t>
      </w:r>
    </w:p>
    <w:p w14:paraId="48C32B6E" w14:textId="77777777" w:rsidR="003B5D9D" w:rsidRPr="003E502D" w:rsidRDefault="003B5D9D" w:rsidP="006C04E7">
      <w:pPr>
        <w:spacing w:line="360" w:lineRule="auto"/>
        <w:ind w:left="720"/>
        <w:rPr>
          <w:rFonts w:ascii="Arial" w:hAnsi="Arial" w:cs="Arial"/>
          <w:sz w:val="24"/>
          <w:szCs w:val="24"/>
        </w:rPr>
      </w:pPr>
    </w:p>
    <w:p w14:paraId="2EFFAAD5" w14:textId="3794BBD0" w:rsidR="00777C9A" w:rsidRPr="003E502D" w:rsidRDefault="003B5D9D" w:rsidP="0096037F">
      <w:pPr>
        <w:spacing w:line="360" w:lineRule="auto"/>
        <w:ind w:left="720"/>
        <w:rPr>
          <w:rFonts w:ascii="Arial" w:hAnsi="Arial" w:cs="Arial"/>
          <w:sz w:val="24"/>
          <w:szCs w:val="24"/>
        </w:rPr>
      </w:pPr>
      <w:r w:rsidRPr="003E502D">
        <w:rPr>
          <w:rFonts w:ascii="Arial" w:hAnsi="Arial" w:cs="Arial"/>
          <w:sz w:val="24"/>
          <w:szCs w:val="24"/>
        </w:rPr>
        <w:t>26 Feb 2024</w:t>
      </w:r>
    </w:p>
    <w:p w14:paraId="775DBFBA" w14:textId="3652C682" w:rsidR="003E502D" w:rsidRDefault="003E502D">
      <w:pPr>
        <w:spacing w:after="160" w:line="278" w:lineRule="auto"/>
        <w:rPr>
          <w:rFonts w:ascii="Arial" w:hAnsi="Arial" w:cs="Arial"/>
          <w:sz w:val="24"/>
          <w:szCs w:val="24"/>
        </w:rPr>
      </w:pPr>
      <w:r>
        <w:rPr>
          <w:rFonts w:ascii="Arial" w:hAnsi="Arial" w:cs="Arial"/>
          <w:sz w:val="24"/>
          <w:szCs w:val="24"/>
        </w:rPr>
        <w:br w:type="page"/>
      </w:r>
    </w:p>
    <w:p w14:paraId="20964637" w14:textId="77777777" w:rsidR="0096037F" w:rsidRPr="003E502D" w:rsidRDefault="0096037F" w:rsidP="0096037F">
      <w:pPr>
        <w:spacing w:line="360" w:lineRule="auto"/>
        <w:ind w:left="720"/>
        <w:rPr>
          <w:rFonts w:ascii="Arial" w:hAnsi="Arial" w:cs="Arial"/>
          <w:sz w:val="24"/>
          <w:szCs w:val="24"/>
        </w:rPr>
      </w:pPr>
    </w:p>
    <w:p w14:paraId="7A67EFEA" w14:textId="3C2E7093" w:rsidR="0096037F" w:rsidRPr="003E502D" w:rsidRDefault="0096037F" w:rsidP="00A357A0">
      <w:pPr>
        <w:spacing w:line="360" w:lineRule="auto"/>
        <w:ind w:left="720" w:firstLine="360"/>
        <w:rPr>
          <w:rFonts w:ascii="Arial" w:hAnsi="Arial" w:cs="Arial"/>
          <w:sz w:val="24"/>
          <w:szCs w:val="24"/>
          <w:u w:val="single"/>
        </w:rPr>
      </w:pPr>
      <w:r w:rsidRPr="003E502D">
        <w:rPr>
          <w:rFonts w:ascii="Arial" w:hAnsi="Arial" w:cs="Arial"/>
          <w:sz w:val="24"/>
          <w:szCs w:val="24"/>
          <w:u w:val="single"/>
        </w:rPr>
        <w:t>BIBLIOGRAPHY</w:t>
      </w:r>
    </w:p>
    <w:p w14:paraId="3F395315" w14:textId="77777777" w:rsidR="0096037F" w:rsidRPr="003E502D" w:rsidRDefault="0096037F" w:rsidP="0096037F">
      <w:pPr>
        <w:spacing w:line="360" w:lineRule="auto"/>
        <w:ind w:left="720"/>
        <w:rPr>
          <w:rFonts w:ascii="Arial" w:hAnsi="Arial" w:cs="Arial"/>
          <w:sz w:val="24"/>
          <w:szCs w:val="24"/>
        </w:rPr>
      </w:pPr>
    </w:p>
    <w:p w14:paraId="4C6AAAEF" w14:textId="435A10DF" w:rsidR="0096037F" w:rsidRPr="003E502D" w:rsidRDefault="0096037F" w:rsidP="0096037F">
      <w:pPr>
        <w:pStyle w:val="ListParagraph"/>
        <w:numPr>
          <w:ilvl w:val="0"/>
          <w:numId w:val="4"/>
        </w:numPr>
        <w:spacing w:line="360" w:lineRule="auto"/>
        <w:rPr>
          <w:rFonts w:ascii="Arial" w:hAnsi="Arial" w:cs="Arial"/>
        </w:rPr>
      </w:pPr>
      <w:r w:rsidRPr="003E502D">
        <w:rPr>
          <w:rFonts w:ascii="Arial" w:hAnsi="Arial" w:cs="Arial"/>
        </w:rPr>
        <w:t>Judicial Insolvency Network Guidelines</w:t>
      </w:r>
    </w:p>
    <w:p w14:paraId="42DF7632" w14:textId="27C39028" w:rsidR="0096037F" w:rsidRPr="003E502D" w:rsidRDefault="00A357A0" w:rsidP="0096037F">
      <w:pPr>
        <w:pStyle w:val="ListParagraph"/>
        <w:numPr>
          <w:ilvl w:val="0"/>
          <w:numId w:val="4"/>
        </w:numPr>
        <w:spacing w:line="360" w:lineRule="auto"/>
        <w:rPr>
          <w:rFonts w:ascii="Arial" w:hAnsi="Arial" w:cs="Arial"/>
        </w:rPr>
      </w:pPr>
      <w:r w:rsidRPr="003E502D">
        <w:rPr>
          <w:rFonts w:ascii="Arial" w:hAnsi="Arial" w:cs="Arial"/>
        </w:rPr>
        <w:t xml:space="preserve">UNCITRAL </w:t>
      </w:r>
      <w:r w:rsidR="0096037F" w:rsidRPr="003E502D">
        <w:rPr>
          <w:rFonts w:ascii="Arial" w:hAnsi="Arial" w:cs="Arial"/>
        </w:rPr>
        <w:t>Model Law on Cross-Border Insolvency</w:t>
      </w:r>
    </w:p>
    <w:p w14:paraId="1AFD211C" w14:textId="4F96E7F4" w:rsidR="0096037F" w:rsidRPr="003E502D" w:rsidRDefault="00A357A0" w:rsidP="0096037F">
      <w:pPr>
        <w:pStyle w:val="ListParagraph"/>
        <w:numPr>
          <w:ilvl w:val="0"/>
          <w:numId w:val="4"/>
        </w:numPr>
        <w:spacing w:line="360" w:lineRule="auto"/>
        <w:rPr>
          <w:rFonts w:ascii="Arial" w:hAnsi="Arial" w:cs="Arial"/>
        </w:rPr>
      </w:pPr>
      <w:r w:rsidRPr="003E502D">
        <w:rPr>
          <w:rFonts w:ascii="Arial" w:hAnsi="Arial" w:cs="Arial"/>
        </w:rPr>
        <w:t xml:space="preserve">UNCITRAL </w:t>
      </w:r>
      <w:r w:rsidR="0096037F" w:rsidRPr="003E502D">
        <w:rPr>
          <w:rFonts w:ascii="Arial" w:hAnsi="Arial" w:cs="Arial"/>
        </w:rPr>
        <w:t>Guide to Enactment and Interpretation of the Model Law</w:t>
      </w:r>
    </w:p>
    <w:p w14:paraId="7E9987DD" w14:textId="62FE26F0" w:rsidR="00A357A0" w:rsidRPr="003E502D" w:rsidRDefault="00A357A0" w:rsidP="0096037F">
      <w:pPr>
        <w:pStyle w:val="ListParagraph"/>
        <w:numPr>
          <w:ilvl w:val="0"/>
          <w:numId w:val="4"/>
        </w:numPr>
        <w:spacing w:line="360" w:lineRule="auto"/>
        <w:rPr>
          <w:rFonts w:ascii="Arial" w:hAnsi="Arial" w:cs="Arial"/>
        </w:rPr>
      </w:pPr>
      <w:r w:rsidRPr="003E502D">
        <w:t>UNCITRAL Practice Guide on Cross-Border Insolvency Cooperation</w:t>
      </w:r>
    </w:p>
    <w:p w14:paraId="6017DC69" w14:textId="0B44DB4D" w:rsidR="0096037F" w:rsidRPr="003E502D" w:rsidRDefault="0096037F" w:rsidP="0096037F">
      <w:pPr>
        <w:pStyle w:val="ListParagraph"/>
        <w:numPr>
          <w:ilvl w:val="0"/>
          <w:numId w:val="4"/>
        </w:numPr>
        <w:spacing w:line="360" w:lineRule="auto"/>
        <w:rPr>
          <w:rFonts w:ascii="Arial" w:hAnsi="Arial" w:cs="Arial"/>
        </w:rPr>
      </w:pPr>
      <w:r w:rsidRPr="003E502D">
        <w:rPr>
          <w:rFonts w:ascii="Arial" w:hAnsi="Arial" w:cs="Arial"/>
        </w:rPr>
        <w:t>EU Cross-Border Insolvency Court-to-court Cooperation Principles and Guidelines</w:t>
      </w:r>
    </w:p>
    <w:p w14:paraId="7FEEC97D" w14:textId="568018D1" w:rsidR="00FC6D1F" w:rsidRPr="003E502D" w:rsidRDefault="00FC6D1F" w:rsidP="0096037F">
      <w:pPr>
        <w:pStyle w:val="ListParagraph"/>
        <w:numPr>
          <w:ilvl w:val="0"/>
          <w:numId w:val="4"/>
        </w:numPr>
        <w:spacing w:line="360" w:lineRule="auto"/>
        <w:rPr>
          <w:rFonts w:ascii="Arial" w:hAnsi="Arial" w:cs="Arial"/>
        </w:rPr>
      </w:pPr>
      <w:r w:rsidRPr="003E502D">
        <w:rPr>
          <w:rFonts w:ascii="Arial" w:hAnsi="Arial" w:cs="Arial"/>
        </w:rPr>
        <w:t>Hague Choice of Court Convention</w:t>
      </w:r>
    </w:p>
    <w:p w14:paraId="65305B2E" w14:textId="12F61EF3" w:rsidR="00A357A0" w:rsidRPr="003E502D" w:rsidRDefault="00A357A0" w:rsidP="0096037F">
      <w:pPr>
        <w:pStyle w:val="ListParagraph"/>
        <w:numPr>
          <w:ilvl w:val="0"/>
          <w:numId w:val="4"/>
        </w:numPr>
        <w:spacing w:line="360" w:lineRule="auto"/>
        <w:rPr>
          <w:rFonts w:ascii="Arial" w:hAnsi="Arial" w:cs="Arial"/>
        </w:rPr>
      </w:pPr>
      <w:r w:rsidRPr="003E502D">
        <w:rPr>
          <w:rFonts w:ascii="Arial" w:hAnsi="Arial" w:cs="Arial"/>
        </w:rPr>
        <w:t>Singapore Convention on Mediation</w:t>
      </w:r>
    </w:p>
    <w:p w14:paraId="488F03B9" w14:textId="318E9E0F" w:rsidR="00FC6D1F" w:rsidRPr="003E502D" w:rsidRDefault="00FC6D1F" w:rsidP="0096037F">
      <w:pPr>
        <w:pStyle w:val="ListParagraph"/>
        <w:numPr>
          <w:ilvl w:val="0"/>
          <w:numId w:val="4"/>
        </w:numPr>
        <w:spacing w:line="360" w:lineRule="auto"/>
        <w:rPr>
          <w:rFonts w:ascii="Arial" w:hAnsi="Arial" w:cs="Arial"/>
        </w:rPr>
      </w:pPr>
      <w:r w:rsidRPr="003E502D">
        <w:rPr>
          <w:rFonts w:ascii="Arial" w:hAnsi="Arial" w:cs="Arial"/>
          <w:i/>
          <w:iCs/>
        </w:rPr>
        <w:t>China Fishery Group Ltd</w:t>
      </w:r>
      <w:r w:rsidRPr="003E502D">
        <w:rPr>
          <w:rFonts w:ascii="Arial" w:hAnsi="Arial" w:cs="Arial"/>
        </w:rPr>
        <w:t xml:space="preserve"> [2017] HKEC 2174</w:t>
      </w:r>
    </w:p>
    <w:p w14:paraId="30E1147C" w14:textId="0408C91C" w:rsidR="0096037F" w:rsidRPr="003E502D" w:rsidRDefault="0096037F" w:rsidP="0096037F">
      <w:pPr>
        <w:pStyle w:val="ListParagraph"/>
        <w:numPr>
          <w:ilvl w:val="0"/>
          <w:numId w:val="4"/>
        </w:numPr>
        <w:spacing w:line="360" w:lineRule="auto"/>
        <w:rPr>
          <w:rFonts w:ascii="Arial" w:hAnsi="Arial" w:cs="Arial"/>
        </w:rPr>
      </w:pPr>
      <w:r w:rsidRPr="003E502D">
        <w:rPr>
          <w:rFonts w:ascii="Arial" w:hAnsi="Arial" w:cs="Arial"/>
          <w:i/>
          <w:iCs/>
        </w:rPr>
        <w:t>Re Zetta Jet</w:t>
      </w:r>
      <w:r w:rsidRPr="003E502D">
        <w:rPr>
          <w:rFonts w:ascii="Arial" w:hAnsi="Arial" w:cs="Arial"/>
        </w:rPr>
        <w:t xml:space="preserve"> [2018] 4 SLR 801</w:t>
      </w:r>
    </w:p>
    <w:p w14:paraId="62CBC9B0" w14:textId="3F055A5A" w:rsidR="0096037F" w:rsidRPr="003E502D" w:rsidRDefault="0096037F" w:rsidP="0096037F">
      <w:pPr>
        <w:pStyle w:val="ListParagraph"/>
        <w:numPr>
          <w:ilvl w:val="0"/>
          <w:numId w:val="4"/>
        </w:numPr>
        <w:spacing w:line="360" w:lineRule="auto"/>
        <w:rPr>
          <w:rFonts w:ascii="Arial" w:hAnsi="Arial" w:cs="Arial"/>
        </w:rPr>
      </w:pPr>
      <w:r w:rsidRPr="003E502D">
        <w:rPr>
          <w:rFonts w:ascii="Arial" w:hAnsi="Arial" w:cs="Arial"/>
          <w:i/>
          <w:iCs/>
        </w:rPr>
        <w:t xml:space="preserve">Re </w:t>
      </w:r>
      <w:proofErr w:type="spellStart"/>
      <w:r w:rsidRPr="003E502D">
        <w:rPr>
          <w:rFonts w:ascii="Arial" w:hAnsi="Arial" w:cs="Arial"/>
          <w:i/>
          <w:iCs/>
        </w:rPr>
        <w:t>Taisoo</w:t>
      </w:r>
      <w:proofErr w:type="spellEnd"/>
      <w:r w:rsidRPr="003E502D">
        <w:rPr>
          <w:rFonts w:ascii="Arial" w:hAnsi="Arial" w:cs="Arial"/>
          <w:i/>
          <w:iCs/>
        </w:rPr>
        <w:t xml:space="preserve"> Suk</w:t>
      </w:r>
      <w:r w:rsidRPr="003E502D">
        <w:rPr>
          <w:rFonts w:ascii="Arial" w:hAnsi="Arial" w:cs="Arial"/>
        </w:rPr>
        <w:t xml:space="preserve"> [2016] SGHC 195</w:t>
      </w:r>
    </w:p>
    <w:p w14:paraId="1F0BD289" w14:textId="74ADA58F" w:rsidR="0096037F" w:rsidRPr="003E502D" w:rsidRDefault="0096037F" w:rsidP="0096037F">
      <w:pPr>
        <w:pStyle w:val="ListParagraph"/>
        <w:numPr>
          <w:ilvl w:val="0"/>
          <w:numId w:val="4"/>
        </w:numPr>
        <w:spacing w:line="360" w:lineRule="auto"/>
        <w:rPr>
          <w:rFonts w:ascii="Arial" w:hAnsi="Arial" w:cs="Arial"/>
          <w:i/>
          <w:iCs/>
        </w:rPr>
      </w:pPr>
      <w:r w:rsidRPr="003E502D">
        <w:rPr>
          <w:rFonts w:ascii="Arial" w:hAnsi="Arial" w:cs="Arial"/>
          <w:i/>
          <w:iCs/>
        </w:rPr>
        <w:t>Re Nortel Networks Corporation et al.</w:t>
      </w:r>
    </w:p>
    <w:p w14:paraId="38399C99" w14:textId="33C37D6D" w:rsidR="0096037F" w:rsidRPr="003E502D" w:rsidRDefault="0096037F" w:rsidP="00FC6D1F">
      <w:pPr>
        <w:pStyle w:val="ListParagraph"/>
        <w:numPr>
          <w:ilvl w:val="0"/>
          <w:numId w:val="4"/>
        </w:numPr>
        <w:spacing w:line="360" w:lineRule="auto"/>
        <w:rPr>
          <w:rFonts w:ascii="Arial" w:hAnsi="Arial" w:cs="Arial"/>
        </w:rPr>
      </w:pPr>
      <w:r w:rsidRPr="003E502D">
        <w:rPr>
          <w:rFonts w:ascii="Arial" w:hAnsi="Arial" w:cs="Arial"/>
        </w:rPr>
        <w:t>Steven Chong J</w:t>
      </w:r>
      <w:r w:rsidR="003E502D">
        <w:rPr>
          <w:rFonts w:ascii="Arial" w:hAnsi="Arial" w:cs="Arial"/>
        </w:rPr>
        <w:t xml:space="preserve">udge of </w:t>
      </w:r>
      <w:r w:rsidRPr="003E502D">
        <w:rPr>
          <w:rFonts w:ascii="Arial" w:hAnsi="Arial" w:cs="Arial"/>
        </w:rPr>
        <w:t>A</w:t>
      </w:r>
      <w:r w:rsidR="003E502D">
        <w:rPr>
          <w:rFonts w:ascii="Arial" w:hAnsi="Arial" w:cs="Arial"/>
        </w:rPr>
        <w:t>ppeal</w:t>
      </w:r>
      <w:r w:rsidRPr="003E502D">
        <w:rPr>
          <w:rFonts w:ascii="Arial" w:hAnsi="Arial" w:cs="Arial"/>
        </w:rPr>
        <w:t>, “</w:t>
      </w:r>
      <w:r w:rsidRPr="003E502D">
        <w:rPr>
          <w:rFonts w:ascii="Arial" w:hAnsi="Arial" w:cs="Arial"/>
          <w:i/>
          <w:iCs/>
        </w:rPr>
        <w:t>The Judicial Insolvency Network: A ready response in an imperfect world”</w:t>
      </w:r>
      <w:r w:rsidRPr="003E502D">
        <w:rPr>
          <w:rFonts w:ascii="Arial" w:hAnsi="Arial" w:cs="Arial"/>
        </w:rPr>
        <w:t>.</w:t>
      </w:r>
    </w:p>
    <w:p w14:paraId="1EB14C8D" w14:textId="738C8F84" w:rsidR="00FC6D1F" w:rsidRPr="003E502D" w:rsidRDefault="00FC6D1F" w:rsidP="00FC6D1F">
      <w:pPr>
        <w:pStyle w:val="ListParagraph"/>
        <w:numPr>
          <w:ilvl w:val="0"/>
          <w:numId w:val="4"/>
        </w:numPr>
        <w:spacing w:line="360" w:lineRule="auto"/>
        <w:rPr>
          <w:rFonts w:ascii="Arial" w:hAnsi="Arial" w:cs="Arial"/>
        </w:rPr>
      </w:pPr>
      <w:r w:rsidRPr="003E502D">
        <w:rPr>
          <w:rFonts w:ascii="Arial" w:hAnsi="Arial" w:cs="Arial"/>
        </w:rPr>
        <w:t>E Lee and EC Ip,</w:t>
      </w:r>
      <w:r w:rsidRPr="003E502D">
        <w:rPr>
          <w:rFonts w:ascii="Arial" w:hAnsi="Arial" w:cs="Arial"/>
          <w:i/>
          <w:iCs/>
        </w:rPr>
        <w:t xml:space="preserve"> “Judicial diplomacy in the Asia-Pacific: theory and evidence from the Singapore-initiated transnational judicial insolvency network”</w:t>
      </w:r>
    </w:p>
    <w:p w14:paraId="55276383" w14:textId="56F16EB4" w:rsidR="00FC6D1F" w:rsidRPr="003E502D" w:rsidRDefault="00FC6D1F" w:rsidP="00FC6D1F">
      <w:pPr>
        <w:pStyle w:val="ListParagraph"/>
        <w:numPr>
          <w:ilvl w:val="0"/>
          <w:numId w:val="4"/>
        </w:numPr>
        <w:spacing w:line="360" w:lineRule="auto"/>
        <w:rPr>
          <w:rFonts w:ascii="Arial" w:hAnsi="Arial" w:cs="Arial"/>
        </w:rPr>
      </w:pPr>
      <w:r w:rsidRPr="003E502D">
        <w:rPr>
          <w:rFonts w:ascii="Arial" w:hAnsi="Arial" w:cs="Arial"/>
        </w:rPr>
        <w:t xml:space="preserve">A Kumar &amp; WL Koh, </w:t>
      </w:r>
      <w:r w:rsidRPr="003E502D">
        <w:rPr>
          <w:rFonts w:ascii="Arial" w:hAnsi="Arial" w:cs="Arial"/>
          <w:i/>
          <w:iCs/>
        </w:rPr>
        <w:t>Court-ordered mediation in restructuring proceedings: the next reform?</w:t>
      </w:r>
    </w:p>
    <w:p w14:paraId="447BE34B" w14:textId="77777777" w:rsidR="00FC6D1F" w:rsidRPr="003E502D" w:rsidRDefault="00FC6D1F" w:rsidP="00FC6D1F">
      <w:pPr>
        <w:pStyle w:val="ListParagraph"/>
        <w:spacing w:line="360" w:lineRule="auto"/>
        <w:ind w:left="1440"/>
        <w:rPr>
          <w:rFonts w:ascii="Arial" w:hAnsi="Arial" w:cs="Arial"/>
        </w:rPr>
      </w:pPr>
    </w:p>
    <w:p w14:paraId="068BB208" w14:textId="77777777" w:rsidR="0096037F" w:rsidRPr="003E502D" w:rsidRDefault="0096037F" w:rsidP="0096037F">
      <w:pPr>
        <w:spacing w:line="360" w:lineRule="auto"/>
        <w:ind w:left="1080"/>
        <w:rPr>
          <w:rFonts w:ascii="Arial" w:hAnsi="Arial" w:cs="Arial"/>
          <w:sz w:val="24"/>
          <w:szCs w:val="24"/>
        </w:rPr>
      </w:pPr>
    </w:p>
    <w:p w14:paraId="238EFDBE" w14:textId="03BB47F0" w:rsidR="007430FF" w:rsidRPr="003E502D" w:rsidRDefault="007430FF" w:rsidP="006C04E7">
      <w:pPr>
        <w:spacing w:line="360" w:lineRule="auto"/>
        <w:rPr>
          <w:rFonts w:ascii="Arial" w:hAnsi="Arial" w:cs="Arial"/>
          <w:sz w:val="24"/>
          <w:szCs w:val="24"/>
        </w:rPr>
      </w:pPr>
    </w:p>
    <w:sectPr w:rsidR="007430FF" w:rsidRPr="003E50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157E" w14:textId="77777777" w:rsidR="00CD769A" w:rsidRDefault="00CD769A" w:rsidP="0075714B">
      <w:r>
        <w:separator/>
      </w:r>
    </w:p>
  </w:endnote>
  <w:endnote w:type="continuationSeparator" w:id="0">
    <w:p w14:paraId="1DED327E" w14:textId="77777777" w:rsidR="00CD769A" w:rsidRDefault="00CD769A" w:rsidP="0075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0D03" w14:textId="77777777" w:rsidR="00CD769A" w:rsidRDefault="00CD769A" w:rsidP="0075714B">
      <w:r>
        <w:separator/>
      </w:r>
    </w:p>
  </w:footnote>
  <w:footnote w:type="continuationSeparator" w:id="0">
    <w:p w14:paraId="7108C55F" w14:textId="77777777" w:rsidR="00CD769A" w:rsidRDefault="00CD769A" w:rsidP="0075714B">
      <w:r>
        <w:continuationSeparator/>
      </w:r>
    </w:p>
  </w:footnote>
  <w:footnote w:id="1">
    <w:p w14:paraId="4E6000CD" w14:textId="5E74E4B2" w:rsidR="00215F1F" w:rsidRPr="00215F1F" w:rsidRDefault="00215F1F" w:rsidP="00215F1F">
      <w:pPr>
        <w:autoSpaceDE w:val="0"/>
        <w:autoSpaceDN w:val="0"/>
        <w:adjustRightInd w:val="0"/>
        <w:rPr>
          <w:i/>
          <w:iCs/>
          <w:sz w:val="20"/>
          <w:szCs w:val="20"/>
          <w:lang w:val="en-SG"/>
          <w14:ligatures w14:val="standardContextual"/>
        </w:rPr>
      </w:pPr>
      <w:r>
        <w:rPr>
          <w:rStyle w:val="FootnoteReference"/>
        </w:rPr>
        <w:footnoteRef/>
      </w:r>
      <w:r>
        <w:t xml:space="preserve"> </w:t>
      </w:r>
      <w:r w:rsidRPr="00CC39BC">
        <w:rPr>
          <w:sz w:val="20"/>
          <w:szCs w:val="20"/>
        </w:rPr>
        <w:t xml:space="preserve">In </w:t>
      </w:r>
      <w:bookmarkStart w:id="0" w:name="_Hlk158889804"/>
      <w:r w:rsidRPr="00FC0338">
        <w:rPr>
          <w:i/>
          <w:iCs/>
          <w:sz w:val="20"/>
          <w:szCs w:val="20"/>
        </w:rPr>
        <w:t>China Fishery Group Ltd</w:t>
      </w:r>
      <w:r w:rsidRPr="00CC39BC">
        <w:rPr>
          <w:sz w:val="20"/>
          <w:szCs w:val="20"/>
        </w:rPr>
        <w:t xml:space="preserve"> [2017] HKEC 2174</w:t>
      </w:r>
      <w:bookmarkEnd w:id="0"/>
      <w:r w:rsidRPr="00CC39BC">
        <w:rPr>
          <w:sz w:val="20"/>
          <w:szCs w:val="20"/>
        </w:rPr>
        <w:t>, Justice Jonathan Harris</w:t>
      </w:r>
      <w:r w:rsidR="00DD23EC">
        <w:rPr>
          <w:sz w:val="20"/>
          <w:szCs w:val="20"/>
        </w:rPr>
        <w:t xml:space="preserve"> of the Hong Kong Court</w:t>
      </w:r>
      <w:r w:rsidRPr="00CC39BC">
        <w:rPr>
          <w:sz w:val="20"/>
          <w:szCs w:val="20"/>
        </w:rPr>
        <w:t xml:space="preserve"> remarked that: </w:t>
      </w:r>
      <w:r>
        <w:rPr>
          <w:sz w:val="20"/>
          <w:szCs w:val="20"/>
        </w:rPr>
        <w:t>“</w:t>
      </w:r>
      <w:r w:rsidRPr="00CC39BC">
        <w:rPr>
          <w:i/>
          <w:iCs/>
          <w:sz w:val="20"/>
          <w:szCs w:val="20"/>
          <w:lang w:val="en-SG"/>
          <w14:ligatures w14:val="standardContextual"/>
        </w:rPr>
        <w:t>If the Court in New York considers that it is desirable that they are released to the United States trustee this is a matter to which I would have regard and, if it were considered helpful, the parties can consider a protocol</w:t>
      </w:r>
      <w:r>
        <w:rPr>
          <w:i/>
          <w:iCs/>
          <w:sz w:val="20"/>
          <w:szCs w:val="20"/>
          <w:lang w:val="en-SG"/>
          <w14:ligatures w14:val="standardContextual"/>
        </w:rPr>
        <w:t xml:space="preserve"> </w:t>
      </w:r>
      <w:r w:rsidRPr="00CC39BC">
        <w:rPr>
          <w:i/>
          <w:iCs/>
          <w:sz w:val="20"/>
          <w:szCs w:val="20"/>
          <w:lang w:val="en-SG"/>
          <w14:ligatures w14:val="standardContextual"/>
        </w:rPr>
        <w:t>for expediting this process. They might have regard to the JIN Guidelines.</w:t>
      </w:r>
      <w:r w:rsidRPr="00CC39BC">
        <w:rPr>
          <w:sz w:val="20"/>
          <w:szCs w:val="20"/>
          <w:lang w:val="en-SG"/>
          <w14:ligatures w14:val="standardContextual"/>
        </w:rPr>
        <w:t>” This is even though Hong Kong has not adopted the Guidelines.</w:t>
      </w:r>
    </w:p>
  </w:footnote>
  <w:footnote w:id="2">
    <w:p w14:paraId="4B67EB86" w14:textId="4784173E" w:rsidR="00CB3493" w:rsidRDefault="00CB3493">
      <w:pPr>
        <w:pStyle w:val="FootnoteText"/>
      </w:pPr>
      <w:r>
        <w:rPr>
          <w:rStyle w:val="FootnoteReference"/>
        </w:rPr>
        <w:footnoteRef/>
      </w:r>
      <w:r>
        <w:t xml:space="preserve"> See for e.g. Article 8 of the Model Law and Guideline 6 of the Guidelines.</w:t>
      </w:r>
    </w:p>
  </w:footnote>
  <w:footnote w:id="3">
    <w:p w14:paraId="4FF5D843" w14:textId="36AAD469" w:rsidR="00CB3493" w:rsidRDefault="00CB3493">
      <w:pPr>
        <w:pStyle w:val="FootnoteText"/>
      </w:pPr>
      <w:r>
        <w:rPr>
          <w:rStyle w:val="FootnoteReference"/>
        </w:rPr>
        <w:footnoteRef/>
      </w:r>
      <w:r>
        <w:t xml:space="preserve"> See Articles </w:t>
      </w:r>
      <w:r w:rsidR="00CD4E2E">
        <w:t xml:space="preserve">19, </w:t>
      </w:r>
      <w:r>
        <w:t>20 and 21 of the Model Law.</w:t>
      </w:r>
    </w:p>
  </w:footnote>
  <w:footnote w:id="4">
    <w:p w14:paraId="37448919" w14:textId="3BF6F54F" w:rsidR="00CD4E2E" w:rsidRDefault="00CD4E2E">
      <w:pPr>
        <w:pStyle w:val="FootnoteText"/>
      </w:pPr>
      <w:r>
        <w:rPr>
          <w:rStyle w:val="FootnoteReference"/>
        </w:rPr>
        <w:footnoteRef/>
      </w:r>
      <w:r>
        <w:t xml:space="preserve"> Article 25 of the Model Law provide for cooperation and coordination between Courts (and between Courts and foreign representatives)</w:t>
      </w:r>
      <w:r w:rsidR="009A50B9">
        <w:t xml:space="preserve">. Although Article 27 has </w:t>
      </w:r>
      <w:r>
        <w:t>relatively sparse content on the nature of that cooperation and cooperation</w:t>
      </w:r>
      <w:r w:rsidR="009A50B9">
        <w:t>, there was further elaboration in the UNCITRAL Practice Guide on Cross-Border Insolvency Cooperation (the “Practice Guide”). Para 10 of the Practice Guide encourages the adoption of Court-to-Court Guidelines “</w:t>
      </w:r>
      <w:r w:rsidR="009A50B9" w:rsidRPr="009A50B9">
        <w:rPr>
          <w:i/>
          <w:iCs/>
        </w:rPr>
        <w:t>to coordinate their activities, foster efficiency and ensure that stakeholders in each State are treated consistently.”</w:t>
      </w:r>
    </w:p>
  </w:footnote>
  <w:footnote w:id="5">
    <w:p w14:paraId="3C89C972" w14:textId="2393F592" w:rsidR="00854541" w:rsidRDefault="00854541">
      <w:pPr>
        <w:pStyle w:val="FootnoteText"/>
      </w:pPr>
      <w:r>
        <w:rPr>
          <w:rStyle w:val="FootnoteReference"/>
        </w:rPr>
        <w:footnoteRef/>
      </w:r>
      <w:r>
        <w:t xml:space="preserve"> See the similarity between Principle 4 of the EU </w:t>
      </w:r>
      <w:proofErr w:type="spellStart"/>
      <w:r>
        <w:t>JudgeCo</w:t>
      </w:r>
      <w:proofErr w:type="spellEnd"/>
      <w:r>
        <w:t xml:space="preserve"> Principles and Introduction </w:t>
      </w:r>
      <w:proofErr w:type="gramStart"/>
      <w:r>
        <w:t>para C</w:t>
      </w:r>
      <w:proofErr w:type="gramEnd"/>
      <w:r>
        <w:t xml:space="preserve"> of the Guidelines.</w:t>
      </w:r>
    </w:p>
  </w:footnote>
  <w:footnote w:id="6">
    <w:p w14:paraId="4C098910" w14:textId="330A3BCF" w:rsidR="00426194" w:rsidRPr="007E6BF1" w:rsidRDefault="00426194" w:rsidP="00742CDD">
      <w:pPr>
        <w:pStyle w:val="Heading3"/>
        <w:shd w:val="clear" w:color="auto" w:fill="FFFFFF"/>
        <w:spacing w:before="0" w:after="120"/>
        <w:rPr>
          <w:rFonts w:ascii="Calibri" w:eastAsiaTheme="minorEastAsia" w:hAnsi="Calibri" w:cs="Calibri"/>
          <w:color w:val="auto"/>
          <w:kern w:val="0"/>
          <w:sz w:val="20"/>
          <w:szCs w:val="20"/>
          <w14:ligatures w14:val="none"/>
        </w:rPr>
      </w:pPr>
      <w:r>
        <w:rPr>
          <w:rStyle w:val="FootnoteReference"/>
        </w:rPr>
        <w:footnoteRef/>
      </w:r>
      <w:r>
        <w:t xml:space="preserve"> </w:t>
      </w:r>
      <w:r w:rsidRPr="007E6BF1">
        <w:rPr>
          <w:rFonts w:ascii="Calibri" w:eastAsiaTheme="minorEastAsia" w:hAnsi="Calibri" w:cs="Calibri"/>
          <w:color w:val="auto"/>
          <w:kern w:val="0"/>
          <w:sz w:val="20"/>
          <w:szCs w:val="20"/>
          <w14:ligatures w14:val="none"/>
        </w:rPr>
        <w:t xml:space="preserve">See </w:t>
      </w:r>
      <w:r w:rsidR="00742CDD" w:rsidRPr="007E6BF1">
        <w:rPr>
          <w:rFonts w:ascii="Calibri" w:eastAsiaTheme="minorEastAsia" w:hAnsi="Calibri" w:cs="Calibri"/>
          <w:color w:val="auto"/>
          <w:kern w:val="0"/>
          <w:sz w:val="20"/>
          <w:szCs w:val="20"/>
          <w14:ligatures w14:val="none"/>
        </w:rPr>
        <w:t xml:space="preserve">6 January 2021 article by A </w:t>
      </w:r>
      <w:r w:rsidRPr="007E6BF1">
        <w:rPr>
          <w:rFonts w:ascii="Calibri" w:eastAsiaTheme="minorEastAsia" w:hAnsi="Calibri" w:cs="Calibri"/>
          <w:color w:val="auto"/>
          <w:kern w:val="0"/>
          <w:sz w:val="20"/>
          <w:szCs w:val="20"/>
          <w14:ligatures w14:val="none"/>
        </w:rPr>
        <w:t xml:space="preserve">Kumar &amp; </w:t>
      </w:r>
      <w:r w:rsidR="00742CDD" w:rsidRPr="007E6BF1">
        <w:rPr>
          <w:rFonts w:ascii="Calibri" w:eastAsiaTheme="minorEastAsia" w:hAnsi="Calibri" w:cs="Calibri"/>
          <w:color w:val="auto"/>
          <w:kern w:val="0"/>
          <w:sz w:val="20"/>
          <w:szCs w:val="20"/>
          <w14:ligatures w14:val="none"/>
        </w:rPr>
        <w:t xml:space="preserve">WL </w:t>
      </w:r>
      <w:r w:rsidRPr="007E6BF1">
        <w:rPr>
          <w:rFonts w:ascii="Calibri" w:eastAsiaTheme="minorEastAsia" w:hAnsi="Calibri" w:cs="Calibri"/>
          <w:color w:val="auto"/>
          <w:kern w:val="0"/>
          <w:sz w:val="20"/>
          <w:szCs w:val="20"/>
          <w14:ligatures w14:val="none"/>
        </w:rPr>
        <w:t xml:space="preserve">Koh, </w:t>
      </w:r>
      <w:r w:rsidRPr="007E6BF1">
        <w:rPr>
          <w:rFonts w:ascii="Calibri" w:eastAsiaTheme="minorEastAsia" w:hAnsi="Calibri" w:cs="Calibri"/>
          <w:i/>
          <w:iCs/>
          <w:color w:val="auto"/>
          <w:kern w:val="0"/>
          <w:sz w:val="20"/>
          <w:szCs w:val="20"/>
          <w14:ligatures w14:val="none"/>
        </w:rPr>
        <w:t>Court-ordered mediation in restructuring proceedings: the next reform?</w:t>
      </w:r>
    </w:p>
  </w:footnote>
  <w:footnote w:id="7">
    <w:p w14:paraId="44A63510" w14:textId="05404392" w:rsidR="00A80F57" w:rsidRPr="00A80F57" w:rsidRDefault="00A80F57">
      <w:pPr>
        <w:pStyle w:val="FootnoteText"/>
      </w:pPr>
      <w:r>
        <w:rPr>
          <w:rStyle w:val="FootnoteReference"/>
        </w:rPr>
        <w:footnoteRef/>
      </w:r>
      <w:r>
        <w:t xml:space="preserve"> This is a multi-lateral treaty that allows </w:t>
      </w:r>
      <w:r w:rsidRPr="00A80F57">
        <w:t xml:space="preserve">the </w:t>
      </w:r>
      <w:r w:rsidRPr="00A80F57">
        <w:rPr>
          <w:color w:val="4A4A4A"/>
          <w:shd w:val="clear" w:color="auto" w:fill="FFFFFF"/>
        </w:rPr>
        <w:t>enforcement and invocation of international settlement agreements resulting from mediation.</w:t>
      </w:r>
      <w:r>
        <w:rPr>
          <w:color w:val="4A4A4A"/>
          <w:shd w:val="clear" w:color="auto" w:fill="FFFFFF"/>
        </w:rPr>
        <w:t xml:space="preserve"> As of 12 Feb</w:t>
      </w:r>
      <w:r w:rsidR="00742CDD">
        <w:rPr>
          <w:color w:val="4A4A4A"/>
          <w:shd w:val="clear" w:color="auto" w:fill="FFFFFF"/>
        </w:rPr>
        <w:t>ruary</w:t>
      </w:r>
      <w:r>
        <w:rPr>
          <w:color w:val="4A4A4A"/>
          <w:shd w:val="clear" w:color="auto" w:fill="FFFFFF"/>
        </w:rPr>
        <w:t xml:space="preserve"> 2024, there are 55 signatories to this Convention including the United States and China.</w:t>
      </w:r>
    </w:p>
  </w:footnote>
  <w:footnote w:id="8">
    <w:p w14:paraId="1AE892DA" w14:textId="62360EA0" w:rsidR="0066580A" w:rsidRDefault="0066580A">
      <w:pPr>
        <w:pStyle w:val="FootnoteText"/>
      </w:pPr>
      <w:r>
        <w:rPr>
          <w:rStyle w:val="FootnoteReference"/>
        </w:rPr>
        <w:footnoteRef/>
      </w:r>
      <w:r>
        <w:t xml:space="preserve"> </w:t>
      </w:r>
      <w:r w:rsidR="007D0C67">
        <w:t xml:space="preserve">See E Lee and EC Ip, </w:t>
      </w:r>
      <w:r w:rsidR="007D0C67" w:rsidRPr="007D0C67">
        <w:rPr>
          <w:i/>
          <w:iCs/>
          <w:color w:val="333333"/>
        </w:rPr>
        <w:t>Judicial diplomacy in the Asia-Pacific: theory and evidence from the Singapore-initiated transnational judicial insolvency network</w:t>
      </w:r>
      <w:r w:rsidR="007D0C67">
        <w:rPr>
          <w:i/>
          <w:iCs/>
          <w:color w:val="333333"/>
        </w:rPr>
        <w:t xml:space="preserve">. Cf </w:t>
      </w:r>
      <w:r w:rsidRPr="0066580A">
        <w:t>Guideline 6 which provides that in the interpretation of the Guidelines or any protocol or order under the Guidelines, due regard shall be given to their international origin and to the need to promote good faith and uniformity in the application</w:t>
      </w:r>
      <w:r>
        <w:t>.</w:t>
      </w:r>
    </w:p>
  </w:footnote>
  <w:footnote w:id="9">
    <w:p w14:paraId="631E6AF6" w14:textId="26066994" w:rsidR="001B54EB" w:rsidRPr="001B54EB" w:rsidRDefault="001B54EB">
      <w:pPr>
        <w:pStyle w:val="FootnoteText"/>
      </w:pPr>
      <w:r>
        <w:rPr>
          <w:rStyle w:val="FootnoteReference"/>
        </w:rPr>
        <w:footnoteRef/>
      </w:r>
      <w:r>
        <w:t xml:space="preserve"> This is a</w:t>
      </w:r>
      <w:r w:rsidR="00EA09B4">
        <w:t>n</w:t>
      </w:r>
      <w:r>
        <w:t xml:space="preserve"> oft</w:t>
      </w:r>
      <w:r w:rsidR="00481807">
        <w:t>-</w:t>
      </w:r>
      <w:r>
        <w:t xml:space="preserve">repeated statement made by the Singapore Government. See for e.g. statement made by </w:t>
      </w:r>
      <w:r w:rsidRPr="001B54EB">
        <w:rPr>
          <w:color w:val="212529"/>
          <w:shd w:val="clear" w:color="auto" w:fill="FFFFFF"/>
        </w:rPr>
        <w:t>Foreign Minister Vivian Balakrishnan on 2 February 2018 when Singapore assumed the position of chair of ASEAN</w:t>
      </w:r>
      <w:r>
        <w:rPr>
          <w:color w:val="212529"/>
          <w:shd w:val="clear" w:color="auto" w:fill="FFFFFF"/>
        </w:rPr>
        <w:t>.</w:t>
      </w:r>
    </w:p>
  </w:footnote>
  <w:footnote w:id="10">
    <w:p w14:paraId="5BEFE3CF" w14:textId="0554DEAB" w:rsidR="00742CDD" w:rsidRPr="00742CDD" w:rsidRDefault="00742CDD">
      <w:pPr>
        <w:pStyle w:val="FootnoteText"/>
      </w:pPr>
      <w:r>
        <w:rPr>
          <w:rStyle w:val="FootnoteReference"/>
        </w:rPr>
        <w:footnoteRef/>
      </w:r>
      <w:r>
        <w:t xml:space="preserve"> </w:t>
      </w:r>
      <w:r w:rsidRPr="00742CDD">
        <w:t xml:space="preserve">This may be one of the reasons why the SICC has not gain much traction in these countries. Notably, none of them have acceded to the Hague Choice of Court Convention which would have paved the way for the enforcement of SICC judgments in these countries. </w:t>
      </w:r>
      <w:r>
        <w:rPr>
          <w:color w:val="202122"/>
          <w:shd w:val="clear" w:color="auto" w:fill="FFFFFF"/>
        </w:rPr>
        <w:t>U</w:t>
      </w:r>
      <w:r w:rsidRPr="00742CDD">
        <w:rPr>
          <w:color w:val="202122"/>
          <w:shd w:val="clear" w:color="auto" w:fill="FFFFFF"/>
        </w:rPr>
        <w:t>nder the Hague Convention</w:t>
      </w:r>
      <w:r>
        <w:rPr>
          <w:color w:val="202122"/>
          <w:shd w:val="clear" w:color="auto" w:fill="FFFFFF"/>
        </w:rPr>
        <w:t>,</w:t>
      </w:r>
      <w:r w:rsidRPr="00742CDD">
        <w:rPr>
          <w:color w:val="202122"/>
          <w:shd w:val="clear" w:color="auto" w:fill="FFFFFF"/>
        </w:rPr>
        <w:t xml:space="preserve"> </w:t>
      </w:r>
      <w:r>
        <w:rPr>
          <w:color w:val="202122"/>
          <w:shd w:val="clear" w:color="auto" w:fill="FFFFFF"/>
        </w:rPr>
        <w:t>j</w:t>
      </w:r>
      <w:r w:rsidRPr="00742CDD">
        <w:rPr>
          <w:color w:val="202122"/>
          <w:shd w:val="clear" w:color="auto" w:fill="FFFFFF"/>
        </w:rPr>
        <w:t xml:space="preserve">udgments by the chosen court must be recognized in all states where the Hague Convention is applicable. Most of the EU, the United States, Mexico, </w:t>
      </w:r>
      <w:proofErr w:type="gramStart"/>
      <w:r w:rsidRPr="00742CDD">
        <w:rPr>
          <w:color w:val="202122"/>
          <w:shd w:val="clear" w:color="auto" w:fill="FFFFFF"/>
        </w:rPr>
        <w:t>China</w:t>
      </w:r>
      <w:proofErr w:type="gramEnd"/>
      <w:r w:rsidRPr="00742CDD">
        <w:rPr>
          <w:color w:val="202122"/>
          <w:shd w:val="clear" w:color="auto" w:fill="FFFFFF"/>
        </w:rPr>
        <w:t xml:space="preserve"> and Singapore are signatories to the Hague Convention.</w:t>
      </w:r>
    </w:p>
  </w:footnote>
  <w:footnote w:id="11">
    <w:p w14:paraId="0DD0D03B" w14:textId="77777777" w:rsidR="0056622D" w:rsidRDefault="0056622D" w:rsidP="0056622D">
      <w:pPr>
        <w:pStyle w:val="FootnoteText"/>
      </w:pPr>
      <w:r>
        <w:rPr>
          <w:rStyle w:val="FootnoteReference"/>
        </w:rPr>
        <w:footnoteRef/>
      </w:r>
      <w:r>
        <w:t xml:space="preserve"> F</w:t>
      </w:r>
      <w:r w:rsidRPr="0056622D">
        <w:t>or other examples of such Memoranda see the Memorandum of Guidance between the Supreme People’s Republic of China and the Supreme Court of Singapore on the Recognition of the Enforcement of Money Judgments in Commercial Cases</w:t>
      </w:r>
      <w:r>
        <w:t xml:space="preserve"> </w:t>
      </w:r>
      <w:proofErr w:type="gramStart"/>
      <w:r>
        <w:t>entered into</w:t>
      </w:r>
      <w:proofErr w:type="gramEnd"/>
      <w:r>
        <w:t xml:space="preserve"> on 31 August 2018.</w:t>
      </w:r>
    </w:p>
  </w:footnote>
  <w:footnote w:id="12">
    <w:p w14:paraId="40AF8712" w14:textId="1948F530" w:rsidR="00B62DFB" w:rsidRPr="00B62DFB" w:rsidRDefault="00B62DFB">
      <w:pPr>
        <w:pStyle w:val="FootnoteText"/>
      </w:pPr>
      <w:r>
        <w:rPr>
          <w:rStyle w:val="FootnoteReference"/>
        </w:rPr>
        <w:footnoteRef/>
      </w:r>
      <w:r>
        <w:t xml:space="preserve"> S</w:t>
      </w:r>
      <w:r w:rsidRPr="00B62DFB">
        <w:t>ee Guideline 4(iii)</w:t>
      </w:r>
    </w:p>
  </w:footnote>
  <w:footnote w:id="13">
    <w:p w14:paraId="12A793B8" w14:textId="7CE3A24E" w:rsidR="000C5E7E" w:rsidRDefault="000C5E7E">
      <w:pPr>
        <w:pStyle w:val="FootnoteText"/>
      </w:pPr>
      <w:r>
        <w:rPr>
          <w:rStyle w:val="FootnoteReference"/>
        </w:rPr>
        <w:footnoteRef/>
      </w:r>
      <w:r>
        <w:t xml:space="preserve"> Article 6 of the Model Law contains the same language. Some guidance may be drawn from the Guide to Enactment and Interpretation of the Model Law which states (at [104]) in relation to Article 6 that: “</w:t>
      </w:r>
      <w:r w:rsidRPr="000C5E7E">
        <w:rPr>
          <w:i/>
          <w:iCs/>
        </w:rPr>
        <w:t>The purpose of the expression “manifestly”, used also in many other international legal texts as a qualifier of the expression “public policy”, is to emphasize that public policy exceptions should be interpreted restrictively and that article 6 is only intended to be invoked under exceptional circumstances concerning matters of fundamental importance for the enacting State.</w:t>
      </w:r>
      <w:r>
        <w:t>”</w:t>
      </w:r>
    </w:p>
  </w:footnote>
  <w:footnote w:id="14">
    <w:p w14:paraId="1A2E6F0E" w14:textId="45765987" w:rsidR="000C5E7E" w:rsidRDefault="000C5E7E">
      <w:pPr>
        <w:pStyle w:val="FootnoteText"/>
      </w:pPr>
      <w:r>
        <w:rPr>
          <w:rStyle w:val="FootnoteReference"/>
        </w:rPr>
        <w:footnoteRef/>
      </w:r>
      <w:r>
        <w:t xml:space="preserve"> The Guide to Enactment and Interpretation of the Model Law acknowledges that the notion of public policy changes from State to State but also p</w:t>
      </w:r>
      <w:r w:rsidR="00DD23EC">
        <w:t>o</w:t>
      </w:r>
      <w:r>
        <w:t>ints out at [103] that “</w:t>
      </w:r>
      <w:r w:rsidRPr="000C5E7E">
        <w:rPr>
          <w:i/>
          <w:iCs/>
        </w:rPr>
        <w:t>a growing number of jurisdictions recognize a dichotomy between the notion of public policy as it applies to domestic affairs, as well as the notion of public policy as it is used in matters of international cooperation and the question of recognition of effects of foreign laws. It is especially in the latter situation that public policy is understood more restrictively than domestic public policy.</w:t>
      </w:r>
      <w:r>
        <w:t>”</w:t>
      </w:r>
    </w:p>
  </w:footnote>
  <w:footnote w:id="15">
    <w:p w14:paraId="435DCAB5" w14:textId="34426835" w:rsidR="0075714B" w:rsidRPr="0075714B" w:rsidRDefault="0075714B">
      <w:pPr>
        <w:pStyle w:val="FootnoteText"/>
      </w:pPr>
      <w:r>
        <w:rPr>
          <w:rStyle w:val="FootnoteReference"/>
        </w:rPr>
        <w:footnoteRef/>
      </w:r>
      <w:r>
        <w:t xml:space="preserve"> One notable difference in the stated objectives of the Guidelines compared with the </w:t>
      </w:r>
      <w:r w:rsidRPr="0075714B">
        <w:t>EU Cross-Border Insolvency Court-to-court Cooperation Principles</w:t>
      </w:r>
      <w:r>
        <w:t xml:space="preserve"> is that the latter provides under Principle 3.2 that “due regard should be given to the interests of creditors, including the need to ensure that similarly ranked creditors are treated equally…”. Such language indicates that an aim to ensure uniform treatment between creditors in different jurisdictions. </w:t>
      </w:r>
      <w:r w:rsidR="00CB3493">
        <w:t>S</w:t>
      </w:r>
      <w:r>
        <w:t>imilar language is missing from the Guidelines</w:t>
      </w:r>
      <w:r w:rsidR="00CB3493">
        <w:t xml:space="preserve"> which instead refers to administering parallel proceedings with a view to “ensuring that relevant stakeholders’ interests are respected.” </w:t>
      </w:r>
      <w:r>
        <w:t xml:space="preserve"> </w:t>
      </w:r>
      <w:r w:rsidR="00CB3493">
        <w:t>I</w:t>
      </w:r>
      <w:r>
        <w:t>t is</w:t>
      </w:r>
      <w:r w:rsidR="00CB3493">
        <w:t xml:space="preserve"> however</w:t>
      </w:r>
      <w:r>
        <w:t xml:space="preserve"> clear that </w:t>
      </w:r>
      <w:r w:rsidR="00CB3493">
        <w:t>uniformity of treatment is an objective that underpins the Guidelines</w:t>
      </w:r>
      <w:r w:rsidR="00622773">
        <w:t xml:space="preserve">. The promulgation of the Guidelines </w:t>
      </w:r>
      <w:r w:rsidR="001019EE">
        <w:t>i</w:t>
      </w:r>
      <w:r w:rsidR="00622773">
        <w:t xml:space="preserve">s heralded by the decision of the Singapore High Court in </w:t>
      </w:r>
      <w:r w:rsidR="00622773" w:rsidRPr="00622773">
        <w:rPr>
          <w:i/>
          <w:iCs/>
        </w:rPr>
        <w:t xml:space="preserve">Re </w:t>
      </w:r>
      <w:proofErr w:type="spellStart"/>
      <w:r w:rsidR="00622773" w:rsidRPr="00622773">
        <w:rPr>
          <w:i/>
          <w:iCs/>
        </w:rPr>
        <w:t>Taisoo</w:t>
      </w:r>
      <w:proofErr w:type="spellEnd"/>
      <w:r w:rsidR="00622773" w:rsidRPr="00622773">
        <w:rPr>
          <w:i/>
          <w:iCs/>
        </w:rPr>
        <w:t xml:space="preserve"> Suk</w:t>
      </w:r>
      <w:r w:rsidR="00622773">
        <w:t xml:space="preserve"> [2016] SGHC 195, a decision to </w:t>
      </w:r>
      <w:proofErr w:type="spellStart"/>
      <w:r w:rsidR="00622773">
        <w:t>recognise</w:t>
      </w:r>
      <w:proofErr w:type="spellEnd"/>
      <w:r w:rsidR="00622773">
        <w:t xml:space="preserve"> the rehabilitation proceedings of Hanjin Shipping Co Ltd </w:t>
      </w:r>
      <w:r w:rsidR="00DD23EC">
        <w:t xml:space="preserve">taking place </w:t>
      </w:r>
      <w:r w:rsidR="00622773">
        <w:t xml:space="preserve">in Korea. The Court remarked on the need to ensure that foreign or international creditors should be treated fairly and equitably. </w:t>
      </w:r>
      <w:proofErr w:type="gramStart"/>
      <w:r w:rsidR="00622773">
        <w:t xml:space="preserve">Also </w:t>
      </w:r>
      <w:r w:rsidR="00CB3493">
        <w:t xml:space="preserve"> s</w:t>
      </w:r>
      <w:r w:rsidR="008711DF">
        <w:t>ee</w:t>
      </w:r>
      <w:proofErr w:type="gramEnd"/>
      <w:r w:rsidR="008711DF">
        <w:t xml:space="preserve"> paper delivered by Judge of Appeal Steven Chong at the World Enforcement Conference </w:t>
      </w:r>
      <w:r w:rsidR="00CB3493">
        <w:t xml:space="preserve">in 2019 </w:t>
      </w:r>
      <w:r w:rsidR="008711DF">
        <w:t>titled “</w:t>
      </w:r>
      <w:r w:rsidR="008711DF" w:rsidRPr="008711DF">
        <w:rPr>
          <w:i/>
          <w:iCs/>
        </w:rPr>
        <w:t>The Judicial Insolvency Network: A ready response in an imperfect world</w:t>
      </w:r>
      <w:r w:rsidR="008711DF">
        <w:t>”.</w:t>
      </w:r>
    </w:p>
  </w:footnote>
  <w:footnote w:id="16">
    <w:p w14:paraId="72FD4674" w14:textId="4A512C0D" w:rsidR="007D5B73" w:rsidRPr="007D5B73" w:rsidRDefault="007D5B73">
      <w:pPr>
        <w:pStyle w:val="FootnoteText"/>
      </w:pPr>
      <w:r>
        <w:rPr>
          <w:rStyle w:val="FootnoteReference"/>
        </w:rPr>
        <w:footnoteRef/>
      </w:r>
      <w:r>
        <w:t xml:space="preserve"> </w:t>
      </w:r>
      <w:r w:rsidRPr="007D5B73">
        <w:t xml:space="preserve">Singapore in enacting the Model Law left out the term “manifestly”. This permitted the Singapore High Court in </w:t>
      </w:r>
      <w:r w:rsidRPr="007D5B73">
        <w:rPr>
          <w:i/>
          <w:iCs/>
        </w:rPr>
        <w:t>Re Zetta Jet</w:t>
      </w:r>
      <w:r w:rsidRPr="007D5B73">
        <w:t xml:space="preserve"> </w:t>
      </w:r>
      <w:r w:rsidRPr="007D5B73">
        <w:rPr>
          <w:color w:val="000000"/>
          <w:shd w:val="clear" w:color="auto" w:fill="FFFFFF"/>
        </w:rPr>
        <w:t>[2018] 4 SLR 801 to refuse to recognize Chapter 11 proceedings on the basis that they were commenced in breach of a Singapore injunction. The recognition of the Chapter 11 proceedings would have interfered with the administration of justice and was thus contrary to public policy.</w:t>
      </w:r>
      <w:r>
        <w:rPr>
          <w:color w:val="000000"/>
          <w:shd w:val="clear" w:color="auto" w:fill="FFFFFF"/>
        </w:rPr>
        <w:t xml:space="preserve"> The Chapter 11 proceedings were recognized in subsequent application after the injunction was discharged.</w:t>
      </w:r>
    </w:p>
  </w:footnote>
  <w:footnote w:id="17">
    <w:p w14:paraId="124C1F1E" w14:textId="709D1A35" w:rsidR="00FF70AB" w:rsidRDefault="00FF70AB">
      <w:pPr>
        <w:pStyle w:val="FootnoteText"/>
      </w:pPr>
      <w:r>
        <w:rPr>
          <w:rStyle w:val="FootnoteReference"/>
        </w:rPr>
        <w:footnoteRef/>
      </w:r>
      <w:r>
        <w:t xml:space="preserve"> Articles 9, 11, </w:t>
      </w:r>
      <w:r w:rsidR="00CD4E2E">
        <w:t xml:space="preserve">19, </w:t>
      </w:r>
      <w:r>
        <w:t>20 and 21 of the Model Law; Principles 8, 9 and 13 of the EU</w:t>
      </w:r>
      <w:r w:rsidR="00FC0338">
        <w:t xml:space="preserve"> </w:t>
      </w:r>
      <w:proofErr w:type="spellStart"/>
      <w:r>
        <w:t>JudgeCo</w:t>
      </w:r>
      <w:proofErr w:type="spellEnd"/>
      <w:r>
        <w:t xml:space="preserve"> Principles</w:t>
      </w:r>
      <w:r w:rsidR="009965DC">
        <w:t xml:space="preserve">; Guideline 5 of the </w:t>
      </w:r>
      <w:proofErr w:type="spellStart"/>
      <w:r w:rsidR="009965DC">
        <w:t>EuJudgeCo</w:t>
      </w:r>
      <w:proofErr w:type="spellEnd"/>
      <w:r w:rsidR="009965DC">
        <w:t xml:space="preserve"> Guidelines</w:t>
      </w:r>
      <w:r>
        <w:t>.</w:t>
      </w:r>
    </w:p>
  </w:footnote>
  <w:footnote w:id="18">
    <w:p w14:paraId="1CA498F9" w14:textId="1F2AB483" w:rsidR="006B06B9" w:rsidRDefault="006B06B9">
      <w:pPr>
        <w:pStyle w:val="FootnoteText"/>
      </w:pPr>
      <w:r>
        <w:rPr>
          <w:rStyle w:val="FootnoteReference"/>
        </w:rPr>
        <w:footnoteRef/>
      </w:r>
      <w:r>
        <w:t xml:space="preserve"> See Principle 5.3</w:t>
      </w:r>
    </w:p>
  </w:footnote>
  <w:footnote w:id="19">
    <w:p w14:paraId="1DF279B2" w14:textId="0D9E78B6" w:rsidR="00A87069" w:rsidRDefault="00A87069">
      <w:pPr>
        <w:pStyle w:val="FootnoteText"/>
      </w:pPr>
      <w:r>
        <w:rPr>
          <w:rStyle w:val="FootnoteReference"/>
        </w:rPr>
        <w:footnoteRef/>
      </w:r>
      <w:r>
        <w:t xml:space="preserve"> Principle 6 of the EU </w:t>
      </w:r>
      <w:proofErr w:type="spellStart"/>
      <w:r>
        <w:t>JudgeCo</w:t>
      </w:r>
      <w:proofErr w:type="spellEnd"/>
      <w:r>
        <w:t xml:space="preserve"> Principles.</w:t>
      </w:r>
    </w:p>
  </w:footnote>
  <w:footnote w:id="20">
    <w:p w14:paraId="0D7B1D25" w14:textId="7279AC87" w:rsidR="003C21B9" w:rsidRPr="0096037F" w:rsidRDefault="003C21B9">
      <w:pPr>
        <w:pStyle w:val="FootnoteText"/>
      </w:pPr>
      <w:r w:rsidRPr="0096037F">
        <w:rPr>
          <w:rStyle w:val="FootnoteReference"/>
        </w:rPr>
        <w:footnoteRef/>
      </w:r>
      <w:r w:rsidRPr="0096037F">
        <w:t xml:space="preserve"> </w:t>
      </w:r>
      <w:r w:rsidR="0096037F">
        <w:t>Se</w:t>
      </w:r>
      <w:r w:rsidR="00A87069" w:rsidRPr="0096037F">
        <w:t>e C(iv) of the Introduction to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2394"/>
      <w:docPartObj>
        <w:docPartGallery w:val="Page Numbers (Top of Page)"/>
        <w:docPartUnique/>
      </w:docPartObj>
    </w:sdtPr>
    <w:sdtEndPr>
      <w:rPr>
        <w:noProof/>
      </w:rPr>
    </w:sdtEndPr>
    <w:sdtContent>
      <w:p w14:paraId="7528519D" w14:textId="10947DDC" w:rsidR="0075714B" w:rsidRDefault="007571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11500D" w14:textId="77777777" w:rsidR="0075714B" w:rsidRDefault="00757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1F2A"/>
    <w:multiLevelType w:val="hybridMultilevel"/>
    <w:tmpl w:val="A418D3C6"/>
    <w:lvl w:ilvl="0" w:tplc="0A54B2CE">
      <w:start w:val="1"/>
      <w:numFmt w:val="upperRoman"/>
      <w:lvlText w:val="%1."/>
      <w:lvlJc w:val="righ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5423D4"/>
    <w:multiLevelType w:val="multilevel"/>
    <w:tmpl w:val="7D2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C78E7"/>
    <w:multiLevelType w:val="hybridMultilevel"/>
    <w:tmpl w:val="87765FBE"/>
    <w:lvl w:ilvl="0" w:tplc="F822E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25775"/>
    <w:multiLevelType w:val="hybridMultilevel"/>
    <w:tmpl w:val="1B0C1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785430">
    <w:abstractNumId w:val="3"/>
  </w:num>
  <w:num w:numId="2" w16cid:durableId="1758482963">
    <w:abstractNumId w:val="1"/>
  </w:num>
  <w:num w:numId="3" w16cid:durableId="559832393">
    <w:abstractNumId w:val="2"/>
  </w:num>
  <w:num w:numId="4" w16cid:durableId="16924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EB"/>
    <w:rsid w:val="000247D5"/>
    <w:rsid w:val="00031096"/>
    <w:rsid w:val="00071402"/>
    <w:rsid w:val="000742F8"/>
    <w:rsid w:val="00091C4C"/>
    <w:rsid w:val="000B43A5"/>
    <w:rsid w:val="000C5E7E"/>
    <w:rsid w:val="000F40DC"/>
    <w:rsid w:val="001019EE"/>
    <w:rsid w:val="00134D6D"/>
    <w:rsid w:val="00142CEF"/>
    <w:rsid w:val="001622C0"/>
    <w:rsid w:val="00170111"/>
    <w:rsid w:val="001A6E96"/>
    <w:rsid w:val="001B54EB"/>
    <w:rsid w:val="001F0919"/>
    <w:rsid w:val="00215F1F"/>
    <w:rsid w:val="00231741"/>
    <w:rsid w:val="0027491D"/>
    <w:rsid w:val="002909A4"/>
    <w:rsid w:val="002F2FE3"/>
    <w:rsid w:val="00314E80"/>
    <w:rsid w:val="003B5D9D"/>
    <w:rsid w:val="003C21B9"/>
    <w:rsid w:val="003E502D"/>
    <w:rsid w:val="003F5CBD"/>
    <w:rsid w:val="00405645"/>
    <w:rsid w:val="00426194"/>
    <w:rsid w:val="00430505"/>
    <w:rsid w:val="0045135D"/>
    <w:rsid w:val="00462800"/>
    <w:rsid w:val="00465B73"/>
    <w:rsid w:val="00481807"/>
    <w:rsid w:val="0049311B"/>
    <w:rsid w:val="004B0323"/>
    <w:rsid w:val="004F6F9E"/>
    <w:rsid w:val="005025C3"/>
    <w:rsid w:val="0056622D"/>
    <w:rsid w:val="005A3D5D"/>
    <w:rsid w:val="005C6053"/>
    <w:rsid w:val="005E43A2"/>
    <w:rsid w:val="00622773"/>
    <w:rsid w:val="00632174"/>
    <w:rsid w:val="0066580A"/>
    <w:rsid w:val="006750FC"/>
    <w:rsid w:val="006B06B9"/>
    <w:rsid w:val="006C04E7"/>
    <w:rsid w:val="006C5EE3"/>
    <w:rsid w:val="006E2819"/>
    <w:rsid w:val="00742CDD"/>
    <w:rsid w:val="007430FF"/>
    <w:rsid w:val="0075714B"/>
    <w:rsid w:val="00777C9A"/>
    <w:rsid w:val="007873D6"/>
    <w:rsid w:val="007C4F8D"/>
    <w:rsid w:val="007D0C67"/>
    <w:rsid w:val="007D5B73"/>
    <w:rsid w:val="007D6639"/>
    <w:rsid w:val="007E06D0"/>
    <w:rsid w:val="007E6BF1"/>
    <w:rsid w:val="007E745A"/>
    <w:rsid w:val="00854541"/>
    <w:rsid w:val="008711DF"/>
    <w:rsid w:val="00876852"/>
    <w:rsid w:val="0091043A"/>
    <w:rsid w:val="009426F0"/>
    <w:rsid w:val="0096037F"/>
    <w:rsid w:val="0096261F"/>
    <w:rsid w:val="009633FB"/>
    <w:rsid w:val="00964877"/>
    <w:rsid w:val="00986424"/>
    <w:rsid w:val="00986EBE"/>
    <w:rsid w:val="009965DC"/>
    <w:rsid w:val="009A50B9"/>
    <w:rsid w:val="009B7C69"/>
    <w:rsid w:val="009C5923"/>
    <w:rsid w:val="009D22D3"/>
    <w:rsid w:val="009E21B8"/>
    <w:rsid w:val="00A0677A"/>
    <w:rsid w:val="00A357A0"/>
    <w:rsid w:val="00A6528E"/>
    <w:rsid w:val="00A80F57"/>
    <w:rsid w:val="00A87069"/>
    <w:rsid w:val="00A97B31"/>
    <w:rsid w:val="00AA22DA"/>
    <w:rsid w:val="00B14326"/>
    <w:rsid w:val="00B62DFB"/>
    <w:rsid w:val="00B663EB"/>
    <w:rsid w:val="00CB3493"/>
    <w:rsid w:val="00CC39BC"/>
    <w:rsid w:val="00CD1854"/>
    <w:rsid w:val="00CD4E2E"/>
    <w:rsid w:val="00CD769A"/>
    <w:rsid w:val="00D14350"/>
    <w:rsid w:val="00D90A43"/>
    <w:rsid w:val="00DD23EC"/>
    <w:rsid w:val="00DD4514"/>
    <w:rsid w:val="00DE5F20"/>
    <w:rsid w:val="00E85FC1"/>
    <w:rsid w:val="00E878A3"/>
    <w:rsid w:val="00E9274F"/>
    <w:rsid w:val="00E9609F"/>
    <w:rsid w:val="00EA09B4"/>
    <w:rsid w:val="00F65C66"/>
    <w:rsid w:val="00FA678D"/>
    <w:rsid w:val="00FC0338"/>
    <w:rsid w:val="00FC6D1F"/>
    <w:rsid w:val="00FD4DF2"/>
    <w:rsid w:val="00FF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FF7C"/>
  <w15:chartTrackingRefBased/>
  <w15:docId w15:val="{F8BC0A71-1130-4C65-9950-EF98E6C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66"/>
    <w:pPr>
      <w:spacing w:after="0" w:line="240" w:lineRule="auto"/>
    </w:pPr>
    <w:rPr>
      <w:rFonts w:ascii="Calibri" w:hAnsi="Calibri" w:cs="Calibri"/>
      <w:kern w:val="0"/>
      <w:sz w:val="22"/>
      <w:szCs w:val="22"/>
      <w14:ligatures w14:val="none"/>
    </w:rPr>
  </w:style>
  <w:style w:type="paragraph" w:styleId="Heading1">
    <w:name w:val="heading 1"/>
    <w:basedOn w:val="Normal"/>
    <w:next w:val="Normal"/>
    <w:link w:val="Heading1Char"/>
    <w:uiPriority w:val="9"/>
    <w:qFormat/>
    <w:rsid w:val="00B663E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663E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B663E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663EB"/>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663EB"/>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663EB"/>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663EB"/>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663EB"/>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663EB"/>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63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63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63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63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63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63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63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63EB"/>
    <w:rPr>
      <w:rFonts w:eastAsiaTheme="majorEastAsia" w:cstheme="majorBidi"/>
      <w:color w:val="272727" w:themeColor="text1" w:themeTint="D8"/>
    </w:rPr>
  </w:style>
  <w:style w:type="paragraph" w:styleId="Title">
    <w:name w:val="Title"/>
    <w:basedOn w:val="Normal"/>
    <w:next w:val="Normal"/>
    <w:link w:val="TitleChar"/>
    <w:uiPriority w:val="10"/>
    <w:qFormat/>
    <w:rsid w:val="00B663E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663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3E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663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63EB"/>
    <w:pPr>
      <w:spacing w:before="160" w:after="160" w:line="278" w:lineRule="auto"/>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663EB"/>
    <w:rPr>
      <w:i/>
      <w:iCs/>
      <w:color w:val="404040" w:themeColor="text1" w:themeTint="BF"/>
    </w:rPr>
  </w:style>
  <w:style w:type="paragraph" w:styleId="ListParagraph">
    <w:name w:val="List Paragraph"/>
    <w:basedOn w:val="Normal"/>
    <w:uiPriority w:val="34"/>
    <w:qFormat/>
    <w:rsid w:val="00B663EB"/>
    <w:pPr>
      <w:spacing w:after="160" w:line="278" w:lineRule="auto"/>
      <w:ind w:left="720"/>
      <w:contextualSpacing/>
    </w:pPr>
    <w:rPr>
      <w:rFonts w:ascii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B663EB"/>
    <w:rPr>
      <w:i/>
      <w:iCs/>
      <w:color w:val="0F4761" w:themeColor="accent1" w:themeShade="BF"/>
    </w:rPr>
  </w:style>
  <w:style w:type="paragraph" w:styleId="IntenseQuote">
    <w:name w:val="Intense Quote"/>
    <w:basedOn w:val="Normal"/>
    <w:next w:val="Normal"/>
    <w:link w:val="IntenseQuoteChar"/>
    <w:uiPriority w:val="30"/>
    <w:qFormat/>
    <w:rsid w:val="00B663E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663EB"/>
    <w:rPr>
      <w:i/>
      <w:iCs/>
      <w:color w:val="0F4761" w:themeColor="accent1" w:themeShade="BF"/>
    </w:rPr>
  </w:style>
  <w:style w:type="character" w:styleId="IntenseReference">
    <w:name w:val="Intense Reference"/>
    <w:basedOn w:val="DefaultParagraphFont"/>
    <w:uiPriority w:val="32"/>
    <w:qFormat/>
    <w:rsid w:val="00B663EB"/>
    <w:rPr>
      <w:b/>
      <w:bCs/>
      <w:smallCaps/>
      <w:color w:val="0F4761" w:themeColor="accent1" w:themeShade="BF"/>
      <w:spacing w:val="5"/>
    </w:rPr>
  </w:style>
  <w:style w:type="character" w:styleId="Strong">
    <w:name w:val="Strong"/>
    <w:basedOn w:val="DefaultParagraphFont"/>
    <w:uiPriority w:val="22"/>
    <w:qFormat/>
    <w:rsid w:val="005E43A2"/>
    <w:rPr>
      <w:b/>
      <w:bCs/>
    </w:rPr>
  </w:style>
  <w:style w:type="paragraph" w:styleId="Header">
    <w:name w:val="header"/>
    <w:basedOn w:val="Normal"/>
    <w:link w:val="HeaderChar"/>
    <w:uiPriority w:val="99"/>
    <w:unhideWhenUsed/>
    <w:rsid w:val="0075714B"/>
    <w:pPr>
      <w:tabs>
        <w:tab w:val="center" w:pos="4513"/>
        <w:tab w:val="right" w:pos="9026"/>
      </w:tabs>
    </w:pPr>
  </w:style>
  <w:style w:type="character" w:customStyle="1" w:styleId="HeaderChar">
    <w:name w:val="Header Char"/>
    <w:basedOn w:val="DefaultParagraphFont"/>
    <w:link w:val="Header"/>
    <w:uiPriority w:val="99"/>
    <w:rsid w:val="0075714B"/>
    <w:rPr>
      <w:rFonts w:ascii="Calibri" w:hAnsi="Calibri" w:cs="Calibri"/>
      <w:kern w:val="0"/>
      <w:sz w:val="22"/>
      <w:szCs w:val="22"/>
      <w14:ligatures w14:val="none"/>
    </w:rPr>
  </w:style>
  <w:style w:type="paragraph" w:styleId="Footer">
    <w:name w:val="footer"/>
    <w:basedOn w:val="Normal"/>
    <w:link w:val="FooterChar"/>
    <w:uiPriority w:val="99"/>
    <w:unhideWhenUsed/>
    <w:rsid w:val="0075714B"/>
    <w:pPr>
      <w:tabs>
        <w:tab w:val="center" w:pos="4513"/>
        <w:tab w:val="right" w:pos="9026"/>
      </w:tabs>
    </w:pPr>
  </w:style>
  <w:style w:type="character" w:customStyle="1" w:styleId="FooterChar">
    <w:name w:val="Footer Char"/>
    <w:basedOn w:val="DefaultParagraphFont"/>
    <w:link w:val="Footer"/>
    <w:uiPriority w:val="99"/>
    <w:rsid w:val="0075714B"/>
    <w:rPr>
      <w:rFonts w:ascii="Calibri" w:hAnsi="Calibri" w:cs="Calibri"/>
      <w:kern w:val="0"/>
      <w:sz w:val="22"/>
      <w:szCs w:val="22"/>
      <w14:ligatures w14:val="none"/>
    </w:rPr>
  </w:style>
  <w:style w:type="paragraph" w:styleId="FootnoteText">
    <w:name w:val="footnote text"/>
    <w:basedOn w:val="Normal"/>
    <w:link w:val="FootnoteTextChar"/>
    <w:uiPriority w:val="99"/>
    <w:unhideWhenUsed/>
    <w:rsid w:val="0075714B"/>
    <w:rPr>
      <w:sz w:val="20"/>
      <w:szCs w:val="20"/>
    </w:rPr>
  </w:style>
  <w:style w:type="character" w:customStyle="1" w:styleId="FootnoteTextChar">
    <w:name w:val="Footnote Text Char"/>
    <w:basedOn w:val="DefaultParagraphFont"/>
    <w:link w:val="FootnoteText"/>
    <w:uiPriority w:val="99"/>
    <w:rsid w:val="0075714B"/>
    <w:rPr>
      <w:rFonts w:ascii="Calibri" w:hAnsi="Calibri" w:cs="Calibri"/>
      <w:kern w:val="0"/>
      <w:sz w:val="20"/>
      <w:szCs w:val="20"/>
      <w14:ligatures w14:val="none"/>
    </w:rPr>
  </w:style>
  <w:style w:type="character" w:styleId="FootnoteReference">
    <w:name w:val="footnote reference"/>
    <w:basedOn w:val="DefaultParagraphFont"/>
    <w:uiPriority w:val="99"/>
    <w:semiHidden/>
    <w:unhideWhenUsed/>
    <w:rsid w:val="0075714B"/>
    <w:rPr>
      <w:vertAlign w:val="superscript"/>
    </w:rPr>
  </w:style>
  <w:style w:type="paragraph" w:styleId="EndnoteText">
    <w:name w:val="endnote text"/>
    <w:basedOn w:val="Normal"/>
    <w:link w:val="EndnoteTextChar"/>
    <w:uiPriority w:val="99"/>
    <w:semiHidden/>
    <w:unhideWhenUsed/>
    <w:rsid w:val="00CC39BC"/>
    <w:rPr>
      <w:sz w:val="20"/>
      <w:szCs w:val="20"/>
    </w:rPr>
  </w:style>
  <w:style w:type="character" w:customStyle="1" w:styleId="EndnoteTextChar">
    <w:name w:val="Endnote Text Char"/>
    <w:basedOn w:val="DefaultParagraphFont"/>
    <w:link w:val="EndnoteText"/>
    <w:uiPriority w:val="99"/>
    <w:semiHidden/>
    <w:rsid w:val="00CC39BC"/>
    <w:rPr>
      <w:rFonts w:ascii="Calibri" w:hAnsi="Calibri" w:cs="Calibri"/>
      <w:kern w:val="0"/>
      <w:sz w:val="20"/>
      <w:szCs w:val="20"/>
      <w14:ligatures w14:val="none"/>
    </w:rPr>
  </w:style>
  <w:style w:type="character" w:styleId="EndnoteReference">
    <w:name w:val="endnote reference"/>
    <w:basedOn w:val="DefaultParagraphFont"/>
    <w:uiPriority w:val="99"/>
    <w:semiHidden/>
    <w:unhideWhenUsed/>
    <w:rsid w:val="00CC39BC"/>
    <w:rPr>
      <w:vertAlign w:val="superscript"/>
    </w:rPr>
  </w:style>
  <w:style w:type="character" w:styleId="Hyperlink">
    <w:name w:val="Hyperlink"/>
    <w:basedOn w:val="DefaultParagraphFont"/>
    <w:uiPriority w:val="99"/>
    <w:semiHidden/>
    <w:unhideWhenUsed/>
    <w:rsid w:val="001B54EB"/>
    <w:rPr>
      <w:color w:val="0000FF"/>
      <w:u w:val="single"/>
    </w:rPr>
  </w:style>
  <w:style w:type="paragraph" w:styleId="Date">
    <w:name w:val="Date"/>
    <w:basedOn w:val="Normal"/>
    <w:next w:val="Normal"/>
    <w:link w:val="DateChar"/>
    <w:uiPriority w:val="99"/>
    <w:semiHidden/>
    <w:unhideWhenUsed/>
    <w:rsid w:val="0096037F"/>
  </w:style>
  <w:style w:type="character" w:customStyle="1" w:styleId="DateChar">
    <w:name w:val="Date Char"/>
    <w:basedOn w:val="DefaultParagraphFont"/>
    <w:link w:val="Date"/>
    <w:uiPriority w:val="99"/>
    <w:semiHidden/>
    <w:rsid w:val="0096037F"/>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07580">
      <w:bodyDiv w:val="1"/>
      <w:marLeft w:val="0"/>
      <w:marRight w:val="0"/>
      <w:marTop w:val="0"/>
      <w:marBottom w:val="0"/>
      <w:divBdr>
        <w:top w:val="none" w:sz="0" w:space="0" w:color="auto"/>
        <w:left w:val="none" w:sz="0" w:space="0" w:color="auto"/>
        <w:bottom w:val="none" w:sz="0" w:space="0" w:color="auto"/>
        <w:right w:val="none" w:sz="0" w:space="0" w:color="auto"/>
      </w:divBdr>
    </w:div>
    <w:div w:id="1934239156">
      <w:bodyDiv w:val="1"/>
      <w:marLeft w:val="0"/>
      <w:marRight w:val="0"/>
      <w:marTop w:val="0"/>
      <w:marBottom w:val="0"/>
      <w:divBdr>
        <w:top w:val="none" w:sz="0" w:space="0" w:color="auto"/>
        <w:left w:val="none" w:sz="0" w:space="0" w:color="auto"/>
        <w:bottom w:val="none" w:sz="0" w:space="0" w:color="auto"/>
        <w:right w:val="none" w:sz="0" w:space="0" w:color="auto"/>
      </w:divBdr>
    </w:div>
    <w:div w:id="19410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C190A8DB-3CC6-4C7D-A83C-B069F4803B41}">
  <ds:schemaRefs>
    <ds:schemaRef ds:uri="http://schemas.microsoft.com/sharepoint/v3/contenttype/forms"/>
  </ds:schemaRefs>
</ds:datastoreItem>
</file>

<file path=customXml/itemProps2.xml><?xml version="1.0" encoding="utf-8"?>
<ds:datastoreItem xmlns:ds="http://schemas.openxmlformats.org/officeDocument/2006/customXml" ds:itemID="{3EC56F4B-55A1-4B6E-A153-BBDC6A1E7465}"/>
</file>

<file path=customXml/itemProps3.xml><?xml version="1.0" encoding="utf-8"?>
<ds:datastoreItem xmlns:ds="http://schemas.openxmlformats.org/officeDocument/2006/customXml" ds:itemID="{A7E6B1D6-27F8-4397-BD83-60880E2FE16E}">
  <ds:schemaRefs>
    <ds:schemaRef ds:uri="http://schemas.openxmlformats.org/officeDocument/2006/bibliography"/>
  </ds:schemaRefs>
</ds:datastoreItem>
</file>

<file path=customXml/itemProps4.xml><?xml version="1.0" encoding="utf-8"?>
<ds:datastoreItem xmlns:ds="http://schemas.openxmlformats.org/officeDocument/2006/customXml" ds:itemID="{4BB79FA1-1CC2-4469-A24A-EC3C9A687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15037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Eddee Ng</dc:creator>
  <cp:keywords/>
  <dc:description/>
  <cp:lastModifiedBy>Heather Callow</cp:lastModifiedBy>
  <cp:revision>2</cp:revision>
  <dcterms:created xsi:type="dcterms:W3CDTF">2024-02-15T08:20:00Z</dcterms:created>
  <dcterms:modified xsi:type="dcterms:W3CDTF">2024-02-15T08:20:00Z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