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pPr>
        <w:pStyle w:val="ListParagraph"/>
        <w:numPr>
          <w:ilvl w:val="0"/>
          <w:numId w:val="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pPr>
        <w:pStyle w:val="ListParagraph"/>
        <w:numPr>
          <w:ilvl w:val="0"/>
          <w:numId w:val="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pPr>
        <w:pStyle w:val="ListParagraph"/>
        <w:numPr>
          <w:ilvl w:val="0"/>
          <w:numId w:val="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FE693A" w:rsidRDefault="00F746D8">
      <w:pPr>
        <w:pStyle w:val="ListParagraph"/>
        <w:numPr>
          <w:ilvl w:val="0"/>
          <w:numId w:val="6"/>
        </w:numPr>
        <w:ind w:left="426"/>
        <w:jc w:val="both"/>
        <w:rPr>
          <w:rFonts w:ascii="Avenir Next" w:hAnsi="Avenir Next" w:cs="Arial"/>
          <w:sz w:val="22"/>
          <w:szCs w:val="22"/>
          <w:highlight w:val="yellow"/>
          <w:lang w:val="en-GB"/>
        </w:rPr>
      </w:pPr>
      <w:r w:rsidRPr="00FE693A">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FE693A" w:rsidRDefault="00F746D8">
      <w:pPr>
        <w:pStyle w:val="ListParagraph"/>
        <w:numPr>
          <w:ilvl w:val="0"/>
          <w:numId w:val="1"/>
        </w:numPr>
        <w:ind w:left="426"/>
        <w:jc w:val="both"/>
        <w:rPr>
          <w:rFonts w:ascii="Avenir Next" w:hAnsi="Avenir Next" w:cs="Arial"/>
          <w:iCs/>
          <w:sz w:val="22"/>
          <w:szCs w:val="22"/>
          <w:highlight w:val="yellow"/>
          <w:lang w:val="en-GB"/>
        </w:rPr>
      </w:pPr>
      <w:r w:rsidRPr="00FE693A">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pPr>
        <w:pStyle w:val="ListParagraph"/>
        <w:numPr>
          <w:ilvl w:val="0"/>
          <w:numId w:val="1"/>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pPr>
        <w:pStyle w:val="ListParagraph"/>
        <w:numPr>
          <w:ilvl w:val="0"/>
          <w:numId w:val="1"/>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pPr>
        <w:pStyle w:val="ListParagraph"/>
        <w:numPr>
          <w:ilvl w:val="0"/>
          <w:numId w:val="1"/>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pPr>
        <w:pStyle w:val="ListParagraph"/>
        <w:numPr>
          <w:ilvl w:val="0"/>
          <w:numId w:val="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pPr>
        <w:pStyle w:val="ListParagraph"/>
        <w:numPr>
          <w:ilvl w:val="0"/>
          <w:numId w:val="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pPr>
        <w:pStyle w:val="ListParagraph"/>
        <w:numPr>
          <w:ilvl w:val="0"/>
          <w:numId w:val="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FE693A" w:rsidRDefault="00F746D8">
      <w:pPr>
        <w:pStyle w:val="ListParagraph"/>
        <w:numPr>
          <w:ilvl w:val="0"/>
          <w:numId w:val="7"/>
        </w:numPr>
        <w:ind w:left="426"/>
        <w:jc w:val="both"/>
        <w:rPr>
          <w:rFonts w:ascii="Avenir Next" w:hAnsi="Avenir Next"/>
          <w:sz w:val="22"/>
          <w:highlight w:val="yellow"/>
          <w:lang w:val="en-GB"/>
        </w:rPr>
      </w:pPr>
      <w:r w:rsidRPr="00FE693A">
        <w:rPr>
          <w:rFonts w:ascii="Avenir Next" w:hAnsi="Avenir Next"/>
          <w:sz w:val="22"/>
          <w:highlight w:val="yellow"/>
          <w:lang w:val="en-GB"/>
        </w:rPr>
        <w:t xml:space="preserve">The EIR 2000 </w:t>
      </w:r>
      <w:r w:rsidRPr="00FE693A">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FE693A">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pPr>
        <w:pStyle w:val="ListParagraph"/>
        <w:numPr>
          <w:ilvl w:val="0"/>
          <w:numId w:val="2"/>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FE693A" w:rsidRDefault="00F746D8">
      <w:pPr>
        <w:pStyle w:val="ListParagraph"/>
        <w:numPr>
          <w:ilvl w:val="0"/>
          <w:numId w:val="2"/>
        </w:numPr>
        <w:ind w:left="426"/>
        <w:jc w:val="both"/>
        <w:rPr>
          <w:rFonts w:ascii="Avenir Next" w:hAnsi="Avenir Next" w:cs="Arial"/>
          <w:sz w:val="22"/>
          <w:szCs w:val="22"/>
          <w:highlight w:val="yellow"/>
          <w:lang w:val="en-GB"/>
        </w:rPr>
      </w:pPr>
      <w:r w:rsidRPr="00FE693A">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pPr>
        <w:pStyle w:val="ListParagraph"/>
        <w:numPr>
          <w:ilvl w:val="0"/>
          <w:numId w:val="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pPr>
        <w:pStyle w:val="ListParagraph"/>
        <w:numPr>
          <w:ilvl w:val="0"/>
          <w:numId w:val="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FE693A" w:rsidRDefault="00F746D8">
      <w:pPr>
        <w:pStyle w:val="ListParagraph"/>
        <w:numPr>
          <w:ilvl w:val="0"/>
          <w:numId w:val="8"/>
        </w:numPr>
        <w:ind w:left="426"/>
        <w:jc w:val="both"/>
        <w:rPr>
          <w:rFonts w:ascii="Avenir Next" w:hAnsi="Avenir Next" w:cs="Arial"/>
          <w:sz w:val="22"/>
          <w:szCs w:val="22"/>
          <w:highlight w:val="yellow"/>
          <w:lang w:val="en-GB"/>
        </w:rPr>
      </w:pPr>
      <w:r w:rsidRPr="00FE693A">
        <w:rPr>
          <w:rFonts w:ascii="Avenir Next" w:hAnsi="Avenir Next" w:cs="Arial"/>
          <w:sz w:val="22"/>
          <w:szCs w:val="22"/>
          <w:highlight w:val="yellow"/>
          <w:lang w:val="en-GB"/>
        </w:rPr>
        <w:t>Article 3 states that the courts of the Member State within the territory of which the debtor has its centre of main</w:t>
      </w:r>
      <w:r w:rsidR="003E1D56" w:rsidRPr="00FE693A">
        <w:rPr>
          <w:rFonts w:ascii="Avenir Next" w:hAnsi="Avenir Next" w:cs="Arial"/>
          <w:sz w:val="22"/>
          <w:szCs w:val="22"/>
          <w:highlight w:val="yellow"/>
          <w:lang w:val="en-GB"/>
        </w:rPr>
        <w:t xml:space="preserve"> interest</w:t>
      </w:r>
      <w:r w:rsidRPr="00FE693A">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pPr>
        <w:pStyle w:val="ListParagraph"/>
        <w:numPr>
          <w:ilvl w:val="0"/>
          <w:numId w:val="3"/>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pPr>
        <w:pStyle w:val="ListParagraph"/>
        <w:numPr>
          <w:ilvl w:val="0"/>
          <w:numId w:val="3"/>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FE693A" w:rsidRDefault="00F746D8">
      <w:pPr>
        <w:pStyle w:val="ListParagraph"/>
        <w:numPr>
          <w:ilvl w:val="0"/>
          <w:numId w:val="3"/>
        </w:numPr>
        <w:ind w:left="426"/>
        <w:jc w:val="both"/>
        <w:rPr>
          <w:rFonts w:ascii="Avenir Next" w:hAnsi="Avenir Next" w:cs="Arial"/>
          <w:sz w:val="22"/>
          <w:szCs w:val="22"/>
          <w:highlight w:val="yellow"/>
          <w:lang w:val="en-GB"/>
        </w:rPr>
      </w:pPr>
      <w:r w:rsidRPr="00FE693A">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pPr>
        <w:pStyle w:val="ListParagraph"/>
        <w:numPr>
          <w:ilvl w:val="0"/>
          <w:numId w:val="3"/>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FE693A" w:rsidRDefault="00F746D8">
      <w:pPr>
        <w:pStyle w:val="ListParagraph"/>
        <w:numPr>
          <w:ilvl w:val="0"/>
          <w:numId w:val="9"/>
        </w:numPr>
        <w:ind w:left="426"/>
        <w:jc w:val="both"/>
        <w:rPr>
          <w:rFonts w:ascii="Avenir Next" w:hAnsi="Avenir Next" w:cs="Arial"/>
          <w:sz w:val="22"/>
          <w:szCs w:val="22"/>
          <w:highlight w:val="yellow"/>
          <w:lang w:val="en-GB"/>
        </w:rPr>
      </w:pPr>
      <w:r w:rsidRPr="00FE693A">
        <w:rPr>
          <w:rFonts w:ascii="Avenir Next" w:hAnsi="Avenir Next" w:cs="Arial"/>
          <w:sz w:val="22"/>
          <w:szCs w:val="22"/>
          <w:highlight w:val="yellow"/>
          <w:lang w:val="en-GB"/>
        </w:rPr>
        <w:t>Article 31 EIR Recast (entitled “</w:t>
      </w:r>
      <w:r w:rsidRPr="00FE693A">
        <w:rPr>
          <w:rFonts w:ascii="Avenir Next" w:hAnsi="Avenir Next" w:cs="Arial"/>
          <w:bCs/>
          <w:sz w:val="22"/>
          <w:szCs w:val="22"/>
          <w:highlight w:val="yellow"/>
          <w:lang w:val="en-GB"/>
        </w:rPr>
        <w:t>Honouring of an obligation to a debtor”</w:t>
      </w:r>
      <w:r w:rsidRPr="00FE693A">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pPr>
        <w:pStyle w:val="ListParagraph"/>
        <w:numPr>
          <w:ilvl w:val="0"/>
          <w:numId w:val="4"/>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pPr>
        <w:pStyle w:val="ListParagraph"/>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pPr>
        <w:pStyle w:val="ListParagraph"/>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FE693A" w:rsidRDefault="00F746D8">
      <w:pPr>
        <w:pStyle w:val="ListParagraph"/>
        <w:numPr>
          <w:ilvl w:val="0"/>
          <w:numId w:val="4"/>
        </w:numPr>
        <w:ind w:left="426"/>
        <w:jc w:val="both"/>
        <w:rPr>
          <w:rFonts w:ascii="Avenir Next" w:hAnsi="Avenir Next" w:cs="Arial"/>
          <w:sz w:val="22"/>
          <w:szCs w:val="22"/>
          <w:highlight w:val="yellow"/>
          <w:lang w:val="en-GB"/>
        </w:rPr>
      </w:pPr>
      <w:r w:rsidRPr="00FE693A">
        <w:rPr>
          <w:rFonts w:ascii="Avenir Next" w:hAnsi="Avenir Next"/>
          <w:sz w:val="22"/>
          <w:highlight w:val="yellow"/>
          <w:lang w:val="en-GB"/>
        </w:rPr>
        <w:t xml:space="preserve">The </w:t>
      </w:r>
      <w:r w:rsidRPr="00FE693A">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FE693A" w:rsidRDefault="00F746D8">
      <w:pPr>
        <w:pStyle w:val="ListParagraph"/>
        <w:numPr>
          <w:ilvl w:val="0"/>
          <w:numId w:val="10"/>
        </w:numPr>
        <w:ind w:left="426"/>
        <w:jc w:val="both"/>
        <w:rPr>
          <w:rFonts w:ascii="Avenir Next" w:hAnsi="Avenir Next" w:cs="Arial"/>
          <w:sz w:val="22"/>
          <w:szCs w:val="22"/>
          <w:highlight w:val="yellow"/>
          <w:lang w:val="en-GB"/>
        </w:rPr>
      </w:pPr>
      <w:r w:rsidRPr="00FE693A">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pPr>
        <w:pStyle w:val="ListParagraph"/>
        <w:numPr>
          <w:ilvl w:val="0"/>
          <w:numId w:val="10"/>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pPr>
        <w:pStyle w:val="ListParagraph"/>
        <w:numPr>
          <w:ilvl w:val="0"/>
          <w:numId w:val="1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pPr>
        <w:pStyle w:val="ListParagraph"/>
        <w:numPr>
          <w:ilvl w:val="0"/>
          <w:numId w:val="10"/>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5A2C7F" w:rsidRDefault="00F746D8">
      <w:pPr>
        <w:pStyle w:val="ListParagraph"/>
        <w:numPr>
          <w:ilvl w:val="0"/>
          <w:numId w:val="5"/>
        </w:numPr>
        <w:ind w:left="426"/>
        <w:jc w:val="both"/>
        <w:rPr>
          <w:rFonts w:ascii="Avenir Next" w:hAnsi="Avenir Next" w:cs="Arial"/>
          <w:sz w:val="22"/>
          <w:szCs w:val="22"/>
          <w:highlight w:val="yellow"/>
          <w:lang w:val="en-GB"/>
        </w:rPr>
      </w:pPr>
      <w:r w:rsidRPr="005A2C7F">
        <w:rPr>
          <w:rFonts w:ascii="Avenir Next" w:hAnsi="Avenir Next" w:cs="Arial"/>
          <w:sz w:val="22"/>
          <w:szCs w:val="22"/>
          <w:highlight w:val="yellow"/>
          <w:lang w:val="en-GB"/>
        </w:rPr>
        <w:t xml:space="preserve">Its centre of main interest </w:t>
      </w:r>
      <w:proofErr w:type="gramStart"/>
      <w:r w:rsidRPr="005A2C7F">
        <w:rPr>
          <w:rFonts w:ascii="Avenir Next" w:hAnsi="Avenir Next" w:cs="Arial"/>
          <w:sz w:val="22"/>
          <w:szCs w:val="22"/>
          <w:highlight w:val="yellow"/>
          <w:lang w:val="en-GB"/>
        </w:rPr>
        <w:t>is located in</w:t>
      </w:r>
      <w:proofErr w:type="gramEnd"/>
      <w:r w:rsidRPr="005A2C7F">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Default="00EC242E" w:rsidP="001A7F52">
      <w:pPr>
        <w:jc w:val="both"/>
        <w:rPr>
          <w:rFonts w:ascii="Avenir Next" w:hAnsi="Avenir Next" w:cs="Arial"/>
          <w:sz w:val="22"/>
          <w:szCs w:val="22"/>
          <w:lang w:val="en-GB"/>
        </w:rPr>
      </w:pPr>
    </w:p>
    <w:p w14:paraId="1BE30EC2" w14:textId="77777777" w:rsidR="001A7F52" w:rsidRDefault="001A7F52" w:rsidP="001A7F52">
      <w:pPr>
        <w:jc w:val="both"/>
        <w:rPr>
          <w:rFonts w:ascii="Avenir Next" w:hAnsi="Avenir Next" w:cs="Arial"/>
          <w:sz w:val="22"/>
          <w:szCs w:val="22"/>
          <w:lang w:val="en-GB"/>
        </w:rPr>
      </w:pPr>
    </w:p>
    <w:p w14:paraId="29682113" w14:textId="77777777" w:rsidR="001A7F52" w:rsidRPr="001A7F52" w:rsidRDefault="001A7F52" w:rsidP="001A7F52">
      <w:pPr>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7A244BA9" w14:textId="28C5B6FB" w:rsidR="00F911BC" w:rsidRPr="00A615B5" w:rsidRDefault="00F911BC" w:rsidP="00F911BC">
      <w:pPr>
        <w:jc w:val="both"/>
        <w:rPr>
          <w:rFonts w:ascii="Arial" w:hAnsi="Arial" w:cs="Arial"/>
          <w:color w:val="7B7B7B" w:themeColor="accent3" w:themeShade="BF"/>
          <w:sz w:val="22"/>
          <w:szCs w:val="22"/>
        </w:rPr>
      </w:pPr>
      <w:r w:rsidRPr="00C53481">
        <w:rPr>
          <w:rFonts w:ascii="Arial" w:hAnsi="Arial" w:cs="Arial"/>
          <w:color w:val="7B7B7B" w:themeColor="accent3" w:themeShade="BF"/>
          <w:sz w:val="22"/>
          <w:szCs w:val="22"/>
        </w:rPr>
        <w:lastRenderedPageBreak/>
        <w:t>Statement 1 is in relation to the material scope of the EIR Recast</w:t>
      </w:r>
      <w:r w:rsidR="00FA1F45" w:rsidRPr="00C53481">
        <w:rPr>
          <w:rFonts w:ascii="Arial" w:hAnsi="Arial" w:cs="Arial"/>
          <w:color w:val="7B7B7B" w:themeColor="accent3" w:themeShade="BF"/>
          <w:sz w:val="22"/>
          <w:szCs w:val="22"/>
        </w:rPr>
        <w:t xml:space="preserve">. Statement 1 can be located </w:t>
      </w:r>
      <w:r w:rsidR="00FA1F45" w:rsidRPr="00A615B5">
        <w:rPr>
          <w:rFonts w:ascii="Arial" w:hAnsi="Arial" w:cs="Arial"/>
          <w:color w:val="7B7B7B" w:themeColor="accent3" w:themeShade="BF"/>
          <w:sz w:val="22"/>
          <w:szCs w:val="22"/>
        </w:rPr>
        <w:t xml:space="preserve">at Recital 10 </w:t>
      </w:r>
      <w:r w:rsidR="00AA406D" w:rsidRPr="00A615B5">
        <w:rPr>
          <w:rFonts w:ascii="Arial" w:hAnsi="Arial" w:cs="Arial"/>
          <w:color w:val="7B7B7B" w:themeColor="accent3" w:themeShade="BF"/>
          <w:sz w:val="22"/>
          <w:szCs w:val="22"/>
        </w:rPr>
        <w:t>of the recitals to the</w:t>
      </w:r>
      <w:r w:rsidR="00FA1F45" w:rsidRPr="00A615B5">
        <w:rPr>
          <w:rFonts w:ascii="Arial" w:hAnsi="Arial" w:cs="Arial"/>
          <w:color w:val="7B7B7B" w:themeColor="accent3" w:themeShade="BF"/>
          <w:sz w:val="22"/>
          <w:szCs w:val="22"/>
        </w:rPr>
        <w:t xml:space="preserve"> EIR Recast</w:t>
      </w:r>
      <w:r w:rsidR="00AA406D" w:rsidRPr="00A615B5">
        <w:rPr>
          <w:rFonts w:ascii="Arial" w:hAnsi="Arial" w:cs="Arial"/>
          <w:color w:val="7B7B7B" w:themeColor="accent3" w:themeShade="BF"/>
          <w:sz w:val="22"/>
          <w:szCs w:val="22"/>
        </w:rPr>
        <w:t>.</w:t>
      </w:r>
    </w:p>
    <w:p w14:paraId="006670FC" w14:textId="77777777" w:rsidR="00BE6087" w:rsidRPr="00A615B5" w:rsidRDefault="00BE6087" w:rsidP="00F911BC">
      <w:pPr>
        <w:jc w:val="both"/>
        <w:rPr>
          <w:rFonts w:ascii="Arial" w:hAnsi="Arial" w:cs="Arial"/>
          <w:color w:val="7B7B7B" w:themeColor="accent3" w:themeShade="BF"/>
          <w:sz w:val="22"/>
          <w:szCs w:val="22"/>
        </w:rPr>
      </w:pPr>
    </w:p>
    <w:p w14:paraId="1A1637C6" w14:textId="298CE96D" w:rsidR="006C3FB7" w:rsidRPr="00667596" w:rsidRDefault="00F911BC" w:rsidP="00F911BC">
      <w:pPr>
        <w:jc w:val="both"/>
        <w:rPr>
          <w:rFonts w:ascii="Arial" w:hAnsi="Arial" w:cs="Arial"/>
          <w:i/>
          <w:iCs/>
          <w:color w:val="7B7B7B" w:themeColor="accent3" w:themeShade="BF"/>
          <w:sz w:val="22"/>
          <w:szCs w:val="22"/>
        </w:rPr>
      </w:pPr>
      <w:r w:rsidRPr="00A615B5">
        <w:rPr>
          <w:rFonts w:ascii="Arial" w:hAnsi="Arial" w:cs="Arial"/>
          <w:color w:val="7B7B7B" w:themeColor="accent3" w:themeShade="BF"/>
          <w:sz w:val="22"/>
          <w:szCs w:val="22"/>
        </w:rPr>
        <w:t xml:space="preserve">Statement 2 is in relation to </w:t>
      </w:r>
      <w:r w:rsidR="00A615B5" w:rsidRPr="00A615B5">
        <w:rPr>
          <w:rFonts w:ascii="Arial" w:hAnsi="Arial" w:cs="Arial"/>
          <w:color w:val="7B7B7B" w:themeColor="accent3" w:themeShade="BF"/>
          <w:sz w:val="22"/>
          <w:szCs w:val="22"/>
        </w:rPr>
        <w:t xml:space="preserve">an </w:t>
      </w:r>
      <w:r w:rsidR="00BE6087" w:rsidRPr="00A615B5">
        <w:rPr>
          <w:rFonts w:ascii="Arial" w:hAnsi="Arial" w:cs="Arial"/>
          <w:color w:val="7B7B7B" w:themeColor="accent3" w:themeShade="BF"/>
          <w:sz w:val="22"/>
          <w:szCs w:val="22"/>
        </w:rPr>
        <w:t>exception to the applica</w:t>
      </w:r>
      <w:r w:rsidR="00757C19" w:rsidRPr="00A615B5">
        <w:rPr>
          <w:rFonts w:ascii="Arial" w:hAnsi="Arial" w:cs="Arial"/>
          <w:color w:val="7B7B7B" w:themeColor="accent3" w:themeShade="BF"/>
          <w:sz w:val="22"/>
          <w:szCs w:val="22"/>
        </w:rPr>
        <w:t xml:space="preserve">tion </w:t>
      </w:r>
      <w:r w:rsidR="00BE6087" w:rsidRPr="00A615B5">
        <w:rPr>
          <w:rFonts w:ascii="Arial" w:hAnsi="Arial" w:cs="Arial"/>
          <w:color w:val="7B7B7B" w:themeColor="accent3" w:themeShade="BF"/>
          <w:sz w:val="22"/>
          <w:szCs w:val="22"/>
        </w:rPr>
        <w:t xml:space="preserve">of </w:t>
      </w:r>
      <w:r w:rsidR="00BE6087" w:rsidRPr="00A615B5">
        <w:rPr>
          <w:rFonts w:ascii="Arial" w:hAnsi="Arial" w:cs="Arial"/>
          <w:i/>
          <w:iCs/>
          <w:color w:val="7B7B7B" w:themeColor="accent3" w:themeShade="BF"/>
          <w:sz w:val="22"/>
          <w:szCs w:val="22"/>
        </w:rPr>
        <w:t>lex concursus</w:t>
      </w:r>
      <w:r w:rsidR="00BE6087" w:rsidRPr="00A615B5">
        <w:rPr>
          <w:rFonts w:ascii="Arial" w:hAnsi="Arial" w:cs="Arial"/>
          <w:color w:val="7B7B7B" w:themeColor="accent3" w:themeShade="BF"/>
          <w:sz w:val="22"/>
          <w:szCs w:val="22"/>
        </w:rPr>
        <w:t xml:space="preserve">, specifically pending lawsuits. Statement 2 can be located at Article 18 of the EIR Recast which </w:t>
      </w:r>
      <w:r w:rsidR="00613952" w:rsidRPr="00A615B5">
        <w:rPr>
          <w:rFonts w:ascii="Arial" w:hAnsi="Arial" w:cs="Arial"/>
          <w:color w:val="7B7B7B" w:themeColor="accent3" w:themeShade="BF"/>
          <w:sz w:val="22"/>
          <w:szCs w:val="22"/>
        </w:rPr>
        <w:t xml:space="preserve">states </w:t>
      </w:r>
      <w:r w:rsidR="00BE6087" w:rsidRPr="00A615B5">
        <w:rPr>
          <w:rFonts w:ascii="Arial" w:hAnsi="Arial" w:cs="Arial"/>
          <w:color w:val="7B7B7B" w:themeColor="accent3" w:themeShade="BF"/>
          <w:sz w:val="22"/>
          <w:szCs w:val="22"/>
        </w:rPr>
        <w:t>that the effects of insolvency proceedings on a pending lawsuit “</w:t>
      </w:r>
      <w:r w:rsidR="00BE6087" w:rsidRPr="00A615B5">
        <w:rPr>
          <w:rFonts w:ascii="Arial" w:hAnsi="Arial" w:cs="Arial"/>
          <w:i/>
          <w:iCs/>
          <w:color w:val="7B7B7B" w:themeColor="accent3" w:themeShade="BF"/>
          <w:sz w:val="22"/>
          <w:szCs w:val="22"/>
        </w:rPr>
        <w:t>shall be governed solely by the law of the Member State in which that lawsuit is pending</w:t>
      </w:r>
      <w:r w:rsidR="00BE6087" w:rsidRPr="00A615B5">
        <w:rPr>
          <w:rFonts w:ascii="Arial" w:hAnsi="Arial" w:cs="Arial"/>
          <w:color w:val="7B7B7B" w:themeColor="accent3" w:themeShade="BF"/>
          <w:sz w:val="22"/>
          <w:szCs w:val="22"/>
        </w:rPr>
        <w:t>”</w:t>
      </w:r>
      <w:r w:rsidR="00667596" w:rsidRPr="00A615B5">
        <w:rPr>
          <w:rStyle w:val="FootnoteReference"/>
          <w:rFonts w:ascii="Arial" w:hAnsi="Arial" w:cs="Arial"/>
          <w:color w:val="7B7B7B" w:themeColor="accent3" w:themeShade="BF"/>
          <w:sz w:val="22"/>
          <w:szCs w:val="22"/>
        </w:rPr>
        <w:footnoteReference w:id="1"/>
      </w:r>
      <w:r w:rsidR="00667596" w:rsidRPr="00A615B5">
        <w:rPr>
          <w:rFonts w:ascii="Arial" w:hAnsi="Arial" w:cs="Arial"/>
          <w:color w:val="7B7B7B" w:themeColor="accent3" w:themeShade="BF"/>
          <w:sz w:val="22"/>
          <w:szCs w:val="22"/>
        </w:rPr>
        <w:t>.</w:t>
      </w:r>
      <w:r w:rsidR="00A615B5">
        <w:rPr>
          <w:rFonts w:ascii="Arial" w:hAnsi="Arial" w:cs="Arial"/>
          <w:color w:val="7B7B7B" w:themeColor="accent3" w:themeShade="BF"/>
          <w:sz w:val="22"/>
          <w:szCs w:val="22"/>
        </w:rPr>
        <w:t xml:space="preserve"> It should be noted that Article 18 also applies to arbitral proceedings.</w:t>
      </w:r>
    </w:p>
    <w:p w14:paraId="404EC162" w14:textId="77777777" w:rsidR="00C320E5" w:rsidRPr="008E3C96" w:rsidRDefault="00C320E5"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03BD5DD7" w14:textId="77777777" w:rsidR="00F911BC" w:rsidRDefault="00F911BC" w:rsidP="00F911BC">
      <w:pPr>
        <w:jc w:val="both"/>
        <w:rPr>
          <w:rFonts w:ascii="Arial" w:hAnsi="Arial" w:cs="Arial"/>
          <w:color w:val="7B7B7B" w:themeColor="accent3" w:themeShade="BF"/>
          <w:sz w:val="22"/>
          <w:szCs w:val="22"/>
        </w:rPr>
      </w:pPr>
    </w:p>
    <w:p w14:paraId="541F1100" w14:textId="1F6107FB" w:rsidR="000A3278" w:rsidRPr="007F7C71" w:rsidRDefault="0042112D" w:rsidP="00F911BC">
      <w:pPr>
        <w:jc w:val="both"/>
        <w:rPr>
          <w:rFonts w:ascii="Arial" w:hAnsi="Arial" w:cs="Arial"/>
          <w:color w:val="7B7B7B" w:themeColor="accent3" w:themeShade="BF"/>
          <w:sz w:val="22"/>
          <w:szCs w:val="22"/>
        </w:rPr>
      </w:pPr>
      <w:r w:rsidRPr="007F7C71">
        <w:rPr>
          <w:rFonts w:ascii="Arial" w:hAnsi="Arial" w:cs="Arial"/>
          <w:color w:val="7B7B7B" w:themeColor="accent3" w:themeShade="BF"/>
          <w:sz w:val="22"/>
          <w:szCs w:val="22"/>
        </w:rPr>
        <w:t>Article 7(1) of the EIR Recast provides that “</w:t>
      </w:r>
      <w:r w:rsidRPr="007F7C71">
        <w:rPr>
          <w:rFonts w:ascii="Arial" w:hAnsi="Arial" w:cs="Arial"/>
          <w:i/>
          <w:iCs/>
          <w:color w:val="7B7B7B" w:themeColor="accent3" w:themeShade="BF"/>
          <w:sz w:val="22"/>
          <w:szCs w:val="22"/>
        </w:rPr>
        <w:t>the law applicable to insolvency proceedings and their effects shall be that of the Member State within the territory of which such proceedings are opened</w:t>
      </w:r>
      <w:r w:rsidRPr="007F7C71">
        <w:rPr>
          <w:rFonts w:ascii="Arial" w:hAnsi="Arial" w:cs="Arial"/>
          <w:color w:val="7B7B7B" w:themeColor="accent3" w:themeShade="BF"/>
          <w:sz w:val="22"/>
          <w:szCs w:val="22"/>
        </w:rPr>
        <w:t>”</w:t>
      </w:r>
      <w:r w:rsidRPr="007F7C71">
        <w:rPr>
          <w:rStyle w:val="FootnoteReference"/>
          <w:rFonts w:ascii="Arial" w:hAnsi="Arial" w:cs="Arial"/>
          <w:color w:val="7B7B7B" w:themeColor="accent3" w:themeShade="BF"/>
          <w:sz w:val="22"/>
          <w:szCs w:val="22"/>
        </w:rPr>
        <w:footnoteReference w:id="2"/>
      </w:r>
      <w:r w:rsidRPr="007F7C71">
        <w:rPr>
          <w:rFonts w:ascii="Arial" w:hAnsi="Arial" w:cs="Arial"/>
          <w:color w:val="7B7B7B" w:themeColor="accent3" w:themeShade="BF"/>
          <w:sz w:val="22"/>
          <w:szCs w:val="22"/>
        </w:rPr>
        <w:t xml:space="preserve">. </w:t>
      </w:r>
      <w:r w:rsidR="00F911BC" w:rsidRPr="007F7C71">
        <w:rPr>
          <w:rFonts w:ascii="Arial" w:hAnsi="Arial" w:cs="Arial"/>
          <w:color w:val="7B7B7B" w:themeColor="accent3" w:themeShade="BF"/>
          <w:sz w:val="22"/>
          <w:szCs w:val="22"/>
        </w:rPr>
        <w:t>Even though the universality of proceedings remains the EIR Recast's objective,</w:t>
      </w:r>
      <w:r w:rsidR="00D929BE" w:rsidRPr="007F7C71">
        <w:rPr>
          <w:rFonts w:ascii="Arial" w:hAnsi="Arial" w:cs="Arial"/>
          <w:color w:val="7B7B7B" w:themeColor="accent3" w:themeShade="BF"/>
          <w:sz w:val="22"/>
          <w:szCs w:val="22"/>
        </w:rPr>
        <w:t xml:space="preserve"> there are</w:t>
      </w:r>
      <w:r w:rsidR="00F911BC" w:rsidRPr="007F7C71">
        <w:rPr>
          <w:rFonts w:ascii="Arial" w:hAnsi="Arial" w:cs="Arial"/>
          <w:color w:val="7B7B7B" w:themeColor="accent3" w:themeShade="BF"/>
          <w:sz w:val="22"/>
          <w:szCs w:val="22"/>
        </w:rPr>
        <w:t xml:space="preserve"> several exceptions to this</w:t>
      </w:r>
      <w:r w:rsidR="00D929BE" w:rsidRPr="007F7C71">
        <w:rPr>
          <w:rFonts w:ascii="Arial" w:hAnsi="Arial" w:cs="Arial"/>
          <w:color w:val="7B7B7B" w:themeColor="accent3" w:themeShade="BF"/>
          <w:sz w:val="22"/>
          <w:szCs w:val="22"/>
        </w:rPr>
        <w:t xml:space="preserve"> vision</w:t>
      </w:r>
      <w:r w:rsidR="00F911BC" w:rsidRPr="007F7C71">
        <w:rPr>
          <w:rFonts w:ascii="Arial" w:hAnsi="Arial" w:cs="Arial"/>
          <w:color w:val="7B7B7B" w:themeColor="accent3" w:themeShade="BF"/>
          <w:sz w:val="22"/>
          <w:szCs w:val="22"/>
        </w:rPr>
        <w:t>. Three examples of provisions from the EIR Recast which depart from a universal approach to cross-border insolvency are:</w:t>
      </w:r>
    </w:p>
    <w:p w14:paraId="66F81804" w14:textId="762DB04F" w:rsidR="00757C19" w:rsidRPr="00B20E3C" w:rsidRDefault="00C12FFB">
      <w:pPr>
        <w:pStyle w:val="ListParagraph"/>
        <w:numPr>
          <w:ilvl w:val="0"/>
          <w:numId w:val="11"/>
        </w:numPr>
        <w:jc w:val="both"/>
        <w:rPr>
          <w:rFonts w:ascii="Arial" w:hAnsi="Arial" w:cs="Arial"/>
          <w:color w:val="7B7B7B" w:themeColor="accent3" w:themeShade="BF"/>
          <w:sz w:val="22"/>
          <w:szCs w:val="22"/>
        </w:rPr>
      </w:pPr>
      <w:r w:rsidRPr="007F7C71">
        <w:rPr>
          <w:rFonts w:ascii="Arial" w:hAnsi="Arial" w:cs="Arial"/>
          <w:color w:val="7B7B7B" w:themeColor="accent3" w:themeShade="BF"/>
          <w:sz w:val="22"/>
          <w:szCs w:val="22"/>
        </w:rPr>
        <w:t>"</w:t>
      </w:r>
      <w:r w:rsidR="00757C19" w:rsidRPr="007F7C71">
        <w:rPr>
          <w:rFonts w:ascii="Arial" w:hAnsi="Arial" w:cs="Arial"/>
          <w:color w:val="7B7B7B" w:themeColor="accent3" w:themeShade="BF"/>
          <w:sz w:val="22"/>
          <w:szCs w:val="22"/>
        </w:rPr>
        <w:t xml:space="preserve">Third parties’ rights </w:t>
      </w:r>
      <w:r w:rsidR="00757C19" w:rsidRPr="007F7C71">
        <w:rPr>
          <w:rFonts w:ascii="Arial" w:hAnsi="Arial" w:cs="Arial"/>
          <w:i/>
          <w:iCs/>
          <w:color w:val="7B7B7B" w:themeColor="accent3" w:themeShade="BF"/>
          <w:sz w:val="22"/>
          <w:szCs w:val="22"/>
        </w:rPr>
        <w:t>in rem</w:t>
      </w:r>
      <w:r w:rsidR="00757C19" w:rsidRPr="007F7C71">
        <w:rPr>
          <w:rFonts w:ascii="Arial" w:hAnsi="Arial" w:cs="Arial"/>
          <w:color w:val="7B7B7B" w:themeColor="accent3" w:themeShade="BF"/>
          <w:sz w:val="22"/>
          <w:szCs w:val="22"/>
        </w:rPr>
        <w:t xml:space="preserve"> (Article 8)</w:t>
      </w:r>
      <w:r w:rsidR="00602EF9" w:rsidRPr="007F7C71">
        <w:rPr>
          <w:rFonts w:ascii="Arial" w:hAnsi="Arial" w:cs="Arial"/>
          <w:color w:val="7B7B7B" w:themeColor="accent3" w:themeShade="BF"/>
          <w:sz w:val="22"/>
          <w:szCs w:val="22"/>
        </w:rPr>
        <w:t xml:space="preserve"> </w:t>
      </w:r>
      <w:r w:rsidR="00757C19" w:rsidRPr="007F7C71">
        <w:rPr>
          <w:rFonts w:ascii="Arial" w:hAnsi="Arial" w:cs="Arial"/>
          <w:color w:val="7B7B7B" w:themeColor="accent3" w:themeShade="BF"/>
          <w:sz w:val="22"/>
          <w:szCs w:val="22"/>
        </w:rPr>
        <w:t>- Article 8</w:t>
      </w:r>
      <w:r w:rsidR="007F7C71" w:rsidRPr="007F7C71">
        <w:rPr>
          <w:rFonts w:ascii="Arial" w:hAnsi="Arial" w:cs="Arial"/>
          <w:color w:val="7B7B7B" w:themeColor="accent3" w:themeShade="BF"/>
          <w:sz w:val="22"/>
          <w:szCs w:val="22"/>
        </w:rPr>
        <w:t>(1)</w:t>
      </w:r>
      <w:r w:rsidR="00757C19" w:rsidRPr="007F7C71">
        <w:rPr>
          <w:rFonts w:ascii="Arial" w:hAnsi="Arial" w:cs="Arial"/>
          <w:color w:val="7B7B7B" w:themeColor="accent3" w:themeShade="BF"/>
          <w:sz w:val="22"/>
          <w:szCs w:val="22"/>
        </w:rPr>
        <w:t xml:space="preserve"> provides that when insolvency proceedings are opened, the</w:t>
      </w:r>
      <w:r w:rsidR="007F7C71" w:rsidRPr="007F7C71">
        <w:rPr>
          <w:rFonts w:ascii="Arial" w:hAnsi="Arial" w:cs="Arial"/>
          <w:color w:val="7B7B7B" w:themeColor="accent3" w:themeShade="BF"/>
          <w:sz w:val="22"/>
          <w:szCs w:val="22"/>
        </w:rPr>
        <w:t>y</w:t>
      </w:r>
      <w:r w:rsidR="00757C19" w:rsidRPr="007F7C71">
        <w:rPr>
          <w:rFonts w:ascii="Arial" w:hAnsi="Arial" w:cs="Arial"/>
          <w:color w:val="7B7B7B" w:themeColor="accent3" w:themeShade="BF"/>
          <w:sz w:val="22"/>
          <w:szCs w:val="22"/>
        </w:rPr>
        <w:t xml:space="preserve"> “</w:t>
      </w:r>
      <w:r w:rsidR="00757C19" w:rsidRPr="007F7C71">
        <w:rPr>
          <w:rFonts w:ascii="Arial" w:hAnsi="Arial" w:cs="Arial"/>
          <w:i/>
          <w:iCs/>
          <w:color w:val="7B7B7B" w:themeColor="accent3" w:themeShade="BF"/>
          <w:sz w:val="22"/>
          <w:szCs w:val="22"/>
        </w:rPr>
        <w:t>shall not affect the rights in rem of creditors or third parties in respect of tangible or intangible, moveable or immoveable assets</w:t>
      </w:r>
      <w:r w:rsidR="00602EF9" w:rsidRPr="007F7C71">
        <w:rPr>
          <w:rFonts w:ascii="Arial" w:hAnsi="Arial" w:cs="Arial"/>
          <w:i/>
          <w:iCs/>
          <w:color w:val="7B7B7B" w:themeColor="accent3" w:themeShade="BF"/>
          <w:sz w:val="22"/>
          <w:szCs w:val="22"/>
        </w:rPr>
        <w:t>…</w:t>
      </w:r>
      <w:r w:rsidR="00757C19" w:rsidRPr="007F7C71">
        <w:rPr>
          <w:rFonts w:ascii="Arial" w:hAnsi="Arial" w:cs="Arial"/>
          <w:i/>
          <w:iCs/>
          <w:color w:val="7B7B7B" w:themeColor="accent3" w:themeShade="BF"/>
          <w:sz w:val="22"/>
          <w:szCs w:val="22"/>
        </w:rPr>
        <w:t>belonging to the debtor which are situated within the territory of another Member State at the time of the opening of proceedings</w:t>
      </w:r>
      <w:r w:rsidR="00757C19" w:rsidRPr="007F7C71">
        <w:rPr>
          <w:rFonts w:ascii="Arial" w:hAnsi="Arial" w:cs="Arial"/>
          <w:color w:val="7B7B7B" w:themeColor="accent3" w:themeShade="BF"/>
          <w:sz w:val="22"/>
          <w:szCs w:val="22"/>
        </w:rPr>
        <w:t>”</w:t>
      </w:r>
      <w:r w:rsidR="00757C19" w:rsidRPr="007F7C71">
        <w:rPr>
          <w:rStyle w:val="FootnoteReference"/>
          <w:rFonts w:ascii="Arial" w:hAnsi="Arial" w:cs="Arial"/>
          <w:color w:val="7B7B7B" w:themeColor="accent3" w:themeShade="BF"/>
          <w:sz w:val="22"/>
          <w:szCs w:val="22"/>
        </w:rPr>
        <w:footnoteReference w:id="3"/>
      </w:r>
      <w:r w:rsidR="00757C19" w:rsidRPr="007F7C71">
        <w:rPr>
          <w:rFonts w:ascii="Arial" w:hAnsi="Arial" w:cs="Arial"/>
          <w:color w:val="7B7B7B" w:themeColor="accent3" w:themeShade="BF"/>
          <w:sz w:val="22"/>
          <w:szCs w:val="22"/>
        </w:rPr>
        <w:t xml:space="preserve">. </w:t>
      </w:r>
      <w:r w:rsidR="00602EF9" w:rsidRPr="007F7C71">
        <w:rPr>
          <w:rFonts w:ascii="Arial" w:hAnsi="Arial" w:cs="Arial"/>
          <w:color w:val="7B7B7B" w:themeColor="accent3" w:themeShade="BF"/>
          <w:sz w:val="22"/>
          <w:szCs w:val="22"/>
        </w:rPr>
        <w:t>As a result,</w:t>
      </w:r>
      <w:r w:rsidR="00457304" w:rsidRPr="007F7C71">
        <w:rPr>
          <w:rFonts w:ascii="Arial" w:hAnsi="Arial" w:cs="Arial"/>
          <w:color w:val="7B7B7B" w:themeColor="accent3" w:themeShade="BF"/>
          <w:sz w:val="22"/>
          <w:szCs w:val="22"/>
        </w:rPr>
        <w:t xml:space="preserve"> </w:t>
      </w:r>
      <w:r w:rsidR="00602EF9" w:rsidRPr="007F7C71">
        <w:rPr>
          <w:rFonts w:ascii="Arial" w:hAnsi="Arial" w:cs="Arial"/>
          <w:color w:val="7B7B7B" w:themeColor="accent3" w:themeShade="BF"/>
          <w:sz w:val="22"/>
          <w:szCs w:val="22"/>
        </w:rPr>
        <w:t xml:space="preserve">rights </w:t>
      </w:r>
      <w:r w:rsidR="00602EF9" w:rsidRPr="007F7C71">
        <w:rPr>
          <w:rFonts w:ascii="Arial" w:hAnsi="Arial" w:cs="Arial"/>
          <w:i/>
          <w:iCs/>
          <w:color w:val="7B7B7B" w:themeColor="accent3" w:themeShade="BF"/>
          <w:sz w:val="22"/>
          <w:szCs w:val="22"/>
        </w:rPr>
        <w:t>in rem</w:t>
      </w:r>
      <w:r w:rsidR="00602EF9" w:rsidRPr="007F7C71">
        <w:rPr>
          <w:rFonts w:ascii="Arial" w:hAnsi="Arial" w:cs="Arial"/>
          <w:color w:val="7B7B7B" w:themeColor="accent3" w:themeShade="BF"/>
          <w:sz w:val="22"/>
          <w:szCs w:val="22"/>
        </w:rPr>
        <w:t xml:space="preserve"> are “entirely insulated” from the opening of insolvency proceedings and the proprietor of the right </w:t>
      </w:r>
      <w:r w:rsidR="00602EF9" w:rsidRPr="007F7C71">
        <w:rPr>
          <w:rFonts w:ascii="Arial" w:hAnsi="Arial" w:cs="Arial"/>
          <w:i/>
          <w:iCs/>
          <w:color w:val="7B7B7B" w:themeColor="accent3" w:themeShade="BF"/>
          <w:sz w:val="22"/>
          <w:szCs w:val="22"/>
        </w:rPr>
        <w:t>in rem</w:t>
      </w:r>
      <w:r w:rsidR="00602EF9" w:rsidRPr="007F7C71">
        <w:rPr>
          <w:rFonts w:ascii="Arial" w:hAnsi="Arial" w:cs="Arial"/>
          <w:color w:val="7B7B7B" w:themeColor="accent3" w:themeShade="BF"/>
          <w:sz w:val="22"/>
          <w:szCs w:val="22"/>
        </w:rPr>
        <w:t xml:space="preserve"> should, in theory, be able to continue to asse</w:t>
      </w:r>
      <w:r w:rsidR="003C461B" w:rsidRPr="007F7C71">
        <w:rPr>
          <w:rFonts w:ascii="Arial" w:hAnsi="Arial" w:cs="Arial"/>
          <w:color w:val="7B7B7B" w:themeColor="accent3" w:themeShade="BF"/>
          <w:sz w:val="22"/>
          <w:szCs w:val="22"/>
        </w:rPr>
        <w:t>r</w:t>
      </w:r>
      <w:r w:rsidR="00602EF9" w:rsidRPr="007F7C71">
        <w:rPr>
          <w:rFonts w:ascii="Arial" w:hAnsi="Arial" w:cs="Arial"/>
          <w:color w:val="7B7B7B" w:themeColor="accent3" w:themeShade="BF"/>
          <w:sz w:val="22"/>
          <w:szCs w:val="22"/>
        </w:rPr>
        <w:t>t its right</w:t>
      </w:r>
      <w:r w:rsidRPr="007F7C71">
        <w:rPr>
          <w:rFonts w:ascii="Arial" w:hAnsi="Arial" w:cs="Arial"/>
          <w:color w:val="7B7B7B" w:themeColor="accent3" w:themeShade="BF"/>
          <w:sz w:val="22"/>
          <w:szCs w:val="22"/>
        </w:rPr>
        <w:t xml:space="preserve"> to segregate the collateral security</w:t>
      </w:r>
      <w:r w:rsidR="00602EF9" w:rsidRPr="007F7C71">
        <w:rPr>
          <w:rStyle w:val="FootnoteReference"/>
          <w:rFonts w:ascii="Arial" w:hAnsi="Arial" w:cs="Arial"/>
          <w:color w:val="7B7B7B" w:themeColor="accent3" w:themeShade="BF"/>
          <w:sz w:val="22"/>
          <w:szCs w:val="22"/>
        </w:rPr>
        <w:footnoteReference w:id="4"/>
      </w:r>
      <w:r w:rsidR="003C461B" w:rsidRPr="007F7C71">
        <w:rPr>
          <w:rFonts w:ascii="Arial" w:hAnsi="Arial" w:cs="Arial"/>
          <w:color w:val="7B7B7B" w:themeColor="accent3" w:themeShade="BF"/>
          <w:sz w:val="22"/>
          <w:szCs w:val="22"/>
        </w:rPr>
        <w:t xml:space="preserve">. The policy purpose behind this exception is to provide legal and economic certainty as the holder of rights </w:t>
      </w:r>
      <w:r w:rsidR="003C461B" w:rsidRPr="007F7C71">
        <w:rPr>
          <w:rFonts w:ascii="Arial" w:hAnsi="Arial" w:cs="Arial"/>
          <w:i/>
          <w:iCs/>
          <w:color w:val="7B7B7B" w:themeColor="accent3" w:themeShade="BF"/>
          <w:sz w:val="22"/>
          <w:szCs w:val="22"/>
        </w:rPr>
        <w:t>in rem</w:t>
      </w:r>
      <w:r w:rsidR="003C461B" w:rsidRPr="007F7C71">
        <w:rPr>
          <w:rFonts w:ascii="Arial" w:hAnsi="Arial" w:cs="Arial"/>
          <w:color w:val="7B7B7B" w:themeColor="accent3" w:themeShade="BF"/>
          <w:sz w:val="22"/>
          <w:szCs w:val="22"/>
        </w:rPr>
        <w:t xml:space="preserve"> are protected against the risk and </w:t>
      </w:r>
      <w:r w:rsidR="003C461B" w:rsidRPr="00B20E3C">
        <w:rPr>
          <w:rFonts w:ascii="Arial" w:hAnsi="Arial" w:cs="Arial"/>
          <w:color w:val="7B7B7B" w:themeColor="accent3" w:themeShade="BF"/>
          <w:sz w:val="22"/>
          <w:szCs w:val="22"/>
        </w:rPr>
        <w:t>effects of insolvency proceedings</w:t>
      </w:r>
      <w:r w:rsidR="003C461B" w:rsidRPr="00B20E3C">
        <w:rPr>
          <w:rStyle w:val="FootnoteReference"/>
          <w:rFonts w:ascii="Arial" w:hAnsi="Arial" w:cs="Arial"/>
          <w:color w:val="7B7B7B" w:themeColor="accent3" w:themeShade="BF"/>
          <w:sz w:val="22"/>
          <w:szCs w:val="22"/>
        </w:rPr>
        <w:footnoteReference w:id="5"/>
      </w:r>
      <w:r w:rsidR="003C461B" w:rsidRPr="00B20E3C">
        <w:rPr>
          <w:rFonts w:ascii="Arial" w:hAnsi="Arial" w:cs="Arial"/>
          <w:color w:val="7B7B7B" w:themeColor="accent3" w:themeShade="BF"/>
          <w:sz w:val="22"/>
          <w:szCs w:val="22"/>
        </w:rPr>
        <w:t>;</w:t>
      </w:r>
    </w:p>
    <w:p w14:paraId="6097385A" w14:textId="77777777" w:rsidR="002A7062" w:rsidRPr="00B20E3C" w:rsidRDefault="002A7062" w:rsidP="002A7062">
      <w:pPr>
        <w:jc w:val="both"/>
        <w:rPr>
          <w:rFonts w:ascii="Arial" w:hAnsi="Arial" w:cs="Arial"/>
          <w:color w:val="7B7B7B" w:themeColor="accent3" w:themeShade="BF"/>
          <w:sz w:val="22"/>
          <w:szCs w:val="22"/>
        </w:rPr>
      </w:pPr>
    </w:p>
    <w:p w14:paraId="03E892DC" w14:textId="235FBA61" w:rsidR="00C12FFB" w:rsidRPr="00B20E3C" w:rsidRDefault="00C12FFB">
      <w:pPr>
        <w:pStyle w:val="ListParagraph"/>
        <w:numPr>
          <w:ilvl w:val="0"/>
          <w:numId w:val="11"/>
        </w:numPr>
        <w:jc w:val="both"/>
        <w:rPr>
          <w:rFonts w:ascii="Arial" w:hAnsi="Arial" w:cs="Arial"/>
          <w:color w:val="7B7B7B" w:themeColor="accent3" w:themeShade="BF"/>
          <w:sz w:val="22"/>
          <w:szCs w:val="22"/>
        </w:rPr>
      </w:pPr>
      <w:r w:rsidRPr="00B20E3C">
        <w:rPr>
          <w:rFonts w:ascii="Arial" w:hAnsi="Arial" w:cs="Arial"/>
          <w:color w:val="7B7B7B" w:themeColor="accent3" w:themeShade="BF"/>
          <w:sz w:val="22"/>
          <w:szCs w:val="22"/>
        </w:rPr>
        <w:t xml:space="preserve">Contracts of employment (Article 13) – </w:t>
      </w:r>
      <w:r w:rsidR="00A40662" w:rsidRPr="00B20E3C">
        <w:rPr>
          <w:rFonts w:ascii="Arial" w:hAnsi="Arial" w:cs="Arial"/>
          <w:color w:val="7B7B7B" w:themeColor="accent3" w:themeShade="BF"/>
          <w:sz w:val="22"/>
          <w:szCs w:val="22"/>
        </w:rPr>
        <w:t>Article 7(2)(e) provides that the law of the Member State which opens the insolvency proceedings shall determine the effects of the proceedings on current contracts to which a debtor is party</w:t>
      </w:r>
      <w:r w:rsidR="00613952" w:rsidRPr="00B20E3C">
        <w:rPr>
          <w:rFonts w:ascii="Arial" w:hAnsi="Arial" w:cs="Arial"/>
          <w:color w:val="7B7B7B" w:themeColor="accent3" w:themeShade="BF"/>
          <w:sz w:val="22"/>
          <w:szCs w:val="22"/>
        </w:rPr>
        <w:t xml:space="preserve"> to</w:t>
      </w:r>
      <w:r w:rsidR="00A40662" w:rsidRPr="00B20E3C">
        <w:rPr>
          <w:rStyle w:val="FootnoteReference"/>
          <w:rFonts w:ascii="Arial" w:hAnsi="Arial" w:cs="Arial"/>
          <w:color w:val="7B7B7B" w:themeColor="accent3" w:themeShade="BF"/>
          <w:sz w:val="22"/>
          <w:szCs w:val="22"/>
        </w:rPr>
        <w:footnoteReference w:id="6"/>
      </w:r>
      <w:r w:rsidR="00A40662" w:rsidRPr="00B20E3C">
        <w:rPr>
          <w:rFonts w:ascii="Arial" w:hAnsi="Arial" w:cs="Arial"/>
          <w:color w:val="7B7B7B" w:themeColor="accent3" w:themeShade="BF"/>
          <w:sz w:val="22"/>
          <w:szCs w:val="22"/>
        </w:rPr>
        <w:t xml:space="preserve">. </w:t>
      </w:r>
      <w:r w:rsidRPr="00B20E3C">
        <w:rPr>
          <w:rFonts w:ascii="Arial" w:hAnsi="Arial" w:cs="Arial"/>
          <w:color w:val="7B7B7B" w:themeColor="accent3" w:themeShade="BF"/>
          <w:sz w:val="22"/>
          <w:szCs w:val="22"/>
        </w:rPr>
        <w:t xml:space="preserve">Article 13(1) </w:t>
      </w:r>
      <w:r w:rsidR="00A40662" w:rsidRPr="00B20E3C">
        <w:rPr>
          <w:rFonts w:ascii="Arial" w:hAnsi="Arial" w:cs="Arial"/>
          <w:color w:val="7B7B7B" w:themeColor="accent3" w:themeShade="BF"/>
          <w:sz w:val="22"/>
          <w:szCs w:val="22"/>
        </w:rPr>
        <w:t xml:space="preserve">is an exception to Article 7(2)(e). Article 13(1) </w:t>
      </w:r>
      <w:r w:rsidRPr="00B20E3C">
        <w:rPr>
          <w:rFonts w:ascii="Arial" w:hAnsi="Arial" w:cs="Arial"/>
          <w:color w:val="7B7B7B" w:themeColor="accent3" w:themeShade="BF"/>
          <w:sz w:val="22"/>
          <w:szCs w:val="22"/>
        </w:rPr>
        <w:t>provides that the “</w:t>
      </w:r>
      <w:r w:rsidRPr="00B20E3C">
        <w:rPr>
          <w:rFonts w:ascii="Arial" w:hAnsi="Arial" w:cs="Arial"/>
          <w:i/>
          <w:iCs/>
          <w:color w:val="7B7B7B" w:themeColor="accent3" w:themeShade="BF"/>
          <w:sz w:val="22"/>
          <w:szCs w:val="22"/>
        </w:rPr>
        <w:t>effects of insolvency proceedings on employment contracts and relationships shall be governed solely by the law of the Member State applicable to the contract of employment</w:t>
      </w:r>
      <w:r w:rsidRPr="00B20E3C">
        <w:rPr>
          <w:rFonts w:ascii="Arial" w:hAnsi="Arial" w:cs="Arial"/>
          <w:color w:val="7B7B7B" w:themeColor="accent3" w:themeShade="BF"/>
          <w:sz w:val="22"/>
          <w:szCs w:val="22"/>
        </w:rPr>
        <w:t>.”</w:t>
      </w:r>
      <w:r w:rsidRPr="00B20E3C">
        <w:rPr>
          <w:rStyle w:val="FootnoteReference"/>
          <w:rFonts w:ascii="Arial" w:hAnsi="Arial" w:cs="Arial"/>
          <w:color w:val="7B7B7B" w:themeColor="accent3" w:themeShade="BF"/>
          <w:sz w:val="22"/>
          <w:szCs w:val="22"/>
        </w:rPr>
        <w:footnoteReference w:id="7"/>
      </w:r>
      <w:r w:rsidR="00613952" w:rsidRPr="00B20E3C">
        <w:rPr>
          <w:rFonts w:ascii="Arial" w:hAnsi="Arial" w:cs="Arial"/>
          <w:color w:val="7B7B7B" w:themeColor="accent3" w:themeShade="BF"/>
          <w:sz w:val="22"/>
          <w:szCs w:val="22"/>
        </w:rPr>
        <w:t xml:space="preserve"> </w:t>
      </w:r>
      <w:r w:rsidR="00A40662" w:rsidRPr="00B20E3C">
        <w:rPr>
          <w:rFonts w:ascii="Arial" w:hAnsi="Arial" w:cs="Arial"/>
          <w:color w:val="7B7B7B" w:themeColor="accent3" w:themeShade="BF"/>
          <w:sz w:val="22"/>
          <w:szCs w:val="22"/>
        </w:rPr>
        <w:t>The policy reason for this exception is, as stated in Recital 72, “</w:t>
      </w:r>
      <w:r w:rsidR="00A40662" w:rsidRPr="00B20E3C">
        <w:rPr>
          <w:rFonts w:ascii="Arial" w:hAnsi="Arial" w:cs="Arial"/>
          <w:i/>
          <w:iCs/>
          <w:color w:val="7B7B7B" w:themeColor="accent3" w:themeShade="BF"/>
          <w:sz w:val="22"/>
          <w:szCs w:val="22"/>
        </w:rPr>
        <w:t>to protect employees and jobs</w:t>
      </w:r>
      <w:r w:rsidR="00A40662" w:rsidRPr="00B20E3C">
        <w:rPr>
          <w:rFonts w:ascii="Arial" w:hAnsi="Arial" w:cs="Arial"/>
          <w:color w:val="7B7B7B" w:themeColor="accent3" w:themeShade="BF"/>
          <w:sz w:val="22"/>
          <w:szCs w:val="22"/>
        </w:rPr>
        <w:t>”</w:t>
      </w:r>
      <w:r w:rsidR="00A40662" w:rsidRPr="00B20E3C">
        <w:rPr>
          <w:rStyle w:val="FootnoteReference"/>
          <w:rFonts w:ascii="Arial" w:hAnsi="Arial" w:cs="Arial"/>
          <w:color w:val="7B7B7B" w:themeColor="accent3" w:themeShade="BF"/>
          <w:sz w:val="22"/>
          <w:szCs w:val="22"/>
        </w:rPr>
        <w:footnoteReference w:id="8"/>
      </w:r>
      <w:r w:rsidR="003C461B" w:rsidRPr="00B20E3C">
        <w:rPr>
          <w:rFonts w:ascii="Arial" w:hAnsi="Arial" w:cs="Arial"/>
          <w:color w:val="7B7B7B" w:themeColor="accent3" w:themeShade="BF"/>
          <w:sz w:val="22"/>
          <w:szCs w:val="22"/>
        </w:rPr>
        <w:t xml:space="preserve">. Employees and </w:t>
      </w:r>
      <w:proofErr w:type="spellStart"/>
      <w:r w:rsidR="003C461B" w:rsidRPr="00B20E3C">
        <w:rPr>
          <w:rFonts w:ascii="Arial" w:hAnsi="Arial" w:cs="Arial"/>
          <w:color w:val="7B7B7B" w:themeColor="accent3" w:themeShade="BF"/>
          <w:sz w:val="22"/>
          <w:szCs w:val="22"/>
        </w:rPr>
        <w:t>labour</w:t>
      </w:r>
      <w:proofErr w:type="spellEnd"/>
      <w:r w:rsidR="003C461B" w:rsidRPr="00B20E3C">
        <w:rPr>
          <w:rFonts w:ascii="Arial" w:hAnsi="Arial" w:cs="Arial"/>
          <w:color w:val="7B7B7B" w:themeColor="accent3" w:themeShade="BF"/>
          <w:sz w:val="22"/>
          <w:szCs w:val="22"/>
        </w:rPr>
        <w:t xml:space="preserve"> relations are shielded from the application of foreign law (which would be different from that which governs the contractual relationship between employees and employers)</w:t>
      </w:r>
      <w:r w:rsidR="003C461B" w:rsidRPr="00B20E3C">
        <w:rPr>
          <w:rStyle w:val="FootnoteReference"/>
          <w:rFonts w:ascii="Arial" w:hAnsi="Arial" w:cs="Arial"/>
          <w:color w:val="7B7B7B" w:themeColor="accent3" w:themeShade="BF"/>
          <w:sz w:val="22"/>
          <w:szCs w:val="22"/>
        </w:rPr>
        <w:footnoteReference w:id="9"/>
      </w:r>
      <w:r w:rsidR="00A40662" w:rsidRPr="00B20E3C">
        <w:rPr>
          <w:rFonts w:ascii="Arial" w:hAnsi="Arial" w:cs="Arial"/>
          <w:color w:val="7B7B7B" w:themeColor="accent3" w:themeShade="BF"/>
          <w:sz w:val="22"/>
          <w:szCs w:val="22"/>
        </w:rPr>
        <w:t>; and</w:t>
      </w:r>
    </w:p>
    <w:p w14:paraId="623026E1" w14:textId="77777777" w:rsidR="002A7062" w:rsidRPr="009B6724" w:rsidRDefault="002A7062" w:rsidP="002A7062">
      <w:pPr>
        <w:jc w:val="both"/>
        <w:rPr>
          <w:rFonts w:ascii="Arial" w:hAnsi="Arial" w:cs="Arial"/>
          <w:color w:val="7B7B7B" w:themeColor="accent3" w:themeShade="BF"/>
          <w:sz w:val="22"/>
          <w:szCs w:val="22"/>
          <w:highlight w:val="green"/>
        </w:rPr>
      </w:pPr>
    </w:p>
    <w:p w14:paraId="77DE202D" w14:textId="7B97472E" w:rsidR="00C12FFB" w:rsidRPr="000D0189" w:rsidRDefault="00A40662">
      <w:pPr>
        <w:pStyle w:val="ListParagraph"/>
        <w:numPr>
          <w:ilvl w:val="0"/>
          <w:numId w:val="11"/>
        </w:numPr>
        <w:jc w:val="both"/>
        <w:rPr>
          <w:rFonts w:ascii="Arial" w:hAnsi="Arial" w:cs="Arial"/>
          <w:color w:val="7B7B7B" w:themeColor="accent3" w:themeShade="BF"/>
          <w:sz w:val="22"/>
          <w:szCs w:val="22"/>
        </w:rPr>
      </w:pPr>
      <w:r w:rsidRPr="000D0189">
        <w:rPr>
          <w:rFonts w:ascii="Arial" w:hAnsi="Arial" w:cs="Arial"/>
          <w:color w:val="7B7B7B" w:themeColor="accent3" w:themeShade="BF"/>
          <w:sz w:val="22"/>
          <w:szCs w:val="22"/>
        </w:rPr>
        <w:t>Pending lawsuits or arbitral proceedings (Article 18) – Article 18</w:t>
      </w:r>
      <w:r w:rsidR="00613952" w:rsidRPr="000D0189">
        <w:rPr>
          <w:rFonts w:ascii="Arial" w:hAnsi="Arial" w:cs="Arial"/>
          <w:color w:val="7B7B7B" w:themeColor="accent3" w:themeShade="BF"/>
          <w:sz w:val="22"/>
          <w:szCs w:val="22"/>
        </w:rPr>
        <w:t xml:space="preserve"> provides that the effects of insolvency proceedings on a pending lawsuit or arbitral proceedings which </w:t>
      </w:r>
      <w:r w:rsidR="005F7A23" w:rsidRPr="000D0189">
        <w:rPr>
          <w:rFonts w:ascii="Arial" w:hAnsi="Arial" w:cs="Arial"/>
          <w:color w:val="7B7B7B" w:themeColor="accent3" w:themeShade="BF"/>
          <w:sz w:val="22"/>
          <w:szCs w:val="22"/>
        </w:rPr>
        <w:lastRenderedPageBreak/>
        <w:t xml:space="preserve">involve </w:t>
      </w:r>
      <w:r w:rsidR="00613952" w:rsidRPr="000D0189">
        <w:rPr>
          <w:rFonts w:ascii="Arial" w:hAnsi="Arial" w:cs="Arial"/>
          <w:color w:val="7B7B7B" w:themeColor="accent3" w:themeShade="BF"/>
          <w:sz w:val="22"/>
          <w:szCs w:val="22"/>
        </w:rPr>
        <w:t xml:space="preserve">an </w:t>
      </w:r>
      <w:proofErr w:type="gramStart"/>
      <w:r w:rsidR="00613952" w:rsidRPr="000D0189">
        <w:rPr>
          <w:rFonts w:ascii="Arial" w:hAnsi="Arial" w:cs="Arial"/>
          <w:color w:val="7B7B7B" w:themeColor="accent3" w:themeShade="BF"/>
          <w:sz w:val="22"/>
          <w:szCs w:val="22"/>
        </w:rPr>
        <w:t>assets</w:t>
      </w:r>
      <w:proofErr w:type="gramEnd"/>
      <w:r w:rsidR="00613952" w:rsidRPr="000D0189">
        <w:rPr>
          <w:rFonts w:ascii="Arial" w:hAnsi="Arial" w:cs="Arial"/>
          <w:color w:val="7B7B7B" w:themeColor="accent3" w:themeShade="BF"/>
          <w:sz w:val="22"/>
          <w:szCs w:val="22"/>
        </w:rPr>
        <w:t xml:space="preserve"> or right </w:t>
      </w:r>
      <w:r w:rsidR="005F7A23" w:rsidRPr="000D0189">
        <w:rPr>
          <w:rFonts w:ascii="Arial" w:hAnsi="Arial" w:cs="Arial"/>
          <w:color w:val="7B7B7B" w:themeColor="accent3" w:themeShade="BF"/>
          <w:sz w:val="22"/>
          <w:szCs w:val="22"/>
        </w:rPr>
        <w:t>that constitutes part of a debtor’s insolvency estate</w:t>
      </w:r>
      <w:r w:rsidR="00613952" w:rsidRPr="000D0189">
        <w:rPr>
          <w:rFonts w:ascii="Arial" w:hAnsi="Arial" w:cs="Arial"/>
          <w:color w:val="7B7B7B" w:themeColor="accent3" w:themeShade="BF"/>
          <w:sz w:val="22"/>
          <w:szCs w:val="22"/>
        </w:rPr>
        <w:t xml:space="preserve"> “</w:t>
      </w:r>
      <w:r w:rsidR="00613952" w:rsidRPr="000D0189">
        <w:rPr>
          <w:rFonts w:ascii="Arial" w:hAnsi="Arial" w:cs="Arial"/>
          <w:i/>
          <w:iCs/>
          <w:color w:val="7B7B7B" w:themeColor="accent3" w:themeShade="BF"/>
          <w:sz w:val="22"/>
          <w:szCs w:val="22"/>
        </w:rPr>
        <w:t>shall be governed solely by the law of the Member State in which that lawsuit is pending or in which the arbitral tribunal has its seat</w:t>
      </w:r>
      <w:r w:rsidR="00613952" w:rsidRPr="000D0189">
        <w:rPr>
          <w:rFonts w:ascii="Arial" w:hAnsi="Arial" w:cs="Arial"/>
          <w:color w:val="7B7B7B" w:themeColor="accent3" w:themeShade="BF"/>
          <w:sz w:val="22"/>
          <w:szCs w:val="22"/>
        </w:rPr>
        <w:t>”</w:t>
      </w:r>
      <w:r w:rsidR="00613952" w:rsidRPr="000D0189">
        <w:rPr>
          <w:rStyle w:val="FootnoteReference"/>
          <w:rFonts w:ascii="Arial" w:hAnsi="Arial" w:cs="Arial"/>
          <w:color w:val="7B7B7B" w:themeColor="accent3" w:themeShade="BF"/>
          <w:sz w:val="22"/>
          <w:szCs w:val="22"/>
        </w:rPr>
        <w:footnoteReference w:id="10"/>
      </w:r>
      <w:r w:rsidR="00613952" w:rsidRPr="000D0189">
        <w:rPr>
          <w:rFonts w:ascii="Arial" w:hAnsi="Arial" w:cs="Arial"/>
          <w:color w:val="7B7B7B" w:themeColor="accent3" w:themeShade="BF"/>
          <w:sz w:val="22"/>
          <w:szCs w:val="22"/>
        </w:rPr>
        <w:t>.</w:t>
      </w:r>
      <w:r w:rsidR="005F7A23" w:rsidRPr="000D0189">
        <w:rPr>
          <w:rFonts w:ascii="Arial" w:hAnsi="Arial" w:cs="Arial"/>
          <w:color w:val="7B7B7B" w:themeColor="accent3" w:themeShade="BF"/>
          <w:sz w:val="22"/>
          <w:szCs w:val="22"/>
        </w:rPr>
        <w:t xml:space="preserve"> This is </w:t>
      </w:r>
      <w:r w:rsidR="00B20E3C" w:rsidRPr="000D0189">
        <w:rPr>
          <w:rFonts w:ascii="Arial" w:hAnsi="Arial" w:cs="Arial"/>
          <w:color w:val="7B7B7B" w:themeColor="accent3" w:themeShade="BF"/>
          <w:sz w:val="22"/>
          <w:szCs w:val="22"/>
        </w:rPr>
        <w:t>the</w:t>
      </w:r>
      <w:r w:rsidR="005F7A23" w:rsidRPr="000D0189">
        <w:rPr>
          <w:rFonts w:ascii="Arial" w:hAnsi="Arial" w:cs="Arial"/>
          <w:color w:val="7B7B7B" w:themeColor="accent3" w:themeShade="BF"/>
          <w:sz w:val="22"/>
          <w:szCs w:val="22"/>
        </w:rPr>
        <w:t xml:space="preserve"> exception to Article 7(2)(f). The policy purpose behind this is</w:t>
      </w:r>
      <w:r w:rsidR="009D0D63" w:rsidRPr="000D0189">
        <w:rPr>
          <w:rFonts w:ascii="Arial" w:hAnsi="Arial" w:cs="Arial"/>
          <w:color w:val="7B7B7B" w:themeColor="accent3" w:themeShade="BF"/>
          <w:sz w:val="22"/>
          <w:szCs w:val="22"/>
        </w:rPr>
        <w:t xml:space="preserve"> because</w:t>
      </w:r>
      <w:r w:rsidR="005F7A23" w:rsidRPr="000D0189">
        <w:rPr>
          <w:rFonts w:ascii="Arial" w:hAnsi="Arial" w:cs="Arial"/>
          <w:color w:val="7B7B7B" w:themeColor="accent3" w:themeShade="BF"/>
          <w:sz w:val="22"/>
          <w:szCs w:val="22"/>
        </w:rPr>
        <w:t xml:space="preserve"> the commencement of insolvency proceedings can have significant procedural consequences to a party to litigation or arbitration proceedings</w:t>
      </w:r>
      <w:r w:rsidR="005F7A23" w:rsidRPr="000D0189">
        <w:rPr>
          <w:rStyle w:val="FootnoteReference"/>
          <w:rFonts w:ascii="Arial" w:hAnsi="Arial" w:cs="Arial"/>
          <w:color w:val="7B7B7B" w:themeColor="accent3" w:themeShade="BF"/>
          <w:sz w:val="22"/>
          <w:szCs w:val="22"/>
        </w:rPr>
        <w:footnoteReference w:id="11"/>
      </w:r>
      <w:r w:rsidR="005F7A23" w:rsidRPr="000D0189">
        <w:rPr>
          <w:rFonts w:ascii="Arial" w:hAnsi="Arial" w:cs="Arial"/>
          <w:color w:val="7B7B7B" w:themeColor="accent3" w:themeShade="BF"/>
          <w:sz w:val="22"/>
          <w:szCs w:val="22"/>
        </w:rPr>
        <w:t xml:space="preserve">. </w:t>
      </w:r>
      <w:r w:rsidR="009D0D63" w:rsidRPr="000D0189">
        <w:rPr>
          <w:rFonts w:ascii="Arial" w:hAnsi="Arial" w:cs="Arial"/>
          <w:color w:val="7B7B7B" w:themeColor="accent3" w:themeShade="BF"/>
          <w:sz w:val="22"/>
          <w:szCs w:val="22"/>
        </w:rPr>
        <w:t xml:space="preserve">For example, with such exception, the </w:t>
      </w:r>
      <w:r w:rsidR="009D0D63" w:rsidRPr="000D0189">
        <w:rPr>
          <w:rFonts w:ascii="Arial" w:hAnsi="Arial" w:cs="Arial"/>
          <w:i/>
          <w:iCs/>
          <w:color w:val="7B7B7B" w:themeColor="accent3" w:themeShade="BF"/>
          <w:sz w:val="22"/>
          <w:szCs w:val="22"/>
        </w:rPr>
        <w:t>lex concursus</w:t>
      </w:r>
      <w:r w:rsidR="009D0D63" w:rsidRPr="000D0189">
        <w:rPr>
          <w:rFonts w:ascii="Arial" w:hAnsi="Arial" w:cs="Arial"/>
          <w:color w:val="7B7B7B" w:themeColor="accent3" w:themeShade="BF"/>
          <w:sz w:val="22"/>
          <w:szCs w:val="22"/>
        </w:rPr>
        <w:t xml:space="preserve"> may suspend or even terminate all pending lawsuits against an insolvent debtor</w:t>
      </w:r>
      <w:r w:rsidR="000D0189" w:rsidRPr="000D0189">
        <w:rPr>
          <w:rFonts w:ascii="Arial" w:hAnsi="Arial" w:cs="Arial"/>
          <w:color w:val="7B7B7B" w:themeColor="accent3" w:themeShade="BF"/>
          <w:sz w:val="22"/>
          <w:szCs w:val="22"/>
        </w:rPr>
        <w:t xml:space="preserve"> </w:t>
      </w:r>
      <w:r w:rsidR="009D0D63" w:rsidRPr="000D0189">
        <w:rPr>
          <w:rFonts w:ascii="Arial" w:hAnsi="Arial" w:cs="Arial"/>
          <w:color w:val="7B7B7B" w:themeColor="accent3" w:themeShade="BF"/>
          <w:sz w:val="22"/>
          <w:szCs w:val="22"/>
        </w:rPr>
        <w:t>- Article 18 provides a shield and subjects the effects of the insolvency to the laws of the Member State where the lawsuit is pending or where the seat of arbitration is located.</w:t>
      </w:r>
      <w:r w:rsidR="009D0D63" w:rsidRPr="000D0189">
        <w:rPr>
          <w:rStyle w:val="FootnoteReference"/>
          <w:rFonts w:ascii="Arial" w:hAnsi="Arial" w:cs="Arial"/>
          <w:color w:val="7B7B7B" w:themeColor="accent3" w:themeShade="BF"/>
          <w:sz w:val="22"/>
          <w:szCs w:val="22"/>
        </w:rPr>
        <w:footnoteReference w:id="12"/>
      </w:r>
    </w:p>
    <w:p w14:paraId="6948B395" w14:textId="65A1604F" w:rsidR="00E90991" w:rsidRPr="009B6724" w:rsidRDefault="00E90991" w:rsidP="000A3278">
      <w:pPr>
        <w:jc w:val="both"/>
        <w:rPr>
          <w:rFonts w:ascii="Arial" w:hAnsi="Arial"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848BA3B"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p>
    <w:p w14:paraId="0CB54751" w14:textId="77777777" w:rsidR="005F1070" w:rsidRPr="009B6724" w:rsidRDefault="005F1070" w:rsidP="000A3278">
      <w:pPr>
        <w:jc w:val="both"/>
        <w:rPr>
          <w:rFonts w:ascii="Arial" w:hAnsi="Arial" w:cs="Arial"/>
          <w:color w:val="7B7B7B" w:themeColor="accent3" w:themeShade="BF"/>
          <w:sz w:val="22"/>
          <w:szCs w:val="22"/>
        </w:rPr>
      </w:pPr>
    </w:p>
    <w:p w14:paraId="09557D33" w14:textId="3766549C" w:rsidR="005F1070" w:rsidRPr="00244251" w:rsidRDefault="005F1070" w:rsidP="000A3278">
      <w:pPr>
        <w:jc w:val="both"/>
        <w:rPr>
          <w:rFonts w:ascii="Arial" w:hAnsi="Arial" w:cs="Arial"/>
          <w:color w:val="7B7B7B" w:themeColor="accent3" w:themeShade="BF"/>
          <w:sz w:val="22"/>
          <w:szCs w:val="22"/>
        </w:rPr>
      </w:pPr>
      <w:r w:rsidRPr="00244251">
        <w:rPr>
          <w:rFonts w:ascii="Arial" w:hAnsi="Arial" w:cs="Arial"/>
          <w:color w:val="7B7B7B" w:themeColor="accent3" w:themeShade="BF"/>
          <w:sz w:val="22"/>
          <w:szCs w:val="22"/>
        </w:rPr>
        <w:t xml:space="preserve">Three elements of the EIR Recast that regulate the </w:t>
      </w:r>
      <w:r w:rsidR="0061677E" w:rsidRPr="00244251">
        <w:rPr>
          <w:rFonts w:ascii="Arial" w:hAnsi="Arial" w:cs="Arial"/>
          <w:color w:val="7B7B7B" w:themeColor="accent3" w:themeShade="BF"/>
          <w:sz w:val="22"/>
          <w:szCs w:val="22"/>
        </w:rPr>
        <w:t xml:space="preserve">material </w:t>
      </w:r>
      <w:r w:rsidRPr="00244251">
        <w:rPr>
          <w:rFonts w:ascii="Arial" w:hAnsi="Arial" w:cs="Arial"/>
          <w:color w:val="7B7B7B" w:themeColor="accent3" w:themeShade="BF"/>
          <w:sz w:val="22"/>
          <w:szCs w:val="22"/>
        </w:rPr>
        <w:t>scope of the Regulation in relation to national insolvency proceedings in Member States are:</w:t>
      </w:r>
    </w:p>
    <w:p w14:paraId="59A7E231" w14:textId="38358299" w:rsidR="00806F9E" w:rsidRPr="00244251" w:rsidRDefault="007A7744">
      <w:pPr>
        <w:pStyle w:val="ListParagraph"/>
        <w:numPr>
          <w:ilvl w:val="0"/>
          <w:numId w:val="13"/>
        </w:numPr>
        <w:jc w:val="both"/>
        <w:rPr>
          <w:rFonts w:ascii="Arial" w:hAnsi="Arial" w:cs="Arial"/>
          <w:color w:val="7B7B7B" w:themeColor="accent3" w:themeShade="BF"/>
          <w:sz w:val="22"/>
          <w:szCs w:val="22"/>
        </w:rPr>
      </w:pPr>
      <w:r w:rsidRPr="00244251">
        <w:rPr>
          <w:rFonts w:ascii="Arial" w:hAnsi="Arial" w:cs="Arial"/>
          <w:color w:val="7B7B7B" w:themeColor="accent3" w:themeShade="BF"/>
          <w:sz w:val="22"/>
          <w:szCs w:val="22"/>
        </w:rPr>
        <w:t xml:space="preserve">Recital 9, Article </w:t>
      </w:r>
      <w:proofErr w:type="gramStart"/>
      <w:r w:rsidRPr="00244251">
        <w:rPr>
          <w:rFonts w:ascii="Arial" w:hAnsi="Arial" w:cs="Arial"/>
          <w:color w:val="7B7B7B" w:themeColor="accent3" w:themeShade="BF"/>
          <w:sz w:val="22"/>
          <w:szCs w:val="22"/>
        </w:rPr>
        <w:t>1</w:t>
      </w:r>
      <w:proofErr w:type="gramEnd"/>
      <w:r w:rsidRPr="00244251">
        <w:rPr>
          <w:rFonts w:ascii="Arial" w:hAnsi="Arial" w:cs="Arial"/>
          <w:color w:val="7B7B7B" w:themeColor="accent3" w:themeShade="BF"/>
          <w:sz w:val="22"/>
          <w:szCs w:val="22"/>
        </w:rPr>
        <w:t xml:space="preserve"> and Annex A</w:t>
      </w:r>
      <w:r w:rsidR="00B52CB5" w:rsidRPr="00244251">
        <w:rPr>
          <w:rFonts w:ascii="Arial" w:hAnsi="Arial" w:cs="Arial"/>
          <w:color w:val="7B7B7B" w:themeColor="accent3" w:themeShade="BF"/>
          <w:sz w:val="22"/>
          <w:szCs w:val="22"/>
        </w:rPr>
        <w:t xml:space="preserve"> </w:t>
      </w:r>
      <w:r w:rsidR="0051037C" w:rsidRPr="00244251">
        <w:rPr>
          <w:rFonts w:ascii="Arial" w:hAnsi="Arial" w:cs="Arial"/>
          <w:color w:val="7B7B7B" w:themeColor="accent3" w:themeShade="BF"/>
          <w:sz w:val="22"/>
          <w:szCs w:val="22"/>
        </w:rPr>
        <w:t xml:space="preserve">– the objective of the EIR Recast is to </w:t>
      </w:r>
      <w:r w:rsidR="00976102" w:rsidRPr="00244251">
        <w:rPr>
          <w:rFonts w:ascii="Arial" w:hAnsi="Arial" w:cs="Arial"/>
          <w:color w:val="7B7B7B" w:themeColor="accent3" w:themeShade="BF"/>
          <w:sz w:val="22"/>
          <w:szCs w:val="22"/>
        </w:rPr>
        <w:t>ensure the efficient and effect</w:t>
      </w:r>
      <w:r w:rsidR="00CC5A1C" w:rsidRPr="00244251">
        <w:rPr>
          <w:rFonts w:ascii="Arial" w:hAnsi="Arial" w:cs="Arial"/>
          <w:color w:val="7B7B7B" w:themeColor="accent3" w:themeShade="BF"/>
          <w:sz w:val="22"/>
          <w:szCs w:val="22"/>
        </w:rPr>
        <w:t>ive</w:t>
      </w:r>
      <w:r w:rsidR="00976102" w:rsidRPr="00244251">
        <w:rPr>
          <w:rFonts w:ascii="Arial" w:hAnsi="Arial" w:cs="Arial"/>
          <w:color w:val="7B7B7B" w:themeColor="accent3" w:themeShade="BF"/>
          <w:sz w:val="22"/>
          <w:szCs w:val="22"/>
        </w:rPr>
        <w:t xml:space="preserve"> conduct of cross-border insolvency proceedings</w:t>
      </w:r>
      <w:r w:rsidR="00976102" w:rsidRPr="00244251">
        <w:rPr>
          <w:rStyle w:val="FootnoteReference"/>
          <w:rFonts w:ascii="Arial" w:hAnsi="Arial" w:cs="Arial"/>
          <w:color w:val="7B7B7B" w:themeColor="accent3" w:themeShade="BF"/>
          <w:sz w:val="22"/>
          <w:szCs w:val="22"/>
        </w:rPr>
        <w:footnoteReference w:id="13"/>
      </w:r>
      <w:r w:rsidR="005371D7" w:rsidRPr="00244251">
        <w:rPr>
          <w:rFonts w:ascii="Arial" w:hAnsi="Arial" w:cs="Arial"/>
          <w:color w:val="7B7B7B" w:themeColor="accent3" w:themeShade="BF"/>
          <w:sz w:val="22"/>
          <w:szCs w:val="22"/>
        </w:rPr>
        <w:t>. The EIR Recast does this by regulating the opening and extraterritorial effects of insolvency proceedings in Member States. The key provisions in this respect are Article 1 and Annex A</w:t>
      </w:r>
      <w:r w:rsidR="00E92273" w:rsidRPr="00244251">
        <w:rPr>
          <w:rFonts w:ascii="Arial" w:hAnsi="Arial" w:cs="Arial"/>
          <w:color w:val="7B7B7B" w:themeColor="accent3" w:themeShade="BF"/>
          <w:sz w:val="22"/>
          <w:szCs w:val="22"/>
        </w:rPr>
        <w:t xml:space="preserve"> – these provisions</w:t>
      </w:r>
      <w:r w:rsidR="005371D7" w:rsidRPr="00244251">
        <w:rPr>
          <w:rFonts w:ascii="Arial" w:hAnsi="Arial" w:cs="Arial"/>
          <w:color w:val="7B7B7B" w:themeColor="accent3" w:themeShade="BF"/>
          <w:sz w:val="22"/>
          <w:szCs w:val="22"/>
        </w:rPr>
        <w:t xml:space="preserve"> determine which national insolvency proceedings are subject to the scope of the Regulation.</w:t>
      </w:r>
      <w:r w:rsidR="002724E4" w:rsidRPr="00244251">
        <w:rPr>
          <w:rFonts w:ascii="Arial" w:hAnsi="Arial" w:cs="Arial"/>
          <w:color w:val="7B7B7B" w:themeColor="accent3" w:themeShade="BF"/>
          <w:sz w:val="22"/>
          <w:szCs w:val="22"/>
        </w:rPr>
        <w:t xml:space="preserve"> A</w:t>
      </w:r>
      <w:r w:rsidR="00B52CB5" w:rsidRPr="00244251">
        <w:rPr>
          <w:rFonts w:ascii="Arial" w:hAnsi="Arial" w:cs="Arial"/>
          <w:color w:val="7B7B7B" w:themeColor="accent3" w:themeShade="BF"/>
          <w:sz w:val="22"/>
          <w:szCs w:val="22"/>
        </w:rPr>
        <w:t>rticle</w:t>
      </w:r>
      <w:r w:rsidR="002724E4" w:rsidRPr="00244251">
        <w:rPr>
          <w:rFonts w:ascii="Arial" w:hAnsi="Arial" w:cs="Arial"/>
          <w:color w:val="7B7B7B" w:themeColor="accent3" w:themeShade="BF"/>
          <w:sz w:val="22"/>
          <w:szCs w:val="22"/>
        </w:rPr>
        <w:t xml:space="preserve"> 1 sets out the scope of the Regulation and Annex A lists the proceedings referred to in Article 1. </w:t>
      </w:r>
      <w:r w:rsidR="00193C57" w:rsidRPr="00244251">
        <w:rPr>
          <w:rFonts w:ascii="Arial" w:hAnsi="Arial" w:cs="Arial"/>
          <w:color w:val="7B7B7B" w:themeColor="accent3" w:themeShade="BF"/>
          <w:sz w:val="22"/>
          <w:szCs w:val="22"/>
        </w:rPr>
        <w:t>Proceedings</w:t>
      </w:r>
      <w:r w:rsidR="00806F9E" w:rsidRPr="00244251">
        <w:rPr>
          <w:rFonts w:ascii="Arial" w:hAnsi="Arial" w:cs="Arial"/>
          <w:color w:val="7B7B7B" w:themeColor="accent3" w:themeShade="BF"/>
          <w:sz w:val="22"/>
          <w:szCs w:val="22"/>
        </w:rPr>
        <w:t xml:space="preserve"> </w:t>
      </w:r>
      <w:r w:rsidR="002724E4" w:rsidRPr="00244251">
        <w:rPr>
          <w:rFonts w:ascii="Arial" w:hAnsi="Arial" w:cs="Arial"/>
          <w:color w:val="7B7B7B" w:themeColor="accent3" w:themeShade="BF"/>
          <w:sz w:val="22"/>
          <w:szCs w:val="22"/>
        </w:rPr>
        <w:t>which are not listed in Annex A fall outside the scope of the EIR Recast.</w:t>
      </w:r>
      <w:r w:rsidR="002724E4" w:rsidRPr="00244251">
        <w:rPr>
          <w:rStyle w:val="FootnoteReference"/>
          <w:rFonts w:ascii="Arial" w:hAnsi="Arial" w:cs="Arial"/>
          <w:color w:val="7B7B7B" w:themeColor="accent3" w:themeShade="BF"/>
          <w:sz w:val="22"/>
          <w:szCs w:val="22"/>
        </w:rPr>
        <w:footnoteReference w:id="14"/>
      </w:r>
      <w:r w:rsidR="00806F9E" w:rsidRPr="00244251">
        <w:rPr>
          <w:rFonts w:ascii="Arial" w:hAnsi="Arial" w:cs="Arial"/>
          <w:color w:val="7B7B7B" w:themeColor="accent3" w:themeShade="BF"/>
          <w:sz w:val="22"/>
          <w:szCs w:val="22"/>
        </w:rPr>
        <w:t xml:space="preserve"> As stated in Recital 9</w:t>
      </w:r>
      <w:r w:rsidR="00193C57" w:rsidRPr="00244251">
        <w:rPr>
          <w:rFonts w:ascii="Arial" w:hAnsi="Arial" w:cs="Arial"/>
          <w:color w:val="7B7B7B" w:themeColor="accent3" w:themeShade="BF"/>
          <w:sz w:val="22"/>
          <w:szCs w:val="22"/>
        </w:rPr>
        <w:t xml:space="preserve">, the EIR Recast will apply to the insolvency proceedings which are </w:t>
      </w:r>
      <w:r w:rsidR="00806F9E" w:rsidRPr="00244251">
        <w:rPr>
          <w:rFonts w:ascii="Arial" w:hAnsi="Arial" w:cs="Arial"/>
          <w:color w:val="7B7B7B" w:themeColor="accent3" w:themeShade="BF"/>
          <w:sz w:val="22"/>
          <w:szCs w:val="22"/>
        </w:rPr>
        <w:t>listed exhaustively in Annex A</w:t>
      </w:r>
      <w:r w:rsidR="00C476A4" w:rsidRPr="00244251">
        <w:rPr>
          <w:rFonts w:ascii="Arial" w:hAnsi="Arial" w:cs="Arial"/>
          <w:color w:val="7B7B7B" w:themeColor="accent3" w:themeShade="BF"/>
          <w:sz w:val="22"/>
          <w:szCs w:val="22"/>
        </w:rPr>
        <w:t xml:space="preserve"> and</w:t>
      </w:r>
      <w:r w:rsidR="00244251" w:rsidRPr="00244251">
        <w:rPr>
          <w:rFonts w:ascii="Arial" w:hAnsi="Arial" w:cs="Arial"/>
          <w:color w:val="7B7B7B" w:themeColor="accent3" w:themeShade="BF"/>
          <w:sz w:val="22"/>
          <w:szCs w:val="22"/>
        </w:rPr>
        <w:t xml:space="preserve"> the national procedures</w:t>
      </w:r>
      <w:r w:rsidR="00C476A4" w:rsidRPr="00244251">
        <w:rPr>
          <w:rFonts w:ascii="Arial" w:hAnsi="Arial" w:cs="Arial"/>
          <w:color w:val="7B7B7B" w:themeColor="accent3" w:themeShade="BF"/>
          <w:sz w:val="22"/>
          <w:szCs w:val="22"/>
        </w:rPr>
        <w:t xml:space="preserve"> “</w:t>
      </w:r>
      <w:r w:rsidR="00806F9E" w:rsidRPr="00244251">
        <w:rPr>
          <w:rFonts w:ascii="Arial" w:hAnsi="Arial" w:cs="Arial"/>
          <w:i/>
          <w:iCs/>
          <w:color w:val="7B7B7B" w:themeColor="accent3" w:themeShade="BF"/>
          <w:sz w:val="22"/>
          <w:szCs w:val="22"/>
        </w:rPr>
        <w:t>should apply without any further examination by the courts of another Member State as to whether the conditions set out in this Regulation are met</w:t>
      </w:r>
      <w:r w:rsidR="00806F9E" w:rsidRPr="00244251">
        <w:rPr>
          <w:rFonts w:ascii="Arial" w:hAnsi="Arial" w:cs="Arial"/>
          <w:color w:val="7B7B7B" w:themeColor="accent3" w:themeShade="BF"/>
          <w:sz w:val="22"/>
          <w:szCs w:val="22"/>
        </w:rPr>
        <w:t>.</w:t>
      </w:r>
      <w:r w:rsidR="008F0FED" w:rsidRPr="00244251">
        <w:rPr>
          <w:rFonts w:ascii="Arial" w:hAnsi="Arial" w:cs="Arial"/>
          <w:color w:val="7B7B7B" w:themeColor="accent3" w:themeShade="BF"/>
          <w:sz w:val="22"/>
          <w:szCs w:val="22"/>
        </w:rPr>
        <w:t>”</w:t>
      </w:r>
      <w:r w:rsidR="00193C57" w:rsidRPr="00244251">
        <w:rPr>
          <w:rStyle w:val="FootnoteReference"/>
          <w:rFonts w:ascii="Arial" w:hAnsi="Arial" w:cs="Arial"/>
          <w:color w:val="7B7B7B" w:themeColor="accent3" w:themeShade="BF"/>
          <w:sz w:val="22"/>
          <w:szCs w:val="22"/>
        </w:rPr>
        <w:footnoteReference w:id="15"/>
      </w:r>
      <w:r w:rsidR="008F0FED" w:rsidRPr="00244251">
        <w:rPr>
          <w:rFonts w:ascii="Arial" w:hAnsi="Arial" w:cs="Arial"/>
          <w:color w:val="7B7B7B" w:themeColor="accent3" w:themeShade="BF"/>
          <w:sz w:val="22"/>
          <w:szCs w:val="22"/>
        </w:rPr>
        <w:t>;</w:t>
      </w:r>
    </w:p>
    <w:p w14:paraId="5B67768E" w14:textId="77777777" w:rsidR="002724E4" w:rsidRPr="008309F9" w:rsidRDefault="002724E4" w:rsidP="002149D2">
      <w:pPr>
        <w:jc w:val="both"/>
        <w:rPr>
          <w:rFonts w:ascii="Arial" w:hAnsi="Arial" w:cs="Arial"/>
          <w:color w:val="7B7B7B" w:themeColor="accent3" w:themeShade="BF"/>
          <w:sz w:val="22"/>
          <w:szCs w:val="22"/>
        </w:rPr>
      </w:pPr>
    </w:p>
    <w:p w14:paraId="1F4AFEEA" w14:textId="6BFC1620" w:rsidR="00EE352E" w:rsidRDefault="007A7744">
      <w:pPr>
        <w:pStyle w:val="ListParagraph"/>
        <w:numPr>
          <w:ilvl w:val="0"/>
          <w:numId w:val="13"/>
        </w:numPr>
        <w:jc w:val="both"/>
        <w:rPr>
          <w:rFonts w:ascii="Arial" w:hAnsi="Arial" w:cs="Arial"/>
          <w:color w:val="7B7B7B" w:themeColor="accent3" w:themeShade="BF"/>
          <w:sz w:val="22"/>
          <w:szCs w:val="22"/>
        </w:rPr>
      </w:pPr>
      <w:r w:rsidRPr="008309F9">
        <w:rPr>
          <w:rFonts w:ascii="Arial" w:hAnsi="Arial" w:cs="Arial"/>
          <w:color w:val="7B7B7B" w:themeColor="accent3" w:themeShade="BF"/>
          <w:sz w:val="22"/>
          <w:szCs w:val="22"/>
        </w:rPr>
        <w:t>Recital 25 and Recital 27</w:t>
      </w:r>
      <w:r w:rsidR="00B52CB5" w:rsidRPr="008309F9">
        <w:rPr>
          <w:rFonts w:ascii="Arial" w:hAnsi="Arial" w:cs="Arial"/>
          <w:color w:val="7B7B7B" w:themeColor="accent3" w:themeShade="BF"/>
          <w:sz w:val="22"/>
          <w:szCs w:val="22"/>
        </w:rPr>
        <w:t xml:space="preserve"> </w:t>
      </w:r>
      <w:r w:rsidR="002149D2" w:rsidRPr="008309F9">
        <w:rPr>
          <w:rFonts w:ascii="Arial" w:hAnsi="Arial" w:cs="Arial"/>
          <w:color w:val="7B7B7B" w:themeColor="accent3" w:themeShade="BF"/>
          <w:sz w:val="22"/>
          <w:szCs w:val="22"/>
        </w:rPr>
        <w:t>–</w:t>
      </w:r>
      <w:r w:rsidR="005F1070" w:rsidRPr="008309F9">
        <w:rPr>
          <w:rFonts w:ascii="Arial" w:hAnsi="Arial" w:cs="Arial"/>
          <w:color w:val="7B7B7B" w:themeColor="accent3" w:themeShade="BF"/>
          <w:sz w:val="22"/>
          <w:szCs w:val="22"/>
        </w:rPr>
        <w:t xml:space="preserve"> the EIR Recast is legislation that directly applies to all</w:t>
      </w:r>
      <w:r w:rsidR="00244251" w:rsidRPr="008309F9">
        <w:rPr>
          <w:rFonts w:ascii="Arial" w:hAnsi="Arial" w:cs="Arial"/>
          <w:color w:val="7B7B7B" w:themeColor="accent3" w:themeShade="BF"/>
          <w:sz w:val="22"/>
          <w:szCs w:val="22"/>
        </w:rPr>
        <w:t xml:space="preserve"> </w:t>
      </w:r>
      <w:r w:rsidR="005F1070" w:rsidRPr="008309F9">
        <w:rPr>
          <w:rFonts w:ascii="Arial" w:hAnsi="Arial" w:cs="Arial"/>
          <w:color w:val="7B7B7B" w:themeColor="accent3" w:themeShade="BF"/>
          <w:sz w:val="22"/>
          <w:szCs w:val="22"/>
        </w:rPr>
        <w:t xml:space="preserve">Member States, except Denmark. Recital 25 </w:t>
      </w:r>
      <w:r w:rsidR="002306B6" w:rsidRPr="008309F9">
        <w:rPr>
          <w:rFonts w:ascii="Arial" w:hAnsi="Arial" w:cs="Arial"/>
          <w:color w:val="7B7B7B" w:themeColor="accent3" w:themeShade="BF"/>
          <w:sz w:val="22"/>
          <w:szCs w:val="22"/>
        </w:rPr>
        <w:t>states</w:t>
      </w:r>
      <w:r w:rsidR="005F1070" w:rsidRPr="008309F9">
        <w:rPr>
          <w:rFonts w:ascii="Arial" w:hAnsi="Arial" w:cs="Arial"/>
          <w:color w:val="7B7B7B" w:themeColor="accent3" w:themeShade="BF"/>
          <w:sz w:val="22"/>
          <w:szCs w:val="22"/>
        </w:rPr>
        <w:t xml:space="preserve"> that the Regulation "</w:t>
      </w:r>
      <w:r w:rsidR="005F1070" w:rsidRPr="008309F9">
        <w:rPr>
          <w:rFonts w:ascii="Arial" w:hAnsi="Arial" w:cs="Arial"/>
          <w:i/>
          <w:iCs/>
          <w:color w:val="7B7B7B" w:themeColor="accent3" w:themeShade="BF"/>
          <w:sz w:val="22"/>
          <w:szCs w:val="22"/>
        </w:rPr>
        <w:t xml:space="preserve">applies only to proceedings in respect of a debtor whose </w:t>
      </w:r>
      <w:proofErr w:type="spellStart"/>
      <w:r w:rsidR="005F1070" w:rsidRPr="008309F9">
        <w:rPr>
          <w:rFonts w:ascii="Arial" w:hAnsi="Arial" w:cs="Arial"/>
          <w:i/>
          <w:iCs/>
          <w:color w:val="7B7B7B" w:themeColor="accent3" w:themeShade="BF"/>
          <w:sz w:val="22"/>
          <w:szCs w:val="22"/>
        </w:rPr>
        <w:t>centre</w:t>
      </w:r>
      <w:proofErr w:type="spellEnd"/>
      <w:r w:rsidR="005F1070" w:rsidRPr="008309F9">
        <w:rPr>
          <w:rFonts w:ascii="Arial" w:hAnsi="Arial" w:cs="Arial"/>
          <w:i/>
          <w:iCs/>
          <w:color w:val="7B7B7B" w:themeColor="accent3" w:themeShade="BF"/>
          <w:sz w:val="22"/>
          <w:szCs w:val="22"/>
        </w:rPr>
        <w:t xml:space="preserve"> of main interests is located in the Union</w:t>
      </w:r>
      <w:r w:rsidR="005F1070" w:rsidRPr="008309F9">
        <w:rPr>
          <w:rFonts w:ascii="Arial" w:hAnsi="Arial" w:cs="Arial"/>
          <w:color w:val="7B7B7B" w:themeColor="accent3" w:themeShade="BF"/>
          <w:sz w:val="22"/>
          <w:szCs w:val="22"/>
        </w:rPr>
        <w:t>."</w:t>
      </w:r>
      <w:r w:rsidR="00114C53" w:rsidRPr="008309F9">
        <w:rPr>
          <w:rStyle w:val="FootnoteReference"/>
          <w:rFonts w:ascii="Arial" w:hAnsi="Arial" w:cs="Arial"/>
          <w:color w:val="7B7B7B" w:themeColor="accent3" w:themeShade="BF"/>
          <w:sz w:val="22"/>
          <w:szCs w:val="22"/>
        </w:rPr>
        <w:footnoteReference w:id="16"/>
      </w:r>
      <w:r w:rsidR="005F1070" w:rsidRPr="008309F9">
        <w:rPr>
          <w:rFonts w:ascii="Arial" w:hAnsi="Arial" w:cs="Arial"/>
          <w:color w:val="7B7B7B" w:themeColor="accent3" w:themeShade="BF"/>
          <w:sz w:val="22"/>
          <w:szCs w:val="22"/>
        </w:rPr>
        <w:t xml:space="preserve"> Before insolvency proceedings are opened, the competent court should examine of its own motion whether the </w:t>
      </w:r>
      <w:r w:rsidR="00114C53" w:rsidRPr="008309F9">
        <w:rPr>
          <w:rFonts w:ascii="Arial" w:hAnsi="Arial" w:cs="Arial"/>
          <w:color w:val="7B7B7B" w:themeColor="accent3" w:themeShade="BF"/>
          <w:sz w:val="22"/>
          <w:szCs w:val="22"/>
        </w:rPr>
        <w:t>debtor’s</w:t>
      </w:r>
      <w:r w:rsidR="005F1070" w:rsidRPr="008309F9">
        <w:rPr>
          <w:rFonts w:ascii="Arial" w:hAnsi="Arial" w:cs="Arial"/>
          <w:color w:val="7B7B7B" w:themeColor="accent3" w:themeShade="BF"/>
          <w:sz w:val="22"/>
          <w:szCs w:val="22"/>
        </w:rPr>
        <w:t xml:space="preserve"> </w:t>
      </w:r>
      <w:proofErr w:type="spellStart"/>
      <w:r w:rsidR="005F1070" w:rsidRPr="008309F9">
        <w:rPr>
          <w:rFonts w:ascii="Arial" w:hAnsi="Arial" w:cs="Arial"/>
          <w:color w:val="7B7B7B" w:themeColor="accent3" w:themeShade="BF"/>
          <w:sz w:val="22"/>
          <w:szCs w:val="22"/>
        </w:rPr>
        <w:t>centre</w:t>
      </w:r>
      <w:proofErr w:type="spellEnd"/>
      <w:r w:rsidR="005F1070" w:rsidRPr="008309F9">
        <w:rPr>
          <w:rFonts w:ascii="Arial" w:hAnsi="Arial" w:cs="Arial"/>
          <w:color w:val="7B7B7B" w:themeColor="accent3" w:themeShade="BF"/>
          <w:sz w:val="22"/>
          <w:szCs w:val="22"/>
        </w:rPr>
        <w:t xml:space="preserve"> of main interests </w:t>
      </w:r>
      <w:r w:rsidR="002306B6" w:rsidRPr="008309F9">
        <w:rPr>
          <w:rFonts w:ascii="Arial" w:hAnsi="Arial" w:cs="Arial"/>
          <w:color w:val="7B7B7B" w:themeColor="accent3" w:themeShade="BF"/>
          <w:sz w:val="22"/>
          <w:szCs w:val="22"/>
        </w:rPr>
        <w:t>(</w:t>
      </w:r>
      <w:r w:rsidR="007D6A92">
        <w:rPr>
          <w:rFonts w:ascii="Arial" w:hAnsi="Arial" w:cs="Arial"/>
          <w:color w:val="7B7B7B" w:themeColor="accent3" w:themeShade="BF"/>
          <w:sz w:val="22"/>
          <w:szCs w:val="22"/>
        </w:rPr>
        <w:t xml:space="preserve">the </w:t>
      </w:r>
      <w:r w:rsidR="002306B6" w:rsidRPr="008309F9">
        <w:rPr>
          <w:rFonts w:ascii="Arial" w:hAnsi="Arial" w:cs="Arial"/>
          <w:color w:val="7B7B7B" w:themeColor="accent3" w:themeShade="BF"/>
          <w:sz w:val="22"/>
          <w:szCs w:val="22"/>
        </w:rPr>
        <w:t>“</w:t>
      </w:r>
      <w:r w:rsidR="002306B6" w:rsidRPr="008309F9">
        <w:rPr>
          <w:rFonts w:ascii="Arial" w:hAnsi="Arial" w:cs="Arial"/>
          <w:b/>
          <w:bCs/>
          <w:color w:val="7B7B7B" w:themeColor="accent3" w:themeShade="BF"/>
          <w:sz w:val="22"/>
          <w:szCs w:val="22"/>
        </w:rPr>
        <w:t>COMI</w:t>
      </w:r>
      <w:r w:rsidR="002306B6" w:rsidRPr="008309F9">
        <w:rPr>
          <w:rFonts w:ascii="Arial" w:hAnsi="Arial" w:cs="Arial"/>
          <w:color w:val="7B7B7B" w:themeColor="accent3" w:themeShade="BF"/>
          <w:sz w:val="22"/>
          <w:szCs w:val="22"/>
        </w:rPr>
        <w:t xml:space="preserve">”) </w:t>
      </w:r>
      <w:r w:rsidR="005F1070" w:rsidRPr="008309F9">
        <w:rPr>
          <w:rFonts w:ascii="Arial" w:hAnsi="Arial" w:cs="Arial"/>
          <w:color w:val="7B7B7B" w:themeColor="accent3" w:themeShade="BF"/>
          <w:sz w:val="22"/>
          <w:szCs w:val="22"/>
        </w:rPr>
        <w:t xml:space="preserve">or </w:t>
      </w:r>
      <w:r w:rsidR="00645D5E" w:rsidRPr="008309F9">
        <w:rPr>
          <w:rFonts w:ascii="Arial" w:hAnsi="Arial" w:cs="Arial"/>
          <w:color w:val="7B7B7B" w:themeColor="accent3" w:themeShade="BF"/>
          <w:sz w:val="22"/>
          <w:szCs w:val="22"/>
        </w:rPr>
        <w:t xml:space="preserve">its </w:t>
      </w:r>
      <w:r w:rsidR="005F1070" w:rsidRPr="008309F9">
        <w:rPr>
          <w:rFonts w:ascii="Arial" w:hAnsi="Arial" w:cs="Arial"/>
          <w:color w:val="7B7B7B" w:themeColor="accent3" w:themeShade="BF"/>
          <w:sz w:val="22"/>
          <w:szCs w:val="22"/>
        </w:rPr>
        <w:t xml:space="preserve">establishment is </w:t>
      </w:r>
      <w:proofErr w:type="gramStart"/>
      <w:r w:rsidR="005F1070" w:rsidRPr="008309F9">
        <w:rPr>
          <w:rFonts w:ascii="Arial" w:hAnsi="Arial" w:cs="Arial"/>
          <w:color w:val="7B7B7B" w:themeColor="accent3" w:themeShade="BF"/>
          <w:sz w:val="22"/>
          <w:szCs w:val="22"/>
        </w:rPr>
        <w:t>actually located</w:t>
      </w:r>
      <w:proofErr w:type="gramEnd"/>
      <w:r w:rsidR="005F1070" w:rsidRPr="008309F9">
        <w:rPr>
          <w:rFonts w:ascii="Arial" w:hAnsi="Arial" w:cs="Arial"/>
          <w:color w:val="7B7B7B" w:themeColor="accent3" w:themeShade="BF"/>
          <w:sz w:val="22"/>
          <w:szCs w:val="22"/>
        </w:rPr>
        <w:t xml:space="preserve"> within its jurisdiction</w:t>
      </w:r>
      <w:r w:rsidR="00114C53" w:rsidRPr="008309F9">
        <w:rPr>
          <w:rStyle w:val="FootnoteReference"/>
          <w:rFonts w:ascii="Arial" w:hAnsi="Arial" w:cs="Arial"/>
          <w:color w:val="7B7B7B" w:themeColor="accent3" w:themeShade="BF"/>
          <w:sz w:val="22"/>
          <w:szCs w:val="22"/>
        </w:rPr>
        <w:footnoteReference w:id="17"/>
      </w:r>
      <w:r w:rsidR="005F1070" w:rsidRPr="008309F9">
        <w:rPr>
          <w:rFonts w:ascii="Arial" w:hAnsi="Arial" w:cs="Arial"/>
          <w:color w:val="7B7B7B" w:themeColor="accent3" w:themeShade="BF"/>
          <w:sz w:val="22"/>
          <w:szCs w:val="22"/>
        </w:rPr>
        <w:t xml:space="preserve">. </w:t>
      </w:r>
      <w:r w:rsidR="00114C53" w:rsidRPr="008309F9">
        <w:rPr>
          <w:rFonts w:ascii="Arial" w:hAnsi="Arial" w:cs="Arial"/>
          <w:color w:val="7B7B7B" w:themeColor="accent3" w:themeShade="BF"/>
          <w:sz w:val="22"/>
          <w:szCs w:val="22"/>
        </w:rPr>
        <w:t xml:space="preserve">In the </w:t>
      </w:r>
      <w:r w:rsidR="00645D5E" w:rsidRPr="008309F9">
        <w:rPr>
          <w:rFonts w:ascii="Arial" w:hAnsi="Arial" w:cs="Arial"/>
          <w:color w:val="7B7B7B" w:themeColor="accent3" w:themeShade="BF"/>
          <w:sz w:val="22"/>
          <w:szCs w:val="22"/>
        </w:rPr>
        <w:t>case of</w:t>
      </w:r>
      <w:r w:rsidR="00114C53" w:rsidRPr="008309F9">
        <w:rPr>
          <w:rFonts w:ascii="Arial" w:hAnsi="Arial" w:cs="Arial"/>
          <w:color w:val="7B7B7B" w:themeColor="accent3" w:themeShade="BF"/>
          <w:sz w:val="22"/>
          <w:szCs w:val="22"/>
        </w:rPr>
        <w:t xml:space="preserve"> </w:t>
      </w:r>
      <w:r w:rsidR="002306B6" w:rsidRPr="008309F9">
        <w:rPr>
          <w:rFonts w:ascii="Arial" w:hAnsi="Arial" w:cs="Arial"/>
          <w:color w:val="7B7B7B" w:themeColor="accent3" w:themeShade="BF"/>
          <w:sz w:val="22"/>
          <w:szCs w:val="22"/>
        </w:rPr>
        <w:t xml:space="preserve">the COMI </w:t>
      </w:r>
      <w:r w:rsidR="00645D5E" w:rsidRPr="008309F9">
        <w:rPr>
          <w:rFonts w:ascii="Arial" w:hAnsi="Arial" w:cs="Arial"/>
          <w:color w:val="7B7B7B" w:themeColor="accent3" w:themeShade="BF"/>
          <w:sz w:val="22"/>
          <w:szCs w:val="22"/>
        </w:rPr>
        <w:t>being</w:t>
      </w:r>
      <w:r w:rsidR="005F1070" w:rsidRPr="008309F9">
        <w:rPr>
          <w:rFonts w:ascii="Arial" w:hAnsi="Arial" w:cs="Arial"/>
          <w:color w:val="7B7B7B" w:themeColor="accent3" w:themeShade="BF"/>
          <w:sz w:val="22"/>
          <w:szCs w:val="22"/>
        </w:rPr>
        <w:t xml:space="preserve"> located outside the EU or in Denmark, the EIR Recast </w:t>
      </w:r>
      <w:r w:rsidR="00114C53" w:rsidRPr="008309F9">
        <w:rPr>
          <w:rFonts w:ascii="Arial" w:hAnsi="Arial" w:cs="Arial"/>
          <w:color w:val="7B7B7B" w:themeColor="accent3" w:themeShade="BF"/>
          <w:sz w:val="22"/>
          <w:szCs w:val="22"/>
        </w:rPr>
        <w:t>will</w:t>
      </w:r>
      <w:r w:rsidR="005F1070" w:rsidRPr="008309F9">
        <w:rPr>
          <w:rFonts w:ascii="Arial" w:hAnsi="Arial" w:cs="Arial"/>
          <w:color w:val="7B7B7B" w:themeColor="accent3" w:themeShade="BF"/>
          <w:sz w:val="22"/>
          <w:szCs w:val="22"/>
        </w:rPr>
        <w:t xml:space="preserve"> not apply</w:t>
      </w:r>
      <w:r w:rsidR="00B52CB5" w:rsidRPr="008309F9">
        <w:rPr>
          <w:rFonts w:ascii="Arial" w:hAnsi="Arial" w:cs="Arial"/>
          <w:color w:val="7B7B7B" w:themeColor="accent3" w:themeShade="BF"/>
          <w:sz w:val="22"/>
          <w:szCs w:val="22"/>
        </w:rPr>
        <w:t xml:space="preserve"> </w:t>
      </w:r>
      <w:r w:rsidR="00114C53" w:rsidRPr="008309F9">
        <w:rPr>
          <w:rFonts w:ascii="Arial" w:hAnsi="Arial" w:cs="Arial"/>
          <w:color w:val="7B7B7B" w:themeColor="accent3" w:themeShade="BF"/>
          <w:sz w:val="22"/>
          <w:szCs w:val="22"/>
        </w:rPr>
        <w:t xml:space="preserve">- in such circumstances, </w:t>
      </w:r>
      <w:r w:rsidR="00645D5E" w:rsidRPr="008309F9">
        <w:rPr>
          <w:rFonts w:ascii="Arial" w:hAnsi="Arial" w:cs="Arial"/>
          <w:color w:val="7B7B7B" w:themeColor="accent3" w:themeShade="BF"/>
          <w:sz w:val="22"/>
          <w:szCs w:val="22"/>
        </w:rPr>
        <w:t>“</w:t>
      </w:r>
      <w:r w:rsidR="00114C53" w:rsidRPr="008309F9">
        <w:rPr>
          <w:rFonts w:ascii="Arial" w:hAnsi="Arial" w:cs="Arial"/>
          <w:i/>
          <w:iCs/>
          <w:color w:val="7B7B7B" w:themeColor="accent3" w:themeShade="BF"/>
          <w:sz w:val="22"/>
          <w:szCs w:val="22"/>
        </w:rPr>
        <w:t xml:space="preserve">national conflict of laws rules and insolvency laws of the </w:t>
      </w:r>
      <w:r w:rsidR="00645D5E" w:rsidRPr="008309F9">
        <w:rPr>
          <w:rFonts w:ascii="Arial" w:hAnsi="Arial" w:cs="Arial"/>
          <w:i/>
          <w:iCs/>
          <w:color w:val="7B7B7B" w:themeColor="accent3" w:themeShade="BF"/>
          <w:sz w:val="22"/>
          <w:szCs w:val="22"/>
        </w:rPr>
        <w:t xml:space="preserve">EU </w:t>
      </w:r>
      <w:r w:rsidR="00114C53" w:rsidRPr="008309F9">
        <w:rPr>
          <w:rFonts w:ascii="Arial" w:hAnsi="Arial" w:cs="Arial"/>
          <w:i/>
          <w:iCs/>
          <w:color w:val="7B7B7B" w:themeColor="accent3" w:themeShade="BF"/>
          <w:sz w:val="22"/>
          <w:szCs w:val="22"/>
        </w:rPr>
        <w:t>Member States will determine jurisdictional outcome</w:t>
      </w:r>
      <w:r w:rsidR="00645D5E" w:rsidRPr="008309F9">
        <w:rPr>
          <w:rFonts w:ascii="Arial" w:hAnsi="Arial" w:cs="Arial"/>
          <w:color w:val="7B7B7B" w:themeColor="accent3" w:themeShade="BF"/>
          <w:sz w:val="22"/>
          <w:szCs w:val="22"/>
        </w:rPr>
        <w:t>”</w:t>
      </w:r>
      <w:r w:rsidR="00114C53" w:rsidRPr="008309F9">
        <w:rPr>
          <w:rStyle w:val="FootnoteReference"/>
          <w:rFonts w:ascii="Arial" w:hAnsi="Arial" w:cs="Arial"/>
          <w:color w:val="7B7B7B" w:themeColor="accent3" w:themeShade="BF"/>
          <w:sz w:val="22"/>
          <w:szCs w:val="22"/>
        </w:rPr>
        <w:footnoteReference w:id="18"/>
      </w:r>
      <w:r w:rsidR="00114C53" w:rsidRPr="008309F9">
        <w:rPr>
          <w:rFonts w:ascii="Arial" w:hAnsi="Arial" w:cs="Arial"/>
          <w:color w:val="7B7B7B" w:themeColor="accent3" w:themeShade="BF"/>
          <w:sz w:val="22"/>
          <w:szCs w:val="22"/>
        </w:rPr>
        <w:t>.</w:t>
      </w:r>
      <w:r w:rsidR="00EE352E" w:rsidRPr="008309F9">
        <w:rPr>
          <w:rFonts w:ascii="Arial" w:hAnsi="Arial" w:cs="Arial"/>
          <w:color w:val="7B7B7B" w:themeColor="accent3" w:themeShade="BF"/>
          <w:sz w:val="22"/>
          <w:szCs w:val="22"/>
        </w:rPr>
        <w:t xml:space="preserve"> It should be noted that the Court of Justice of the European Union in </w:t>
      </w:r>
      <w:r w:rsidR="00EE352E" w:rsidRPr="008309F9">
        <w:rPr>
          <w:rFonts w:ascii="Arial" w:hAnsi="Arial" w:cs="Arial"/>
          <w:i/>
          <w:iCs/>
          <w:color w:val="7B7B7B" w:themeColor="accent3" w:themeShade="BF"/>
          <w:sz w:val="22"/>
          <w:szCs w:val="22"/>
        </w:rPr>
        <w:t>Ralph Schmid v Lilly Hertel</w:t>
      </w:r>
      <w:r w:rsidR="00EE352E" w:rsidRPr="008309F9">
        <w:rPr>
          <w:rStyle w:val="FootnoteReference"/>
          <w:rFonts w:ascii="Arial" w:hAnsi="Arial" w:cs="Arial"/>
          <w:color w:val="7B7B7B" w:themeColor="accent3" w:themeShade="BF"/>
          <w:sz w:val="22"/>
          <w:szCs w:val="22"/>
        </w:rPr>
        <w:footnoteReference w:id="19"/>
      </w:r>
      <w:r w:rsidR="00EE352E" w:rsidRPr="008309F9">
        <w:rPr>
          <w:rFonts w:ascii="Arial" w:hAnsi="Arial" w:cs="Arial"/>
          <w:i/>
          <w:iCs/>
          <w:color w:val="7B7B7B" w:themeColor="accent3" w:themeShade="BF"/>
          <w:sz w:val="22"/>
          <w:szCs w:val="22"/>
        </w:rPr>
        <w:t xml:space="preserve"> </w:t>
      </w:r>
      <w:r w:rsidR="00EE352E" w:rsidRPr="008309F9">
        <w:rPr>
          <w:rFonts w:ascii="Arial" w:hAnsi="Arial" w:cs="Arial"/>
          <w:color w:val="7B7B7B" w:themeColor="accent3" w:themeShade="BF"/>
          <w:sz w:val="22"/>
          <w:szCs w:val="22"/>
        </w:rPr>
        <w:t xml:space="preserve">extended the scope of the EIR 2000 and EIR Recast to include actions against a person resident in a third </w:t>
      </w:r>
      <w:r w:rsidR="00EE352E" w:rsidRPr="008309F9">
        <w:rPr>
          <w:rFonts w:ascii="Arial" w:hAnsi="Arial" w:cs="Arial"/>
          <w:color w:val="7B7B7B" w:themeColor="accent3" w:themeShade="BF"/>
          <w:sz w:val="22"/>
          <w:szCs w:val="22"/>
        </w:rPr>
        <w:lastRenderedPageBreak/>
        <w:t>country (in this case, Switzerland). The rationale</w:t>
      </w:r>
      <w:r w:rsidR="00B72EDC" w:rsidRPr="008309F9">
        <w:rPr>
          <w:rFonts w:ascii="Arial" w:hAnsi="Arial" w:cs="Arial"/>
          <w:color w:val="7B7B7B" w:themeColor="accent3" w:themeShade="BF"/>
          <w:sz w:val="22"/>
          <w:szCs w:val="22"/>
        </w:rPr>
        <w:t xml:space="preserve"> behind this included the universal nature of main insolvency proceedings encompassing </w:t>
      </w:r>
      <w:proofErr w:type="gramStart"/>
      <w:r w:rsidR="00B72EDC" w:rsidRPr="008309F9">
        <w:rPr>
          <w:rFonts w:ascii="Arial" w:hAnsi="Arial" w:cs="Arial"/>
          <w:color w:val="7B7B7B" w:themeColor="accent3" w:themeShade="BF"/>
          <w:sz w:val="22"/>
          <w:szCs w:val="22"/>
        </w:rPr>
        <w:t>all of</w:t>
      </w:r>
      <w:proofErr w:type="gramEnd"/>
      <w:r w:rsidR="00B72EDC" w:rsidRPr="008309F9">
        <w:rPr>
          <w:rFonts w:ascii="Arial" w:hAnsi="Arial" w:cs="Arial"/>
          <w:color w:val="7B7B7B" w:themeColor="accent3" w:themeShade="BF"/>
          <w:sz w:val="22"/>
          <w:szCs w:val="22"/>
        </w:rPr>
        <w:t xml:space="preserve"> a debtor’s assets</w:t>
      </w:r>
      <w:r w:rsidR="00B72EDC" w:rsidRPr="008309F9">
        <w:rPr>
          <w:rStyle w:val="FootnoteReference"/>
          <w:rFonts w:ascii="Arial" w:hAnsi="Arial" w:cs="Arial"/>
          <w:color w:val="7B7B7B" w:themeColor="accent3" w:themeShade="BF"/>
          <w:sz w:val="22"/>
          <w:szCs w:val="22"/>
        </w:rPr>
        <w:footnoteReference w:id="20"/>
      </w:r>
      <w:r w:rsidRPr="008309F9">
        <w:rPr>
          <w:rFonts w:ascii="Arial" w:hAnsi="Arial" w:cs="Arial"/>
          <w:color w:val="7B7B7B" w:themeColor="accent3" w:themeShade="BF"/>
          <w:sz w:val="22"/>
          <w:szCs w:val="22"/>
        </w:rPr>
        <w:t>; and</w:t>
      </w:r>
    </w:p>
    <w:p w14:paraId="2E2907F9" w14:textId="77777777" w:rsidR="008309F9" w:rsidRPr="008309F9" w:rsidRDefault="008309F9" w:rsidP="008309F9">
      <w:pPr>
        <w:pStyle w:val="ListParagraph"/>
        <w:rPr>
          <w:rFonts w:ascii="Arial" w:hAnsi="Arial" w:cs="Arial"/>
          <w:color w:val="7B7B7B" w:themeColor="accent3" w:themeShade="BF"/>
          <w:sz w:val="22"/>
          <w:szCs w:val="22"/>
        </w:rPr>
      </w:pPr>
    </w:p>
    <w:p w14:paraId="7C84B323" w14:textId="7EB9DF18" w:rsidR="00AD2EB7" w:rsidRPr="003549CF" w:rsidRDefault="00CD0261" w:rsidP="008309F9">
      <w:pPr>
        <w:pStyle w:val="ListParagraph"/>
        <w:numPr>
          <w:ilvl w:val="0"/>
          <w:numId w:val="13"/>
        </w:numPr>
        <w:jc w:val="both"/>
        <w:rPr>
          <w:rFonts w:ascii="Arial" w:hAnsi="Arial" w:cs="Arial"/>
          <w:color w:val="7B7B7B" w:themeColor="accent3" w:themeShade="BF"/>
          <w:sz w:val="22"/>
          <w:szCs w:val="22"/>
        </w:rPr>
      </w:pPr>
      <w:r w:rsidRPr="003549CF">
        <w:rPr>
          <w:rFonts w:ascii="Arial" w:hAnsi="Arial" w:cs="Arial"/>
          <w:color w:val="7B7B7B" w:themeColor="accent3" w:themeShade="BF"/>
          <w:sz w:val="22"/>
          <w:szCs w:val="22"/>
        </w:rPr>
        <w:t>Recital 23 and Article 3</w:t>
      </w:r>
      <w:r w:rsidR="007B4CD2" w:rsidRPr="003549CF">
        <w:rPr>
          <w:rFonts w:ascii="Arial" w:hAnsi="Arial" w:cs="Arial"/>
          <w:color w:val="7B7B7B" w:themeColor="accent3" w:themeShade="BF"/>
          <w:sz w:val="22"/>
          <w:szCs w:val="22"/>
        </w:rPr>
        <w:t xml:space="preserve"> </w:t>
      </w:r>
      <w:r w:rsidRPr="003549CF">
        <w:rPr>
          <w:rFonts w:ascii="Arial" w:hAnsi="Arial" w:cs="Arial"/>
          <w:color w:val="7B7B7B" w:themeColor="accent3" w:themeShade="BF"/>
          <w:sz w:val="22"/>
          <w:szCs w:val="22"/>
        </w:rPr>
        <w:t xml:space="preserve">– </w:t>
      </w:r>
      <w:r w:rsidR="00AD2EB7" w:rsidRPr="003549CF">
        <w:rPr>
          <w:rFonts w:ascii="Arial" w:hAnsi="Arial" w:cs="Arial"/>
          <w:color w:val="7B7B7B" w:themeColor="accent3" w:themeShade="BF"/>
          <w:sz w:val="22"/>
          <w:szCs w:val="22"/>
        </w:rPr>
        <w:t>Article 3(1) of the EIR Recast provides that the courts of</w:t>
      </w:r>
      <w:r w:rsidR="008309F9" w:rsidRPr="003549CF">
        <w:rPr>
          <w:rFonts w:ascii="Arial" w:hAnsi="Arial" w:cs="Arial"/>
          <w:color w:val="7B7B7B" w:themeColor="accent3" w:themeShade="BF"/>
          <w:sz w:val="22"/>
          <w:szCs w:val="22"/>
        </w:rPr>
        <w:t xml:space="preserve"> </w:t>
      </w:r>
      <w:r w:rsidR="00AD2EB7" w:rsidRPr="003549CF">
        <w:rPr>
          <w:rFonts w:ascii="Arial" w:hAnsi="Arial" w:cs="Arial"/>
          <w:color w:val="7B7B7B" w:themeColor="accent3" w:themeShade="BF"/>
          <w:sz w:val="22"/>
          <w:szCs w:val="22"/>
        </w:rPr>
        <w:t>Member States, except Denmark</w:t>
      </w:r>
      <w:r w:rsidR="00AD2EB7" w:rsidRPr="003549CF">
        <w:rPr>
          <w:rStyle w:val="FootnoteReference"/>
          <w:rFonts w:ascii="Arial" w:hAnsi="Arial" w:cs="Arial"/>
          <w:color w:val="7B7B7B" w:themeColor="accent3" w:themeShade="BF"/>
          <w:sz w:val="22"/>
          <w:szCs w:val="22"/>
        </w:rPr>
        <w:footnoteReference w:id="21"/>
      </w:r>
      <w:r w:rsidR="00AD2EB7" w:rsidRPr="003549CF">
        <w:rPr>
          <w:rFonts w:ascii="Arial" w:hAnsi="Arial" w:cs="Arial"/>
          <w:color w:val="7B7B7B" w:themeColor="accent3" w:themeShade="BF"/>
          <w:sz w:val="22"/>
          <w:szCs w:val="22"/>
        </w:rPr>
        <w:t xml:space="preserve">, within the territory where the </w:t>
      </w:r>
      <w:r w:rsidR="007B4CD2" w:rsidRPr="003549CF">
        <w:rPr>
          <w:rFonts w:ascii="Arial" w:hAnsi="Arial" w:cs="Arial"/>
          <w:color w:val="7B7B7B" w:themeColor="accent3" w:themeShade="BF"/>
          <w:sz w:val="22"/>
          <w:szCs w:val="22"/>
        </w:rPr>
        <w:t>COMI</w:t>
      </w:r>
      <w:r w:rsidR="00AD2EB7" w:rsidRPr="003549CF">
        <w:rPr>
          <w:rFonts w:ascii="Arial" w:hAnsi="Arial" w:cs="Arial"/>
          <w:color w:val="7B7B7B" w:themeColor="accent3" w:themeShade="BF"/>
          <w:sz w:val="22"/>
          <w:szCs w:val="22"/>
        </w:rPr>
        <w:t xml:space="preserve"> is located shall have jurisdiction to open insolvency proceedings ("main insolvency proceedings")</w:t>
      </w:r>
      <w:r w:rsidR="008309F9" w:rsidRPr="003549CF">
        <w:rPr>
          <w:rStyle w:val="FootnoteReference"/>
          <w:rFonts w:ascii="Arial" w:hAnsi="Arial" w:cs="Arial"/>
          <w:color w:val="7B7B7B" w:themeColor="accent3" w:themeShade="BF"/>
          <w:sz w:val="22"/>
          <w:szCs w:val="22"/>
        </w:rPr>
        <w:footnoteReference w:id="22"/>
      </w:r>
      <w:r w:rsidR="00AD2EB7" w:rsidRPr="003549CF">
        <w:rPr>
          <w:rFonts w:ascii="Arial" w:hAnsi="Arial" w:cs="Arial"/>
          <w:color w:val="7B7B7B" w:themeColor="accent3" w:themeShade="BF"/>
          <w:sz w:val="22"/>
          <w:szCs w:val="22"/>
        </w:rPr>
        <w:t xml:space="preserve">. In line with the objective of modified universalism, proceedings under Article 3 are universal in scope and are designed to encompass </w:t>
      </w:r>
      <w:proofErr w:type="gramStart"/>
      <w:r w:rsidR="00AD2EB7" w:rsidRPr="003549CF">
        <w:rPr>
          <w:rFonts w:ascii="Arial" w:hAnsi="Arial" w:cs="Arial"/>
          <w:color w:val="7B7B7B" w:themeColor="accent3" w:themeShade="BF"/>
          <w:sz w:val="22"/>
          <w:szCs w:val="22"/>
        </w:rPr>
        <w:t>all of</w:t>
      </w:r>
      <w:proofErr w:type="gramEnd"/>
      <w:r w:rsidR="00AD2EB7" w:rsidRPr="003549CF">
        <w:rPr>
          <w:rFonts w:ascii="Arial" w:hAnsi="Arial" w:cs="Arial"/>
          <w:color w:val="7B7B7B" w:themeColor="accent3" w:themeShade="BF"/>
          <w:sz w:val="22"/>
          <w:szCs w:val="22"/>
        </w:rPr>
        <w:t xml:space="preserve"> the debtor’s assets. As stated in Recital 23, the EIR Recast does </w:t>
      </w:r>
      <w:r w:rsidR="008309F9" w:rsidRPr="003549CF">
        <w:rPr>
          <w:rFonts w:ascii="Arial" w:hAnsi="Arial" w:cs="Arial"/>
          <w:color w:val="7B7B7B" w:themeColor="accent3" w:themeShade="BF"/>
          <w:sz w:val="22"/>
          <w:szCs w:val="22"/>
        </w:rPr>
        <w:t>permit</w:t>
      </w:r>
      <w:r w:rsidR="00AD2EB7" w:rsidRPr="003549CF">
        <w:rPr>
          <w:rFonts w:ascii="Arial" w:hAnsi="Arial" w:cs="Arial"/>
          <w:color w:val="7B7B7B" w:themeColor="accent3" w:themeShade="BF"/>
          <w:sz w:val="22"/>
          <w:szCs w:val="22"/>
        </w:rPr>
        <w:t xml:space="preserve"> the opening of secondary </w:t>
      </w:r>
      <w:r w:rsidR="008309F9" w:rsidRPr="003549CF">
        <w:rPr>
          <w:rFonts w:ascii="Arial" w:hAnsi="Arial" w:cs="Arial"/>
          <w:color w:val="7B7B7B" w:themeColor="accent3" w:themeShade="BF"/>
          <w:sz w:val="22"/>
          <w:szCs w:val="22"/>
        </w:rPr>
        <w:t xml:space="preserve">insolvency </w:t>
      </w:r>
      <w:r w:rsidR="00AD2EB7" w:rsidRPr="003549CF">
        <w:rPr>
          <w:rFonts w:ascii="Arial" w:hAnsi="Arial" w:cs="Arial"/>
          <w:color w:val="7B7B7B" w:themeColor="accent3" w:themeShade="BF"/>
          <w:sz w:val="22"/>
          <w:szCs w:val="22"/>
        </w:rPr>
        <w:t>proceedings (</w:t>
      </w:r>
      <w:r w:rsidR="003549CF" w:rsidRPr="003549CF">
        <w:rPr>
          <w:rFonts w:ascii="Arial" w:hAnsi="Arial" w:cs="Arial"/>
          <w:color w:val="7B7B7B" w:themeColor="accent3" w:themeShade="BF"/>
          <w:sz w:val="22"/>
          <w:szCs w:val="22"/>
        </w:rPr>
        <w:t>to be ran in</w:t>
      </w:r>
      <w:r w:rsidR="00AD2EB7" w:rsidRPr="003549CF">
        <w:rPr>
          <w:rFonts w:ascii="Arial" w:hAnsi="Arial" w:cs="Arial"/>
          <w:color w:val="7B7B7B" w:themeColor="accent3" w:themeShade="BF"/>
          <w:sz w:val="22"/>
          <w:szCs w:val="22"/>
        </w:rPr>
        <w:t xml:space="preserve"> parallel with the main insolvency proceedings)</w:t>
      </w:r>
      <w:r w:rsidR="003549CF" w:rsidRPr="003549CF">
        <w:rPr>
          <w:rStyle w:val="FootnoteReference"/>
          <w:rFonts w:ascii="Arial" w:hAnsi="Arial" w:cs="Arial"/>
          <w:color w:val="7B7B7B" w:themeColor="accent3" w:themeShade="BF"/>
          <w:sz w:val="22"/>
          <w:szCs w:val="22"/>
        </w:rPr>
        <w:footnoteReference w:id="23"/>
      </w:r>
      <w:r w:rsidR="00AD2EB7" w:rsidRPr="003549CF">
        <w:rPr>
          <w:rFonts w:ascii="Arial" w:hAnsi="Arial" w:cs="Arial"/>
          <w:color w:val="7B7B7B" w:themeColor="accent3" w:themeShade="BF"/>
          <w:sz w:val="22"/>
          <w:szCs w:val="22"/>
        </w:rPr>
        <w:t xml:space="preserve">. The purpose of secondary insolvency proceedings </w:t>
      </w:r>
      <w:proofErr w:type="gramStart"/>
      <w:r w:rsidR="00AD2EB7" w:rsidRPr="003549CF">
        <w:rPr>
          <w:rFonts w:ascii="Arial" w:hAnsi="Arial" w:cs="Arial"/>
          <w:color w:val="7B7B7B" w:themeColor="accent3" w:themeShade="BF"/>
          <w:sz w:val="22"/>
          <w:szCs w:val="22"/>
        </w:rPr>
        <w:t>are</w:t>
      </w:r>
      <w:proofErr w:type="gramEnd"/>
      <w:r w:rsidR="00AD2EB7" w:rsidRPr="003549CF">
        <w:rPr>
          <w:rFonts w:ascii="Arial" w:hAnsi="Arial" w:cs="Arial"/>
          <w:color w:val="7B7B7B" w:themeColor="accent3" w:themeShade="BF"/>
          <w:sz w:val="22"/>
          <w:szCs w:val="22"/>
        </w:rPr>
        <w:t xml:space="preserve"> to protect the diversity of interests and may be opened in any Member State where the debtor has an establishment.</w:t>
      </w:r>
      <w:r w:rsidR="00AD2EB7" w:rsidRPr="003549CF">
        <w:rPr>
          <w:rStyle w:val="FootnoteReference"/>
          <w:rFonts w:ascii="Arial" w:hAnsi="Arial" w:cs="Arial"/>
          <w:color w:val="7B7B7B" w:themeColor="accent3" w:themeShade="BF"/>
          <w:sz w:val="22"/>
          <w:szCs w:val="22"/>
        </w:rPr>
        <w:footnoteReference w:id="24"/>
      </w:r>
      <w:r w:rsidR="00AD2EB7" w:rsidRPr="003549CF">
        <w:rPr>
          <w:rFonts w:ascii="Arial" w:hAnsi="Arial" w:cs="Arial"/>
          <w:color w:val="7B7B7B" w:themeColor="accent3" w:themeShade="BF"/>
          <w:sz w:val="22"/>
          <w:szCs w:val="22"/>
        </w:rPr>
        <w:t xml:space="preserve"> It should be noted that secondary proceedings in any Member State have limited scope as they are limited to just the assets located in that Member State. </w:t>
      </w:r>
    </w:p>
    <w:p w14:paraId="2956BD28" w14:textId="77777777" w:rsidR="00CD0261" w:rsidRPr="009B6724" w:rsidRDefault="00CD0261" w:rsidP="002A37BB">
      <w:pPr>
        <w:jc w:val="both"/>
        <w:rPr>
          <w:rFonts w:ascii="Arial" w:hAnsi="Arial"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8EB2FC3" w14:textId="77777777" w:rsidR="000572F1" w:rsidRPr="008E3C96" w:rsidRDefault="000572F1" w:rsidP="002A37BB">
      <w:pPr>
        <w:jc w:val="both"/>
        <w:rPr>
          <w:rFonts w:ascii="Avenir Next" w:hAnsi="Avenir Next" w:cs="Arial"/>
          <w:sz w:val="22"/>
          <w:szCs w:val="22"/>
          <w:lang w:val="en-GB"/>
        </w:rPr>
      </w:pPr>
    </w:p>
    <w:p w14:paraId="002BC547" w14:textId="5B088452" w:rsidR="000A3278" w:rsidRPr="009F7C04" w:rsidRDefault="00B2537D" w:rsidP="000A3278">
      <w:pPr>
        <w:jc w:val="both"/>
        <w:rPr>
          <w:rFonts w:ascii="Arial" w:hAnsi="Arial" w:cs="Arial"/>
          <w:color w:val="7B7B7B" w:themeColor="accent3" w:themeShade="BF"/>
          <w:sz w:val="22"/>
          <w:szCs w:val="22"/>
        </w:rPr>
      </w:pPr>
      <w:r w:rsidRPr="009F7C04">
        <w:rPr>
          <w:rFonts w:ascii="Arial" w:hAnsi="Arial" w:cs="Arial"/>
          <w:color w:val="7B7B7B" w:themeColor="accent3" w:themeShade="BF"/>
          <w:sz w:val="22"/>
          <w:szCs w:val="22"/>
        </w:rPr>
        <w:t>Two</w:t>
      </w:r>
      <w:r w:rsidR="000A3278" w:rsidRPr="009F7C04">
        <w:rPr>
          <w:rFonts w:ascii="Arial" w:hAnsi="Arial" w:cs="Arial"/>
          <w:color w:val="7B7B7B" w:themeColor="accent3" w:themeShade="BF"/>
          <w:sz w:val="22"/>
          <w:szCs w:val="22"/>
        </w:rPr>
        <w:t xml:space="preserve"> </w:t>
      </w:r>
      <w:r w:rsidRPr="009F7C04">
        <w:rPr>
          <w:rFonts w:ascii="Arial" w:hAnsi="Arial" w:cs="Arial"/>
          <w:color w:val="7B7B7B" w:themeColor="accent3" w:themeShade="BF"/>
          <w:sz w:val="22"/>
          <w:szCs w:val="22"/>
        </w:rPr>
        <w:t>examples of instruments introduced by the EIR Recast to avoid or control the opening, conduct or closure of secondary proceedings are:</w:t>
      </w:r>
    </w:p>
    <w:p w14:paraId="4B66BEC5" w14:textId="422E936D" w:rsidR="000572F1" w:rsidRPr="00DE7F85" w:rsidRDefault="00B2537D">
      <w:pPr>
        <w:pStyle w:val="ListParagraph"/>
        <w:numPr>
          <w:ilvl w:val="0"/>
          <w:numId w:val="12"/>
        </w:numPr>
        <w:jc w:val="both"/>
        <w:rPr>
          <w:rFonts w:ascii="Arial" w:hAnsi="Arial" w:cs="Arial"/>
          <w:color w:val="7B7B7B" w:themeColor="accent3" w:themeShade="BF"/>
          <w:sz w:val="22"/>
          <w:szCs w:val="22"/>
        </w:rPr>
      </w:pPr>
      <w:r w:rsidRPr="009F7C04">
        <w:rPr>
          <w:rFonts w:ascii="Arial" w:hAnsi="Arial" w:cs="Arial"/>
          <w:color w:val="7B7B7B" w:themeColor="accent3" w:themeShade="BF"/>
          <w:sz w:val="22"/>
          <w:szCs w:val="22"/>
        </w:rPr>
        <w:t>Right to give an undertaking (Article</w:t>
      </w:r>
      <w:r w:rsidR="00C378AB" w:rsidRPr="009F7C04">
        <w:rPr>
          <w:rFonts w:ascii="Arial" w:hAnsi="Arial" w:cs="Arial"/>
          <w:color w:val="7B7B7B" w:themeColor="accent3" w:themeShade="BF"/>
          <w:sz w:val="22"/>
          <w:szCs w:val="22"/>
        </w:rPr>
        <w:t>s 36 and</w:t>
      </w:r>
      <w:r w:rsidRPr="009F7C04">
        <w:rPr>
          <w:rFonts w:ascii="Arial" w:hAnsi="Arial" w:cs="Arial"/>
          <w:color w:val="7B7B7B" w:themeColor="accent3" w:themeShade="BF"/>
          <w:sz w:val="22"/>
          <w:szCs w:val="22"/>
        </w:rPr>
        <w:t xml:space="preserve"> 38) </w:t>
      </w:r>
      <w:r w:rsidR="007B1364" w:rsidRPr="009F7C04">
        <w:rPr>
          <w:rFonts w:ascii="Arial" w:hAnsi="Arial" w:cs="Arial"/>
          <w:color w:val="7B7B7B" w:themeColor="accent3" w:themeShade="BF"/>
          <w:sz w:val="22"/>
          <w:szCs w:val="22"/>
        </w:rPr>
        <w:t>–</w:t>
      </w:r>
      <w:r w:rsidRPr="009F7C04">
        <w:rPr>
          <w:rFonts w:ascii="Arial" w:hAnsi="Arial" w:cs="Arial"/>
          <w:color w:val="7B7B7B" w:themeColor="accent3" w:themeShade="BF"/>
          <w:sz w:val="22"/>
          <w:szCs w:val="22"/>
        </w:rPr>
        <w:t xml:space="preserve"> </w:t>
      </w:r>
      <w:r w:rsidR="007B1364" w:rsidRPr="009F7C04">
        <w:rPr>
          <w:rFonts w:ascii="Arial" w:hAnsi="Arial" w:cs="Arial"/>
          <w:color w:val="7B7B7B" w:themeColor="accent3" w:themeShade="BF"/>
          <w:sz w:val="22"/>
          <w:szCs w:val="22"/>
        </w:rPr>
        <w:t xml:space="preserve">To avoid the commencement of secondary insolvency proceedings, Article 36 </w:t>
      </w:r>
      <w:r w:rsidR="009F7C04" w:rsidRPr="009F7C04">
        <w:rPr>
          <w:rFonts w:ascii="Arial" w:hAnsi="Arial" w:cs="Arial"/>
          <w:color w:val="7B7B7B" w:themeColor="accent3" w:themeShade="BF"/>
          <w:sz w:val="22"/>
          <w:szCs w:val="22"/>
        </w:rPr>
        <w:t xml:space="preserve">of the EIR Recast </w:t>
      </w:r>
      <w:r w:rsidR="007B1364" w:rsidRPr="009F7C04">
        <w:rPr>
          <w:rFonts w:ascii="Arial" w:hAnsi="Arial" w:cs="Arial"/>
          <w:color w:val="7B7B7B" w:themeColor="accent3" w:themeShade="BF"/>
          <w:sz w:val="22"/>
          <w:szCs w:val="22"/>
        </w:rPr>
        <w:t>provides that an insolvency practitioner in the main insolvency proceedings has a right to give a unilateral undertaking in respect of assets located in the Member State in which secondary insolvency proceedings could be opened</w:t>
      </w:r>
      <w:r w:rsidR="009F7C04" w:rsidRPr="009F7C04">
        <w:rPr>
          <w:rFonts w:ascii="Arial" w:hAnsi="Arial" w:cs="Arial"/>
          <w:color w:val="7B7B7B" w:themeColor="accent3" w:themeShade="BF"/>
          <w:sz w:val="22"/>
          <w:szCs w:val="22"/>
        </w:rPr>
        <w:t xml:space="preserve"> </w:t>
      </w:r>
      <w:r w:rsidR="007B1364" w:rsidRPr="009F7C04">
        <w:rPr>
          <w:rFonts w:ascii="Arial" w:hAnsi="Arial" w:cs="Arial"/>
          <w:color w:val="7B7B7B" w:themeColor="accent3" w:themeShade="BF"/>
          <w:sz w:val="22"/>
          <w:szCs w:val="22"/>
        </w:rPr>
        <w:t xml:space="preserve">- on distribution, the assets or proceeds of </w:t>
      </w:r>
      <w:proofErr w:type="spellStart"/>
      <w:r w:rsidR="007B1364" w:rsidRPr="009F7C04">
        <w:rPr>
          <w:rFonts w:ascii="Arial" w:hAnsi="Arial" w:cs="Arial"/>
          <w:color w:val="7B7B7B" w:themeColor="accent3" w:themeShade="BF"/>
          <w:sz w:val="22"/>
          <w:szCs w:val="22"/>
        </w:rPr>
        <w:t>real</w:t>
      </w:r>
      <w:r w:rsidR="00CD6B43" w:rsidRPr="009F7C04">
        <w:rPr>
          <w:rFonts w:ascii="Arial" w:hAnsi="Arial" w:cs="Arial"/>
          <w:color w:val="7B7B7B" w:themeColor="accent3" w:themeShade="BF"/>
          <w:sz w:val="22"/>
          <w:szCs w:val="22"/>
        </w:rPr>
        <w:t>isation</w:t>
      </w:r>
      <w:proofErr w:type="spellEnd"/>
      <w:r w:rsidR="00CD6B43" w:rsidRPr="009F7C04">
        <w:rPr>
          <w:rFonts w:ascii="Arial" w:hAnsi="Arial" w:cs="Arial"/>
          <w:color w:val="7B7B7B" w:themeColor="accent3" w:themeShade="BF"/>
          <w:sz w:val="22"/>
          <w:szCs w:val="22"/>
        </w:rPr>
        <w:t xml:space="preserve"> are to comply with the national law on distribution and priority rules that creditors would have had had secondary insolvency proceedings been opened in that Member State</w:t>
      </w:r>
      <w:r w:rsidR="00CD6B43" w:rsidRPr="009F7C04">
        <w:rPr>
          <w:rStyle w:val="FootnoteReference"/>
          <w:rFonts w:ascii="Arial" w:hAnsi="Arial" w:cs="Arial"/>
          <w:color w:val="7B7B7B" w:themeColor="accent3" w:themeShade="BF"/>
          <w:sz w:val="22"/>
          <w:szCs w:val="22"/>
        </w:rPr>
        <w:footnoteReference w:id="25"/>
      </w:r>
      <w:r w:rsidR="00CD6B43" w:rsidRPr="009F7C04">
        <w:rPr>
          <w:rFonts w:ascii="Arial" w:hAnsi="Arial" w:cs="Arial"/>
          <w:color w:val="7B7B7B" w:themeColor="accent3" w:themeShade="BF"/>
          <w:sz w:val="22"/>
          <w:szCs w:val="22"/>
        </w:rPr>
        <w:t>.</w:t>
      </w:r>
      <w:r w:rsidR="007226B3" w:rsidRPr="009F7C04">
        <w:rPr>
          <w:rFonts w:ascii="Arial" w:hAnsi="Arial" w:cs="Arial"/>
          <w:color w:val="7B7B7B" w:themeColor="accent3" w:themeShade="BF"/>
          <w:sz w:val="22"/>
          <w:szCs w:val="22"/>
        </w:rPr>
        <w:t xml:space="preserve"> Article 38(2) states that where an undertaking is given under Article 36</w:t>
      </w:r>
      <w:r w:rsidR="00377F0A" w:rsidRPr="009F7C04">
        <w:rPr>
          <w:rStyle w:val="FootnoteReference"/>
          <w:rFonts w:ascii="Arial" w:hAnsi="Arial" w:cs="Arial"/>
          <w:color w:val="7B7B7B" w:themeColor="accent3" w:themeShade="BF"/>
          <w:sz w:val="22"/>
          <w:szCs w:val="22"/>
        </w:rPr>
        <w:footnoteReference w:id="26"/>
      </w:r>
      <w:r w:rsidR="007226B3" w:rsidRPr="009F7C04">
        <w:rPr>
          <w:rFonts w:ascii="Arial" w:hAnsi="Arial" w:cs="Arial"/>
          <w:color w:val="7B7B7B" w:themeColor="accent3" w:themeShade="BF"/>
          <w:sz w:val="22"/>
          <w:szCs w:val="22"/>
        </w:rPr>
        <w:t>, the court requested to open secondary insolvency proceedings shall not open such proceedings if is satisfied that the general interests of local creditors are adequately protected by the undertaking</w:t>
      </w:r>
      <w:r w:rsidR="007226B3" w:rsidRPr="009F7C04">
        <w:rPr>
          <w:rStyle w:val="FootnoteReference"/>
          <w:rFonts w:ascii="Arial" w:hAnsi="Arial" w:cs="Arial"/>
          <w:color w:val="7B7B7B" w:themeColor="accent3" w:themeShade="BF"/>
          <w:sz w:val="22"/>
          <w:szCs w:val="22"/>
        </w:rPr>
        <w:footnoteReference w:id="27"/>
      </w:r>
      <w:r w:rsidR="007226B3" w:rsidRPr="009F7C04">
        <w:rPr>
          <w:rFonts w:ascii="Arial" w:hAnsi="Arial" w:cs="Arial"/>
          <w:color w:val="7B7B7B" w:themeColor="accent3" w:themeShade="BF"/>
          <w:sz w:val="22"/>
          <w:szCs w:val="22"/>
        </w:rPr>
        <w:t>.</w:t>
      </w:r>
      <w:r w:rsidR="00C378AB" w:rsidRPr="009F7C04">
        <w:rPr>
          <w:rFonts w:ascii="Arial" w:hAnsi="Arial" w:cs="Arial"/>
          <w:color w:val="7B7B7B" w:themeColor="accent3" w:themeShade="BF"/>
          <w:sz w:val="22"/>
          <w:szCs w:val="22"/>
        </w:rPr>
        <w:t xml:space="preserve"> The undertaking is required to comply with both substantive and procedural requirements, including being in the official language (or one of the official languages</w:t>
      </w:r>
      <w:r w:rsidR="00A53581" w:rsidRPr="009F7C04">
        <w:rPr>
          <w:rFonts w:ascii="Arial" w:hAnsi="Arial" w:cs="Arial"/>
          <w:color w:val="7B7B7B" w:themeColor="accent3" w:themeShade="BF"/>
          <w:sz w:val="22"/>
          <w:szCs w:val="22"/>
        </w:rPr>
        <w:t>)</w:t>
      </w:r>
      <w:r w:rsidR="00C378AB" w:rsidRPr="009F7C04">
        <w:rPr>
          <w:rFonts w:ascii="Arial" w:hAnsi="Arial" w:cs="Arial"/>
          <w:color w:val="7B7B7B" w:themeColor="accent3" w:themeShade="BF"/>
          <w:sz w:val="22"/>
          <w:szCs w:val="22"/>
        </w:rPr>
        <w:t xml:space="preserve"> of the Member State where secondary proceedings </w:t>
      </w:r>
      <w:r w:rsidR="00C378AB" w:rsidRPr="00DE7F85">
        <w:rPr>
          <w:rFonts w:ascii="Arial" w:hAnsi="Arial" w:cs="Arial"/>
          <w:color w:val="7B7B7B" w:themeColor="accent3" w:themeShade="BF"/>
          <w:sz w:val="22"/>
          <w:szCs w:val="22"/>
        </w:rPr>
        <w:t>could be opened</w:t>
      </w:r>
      <w:r w:rsidR="00C378AB" w:rsidRPr="00DE7F85">
        <w:rPr>
          <w:rStyle w:val="FootnoteReference"/>
          <w:rFonts w:ascii="Arial" w:hAnsi="Arial" w:cs="Arial"/>
          <w:color w:val="7B7B7B" w:themeColor="accent3" w:themeShade="BF"/>
          <w:sz w:val="22"/>
          <w:szCs w:val="22"/>
        </w:rPr>
        <w:footnoteReference w:id="28"/>
      </w:r>
      <w:r w:rsidR="00C378AB" w:rsidRPr="00DE7F85">
        <w:rPr>
          <w:rFonts w:ascii="Arial" w:hAnsi="Arial" w:cs="Arial"/>
          <w:color w:val="7B7B7B" w:themeColor="accent3" w:themeShade="BF"/>
          <w:sz w:val="22"/>
          <w:szCs w:val="22"/>
        </w:rPr>
        <w:t>; and</w:t>
      </w:r>
    </w:p>
    <w:p w14:paraId="3C3510AF" w14:textId="77777777" w:rsidR="000572F1" w:rsidRPr="00DE7F85" w:rsidRDefault="000572F1" w:rsidP="00C20CFC">
      <w:pPr>
        <w:jc w:val="both"/>
        <w:rPr>
          <w:rFonts w:ascii="Arial" w:hAnsi="Arial" w:cs="Arial"/>
          <w:color w:val="7B7B7B" w:themeColor="accent3" w:themeShade="BF"/>
          <w:sz w:val="22"/>
          <w:szCs w:val="22"/>
        </w:rPr>
      </w:pPr>
    </w:p>
    <w:p w14:paraId="4E4857DB" w14:textId="4BB09A5F" w:rsidR="00AD277E" w:rsidRPr="00DE7F85" w:rsidRDefault="00C378AB">
      <w:pPr>
        <w:pStyle w:val="ListParagraph"/>
        <w:numPr>
          <w:ilvl w:val="0"/>
          <w:numId w:val="12"/>
        </w:numPr>
        <w:jc w:val="both"/>
        <w:rPr>
          <w:rFonts w:ascii="Arial" w:hAnsi="Arial" w:cs="Arial"/>
          <w:color w:val="7B7B7B" w:themeColor="accent3" w:themeShade="BF"/>
          <w:sz w:val="22"/>
          <w:szCs w:val="22"/>
        </w:rPr>
      </w:pPr>
      <w:r w:rsidRPr="00DE7F85">
        <w:rPr>
          <w:rFonts w:ascii="Arial" w:hAnsi="Arial" w:cs="Arial"/>
          <w:color w:val="7B7B7B" w:themeColor="accent3" w:themeShade="BF"/>
          <w:sz w:val="22"/>
          <w:szCs w:val="22"/>
        </w:rPr>
        <w:t>Stay of the opening of secondary insolvency proceedings (</w:t>
      </w:r>
      <w:r w:rsidR="00A53581" w:rsidRPr="00DE7F85">
        <w:rPr>
          <w:rFonts w:ascii="Arial" w:hAnsi="Arial" w:cs="Arial"/>
          <w:color w:val="7B7B7B" w:themeColor="accent3" w:themeShade="BF"/>
          <w:sz w:val="22"/>
          <w:szCs w:val="22"/>
        </w:rPr>
        <w:t>Recital 45</w:t>
      </w:r>
      <w:r w:rsidR="001139F3">
        <w:rPr>
          <w:rFonts w:ascii="Arial" w:hAnsi="Arial" w:cs="Arial"/>
          <w:color w:val="7B7B7B" w:themeColor="accent3" w:themeShade="BF"/>
          <w:sz w:val="22"/>
          <w:szCs w:val="22"/>
        </w:rPr>
        <w:t xml:space="preserve"> and Article 38(3)</w:t>
      </w:r>
      <w:r w:rsidRPr="00DE7F85">
        <w:rPr>
          <w:rFonts w:ascii="Arial" w:hAnsi="Arial" w:cs="Arial"/>
          <w:color w:val="7B7B7B" w:themeColor="accent3" w:themeShade="BF"/>
          <w:sz w:val="22"/>
          <w:szCs w:val="22"/>
        </w:rPr>
        <w:t xml:space="preserve">) </w:t>
      </w:r>
      <w:r w:rsidR="00A53581" w:rsidRPr="00DE7F85">
        <w:rPr>
          <w:rFonts w:ascii="Arial" w:hAnsi="Arial" w:cs="Arial"/>
          <w:color w:val="7B7B7B" w:themeColor="accent3" w:themeShade="BF"/>
          <w:sz w:val="22"/>
          <w:szCs w:val="22"/>
        </w:rPr>
        <w:t xml:space="preserve">– </w:t>
      </w:r>
      <w:r w:rsidR="00C20CFC" w:rsidRPr="00DE7F85">
        <w:rPr>
          <w:rFonts w:ascii="Arial" w:hAnsi="Arial" w:cs="Arial"/>
          <w:color w:val="7B7B7B" w:themeColor="accent3" w:themeShade="BF"/>
          <w:sz w:val="22"/>
          <w:szCs w:val="22"/>
        </w:rPr>
        <w:t xml:space="preserve">Recital 45 of the </w:t>
      </w:r>
      <w:r w:rsidR="00A53581" w:rsidRPr="00DE7F85">
        <w:rPr>
          <w:rFonts w:ascii="Arial" w:hAnsi="Arial" w:cs="Arial"/>
          <w:color w:val="7B7B7B" w:themeColor="accent3" w:themeShade="BF"/>
          <w:sz w:val="22"/>
          <w:szCs w:val="22"/>
        </w:rPr>
        <w:t xml:space="preserve">EIR Recast provides for the possibility that the court temporarily </w:t>
      </w:r>
      <w:r w:rsidR="00A53581" w:rsidRPr="00DE7F85">
        <w:rPr>
          <w:rFonts w:ascii="Arial" w:hAnsi="Arial" w:cs="Arial"/>
          <w:color w:val="7B7B7B" w:themeColor="accent3" w:themeShade="BF"/>
          <w:sz w:val="22"/>
          <w:szCs w:val="22"/>
        </w:rPr>
        <w:lastRenderedPageBreak/>
        <w:t>stays the opening of secondary insolvency proceedings in the situation where there is a temporary stay of individual enforcement proceedings in the main insolvency proceedings</w:t>
      </w:r>
      <w:r w:rsidR="00C20CFC" w:rsidRPr="00DE7F85">
        <w:rPr>
          <w:rFonts w:ascii="Arial" w:hAnsi="Arial" w:cs="Arial"/>
          <w:color w:val="7B7B7B" w:themeColor="accent3" w:themeShade="BF"/>
          <w:sz w:val="22"/>
          <w:szCs w:val="22"/>
        </w:rPr>
        <w:t xml:space="preserve">. This is designed </w:t>
      </w:r>
      <w:r w:rsidR="00DE7F85" w:rsidRPr="00DE7F85">
        <w:rPr>
          <w:rFonts w:ascii="Arial" w:hAnsi="Arial" w:cs="Arial"/>
          <w:color w:val="7B7B7B" w:themeColor="accent3" w:themeShade="BF"/>
          <w:sz w:val="22"/>
          <w:szCs w:val="22"/>
        </w:rPr>
        <w:t>“</w:t>
      </w:r>
      <w:r w:rsidR="00C20CFC" w:rsidRPr="00DE7F85">
        <w:rPr>
          <w:rFonts w:ascii="Arial" w:hAnsi="Arial" w:cs="Arial"/>
          <w:i/>
          <w:iCs/>
          <w:color w:val="7B7B7B" w:themeColor="accent3" w:themeShade="BF"/>
          <w:sz w:val="22"/>
          <w:szCs w:val="22"/>
        </w:rPr>
        <w:t xml:space="preserve">to preserve the efficiency of the stay </w:t>
      </w:r>
      <w:r w:rsidR="00DE7F85" w:rsidRPr="00DE7F85">
        <w:rPr>
          <w:rFonts w:ascii="Arial" w:hAnsi="Arial" w:cs="Arial"/>
          <w:i/>
          <w:iCs/>
          <w:color w:val="7B7B7B" w:themeColor="accent3" w:themeShade="BF"/>
          <w:sz w:val="22"/>
          <w:szCs w:val="22"/>
        </w:rPr>
        <w:t xml:space="preserve">granted </w:t>
      </w:r>
      <w:r w:rsidR="00C20CFC" w:rsidRPr="00DE7F85">
        <w:rPr>
          <w:rFonts w:ascii="Arial" w:hAnsi="Arial" w:cs="Arial"/>
          <w:i/>
          <w:iCs/>
          <w:color w:val="7B7B7B" w:themeColor="accent3" w:themeShade="BF"/>
          <w:sz w:val="22"/>
          <w:szCs w:val="22"/>
        </w:rPr>
        <w:t>in the main insolvency proceedings</w:t>
      </w:r>
      <w:r w:rsidR="00DE7F85" w:rsidRPr="00DE7F85">
        <w:rPr>
          <w:rFonts w:ascii="Arial" w:hAnsi="Arial" w:cs="Arial"/>
          <w:color w:val="7B7B7B" w:themeColor="accent3" w:themeShade="BF"/>
          <w:sz w:val="22"/>
          <w:szCs w:val="22"/>
        </w:rPr>
        <w:t>”</w:t>
      </w:r>
      <w:r w:rsidR="00A53581" w:rsidRPr="00DE7F85">
        <w:rPr>
          <w:rStyle w:val="FootnoteReference"/>
          <w:rFonts w:ascii="Arial" w:hAnsi="Arial" w:cs="Arial"/>
          <w:color w:val="7B7B7B" w:themeColor="accent3" w:themeShade="BF"/>
          <w:sz w:val="22"/>
          <w:szCs w:val="22"/>
        </w:rPr>
        <w:footnoteReference w:id="29"/>
      </w:r>
      <w:r w:rsidR="00A53581" w:rsidRPr="00DE7F85">
        <w:rPr>
          <w:rFonts w:ascii="Arial" w:hAnsi="Arial" w:cs="Arial"/>
          <w:color w:val="7B7B7B" w:themeColor="accent3" w:themeShade="BF"/>
          <w:sz w:val="22"/>
          <w:szCs w:val="22"/>
        </w:rPr>
        <w:t xml:space="preserve">. </w:t>
      </w:r>
      <w:r w:rsidR="006F47B3" w:rsidRPr="00DE7F85">
        <w:rPr>
          <w:rFonts w:ascii="Arial" w:hAnsi="Arial" w:cs="Arial"/>
          <w:color w:val="7B7B7B" w:themeColor="accent3" w:themeShade="BF"/>
          <w:sz w:val="22"/>
          <w:szCs w:val="22"/>
        </w:rPr>
        <w:t xml:space="preserve">Such </w:t>
      </w:r>
      <w:r w:rsidR="00DE7F85" w:rsidRPr="00DE7F85">
        <w:rPr>
          <w:rFonts w:ascii="Arial" w:hAnsi="Arial" w:cs="Arial"/>
          <w:color w:val="7B7B7B" w:themeColor="accent3" w:themeShade="BF"/>
          <w:sz w:val="22"/>
          <w:szCs w:val="22"/>
        </w:rPr>
        <w:t xml:space="preserve">a </w:t>
      </w:r>
      <w:r w:rsidR="006F47B3" w:rsidRPr="00DE7F85">
        <w:rPr>
          <w:rFonts w:ascii="Arial" w:hAnsi="Arial" w:cs="Arial"/>
          <w:color w:val="7B7B7B" w:themeColor="accent3" w:themeShade="BF"/>
          <w:sz w:val="22"/>
          <w:szCs w:val="22"/>
        </w:rPr>
        <w:t xml:space="preserve">stay </w:t>
      </w:r>
      <w:r w:rsidR="00DE7F85" w:rsidRPr="00DE7F85">
        <w:rPr>
          <w:rFonts w:ascii="Arial" w:hAnsi="Arial" w:cs="Arial"/>
          <w:color w:val="7B7B7B" w:themeColor="accent3" w:themeShade="BF"/>
          <w:sz w:val="22"/>
          <w:szCs w:val="22"/>
        </w:rPr>
        <w:t>to</w:t>
      </w:r>
      <w:r w:rsidR="006F47B3" w:rsidRPr="00DE7F85">
        <w:rPr>
          <w:rFonts w:ascii="Arial" w:hAnsi="Arial" w:cs="Arial"/>
          <w:color w:val="7B7B7B" w:themeColor="accent3" w:themeShade="BF"/>
          <w:sz w:val="22"/>
          <w:szCs w:val="22"/>
        </w:rPr>
        <w:t xml:space="preserve"> the opening of secondary insolvency proceedings is not automatic. Under Article 38(3), it requires a request from an insolvency practitioner or the debtor in possession. The stay shall not exceed 3 months, provided there are suitable safeguards in place to protect </w:t>
      </w:r>
      <w:r w:rsidR="00DE7F85" w:rsidRPr="00DE7F85">
        <w:rPr>
          <w:rFonts w:ascii="Arial" w:hAnsi="Arial" w:cs="Arial"/>
          <w:color w:val="7B7B7B" w:themeColor="accent3" w:themeShade="BF"/>
          <w:sz w:val="22"/>
          <w:szCs w:val="22"/>
        </w:rPr>
        <w:t>the interests of local creditors</w:t>
      </w:r>
      <w:r w:rsidR="006F47B3" w:rsidRPr="00DE7F85">
        <w:rPr>
          <w:rFonts w:ascii="Arial" w:hAnsi="Arial" w:cs="Arial"/>
          <w:color w:val="7B7B7B" w:themeColor="accent3" w:themeShade="BF"/>
          <w:sz w:val="22"/>
          <w:szCs w:val="22"/>
        </w:rPr>
        <w:t>.</w:t>
      </w:r>
      <w:r w:rsidR="006F47B3" w:rsidRPr="00DE7F85">
        <w:rPr>
          <w:rStyle w:val="FootnoteReference"/>
          <w:rFonts w:ascii="Arial" w:hAnsi="Arial" w:cs="Arial"/>
          <w:color w:val="7B7B7B" w:themeColor="accent3" w:themeShade="BF"/>
          <w:sz w:val="22"/>
          <w:szCs w:val="22"/>
        </w:rPr>
        <w:footnoteReference w:id="30"/>
      </w:r>
      <w:r w:rsidR="006F47B3" w:rsidRPr="00DE7F85">
        <w:rPr>
          <w:rFonts w:ascii="Arial" w:hAnsi="Arial" w:cs="Arial"/>
          <w:color w:val="7B7B7B" w:themeColor="accent3" w:themeShade="BF"/>
          <w:sz w:val="22"/>
          <w:szCs w:val="22"/>
        </w:rPr>
        <w:t xml:space="preserve"> </w:t>
      </w:r>
      <w:r w:rsidR="00AD277E" w:rsidRPr="00DE7F85">
        <w:rPr>
          <w:rFonts w:ascii="Arial" w:hAnsi="Arial" w:cs="Arial"/>
          <w:color w:val="7B7B7B" w:themeColor="accent3" w:themeShade="BF"/>
          <w:sz w:val="22"/>
          <w:szCs w:val="22"/>
        </w:rPr>
        <w:t>To protect the interest</w:t>
      </w:r>
      <w:r w:rsidR="00DE7F85" w:rsidRPr="00DE7F85">
        <w:rPr>
          <w:rFonts w:ascii="Arial" w:hAnsi="Arial" w:cs="Arial"/>
          <w:color w:val="7B7B7B" w:themeColor="accent3" w:themeShade="BF"/>
          <w:sz w:val="22"/>
          <w:szCs w:val="22"/>
        </w:rPr>
        <w:t>s</w:t>
      </w:r>
      <w:r w:rsidR="00AD277E" w:rsidRPr="00DE7F85">
        <w:rPr>
          <w:rFonts w:ascii="Arial" w:hAnsi="Arial" w:cs="Arial"/>
          <w:color w:val="7B7B7B" w:themeColor="accent3" w:themeShade="BF"/>
          <w:sz w:val="22"/>
          <w:szCs w:val="22"/>
        </w:rPr>
        <w:t xml:space="preserve"> of local creditors, </w:t>
      </w:r>
      <w:r w:rsidR="006F47B3" w:rsidRPr="00DE7F85">
        <w:rPr>
          <w:rFonts w:ascii="Arial" w:hAnsi="Arial" w:cs="Arial"/>
          <w:color w:val="7B7B7B" w:themeColor="accent3" w:themeShade="BF"/>
          <w:sz w:val="22"/>
          <w:szCs w:val="22"/>
        </w:rPr>
        <w:t xml:space="preserve">Article 38(3) </w:t>
      </w:r>
      <w:r w:rsidR="00AD277E" w:rsidRPr="00DE7F85">
        <w:rPr>
          <w:rFonts w:ascii="Arial" w:hAnsi="Arial" w:cs="Arial"/>
          <w:color w:val="7B7B7B" w:themeColor="accent3" w:themeShade="BF"/>
          <w:sz w:val="22"/>
          <w:szCs w:val="22"/>
        </w:rPr>
        <w:t>further prescribes that the court may order protective measures by, for example, requiring the main insolvency practitioner to “</w:t>
      </w:r>
      <w:r w:rsidR="00AC69B2" w:rsidRPr="00DE7F85">
        <w:rPr>
          <w:rFonts w:ascii="Arial" w:hAnsi="Arial" w:cs="Arial"/>
          <w:i/>
          <w:iCs/>
          <w:color w:val="7B7B7B" w:themeColor="accent3" w:themeShade="BF"/>
          <w:sz w:val="22"/>
          <w:szCs w:val="22"/>
        </w:rPr>
        <w:t>not to remove or dispose of any assets which are located in the Member State where its establishment is located unless this is done in the ordinary course of business</w:t>
      </w:r>
      <w:r w:rsidR="00AC69B2" w:rsidRPr="00DE7F85">
        <w:rPr>
          <w:rFonts w:ascii="Arial" w:hAnsi="Arial" w:cs="Arial"/>
          <w:color w:val="7B7B7B" w:themeColor="accent3" w:themeShade="BF"/>
          <w:sz w:val="22"/>
          <w:szCs w:val="22"/>
        </w:rPr>
        <w:t>.”</w:t>
      </w:r>
      <w:r w:rsidR="00AC69B2" w:rsidRPr="00DE7F85">
        <w:rPr>
          <w:rStyle w:val="FootnoteReference"/>
          <w:rFonts w:ascii="Arial" w:hAnsi="Arial" w:cs="Arial"/>
          <w:color w:val="7B7B7B" w:themeColor="accent3" w:themeShade="BF"/>
          <w:sz w:val="22"/>
          <w:szCs w:val="22"/>
        </w:rPr>
        <w:footnoteReference w:id="31"/>
      </w:r>
    </w:p>
    <w:p w14:paraId="11A742E0" w14:textId="77777777" w:rsidR="00C20CFC" w:rsidRDefault="00C20CFC" w:rsidP="002A37BB">
      <w:pPr>
        <w:jc w:val="both"/>
        <w:rPr>
          <w:rFonts w:ascii="Avenir Next" w:hAnsi="Avenir Next" w:cs="Arial"/>
          <w:bCs/>
          <w:sz w:val="22"/>
          <w:szCs w:val="22"/>
          <w:lang w:val="en-GB"/>
        </w:rPr>
      </w:pPr>
    </w:p>
    <w:p w14:paraId="70A51168" w14:textId="77777777" w:rsidR="00C20CFC" w:rsidRDefault="00C20CFC" w:rsidP="002A37BB">
      <w:pPr>
        <w:jc w:val="both"/>
        <w:rPr>
          <w:rFonts w:ascii="Avenir Next" w:hAnsi="Avenir Next" w:cs="Arial"/>
          <w:bCs/>
          <w:sz w:val="22"/>
          <w:szCs w:val="22"/>
          <w:lang w:val="en-GB"/>
        </w:rPr>
      </w:pPr>
    </w:p>
    <w:p w14:paraId="45F4E2DE" w14:textId="77777777" w:rsidR="001A7F52" w:rsidRPr="008E3C96" w:rsidRDefault="001A7F5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5589709A" w14:textId="4F07BC78" w:rsidR="00ED3C39" w:rsidRPr="009B6724" w:rsidRDefault="00ED3C39" w:rsidP="002A37BB">
      <w:pPr>
        <w:jc w:val="both"/>
        <w:rPr>
          <w:rFonts w:ascii="Arial" w:hAnsi="Arial" w:cs="Arial"/>
          <w:sz w:val="22"/>
          <w:szCs w:val="22"/>
          <w:lang w:val="en-GB"/>
        </w:rPr>
      </w:pPr>
    </w:p>
    <w:p w14:paraId="0D3D154A" w14:textId="3E854FCB" w:rsidR="004C0C12" w:rsidRPr="00110C0B" w:rsidRDefault="00ED3C39" w:rsidP="00ED3C39">
      <w:pPr>
        <w:jc w:val="both"/>
        <w:rPr>
          <w:rFonts w:ascii="Arial" w:hAnsi="Arial" w:cs="Arial"/>
          <w:color w:val="7B7B7B" w:themeColor="accent3" w:themeShade="BF"/>
          <w:sz w:val="22"/>
          <w:szCs w:val="22"/>
        </w:rPr>
      </w:pPr>
      <w:r w:rsidRPr="00110C0B">
        <w:rPr>
          <w:rFonts w:ascii="Arial" w:hAnsi="Arial" w:cs="Arial"/>
          <w:color w:val="7B7B7B" w:themeColor="accent3" w:themeShade="BF"/>
          <w:sz w:val="22"/>
          <w:szCs w:val="22"/>
        </w:rPr>
        <w:t>Article 46 of the EIR 2000 mandated that</w:t>
      </w:r>
      <w:r w:rsidR="00110C0B">
        <w:rPr>
          <w:rFonts w:ascii="Arial" w:hAnsi="Arial" w:cs="Arial"/>
          <w:color w:val="7B7B7B" w:themeColor="accent3" w:themeShade="BF"/>
          <w:sz w:val="22"/>
          <w:szCs w:val="22"/>
        </w:rPr>
        <w:t xml:space="preserve"> by</w:t>
      </w:r>
      <w:r w:rsidRPr="00110C0B">
        <w:rPr>
          <w:rFonts w:ascii="Arial" w:hAnsi="Arial" w:cs="Arial"/>
          <w:color w:val="7B7B7B" w:themeColor="accent3" w:themeShade="BF"/>
          <w:sz w:val="22"/>
          <w:szCs w:val="22"/>
        </w:rPr>
        <w:t xml:space="preserve"> no later than 1 June 2012, the European Commission (</w:t>
      </w:r>
      <w:r w:rsidR="007D6A92">
        <w:rPr>
          <w:rFonts w:ascii="Arial" w:hAnsi="Arial" w:cs="Arial"/>
          <w:color w:val="7B7B7B" w:themeColor="accent3" w:themeShade="BF"/>
          <w:sz w:val="22"/>
          <w:szCs w:val="22"/>
        </w:rPr>
        <w:t xml:space="preserve">the </w:t>
      </w:r>
      <w:r w:rsidRPr="00110C0B">
        <w:rPr>
          <w:rFonts w:ascii="Arial" w:hAnsi="Arial" w:cs="Arial"/>
          <w:color w:val="7B7B7B" w:themeColor="accent3" w:themeShade="BF"/>
          <w:sz w:val="22"/>
          <w:szCs w:val="22"/>
        </w:rPr>
        <w:t>“</w:t>
      </w:r>
      <w:r w:rsidRPr="00110C0B">
        <w:rPr>
          <w:rFonts w:ascii="Arial" w:hAnsi="Arial" w:cs="Arial"/>
          <w:b/>
          <w:bCs/>
          <w:color w:val="7B7B7B" w:themeColor="accent3" w:themeShade="BF"/>
          <w:sz w:val="22"/>
          <w:szCs w:val="22"/>
        </w:rPr>
        <w:t>Commission</w:t>
      </w:r>
      <w:r w:rsidRPr="00110C0B">
        <w:rPr>
          <w:rFonts w:ascii="Arial" w:hAnsi="Arial" w:cs="Arial"/>
          <w:color w:val="7B7B7B" w:themeColor="accent3" w:themeShade="BF"/>
          <w:sz w:val="22"/>
          <w:szCs w:val="22"/>
        </w:rPr>
        <w:t>”) “</w:t>
      </w:r>
      <w:r w:rsidRPr="00110C0B">
        <w:rPr>
          <w:rFonts w:ascii="Arial" w:hAnsi="Arial" w:cs="Arial"/>
          <w:i/>
          <w:iCs/>
          <w:color w:val="7B7B7B" w:themeColor="accent3" w:themeShade="BF"/>
          <w:sz w:val="22"/>
          <w:szCs w:val="22"/>
        </w:rPr>
        <w:t>shall present to the European Parliament, the Council and the Economic and Social Committee a report on the application of this Regulation. The report shall be accompanied if need be by a proposal for adaptation of this Regulation</w:t>
      </w:r>
      <w:r w:rsidRPr="00110C0B">
        <w:rPr>
          <w:rFonts w:ascii="Arial" w:hAnsi="Arial" w:cs="Arial"/>
          <w:color w:val="7B7B7B" w:themeColor="accent3" w:themeShade="BF"/>
          <w:sz w:val="22"/>
          <w:szCs w:val="22"/>
        </w:rPr>
        <w:t>.”</w:t>
      </w:r>
      <w:r w:rsidRPr="00110C0B">
        <w:rPr>
          <w:rStyle w:val="FootnoteReference"/>
          <w:rFonts w:ascii="Arial" w:hAnsi="Arial" w:cs="Arial"/>
          <w:color w:val="7B7B7B" w:themeColor="accent3" w:themeShade="BF"/>
          <w:sz w:val="22"/>
          <w:szCs w:val="22"/>
        </w:rPr>
        <w:footnoteReference w:id="32"/>
      </w:r>
      <w:r w:rsidRPr="00110C0B">
        <w:rPr>
          <w:rFonts w:ascii="Arial" w:hAnsi="Arial" w:cs="Arial"/>
          <w:color w:val="7B7B7B" w:themeColor="accent3" w:themeShade="BF"/>
          <w:sz w:val="22"/>
          <w:szCs w:val="22"/>
        </w:rPr>
        <w:t xml:space="preserve"> Even though </w:t>
      </w:r>
      <w:r w:rsidR="00110C0B">
        <w:rPr>
          <w:rFonts w:ascii="Arial" w:hAnsi="Arial" w:cs="Arial"/>
          <w:color w:val="7B7B7B" w:themeColor="accent3" w:themeShade="BF"/>
          <w:sz w:val="22"/>
          <w:szCs w:val="22"/>
        </w:rPr>
        <w:t xml:space="preserve">the </w:t>
      </w:r>
      <w:r w:rsidRPr="00110C0B">
        <w:rPr>
          <w:rFonts w:ascii="Arial" w:hAnsi="Arial" w:cs="Arial"/>
          <w:color w:val="7B7B7B" w:themeColor="accent3" w:themeShade="BF"/>
          <w:sz w:val="22"/>
          <w:szCs w:val="22"/>
        </w:rPr>
        <w:t xml:space="preserve">EIR 2000 was </w:t>
      </w:r>
      <w:r w:rsidR="007D6A92">
        <w:rPr>
          <w:rFonts w:ascii="Arial" w:hAnsi="Arial" w:cs="Arial"/>
          <w:color w:val="7B7B7B" w:themeColor="accent3" w:themeShade="BF"/>
          <w:sz w:val="22"/>
          <w:szCs w:val="22"/>
        </w:rPr>
        <w:t xml:space="preserve">generally </w:t>
      </w:r>
      <w:r w:rsidRPr="00110C0B">
        <w:rPr>
          <w:rFonts w:ascii="Arial" w:hAnsi="Arial" w:cs="Arial"/>
          <w:color w:val="7B7B7B" w:themeColor="accent3" w:themeShade="BF"/>
          <w:sz w:val="22"/>
          <w:szCs w:val="22"/>
        </w:rPr>
        <w:t>considered successful in facilitating cross-border insolvency proceedings within European Union (</w:t>
      </w:r>
      <w:r w:rsidR="007D6A92">
        <w:rPr>
          <w:rFonts w:ascii="Arial" w:hAnsi="Arial" w:cs="Arial"/>
          <w:color w:val="7B7B7B" w:themeColor="accent3" w:themeShade="BF"/>
          <w:sz w:val="22"/>
          <w:szCs w:val="22"/>
        </w:rPr>
        <w:t xml:space="preserve">the </w:t>
      </w:r>
      <w:r w:rsidRPr="00110C0B">
        <w:rPr>
          <w:rFonts w:ascii="Arial" w:hAnsi="Arial" w:cs="Arial"/>
          <w:color w:val="7B7B7B" w:themeColor="accent3" w:themeShade="BF"/>
          <w:sz w:val="22"/>
          <w:szCs w:val="22"/>
        </w:rPr>
        <w:t>“</w:t>
      </w:r>
      <w:r w:rsidRPr="00110C0B">
        <w:rPr>
          <w:rFonts w:ascii="Arial" w:hAnsi="Arial" w:cs="Arial"/>
          <w:b/>
          <w:bCs/>
          <w:color w:val="7B7B7B" w:themeColor="accent3" w:themeShade="BF"/>
          <w:sz w:val="22"/>
          <w:szCs w:val="22"/>
        </w:rPr>
        <w:t>EU</w:t>
      </w:r>
      <w:r w:rsidRPr="00110C0B">
        <w:rPr>
          <w:rFonts w:ascii="Arial" w:hAnsi="Arial" w:cs="Arial"/>
          <w:color w:val="7B7B7B" w:themeColor="accent3" w:themeShade="BF"/>
          <w:sz w:val="22"/>
          <w:szCs w:val="22"/>
        </w:rPr>
        <w:t>”) Member States, the consultation commissioned by the Commission had “</w:t>
      </w:r>
      <w:r w:rsidRPr="00110C0B">
        <w:rPr>
          <w:rFonts w:ascii="Arial" w:hAnsi="Arial" w:cs="Arial"/>
          <w:i/>
          <w:iCs/>
          <w:color w:val="7B7B7B" w:themeColor="accent3" w:themeShade="BF"/>
          <w:sz w:val="22"/>
          <w:szCs w:val="22"/>
        </w:rPr>
        <w:t>revealed a range of problems</w:t>
      </w:r>
      <w:r w:rsidRPr="00110C0B">
        <w:rPr>
          <w:rFonts w:ascii="Arial" w:hAnsi="Arial" w:cs="Arial"/>
          <w:color w:val="7B7B7B" w:themeColor="accent3" w:themeShade="BF"/>
          <w:sz w:val="22"/>
          <w:szCs w:val="22"/>
        </w:rPr>
        <w:t>”</w:t>
      </w:r>
      <w:r w:rsidR="00C4495A" w:rsidRPr="00110C0B">
        <w:rPr>
          <w:rFonts w:ascii="Arial" w:hAnsi="Arial" w:cs="Arial"/>
          <w:color w:val="7B7B7B" w:themeColor="accent3" w:themeShade="BF"/>
          <w:sz w:val="22"/>
          <w:szCs w:val="22"/>
        </w:rPr>
        <w:t>.</w:t>
      </w:r>
      <w:r w:rsidRPr="00110C0B">
        <w:rPr>
          <w:rStyle w:val="FootnoteReference"/>
          <w:rFonts w:ascii="Arial" w:hAnsi="Arial" w:cs="Arial"/>
          <w:color w:val="7B7B7B" w:themeColor="accent3" w:themeShade="BF"/>
          <w:sz w:val="22"/>
          <w:szCs w:val="22"/>
        </w:rPr>
        <w:footnoteReference w:id="33"/>
      </w:r>
      <w:r w:rsidR="00C4495A" w:rsidRPr="00110C0B">
        <w:rPr>
          <w:rFonts w:ascii="Arial" w:hAnsi="Arial" w:cs="Arial"/>
          <w:color w:val="7B7B7B" w:themeColor="accent3" w:themeShade="BF"/>
          <w:sz w:val="22"/>
          <w:szCs w:val="22"/>
        </w:rPr>
        <w:t xml:space="preserve"> Five main shortcomings were identified</w:t>
      </w:r>
      <w:r w:rsidR="006E4360" w:rsidRPr="00110C0B">
        <w:rPr>
          <w:rFonts w:ascii="Arial" w:hAnsi="Arial" w:cs="Arial"/>
          <w:color w:val="7B7B7B" w:themeColor="accent3" w:themeShade="BF"/>
          <w:sz w:val="22"/>
          <w:szCs w:val="22"/>
        </w:rPr>
        <w:t xml:space="preserve"> in the Commission’s </w:t>
      </w:r>
      <w:r w:rsidR="007D6A92">
        <w:rPr>
          <w:rFonts w:ascii="Arial" w:hAnsi="Arial" w:cs="Arial"/>
          <w:color w:val="7B7B7B" w:themeColor="accent3" w:themeShade="BF"/>
          <w:sz w:val="22"/>
          <w:szCs w:val="22"/>
        </w:rPr>
        <w:t>“</w:t>
      </w:r>
      <w:r w:rsidR="006E4360" w:rsidRPr="00110C0B">
        <w:rPr>
          <w:rFonts w:ascii="Arial" w:hAnsi="Arial" w:cs="Arial"/>
          <w:color w:val="7B7B7B" w:themeColor="accent3" w:themeShade="BF"/>
          <w:sz w:val="22"/>
          <w:szCs w:val="22"/>
        </w:rPr>
        <w:t>Proposal for a Regulation of the European Parliament and of the Council amending Council Regulation (EC) No 1346/2000 on insolvency proceedings</w:t>
      </w:r>
      <w:r w:rsidR="007D6A92">
        <w:rPr>
          <w:rFonts w:ascii="Arial" w:hAnsi="Arial" w:cs="Arial"/>
          <w:color w:val="7B7B7B" w:themeColor="accent3" w:themeShade="BF"/>
          <w:sz w:val="22"/>
          <w:szCs w:val="22"/>
        </w:rPr>
        <w:t>”</w:t>
      </w:r>
      <w:r w:rsidR="006E4360" w:rsidRPr="00110C0B">
        <w:rPr>
          <w:rFonts w:ascii="Arial" w:hAnsi="Arial" w:cs="Arial"/>
          <w:color w:val="7B7B7B" w:themeColor="accent3" w:themeShade="BF"/>
          <w:sz w:val="22"/>
          <w:szCs w:val="22"/>
        </w:rPr>
        <w:t xml:space="preserve"> (</w:t>
      </w:r>
      <w:r w:rsidR="007D6A92">
        <w:rPr>
          <w:rFonts w:ascii="Arial" w:hAnsi="Arial" w:cs="Arial"/>
          <w:color w:val="7B7B7B" w:themeColor="accent3" w:themeShade="BF"/>
          <w:sz w:val="22"/>
          <w:szCs w:val="22"/>
        </w:rPr>
        <w:t xml:space="preserve">the </w:t>
      </w:r>
      <w:r w:rsidR="006E4360" w:rsidRPr="00110C0B">
        <w:rPr>
          <w:rFonts w:ascii="Arial" w:hAnsi="Arial" w:cs="Arial"/>
          <w:color w:val="7B7B7B" w:themeColor="accent3" w:themeShade="BF"/>
          <w:sz w:val="22"/>
          <w:szCs w:val="22"/>
        </w:rPr>
        <w:t>“</w:t>
      </w:r>
      <w:r w:rsidR="006E4360" w:rsidRPr="00110C0B">
        <w:rPr>
          <w:rFonts w:ascii="Arial" w:hAnsi="Arial" w:cs="Arial"/>
          <w:b/>
          <w:bCs/>
          <w:color w:val="7B7B7B" w:themeColor="accent3" w:themeShade="BF"/>
          <w:sz w:val="22"/>
          <w:szCs w:val="22"/>
        </w:rPr>
        <w:t>Proposal</w:t>
      </w:r>
      <w:r w:rsidR="006E4360" w:rsidRPr="00110C0B">
        <w:rPr>
          <w:rFonts w:ascii="Arial" w:hAnsi="Arial" w:cs="Arial"/>
          <w:color w:val="7B7B7B" w:themeColor="accent3" w:themeShade="BF"/>
          <w:sz w:val="22"/>
          <w:szCs w:val="22"/>
        </w:rPr>
        <w:t>”):</w:t>
      </w:r>
    </w:p>
    <w:p w14:paraId="6F3A1F32" w14:textId="29B64572" w:rsidR="00ED3C39" w:rsidRPr="00110C0B" w:rsidRDefault="00005BEE">
      <w:pPr>
        <w:pStyle w:val="ListParagraph"/>
        <w:numPr>
          <w:ilvl w:val="0"/>
          <w:numId w:val="14"/>
        </w:numPr>
        <w:jc w:val="both"/>
        <w:rPr>
          <w:rFonts w:ascii="Arial" w:hAnsi="Arial" w:cs="Arial"/>
          <w:color w:val="7B7B7B" w:themeColor="accent3" w:themeShade="BF"/>
          <w:sz w:val="22"/>
          <w:szCs w:val="22"/>
        </w:rPr>
      </w:pPr>
      <w:r w:rsidRPr="00110C0B">
        <w:rPr>
          <w:rFonts w:ascii="Arial" w:hAnsi="Arial" w:cs="Arial"/>
          <w:color w:val="7B7B7B" w:themeColor="accent3" w:themeShade="BF"/>
          <w:sz w:val="22"/>
          <w:szCs w:val="22"/>
        </w:rPr>
        <w:t>Pre-insolvency proceedings – the EIR 2000’s scope did not cover national procedures</w:t>
      </w:r>
      <w:r w:rsidR="00817C16" w:rsidRPr="00110C0B">
        <w:rPr>
          <w:rFonts w:ascii="Arial" w:hAnsi="Arial" w:cs="Arial"/>
          <w:color w:val="7B7B7B" w:themeColor="accent3" w:themeShade="BF"/>
          <w:sz w:val="22"/>
          <w:szCs w:val="22"/>
        </w:rPr>
        <w:t xml:space="preserve"> in relation to a company’s restructuring at a pre-insolvency stage</w:t>
      </w:r>
      <w:r w:rsidR="00B54E86" w:rsidRPr="00110C0B">
        <w:rPr>
          <w:rFonts w:ascii="Arial" w:hAnsi="Arial" w:cs="Arial"/>
          <w:color w:val="7B7B7B" w:themeColor="accent3" w:themeShade="BF"/>
          <w:sz w:val="22"/>
          <w:szCs w:val="22"/>
        </w:rPr>
        <w:t xml:space="preserve"> (“</w:t>
      </w:r>
      <w:r w:rsidR="00B54E86" w:rsidRPr="007D6A92">
        <w:rPr>
          <w:rFonts w:ascii="Arial" w:hAnsi="Arial" w:cs="Arial"/>
          <w:b/>
          <w:bCs/>
          <w:color w:val="7B7B7B" w:themeColor="accent3" w:themeShade="BF"/>
          <w:sz w:val="22"/>
          <w:szCs w:val="22"/>
        </w:rPr>
        <w:t>pre-insolvency proceedings</w:t>
      </w:r>
      <w:r w:rsidR="00B54E86" w:rsidRPr="00110C0B">
        <w:rPr>
          <w:rFonts w:ascii="Arial" w:hAnsi="Arial" w:cs="Arial"/>
          <w:color w:val="7B7B7B" w:themeColor="accent3" w:themeShade="BF"/>
          <w:sz w:val="22"/>
          <w:szCs w:val="22"/>
        </w:rPr>
        <w:t>”)</w:t>
      </w:r>
      <w:r w:rsidR="00817C16" w:rsidRPr="00110C0B">
        <w:rPr>
          <w:rFonts w:ascii="Arial" w:hAnsi="Arial" w:cs="Arial"/>
          <w:color w:val="7B7B7B" w:themeColor="accent3" w:themeShade="BF"/>
          <w:sz w:val="22"/>
          <w:szCs w:val="22"/>
        </w:rPr>
        <w:t xml:space="preserve"> or those where the existing management maintain their positions in the company</w:t>
      </w:r>
      <w:r w:rsidR="00B54E86" w:rsidRPr="00110C0B">
        <w:rPr>
          <w:rFonts w:ascii="Arial" w:hAnsi="Arial" w:cs="Arial"/>
          <w:color w:val="7B7B7B" w:themeColor="accent3" w:themeShade="BF"/>
          <w:sz w:val="22"/>
          <w:szCs w:val="22"/>
        </w:rPr>
        <w:t xml:space="preserve"> (“</w:t>
      </w:r>
      <w:r w:rsidR="00B54E86" w:rsidRPr="007D6A92">
        <w:rPr>
          <w:rFonts w:ascii="Arial" w:hAnsi="Arial" w:cs="Arial"/>
          <w:b/>
          <w:bCs/>
          <w:color w:val="7B7B7B" w:themeColor="accent3" w:themeShade="BF"/>
          <w:sz w:val="22"/>
          <w:szCs w:val="22"/>
        </w:rPr>
        <w:t>hybrid proceedings</w:t>
      </w:r>
      <w:r w:rsidR="00B54E86" w:rsidRPr="00110C0B">
        <w:rPr>
          <w:rFonts w:ascii="Arial" w:hAnsi="Arial" w:cs="Arial"/>
          <w:color w:val="7B7B7B" w:themeColor="accent3" w:themeShade="BF"/>
          <w:sz w:val="22"/>
          <w:szCs w:val="22"/>
        </w:rPr>
        <w:t>”)</w:t>
      </w:r>
      <w:r w:rsidR="00817C16" w:rsidRPr="00110C0B">
        <w:rPr>
          <w:rFonts w:ascii="Arial" w:hAnsi="Arial" w:cs="Arial"/>
          <w:color w:val="7B7B7B" w:themeColor="accent3" w:themeShade="BF"/>
          <w:sz w:val="22"/>
          <w:szCs w:val="22"/>
        </w:rPr>
        <w:t>. Such proceedings</w:t>
      </w:r>
      <w:r w:rsidR="004E5C50" w:rsidRPr="00110C0B">
        <w:rPr>
          <w:rFonts w:ascii="Arial" w:hAnsi="Arial" w:cs="Arial"/>
          <w:color w:val="7B7B7B" w:themeColor="accent3" w:themeShade="BF"/>
          <w:sz w:val="22"/>
          <w:szCs w:val="22"/>
        </w:rPr>
        <w:t xml:space="preserve"> had been</w:t>
      </w:r>
      <w:r w:rsidR="00817C16" w:rsidRPr="00110C0B">
        <w:rPr>
          <w:rFonts w:ascii="Arial" w:hAnsi="Arial" w:cs="Arial"/>
          <w:color w:val="7B7B7B" w:themeColor="accent3" w:themeShade="BF"/>
          <w:sz w:val="22"/>
          <w:szCs w:val="22"/>
        </w:rPr>
        <w:t xml:space="preserve"> introduced into many Member States’ national laws during the early years of the EIR 2000. The rationale for this was to promote the rescue of companies that were economically viable but distressed</w:t>
      </w:r>
      <w:r w:rsidR="00817C16" w:rsidRPr="00110C0B">
        <w:rPr>
          <w:rStyle w:val="FootnoteReference"/>
          <w:rFonts w:ascii="Arial" w:hAnsi="Arial" w:cs="Arial"/>
          <w:color w:val="7B7B7B" w:themeColor="accent3" w:themeShade="BF"/>
          <w:sz w:val="22"/>
          <w:szCs w:val="22"/>
        </w:rPr>
        <w:footnoteReference w:id="34"/>
      </w:r>
      <w:r w:rsidR="00817C16" w:rsidRPr="00110C0B">
        <w:rPr>
          <w:rFonts w:ascii="Arial" w:hAnsi="Arial" w:cs="Arial"/>
          <w:color w:val="7B7B7B" w:themeColor="accent3" w:themeShade="BF"/>
          <w:sz w:val="22"/>
          <w:szCs w:val="22"/>
        </w:rPr>
        <w:t>.</w:t>
      </w:r>
    </w:p>
    <w:p w14:paraId="5CC0BAD5" w14:textId="77777777" w:rsidR="004C0C12" w:rsidRPr="00110C0B" w:rsidRDefault="004C0C12" w:rsidP="004C0C12">
      <w:pPr>
        <w:jc w:val="both"/>
        <w:rPr>
          <w:rFonts w:ascii="Arial" w:hAnsi="Arial" w:cs="Arial"/>
          <w:color w:val="7B7B7B" w:themeColor="accent3" w:themeShade="BF"/>
          <w:sz w:val="22"/>
          <w:szCs w:val="22"/>
        </w:rPr>
      </w:pPr>
    </w:p>
    <w:p w14:paraId="4C80F683" w14:textId="14B8C71E" w:rsidR="00817C16" w:rsidRPr="00110C0B" w:rsidRDefault="00817C16" w:rsidP="00B54E86">
      <w:pPr>
        <w:pStyle w:val="ListParagraph"/>
        <w:jc w:val="both"/>
        <w:rPr>
          <w:rFonts w:ascii="Arial" w:hAnsi="Arial" w:cs="Arial"/>
          <w:color w:val="7B7B7B" w:themeColor="accent3" w:themeShade="BF"/>
          <w:sz w:val="22"/>
          <w:szCs w:val="22"/>
        </w:rPr>
      </w:pPr>
      <w:r w:rsidRPr="00110C0B">
        <w:rPr>
          <w:rFonts w:ascii="Arial" w:hAnsi="Arial" w:cs="Arial"/>
          <w:color w:val="7B7B7B" w:themeColor="accent3" w:themeShade="BF"/>
          <w:sz w:val="22"/>
          <w:szCs w:val="22"/>
        </w:rPr>
        <w:t xml:space="preserve">The EIR Recast </w:t>
      </w:r>
      <w:r w:rsidR="004E5C50" w:rsidRPr="00110C0B">
        <w:rPr>
          <w:rFonts w:ascii="Arial" w:hAnsi="Arial" w:cs="Arial"/>
          <w:color w:val="7B7B7B" w:themeColor="accent3" w:themeShade="BF"/>
          <w:sz w:val="22"/>
          <w:szCs w:val="22"/>
        </w:rPr>
        <w:t>has reflected the changing legal culture of EU Member States. It has done so by broadening the scope of its predecessor</w:t>
      </w:r>
      <w:r w:rsidR="00110C0B">
        <w:rPr>
          <w:rFonts w:ascii="Arial" w:hAnsi="Arial" w:cs="Arial"/>
          <w:color w:val="7B7B7B" w:themeColor="accent3" w:themeShade="BF"/>
          <w:sz w:val="22"/>
          <w:szCs w:val="22"/>
        </w:rPr>
        <w:t xml:space="preserve"> </w:t>
      </w:r>
      <w:r w:rsidR="00B54E86" w:rsidRPr="00110C0B">
        <w:rPr>
          <w:rFonts w:ascii="Arial" w:hAnsi="Arial" w:cs="Arial"/>
          <w:color w:val="7B7B7B" w:themeColor="accent3" w:themeShade="BF"/>
          <w:sz w:val="22"/>
          <w:szCs w:val="22"/>
        </w:rPr>
        <w:t xml:space="preserve">- it now includes </w:t>
      </w:r>
      <w:r w:rsidR="00110C0B">
        <w:rPr>
          <w:rFonts w:ascii="Arial" w:hAnsi="Arial" w:cs="Arial"/>
          <w:color w:val="7B7B7B" w:themeColor="accent3" w:themeShade="BF"/>
          <w:sz w:val="22"/>
          <w:szCs w:val="22"/>
        </w:rPr>
        <w:t xml:space="preserve">provisions for </w:t>
      </w:r>
      <w:r w:rsidR="00B54E86" w:rsidRPr="00110C0B">
        <w:rPr>
          <w:rFonts w:ascii="Arial" w:hAnsi="Arial" w:cs="Arial"/>
          <w:color w:val="7B7B7B" w:themeColor="accent3" w:themeShade="BF"/>
          <w:sz w:val="22"/>
          <w:szCs w:val="22"/>
        </w:rPr>
        <w:t>pre-insolvency proceedings and hybrid proceedings. Annex 1 of EIR Recast sets out the scope of the Regulation</w:t>
      </w:r>
      <w:r w:rsidR="0039176C" w:rsidRPr="00110C0B">
        <w:rPr>
          <w:rFonts w:ascii="Arial" w:hAnsi="Arial" w:cs="Arial"/>
          <w:color w:val="7B7B7B" w:themeColor="accent3" w:themeShade="BF"/>
          <w:sz w:val="22"/>
          <w:szCs w:val="22"/>
        </w:rPr>
        <w:t xml:space="preserve">. </w:t>
      </w:r>
      <w:r w:rsidR="00B54E86" w:rsidRPr="00110C0B">
        <w:rPr>
          <w:rFonts w:ascii="Arial" w:hAnsi="Arial" w:cs="Arial"/>
          <w:color w:val="7B7B7B" w:themeColor="accent3" w:themeShade="BF"/>
          <w:sz w:val="22"/>
          <w:szCs w:val="22"/>
        </w:rPr>
        <w:t xml:space="preserve">Annex A of the EIR Recast </w:t>
      </w:r>
      <w:r w:rsidR="0039176C" w:rsidRPr="00110C0B">
        <w:rPr>
          <w:rFonts w:ascii="Arial" w:hAnsi="Arial" w:cs="Arial"/>
          <w:color w:val="7B7B7B" w:themeColor="accent3" w:themeShade="BF"/>
          <w:sz w:val="22"/>
          <w:szCs w:val="22"/>
        </w:rPr>
        <w:t xml:space="preserve">lists the proceedings referred </w:t>
      </w:r>
      <w:r w:rsidR="0039176C" w:rsidRPr="00110C0B">
        <w:rPr>
          <w:rFonts w:ascii="Arial" w:hAnsi="Arial" w:cs="Arial"/>
          <w:color w:val="7B7B7B" w:themeColor="accent3" w:themeShade="BF"/>
          <w:sz w:val="22"/>
          <w:szCs w:val="22"/>
        </w:rPr>
        <w:lastRenderedPageBreak/>
        <w:t xml:space="preserve">to in Article 1. The shift away from purely “traditional” forms of insolvency to now having an emphasis </w:t>
      </w:r>
      <w:r w:rsidR="004834AD" w:rsidRPr="00110C0B">
        <w:rPr>
          <w:rFonts w:ascii="Arial" w:hAnsi="Arial" w:cs="Arial"/>
          <w:color w:val="7B7B7B" w:themeColor="accent3" w:themeShade="BF"/>
          <w:sz w:val="22"/>
          <w:szCs w:val="22"/>
        </w:rPr>
        <w:t>on restructuring is a “</w:t>
      </w:r>
      <w:r w:rsidR="004834AD" w:rsidRPr="007D6A92">
        <w:rPr>
          <w:rFonts w:ascii="Arial" w:hAnsi="Arial" w:cs="Arial"/>
          <w:i/>
          <w:iCs/>
          <w:color w:val="7B7B7B" w:themeColor="accent3" w:themeShade="BF"/>
          <w:sz w:val="22"/>
          <w:szCs w:val="22"/>
        </w:rPr>
        <w:t>noticeable innovation</w:t>
      </w:r>
      <w:r w:rsidR="00110C0B" w:rsidRPr="007D6A92">
        <w:rPr>
          <w:rFonts w:ascii="Arial" w:hAnsi="Arial" w:cs="Arial"/>
          <w:i/>
          <w:iCs/>
          <w:color w:val="7B7B7B" w:themeColor="accent3" w:themeShade="BF"/>
          <w:sz w:val="22"/>
          <w:szCs w:val="22"/>
        </w:rPr>
        <w:t xml:space="preserve"> of the EIR Recast</w:t>
      </w:r>
      <w:r w:rsidR="004834AD" w:rsidRPr="00110C0B">
        <w:rPr>
          <w:rFonts w:ascii="Arial" w:hAnsi="Arial" w:cs="Arial"/>
          <w:color w:val="7B7B7B" w:themeColor="accent3" w:themeShade="BF"/>
          <w:sz w:val="22"/>
          <w:szCs w:val="22"/>
        </w:rPr>
        <w:t>”</w:t>
      </w:r>
      <w:r w:rsidR="004834AD" w:rsidRPr="00110C0B">
        <w:rPr>
          <w:rStyle w:val="FootnoteReference"/>
          <w:rFonts w:ascii="Arial" w:hAnsi="Arial" w:cs="Arial"/>
          <w:color w:val="7B7B7B" w:themeColor="accent3" w:themeShade="BF"/>
          <w:sz w:val="22"/>
          <w:szCs w:val="22"/>
        </w:rPr>
        <w:footnoteReference w:id="35"/>
      </w:r>
      <w:r w:rsidR="004834AD" w:rsidRPr="00110C0B">
        <w:rPr>
          <w:rFonts w:ascii="Arial" w:hAnsi="Arial" w:cs="Arial"/>
          <w:color w:val="7B7B7B" w:themeColor="accent3" w:themeShade="BF"/>
          <w:sz w:val="22"/>
          <w:szCs w:val="22"/>
        </w:rPr>
        <w:t>.</w:t>
      </w:r>
    </w:p>
    <w:p w14:paraId="1AF98C64" w14:textId="77777777" w:rsidR="00817C16" w:rsidRPr="00110C0B" w:rsidRDefault="00817C16" w:rsidP="00817C16">
      <w:pPr>
        <w:pStyle w:val="ListParagraph"/>
        <w:jc w:val="both"/>
        <w:rPr>
          <w:rFonts w:ascii="Arial" w:hAnsi="Arial" w:cs="Arial"/>
          <w:color w:val="7B7B7B" w:themeColor="accent3" w:themeShade="BF"/>
          <w:sz w:val="22"/>
          <w:szCs w:val="22"/>
        </w:rPr>
      </w:pPr>
    </w:p>
    <w:p w14:paraId="2C49BEED" w14:textId="6D44E7AB" w:rsidR="00817C16" w:rsidRPr="00110C0B" w:rsidRDefault="004834AD">
      <w:pPr>
        <w:pStyle w:val="ListParagraph"/>
        <w:numPr>
          <w:ilvl w:val="0"/>
          <w:numId w:val="14"/>
        </w:numPr>
        <w:jc w:val="both"/>
        <w:rPr>
          <w:rFonts w:ascii="Arial" w:hAnsi="Arial" w:cs="Arial"/>
          <w:color w:val="7B7B7B" w:themeColor="accent3" w:themeShade="BF"/>
          <w:sz w:val="22"/>
          <w:szCs w:val="22"/>
        </w:rPr>
      </w:pPr>
      <w:r w:rsidRPr="00110C0B">
        <w:rPr>
          <w:rFonts w:ascii="Arial" w:hAnsi="Arial" w:cs="Arial"/>
          <w:color w:val="7B7B7B" w:themeColor="accent3" w:themeShade="BF"/>
          <w:sz w:val="22"/>
          <w:szCs w:val="22"/>
        </w:rPr>
        <w:t xml:space="preserve">Clarification of the concept of debtor’s </w:t>
      </w:r>
      <w:proofErr w:type="spellStart"/>
      <w:r w:rsidRPr="00110C0B">
        <w:rPr>
          <w:rFonts w:ascii="Arial" w:hAnsi="Arial" w:cs="Arial"/>
          <w:color w:val="7B7B7B" w:themeColor="accent3" w:themeShade="BF"/>
          <w:sz w:val="22"/>
          <w:szCs w:val="22"/>
        </w:rPr>
        <w:t>centre</w:t>
      </w:r>
      <w:proofErr w:type="spellEnd"/>
      <w:r w:rsidRPr="00110C0B">
        <w:rPr>
          <w:rFonts w:ascii="Arial" w:hAnsi="Arial" w:cs="Arial"/>
          <w:color w:val="7B7B7B" w:themeColor="accent3" w:themeShade="BF"/>
          <w:sz w:val="22"/>
          <w:szCs w:val="22"/>
        </w:rPr>
        <w:t xml:space="preserve"> of main interest (“</w:t>
      </w:r>
      <w:r w:rsidRPr="00110C0B">
        <w:rPr>
          <w:rFonts w:ascii="Arial" w:hAnsi="Arial" w:cs="Arial"/>
          <w:b/>
          <w:bCs/>
          <w:color w:val="7B7B7B" w:themeColor="accent3" w:themeShade="BF"/>
          <w:sz w:val="22"/>
          <w:szCs w:val="22"/>
        </w:rPr>
        <w:t>COMI</w:t>
      </w:r>
      <w:r w:rsidRPr="00110C0B">
        <w:rPr>
          <w:rFonts w:ascii="Arial" w:hAnsi="Arial" w:cs="Arial"/>
          <w:color w:val="7B7B7B" w:themeColor="accent3" w:themeShade="BF"/>
          <w:sz w:val="22"/>
          <w:szCs w:val="22"/>
        </w:rPr>
        <w:t xml:space="preserve">”) – under </w:t>
      </w:r>
      <w:r w:rsidR="00110C0B">
        <w:rPr>
          <w:rFonts w:ascii="Arial" w:hAnsi="Arial" w:cs="Arial"/>
          <w:color w:val="7B7B7B" w:themeColor="accent3" w:themeShade="BF"/>
          <w:sz w:val="22"/>
          <w:szCs w:val="22"/>
        </w:rPr>
        <w:t xml:space="preserve">the </w:t>
      </w:r>
      <w:r w:rsidRPr="00110C0B">
        <w:rPr>
          <w:rFonts w:ascii="Arial" w:hAnsi="Arial" w:cs="Arial"/>
          <w:color w:val="7B7B7B" w:themeColor="accent3" w:themeShade="BF"/>
          <w:sz w:val="22"/>
          <w:szCs w:val="22"/>
        </w:rPr>
        <w:t>EIR 2000, there were difficulties determining which EU Member State was competent to open insolvency proceedings a</w:t>
      </w:r>
      <w:r w:rsidR="007D6A92">
        <w:rPr>
          <w:rFonts w:ascii="Arial" w:hAnsi="Arial" w:cs="Arial"/>
          <w:color w:val="7B7B7B" w:themeColor="accent3" w:themeShade="BF"/>
          <w:sz w:val="22"/>
          <w:szCs w:val="22"/>
        </w:rPr>
        <w:t>s well as the practical</w:t>
      </w:r>
      <w:r w:rsidRPr="00110C0B">
        <w:rPr>
          <w:rFonts w:ascii="Arial" w:hAnsi="Arial" w:cs="Arial"/>
          <w:color w:val="7B7B7B" w:themeColor="accent3" w:themeShade="BF"/>
          <w:sz w:val="22"/>
          <w:szCs w:val="22"/>
        </w:rPr>
        <w:t xml:space="preserve"> </w:t>
      </w:r>
      <w:r w:rsidR="00110C0B">
        <w:rPr>
          <w:rFonts w:ascii="Arial" w:hAnsi="Arial" w:cs="Arial"/>
          <w:color w:val="7B7B7B" w:themeColor="accent3" w:themeShade="BF"/>
          <w:sz w:val="22"/>
          <w:szCs w:val="22"/>
        </w:rPr>
        <w:t>appl</w:t>
      </w:r>
      <w:r w:rsidR="007D6A92">
        <w:rPr>
          <w:rFonts w:ascii="Arial" w:hAnsi="Arial" w:cs="Arial"/>
          <w:color w:val="7B7B7B" w:themeColor="accent3" w:themeShade="BF"/>
          <w:sz w:val="22"/>
          <w:szCs w:val="22"/>
        </w:rPr>
        <w:t>ication</w:t>
      </w:r>
      <w:r w:rsidR="00110C0B">
        <w:rPr>
          <w:rFonts w:ascii="Arial" w:hAnsi="Arial" w:cs="Arial"/>
          <w:color w:val="7B7B7B" w:themeColor="accent3" w:themeShade="BF"/>
          <w:sz w:val="22"/>
          <w:szCs w:val="22"/>
        </w:rPr>
        <w:t xml:space="preserve"> </w:t>
      </w:r>
      <w:r w:rsidR="007D6A92">
        <w:rPr>
          <w:rFonts w:ascii="Arial" w:hAnsi="Arial" w:cs="Arial"/>
          <w:color w:val="7B7B7B" w:themeColor="accent3" w:themeShade="BF"/>
          <w:sz w:val="22"/>
          <w:szCs w:val="22"/>
        </w:rPr>
        <w:t xml:space="preserve">of </w:t>
      </w:r>
      <w:r w:rsidRPr="00110C0B">
        <w:rPr>
          <w:rFonts w:ascii="Arial" w:hAnsi="Arial" w:cs="Arial"/>
          <w:color w:val="7B7B7B" w:themeColor="accent3" w:themeShade="BF"/>
          <w:sz w:val="22"/>
          <w:szCs w:val="22"/>
        </w:rPr>
        <w:t>the concept of COMI.</w:t>
      </w:r>
      <w:r w:rsidR="007D6A92">
        <w:rPr>
          <w:rFonts w:ascii="Arial" w:hAnsi="Arial" w:cs="Arial"/>
          <w:color w:val="7B7B7B" w:themeColor="accent3" w:themeShade="BF"/>
          <w:sz w:val="22"/>
          <w:szCs w:val="22"/>
        </w:rPr>
        <w:t xml:space="preserve"> The</w:t>
      </w:r>
      <w:r w:rsidRPr="00110C0B">
        <w:rPr>
          <w:rFonts w:ascii="Arial" w:hAnsi="Arial" w:cs="Arial"/>
          <w:color w:val="7B7B7B" w:themeColor="accent3" w:themeShade="BF"/>
          <w:sz w:val="22"/>
          <w:szCs w:val="22"/>
        </w:rPr>
        <w:t xml:space="preserve"> </w:t>
      </w:r>
      <w:r w:rsidR="00D24DF2" w:rsidRPr="00110C0B">
        <w:rPr>
          <w:rFonts w:ascii="Arial" w:hAnsi="Arial" w:cs="Arial"/>
          <w:color w:val="7B7B7B" w:themeColor="accent3" w:themeShade="BF"/>
          <w:sz w:val="22"/>
          <w:szCs w:val="22"/>
        </w:rPr>
        <w:t>EIR 2000 had, in the Commission’s own words, allowed “</w:t>
      </w:r>
      <w:r w:rsidR="00D24DF2" w:rsidRPr="00110C0B">
        <w:rPr>
          <w:rFonts w:ascii="Arial" w:hAnsi="Arial" w:cs="Arial"/>
          <w:i/>
          <w:iCs/>
          <w:color w:val="7B7B7B" w:themeColor="accent3" w:themeShade="BF"/>
          <w:sz w:val="22"/>
          <w:szCs w:val="22"/>
        </w:rPr>
        <w:t>forum shopping by companies and natural persons through abusive COMI-relocation</w:t>
      </w:r>
      <w:r w:rsidR="00D24DF2" w:rsidRPr="00110C0B">
        <w:rPr>
          <w:rFonts w:ascii="Arial" w:hAnsi="Arial" w:cs="Arial"/>
          <w:color w:val="7B7B7B" w:themeColor="accent3" w:themeShade="BF"/>
          <w:sz w:val="22"/>
          <w:szCs w:val="22"/>
        </w:rPr>
        <w:t>”</w:t>
      </w:r>
      <w:r w:rsidR="00D24DF2" w:rsidRPr="00110C0B">
        <w:rPr>
          <w:rStyle w:val="FootnoteReference"/>
          <w:rFonts w:ascii="Arial" w:hAnsi="Arial" w:cs="Arial"/>
          <w:color w:val="7B7B7B" w:themeColor="accent3" w:themeShade="BF"/>
          <w:sz w:val="22"/>
          <w:szCs w:val="22"/>
        </w:rPr>
        <w:footnoteReference w:id="36"/>
      </w:r>
      <w:r w:rsidR="00D24DF2" w:rsidRPr="00110C0B">
        <w:rPr>
          <w:rFonts w:ascii="Arial" w:hAnsi="Arial" w:cs="Arial"/>
          <w:color w:val="7B7B7B" w:themeColor="accent3" w:themeShade="BF"/>
          <w:sz w:val="22"/>
          <w:szCs w:val="22"/>
        </w:rPr>
        <w:t>. This was identified as an area that needed addressing in the reforms.</w:t>
      </w:r>
    </w:p>
    <w:p w14:paraId="54999321" w14:textId="77777777" w:rsidR="00D24DF2" w:rsidRPr="00110C0B" w:rsidRDefault="00D24DF2" w:rsidP="00D24DF2">
      <w:pPr>
        <w:pStyle w:val="ListParagraph"/>
        <w:jc w:val="both"/>
        <w:rPr>
          <w:rFonts w:ascii="Arial" w:hAnsi="Arial" w:cs="Arial"/>
          <w:color w:val="7B7B7B" w:themeColor="accent3" w:themeShade="BF"/>
          <w:sz w:val="22"/>
          <w:szCs w:val="22"/>
        </w:rPr>
      </w:pPr>
    </w:p>
    <w:p w14:paraId="7D13E228" w14:textId="7340EAEF" w:rsidR="002E6793" w:rsidRPr="009F6469" w:rsidRDefault="002E6793" w:rsidP="009F6469">
      <w:pPr>
        <w:pStyle w:val="ListParagraph"/>
        <w:jc w:val="both"/>
        <w:rPr>
          <w:rFonts w:ascii="Arial" w:hAnsi="Arial" w:cs="Arial"/>
          <w:color w:val="7B7B7B" w:themeColor="accent3" w:themeShade="BF"/>
          <w:sz w:val="22"/>
          <w:szCs w:val="22"/>
        </w:rPr>
      </w:pPr>
      <w:r w:rsidRPr="007D6A92">
        <w:rPr>
          <w:rFonts w:ascii="Arial" w:hAnsi="Arial" w:cs="Arial"/>
          <w:color w:val="7B7B7B" w:themeColor="accent3" w:themeShade="BF"/>
          <w:sz w:val="22"/>
          <w:szCs w:val="22"/>
        </w:rPr>
        <w:t xml:space="preserve">COMI has been maintained in the EIR Recast as the relevant connecting factor for the opening of universal proceedings, although as </w:t>
      </w:r>
      <w:proofErr w:type="spellStart"/>
      <w:r w:rsidRPr="007D6A92">
        <w:rPr>
          <w:rFonts w:ascii="Arial" w:hAnsi="Arial" w:cs="Arial"/>
          <w:color w:val="7B7B7B" w:themeColor="accent3" w:themeShade="BF"/>
          <w:sz w:val="22"/>
          <w:szCs w:val="22"/>
        </w:rPr>
        <w:t>Garcimartín</w:t>
      </w:r>
      <w:proofErr w:type="spellEnd"/>
      <w:r w:rsidRPr="007D6A92">
        <w:rPr>
          <w:rFonts w:ascii="Arial" w:hAnsi="Arial" w:cs="Arial"/>
          <w:color w:val="7B7B7B" w:themeColor="accent3" w:themeShade="BF"/>
          <w:sz w:val="22"/>
          <w:szCs w:val="22"/>
        </w:rPr>
        <w:t xml:space="preserve"> acknowledges, this “</w:t>
      </w:r>
      <w:r w:rsidRPr="007D6A92">
        <w:rPr>
          <w:rFonts w:ascii="Arial" w:hAnsi="Arial" w:cs="Arial"/>
          <w:i/>
          <w:iCs/>
          <w:color w:val="7B7B7B" w:themeColor="accent3" w:themeShade="BF"/>
          <w:sz w:val="22"/>
          <w:szCs w:val="22"/>
        </w:rPr>
        <w:t>is a sensitive option</w:t>
      </w:r>
      <w:r w:rsidRPr="007D6A92">
        <w:rPr>
          <w:rFonts w:ascii="Arial" w:hAnsi="Arial" w:cs="Arial"/>
          <w:color w:val="7B7B7B" w:themeColor="accent3" w:themeShade="BF"/>
          <w:sz w:val="22"/>
          <w:szCs w:val="22"/>
        </w:rPr>
        <w:t>”</w:t>
      </w:r>
      <w:r w:rsidR="006F6C8F" w:rsidRPr="007D6A92">
        <w:rPr>
          <w:rFonts w:ascii="Arial" w:hAnsi="Arial" w:cs="Arial"/>
          <w:color w:val="7B7B7B" w:themeColor="accent3" w:themeShade="BF"/>
          <w:sz w:val="22"/>
          <w:szCs w:val="22"/>
        </w:rPr>
        <w:t>.</w:t>
      </w:r>
      <w:r w:rsidRPr="007D6A92">
        <w:rPr>
          <w:rStyle w:val="FootnoteReference"/>
          <w:rFonts w:ascii="Arial" w:hAnsi="Arial" w:cs="Arial"/>
          <w:color w:val="7B7B7B" w:themeColor="accent3" w:themeShade="BF"/>
          <w:sz w:val="22"/>
          <w:szCs w:val="22"/>
        </w:rPr>
        <w:footnoteReference w:id="37"/>
      </w:r>
      <w:r w:rsidR="006F6C8F" w:rsidRPr="007D6A92">
        <w:rPr>
          <w:rFonts w:ascii="Arial" w:hAnsi="Arial" w:cs="Arial"/>
          <w:color w:val="7B7B7B" w:themeColor="accent3" w:themeShade="BF"/>
          <w:sz w:val="22"/>
          <w:szCs w:val="22"/>
        </w:rPr>
        <w:t xml:space="preserve"> Notwithstanding this, the Court of Justice of the European Union</w:t>
      </w:r>
      <w:r w:rsidR="00C47613" w:rsidRPr="007D6A92">
        <w:rPr>
          <w:rFonts w:ascii="Arial" w:hAnsi="Arial" w:cs="Arial"/>
          <w:color w:val="7B7B7B" w:themeColor="accent3" w:themeShade="BF"/>
          <w:sz w:val="22"/>
          <w:szCs w:val="22"/>
        </w:rPr>
        <w:t xml:space="preserve"> (</w:t>
      </w:r>
      <w:r w:rsidR="007D6A92">
        <w:rPr>
          <w:rFonts w:ascii="Arial" w:hAnsi="Arial" w:cs="Arial"/>
          <w:color w:val="7B7B7B" w:themeColor="accent3" w:themeShade="BF"/>
          <w:sz w:val="22"/>
          <w:szCs w:val="22"/>
        </w:rPr>
        <w:t xml:space="preserve">the </w:t>
      </w:r>
      <w:r w:rsidR="00C47613" w:rsidRPr="007D6A92">
        <w:rPr>
          <w:rFonts w:ascii="Arial" w:hAnsi="Arial" w:cs="Arial"/>
          <w:color w:val="7B7B7B" w:themeColor="accent3" w:themeShade="BF"/>
          <w:sz w:val="22"/>
          <w:szCs w:val="22"/>
        </w:rPr>
        <w:t>“</w:t>
      </w:r>
      <w:r w:rsidR="00C47613" w:rsidRPr="007D6A92">
        <w:rPr>
          <w:rFonts w:ascii="Arial" w:hAnsi="Arial" w:cs="Arial"/>
          <w:b/>
          <w:bCs/>
          <w:color w:val="7B7B7B" w:themeColor="accent3" w:themeShade="BF"/>
          <w:sz w:val="22"/>
          <w:szCs w:val="22"/>
        </w:rPr>
        <w:t>CJEU</w:t>
      </w:r>
      <w:r w:rsidR="00C47613" w:rsidRPr="007D6A92">
        <w:rPr>
          <w:rFonts w:ascii="Arial" w:hAnsi="Arial" w:cs="Arial"/>
          <w:color w:val="7B7B7B" w:themeColor="accent3" w:themeShade="BF"/>
          <w:sz w:val="22"/>
          <w:szCs w:val="22"/>
        </w:rPr>
        <w:t>”</w:t>
      </w:r>
      <w:r w:rsidR="009F6469">
        <w:rPr>
          <w:rFonts w:ascii="Arial" w:hAnsi="Arial" w:cs="Arial"/>
          <w:color w:val="7B7B7B" w:themeColor="accent3" w:themeShade="BF"/>
          <w:sz w:val="22"/>
          <w:szCs w:val="22"/>
        </w:rPr>
        <w:t>)</w:t>
      </w:r>
      <w:r w:rsidR="006F6C8F" w:rsidRPr="007D6A92">
        <w:rPr>
          <w:rFonts w:ascii="Arial" w:hAnsi="Arial" w:cs="Arial"/>
          <w:color w:val="7B7B7B" w:themeColor="accent3" w:themeShade="BF"/>
          <w:sz w:val="22"/>
          <w:szCs w:val="22"/>
        </w:rPr>
        <w:t xml:space="preserve"> clarified COMI’s meaning and provided guidance for its application in practice</w:t>
      </w:r>
      <w:r w:rsidR="007D6A92">
        <w:rPr>
          <w:rFonts w:ascii="Arial" w:hAnsi="Arial" w:cs="Arial"/>
          <w:color w:val="7B7B7B" w:themeColor="accent3" w:themeShade="BF"/>
          <w:sz w:val="22"/>
          <w:szCs w:val="22"/>
        </w:rPr>
        <w:t>. T</w:t>
      </w:r>
      <w:r w:rsidR="00A57EB2" w:rsidRPr="007D6A92">
        <w:rPr>
          <w:rFonts w:ascii="Arial" w:hAnsi="Arial" w:cs="Arial"/>
          <w:color w:val="7B7B7B" w:themeColor="accent3" w:themeShade="BF"/>
          <w:sz w:val="22"/>
          <w:szCs w:val="22"/>
        </w:rPr>
        <w:t xml:space="preserve">he seminal case </w:t>
      </w:r>
      <w:r w:rsidR="007D6A92">
        <w:rPr>
          <w:rFonts w:ascii="Arial" w:hAnsi="Arial" w:cs="Arial"/>
          <w:color w:val="7B7B7B" w:themeColor="accent3" w:themeShade="BF"/>
          <w:sz w:val="22"/>
          <w:szCs w:val="22"/>
        </w:rPr>
        <w:t>is</w:t>
      </w:r>
      <w:r w:rsidR="00A57EB2" w:rsidRPr="007D6A92">
        <w:rPr>
          <w:rFonts w:ascii="Arial" w:hAnsi="Arial" w:cs="Arial"/>
          <w:color w:val="7B7B7B" w:themeColor="accent3" w:themeShade="BF"/>
          <w:sz w:val="22"/>
          <w:szCs w:val="22"/>
        </w:rPr>
        <w:t xml:space="preserve"> </w:t>
      </w:r>
      <w:proofErr w:type="spellStart"/>
      <w:r w:rsidR="00A57EB2" w:rsidRPr="007D6A92">
        <w:rPr>
          <w:rFonts w:ascii="Arial" w:hAnsi="Arial" w:cs="Arial"/>
          <w:i/>
          <w:iCs/>
          <w:color w:val="7B7B7B" w:themeColor="accent3" w:themeShade="BF"/>
          <w:sz w:val="22"/>
          <w:szCs w:val="22"/>
        </w:rPr>
        <w:t>Eurofood</w:t>
      </w:r>
      <w:proofErr w:type="spellEnd"/>
      <w:r w:rsidR="00A57EB2" w:rsidRPr="007D6A92">
        <w:rPr>
          <w:rFonts w:ascii="Arial" w:hAnsi="Arial" w:cs="Arial"/>
          <w:i/>
          <w:iCs/>
          <w:color w:val="7B7B7B" w:themeColor="accent3" w:themeShade="BF"/>
          <w:sz w:val="22"/>
          <w:szCs w:val="22"/>
        </w:rPr>
        <w:t xml:space="preserve"> IFSC Ltd</w:t>
      </w:r>
      <w:r w:rsidR="00A57EB2" w:rsidRPr="007D6A92">
        <w:rPr>
          <w:rStyle w:val="FootnoteReference"/>
          <w:rFonts w:ascii="Arial" w:hAnsi="Arial" w:cs="Arial"/>
          <w:i/>
          <w:iCs/>
          <w:color w:val="7B7B7B" w:themeColor="accent3" w:themeShade="BF"/>
          <w:sz w:val="22"/>
          <w:szCs w:val="22"/>
        </w:rPr>
        <w:footnoteReference w:id="38"/>
      </w:r>
      <w:r w:rsidR="00A57EB2" w:rsidRPr="007D6A92">
        <w:rPr>
          <w:rFonts w:ascii="Arial" w:hAnsi="Arial" w:cs="Arial"/>
          <w:color w:val="7B7B7B" w:themeColor="accent3" w:themeShade="BF"/>
          <w:sz w:val="22"/>
          <w:szCs w:val="22"/>
        </w:rPr>
        <w:t xml:space="preserve"> which, inter alia, </w:t>
      </w:r>
      <w:proofErr w:type="spellStart"/>
      <w:r w:rsidR="00A57EB2" w:rsidRPr="007D6A92">
        <w:rPr>
          <w:rFonts w:ascii="Arial" w:hAnsi="Arial" w:cs="Arial"/>
          <w:color w:val="7B7B7B" w:themeColor="accent3" w:themeShade="BF"/>
          <w:sz w:val="22"/>
          <w:szCs w:val="22"/>
        </w:rPr>
        <w:t>emphasised</w:t>
      </w:r>
      <w:proofErr w:type="spellEnd"/>
      <w:r w:rsidR="00A57EB2" w:rsidRPr="007D6A92">
        <w:rPr>
          <w:rFonts w:ascii="Arial" w:hAnsi="Arial" w:cs="Arial"/>
          <w:color w:val="7B7B7B" w:themeColor="accent3" w:themeShade="BF"/>
          <w:sz w:val="22"/>
          <w:szCs w:val="22"/>
        </w:rPr>
        <w:t xml:space="preserve"> that COMI had an autonomous meaning and was to be interpreted in a uniform way which was independent of what a similar term in national legislation stated.</w:t>
      </w:r>
      <w:r w:rsidR="00A57EB2" w:rsidRPr="007D6A92">
        <w:rPr>
          <w:rStyle w:val="FootnoteReference"/>
          <w:rFonts w:ascii="Arial" w:hAnsi="Arial" w:cs="Arial"/>
          <w:color w:val="7B7B7B" w:themeColor="accent3" w:themeShade="BF"/>
          <w:sz w:val="22"/>
          <w:szCs w:val="22"/>
        </w:rPr>
        <w:footnoteReference w:id="39"/>
      </w:r>
      <w:r w:rsidR="00A57EB2" w:rsidRPr="007D6A92">
        <w:rPr>
          <w:rFonts w:ascii="Arial" w:hAnsi="Arial" w:cs="Arial"/>
          <w:color w:val="7B7B7B" w:themeColor="accent3" w:themeShade="BF"/>
          <w:sz w:val="22"/>
          <w:szCs w:val="22"/>
        </w:rPr>
        <w:t xml:space="preserve"> The EIR Recast</w:t>
      </w:r>
      <w:r w:rsidR="009F6469">
        <w:rPr>
          <w:rFonts w:ascii="Arial" w:hAnsi="Arial" w:cs="Arial"/>
          <w:color w:val="7B7B7B" w:themeColor="accent3" w:themeShade="BF"/>
          <w:sz w:val="22"/>
          <w:szCs w:val="22"/>
        </w:rPr>
        <w:t xml:space="preserve"> largely codifies the CJEU jurisprudence – it</w:t>
      </w:r>
      <w:r w:rsidR="00A57EB2" w:rsidRPr="009F6469">
        <w:rPr>
          <w:rFonts w:ascii="Arial" w:hAnsi="Arial" w:cs="Arial"/>
          <w:color w:val="7B7B7B" w:themeColor="accent3" w:themeShade="BF"/>
          <w:sz w:val="22"/>
          <w:szCs w:val="22"/>
        </w:rPr>
        <w:t xml:space="preserve"> provides an autonomous definition of COMI </w:t>
      </w:r>
      <w:r w:rsidR="009F6469">
        <w:rPr>
          <w:rFonts w:ascii="Arial" w:hAnsi="Arial" w:cs="Arial"/>
          <w:color w:val="7B7B7B" w:themeColor="accent3" w:themeShade="BF"/>
          <w:sz w:val="22"/>
          <w:szCs w:val="22"/>
        </w:rPr>
        <w:t>(</w:t>
      </w:r>
      <w:r w:rsidR="00A57EB2" w:rsidRPr="009F6469">
        <w:rPr>
          <w:rFonts w:ascii="Arial" w:hAnsi="Arial" w:cs="Arial"/>
          <w:color w:val="7B7B7B" w:themeColor="accent3" w:themeShade="BF"/>
          <w:sz w:val="22"/>
          <w:szCs w:val="22"/>
        </w:rPr>
        <w:t xml:space="preserve">which </w:t>
      </w:r>
      <w:r w:rsidR="00C47613" w:rsidRPr="009F6469">
        <w:rPr>
          <w:rFonts w:ascii="Arial" w:hAnsi="Arial" w:cs="Arial"/>
          <w:color w:val="7B7B7B" w:themeColor="accent3" w:themeShade="BF"/>
          <w:sz w:val="22"/>
          <w:szCs w:val="22"/>
        </w:rPr>
        <w:t xml:space="preserve">is influenced </w:t>
      </w:r>
      <w:r w:rsidR="00A57EB2" w:rsidRPr="009F6469">
        <w:rPr>
          <w:rFonts w:ascii="Arial" w:hAnsi="Arial" w:cs="Arial"/>
          <w:color w:val="7B7B7B" w:themeColor="accent3" w:themeShade="BF"/>
          <w:sz w:val="22"/>
          <w:szCs w:val="22"/>
        </w:rPr>
        <w:t xml:space="preserve">by </w:t>
      </w:r>
      <w:r w:rsidR="00C47613" w:rsidRPr="009F6469">
        <w:rPr>
          <w:rFonts w:ascii="Arial" w:hAnsi="Arial" w:cs="Arial"/>
          <w:color w:val="7B7B7B" w:themeColor="accent3" w:themeShade="BF"/>
          <w:sz w:val="22"/>
          <w:szCs w:val="22"/>
        </w:rPr>
        <w:t>Recital</w:t>
      </w:r>
      <w:r w:rsidR="00A57EB2" w:rsidRPr="009F6469">
        <w:rPr>
          <w:rFonts w:ascii="Arial" w:hAnsi="Arial" w:cs="Arial"/>
          <w:color w:val="7B7B7B" w:themeColor="accent3" w:themeShade="BF"/>
          <w:sz w:val="22"/>
          <w:szCs w:val="22"/>
        </w:rPr>
        <w:t xml:space="preserve"> 13 of the EIR 2000 and </w:t>
      </w:r>
      <w:r w:rsidR="009F6469">
        <w:rPr>
          <w:rFonts w:ascii="Arial" w:hAnsi="Arial" w:cs="Arial"/>
          <w:color w:val="7B7B7B" w:themeColor="accent3" w:themeShade="BF"/>
          <w:sz w:val="22"/>
          <w:szCs w:val="22"/>
        </w:rPr>
        <w:t xml:space="preserve">the </w:t>
      </w:r>
      <w:r w:rsidR="00C47613" w:rsidRPr="009F6469">
        <w:rPr>
          <w:rFonts w:ascii="Arial" w:hAnsi="Arial" w:cs="Arial"/>
          <w:color w:val="7B7B7B" w:themeColor="accent3" w:themeShade="BF"/>
          <w:sz w:val="22"/>
          <w:szCs w:val="22"/>
        </w:rPr>
        <w:t>CJEU</w:t>
      </w:r>
      <w:r w:rsidR="009F6469">
        <w:rPr>
          <w:rFonts w:ascii="Arial" w:hAnsi="Arial" w:cs="Arial"/>
          <w:color w:val="7B7B7B" w:themeColor="accent3" w:themeShade="BF"/>
          <w:sz w:val="22"/>
          <w:szCs w:val="22"/>
        </w:rPr>
        <w:t>)</w:t>
      </w:r>
      <w:r w:rsidR="00C47613" w:rsidRPr="009F6469">
        <w:rPr>
          <w:rFonts w:ascii="Arial" w:hAnsi="Arial" w:cs="Arial"/>
          <w:color w:val="7B7B7B" w:themeColor="accent3" w:themeShade="BF"/>
          <w:sz w:val="22"/>
          <w:szCs w:val="22"/>
        </w:rPr>
        <w:t>. Two distinct elements of Article 3(1) of the EIR Recast’s definition of COMI can be seen</w:t>
      </w:r>
      <w:r w:rsidR="009F6469">
        <w:rPr>
          <w:rFonts w:ascii="Arial" w:hAnsi="Arial" w:cs="Arial"/>
          <w:color w:val="7B7B7B" w:themeColor="accent3" w:themeShade="BF"/>
          <w:sz w:val="22"/>
          <w:szCs w:val="22"/>
        </w:rPr>
        <w:t xml:space="preserve"> </w:t>
      </w:r>
      <w:r w:rsidR="00C47613" w:rsidRPr="009F6469">
        <w:rPr>
          <w:rFonts w:ascii="Arial" w:hAnsi="Arial" w:cs="Arial"/>
          <w:color w:val="7B7B7B" w:themeColor="accent3" w:themeShade="BF"/>
          <w:sz w:val="22"/>
          <w:szCs w:val="22"/>
        </w:rPr>
        <w:t xml:space="preserve">- an internal element and an external element. The internal element is to consider the </w:t>
      </w:r>
      <w:proofErr w:type="spellStart"/>
      <w:r w:rsidR="00C47613" w:rsidRPr="009F6469">
        <w:rPr>
          <w:rFonts w:ascii="Arial" w:hAnsi="Arial" w:cs="Arial"/>
          <w:color w:val="7B7B7B" w:themeColor="accent3" w:themeShade="BF"/>
          <w:sz w:val="22"/>
          <w:szCs w:val="22"/>
        </w:rPr>
        <w:t>centre</w:t>
      </w:r>
      <w:proofErr w:type="spellEnd"/>
      <w:r w:rsidR="00C47613" w:rsidRPr="009F6469">
        <w:rPr>
          <w:rFonts w:ascii="Arial" w:hAnsi="Arial" w:cs="Arial"/>
          <w:color w:val="7B7B7B" w:themeColor="accent3" w:themeShade="BF"/>
          <w:sz w:val="22"/>
          <w:szCs w:val="22"/>
        </w:rPr>
        <w:t xml:space="preserve"> of administration and the interest of the debtor. The external element is that the location of the </w:t>
      </w:r>
      <w:proofErr w:type="spellStart"/>
      <w:r w:rsidR="00C47613" w:rsidRPr="009F6469">
        <w:rPr>
          <w:rFonts w:ascii="Arial" w:hAnsi="Arial" w:cs="Arial"/>
          <w:color w:val="7B7B7B" w:themeColor="accent3" w:themeShade="BF"/>
          <w:sz w:val="22"/>
          <w:szCs w:val="22"/>
        </w:rPr>
        <w:t>centre</w:t>
      </w:r>
      <w:proofErr w:type="spellEnd"/>
      <w:r w:rsidR="00C47613" w:rsidRPr="009F6469">
        <w:rPr>
          <w:rFonts w:ascii="Arial" w:hAnsi="Arial" w:cs="Arial"/>
          <w:color w:val="7B7B7B" w:themeColor="accent3" w:themeShade="BF"/>
          <w:sz w:val="22"/>
          <w:szCs w:val="22"/>
        </w:rPr>
        <w:t xml:space="preserve"> of administration must be ob</w:t>
      </w:r>
      <w:r w:rsidR="00C3252D" w:rsidRPr="009F6469">
        <w:rPr>
          <w:rFonts w:ascii="Arial" w:hAnsi="Arial" w:cs="Arial"/>
          <w:color w:val="7B7B7B" w:themeColor="accent3" w:themeShade="BF"/>
          <w:sz w:val="22"/>
          <w:szCs w:val="22"/>
        </w:rPr>
        <w:t>jective and ascertainable by third parties.</w:t>
      </w:r>
    </w:p>
    <w:p w14:paraId="3FA79F2B" w14:textId="5BEED26B" w:rsidR="002E6793" w:rsidRPr="00110C0B" w:rsidRDefault="002E6793" w:rsidP="00D24DF2">
      <w:pPr>
        <w:jc w:val="both"/>
        <w:rPr>
          <w:rFonts w:ascii="Arial" w:hAnsi="Arial" w:cs="Arial"/>
          <w:color w:val="7B7B7B" w:themeColor="accent3" w:themeShade="BF"/>
          <w:sz w:val="22"/>
          <w:szCs w:val="22"/>
        </w:rPr>
      </w:pPr>
    </w:p>
    <w:p w14:paraId="2D4890C9" w14:textId="01B651C8" w:rsidR="00D24DF2" w:rsidRPr="00110C0B" w:rsidRDefault="006E4360">
      <w:pPr>
        <w:pStyle w:val="ListParagraph"/>
        <w:numPr>
          <w:ilvl w:val="0"/>
          <w:numId w:val="14"/>
        </w:numPr>
        <w:jc w:val="both"/>
        <w:rPr>
          <w:rFonts w:ascii="Arial" w:hAnsi="Arial" w:cs="Arial"/>
          <w:color w:val="7B7B7B" w:themeColor="accent3" w:themeShade="BF"/>
          <w:sz w:val="22"/>
          <w:szCs w:val="22"/>
        </w:rPr>
      </w:pPr>
      <w:r w:rsidRPr="00110C0B">
        <w:rPr>
          <w:rFonts w:ascii="Arial" w:hAnsi="Arial" w:cs="Arial"/>
          <w:color w:val="7B7B7B" w:themeColor="accent3" w:themeShade="BF"/>
          <w:sz w:val="22"/>
          <w:szCs w:val="22"/>
        </w:rPr>
        <w:t xml:space="preserve">Secondary proceedings – </w:t>
      </w:r>
      <w:r w:rsidR="00265FA1" w:rsidRPr="00110C0B">
        <w:rPr>
          <w:rFonts w:ascii="Arial" w:hAnsi="Arial" w:cs="Arial"/>
          <w:color w:val="7B7B7B" w:themeColor="accent3" w:themeShade="BF"/>
          <w:sz w:val="22"/>
          <w:szCs w:val="22"/>
        </w:rPr>
        <w:t>t</w:t>
      </w:r>
      <w:r w:rsidRPr="00110C0B">
        <w:rPr>
          <w:rFonts w:ascii="Arial" w:hAnsi="Arial" w:cs="Arial"/>
          <w:color w:val="7B7B7B" w:themeColor="accent3" w:themeShade="BF"/>
          <w:sz w:val="22"/>
          <w:szCs w:val="22"/>
        </w:rPr>
        <w:t xml:space="preserve">he Commission’s Proposal </w:t>
      </w:r>
      <w:r w:rsidR="00767211" w:rsidRPr="00110C0B">
        <w:rPr>
          <w:rFonts w:ascii="Arial" w:hAnsi="Arial" w:cs="Arial"/>
          <w:color w:val="7B7B7B" w:themeColor="accent3" w:themeShade="BF"/>
          <w:sz w:val="22"/>
          <w:szCs w:val="22"/>
        </w:rPr>
        <w:t>identified that if secondary proceedings were opened, this could “</w:t>
      </w:r>
      <w:r w:rsidR="00767211" w:rsidRPr="00110C0B">
        <w:rPr>
          <w:rFonts w:ascii="Arial" w:hAnsi="Arial" w:cs="Arial"/>
          <w:i/>
          <w:iCs/>
          <w:color w:val="7B7B7B" w:themeColor="accent3" w:themeShade="BF"/>
          <w:sz w:val="22"/>
          <w:szCs w:val="22"/>
        </w:rPr>
        <w:t>hamper the efficient administration of the debtor’s estate</w:t>
      </w:r>
      <w:r w:rsidR="00767211" w:rsidRPr="00110C0B">
        <w:rPr>
          <w:rFonts w:ascii="Arial" w:hAnsi="Arial" w:cs="Arial"/>
          <w:color w:val="7B7B7B" w:themeColor="accent3" w:themeShade="BF"/>
          <w:sz w:val="22"/>
          <w:szCs w:val="22"/>
        </w:rPr>
        <w:t>”</w:t>
      </w:r>
      <w:r w:rsidR="00767211" w:rsidRPr="00110C0B">
        <w:rPr>
          <w:rStyle w:val="FootnoteReference"/>
          <w:rFonts w:ascii="Arial" w:hAnsi="Arial" w:cs="Arial"/>
          <w:color w:val="7B7B7B" w:themeColor="accent3" w:themeShade="BF"/>
          <w:sz w:val="22"/>
          <w:szCs w:val="22"/>
        </w:rPr>
        <w:footnoteReference w:id="40"/>
      </w:r>
      <w:r w:rsidR="00767211" w:rsidRPr="00110C0B">
        <w:rPr>
          <w:rFonts w:ascii="Arial" w:hAnsi="Arial" w:cs="Arial"/>
          <w:color w:val="7B7B7B" w:themeColor="accent3" w:themeShade="BF"/>
          <w:sz w:val="22"/>
          <w:szCs w:val="22"/>
        </w:rPr>
        <w:t xml:space="preserve">. </w:t>
      </w:r>
      <w:proofErr w:type="gramStart"/>
      <w:r w:rsidR="00767211" w:rsidRPr="00110C0B">
        <w:rPr>
          <w:rFonts w:ascii="Arial" w:hAnsi="Arial" w:cs="Arial"/>
          <w:color w:val="7B7B7B" w:themeColor="accent3" w:themeShade="BF"/>
          <w:sz w:val="22"/>
          <w:szCs w:val="22"/>
        </w:rPr>
        <w:t>In the event that</w:t>
      </w:r>
      <w:proofErr w:type="gramEnd"/>
      <w:r w:rsidR="00767211" w:rsidRPr="00110C0B">
        <w:rPr>
          <w:rFonts w:ascii="Arial" w:hAnsi="Arial" w:cs="Arial"/>
          <w:color w:val="7B7B7B" w:themeColor="accent3" w:themeShade="BF"/>
          <w:sz w:val="22"/>
          <w:szCs w:val="22"/>
        </w:rPr>
        <w:t xml:space="preserve"> secondary proceedings were opened, the theory was that the liquidator who was appointed in the main </w:t>
      </w:r>
      <w:r w:rsidR="009F6469">
        <w:rPr>
          <w:rFonts w:ascii="Arial" w:hAnsi="Arial" w:cs="Arial"/>
          <w:color w:val="7B7B7B" w:themeColor="accent3" w:themeShade="BF"/>
          <w:sz w:val="22"/>
          <w:szCs w:val="22"/>
        </w:rPr>
        <w:t xml:space="preserve">insolvency </w:t>
      </w:r>
      <w:r w:rsidR="00767211" w:rsidRPr="00110C0B">
        <w:rPr>
          <w:rFonts w:ascii="Arial" w:hAnsi="Arial" w:cs="Arial"/>
          <w:color w:val="7B7B7B" w:themeColor="accent3" w:themeShade="BF"/>
          <w:sz w:val="22"/>
          <w:szCs w:val="22"/>
        </w:rPr>
        <w:t xml:space="preserve">proceedings would no longer have control of the debtor’s assets located in the </w:t>
      </w:r>
      <w:r w:rsidR="009F6469">
        <w:rPr>
          <w:rFonts w:ascii="Arial" w:hAnsi="Arial" w:cs="Arial"/>
          <w:color w:val="7B7B7B" w:themeColor="accent3" w:themeShade="BF"/>
          <w:sz w:val="22"/>
          <w:szCs w:val="22"/>
        </w:rPr>
        <w:t xml:space="preserve">EU </w:t>
      </w:r>
      <w:r w:rsidR="00767211" w:rsidRPr="00110C0B">
        <w:rPr>
          <w:rFonts w:ascii="Arial" w:hAnsi="Arial" w:cs="Arial"/>
          <w:color w:val="7B7B7B" w:themeColor="accent3" w:themeShade="BF"/>
          <w:sz w:val="22"/>
          <w:szCs w:val="22"/>
        </w:rPr>
        <w:t>Member State where secondary proceedings were opened</w:t>
      </w:r>
      <w:r w:rsidR="009F6469">
        <w:rPr>
          <w:rFonts w:ascii="Arial" w:hAnsi="Arial" w:cs="Arial"/>
          <w:color w:val="7B7B7B" w:themeColor="accent3" w:themeShade="BF"/>
          <w:sz w:val="22"/>
          <w:szCs w:val="22"/>
        </w:rPr>
        <w:t>. T</w:t>
      </w:r>
      <w:r w:rsidR="00767211" w:rsidRPr="00110C0B">
        <w:rPr>
          <w:rFonts w:ascii="Arial" w:hAnsi="Arial" w:cs="Arial"/>
          <w:color w:val="7B7B7B" w:themeColor="accent3" w:themeShade="BF"/>
          <w:sz w:val="22"/>
          <w:szCs w:val="22"/>
        </w:rPr>
        <w:t xml:space="preserve">his would make it more difficult to deal with the assets located in that </w:t>
      </w:r>
      <w:r w:rsidR="009F6469">
        <w:rPr>
          <w:rFonts w:ascii="Arial" w:hAnsi="Arial" w:cs="Arial"/>
          <w:color w:val="7B7B7B" w:themeColor="accent3" w:themeShade="BF"/>
          <w:sz w:val="22"/>
          <w:szCs w:val="22"/>
        </w:rPr>
        <w:t xml:space="preserve">EU </w:t>
      </w:r>
      <w:r w:rsidR="00767211" w:rsidRPr="00110C0B">
        <w:rPr>
          <w:rFonts w:ascii="Arial" w:hAnsi="Arial" w:cs="Arial"/>
          <w:color w:val="7B7B7B" w:themeColor="accent3" w:themeShade="BF"/>
          <w:sz w:val="22"/>
          <w:szCs w:val="22"/>
        </w:rPr>
        <w:t xml:space="preserve">Member State. Further, under </w:t>
      </w:r>
      <w:r w:rsidR="009F6469">
        <w:rPr>
          <w:rFonts w:ascii="Arial" w:hAnsi="Arial" w:cs="Arial"/>
          <w:color w:val="7B7B7B" w:themeColor="accent3" w:themeShade="BF"/>
          <w:sz w:val="22"/>
          <w:szCs w:val="22"/>
        </w:rPr>
        <w:t xml:space="preserve">the </w:t>
      </w:r>
      <w:r w:rsidR="00DA3210" w:rsidRPr="00110C0B">
        <w:rPr>
          <w:rFonts w:ascii="Arial" w:hAnsi="Arial" w:cs="Arial"/>
          <w:color w:val="7B7B7B" w:themeColor="accent3" w:themeShade="BF"/>
          <w:sz w:val="22"/>
          <w:szCs w:val="22"/>
        </w:rPr>
        <w:t>EIR 2000, if secondary proceedings were opened, they had to be winding-up proceedings which would make it more difficult to restructure the debtor’s affairs</w:t>
      </w:r>
      <w:r w:rsidR="00DA3210" w:rsidRPr="00110C0B">
        <w:rPr>
          <w:rStyle w:val="FootnoteReference"/>
          <w:rFonts w:ascii="Arial" w:hAnsi="Arial" w:cs="Arial"/>
          <w:color w:val="7B7B7B" w:themeColor="accent3" w:themeShade="BF"/>
          <w:sz w:val="22"/>
          <w:szCs w:val="22"/>
        </w:rPr>
        <w:footnoteReference w:id="41"/>
      </w:r>
      <w:r w:rsidR="00DA3210" w:rsidRPr="00110C0B">
        <w:rPr>
          <w:rFonts w:ascii="Arial" w:hAnsi="Arial" w:cs="Arial"/>
          <w:color w:val="7B7B7B" w:themeColor="accent3" w:themeShade="BF"/>
          <w:sz w:val="22"/>
          <w:szCs w:val="22"/>
        </w:rPr>
        <w:t>.</w:t>
      </w:r>
    </w:p>
    <w:p w14:paraId="3FA519CD" w14:textId="77777777" w:rsidR="00161759" w:rsidRPr="00110C0B" w:rsidRDefault="00161759" w:rsidP="00161759">
      <w:pPr>
        <w:jc w:val="both"/>
        <w:rPr>
          <w:rFonts w:ascii="Arial" w:hAnsi="Arial" w:cs="Arial"/>
          <w:color w:val="7B7B7B" w:themeColor="accent3" w:themeShade="BF"/>
          <w:sz w:val="22"/>
          <w:szCs w:val="22"/>
        </w:rPr>
      </w:pPr>
    </w:p>
    <w:p w14:paraId="5F6AB6D0" w14:textId="1C98B937" w:rsidR="00F82184" w:rsidRPr="00F82184" w:rsidRDefault="00161759" w:rsidP="00F82184">
      <w:pPr>
        <w:pStyle w:val="ListParagraph"/>
        <w:jc w:val="both"/>
        <w:rPr>
          <w:rFonts w:ascii="Arial" w:hAnsi="Arial" w:cs="Arial"/>
          <w:color w:val="7B7B7B" w:themeColor="accent3" w:themeShade="BF"/>
          <w:sz w:val="22"/>
          <w:szCs w:val="22"/>
        </w:rPr>
      </w:pPr>
      <w:r w:rsidRPr="00110C0B">
        <w:rPr>
          <w:rFonts w:ascii="Arial" w:hAnsi="Arial" w:cs="Arial"/>
          <w:color w:val="7B7B7B" w:themeColor="accent3" w:themeShade="BF"/>
          <w:sz w:val="22"/>
          <w:szCs w:val="22"/>
        </w:rPr>
        <w:t>The EIR Recast</w:t>
      </w:r>
      <w:r w:rsidR="00250621" w:rsidRPr="00110C0B">
        <w:rPr>
          <w:rFonts w:ascii="Arial" w:hAnsi="Arial" w:cs="Arial"/>
          <w:color w:val="7B7B7B" w:themeColor="accent3" w:themeShade="BF"/>
          <w:sz w:val="22"/>
          <w:szCs w:val="22"/>
        </w:rPr>
        <w:t xml:space="preserve"> (</w:t>
      </w:r>
      <w:proofErr w:type="gramStart"/>
      <w:r w:rsidR="00CC3DF6" w:rsidRPr="00110C0B">
        <w:rPr>
          <w:rFonts w:ascii="Arial" w:hAnsi="Arial" w:cs="Arial"/>
          <w:color w:val="7B7B7B" w:themeColor="accent3" w:themeShade="BF"/>
          <w:sz w:val="22"/>
          <w:szCs w:val="22"/>
        </w:rPr>
        <w:t>similar to</w:t>
      </w:r>
      <w:proofErr w:type="gramEnd"/>
      <w:r w:rsidR="00CC3DF6" w:rsidRPr="00110C0B">
        <w:rPr>
          <w:rFonts w:ascii="Arial" w:hAnsi="Arial" w:cs="Arial"/>
          <w:color w:val="7B7B7B" w:themeColor="accent3" w:themeShade="BF"/>
          <w:sz w:val="22"/>
          <w:szCs w:val="22"/>
        </w:rPr>
        <w:t xml:space="preserve"> the EIR 2000</w:t>
      </w:r>
      <w:r w:rsidR="00250621" w:rsidRPr="00110C0B">
        <w:rPr>
          <w:rFonts w:ascii="Arial" w:hAnsi="Arial" w:cs="Arial"/>
          <w:color w:val="7B7B7B" w:themeColor="accent3" w:themeShade="BF"/>
          <w:sz w:val="22"/>
          <w:szCs w:val="22"/>
        </w:rPr>
        <w:t>)</w:t>
      </w:r>
      <w:r w:rsidR="00CC3DF6" w:rsidRPr="00110C0B">
        <w:rPr>
          <w:rFonts w:ascii="Arial" w:hAnsi="Arial" w:cs="Arial"/>
          <w:color w:val="7B7B7B" w:themeColor="accent3" w:themeShade="BF"/>
          <w:sz w:val="22"/>
          <w:szCs w:val="22"/>
        </w:rPr>
        <w:t xml:space="preserve"> enables secondary proceedings to be opened</w:t>
      </w:r>
      <w:r w:rsidR="00250621" w:rsidRPr="00110C0B">
        <w:rPr>
          <w:rFonts w:ascii="Arial" w:hAnsi="Arial" w:cs="Arial"/>
          <w:color w:val="7B7B7B" w:themeColor="accent3" w:themeShade="BF"/>
          <w:sz w:val="22"/>
          <w:szCs w:val="22"/>
        </w:rPr>
        <w:t xml:space="preserve"> (which will run parallel to the main insolvency proceedings). These secondary proceedings can be opened where the debtor has an establishment</w:t>
      </w:r>
      <w:r w:rsidR="00250621" w:rsidRPr="00110C0B">
        <w:rPr>
          <w:rStyle w:val="FootnoteReference"/>
          <w:rFonts w:ascii="Arial" w:hAnsi="Arial" w:cs="Arial"/>
          <w:color w:val="7B7B7B" w:themeColor="accent3" w:themeShade="BF"/>
          <w:sz w:val="22"/>
          <w:szCs w:val="22"/>
        </w:rPr>
        <w:footnoteReference w:id="42"/>
      </w:r>
      <w:r w:rsidR="0045665D" w:rsidRPr="00110C0B">
        <w:rPr>
          <w:rFonts w:ascii="Arial" w:hAnsi="Arial" w:cs="Arial"/>
          <w:color w:val="7B7B7B" w:themeColor="accent3" w:themeShade="BF"/>
          <w:sz w:val="22"/>
          <w:szCs w:val="22"/>
        </w:rPr>
        <w:t xml:space="preserve"> and therefore there can be multiple secondary proceedings when dealing with the estate of an insolvent debtor</w:t>
      </w:r>
      <w:r w:rsidR="00250621" w:rsidRPr="00110C0B">
        <w:rPr>
          <w:rFonts w:ascii="Arial" w:hAnsi="Arial" w:cs="Arial"/>
          <w:color w:val="7B7B7B" w:themeColor="accent3" w:themeShade="BF"/>
          <w:sz w:val="22"/>
          <w:szCs w:val="22"/>
        </w:rPr>
        <w:t xml:space="preserve">. This can be contrasted to </w:t>
      </w:r>
      <w:r w:rsidR="00F82184">
        <w:rPr>
          <w:rFonts w:ascii="Arial" w:hAnsi="Arial" w:cs="Arial"/>
          <w:color w:val="7B7B7B" w:themeColor="accent3" w:themeShade="BF"/>
          <w:sz w:val="22"/>
          <w:szCs w:val="22"/>
        </w:rPr>
        <w:t xml:space="preserve">the </w:t>
      </w:r>
      <w:r w:rsidR="00250621" w:rsidRPr="00110C0B">
        <w:rPr>
          <w:rFonts w:ascii="Arial" w:hAnsi="Arial" w:cs="Arial"/>
          <w:color w:val="7B7B7B" w:themeColor="accent3" w:themeShade="BF"/>
          <w:sz w:val="22"/>
          <w:szCs w:val="22"/>
        </w:rPr>
        <w:t xml:space="preserve">main </w:t>
      </w:r>
      <w:r w:rsidR="00F82184">
        <w:rPr>
          <w:rFonts w:ascii="Arial" w:hAnsi="Arial" w:cs="Arial"/>
          <w:color w:val="7B7B7B" w:themeColor="accent3" w:themeShade="BF"/>
          <w:sz w:val="22"/>
          <w:szCs w:val="22"/>
        </w:rPr>
        <w:t xml:space="preserve">insolvency </w:t>
      </w:r>
      <w:r w:rsidR="00250621" w:rsidRPr="00110C0B">
        <w:rPr>
          <w:rFonts w:ascii="Arial" w:hAnsi="Arial" w:cs="Arial"/>
          <w:color w:val="7B7B7B" w:themeColor="accent3" w:themeShade="BF"/>
          <w:sz w:val="22"/>
          <w:szCs w:val="22"/>
        </w:rPr>
        <w:t>proceedings</w:t>
      </w:r>
      <w:r w:rsidR="009F6469">
        <w:rPr>
          <w:rFonts w:ascii="Arial" w:hAnsi="Arial" w:cs="Arial"/>
          <w:color w:val="7B7B7B" w:themeColor="accent3" w:themeShade="BF"/>
          <w:sz w:val="22"/>
          <w:szCs w:val="22"/>
        </w:rPr>
        <w:t xml:space="preserve"> </w:t>
      </w:r>
      <w:r w:rsidR="00250621" w:rsidRPr="00110C0B">
        <w:rPr>
          <w:rFonts w:ascii="Arial" w:hAnsi="Arial" w:cs="Arial"/>
          <w:color w:val="7B7B7B" w:themeColor="accent3" w:themeShade="BF"/>
          <w:sz w:val="22"/>
          <w:szCs w:val="22"/>
        </w:rPr>
        <w:t xml:space="preserve">- the opening of main </w:t>
      </w:r>
      <w:r w:rsidR="00F82184">
        <w:rPr>
          <w:rFonts w:ascii="Arial" w:hAnsi="Arial" w:cs="Arial"/>
          <w:color w:val="7B7B7B" w:themeColor="accent3" w:themeShade="BF"/>
          <w:sz w:val="22"/>
          <w:szCs w:val="22"/>
        </w:rPr>
        <w:t xml:space="preserve">insolvency </w:t>
      </w:r>
      <w:r w:rsidR="00250621" w:rsidRPr="00110C0B">
        <w:rPr>
          <w:rFonts w:ascii="Arial" w:hAnsi="Arial" w:cs="Arial"/>
          <w:color w:val="7B7B7B" w:themeColor="accent3" w:themeShade="BF"/>
          <w:sz w:val="22"/>
          <w:szCs w:val="22"/>
        </w:rPr>
        <w:t xml:space="preserve">proceedings is inextricably linked to the COMI of the debtor and there can only be one COMI per </w:t>
      </w:r>
      <w:r w:rsidR="009F6469">
        <w:rPr>
          <w:rFonts w:ascii="Arial" w:hAnsi="Arial" w:cs="Arial"/>
          <w:color w:val="7B7B7B" w:themeColor="accent3" w:themeShade="BF"/>
          <w:sz w:val="22"/>
          <w:szCs w:val="22"/>
        </w:rPr>
        <w:t xml:space="preserve">an </w:t>
      </w:r>
      <w:r w:rsidR="00250621" w:rsidRPr="00110C0B">
        <w:rPr>
          <w:rFonts w:ascii="Arial" w:hAnsi="Arial" w:cs="Arial"/>
          <w:color w:val="7B7B7B" w:themeColor="accent3" w:themeShade="BF"/>
          <w:sz w:val="22"/>
          <w:szCs w:val="22"/>
        </w:rPr>
        <w:t>insolvency (and therefore only one set of main</w:t>
      </w:r>
      <w:r w:rsidR="00F82184">
        <w:rPr>
          <w:rFonts w:ascii="Arial" w:hAnsi="Arial" w:cs="Arial"/>
          <w:color w:val="7B7B7B" w:themeColor="accent3" w:themeShade="BF"/>
          <w:sz w:val="22"/>
          <w:szCs w:val="22"/>
        </w:rPr>
        <w:t xml:space="preserve"> </w:t>
      </w:r>
      <w:r w:rsidR="00F82184">
        <w:rPr>
          <w:rFonts w:ascii="Arial" w:hAnsi="Arial" w:cs="Arial"/>
          <w:color w:val="7B7B7B" w:themeColor="accent3" w:themeShade="BF"/>
          <w:sz w:val="22"/>
          <w:szCs w:val="22"/>
        </w:rPr>
        <w:lastRenderedPageBreak/>
        <w:t>insolvency</w:t>
      </w:r>
      <w:r w:rsidR="00250621" w:rsidRPr="00110C0B">
        <w:rPr>
          <w:rFonts w:ascii="Arial" w:hAnsi="Arial" w:cs="Arial"/>
          <w:color w:val="7B7B7B" w:themeColor="accent3" w:themeShade="BF"/>
          <w:sz w:val="22"/>
          <w:szCs w:val="22"/>
        </w:rPr>
        <w:t xml:space="preserve"> proceedings)</w:t>
      </w:r>
      <w:r w:rsidR="001E3BFE" w:rsidRPr="00110C0B">
        <w:rPr>
          <w:rFonts w:ascii="Arial" w:hAnsi="Arial" w:cs="Arial"/>
          <w:color w:val="7B7B7B" w:themeColor="accent3" w:themeShade="BF"/>
          <w:sz w:val="22"/>
          <w:szCs w:val="22"/>
        </w:rPr>
        <w:t>.</w:t>
      </w:r>
      <w:r w:rsidR="001E3BFE" w:rsidRPr="00110C0B">
        <w:rPr>
          <w:rStyle w:val="FootnoteReference"/>
          <w:rFonts w:ascii="Arial" w:hAnsi="Arial" w:cs="Arial"/>
          <w:color w:val="7B7B7B" w:themeColor="accent3" w:themeShade="BF"/>
          <w:sz w:val="22"/>
          <w:szCs w:val="22"/>
        </w:rPr>
        <w:footnoteReference w:id="43"/>
      </w:r>
      <w:r w:rsidR="00F82184">
        <w:rPr>
          <w:rFonts w:ascii="Arial" w:hAnsi="Arial" w:cs="Arial"/>
          <w:color w:val="7B7B7B" w:themeColor="accent3" w:themeShade="BF"/>
          <w:sz w:val="22"/>
          <w:szCs w:val="22"/>
        </w:rPr>
        <w:t xml:space="preserve"> The</w:t>
      </w:r>
      <w:r w:rsidR="00F82184" w:rsidRPr="00F82184">
        <w:rPr>
          <w:rFonts w:ascii="Arial" w:hAnsi="Arial" w:cs="Arial"/>
          <w:color w:val="7B7B7B" w:themeColor="accent3" w:themeShade="BF"/>
          <w:sz w:val="22"/>
          <w:szCs w:val="22"/>
        </w:rPr>
        <w:t xml:space="preserve"> EIR Recast has </w:t>
      </w:r>
      <w:proofErr w:type="gramStart"/>
      <w:r w:rsidR="00F82184">
        <w:rPr>
          <w:rFonts w:ascii="Arial" w:hAnsi="Arial" w:cs="Arial"/>
          <w:color w:val="7B7B7B" w:themeColor="accent3" w:themeShade="BF"/>
          <w:sz w:val="22"/>
          <w:szCs w:val="22"/>
        </w:rPr>
        <w:t>a number of</w:t>
      </w:r>
      <w:proofErr w:type="gramEnd"/>
      <w:r w:rsidR="00F82184">
        <w:rPr>
          <w:rFonts w:ascii="Arial" w:hAnsi="Arial" w:cs="Arial"/>
          <w:color w:val="7B7B7B" w:themeColor="accent3" w:themeShade="BF"/>
          <w:sz w:val="22"/>
          <w:szCs w:val="22"/>
        </w:rPr>
        <w:t xml:space="preserve"> provisions which can</w:t>
      </w:r>
      <w:r w:rsidR="00F82184" w:rsidRPr="00F82184">
        <w:rPr>
          <w:rFonts w:ascii="Arial" w:hAnsi="Arial" w:cs="Arial"/>
          <w:color w:val="7B7B7B" w:themeColor="accent3" w:themeShade="BF"/>
          <w:sz w:val="22"/>
          <w:szCs w:val="22"/>
        </w:rPr>
        <w:t xml:space="preserve"> avoid or otherwise control the opening, conduct and closure of secondary proceedings</w:t>
      </w:r>
      <w:r w:rsidR="00F82184">
        <w:rPr>
          <w:rFonts w:ascii="Arial" w:hAnsi="Arial" w:cs="Arial"/>
          <w:color w:val="7B7B7B" w:themeColor="accent3" w:themeShade="BF"/>
          <w:sz w:val="22"/>
          <w:szCs w:val="22"/>
        </w:rPr>
        <w:t xml:space="preserve">. These include a stay of the opening of </w:t>
      </w:r>
      <w:r w:rsidR="00F82184" w:rsidRPr="00F82184">
        <w:rPr>
          <w:rFonts w:ascii="Arial" w:hAnsi="Arial" w:cs="Arial"/>
          <w:color w:val="7B7B7B" w:themeColor="accent3" w:themeShade="BF"/>
          <w:sz w:val="22"/>
          <w:szCs w:val="22"/>
        </w:rPr>
        <w:t>secondary proceedings</w:t>
      </w:r>
      <w:r w:rsidR="00F82184">
        <w:rPr>
          <w:rFonts w:ascii="Arial" w:hAnsi="Arial" w:cs="Arial"/>
          <w:color w:val="7B7B7B" w:themeColor="accent3" w:themeShade="BF"/>
          <w:sz w:val="22"/>
          <w:szCs w:val="22"/>
        </w:rPr>
        <w:t xml:space="preserve">, as per </w:t>
      </w:r>
      <w:r w:rsidR="00F82184" w:rsidRPr="00F82184">
        <w:rPr>
          <w:rFonts w:ascii="Arial" w:hAnsi="Arial" w:cs="Arial"/>
          <w:color w:val="7B7B7B" w:themeColor="accent3" w:themeShade="BF"/>
          <w:sz w:val="22"/>
          <w:szCs w:val="22"/>
        </w:rPr>
        <w:t>Recital 45 and Article 38(3)</w:t>
      </w:r>
      <w:r w:rsidR="00F82184">
        <w:rPr>
          <w:rFonts w:ascii="Arial" w:hAnsi="Arial" w:cs="Arial"/>
          <w:color w:val="7B7B7B" w:themeColor="accent3" w:themeShade="BF"/>
          <w:sz w:val="22"/>
          <w:szCs w:val="22"/>
        </w:rPr>
        <w:t xml:space="preserve"> of the EIR Recast.</w:t>
      </w:r>
    </w:p>
    <w:p w14:paraId="2932407B" w14:textId="77777777" w:rsidR="008001BC" w:rsidRPr="00110C0B" w:rsidRDefault="008001BC" w:rsidP="00DA3210">
      <w:pPr>
        <w:jc w:val="both"/>
        <w:rPr>
          <w:rFonts w:ascii="Arial" w:hAnsi="Arial" w:cs="Arial"/>
          <w:color w:val="7B7B7B" w:themeColor="accent3" w:themeShade="BF"/>
          <w:sz w:val="22"/>
          <w:szCs w:val="22"/>
        </w:rPr>
      </w:pPr>
    </w:p>
    <w:p w14:paraId="4B3672A6" w14:textId="10D1AC4C" w:rsidR="0038750C" w:rsidRPr="00110C0B" w:rsidRDefault="00265FA1">
      <w:pPr>
        <w:pStyle w:val="ListParagraph"/>
        <w:numPr>
          <w:ilvl w:val="0"/>
          <w:numId w:val="14"/>
        </w:numPr>
        <w:jc w:val="both"/>
        <w:rPr>
          <w:rFonts w:ascii="Arial" w:hAnsi="Arial" w:cs="Arial"/>
          <w:color w:val="7B7B7B" w:themeColor="accent3" w:themeShade="BF"/>
          <w:sz w:val="22"/>
          <w:szCs w:val="22"/>
        </w:rPr>
      </w:pPr>
      <w:r w:rsidRPr="00110C0B">
        <w:rPr>
          <w:rFonts w:ascii="Arial" w:hAnsi="Arial" w:cs="Arial"/>
          <w:color w:val="7B7B7B" w:themeColor="accent3" w:themeShade="BF"/>
          <w:sz w:val="22"/>
          <w:szCs w:val="22"/>
        </w:rPr>
        <w:t xml:space="preserve">Publicity of insolvency proceeding and the lodging of claims – the Commission’s Proposal also acknowledged there were flaws in the publicity of insolvency proceedings and the lodging of claims. Under </w:t>
      </w:r>
      <w:r w:rsidR="00F82184">
        <w:rPr>
          <w:rFonts w:ascii="Arial" w:hAnsi="Arial" w:cs="Arial"/>
          <w:color w:val="7B7B7B" w:themeColor="accent3" w:themeShade="BF"/>
          <w:sz w:val="22"/>
          <w:szCs w:val="22"/>
        </w:rPr>
        <w:t xml:space="preserve">the </w:t>
      </w:r>
      <w:r w:rsidRPr="00110C0B">
        <w:rPr>
          <w:rFonts w:ascii="Arial" w:hAnsi="Arial" w:cs="Arial"/>
          <w:color w:val="7B7B7B" w:themeColor="accent3" w:themeShade="BF"/>
          <w:sz w:val="22"/>
          <w:szCs w:val="22"/>
        </w:rPr>
        <w:t xml:space="preserve">EIR 2000, there were no mandatory requirements for the publication or registration of the decisions in the </w:t>
      </w:r>
      <w:r w:rsidR="00F82184">
        <w:rPr>
          <w:rFonts w:ascii="Arial" w:hAnsi="Arial" w:cs="Arial"/>
          <w:color w:val="7B7B7B" w:themeColor="accent3" w:themeShade="BF"/>
          <w:sz w:val="22"/>
          <w:szCs w:val="22"/>
        </w:rPr>
        <w:t xml:space="preserve">EU </w:t>
      </w:r>
      <w:r w:rsidRPr="00110C0B">
        <w:rPr>
          <w:rFonts w:ascii="Arial" w:hAnsi="Arial" w:cs="Arial"/>
          <w:color w:val="7B7B7B" w:themeColor="accent3" w:themeShade="BF"/>
          <w:sz w:val="22"/>
          <w:szCs w:val="22"/>
        </w:rPr>
        <w:t xml:space="preserve">Member State where proceedings had been opened, nor in the </w:t>
      </w:r>
      <w:r w:rsidR="00EE5405">
        <w:rPr>
          <w:rFonts w:ascii="Arial" w:hAnsi="Arial" w:cs="Arial"/>
          <w:color w:val="7B7B7B" w:themeColor="accent3" w:themeShade="BF"/>
          <w:sz w:val="22"/>
          <w:szCs w:val="22"/>
        </w:rPr>
        <w:t xml:space="preserve">EU </w:t>
      </w:r>
      <w:r w:rsidRPr="00110C0B">
        <w:rPr>
          <w:rFonts w:ascii="Arial" w:hAnsi="Arial" w:cs="Arial"/>
          <w:color w:val="7B7B7B" w:themeColor="accent3" w:themeShade="BF"/>
          <w:sz w:val="22"/>
          <w:szCs w:val="22"/>
        </w:rPr>
        <w:t xml:space="preserve">Member State(s) where the debtor had an establishment. </w:t>
      </w:r>
      <w:r w:rsidR="00631B6D" w:rsidRPr="00110C0B">
        <w:rPr>
          <w:rFonts w:ascii="Arial" w:hAnsi="Arial" w:cs="Arial"/>
          <w:color w:val="7B7B7B" w:themeColor="accent3" w:themeShade="BF"/>
          <w:sz w:val="22"/>
          <w:szCs w:val="22"/>
        </w:rPr>
        <w:t>T</w:t>
      </w:r>
      <w:r w:rsidRPr="00110C0B">
        <w:rPr>
          <w:rFonts w:ascii="Arial" w:hAnsi="Arial" w:cs="Arial"/>
          <w:color w:val="7B7B7B" w:themeColor="accent3" w:themeShade="BF"/>
          <w:sz w:val="22"/>
          <w:szCs w:val="22"/>
        </w:rPr>
        <w:t>here w</w:t>
      </w:r>
      <w:r w:rsidR="00631B6D" w:rsidRPr="00110C0B">
        <w:rPr>
          <w:rFonts w:ascii="Arial" w:hAnsi="Arial" w:cs="Arial"/>
          <w:color w:val="7B7B7B" w:themeColor="accent3" w:themeShade="BF"/>
          <w:sz w:val="22"/>
          <w:szCs w:val="22"/>
        </w:rPr>
        <w:t>as also</w:t>
      </w:r>
      <w:r w:rsidRPr="00110C0B">
        <w:rPr>
          <w:rFonts w:ascii="Arial" w:hAnsi="Arial" w:cs="Arial"/>
          <w:color w:val="7B7B7B" w:themeColor="accent3" w:themeShade="BF"/>
          <w:sz w:val="22"/>
          <w:szCs w:val="22"/>
        </w:rPr>
        <w:t xml:space="preserve"> no European Insolvency Register</w:t>
      </w:r>
      <w:r w:rsidR="00631B6D" w:rsidRPr="00110C0B">
        <w:rPr>
          <w:rFonts w:ascii="Arial" w:hAnsi="Arial" w:cs="Arial"/>
          <w:color w:val="7B7B7B" w:themeColor="accent3" w:themeShade="BF"/>
          <w:sz w:val="22"/>
          <w:szCs w:val="22"/>
        </w:rPr>
        <w:t xml:space="preserve"> under the EIR 2000</w:t>
      </w:r>
      <w:r w:rsidRPr="00110C0B">
        <w:rPr>
          <w:rFonts w:ascii="Arial" w:hAnsi="Arial" w:cs="Arial"/>
          <w:color w:val="7B7B7B" w:themeColor="accent3" w:themeShade="BF"/>
          <w:sz w:val="22"/>
          <w:szCs w:val="22"/>
        </w:rPr>
        <w:t xml:space="preserve"> which would enable searches of national registers.</w:t>
      </w:r>
      <w:r w:rsidRPr="00110C0B">
        <w:rPr>
          <w:rStyle w:val="FootnoteReference"/>
          <w:rFonts w:ascii="Arial" w:hAnsi="Arial" w:cs="Arial"/>
          <w:color w:val="7B7B7B" w:themeColor="accent3" w:themeShade="BF"/>
          <w:sz w:val="22"/>
          <w:szCs w:val="22"/>
        </w:rPr>
        <w:footnoteReference w:id="44"/>
      </w:r>
      <w:r w:rsidR="00631B6D" w:rsidRPr="00110C0B">
        <w:rPr>
          <w:rFonts w:ascii="Arial" w:hAnsi="Arial" w:cs="Arial"/>
          <w:color w:val="7B7B7B" w:themeColor="accent3" w:themeShade="BF"/>
          <w:sz w:val="22"/>
          <w:szCs w:val="22"/>
        </w:rPr>
        <w:t xml:space="preserve"> The Commission’s Proposal stated </w:t>
      </w:r>
      <w:r w:rsidR="00EE5405">
        <w:rPr>
          <w:rFonts w:ascii="Arial" w:hAnsi="Arial" w:cs="Arial"/>
          <w:color w:val="7B7B7B" w:themeColor="accent3" w:themeShade="BF"/>
          <w:sz w:val="22"/>
          <w:szCs w:val="22"/>
        </w:rPr>
        <w:t>(</w:t>
      </w:r>
      <w:r w:rsidR="00631B6D" w:rsidRPr="00110C0B">
        <w:rPr>
          <w:rFonts w:ascii="Arial" w:hAnsi="Arial" w:cs="Arial"/>
          <w:color w:val="7B7B7B" w:themeColor="accent3" w:themeShade="BF"/>
          <w:sz w:val="22"/>
          <w:szCs w:val="22"/>
        </w:rPr>
        <w:t>rightly</w:t>
      </w:r>
      <w:r w:rsidR="00EE5405">
        <w:rPr>
          <w:rFonts w:ascii="Arial" w:hAnsi="Arial" w:cs="Arial"/>
          <w:color w:val="7B7B7B" w:themeColor="accent3" w:themeShade="BF"/>
          <w:sz w:val="22"/>
          <w:szCs w:val="22"/>
        </w:rPr>
        <w:t>)</w:t>
      </w:r>
      <w:r w:rsidR="00631B6D" w:rsidRPr="00110C0B">
        <w:rPr>
          <w:rFonts w:ascii="Arial" w:hAnsi="Arial" w:cs="Arial"/>
          <w:color w:val="7B7B7B" w:themeColor="accent3" w:themeShade="BF"/>
          <w:sz w:val="22"/>
          <w:szCs w:val="22"/>
        </w:rPr>
        <w:t xml:space="preserve"> that </w:t>
      </w:r>
      <w:r w:rsidR="00133720" w:rsidRPr="00110C0B">
        <w:rPr>
          <w:rFonts w:ascii="Arial" w:hAnsi="Arial" w:cs="Arial"/>
          <w:color w:val="7B7B7B" w:themeColor="accent3" w:themeShade="BF"/>
          <w:sz w:val="22"/>
          <w:szCs w:val="22"/>
        </w:rPr>
        <w:t>a</w:t>
      </w:r>
      <w:r w:rsidR="00631B6D" w:rsidRPr="00110C0B">
        <w:rPr>
          <w:rFonts w:ascii="Arial" w:hAnsi="Arial" w:cs="Arial"/>
          <w:color w:val="7B7B7B" w:themeColor="accent3" w:themeShade="BF"/>
          <w:sz w:val="22"/>
          <w:szCs w:val="22"/>
        </w:rPr>
        <w:t xml:space="preserve"> </w:t>
      </w:r>
      <w:r w:rsidR="00EE5405">
        <w:rPr>
          <w:rFonts w:ascii="Arial" w:hAnsi="Arial" w:cs="Arial"/>
          <w:color w:val="7B7B7B" w:themeColor="accent3" w:themeShade="BF"/>
          <w:sz w:val="22"/>
          <w:szCs w:val="22"/>
        </w:rPr>
        <w:t>well-</w:t>
      </w:r>
      <w:r w:rsidR="00631B6D" w:rsidRPr="00110C0B">
        <w:rPr>
          <w:rFonts w:ascii="Arial" w:hAnsi="Arial" w:cs="Arial"/>
          <w:color w:val="7B7B7B" w:themeColor="accent3" w:themeShade="BF"/>
          <w:sz w:val="22"/>
          <w:szCs w:val="22"/>
        </w:rPr>
        <w:t xml:space="preserve">functioning cross-border insolvency </w:t>
      </w:r>
      <w:r w:rsidR="00133720" w:rsidRPr="00110C0B">
        <w:rPr>
          <w:rFonts w:ascii="Arial" w:hAnsi="Arial" w:cs="Arial"/>
          <w:color w:val="7B7B7B" w:themeColor="accent3" w:themeShade="BF"/>
          <w:sz w:val="22"/>
          <w:szCs w:val="22"/>
        </w:rPr>
        <w:t>regime relies on the publicity of the relevant decisions relating to an insolvency procedure</w:t>
      </w:r>
      <w:r w:rsidR="00866595">
        <w:rPr>
          <w:rFonts w:ascii="Arial" w:hAnsi="Arial" w:cs="Arial"/>
          <w:color w:val="7B7B7B" w:themeColor="accent3" w:themeShade="BF"/>
          <w:sz w:val="22"/>
          <w:szCs w:val="22"/>
        </w:rPr>
        <w:t>. The rationale is that</w:t>
      </w:r>
      <w:r w:rsidR="00133720" w:rsidRPr="00110C0B">
        <w:rPr>
          <w:rFonts w:ascii="Arial" w:hAnsi="Arial" w:cs="Arial"/>
          <w:color w:val="7B7B7B" w:themeColor="accent3" w:themeShade="BF"/>
          <w:sz w:val="22"/>
          <w:szCs w:val="22"/>
        </w:rPr>
        <w:t xml:space="preserve"> judges need to be aware of proceedings having been opened in another </w:t>
      </w:r>
      <w:r w:rsidR="00866595">
        <w:rPr>
          <w:rFonts w:ascii="Arial" w:hAnsi="Arial" w:cs="Arial"/>
          <w:color w:val="7B7B7B" w:themeColor="accent3" w:themeShade="BF"/>
          <w:sz w:val="22"/>
          <w:szCs w:val="22"/>
        </w:rPr>
        <w:t xml:space="preserve">EU </w:t>
      </w:r>
      <w:r w:rsidR="00133720" w:rsidRPr="00110C0B">
        <w:rPr>
          <w:rFonts w:ascii="Arial" w:hAnsi="Arial" w:cs="Arial"/>
          <w:color w:val="7B7B7B" w:themeColor="accent3" w:themeShade="BF"/>
          <w:sz w:val="22"/>
          <w:szCs w:val="22"/>
        </w:rPr>
        <w:t>Member State and creditor</w:t>
      </w:r>
      <w:r w:rsidR="00866595">
        <w:rPr>
          <w:rFonts w:ascii="Arial" w:hAnsi="Arial" w:cs="Arial"/>
          <w:color w:val="7B7B7B" w:themeColor="accent3" w:themeShade="BF"/>
          <w:sz w:val="22"/>
          <w:szCs w:val="22"/>
        </w:rPr>
        <w:t>(s)</w:t>
      </w:r>
      <w:r w:rsidR="00133720" w:rsidRPr="00110C0B">
        <w:rPr>
          <w:rFonts w:ascii="Arial" w:hAnsi="Arial" w:cs="Arial"/>
          <w:color w:val="7B7B7B" w:themeColor="accent3" w:themeShade="BF"/>
          <w:sz w:val="22"/>
          <w:szCs w:val="22"/>
        </w:rPr>
        <w:t xml:space="preserve"> (or potential creditor</w:t>
      </w:r>
      <w:r w:rsidR="00866595">
        <w:rPr>
          <w:rFonts w:ascii="Arial" w:hAnsi="Arial" w:cs="Arial"/>
          <w:color w:val="7B7B7B" w:themeColor="accent3" w:themeShade="BF"/>
          <w:sz w:val="22"/>
          <w:szCs w:val="22"/>
        </w:rPr>
        <w:t>(</w:t>
      </w:r>
      <w:r w:rsidR="00133720" w:rsidRPr="00110C0B">
        <w:rPr>
          <w:rFonts w:ascii="Arial" w:hAnsi="Arial" w:cs="Arial"/>
          <w:color w:val="7B7B7B" w:themeColor="accent3" w:themeShade="BF"/>
          <w:sz w:val="22"/>
          <w:szCs w:val="22"/>
        </w:rPr>
        <w:t>s</w:t>
      </w:r>
      <w:r w:rsidR="00866595">
        <w:rPr>
          <w:rFonts w:ascii="Arial" w:hAnsi="Arial" w:cs="Arial"/>
          <w:color w:val="7B7B7B" w:themeColor="accent3" w:themeShade="BF"/>
          <w:sz w:val="22"/>
          <w:szCs w:val="22"/>
        </w:rPr>
        <w:t>)</w:t>
      </w:r>
      <w:r w:rsidR="00133720" w:rsidRPr="00110C0B">
        <w:rPr>
          <w:rFonts w:ascii="Arial" w:hAnsi="Arial" w:cs="Arial"/>
          <w:color w:val="7B7B7B" w:themeColor="accent3" w:themeShade="BF"/>
          <w:sz w:val="22"/>
          <w:szCs w:val="22"/>
        </w:rPr>
        <w:t>) needing to have knowledge that proceedings have commenced.</w:t>
      </w:r>
      <w:r w:rsidR="00133720" w:rsidRPr="00110C0B">
        <w:rPr>
          <w:rStyle w:val="FootnoteReference"/>
          <w:rFonts w:ascii="Arial" w:hAnsi="Arial" w:cs="Arial"/>
          <w:color w:val="7B7B7B" w:themeColor="accent3" w:themeShade="BF"/>
          <w:sz w:val="22"/>
          <w:szCs w:val="22"/>
        </w:rPr>
        <w:footnoteReference w:id="45"/>
      </w:r>
    </w:p>
    <w:p w14:paraId="6135EF28" w14:textId="77777777" w:rsidR="00C320E5" w:rsidRPr="00110C0B" w:rsidRDefault="00C320E5" w:rsidP="00C320E5">
      <w:pPr>
        <w:jc w:val="both"/>
        <w:rPr>
          <w:rFonts w:ascii="Arial" w:hAnsi="Arial" w:cs="Arial"/>
          <w:color w:val="7B7B7B" w:themeColor="accent3" w:themeShade="BF"/>
          <w:sz w:val="22"/>
          <w:szCs w:val="22"/>
        </w:rPr>
      </w:pPr>
    </w:p>
    <w:p w14:paraId="22101433" w14:textId="2B634100" w:rsidR="006D37B7" w:rsidRPr="00110C0B" w:rsidRDefault="00C320E5" w:rsidP="006D37B7">
      <w:pPr>
        <w:pStyle w:val="ListParagraph"/>
        <w:jc w:val="both"/>
        <w:rPr>
          <w:rFonts w:ascii="Arial" w:hAnsi="Arial" w:cs="Arial"/>
          <w:color w:val="7B7B7B" w:themeColor="accent3" w:themeShade="BF"/>
          <w:sz w:val="22"/>
          <w:szCs w:val="22"/>
        </w:rPr>
      </w:pPr>
      <w:r w:rsidRPr="00110C0B">
        <w:rPr>
          <w:rFonts w:ascii="Arial" w:hAnsi="Arial" w:cs="Arial"/>
          <w:color w:val="7B7B7B" w:themeColor="accent3" w:themeShade="BF"/>
          <w:sz w:val="22"/>
          <w:szCs w:val="22"/>
        </w:rPr>
        <w:t>The EIR 2000 only stated that a liquidator “</w:t>
      </w:r>
      <w:r w:rsidRPr="00110C0B">
        <w:rPr>
          <w:rFonts w:ascii="Arial" w:hAnsi="Arial" w:cs="Arial"/>
          <w:i/>
          <w:iCs/>
          <w:color w:val="7B7B7B" w:themeColor="accent3" w:themeShade="BF"/>
          <w:sz w:val="22"/>
          <w:szCs w:val="22"/>
        </w:rPr>
        <w:t>may request</w:t>
      </w:r>
      <w:r w:rsidRPr="00110C0B">
        <w:rPr>
          <w:rFonts w:ascii="Arial" w:hAnsi="Arial" w:cs="Arial"/>
          <w:color w:val="7B7B7B" w:themeColor="accent3" w:themeShade="BF"/>
          <w:sz w:val="22"/>
          <w:szCs w:val="22"/>
        </w:rPr>
        <w:t xml:space="preserve">” notice of his appointment be published in any </w:t>
      </w:r>
      <w:r w:rsidR="00866595">
        <w:rPr>
          <w:rFonts w:ascii="Arial" w:hAnsi="Arial" w:cs="Arial"/>
          <w:color w:val="7B7B7B" w:themeColor="accent3" w:themeShade="BF"/>
          <w:sz w:val="22"/>
          <w:szCs w:val="22"/>
        </w:rPr>
        <w:t xml:space="preserve">EU </w:t>
      </w:r>
      <w:r w:rsidRPr="00110C0B">
        <w:rPr>
          <w:rFonts w:ascii="Arial" w:hAnsi="Arial" w:cs="Arial"/>
          <w:color w:val="7B7B7B" w:themeColor="accent3" w:themeShade="BF"/>
          <w:sz w:val="22"/>
          <w:szCs w:val="22"/>
        </w:rPr>
        <w:t>Member State</w:t>
      </w:r>
      <w:r w:rsidRPr="00110C0B">
        <w:rPr>
          <w:rStyle w:val="FootnoteReference"/>
          <w:rFonts w:ascii="Arial" w:hAnsi="Arial" w:cs="Arial"/>
          <w:color w:val="7B7B7B" w:themeColor="accent3" w:themeShade="BF"/>
          <w:sz w:val="22"/>
          <w:szCs w:val="22"/>
        </w:rPr>
        <w:footnoteReference w:id="46"/>
      </w:r>
      <w:r w:rsidRPr="00110C0B">
        <w:rPr>
          <w:rFonts w:ascii="Arial" w:hAnsi="Arial" w:cs="Arial"/>
          <w:color w:val="7B7B7B" w:themeColor="accent3" w:themeShade="BF"/>
          <w:sz w:val="22"/>
          <w:szCs w:val="22"/>
        </w:rPr>
        <w:t xml:space="preserve"> and the registration of the opening of insolvency proceedings</w:t>
      </w:r>
      <w:r w:rsidRPr="00110C0B">
        <w:rPr>
          <w:rStyle w:val="FootnoteReference"/>
          <w:rFonts w:ascii="Arial" w:hAnsi="Arial" w:cs="Arial"/>
          <w:color w:val="7B7B7B" w:themeColor="accent3" w:themeShade="BF"/>
          <w:sz w:val="22"/>
          <w:szCs w:val="22"/>
        </w:rPr>
        <w:footnoteReference w:id="47"/>
      </w:r>
      <w:r w:rsidRPr="00110C0B">
        <w:rPr>
          <w:rFonts w:ascii="Arial" w:hAnsi="Arial" w:cs="Arial"/>
          <w:color w:val="7B7B7B" w:themeColor="accent3" w:themeShade="BF"/>
          <w:sz w:val="22"/>
          <w:szCs w:val="22"/>
        </w:rPr>
        <w:t>. This discretion of the liquidator has, as McCormack states, meant that it “</w:t>
      </w:r>
      <w:r w:rsidRPr="00110C0B">
        <w:rPr>
          <w:rFonts w:ascii="Arial" w:hAnsi="Arial" w:cs="Arial"/>
          <w:i/>
          <w:iCs/>
          <w:color w:val="7B7B7B" w:themeColor="accent3" w:themeShade="BF"/>
          <w:sz w:val="22"/>
          <w:szCs w:val="22"/>
        </w:rPr>
        <w:t>is not therefore surprising that there have been</w:t>
      </w:r>
      <w:r w:rsidR="00866595">
        <w:rPr>
          <w:rFonts w:ascii="Arial" w:hAnsi="Arial" w:cs="Arial"/>
          <w:i/>
          <w:iCs/>
          <w:color w:val="7B7B7B" w:themeColor="accent3" w:themeShade="BF"/>
          <w:sz w:val="22"/>
          <w:szCs w:val="22"/>
        </w:rPr>
        <w:t>…</w:t>
      </w:r>
      <w:r w:rsidRPr="00110C0B">
        <w:rPr>
          <w:rFonts w:ascii="Arial" w:hAnsi="Arial" w:cs="Arial"/>
          <w:i/>
          <w:iCs/>
          <w:color w:val="7B7B7B" w:themeColor="accent3" w:themeShade="BF"/>
          <w:sz w:val="22"/>
          <w:szCs w:val="22"/>
        </w:rPr>
        <w:t>cases where main insolvency proceedings have been opened in an EU State even though main insolvency proceedings have already been opened in a different State</w:t>
      </w:r>
      <w:r w:rsidRPr="00110C0B">
        <w:rPr>
          <w:rFonts w:ascii="Arial" w:hAnsi="Arial" w:cs="Arial"/>
          <w:color w:val="7B7B7B" w:themeColor="accent3" w:themeShade="BF"/>
          <w:sz w:val="22"/>
          <w:szCs w:val="22"/>
        </w:rPr>
        <w:t>.”</w:t>
      </w:r>
      <w:r w:rsidRPr="00110C0B">
        <w:rPr>
          <w:rStyle w:val="FootnoteReference"/>
          <w:rFonts w:ascii="Arial" w:hAnsi="Arial" w:cs="Arial"/>
          <w:color w:val="7B7B7B" w:themeColor="accent3" w:themeShade="BF"/>
          <w:sz w:val="22"/>
          <w:szCs w:val="22"/>
        </w:rPr>
        <w:footnoteReference w:id="48"/>
      </w:r>
      <w:r w:rsidRPr="00110C0B">
        <w:rPr>
          <w:rFonts w:ascii="Arial" w:hAnsi="Arial" w:cs="Arial"/>
          <w:color w:val="7B7B7B" w:themeColor="accent3" w:themeShade="BF"/>
          <w:sz w:val="22"/>
          <w:szCs w:val="22"/>
        </w:rPr>
        <w:t xml:space="preserve"> </w:t>
      </w:r>
      <w:r w:rsidR="006D37B7" w:rsidRPr="00110C0B">
        <w:rPr>
          <w:rFonts w:ascii="Arial" w:hAnsi="Arial" w:cs="Arial"/>
          <w:color w:val="7B7B7B" w:themeColor="accent3" w:themeShade="BF"/>
          <w:sz w:val="22"/>
          <w:szCs w:val="22"/>
        </w:rPr>
        <w:t xml:space="preserve">An example of this was </w:t>
      </w:r>
      <w:r w:rsidR="006D37B7" w:rsidRPr="00110C0B">
        <w:rPr>
          <w:rFonts w:ascii="Arial" w:hAnsi="Arial" w:cs="Arial"/>
          <w:i/>
          <w:iCs/>
          <w:color w:val="7B7B7B" w:themeColor="accent3" w:themeShade="BF"/>
          <w:sz w:val="22"/>
          <w:szCs w:val="22"/>
        </w:rPr>
        <w:t>Re Eurodis PLC</w:t>
      </w:r>
      <w:r w:rsidR="006D37B7" w:rsidRPr="00110C0B">
        <w:rPr>
          <w:rStyle w:val="FootnoteReference"/>
          <w:rFonts w:ascii="Arial" w:hAnsi="Arial" w:cs="Arial"/>
          <w:i/>
          <w:iCs/>
          <w:color w:val="7B7B7B" w:themeColor="accent3" w:themeShade="BF"/>
          <w:sz w:val="22"/>
          <w:szCs w:val="22"/>
        </w:rPr>
        <w:footnoteReference w:id="49"/>
      </w:r>
      <w:r w:rsidR="006D37B7" w:rsidRPr="00110C0B">
        <w:rPr>
          <w:rFonts w:ascii="Arial" w:hAnsi="Arial" w:cs="Arial"/>
          <w:color w:val="7B7B7B" w:themeColor="accent3" w:themeShade="BF"/>
          <w:sz w:val="22"/>
          <w:szCs w:val="22"/>
        </w:rPr>
        <w:t xml:space="preserve"> (a pre-EIR Recast case). In short, it was held that whilst the winding up order by the Belgian court ought not have been made as the UK (then still </w:t>
      </w:r>
      <w:r w:rsidR="00866595">
        <w:rPr>
          <w:rFonts w:ascii="Arial" w:hAnsi="Arial" w:cs="Arial"/>
          <w:color w:val="7B7B7B" w:themeColor="accent3" w:themeShade="BF"/>
          <w:sz w:val="22"/>
          <w:szCs w:val="22"/>
        </w:rPr>
        <w:t xml:space="preserve">a </w:t>
      </w:r>
      <w:r w:rsidR="006D37B7" w:rsidRPr="00110C0B">
        <w:rPr>
          <w:rFonts w:ascii="Arial" w:hAnsi="Arial" w:cs="Arial"/>
          <w:color w:val="7B7B7B" w:themeColor="accent3" w:themeShade="BF"/>
          <w:sz w:val="22"/>
          <w:szCs w:val="22"/>
        </w:rPr>
        <w:t>Member State of the EU) was where the main proceedings were, the winding up order was still valid unless it was set aside in Belgium. Therefore, under EIR 2000, the courts of the</w:t>
      </w:r>
      <w:r w:rsidR="00866595">
        <w:rPr>
          <w:rFonts w:ascii="Arial" w:hAnsi="Arial" w:cs="Arial"/>
          <w:color w:val="7B7B7B" w:themeColor="accent3" w:themeShade="BF"/>
          <w:sz w:val="22"/>
          <w:szCs w:val="22"/>
        </w:rPr>
        <w:t xml:space="preserve"> EU</w:t>
      </w:r>
      <w:r w:rsidR="006D37B7" w:rsidRPr="00110C0B">
        <w:rPr>
          <w:rFonts w:ascii="Arial" w:hAnsi="Arial" w:cs="Arial"/>
          <w:color w:val="7B7B7B" w:themeColor="accent3" w:themeShade="BF"/>
          <w:sz w:val="22"/>
          <w:szCs w:val="22"/>
        </w:rPr>
        <w:t xml:space="preserve"> Member State in which the first proceedings had been opened were not entitled to disregard any second set of proceedings.</w:t>
      </w:r>
    </w:p>
    <w:p w14:paraId="03DB5663" w14:textId="77777777" w:rsidR="006D37B7" w:rsidRPr="00110C0B" w:rsidRDefault="006D37B7" w:rsidP="00C320E5">
      <w:pPr>
        <w:pStyle w:val="ListParagraph"/>
        <w:jc w:val="both"/>
        <w:rPr>
          <w:rFonts w:ascii="Arial" w:hAnsi="Arial" w:cs="Arial"/>
          <w:color w:val="7B7B7B" w:themeColor="accent3" w:themeShade="BF"/>
          <w:sz w:val="22"/>
          <w:szCs w:val="22"/>
        </w:rPr>
      </w:pPr>
    </w:p>
    <w:p w14:paraId="497B4F44" w14:textId="7ADB0EA8" w:rsidR="00C320E5" w:rsidRPr="00110C0B" w:rsidRDefault="00C320E5" w:rsidP="00C320E5">
      <w:pPr>
        <w:pStyle w:val="ListParagraph"/>
        <w:jc w:val="both"/>
        <w:rPr>
          <w:rFonts w:ascii="Arial" w:hAnsi="Arial" w:cs="Arial"/>
          <w:color w:val="7B7B7B" w:themeColor="accent3" w:themeShade="BF"/>
          <w:sz w:val="22"/>
          <w:szCs w:val="22"/>
        </w:rPr>
      </w:pPr>
      <w:r w:rsidRPr="00110C0B">
        <w:rPr>
          <w:rFonts w:ascii="Arial" w:hAnsi="Arial" w:cs="Arial"/>
          <w:color w:val="7B7B7B" w:themeColor="accent3" w:themeShade="BF"/>
          <w:sz w:val="22"/>
          <w:szCs w:val="22"/>
        </w:rPr>
        <w:t xml:space="preserve">Unlike the EIR 2000, the EIR Recast </w:t>
      </w:r>
      <w:r w:rsidR="006D37B7" w:rsidRPr="00110C0B">
        <w:rPr>
          <w:rFonts w:ascii="Arial" w:hAnsi="Arial" w:cs="Arial"/>
          <w:color w:val="7B7B7B" w:themeColor="accent3" w:themeShade="BF"/>
          <w:sz w:val="22"/>
          <w:szCs w:val="22"/>
        </w:rPr>
        <w:t xml:space="preserve">now </w:t>
      </w:r>
      <w:r w:rsidRPr="00110C0B">
        <w:rPr>
          <w:rFonts w:ascii="Arial" w:hAnsi="Arial" w:cs="Arial"/>
          <w:color w:val="7B7B7B" w:themeColor="accent3" w:themeShade="BF"/>
          <w:sz w:val="22"/>
          <w:szCs w:val="22"/>
        </w:rPr>
        <w:t xml:space="preserve">places an obligation on the insolvency practitioner or debtor in possession to publish the notice on the opening of insolvency proceedings (whether main or secondary) at the place of the debtor’s establishment in accordance with the publication requirements of that </w:t>
      </w:r>
      <w:r w:rsidR="00866595">
        <w:rPr>
          <w:rFonts w:ascii="Arial" w:hAnsi="Arial" w:cs="Arial"/>
          <w:color w:val="7B7B7B" w:themeColor="accent3" w:themeShade="BF"/>
          <w:sz w:val="22"/>
          <w:szCs w:val="22"/>
        </w:rPr>
        <w:t xml:space="preserve">EU </w:t>
      </w:r>
      <w:r w:rsidRPr="00110C0B">
        <w:rPr>
          <w:rFonts w:ascii="Arial" w:hAnsi="Arial" w:cs="Arial"/>
          <w:color w:val="7B7B7B" w:themeColor="accent3" w:themeShade="BF"/>
          <w:sz w:val="22"/>
          <w:szCs w:val="22"/>
        </w:rPr>
        <w:t>Member State.</w:t>
      </w:r>
      <w:r w:rsidRPr="00110C0B">
        <w:rPr>
          <w:rStyle w:val="FootnoteReference"/>
          <w:rFonts w:ascii="Arial" w:hAnsi="Arial" w:cs="Arial"/>
          <w:color w:val="7B7B7B" w:themeColor="accent3" w:themeShade="BF"/>
          <w:sz w:val="22"/>
          <w:szCs w:val="22"/>
        </w:rPr>
        <w:footnoteReference w:id="50"/>
      </w:r>
      <w:r w:rsidRPr="00110C0B">
        <w:rPr>
          <w:rFonts w:ascii="Arial" w:hAnsi="Arial" w:cs="Arial"/>
          <w:color w:val="7B7B7B" w:themeColor="accent3" w:themeShade="BF"/>
          <w:sz w:val="22"/>
          <w:szCs w:val="22"/>
        </w:rPr>
        <w:t xml:space="preserve"> Further, Article 54 of the EIR Recast mandates the </w:t>
      </w:r>
      <w:r w:rsidR="00866595">
        <w:rPr>
          <w:rFonts w:ascii="Arial" w:hAnsi="Arial" w:cs="Arial"/>
          <w:color w:val="7B7B7B" w:themeColor="accent3" w:themeShade="BF"/>
          <w:sz w:val="22"/>
          <w:szCs w:val="22"/>
        </w:rPr>
        <w:t>c</w:t>
      </w:r>
      <w:r w:rsidRPr="00110C0B">
        <w:rPr>
          <w:rFonts w:ascii="Arial" w:hAnsi="Arial" w:cs="Arial"/>
          <w:color w:val="7B7B7B" w:themeColor="accent3" w:themeShade="BF"/>
          <w:sz w:val="22"/>
          <w:szCs w:val="22"/>
        </w:rPr>
        <w:t xml:space="preserve">ourt which opened the insolvency proceedings or the insolvency practitioner appointed by the </w:t>
      </w:r>
      <w:r w:rsidR="00866595">
        <w:rPr>
          <w:rFonts w:ascii="Arial" w:hAnsi="Arial" w:cs="Arial"/>
          <w:color w:val="7B7B7B" w:themeColor="accent3" w:themeShade="BF"/>
          <w:sz w:val="22"/>
          <w:szCs w:val="22"/>
        </w:rPr>
        <w:t>c</w:t>
      </w:r>
      <w:r w:rsidRPr="00110C0B">
        <w:rPr>
          <w:rFonts w:ascii="Arial" w:hAnsi="Arial" w:cs="Arial"/>
          <w:color w:val="7B7B7B" w:themeColor="accent3" w:themeShade="BF"/>
          <w:sz w:val="22"/>
          <w:szCs w:val="22"/>
        </w:rPr>
        <w:t>ourt to inform immediately the known foreign creditors as soon as the insolvency proceedings are commenced</w:t>
      </w:r>
      <w:r w:rsidRPr="00110C0B">
        <w:rPr>
          <w:rStyle w:val="FootnoteReference"/>
          <w:rFonts w:ascii="Arial" w:hAnsi="Arial" w:cs="Arial"/>
          <w:color w:val="7B7B7B" w:themeColor="accent3" w:themeShade="BF"/>
          <w:sz w:val="22"/>
          <w:szCs w:val="22"/>
        </w:rPr>
        <w:footnoteReference w:id="51"/>
      </w:r>
      <w:r w:rsidRPr="00110C0B">
        <w:rPr>
          <w:rFonts w:ascii="Arial" w:hAnsi="Arial" w:cs="Arial"/>
          <w:color w:val="7B7B7B" w:themeColor="accent3" w:themeShade="BF"/>
          <w:sz w:val="22"/>
          <w:szCs w:val="22"/>
        </w:rPr>
        <w:t>.</w:t>
      </w:r>
    </w:p>
    <w:p w14:paraId="5C8AD592" w14:textId="77777777" w:rsidR="00C320E5" w:rsidRPr="00110C0B" w:rsidRDefault="00C320E5" w:rsidP="00C320E5">
      <w:pPr>
        <w:jc w:val="both"/>
        <w:rPr>
          <w:rFonts w:ascii="Arial" w:hAnsi="Arial" w:cs="Arial"/>
          <w:color w:val="7B7B7B" w:themeColor="accent3" w:themeShade="BF"/>
          <w:sz w:val="22"/>
          <w:szCs w:val="22"/>
        </w:rPr>
      </w:pPr>
    </w:p>
    <w:p w14:paraId="63BF0156" w14:textId="70F9B005" w:rsidR="00C320E5" w:rsidRPr="006474C5" w:rsidRDefault="00C320E5">
      <w:pPr>
        <w:pStyle w:val="ListParagraph"/>
        <w:numPr>
          <w:ilvl w:val="0"/>
          <w:numId w:val="14"/>
        </w:numPr>
        <w:jc w:val="both"/>
        <w:rPr>
          <w:rFonts w:ascii="Arial" w:hAnsi="Arial" w:cs="Arial"/>
          <w:color w:val="7B7B7B" w:themeColor="accent3" w:themeShade="BF"/>
          <w:sz w:val="22"/>
          <w:szCs w:val="22"/>
        </w:rPr>
      </w:pPr>
      <w:r w:rsidRPr="006474C5">
        <w:rPr>
          <w:rFonts w:ascii="Arial" w:hAnsi="Arial" w:cs="Arial"/>
          <w:color w:val="7B7B7B" w:themeColor="accent3" w:themeShade="BF"/>
          <w:sz w:val="22"/>
          <w:szCs w:val="22"/>
        </w:rPr>
        <w:t xml:space="preserve">Multinational enterprise groups – the last main shortcoming identified by the Commission was the absence of rules in relation to the insolvency of multinational enterprise groups (even though </w:t>
      </w:r>
      <w:proofErr w:type="gramStart"/>
      <w:r w:rsidRPr="006474C5">
        <w:rPr>
          <w:rFonts w:ascii="Arial" w:hAnsi="Arial" w:cs="Arial"/>
          <w:color w:val="7B7B7B" w:themeColor="accent3" w:themeShade="BF"/>
          <w:sz w:val="22"/>
          <w:szCs w:val="22"/>
        </w:rPr>
        <w:t>a large number of</w:t>
      </w:r>
      <w:proofErr w:type="gramEnd"/>
      <w:r w:rsidRPr="006474C5">
        <w:rPr>
          <w:rFonts w:ascii="Arial" w:hAnsi="Arial" w:cs="Arial"/>
          <w:color w:val="7B7B7B" w:themeColor="accent3" w:themeShade="BF"/>
          <w:sz w:val="22"/>
          <w:szCs w:val="22"/>
        </w:rPr>
        <w:t xml:space="preserve"> cross-border insolvencies involve such group of companies).</w:t>
      </w:r>
      <w:r w:rsidRPr="006474C5">
        <w:rPr>
          <w:rStyle w:val="FootnoteReference"/>
          <w:rFonts w:ascii="Arial" w:hAnsi="Arial" w:cs="Arial"/>
          <w:color w:val="7B7B7B" w:themeColor="accent3" w:themeShade="BF"/>
          <w:sz w:val="22"/>
          <w:szCs w:val="22"/>
        </w:rPr>
        <w:footnoteReference w:id="52"/>
      </w:r>
      <w:r w:rsidR="00737A49" w:rsidRPr="006474C5">
        <w:rPr>
          <w:rFonts w:ascii="Arial" w:hAnsi="Arial" w:cs="Arial"/>
          <w:color w:val="7B7B7B" w:themeColor="accent3" w:themeShade="BF"/>
          <w:sz w:val="22"/>
          <w:szCs w:val="22"/>
        </w:rPr>
        <w:t xml:space="preserve"> The EIR 2000 </w:t>
      </w:r>
      <w:r w:rsidR="00D56BC6" w:rsidRPr="006474C5">
        <w:rPr>
          <w:rFonts w:ascii="Arial" w:hAnsi="Arial" w:cs="Arial"/>
          <w:color w:val="7B7B7B" w:themeColor="accent3" w:themeShade="BF"/>
          <w:sz w:val="22"/>
          <w:szCs w:val="22"/>
        </w:rPr>
        <w:t>wa</w:t>
      </w:r>
      <w:r w:rsidR="00737A49" w:rsidRPr="006474C5">
        <w:rPr>
          <w:rFonts w:ascii="Arial" w:hAnsi="Arial" w:cs="Arial"/>
          <w:color w:val="7B7B7B" w:themeColor="accent3" w:themeShade="BF"/>
          <w:sz w:val="22"/>
          <w:szCs w:val="22"/>
        </w:rPr>
        <w:t xml:space="preserve">s based on separate proceedings </w:t>
      </w:r>
      <w:r w:rsidR="00737A49" w:rsidRPr="006474C5">
        <w:rPr>
          <w:rFonts w:ascii="Arial" w:hAnsi="Arial" w:cs="Arial"/>
          <w:color w:val="7B7B7B" w:themeColor="accent3" w:themeShade="BF"/>
          <w:sz w:val="22"/>
          <w:szCs w:val="22"/>
        </w:rPr>
        <w:lastRenderedPageBreak/>
        <w:t xml:space="preserve">needing to be opened for each individual member of the group and that each proceeding would be independent of each other. It was noted </w:t>
      </w:r>
      <w:r w:rsidR="00D56BC6" w:rsidRPr="006474C5">
        <w:rPr>
          <w:rFonts w:ascii="Arial" w:hAnsi="Arial" w:cs="Arial"/>
          <w:color w:val="7B7B7B" w:themeColor="accent3" w:themeShade="BF"/>
          <w:sz w:val="22"/>
          <w:szCs w:val="22"/>
        </w:rPr>
        <w:t xml:space="preserve">by the Commission </w:t>
      </w:r>
      <w:r w:rsidR="00737A49" w:rsidRPr="006474C5">
        <w:rPr>
          <w:rFonts w:ascii="Arial" w:hAnsi="Arial" w:cs="Arial"/>
          <w:color w:val="7B7B7B" w:themeColor="accent3" w:themeShade="BF"/>
          <w:sz w:val="22"/>
          <w:szCs w:val="22"/>
        </w:rPr>
        <w:t>that the lack of tailored provisions dealing wit</w:t>
      </w:r>
      <w:r w:rsidR="001A1F9A">
        <w:rPr>
          <w:rFonts w:ascii="Arial" w:hAnsi="Arial" w:cs="Arial"/>
          <w:color w:val="7B7B7B" w:themeColor="accent3" w:themeShade="BF"/>
          <w:sz w:val="22"/>
          <w:szCs w:val="22"/>
        </w:rPr>
        <w:t>h</w:t>
      </w:r>
      <w:r w:rsidR="00737A49" w:rsidRPr="006474C5">
        <w:rPr>
          <w:rFonts w:ascii="Arial" w:hAnsi="Arial" w:cs="Arial"/>
          <w:color w:val="7B7B7B" w:themeColor="accent3" w:themeShade="BF"/>
          <w:sz w:val="22"/>
          <w:szCs w:val="22"/>
        </w:rPr>
        <w:t xml:space="preserve"> group insolvenc</w:t>
      </w:r>
      <w:r w:rsidR="001A1F9A">
        <w:rPr>
          <w:rFonts w:ascii="Arial" w:hAnsi="Arial" w:cs="Arial"/>
          <w:color w:val="7B7B7B" w:themeColor="accent3" w:themeShade="BF"/>
          <w:sz w:val="22"/>
          <w:szCs w:val="22"/>
        </w:rPr>
        <w:t>ies</w:t>
      </w:r>
      <w:r w:rsidR="00737A49" w:rsidRPr="006474C5">
        <w:rPr>
          <w:rFonts w:ascii="Arial" w:hAnsi="Arial" w:cs="Arial"/>
          <w:color w:val="7B7B7B" w:themeColor="accent3" w:themeShade="BF"/>
          <w:sz w:val="22"/>
          <w:szCs w:val="22"/>
        </w:rPr>
        <w:t xml:space="preserve"> would reduce the prospect of successfully restr</w:t>
      </w:r>
      <w:r w:rsidR="00D56BC6" w:rsidRPr="006474C5">
        <w:rPr>
          <w:rFonts w:ascii="Arial" w:hAnsi="Arial" w:cs="Arial"/>
          <w:color w:val="7B7B7B" w:themeColor="accent3" w:themeShade="BF"/>
          <w:sz w:val="22"/>
          <w:szCs w:val="22"/>
        </w:rPr>
        <w:t>u</w:t>
      </w:r>
      <w:r w:rsidR="00737A49" w:rsidRPr="006474C5">
        <w:rPr>
          <w:rFonts w:ascii="Arial" w:hAnsi="Arial" w:cs="Arial"/>
          <w:color w:val="7B7B7B" w:themeColor="accent3" w:themeShade="BF"/>
          <w:sz w:val="22"/>
          <w:szCs w:val="22"/>
        </w:rPr>
        <w:t>c</w:t>
      </w:r>
      <w:r w:rsidR="00D56BC6" w:rsidRPr="006474C5">
        <w:rPr>
          <w:rFonts w:ascii="Arial" w:hAnsi="Arial" w:cs="Arial"/>
          <w:color w:val="7B7B7B" w:themeColor="accent3" w:themeShade="BF"/>
          <w:sz w:val="22"/>
          <w:szCs w:val="22"/>
        </w:rPr>
        <w:t>tur</w:t>
      </w:r>
      <w:r w:rsidR="00737A49" w:rsidRPr="006474C5">
        <w:rPr>
          <w:rFonts w:ascii="Arial" w:hAnsi="Arial" w:cs="Arial"/>
          <w:color w:val="7B7B7B" w:themeColor="accent3" w:themeShade="BF"/>
          <w:sz w:val="22"/>
          <w:szCs w:val="22"/>
        </w:rPr>
        <w:t xml:space="preserve">ing </w:t>
      </w:r>
      <w:r w:rsidR="00D56BC6" w:rsidRPr="006474C5">
        <w:rPr>
          <w:rFonts w:ascii="Arial" w:hAnsi="Arial" w:cs="Arial"/>
          <w:color w:val="7B7B7B" w:themeColor="accent3" w:themeShade="BF"/>
          <w:sz w:val="22"/>
          <w:szCs w:val="22"/>
        </w:rPr>
        <w:t xml:space="preserve">of </w:t>
      </w:r>
      <w:r w:rsidR="00737A49" w:rsidRPr="006474C5">
        <w:rPr>
          <w:rFonts w:ascii="Arial" w:hAnsi="Arial" w:cs="Arial"/>
          <w:color w:val="7B7B7B" w:themeColor="accent3" w:themeShade="BF"/>
          <w:sz w:val="22"/>
          <w:szCs w:val="22"/>
        </w:rPr>
        <w:t>the group as a whole.</w:t>
      </w:r>
      <w:r w:rsidR="00737A49" w:rsidRPr="006474C5">
        <w:rPr>
          <w:rStyle w:val="FootnoteReference"/>
          <w:rFonts w:ascii="Arial" w:hAnsi="Arial" w:cs="Arial"/>
          <w:color w:val="7B7B7B" w:themeColor="accent3" w:themeShade="BF"/>
          <w:sz w:val="22"/>
          <w:szCs w:val="22"/>
        </w:rPr>
        <w:footnoteReference w:id="53"/>
      </w:r>
      <w:r w:rsidR="00D56BC6" w:rsidRPr="006474C5">
        <w:rPr>
          <w:rFonts w:ascii="Arial" w:hAnsi="Arial" w:cs="Arial"/>
          <w:color w:val="7B7B7B" w:themeColor="accent3" w:themeShade="BF"/>
          <w:sz w:val="22"/>
          <w:szCs w:val="22"/>
        </w:rPr>
        <w:t xml:space="preserve"> As Professor Mevorach stated, the conundrum for policymakers is whether to treat separate entities operating as an integrated business as a whole group, or to adhere by the legal principle that such separate entities were to be treated separately</w:t>
      </w:r>
      <w:r w:rsidR="00D56BC6" w:rsidRPr="006474C5">
        <w:rPr>
          <w:rStyle w:val="FootnoteReference"/>
          <w:rFonts w:ascii="Arial" w:hAnsi="Arial" w:cs="Arial"/>
          <w:color w:val="7B7B7B" w:themeColor="accent3" w:themeShade="BF"/>
          <w:sz w:val="22"/>
          <w:szCs w:val="22"/>
        </w:rPr>
        <w:footnoteReference w:id="54"/>
      </w:r>
      <w:r w:rsidR="00D56BC6" w:rsidRPr="006474C5">
        <w:rPr>
          <w:rFonts w:ascii="Arial" w:hAnsi="Arial" w:cs="Arial"/>
          <w:color w:val="7B7B7B" w:themeColor="accent3" w:themeShade="BF"/>
          <w:sz w:val="22"/>
          <w:szCs w:val="22"/>
        </w:rPr>
        <w:t>.</w:t>
      </w:r>
    </w:p>
    <w:p w14:paraId="2BB497E1" w14:textId="77777777" w:rsidR="00737A49" w:rsidRPr="00110C0B" w:rsidRDefault="00737A49" w:rsidP="00737A49">
      <w:pPr>
        <w:pStyle w:val="ListParagraph"/>
        <w:jc w:val="both"/>
        <w:rPr>
          <w:rFonts w:ascii="Arial" w:hAnsi="Arial" w:cs="Arial"/>
          <w:color w:val="7B7B7B" w:themeColor="accent3" w:themeShade="BF"/>
          <w:sz w:val="22"/>
          <w:szCs w:val="22"/>
        </w:rPr>
      </w:pPr>
    </w:p>
    <w:p w14:paraId="6B5AEFB2" w14:textId="4FC7A47E" w:rsidR="00D6736C" w:rsidRPr="009B6724" w:rsidRDefault="00737A49" w:rsidP="00D56BC6">
      <w:pPr>
        <w:pStyle w:val="ListParagraph"/>
        <w:jc w:val="both"/>
        <w:rPr>
          <w:rFonts w:ascii="Arial" w:hAnsi="Arial" w:cs="Arial"/>
          <w:color w:val="7B7B7B" w:themeColor="accent3" w:themeShade="BF"/>
          <w:sz w:val="22"/>
          <w:szCs w:val="22"/>
        </w:rPr>
      </w:pPr>
      <w:r w:rsidRPr="00110C0B">
        <w:rPr>
          <w:rFonts w:ascii="Arial" w:hAnsi="Arial" w:cs="Arial"/>
          <w:color w:val="7B7B7B" w:themeColor="accent3" w:themeShade="BF"/>
          <w:sz w:val="22"/>
          <w:szCs w:val="22"/>
        </w:rPr>
        <w:t>This weakness of the previous regime under</w:t>
      </w:r>
      <w:r w:rsidR="001A1F9A">
        <w:rPr>
          <w:rFonts w:ascii="Arial" w:hAnsi="Arial" w:cs="Arial"/>
          <w:color w:val="7B7B7B" w:themeColor="accent3" w:themeShade="BF"/>
          <w:sz w:val="22"/>
          <w:szCs w:val="22"/>
        </w:rPr>
        <w:t xml:space="preserve"> the</w:t>
      </w:r>
      <w:r w:rsidRPr="00110C0B">
        <w:rPr>
          <w:rFonts w:ascii="Arial" w:hAnsi="Arial" w:cs="Arial"/>
          <w:color w:val="7B7B7B" w:themeColor="accent3" w:themeShade="BF"/>
          <w:sz w:val="22"/>
          <w:szCs w:val="22"/>
        </w:rPr>
        <w:t xml:space="preserve"> EIR 2000 </w:t>
      </w:r>
      <w:r w:rsidR="00D6736C" w:rsidRPr="00110C0B">
        <w:rPr>
          <w:rFonts w:ascii="Arial" w:hAnsi="Arial" w:cs="Arial"/>
          <w:color w:val="7B7B7B" w:themeColor="accent3" w:themeShade="BF"/>
          <w:sz w:val="22"/>
          <w:szCs w:val="22"/>
        </w:rPr>
        <w:t xml:space="preserve">was addressed in the EIR Recast. The EIR Recast introduced a whole chapter (Chapter V) dealing with group insolvencies. In addition, there was a new Recital 53 which provides a new regime for dealing with group insolvencies – it is possible to open insolvency proceedings for several companies belonging to the same corporate group in a single jurisdiction if the </w:t>
      </w:r>
      <w:r w:rsidR="001A1F9A">
        <w:rPr>
          <w:rFonts w:ascii="Arial" w:hAnsi="Arial" w:cs="Arial"/>
          <w:color w:val="7B7B7B" w:themeColor="accent3" w:themeShade="BF"/>
          <w:sz w:val="22"/>
          <w:szCs w:val="22"/>
        </w:rPr>
        <w:t>c</w:t>
      </w:r>
      <w:r w:rsidR="00D6736C" w:rsidRPr="00110C0B">
        <w:rPr>
          <w:rFonts w:ascii="Arial" w:hAnsi="Arial" w:cs="Arial"/>
          <w:color w:val="7B7B7B" w:themeColor="accent3" w:themeShade="BF"/>
          <w:sz w:val="22"/>
          <w:szCs w:val="22"/>
        </w:rPr>
        <w:t xml:space="preserve">ourt finds that the COMI of these companies is located within a single </w:t>
      </w:r>
      <w:r w:rsidR="006474C5">
        <w:rPr>
          <w:rFonts w:ascii="Arial" w:hAnsi="Arial" w:cs="Arial"/>
          <w:color w:val="7B7B7B" w:themeColor="accent3" w:themeShade="BF"/>
          <w:sz w:val="22"/>
          <w:szCs w:val="22"/>
        </w:rPr>
        <w:t xml:space="preserve">EU </w:t>
      </w:r>
      <w:r w:rsidR="00D6736C" w:rsidRPr="00110C0B">
        <w:rPr>
          <w:rFonts w:ascii="Arial" w:hAnsi="Arial" w:cs="Arial"/>
          <w:color w:val="7B7B7B" w:themeColor="accent3" w:themeShade="BF"/>
          <w:sz w:val="22"/>
          <w:szCs w:val="22"/>
        </w:rPr>
        <w:t>Member State.</w:t>
      </w:r>
      <w:r w:rsidR="00D56BC6" w:rsidRPr="00110C0B">
        <w:rPr>
          <w:rFonts w:ascii="Arial" w:hAnsi="Arial" w:cs="Arial"/>
          <w:color w:val="7B7B7B" w:themeColor="accent3" w:themeShade="BF"/>
          <w:sz w:val="22"/>
          <w:szCs w:val="22"/>
        </w:rPr>
        <w:t xml:space="preserve"> It is further stated in Recital 53 that the </w:t>
      </w:r>
      <w:r w:rsidR="00D6736C" w:rsidRPr="00110C0B">
        <w:rPr>
          <w:rFonts w:ascii="Arial" w:hAnsi="Arial" w:cs="Arial"/>
          <w:color w:val="7B7B7B" w:themeColor="accent3" w:themeShade="BF"/>
          <w:sz w:val="22"/>
          <w:szCs w:val="22"/>
        </w:rPr>
        <w:t>court should also be able to appoint</w:t>
      </w:r>
      <w:r w:rsidR="00D56BC6" w:rsidRPr="00110C0B">
        <w:rPr>
          <w:rFonts w:ascii="Arial" w:hAnsi="Arial" w:cs="Arial"/>
          <w:color w:val="7B7B7B" w:themeColor="accent3" w:themeShade="BF"/>
          <w:sz w:val="22"/>
          <w:szCs w:val="22"/>
        </w:rPr>
        <w:t xml:space="preserve"> (where</w:t>
      </w:r>
      <w:r w:rsidR="00D6736C" w:rsidRPr="00110C0B">
        <w:rPr>
          <w:rFonts w:ascii="Arial" w:hAnsi="Arial" w:cs="Arial"/>
          <w:color w:val="7B7B7B" w:themeColor="accent3" w:themeShade="BF"/>
          <w:sz w:val="22"/>
          <w:szCs w:val="22"/>
        </w:rPr>
        <w:t xml:space="preserve"> appropriate</w:t>
      </w:r>
      <w:r w:rsidR="00D56BC6" w:rsidRPr="00110C0B">
        <w:rPr>
          <w:rFonts w:ascii="Arial" w:hAnsi="Arial" w:cs="Arial"/>
          <w:color w:val="7B7B7B" w:themeColor="accent3" w:themeShade="BF"/>
          <w:sz w:val="22"/>
          <w:szCs w:val="22"/>
        </w:rPr>
        <w:t>)</w:t>
      </w:r>
      <w:r w:rsidR="00D6736C" w:rsidRPr="00110C0B">
        <w:rPr>
          <w:rFonts w:ascii="Arial" w:hAnsi="Arial" w:cs="Arial"/>
          <w:color w:val="7B7B7B" w:themeColor="accent3" w:themeShade="BF"/>
          <w:sz w:val="22"/>
          <w:szCs w:val="22"/>
        </w:rPr>
        <w:t xml:space="preserve"> the same insolvency practitioner in all proceedings concerned</w:t>
      </w:r>
      <w:r w:rsidR="00D56BC6" w:rsidRPr="00110C0B">
        <w:rPr>
          <w:rFonts w:ascii="Arial" w:hAnsi="Arial" w:cs="Arial"/>
          <w:color w:val="7B7B7B" w:themeColor="accent3" w:themeShade="BF"/>
          <w:sz w:val="22"/>
          <w:szCs w:val="22"/>
        </w:rPr>
        <w:t xml:space="preserve"> (</w:t>
      </w:r>
      <w:proofErr w:type="gramStart"/>
      <w:r w:rsidR="00D56BC6" w:rsidRPr="00110C0B">
        <w:rPr>
          <w:rFonts w:ascii="Arial" w:hAnsi="Arial" w:cs="Arial"/>
          <w:color w:val="7B7B7B" w:themeColor="accent3" w:themeShade="BF"/>
          <w:sz w:val="22"/>
          <w:szCs w:val="22"/>
        </w:rPr>
        <w:t>as long as</w:t>
      </w:r>
      <w:proofErr w:type="gramEnd"/>
      <w:r w:rsidR="00D56BC6" w:rsidRPr="00110C0B">
        <w:rPr>
          <w:rFonts w:ascii="Arial" w:hAnsi="Arial" w:cs="Arial"/>
          <w:color w:val="7B7B7B" w:themeColor="accent3" w:themeShade="BF"/>
          <w:sz w:val="22"/>
          <w:szCs w:val="22"/>
        </w:rPr>
        <w:t xml:space="preserve"> it</w:t>
      </w:r>
      <w:r w:rsidR="00D6736C" w:rsidRPr="00110C0B">
        <w:rPr>
          <w:rFonts w:ascii="Arial" w:hAnsi="Arial" w:cs="Arial"/>
          <w:color w:val="7B7B7B" w:themeColor="accent3" w:themeShade="BF"/>
          <w:sz w:val="22"/>
          <w:szCs w:val="22"/>
        </w:rPr>
        <w:t xml:space="preserve"> is not incompatible with the rules applicable to them</w:t>
      </w:r>
      <w:r w:rsidR="00D56BC6" w:rsidRPr="00110C0B">
        <w:rPr>
          <w:rFonts w:ascii="Arial" w:hAnsi="Arial" w:cs="Arial"/>
          <w:color w:val="7B7B7B" w:themeColor="accent3" w:themeShade="BF"/>
          <w:sz w:val="22"/>
          <w:szCs w:val="22"/>
        </w:rPr>
        <w:t>)</w:t>
      </w:r>
      <w:r w:rsidR="00D56BC6" w:rsidRPr="00110C0B">
        <w:rPr>
          <w:rStyle w:val="FootnoteReference"/>
          <w:rFonts w:ascii="Arial" w:hAnsi="Arial" w:cs="Arial"/>
          <w:color w:val="7B7B7B" w:themeColor="accent3" w:themeShade="BF"/>
          <w:sz w:val="22"/>
          <w:szCs w:val="22"/>
        </w:rPr>
        <w:footnoteReference w:id="55"/>
      </w:r>
      <w:r w:rsidR="00D56BC6" w:rsidRPr="00110C0B">
        <w:rPr>
          <w:rFonts w:ascii="Arial" w:hAnsi="Arial" w:cs="Arial"/>
          <w:color w:val="7B7B7B" w:themeColor="accent3" w:themeShade="BF"/>
          <w:sz w:val="22"/>
          <w:szCs w:val="22"/>
        </w:rPr>
        <w:t>.</w:t>
      </w:r>
      <w:r w:rsidR="006D37B7" w:rsidRPr="009B6724">
        <w:rPr>
          <w:rFonts w:ascii="Arial" w:hAnsi="Arial" w:cs="Arial"/>
          <w:color w:val="7B7B7B" w:themeColor="accent3" w:themeShade="BF"/>
          <w:sz w:val="22"/>
          <w:szCs w:val="22"/>
        </w:rPr>
        <w:t xml:space="preserve"> </w:t>
      </w:r>
    </w:p>
    <w:p w14:paraId="1F1F8598" w14:textId="77777777" w:rsidR="006D37B7" w:rsidRPr="009B6724" w:rsidRDefault="006D37B7" w:rsidP="000A3278">
      <w:pPr>
        <w:jc w:val="both"/>
        <w:rPr>
          <w:rFonts w:ascii="Arial" w:hAnsi="Arial"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9B6724" w:rsidRDefault="003D4A79" w:rsidP="003D4A79">
      <w:pPr>
        <w:jc w:val="both"/>
        <w:rPr>
          <w:rFonts w:ascii="Arial" w:hAnsi="Arial" w:cs="Arial"/>
          <w:sz w:val="22"/>
          <w:szCs w:val="22"/>
          <w:lang w:val="en-GB"/>
        </w:rPr>
      </w:pPr>
    </w:p>
    <w:p w14:paraId="6F3BC3FB" w14:textId="7ED8A551" w:rsidR="00F911BC" w:rsidRPr="007829CA" w:rsidRDefault="00F911BC" w:rsidP="00F911BC">
      <w:pPr>
        <w:jc w:val="both"/>
        <w:rPr>
          <w:rFonts w:ascii="Arial" w:hAnsi="Arial" w:cs="Arial"/>
          <w:color w:val="7B7B7B" w:themeColor="accent3" w:themeShade="BF"/>
          <w:sz w:val="22"/>
          <w:szCs w:val="22"/>
        </w:rPr>
      </w:pPr>
      <w:r w:rsidRPr="007829CA">
        <w:rPr>
          <w:rFonts w:ascii="Arial" w:hAnsi="Arial" w:cs="Arial"/>
          <w:color w:val="7B7B7B" w:themeColor="accent3" w:themeShade="BF"/>
          <w:sz w:val="22"/>
          <w:szCs w:val="22"/>
        </w:rPr>
        <w:t xml:space="preserve">Article 3(1) of the EIR Recast provides that the courts of European Union </w:t>
      </w:r>
      <w:r w:rsidR="000D2B39" w:rsidRPr="007829CA">
        <w:rPr>
          <w:rFonts w:ascii="Arial" w:hAnsi="Arial" w:cs="Arial"/>
          <w:color w:val="7B7B7B" w:themeColor="accent3" w:themeShade="BF"/>
          <w:sz w:val="22"/>
          <w:szCs w:val="22"/>
        </w:rPr>
        <w:t>(“</w:t>
      </w:r>
      <w:r w:rsidR="000D2B39" w:rsidRPr="007829CA">
        <w:rPr>
          <w:rFonts w:ascii="Arial" w:hAnsi="Arial" w:cs="Arial"/>
          <w:b/>
          <w:bCs/>
          <w:color w:val="7B7B7B" w:themeColor="accent3" w:themeShade="BF"/>
          <w:sz w:val="22"/>
          <w:szCs w:val="22"/>
        </w:rPr>
        <w:t>EU</w:t>
      </w:r>
      <w:r w:rsidR="000D2B39" w:rsidRPr="007829CA">
        <w:rPr>
          <w:rFonts w:ascii="Arial" w:hAnsi="Arial" w:cs="Arial"/>
          <w:color w:val="7B7B7B" w:themeColor="accent3" w:themeShade="BF"/>
          <w:sz w:val="22"/>
          <w:szCs w:val="22"/>
        </w:rPr>
        <w:t xml:space="preserve">”) </w:t>
      </w:r>
      <w:r w:rsidRPr="007829CA">
        <w:rPr>
          <w:rFonts w:ascii="Arial" w:hAnsi="Arial" w:cs="Arial"/>
          <w:color w:val="7B7B7B" w:themeColor="accent3" w:themeShade="BF"/>
          <w:sz w:val="22"/>
          <w:szCs w:val="22"/>
        </w:rPr>
        <w:t>Member States</w:t>
      </w:r>
      <w:r w:rsidR="00C8267F" w:rsidRPr="007829CA">
        <w:rPr>
          <w:rFonts w:ascii="Arial" w:hAnsi="Arial" w:cs="Arial"/>
          <w:color w:val="7B7B7B" w:themeColor="accent3" w:themeShade="BF"/>
          <w:sz w:val="22"/>
          <w:szCs w:val="22"/>
        </w:rPr>
        <w:t>, except Denmark</w:t>
      </w:r>
      <w:r w:rsidR="00303279" w:rsidRPr="007829CA">
        <w:rPr>
          <w:rStyle w:val="FootnoteReference"/>
          <w:rFonts w:ascii="Arial" w:hAnsi="Arial" w:cs="Arial"/>
          <w:color w:val="7B7B7B" w:themeColor="accent3" w:themeShade="BF"/>
          <w:sz w:val="22"/>
          <w:szCs w:val="22"/>
        </w:rPr>
        <w:footnoteReference w:id="56"/>
      </w:r>
      <w:r w:rsidR="00C8267F" w:rsidRPr="007829CA">
        <w:rPr>
          <w:rFonts w:ascii="Arial" w:hAnsi="Arial" w:cs="Arial"/>
          <w:color w:val="7B7B7B" w:themeColor="accent3" w:themeShade="BF"/>
          <w:sz w:val="22"/>
          <w:szCs w:val="22"/>
        </w:rPr>
        <w:t>,</w:t>
      </w:r>
      <w:r w:rsidRPr="007829CA">
        <w:rPr>
          <w:rFonts w:ascii="Arial" w:hAnsi="Arial" w:cs="Arial"/>
          <w:color w:val="7B7B7B" w:themeColor="accent3" w:themeShade="BF"/>
          <w:sz w:val="22"/>
          <w:szCs w:val="22"/>
        </w:rPr>
        <w:t xml:space="preserve"> within the territory </w:t>
      </w:r>
      <w:r w:rsidR="007B24FF" w:rsidRPr="007829CA">
        <w:rPr>
          <w:rFonts w:ascii="Arial" w:hAnsi="Arial" w:cs="Arial"/>
          <w:color w:val="7B7B7B" w:themeColor="accent3" w:themeShade="BF"/>
          <w:sz w:val="22"/>
          <w:szCs w:val="22"/>
        </w:rPr>
        <w:t>where</w:t>
      </w:r>
      <w:r w:rsidRPr="007829CA">
        <w:rPr>
          <w:rFonts w:ascii="Arial" w:hAnsi="Arial" w:cs="Arial"/>
          <w:color w:val="7B7B7B" w:themeColor="accent3" w:themeShade="BF"/>
          <w:sz w:val="22"/>
          <w:szCs w:val="22"/>
        </w:rPr>
        <w:t xml:space="preserve"> the </w:t>
      </w:r>
      <w:proofErr w:type="spellStart"/>
      <w:r w:rsidRPr="007829CA">
        <w:rPr>
          <w:rFonts w:ascii="Arial" w:hAnsi="Arial" w:cs="Arial"/>
          <w:color w:val="7B7B7B" w:themeColor="accent3" w:themeShade="BF"/>
          <w:sz w:val="22"/>
          <w:szCs w:val="22"/>
        </w:rPr>
        <w:t>centre</w:t>
      </w:r>
      <w:proofErr w:type="spellEnd"/>
      <w:r w:rsidRPr="007829CA">
        <w:rPr>
          <w:rFonts w:ascii="Arial" w:hAnsi="Arial" w:cs="Arial"/>
          <w:color w:val="7B7B7B" w:themeColor="accent3" w:themeShade="BF"/>
          <w:sz w:val="22"/>
          <w:szCs w:val="22"/>
        </w:rPr>
        <w:t xml:space="preserve"> of a debtor's main interests</w:t>
      </w:r>
      <w:r w:rsidR="00363C37" w:rsidRPr="007829CA">
        <w:rPr>
          <w:rFonts w:ascii="Arial" w:hAnsi="Arial" w:cs="Arial"/>
          <w:color w:val="7B7B7B" w:themeColor="accent3" w:themeShade="BF"/>
          <w:sz w:val="22"/>
          <w:szCs w:val="22"/>
        </w:rPr>
        <w:t xml:space="preserve"> (“</w:t>
      </w:r>
      <w:r w:rsidR="00363C37" w:rsidRPr="007829CA">
        <w:rPr>
          <w:rFonts w:ascii="Arial" w:hAnsi="Arial" w:cs="Arial"/>
          <w:b/>
          <w:bCs/>
          <w:color w:val="7B7B7B" w:themeColor="accent3" w:themeShade="BF"/>
          <w:sz w:val="22"/>
          <w:szCs w:val="22"/>
        </w:rPr>
        <w:t>COMI</w:t>
      </w:r>
      <w:r w:rsidR="00363C37" w:rsidRPr="007829CA">
        <w:rPr>
          <w:rFonts w:ascii="Arial" w:hAnsi="Arial" w:cs="Arial"/>
          <w:color w:val="7B7B7B" w:themeColor="accent3" w:themeShade="BF"/>
          <w:sz w:val="22"/>
          <w:szCs w:val="22"/>
        </w:rPr>
        <w:t>”)</w:t>
      </w:r>
      <w:r w:rsidRPr="007829CA">
        <w:rPr>
          <w:rFonts w:ascii="Arial" w:hAnsi="Arial" w:cs="Arial"/>
          <w:color w:val="7B7B7B" w:themeColor="accent3" w:themeShade="BF"/>
          <w:sz w:val="22"/>
          <w:szCs w:val="22"/>
        </w:rPr>
        <w:t xml:space="preserve"> is </w:t>
      </w:r>
      <w:r w:rsidR="001B7D72" w:rsidRPr="007829CA">
        <w:rPr>
          <w:rFonts w:ascii="Arial" w:hAnsi="Arial" w:cs="Arial"/>
          <w:color w:val="7B7B7B" w:themeColor="accent3" w:themeShade="BF"/>
          <w:sz w:val="22"/>
          <w:szCs w:val="22"/>
        </w:rPr>
        <w:t xml:space="preserve">located </w:t>
      </w:r>
      <w:r w:rsidRPr="007829CA">
        <w:rPr>
          <w:rFonts w:ascii="Arial" w:hAnsi="Arial" w:cs="Arial"/>
          <w:color w:val="7B7B7B" w:themeColor="accent3" w:themeShade="BF"/>
          <w:sz w:val="22"/>
          <w:szCs w:val="22"/>
        </w:rPr>
        <w:t xml:space="preserve">shall have </w:t>
      </w:r>
      <w:r w:rsidR="00086F56" w:rsidRPr="007829CA">
        <w:rPr>
          <w:rFonts w:ascii="Arial" w:hAnsi="Arial" w:cs="Arial"/>
          <w:color w:val="7B7B7B" w:themeColor="accent3" w:themeShade="BF"/>
          <w:sz w:val="22"/>
          <w:szCs w:val="22"/>
        </w:rPr>
        <w:t>jurisdiction</w:t>
      </w:r>
      <w:r w:rsidRPr="007829CA">
        <w:rPr>
          <w:rFonts w:ascii="Arial" w:hAnsi="Arial" w:cs="Arial"/>
          <w:color w:val="7B7B7B" w:themeColor="accent3" w:themeShade="BF"/>
          <w:sz w:val="22"/>
          <w:szCs w:val="22"/>
        </w:rPr>
        <w:t xml:space="preserve"> to open insolvency proceedings ("main insolvency proceedings"). </w:t>
      </w:r>
      <w:r w:rsidR="00BA6206" w:rsidRPr="007829CA">
        <w:rPr>
          <w:rFonts w:ascii="Arial" w:hAnsi="Arial" w:cs="Arial"/>
          <w:color w:val="7B7B7B" w:themeColor="accent3" w:themeShade="BF"/>
          <w:sz w:val="22"/>
          <w:szCs w:val="22"/>
        </w:rPr>
        <w:t>COMI therefore determines which EU Member State’s domestic laws will apply to a cross-border insolvency</w:t>
      </w:r>
      <w:r w:rsidR="00BA6206" w:rsidRPr="007829CA">
        <w:rPr>
          <w:rStyle w:val="FootnoteReference"/>
          <w:rFonts w:ascii="Arial" w:hAnsi="Arial" w:cs="Arial"/>
          <w:color w:val="7B7B7B" w:themeColor="accent3" w:themeShade="BF"/>
          <w:sz w:val="22"/>
          <w:szCs w:val="22"/>
        </w:rPr>
        <w:footnoteReference w:id="57"/>
      </w:r>
      <w:r w:rsidR="00BA6206" w:rsidRPr="007829CA">
        <w:rPr>
          <w:rFonts w:ascii="Arial" w:hAnsi="Arial" w:cs="Arial"/>
          <w:color w:val="7B7B7B" w:themeColor="accent3" w:themeShade="BF"/>
          <w:sz w:val="22"/>
          <w:szCs w:val="22"/>
        </w:rPr>
        <w:t xml:space="preserve">. Such </w:t>
      </w:r>
      <w:r w:rsidR="007B24FF" w:rsidRPr="007829CA">
        <w:rPr>
          <w:rFonts w:ascii="Arial" w:hAnsi="Arial" w:cs="Arial"/>
          <w:color w:val="7B7B7B" w:themeColor="accent3" w:themeShade="BF"/>
          <w:sz w:val="22"/>
          <w:szCs w:val="22"/>
        </w:rPr>
        <w:t>proceedings have universal coverage and are designed to encompass all of a debtor’s assets.</w:t>
      </w:r>
      <w:r w:rsidR="007B24FF" w:rsidRPr="007829CA">
        <w:rPr>
          <w:rStyle w:val="FootnoteReference"/>
          <w:rFonts w:ascii="Arial" w:hAnsi="Arial" w:cs="Arial"/>
          <w:color w:val="7B7B7B" w:themeColor="accent3" w:themeShade="BF"/>
          <w:sz w:val="22"/>
          <w:szCs w:val="22"/>
        </w:rPr>
        <w:footnoteReference w:id="58"/>
      </w:r>
      <w:r w:rsidR="007B24FF" w:rsidRPr="007829CA">
        <w:rPr>
          <w:rFonts w:ascii="Arial" w:hAnsi="Arial" w:cs="Arial"/>
          <w:color w:val="7B7B7B" w:themeColor="accent3" w:themeShade="BF"/>
          <w:sz w:val="22"/>
          <w:szCs w:val="22"/>
        </w:rPr>
        <w:t xml:space="preserve"> </w:t>
      </w:r>
      <w:r w:rsidRPr="007829CA">
        <w:rPr>
          <w:rFonts w:ascii="Arial" w:hAnsi="Arial" w:cs="Arial"/>
          <w:color w:val="7B7B7B" w:themeColor="accent3" w:themeShade="BF"/>
          <w:sz w:val="22"/>
          <w:szCs w:val="22"/>
        </w:rPr>
        <w:t xml:space="preserve">A debtor's </w:t>
      </w:r>
      <w:r w:rsidR="00812013" w:rsidRPr="007829CA">
        <w:rPr>
          <w:rFonts w:ascii="Arial" w:hAnsi="Arial" w:cs="Arial"/>
          <w:color w:val="7B7B7B" w:themeColor="accent3" w:themeShade="BF"/>
          <w:sz w:val="22"/>
          <w:szCs w:val="22"/>
        </w:rPr>
        <w:t>COMI</w:t>
      </w:r>
      <w:r w:rsidR="007B24FF" w:rsidRPr="007829CA">
        <w:rPr>
          <w:rFonts w:ascii="Arial" w:hAnsi="Arial" w:cs="Arial"/>
          <w:color w:val="7B7B7B" w:themeColor="accent3" w:themeShade="BF"/>
          <w:sz w:val="22"/>
          <w:szCs w:val="22"/>
        </w:rPr>
        <w:t>, as defined by Article 3(1)</w:t>
      </w:r>
      <w:r w:rsidR="00A76D97">
        <w:rPr>
          <w:rFonts w:ascii="Arial" w:hAnsi="Arial" w:cs="Arial"/>
          <w:color w:val="7B7B7B" w:themeColor="accent3" w:themeShade="BF"/>
          <w:sz w:val="22"/>
          <w:szCs w:val="22"/>
        </w:rPr>
        <w:t>,</w:t>
      </w:r>
      <w:r w:rsidR="007B24FF" w:rsidRPr="007829CA">
        <w:rPr>
          <w:rFonts w:ascii="Arial" w:hAnsi="Arial" w:cs="Arial"/>
          <w:color w:val="7B7B7B" w:themeColor="accent3" w:themeShade="BF"/>
          <w:sz w:val="22"/>
          <w:szCs w:val="22"/>
        </w:rPr>
        <w:t xml:space="preserve"> </w:t>
      </w:r>
      <w:r w:rsidRPr="007829CA">
        <w:rPr>
          <w:rFonts w:ascii="Arial" w:hAnsi="Arial" w:cs="Arial"/>
          <w:color w:val="7B7B7B" w:themeColor="accent3" w:themeShade="BF"/>
          <w:sz w:val="22"/>
          <w:szCs w:val="22"/>
        </w:rPr>
        <w:t>"</w:t>
      </w:r>
      <w:r w:rsidRPr="007829CA">
        <w:rPr>
          <w:rFonts w:ascii="Arial" w:hAnsi="Arial" w:cs="Arial"/>
          <w:i/>
          <w:iCs/>
          <w:color w:val="7B7B7B" w:themeColor="accent3" w:themeShade="BF"/>
          <w:sz w:val="22"/>
          <w:szCs w:val="22"/>
        </w:rPr>
        <w:t>shall be the place where the debtor conducts the administration of its interest</w:t>
      </w:r>
      <w:r w:rsidR="00DC62DC" w:rsidRPr="007829CA">
        <w:rPr>
          <w:rFonts w:ascii="Arial" w:hAnsi="Arial" w:cs="Arial"/>
          <w:i/>
          <w:iCs/>
          <w:color w:val="7B7B7B" w:themeColor="accent3" w:themeShade="BF"/>
          <w:sz w:val="22"/>
          <w:szCs w:val="22"/>
        </w:rPr>
        <w:t>s</w:t>
      </w:r>
      <w:r w:rsidRPr="007829CA">
        <w:rPr>
          <w:rFonts w:ascii="Arial" w:hAnsi="Arial" w:cs="Arial"/>
          <w:i/>
          <w:iCs/>
          <w:color w:val="7B7B7B" w:themeColor="accent3" w:themeShade="BF"/>
          <w:sz w:val="22"/>
          <w:szCs w:val="22"/>
        </w:rPr>
        <w:t xml:space="preserve"> on a regular </w:t>
      </w:r>
      <w:proofErr w:type="gramStart"/>
      <w:r w:rsidRPr="007829CA">
        <w:rPr>
          <w:rFonts w:ascii="Arial" w:hAnsi="Arial" w:cs="Arial"/>
          <w:i/>
          <w:iCs/>
          <w:color w:val="7B7B7B" w:themeColor="accent3" w:themeShade="BF"/>
          <w:sz w:val="22"/>
          <w:szCs w:val="22"/>
        </w:rPr>
        <w:t>basis</w:t>
      </w:r>
      <w:proofErr w:type="gramEnd"/>
      <w:r w:rsidRPr="007829CA">
        <w:rPr>
          <w:rFonts w:ascii="Arial" w:hAnsi="Arial" w:cs="Arial"/>
          <w:i/>
          <w:iCs/>
          <w:color w:val="7B7B7B" w:themeColor="accent3" w:themeShade="BF"/>
          <w:sz w:val="22"/>
          <w:szCs w:val="22"/>
        </w:rPr>
        <w:t xml:space="preserve"> and which is ascertainable by third parties</w:t>
      </w:r>
      <w:r w:rsidRPr="007829CA">
        <w:rPr>
          <w:rFonts w:ascii="Arial" w:hAnsi="Arial" w:cs="Arial"/>
          <w:color w:val="7B7B7B" w:themeColor="accent3" w:themeShade="BF"/>
          <w:sz w:val="22"/>
          <w:szCs w:val="22"/>
        </w:rPr>
        <w:t>."</w:t>
      </w:r>
      <w:r w:rsidR="00363C37" w:rsidRPr="007829CA">
        <w:rPr>
          <w:rStyle w:val="FootnoteReference"/>
          <w:rFonts w:ascii="Arial" w:hAnsi="Arial" w:cs="Arial"/>
          <w:color w:val="7B7B7B" w:themeColor="accent3" w:themeShade="BF"/>
          <w:sz w:val="22"/>
          <w:szCs w:val="22"/>
        </w:rPr>
        <w:footnoteReference w:id="59"/>
      </w:r>
    </w:p>
    <w:p w14:paraId="4FB6BA0A" w14:textId="77777777" w:rsidR="00651E21" w:rsidRPr="007829CA" w:rsidRDefault="00651E21" w:rsidP="00F911BC">
      <w:pPr>
        <w:jc w:val="both"/>
        <w:rPr>
          <w:rFonts w:ascii="Arial" w:hAnsi="Arial" w:cs="Arial"/>
          <w:color w:val="7B7B7B" w:themeColor="accent3" w:themeShade="BF"/>
          <w:sz w:val="22"/>
          <w:szCs w:val="22"/>
        </w:rPr>
      </w:pPr>
    </w:p>
    <w:p w14:paraId="4041C7D3" w14:textId="10F14B09" w:rsidR="009617FC" w:rsidRPr="007829CA" w:rsidRDefault="009617FC" w:rsidP="00F911BC">
      <w:pPr>
        <w:jc w:val="both"/>
        <w:rPr>
          <w:rFonts w:ascii="Arial" w:hAnsi="Arial" w:cs="Arial"/>
          <w:color w:val="7B7B7B" w:themeColor="accent3" w:themeShade="BF"/>
          <w:sz w:val="22"/>
          <w:szCs w:val="22"/>
        </w:rPr>
      </w:pPr>
      <w:r w:rsidRPr="007829CA">
        <w:rPr>
          <w:rFonts w:ascii="Arial" w:hAnsi="Arial" w:cs="Arial"/>
          <w:color w:val="7B7B7B" w:themeColor="accent3" w:themeShade="BF"/>
          <w:sz w:val="22"/>
          <w:szCs w:val="22"/>
        </w:rPr>
        <w:t>Two praises for the concept of COMI are:</w:t>
      </w:r>
    </w:p>
    <w:p w14:paraId="15D885B1" w14:textId="67AF5281" w:rsidR="003963D1" w:rsidRPr="007829CA" w:rsidRDefault="00226236">
      <w:pPr>
        <w:pStyle w:val="ListParagraph"/>
        <w:numPr>
          <w:ilvl w:val="0"/>
          <w:numId w:val="15"/>
        </w:numPr>
        <w:jc w:val="both"/>
        <w:rPr>
          <w:rFonts w:ascii="Arial" w:hAnsi="Arial" w:cs="Arial"/>
          <w:color w:val="7B7B7B" w:themeColor="accent3" w:themeShade="BF"/>
          <w:sz w:val="22"/>
          <w:szCs w:val="22"/>
        </w:rPr>
      </w:pPr>
      <w:r w:rsidRPr="007829CA">
        <w:rPr>
          <w:rFonts w:ascii="Arial" w:hAnsi="Arial" w:cs="Arial"/>
          <w:color w:val="7B7B7B" w:themeColor="accent3" w:themeShade="BF"/>
          <w:sz w:val="22"/>
          <w:szCs w:val="22"/>
        </w:rPr>
        <w:t>COMI provides</w:t>
      </w:r>
      <w:r w:rsidR="00D920B1" w:rsidRPr="007829CA">
        <w:rPr>
          <w:rFonts w:ascii="Arial" w:hAnsi="Arial" w:cs="Arial"/>
          <w:color w:val="7B7B7B" w:themeColor="accent3" w:themeShade="BF"/>
          <w:sz w:val="22"/>
          <w:szCs w:val="22"/>
        </w:rPr>
        <w:t xml:space="preserve"> </w:t>
      </w:r>
      <w:r w:rsidR="00DA3914" w:rsidRPr="007829CA">
        <w:rPr>
          <w:rFonts w:ascii="Arial" w:hAnsi="Arial" w:cs="Arial"/>
          <w:color w:val="7B7B7B" w:themeColor="accent3" w:themeShade="BF"/>
          <w:sz w:val="22"/>
          <w:szCs w:val="22"/>
        </w:rPr>
        <w:t xml:space="preserve">legal </w:t>
      </w:r>
      <w:r w:rsidR="00D920B1" w:rsidRPr="007829CA">
        <w:rPr>
          <w:rFonts w:ascii="Arial" w:hAnsi="Arial" w:cs="Arial"/>
          <w:color w:val="7B7B7B" w:themeColor="accent3" w:themeShade="BF"/>
          <w:sz w:val="22"/>
          <w:szCs w:val="22"/>
        </w:rPr>
        <w:t xml:space="preserve">certainty </w:t>
      </w:r>
      <w:r w:rsidRPr="007829CA">
        <w:rPr>
          <w:rFonts w:ascii="Arial" w:hAnsi="Arial" w:cs="Arial"/>
          <w:color w:val="7B7B7B" w:themeColor="accent3" w:themeShade="BF"/>
          <w:sz w:val="22"/>
          <w:szCs w:val="22"/>
        </w:rPr>
        <w:t xml:space="preserve">to </w:t>
      </w:r>
      <w:r w:rsidR="00284D45" w:rsidRPr="007829CA">
        <w:rPr>
          <w:rFonts w:ascii="Arial" w:hAnsi="Arial" w:cs="Arial"/>
          <w:color w:val="7B7B7B" w:themeColor="accent3" w:themeShade="BF"/>
          <w:sz w:val="22"/>
          <w:szCs w:val="22"/>
        </w:rPr>
        <w:t>all stakeholders, including creditors</w:t>
      </w:r>
      <w:r w:rsidR="00D920B1" w:rsidRPr="007829CA">
        <w:rPr>
          <w:rFonts w:ascii="Arial" w:hAnsi="Arial" w:cs="Arial"/>
          <w:color w:val="7B7B7B" w:themeColor="accent3" w:themeShade="BF"/>
          <w:sz w:val="22"/>
          <w:szCs w:val="22"/>
        </w:rPr>
        <w:t xml:space="preserve">. </w:t>
      </w:r>
      <w:r w:rsidR="003963D1" w:rsidRPr="007829CA">
        <w:rPr>
          <w:rFonts w:ascii="Arial" w:hAnsi="Arial" w:cs="Arial"/>
          <w:color w:val="7B7B7B" w:themeColor="accent3" w:themeShade="BF"/>
          <w:sz w:val="22"/>
          <w:szCs w:val="22"/>
        </w:rPr>
        <w:t xml:space="preserve">COMI assists in resolving a conflict of laws problem. </w:t>
      </w:r>
      <w:r w:rsidR="000E72C5" w:rsidRPr="007829CA">
        <w:rPr>
          <w:rFonts w:ascii="Arial" w:hAnsi="Arial" w:cs="Arial"/>
          <w:color w:val="7B7B7B" w:themeColor="accent3" w:themeShade="BF"/>
          <w:sz w:val="22"/>
          <w:szCs w:val="22"/>
        </w:rPr>
        <w:t>Since COMI is the foundation for the jurisdiction of an EU court to open main insolvency proceedings, “</w:t>
      </w:r>
      <w:r w:rsidR="000E72C5" w:rsidRPr="007829CA">
        <w:rPr>
          <w:rFonts w:ascii="Arial" w:hAnsi="Arial" w:cs="Arial"/>
          <w:i/>
          <w:iCs/>
          <w:color w:val="7B7B7B" w:themeColor="accent3" w:themeShade="BF"/>
          <w:sz w:val="22"/>
          <w:szCs w:val="22"/>
        </w:rPr>
        <w:t>it is crucial to define, properly understand and correctly apply the concept of COMI</w:t>
      </w:r>
      <w:r w:rsidR="000E72C5" w:rsidRPr="007829CA">
        <w:rPr>
          <w:rFonts w:ascii="Arial" w:hAnsi="Arial" w:cs="Arial"/>
          <w:color w:val="7B7B7B" w:themeColor="accent3" w:themeShade="BF"/>
          <w:sz w:val="22"/>
          <w:szCs w:val="22"/>
        </w:rPr>
        <w:t>.”</w:t>
      </w:r>
      <w:r w:rsidR="000E72C5" w:rsidRPr="007829CA">
        <w:rPr>
          <w:rStyle w:val="FootnoteReference"/>
          <w:rFonts w:ascii="Arial" w:hAnsi="Arial" w:cs="Arial"/>
          <w:color w:val="7B7B7B" w:themeColor="accent3" w:themeShade="BF"/>
          <w:sz w:val="22"/>
          <w:szCs w:val="22"/>
        </w:rPr>
        <w:footnoteReference w:id="60"/>
      </w:r>
      <w:r w:rsidR="0073620C" w:rsidRPr="007829CA">
        <w:rPr>
          <w:rFonts w:ascii="Arial" w:hAnsi="Arial" w:cs="Arial"/>
          <w:color w:val="7B7B7B" w:themeColor="accent3" w:themeShade="BF"/>
          <w:sz w:val="22"/>
          <w:szCs w:val="22"/>
        </w:rPr>
        <w:t xml:space="preserve"> The EIR Recast does</w:t>
      </w:r>
      <w:r w:rsidRPr="007829CA">
        <w:rPr>
          <w:rFonts w:ascii="Arial" w:hAnsi="Arial" w:cs="Arial"/>
          <w:color w:val="7B7B7B" w:themeColor="accent3" w:themeShade="BF"/>
          <w:sz w:val="22"/>
          <w:szCs w:val="22"/>
        </w:rPr>
        <w:t xml:space="preserve"> this</w:t>
      </w:r>
      <w:r w:rsidR="0073620C" w:rsidRPr="007829CA">
        <w:rPr>
          <w:rFonts w:ascii="Arial" w:hAnsi="Arial" w:cs="Arial"/>
          <w:color w:val="7B7B7B" w:themeColor="accent3" w:themeShade="BF"/>
          <w:sz w:val="22"/>
          <w:szCs w:val="22"/>
        </w:rPr>
        <w:t xml:space="preserve">. </w:t>
      </w:r>
      <w:r w:rsidR="00D920B1" w:rsidRPr="007829CA">
        <w:rPr>
          <w:rFonts w:ascii="Arial" w:hAnsi="Arial" w:cs="Arial"/>
          <w:color w:val="7B7B7B" w:themeColor="accent3" w:themeShade="BF"/>
          <w:sz w:val="22"/>
          <w:szCs w:val="22"/>
        </w:rPr>
        <w:t xml:space="preserve">Unlike the EIR 2000, the EIR Recast </w:t>
      </w:r>
      <w:r w:rsidR="00284D45" w:rsidRPr="007829CA">
        <w:rPr>
          <w:rFonts w:ascii="Arial" w:hAnsi="Arial" w:cs="Arial"/>
          <w:color w:val="7B7B7B" w:themeColor="accent3" w:themeShade="BF"/>
          <w:sz w:val="22"/>
          <w:szCs w:val="22"/>
        </w:rPr>
        <w:t xml:space="preserve">provides a definition of COMI in the </w:t>
      </w:r>
      <w:r w:rsidR="00A76D97">
        <w:rPr>
          <w:rFonts w:ascii="Arial" w:hAnsi="Arial" w:cs="Arial"/>
          <w:color w:val="7B7B7B" w:themeColor="accent3" w:themeShade="BF"/>
          <w:sz w:val="22"/>
          <w:szCs w:val="22"/>
        </w:rPr>
        <w:t>A</w:t>
      </w:r>
      <w:r w:rsidR="00284D45" w:rsidRPr="007829CA">
        <w:rPr>
          <w:rFonts w:ascii="Arial" w:hAnsi="Arial" w:cs="Arial"/>
          <w:color w:val="7B7B7B" w:themeColor="accent3" w:themeShade="BF"/>
          <w:sz w:val="22"/>
          <w:szCs w:val="22"/>
        </w:rPr>
        <w:t xml:space="preserve">rticles to the </w:t>
      </w:r>
      <w:r w:rsidR="009671E6">
        <w:rPr>
          <w:rFonts w:ascii="Arial" w:hAnsi="Arial" w:cs="Arial"/>
          <w:color w:val="7B7B7B" w:themeColor="accent3" w:themeShade="BF"/>
          <w:sz w:val="22"/>
          <w:szCs w:val="22"/>
        </w:rPr>
        <w:t>Re</w:t>
      </w:r>
      <w:r w:rsidR="00284D45" w:rsidRPr="007829CA">
        <w:rPr>
          <w:rFonts w:ascii="Arial" w:hAnsi="Arial" w:cs="Arial"/>
          <w:color w:val="7B7B7B" w:themeColor="accent3" w:themeShade="BF"/>
          <w:sz w:val="22"/>
          <w:szCs w:val="22"/>
        </w:rPr>
        <w:t xml:space="preserve">gulation (and not merely in the </w:t>
      </w:r>
      <w:r w:rsidR="00A76D97">
        <w:rPr>
          <w:rFonts w:ascii="Arial" w:hAnsi="Arial" w:cs="Arial"/>
          <w:color w:val="7B7B7B" w:themeColor="accent3" w:themeShade="BF"/>
          <w:sz w:val="22"/>
          <w:szCs w:val="22"/>
        </w:rPr>
        <w:t>R</w:t>
      </w:r>
      <w:r w:rsidR="00284D45" w:rsidRPr="007829CA">
        <w:rPr>
          <w:rFonts w:ascii="Arial" w:hAnsi="Arial" w:cs="Arial"/>
          <w:color w:val="7B7B7B" w:themeColor="accent3" w:themeShade="BF"/>
          <w:sz w:val="22"/>
          <w:szCs w:val="22"/>
        </w:rPr>
        <w:t>ecitals which are for guidance and not enforceable).</w:t>
      </w:r>
    </w:p>
    <w:p w14:paraId="0B36763F" w14:textId="77777777" w:rsidR="003963D1" w:rsidRPr="007829CA" w:rsidRDefault="003963D1" w:rsidP="003963D1">
      <w:pPr>
        <w:pStyle w:val="ListParagraph"/>
        <w:jc w:val="both"/>
        <w:rPr>
          <w:rFonts w:ascii="Arial" w:hAnsi="Arial" w:cs="Arial"/>
          <w:color w:val="7B7B7B" w:themeColor="accent3" w:themeShade="BF"/>
          <w:sz w:val="22"/>
          <w:szCs w:val="22"/>
        </w:rPr>
      </w:pPr>
    </w:p>
    <w:p w14:paraId="4C84DBA6" w14:textId="433AF618" w:rsidR="003963D1" w:rsidRPr="007829CA" w:rsidRDefault="005E2C02" w:rsidP="00BA6206">
      <w:pPr>
        <w:pStyle w:val="ListParagraph"/>
        <w:jc w:val="both"/>
        <w:rPr>
          <w:rFonts w:ascii="Arial" w:hAnsi="Arial" w:cs="Arial"/>
          <w:color w:val="7B7B7B" w:themeColor="accent3" w:themeShade="BF"/>
          <w:sz w:val="22"/>
          <w:szCs w:val="22"/>
        </w:rPr>
      </w:pPr>
      <w:r w:rsidRPr="007829CA">
        <w:rPr>
          <w:rFonts w:ascii="Arial" w:hAnsi="Arial" w:cs="Arial"/>
          <w:color w:val="7B7B7B" w:themeColor="accent3" w:themeShade="BF"/>
          <w:sz w:val="22"/>
          <w:szCs w:val="22"/>
        </w:rPr>
        <w:lastRenderedPageBreak/>
        <w:t>T</w:t>
      </w:r>
      <w:r w:rsidR="00284D45" w:rsidRPr="007829CA">
        <w:rPr>
          <w:rFonts w:ascii="Arial" w:hAnsi="Arial" w:cs="Arial"/>
          <w:color w:val="7B7B7B" w:themeColor="accent3" w:themeShade="BF"/>
          <w:sz w:val="22"/>
          <w:szCs w:val="22"/>
        </w:rPr>
        <w:t>he definition of COMI adopted in the EIR Recast is backed by Court of Justice of the European Union (“</w:t>
      </w:r>
      <w:r w:rsidR="00284D45" w:rsidRPr="007829CA">
        <w:rPr>
          <w:rFonts w:ascii="Arial" w:hAnsi="Arial" w:cs="Arial"/>
          <w:b/>
          <w:bCs/>
          <w:color w:val="7B7B7B" w:themeColor="accent3" w:themeShade="BF"/>
          <w:sz w:val="22"/>
          <w:szCs w:val="22"/>
        </w:rPr>
        <w:t>CJEU</w:t>
      </w:r>
      <w:r w:rsidR="00284D45" w:rsidRPr="007829CA">
        <w:rPr>
          <w:rFonts w:ascii="Arial" w:hAnsi="Arial" w:cs="Arial"/>
          <w:color w:val="7B7B7B" w:themeColor="accent3" w:themeShade="BF"/>
          <w:sz w:val="22"/>
          <w:szCs w:val="22"/>
        </w:rPr>
        <w:t>”) case law</w:t>
      </w:r>
      <w:r w:rsidR="00284D45" w:rsidRPr="007829CA">
        <w:rPr>
          <w:rStyle w:val="FootnoteReference"/>
          <w:rFonts w:ascii="Arial" w:hAnsi="Arial" w:cs="Arial"/>
          <w:color w:val="7B7B7B" w:themeColor="accent3" w:themeShade="BF"/>
          <w:sz w:val="22"/>
          <w:szCs w:val="22"/>
        </w:rPr>
        <w:footnoteReference w:id="61"/>
      </w:r>
      <w:r w:rsidR="00284D45" w:rsidRPr="007829CA">
        <w:rPr>
          <w:rFonts w:ascii="Arial" w:hAnsi="Arial" w:cs="Arial"/>
          <w:color w:val="7B7B7B" w:themeColor="accent3" w:themeShade="BF"/>
          <w:sz w:val="22"/>
          <w:szCs w:val="22"/>
        </w:rPr>
        <w:t>.</w:t>
      </w:r>
      <w:r w:rsidRPr="007829CA">
        <w:rPr>
          <w:rFonts w:ascii="Arial" w:hAnsi="Arial" w:cs="Arial"/>
          <w:color w:val="7B7B7B" w:themeColor="accent3" w:themeShade="BF"/>
          <w:sz w:val="22"/>
          <w:szCs w:val="22"/>
        </w:rPr>
        <w:t xml:space="preserve"> The seminal case is </w:t>
      </w:r>
      <w:proofErr w:type="spellStart"/>
      <w:r w:rsidRPr="007829CA">
        <w:rPr>
          <w:rFonts w:ascii="Arial" w:hAnsi="Arial" w:cs="Arial"/>
          <w:i/>
          <w:iCs/>
          <w:color w:val="7B7B7B" w:themeColor="accent3" w:themeShade="BF"/>
          <w:sz w:val="22"/>
          <w:szCs w:val="22"/>
        </w:rPr>
        <w:t>Eurofood</w:t>
      </w:r>
      <w:proofErr w:type="spellEnd"/>
      <w:r w:rsidRPr="007829CA">
        <w:rPr>
          <w:rFonts w:ascii="Arial" w:hAnsi="Arial" w:cs="Arial"/>
          <w:i/>
          <w:iCs/>
          <w:color w:val="7B7B7B" w:themeColor="accent3" w:themeShade="BF"/>
          <w:sz w:val="22"/>
          <w:szCs w:val="22"/>
        </w:rPr>
        <w:t xml:space="preserve"> IFSC Ltd</w:t>
      </w:r>
      <w:r w:rsidRPr="007829CA">
        <w:rPr>
          <w:rStyle w:val="FootnoteReference"/>
          <w:rFonts w:ascii="Arial" w:hAnsi="Arial" w:cs="Arial"/>
          <w:i/>
          <w:iCs/>
          <w:color w:val="7B7B7B" w:themeColor="accent3" w:themeShade="BF"/>
          <w:sz w:val="22"/>
          <w:szCs w:val="22"/>
        </w:rPr>
        <w:footnoteReference w:id="62"/>
      </w:r>
      <w:r w:rsidRPr="007829CA">
        <w:rPr>
          <w:rFonts w:ascii="Arial" w:hAnsi="Arial" w:cs="Arial"/>
          <w:color w:val="7B7B7B" w:themeColor="accent3" w:themeShade="BF"/>
          <w:sz w:val="22"/>
          <w:szCs w:val="22"/>
        </w:rPr>
        <w:t xml:space="preserve"> (which is a pre-EIR Recast case). </w:t>
      </w:r>
      <w:r w:rsidR="00CF6890" w:rsidRPr="007829CA">
        <w:rPr>
          <w:rFonts w:ascii="Arial" w:hAnsi="Arial" w:cs="Arial"/>
          <w:color w:val="7B7B7B" w:themeColor="accent3" w:themeShade="BF"/>
          <w:sz w:val="22"/>
          <w:szCs w:val="22"/>
        </w:rPr>
        <w:t xml:space="preserve">At paragraph 31 of the </w:t>
      </w:r>
      <w:proofErr w:type="spellStart"/>
      <w:r w:rsidR="00CF6890" w:rsidRPr="007829CA">
        <w:rPr>
          <w:rFonts w:ascii="Arial" w:hAnsi="Arial" w:cs="Arial"/>
          <w:i/>
          <w:iCs/>
          <w:color w:val="7B7B7B" w:themeColor="accent3" w:themeShade="BF"/>
          <w:sz w:val="22"/>
          <w:szCs w:val="22"/>
        </w:rPr>
        <w:t>Eurofood</w:t>
      </w:r>
      <w:proofErr w:type="spellEnd"/>
      <w:r w:rsidR="00CF6890" w:rsidRPr="007829CA">
        <w:rPr>
          <w:rFonts w:ascii="Arial" w:hAnsi="Arial" w:cs="Arial"/>
          <w:color w:val="7B7B7B" w:themeColor="accent3" w:themeShade="BF"/>
          <w:sz w:val="22"/>
          <w:szCs w:val="22"/>
        </w:rPr>
        <w:t xml:space="preserve"> judgment, it was held that the concept of COMI was peculiar to the EIR 2000 and therefore it had “</w:t>
      </w:r>
      <w:r w:rsidR="00CF6890" w:rsidRPr="007829CA">
        <w:rPr>
          <w:rFonts w:ascii="Arial" w:hAnsi="Arial" w:cs="Arial"/>
          <w:i/>
          <w:iCs/>
          <w:color w:val="7B7B7B" w:themeColor="accent3" w:themeShade="BF"/>
          <w:sz w:val="22"/>
          <w:szCs w:val="22"/>
        </w:rPr>
        <w:t>an autonomous meaning and must therefore be interpreted in a uniform way, independently of national legislation</w:t>
      </w:r>
      <w:r w:rsidR="00CF6890" w:rsidRPr="007829CA">
        <w:rPr>
          <w:rFonts w:ascii="Arial" w:hAnsi="Arial" w:cs="Arial"/>
          <w:color w:val="7B7B7B" w:themeColor="accent3" w:themeShade="BF"/>
          <w:sz w:val="22"/>
          <w:szCs w:val="22"/>
        </w:rPr>
        <w:t>.”</w:t>
      </w:r>
      <w:r w:rsidR="00CF6890" w:rsidRPr="007829CA">
        <w:rPr>
          <w:rStyle w:val="FootnoteReference"/>
          <w:rFonts w:ascii="Arial" w:hAnsi="Arial" w:cs="Arial"/>
          <w:color w:val="7B7B7B" w:themeColor="accent3" w:themeShade="BF"/>
          <w:sz w:val="22"/>
          <w:szCs w:val="22"/>
        </w:rPr>
        <w:footnoteReference w:id="63"/>
      </w:r>
      <w:r w:rsidR="00A53C3F" w:rsidRPr="007829CA">
        <w:rPr>
          <w:rFonts w:ascii="Arial" w:hAnsi="Arial" w:cs="Arial"/>
          <w:color w:val="7B7B7B" w:themeColor="accent3" w:themeShade="BF"/>
          <w:sz w:val="22"/>
          <w:szCs w:val="22"/>
        </w:rPr>
        <w:t xml:space="preserve"> It was further stated that the criteria to be used for the identification of a debtor’s COMI must</w:t>
      </w:r>
      <w:r w:rsidR="00A76D97">
        <w:rPr>
          <w:rFonts w:ascii="Arial" w:hAnsi="Arial" w:cs="Arial"/>
          <w:color w:val="7B7B7B" w:themeColor="accent3" w:themeShade="BF"/>
          <w:sz w:val="22"/>
          <w:szCs w:val="22"/>
        </w:rPr>
        <w:t xml:space="preserve"> be</w:t>
      </w:r>
      <w:r w:rsidR="00A53C3F" w:rsidRPr="007829CA">
        <w:rPr>
          <w:rFonts w:ascii="Arial" w:hAnsi="Arial" w:cs="Arial"/>
          <w:color w:val="7B7B7B" w:themeColor="accent3" w:themeShade="BF"/>
          <w:sz w:val="22"/>
          <w:szCs w:val="22"/>
        </w:rPr>
        <w:t xml:space="preserve"> “</w:t>
      </w:r>
      <w:r w:rsidR="00CF6890" w:rsidRPr="007829CA">
        <w:rPr>
          <w:rFonts w:ascii="Arial" w:hAnsi="Arial" w:cs="Arial"/>
          <w:i/>
          <w:iCs/>
          <w:color w:val="7B7B7B" w:themeColor="accent3" w:themeShade="BF"/>
          <w:sz w:val="22"/>
          <w:szCs w:val="22"/>
        </w:rPr>
        <w:t>both objective and ascertainable by third parties</w:t>
      </w:r>
      <w:r w:rsidR="00A53C3F" w:rsidRPr="007829CA">
        <w:rPr>
          <w:rFonts w:ascii="Arial" w:hAnsi="Arial" w:cs="Arial"/>
          <w:color w:val="7B7B7B" w:themeColor="accent3" w:themeShade="BF"/>
          <w:sz w:val="22"/>
          <w:szCs w:val="22"/>
        </w:rPr>
        <w:t>.”</w:t>
      </w:r>
      <w:r w:rsidR="00A53C3F" w:rsidRPr="007829CA">
        <w:rPr>
          <w:rStyle w:val="FootnoteReference"/>
          <w:rFonts w:ascii="Arial" w:hAnsi="Arial" w:cs="Arial"/>
          <w:color w:val="7B7B7B" w:themeColor="accent3" w:themeShade="BF"/>
          <w:sz w:val="22"/>
          <w:szCs w:val="22"/>
        </w:rPr>
        <w:footnoteReference w:id="64"/>
      </w:r>
      <w:r w:rsidR="00A53C3F" w:rsidRPr="007829CA">
        <w:rPr>
          <w:rFonts w:ascii="Arial" w:hAnsi="Arial" w:cs="Arial"/>
          <w:color w:val="7B7B7B" w:themeColor="accent3" w:themeShade="BF"/>
          <w:sz w:val="22"/>
          <w:szCs w:val="22"/>
        </w:rPr>
        <w:t xml:space="preserve"> </w:t>
      </w:r>
      <w:r w:rsidR="00104928" w:rsidRPr="007829CA">
        <w:rPr>
          <w:rFonts w:ascii="Arial" w:hAnsi="Arial" w:cs="Arial"/>
          <w:color w:val="7B7B7B" w:themeColor="accent3" w:themeShade="BF"/>
          <w:sz w:val="22"/>
          <w:szCs w:val="22"/>
        </w:rPr>
        <w:t xml:space="preserve">Article 3(1) of the EIR Recast codifies </w:t>
      </w:r>
      <w:r w:rsidR="009671E6">
        <w:rPr>
          <w:rFonts w:ascii="Arial" w:hAnsi="Arial" w:cs="Arial"/>
          <w:color w:val="7B7B7B" w:themeColor="accent3" w:themeShade="BF"/>
          <w:sz w:val="22"/>
          <w:szCs w:val="22"/>
        </w:rPr>
        <w:t xml:space="preserve">this </w:t>
      </w:r>
      <w:r w:rsidR="007902DA" w:rsidRPr="007829CA">
        <w:rPr>
          <w:rFonts w:ascii="Arial" w:hAnsi="Arial" w:cs="Arial"/>
          <w:color w:val="7B7B7B" w:themeColor="accent3" w:themeShade="BF"/>
          <w:sz w:val="22"/>
          <w:szCs w:val="22"/>
        </w:rPr>
        <w:t xml:space="preserve">aspect of </w:t>
      </w:r>
      <w:r w:rsidR="00104928" w:rsidRPr="007829CA">
        <w:rPr>
          <w:rFonts w:ascii="Arial" w:hAnsi="Arial" w:cs="Arial"/>
          <w:color w:val="7B7B7B" w:themeColor="accent3" w:themeShade="BF"/>
          <w:sz w:val="22"/>
          <w:szCs w:val="22"/>
        </w:rPr>
        <w:t xml:space="preserve">the </w:t>
      </w:r>
      <w:proofErr w:type="spellStart"/>
      <w:r w:rsidR="00104928" w:rsidRPr="007829CA">
        <w:rPr>
          <w:rFonts w:ascii="Arial" w:hAnsi="Arial" w:cs="Arial"/>
          <w:i/>
          <w:iCs/>
          <w:color w:val="7B7B7B" w:themeColor="accent3" w:themeShade="BF"/>
          <w:sz w:val="22"/>
          <w:szCs w:val="22"/>
        </w:rPr>
        <w:t>Eurofood</w:t>
      </w:r>
      <w:proofErr w:type="spellEnd"/>
      <w:r w:rsidR="00104928" w:rsidRPr="007829CA">
        <w:rPr>
          <w:rFonts w:ascii="Arial" w:hAnsi="Arial" w:cs="Arial"/>
          <w:color w:val="7B7B7B" w:themeColor="accent3" w:themeShade="BF"/>
          <w:sz w:val="22"/>
          <w:szCs w:val="22"/>
        </w:rPr>
        <w:t xml:space="preserve"> judgment. </w:t>
      </w:r>
      <w:r w:rsidR="007902DA" w:rsidRPr="007829CA">
        <w:rPr>
          <w:rFonts w:ascii="Arial" w:hAnsi="Arial" w:cs="Arial"/>
          <w:color w:val="7B7B7B" w:themeColor="accent3" w:themeShade="BF"/>
          <w:sz w:val="22"/>
          <w:szCs w:val="22"/>
        </w:rPr>
        <w:t xml:space="preserve">The objective, impartial way for determining </w:t>
      </w:r>
      <w:r w:rsidR="00BA6206" w:rsidRPr="007829CA">
        <w:rPr>
          <w:rFonts w:ascii="Arial" w:hAnsi="Arial" w:cs="Arial"/>
          <w:color w:val="7B7B7B" w:themeColor="accent3" w:themeShade="BF"/>
          <w:sz w:val="22"/>
          <w:szCs w:val="22"/>
        </w:rPr>
        <w:t xml:space="preserve">the </w:t>
      </w:r>
      <w:r w:rsidR="007902DA" w:rsidRPr="007829CA">
        <w:rPr>
          <w:rFonts w:ascii="Arial" w:hAnsi="Arial" w:cs="Arial"/>
          <w:color w:val="7B7B7B" w:themeColor="accent3" w:themeShade="BF"/>
          <w:sz w:val="22"/>
          <w:szCs w:val="22"/>
        </w:rPr>
        <w:t xml:space="preserve">COMI </w:t>
      </w:r>
      <w:r w:rsidR="00BA6206" w:rsidRPr="007829CA">
        <w:rPr>
          <w:rFonts w:ascii="Arial" w:hAnsi="Arial" w:cs="Arial"/>
          <w:color w:val="7B7B7B" w:themeColor="accent3" w:themeShade="BF"/>
          <w:sz w:val="22"/>
          <w:szCs w:val="22"/>
        </w:rPr>
        <w:t>(as defined by Article 3(1))</w:t>
      </w:r>
      <w:r w:rsidR="007902DA" w:rsidRPr="007829CA">
        <w:rPr>
          <w:rFonts w:ascii="Arial" w:hAnsi="Arial" w:cs="Arial"/>
          <w:color w:val="7B7B7B" w:themeColor="accent3" w:themeShade="BF"/>
          <w:sz w:val="22"/>
          <w:szCs w:val="22"/>
        </w:rPr>
        <w:t xml:space="preserve"> is one of the key </w:t>
      </w:r>
      <w:r w:rsidR="00BA6206" w:rsidRPr="007829CA">
        <w:rPr>
          <w:rFonts w:ascii="Arial" w:hAnsi="Arial" w:cs="Arial"/>
          <w:color w:val="7B7B7B" w:themeColor="accent3" w:themeShade="BF"/>
          <w:sz w:val="22"/>
          <w:szCs w:val="22"/>
        </w:rPr>
        <w:t>praises of COMI</w:t>
      </w:r>
      <w:r w:rsidR="009671E6">
        <w:rPr>
          <w:rFonts w:ascii="Arial" w:hAnsi="Arial" w:cs="Arial"/>
          <w:color w:val="7B7B7B" w:themeColor="accent3" w:themeShade="BF"/>
          <w:sz w:val="22"/>
          <w:szCs w:val="22"/>
        </w:rPr>
        <w:t xml:space="preserve"> </w:t>
      </w:r>
      <w:r w:rsidR="000A4DD2" w:rsidRPr="007829CA">
        <w:rPr>
          <w:rFonts w:ascii="Arial" w:hAnsi="Arial" w:cs="Arial"/>
          <w:color w:val="7B7B7B" w:themeColor="accent3" w:themeShade="BF"/>
          <w:sz w:val="22"/>
          <w:szCs w:val="22"/>
        </w:rPr>
        <w:t>-</w:t>
      </w:r>
      <w:r w:rsidR="00BA6206" w:rsidRPr="007829CA">
        <w:rPr>
          <w:rFonts w:ascii="Arial" w:hAnsi="Arial" w:cs="Arial"/>
          <w:color w:val="7B7B7B" w:themeColor="accent3" w:themeShade="BF"/>
          <w:sz w:val="22"/>
          <w:szCs w:val="22"/>
        </w:rPr>
        <w:t xml:space="preserve"> </w:t>
      </w:r>
      <w:r w:rsidR="009671E6">
        <w:rPr>
          <w:rFonts w:ascii="Arial" w:hAnsi="Arial" w:cs="Arial"/>
          <w:color w:val="7B7B7B" w:themeColor="accent3" w:themeShade="BF"/>
          <w:sz w:val="22"/>
          <w:szCs w:val="22"/>
        </w:rPr>
        <w:t>this</w:t>
      </w:r>
      <w:r w:rsidR="000A4DD2" w:rsidRPr="007829CA">
        <w:rPr>
          <w:rFonts w:ascii="Arial" w:hAnsi="Arial" w:cs="Arial"/>
          <w:color w:val="7B7B7B" w:themeColor="accent3" w:themeShade="BF"/>
          <w:sz w:val="22"/>
          <w:szCs w:val="22"/>
        </w:rPr>
        <w:t xml:space="preserve"> objectivity and predictability </w:t>
      </w:r>
      <w:r w:rsidR="009671E6">
        <w:rPr>
          <w:rFonts w:ascii="Arial" w:hAnsi="Arial" w:cs="Arial"/>
          <w:color w:val="7B7B7B" w:themeColor="accent3" w:themeShade="BF"/>
          <w:sz w:val="22"/>
          <w:szCs w:val="22"/>
        </w:rPr>
        <w:t>in determining such</w:t>
      </w:r>
      <w:r w:rsidR="000A4DD2" w:rsidRPr="007829CA">
        <w:rPr>
          <w:rFonts w:ascii="Arial" w:hAnsi="Arial" w:cs="Arial"/>
          <w:color w:val="7B7B7B" w:themeColor="accent3" w:themeShade="BF"/>
          <w:sz w:val="22"/>
          <w:szCs w:val="22"/>
        </w:rPr>
        <w:t xml:space="preserve"> a fundamental concept is needed for the</w:t>
      </w:r>
      <w:r w:rsidR="00BA6206" w:rsidRPr="007829CA">
        <w:rPr>
          <w:rFonts w:ascii="Arial" w:hAnsi="Arial" w:cs="Arial"/>
          <w:color w:val="7B7B7B" w:themeColor="accent3" w:themeShade="BF"/>
          <w:sz w:val="22"/>
          <w:szCs w:val="22"/>
        </w:rPr>
        <w:t xml:space="preserve"> </w:t>
      </w:r>
      <w:r w:rsidR="000A4DD2" w:rsidRPr="007829CA">
        <w:rPr>
          <w:rFonts w:ascii="Arial" w:hAnsi="Arial" w:cs="Arial"/>
          <w:color w:val="7B7B7B" w:themeColor="accent3" w:themeShade="BF"/>
          <w:sz w:val="22"/>
          <w:szCs w:val="22"/>
        </w:rPr>
        <w:t>full</w:t>
      </w:r>
      <w:r w:rsidR="00BA6206" w:rsidRPr="007829CA">
        <w:rPr>
          <w:rFonts w:ascii="Arial" w:hAnsi="Arial" w:cs="Arial"/>
          <w:color w:val="7B7B7B" w:themeColor="accent3" w:themeShade="BF"/>
          <w:sz w:val="22"/>
          <w:szCs w:val="22"/>
        </w:rPr>
        <w:t xml:space="preserve"> functioning</w:t>
      </w:r>
      <w:r w:rsidR="000A4DD2" w:rsidRPr="007829CA">
        <w:rPr>
          <w:rFonts w:ascii="Arial" w:hAnsi="Arial" w:cs="Arial"/>
          <w:color w:val="7B7B7B" w:themeColor="accent3" w:themeShade="BF"/>
          <w:sz w:val="22"/>
          <w:szCs w:val="22"/>
        </w:rPr>
        <w:t xml:space="preserve"> of </w:t>
      </w:r>
      <w:r w:rsidR="009671E6">
        <w:rPr>
          <w:rFonts w:ascii="Arial" w:hAnsi="Arial" w:cs="Arial"/>
          <w:color w:val="7B7B7B" w:themeColor="accent3" w:themeShade="BF"/>
          <w:sz w:val="22"/>
          <w:szCs w:val="22"/>
        </w:rPr>
        <w:t xml:space="preserve">a </w:t>
      </w:r>
      <w:r w:rsidR="00BA6206" w:rsidRPr="007829CA">
        <w:rPr>
          <w:rFonts w:ascii="Arial" w:hAnsi="Arial" w:cs="Arial"/>
          <w:color w:val="7B7B7B" w:themeColor="accent3" w:themeShade="BF"/>
          <w:sz w:val="22"/>
          <w:szCs w:val="22"/>
        </w:rPr>
        <w:t>supranational insolvency regim</w:t>
      </w:r>
      <w:r w:rsidR="009671E6">
        <w:rPr>
          <w:rFonts w:ascii="Arial" w:hAnsi="Arial" w:cs="Arial"/>
          <w:color w:val="7B7B7B" w:themeColor="accent3" w:themeShade="BF"/>
          <w:sz w:val="22"/>
          <w:szCs w:val="22"/>
        </w:rPr>
        <w:t>e such as that of the EIR Recast</w:t>
      </w:r>
      <w:r w:rsidR="000A4DD2" w:rsidRPr="007829CA">
        <w:rPr>
          <w:rFonts w:ascii="Arial" w:hAnsi="Arial" w:cs="Arial"/>
          <w:color w:val="7B7B7B" w:themeColor="accent3" w:themeShade="BF"/>
          <w:sz w:val="22"/>
          <w:szCs w:val="22"/>
        </w:rPr>
        <w:t>.</w:t>
      </w:r>
    </w:p>
    <w:p w14:paraId="54CE8F67" w14:textId="77777777" w:rsidR="00BA6206" w:rsidRPr="007829CA" w:rsidRDefault="00BA6206" w:rsidP="00BA6206">
      <w:pPr>
        <w:jc w:val="both"/>
        <w:rPr>
          <w:rFonts w:ascii="Arial" w:hAnsi="Arial" w:cs="Arial"/>
          <w:color w:val="7B7B7B" w:themeColor="accent3" w:themeShade="BF"/>
          <w:sz w:val="22"/>
          <w:szCs w:val="22"/>
        </w:rPr>
      </w:pPr>
    </w:p>
    <w:p w14:paraId="7F938642" w14:textId="1F37D302" w:rsidR="003963D1" w:rsidRPr="007829CA" w:rsidRDefault="003963D1" w:rsidP="000A4DD2">
      <w:pPr>
        <w:pStyle w:val="ListParagraph"/>
        <w:jc w:val="both"/>
        <w:rPr>
          <w:rFonts w:ascii="Arial" w:hAnsi="Arial" w:cs="Arial"/>
          <w:color w:val="7B7B7B" w:themeColor="accent3" w:themeShade="BF"/>
          <w:sz w:val="22"/>
          <w:szCs w:val="22"/>
        </w:rPr>
      </w:pPr>
      <w:r w:rsidRPr="007829CA">
        <w:rPr>
          <w:rFonts w:ascii="Arial" w:hAnsi="Arial" w:cs="Arial"/>
          <w:color w:val="7B7B7B" w:themeColor="accent3" w:themeShade="BF"/>
          <w:sz w:val="22"/>
          <w:szCs w:val="22"/>
        </w:rPr>
        <w:t>By having COMI defined</w:t>
      </w:r>
      <w:r w:rsidR="00104928" w:rsidRPr="007829CA">
        <w:rPr>
          <w:rFonts w:ascii="Arial" w:hAnsi="Arial" w:cs="Arial"/>
          <w:color w:val="7B7B7B" w:themeColor="accent3" w:themeShade="BF"/>
          <w:sz w:val="22"/>
          <w:szCs w:val="22"/>
        </w:rPr>
        <w:t xml:space="preserve"> </w:t>
      </w:r>
      <w:r w:rsidR="007902DA" w:rsidRPr="007829CA">
        <w:rPr>
          <w:rFonts w:ascii="Arial" w:hAnsi="Arial" w:cs="Arial"/>
          <w:color w:val="7B7B7B" w:themeColor="accent3" w:themeShade="BF"/>
          <w:sz w:val="22"/>
          <w:szCs w:val="22"/>
        </w:rPr>
        <w:t xml:space="preserve">legally </w:t>
      </w:r>
      <w:r w:rsidR="00104928" w:rsidRPr="007829CA">
        <w:rPr>
          <w:rFonts w:ascii="Arial" w:hAnsi="Arial" w:cs="Arial"/>
          <w:color w:val="7B7B7B" w:themeColor="accent3" w:themeShade="BF"/>
          <w:sz w:val="22"/>
          <w:szCs w:val="22"/>
        </w:rPr>
        <w:t xml:space="preserve">in the way that it </w:t>
      </w:r>
      <w:r w:rsidR="009671E6">
        <w:rPr>
          <w:rFonts w:ascii="Arial" w:hAnsi="Arial" w:cs="Arial"/>
          <w:color w:val="7B7B7B" w:themeColor="accent3" w:themeShade="BF"/>
          <w:sz w:val="22"/>
          <w:szCs w:val="22"/>
        </w:rPr>
        <w:t>has</w:t>
      </w:r>
      <w:r w:rsidR="00104928" w:rsidRPr="007829CA">
        <w:rPr>
          <w:rFonts w:ascii="Arial" w:hAnsi="Arial" w:cs="Arial"/>
          <w:color w:val="7B7B7B" w:themeColor="accent3" w:themeShade="BF"/>
          <w:sz w:val="22"/>
          <w:szCs w:val="22"/>
        </w:rPr>
        <w:t xml:space="preserve"> </w:t>
      </w:r>
      <w:r w:rsidR="009671E6">
        <w:rPr>
          <w:rFonts w:ascii="Arial" w:hAnsi="Arial" w:cs="Arial"/>
          <w:color w:val="7B7B7B" w:themeColor="accent3" w:themeShade="BF"/>
          <w:sz w:val="22"/>
          <w:szCs w:val="22"/>
        </w:rPr>
        <w:t xml:space="preserve">been </w:t>
      </w:r>
      <w:r w:rsidR="007902DA" w:rsidRPr="007829CA">
        <w:rPr>
          <w:rFonts w:ascii="Arial" w:hAnsi="Arial" w:cs="Arial"/>
          <w:color w:val="7B7B7B" w:themeColor="accent3" w:themeShade="BF"/>
          <w:sz w:val="22"/>
          <w:szCs w:val="22"/>
        </w:rPr>
        <w:t xml:space="preserve">under the EIR Recast, </w:t>
      </w:r>
      <w:r w:rsidR="00E92D00" w:rsidRPr="007829CA">
        <w:rPr>
          <w:rFonts w:ascii="Arial" w:hAnsi="Arial" w:cs="Arial"/>
          <w:color w:val="7B7B7B" w:themeColor="accent3" w:themeShade="BF"/>
          <w:sz w:val="22"/>
          <w:szCs w:val="22"/>
        </w:rPr>
        <w:t xml:space="preserve">it also </w:t>
      </w:r>
      <w:r w:rsidR="00BA6206" w:rsidRPr="007829CA">
        <w:rPr>
          <w:rFonts w:ascii="Arial" w:hAnsi="Arial" w:cs="Arial"/>
          <w:color w:val="7B7B7B" w:themeColor="accent3" w:themeShade="BF"/>
          <w:sz w:val="22"/>
          <w:szCs w:val="22"/>
        </w:rPr>
        <w:t xml:space="preserve">mirrors social expectations. </w:t>
      </w:r>
      <w:r w:rsidR="000A4DD2" w:rsidRPr="007829CA">
        <w:rPr>
          <w:rFonts w:ascii="Arial" w:hAnsi="Arial" w:cs="Arial"/>
          <w:color w:val="7B7B7B" w:themeColor="accent3" w:themeShade="BF"/>
          <w:sz w:val="22"/>
          <w:szCs w:val="22"/>
        </w:rPr>
        <w:t>As stated by the EU Commission, COMI ensures that insolvency matters are adjudicated by a jurisdiction where the debtor “</w:t>
      </w:r>
      <w:r w:rsidR="000A4DD2" w:rsidRPr="007829CA">
        <w:rPr>
          <w:rFonts w:ascii="Arial" w:hAnsi="Arial" w:cs="Arial"/>
          <w:i/>
          <w:iCs/>
          <w:color w:val="7B7B7B" w:themeColor="accent3" w:themeShade="BF"/>
          <w:sz w:val="22"/>
          <w:szCs w:val="22"/>
        </w:rPr>
        <w:t>has a genuine connection rather than in the one chosen by the incorporators</w:t>
      </w:r>
      <w:r w:rsidR="000A4DD2" w:rsidRPr="007829CA">
        <w:rPr>
          <w:rFonts w:ascii="Arial" w:hAnsi="Arial" w:cs="Arial"/>
          <w:color w:val="7B7B7B" w:themeColor="accent3" w:themeShade="BF"/>
          <w:sz w:val="22"/>
          <w:szCs w:val="22"/>
        </w:rPr>
        <w:t>”</w:t>
      </w:r>
      <w:r w:rsidR="000A4DD2" w:rsidRPr="007829CA">
        <w:rPr>
          <w:rStyle w:val="FootnoteReference"/>
          <w:rFonts w:ascii="Arial" w:hAnsi="Arial" w:cs="Arial"/>
          <w:color w:val="7B7B7B" w:themeColor="accent3" w:themeShade="BF"/>
          <w:sz w:val="22"/>
          <w:szCs w:val="22"/>
        </w:rPr>
        <w:footnoteReference w:id="65"/>
      </w:r>
      <w:r w:rsidR="000A4DD2" w:rsidRPr="007829CA">
        <w:rPr>
          <w:rFonts w:ascii="Arial" w:hAnsi="Arial" w:cs="Arial"/>
          <w:color w:val="7B7B7B" w:themeColor="accent3" w:themeShade="BF"/>
          <w:sz w:val="22"/>
          <w:szCs w:val="22"/>
        </w:rPr>
        <w:t>.</w:t>
      </w:r>
      <w:r w:rsidR="00E15AA0" w:rsidRPr="007829CA">
        <w:rPr>
          <w:rFonts w:ascii="Arial" w:hAnsi="Arial" w:cs="Arial"/>
          <w:color w:val="7B7B7B" w:themeColor="accent3" w:themeShade="BF"/>
          <w:sz w:val="22"/>
          <w:szCs w:val="22"/>
        </w:rPr>
        <w:t xml:space="preserve"> The advantage of this is that</w:t>
      </w:r>
      <w:r w:rsidR="005A37AD" w:rsidRPr="007829CA">
        <w:rPr>
          <w:rFonts w:ascii="Arial" w:hAnsi="Arial" w:cs="Arial"/>
          <w:color w:val="7B7B7B" w:themeColor="accent3" w:themeShade="BF"/>
          <w:sz w:val="22"/>
          <w:szCs w:val="22"/>
        </w:rPr>
        <w:t xml:space="preserve"> the jurisdiction and applicable law should coincide with what most</w:t>
      </w:r>
      <w:r w:rsidR="00E15AA0" w:rsidRPr="007829CA">
        <w:rPr>
          <w:rFonts w:ascii="Arial" w:hAnsi="Arial" w:cs="Arial"/>
          <w:color w:val="7B7B7B" w:themeColor="accent3" w:themeShade="BF"/>
          <w:sz w:val="22"/>
          <w:szCs w:val="22"/>
        </w:rPr>
        <w:t xml:space="preserve"> creditors (one of the most important stakeholder groups in any insolvency) </w:t>
      </w:r>
      <w:r w:rsidR="005A37AD" w:rsidRPr="007829CA">
        <w:rPr>
          <w:rFonts w:ascii="Arial" w:hAnsi="Arial" w:cs="Arial"/>
          <w:color w:val="7B7B7B" w:themeColor="accent3" w:themeShade="BF"/>
          <w:sz w:val="22"/>
          <w:szCs w:val="22"/>
        </w:rPr>
        <w:t>expect or are familiar with, and therefore enable</w:t>
      </w:r>
      <w:r w:rsidR="009671E6">
        <w:rPr>
          <w:rFonts w:ascii="Arial" w:hAnsi="Arial" w:cs="Arial"/>
          <w:color w:val="7B7B7B" w:themeColor="accent3" w:themeShade="BF"/>
          <w:sz w:val="22"/>
          <w:szCs w:val="22"/>
        </w:rPr>
        <w:t>s</w:t>
      </w:r>
      <w:r w:rsidR="005A37AD" w:rsidRPr="007829CA">
        <w:rPr>
          <w:rFonts w:ascii="Arial" w:hAnsi="Arial" w:cs="Arial"/>
          <w:color w:val="7B7B7B" w:themeColor="accent3" w:themeShade="BF"/>
          <w:sz w:val="22"/>
          <w:szCs w:val="22"/>
        </w:rPr>
        <w:t xml:space="preserve"> such creditors to assess risk</w:t>
      </w:r>
      <w:r w:rsidR="005A37AD" w:rsidRPr="007829CA">
        <w:rPr>
          <w:rStyle w:val="FootnoteReference"/>
          <w:rFonts w:ascii="Arial" w:hAnsi="Arial" w:cs="Arial"/>
          <w:color w:val="7B7B7B" w:themeColor="accent3" w:themeShade="BF"/>
          <w:sz w:val="22"/>
          <w:szCs w:val="22"/>
        </w:rPr>
        <w:footnoteReference w:id="66"/>
      </w:r>
      <w:r w:rsidR="005A37AD" w:rsidRPr="007829CA">
        <w:rPr>
          <w:rFonts w:ascii="Arial" w:hAnsi="Arial" w:cs="Arial"/>
          <w:color w:val="7B7B7B" w:themeColor="accent3" w:themeShade="BF"/>
          <w:sz w:val="22"/>
          <w:szCs w:val="22"/>
        </w:rPr>
        <w:t>. Given that COMI signifies a debtor’s involvement in a</w:t>
      </w:r>
      <w:r w:rsidR="009671E6">
        <w:rPr>
          <w:rFonts w:ascii="Arial" w:hAnsi="Arial" w:cs="Arial"/>
          <w:color w:val="7B7B7B" w:themeColor="accent3" w:themeShade="BF"/>
          <w:sz w:val="22"/>
          <w:szCs w:val="22"/>
        </w:rPr>
        <w:t xml:space="preserve">n EU </w:t>
      </w:r>
      <w:r w:rsidR="005A37AD" w:rsidRPr="007829CA">
        <w:rPr>
          <w:rFonts w:ascii="Arial" w:hAnsi="Arial" w:cs="Arial"/>
          <w:color w:val="7B7B7B" w:themeColor="accent3" w:themeShade="BF"/>
          <w:sz w:val="22"/>
          <w:szCs w:val="22"/>
        </w:rPr>
        <w:t xml:space="preserve">Member State, weaker types of creditors, such as employees, could also benefit from the COMI approach </w:t>
      </w:r>
      <w:r w:rsidR="009671E6">
        <w:rPr>
          <w:rFonts w:ascii="Arial" w:hAnsi="Arial" w:cs="Arial"/>
          <w:color w:val="7B7B7B" w:themeColor="accent3" w:themeShade="BF"/>
          <w:sz w:val="22"/>
          <w:szCs w:val="22"/>
        </w:rPr>
        <w:t>taken in</w:t>
      </w:r>
      <w:r w:rsidR="002D586B" w:rsidRPr="007829CA">
        <w:rPr>
          <w:rFonts w:ascii="Arial" w:hAnsi="Arial" w:cs="Arial"/>
          <w:color w:val="7B7B7B" w:themeColor="accent3" w:themeShade="BF"/>
          <w:sz w:val="22"/>
          <w:szCs w:val="22"/>
        </w:rPr>
        <w:t xml:space="preserve"> the EIR Recast</w:t>
      </w:r>
      <w:r w:rsidR="0077468D">
        <w:rPr>
          <w:rFonts w:ascii="Arial" w:hAnsi="Arial" w:cs="Arial"/>
          <w:color w:val="7B7B7B" w:themeColor="accent3" w:themeShade="BF"/>
          <w:sz w:val="22"/>
          <w:szCs w:val="22"/>
        </w:rPr>
        <w:t>. This is because</w:t>
      </w:r>
      <w:r w:rsidR="005A37AD" w:rsidRPr="007829CA">
        <w:rPr>
          <w:rFonts w:ascii="Arial" w:hAnsi="Arial" w:cs="Arial"/>
          <w:color w:val="7B7B7B" w:themeColor="accent3" w:themeShade="BF"/>
          <w:sz w:val="22"/>
          <w:szCs w:val="22"/>
        </w:rPr>
        <w:t xml:space="preserve"> they are likely to reside in the same </w:t>
      </w:r>
      <w:r w:rsidR="009671E6">
        <w:rPr>
          <w:rFonts w:ascii="Arial" w:hAnsi="Arial" w:cs="Arial"/>
          <w:color w:val="7B7B7B" w:themeColor="accent3" w:themeShade="BF"/>
          <w:sz w:val="22"/>
          <w:szCs w:val="22"/>
        </w:rPr>
        <w:t xml:space="preserve">EU </w:t>
      </w:r>
      <w:r w:rsidR="005A37AD" w:rsidRPr="007829CA">
        <w:rPr>
          <w:rFonts w:ascii="Arial" w:hAnsi="Arial" w:cs="Arial"/>
          <w:color w:val="7B7B7B" w:themeColor="accent3" w:themeShade="BF"/>
          <w:sz w:val="22"/>
          <w:szCs w:val="22"/>
        </w:rPr>
        <w:t>Member State as that of the debtor’s COMI</w:t>
      </w:r>
      <w:r w:rsidR="002D586B" w:rsidRPr="007829CA">
        <w:rPr>
          <w:rFonts w:ascii="Arial" w:hAnsi="Arial" w:cs="Arial"/>
          <w:color w:val="7B7B7B" w:themeColor="accent3" w:themeShade="BF"/>
          <w:sz w:val="22"/>
          <w:szCs w:val="22"/>
        </w:rPr>
        <w:t xml:space="preserve"> and therefore will be more familiar with the legal system</w:t>
      </w:r>
      <w:r w:rsidR="002D586B" w:rsidRPr="007829CA">
        <w:rPr>
          <w:rStyle w:val="FootnoteReference"/>
          <w:rFonts w:ascii="Arial" w:hAnsi="Arial" w:cs="Arial"/>
          <w:color w:val="7B7B7B" w:themeColor="accent3" w:themeShade="BF"/>
          <w:sz w:val="22"/>
          <w:szCs w:val="22"/>
        </w:rPr>
        <w:footnoteReference w:id="67"/>
      </w:r>
      <w:r w:rsidR="002D586B" w:rsidRPr="007829CA">
        <w:rPr>
          <w:rFonts w:ascii="Arial" w:hAnsi="Arial" w:cs="Arial"/>
          <w:color w:val="7B7B7B" w:themeColor="accent3" w:themeShade="BF"/>
          <w:sz w:val="22"/>
          <w:szCs w:val="22"/>
        </w:rPr>
        <w:t xml:space="preserve"> (as opposed to the legal system of another </w:t>
      </w:r>
      <w:r w:rsidR="0077468D">
        <w:rPr>
          <w:rFonts w:ascii="Arial" w:hAnsi="Arial" w:cs="Arial"/>
          <w:color w:val="7B7B7B" w:themeColor="accent3" w:themeShade="BF"/>
          <w:sz w:val="22"/>
          <w:szCs w:val="22"/>
        </w:rPr>
        <w:t xml:space="preserve">EU </w:t>
      </w:r>
      <w:r w:rsidR="002D586B" w:rsidRPr="007829CA">
        <w:rPr>
          <w:rFonts w:ascii="Arial" w:hAnsi="Arial" w:cs="Arial"/>
          <w:color w:val="7B7B7B" w:themeColor="accent3" w:themeShade="BF"/>
          <w:sz w:val="22"/>
          <w:szCs w:val="22"/>
        </w:rPr>
        <w:t>Member State).</w:t>
      </w:r>
    </w:p>
    <w:p w14:paraId="1A081846" w14:textId="77777777" w:rsidR="00E15AA0" w:rsidRPr="007829CA" w:rsidRDefault="00E15AA0" w:rsidP="000A4DD2">
      <w:pPr>
        <w:pStyle w:val="ListParagraph"/>
        <w:jc w:val="both"/>
        <w:rPr>
          <w:rFonts w:ascii="Arial" w:hAnsi="Arial" w:cs="Arial"/>
          <w:color w:val="7B7B7B" w:themeColor="accent3" w:themeShade="BF"/>
          <w:sz w:val="22"/>
          <w:szCs w:val="22"/>
        </w:rPr>
      </w:pPr>
    </w:p>
    <w:p w14:paraId="74E301D8" w14:textId="1535AB22" w:rsidR="00691895" w:rsidRPr="007829CA" w:rsidRDefault="00E16451">
      <w:pPr>
        <w:pStyle w:val="ListParagraph"/>
        <w:numPr>
          <w:ilvl w:val="0"/>
          <w:numId w:val="15"/>
        </w:numPr>
        <w:jc w:val="both"/>
        <w:rPr>
          <w:rFonts w:ascii="Arial" w:hAnsi="Arial" w:cs="Arial"/>
          <w:color w:val="7B7B7B" w:themeColor="accent3" w:themeShade="BF"/>
          <w:sz w:val="22"/>
          <w:szCs w:val="22"/>
        </w:rPr>
      </w:pPr>
      <w:r w:rsidRPr="007829CA">
        <w:rPr>
          <w:rFonts w:ascii="Arial" w:hAnsi="Arial" w:cs="Arial"/>
          <w:color w:val="7B7B7B" w:themeColor="accent3" w:themeShade="BF"/>
          <w:sz w:val="22"/>
          <w:szCs w:val="22"/>
        </w:rPr>
        <w:t xml:space="preserve">Another praise for the concept of COMI is that it prevents forum shopping. </w:t>
      </w:r>
      <w:r w:rsidR="007E0D66">
        <w:rPr>
          <w:rFonts w:ascii="Arial" w:hAnsi="Arial" w:cs="Arial"/>
          <w:color w:val="7B7B7B" w:themeColor="accent3" w:themeShade="BF"/>
          <w:sz w:val="22"/>
          <w:szCs w:val="22"/>
        </w:rPr>
        <w:t>T</w:t>
      </w:r>
      <w:r w:rsidRPr="007829CA">
        <w:rPr>
          <w:rFonts w:ascii="Arial" w:hAnsi="Arial" w:cs="Arial"/>
          <w:color w:val="7B7B7B" w:themeColor="accent3" w:themeShade="BF"/>
          <w:sz w:val="22"/>
          <w:szCs w:val="22"/>
        </w:rPr>
        <w:t xml:space="preserve">he </w:t>
      </w:r>
      <w:r w:rsidR="00EC1440" w:rsidRPr="007829CA">
        <w:rPr>
          <w:rFonts w:ascii="Arial" w:hAnsi="Arial" w:cs="Arial"/>
          <w:color w:val="7B7B7B" w:themeColor="accent3" w:themeShade="BF"/>
          <w:sz w:val="22"/>
          <w:szCs w:val="22"/>
        </w:rPr>
        <w:t xml:space="preserve">cornerstone of the European Single Market </w:t>
      </w:r>
      <w:r w:rsidR="007E0D66">
        <w:rPr>
          <w:rFonts w:ascii="Arial" w:hAnsi="Arial" w:cs="Arial"/>
          <w:color w:val="7B7B7B" w:themeColor="accent3" w:themeShade="BF"/>
          <w:sz w:val="22"/>
          <w:szCs w:val="22"/>
        </w:rPr>
        <w:t>is</w:t>
      </w:r>
      <w:r w:rsidR="00EC1440" w:rsidRPr="007829CA">
        <w:rPr>
          <w:rFonts w:ascii="Arial" w:hAnsi="Arial" w:cs="Arial"/>
          <w:color w:val="7B7B7B" w:themeColor="accent3" w:themeShade="BF"/>
          <w:sz w:val="22"/>
          <w:szCs w:val="22"/>
        </w:rPr>
        <w:t xml:space="preserve"> the four fundamental freedoms which are legally guaranteed</w:t>
      </w:r>
      <w:r w:rsidR="0077468D">
        <w:rPr>
          <w:rFonts w:ascii="Arial" w:hAnsi="Arial" w:cs="Arial"/>
          <w:color w:val="7B7B7B" w:themeColor="accent3" w:themeShade="BF"/>
          <w:sz w:val="22"/>
          <w:szCs w:val="22"/>
        </w:rPr>
        <w:t xml:space="preserve"> </w:t>
      </w:r>
      <w:r w:rsidR="00EC1440" w:rsidRPr="007829CA">
        <w:rPr>
          <w:rFonts w:ascii="Arial" w:hAnsi="Arial" w:cs="Arial"/>
          <w:color w:val="7B7B7B" w:themeColor="accent3" w:themeShade="BF"/>
          <w:sz w:val="22"/>
          <w:szCs w:val="22"/>
        </w:rPr>
        <w:t xml:space="preserve">- that is, the free movement of goods, capital, </w:t>
      </w:r>
      <w:proofErr w:type="gramStart"/>
      <w:r w:rsidR="00EC1440" w:rsidRPr="007829CA">
        <w:rPr>
          <w:rFonts w:ascii="Arial" w:hAnsi="Arial" w:cs="Arial"/>
          <w:color w:val="7B7B7B" w:themeColor="accent3" w:themeShade="BF"/>
          <w:sz w:val="22"/>
          <w:szCs w:val="22"/>
        </w:rPr>
        <w:t>services</w:t>
      </w:r>
      <w:proofErr w:type="gramEnd"/>
      <w:r w:rsidR="00EC1440" w:rsidRPr="007829CA">
        <w:rPr>
          <w:rFonts w:ascii="Arial" w:hAnsi="Arial" w:cs="Arial"/>
          <w:color w:val="7B7B7B" w:themeColor="accent3" w:themeShade="BF"/>
          <w:sz w:val="22"/>
          <w:szCs w:val="22"/>
        </w:rPr>
        <w:t xml:space="preserve"> and people. These “Four Freedoms” ensures the fluidity of the European Single Market. However, such fluidity can potentially frustrate an insolvency matter if a debtor were to transfer its COMI to another </w:t>
      </w:r>
      <w:r w:rsidR="0077468D">
        <w:rPr>
          <w:rFonts w:ascii="Arial" w:hAnsi="Arial" w:cs="Arial"/>
          <w:color w:val="7B7B7B" w:themeColor="accent3" w:themeShade="BF"/>
          <w:sz w:val="22"/>
          <w:szCs w:val="22"/>
        </w:rPr>
        <w:t xml:space="preserve">EU </w:t>
      </w:r>
      <w:r w:rsidR="00EC1440" w:rsidRPr="007829CA">
        <w:rPr>
          <w:rFonts w:ascii="Arial" w:hAnsi="Arial" w:cs="Arial"/>
          <w:color w:val="7B7B7B" w:themeColor="accent3" w:themeShade="BF"/>
          <w:sz w:val="22"/>
          <w:szCs w:val="22"/>
        </w:rPr>
        <w:t>Member State</w:t>
      </w:r>
      <w:r w:rsidR="00297BC9" w:rsidRPr="007829CA">
        <w:rPr>
          <w:rFonts w:ascii="Arial" w:hAnsi="Arial" w:cs="Arial"/>
          <w:color w:val="7B7B7B" w:themeColor="accent3" w:themeShade="BF"/>
          <w:sz w:val="22"/>
          <w:szCs w:val="22"/>
        </w:rPr>
        <w:t xml:space="preserve"> </w:t>
      </w:r>
      <w:proofErr w:type="gramStart"/>
      <w:r w:rsidR="00297BC9" w:rsidRPr="007829CA">
        <w:rPr>
          <w:rFonts w:ascii="Arial" w:hAnsi="Arial" w:cs="Arial"/>
          <w:color w:val="7B7B7B" w:themeColor="accent3" w:themeShade="BF"/>
          <w:sz w:val="22"/>
          <w:szCs w:val="22"/>
        </w:rPr>
        <w:t>in order to</w:t>
      </w:r>
      <w:proofErr w:type="gramEnd"/>
      <w:r w:rsidR="00297BC9" w:rsidRPr="007829CA">
        <w:rPr>
          <w:rFonts w:ascii="Arial" w:hAnsi="Arial" w:cs="Arial"/>
          <w:color w:val="7B7B7B" w:themeColor="accent3" w:themeShade="BF"/>
          <w:sz w:val="22"/>
          <w:szCs w:val="22"/>
        </w:rPr>
        <w:t xml:space="preserve">, for example, benefit from more </w:t>
      </w:r>
      <w:proofErr w:type="spellStart"/>
      <w:r w:rsidR="00297BC9" w:rsidRPr="007829CA">
        <w:rPr>
          <w:rFonts w:ascii="Arial" w:hAnsi="Arial" w:cs="Arial"/>
          <w:color w:val="7B7B7B" w:themeColor="accent3" w:themeShade="BF"/>
          <w:sz w:val="22"/>
          <w:szCs w:val="22"/>
        </w:rPr>
        <w:t>favourable</w:t>
      </w:r>
      <w:proofErr w:type="spellEnd"/>
      <w:r w:rsidR="00297BC9" w:rsidRPr="007829CA">
        <w:rPr>
          <w:rFonts w:ascii="Arial" w:hAnsi="Arial" w:cs="Arial"/>
          <w:color w:val="7B7B7B" w:themeColor="accent3" w:themeShade="BF"/>
          <w:sz w:val="22"/>
          <w:szCs w:val="22"/>
        </w:rPr>
        <w:t xml:space="preserve"> rules which can better protect the interested assets (which will be to be detriment of the creditors)</w:t>
      </w:r>
      <w:r w:rsidR="00297BC9" w:rsidRPr="007829CA">
        <w:rPr>
          <w:rStyle w:val="FootnoteReference"/>
          <w:rFonts w:ascii="Arial" w:hAnsi="Arial" w:cs="Arial"/>
          <w:color w:val="7B7B7B" w:themeColor="accent3" w:themeShade="BF"/>
          <w:sz w:val="22"/>
          <w:szCs w:val="22"/>
        </w:rPr>
        <w:footnoteReference w:id="68"/>
      </w:r>
      <w:r w:rsidR="00297BC9" w:rsidRPr="007829CA">
        <w:rPr>
          <w:rFonts w:ascii="Arial" w:hAnsi="Arial" w:cs="Arial"/>
          <w:color w:val="7B7B7B" w:themeColor="accent3" w:themeShade="BF"/>
          <w:sz w:val="22"/>
          <w:szCs w:val="22"/>
        </w:rPr>
        <w:t>.</w:t>
      </w:r>
      <w:r w:rsidR="00691895" w:rsidRPr="007829CA">
        <w:rPr>
          <w:rFonts w:ascii="Arial" w:hAnsi="Arial" w:cs="Arial"/>
          <w:color w:val="7B7B7B" w:themeColor="accent3" w:themeShade="BF"/>
          <w:sz w:val="22"/>
          <w:szCs w:val="22"/>
        </w:rPr>
        <w:t xml:space="preserve"> </w:t>
      </w:r>
      <w:r w:rsidR="00BC6899" w:rsidRPr="007829CA">
        <w:rPr>
          <w:rFonts w:ascii="Arial" w:hAnsi="Arial" w:cs="Arial"/>
          <w:color w:val="7B7B7B" w:themeColor="accent3" w:themeShade="BF"/>
          <w:sz w:val="22"/>
          <w:szCs w:val="22"/>
        </w:rPr>
        <w:t>The concept of COMI, as defined by the EIR Recast</w:t>
      </w:r>
      <w:r w:rsidR="007E0D66">
        <w:rPr>
          <w:rFonts w:ascii="Arial" w:hAnsi="Arial" w:cs="Arial"/>
          <w:color w:val="7B7B7B" w:themeColor="accent3" w:themeShade="BF"/>
          <w:sz w:val="22"/>
          <w:szCs w:val="22"/>
        </w:rPr>
        <w:t>,</w:t>
      </w:r>
      <w:r w:rsidR="00BC6899" w:rsidRPr="007829CA">
        <w:rPr>
          <w:rFonts w:ascii="Arial" w:hAnsi="Arial" w:cs="Arial"/>
          <w:color w:val="7B7B7B" w:themeColor="accent3" w:themeShade="BF"/>
          <w:sz w:val="22"/>
          <w:szCs w:val="22"/>
        </w:rPr>
        <w:t xml:space="preserve"> prevents forum shopping.</w:t>
      </w:r>
    </w:p>
    <w:p w14:paraId="5232B6F4" w14:textId="77777777" w:rsidR="00691895" w:rsidRPr="007829CA" w:rsidRDefault="00691895" w:rsidP="00691895">
      <w:pPr>
        <w:pStyle w:val="ListParagraph"/>
        <w:jc w:val="both"/>
        <w:rPr>
          <w:rFonts w:ascii="Arial" w:hAnsi="Arial" w:cs="Arial"/>
          <w:color w:val="7B7B7B" w:themeColor="accent3" w:themeShade="BF"/>
          <w:sz w:val="22"/>
          <w:szCs w:val="22"/>
        </w:rPr>
      </w:pPr>
    </w:p>
    <w:p w14:paraId="6D3847DB" w14:textId="34D790CA" w:rsidR="00475FC9" w:rsidRPr="007829CA" w:rsidRDefault="00945F0B" w:rsidP="00691895">
      <w:pPr>
        <w:pStyle w:val="ListParagraph"/>
        <w:jc w:val="both"/>
        <w:rPr>
          <w:rFonts w:ascii="Arial" w:hAnsi="Arial" w:cs="Arial"/>
          <w:color w:val="7B7B7B" w:themeColor="accent3" w:themeShade="BF"/>
          <w:sz w:val="22"/>
          <w:szCs w:val="22"/>
        </w:rPr>
      </w:pPr>
      <w:r w:rsidRPr="007829CA">
        <w:rPr>
          <w:rFonts w:ascii="Arial" w:hAnsi="Arial" w:cs="Arial"/>
          <w:color w:val="7B7B7B" w:themeColor="accent3" w:themeShade="BF"/>
          <w:sz w:val="22"/>
          <w:szCs w:val="22"/>
        </w:rPr>
        <w:t>In addition to the definition of COMI set out in Article 3(1) (as set out above), Article 3(1) further states that, in the absence of proof to the contrary, a company or legal person’s place of registered office shall be presumed to be its COMI in the event of an insolvency.</w:t>
      </w:r>
      <w:r w:rsidR="001B3918" w:rsidRPr="007829CA">
        <w:rPr>
          <w:rStyle w:val="FootnoteReference"/>
          <w:rFonts w:ascii="Arial" w:hAnsi="Arial" w:cs="Arial"/>
          <w:color w:val="7B7B7B" w:themeColor="accent3" w:themeShade="BF"/>
          <w:sz w:val="22"/>
          <w:szCs w:val="22"/>
        </w:rPr>
        <w:footnoteReference w:id="69"/>
      </w:r>
      <w:r w:rsidR="001B3918" w:rsidRPr="007829CA">
        <w:rPr>
          <w:rFonts w:ascii="Arial" w:hAnsi="Arial" w:cs="Arial"/>
          <w:color w:val="7B7B7B" w:themeColor="accent3" w:themeShade="BF"/>
          <w:sz w:val="22"/>
          <w:szCs w:val="22"/>
        </w:rPr>
        <w:t xml:space="preserve"> </w:t>
      </w:r>
      <w:r w:rsidR="00651E21" w:rsidRPr="007829CA">
        <w:rPr>
          <w:rFonts w:ascii="Arial" w:hAnsi="Arial" w:cs="Arial"/>
          <w:color w:val="7B7B7B" w:themeColor="accent3" w:themeShade="BF"/>
          <w:sz w:val="22"/>
          <w:szCs w:val="22"/>
        </w:rPr>
        <w:t xml:space="preserve">This presumption can only be rebutted if there are objective factors which would indicate to a third party that the administration of the debtor’s estate occurs in a </w:t>
      </w:r>
      <w:r w:rsidR="00651E21" w:rsidRPr="007829CA">
        <w:rPr>
          <w:rFonts w:ascii="Arial" w:hAnsi="Arial" w:cs="Arial"/>
          <w:color w:val="7B7B7B" w:themeColor="accent3" w:themeShade="BF"/>
          <w:sz w:val="22"/>
          <w:szCs w:val="22"/>
        </w:rPr>
        <w:lastRenderedPageBreak/>
        <w:t xml:space="preserve">different </w:t>
      </w:r>
      <w:r w:rsidR="00143123">
        <w:rPr>
          <w:rFonts w:ascii="Arial" w:hAnsi="Arial" w:cs="Arial"/>
          <w:color w:val="7B7B7B" w:themeColor="accent3" w:themeShade="BF"/>
          <w:sz w:val="22"/>
          <w:szCs w:val="22"/>
        </w:rPr>
        <w:t xml:space="preserve">EU </w:t>
      </w:r>
      <w:r w:rsidR="00651E21" w:rsidRPr="007829CA">
        <w:rPr>
          <w:rFonts w:ascii="Arial" w:hAnsi="Arial" w:cs="Arial"/>
          <w:color w:val="7B7B7B" w:themeColor="accent3" w:themeShade="BF"/>
          <w:sz w:val="22"/>
          <w:szCs w:val="22"/>
        </w:rPr>
        <w:t>Member State from the one where the registered office is located</w:t>
      </w:r>
      <w:r w:rsidR="00651E21" w:rsidRPr="007829CA">
        <w:rPr>
          <w:rStyle w:val="FootnoteReference"/>
          <w:rFonts w:ascii="Arial" w:hAnsi="Arial" w:cs="Arial"/>
          <w:color w:val="7B7B7B" w:themeColor="accent3" w:themeShade="BF"/>
          <w:sz w:val="22"/>
          <w:szCs w:val="22"/>
        </w:rPr>
        <w:footnoteReference w:id="70"/>
      </w:r>
      <w:r w:rsidR="00651E21" w:rsidRPr="007829CA">
        <w:rPr>
          <w:rFonts w:ascii="Arial" w:hAnsi="Arial" w:cs="Arial"/>
          <w:color w:val="7B7B7B" w:themeColor="accent3" w:themeShade="BF"/>
          <w:sz w:val="22"/>
          <w:szCs w:val="22"/>
        </w:rPr>
        <w:t>. It should be noted that s</w:t>
      </w:r>
      <w:r w:rsidR="00ED22C0" w:rsidRPr="007829CA">
        <w:rPr>
          <w:rFonts w:ascii="Arial" w:hAnsi="Arial" w:cs="Arial"/>
          <w:color w:val="7B7B7B" w:themeColor="accent3" w:themeShade="BF"/>
          <w:sz w:val="22"/>
          <w:szCs w:val="22"/>
        </w:rPr>
        <w:t xml:space="preserve">uch a presumption shall only apply where the registered office has not moved to another </w:t>
      </w:r>
      <w:r w:rsidR="00143123">
        <w:rPr>
          <w:rFonts w:ascii="Arial" w:hAnsi="Arial" w:cs="Arial"/>
          <w:color w:val="7B7B7B" w:themeColor="accent3" w:themeShade="BF"/>
          <w:sz w:val="22"/>
          <w:szCs w:val="22"/>
        </w:rPr>
        <w:t xml:space="preserve">EU </w:t>
      </w:r>
      <w:r w:rsidR="00ED22C0" w:rsidRPr="007829CA">
        <w:rPr>
          <w:rFonts w:ascii="Arial" w:hAnsi="Arial" w:cs="Arial"/>
          <w:color w:val="7B7B7B" w:themeColor="accent3" w:themeShade="BF"/>
          <w:sz w:val="22"/>
          <w:szCs w:val="22"/>
        </w:rPr>
        <w:t xml:space="preserve">Member State within the </w:t>
      </w:r>
      <w:r w:rsidR="00D91A0C" w:rsidRPr="007829CA">
        <w:rPr>
          <w:rFonts w:ascii="Arial" w:hAnsi="Arial" w:cs="Arial"/>
          <w:color w:val="7B7B7B" w:themeColor="accent3" w:themeShade="BF"/>
          <w:sz w:val="22"/>
          <w:szCs w:val="22"/>
        </w:rPr>
        <w:t>three</w:t>
      </w:r>
      <w:r w:rsidR="00ED22C0" w:rsidRPr="007829CA">
        <w:rPr>
          <w:rFonts w:ascii="Arial" w:hAnsi="Arial" w:cs="Arial"/>
          <w:color w:val="7B7B7B" w:themeColor="accent3" w:themeShade="BF"/>
          <w:sz w:val="22"/>
          <w:szCs w:val="22"/>
        </w:rPr>
        <w:t>-month period prior to the request to open the insolvency proceedings</w:t>
      </w:r>
      <w:r w:rsidR="00ED22C0" w:rsidRPr="007829CA">
        <w:rPr>
          <w:rStyle w:val="FootnoteReference"/>
          <w:rFonts w:ascii="Arial" w:hAnsi="Arial" w:cs="Arial"/>
          <w:color w:val="7B7B7B" w:themeColor="accent3" w:themeShade="BF"/>
          <w:sz w:val="22"/>
          <w:szCs w:val="22"/>
        </w:rPr>
        <w:footnoteReference w:id="71"/>
      </w:r>
      <w:r w:rsidR="00ED22C0" w:rsidRPr="007829CA">
        <w:rPr>
          <w:rFonts w:ascii="Arial" w:hAnsi="Arial" w:cs="Arial"/>
          <w:color w:val="7B7B7B" w:themeColor="accent3" w:themeShade="BF"/>
          <w:sz w:val="22"/>
          <w:szCs w:val="22"/>
        </w:rPr>
        <w:t xml:space="preserve">. </w:t>
      </w:r>
      <w:r w:rsidR="00691895" w:rsidRPr="007829CA">
        <w:rPr>
          <w:rFonts w:ascii="Arial" w:hAnsi="Arial" w:cs="Arial"/>
          <w:color w:val="7B7B7B" w:themeColor="accent3" w:themeShade="BF"/>
          <w:sz w:val="22"/>
          <w:szCs w:val="22"/>
        </w:rPr>
        <w:t xml:space="preserve">The </w:t>
      </w:r>
      <w:r w:rsidR="00D91A0C" w:rsidRPr="007829CA">
        <w:rPr>
          <w:rFonts w:ascii="Arial" w:hAnsi="Arial" w:cs="Arial"/>
          <w:color w:val="7B7B7B" w:themeColor="accent3" w:themeShade="BF"/>
          <w:sz w:val="22"/>
          <w:szCs w:val="22"/>
        </w:rPr>
        <w:t>three-</w:t>
      </w:r>
      <w:r w:rsidR="00691895" w:rsidRPr="007829CA">
        <w:rPr>
          <w:rFonts w:ascii="Arial" w:hAnsi="Arial" w:cs="Arial"/>
          <w:color w:val="7B7B7B" w:themeColor="accent3" w:themeShade="BF"/>
          <w:sz w:val="22"/>
          <w:szCs w:val="22"/>
        </w:rPr>
        <w:t>month period is a “suspect” period</w:t>
      </w:r>
      <w:r w:rsidR="00691895" w:rsidRPr="007829CA">
        <w:rPr>
          <w:rStyle w:val="FootnoteReference"/>
          <w:rFonts w:ascii="Arial" w:hAnsi="Arial" w:cs="Arial"/>
          <w:color w:val="7B7B7B" w:themeColor="accent3" w:themeShade="BF"/>
          <w:sz w:val="22"/>
          <w:szCs w:val="22"/>
        </w:rPr>
        <w:footnoteReference w:id="72"/>
      </w:r>
      <w:r w:rsidR="00691895" w:rsidRPr="007829CA">
        <w:rPr>
          <w:rFonts w:ascii="Arial" w:hAnsi="Arial" w:cs="Arial"/>
          <w:color w:val="7B7B7B" w:themeColor="accent3" w:themeShade="BF"/>
          <w:sz w:val="22"/>
          <w:szCs w:val="22"/>
        </w:rPr>
        <w:t xml:space="preserve"> and it</w:t>
      </w:r>
      <w:r w:rsidR="004C4C33" w:rsidRPr="007829CA">
        <w:rPr>
          <w:rFonts w:ascii="Arial" w:hAnsi="Arial" w:cs="Arial"/>
          <w:color w:val="7B7B7B" w:themeColor="accent3" w:themeShade="BF"/>
          <w:sz w:val="22"/>
          <w:szCs w:val="22"/>
        </w:rPr>
        <w:t xml:space="preserve"> “</w:t>
      </w:r>
      <w:r w:rsidR="004C4C33" w:rsidRPr="007829CA">
        <w:rPr>
          <w:rFonts w:ascii="Arial" w:hAnsi="Arial" w:cs="Arial"/>
          <w:i/>
          <w:iCs/>
          <w:color w:val="7B7B7B" w:themeColor="accent3" w:themeShade="BF"/>
          <w:sz w:val="22"/>
          <w:szCs w:val="22"/>
        </w:rPr>
        <w:t>creates a safeguard against fraudulent manipulation of the insolvency forum (and “forum shopping”) shortly before the actual insolvency filing</w:t>
      </w:r>
      <w:r w:rsidR="004C4C33" w:rsidRPr="007829CA">
        <w:rPr>
          <w:rFonts w:ascii="Arial" w:hAnsi="Arial" w:cs="Arial"/>
          <w:color w:val="7B7B7B" w:themeColor="accent3" w:themeShade="BF"/>
          <w:sz w:val="22"/>
          <w:szCs w:val="22"/>
        </w:rPr>
        <w:t>”</w:t>
      </w:r>
      <w:r w:rsidR="004C4C33" w:rsidRPr="007829CA">
        <w:rPr>
          <w:rStyle w:val="FootnoteReference"/>
          <w:rFonts w:ascii="Arial" w:hAnsi="Arial" w:cs="Arial"/>
          <w:color w:val="7B7B7B" w:themeColor="accent3" w:themeShade="BF"/>
          <w:sz w:val="22"/>
          <w:szCs w:val="22"/>
        </w:rPr>
        <w:footnoteReference w:id="73"/>
      </w:r>
      <w:r w:rsidR="004C4C33" w:rsidRPr="007829CA">
        <w:rPr>
          <w:rFonts w:ascii="Arial" w:hAnsi="Arial" w:cs="Arial"/>
          <w:color w:val="7B7B7B" w:themeColor="accent3" w:themeShade="BF"/>
          <w:sz w:val="22"/>
          <w:szCs w:val="22"/>
        </w:rPr>
        <w:t>.</w:t>
      </w:r>
      <w:r w:rsidR="00691895" w:rsidRPr="007829CA">
        <w:rPr>
          <w:rFonts w:ascii="Arial" w:hAnsi="Arial" w:cs="Arial"/>
          <w:color w:val="7B7B7B" w:themeColor="accent3" w:themeShade="BF"/>
          <w:sz w:val="22"/>
          <w:szCs w:val="22"/>
        </w:rPr>
        <w:t xml:space="preserve"> The </w:t>
      </w:r>
      <w:r w:rsidR="00D91A0C" w:rsidRPr="007829CA">
        <w:rPr>
          <w:rFonts w:ascii="Arial" w:hAnsi="Arial" w:cs="Arial"/>
          <w:color w:val="7B7B7B" w:themeColor="accent3" w:themeShade="BF"/>
          <w:sz w:val="22"/>
          <w:szCs w:val="22"/>
        </w:rPr>
        <w:t xml:space="preserve">result of this is that if the registered office has been moved within the suspect period, the court will, in determining the COMI, disregard the change of registered office as if no change had ever occurred. The case </w:t>
      </w:r>
      <w:r w:rsidR="00590A27" w:rsidRPr="007829CA">
        <w:rPr>
          <w:rFonts w:ascii="Arial" w:hAnsi="Arial" w:cs="Arial"/>
          <w:color w:val="7B7B7B" w:themeColor="accent3" w:themeShade="BF"/>
          <w:sz w:val="22"/>
          <w:szCs w:val="22"/>
        </w:rPr>
        <w:t xml:space="preserve">of </w:t>
      </w:r>
      <w:r w:rsidR="00590A27" w:rsidRPr="007829CA">
        <w:rPr>
          <w:rFonts w:ascii="Arial" w:hAnsi="Arial" w:cs="Arial"/>
          <w:i/>
          <w:iCs/>
          <w:color w:val="7B7B7B" w:themeColor="accent3" w:themeShade="BF"/>
          <w:sz w:val="22"/>
          <w:szCs w:val="22"/>
        </w:rPr>
        <w:t>Susanne Staubitz-Schreiber</w:t>
      </w:r>
      <w:r w:rsidR="00590A27" w:rsidRPr="007829CA">
        <w:rPr>
          <w:rStyle w:val="FootnoteReference"/>
          <w:rFonts w:ascii="Arial" w:hAnsi="Arial" w:cs="Arial"/>
          <w:i/>
          <w:iCs/>
          <w:color w:val="7B7B7B" w:themeColor="accent3" w:themeShade="BF"/>
          <w:sz w:val="22"/>
          <w:szCs w:val="22"/>
        </w:rPr>
        <w:footnoteReference w:id="74"/>
      </w:r>
      <w:r w:rsidR="00590A27" w:rsidRPr="007829CA">
        <w:rPr>
          <w:rFonts w:ascii="Arial" w:hAnsi="Arial" w:cs="Arial"/>
          <w:color w:val="7B7B7B" w:themeColor="accent3" w:themeShade="BF"/>
          <w:sz w:val="22"/>
          <w:szCs w:val="22"/>
        </w:rPr>
        <w:t xml:space="preserve"> demonstrates this – the question was whether the court in Germany still </w:t>
      </w:r>
      <w:proofErr w:type="gramStart"/>
      <w:r w:rsidR="00590A27" w:rsidRPr="007829CA">
        <w:rPr>
          <w:rFonts w:ascii="Arial" w:hAnsi="Arial" w:cs="Arial"/>
          <w:color w:val="7B7B7B" w:themeColor="accent3" w:themeShade="BF"/>
          <w:sz w:val="22"/>
          <w:szCs w:val="22"/>
        </w:rPr>
        <w:t>had jurisdiction to open insolvency proceedings</w:t>
      </w:r>
      <w:proofErr w:type="gramEnd"/>
      <w:r w:rsidR="00590A27" w:rsidRPr="007829CA">
        <w:rPr>
          <w:rFonts w:ascii="Arial" w:hAnsi="Arial" w:cs="Arial"/>
          <w:color w:val="7B7B7B" w:themeColor="accent3" w:themeShade="BF"/>
          <w:sz w:val="22"/>
          <w:szCs w:val="22"/>
        </w:rPr>
        <w:t xml:space="preserve"> when the applicant (debtor) moved her COMI to a different </w:t>
      </w:r>
      <w:r w:rsidR="00143123">
        <w:rPr>
          <w:rFonts w:ascii="Arial" w:hAnsi="Arial" w:cs="Arial"/>
          <w:color w:val="7B7B7B" w:themeColor="accent3" w:themeShade="BF"/>
          <w:sz w:val="22"/>
          <w:szCs w:val="22"/>
        </w:rPr>
        <w:t xml:space="preserve">EU </w:t>
      </w:r>
      <w:r w:rsidR="00590A27" w:rsidRPr="007829CA">
        <w:rPr>
          <w:rFonts w:ascii="Arial" w:hAnsi="Arial" w:cs="Arial"/>
          <w:color w:val="7B7B7B" w:themeColor="accent3" w:themeShade="BF"/>
          <w:sz w:val="22"/>
          <w:szCs w:val="22"/>
        </w:rPr>
        <w:t>Member State (being Spain)</w:t>
      </w:r>
      <w:r w:rsidR="00544C52" w:rsidRPr="007829CA">
        <w:rPr>
          <w:rFonts w:ascii="Arial" w:hAnsi="Arial" w:cs="Arial"/>
          <w:color w:val="7B7B7B" w:themeColor="accent3" w:themeShade="BF"/>
          <w:sz w:val="22"/>
          <w:szCs w:val="22"/>
        </w:rPr>
        <w:t xml:space="preserve"> after a request to open insolvency proceedings was made but before they were opened</w:t>
      </w:r>
      <w:r w:rsidR="00590A27" w:rsidRPr="007829CA">
        <w:rPr>
          <w:rFonts w:ascii="Arial" w:hAnsi="Arial" w:cs="Arial"/>
          <w:color w:val="7B7B7B" w:themeColor="accent3" w:themeShade="BF"/>
          <w:sz w:val="22"/>
          <w:szCs w:val="22"/>
        </w:rPr>
        <w:t xml:space="preserve">. The CJEU concluded that </w:t>
      </w:r>
      <w:r w:rsidR="00704170" w:rsidRPr="007829CA">
        <w:rPr>
          <w:rFonts w:ascii="Arial" w:hAnsi="Arial" w:cs="Arial"/>
          <w:color w:val="7B7B7B" w:themeColor="accent3" w:themeShade="BF"/>
          <w:sz w:val="22"/>
          <w:szCs w:val="22"/>
        </w:rPr>
        <w:t xml:space="preserve">the German court (where the COMI was located at the time the request to open insolvency proceedings </w:t>
      </w:r>
      <w:r w:rsidR="00143123">
        <w:rPr>
          <w:rFonts w:ascii="Arial" w:hAnsi="Arial" w:cs="Arial"/>
          <w:color w:val="7B7B7B" w:themeColor="accent3" w:themeShade="BF"/>
          <w:sz w:val="22"/>
          <w:szCs w:val="22"/>
        </w:rPr>
        <w:t xml:space="preserve">was </w:t>
      </w:r>
      <w:r w:rsidR="00704170" w:rsidRPr="007829CA">
        <w:rPr>
          <w:rFonts w:ascii="Arial" w:hAnsi="Arial" w:cs="Arial"/>
          <w:color w:val="7B7B7B" w:themeColor="accent3" w:themeShade="BF"/>
          <w:sz w:val="22"/>
          <w:szCs w:val="22"/>
        </w:rPr>
        <w:t>made), retained jurisdiction.</w:t>
      </w:r>
      <w:r w:rsidR="00704170" w:rsidRPr="007829CA">
        <w:rPr>
          <w:rStyle w:val="FootnoteReference"/>
          <w:rFonts w:ascii="Arial" w:hAnsi="Arial" w:cs="Arial"/>
          <w:color w:val="7B7B7B" w:themeColor="accent3" w:themeShade="BF"/>
          <w:sz w:val="22"/>
          <w:szCs w:val="22"/>
        </w:rPr>
        <w:footnoteReference w:id="75"/>
      </w:r>
      <w:r w:rsidR="00704170" w:rsidRPr="007829CA">
        <w:rPr>
          <w:rFonts w:ascii="Arial" w:hAnsi="Arial" w:cs="Arial"/>
          <w:color w:val="7B7B7B" w:themeColor="accent3" w:themeShade="BF"/>
          <w:sz w:val="22"/>
          <w:szCs w:val="22"/>
        </w:rPr>
        <w:t xml:space="preserve"> The rationale was set out in paragraphs 25 and 26 of the judgment where it was stated that such a transfer of jurisdiction would be </w:t>
      </w:r>
      <w:r w:rsidR="00475FC9" w:rsidRPr="007829CA">
        <w:rPr>
          <w:rFonts w:ascii="Arial" w:hAnsi="Arial" w:cs="Arial"/>
          <w:color w:val="7B7B7B" w:themeColor="accent3" w:themeShade="BF"/>
          <w:sz w:val="22"/>
          <w:szCs w:val="22"/>
        </w:rPr>
        <w:t>contrary to:</w:t>
      </w:r>
    </w:p>
    <w:p w14:paraId="535FD5DC" w14:textId="37E87F06" w:rsidR="00DC62DC" w:rsidRPr="007829CA" w:rsidRDefault="00475FC9">
      <w:pPr>
        <w:pStyle w:val="ListParagraph"/>
        <w:numPr>
          <w:ilvl w:val="0"/>
          <w:numId w:val="16"/>
        </w:numPr>
        <w:jc w:val="both"/>
        <w:rPr>
          <w:rFonts w:ascii="Arial" w:hAnsi="Arial" w:cs="Arial"/>
          <w:color w:val="7B7B7B" w:themeColor="accent3" w:themeShade="BF"/>
          <w:sz w:val="22"/>
          <w:szCs w:val="22"/>
        </w:rPr>
      </w:pPr>
      <w:r w:rsidRPr="007829CA">
        <w:rPr>
          <w:rFonts w:ascii="Arial" w:hAnsi="Arial" w:cs="Arial"/>
          <w:color w:val="7B7B7B" w:themeColor="accent3" w:themeShade="BF"/>
          <w:sz w:val="22"/>
          <w:szCs w:val="22"/>
        </w:rPr>
        <w:t xml:space="preserve">The intention of the EU insolvency regime to avoid providing incentives to parties to transfer assets or judicial proceedings to another </w:t>
      </w:r>
      <w:r w:rsidR="00143123">
        <w:rPr>
          <w:rFonts w:ascii="Arial" w:hAnsi="Arial" w:cs="Arial"/>
          <w:color w:val="7B7B7B" w:themeColor="accent3" w:themeShade="BF"/>
          <w:sz w:val="22"/>
          <w:szCs w:val="22"/>
        </w:rPr>
        <w:t xml:space="preserve">EU </w:t>
      </w:r>
      <w:r w:rsidRPr="007829CA">
        <w:rPr>
          <w:rFonts w:ascii="Arial" w:hAnsi="Arial" w:cs="Arial"/>
          <w:color w:val="7B7B7B" w:themeColor="accent3" w:themeShade="BF"/>
          <w:sz w:val="22"/>
          <w:szCs w:val="22"/>
        </w:rPr>
        <w:t xml:space="preserve">Member State </w:t>
      </w:r>
      <w:proofErr w:type="gramStart"/>
      <w:r w:rsidRPr="007829CA">
        <w:rPr>
          <w:rFonts w:ascii="Arial" w:hAnsi="Arial" w:cs="Arial"/>
          <w:color w:val="7B7B7B" w:themeColor="accent3" w:themeShade="BF"/>
          <w:sz w:val="22"/>
          <w:szCs w:val="22"/>
        </w:rPr>
        <w:t>in order to</w:t>
      </w:r>
      <w:proofErr w:type="gramEnd"/>
      <w:r w:rsidRPr="007829CA">
        <w:rPr>
          <w:rFonts w:ascii="Arial" w:hAnsi="Arial" w:cs="Arial"/>
          <w:color w:val="7B7B7B" w:themeColor="accent3" w:themeShade="BF"/>
          <w:sz w:val="22"/>
          <w:szCs w:val="22"/>
        </w:rPr>
        <w:t xml:space="preserve"> obtain a more advantageous legal position</w:t>
      </w:r>
      <w:r w:rsidRPr="007829CA">
        <w:rPr>
          <w:rStyle w:val="FootnoteReference"/>
          <w:rFonts w:ascii="Arial" w:hAnsi="Arial" w:cs="Arial"/>
          <w:color w:val="7B7B7B" w:themeColor="accent3" w:themeShade="BF"/>
          <w:sz w:val="22"/>
          <w:szCs w:val="22"/>
        </w:rPr>
        <w:footnoteReference w:id="76"/>
      </w:r>
      <w:r w:rsidRPr="007829CA">
        <w:rPr>
          <w:rFonts w:ascii="Arial" w:hAnsi="Arial" w:cs="Arial"/>
          <w:color w:val="7B7B7B" w:themeColor="accent3" w:themeShade="BF"/>
          <w:sz w:val="22"/>
          <w:szCs w:val="22"/>
        </w:rPr>
        <w:t>; and</w:t>
      </w:r>
    </w:p>
    <w:p w14:paraId="475570DC" w14:textId="77777777" w:rsidR="00CC4A4E" w:rsidRPr="007829CA" w:rsidRDefault="00CC4A4E" w:rsidP="00CC4A4E">
      <w:pPr>
        <w:jc w:val="both"/>
        <w:rPr>
          <w:rFonts w:ascii="Arial" w:hAnsi="Arial" w:cs="Arial"/>
          <w:color w:val="7B7B7B" w:themeColor="accent3" w:themeShade="BF"/>
          <w:sz w:val="22"/>
          <w:szCs w:val="22"/>
        </w:rPr>
      </w:pPr>
    </w:p>
    <w:p w14:paraId="726F2479" w14:textId="2C45C1AD" w:rsidR="00704170" w:rsidRPr="007829CA" w:rsidRDefault="00475FC9">
      <w:pPr>
        <w:pStyle w:val="ListParagraph"/>
        <w:numPr>
          <w:ilvl w:val="0"/>
          <w:numId w:val="16"/>
        </w:numPr>
        <w:jc w:val="both"/>
        <w:rPr>
          <w:rFonts w:ascii="Arial" w:hAnsi="Arial" w:cs="Arial"/>
          <w:color w:val="7B7B7B" w:themeColor="accent3" w:themeShade="BF"/>
          <w:sz w:val="22"/>
          <w:szCs w:val="22"/>
        </w:rPr>
      </w:pPr>
      <w:r w:rsidRPr="007829CA">
        <w:rPr>
          <w:rFonts w:ascii="Arial" w:hAnsi="Arial" w:cs="Arial"/>
          <w:color w:val="7B7B7B" w:themeColor="accent3" w:themeShade="BF"/>
          <w:sz w:val="22"/>
          <w:szCs w:val="22"/>
        </w:rPr>
        <w:t xml:space="preserve">The overriding objective of the EU insolvency regime to have </w:t>
      </w:r>
      <w:r w:rsidR="00A9030A" w:rsidRPr="007829CA">
        <w:rPr>
          <w:rFonts w:ascii="Arial" w:hAnsi="Arial" w:cs="Arial"/>
          <w:color w:val="7B7B7B" w:themeColor="accent3" w:themeShade="BF"/>
          <w:sz w:val="22"/>
          <w:szCs w:val="22"/>
        </w:rPr>
        <w:t xml:space="preserve">cross-border proceedings which are efficient and effective, as such judicial transfers </w:t>
      </w:r>
      <w:r w:rsidRPr="007829CA">
        <w:rPr>
          <w:rFonts w:ascii="Arial" w:hAnsi="Arial" w:cs="Arial"/>
          <w:color w:val="7B7B7B" w:themeColor="accent3" w:themeShade="BF"/>
          <w:sz w:val="22"/>
          <w:szCs w:val="22"/>
        </w:rPr>
        <w:t>“</w:t>
      </w:r>
      <w:r w:rsidR="00704170" w:rsidRPr="007829CA">
        <w:rPr>
          <w:rFonts w:ascii="Arial" w:hAnsi="Arial" w:cs="Arial"/>
          <w:i/>
          <w:iCs/>
          <w:color w:val="7B7B7B" w:themeColor="accent3" w:themeShade="BF"/>
          <w:sz w:val="22"/>
          <w:szCs w:val="22"/>
        </w:rPr>
        <w:t>would oblige creditors to be in continual pursuit of the debtor wherever he chose to establish himself</w:t>
      </w:r>
      <w:r w:rsidR="00A9030A" w:rsidRPr="007829CA">
        <w:rPr>
          <w:rFonts w:ascii="Arial" w:hAnsi="Arial" w:cs="Arial"/>
          <w:i/>
          <w:iCs/>
          <w:color w:val="7B7B7B" w:themeColor="accent3" w:themeShade="BF"/>
          <w:sz w:val="22"/>
          <w:szCs w:val="22"/>
        </w:rPr>
        <w:t>…</w:t>
      </w:r>
      <w:r w:rsidR="00704170" w:rsidRPr="007829CA">
        <w:rPr>
          <w:rFonts w:ascii="Arial" w:hAnsi="Arial" w:cs="Arial"/>
          <w:i/>
          <w:iCs/>
          <w:color w:val="7B7B7B" w:themeColor="accent3" w:themeShade="BF"/>
          <w:sz w:val="22"/>
          <w:szCs w:val="22"/>
        </w:rPr>
        <w:t>and would often mean in practice that the proceedings would be prolonged</w:t>
      </w:r>
      <w:r w:rsidR="00704170" w:rsidRPr="007829CA">
        <w:rPr>
          <w:rFonts w:ascii="Arial" w:hAnsi="Arial" w:cs="Arial"/>
          <w:color w:val="7B7B7B" w:themeColor="accent3" w:themeShade="BF"/>
          <w:sz w:val="22"/>
          <w:szCs w:val="22"/>
        </w:rPr>
        <w:t>.</w:t>
      </w:r>
      <w:r w:rsidRPr="007829CA">
        <w:rPr>
          <w:rStyle w:val="FootnoteReference"/>
          <w:rFonts w:ascii="Arial" w:hAnsi="Arial" w:cs="Arial"/>
          <w:color w:val="7B7B7B" w:themeColor="accent3" w:themeShade="BF"/>
          <w:sz w:val="22"/>
          <w:szCs w:val="22"/>
        </w:rPr>
        <w:footnoteReference w:id="77"/>
      </w:r>
      <w:r w:rsidRPr="007829CA">
        <w:rPr>
          <w:rFonts w:ascii="Arial" w:hAnsi="Arial" w:cs="Arial"/>
          <w:color w:val="7B7B7B" w:themeColor="accent3" w:themeShade="BF"/>
          <w:sz w:val="22"/>
          <w:szCs w:val="22"/>
        </w:rPr>
        <w:t>”</w:t>
      </w:r>
    </w:p>
    <w:p w14:paraId="5853C87C" w14:textId="77777777" w:rsidR="00704170" w:rsidRPr="007829CA" w:rsidRDefault="00704170" w:rsidP="00BC6899">
      <w:pPr>
        <w:pStyle w:val="ListParagraph"/>
        <w:jc w:val="both"/>
        <w:rPr>
          <w:rFonts w:ascii="Arial" w:hAnsi="Arial" w:cs="Arial"/>
          <w:color w:val="7B7B7B" w:themeColor="accent3" w:themeShade="BF"/>
          <w:sz w:val="22"/>
          <w:szCs w:val="22"/>
        </w:rPr>
      </w:pPr>
    </w:p>
    <w:p w14:paraId="0CC82F5B" w14:textId="2BE2703D" w:rsidR="00704170" w:rsidRPr="007829CA" w:rsidRDefault="00A9030A" w:rsidP="00BC6899">
      <w:pPr>
        <w:pStyle w:val="ListParagraph"/>
        <w:jc w:val="both"/>
        <w:rPr>
          <w:rFonts w:ascii="Arial" w:hAnsi="Arial" w:cs="Arial"/>
          <w:color w:val="7B7B7B" w:themeColor="accent3" w:themeShade="BF"/>
          <w:sz w:val="22"/>
          <w:szCs w:val="22"/>
        </w:rPr>
      </w:pPr>
      <w:r w:rsidRPr="007829CA">
        <w:rPr>
          <w:rFonts w:ascii="Arial" w:hAnsi="Arial" w:cs="Arial"/>
          <w:i/>
          <w:iCs/>
          <w:color w:val="7B7B7B" w:themeColor="accent3" w:themeShade="BF"/>
          <w:sz w:val="22"/>
          <w:szCs w:val="22"/>
        </w:rPr>
        <w:t>Susanne Staubitz-Schreiber</w:t>
      </w:r>
      <w:r w:rsidRPr="007829CA">
        <w:rPr>
          <w:rFonts w:ascii="Arial" w:hAnsi="Arial" w:cs="Arial"/>
          <w:color w:val="7B7B7B" w:themeColor="accent3" w:themeShade="BF"/>
          <w:sz w:val="22"/>
          <w:szCs w:val="22"/>
        </w:rPr>
        <w:t xml:space="preserve"> resulted in the registered office safeguard which </w:t>
      </w:r>
      <w:r w:rsidR="00F66AB8">
        <w:rPr>
          <w:rFonts w:ascii="Arial" w:hAnsi="Arial" w:cs="Arial"/>
          <w:color w:val="7B7B7B" w:themeColor="accent3" w:themeShade="BF"/>
          <w:sz w:val="22"/>
          <w:szCs w:val="22"/>
        </w:rPr>
        <w:t xml:space="preserve">was codified </w:t>
      </w:r>
      <w:r w:rsidRPr="007829CA">
        <w:rPr>
          <w:rFonts w:ascii="Arial" w:hAnsi="Arial" w:cs="Arial"/>
          <w:color w:val="7B7B7B" w:themeColor="accent3" w:themeShade="BF"/>
          <w:sz w:val="22"/>
          <w:szCs w:val="22"/>
        </w:rPr>
        <w:t>in Article 3(1) of the EIR Recast. Article 3(1) prevents a debtor from frustrating the insolvency process</w:t>
      </w:r>
      <w:r w:rsidR="00F66AB8">
        <w:rPr>
          <w:rFonts w:ascii="Arial" w:hAnsi="Arial" w:cs="Arial"/>
          <w:color w:val="7B7B7B" w:themeColor="accent3" w:themeShade="BF"/>
          <w:sz w:val="22"/>
          <w:szCs w:val="22"/>
        </w:rPr>
        <w:t xml:space="preserve"> via forum shopping.</w:t>
      </w:r>
    </w:p>
    <w:p w14:paraId="27C1045F" w14:textId="32D1694F" w:rsidR="008D6048" w:rsidRPr="009B6724" w:rsidRDefault="008D6048" w:rsidP="002A37BB">
      <w:pPr>
        <w:jc w:val="both"/>
        <w:rPr>
          <w:rFonts w:ascii="Arial" w:hAnsi="Arial"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4CC22B32" w14:textId="77777777" w:rsidR="00A54DDE" w:rsidRPr="008E3C96" w:rsidRDefault="00A54DDE" w:rsidP="002A37BB">
      <w:pPr>
        <w:jc w:val="both"/>
        <w:rPr>
          <w:rFonts w:ascii="Avenir Next" w:hAnsi="Avenir Next" w:cs="Arial"/>
          <w:color w:val="7B7B7B" w:themeColor="accent3" w:themeShade="BF"/>
          <w:sz w:val="22"/>
          <w:szCs w:val="22"/>
          <w:lang w:val="en-GB"/>
        </w:rPr>
      </w:pPr>
    </w:p>
    <w:p w14:paraId="48EEA216" w14:textId="4BAA47F7" w:rsidR="00EB6B9A" w:rsidRPr="006A58BE" w:rsidRDefault="000A3278" w:rsidP="000A3278">
      <w:pPr>
        <w:jc w:val="both"/>
        <w:rPr>
          <w:rFonts w:ascii="Arial" w:hAnsi="Arial" w:cs="Arial"/>
          <w:color w:val="7B7B7B" w:themeColor="accent3" w:themeShade="BF"/>
          <w:sz w:val="22"/>
          <w:szCs w:val="22"/>
        </w:rPr>
      </w:pPr>
      <w:r w:rsidRPr="006A58BE">
        <w:rPr>
          <w:rFonts w:ascii="Arial" w:hAnsi="Arial" w:cs="Arial"/>
          <w:color w:val="7B7B7B" w:themeColor="accent3" w:themeShade="BF"/>
          <w:sz w:val="22"/>
          <w:szCs w:val="22"/>
        </w:rPr>
        <w:t>T</w:t>
      </w:r>
      <w:r w:rsidR="00B97C62" w:rsidRPr="006A58BE">
        <w:rPr>
          <w:rFonts w:ascii="Arial" w:hAnsi="Arial" w:cs="Arial"/>
          <w:color w:val="7B7B7B" w:themeColor="accent3" w:themeShade="BF"/>
          <w:sz w:val="22"/>
          <w:szCs w:val="22"/>
        </w:rPr>
        <w:t>he Directive on Preventive Restructuring Frameworks (the “</w:t>
      </w:r>
      <w:r w:rsidR="00B97C62" w:rsidRPr="006A58BE">
        <w:rPr>
          <w:rFonts w:ascii="Arial" w:hAnsi="Arial" w:cs="Arial"/>
          <w:b/>
          <w:bCs/>
          <w:color w:val="7B7B7B" w:themeColor="accent3" w:themeShade="BF"/>
          <w:sz w:val="22"/>
          <w:szCs w:val="22"/>
        </w:rPr>
        <w:t>Directive</w:t>
      </w:r>
      <w:r w:rsidR="00B97C62" w:rsidRPr="006A58BE">
        <w:rPr>
          <w:rFonts w:ascii="Arial" w:hAnsi="Arial" w:cs="Arial"/>
          <w:color w:val="7B7B7B" w:themeColor="accent3" w:themeShade="BF"/>
          <w:sz w:val="22"/>
          <w:szCs w:val="22"/>
        </w:rPr>
        <w:t xml:space="preserve">”) </w:t>
      </w:r>
      <w:r w:rsidR="00651E55" w:rsidRPr="006A58BE">
        <w:rPr>
          <w:rFonts w:ascii="Arial" w:hAnsi="Arial" w:cs="Arial"/>
          <w:color w:val="7B7B7B" w:themeColor="accent3" w:themeShade="BF"/>
          <w:sz w:val="22"/>
          <w:szCs w:val="22"/>
        </w:rPr>
        <w:t>applies to all European Union (“</w:t>
      </w:r>
      <w:r w:rsidR="00651E55" w:rsidRPr="006A58BE">
        <w:rPr>
          <w:rFonts w:ascii="Arial" w:hAnsi="Arial" w:cs="Arial"/>
          <w:b/>
          <w:bCs/>
          <w:color w:val="7B7B7B" w:themeColor="accent3" w:themeShade="BF"/>
          <w:sz w:val="22"/>
          <w:szCs w:val="22"/>
        </w:rPr>
        <w:t>EU</w:t>
      </w:r>
      <w:r w:rsidR="00651E55" w:rsidRPr="006A58BE">
        <w:rPr>
          <w:rFonts w:ascii="Arial" w:hAnsi="Arial" w:cs="Arial"/>
          <w:color w:val="7B7B7B" w:themeColor="accent3" w:themeShade="BF"/>
          <w:sz w:val="22"/>
          <w:szCs w:val="22"/>
        </w:rPr>
        <w:t xml:space="preserve">”) Member States and its purpose is </w:t>
      </w:r>
      <w:r w:rsidR="00A31E2B" w:rsidRPr="006A58BE">
        <w:rPr>
          <w:rFonts w:ascii="Arial" w:hAnsi="Arial" w:cs="Arial"/>
          <w:color w:val="7B7B7B" w:themeColor="accent3" w:themeShade="BF"/>
          <w:sz w:val="22"/>
          <w:szCs w:val="22"/>
        </w:rPr>
        <w:t xml:space="preserve">the creation of </w:t>
      </w:r>
      <w:r w:rsidR="00651E55" w:rsidRPr="006A58BE">
        <w:rPr>
          <w:rFonts w:ascii="Arial" w:hAnsi="Arial" w:cs="Arial"/>
          <w:color w:val="7B7B7B" w:themeColor="accent3" w:themeShade="BF"/>
          <w:sz w:val="22"/>
          <w:szCs w:val="22"/>
        </w:rPr>
        <w:t>“</w:t>
      </w:r>
      <w:r w:rsidR="00651E55" w:rsidRPr="006A58BE">
        <w:rPr>
          <w:rFonts w:ascii="Arial" w:hAnsi="Arial" w:cs="Arial"/>
          <w:i/>
          <w:iCs/>
          <w:color w:val="7B7B7B" w:themeColor="accent3" w:themeShade="BF"/>
          <w:sz w:val="22"/>
          <w:szCs w:val="22"/>
        </w:rPr>
        <w:t>a uniform system</w:t>
      </w:r>
      <w:r w:rsidR="006A58BE">
        <w:rPr>
          <w:rFonts w:ascii="Arial" w:hAnsi="Arial" w:cs="Arial"/>
          <w:i/>
          <w:iCs/>
          <w:color w:val="7B7B7B" w:themeColor="accent3" w:themeShade="BF"/>
          <w:sz w:val="22"/>
          <w:szCs w:val="22"/>
        </w:rPr>
        <w:t>…</w:t>
      </w:r>
      <w:r w:rsidR="00651E55" w:rsidRPr="006A58BE">
        <w:rPr>
          <w:rFonts w:ascii="Arial" w:hAnsi="Arial" w:cs="Arial"/>
          <w:i/>
          <w:iCs/>
          <w:color w:val="7B7B7B" w:themeColor="accent3" w:themeShade="BF"/>
          <w:sz w:val="22"/>
          <w:szCs w:val="22"/>
        </w:rPr>
        <w:t xml:space="preserve">to address financial distress, avoid the build-up of non-performing loans, and address distress prior to default, ultimately aimed at reducing the likelihood of formal </w:t>
      </w:r>
      <w:r w:rsidR="00651E55" w:rsidRPr="006A58BE">
        <w:rPr>
          <w:rFonts w:ascii="Arial" w:hAnsi="Arial" w:cs="Arial"/>
          <w:i/>
          <w:iCs/>
          <w:color w:val="7B7B7B" w:themeColor="accent3" w:themeShade="BF"/>
          <w:sz w:val="22"/>
          <w:szCs w:val="22"/>
        </w:rPr>
        <w:lastRenderedPageBreak/>
        <w:t>insolvency proceedings</w:t>
      </w:r>
      <w:r w:rsidR="00651E55" w:rsidRPr="006A58BE">
        <w:rPr>
          <w:rFonts w:ascii="Arial" w:hAnsi="Arial" w:cs="Arial"/>
          <w:color w:val="7B7B7B" w:themeColor="accent3" w:themeShade="BF"/>
          <w:sz w:val="22"/>
          <w:szCs w:val="22"/>
        </w:rPr>
        <w:t>.”</w:t>
      </w:r>
      <w:r w:rsidR="00651E55" w:rsidRPr="006A58BE">
        <w:rPr>
          <w:rStyle w:val="FootnoteReference"/>
          <w:rFonts w:ascii="Arial" w:hAnsi="Arial" w:cs="Arial"/>
          <w:color w:val="7B7B7B" w:themeColor="accent3" w:themeShade="BF"/>
          <w:sz w:val="22"/>
          <w:szCs w:val="22"/>
        </w:rPr>
        <w:footnoteReference w:id="78"/>
      </w:r>
      <w:r w:rsidR="001A1A19" w:rsidRPr="006A58BE">
        <w:rPr>
          <w:rFonts w:ascii="Arial" w:hAnsi="Arial" w:cs="Arial"/>
          <w:color w:val="7B7B7B" w:themeColor="accent3" w:themeShade="BF"/>
          <w:sz w:val="22"/>
          <w:szCs w:val="22"/>
        </w:rPr>
        <w:t xml:space="preserve"> </w:t>
      </w:r>
      <w:r w:rsidR="007A6347" w:rsidRPr="006A58BE">
        <w:rPr>
          <w:rFonts w:ascii="Arial" w:hAnsi="Arial" w:cs="Arial"/>
          <w:color w:val="7B7B7B" w:themeColor="accent3" w:themeShade="BF"/>
          <w:sz w:val="22"/>
          <w:szCs w:val="22"/>
        </w:rPr>
        <w:t>It was acknowledged by the European Commission</w:t>
      </w:r>
      <w:r w:rsidR="005C19AF" w:rsidRPr="006A58BE">
        <w:rPr>
          <w:rFonts w:ascii="Arial" w:hAnsi="Arial" w:cs="Arial"/>
          <w:color w:val="7B7B7B" w:themeColor="accent3" w:themeShade="BF"/>
          <w:sz w:val="22"/>
          <w:szCs w:val="22"/>
        </w:rPr>
        <w:t xml:space="preserve"> (the “</w:t>
      </w:r>
      <w:r w:rsidR="005C19AF" w:rsidRPr="006A58BE">
        <w:rPr>
          <w:rFonts w:ascii="Arial" w:hAnsi="Arial" w:cs="Arial"/>
          <w:b/>
          <w:bCs/>
          <w:color w:val="7B7B7B" w:themeColor="accent3" w:themeShade="BF"/>
          <w:sz w:val="22"/>
          <w:szCs w:val="22"/>
        </w:rPr>
        <w:t>Commission</w:t>
      </w:r>
      <w:r w:rsidR="005C19AF" w:rsidRPr="006A58BE">
        <w:rPr>
          <w:rFonts w:ascii="Arial" w:hAnsi="Arial" w:cs="Arial"/>
          <w:color w:val="7B7B7B" w:themeColor="accent3" w:themeShade="BF"/>
          <w:sz w:val="22"/>
          <w:szCs w:val="22"/>
        </w:rPr>
        <w:t>”)</w:t>
      </w:r>
      <w:r w:rsidR="007A6347" w:rsidRPr="006A58BE">
        <w:rPr>
          <w:rFonts w:ascii="Arial" w:hAnsi="Arial" w:cs="Arial"/>
          <w:color w:val="7B7B7B" w:themeColor="accent3" w:themeShade="BF"/>
          <w:sz w:val="22"/>
          <w:szCs w:val="22"/>
        </w:rPr>
        <w:t xml:space="preserve"> that </w:t>
      </w:r>
      <w:r w:rsidR="00FA4422" w:rsidRPr="006A58BE">
        <w:rPr>
          <w:rFonts w:ascii="Arial" w:hAnsi="Arial" w:cs="Arial"/>
          <w:color w:val="7B7B7B" w:themeColor="accent3" w:themeShade="BF"/>
          <w:sz w:val="22"/>
          <w:szCs w:val="22"/>
        </w:rPr>
        <w:t xml:space="preserve">an insolvency framework which is well-functioning is </w:t>
      </w:r>
      <w:r w:rsidR="00D258A8" w:rsidRPr="006A58BE">
        <w:rPr>
          <w:rFonts w:ascii="Arial" w:hAnsi="Arial" w:cs="Arial"/>
          <w:color w:val="7B7B7B" w:themeColor="accent3" w:themeShade="BF"/>
          <w:sz w:val="22"/>
          <w:szCs w:val="22"/>
        </w:rPr>
        <w:t>conducive</w:t>
      </w:r>
      <w:r w:rsidR="00FA4422" w:rsidRPr="006A58BE">
        <w:rPr>
          <w:rFonts w:ascii="Arial" w:hAnsi="Arial" w:cs="Arial"/>
          <w:color w:val="7B7B7B" w:themeColor="accent3" w:themeShade="BF"/>
          <w:sz w:val="22"/>
          <w:szCs w:val="22"/>
        </w:rPr>
        <w:t xml:space="preserve"> to a good business environment and a greater level of </w:t>
      </w:r>
      <w:proofErr w:type="spellStart"/>
      <w:r w:rsidR="00FA4422" w:rsidRPr="006A58BE">
        <w:rPr>
          <w:rFonts w:ascii="Arial" w:hAnsi="Arial" w:cs="Arial"/>
          <w:color w:val="7B7B7B" w:themeColor="accent3" w:themeShade="BF"/>
          <w:sz w:val="22"/>
          <w:szCs w:val="22"/>
        </w:rPr>
        <w:t>harmoni</w:t>
      </w:r>
      <w:r w:rsidR="00D258A8" w:rsidRPr="006A58BE">
        <w:rPr>
          <w:rFonts w:ascii="Arial" w:hAnsi="Arial" w:cs="Arial"/>
          <w:color w:val="7B7B7B" w:themeColor="accent3" w:themeShade="BF"/>
          <w:sz w:val="22"/>
          <w:szCs w:val="22"/>
        </w:rPr>
        <w:t>s</w:t>
      </w:r>
      <w:r w:rsidR="00FA4422" w:rsidRPr="006A58BE">
        <w:rPr>
          <w:rFonts w:ascii="Arial" w:hAnsi="Arial" w:cs="Arial"/>
          <w:color w:val="7B7B7B" w:themeColor="accent3" w:themeShade="BF"/>
          <w:sz w:val="22"/>
          <w:szCs w:val="22"/>
        </w:rPr>
        <w:t>ation</w:t>
      </w:r>
      <w:proofErr w:type="spellEnd"/>
      <w:r w:rsidR="00FA4422" w:rsidRPr="006A58BE">
        <w:rPr>
          <w:rFonts w:ascii="Arial" w:hAnsi="Arial" w:cs="Arial"/>
          <w:color w:val="7B7B7B" w:themeColor="accent3" w:themeShade="BF"/>
          <w:sz w:val="22"/>
          <w:szCs w:val="22"/>
        </w:rPr>
        <w:t xml:space="preserve"> is essential </w:t>
      </w:r>
      <w:r w:rsidR="00A31E2B" w:rsidRPr="006A58BE">
        <w:rPr>
          <w:rFonts w:ascii="Arial" w:hAnsi="Arial" w:cs="Arial"/>
          <w:color w:val="7B7B7B" w:themeColor="accent3" w:themeShade="BF"/>
          <w:sz w:val="22"/>
          <w:szCs w:val="22"/>
        </w:rPr>
        <w:t xml:space="preserve">to </w:t>
      </w:r>
      <w:r w:rsidR="00FA4422" w:rsidRPr="006A58BE">
        <w:rPr>
          <w:rFonts w:ascii="Arial" w:hAnsi="Arial" w:cs="Arial"/>
          <w:color w:val="7B7B7B" w:themeColor="accent3" w:themeShade="BF"/>
          <w:sz w:val="22"/>
          <w:szCs w:val="22"/>
        </w:rPr>
        <w:t>the European Single Market function</w:t>
      </w:r>
      <w:r w:rsidR="00A31E2B" w:rsidRPr="006A58BE">
        <w:rPr>
          <w:rFonts w:ascii="Arial" w:hAnsi="Arial" w:cs="Arial"/>
          <w:color w:val="7B7B7B" w:themeColor="accent3" w:themeShade="BF"/>
          <w:sz w:val="22"/>
          <w:szCs w:val="22"/>
        </w:rPr>
        <w:t>ing</w:t>
      </w:r>
      <w:r w:rsidR="00FA4422" w:rsidRPr="006A58BE">
        <w:rPr>
          <w:rFonts w:ascii="Arial" w:hAnsi="Arial" w:cs="Arial"/>
          <w:color w:val="7B7B7B" w:themeColor="accent3" w:themeShade="BF"/>
          <w:sz w:val="22"/>
          <w:szCs w:val="22"/>
        </w:rPr>
        <w:t xml:space="preserve"> properly.</w:t>
      </w:r>
      <w:r w:rsidR="00FA4422" w:rsidRPr="006A58BE">
        <w:rPr>
          <w:rStyle w:val="FootnoteReference"/>
          <w:rFonts w:ascii="Arial" w:hAnsi="Arial" w:cs="Arial"/>
          <w:color w:val="7B7B7B" w:themeColor="accent3" w:themeShade="BF"/>
          <w:sz w:val="22"/>
          <w:szCs w:val="22"/>
        </w:rPr>
        <w:footnoteReference w:id="79"/>
      </w:r>
      <w:r w:rsidR="005A1EC5" w:rsidRPr="006A58BE">
        <w:rPr>
          <w:rFonts w:ascii="Arial" w:hAnsi="Arial" w:cs="Arial"/>
          <w:color w:val="7B7B7B" w:themeColor="accent3" w:themeShade="BF"/>
          <w:sz w:val="22"/>
          <w:szCs w:val="22"/>
        </w:rPr>
        <w:t xml:space="preserve"> </w:t>
      </w:r>
      <w:r w:rsidR="001A1A19" w:rsidRPr="006A58BE">
        <w:rPr>
          <w:rFonts w:ascii="Arial" w:hAnsi="Arial" w:cs="Arial"/>
          <w:color w:val="7B7B7B" w:themeColor="accent3" w:themeShade="BF"/>
          <w:sz w:val="22"/>
          <w:szCs w:val="22"/>
        </w:rPr>
        <w:t xml:space="preserve">Whilst the intention of the Directive is to dovetail the European Insolvency Regulation, </w:t>
      </w:r>
      <w:r w:rsidR="00EB6B9A" w:rsidRPr="006A58BE">
        <w:rPr>
          <w:rFonts w:ascii="Arial" w:hAnsi="Arial" w:cs="Arial"/>
          <w:color w:val="7B7B7B" w:themeColor="accent3" w:themeShade="BF"/>
          <w:sz w:val="22"/>
          <w:szCs w:val="22"/>
        </w:rPr>
        <w:t xml:space="preserve">the two regimes </w:t>
      </w:r>
      <w:r w:rsidR="001A3A00" w:rsidRPr="006A58BE">
        <w:rPr>
          <w:rFonts w:ascii="Arial" w:hAnsi="Arial" w:cs="Arial"/>
          <w:color w:val="7B7B7B" w:themeColor="accent3" w:themeShade="BF"/>
          <w:sz w:val="22"/>
          <w:szCs w:val="22"/>
        </w:rPr>
        <w:t>differ</w:t>
      </w:r>
      <w:r w:rsidR="002436E4" w:rsidRPr="006A58BE">
        <w:rPr>
          <w:rFonts w:ascii="Arial" w:hAnsi="Arial" w:cs="Arial"/>
          <w:color w:val="7B7B7B" w:themeColor="accent3" w:themeShade="BF"/>
          <w:sz w:val="22"/>
          <w:szCs w:val="22"/>
        </w:rPr>
        <w:t xml:space="preserve"> in several ways</w:t>
      </w:r>
      <w:r w:rsidR="00EB6B9A" w:rsidRPr="006A58BE">
        <w:rPr>
          <w:rFonts w:ascii="Arial" w:hAnsi="Arial" w:cs="Arial"/>
          <w:color w:val="7B7B7B" w:themeColor="accent3" w:themeShade="BF"/>
          <w:sz w:val="22"/>
          <w:szCs w:val="22"/>
        </w:rPr>
        <w:t>. Two ways they differ are:</w:t>
      </w:r>
    </w:p>
    <w:p w14:paraId="73AF60AA" w14:textId="58B4FF22" w:rsidR="00DA3CA2" w:rsidRPr="006A58BE" w:rsidRDefault="00C56506">
      <w:pPr>
        <w:pStyle w:val="ListParagraph"/>
        <w:numPr>
          <w:ilvl w:val="0"/>
          <w:numId w:val="17"/>
        </w:numPr>
        <w:jc w:val="both"/>
        <w:rPr>
          <w:rFonts w:ascii="Arial" w:hAnsi="Arial" w:cs="Arial"/>
          <w:color w:val="7B7B7B" w:themeColor="accent3" w:themeShade="BF"/>
          <w:sz w:val="22"/>
          <w:szCs w:val="22"/>
        </w:rPr>
      </w:pPr>
      <w:r w:rsidRPr="006A58BE">
        <w:rPr>
          <w:rFonts w:ascii="Arial" w:hAnsi="Arial" w:cs="Arial"/>
          <w:color w:val="7B7B7B" w:themeColor="accent3" w:themeShade="BF"/>
          <w:sz w:val="22"/>
          <w:szCs w:val="22"/>
        </w:rPr>
        <w:t>T</w:t>
      </w:r>
      <w:r w:rsidR="00CC4A4E" w:rsidRPr="006A58BE">
        <w:rPr>
          <w:rFonts w:ascii="Arial" w:hAnsi="Arial" w:cs="Arial"/>
          <w:color w:val="7B7B7B" w:themeColor="accent3" w:themeShade="BF"/>
          <w:sz w:val="22"/>
          <w:szCs w:val="22"/>
        </w:rPr>
        <w:t xml:space="preserve">he degree </w:t>
      </w:r>
      <w:r w:rsidR="002436E4" w:rsidRPr="006A58BE">
        <w:rPr>
          <w:rFonts w:ascii="Arial" w:hAnsi="Arial" w:cs="Arial"/>
          <w:color w:val="7B7B7B" w:themeColor="accent3" w:themeShade="BF"/>
          <w:sz w:val="22"/>
          <w:szCs w:val="22"/>
        </w:rPr>
        <w:t xml:space="preserve">and extent </w:t>
      </w:r>
      <w:r w:rsidR="00CC4A4E" w:rsidRPr="006A58BE">
        <w:rPr>
          <w:rFonts w:ascii="Arial" w:hAnsi="Arial" w:cs="Arial"/>
          <w:color w:val="7B7B7B" w:themeColor="accent3" w:themeShade="BF"/>
          <w:sz w:val="22"/>
          <w:szCs w:val="22"/>
        </w:rPr>
        <w:t xml:space="preserve">of </w:t>
      </w:r>
      <w:proofErr w:type="spellStart"/>
      <w:r w:rsidR="00CC4A4E" w:rsidRPr="006A58BE">
        <w:rPr>
          <w:rFonts w:ascii="Arial" w:hAnsi="Arial" w:cs="Arial"/>
          <w:color w:val="7B7B7B" w:themeColor="accent3" w:themeShade="BF"/>
          <w:sz w:val="22"/>
          <w:szCs w:val="22"/>
        </w:rPr>
        <w:t>harmonisation</w:t>
      </w:r>
      <w:proofErr w:type="spellEnd"/>
      <w:r w:rsidR="00CC4A4E" w:rsidRPr="006A58BE">
        <w:rPr>
          <w:rFonts w:ascii="Arial" w:hAnsi="Arial" w:cs="Arial"/>
          <w:color w:val="7B7B7B" w:themeColor="accent3" w:themeShade="BF"/>
          <w:sz w:val="22"/>
          <w:szCs w:val="22"/>
        </w:rPr>
        <w:t xml:space="preserve"> in the European Insolvency Regulation </w:t>
      </w:r>
      <w:r w:rsidR="00EB3BB9" w:rsidRPr="006A58BE">
        <w:rPr>
          <w:rFonts w:ascii="Arial" w:hAnsi="Arial" w:cs="Arial"/>
          <w:color w:val="7B7B7B" w:themeColor="accent3" w:themeShade="BF"/>
          <w:sz w:val="22"/>
          <w:szCs w:val="22"/>
        </w:rPr>
        <w:t xml:space="preserve">compared to the </w:t>
      </w:r>
      <w:r w:rsidR="00CC4A4E" w:rsidRPr="006A58BE">
        <w:rPr>
          <w:rFonts w:ascii="Arial" w:hAnsi="Arial" w:cs="Arial"/>
          <w:color w:val="7B7B7B" w:themeColor="accent3" w:themeShade="BF"/>
          <w:sz w:val="22"/>
          <w:szCs w:val="22"/>
        </w:rPr>
        <w:t>Directive</w:t>
      </w:r>
      <w:r w:rsidRPr="006A58BE">
        <w:rPr>
          <w:rFonts w:ascii="Arial" w:hAnsi="Arial" w:cs="Arial"/>
          <w:color w:val="7B7B7B" w:themeColor="accent3" w:themeShade="BF"/>
          <w:sz w:val="22"/>
          <w:szCs w:val="22"/>
        </w:rPr>
        <w:t xml:space="preserve"> -</w:t>
      </w:r>
      <w:r w:rsidR="00CC4A4E" w:rsidRPr="006A58BE">
        <w:rPr>
          <w:rFonts w:ascii="Arial" w:hAnsi="Arial" w:cs="Arial"/>
          <w:color w:val="7B7B7B" w:themeColor="accent3" w:themeShade="BF"/>
          <w:sz w:val="22"/>
          <w:szCs w:val="22"/>
        </w:rPr>
        <w:t xml:space="preserve"> </w:t>
      </w:r>
      <w:r w:rsidR="00EB3BB9" w:rsidRPr="006A58BE">
        <w:rPr>
          <w:rFonts w:ascii="Arial" w:hAnsi="Arial" w:cs="Arial"/>
          <w:color w:val="7B7B7B" w:themeColor="accent3" w:themeShade="BF"/>
          <w:sz w:val="22"/>
          <w:szCs w:val="22"/>
        </w:rPr>
        <w:t xml:space="preserve">the </w:t>
      </w:r>
      <w:r w:rsidR="00A26E95" w:rsidRPr="006A58BE">
        <w:rPr>
          <w:rFonts w:ascii="Arial" w:hAnsi="Arial" w:cs="Arial"/>
          <w:color w:val="7B7B7B" w:themeColor="accent3" w:themeShade="BF"/>
          <w:sz w:val="22"/>
          <w:szCs w:val="22"/>
        </w:rPr>
        <w:t xml:space="preserve">EIR 2000 was the first legally binding instrument which dealt with cross-border insolvencies within the EU. For the first time, </w:t>
      </w:r>
      <w:r w:rsidR="006A58BE">
        <w:rPr>
          <w:rFonts w:ascii="Arial" w:hAnsi="Arial" w:cs="Arial"/>
          <w:color w:val="7B7B7B" w:themeColor="accent3" w:themeShade="BF"/>
          <w:sz w:val="22"/>
          <w:szCs w:val="22"/>
        </w:rPr>
        <w:t xml:space="preserve">EU </w:t>
      </w:r>
      <w:r w:rsidR="000721E9" w:rsidRPr="006A58BE">
        <w:rPr>
          <w:rFonts w:ascii="Arial" w:hAnsi="Arial" w:cs="Arial"/>
          <w:color w:val="7B7B7B" w:themeColor="accent3" w:themeShade="BF"/>
          <w:sz w:val="22"/>
          <w:szCs w:val="22"/>
        </w:rPr>
        <w:t xml:space="preserve">Member States agreed to </w:t>
      </w:r>
      <w:proofErr w:type="spellStart"/>
      <w:r w:rsidR="000721E9" w:rsidRPr="006A58BE">
        <w:rPr>
          <w:rFonts w:ascii="Arial" w:hAnsi="Arial" w:cs="Arial"/>
          <w:color w:val="7B7B7B" w:themeColor="accent3" w:themeShade="BF"/>
          <w:sz w:val="22"/>
          <w:szCs w:val="22"/>
        </w:rPr>
        <w:t>harmonise</w:t>
      </w:r>
      <w:proofErr w:type="spellEnd"/>
      <w:r w:rsidR="000721E9" w:rsidRPr="006A58BE">
        <w:rPr>
          <w:rFonts w:ascii="Arial" w:hAnsi="Arial" w:cs="Arial"/>
          <w:color w:val="7B7B7B" w:themeColor="accent3" w:themeShade="BF"/>
          <w:sz w:val="22"/>
          <w:szCs w:val="22"/>
        </w:rPr>
        <w:t xml:space="preserve"> regulation of cross-border insolvencies via, for example,</w:t>
      </w:r>
      <w:r w:rsidR="00A26E95" w:rsidRPr="006A58BE">
        <w:rPr>
          <w:rFonts w:ascii="Arial" w:hAnsi="Arial" w:cs="Arial"/>
          <w:color w:val="7B7B7B" w:themeColor="accent3" w:themeShade="BF"/>
          <w:sz w:val="22"/>
          <w:szCs w:val="22"/>
        </w:rPr>
        <w:t xml:space="preserve"> the adoption of unified rules on matters </w:t>
      </w:r>
      <w:r w:rsidR="000721E9" w:rsidRPr="006A58BE">
        <w:rPr>
          <w:rFonts w:ascii="Arial" w:hAnsi="Arial" w:cs="Arial"/>
          <w:color w:val="7B7B7B" w:themeColor="accent3" w:themeShade="BF"/>
          <w:sz w:val="22"/>
          <w:szCs w:val="22"/>
        </w:rPr>
        <w:t>such as</w:t>
      </w:r>
      <w:r w:rsidR="00A26E95" w:rsidRPr="006A58BE">
        <w:rPr>
          <w:rFonts w:ascii="Arial" w:hAnsi="Arial" w:cs="Arial"/>
          <w:color w:val="7B7B7B" w:themeColor="accent3" w:themeShade="BF"/>
          <w:sz w:val="22"/>
          <w:szCs w:val="22"/>
        </w:rPr>
        <w:t xml:space="preserve"> international insolvency jurisdiction and applicable law</w:t>
      </w:r>
      <w:r w:rsidR="000721E9" w:rsidRPr="006A58BE">
        <w:rPr>
          <w:rFonts w:ascii="Arial" w:hAnsi="Arial" w:cs="Arial"/>
          <w:color w:val="7B7B7B" w:themeColor="accent3" w:themeShade="BF"/>
          <w:sz w:val="22"/>
          <w:szCs w:val="22"/>
        </w:rPr>
        <w:t>. This approach is modified universalism</w:t>
      </w:r>
      <w:r w:rsidR="00A26E95" w:rsidRPr="006A58BE">
        <w:rPr>
          <w:rStyle w:val="FootnoteReference"/>
          <w:rFonts w:ascii="Arial" w:hAnsi="Arial" w:cs="Arial"/>
          <w:color w:val="7B7B7B" w:themeColor="accent3" w:themeShade="BF"/>
          <w:sz w:val="22"/>
          <w:szCs w:val="22"/>
        </w:rPr>
        <w:footnoteReference w:id="80"/>
      </w:r>
      <w:r w:rsidR="00A26E95" w:rsidRPr="006A58BE">
        <w:rPr>
          <w:rFonts w:ascii="Arial" w:hAnsi="Arial" w:cs="Arial"/>
          <w:color w:val="7B7B7B" w:themeColor="accent3" w:themeShade="BF"/>
          <w:sz w:val="22"/>
          <w:szCs w:val="22"/>
        </w:rPr>
        <w:t>.</w:t>
      </w:r>
      <w:r w:rsidR="000721E9" w:rsidRPr="006A58BE">
        <w:rPr>
          <w:rFonts w:ascii="Arial" w:hAnsi="Arial" w:cs="Arial"/>
          <w:color w:val="7B7B7B" w:themeColor="accent3" w:themeShade="BF"/>
          <w:sz w:val="22"/>
          <w:szCs w:val="22"/>
        </w:rPr>
        <w:t xml:space="preserve"> </w:t>
      </w:r>
      <w:r w:rsidR="006A58BE">
        <w:rPr>
          <w:rFonts w:ascii="Arial" w:hAnsi="Arial" w:cs="Arial"/>
          <w:color w:val="7B7B7B" w:themeColor="accent3" w:themeShade="BF"/>
          <w:sz w:val="22"/>
          <w:szCs w:val="22"/>
        </w:rPr>
        <w:t xml:space="preserve">The </w:t>
      </w:r>
      <w:r w:rsidR="00EB3BB9" w:rsidRPr="006A58BE">
        <w:rPr>
          <w:rFonts w:ascii="Arial" w:hAnsi="Arial" w:cs="Arial"/>
          <w:color w:val="7B7B7B" w:themeColor="accent3" w:themeShade="BF"/>
          <w:sz w:val="22"/>
          <w:szCs w:val="22"/>
        </w:rPr>
        <w:t>EIR Recast</w:t>
      </w:r>
      <w:r w:rsidR="000721E9" w:rsidRPr="006A58BE">
        <w:rPr>
          <w:rFonts w:ascii="Arial" w:hAnsi="Arial" w:cs="Arial"/>
          <w:color w:val="7B7B7B" w:themeColor="accent3" w:themeShade="BF"/>
          <w:sz w:val="22"/>
          <w:szCs w:val="22"/>
        </w:rPr>
        <w:t xml:space="preserve"> builds on th</w:t>
      </w:r>
      <w:r w:rsidR="006A58BE">
        <w:rPr>
          <w:rFonts w:ascii="Arial" w:hAnsi="Arial" w:cs="Arial"/>
          <w:color w:val="7B7B7B" w:themeColor="accent3" w:themeShade="BF"/>
          <w:sz w:val="22"/>
          <w:szCs w:val="22"/>
        </w:rPr>
        <w:t>e EIR 2000</w:t>
      </w:r>
      <w:r w:rsidR="000721E9" w:rsidRPr="006A58BE">
        <w:rPr>
          <w:rFonts w:ascii="Arial" w:hAnsi="Arial" w:cs="Arial"/>
          <w:color w:val="7B7B7B" w:themeColor="accent3" w:themeShade="BF"/>
          <w:sz w:val="22"/>
          <w:szCs w:val="22"/>
        </w:rPr>
        <w:t>. The EIR</w:t>
      </w:r>
      <w:r w:rsidRPr="006A58BE">
        <w:rPr>
          <w:rFonts w:ascii="Arial" w:hAnsi="Arial" w:cs="Arial"/>
          <w:color w:val="7B7B7B" w:themeColor="accent3" w:themeShade="BF"/>
          <w:sz w:val="22"/>
          <w:szCs w:val="22"/>
        </w:rPr>
        <w:t xml:space="preserve"> </w:t>
      </w:r>
      <w:r w:rsidR="006A58BE">
        <w:rPr>
          <w:rFonts w:ascii="Arial" w:hAnsi="Arial" w:cs="Arial"/>
          <w:color w:val="7B7B7B" w:themeColor="accent3" w:themeShade="BF"/>
          <w:sz w:val="22"/>
          <w:szCs w:val="22"/>
        </w:rPr>
        <w:t xml:space="preserve">Recast </w:t>
      </w:r>
      <w:r w:rsidRPr="006A58BE">
        <w:rPr>
          <w:rFonts w:ascii="Arial" w:hAnsi="Arial" w:cs="Arial"/>
          <w:color w:val="7B7B7B" w:themeColor="accent3" w:themeShade="BF"/>
          <w:sz w:val="22"/>
          <w:szCs w:val="22"/>
        </w:rPr>
        <w:t>is a regulatory system that resolves insolvencies with</w:t>
      </w:r>
      <w:r w:rsidR="00A54DDE" w:rsidRPr="006A58BE">
        <w:rPr>
          <w:rFonts w:ascii="Arial" w:hAnsi="Arial" w:cs="Arial"/>
          <w:color w:val="7B7B7B" w:themeColor="accent3" w:themeShade="BF"/>
          <w:sz w:val="22"/>
          <w:szCs w:val="22"/>
        </w:rPr>
        <w:t>in</w:t>
      </w:r>
      <w:r w:rsidRPr="006A58BE">
        <w:rPr>
          <w:rFonts w:ascii="Arial" w:hAnsi="Arial" w:cs="Arial"/>
          <w:color w:val="7B7B7B" w:themeColor="accent3" w:themeShade="BF"/>
          <w:sz w:val="22"/>
          <w:szCs w:val="22"/>
        </w:rPr>
        <w:t xml:space="preserve"> the EU. Even though </w:t>
      </w:r>
      <w:r w:rsidR="00A84370">
        <w:rPr>
          <w:rFonts w:ascii="Arial" w:hAnsi="Arial" w:cs="Arial"/>
          <w:color w:val="7B7B7B" w:themeColor="accent3" w:themeShade="BF"/>
          <w:sz w:val="22"/>
          <w:szCs w:val="22"/>
        </w:rPr>
        <w:t xml:space="preserve">EU </w:t>
      </w:r>
      <w:r w:rsidRPr="006A58BE">
        <w:rPr>
          <w:rFonts w:ascii="Arial" w:hAnsi="Arial" w:cs="Arial"/>
          <w:color w:val="7B7B7B" w:themeColor="accent3" w:themeShade="BF"/>
          <w:sz w:val="22"/>
          <w:szCs w:val="22"/>
        </w:rPr>
        <w:t xml:space="preserve">Member States retain considerable power </w:t>
      </w:r>
      <w:r w:rsidR="005D50C0" w:rsidRPr="006A58BE">
        <w:rPr>
          <w:rFonts w:ascii="Arial" w:hAnsi="Arial" w:cs="Arial"/>
          <w:color w:val="7B7B7B" w:themeColor="accent3" w:themeShade="BF"/>
          <w:sz w:val="22"/>
          <w:szCs w:val="22"/>
        </w:rPr>
        <w:t>(such as to decide</w:t>
      </w:r>
      <w:r w:rsidR="00A54DDE" w:rsidRPr="006A58BE">
        <w:rPr>
          <w:rFonts w:ascii="Arial" w:hAnsi="Arial" w:cs="Arial"/>
          <w:color w:val="7B7B7B" w:themeColor="accent3" w:themeShade="BF"/>
          <w:sz w:val="22"/>
          <w:szCs w:val="22"/>
        </w:rPr>
        <w:t xml:space="preserve"> the rules on directors’ liability</w:t>
      </w:r>
      <w:r w:rsidR="005D50C0" w:rsidRPr="006A58BE">
        <w:rPr>
          <w:rFonts w:ascii="Arial" w:hAnsi="Arial" w:cs="Arial"/>
          <w:color w:val="7B7B7B" w:themeColor="accent3" w:themeShade="BF"/>
          <w:sz w:val="22"/>
          <w:szCs w:val="22"/>
        </w:rPr>
        <w:t>)</w:t>
      </w:r>
      <w:r w:rsidR="00E44B19" w:rsidRPr="006A58BE">
        <w:rPr>
          <w:rFonts w:ascii="Arial" w:hAnsi="Arial" w:cs="Arial"/>
          <w:color w:val="7B7B7B" w:themeColor="accent3" w:themeShade="BF"/>
          <w:sz w:val="22"/>
          <w:szCs w:val="22"/>
        </w:rPr>
        <w:t>,</w:t>
      </w:r>
      <w:r w:rsidRPr="006A58BE">
        <w:rPr>
          <w:rFonts w:ascii="Arial" w:hAnsi="Arial" w:cs="Arial"/>
          <w:color w:val="7B7B7B" w:themeColor="accent3" w:themeShade="BF"/>
          <w:sz w:val="22"/>
          <w:szCs w:val="22"/>
        </w:rPr>
        <w:t xml:space="preserve"> matters such as applicable law</w:t>
      </w:r>
      <w:r w:rsidR="00A54DDE" w:rsidRPr="006A58BE">
        <w:rPr>
          <w:rFonts w:ascii="Arial" w:hAnsi="Arial" w:cs="Arial"/>
          <w:color w:val="7B7B7B" w:themeColor="accent3" w:themeShade="BF"/>
          <w:sz w:val="22"/>
          <w:szCs w:val="22"/>
        </w:rPr>
        <w:t xml:space="preserve"> as well as</w:t>
      </w:r>
      <w:r w:rsidRPr="006A58BE">
        <w:rPr>
          <w:rFonts w:ascii="Arial" w:hAnsi="Arial" w:cs="Arial"/>
          <w:color w:val="7B7B7B" w:themeColor="accent3" w:themeShade="BF"/>
          <w:sz w:val="22"/>
          <w:szCs w:val="22"/>
        </w:rPr>
        <w:t xml:space="preserve"> the co-operati</w:t>
      </w:r>
      <w:r w:rsidR="00A54DDE" w:rsidRPr="006A58BE">
        <w:rPr>
          <w:rFonts w:ascii="Arial" w:hAnsi="Arial" w:cs="Arial"/>
          <w:color w:val="7B7B7B" w:themeColor="accent3" w:themeShade="BF"/>
          <w:sz w:val="22"/>
          <w:szCs w:val="22"/>
        </w:rPr>
        <w:t>on</w:t>
      </w:r>
      <w:r w:rsidRPr="006A58BE">
        <w:rPr>
          <w:rFonts w:ascii="Arial" w:hAnsi="Arial" w:cs="Arial"/>
          <w:color w:val="7B7B7B" w:themeColor="accent3" w:themeShade="BF"/>
          <w:sz w:val="22"/>
          <w:szCs w:val="22"/>
        </w:rPr>
        <w:t xml:space="preserve"> and communication between </w:t>
      </w:r>
      <w:proofErr w:type="gramStart"/>
      <w:r w:rsidRPr="006A58BE">
        <w:rPr>
          <w:rFonts w:ascii="Arial" w:hAnsi="Arial" w:cs="Arial"/>
          <w:color w:val="7B7B7B" w:themeColor="accent3" w:themeShade="BF"/>
          <w:sz w:val="22"/>
          <w:szCs w:val="22"/>
        </w:rPr>
        <w:t>office</w:t>
      </w:r>
      <w:r w:rsidR="00A54DDE" w:rsidRPr="006A58BE">
        <w:rPr>
          <w:rFonts w:ascii="Arial" w:hAnsi="Arial" w:cs="Arial"/>
          <w:color w:val="7B7B7B" w:themeColor="accent3" w:themeShade="BF"/>
          <w:sz w:val="22"/>
          <w:szCs w:val="22"/>
        </w:rPr>
        <w:t>-</w:t>
      </w:r>
      <w:r w:rsidRPr="006A58BE">
        <w:rPr>
          <w:rFonts w:ascii="Arial" w:hAnsi="Arial" w:cs="Arial"/>
          <w:color w:val="7B7B7B" w:themeColor="accent3" w:themeShade="BF"/>
          <w:sz w:val="22"/>
          <w:szCs w:val="22"/>
        </w:rPr>
        <w:t>holders</w:t>
      </w:r>
      <w:proofErr w:type="gramEnd"/>
      <w:r w:rsidRPr="006A58BE">
        <w:rPr>
          <w:rFonts w:ascii="Arial" w:hAnsi="Arial" w:cs="Arial"/>
          <w:color w:val="7B7B7B" w:themeColor="accent3" w:themeShade="BF"/>
          <w:sz w:val="22"/>
          <w:szCs w:val="22"/>
        </w:rPr>
        <w:t xml:space="preserve"> and courts “</w:t>
      </w:r>
      <w:r w:rsidRPr="006A58BE">
        <w:rPr>
          <w:rFonts w:ascii="Arial" w:hAnsi="Arial" w:cs="Arial"/>
          <w:i/>
          <w:iCs/>
          <w:color w:val="7B7B7B" w:themeColor="accent3" w:themeShade="BF"/>
          <w:sz w:val="22"/>
          <w:szCs w:val="22"/>
        </w:rPr>
        <w:t xml:space="preserve">are largely </w:t>
      </w:r>
      <w:proofErr w:type="spellStart"/>
      <w:r w:rsidRPr="006A58BE">
        <w:rPr>
          <w:rFonts w:ascii="Arial" w:hAnsi="Arial" w:cs="Arial"/>
          <w:i/>
          <w:iCs/>
          <w:color w:val="7B7B7B" w:themeColor="accent3" w:themeShade="BF"/>
          <w:sz w:val="22"/>
          <w:szCs w:val="22"/>
        </w:rPr>
        <w:t>harmonised</w:t>
      </w:r>
      <w:proofErr w:type="spellEnd"/>
      <w:r w:rsidRPr="006A58BE">
        <w:rPr>
          <w:rFonts w:ascii="Arial" w:hAnsi="Arial" w:cs="Arial"/>
          <w:i/>
          <w:iCs/>
          <w:color w:val="7B7B7B" w:themeColor="accent3" w:themeShade="BF"/>
          <w:sz w:val="22"/>
          <w:szCs w:val="22"/>
        </w:rPr>
        <w:t xml:space="preserve"> through the mandatory EU law, laid down in the EIR Recast</w:t>
      </w:r>
      <w:r w:rsidRPr="006A58BE">
        <w:rPr>
          <w:rFonts w:ascii="Arial" w:hAnsi="Arial" w:cs="Arial"/>
          <w:color w:val="7B7B7B" w:themeColor="accent3" w:themeShade="BF"/>
          <w:sz w:val="22"/>
          <w:szCs w:val="22"/>
        </w:rPr>
        <w:t>.”</w:t>
      </w:r>
      <w:r w:rsidRPr="006A58BE">
        <w:rPr>
          <w:rStyle w:val="FootnoteReference"/>
          <w:rFonts w:ascii="Arial" w:hAnsi="Arial" w:cs="Arial"/>
          <w:color w:val="7B7B7B" w:themeColor="accent3" w:themeShade="BF"/>
          <w:sz w:val="22"/>
          <w:szCs w:val="22"/>
        </w:rPr>
        <w:footnoteReference w:id="81"/>
      </w:r>
      <w:r w:rsidR="00D71E9C" w:rsidRPr="006A58BE">
        <w:rPr>
          <w:rFonts w:ascii="Arial" w:hAnsi="Arial" w:cs="Arial"/>
          <w:color w:val="7B7B7B" w:themeColor="accent3" w:themeShade="BF"/>
          <w:sz w:val="22"/>
          <w:szCs w:val="22"/>
        </w:rPr>
        <w:t xml:space="preserve"> The EIR Recast attempts to achieve modified universalism in practice.</w:t>
      </w:r>
      <w:r w:rsidR="00D71E9C" w:rsidRPr="006A58BE">
        <w:rPr>
          <w:rStyle w:val="FootnoteReference"/>
          <w:rFonts w:ascii="Arial" w:hAnsi="Arial" w:cs="Arial"/>
          <w:color w:val="7B7B7B" w:themeColor="accent3" w:themeShade="BF"/>
          <w:sz w:val="22"/>
          <w:szCs w:val="22"/>
        </w:rPr>
        <w:footnoteReference w:id="82"/>
      </w:r>
    </w:p>
    <w:p w14:paraId="1980C90D" w14:textId="77777777" w:rsidR="00DA3CA2" w:rsidRPr="006A58BE" w:rsidRDefault="00DA3CA2" w:rsidP="00DA3CA2">
      <w:pPr>
        <w:pStyle w:val="ListParagraph"/>
        <w:jc w:val="both"/>
        <w:rPr>
          <w:rFonts w:ascii="Arial" w:hAnsi="Arial" w:cs="Arial"/>
          <w:color w:val="7B7B7B" w:themeColor="accent3" w:themeShade="BF"/>
          <w:sz w:val="22"/>
          <w:szCs w:val="22"/>
        </w:rPr>
      </w:pPr>
    </w:p>
    <w:p w14:paraId="6D79586B" w14:textId="6046F87E" w:rsidR="00DA3CA2" w:rsidRPr="006A58BE" w:rsidRDefault="00DA3CA2" w:rsidP="0047122F">
      <w:pPr>
        <w:pStyle w:val="ListParagraph"/>
        <w:jc w:val="both"/>
        <w:rPr>
          <w:rFonts w:ascii="Arial" w:hAnsi="Arial" w:cs="Arial"/>
          <w:color w:val="7B7B7B" w:themeColor="accent3" w:themeShade="BF"/>
          <w:sz w:val="22"/>
          <w:szCs w:val="22"/>
        </w:rPr>
      </w:pPr>
      <w:r w:rsidRPr="006A58BE">
        <w:rPr>
          <w:rFonts w:ascii="Arial" w:hAnsi="Arial" w:cs="Arial"/>
          <w:color w:val="7B7B7B" w:themeColor="accent3" w:themeShade="BF"/>
          <w:sz w:val="22"/>
          <w:szCs w:val="22"/>
        </w:rPr>
        <w:t xml:space="preserve">The degree and extent of </w:t>
      </w:r>
      <w:proofErr w:type="spellStart"/>
      <w:r w:rsidRPr="006A58BE">
        <w:rPr>
          <w:rFonts w:ascii="Arial" w:hAnsi="Arial" w:cs="Arial"/>
          <w:color w:val="7B7B7B" w:themeColor="accent3" w:themeShade="BF"/>
          <w:sz w:val="22"/>
          <w:szCs w:val="22"/>
        </w:rPr>
        <w:t>harmonisation</w:t>
      </w:r>
      <w:proofErr w:type="spellEnd"/>
      <w:r w:rsidRPr="006A58BE">
        <w:rPr>
          <w:rFonts w:ascii="Arial" w:hAnsi="Arial" w:cs="Arial"/>
          <w:color w:val="7B7B7B" w:themeColor="accent3" w:themeShade="BF"/>
          <w:sz w:val="22"/>
          <w:szCs w:val="22"/>
        </w:rPr>
        <w:t xml:space="preserve"> under the EIR Recast can be contrasted to that of the Directive. The Directive is not a </w:t>
      </w:r>
      <w:proofErr w:type="spellStart"/>
      <w:r w:rsidRPr="006A58BE">
        <w:rPr>
          <w:rFonts w:ascii="Arial" w:hAnsi="Arial" w:cs="Arial"/>
          <w:color w:val="7B7B7B" w:themeColor="accent3" w:themeShade="BF"/>
          <w:sz w:val="22"/>
          <w:szCs w:val="22"/>
        </w:rPr>
        <w:t>centralised</w:t>
      </w:r>
      <w:proofErr w:type="spellEnd"/>
      <w:r w:rsidRPr="006A58BE">
        <w:rPr>
          <w:rFonts w:ascii="Arial" w:hAnsi="Arial" w:cs="Arial"/>
          <w:color w:val="7B7B7B" w:themeColor="accent3" w:themeShade="BF"/>
          <w:sz w:val="22"/>
          <w:szCs w:val="22"/>
        </w:rPr>
        <w:t xml:space="preserve"> regulatory system as the EIR Recast is. The Commission acknowledges that </w:t>
      </w:r>
      <w:proofErr w:type="spellStart"/>
      <w:r w:rsidRPr="006A58BE">
        <w:rPr>
          <w:rFonts w:ascii="Arial" w:hAnsi="Arial" w:cs="Arial"/>
          <w:color w:val="7B7B7B" w:themeColor="accent3" w:themeShade="BF"/>
          <w:sz w:val="22"/>
          <w:szCs w:val="22"/>
        </w:rPr>
        <w:t>harmonisation</w:t>
      </w:r>
      <w:proofErr w:type="spellEnd"/>
      <w:r w:rsidRPr="006A58BE">
        <w:rPr>
          <w:rFonts w:ascii="Arial" w:hAnsi="Arial" w:cs="Arial"/>
          <w:color w:val="7B7B7B" w:themeColor="accent3" w:themeShade="BF"/>
          <w:sz w:val="22"/>
          <w:szCs w:val="22"/>
        </w:rPr>
        <w:t xml:space="preserve"> of core aspects of insolvency (such as the requirements to open insolvency proceedings) can achieve legal certainty across the EU. However, the diversity of the legal systems over insolvency proceedings within the EU, at present, “</w:t>
      </w:r>
      <w:r w:rsidRPr="006A58BE">
        <w:rPr>
          <w:rFonts w:ascii="Arial" w:hAnsi="Arial" w:cs="Arial"/>
          <w:i/>
          <w:iCs/>
          <w:color w:val="7B7B7B" w:themeColor="accent3" w:themeShade="BF"/>
          <w:sz w:val="22"/>
          <w:szCs w:val="22"/>
        </w:rPr>
        <w:t xml:space="preserve">seems too large to bridge…Prescriptive </w:t>
      </w:r>
      <w:proofErr w:type="spellStart"/>
      <w:r w:rsidRPr="006A58BE">
        <w:rPr>
          <w:rFonts w:ascii="Arial" w:hAnsi="Arial" w:cs="Arial"/>
          <w:i/>
          <w:iCs/>
          <w:color w:val="7B7B7B" w:themeColor="accent3" w:themeShade="BF"/>
          <w:sz w:val="22"/>
          <w:szCs w:val="22"/>
        </w:rPr>
        <w:t>harmonisation</w:t>
      </w:r>
      <w:proofErr w:type="spellEnd"/>
      <w:r w:rsidRPr="006A58BE">
        <w:rPr>
          <w:rFonts w:ascii="Arial" w:hAnsi="Arial" w:cs="Arial"/>
          <w:i/>
          <w:iCs/>
          <w:color w:val="7B7B7B" w:themeColor="accent3" w:themeShade="BF"/>
          <w:sz w:val="22"/>
          <w:szCs w:val="22"/>
        </w:rPr>
        <w:t xml:space="preserve"> could require far-reaching changes to commercial law, civil law and company law</w:t>
      </w:r>
      <w:r w:rsidRPr="006A58BE">
        <w:rPr>
          <w:rFonts w:ascii="Arial" w:hAnsi="Arial" w:cs="Arial"/>
          <w:color w:val="7B7B7B" w:themeColor="accent3" w:themeShade="BF"/>
          <w:sz w:val="22"/>
          <w:szCs w:val="22"/>
        </w:rPr>
        <w:t>”</w:t>
      </w:r>
      <w:r w:rsidRPr="006A58BE">
        <w:rPr>
          <w:rStyle w:val="FootnoteReference"/>
          <w:rFonts w:ascii="Arial" w:hAnsi="Arial" w:cs="Arial"/>
          <w:color w:val="7B7B7B" w:themeColor="accent3" w:themeShade="BF"/>
          <w:sz w:val="22"/>
          <w:szCs w:val="22"/>
        </w:rPr>
        <w:footnoteReference w:id="83"/>
      </w:r>
      <w:r w:rsidRPr="006A58BE">
        <w:rPr>
          <w:rFonts w:ascii="Arial" w:hAnsi="Arial" w:cs="Arial"/>
          <w:color w:val="7B7B7B" w:themeColor="accent3" w:themeShade="BF"/>
          <w:sz w:val="22"/>
          <w:szCs w:val="22"/>
        </w:rPr>
        <w:t xml:space="preserve">. </w:t>
      </w:r>
      <w:proofErr w:type="gramStart"/>
      <w:r w:rsidRPr="006A58BE">
        <w:rPr>
          <w:rFonts w:ascii="Arial" w:hAnsi="Arial" w:cs="Arial"/>
          <w:color w:val="7B7B7B" w:themeColor="accent3" w:themeShade="BF"/>
          <w:sz w:val="22"/>
          <w:szCs w:val="22"/>
        </w:rPr>
        <w:t>In light of</w:t>
      </w:r>
      <w:proofErr w:type="gramEnd"/>
      <w:r w:rsidRPr="006A58BE">
        <w:rPr>
          <w:rFonts w:ascii="Arial" w:hAnsi="Arial" w:cs="Arial"/>
          <w:color w:val="7B7B7B" w:themeColor="accent3" w:themeShade="BF"/>
          <w:sz w:val="22"/>
          <w:szCs w:val="22"/>
        </w:rPr>
        <w:t xml:space="preserve"> this, the Directive addresses only the most important issues that can “</w:t>
      </w:r>
      <w:r w:rsidRPr="006A58BE">
        <w:rPr>
          <w:rFonts w:ascii="Arial" w:hAnsi="Arial" w:cs="Arial"/>
          <w:i/>
          <w:iCs/>
          <w:color w:val="7B7B7B" w:themeColor="accent3" w:themeShade="BF"/>
          <w:sz w:val="22"/>
          <w:szCs w:val="22"/>
        </w:rPr>
        <w:t xml:space="preserve">be feasibly addressed by </w:t>
      </w:r>
      <w:proofErr w:type="spellStart"/>
      <w:r w:rsidRPr="006A58BE">
        <w:rPr>
          <w:rFonts w:ascii="Arial" w:hAnsi="Arial" w:cs="Arial"/>
          <w:i/>
          <w:iCs/>
          <w:color w:val="7B7B7B" w:themeColor="accent3" w:themeShade="BF"/>
          <w:sz w:val="22"/>
          <w:szCs w:val="22"/>
        </w:rPr>
        <w:t>harmonisation</w:t>
      </w:r>
      <w:proofErr w:type="spellEnd"/>
      <w:r w:rsidRPr="006A58BE">
        <w:rPr>
          <w:rFonts w:ascii="Arial" w:hAnsi="Arial" w:cs="Arial"/>
          <w:i/>
          <w:iCs/>
          <w:color w:val="7B7B7B" w:themeColor="accent3" w:themeShade="BF"/>
          <w:sz w:val="22"/>
          <w:szCs w:val="22"/>
        </w:rPr>
        <w:t>. Insolvency procedures need to be adapted to enable debtors in financial difficulties to restructure early.</w:t>
      </w:r>
      <w:r w:rsidRPr="006A58BE">
        <w:rPr>
          <w:rFonts w:ascii="Arial" w:hAnsi="Arial" w:cs="Arial"/>
          <w:color w:val="7B7B7B" w:themeColor="accent3" w:themeShade="BF"/>
          <w:sz w:val="22"/>
          <w:szCs w:val="22"/>
        </w:rPr>
        <w:t>”</w:t>
      </w:r>
      <w:r w:rsidRPr="006A58BE">
        <w:rPr>
          <w:rStyle w:val="FootnoteReference"/>
          <w:rFonts w:ascii="Arial" w:hAnsi="Arial" w:cs="Arial"/>
          <w:color w:val="7B7B7B" w:themeColor="accent3" w:themeShade="BF"/>
          <w:sz w:val="22"/>
          <w:szCs w:val="22"/>
        </w:rPr>
        <w:footnoteReference w:id="84"/>
      </w:r>
      <w:r w:rsidRPr="006A58BE">
        <w:rPr>
          <w:rFonts w:ascii="Arial" w:hAnsi="Arial" w:cs="Arial"/>
          <w:color w:val="7B7B7B" w:themeColor="accent3" w:themeShade="BF"/>
          <w:sz w:val="22"/>
          <w:szCs w:val="22"/>
        </w:rPr>
        <w:t xml:space="preserve"> Although the Directive is the EU’s “</w:t>
      </w:r>
      <w:r w:rsidRPr="006A58BE">
        <w:rPr>
          <w:rFonts w:ascii="Arial" w:hAnsi="Arial" w:cs="Arial"/>
          <w:i/>
          <w:iCs/>
          <w:color w:val="7B7B7B" w:themeColor="accent3" w:themeShade="BF"/>
          <w:sz w:val="22"/>
          <w:szCs w:val="22"/>
        </w:rPr>
        <w:t>first big step in the direction of a material harmonization of restructuring</w:t>
      </w:r>
      <w:r w:rsidRPr="006A58BE">
        <w:rPr>
          <w:rFonts w:ascii="Arial" w:hAnsi="Arial" w:cs="Arial"/>
          <w:color w:val="7B7B7B" w:themeColor="accent3" w:themeShade="BF"/>
          <w:sz w:val="22"/>
          <w:szCs w:val="22"/>
        </w:rPr>
        <w:t>”,</w:t>
      </w:r>
      <w:r w:rsidRPr="006A58BE">
        <w:rPr>
          <w:rStyle w:val="FootnoteReference"/>
          <w:rFonts w:ascii="Arial" w:hAnsi="Arial" w:cs="Arial"/>
          <w:color w:val="7B7B7B" w:themeColor="accent3" w:themeShade="BF"/>
          <w:sz w:val="22"/>
          <w:szCs w:val="22"/>
        </w:rPr>
        <w:footnoteReference w:id="85"/>
      </w:r>
      <w:r w:rsidRPr="006A58BE">
        <w:rPr>
          <w:rFonts w:ascii="Arial" w:hAnsi="Arial" w:cs="Arial"/>
          <w:color w:val="7B7B7B" w:themeColor="accent3" w:themeShade="BF"/>
          <w:sz w:val="22"/>
          <w:szCs w:val="22"/>
        </w:rPr>
        <w:t xml:space="preserve"> the Directive only substantively </w:t>
      </w:r>
      <w:proofErr w:type="spellStart"/>
      <w:r w:rsidRPr="006A58BE">
        <w:rPr>
          <w:rFonts w:ascii="Arial" w:hAnsi="Arial" w:cs="Arial"/>
          <w:color w:val="7B7B7B" w:themeColor="accent3" w:themeShade="BF"/>
          <w:sz w:val="22"/>
          <w:szCs w:val="22"/>
        </w:rPr>
        <w:t>harmonises</w:t>
      </w:r>
      <w:proofErr w:type="spellEnd"/>
      <w:r w:rsidRPr="006A58BE">
        <w:rPr>
          <w:rFonts w:ascii="Arial" w:hAnsi="Arial" w:cs="Arial"/>
          <w:color w:val="7B7B7B" w:themeColor="accent3" w:themeShade="BF"/>
          <w:sz w:val="22"/>
          <w:szCs w:val="22"/>
        </w:rPr>
        <w:t xml:space="preserve"> a narrow aspect of insolvency law, i.e. preventative restructuring. </w:t>
      </w:r>
      <w:r w:rsidR="00A84370">
        <w:rPr>
          <w:rFonts w:ascii="Arial" w:hAnsi="Arial" w:cs="Arial"/>
          <w:color w:val="7B7B7B" w:themeColor="accent3" w:themeShade="BF"/>
          <w:sz w:val="22"/>
          <w:szCs w:val="22"/>
        </w:rPr>
        <w:t>T</w:t>
      </w:r>
      <w:r w:rsidRPr="006A58BE">
        <w:rPr>
          <w:rFonts w:ascii="Arial" w:hAnsi="Arial" w:cs="Arial"/>
          <w:color w:val="7B7B7B" w:themeColor="accent3" w:themeShade="BF"/>
          <w:sz w:val="22"/>
          <w:szCs w:val="22"/>
        </w:rPr>
        <w:t>he Directive’s “</w:t>
      </w:r>
      <w:proofErr w:type="spellStart"/>
      <w:r w:rsidRPr="006A58BE">
        <w:rPr>
          <w:rFonts w:ascii="Arial" w:hAnsi="Arial" w:cs="Arial"/>
          <w:i/>
          <w:iCs/>
          <w:color w:val="7B7B7B" w:themeColor="accent3" w:themeShade="BF"/>
          <w:sz w:val="22"/>
          <w:szCs w:val="22"/>
        </w:rPr>
        <w:t>harmonisation</w:t>
      </w:r>
      <w:proofErr w:type="spellEnd"/>
      <w:r w:rsidRPr="006A58BE">
        <w:rPr>
          <w:rFonts w:ascii="Arial" w:hAnsi="Arial" w:cs="Arial"/>
          <w:i/>
          <w:iCs/>
          <w:color w:val="7B7B7B" w:themeColor="accent3" w:themeShade="BF"/>
          <w:sz w:val="22"/>
          <w:szCs w:val="22"/>
        </w:rPr>
        <w:t xml:space="preserve"> method is minimum standards for preventative restructuring mechanisms</w:t>
      </w:r>
      <w:r w:rsidRPr="006A58BE">
        <w:rPr>
          <w:rFonts w:ascii="Arial" w:hAnsi="Arial" w:cs="Arial"/>
          <w:color w:val="7B7B7B" w:themeColor="accent3" w:themeShade="BF"/>
          <w:sz w:val="22"/>
          <w:szCs w:val="22"/>
        </w:rPr>
        <w:t>”</w:t>
      </w:r>
      <w:r w:rsidRPr="006A58BE">
        <w:rPr>
          <w:rStyle w:val="FootnoteReference"/>
          <w:rFonts w:ascii="Arial" w:hAnsi="Arial" w:cs="Arial"/>
          <w:color w:val="7B7B7B" w:themeColor="accent3" w:themeShade="BF"/>
          <w:sz w:val="22"/>
          <w:szCs w:val="22"/>
        </w:rPr>
        <w:footnoteReference w:id="86"/>
      </w:r>
      <w:r w:rsidRPr="006A58BE">
        <w:rPr>
          <w:rFonts w:ascii="Arial" w:hAnsi="Arial" w:cs="Arial"/>
          <w:color w:val="7B7B7B" w:themeColor="accent3" w:themeShade="BF"/>
          <w:sz w:val="22"/>
          <w:szCs w:val="22"/>
        </w:rPr>
        <w:t xml:space="preserve">. </w:t>
      </w:r>
      <w:r w:rsidR="007F6D25" w:rsidRPr="006A58BE">
        <w:rPr>
          <w:rFonts w:ascii="Arial" w:hAnsi="Arial" w:cs="Arial"/>
          <w:color w:val="7B7B7B" w:themeColor="accent3" w:themeShade="BF"/>
          <w:sz w:val="22"/>
          <w:szCs w:val="22"/>
        </w:rPr>
        <w:t xml:space="preserve">The negotiations for the final text of the Directive led to considerable compromise which has had the effect of watering down the </w:t>
      </w:r>
      <w:proofErr w:type="spellStart"/>
      <w:r w:rsidR="007F6D25" w:rsidRPr="006A58BE">
        <w:rPr>
          <w:rFonts w:ascii="Arial" w:hAnsi="Arial" w:cs="Arial"/>
          <w:color w:val="7B7B7B" w:themeColor="accent3" w:themeShade="BF"/>
          <w:sz w:val="22"/>
          <w:szCs w:val="22"/>
        </w:rPr>
        <w:t>harmoni</w:t>
      </w:r>
      <w:r w:rsidR="0047122F" w:rsidRPr="006A58BE">
        <w:rPr>
          <w:rFonts w:ascii="Arial" w:hAnsi="Arial" w:cs="Arial"/>
          <w:color w:val="7B7B7B" w:themeColor="accent3" w:themeShade="BF"/>
          <w:sz w:val="22"/>
          <w:szCs w:val="22"/>
        </w:rPr>
        <w:t>s</w:t>
      </w:r>
      <w:r w:rsidR="007F6D25" w:rsidRPr="006A58BE">
        <w:rPr>
          <w:rFonts w:ascii="Arial" w:hAnsi="Arial" w:cs="Arial"/>
          <w:color w:val="7B7B7B" w:themeColor="accent3" w:themeShade="BF"/>
          <w:sz w:val="22"/>
          <w:szCs w:val="22"/>
        </w:rPr>
        <w:t>ation</w:t>
      </w:r>
      <w:proofErr w:type="spellEnd"/>
      <w:r w:rsidR="007F6D25" w:rsidRPr="006A58BE">
        <w:rPr>
          <w:rFonts w:ascii="Arial" w:hAnsi="Arial" w:cs="Arial"/>
          <w:color w:val="7B7B7B" w:themeColor="accent3" w:themeShade="BF"/>
          <w:sz w:val="22"/>
          <w:szCs w:val="22"/>
        </w:rPr>
        <w:t xml:space="preserve"> effect of the Directive</w:t>
      </w:r>
      <w:r w:rsidR="007F6D25" w:rsidRPr="006A58BE">
        <w:rPr>
          <w:rStyle w:val="FootnoteReference"/>
          <w:rFonts w:ascii="Arial" w:hAnsi="Arial" w:cs="Arial"/>
          <w:color w:val="7B7B7B" w:themeColor="accent3" w:themeShade="BF"/>
          <w:sz w:val="22"/>
          <w:szCs w:val="22"/>
        </w:rPr>
        <w:footnoteReference w:id="87"/>
      </w:r>
      <w:r w:rsidR="007F6D25" w:rsidRPr="006A58BE">
        <w:rPr>
          <w:rFonts w:ascii="Arial" w:hAnsi="Arial" w:cs="Arial"/>
          <w:color w:val="7B7B7B" w:themeColor="accent3" w:themeShade="BF"/>
          <w:sz w:val="22"/>
          <w:szCs w:val="22"/>
        </w:rPr>
        <w:t>.</w:t>
      </w:r>
      <w:r w:rsidR="0047122F" w:rsidRPr="006A58BE">
        <w:rPr>
          <w:rFonts w:ascii="Arial" w:hAnsi="Arial" w:cs="Arial"/>
          <w:color w:val="7B7B7B" w:themeColor="accent3" w:themeShade="BF"/>
          <w:sz w:val="22"/>
          <w:szCs w:val="22"/>
        </w:rPr>
        <w:t xml:space="preserve"> </w:t>
      </w:r>
      <w:r w:rsidRPr="006A58BE">
        <w:rPr>
          <w:rFonts w:ascii="Arial" w:hAnsi="Arial" w:cs="Arial"/>
          <w:color w:val="7B7B7B" w:themeColor="accent3" w:themeShade="BF"/>
          <w:sz w:val="22"/>
          <w:szCs w:val="22"/>
        </w:rPr>
        <w:t xml:space="preserve">The Directive’s </w:t>
      </w:r>
      <w:proofErr w:type="spellStart"/>
      <w:r w:rsidRPr="006A58BE">
        <w:rPr>
          <w:rFonts w:ascii="Arial" w:hAnsi="Arial" w:cs="Arial"/>
          <w:color w:val="7B7B7B" w:themeColor="accent3" w:themeShade="BF"/>
          <w:sz w:val="22"/>
          <w:szCs w:val="22"/>
        </w:rPr>
        <w:t>harmonisation</w:t>
      </w:r>
      <w:proofErr w:type="spellEnd"/>
      <w:r w:rsidRPr="006A58BE">
        <w:rPr>
          <w:rFonts w:ascii="Arial" w:hAnsi="Arial" w:cs="Arial"/>
          <w:color w:val="7B7B7B" w:themeColor="accent3" w:themeShade="BF"/>
          <w:sz w:val="22"/>
          <w:szCs w:val="22"/>
        </w:rPr>
        <w:t xml:space="preserve"> </w:t>
      </w:r>
      <w:r w:rsidR="0047122F" w:rsidRPr="006A58BE">
        <w:rPr>
          <w:rFonts w:ascii="Arial" w:hAnsi="Arial" w:cs="Arial"/>
          <w:color w:val="7B7B7B" w:themeColor="accent3" w:themeShade="BF"/>
          <w:sz w:val="22"/>
          <w:szCs w:val="22"/>
        </w:rPr>
        <w:t>of polic</w:t>
      </w:r>
      <w:r w:rsidR="001A3F7D">
        <w:rPr>
          <w:rFonts w:ascii="Arial" w:hAnsi="Arial" w:cs="Arial"/>
          <w:color w:val="7B7B7B" w:themeColor="accent3" w:themeShade="BF"/>
          <w:sz w:val="22"/>
          <w:szCs w:val="22"/>
        </w:rPr>
        <w:t>y</w:t>
      </w:r>
      <w:r w:rsidR="0047122F" w:rsidRPr="006A58BE">
        <w:rPr>
          <w:rFonts w:ascii="Arial" w:hAnsi="Arial" w:cs="Arial"/>
          <w:color w:val="7B7B7B" w:themeColor="accent3" w:themeShade="BF"/>
          <w:sz w:val="22"/>
          <w:szCs w:val="22"/>
        </w:rPr>
        <w:t xml:space="preserve"> </w:t>
      </w:r>
      <w:r w:rsidRPr="006A58BE">
        <w:rPr>
          <w:rFonts w:ascii="Arial" w:hAnsi="Arial" w:cs="Arial"/>
          <w:color w:val="7B7B7B" w:themeColor="accent3" w:themeShade="BF"/>
          <w:sz w:val="22"/>
          <w:szCs w:val="22"/>
        </w:rPr>
        <w:t xml:space="preserve">is </w:t>
      </w:r>
      <w:r w:rsidR="0047122F" w:rsidRPr="006A58BE">
        <w:rPr>
          <w:rFonts w:ascii="Arial" w:hAnsi="Arial" w:cs="Arial"/>
          <w:color w:val="7B7B7B" w:themeColor="accent3" w:themeShade="BF"/>
          <w:sz w:val="22"/>
          <w:szCs w:val="22"/>
        </w:rPr>
        <w:t xml:space="preserve">therefore </w:t>
      </w:r>
      <w:r w:rsidRPr="006A58BE">
        <w:rPr>
          <w:rFonts w:ascii="Arial" w:hAnsi="Arial" w:cs="Arial"/>
          <w:color w:val="7B7B7B" w:themeColor="accent3" w:themeShade="BF"/>
          <w:sz w:val="22"/>
          <w:szCs w:val="22"/>
        </w:rPr>
        <w:t xml:space="preserve">limited in scope – the Directive does not </w:t>
      </w:r>
      <w:proofErr w:type="spellStart"/>
      <w:r w:rsidRPr="006A58BE">
        <w:rPr>
          <w:rFonts w:ascii="Arial" w:hAnsi="Arial" w:cs="Arial"/>
          <w:color w:val="7B7B7B" w:themeColor="accent3" w:themeShade="BF"/>
          <w:sz w:val="22"/>
          <w:szCs w:val="22"/>
        </w:rPr>
        <w:t>harmonise</w:t>
      </w:r>
      <w:proofErr w:type="spellEnd"/>
      <w:r w:rsidRPr="006A58BE">
        <w:rPr>
          <w:rFonts w:ascii="Arial" w:hAnsi="Arial" w:cs="Arial"/>
          <w:color w:val="7B7B7B" w:themeColor="accent3" w:themeShade="BF"/>
          <w:sz w:val="22"/>
          <w:szCs w:val="22"/>
        </w:rPr>
        <w:t xml:space="preserve"> central aspects of insolvency law, including a common definition of </w:t>
      </w:r>
      <w:r w:rsidRPr="006A58BE">
        <w:rPr>
          <w:rFonts w:ascii="Arial" w:hAnsi="Arial" w:cs="Arial"/>
          <w:color w:val="7B7B7B" w:themeColor="accent3" w:themeShade="BF"/>
          <w:sz w:val="22"/>
          <w:szCs w:val="22"/>
        </w:rPr>
        <w:lastRenderedPageBreak/>
        <w:t>insolvency and the requirements for opening insolvency proceedings</w:t>
      </w:r>
      <w:r w:rsidRPr="006A58BE">
        <w:rPr>
          <w:rStyle w:val="FootnoteReference"/>
          <w:rFonts w:ascii="Arial" w:hAnsi="Arial" w:cs="Arial"/>
          <w:color w:val="7B7B7B" w:themeColor="accent3" w:themeShade="BF"/>
          <w:sz w:val="22"/>
          <w:szCs w:val="22"/>
        </w:rPr>
        <w:footnoteReference w:id="88"/>
      </w:r>
      <w:r w:rsidRPr="006A58BE">
        <w:rPr>
          <w:rFonts w:ascii="Arial" w:hAnsi="Arial" w:cs="Arial"/>
          <w:color w:val="7B7B7B" w:themeColor="accent3" w:themeShade="BF"/>
          <w:sz w:val="22"/>
          <w:szCs w:val="22"/>
        </w:rPr>
        <w:t>.</w:t>
      </w:r>
      <w:r w:rsidR="00BB7534" w:rsidRPr="006A58BE">
        <w:rPr>
          <w:rFonts w:ascii="Arial" w:hAnsi="Arial" w:cs="Arial"/>
          <w:color w:val="7B7B7B" w:themeColor="accent3" w:themeShade="BF"/>
          <w:sz w:val="22"/>
          <w:szCs w:val="22"/>
        </w:rPr>
        <w:t xml:space="preserve"> It is perhaps apt to describe the Directive as offering not a </w:t>
      </w:r>
      <w:proofErr w:type="spellStart"/>
      <w:r w:rsidR="00BB7534" w:rsidRPr="006A58BE">
        <w:rPr>
          <w:rFonts w:ascii="Arial" w:hAnsi="Arial" w:cs="Arial"/>
          <w:color w:val="7B7B7B" w:themeColor="accent3" w:themeShade="BF"/>
          <w:sz w:val="22"/>
          <w:szCs w:val="22"/>
        </w:rPr>
        <w:t>harmonised</w:t>
      </w:r>
      <w:proofErr w:type="spellEnd"/>
      <w:r w:rsidR="00BB7534" w:rsidRPr="006A58BE">
        <w:rPr>
          <w:rFonts w:ascii="Arial" w:hAnsi="Arial" w:cs="Arial"/>
          <w:color w:val="7B7B7B" w:themeColor="accent3" w:themeShade="BF"/>
          <w:sz w:val="22"/>
          <w:szCs w:val="22"/>
        </w:rPr>
        <w:t xml:space="preserve"> framework for insolvency, but merely a menu</w:t>
      </w:r>
      <w:r w:rsidR="00CE0B1B" w:rsidRPr="006A58BE">
        <w:rPr>
          <w:rFonts w:ascii="Arial" w:hAnsi="Arial" w:cs="Arial"/>
          <w:color w:val="7B7B7B" w:themeColor="accent3" w:themeShade="BF"/>
          <w:sz w:val="22"/>
          <w:szCs w:val="22"/>
        </w:rPr>
        <w:t xml:space="preserve"> of well-worked practices across all </w:t>
      </w:r>
      <w:r w:rsidR="001A3F7D">
        <w:rPr>
          <w:rFonts w:ascii="Arial" w:hAnsi="Arial" w:cs="Arial"/>
          <w:color w:val="7B7B7B" w:themeColor="accent3" w:themeShade="BF"/>
          <w:sz w:val="22"/>
          <w:szCs w:val="22"/>
        </w:rPr>
        <w:t xml:space="preserve">EU </w:t>
      </w:r>
      <w:r w:rsidR="00CE0B1B" w:rsidRPr="006A58BE">
        <w:rPr>
          <w:rFonts w:ascii="Arial" w:hAnsi="Arial" w:cs="Arial"/>
          <w:color w:val="7B7B7B" w:themeColor="accent3" w:themeShade="BF"/>
          <w:sz w:val="22"/>
          <w:szCs w:val="22"/>
        </w:rPr>
        <w:t>Member States.</w:t>
      </w:r>
      <w:r w:rsidR="00CE0B1B" w:rsidRPr="006A58BE">
        <w:rPr>
          <w:rStyle w:val="FootnoteReference"/>
          <w:rFonts w:ascii="Arial" w:hAnsi="Arial" w:cs="Arial"/>
          <w:color w:val="7B7B7B" w:themeColor="accent3" w:themeShade="BF"/>
          <w:sz w:val="22"/>
          <w:szCs w:val="22"/>
        </w:rPr>
        <w:footnoteReference w:id="89"/>
      </w:r>
    </w:p>
    <w:p w14:paraId="45C2B3FC" w14:textId="77777777" w:rsidR="00CE0B1B" w:rsidRPr="006A58BE" w:rsidRDefault="00CE0B1B" w:rsidP="00CE0B1B">
      <w:pPr>
        <w:jc w:val="both"/>
        <w:rPr>
          <w:rFonts w:ascii="Arial" w:hAnsi="Arial" w:cs="Arial"/>
          <w:color w:val="7B7B7B" w:themeColor="accent3" w:themeShade="BF"/>
          <w:sz w:val="22"/>
          <w:szCs w:val="22"/>
        </w:rPr>
      </w:pPr>
    </w:p>
    <w:p w14:paraId="15621F0B" w14:textId="2F261498" w:rsidR="00B93068" w:rsidRPr="006A58BE" w:rsidRDefault="00E978FA" w:rsidP="00DC4F3F">
      <w:pPr>
        <w:pStyle w:val="ListParagraph"/>
        <w:jc w:val="both"/>
        <w:rPr>
          <w:rFonts w:ascii="Arial" w:hAnsi="Arial" w:cs="Arial"/>
          <w:color w:val="7B7B7B" w:themeColor="accent3" w:themeShade="BF"/>
          <w:sz w:val="22"/>
          <w:szCs w:val="22"/>
        </w:rPr>
      </w:pPr>
      <w:r w:rsidRPr="006A58BE">
        <w:rPr>
          <w:rFonts w:ascii="Arial" w:hAnsi="Arial" w:cs="Arial"/>
          <w:color w:val="7B7B7B" w:themeColor="accent3" w:themeShade="BF"/>
          <w:sz w:val="22"/>
          <w:szCs w:val="22"/>
        </w:rPr>
        <w:t xml:space="preserve">An example of how the Directive </w:t>
      </w:r>
      <w:r w:rsidR="00985E14">
        <w:rPr>
          <w:rFonts w:ascii="Arial" w:hAnsi="Arial" w:cs="Arial"/>
          <w:color w:val="7B7B7B" w:themeColor="accent3" w:themeShade="BF"/>
          <w:sz w:val="22"/>
          <w:szCs w:val="22"/>
        </w:rPr>
        <w:t>is</w:t>
      </w:r>
      <w:r w:rsidRPr="006A58BE">
        <w:rPr>
          <w:rFonts w:ascii="Arial" w:hAnsi="Arial" w:cs="Arial"/>
          <w:color w:val="7B7B7B" w:themeColor="accent3" w:themeShade="BF"/>
          <w:sz w:val="22"/>
          <w:szCs w:val="22"/>
        </w:rPr>
        <w:t xml:space="preserve"> “anti-</w:t>
      </w:r>
      <w:proofErr w:type="spellStart"/>
      <w:r w:rsidRPr="006A58BE">
        <w:rPr>
          <w:rFonts w:ascii="Arial" w:hAnsi="Arial" w:cs="Arial"/>
          <w:color w:val="7B7B7B" w:themeColor="accent3" w:themeShade="BF"/>
          <w:sz w:val="22"/>
          <w:szCs w:val="22"/>
        </w:rPr>
        <w:t>harmonisation</w:t>
      </w:r>
      <w:proofErr w:type="spellEnd"/>
      <w:r w:rsidRPr="006A58BE">
        <w:rPr>
          <w:rFonts w:ascii="Arial" w:hAnsi="Arial" w:cs="Arial"/>
          <w:color w:val="7B7B7B" w:themeColor="accent3" w:themeShade="BF"/>
          <w:sz w:val="22"/>
          <w:szCs w:val="22"/>
        </w:rPr>
        <w:t xml:space="preserve">”, or at least potentially working against the </w:t>
      </w:r>
      <w:proofErr w:type="spellStart"/>
      <w:r w:rsidRPr="006A58BE">
        <w:rPr>
          <w:rFonts w:ascii="Arial" w:hAnsi="Arial" w:cs="Arial"/>
          <w:color w:val="7B7B7B" w:themeColor="accent3" w:themeShade="BF"/>
          <w:sz w:val="22"/>
          <w:szCs w:val="22"/>
        </w:rPr>
        <w:t>harmonisation</w:t>
      </w:r>
      <w:proofErr w:type="spellEnd"/>
      <w:r w:rsidRPr="006A58BE">
        <w:rPr>
          <w:rFonts w:ascii="Arial" w:hAnsi="Arial" w:cs="Arial"/>
          <w:color w:val="7B7B7B" w:themeColor="accent3" w:themeShade="BF"/>
          <w:sz w:val="22"/>
          <w:szCs w:val="22"/>
        </w:rPr>
        <w:t xml:space="preserve"> objective of the </w:t>
      </w:r>
      <w:r w:rsidR="00DC4F3F" w:rsidRPr="006A58BE">
        <w:rPr>
          <w:rFonts w:ascii="Arial" w:hAnsi="Arial" w:cs="Arial"/>
          <w:color w:val="7B7B7B" w:themeColor="accent3" w:themeShade="BF"/>
          <w:sz w:val="22"/>
          <w:szCs w:val="22"/>
        </w:rPr>
        <w:t xml:space="preserve">European insolvency </w:t>
      </w:r>
      <w:r w:rsidR="00B93068" w:rsidRPr="006A58BE">
        <w:rPr>
          <w:rFonts w:ascii="Arial" w:hAnsi="Arial" w:cs="Arial"/>
          <w:color w:val="7B7B7B" w:themeColor="accent3" w:themeShade="BF"/>
          <w:sz w:val="22"/>
          <w:szCs w:val="22"/>
        </w:rPr>
        <w:t xml:space="preserve">regime </w:t>
      </w:r>
      <w:r w:rsidRPr="006A58BE">
        <w:rPr>
          <w:rFonts w:ascii="Arial" w:hAnsi="Arial" w:cs="Arial"/>
          <w:color w:val="7B7B7B" w:themeColor="accent3" w:themeShade="BF"/>
          <w:sz w:val="22"/>
          <w:szCs w:val="22"/>
        </w:rPr>
        <w:t xml:space="preserve">is the fact that under the Directive, a debtor can request a stay of individual </w:t>
      </w:r>
      <w:r w:rsidR="00432D9A" w:rsidRPr="006A58BE">
        <w:rPr>
          <w:rFonts w:ascii="Arial" w:hAnsi="Arial" w:cs="Arial"/>
          <w:color w:val="7B7B7B" w:themeColor="accent3" w:themeShade="BF"/>
          <w:sz w:val="22"/>
          <w:szCs w:val="22"/>
        </w:rPr>
        <w:t>enforcement actions to support the negotiations of a restructuring plan in a preventive restructuring framework</w:t>
      </w:r>
      <w:r w:rsidR="00432D9A" w:rsidRPr="006A58BE">
        <w:rPr>
          <w:rStyle w:val="FootnoteReference"/>
          <w:rFonts w:ascii="Arial" w:hAnsi="Arial" w:cs="Arial"/>
          <w:color w:val="7B7B7B" w:themeColor="accent3" w:themeShade="BF"/>
          <w:sz w:val="22"/>
          <w:szCs w:val="22"/>
        </w:rPr>
        <w:footnoteReference w:id="90"/>
      </w:r>
      <w:r w:rsidR="00432D9A" w:rsidRPr="006A58BE">
        <w:rPr>
          <w:rFonts w:ascii="Arial" w:hAnsi="Arial" w:cs="Arial"/>
          <w:color w:val="7B7B7B" w:themeColor="accent3" w:themeShade="BF"/>
          <w:sz w:val="22"/>
          <w:szCs w:val="22"/>
        </w:rPr>
        <w:t xml:space="preserve"> </w:t>
      </w:r>
      <w:r w:rsidRPr="006A58BE">
        <w:rPr>
          <w:rFonts w:ascii="Arial" w:hAnsi="Arial" w:cs="Arial"/>
          <w:color w:val="7B7B7B" w:themeColor="accent3" w:themeShade="BF"/>
          <w:sz w:val="22"/>
          <w:szCs w:val="22"/>
        </w:rPr>
        <w:t xml:space="preserve">and to present </w:t>
      </w:r>
      <w:r w:rsidR="00432D9A" w:rsidRPr="006A58BE">
        <w:rPr>
          <w:rFonts w:ascii="Arial" w:hAnsi="Arial" w:cs="Arial"/>
          <w:color w:val="7B7B7B" w:themeColor="accent3" w:themeShade="BF"/>
          <w:sz w:val="22"/>
          <w:szCs w:val="22"/>
        </w:rPr>
        <w:t xml:space="preserve">such restructuring </w:t>
      </w:r>
      <w:r w:rsidRPr="006A58BE">
        <w:rPr>
          <w:rFonts w:ascii="Arial" w:hAnsi="Arial" w:cs="Arial"/>
          <w:color w:val="7B7B7B" w:themeColor="accent3" w:themeShade="BF"/>
          <w:sz w:val="22"/>
          <w:szCs w:val="22"/>
        </w:rPr>
        <w:t>plans to all affected</w:t>
      </w:r>
      <w:r w:rsidR="00432D9A" w:rsidRPr="006A58BE">
        <w:rPr>
          <w:rFonts w:ascii="Arial" w:hAnsi="Arial" w:cs="Arial"/>
          <w:color w:val="7B7B7B" w:themeColor="accent3" w:themeShade="BF"/>
          <w:sz w:val="22"/>
          <w:szCs w:val="22"/>
        </w:rPr>
        <w:t xml:space="preserve"> </w:t>
      </w:r>
      <w:r w:rsidRPr="006A58BE">
        <w:rPr>
          <w:rFonts w:ascii="Arial" w:hAnsi="Arial" w:cs="Arial"/>
          <w:color w:val="7B7B7B" w:themeColor="accent3" w:themeShade="BF"/>
          <w:sz w:val="22"/>
          <w:szCs w:val="22"/>
        </w:rPr>
        <w:t>parties.</w:t>
      </w:r>
      <w:r w:rsidR="00432D9A" w:rsidRPr="006A58BE">
        <w:rPr>
          <w:rStyle w:val="FootnoteReference"/>
          <w:rFonts w:ascii="Arial" w:hAnsi="Arial" w:cs="Arial"/>
          <w:color w:val="7B7B7B" w:themeColor="accent3" w:themeShade="BF"/>
          <w:sz w:val="22"/>
          <w:szCs w:val="22"/>
        </w:rPr>
        <w:footnoteReference w:id="91"/>
      </w:r>
      <w:r w:rsidR="00432D9A" w:rsidRPr="006A58BE">
        <w:rPr>
          <w:rFonts w:ascii="Arial" w:hAnsi="Arial" w:cs="Arial"/>
          <w:color w:val="7B7B7B" w:themeColor="accent3" w:themeShade="BF"/>
          <w:sz w:val="22"/>
          <w:szCs w:val="22"/>
        </w:rPr>
        <w:t xml:space="preserve"> The affected parties are divided into classes</w:t>
      </w:r>
      <w:r w:rsidR="00432D9A" w:rsidRPr="006A58BE">
        <w:rPr>
          <w:rStyle w:val="FootnoteReference"/>
          <w:rFonts w:ascii="Arial" w:hAnsi="Arial" w:cs="Arial"/>
          <w:color w:val="7B7B7B" w:themeColor="accent3" w:themeShade="BF"/>
          <w:sz w:val="22"/>
          <w:szCs w:val="22"/>
        </w:rPr>
        <w:footnoteReference w:id="92"/>
      </w:r>
      <w:r w:rsidR="00432D9A" w:rsidRPr="006A58BE">
        <w:rPr>
          <w:rFonts w:ascii="Arial" w:hAnsi="Arial" w:cs="Arial"/>
          <w:color w:val="7B7B7B" w:themeColor="accent3" w:themeShade="BF"/>
          <w:sz w:val="22"/>
          <w:szCs w:val="22"/>
        </w:rPr>
        <w:t xml:space="preserve"> and any </w:t>
      </w:r>
      <w:r w:rsidRPr="006A58BE">
        <w:rPr>
          <w:rFonts w:ascii="Arial" w:hAnsi="Arial" w:cs="Arial"/>
          <w:color w:val="7B7B7B" w:themeColor="accent3" w:themeShade="BF"/>
          <w:sz w:val="22"/>
          <w:szCs w:val="22"/>
        </w:rPr>
        <w:t>restructuring plan is adopted by the affected parties</w:t>
      </w:r>
      <w:r w:rsidR="00432D9A" w:rsidRPr="006A58BE">
        <w:rPr>
          <w:rFonts w:ascii="Arial" w:hAnsi="Arial" w:cs="Arial"/>
          <w:color w:val="7B7B7B" w:themeColor="accent3" w:themeShade="BF"/>
          <w:sz w:val="22"/>
          <w:szCs w:val="22"/>
        </w:rPr>
        <w:t xml:space="preserve"> “</w:t>
      </w:r>
      <w:r w:rsidR="00432D9A" w:rsidRPr="006A58BE">
        <w:rPr>
          <w:rFonts w:ascii="Arial" w:hAnsi="Arial" w:cs="Arial"/>
          <w:i/>
          <w:iCs/>
          <w:color w:val="7B7B7B" w:themeColor="accent3" w:themeShade="BF"/>
          <w:sz w:val="22"/>
          <w:szCs w:val="22"/>
        </w:rPr>
        <w:t>provided that a majority in the amount of their claims or interests is obtained in each class. Member States may, in addition, require that a majority in the number of affected parties is obtained in each class</w:t>
      </w:r>
      <w:r w:rsidR="00432D9A" w:rsidRPr="006A58BE">
        <w:rPr>
          <w:rFonts w:ascii="Arial" w:hAnsi="Arial" w:cs="Arial"/>
          <w:color w:val="7B7B7B" w:themeColor="accent3" w:themeShade="BF"/>
          <w:sz w:val="22"/>
          <w:szCs w:val="22"/>
        </w:rPr>
        <w:t>.”</w:t>
      </w:r>
      <w:r w:rsidR="00432D9A" w:rsidRPr="006A58BE">
        <w:rPr>
          <w:rStyle w:val="FootnoteReference"/>
          <w:rFonts w:ascii="Arial" w:hAnsi="Arial" w:cs="Arial"/>
          <w:color w:val="7B7B7B" w:themeColor="accent3" w:themeShade="BF"/>
          <w:sz w:val="22"/>
          <w:szCs w:val="22"/>
        </w:rPr>
        <w:footnoteReference w:id="93"/>
      </w:r>
      <w:r w:rsidR="00DC4F3F" w:rsidRPr="006A58BE">
        <w:rPr>
          <w:rFonts w:ascii="Arial" w:hAnsi="Arial" w:cs="Arial"/>
          <w:color w:val="7B7B7B" w:themeColor="accent3" w:themeShade="BF"/>
          <w:sz w:val="22"/>
          <w:szCs w:val="22"/>
        </w:rPr>
        <w:t xml:space="preserve"> </w:t>
      </w:r>
      <w:r w:rsidR="00985E14">
        <w:rPr>
          <w:rFonts w:ascii="Arial" w:hAnsi="Arial" w:cs="Arial"/>
          <w:color w:val="7B7B7B" w:themeColor="accent3" w:themeShade="BF"/>
          <w:sz w:val="22"/>
          <w:szCs w:val="22"/>
        </w:rPr>
        <w:t xml:space="preserve">EU </w:t>
      </w:r>
      <w:r w:rsidR="00DC4F3F" w:rsidRPr="006A58BE">
        <w:rPr>
          <w:rFonts w:ascii="Arial" w:hAnsi="Arial" w:cs="Arial"/>
          <w:color w:val="7B7B7B" w:themeColor="accent3" w:themeShade="BF"/>
          <w:sz w:val="22"/>
          <w:szCs w:val="22"/>
        </w:rPr>
        <w:t>Member States may choose between the “absolute priority rule”</w:t>
      </w:r>
      <w:r w:rsidR="00DC4F3F" w:rsidRPr="006A58BE">
        <w:rPr>
          <w:rStyle w:val="FootnoteReference"/>
          <w:rFonts w:ascii="Arial" w:hAnsi="Arial" w:cs="Arial"/>
          <w:color w:val="7B7B7B" w:themeColor="accent3" w:themeShade="BF"/>
          <w:sz w:val="22"/>
          <w:szCs w:val="22"/>
        </w:rPr>
        <w:footnoteReference w:id="94"/>
      </w:r>
      <w:r w:rsidR="00DC4F3F" w:rsidRPr="006A58BE">
        <w:rPr>
          <w:rFonts w:ascii="Arial" w:hAnsi="Arial" w:cs="Arial"/>
          <w:color w:val="7B7B7B" w:themeColor="accent3" w:themeShade="BF"/>
          <w:sz w:val="22"/>
          <w:szCs w:val="22"/>
        </w:rPr>
        <w:t xml:space="preserve"> or derogate from this</w:t>
      </w:r>
      <w:r w:rsidR="00DC4F3F" w:rsidRPr="006A58BE">
        <w:rPr>
          <w:rStyle w:val="FootnoteReference"/>
          <w:rFonts w:ascii="Arial" w:hAnsi="Arial" w:cs="Arial"/>
          <w:color w:val="7B7B7B" w:themeColor="accent3" w:themeShade="BF"/>
          <w:sz w:val="22"/>
          <w:szCs w:val="22"/>
        </w:rPr>
        <w:footnoteReference w:id="95"/>
      </w:r>
      <w:r w:rsidR="00DC4F3F" w:rsidRPr="006A58BE">
        <w:rPr>
          <w:rFonts w:ascii="Arial" w:hAnsi="Arial" w:cs="Arial"/>
          <w:color w:val="7B7B7B" w:themeColor="accent3" w:themeShade="BF"/>
          <w:sz w:val="22"/>
          <w:szCs w:val="22"/>
        </w:rPr>
        <w:t xml:space="preserve"> and opt for a less rigid “relative priority rule”</w:t>
      </w:r>
      <w:r w:rsidR="00DC4F3F" w:rsidRPr="006A58BE">
        <w:rPr>
          <w:rStyle w:val="FootnoteReference"/>
          <w:rFonts w:ascii="Arial" w:hAnsi="Arial" w:cs="Arial"/>
          <w:color w:val="7B7B7B" w:themeColor="accent3" w:themeShade="BF"/>
          <w:sz w:val="22"/>
          <w:szCs w:val="22"/>
        </w:rPr>
        <w:footnoteReference w:id="96"/>
      </w:r>
      <w:r w:rsidR="00DC4F3F" w:rsidRPr="006A58BE">
        <w:rPr>
          <w:rFonts w:ascii="Arial" w:hAnsi="Arial" w:cs="Arial"/>
          <w:color w:val="7B7B7B" w:themeColor="accent3" w:themeShade="BF"/>
          <w:sz w:val="22"/>
          <w:szCs w:val="22"/>
        </w:rPr>
        <w:t xml:space="preserve">. This </w:t>
      </w:r>
      <w:r w:rsidR="00B93068" w:rsidRPr="006A58BE">
        <w:rPr>
          <w:rFonts w:ascii="Arial" w:hAnsi="Arial" w:cs="Arial"/>
          <w:color w:val="7B7B7B" w:themeColor="accent3" w:themeShade="BF"/>
          <w:sz w:val="22"/>
          <w:szCs w:val="22"/>
        </w:rPr>
        <w:t xml:space="preserve">would mean that dissenting voting classes will be treated at least “as </w:t>
      </w:r>
      <w:proofErr w:type="spellStart"/>
      <w:r w:rsidR="00B93068" w:rsidRPr="006A58BE">
        <w:rPr>
          <w:rFonts w:ascii="Arial" w:hAnsi="Arial" w:cs="Arial"/>
          <w:color w:val="7B7B7B" w:themeColor="accent3" w:themeShade="BF"/>
          <w:sz w:val="22"/>
          <w:szCs w:val="22"/>
        </w:rPr>
        <w:t>favourably</w:t>
      </w:r>
      <w:proofErr w:type="spellEnd"/>
      <w:r w:rsidR="00B93068" w:rsidRPr="006A58BE">
        <w:rPr>
          <w:rFonts w:ascii="Arial" w:hAnsi="Arial" w:cs="Arial"/>
          <w:color w:val="7B7B7B" w:themeColor="accent3" w:themeShade="BF"/>
          <w:sz w:val="22"/>
          <w:szCs w:val="22"/>
        </w:rPr>
        <w:t xml:space="preserve">” as any other class of the same rank and “more </w:t>
      </w:r>
      <w:proofErr w:type="spellStart"/>
      <w:r w:rsidR="00B93068" w:rsidRPr="006A58BE">
        <w:rPr>
          <w:rFonts w:ascii="Arial" w:hAnsi="Arial" w:cs="Arial"/>
          <w:color w:val="7B7B7B" w:themeColor="accent3" w:themeShade="BF"/>
          <w:sz w:val="22"/>
          <w:szCs w:val="22"/>
        </w:rPr>
        <w:t>favourably</w:t>
      </w:r>
      <w:proofErr w:type="spellEnd"/>
      <w:r w:rsidR="00B93068" w:rsidRPr="006A58BE">
        <w:rPr>
          <w:rFonts w:ascii="Arial" w:hAnsi="Arial" w:cs="Arial"/>
          <w:color w:val="7B7B7B" w:themeColor="accent3" w:themeShade="BF"/>
          <w:sz w:val="22"/>
          <w:szCs w:val="22"/>
        </w:rPr>
        <w:t>” than any junior class.</w:t>
      </w:r>
      <w:r w:rsidR="00B93068" w:rsidRPr="006A58BE">
        <w:rPr>
          <w:rStyle w:val="FootnoteReference"/>
          <w:rFonts w:ascii="Arial" w:hAnsi="Arial" w:cs="Arial"/>
          <w:color w:val="7B7B7B" w:themeColor="accent3" w:themeShade="BF"/>
          <w:sz w:val="22"/>
          <w:szCs w:val="22"/>
        </w:rPr>
        <w:footnoteReference w:id="97"/>
      </w:r>
      <w:r w:rsidR="00B93068" w:rsidRPr="006A58BE">
        <w:rPr>
          <w:rFonts w:ascii="Arial" w:hAnsi="Arial" w:cs="Arial"/>
          <w:color w:val="7B7B7B" w:themeColor="accent3" w:themeShade="BF"/>
          <w:sz w:val="22"/>
          <w:szCs w:val="22"/>
        </w:rPr>
        <w:t xml:space="preserve"> Ironically, this less rigid “relative priority rule”</w:t>
      </w:r>
      <w:r w:rsidR="00B93068" w:rsidRPr="006A58BE">
        <w:rPr>
          <w:rStyle w:val="FootnoteReference"/>
          <w:rFonts w:ascii="Arial" w:hAnsi="Arial" w:cs="Arial"/>
          <w:color w:val="7B7B7B" w:themeColor="accent3" w:themeShade="BF"/>
          <w:sz w:val="22"/>
          <w:szCs w:val="22"/>
        </w:rPr>
        <w:footnoteReference w:id="98"/>
      </w:r>
      <w:r w:rsidR="00B93068" w:rsidRPr="006A58BE">
        <w:rPr>
          <w:rFonts w:ascii="Arial" w:hAnsi="Arial" w:cs="Arial"/>
          <w:color w:val="7B7B7B" w:themeColor="accent3" w:themeShade="BF"/>
          <w:sz w:val="22"/>
          <w:szCs w:val="22"/>
        </w:rPr>
        <w:t xml:space="preserve"> could lead to forum shopping within the EU</w:t>
      </w:r>
      <w:r w:rsidR="00B93068" w:rsidRPr="006A58BE">
        <w:rPr>
          <w:rStyle w:val="FootnoteReference"/>
          <w:rFonts w:ascii="Arial" w:hAnsi="Arial" w:cs="Arial"/>
          <w:color w:val="7B7B7B" w:themeColor="accent3" w:themeShade="BF"/>
          <w:sz w:val="22"/>
          <w:szCs w:val="22"/>
        </w:rPr>
        <w:footnoteReference w:id="99"/>
      </w:r>
      <w:r w:rsidR="00B93068" w:rsidRPr="006A58BE">
        <w:rPr>
          <w:rFonts w:ascii="Arial" w:hAnsi="Arial" w:cs="Arial"/>
          <w:color w:val="7B7B7B" w:themeColor="accent3" w:themeShade="BF"/>
          <w:sz w:val="22"/>
          <w:szCs w:val="22"/>
        </w:rPr>
        <w:t xml:space="preserve">, which is contrary to the </w:t>
      </w:r>
      <w:proofErr w:type="spellStart"/>
      <w:r w:rsidR="00B93068" w:rsidRPr="006A58BE">
        <w:rPr>
          <w:rFonts w:ascii="Arial" w:hAnsi="Arial" w:cs="Arial"/>
          <w:color w:val="7B7B7B" w:themeColor="accent3" w:themeShade="BF"/>
          <w:sz w:val="22"/>
          <w:szCs w:val="22"/>
        </w:rPr>
        <w:t>harmonisation</w:t>
      </w:r>
      <w:proofErr w:type="spellEnd"/>
      <w:r w:rsidR="00B93068" w:rsidRPr="006A58BE">
        <w:rPr>
          <w:rFonts w:ascii="Arial" w:hAnsi="Arial" w:cs="Arial"/>
          <w:color w:val="7B7B7B" w:themeColor="accent3" w:themeShade="BF"/>
          <w:sz w:val="22"/>
          <w:szCs w:val="22"/>
        </w:rPr>
        <w:t xml:space="preserve"> objective of the Directive, EIR Recast and the EU insolvency </w:t>
      </w:r>
      <w:proofErr w:type="gramStart"/>
      <w:r w:rsidR="00B93068" w:rsidRPr="006A58BE">
        <w:rPr>
          <w:rFonts w:ascii="Arial" w:hAnsi="Arial" w:cs="Arial"/>
          <w:color w:val="7B7B7B" w:themeColor="accent3" w:themeShade="BF"/>
          <w:sz w:val="22"/>
          <w:szCs w:val="22"/>
        </w:rPr>
        <w:t>regime as a whole</w:t>
      </w:r>
      <w:proofErr w:type="gramEnd"/>
      <w:r w:rsidR="00B93068" w:rsidRPr="006A58BE">
        <w:rPr>
          <w:rFonts w:ascii="Arial" w:hAnsi="Arial" w:cs="Arial"/>
          <w:color w:val="7B7B7B" w:themeColor="accent3" w:themeShade="BF"/>
          <w:sz w:val="22"/>
          <w:szCs w:val="22"/>
        </w:rPr>
        <w:t>.</w:t>
      </w:r>
    </w:p>
    <w:p w14:paraId="74607722" w14:textId="77777777" w:rsidR="00DB7E60" w:rsidRPr="006A58BE" w:rsidRDefault="00DB7E60" w:rsidP="00DA3CA2">
      <w:pPr>
        <w:jc w:val="both"/>
        <w:rPr>
          <w:rFonts w:ascii="Arial" w:hAnsi="Arial" w:cs="Arial"/>
          <w:color w:val="7B7B7B" w:themeColor="accent3" w:themeShade="BF"/>
          <w:sz w:val="22"/>
          <w:szCs w:val="22"/>
        </w:rPr>
      </w:pPr>
    </w:p>
    <w:p w14:paraId="3BD7180A" w14:textId="77777777" w:rsidR="007F747D" w:rsidRPr="006A58BE" w:rsidRDefault="00D16FA6">
      <w:pPr>
        <w:pStyle w:val="ListParagraph"/>
        <w:numPr>
          <w:ilvl w:val="0"/>
          <w:numId w:val="17"/>
        </w:numPr>
        <w:jc w:val="both"/>
        <w:rPr>
          <w:rFonts w:ascii="Arial" w:hAnsi="Arial" w:cs="Arial"/>
          <w:color w:val="7B7B7B" w:themeColor="accent3" w:themeShade="BF"/>
          <w:sz w:val="22"/>
          <w:szCs w:val="22"/>
        </w:rPr>
      </w:pPr>
      <w:r w:rsidRPr="006A58BE">
        <w:rPr>
          <w:rFonts w:ascii="Arial" w:hAnsi="Arial" w:cs="Arial"/>
          <w:color w:val="7B7B7B" w:themeColor="accent3" w:themeShade="BF"/>
          <w:sz w:val="22"/>
          <w:szCs w:val="22"/>
        </w:rPr>
        <w:t xml:space="preserve">Debtor’s role </w:t>
      </w:r>
      <w:r w:rsidR="00AC2E36" w:rsidRPr="006A58BE">
        <w:rPr>
          <w:rFonts w:ascii="Arial" w:hAnsi="Arial" w:cs="Arial"/>
          <w:color w:val="7B7B7B" w:themeColor="accent3" w:themeShade="BF"/>
          <w:sz w:val="22"/>
          <w:szCs w:val="22"/>
        </w:rPr>
        <w:t xml:space="preserve">under the Directive compared to the EIR Recast – a debtor has arguably a more active role under the Directive </w:t>
      </w:r>
      <w:r w:rsidR="007F747D" w:rsidRPr="006A58BE">
        <w:rPr>
          <w:rFonts w:ascii="Arial" w:hAnsi="Arial" w:cs="Arial"/>
          <w:color w:val="7B7B7B" w:themeColor="accent3" w:themeShade="BF"/>
          <w:sz w:val="22"/>
          <w:szCs w:val="22"/>
        </w:rPr>
        <w:t>(</w:t>
      </w:r>
      <w:r w:rsidR="00AC2E36" w:rsidRPr="006A58BE">
        <w:rPr>
          <w:rFonts w:ascii="Arial" w:hAnsi="Arial" w:cs="Arial"/>
          <w:color w:val="7B7B7B" w:themeColor="accent3" w:themeShade="BF"/>
          <w:sz w:val="22"/>
          <w:szCs w:val="22"/>
        </w:rPr>
        <w:t>compared to under the EIR Recast</w:t>
      </w:r>
      <w:r w:rsidR="007F747D" w:rsidRPr="006A58BE">
        <w:rPr>
          <w:rFonts w:ascii="Arial" w:hAnsi="Arial" w:cs="Arial"/>
          <w:color w:val="7B7B7B" w:themeColor="accent3" w:themeShade="BF"/>
          <w:sz w:val="22"/>
          <w:szCs w:val="22"/>
        </w:rPr>
        <w:t>)</w:t>
      </w:r>
      <w:r w:rsidR="003567E3" w:rsidRPr="006A58BE">
        <w:rPr>
          <w:rFonts w:ascii="Arial" w:hAnsi="Arial" w:cs="Arial"/>
          <w:color w:val="7B7B7B" w:themeColor="accent3" w:themeShade="BF"/>
          <w:sz w:val="22"/>
          <w:szCs w:val="22"/>
        </w:rPr>
        <w:t xml:space="preserve"> as it is</w:t>
      </w:r>
      <w:r w:rsidR="00AC2E36" w:rsidRPr="006A58BE">
        <w:rPr>
          <w:rFonts w:ascii="Arial" w:hAnsi="Arial" w:cs="Arial"/>
          <w:color w:val="7B7B7B" w:themeColor="accent3" w:themeShade="BF"/>
          <w:sz w:val="22"/>
          <w:szCs w:val="22"/>
        </w:rPr>
        <w:t xml:space="preserve"> a </w:t>
      </w:r>
      <w:r w:rsidR="00FC3276" w:rsidRPr="006A58BE">
        <w:rPr>
          <w:rFonts w:ascii="Arial" w:hAnsi="Arial" w:cs="Arial"/>
          <w:color w:val="7B7B7B" w:themeColor="accent3" w:themeShade="BF"/>
          <w:sz w:val="22"/>
          <w:szCs w:val="22"/>
        </w:rPr>
        <w:t>(</w:t>
      </w:r>
      <w:r w:rsidR="00AC2E36" w:rsidRPr="006A58BE">
        <w:rPr>
          <w:rFonts w:ascii="Arial" w:hAnsi="Arial" w:cs="Arial"/>
          <w:color w:val="7B7B7B" w:themeColor="accent3" w:themeShade="BF"/>
          <w:sz w:val="22"/>
          <w:szCs w:val="22"/>
        </w:rPr>
        <w:t>relatively</w:t>
      </w:r>
      <w:r w:rsidR="00FC3276" w:rsidRPr="006A58BE">
        <w:rPr>
          <w:rFonts w:ascii="Arial" w:hAnsi="Arial" w:cs="Arial"/>
          <w:color w:val="7B7B7B" w:themeColor="accent3" w:themeShade="BF"/>
          <w:sz w:val="22"/>
          <w:szCs w:val="22"/>
        </w:rPr>
        <w:t>)</w:t>
      </w:r>
      <w:r w:rsidR="00AC2E36" w:rsidRPr="006A58BE">
        <w:rPr>
          <w:rFonts w:ascii="Arial" w:hAnsi="Arial" w:cs="Arial"/>
          <w:color w:val="7B7B7B" w:themeColor="accent3" w:themeShade="BF"/>
          <w:sz w:val="22"/>
          <w:szCs w:val="22"/>
        </w:rPr>
        <w:t xml:space="preserve"> more debtor</w:t>
      </w:r>
      <w:r w:rsidR="007F747D" w:rsidRPr="006A58BE">
        <w:rPr>
          <w:rFonts w:ascii="Arial" w:hAnsi="Arial" w:cs="Arial"/>
          <w:color w:val="7B7B7B" w:themeColor="accent3" w:themeShade="BF"/>
          <w:sz w:val="22"/>
          <w:szCs w:val="22"/>
        </w:rPr>
        <w:t>-</w:t>
      </w:r>
      <w:r w:rsidR="00AC2E36" w:rsidRPr="006A58BE">
        <w:rPr>
          <w:rFonts w:ascii="Arial" w:hAnsi="Arial" w:cs="Arial"/>
          <w:color w:val="7B7B7B" w:themeColor="accent3" w:themeShade="BF"/>
          <w:sz w:val="22"/>
          <w:szCs w:val="22"/>
        </w:rPr>
        <w:t>driven</w:t>
      </w:r>
      <w:r w:rsidR="007F747D" w:rsidRPr="006A58BE">
        <w:rPr>
          <w:rFonts w:ascii="Arial" w:hAnsi="Arial" w:cs="Arial"/>
          <w:color w:val="7B7B7B" w:themeColor="accent3" w:themeShade="BF"/>
          <w:sz w:val="22"/>
          <w:szCs w:val="22"/>
        </w:rPr>
        <w:t>, debtor-focused</w:t>
      </w:r>
      <w:r w:rsidR="00AC2E36" w:rsidRPr="006A58BE">
        <w:rPr>
          <w:rFonts w:ascii="Arial" w:hAnsi="Arial" w:cs="Arial"/>
          <w:color w:val="7B7B7B" w:themeColor="accent3" w:themeShade="BF"/>
          <w:sz w:val="22"/>
          <w:szCs w:val="22"/>
        </w:rPr>
        <w:t xml:space="preserve"> instrument. </w:t>
      </w:r>
      <w:r w:rsidR="007F747D" w:rsidRPr="006A58BE">
        <w:rPr>
          <w:rFonts w:ascii="Arial" w:hAnsi="Arial" w:cs="Arial"/>
          <w:color w:val="7B7B7B" w:themeColor="accent3" w:themeShade="BF"/>
          <w:sz w:val="22"/>
          <w:szCs w:val="22"/>
        </w:rPr>
        <w:t xml:space="preserve">The Directive states that </w:t>
      </w:r>
      <w:r w:rsidR="003567E3" w:rsidRPr="006A58BE">
        <w:rPr>
          <w:rFonts w:ascii="Arial" w:hAnsi="Arial" w:cs="Arial"/>
          <w:color w:val="7B7B7B" w:themeColor="accent3" w:themeShade="BF"/>
          <w:sz w:val="22"/>
          <w:szCs w:val="22"/>
        </w:rPr>
        <w:t xml:space="preserve">access to up-to-date information regarding available preventive restructuring procedures as well as one or more early warning tools should be put in place to provide debtors with an incentive to </w:t>
      </w:r>
      <w:proofErr w:type="gramStart"/>
      <w:r w:rsidR="003567E3" w:rsidRPr="006A58BE">
        <w:rPr>
          <w:rFonts w:ascii="Arial" w:hAnsi="Arial" w:cs="Arial"/>
          <w:color w:val="7B7B7B" w:themeColor="accent3" w:themeShade="BF"/>
          <w:sz w:val="22"/>
          <w:szCs w:val="22"/>
        </w:rPr>
        <w:t>take action</w:t>
      </w:r>
      <w:proofErr w:type="gramEnd"/>
      <w:r w:rsidR="003567E3" w:rsidRPr="006A58BE">
        <w:rPr>
          <w:rFonts w:ascii="Arial" w:hAnsi="Arial" w:cs="Arial"/>
          <w:color w:val="7B7B7B" w:themeColor="accent3" w:themeShade="BF"/>
          <w:sz w:val="22"/>
          <w:szCs w:val="22"/>
        </w:rPr>
        <w:t xml:space="preserve"> early if they experience financial difficulties.</w:t>
      </w:r>
      <w:r w:rsidR="003567E3" w:rsidRPr="006A58BE">
        <w:rPr>
          <w:rStyle w:val="FootnoteReference"/>
          <w:rFonts w:ascii="Arial" w:hAnsi="Arial" w:cs="Arial"/>
          <w:color w:val="7B7B7B" w:themeColor="accent3" w:themeShade="BF"/>
          <w:sz w:val="22"/>
          <w:szCs w:val="22"/>
        </w:rPr>
        <w:footnoteReference w:id="100"/>
      </w:r>
      <w:r w:rsidR="003567E3" w:rsidRPr="006A58BE">
        <w:rPr>
          <w:rFonts w:ascii="Arial" w:hAnsi="Arial" w:cs="Arial"/>
          <w:color w:val="7B7B7B" w:themeColor="accent3" w:themeShade="BF"/>
          <w:sz w:val="22"/>
          <w:szCs w:val="22"/>
        </w:rPr>
        <w:t xml:space="preserve"> This </w:t>
      </w:r>
      <w:r w:rsidR="007F747D" w:rsidRPr="006A58BE">
        <w:rPr>
          <w:rFonts w:ascii="Arial" w:hAnsi="Arial" w:cs="Arial"/>
          <w:color w:val="7B7B7B" w:themeColor="accent3" w:themeShade="BF"/>
          <w:sz w:val="22"/>
          <w:szCs w:val="22"/>
        </w:rPr>
        <w:t xml:space="preserve">is designed to </w:t>
      </w:r>
      <w:r w:rsidR="003567E3" w:rsidRPr="006A58BE">
        <w:rPr>
          <w:rFonts w:ascii="Arial" w:hAnsi="Arial" w:cs="Arial"/>
          <w:color w:val="7B7B7B" w:themeColor="accent3" w:themeShade="BF"/>
          <w:sz w:val="22"/>
          <w:szCs w:val="22"/>
        </w:rPr>
        <w:t xml:space="preserve">alert </w:t>
      </w:r>
      <w:r w:rsidR="007F747D" w:rsidRPr="006A58BE">
        <w:rPr>
          <w:rFonts w:ascii="Arial" w:hAnsi="Arial" w:cs="Arial"/>
          <w:color w:val="7B7B7B" w:themeColor="accent3" w:themeShade="BF"/>
          <w:sz w:val="22"/>
          <w:szCs w:val="22"/>
        </w:rPr>
        <w:t xml:space="preserve">debtors </w:t>
      </w:r>
      <w:r w:rsidR="003567E3" w:rsidRPr="006A58BE">
        <w:rPr>
          <w:rFonts w:ascii="Arial" w:hAnsi="Arial" w:cs="Arial"/>
          <w:color w:val="7B7B7B" w:themeColor="accent3" w:themeShade="BF"/>
          <w:sz w:val="22"/>
          <w:szCs w:val="22"/>
        </w:rPr>
        <w:t>to act quickly to avoid a formal insolvency.</w:t>
      </w:r>
    </w:p>
    <w:p w14:paraId="41D7589C" w14:textId="77777777" w:rsidR="007F747D" w:rsidRPr="006A58BE" w:rsidRDefault="007F747D" w:rsidP="007F747D">
      <w:pPr>
        <w:pStyle w:val="ListParagraph"/>
        <w:jc w:val="both"/>
        <w:rPr>
          <w:rFonts w:ascii="Arial" w:hAnsi="Arial" w:cs="Arial"/>
          <w:color w:val="7B7B7B" w:themeColor="accent3" w:themeShade="BF"/>
          <w:sz w:val="22"/>
          <w:szCs w:val="22"/>
        </w:rPr>
      </w:pPr>
    </w:p>
    <w:p w14:paraId="107B6193" w14:textId="7E23CE72" w:rsidR="00AC2E36" w:rsidRPr="006A58BE" w:rsidRDefault="007F747D" w:rsidP="007F747D">
      <w:pPr>
        <w:pStyle w:val="ListParagraph"/>
        <w:jc w:val="both"/>
        <w:rPr>
          <w:rFonts w:ascii="Arial" w:hAnsi="Arial" w:cs="Arial"/>
          <w:color w:val="7B7B7B" w:themeColor="accent3" w:themeShade="BF"/>
          <w:sz w:val="22"/>
          <w:szCs w:val="22"/>
        </w:rPr>
      </w:pPr>
      <w:r w:rsidRPr="006A58BE">
        <w:rPr>
          <w:rFonts w:ascii="Arial" w:hAnsi="Arial" w:cs="Arial"/>
          <w:color w:val="7B7B7B" w:themeColor="accent3" w:themeShade="BF"/>
          <w:sz w:val="22"/>
          <w:szCs w:val="22"/>
        </w:rPr>
        <w:t>In terms of access to effective national preventative restructuring frameworks which will enable viable but distressed companies to continue operating, the Directive</w:t>
      </w:r>
      <w:r w:rsidR="00AC2E36" w:rsidRPr="006A58BE">
        <w:rPr>
          <w:rFonts w:ascii="Arial" w:hAnsi="Arial" w:cs="Arial"/>
          <w:color w:val="7B7B7B" w:themeColor="accent3" w:themeShade="BF"/>
          <w:sz w:val="22"/>
          <w:szCs w:val="22"/>
        </w:rPr>
        <w:t xml:space="preserve"> is designed to establish an EU-wide system that ensures effective restructuring processes at both national and cross-border levels</w:t>
      </w:r>
      <w:r w:rsidRPr="006A58BE">
        <w:rPr>
          <w:rFonts w:ascii="Arial" w:hAnsi="Arial" w:cs="Arial"/>
          <w:color w:val="7B7B7B" w:themeColor="accent3" w:themeShade="BF"/>
          <w:sz w:val="22"/>
          <w:szCs w:val="22"/>
        </w:rPr>
        <w:t xml:space="preserve"> (without interfering with what already works in a</w:t>
      </w:r>
      <w:r w:rsidR="0008350F">
        <w:rPr>
          <w:rFonts w:ascii="Arial" w:hAnsi="Arial" w:cs="Arial"/>
          <w:color w:val="7B7B7B" w:themeColor="accent3" w:themeShade="BF"/>
          <w:sz w:val="22"/>
          <w:szCs w:val="22"/>
        </w:rPr>
        <w:t>n</w:t>
      </w:r>
      <w:r w:rsidRPr="006A58BE">
        <w:rPr>
          <w:rFonts w:ascii="Arial" w:hAnsi="Arial" w:cs="Arial"/>
          <w:color w:val="7B7B7B" w:themeColor="accent3" w:themeShade="BF"/>
          <w:sz w:val="22"/>
          <w:szCs w:val="22"/>
        </w:rPr>
        <w:t xml:space="preserve"> </w:t>
      </w:r>
      <w:r w:rsidR="00FA7174">
        <w:rPr>
          <w:rFonts w:ascii="Arial" w:hAnsi="Arial" w:cs="Arial"/>
          <w:color w:val="7B7B7B" w:themeColor="accent3" w:themeShade="BF"/>
          <w:sz w:val="22"/>
          <w:szCs w:val="22"/>
        </w:rPr>
        <w:t xml:space="preserve">EU </w:t>
      </w:r>
      <w:r w:rsidRPr="006A58BE">
        <w:rPr>
          <w:rFonts w:ascii="Arial" w:hAnsi="Arial" w:cs="Arial"/>
          <w:color w:val="7B7B7B" w:themeColor="accent3" w:themeShade="BF"/>
          <w:sz w:val="22"/>
          <w:szCs w:val="22"/>
        </w:rPr>
        <w:t>Member State)</w:t>
      </w:r>
      <w:r w:rsidR="00AC2E36" w:rsidRPr="006A58BE">
        <w:rPr>
          <w:rStyle w:val="FootnoteReference"/>
          <w:rFonts w:ascii="Arial" w:hAnsi="Arial" w:cs="Arial"/>
          <w:color w:val="7B7B7B" w:themeColor="accent3" w:themeShade="BF"/>
          <w:sz w:val="22"/>
          <w:szCs w:val="22"/>
        </w:rPr>
        <w:footnoteReference w:id="101"/>
      </w:r>
      <w:r w:rsidR="00AC2E36" w:rsidRPr="006A58BE">
        <w:rPr>
          <w:rFonts w:ascii="Arial" w:hAnsi="Arial" w:cs="Arial"/>
          <w:color w:val="7B7B7B" w:themeColor="accent3" w:themeShade="BF"/>
          <w:sz w:val="22"/>
          <w:szCs w:val="22"/>
        </w:rPr>
        <w:t xml:space="preserve">. As stated under Article 5(1) of the Directive, </w:t>
      </w:r>
      <w:r w:rsidR="0073609A" w:rsidRPr="006A58BE">
        <w:rPr>
          <w:rFonts w:ascii="Arial" w:hAnsi="Arial" w:cs="Arial"/>
          <w:color w:val="7B7B7B" w:themeColor="accent3" w:themeShade="BF"/>
          <w:sz w:val="22"/>
          <w:szCs w:val="22"/>
        </w:rPr>
        <w:t>debtors accessing preventive restructuring procedures shall “</w:t>
      </w:r>
      <w:r w:rsidR="00AC2E36" w:rsidRPr="007C05D8">
        <w:rPr>
          <w:rFonts w:ascii="Arial" w:hAnsi="Arial" w:cs="Arial"/>
          <w:i/>
          <w:iCs/>
          <w:color w:val="7B7B7B" w:themeColor="accent3" w:themeShade="BF"/>
          <w:sz w:val="22"/>
          <w:szCs w:val="22"/>
          <w:u w:val="single"/>
        </w:rPr>
        <w:t>remain totally, or at least partially, in control of their assets</w:t>
      </w:r>
      <w:r w:rsidR="00AC2E36" w:rsidRPr="006A58BE">
        <w:rPr>
          <w:rFonts w:ascii="Arial" w:hAnsi="Arial" w:cs="Arial"/>
          <w:i/>
          <w:iCs/>
          <w:color w:val="7B7B7B" w:themeColor="accent3" w:themeShade="BF"/>
          <w:sz w:val="22"/>
          <w:szCs w:val="22"/>
        </w:rPr>
        <w:t xml:space="preserve"> and the day-to-day operation of their business</w:t>
      </w:r>
      <w:r w:rsidR="00AC2E36" w:rsidRPr="006A58BE">
        <w:rPr>
          <w:rFonts w:ascii="Arial" w:hAnsi="Arial" w:cs="Arial"/>
          <w:color w:val="7B7B7B" w:themeColor="accent3" w:themeShade="BF"/>
          <w:sz w:val="22"/>
          <w:szCs w:val="22"/>
        </w:rPr>
        <w:t>.</w:t>
      </w:r>
      <w:r w:rsidR="007C05D8">
        <w:rPr>
          <w:rFonts w:ascii="Arial" w:hAnsi="Arial" w:cs="Arial"/>
          <w:color w:val="7B7B7B" w:themeColor="accent3" w:themeShade="BF"/>
          <w:sz w:val="22"/>
          <w:szCs w:val="22"/>
        </w:rPr>
        <w:t xml:space="preserve"> [emphasis added]</w:t>
      </w:r>
      <w:r w:rsidR="0073609A" w:rsidRPr="006A58BE">
        <w:rPr>
          <w:rFonts w:ascii="Arial" w:hAnsi="Arial" w:cs="Arial"/>
          <w:color w:val="7B7B7B" w:themeColor="accent3" w:themeShade="BF"/>
          <w:sz w:val="22"/>
          <w:szCs w:val="22"/>
        </w:rPr>
        <w:t>”</w:t>
      </w:r>
      <w:r w:rsidR="0073609A" w:rsidRPr="006A58BE">
        <w:rPr>
          <w:rStyle w:val="FootnoteReference"/>
          <w:rFonts w:ascii="Arial" w:hAnsi="Arial" w:cs="Arial"/>
          <w:color w:val="7B7B7B" w:themeColor="accent3" w:themeShade="BF"/>
          <w:sz w:val="22"/>
          <w:szCs w:val="22"/>
        </w:rPr>
        <w:footnoteReference w:id="102"/>
      </w:r>
      <w:r w:rsidRPr="006A58BE">
        <w:rPr>
          <w:rFonts w:ascii="Arial" w:hAnsi="Arial" w:cs="Arial"/>
          <w:color w:val="7B7B7B" w:themeColor="accent3" w:themeShade="BF"/>
          <w:sz w:val="22"/>
          <w:szCs w:val="22"/>
        </w:rPr>
        <w:t xml:space="preserve"> Article 5(1) is significant as it gives the debtor (more) control of the process</w:t>
      </w:r>
      <w:r w:rsidR="00E10289" w:rsidRPr="006A58BE">
        <w:rPr>
          <w:rFonts w:ascii="Arial" w:hAnsi="Arial" w:cs="Arial"/>
          <w:color w:val="7B7B7B" w:themeColor="accent3" w:themeShade="BF"/>
          <w:sz w:val="22"/>
          <w:szCs w:val="22"/>
        </w:rPr>
        <w:t xml:space="preserve"> under the Directive</w:t>
      </w:r>
      <w:r w:rsidRPr="006A58BE">
        <w:rPr>
          <w:rFonts w:ascii="Arial" w:hAnsi="Arial" w:cs="Arial"/>
          <w:color w:val="7B7B7B" w:themeColor="accent3" w:themeShade="BF"/>
          <w:sz w:val="22"/>
          <w:szCs w:val="22"/>
        </w:rPr>
        <w:t xml:space="preserve"> </w:t>
      </w:r>
      <w:r w:rsidR="00E10289" w:rsidRPr="006A58BE">
        <w:rPr>
          <w:rFonts w:ascii="Arial" w:hAnsi="Arial" w:cs="Arial"/>
          <w:color w:val="7B7B7B" w:themeColor="accent3" w:themeShade="BF"/>
          <w:sz w:val="22"/>
          <w:szCs w:val="22"/>
        </w:rPr>
        <w:t>vis-à-vis under the EIR Recast.</w:t>
      </w:r>
    </w:p>
    <w:p w14:paraId="046F67B0" w14:textId="77777777" w:rsidR="002109B9" w:rsidRPr="006A58BE" w:rsidRDefault="002109B9" w:rsidP="007F747D">
      <w:pPr>
        <w:pStyle w:val="ListParagraph"/>
        <w:jc w:val="both"/>
        <w:rPr>
          <w:rFonts w:ascii="Arial" w:hAnsi="Arial" w:cs="Arial"/>
          <w:color w:val="7B7B7B" w:themeColor="accent3" w:themeShade="BF"/>
          <w:sz w:val="22"/>
          <w:szCs w:val="22"/>
        </w:rPr>
      </w:pPr>
    </w:p>
    <w:p w14:paraId="58EE36D1" w14:textId="15369D60" w:rsidR="002109B9" w:rsidRPr="006A58BE" w:rsidRDefault="002109B9" w:rsidP="007F747D">
      <w:pPr>
        <w:pStyle w:val="ListParagraph"/>
        <w:jc w:val="both"/>
        <w:rPr>
          <w:rFonts w:ascii="Arial" w:hAnsi="Arial" w:cs="Arial"/>
          <w:i/>
          <w:iCs/>
          <w:color w:val="7B7B7B" w:themeColor="accent3" w:themeShade="BF"/>
          <w:sz w:val="22"/>
          <w:szCs w:val="22"/>
        </w:rPr>
      </w:pPr>
      <w:r w:rsidRPr="006A58BE">
        <w:rPr>
          <w:rFonts w:ascii="Arial" w:hAnsi="Arial" w:cs="Arial"/>
          <w:color w:val="7B7B7B" w:themeColor="accent3" w:themeShade="BF"/>
          <w:sz w:val="22"/>
          <w:szCs w:val="22"/>
        </w:rPr>
        <w:lastRenderedPageBreak/>
        <w:t>In comparison, debtors have a (less) significant role under the EIR Recast. Article 5(1) of the Directive (as stated above) can be co</w:t>
      </w:r>
      <w:r w:rsidR="007C05D8">
        <w:rPr>
          <w:rFonts w:ascii="Arial" w:hAnsi="Arial" w:cs="Arial"/>
          <w:color w:val="7B7B7B" w:themeColor="accent3" w:themeShade="BF"/>
          <w:sz w:val="22"/>
          <w:szCs w:val="22"/>
        </w:rPr>
        <w:t>ntrasted</w:t>
      </w:r>
      <w:r w:rsidRPr="006A58BE">
        <w:rPr>
          <w:rFonts w:ascii="Arial" w:hAnsi="Arial" w:cs="Arial"/>
          <w:color w:val="7B7B7B" w:themeColor="accent3" w:themeShade="BF"/>
          <w:sz w:val="22"/>
          <w:szCs w:val="22"/>
        </w:rPr>
        <w:t xml:space="preserve"> to Article 1(1) of the EIR Recast. Article 1(1) states that the Regulation shall </w:t>
      </w:r>
      <w:r w:rsidR="00992B3F" w:rsidRPr="006A58BE">
        <w:rPr>
          <w:rFonts w:ascii="Arial" w:hAnsi="Arial" w:cs="Arial"/>
          <w:color w:val="7B7B7B" w:themeColor="accent3" w:themeShade="BF"/>
          <w:sz w:val="22"/>
          <w:szCs w:val="22"/>
        </w:rPr>
        <w:t>be applicable to public collective proceedings and “</w:t>
      </w:r>
      <w:r w:rsidR="00992B3F" w:rsidRPr="006A58BE">
        <w:rPr>
          <w:rFonts w:ascii="Arial" w:hAnsi="Arial" w:cs="Arial"/>
          <w:i/>
          <w:iCs/>
          <w:color w:val="7B7B7B" w:themeColor="accent3" w:themeShade="BF"/>
          <w:sz w:val="22"/>
          <w:szCs w:val="22"/>
        </w:rPr>
        <w:t xml:space="preserve">for the purpose of rescue, adjustment of debt, </w:t>
      </w:r>
      <w:proofErr w:type="spellStart"/>
      <w:proofErr w:type="gramStart"/>
      <w:r w:rsidR="00992B3F" w:rsidRPr="006A58BE">
        <w:rPr>
          <w:rFonts w:ascii="Arial" w:hAnsi="Arial" w:cs="Arial"/>
          <w:i/>
          <w:iCs/>
          <w:color w:val="7B7B7B" w:themeColor="accent3" w:themeShade="BF"/>
          <w:sz w:val="22"/>
          <w:szCs w:val="22"/>
        </w:rPr>
        <w:t>reorganisation</w:t>
      </w:r>
      <w:proofErr w:type="spellEnd"/>
      <w:proofErr w:type="gramEnd"/>
      <w:r w:rsidR="00992B3F" w:rsidRPr="006A58BE">
        <w:rPr>
          <w:rFonts w:ascii="Arial" w:hAnsi="Arial" w:cs="Arial"/>
          <w:i/>
          <w:iCs/>
          <w:color w:val="7B7B7B" w:themeColor="accent3" w:themeShade="BF"/>
          <w:sz w:val="22"/>
          <w:szCs w:val="22"/>
        </w:rPr>
        <w:t xml:space="preserve"> or liquidation:</w:t>
      </w:r>
    </w:p>
    <w:p w14:paraId="7693A37A" w14:textId="56CE9CCA" w:rsidR="00992B3F" w:rsidRPr="006A58BE" w:rsidRDefault="00992B3F">
      <w:pPr>
        <w:pStyle w:val="ListParagraph"/>
        <w:numPr>
          <w:ilvl w:val="0"/>
          <w:numId w:val="18"/>
        </w:numPr>
        <w:jc w:val="both"/>
        <w:rPr>
          <w:rFonts w:ascii="Arial" w:hAnsi="Arial" w:cs="Arial"/>
          <w:color w:val="7B7B7B" w:themeColor="accent3" w:themeShade="BF"/>
          <w:sz w:val="22"/>
          <w:szCs w:val="22"/>
        </w:rPr>
      </w:pPr>
      <w:r w:rsidRPr="006A58BE">
        <w:rPr>
          <w:rFonts w:ascii="Arial" w:hAnsi="Arial" w:cs="Arial"/>
          <w:i/>
          <w:iCs/>
          <w:color w:val="7B7B7B" w:themeColor="accent3" w:themeShade="BF"/>
          <w:sz w:val="22"/>
          <w:szCs w:val="22"/>
        </w:rPr>
        <w:t xml:space="preserve">a debtor is </w:t>
      </w:r>
      <w:r w:rsidRPr="007C05D8">
        <w:rPr>
          <w:rFonts w:ascii="Arial" w:hAnsi="Arial" w:cs="Arial"/>
          <w:i/>
          <w:iCs/>
          <w:color w:val="7B7B7B" w:themeColor="accent3" w:themeShade="BF"/>
          <w:sz w:val="22"/>
          <w:szCs w:val="22"/>
          <w:u w:val="single"/>
        </w:rPr>
        <w:t>totally or partially divested</w:t>
      </w:r>
      <w:r w:rsidRPr="006A58BE">
        <w:rPr>
          <w:rFonts w:ascii="Arial" w:hAnsi="Arial" w:cs="Arial"/>
          <w:i/>
          <w:iCs/>
          <w:color w:val="7B7B7B" w:themeColor="accent3" w:themeShade="BF"/>
          <w:sz w:val="22"/>
          <w:szCs w:val="22"/>
        </w:rPr>
        <w:t xml:space="preserve"> of its assets and an insolvency practitioner is </w:t>
      </w:r>
      <w:proofErr w:type="gramStart"/>
      <w:r w:rsidRPr="006A58BE">
        <w:rPr>
          <w:rFonts w:ascii="Arial" w:hAnsi="Arial" w:cs="Arial"/>
          <w:i/>
          <w:iCs/>
          <w:color w:val="7B7B7B" w:themeColor="accent3" w:themeShade="BF"/>
          <w:sz w:val="22"/>
          <w:szCs w:val="22"/>
        </w:rPr>
        <w:t>appointed;</w:t>
      </w:r>
      <w:proofErr w:type="gramEnd"/>
    </w:p>
    <w:p w14:paraId="75517F18" w14:textId="7EE4C89D" w:rsidR="00992B3F" w:rsidRPr="006A58BE" w:rsidRDefault="00992B3F">
      <w:pPr>
        <w:pStyle w:val="ListParagraph"/>
        <w:numPr>
          <w:ilvl w:val="0"/>
          <w:numId w:val="18"/>
        </w:numPr>
        <w:jc w:val="both"/>
        <w:rPr>
          <w:rFonts w:ascii="Arial" w:hAnsi="Arial" w:cs="Arial"/>
          <w:color w:val="7B7B7B" w:themeColor="accent3" w:themeShade="BF"/>
          <w:sz w:val="22"/>
          <w:szCs w:val="22"/>
        </w:rPr>
      </w:pPr>
      <w:r w:rsidRPr="006A58BE">
        <w:rPr>
          <w:rFonts w:ascii="Arial" w:hAnsi="Arial" w:cs="Arial"/>
          <w:i/>
          <w:iCs/>
          <w:color w:val="7B7B7B" w:themeColor="accent3" w:themeShade="BF"/>
          <w:sz w:val="22"/>
          <w:szCs w:val="22"/>
        </w:rPr>
        <w:t xml:space="preserve">the </w:t>
      </w:r>
      <w:r w:rsidRPr="00CD18B5">
        <w:rPr>
          <w:rFonts w:ascii="Arial" w:hAnsi="Arial" w:cs="Arial"/>
          <w:i/>
          <w:iCs/>
          <w:color w:val="7B7B7B" w:themeColor="accent3" w:themeShade="BF"/>
          <w:sz w:val="22"/>
          <w:szCs w:val="22"/>
          <w:u w:val="single"/>
        </w:rPr>
        <w:t>assets and affairs of a debtor are subject to control or supervision</w:t>
      </w:r>
      <w:r w:rsidRPr="006A58BE">
        <w:rPr>
          <w:rFonts w:ascii="Arial" w:hAnsi="Arial" w:cs="Arial"/>
          <w:i/>
          <w:iCs/>
          <w:color w:val="7B7B7B" w:themeColor="accent3" w:themeShade="BF"/>
          <w:sz w:val="22"/>
          <w:szCs w:val="22"/>
        </w:rPr>
        <w:t xml:space="preserve"> by a court</w:t>
      </w:r>
      <w:r w:rsidR="00CD18B5">
        <w:rPr>
          <w:rFonts w:ascii="Arial" w:hAnsi="Arial" w:cs="Arial"/>
          <w:i/>
          <w:iCs/>
          <w:color w:val="7B7B7B" w:themeColor="accent3" w:themeShade="BF"/>
          <w:sz w:val="22"/>
          <w:szCs w:val="22"/>
        </w:rPr>
        <w:t>…</w:t>
      </w:r>
      <w:r w:rsidR="007C05D8">
        <w:rPr>
          <w:rFonts w:ascii="Arial" w:hAnsi="Arial" w:cs="Arial"/>
          <w:color w:val="7B7B7B" w:themeColor="accent3" w:themeShade="BF"/>
          <w:sz w:val="22"/>
          <w:szCs w:val="22"/>
        </w:rPr>
        <w:t xml:space="preserve"> [emphasis added]</w:t>
      </w:r>
      <w:r w:rsidRPr="006A58BE">
        <w:rPr>
          <w:rFonts w:ascii="Arial" w:hAnsi="Arial" w:cs="Arial"/>
          <w:color w:val="7B7B7B" w:themeColor="accent3" w:themeShade="BF"/>
          <w:sz w:val="22"/>
          <w:szCs w:val="22"/>
        </w:rPr>
        <w:t>”.</w:t>
      </w:r>
      <w:r w:rsidRPr="006A58BE">
        <w:rPr>
          <w:rStyle w:val="FootnoteReference"/>
          <w:rFonts w:ascii="Arial" w:hAnsi="Arial" w:cs="Arial"/>
          <w:color w:val="7B7B7B" w:themeColor="accent3" w:themeShade="BF"/>
          <w:sz w:val="22"/>
          <w:szCs w:val="22"/>
        </w:rPr>
        <w:footnoteReference w:id="103"/>
      </w:r>
    </w:p>
    <w:p w14:paraId="755291EB" w14:textId="77777777" w:rsidR="00E10289" w:rsidRPr="006A58BE" w:rsidRDefault="00E10289" w:rsidP="00E10289">
      <w:pPr>
        <w:pStyle w:val="ListParagraph"/>
        <w:jc w:val="both"/>
        <w:rPr>
          <w:rFonts w:ascii="Arial" w:hAnsi="Arial" w:cs="Arial"/>
          <w:color w:val="7B7B7B" w:themeColor="accent3" w:themeShade="BF"/>
          <w:sz w:val="22"/>
          <w:szCs w:val="22"/>
        </w:rPr>
      </w:pPr>
    </w:p>
    <w:p w14:paraId="7BB4E146" w14:textId="75DAFA6E" w:rsidR="00E10289" w:rsidRPr="00C53C31" w:rsidRDefault="00992B3F" w:rsidP="00E10289">
      <w:pPr>
        <w:pStyle w:val="ListParagraph"/>
        <w:jc w:val="both"/>
        <w:rPr>
          <w:rFonts w:ascii="Arial" w:hAnsi="Arial" w:cs="Arial"/>
          <w:color w:val="7B7B7B" w:themeColor="accent3" w:themeShade="BF"/>
          <w:sz w:val="22"/>
          <w:szCs w:val="22"/>
        </w:rPr>
      </w:pPr>
      <w:r w:rsidRPr="006A58BE">
        <w:rPr>
          <w:rFonts w:ascii="Arial" w:hAnsi="Arial" w:cs="Arial"/>
          <w:color w:val="7B7B7B" w:themeColor="accent3" w:themeShade="BF"/>
          <w:sz w:val="22"/>
          <w:szCs w:val="22"/>
        </w:rPr>
        <w:t>As can be seen from the wording of Article 5(1) of the Directive and Article 1(1) of the EIR Recast, a significant difference between the two provisions (and instruments</w:t>
      </w:r>
      <w:r w:rsidR="00CD18B5">
        <w:rPr>
          <w:rFonts w:ascii="Arial" w:hAnsi="Arial" w:cs="Arial"/>
          <w:color w:val="7B7B7B" w:themeColor="accent3" w:themeShade="BF"/>
          <w:sz w:val="22"/>
          <w:szCs w:val="22"/>
        </w:rPr>
        <w:t xml:space="preserve"> in generally</w:t>
      </w:r>
      <w:r w:rsidRPr="006A58BE">
        <w:rPr>
          <w:rFonts w:ascii="Arial" w:hAnsi="Arial" w:cs="Arial"/>
          <w:color w:val="7B7B7B" w:themeColor="accent3" w:themeShade="BF"/>
          <w:sz w:val="22"/>
          <w:szCs w:val="22"/>
        </w:rPr>
        <w:t xml:space="preserve">) is the control (or lack of) that a debtor has </w:t>
      </w:r>
      <w:r w:rsidR="00CD18B5">
        <w:rPr>
          <w:rFonts w:ascii="Arial" w:hAnsi="Arial" w:cs="Arial"/>
          <w:color w:val="7B7B7B" w:themeColor="accent3" w:themeShade="BF"/>
          <w:sz w:val="22"/>
          <w:szCs w:val="22"/>
        </w:rPr>
        <w:t>during the restructuring process</w:t>
      </w:r>
      <w:r w:rsidRPr="006A58BE">
        <w:rPr>
          <w:rFonts w:ascii="Arial" w:hAnsi="Arial" w:cs="Arial"/>
          <w:color w:val="7B7B7B" w:themeColor="accent3" w:themeShade="BF"/>
          <w:sz w:val="22"/>
          <w:szCs w:val="22"/>
        </w:rPr>
        <w:t>. A debtor intending to stay in control (as much as the process allows) would most likely prefer the Directive route.</w:t>
      </w:r>
    </w:p>
    <w:p w14:paraId="55FE0B6B" w14:textId="77777777" w:rsidR="00D8608C" w:rsidRDefault="00D8608C" w:rsidP="002109B9">
      <w:pPr>
        <w:rPr>
          <w:rFonts w:ascii="Times New Roman" w:hAnsi="Times New Roman" w:cs="Times New Roman"/>
          <w:color w:val="333333"/>
          <w:sz w:val="27"/>
          <w:szCs w:val="27"/>
          <w:lang w:val="en-GB" w:eastAsia="en-GB"/>
        </w:rPr>
      </w:pPr>
    </w:p>
    <w:p w14:paraId="04E1DF24" w14:textId="77777777" w:rsidR="00D8608C" w:rsidRDefault="00D8608C" w:rsidP="002109B9">
      <w:pPr>
        <w:rPr>
          <w:rFonts w:ascii="Times New Roman" w:hAnsi="Times New Roman" w:cs="Times New Roman"/>
          <w:sz w:val="24"/>
          <w:lang w:val="en-GB" w:eastAsia="en-GB"/>
        </w:rPr>
      </w:pPr>
    </w:p>
    <w:p w14:paraId="6A28937D" w14:textId="77777777" w:rsidR="009B6724" w:rsidRPr="002109B9" w:rsidRDefault="009B6724" w:rsidP="002109B9">
      <w:pPr>
        <w:rPr>
          <w:rFonts w:ascii="Times New Roman" w:hAnsi="Times New Roman" w:cs="Times New Roman"/>
          <w:vanish/>
          <w:sz w:val="24"/>
          <w:lang w:val="en-GB" w:eastAsia="en-GB"/>
        </w:rPr>
      </w:pPr>
    </w:p>
    <w:p w14:paraId="3EAB2179" w14:textId="77777777" w:rsidR="006866F6" w:rsidRPr="008E3C96" w:rsidRDefault="006866F6"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A7CFDE9" w14:textId="77777777" w:rsidR="00250BDD" w:rsidRDefault="00250BDD" w:rsidP="002A37BB">
      <w:pPr>
        <w:jc w:val="both"/>
        <w:rPr>
          <w:rFonts w:ascii="Avenir Next" w:hAnsi="Avenir Next" w:cs="Arial"/>
          <w:sz w:val="22"/>
          <w:szCs w:val="22"/>
          <w:lang w:val="en-GB"/>
        </w:rPr>
      </w:pPr>
    </w:p>
    <w:p w14:paraId="645BEAD9" w14:textId="77777777" w:rsidR="00250BDD" w:rsidRPr="008E3C96" w:rsidRDefault="00250BDD"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3"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45287729" w14:textId="77777777" w:rsidR="008F7804" w:rsidRDefault="008F7804" w:rsidP="000A3278">
      <w:pPr>
        <w:jc w:val="both"/>
        <w:rPr>
          <w:rFonts w:ascii="Avenir Next" w:hAnsi="Avenir Next" w:cs="Arial"/>
          <w:color w:val="7B7B7B" w:themeColor="accent3" w:themeShade="BF"/>
          <w:sz w:val="22"/>
          <w:szCs w:val="22"/>
        </w:rPr>
      </w:pPr>
    </w:p>
    <w:p w14:paraId="66D7CB1E" w14:textId="4C7C7BD2" w:rsidR="00353CBA" w:rsidRPr="000B29F2" w:rsidRDefault="00DD4B88" w:rsidP="00DD4B88">
      <w:pPr>
        <w:jc w:val="both"/>
        <w:rPr>
          <w:rFonts w:ascii="Arial" w:hAnsi="Arial" w:cs="Arial"/>
          <w:color w:val="7B7B7B" w:themeColor="accent3" w:themeShade="BF"/>
          <w:sz w:val="22"/>
          <w:szCs w:val="22"/>
        </w:rPr>
      </w:pPr>
      <w:r w:rsidRPr="000B29F2">
        <w:rPr>
          <w:rFonts w:ascii="Arial" w:hAnsi="Arial" w:cs="Arial"/>
          <w:color w:val="7B7B7B" w:themeColor="accent3" w:themeShade="BF"/>
          <w:sz w:val="22"/>
          <w:szCs w:val="22"/>
        </w:rPr>
        <w:t>The EIR 2000 entered into force on 31 May 2002. The EIR Recast</w:t>
      </w:r>
      <w:r w:rsidR="000E49AF" w:rsidRPr="000B29F2">
        <w:rPr>
          <w:rFonts w:ascii="Arial" w:hAnsi="Arial" w:cs="Arial"/>
          <w:color w:val="7B7B7B" w:themeColor="accent3" w:themeShade="BF"/>
          <w:sz w:val="22"/>
          <w:szCs w:val="22"/>
        </w:rPr>
        <w:t>,</w:t>
      </w:r>
      <w:r w:rsidRPr="000B29F2">
        <w:rPr>
          <w:rFonts w:ascii="Arial" w:hAnsi="Arial" w:cs="Arial"/>
          <w:color w:val="7B7B7B" w:themeColor="accent3" w:themeShade="BF"/>
          <w:sz w:val="22"/>
          <w:szCs w:val="22"/>
        </w:rPr>
        <w:t xml:space="preserve"> which repealed and replaced the EIR 2000</w:t>
      </w:r>
      <w:r w:rsidR="000E49AF" w:rsidRPr="000B29F2">
        <w:rPr>
          <w:rFonts w:ascii="Arial" w:hAnsi="Arial" w:cs="Arial"/>
          <w:color w:val="7B7B7B" w:themeColor="accent3" w:themeShade="BF"/>
          <w:sz w:val="22"/>
          <w:szCs w:val="22"/>
        </w:rPr>
        <w:t>,</w:t>
      </w:r>
      <w:r w:rsidRPr="000B29F2">
        <w:rPr>
          <w:rFonts w:ascii="Arial" w:hAnsi="Arial" w:cs="Arial"/>
          <w:color w:val="7B7B7B" w:themeColor="accent3" w:themeShade="BF"/>
          <w:sz w:val="22"/>
          <w:szCs w:val="22"/>
        </w:rPr>
        <w:t xml:space="preserve"> applied from 26 June 2017 (with some minor exceptions). </w:t>
      </w:r>
      <w:r w:rsidR="008F7804" w:rsidRPr="000B29F2">
        <w:rPr>
          <w:rFonts w:ascii="Arial" w:hAnsi="Arial" w:cs="Arial"/>
          <w:color w:val="7B7B7B" w:themeColor="accent3" w:themeShade="BF"/>
          <w:sz w:val="22"/>
          <w:szCs w:val="22"/>
        </w:rPr>
        <w:t xml:space="preserve">The EIR </w:t>
      </w:r>
      <w:r w:rsidR="008F7804" w:rsidRPr="000B29F2">
        <w:rPr>
          <w:rFonts w:ascii="Arial" w:hAnsi="Arial" w:cs="Arial"/>
          <w:color w:val="7B7B7B" w:themeColor="accent3" w:themeShade="BF"/>
          <w:sz w:val="22"/>
          <w:szCs w:val="22"/>
        </w:rPr>
        <w:lastRenderedPageBreak/>
        <w:t>2000 was binding in its entirety and directly applicable in all E</w:t>
      </w:r>
      <w:r w:rsidR="00AF5BEC" w:rsidRPr="000B29F2">
        <w:rPr>
          <w:rFonts w:ascii="Arial" w:hAnsi="Arial" w:cs="Arial"/>
          <w:color w:val="7B7B7B" w:themeColor="accent3" w:themeShade="BF"/>
          <w:sz w:val="22"/>
          <w:szCs w:val="22"/>
        </w:rPr>
        <w:t>uropean Union (“</w:t>
      </w:r>
      <w:r w:rsidR="00AF5BEC" w:rsidRPr="000B29F2">
        <w:rPr>
          <w:rFonts w:ascii="Arial" w:hAnsi="Arial" w:cs="Arial"/>
          <w:b/>
          <w:bCs/>
          <w:color w:val="7B7B7B" w:themeColor="accent3" w:themeShade="BF"/>
          <w:sz w:val="22"/>
          <w:szCs w:val="22"/>
        </w:rPr>
        <w:t>EU</w:t>
      </w:r>
      <w:r w:rsidR="00AF5BEC" w:rsidRPr="000B29F2">
        <w:rPr>
          <w:rFonts w:ascii="Arial" w:hAnsi="Arial" w:cs="Arial"/>
          <w:color w:val="7B7B7B" w:themeColor="accent3" w:themeShade="BF"/>
          <w:sz w:val="22"/>
          <w:szCs w:val="22"/>
        </w:rPr>
        <w:t>”)</w:t>
      </w:r>
      <w:r w:rsidR="008F7804" w:rsidRPr="000B29F2">
        <w:rPr>
          <w:rFonts w:ascii="Arial" w:hAnsi="Arial" w:cs="Arial"/>
          <w:color w:val="7B7B7B" w:themeColor="accent3" w:themeShade="BF"/>
          <w:sz w:val="22"/>
          <w:szCs w:val="22"/>
        </w:rPr>
        <w:t xml:space="preserve"> Member States</w:t>
      </w:r>
      <w:r w:rsidR="008F7804" w:rsidRPr="000B29F2">
        <w:rPr>
          <w:rStyle w:val="FootnoteReference"/>
          <w:rFonts w:ascii="Arial" w:hAnsi="Arial" w:cs="Arial"/>
          <w:color w:val="7B7B7B" w:themeColor="accent3" w:themeShade="BF"/>
          <w:sz w:val="22"/>
          <w:szCs w:val="22"/>
        </w:rPr>
        <w:footnoteReference w:id="104"/>
      </w:r>
      <w:r w:rsidR="00AF5BEC" w:rsidRPr="000B29F2">
        <w:rPr>
          <w:rFonts w:ascii="Arial" w:hAnsi="Arial" w:cs="Arial"/>
          <w:color w:val="7B7B7B" w:themeColor="accent3" w:themeShade="BF"/>
          <w:sz w:val="22"/>
          <w:szCs w:val="22"/>
        </w:rPr>
        <w:t>,</w:t>
      </w:r>
      <w:r w:rsidR="008F7804" w:rsidRPr="000B29F2">
        <w:rPr>
          <w:rFonts w:ascii="Arial" w:hAnsi="Arial" w:cs="Arial"/>
          <w:color w:val="7B7B7B" w:themeColor="accent3" w:themeShade="BF"/>
          <w:sz w:val="22"/>
          <w:szCs w:val="22"/>
        </w:rPr>
        <w:t xml:space="preserve"> apart from Denmark</w:t>
      </w:r>
      <w:r w:rsidR="008F7804" w:rsidRPr="000B29F2">
        <w:rPr>
          <w:rStyle w:val="FootnoteReference"/>
          <w:rFonts w:ascii="Arial" w:hAnsi="Arial" w:cs="Arial"/>
          <w:color w:val="7B7B7B" w:themeColor="accent3" w:themeShade="BF"/>
          <w:sz w:val="22"/>
          <w:szCs w:val="22"/>
        </w:rPr>
        <w:footnoteReference w:id="105"/>
      </w:r>
      <w:r w:rsidR="008F7804" w:rsidRPr="000B29F2">
        <w:rPr>
          <w:rFonts w:ascii="Arial" w:hAnsi="Arial" w:cs="Arial"/>
          <w:color w:val="7B7B7B" w:themeColor="accent3" w:themeShade="BF"/>
          <w:sz w:val="22"/>
          <w:szCs w:val="22"/>
        </w:rPr>
        <w:t>. A</w:t>
      </w:r>
      <w:r w:rsidR="00353CBA" w:rsidRPr="000B29F2">
        <w:rPr>
          <w:rFonts w:ascii="Arial" w:hAnsi="Arial" w:cs="Arial"/>
          <w:color w:val="7B7B7B" w:themeColor="accent3" w:themeShade="BF"/>
          <w:sz w:val="22"/>
          <w:szCs w:val="22"/>
        </w:rPr>
        <w:t xml:space="preserve">ll </w:t>
      </w:r>
      <w:r w:rsidR="00C5095D" w:rsidRPr="000B29F2">
        <w:rPr>
          <w:rFonts w:ascii="Arial" w:hAnsi="Arial" w:cs="Arial"/>
          <w:color w:val="7B7B7B" w:themeColor="accent3" w:themeShade="BF"/>
          <w:sz w:val="22"/>
          <w:szCs w:val="22"/>
        </w:rPr>
        <w:t xml:space="preserve">four countries </w:t>
      </w:r>
      <w:r w:rsidR="00A4693F" w:rsidRPr="000B29F2">
        <w:rPr>
          <w:rFonts w:ascii="Arial" w:hAnsi="Arial" w:cs="Arial"/>
          <w:color w:val="7B7B7B" w:themeColor="accent3" w:themeShade="BF"/>
          <w:sz w:val="22"/>
          <w:szCs w:val="22"/>
        </w:rPr>
        <w:t>involved in</w:t>
      </w:r>
      <w:r w:rsidR="00A4693F" w:rsidRPr="000B29F2">
        <w:rPr>
          <w:rFonts w:ascii="Arial" w:hAnsi="Arial" w:cs="Arial"/>
          <w:sz w:val="22"/>
          <w:szCs w:val="22"/>
        </w:rPr>
        <w:t xml:space="preserve"> </w:t>
      </w:r>
      <w:r w:rsidR="00A4693F" w:rsidRPr="000B29F2">
        <w:rPr>
          <w:rFonts w:ascii="Arial" w:hAnsi="Arial" w:cs="Arial"/>
          <w:color w:val="7B7B7B" w:themeColor="accent3" w:themeShade="BF"/>
          <w:sz w:val="22"/>
          <w:szCs w:val="22"/>
        </w:rPr>
        <w:t>Dinosaurus SARL’s (“</w:t>
      </w:r>
      <w:r w:rsidR="00A4693F" w:rsidRPr="000B29F2">
        <w:rPr>
          <w:rFonts w:ascii="Arial" w:hAnsi="Arial" w:cs="Arial"/>
          <w:b/>
          <w:bCs/>
          <w:color w:val="7B7B7B" w:themeColor="accent3" w:themeShade="BF"/>
          <w:sz w:val="22"/>
          <w:szCs w:val="22"/>
        </w:rPr>
        <w:t>Dinosaurus</w:t>
      </w:r>
      <w:r w:rsidR="00A4693F" w:rsidRPr="000B29F2">
        <w:rPr>
          <w:rFonts w:ascii="Arial" w:hAnsi="Arial" w:cs="Arial"/>
          <w:color w:val="7B7B7B" w:themeColor="accent3" w:themeShade="BF"/>
          <w:sz w:val="22"/>
          <w:szCs w:val="22"/>
        </w:rPr>
        <w:t xml:space="preserve">”) scenario </w:t>
      </w:r>
      <w:r w:rsidR="00C5095D" w:rsidRPr="000B29F2">
        <w:rPr>
          <w:rFonts w:ascii="Arial" w:hAnsi="Arial" w:cs="Arial"/>
          <w:color w:val="7B7B7B" w:themeColor="accent3" w:themeShade="BF"/>
          <w:sz w:val="22"/>
          <w:szCs w:val="22"/>
        </w:rPr>
        <w:t>were members of the</w:t>
      </w:r>
      <w:r w:rsidR="00AF5BEC" w:rsidRPr="000B29F2">
        <w:rPr>
          <w:rFonts w:ascii="Arial" w:hAnsi="Arial" w:cs="Arial"/>
          <w:color w:val="7B7B7B" w:themeColor="accent3" w:themeShade="BF"/>
          <w:sz w:val="22"/>
          <w:szCs w:val="22"/>
        </w:rPr>
        <w:t xml:space="preserve"> EU</w:t>
      </w:r>
      <w:r w:rsidR="00C5095D" w:rsidRPr="000B29F2">
        <w:rPr>
          <w:rFonts w:ascii="Arial" w:hAnsi="Arial" w:cs="Arial"/>
          <w:color w:val="7B7B7B" w:themeColor="accent3" w:themeShade="BF"/>
          <w:sz w:val="22"/>
          <w:szCs w:val="22"/>
        </w:rPr>
        <w:t xml:space="preserve"> during the </w:t>
      </w:r>
      <w:r w:rsidR="00AF5BEC" w:rsidRPr="000B29F2">
        <w:rPr>
          <w:rFonts w:ascii="Arial" w:hAnsi="Arial" w:cs="Arial"/>
          <w:color w:val="7B7B7B" w:themeColor="accent3" w:themeShade="BF"/>
          <w:sz w:val="22"/>
          <w:szCs w:val="22"/>
        </w:rPr>
        <w:t>15 years</w:t>
      </w:r>
      <w:r w:rsidR="00C5095D" w:rsidRPr="000B29F2">
        <w:rPr>
          <w:rFonts w:ascii="Arial" w:hAnsi="Arial" w:cs="Arial"/>
          <w:color w:val="7B7B7B" w:themeColor="accent3" w:themeShade="BF"/>
          <w:sz w:val="22"/>
          <w:szCs w:val="22"/>
        </w:rPr>
        <w:t xml:space="preserve"> that the EIR 2000 was effective</w:t>
      </w:r>
      <w:r w:rsidR="004E4825" w:rsidRPr="000B29F2">
        <w:rPr>
          <w:rStyle w:val="FootnoteReference"/>
          <w:rFonts w:ascii="Arial" w:hAnsi="Arial" w:cs="Arial"/>
          <w:color w:val="7B7B7B" w:themeColor="accent3" w:themeShade="BF"/>
          <w:sz w:val="22"/>
          <w:szCs w:val="22"/>
        </w:rPr>
        <w:footnoteReference w:id="106"/>
      </w:r>
      <w:r w:rsidRPr="000B29F2">
        <w:rPr>
          <w:rFonts w:ascii="Arial" w:hAnsi="Arial" w:cs="Arial"/>
          <w:color w:val="7B7B7B" w:themeColor="accent3" w:themeShade="BF"/>
          <w:sz w:val="22"/>
          <w:szCs w:val="22"/>
        </w:rPr>
        <w:t>.</w:t>
      </w:r>
      <w:r w:rsidR="00F52104" w:rsidRPr="000B29F2">
        <w:rPr>
          <w:rFonts w:ascii="Arial" w:hAnsi="Arial" w:cs="Arial"/>
          <w:color w:val="7B7B7B" w:themeColor="accent3" w:themeShade="BF"/>
          <w:sz w:val="22"/>
          <w:szCs w:val="22"/>
        </w:rPr>
        <w:t xml:space="preserve"> </w:t>
      </w:r>
      <w:r w:rsidR="000B29F2">
        <w:rPr>
          <w:rFonts w:ascii="Arial" w:hAnsi="Arial" w:cs="Arial"/>
          <w:color w:val="7B7B7B" w:themeColor="accent3" w:themeShade="BF"/>
          <w:sz w:val="22"/>
          <w:szCs w:val="22"/>
          <w:u w:val="single"/>
        </w:rPr>
        <w:t>A</w:t>
      </w:r>
      <w:r w:rsidR="00F52104" w:rsidRPr="000B29F2">
        <w:rPr>
          <w:rFonts w:ascii="Arial" w:hAnsi="Arial" w:cs="Arial"/>
          <w:color w:val="7B7B7B" w:themeColor="accent3" w:themeShade="BF"/>
          <w:sz w:val="22"/>
          <w:szCs w:val="22"/>
          <w:u w:val="single"/>
        </w:rPr>
        <w:t>ssuming</w:t>
      </w:r>
      <w:r w:rsidR="00F52104" w:rsidRPr="000B29F2">
        <w:rPr>
          <w:rFonts w:ascii="Arial" w:hAnsi="Arial" w:cs="Arial"/>
          <w:i/>
          <w:iCs/>
          <w:color w:val="7B7B7B" w:themeColor="accent3" w:themeShade="BF"/>
          <w:sz w:val="22"/>
          <w:szCs w:val="22"/>
        </w:rPr>
        <w:t xml:space="preserve"> </w:t>
      </w:r>
      <w:r w:rsidR="00F52104" w:rsidRPr="000B29F2">
        <w:rPr>
          <w:rFonts w:ascii="Arial" w:hAnsi="Arial" w:cs="Arial"/>
          <w:color w:val="7B7B7B" w:themeColor="accent3" w:themeShade="BF"/>
          <w:sz w:val="22"/>
          <w:szCs w:val="22"/>
        </w:rPr>
        <w:t xml:space="preserve">the opening of safeguard proceedings were filed </w:t>
      </w:r>
      <w:r w:rsidR="00F52104" w:rsidRPr="000B29F2">
        <w:rPr>
          <w:rFonts w:ascii="Arial" w:hAnsi="Arial" w:cs="Arial"/>
          <w:color w:val="7B7B7B" w:themeColor="accent3" w:themeShade="BF"/>
          <w:sz w:val="22"/>
          <w:szCs w:val="22"/>
          <w:u w:val="single"/>
        </w:rPr>
        <w:t>before</w:t>
      </w:r>
      <w:r w:rsidR="00F52104" w:rsidRPr="000B29F2">
        <w:rPr>
          <w:rFonts w:ascii="Arial" w:hAnsi="Arial" w:cs="Arial"/>
          <w:color w:val="7B7B7B" w:themeColor="accent3" w:themeShade="BF"/>
          <w:sz w:val="22"/>
          <w:szCs w:val="22"/>
        </w:rPr>
        <w:t xml:space="preserve"> 2</w:t>
      </w:r>
      <w:r w:rsidR="000B29F2">
        <w:rPr>
          <w:rFonts w:ascii="Arial" w:hAnsi="Arial" w:cs="Arial"/>
          <w:color w:val="7B7B7B" w:themeColor="accent3" w:themeShade="BF"/>
          <w:sz w:val="22"/>
          <w:szCs w:val="22"/>
        </w:rPr>
        <w:t>6</w:t>
      </w:r>
      <w:r w:rsidR="00F52104" w:rsidRPr="000B29F2">
        <w:rPr>
          <w:rFonts w:ascii="Arial" w:hAnsi="Arial" w:cs="Arial"/>
          <w:color w:val="7B7B7B" w:themeColor="accent3" w:themeShade="BF"/>
          <w:sz w:val="22"/>
          <w:szCs w:val="22"/>
        </w:rPr>
        <w:t xml:space="preserve"> June 2017, </w:t>
      </w:r>
      <w:r w:rsidR="000B29F2">
        <w:rPr>
          <w:rFonts w:ascii="Arial" w:hAnsi="Arial" w:cs="Arial"/>
          <w:color w:val="7B7B7B" w:themeColor="accent3" w:themeShade="BF"/>
          <w:sz w:val="22"/>
          <w:szCs w:val="22"/>
        </w:rPr>
        <w:t xml:space="preserve">Dinosaurus’ scenario and the </w:t>
      </w:r>
      <w:r w:rsidR="00A47C78" w:rsidRPr="000B29F2">
        <w:rPr>
          <w:rFonts w:ascii="Arial" w:hAnsi="Arial" w:cs="Arial"/>
          <w:color w:val="7B7B7B" w:themeColor="accent3" w:themeShade="BF"/>
          <w:sz w:val="22"/>
          <w:szCs w:val="22"/>
        </w:rPr>
        <w:t>opening of</w:t>
      </w:r>
      <w:r w:rsidR="00F52104" w:rsidRPr="000B29F2">
        <w:rPr>
          <w:rFonts w:ascii="Arial" w:hAnsi="Arial" w:cs="Arial"/>
          <w:color w:val="7B7B7B" w:themeColor="accent3" w:themeShade="BF"/>
          <w:sz w:val="22"/>
          <w:szCs w:val="22"/>
        </w:rPr>
        <w:t xml:space="preserve"> safeguard proceedings</w:t>
      </w:r>
      <w:r w:rsidR="000B29F2">
        <w:rPr>
          <w:rFonts w:ascii="Arial" w:hAnsi="Arial" w:cs="Arial"/>
          <w:color w:val="7B7B7B" w:themeColor="accent3" w:themeShade="BF"/>
          <w:sz w:val="22"/>
          <w:szCs w:val="22"/>
        </w:rPr>
        <w:t xml:space="preserve"> are</w:t>
      </w:r>
      <w:r w:rsidR="00A47C78" w:rsidRPr="000B29F2">
        <w:rPr>
          <w:rFonts w:ascii="Arial" w:hAnsi="Arial" w:cs="Arial"/>
          <w:color w:val="7B7B7B" w:themeColor="accent3" w:themeShade="BF"/>
          <w:sz w:val="22"/>
          <w:szCs w:val="22"/>
        </w:rPr>
        <w:t xml:space="preserve"> (subject to below)</w:t>
      </w:r>
      <w:r w:rsidR="00F52104" w:rsidRPr="000B29F2">
        <w:rPr>
          <w:rFonts w:ascii="Arial" w:hAnsi="Arial" w:cs="Arial"/>
          <w:color w:val="7B7B7B" w:themeColor="accent3" w:themeShade="BF"/>
          <w:sz w:val="22"/>
          <w:szCs w:val="22"/>
        </w:rPr>
        <w:t xml:space="preserve"> within the temporal scope of the EIR 2000.</w:t>
      </w:r>
    </w:p>
    <w:p w14:paraId="76E40361" w14:textId="77777777" w:rsidR="000B29F2" w:rsidRPr="000B29F2" w:rsidRDefault="000B29F2" w:rsidP="00AF5BEC">
      <w:pPr>
        <w:jc w:val="both"/>
        <w:rPr>
          <w:rFonts w:ascii="Arial" w:hAnsi="Arial" w:cs="Arial"/>
          <w:color w:val="7B7B7B" w:themeColor="accent3" w:themeShade="BF"/>
          <w:sz w:val="22"/>
          <w:szCs w:val="22"/>
        </w:rPr>
      </w:pPr>
    </w:p>
    <w:p w14:paraId="00F4A8A3" w14:textId="26DAFC9A" w:rsidR="00353CBA" w:rsidRPr="000B29F2" w:rsidRDefault="00DD4B88" w:rsidP="00DD4B88">
      <w:pPr>
        <w:jc w:val="both"/>
        <w:rPr>
          <w:rFonts w:ascii="Arial" w:hAnsi="Arial" w:cs="Arial"/>
          <w:color w:val="7B7B7B" w:themeColor="accent3" w:themeShade="BF"/>
          <w:sz w:val="22"/>
          <w:szCs w:val="22"/>
        </w:rPr>
      </w:pPr>
      <w:r w:rsidRPr="000B29F2">
        <w:rPr>
          <w:rFonts w:ascii="Arial" w:hAnsi="Arial" w:cs="Arial"/>
          <w:color w:val="7B7B7B" w:themeColor="accent3" w:themeShade="BF"/>
          <w:sz w:val="22"/>
          <w:szCs w:val="22"/>
        </w:rPr>
        <w:t>However, notwithstanding the</w:t>
      </w:r>
      <w:r w:rsidR="008F7804" w:rsidRPr="000B29F2">
        <w:rPr>
          <w:rFonts w:ascii="Arial" w:hAnsi="Arial" w:cs="Arial"/>
          <w:color w:val="7B7B7B" w:themeColor="accent3" w:themeShade="BF"/>
          <w:sz w:val="22"/>
          <w:szCs w:val="22"/>
        </w:rPr>
        <w:t xml:space="preserve"> fact </w:t>
      </w:r>
      <w:r w:rsidR="00AF5BEC" w:rsidRPr="000B29F2">
        <w:rPr>
          <w:rFonts w:ascii="Arial" w:hAnsi="Arial" w:cs="Arial"/>
          <w:color w:val="7B7B7B" w:themeColor="accent3" w:themeShade="BF"/>
          <w:sz w:val="22"/>
          <w:szCs w:val="22"/>
        </w:rPr>
        <w:t>that the scenario falls</w:t>
      </w:r>
      <w:r w:rsidR="008F7804" w:rsidRPr="000B29F2">
        <w:rPr>
          <w:rFonts w:ascii="Arial" w:hAnsi="Arial" w:cs="Arial"/>
          <w:color w:val="7B7B7B" w:themeColor="accent3" w:themeShade="BF"/>
          <w:sz w:val="22"/>
          <w:szCs w:val="22"/>
        </w:rPr>
        <w:t xml:space="preserve"> with</w:t>
      </w:r>
      <w:r w:rsidR="00AF5BEC" w:rsidRPr="000B29F2">
        <w:rPr>
          <w:rFonts w:ascii="Arial" w:hAnsi="Arial" w:cs="Arial"/>
          <w:color w:val="7B7B7B" w:themeColor="accent3" w:themeShade="BF"/>
          <w:sz w:val="22"/>
          <w:szCs w:val="22"/>
        </w:rPr>
        <w:t>in</w:t>
      </w:r>
      <w:r w:rsidR="008F7804" w:rsidRPr="000B29F2">
        <w:rPr>
          <w:rFonts w:ascii="Arial" w:hAnsi="Arial" w:cs="Arial"/>
          <w:color w:val="7B7B7B" w:themeColor="accent3" w:themeShade="BF"/>
          <w:sz w:val="22"/>
          <w:szCs w:val="22"/>
        </w:rPr>
        <w:t xml:space="preserve"> the temporal scope of the EIR 2000</w:t>
      </w:r>
      <w:r w:rsidRPr="000B29F2">
        <w:rPr>
          <w:rFonts w:ascii="Arial" w:hAnsi="Arial" w:cs="Arial"/>
          <w:color w:val="7B7B7B" w:themeColor="accent3" w:themeShade="BF"/>
          <w:sz w:val="22"/>
          <w:szCs w:val="22"/>
        </w:rPr>
        <w:t xml:space="preserve">, the EIR 2000 does </w:t>
      </w:r>
      <w:r w:rsidRPr="000B29F2">
        <w:rPr>
          <w:rFonts w:ascii="Arial" w:hAnsi="Arial" w:cs="Arial"/>
          <w:color w:val="7B7B7B" w:themeColor="accent3" w:themeShade="BF"/>
          <w:sz w:val="22"/>
          <w:szCs w:val="22"/>
          <w:u w:val="single"/>
        </w:rPr>
        <w:t>not</w:t>
      </w:r>
      <w:r w:rsidRPr="000B29F2">
        <w:rPr>
          <w:rFonts w:ascii="Arial" w:hAnsi="Arial" w:cs="Arial"/>
          <w:color w:val="7B7B7B" w:themeColor="accent3" w:themeShade="BF"/>
          <w:sz w:val="22"/>
          <w:szCs w:val="22"/>
        </w:rPr>
        <w:t xml:space="preserve"> </w:t>
      </w:r>
      <w:r w:rsidR="00A47C78" w:rsidRPr="000B29F2">
        <w:rPr>
          <w:rFonts w:ascii="Arial" w:hAnsi="Arial" w:cs="Arial"/>
          <w:color w:val="7B7B7B" w:themeColor="accent3" w:themeShade="BF"/>
          <w:sz w:val="22"/>
          <w:szCs w:val="22"/>
        </w:rPr>
        <w:t>have jurisdiction in</w:t>
      </w:r>
      <w:r w:rsidRPr="000B29F2">
        <w:rPr>
          <w:rFonts w:ascii="Arial" w:hAnsi="Arial" w:cs="Arial"/>
          <w:color w:val="7B7B7B" w:themeColor="accent3" w:themeShade="BF"/>
          <w:sz w:val="22"/>
          <w:szCs w:val="22"/>
        </w:rPr>
        <w:t xml:space="preserve"> </w:t>
      </w:r>
      <w:r w:rsidR="00CF1FA0" w:rsidRPr="000B29F2">
        <w:rPr>
          <w:rFonts w:ascii="Arial" w:hAnsi="Arial" w:cs="Arial"/>
          <w:color w:val="7B7B7B" w:themeColor="accent3" w:themeShade="BF"/>
          <w:sz w:val="22"/>
          <w:szCs w:val="22"/>
        </w:rPr>
        <w:t xml:space="preserve">Dinosaurus’ scenario and </w:t>
      </w:r>
      <w:r w:rsidRPr="000B29F2">
        <w:rPr>
          <w:rFonts w:ascii="Arial" w:hAnsi="Arial" w:cs="Arial"/>
          <w:color w:val="7B7B7B" w:themeColor="accent3" w:themeShade="BF"/>
          <w:sz w:val="22"/>
          <w:szCs w:val="22"/>
        </w:rPr>
        <w:t xml:space="preserve">to the opening of safeguard proceedings. </w:t>
      </w:r>
      <w:r w:rsidR="008F7804" w:rsidRPr="000B29F2">
        <w:rPr>
          <w:rFonts w:ascii="Arial" w:hAnsi="Arial" w:cs="Arial"/>
          <w:color w:val="7B7B7B" w:themeColor="accent3" w:themeShade="BF"/>
          <w:sz w:val="22"/>
          <w:szCs w:val="22"/>
        </w:rPr>
        <w:t xml:space="preserve">Safeguard proceedings are proceedings opened at the request of a debtor who has difficulties that it cannot overcome but is not cash insolvent. Such proceedings are designed to </w:t>
      </w:r>
      <w:proofErr w:type="spellStart"/>
      <w:r w:rsidR="008F7804" w:rsidRPr="000B29F2">
        <w:rPr>
          <w:rFonts w:ascii="Arial" w:hAnsi="Arial" w:cs="Arial"/>
          <w:color w:val="7B7B7B" w:themeColor="accent3" w:themeShade="BF"/>
          <w:sz w:val="22"/>
          <w:szCs w:val="22"/>
        </w:rPr>
        <w:t>reorganise</w:t>
      </w:r>
      <w:proofErr w:type="spellEnd"/>
      <w:r w:rsidR="008F7804" w:rsidRPr="000B29F2">
        <w:rPr>
          <w:rFonts w:ascii="Arial" w:hAnsi="Arial" w:cs="Arial"/>
          <w:color w:val="7B7B7B" w:themeColor="accent3" w:themeShade="BF"/>
          <w:sz w:val="22"/>
          <w:szCs w:val="22"/>
        </w:rPr>
        <w:t xml:space="preserve"> the company to enable it to continue its business, preserve jobs at the company and repay creditors</w:t>
      </w:r>
      <w:r w:rsidR="008F7804" w:rsidRPr="000B29F2">
        <w:rPr>
          <w:rStyle w:val="FootnoteReference"/>
          <w:rFonts w:ascii="Arial" w:hAnsi="Arial" w:cs="Arial"/>
          <w:color w:val="7B7B7B" w:themeColor="accent3" w:themeShade="BF"/>
          <w:sz w:val="22"/>
          <w:szCs w:val="22"/>
        </w:rPr>
        <w:footnoteReference w:id="107"/>
      </w:r>
      <w:r w:rsidR="008F7804" w:rsidRPr="000B29F2">
        <w:rPr>
          <w:rFonts w:ascii="Arial" w:hAnsi="Arial" w:cs="Arial"/>
          <w:color w:val="7B7B7B" w:themeColor="accent3" w:themeShade="BF"/>
          <w:sz w:val="22"/>
          <w:szCs w:val="22"/>
        </w:rPr>
        <w:t xml:space="preserve">. </w:t>
      </w:r>
      <w:r w:rsidR="00AF5BEC" w:rsidRPr="000B29F2">
        <w:rPr>
          <w:rFonts w:ascii="Arial" w:hAnsi="Arial" w:cs="Arial"/>
          <w:color w:val="7B7B7B" w:themeColor="accent3" w:themeShade="BF"/>
          <w:sz w:val="22"/>
          <w:szCs w:val="22"/>
        </w:rPr>
        <w:t>S</w:t>
      </w:r>
      <w:r w:rsidR="008F7804" w:rsidRPr="000B29F2">
        <w:rPr>
          <w:rFonts w:ascii="Arial" w:hAnsi="Arial" w:cs="Arial"/>
          <w:color w:val="7B7B7B" w:themeColor="accent3" w:themeShade="BF"/>
          <w:sz w:val="22"/>
          <w:szCs w:val="22"/>
        </w:rPr>
        <w:t xml:space="preserve">afeguard proceedings are </w:t>
      </w:r>
      <w:r w:rsidR="00AF5BEC" w:rsidRPr="000B29F2">
        <w:rPr>
          <w:rFonts w:ascii="Arial" w:hAnsi="Arial" w:cs="Arial"/>
          <w:color w:val="7B7B7B" w:themeColor="accent3" w:themeShade="BF"/>
          <w:sz w:val="22"/>
          <w:szCs w:val="22"/>
        </w:rPr>
        <w:t xml:space="preserve">therefore </w:t>
      </w:r>
      <w:r w:rsidR="008F7804" w:rsidRPr="000B29F2">
        <w:rPr>
          <w:rFonts w:ascii="Arial" w:hAnsi="Arial" w:cs="Arial"/>
          <w:color w:val="7B7B7B" w:themeColor="accent3" w:themeShade="BF"/>
          <w:sz w:val="22"/>
          <w:szCs w:val="22"/>
        </w:rPr>
        <w:t xml:space="preserve">a type of restructuring process </w:t>
      </w:r>
      <w:r w:rsidR="00BE338A" w:rsidRPr="000B29F2">
        <w:rPr>
          <w:rFonts w:ascii="Arial" w:hAnsi="Arial" w:cs="Arial"/>
          <w:color w:val="7B7B7B" w:themeColor="accent3" w:themeShade="BF"/>
          <w:sz w:val="22"/>
          <w:szCs w:val="22"/>
        </w:rPr>
        <w:t>(</w:t>
      </w:r>
      <w:r w:rsidR="008F7804" w:rsidRPr="000B29F2">
        <w:rPr>
          <w:rFonts w:ascii="Arial" w:hAnsi="Arial" w:cs="Arial"/>
          <w:color w:val="7B7B7B" w:themeColor="accent3" w:themeShade="BF"/>
          <w:sz w:val="22"/>
          <w:szCs w:val="22"/>
        </w:rPr>
        <w:t>and not a “traditional” form of insolvency</w:t>
      </w:r>
      <w:r w:rsidR="00BE338A" w:rsidRPr="000B29F2">
        <w:rPr>
          <w:rFonts w:ascii="Arial" w:hAnsi="Arial" w:cs="Arial"/>
          <w:color w:val="7B7B7B" w:themeColor="accent3" w:themeShade="BF"/>
          <w:sz w:val="22"/>
          <w:szCs w:val="22"/>
        </w:rPr>
        <w:t>)</w:t>
      </w:r>
      <w:r w:rsidR="008F7804" w:rsidRPr="000B29F2">
        <w:rPr>
          <w:rFonts w:ascii="Arial" w:hAnsi="Arial" w:cs="Arial"/>
          <w:color w:val="7B7B7B" w:themeColor="accent3" w:themeShade="BF"/>
          <w:sz w:val="22"/>
          <w:szCs w:val="22"/>
        </w:rPr>
        <w:t>.</w:t>
      </w:r>
      <w:r w:rsidR="00BE338A" w:rsidRPr="000B29F2">
        <w:rPr>
          <w:rFonts w:ascii="Arial" w:hAnsi="Arial" w:cs="Arial"/>
          <w:color w:val="7B7B7B" w:themeColor="accent3" w:themeShade="BF"/>
          <w:sz w:val="22"/>
          <w:szCs w:val="22"/>
        </w:rPr>
        <w:t xml:space="preserve"> Dinosaurus’ </w:t>
      </w:r>
      <w:r w:rsidR="008F7804" w:rsidRPr="000B29F2">
        <w:rPr>
          <w:rFonts w:ascii="Arial" w:hAnsi="Arial" w:cs="Arial"/>
          <w:color w:val="7B7B7B" w:themeColor="accent3" w:themeShade="BF"/>
          <w:sz w:val="22"/>
          <w:szCs w:val="22"/>
        </w:rPr>
        <w:t>scenario does not satisfy the</w:t>
      </w:r>
      <w:r w:rsidR="00BA073C" w:rsidRPr="000B29F2">
        <w:rPr>
          <w:rFonts w:ascii="Arial" w:hAnsi="Arial" w:cs="Arial"/>
          <w:color w:val="7B7B7B" w:themeColor="accent3" w:themeShade="BF"/>
          <w:sz w:val="22"/>
          <w:szCs w:val="22"/>
        </w:rPr>
        <w:t xml:space="preserve"> material scope, </w:t>
      </w:r>
      <w:r w:rsidR="008F7804" w:rsidRPr="000B29F2">
        <w:rPr>
          <w:rFonts w:ascii="Arial" w:hAnsi="Arial" w:cs="Arial"/>
          <w:color w:val="7B7B7B" w:themeColor="accent3" w:themeShade="BF"/>
          <w:sz w:val="22"/>
          <w:szCs w:val="22"/>
        </w:rPr>
        <w:t xml:space="preserve">territorial </w:t>
      </w:r>
      <w:proofErr w:type="gramStart"/>
      <w:r w:rsidR="008F7804" w:rsidRPr="000B29F2">
        <w:rPr>
          <w:rFonts w:ascii="Arial" w:hAnsi="Arial" w:cs="Arial"/>
          <w:color w:val="7B7B7B" w:themeColor="accent3" w:themeShade="BF"/>
          <w:sz w:val="22"/>
          <w:szCs w:val="22"/>
        </w:rPr>
        <w:t>scope</w:t>
      </w:r>
      <w:proofErr w:type="gramEnd"/>
      <w:r w:rsidR="00BA073C" w:rsidRPr="000B29F2">
        <w:rPr>
          <w:rFonts w:ascii="Arial" w:hAnsi="Arial" w:cs="Arial"/>
          <w:color w:val="7B7B7B" w:themeColor="accent3" w:themeShade="BF"/>
          <w:sz w:val="22"/>
          <w:szCs w:val="22"/>
        </w:rPr>
        <w:t xml:space="preserve"> or </w:t>
      </w:r>
      <w:r w:rsidR="008F7804" w:rsidRPr="000B29F2">
        <w:rPr>
          <w:rFonts w:ascii="Arial" w:hAnsi="Arial" w:cs="Arial"/>
          <w:color w:val="7B7B7B" w:themeColor="accent3" w:themeShade="BF"/>
          <w:sz w:val="22"/>
          <w:szCs w:val="22"/>
        </w:rPr>
        <w:t>personal scope of the EIR 2000</w:t>
      </w:r>
      <w:r w:rsidR="009A7FD9" w:rsidRPr="000B29F2">
        <w:rPr>
          <w:rFonts w:ascii="Arial" w:hAnsi="Arial" w:cs="Arial"/>
          <w:color w:val="7B7B7B" w:themeColor="accent3" w:themeShade="BF"/>
          <w:sz w:val="22"/>
          <w:szCs w:val="22"/>
        </w:rPr>
        <w:t xml:space="preserve"> for the following reasons</w:t>
      </w:r>
      <w:r w:rsidRPr="000B29F2">
        <w:rPr>
          <w:rFonts w:ascii="Arial" w:hAnsi="Arial" w:cs="Arial"/>
          <w:color w:val="7B7B7B" w:themeColor="accent3" w:themeShade="BF"/>
          <w:sz w:val="22"/>
          <w:szCs w:val="22"/>
        </w:rPr>
        <w:t>:</w:t>
      </w:r>
    </w:p>
    <w:p w14:paraId="672D5416" w14:textId="04AFA7EA" w:rsidR="00BA073C" w:rsidRPr="000B29F2" w:rsidRDefault="00BA073C" w:rsidP="00BA073C">
      <w:pPr>
        <w:pStyle w:val="ListParagraph"/>
        <w:numPr>
          <w:ilvl w:val="0"/>
          <w:numId w:val="22"/>
        </w:numPr>
        <w:jc w:val="both"/>
        <w:rPr>
          <w:rFonts w:ascii="Arial" w:hAnsi="Arial" w:cs="Arial"/>
          <w:color w:val="7B7B7B" w:themeColor="accent3" w:themeShade="BF"/>
          <w:sz w:val="22"/>
          <w:szCs w:val="22"/>
        </w:rPr>
      </w:pPr>
      <w:r w:rsidRPr="000B29F2">
        <w:rPr>
          <w:rFonts w:ascii="Arial" w:hAnsi="Arial" w:cs="Arial"/>
          <w:color w:val="7B7B7B" w:themeColor="accent3" w:themeShade="BF"/>
          <w:sz w:val="22"/>
          <w:szCs w:val="22"/>
        </w:rPr>
        <w:t xml:space="preserve">Material scope – The wording of the EIR 2000 only mentions “traditional” liquidation focused insolvency procedures. Article 1(1) </w:t>
      </w:r>
      <w:r w:rsidR="00A47C78" w:rsidRPr="000B29F2">
        <w:rPr>
          <w:rFonts w:ascii="Arial" w:hAnsi="Arial" w:cs="Arial"/>
          <w:color w:val="7B7B7B" w:themeColor="accent3" w:themeShade="BF"/>
          <w:sz w:val="22"/>
          <w:szCs w:val="22"/>
        </w:rPr>
        <w:t>states that the</w:t>
      </w:r>
      <w:r w:rsidRPr="000B29F2">
        <w:rPr>
          <w:rFonts w:ascii="Arial" w:hAnsi="Arial" w:cs="Arial"/>
          <w:color w:val="7B7B7B" w:themeColor="accent3" w:themeShade="BF"/>
          <w:sz w:val="22"/>
          <w:szCs w:val="22"/>
        </w:rPr>
        <w:t xml:space="preserve"> EIR 2000 “</w:t>
      </w:r>
      <w:r w:rsidRPr="000B29F2">
        <w:rPr>
          <w:rFonts w:ascii="Arial" w:hAnsi="Arial" w:cs="Arial"/>
          <w:i/>
          <w:iCs/>
          <w:color w:val="7B7B7B" w:themeColor="accent3" w:themeShade="BF"/>
          <w:sz w:val="22"/>
          <w:szCs w:val="22"/>
        </w:rPr>
        <w:t xml:space="preserve">shall apply to collective </w:t>
      </w:r>
      <w:r w:rsidRPr="000B29F2">
        <w:rPr>
          <w:rFonts w:ascii="Arial" w:hAnsi="Arial" w:cs="Arial"/>
          <w:i/>
          <w:iCs/>
          <w:color w:val="7B7B7B" w:themeColor="accent3" w:themeShade="BF"/>
          <w:sz w:val="22"/>
          <w:szCs w:val="22"/>
          <w:u w:val="single"/>
        </w:rPr>
        <w:t>insolvency proceedings</w:t>
      </w:r>
      <w:r w:rsidRPr="000B29F2">
        <w:rPr>
          <w:rFonts w:ascii="Arial" w:hAnsi="Arial" w:cs="Arial"/>
          <w:i/>
          <w:iCs/>
          <w:color w:val="7B7B7B" w:themeColor="accent3" w:themeShade="BF"/>
          <w:sz w:val="22"/>
          <w:szCs w:val="22"/>
        </w:rPr>
        <w:t xml:space="preserve"> which entail the partial or total divestment of a debtor and the appointment of a </w:t>
      </w:r>
      <w:r w:rsidRPr="000B29F2">
        <w:rPr>
          <w:rFonts w:ascii="Arial" w:hAnsi="Arial" w:cs="Arial"/>
          <w:i/>
          <w:iCs/>
          <w:color w:val="7B7B7B" w:themeColor="accent3" w:themeShade="BF"/>
          <w:sz w:val="22"/>
          <w:szCs w:val="22"/>
          <w:u w:val="single"/>
        </w:rPr>
        <w:t>liquidator</w:t>
      </w:r>
      <w:r w:rsidRPr="000B29F2">
        <w:rPr>
          <w:rFonts w:ascii="Arial" w:hAnsi="Arial" w:cs="Arial"/>
          <w:color w:val="7B7B7B" w:themeColor="accent3" w:themeShade="BF"/>
          <w:sz w:val="22"/>
          <w:szCs w:val="22"/>
        </w:rPr>
        <w:t>. [emphasis added]”</w:t>
      </w:r>
      <w:r w:rsidRPr="000B29F2">
        <w:rPr>
          <w:rStyle w:val="FootnoteReference"/>
          <w:rFonts w:ascii="Arial" w:hAnsi="Arial" w:cs="Arial"/>
          <w:color w:val="7B7B7B" w:themeColor="accent3" w:themeShade="BF"/>
          <w:sz w:val="22"/>
          <w:szCs w:val="22"/>
        </w:rPr>
        <w:footnoteReference w:id="108"/>
      </w:r>
      <w:r w:rsidRPr="000B29F2">
        <w:rPr>
          <w:rFonts w:ascii="Arial" w:hAnsi="Arial" w:cs="Arial"/>
          <w:color w:val="7B7B7B" w:themeColor="accent3" w:themeShade="BF"/>
          <w:sz w:val="22"/>
          <w:szCs w:val="22"/>
        </w:rPr>
        <w:t xml:space="preserve"> Further, Article 2(a) and Recital 9 of the EIR 2000 state respectively that such “insolvency proceedings” are those listed in Annex A</w:t>
      </w:r>
      <w:r w:rsidRPr="000B29F2">
        <w:rPr>
          <w:rStyle w:val="FootnoteReference"/>
          <w:rFonts w:ascii="Arial" w:hAnsi="Arial" w:cs="Arial"/>
          <w:color w:val="7B7B7B" w:themeColor="accent3" w:themeShade="BF"/>
          <w:sz w:val="22"/>
          <w:szCs w:val="22"/>
        </w:rPr>
        <w:footnoteReference w:id="109"/>
      </w:r>
      <w:r w:rsidRPr="000B29F2">
        <w:rPr>
          <w:rFonts w:ascii="Arial" w:hAnsi="Arial" w:cs="Arial"/>
          <w:color w:val="7B7B7B" w:themeColor="accent3" w:themeShade="BF"/>
          <w:sz w:val="22"/>
          <w:szCs w:val="22"/>
        </w:rPr>
        <w:t xml:space="preserve"> and the Regulation only applies to those listed in the Annexes.</w:t>
      </w:r>
      <w:r w:rsidRPr="000B29F2">
        <w:rPr>
          <w:rStyle w:val="FootnoteReference"/>
          <w:rFonts w:ascii="Arial" w:hAnsi="Arial" w:cs="Arial"/>
          <w:color w:val="7B7B7B" w:themeColor="accent3" w:themeShade="BF"/>
          <w:sz w:val="22"/>
          <w:szCs w:val="22"/>
        </w:rPr>
        <w:footnoteReference w:id="110"/>
      </w:r>
    </w:p>
    <w:p w14:paraId="0044DDF5" w14:textId="77777777" w:rsidR="00BA073C" w:rsidRPr="000B29F2" w:rsidRDefault="00BA073C" w:rsidP="00BA073C">
      <w:pPr>
        <w:pStyle w:val="ListParagraph"/>
        <w:jc w:val="both"/>
        <w:rPr>
          <w:rFonts w:ascii="Arial" w:hAnsi="Arial" w:cs="Arial"/>
          <w:color w:val="7B7B7B" w:themeColor="accent3" w:themeShade="BF"/>
          <w:sz w:val="22"/>
          <w:szCs w:val="22"/>
        </w:rPr>
      </w:pPr>
    </w:p>
    <w:p w14:paraId="454EE0A9" w14:textId="60D1F058" w:rsidR="00BA073C" w:rsidRPr="000B29F2" w:rsidRDefault="00BA073C" w:rsidP="00BA073C">
      <w:pPr>
        <w:pStyle w:val="ListParagraph"/>
        <w:jc w:val="both"/>
        <w:rPr>
          <w:rFonts w:ascii="Arial" w:hAnsi="Arial" w:cs="Arial"/>
          <w:color w:val="7B7B7B" w:themeColor="accent3" w:themeShade="BF"/>
          <w:sz w:val="22"/>
          <w:szCs w:val="22"/>
        </w:rPr>
      </w:pPr>
      <w:r w:rsidRPr="000B29F2">
        <w:rPr>
          <w:rFonts w:ascii="Arial" w:hAnsi="Arial" w:cs="Arial"/>
          <w:color w:val="7B7B7B" w:themeColor="accent3" w:themeShade="BF"/>
          <w:sz w:val="22"/>
          <w:szCs w:val="22"/>
        </w:rPr>
        <w:t xml:space="preserve">The wording of Article 1(1), Article </w:t>
      </w:r>
      <w:proofErr w:type="gramStart"/>
      <w:r w:rsidRPr="000B29F2">
        <w:rPr>
          <w:rFonts w:ascii="Arial" w:hAnsi="Arial" w:cs="Arial"/>
          <w:color w:val="7B7B7B" w:themeColor="accent3" w:themeShade="BF"/>
          <w:sz w:val="22"/>
          <w:szCs w:val="22"/>
        </w:rPr>
        <w:t>2(a)</w:t>
      </w:r>
      <w:proofErr w:type="gramEnd"/>
      <w:r w:rsidRPr="000B29F2">
        <w:rPr>
          <w:rFonts w:ascii="Arial" w:hAnsi="Arial" w:cs="Arial"/>
          <w:color w:val="7B7B7B" w:themeColor="accent3" w:themeShade="BF"/>
          <w:sz w:val="22"/>
          <w:szCs w:val="22"/>
        </w:rPr>
        <w:t xml:space="preserve"> and Recital 9 of the EIR 2000 makes clear that the “insolvency proceedings” have to be listed in Annex A to comply with the material scope requirement of the EIR 2000. The EIR 2000 focuses on “traditional” liquidation orientated procedures </w:t>
      </w:r>
      <w:r w:rsidR="00084D8B" w:rsidRPr="000B29F2">
        <w:rPr>
          <w:rFonts w:ascii="Arial" w:hAnsi="Arial" w:cs="Arial"/>
          <w:color w:val="7B7B7B" w:themeColor="accent3" w:themeShade="BF"/>
          <w:sz w:val="22"/>
          <w:szCs w:val="22"/>
        </w:rPr>
        <w:t>(</w:t>
      </w:r>
      <w:r w:rsidR="000B29F2">
        <w:rPr>
          <w:rFonts w:ascii="Arial" w:hAnsi="Arial" w:cs="Arial"/>
          <w:color w:val="7B7B7B" w:themeColor="accent3" w:themeShade="BF"/>
          <w:sz w:val="22"/>
          <w:szCs w:val="22"/>
        </w:rPr>
        <w:t>i.e.</w:t>
      </w:r>
      <w:r w:rsidR="00084D8B" w:rsidRPr="000B29F2">
        <w:rPr>
          <w:rFonts w:ascii="Arial" w:hAnsi="Arial" w:cs="Arial"/>
          <w:color w:val="7B7B7B" w:themeColor="accent3" w:themeShade="BF"/>
          <w:sz w:val="22"/>
          <w:szCs w:val="22"/>
        </w:rPr>
        <w:t xml:space="preserve"> the appointment of a liquidator) </w:t>
      </w:r>
      <w:r w:rsidRPr="000B29F2">
        <w:rPr>
          <w:rFonts w:ascii="Arial" w:hAnsi="Arial" w:cs="Arial"/>
          <w:color w:val="7B7B7B" w:themeColor="accent3" w:themeShade="BF"/>
          <w:sz w:val="22"/>
          <w:szCs w:val="22"/>
        </w:rPr>
        <w:t xml:space="preserve">and not </w:t>
      </w:r>
      <w:proofErr w:type="gramStart"/>
      <w:r w:rsidRPr="000B29F2">
        <w:rPr>
          <w:rFonts w:ascii="Arial" w:hAnsi="Arial" w:cs="Arial"/>
          <w:color w:val="7B7B7B" w:themeColor="accent3" w:themeShade="BF"/>
          <w:sz w:val="22"/>
          <w:szCs w:val="22"/>
        </w:rPr>
        <w:t>to</w:t>
      </w:r>
      <w:proofErr w:type="gramEnd"/>
      <w:r w:rsidRPr="000B29F2">
        <w:rPr>
          <w:rFonts w:ascii="Arial" w:hAnsi="Arial" w:cs="Arial"/>
          <w:color w:val="7B7B7B" w:themeColor="accent3" w:themeShade="BF"/>
          <w:sz w:val="22"/>
          <w:szCs w:val="22"/>
        </w:rPr>
        <w:t xml:space="preserve"> restructuring processes such as safeguard proceedings. The safeguard proceedings opened by </w:t>
      </w:r>
      <w:proofErr w:type="spellStart"/>
      <w:r w:rsidRPr="000B29F2">
        <w:rPr>
          <w:rFonts w:ascii="Arial" w:hAnsi="Arial" w:cs="Arial"/>
          <w:color w:val="7B7B7B" w:themeColor="accent3" w:themeShade="BF"/>
          <w:sz w:val="22"/>
          <w:szCs w:val="22"/>
        </w:rPr>
        <w:t>Dinosaurus</w:t>
      </w:r>
      <w:proofErr w:type="spellEnd"/>
      <w:r w:rsidRPr="000B29F2">
        <w:rPr>
          <w:rFonts w:ascii="Arial" w:hAnsi="Arial" w:cs="Arial"/>
          <w:color w:val="7B7B7B" w:themeColor="accent3" w:themeShade="BF"/>
          <w:sz w:val="22"/>
          <w:szCs w:val="22"/>
        </w:rPr>
        <w:t xml:space="preserve">, </w:t>
      </w:r>
      <w:proofErr w:type="spellStart"/>
      <w:r w:rsidRPr="000B29F2">
        <w:rPr>
          <w:rFonts w:ascii="Arial" w:hAnsi="Arial" w:cs="Arial"/>
          <w:i/>
          <w:iCs/>
          <w:color w:val="7B7B7B" w:themeColor="accent3" w:themeShade="BF"/>
          <w:sz w:val="22"/>
          <w:szCs w:val="22"/>
        </w:rPr>
        <w:t>sauvegarde</w:t>
      </w:r>
      <w:proofErr w:type="spellEnd"/>
      <w:r w:rsidRPr="000B29F2">
        <w:rPr>
          <w:rFonts w:ascii="Arial" w:hAnsi="Arial" w:cs="Arial"/>
          <w:color w:val="7B7B7B" w:themeColor="accent3" w:themeShade="BF"/>
          <w:sz w:val="22"/>
          <w:szCs w:val="22"/>
        </w:rPr>
        <w:t xml:space="preserve">, is </w:t>
      </w:r>
      <w:r w:rsidRPr="000B29F2">
        <w:rPr>
          <w:rFonts w:ascii="Arial" w:hAnsi="Arial" w:cs="Arial"/>
          <w:color w:val="7B7B7B" w:themeColor="accent3" w:themeShade="BF"/>
          <w:sz w:val="22"/>
          <w:szCs w:val="22"/>
          <w:u w:val="single"/>
        </w:rPr>
        <w:t>not</w:t>
      </w:r>
      <w:r w:rsidRPr="000B29F2">
        <w:rPr>
          <w:rFonts w:ascii="Arial" w:hAnsi="Arial" w:cs="Arial"/>
          <w:color w:val="7B7B7B" w:themeColor="accent3" w:themeShade="BF"/>
          <w:sz w:val="22"/>
          <w:szCs w:val="22"/>
        </w:rPr>
        <w:t xml:space="preserve"> listed in Annex A to the EIR 2000. </w:t>
      </w:r>
      <w:proofErr w:type="gramStart"/>
      <w:r w:rsidRPr="000B29F2">
        <w:rPr>
          <w:rFonts w:ascii="Arial" w:hAnsi="Arial" w:cs="Arial"/>
          <w:color w:val="7B7B7B" w:themeColor="accent3" w:themeShade="BF"/>
          <w:sz w:val="22"/>
          <w:szCs w:val="22"/>
        </w:rPr>
        <w:t>In light of</w:t>
      </w:r>
      <w:proofErr w:type="gramEnd"/>
      <w:r w:rsidRPr="000B29F2">
        <w:rPr>
          <w:rFonts w:ascii="Arial" w:hAnsi="Arial" w:cs="Arial"/>
          <w:color w:val="7B7B7B" w:themeColor="accent3" w:themeShade="BF"/>
          <w:sz w:val="22"/>
          <w:szCs w:val="22"/>
        </w:rPr>
        <w:t xml:space="preserve"> the above, the safeguard proceedings opened by Dinosaurus do </w:t>
      </w:r>
      <w:r w:rsidRPr="00181D9D">
        <w:rPr>
          <w:rFonts w:ascii="Arial" w:hAnsi="Arial" w:cs="Arial"/>
          <w:color w:val="7B7B7B" w:themeColor="accent3" w:themeShade="BF"/>
          <w:sz w:val="22"/>
          <w:szCs w:val="22"/>
        </w:rPr>
        <w:t>not</w:t>
      </w:r>
      <w:r w:rsidRPr="000B29F2">
        <w:rPr>
          <w:rFonts w:ascii="Arial" w:hAnsi="Arial" w:cs="Arial"/>
          <w:color w:val="7B7B7B" w:themeColor="accent3" w:themeShade="BF"/>
          <w:sz w:val="22"/>
          <w:szCs w:val="22"/>
        </w:rPr>
        <w:t xml:space="preserve"> satisfy the “insolvency proceedings” requirement as set out in the EIR 2000 and therefo</w:t>
      </w:r>
      <w:r w:rsidR="000B29F2">
        <w:rPr>
          <w:rFonts w:ascii="Arial" w:hAnsi="Arial" w:cs="Arial"/>
          <w:color w:val="7B7B7B" w:themeColor="accent3" w:themeShade="BF"/>
          <w:sz w:val="22"/>
          <w:szCs w:val="22"/>
        </w:rPr>
        <w:t>re</w:t>
      </w:r>
      <w:r w:rsidRPr="000B29F2">
        <w:rPr>
          <w:rFonts w:ascii="Arial" w:hAnsi="Arial" w:cs="Arial"/>
          <w:color w:val="7B7B7B" w:themeColor="accent3" w:themeShade="BF"/>
          <w:sz w:val="22"/>
          <w:szCs w:val="22"/>
        </w:rPr>
        <w:t xml:space="preserve"> do </w:t>
      </w:r>
      <w:r w:rsidRPr="00260D78">
        <w:rPr>
          <w:rFonts w:ascii="Arial" w:hAnsi="Arial" w:cs="Arial"/>
          <w:color w:val="7B7B7B" w:themeColor="accent3" w:themeShade="BF"/>
          <w:sz w:val="22"/>
          <w:szCs w:val="22"/>
        </w:rPr>
        <w:t>not</w:t>
      </w:r>
      <w:r w:rsidRPr="000B29F2">
        <w:rPr>
          <w:rFonts w:ascii="Arial" w:hAnsi="Arial" w:cs="Arial"/>
          <w:color w:val="7B7B7B" w:themeColor="accent3" w:themeShade="BF"/>
          <w:sz w:val="22"/>
          <w:szCs w:val="22"/>
        </w:rPr>
        <w:t xml:space="preserve"> fall within the material scope of the EIR 2000.</w:t>
      </w:r>
    </w:p>
    <w:p w14:paraId="02F26EF2" w14:textId="77777777" w:rsidR="00BA073C" w:rsidRPr="000B29F2" w:rsidRDefault="00BA073C" w:rsidP="00BA073C">
      <w:pPr>
        <w:jc w:val="both"/>
        <w:rPr>
          <w:rFonts w:ascii="Arial" w:hAnsi="Arial" w:cs="Arial"/>
          <w:color w:val="7B7B7B" w:themeColor="accent3" w:themeShade="BF"/>
          <w:sz w:val="22"/>
          <w:szCs w:val="22"/>
        </w:rPr>
      </w:pPr>
    </w:p>
    <w:p w14:paraId="0CF2806F" w14:textId="53F2E479" w:rsidR="008F7804" w:rsidRPr="000B29F2" w:rsidRDefault="008F7804" w:rsidP="008F7804">
      <w:pPr>
        <w:pStyle w:val="ListParagraph"/>
        <w:numPr>
          <w:ilvl w:val="0"/>
          <w:numId w:val="22"/>
        </w:numPr>
        <w:jc w:val="both"/>
        <w:rPr>
          <w:rFonts w:ascii="Arial" w:hAnsi="Arial" w:cs="Arial"/>
          <w:color w:val="7B7B7B" w:themeColor="accent3" w:themeShade="BF"/>
          <w:sz w:val="22"/>
          <w:szCs w:val="22"/>
        </w:rPr>
      </w:pPr>
      <w:r w:rsidRPr="000B29F2">
        <w:rPr>
          <w:rFonts w:ascii="Arial" w:hAnsi="Arial" w:cs="Arial"/>
          <w:color w:val="7B7B7B" w:themeColor="accent3" w:themeShade="BF"/>
          <w:sz w:val="22"/>
          <w:szCs w:val="22"/>
        </w:rPr>
        <w:t>Territorial scope – Recital 12 and Recital 14 of the EIR 2000 state respectively that the “</w:t>
      </w:r>
      <w:r w:rsidRPr="000B29F2">
        <w:rPr>
          <w:rFonts w:ascii="Arial" w:hAnsi="Arial" w:cs="Arial"/>
          <w:i/>
          <w:iCs/>
          <w:color w:val="7B7B7B" w:themeColor="accent3" w:themeShade="BF"/>
          <w:sz w:val="22"/>
          <w:szCs w:val="22"/>
        </w:rPr>
        <w:t xml:space="preserve">Regulation enables the </w:t>
      </w:r>
      <w:r w:rsidRPr="000B29F2">
        <w:rPr>
          <w:rFonts w:ascii="Arial" w:hAnsi="Arial" w:cs="Arial"/>
          <w:i/>
          <w:iCs/>
          <w:color w:val="7B7B7B" w:themeColor="accent3" w:themeShade="BF"/>
          <w:sz w:val="22"/>
          <w:szCs w:val="22"/>
          <w:u w:val="single"/>
        </w:rPr>
        <w:t>main insolvency proceedings</w:t>
      </w:r>
      <w:r w:rsidRPr="000B29F2">
        <w:rPr>
          <w:rFonts w:ascii="Arial" w:hAnsi="Arial" w:cs="Arial"/>
          <w:i/>
          <w:iCs/>
          <w:color w:val="7B7B7B" w:themeColor="accent3" w:themeShade="BF"/>
          <w:sz w:val="22"/>
          <w:szCs w:val="22"/>
        </w:rPr>
        <w:t xml:space="preserve"> to be opened</w:t>
      </w:r>
      <w:r w:rsidR="00AF5BEC" w:rsidRPr="000B29F2">
        <w:rPr>
          <w:rFonts w:ascii="Arial" w:hAnsi="Arial" w:cs="Arial"/>
          <w:i/>
          <w:iCs/>
          <w:color w:val="7B7B7B" w:themeColor="accent3" w:themeShade="BF"/>
          <w:sz w:val="22"/>
          <w:szCs w:val="22"/>
        </w:rPr>
        <w:t>…</w:t>
      </w:r>
      <w:r w:rsidRPr="000B29F2">
        <w:rPr>
          <w:rFonts w:ascii="Arial" w:hAnsi="Arial" w:cs="Arial"/>
          <w:i/>
          <w:iCs/>
          <w:color w:val="7B7B7B" w:themeColor="accent3" w:themeShade="BF"/>
          <w:sz w:val="22"/>
          <w:szCs w:val="22"/>
        </w:rPr>
        <w:t xml:space="preserve">where the debtor has the </w:t>
      </w:r>
      <w:proofErr w:type="spellStart"/>
      <w:r w:rsidRPr="000B29F2">
        <w:rPr>
          <w:rFonts w:ascii="Arial" w:hAnsi="Arial" w:cs="Arial"/>
          <w:i/>
          <w:iCs/>
          <w:color w:val="7B7B7B" w:themeColor="accent3" w:themeShade="BF"/>
          <w:sz w:val="22"/>
          <w:szCs w:val="22"/>
        </w:rPr>
        <w:t>centre</w:t>
      </w:r>
      <w:proofErr w:type="spellEnd"/>
      <w:r w:rsidRPr="000B29F2">
        <w:rPr>
          <w:rFonts w:ascii="Arial" w:hAnsi="Arial" w:cs="Arial"/>
          <w:i/>
          <w:iCs/>
          <w:color w:val="7B7B7B" w:themeColor="accent3" w:themeShade="BF"/>
          <w:sz w:val="22"/>
          <w:szCs w:val="22"/>
        </w:rPr>
        <w:t xml:space="preserve"> of his main interests </w:t>
      </w:r>
      <w:r w:rsidRPr="000B29F2">
        <w:rPr>
          <w:rFonts w:ascii="Arial" w:hAnsi="Arial" w:cs="Arial"/>
          <w:color w:val="7B7B7B" w:themeColor="accent3" w:themeShade="BF"/>
          <w:sz w:val="22"/>
          <w:szCs w:val="22"/>
        </w:rPr>
        <w:t>[emphasis added]”</w:t>
      </w:r>
      <w:r w:rsidRPr="000B29F2">
        <w:rPr>
          <w:rStyle w:val="FootnoteReference"/>
          <w:rFonts w:ascii="Arial" w:hAnsi="Arial" w:cs="Arial"/>
          <w:color w:val="7B7B7B" w:themeColor="accent3" w:themeShade="BF"/>
          <w:sz w:val="22"/>
          <w:szCs w:val="22"/>
        </w:rPr>
        <w:footnoteReference w:id="111"/>
      </w:r>
      <w:r w:rsidRPr="000B29F2">
        <w:rPr>
          <w:rFonts w:ascii="Arial" w:hAnsi="Arial" w:cs="Arial"/>
          <w:color w:val="7B7B7B" w:themeColor="accent3" w:themeShade="BF"/>
          <w:sz w:val="22"/>
          <w:szCs w:val="22"/>
        </w:rPr>
        <w:t xml:space="preserve"> and that it will apply “</w:t>
      </w:r>
      <w:r w:rsidRPr="000B29F2">
        <w:rPr>
          <w:rFonts w:ascii="Arial" w:hAnsi="Arial" w:cs="Arial"/>
          <w:i/>
          <w:iCs/>
          <w:color w:val="7B7B7B" w:themeColor="accent3" w:themeShade="BF"/>
          <w:sz w:val="22"/>
          <w:szCs w:val="22"/>
        </w:rPr>
        <w:t xml:space="preserve">only to proceedings where the </w:t>
      </w:r>
      <w:proofErr w:type="spellStart"/>
      <w:r w:rsidRPr="000B29F2">
        <w:rPr>
          <w:rFonts w:ascii="Arial" w:hAnsi="Arial" w:cs="Arial"/>
          <w:i/>
          <w:iCs/>
          <w:color w:val="7B7B7B" w:themeColor="accent3" w:themeShade="BF"/>
          <w:sz w:val="22"/>
          <w:szCs w:val="22"/>
        </w:rPr>
        <w:t>centre</w:t>
      </w:r>
      <w:proofErr w:type="spellEnd"/>
      <w:r w:rsidRPr="000B29F2">
        <w:rPr>
          <w:rFonts w:ascii="Arial" w:hAnsi="Arial" w:cs="Arial"/>
          <w:i/>
          <w:iCs/>
          <w:color w:val="7B7B7B" w:themeColor="accent3" w:themeShade="BF"/>
          <w:sz w:val="22"/>
          <w:szCs w:val="22"/>
        </w:rPr>
        <w:t xml:space="preserve"> of the debtor's main interests is located in the Community</w:t>
      </w:r>
      <w:r w:rsidRPr="000B29F2">
        <w:rPr>
          <w:rFonts w:ascii="Arial" w:hAnsi="Arial" w:cs="Arial"/>
          <w:color w:val="7B7B7B" w:themeColor="accent3" w:themeShade="BF"/>
          <w:sz w:val="22"/>
          <w:szCs w:val="22"/>
        </w:rPr>
        <w:t>.”</w:t>
      </w:r>
      <w:r w:rsidRPr="000B29F2">
        <w:rPr>
          <w:rStyle w:val="FootnoteReference"/>
          <w:rFonts w:ascii="Arial" w:hAnsi="Arial" w:cs="Arial"/>
          <w:color w:val="7B7B7B" w:themeColor="accent3" w:themeShade="BF"/>
          <w:sz w:val="22"/>
          <w:szCs w:val="22"/>
        </w:rPr>
        <w:footnoteReference w:id="112"/>
      </w:r>
    </w:p>
    <w:p w14:paraId="03BC5B1D" w14:textId="77777777" w:rsidR="008F7804" w:rsidRPr="000B29F2" w:rsidRDefault="008F7804" w:rsidP="008F7804">
      <w:pPr>
        <w:pStyle w:val="ListParagraph"/>
        <w:jc w:val="both"/>
        <w:rPr>
          <w:rFonts w:ascii="Arial" w:hAnsi="Arial" w:cs="Arial"/>
          <w:color w:val="7B7B7B" w:themeColor="accent3" w:themeShade="BF"/>
          <w:sz w:val="22"/>
          <w:szCs w:val="22"/>
        </w:rPr>
      </w:pPr>
    </w:p>
    <w:p w14:paraId="320489A3" w14:textId="722A73C8" w:rsidR="008F7804" w:rsidRPr="0086575F" w:rsidRDefault="008F7804" w:rsidP="0086575F">
      <w:pPr>
        <w:pStyle w:val="ListParagraph"/>
        <w:jc w:val="both"/>
        <w:rPr>
          <w:rFonts w:ascii="Arial" w:hAnsi="Arial" w:cs="Arial"/>
          <w:color w:val="7B7B7B" w:themeColor="accent3" w:themeShade="BF"/>
          <w:sz w:val="22"/>
          <w:szCs w:val="22"/>
        </w:rPr>
      </w:pPr>
      <w:proofErr w:type="spellStart"/>
      <w:r w:rsidRPr="000B29F2">
        <w:rPr>
          <w:rFonts w:ascii="Arial" w:hAnsi="Arial" w:cs="Arial"/>
          <w:color w:val="7B7B7B" w:themeColor="accent3" w:themeShade="BF"/>
          <w:sz w:val="22"/>
          <w:szCs w:val="22"/>
        </w:rPr>
        <w:t>Dinosaurus</w:t>
      </w:r>
      <w:proofErr w:type="spellEnd"/>
      <w:r w:rsidRPr="000B29F2">
        <w:rPr>
          <w:rFonts w:ascii="Arial" w:hAnsi="Arial" w:cs="Arial"/>
          <w:color w:val="7B7B7B" w:themeColor="accent3" w:themeShade="BF"/>
          <w:sz w:val="22"/>
          <w:szCs w:val="22"/>
        </w:rPr>
        <w:t xml:space="preserve">’ </w:t>
      </w:r>
      <w:proofErr w:type="spellStart"/>
      <w:r w:rsidRPr="000B29F2">
        <w:rPr>
          <w:rFonts w:ascii="Arial" w:hAnsi="Arial" w:cs="Arial"/>
          <w:color w:val="7B7B7B" w:themeColor="accent3" w:themeShade="BF"/>
          <w:sz w:val="22"/>
          <w:szCs w:val="22"/>
        </w:rPr>
        <w:t>centre</w:t>
      </w:r>
      <w:proofErr w:type="spellEnd"/>
      <w:r w:rsidRPr="000B29F2">
        <w:rPr>
          <w:rFonts w:ascii="Arial" w:hAnsi="Arial" w:cs="Arial"/>
          <w:color w:val="7B7B7B" w:themeColor="accent3" w:themeShade="BF"/>
          <w:sz w:val="22"/>
          <w:szCs w:val="22"/>
        </w:rPr>
        <w:t xml:space="preserve"> of main interest (“</w:t>
      </w:r>
      <w:r w:rsidRPr="000B29F2">
        <w:rPr>
          <w:rFonts w:ascii="Arial" w:hAnsi="Arial" w:cs="Arial"/>
          <w:b/>
          <w:bCs/>
          <w:color w:val="7B7B7B" w:themeColor="accent3" w:themeShade="BF"/>
          <w:sz w:val="22"/>
          <w:szCs w:val="22"/>
        </w:rPr>
        <w:t>COMI</w:t>
      </w:r>
      <w:r w:rsidRPr="000B29F2">
        <w:rPr>
          <w:rFonts w:ascii="Arial" w:hAnsi="Arial" w:cs="Arial"/>
          <w:color w:val="7B7B7B" w:themeColor="accent3" w:themeShade="BF"/>
          <w:sz w:val="22"/>
          <w:szCs w:val="22"/>
        </w:rPr>
        <w:t>”) is located within an EU Member State</w:t>
      </w:r>
      <w:r w:rsidR="00E01971" w:rsidRPr="000B29F2">
        <w:rPr>
          <w:rFonts w:ascii="Arial" w:hAnsi="Arial" w:cs="Arial"/>
          <w:color w:val="7B7B7B" w:themeColor="accent3" w:themeShade="BF"/>
          <w:sz w:val="22"/>
          <w:szCs w:val="22"/>
        </w:rPr>
        <w:t xml:space="preserve"> (</w:t>
      </w:r>
      <w:r w:rsidRPr="000B29F2">
        <w:rPr>
          <w:rFonts w:ascii="Arial" w:hAnsi="Arial" w:cs="Arial"/>
          <w:color w:val="7B7B7B" w:themeColor="accent3" w:themeShade="BF"/>
          <w:sz w:val="22"/>
          <w:szCs w:val="22"/>
        </w:rPr>
        <w:t>France</w:t>
      </w:r>
      <w:r w:rsidR="00E01971" w:rsidRPr="000B29F2">
        <w:rPr>
          <w:rFonts w:ascii="Arial" w:hAnsi="Arial" w:cs="Arial"/>
          <w:color w:val="7B7B7B" w:themeColor="accent3" w:themeShade="BF"/>
          <w:sz w:val="22"/>
          <w:szCs w:val="22"/>
        </w:rPr>
        <w:t>)</w:t>
      </w:r>
      <w:r w:rsidR="00084D8B" w:rsidRPr="000B29F2">
        <w:rPr>
          <w:rFonts w:ascii="Arial" w:hAnsi="Arial" w:cs="Arial"/>
          <w:color w:val="7B7B7B" w:themeColor="accent3" w:themeShade="BF"/>
          <w:sz w:val="22"/>
          <w:szCs w:val="22"/>
        </w:rPr>
        <w:t xml:space="preserve"> and therefore satisfies the requirement in Recital 14 of the EIR 2000</w:t>
      </w:r>
      <w:r w:rsidRPr="000B29F2">
        <w:rPr>
          <w:rFonts w:ascii="Arial" w:hAnsi="Arial" w:cs="Arial"/>
          <w:color w:val="7B7B7B" w:themeColor="accent3" w:themeShade="BF"/>
          <w:sz w:val="22"/>
          <w:szCs w:val="22"/>
        </w:rPr>
        <w:t xml:space="preserve">. </w:t>
      </w:r>
      <w:r w:rsidR="0086575F">
        <w:rPr>
          <w:rFonts w:ascii="Arial" w:hAnsi="Arial" w:cs="Arial"/>
          <w:color w:val="7B7B7B" w:themeColor="accent3" w:themeShade="BF"/>
          <w:sz w:val="22"/>
          <w:szCs w:val="22"/>
        </w:rPr>
        <w:t>Therefore, theoretically,</w:t>
      </w:r>
      <w:r w:rsidR="00E01971" w:rsidRPr="000B29F2">
        <w:rPr>
          <w:rFonts w:ascii="Arial" w:hAnsi="Arial" w:cs="Arial"/>
          <w:color w:val="7B7B7B" w:themeColor="accent3" w:themeShade="BF"/>
          <w:sz w:val="22"/>
          <w:szCs w:val="22"/>
        </w:rPr>
        <w:t xml:space="preserve"> </w:t>
      </w:r>
      <w:r w:rsidRPr="000B29F2">
        <w:rPr>
          <w:rFonts w:ascii="Arial" w:hAnsi="Arial" w:cs="Arial"/>
          <w:color w:val="7B7B7B" w:themeColor="accent3" w:themeShade="BF"/>
          <w:sz w:val="22"/>
          <w:szCs w:val="22"/>
        </w:rPr>
        <w:t xml:space="preserve">proceedings could be </w:t>
      </w:r>
      <w:r w:rsidR="0086575F">
        <w:rPr>
          <w:rFonts w:ascii="Arial" w:hAnsi="Arial" w:cs="Arial"/>
          <w:color w:val="7B7B7B" w:themeColor="accent3" w:themeShade="BF"/>
          <w:sz w:val="22"/>
          <w:szCs w:val="22"/>
        </w:rPr>
        <w:t xml:space="preserve">opened </w:t>
      </w:r>
      <w:r w:rsidR="00E01971" w:rsidRPr="000B29F2">
        <w:rPr>
          <w:rFonts w:ascii="Arial" w:hAnsi="Arial" w:cs="Arial"/>
          <w:color w:val="7B7B7B" w:themeColor="accent3" w:themeShade="BF"/>
          <w:sz w:val="22"/>
          <w:szCs w:val="22"/>
        </w:rPr>
        <w:t>by Dinosaurus</w:t>
      </w:r>
      <w:r w:rsidRPr="000B29F2">
        <w:rPr>
          <w:rFonts w:ascii="Arial" w:hAnsi="Arial" w:cs="Arial"/>
          <w:color w:val="7B7B7B" w:themeColor="accent3" w:themeShade="BF"/>
          <w:sz w:val="22"/>
          <w:szCs w:val="22"/>
        </w:rPr>
        <w:t xml:space="preserve"> </w:t>
      </w:r>
      <w:r w:rsidR="00084D8B" w:rsidRPr="000B29F2">
        <w:rPr>
          <w:rFonts w:ascii="Arial" w:hAnsi="Arial" w:cs="Arial"/>
          <w:color w:val="7B7B7B" w:themeColor="accent3" w:themeShade="BF"/>
          <w:sz w:val="22"/>
          <w:szCs w:val="22"/>
        </w:rPr>
        <w:t xml:space="preserve">under the EIR 2000 </w:t>
      </w:r>
      <w:r w:rsidRPr="0086575F">
        <w:rPr>
          <w:rFonts w:ascii="Arial" w:hAnsi="Arial" w:cs="Arial"/>
          <w:color w:val="7B7B7B" w:themeColor="accent3" w:themeShade="BF"/>
          <w:sz w:val="22"/>
          <w:szCs w:val="22"/>
          <w:u w:val="single"/>
        </w:rPr>
        <w:t>if</w:t>
      </w:r>
      <w:r w:rsidRPr="000B29F2">
        <w:rPr>
          <w:rFonts w:ascii="Arial" w:hAnsi="Arial" w:cs="Arial"/>
          <w:color w:val="7B7B7B" w:themeColor="accent3" w:themeShade="BF"/>
          <w:sz w:val="22"/>
          <w:szCs w:val="22"/>
        </w:rPr>
        <w:t xml:space="preserve"> they were</w:t>
      </w:r>
      <w:r w:rsidR="009A7FD9" w:rsidRPr="000B29F2">
        <w:rPr>
          <w:rFonts w:ascii="Arial" w:hAnsi="Arial" w:cs="Arial"/>
          <w:color w:val="7B7B7B" w:themeColor="accent3" w:themeShade="BF"/>
          <w:sz w:val="22"/>
          <w:szCs w:val="22"/>
        </w:rPr>
        <w:t xml:space="preserve"> “traditional” liquidation-based</w:t>
      </w:r>
      <w:r w:rsidRPr="000B29F2">
        <w:rPr>
          <w:rFonts w:ascii="Arial" w:hAnsi="Arial" w:cs="Arial"/>
          <w:color w:val="7B7B7B" w:themeColor="accent3" w:themeShade="BF"/>
          <w:sz w:val="22"/>
          <w:szCs w:val="22"/>
        </w:rPr>
        <w:t xml:space="preserve"> insolvency proceedings. However, Dinosaurus has not sought to open “main insolvency proceedings”</w:t>
      </w:r>
      <w:r w:rsidR="00BA073C" w:rsidRPr="000B29F2">
        <w:rPr>
          <w:rFonts w:ascii="Arial" w:hAnsi="Arial" w:cs="Arial"/>
          <w:color w:val="7B7B7B" w:themeColor="accent3" w:themeShade="BF"/>
          <w:sz w:val="22"/>
          <w:szCs w:val="22"/>
        </w:rPr>
        <w:t xml:space="preserve"> (</w:t>
      </w:r>
      <w:r w:rsidR="0086575F">
        <w:rPr>
          <w:rFonts w:ascii="Arial" w:hAnsi="Arial" w:cs="Arial"/>
          <w:color w:val="7B7B7B" w:themeColor="accent3" w:themeShade="BF"/>
          <w:sz w:val="22"/>
          <w:szCs w:val="22"/>
        </w:rPr>
        <w:t>as per point</w:t>
      </w:r>
      <w:r w:rsidR="00E01971" w:rsidRPr="000B29F2">
        <w:rPr>
          <w:rFonts w:ascii="Arial" w:hAnsi="Arial" w:cs="Arial"/>
          <w:color w:val="7B7B7B" w:themeColor="accent3" w:themeShade="BF"/>
          <w:sz w:val="22"/>
          <w:szCs w:val="22"/>
        </w:rPr>
        <w:t xml:space="preserve"> 1 </w:t>
      </w:r>
      <w:r w:rsidR="00E01971" w:rsidRPr="000B29F2">
        <w:rPr>
          <w:rFonts w:ascii="Arial" w:hAnsi="Arial" w:cs="Arial"/>
          <w:color w:val="7B7B7B" w:themeColor="accent3" w:themeShade="BF"/>
          <w:sz w:val="22"/>
          <w:szCs w:val="22"/>
        </w:rPr>
        <w:lastRenderedPageBreak/>
        <w:t>above</w:t>
      </w:r>
      <w:r w:rsidR="00BA073C" w:rsidRPr="000B29F2">
        <w:rPr>
          <w:rFonts w:ascii="Arial" w:hAnsi="Arial" w:cs="Arial"/>
          <w:color w:val="7B7B7B" w:themeColor="accent3" w:themeShade="BF"/>
          <w:sz w:val="22"/>
          <w:szCs w:val="22"/>
        </w:rPr>
        <w:t>)</w:t>
      </w:r>
      <w:r w:rsidRPr="000B29F2">
        <w:rPr>
          <w:rFonts w:ascii="Arial" w:hAnsi="Arial" w:cs="Arial"/>
          <w:color w:val="7B7B7B" w:themeColor="accent3" w:themeShade="BF"/>
          <w:sz w:val="22"/>
          <w:szCs w:val="22"/>
        </w:rPr>
        <w:t xml:space="preserve">. It has sought to open safeguard proceedings which is a different type of procedure to insolvency proceedings. Therefore, notwithstanding the COMI of Dinosaurus being located within the EU, the safeguard proceedings do </w:t>
      </w:r>
      <w:r w:rsidRPr="00181D9D">
        <w:rPr>
          <w:rFonts w:ascii="Arial" w:hAnsi="Arial" w:cs="Arial"/>
          <w:color w:val="7B7B7B" w:themeColor="accent3" w:themeShade="BF"/>
          <w:sz w:val="22"/>
          <w:szCs w:val="22"/>
        </w:rPr>
        <w:t>not</w:t>
      </w:r>
      <w:r w:rsidRPr="000B29F2">
        <w:rPr>
          <w:rFonts w:ascii="Arial" w:hAnsi="Arial" w:cs="Arial"/>
          <w:color w:val="7B7B7B" w:themeColor="accent3" w:themeShade="BF"/>
          <w:sz w:val="22"/>
          <w:szCs w:val="22"/>
        </w:rPr>
        <w:t xml:space="preserve"> satisfy the requirement of opening “main insolvency proceedings”</w:t>
      </w:r>
      <w:r w:rsidR="009A7FD9" w:rsidRPr="000B29F2">
        <w:rPr>
          <w:rFonts w:ascii="Arial" w:hAnsi="Arial" w:cs="Arial"/>
          <w:color w:val="7B7B7B" w:themeColor="accent3" w:themeShade="BF"/>
          <w:sz w:val="22"/>
          <w:szCs w:val="22"/>
        </w:rPr>
        <w:t xml:space="preserve"> as set out in Recital 12</w:t>
      </w:r>
      <w:r w:rsidR="0086575F">
        <w:rPr>
          <w:rFonts w:ascii="Arial" w:hAnsi="Arial" w:cs="Arial"/>
          <w:color w:val="7B7B7B" w:themeColor="accent3" w:themeShade="BF"/>
          <w:sz w:val="22"/>
          <w:szCs w:val="22"/>
        </w:rPr>
        <w:t xml:space="preserve"> (and </w:t>
      </w:r>
      <w:r w:rsidR="0086575F" w:rsidRPr="0086575F">
        <w:rPr>
          <w:rFonts w:ascii="Arial" w:hAnsi="Arial" w:cs="Arial"/>
          <w:color w:val="7B7B7B" w:themeColor="accent3" w:themeShade="BF"/>
          <w:sz w:val="22"/>
          <w:szCs w:val="22"/>
        </w:rPr>
        <w:t xml:space="preserve">Article 1(1), Article </w:t>
      </w:r>
      <w:proofErr w:type="gramStart"/>
      <w:r w:rsidR="0086575F" w:rsidRPr="0086575F">
        <w:rPr>
          <w:rFonts w:ascii="Arial" w:hAnsi="Arial" w:cs="Arial"/>
          <w:color w:val="7B7B7B" w:themeColor="accent3" w:themeShade="BF"/>
          <w:sz w:val="22"/>
          <w:szCs w:val="22"/>
        </w:rPr>
        <w:t>2(a)</w:t>
      </w:r>
      <w:proofErr w:type="gramEnd"/>
      <w:r w:rsidR="0086575F" w:rsidRPr="0086575F">
        <w:rPr>
          <w:rFonts w:ascii="Arial" w:hAnsi="Arial" w:cs="Arial"/>
          <w:color w:val="7B7B7B" w:themeColor="accent3" w:themeShade="BF"/>
          <w:sz w:val="22"/>
          <w:szCs w:val="22"/>
        </w:rPr>
        <w:t xml:space="preserve"> and Recital 9</w:t>
      </w:r>
      <w:r w:rsidR="0086575F">
        <w:rPr>
          <w:rFonts w:ascii="Arial" w:hAnsi="Arial" w:cs="Arial"/>
          <w:color w:val="7B7B7B" w:themeColor="accent3" w:themeShade="BF"/>
          <w:sz w:val="22"/>
          <w:szCs w:val="22"/>
        </w:rPr>
        <w:t>)</w:t>
      </w:r>
      <w:r w:rsidRPr="0086575F">
        <w:rPr>
          <w:rFonts w:ascii="Arial" w:hAnsi="Arial" w:cs="Arial"/>
          <w:color w:val="7B7B7B" w:themeColor="accent3" w:themeShade="BF"/>
          <w:sz w:val="22"/>
          <w:szCs w:val="22"/>
        </w:rPr>
        <w:t>.</w:t>
      </w:r>
      <w:r w:rsidR="00BE338A" w:rsidRPr="0086575F">
        <w:rPr>
          <w:rFonts w:ascii="Arial" w:hAnsi="Arial" w:cs="Arial"/>
          <w:color w:val="7B7B7B" w:themeColor="accent3" w:themeShade="BF"/>
          <w:sz w:val="22"/>
          <w:szCs w:val="22"/>
        </w:rPr>
        <w:t xml:space="preserve"> </w:t>
      </w:r>
      <w:r w:rsidR="0086575F">
        <w:rPr>
          <w:rFonts w:ascii="Arial" w:hAnsi="Arial" w:cs="Arial"/>
          <w:color w:val="7B7B7B" w:themeColor="accent3" w:themeShade="BF"/>
          <w:sz w:val="22"/>
          <w:szCs w:val="22"/>
        </w:rPr>
        <w:t>The opening of safeguard proceedings</w:t>
      </w:r>
      <w:r w:rsidR="00BE338A" w:rsidRPr="0086575F">
        <w:rPr>
          <w:rFonts w:ascii="Arial" w:hAnsi="Arial" w:cs="Arial"/>
          <w:color w:val="7B7B7B" w:themeColor="accent3" w:themeShade="BF"/>
          <w:sz w:val="22"/>
          <w:szCs w:val="22"/>
        </w:rPr>
        <w:t xml:space="preserve"> </w:t>
      </w:r>
      <w:proofErr w:type="gramStart"/>
      <w:r w:rsidR="00BE338A" w:rsidRPr="0086575F">
        <w:rPr>
          <w:rFonts w:ascii="Arial" w:hAnsi="Arial" w:cs="Arial"/>
          <w:color w:val="7B7B7B" w:themeColor="accent3" w:themeShade="BF"/>
          <w:sz w:val="22"/>
          <w:szCs w:val="22"/>
        </w:rPr>
        <w:t>do</w:t>
      </w:r>
      <w:proofErr w:type="gramEnd"/>
      <w:r w:rsidR="00BE338A" w:rsidRPr="0086575F">
        <w:rPr>
          <w:rFonts w:ascii="Arial" w:hAnsi="Arial" w:cs="Arial"/>
          <w:color w:val="7B7B7B" w:themeColor="accent3" w:themeShade="BF"/>
          <w:sz w:val="22"/>
          <w:szCs w:val="22"/>
        </w:rPr>
        <w:t xml:space="preserve"> </w:t>
      </w:r>
      <w:r w:rsidR="00BE338A" w:rsidRPr="00260D78">
        <w:rPr>
          <w:rFonts w:ascii="Arial" w:hAnsi="Arial" w:cs="Arial"/>
          <w:color w:val="7B7B7B" w:themeColor="accent3" w:themeShade="BF"/>
          <w:sz w:val="22"/>
          <w:szCs w:val="22"/>
        </w:rPr>
        <w:t xml:space="preserve">not fall within the territorial scope of </w:t>
      </w:r>
      <w:proofErr w:type="gramStart"/>
      <w:r w:rsidR="00BE338A" w:rsidRPr="00260D78">
        <w:rPr>
          <w:rFonts w:ascii="Arial" w:hAnsi="Arial" w:cs="Arial"/>
          <w:color w:val="7B7B7B" w:themeColor="accent3" w:themeShade="BF"/>
          <w:sz w:val="22"/>
          <w:szCs w:val="22"/>
        </w:rPr>
        <w:t>the EIR</w:t>
      </w:r>
      <w:proofErr w:type="gramEnd"/>
      <w:r w:rsidR="00BE338A" w:rsidRPr="00260D78">
        <w:rPr>
          <w:rFonts w:ascii="Arial" w:hAnsi="Arial" w:cs="Arial"/>
          <w:color w:val="7B7B7B" w:themeColor="accent3" w:themeShade="BF"/>
          <w:sz w:val="22"/>
          <w:szCs w:val="22"/>
        </w:rPr>
        <w:t xml:space="preserve"> 2000.</w:t>
      </w:r>
    </w:p>
    <w:p w14:paraId="2CB5F923" w14:textId="77777777" w:rsidR="005B718A" w:rsidRPr="000B29F2" w:rsidRDefault="005B718A" w:rsidP="008F7804">
      <w:pPr>
        <w:jc w:val="both"/>
        <w:rPr>
          <w:rFonts w:ascii="Arial" w:hAnsi="Arial" w:cs="Arial"/>
          <w:color w:val="7B7B7B" w:themeColor="accent3" w:themeShade="BF"/>
          <w:sz w:val="22"/>
          <w:szCs w:val="22"/>
        </w:rPr>
      </w:pPr>
    </w:p>
    <w:p w14:paraId="6583A216" w14:textId="67C99688" w:rsidR="008F7804" w:rsidRPr="000B29F2" w:rsidRDefault="008F7804" w:rsidP="008F7804">
      <w:pPr>
        <w:pStyle w:val="ListParagraph"/>
        <w:numPr>
          <w:ilvl w:val="0"/>
          <w:numId w:val="22"/>
        </w:numPr>
        <w:jc w:val="both"/>
        <w:rPr>
          <w:rFonts w:ascii="Arial" w:hAnsi="Arial" w:cs="Arial"/>
          <w:color w:val="7B7B7B" w:themeColor="accent3" w:themeShade="BF"/>
          <w:sz w:val="22"/>
          <w:szCs w:val="22"/>
        </w:rPr>
      </w:pPr>
      <w:r w:rsidRPr="000B29F2">
        <w:rPr>
          <w:rFonts w:ascii="Arial" w:hAnsi="Arial" w:cs="Arial"/>
          <w:color w:val="7B7B7B" w:themeColor="accent3" w:themeShade="BF"/>
          <w:sz w:val="22"/>
          <w:szCs w:val="22"/>
        </w:rPr>
        <w:t>Personal scope –</w:t>
      </w:r>
      <w:r w:rsidR="009A7FD9" w:rsidRPr="000B29F2">
        <w:rPr>
          <w:rFonts w:ascii="Arial" w:hAnsi="Arial" w:cs="Arial"/>
          <w:color w:val="7B7B7B" w:themeColor="accent3" w:themeShade="BF"/>
          <w:sz w:val="22"/>
          <w:szCs w:val="22"/>
        </w:rPr>
        <w:t xml:space="preserve"> </w:t>
      </w:r>
      <w:r w:rsidRPr="000B29F2">
        <w:rPr>
          <w:rFonts w:ascii="Arial" w:hAnsi="Arial" w:cs="Arial"/>
          <w:color w:val="7B7B7B" w:themeColor="accent3" w:themeShade="BF"/>
          <w:sz w:val="22"/>
          <w:szCs w:val="22"/>
        </w:rPr>
        <w:t>Recital 9 of the EIR 2000 states that it applies “</w:t>
      </w:r>
      <w:r w:rsidRPr="000B29F2">
        <w:rPr>
          <w:rFonts w:ascii="Arial" w:hAnsi="Arial" w:cs="Arial"/>
          <w:i/>
          <w:iCs/>
          <w:color w:val="7B7B7B" w:themeColor="accent3" w:themeShade="BF"/>
          <w:sz w:val="22"/>
          <w:szCs w:val="22"/>
        </w:rPr>
        <w:t xml:space="preserve">to </w:t>
      </w:r>
      <w:r w:rsidRPr="000B29F2">
        <w:rPr>
          <w:rFonts w:ascii="Arial" w:hAnsi="Arial" w:cs="Arial"/>
          <w:i/>
          <w:iCs/>
          <w:color w:val="7B7B7B" w:themeColor="accent3" w:themeShade="BF"/>
          <w:sz w:val="22"/>
          <w:szCs w:val="22"/>
          <w:u w:val="single"/>
        </w:rPr>
        <w:t>insolvency proceedings</w:t>
      </w:r>
      <w:r w:rsidRPr="000B29F2">
        <w:rPr>
          <w:rFonts w:ascii="Arial" w:hAnsi="Arial" w:cs="Arial"/>
          <w:i/>
          <w:iCs/>
          <w:color w:val="7B7B7B" w:themeColor="accent3" w:themeShade="BF"/>
          <w:sz w:val="22"/>
          <w:szCs w:val="22"/>
        </w:rPr>
        <w:t>, whether the debtor is a natural person or a legal perso</w:t>
      </w:r>
      <w:r w:rsidR="005B718A" w:rsidRPr="000B29F2">
        <w:rPr>
          <w:rFonts w:ascii="Arial" w:hAnsi="Arial" w:cs="Arial"/>
          <w:i/>
          <w:iCs/>
          <w:color w:val="7B7B7B" w:themeColor="accent3" w:themeShade="BF"/>
          <w:sz w:val="22"/>
          <w:szCs w:val="22"/>
        </w:rPr>
        <w:t>n</w:t>
      </w:r>
      <w:r w:rsidR="005B718A" w:rsidRPr="000B29F2">
        <w:rPr>
          <w:rFonts w:ascii="Arial" w:hAnsi="Arial" w:cs="Arial"/>
          <w:color w:val="7B7B7B" w:themeColor="accent3" w:themeShade="BF"/>
          <w:sz w:val="22"/>
          <w:szCs w:val="22"/>
        </w:rPr>
        <w:t xml:space="preserve"> [emphasis added]</w:t>
      </w:r>
      <w:r w:rsidRPr="000B29F2">
        <w:rPr>
          <w:rFonts w:ascii="Arial" w:hAnsi="Arial" w:cs="Arial"/>
          <w:color w:val="7B7B7B" w:themeColor="accent3" w:themeShade="BF"/>
          <w:sz w:val="22"/>
          <w:szCs w:val="22"/>
        </w:rPr>
        <w:t>”</w:t>
      </w:r>
      <w:r w:rsidRPr="000B29F2">
        <w:rPr>
          <w:rStyle w:val="FootnoteReference"/>
          <w:rFonts w:ascii="Arial" w:hAnsi="Arial" w:cs="Arial"/>
          <w:color w:val="7B7B7B" w:themeColor="accent3" w:themeShade="BF"/>
          <w:sz w:val="22"/>
          <w:szCs w:val="22"/>
        </w:rPr>
        <w:footnoteReference w:id="113"/>
      </w:r>
      <w:r w:rsidRPr="000B29F2">
        <w:rPr>
          <w:rFonts w:ascii="Arial" w:hAnsi="Arial" w:cs="Arial"/>
          <w:color w:val="7B7B7B" w:themeColor="accent3" w:themeShade="BF"/>
          <w:sz w:val="22"/>
          <w:szCs w:val="22"/>
        </w:rPr>
        <w:t>.</w:t>
      </w:r>
      <w:r w:rsidR="005B718A" w:rsidRPr="000B29F2">
        <w:rPr>
          <w:rFonts w:ascii="Arial" w:hAnsi="Arial" w:cs="Arial"/>
          <w:color w:val="7B7B7B" w:themeColor="accent3" w:themeShade="BF"/>
          <w:sz w:val="22"/>
          <w:szCs w:val="22"/>
        </w:rPr>
        <w:t xml:space="preserve"> Recital 9 further lists entities that are excluded from the scope </w:t>
      </w:r>
      <w:r w:rsidR="00E01971" w:rsidRPr="000B29F2">
        <w:rPr>
          <w:rFonts w:ascii="Arial" w:hAnsi="Arial" w:cs="Arial"/>
          <w:color w:val="7B7B7B" w:themeColor="accent3" w:themeShade="BF"/>
          <w:sz w:val="22"/>
          <w:szCs w:val="22"/>
        </w:rPr>
        <w:t>of</w:t>
      </w:r>
      <w:r w:rsidR="005B718A" w:rsidRPr="000B29F2">
        <w:rPr>
          <w:rFonts w:ascii="Arial" w:hAnsi="Arial" w:cs="Arial"/>
          <w:color w:val="7B7B7B" w:themeColor="accent3" w:themeShade="BF"/>
          <w:sz w:val="22"/>
          <w:szCs w:val="22"/>
        </w:rPr>
        <w:t xml:space="preserve"> the EIR 2000.</w:t>
      </w:r>
    </w:p>
    <w:p w14:paraId="05EE212E" w14:textId="77777777" w:rsidR="008F7804" w:rsidRPr="000B29F2" w:rsidRDefault="008F7804" w:rsidP="008F7804">
      <w:pPr>
        <w:ind w:left="720"/>
        <w:jc w:val="both"/>
        <w:rPr>
          <w:rFonts w:ascii="Arial" w:hAnsi="Arial" w:cs="Arial"/>
          <w:color w:val="7B7B7B" w:themeColor="accent3" w:themeShade="BF"/>
          <w:sz w:val="22"/>
          <w:szCs w:val="22"/>
        </w:rPr>
      </w:pPr>
    </w:p>
    <w:p w14:paraId="1B7B8681" w14:textId="38785FC7" w:rsidR="008F7804" w:rsidRPr="000B29F2" w:rsidRDefault="008F7804" w:rsidP="00D97A5E">
      <w:pPr>
        <w:ind w:left="720"/>
        <w:jc w:val="both"/>
        <w:rPr>
          <w:rFonts w:ascii="Arial" w:hAnsi="Arial" w:cs="Arial"/>
          <w:color w:val="7B7B7B" w:themeColor="accent3" w:themeShade="BF"/>
          <w:sz w:val="22"/>
          <w:szCs w:val="22"/>
        </w:rPr>
      </w:pPr>
      <w:bookmarkStart w:id="4" w:name="_Hlk157405901"/>
      <w:r w:rsidRPr="000B29F2">
        <w:rPr>
          <w:rFonts w:ascii="Arial" w:hAnsi="Arial" w:cs="Arial"/>
          <w:color w:val="7B7B7B" w:themeColor="accent3" w:themeShade="BF"/>
          <w:sz w:val="22"/>
          <w:szCs w:val="22"/>
        </w:rPr>
        <w:t>Dinosaurus</w:t>
      </w:r>
      <w:r w:rsidR="005B718A" w:rsidRPr="000B29F2">
        <w:rPr>
          <w:rFonts w:ascii="Arial" w:hAnsi="Arial" w:cs="Arial"/>
          <w:color w:val="7B7B7B" w:themeColor="accent3" w:themeShade="BF"/>
          <w:sz w:val="22"/>
          <w:szCs w:val="22"/>
        </w:rPr>
        <w:t xml:space="preserve"> </w:t>
      </w:r>
      <w:r w:rsidR="0024170E">
        <w:rPr>
          <w:rFonts w:ascii="Arial" w:hAnsi="Arial" w:cs="Arial"/>
          <w:color w:val="7B7B7B" w:themeColor="accent3" w:themeShade="BF"/>
          <w:sz w:val="22"/>
          <w:szCs w:val="22"/>
        </w:rPr>
        <w:t xml:space="preserve">partially </w:t>
      </w:r>
      <w:r w:rsidR="00E01971" w:rsidRPr="000B29F2">
        <w:rPr>
          <w:rFonts w:ascii="Arial" w:hAnsi="Arial" w:cs="Arial"/>
          <w:color w:val="7B7B7B" w:themeColor="accent3" w:themeShade="BF"/>
          <w:sz w:val="22"/>
          <w:szCs w:val="22"/>
        </w:rPr>
        <w:t>satisfies the</w:t>
      </w:r>
      <w:r w:rsidR="005B718A" w:rsidRPr="000B29F2">
        <w:rPr>
          <w:rFonts w:ascii="Arial" w:hAnsi="Arial" w:cs="Arial"/>
          <w:color w:val="7B7B7B" w:themeColor="accent3" w:themeShade="BF"/>
          <w:sz w:val="22"/>
          <w:szCs w:val="22"/>
        </w:rPr>
        <w:t xml:space="preserve"> personal scope of the EIR 2000</w:t>
      </w:r>
      <w:r w:rsidR="00E01971" w:rsidRPr="000B29F2">
        <w:rPr>
          <w:rFonts w:ascii="Arial" w:hAnsi="Arial" w:cs="Arial"/>
          <w:color w:val="7B7B7B" w:themeColor="accent3" w:themeShade="BF"/>
          <w:sz w:val="22"/>
          <w:szCs w:val="22"/>
        </w:rPr>
        <w:t xml:space="preserve"> (subject to below)</w:t>
      </w:r>
      <w:r w:rsidR="00D97A5E" w:rsidRPr="000B29F2">
        <w:rPr>
          <w:rFonts w:ascii="Arial" w:hAnsi="Arial" w:cs="Arial"/>
          <w:color w:val="7B7B7B" w:themeColor="accent3" w:themeShade="BF"/>
          <w:sz w:val="22"/>
          <w:szCs w:val="22"/>
        </w:rPr>
        <w:t>. This is</w:t>
      </w:r>
      <w:r w:rsidRPr="000B29F2">
        <w:rPr>
          <w:rFonts w:ascii="Arial" w:hAnsi="Arial" w:cs="Arial"/>
          <w:color w:val="7B7B7B" w:themeColor="accent3" w:themeShade="BF"/>
          <w:sz w:val="22"/>
          <w:szCs w:val="22"/>
        </w:rPr>
        <w:t xml:space="preserve"> </w:t>
      </w:r>
      <w:bookmarkEnd w:id="4"/>
      <w:r w:rsidR="005B718A" w:rsidRPr="000B29F2">
        <w:rPr>
          <w:rFonts w:ascii="Arial" w:hAnsi="Arial" w:cs="Arial"/>
          <w:color w:val="7B7B7B" w:themeColor="accent3" w:themeShade="BF"/>
          <w:sz w:val="22"/>
          <w:szCs w:val="22"/>
        </w:rPr>
        <w:t>because</w:t>
      </w:r>
      <w:r w:rsidRPr="000B29F2">
        <w:rPr>
          <w:rFonts w:ascii="Arial" w:hAnsi="Arial" w:cs="Arial"/>
          <w:color w:val="7B7B7B" w:themeColor="accent3" w:themeShade="BF"/>
          <w:sz w:val="22"/>
          <w:szCs w:val="22"/>
        </w:rPr>
        <w:t xml:space="preserve"> </w:t>
      </w:r>
      <w:r w:rsidR="005B718A" w:rsidRPr="000B29F2">
        <w:rPr>
          <w:rFonts w:ascii="Arial" w:hAnsi="Arial" w:cs="Arial"/>
          <w:color w:val="7B7B7B" w:themeColor="accent3" w:themeShade="BF"/>
          <w:sz w:val="22"/>
          <w:szCs w:val="22"/>
        </w:rPr>
        <w:t xml:space="preserve">Dinosaurus </w:t>
      </w:r>
      <w:r w:rsidRPr="000B29F2">
        <w:rPr>
          <w:rFonts w:ascii="Arial" w:hAnsi="Arial" w:cs="Arial"/>
          <w:color w:val="7B7B7B" w:themeColor="accent3" w:themeShade="BF"/>
          <w:sz w:val="22"/>
          <w:szCs w:val="22"/>
        </w:rPr>
        <w:t xml:space="preserve">is a legal person (company) </w:t>
      </w:r>
      <w:r w:rsidR="005B718A" w:rsidRPr="000B29F2">
        <w:rPr>
          <w:rFonts w:ascii="Arial" w:hAnsi="Arial" w:cs="Arial"/>
          <w:color w:val="7B7B7B" w:themeColor="accent3" w:themeShade="BF"/>
          <w:sz w:val="22"/>
          <w:szCs w:val="22"/>
        </w:rPr>
        <w:t xml:space="preserve">and is not an excluded entity (such as a credit institution) </w:t>
      </w:r>
      <w:r w:rsidRPr="000B29F2">
        <w:rPr>
          <w:rFonts w:ascii="Arial" w:hAnsi="Arial" w:cs="Arial"/>
          <w:color w:val="7B7B7B" w:themeColor="accent3" w:themeShade="BF"/>
          <w:sz w:val="22"/>
          <w:szCs w:val="22"/>
        </w:rPr>
        <w:t xml:space="preserve">within the </w:t>
      </w:r>
      <w:r w:rsidR="00BE338A" w:rsidRPr="000B29F2">
        <w:rPr>
          <w:rFonts w:ascii="Arial" w:hAnsi="Arial" w:cs="Arial"/>
          <w:color w:val="7B7B7B" w:themeColor="accent3" w:themeShade="BF"/>
          <w:sz w:val="22"/>
          <w:szCs w:val="22"/>
        </w:rPr>
        <w:t>meaning</w:t>
      </w:r>
      <w:r w:rsidRPr="000B29F2">
        <w:rPr>
          <w:rFonts w:ascii="Arial" w:hAnsi="Arial" w:cs="Arial"/>
          <w:color w:val="7B7B7B" w:themeColor="accent3" w:themeShade="BF"/>
          <w:sz w:val="22"/>
          <w:szCs w:val="22"/>
        </w:rPr>
        <w:t xml:space="preserve"> of Recital 9. However, for the reasons set out </w:t>
      </w:r>
      <w:r w:rsidR="00BE338A" w:rsidRPr="000B29F2">
        <w:rPr>
          <w:rFonts w:ascii="Arial" w:hAnsi="Arial" w:cs="Arial"/>
          <w:color w:val="7B7B7B" w:themeColor="accent3" w:themeShade="BF"/>
          <w:sz w:val="22"/>
          <w:szCs w:val="22"/>
        </w:rPr>
        <w:t xml:space="preserve">in </w:t>
      </w:r>
      <w:r w:rsidR="006A3AAA">
        <w:rPr>
          <w:rFonts w:ascii="Arial" w:hAnsi="Arial" w:cs="Arial"/>
          <w:color w:val="7B7B7B" w:themeColor="accent3" w:themeShade="BF"/>
          <w:sz w:val="22"/>
          <w:szCs w:val="22"/>
        </w:rPr>
        <w:t>point</w:t>
      </w:r>
      <w:r w:rsidR="00BE338A" w:rsidRPr="000B29F2">
        <w:rPr>
          <w:rFonts w:ascii="Arial" w:hAnsi="Arial" w:cs="Arial"/>
          <w:color w:val="7B7B7B" w:themeColor="accent3" w:themeShade="BF"/>
          <w:sz w:val="22"/>
          <w:szCs w:val="22"/>
        </w:rPr>
        <w:t xml:space="preserve"> </w:t>
      </w:r>
      <w:r w:rsidR="00E01971" w:rsidRPr="000B29F2">
        <w:rPr>
          <w:rFonts w:ascii="Arial" w:hAnsi="Arial" w:cs="Arial"/>
          <w:color w:val="7B7B7B" w:themeColor="accent3" w:themeShade="BF"/>
          <w:sz w:val="22"/>
          <w:szCs w:val="22"/>
        </w:rPr>
        <w:t>1 above</w:t>
      </w:r>
      <w:r w:rsidRPr="000B29F2">
        <w:rPr>
          <w:rFonts w:ascii="Arial" w:hAnsi="Arial" w:cs="Arial"/>
          <w:color w:val="7B7B7B" w:themeColor="accent3" w:themeShade="BF"/>
          <w:sz w:val="22"/>
          <w:szCs w:val="22"/>
        </w:rPr>
        <w:t xml:space="preserve">, the EIR 2000 </w:t>
      </w:r>
      <w:r w:rsidR="00717D0E">
        <w:rPr>
          <w:rFonts w:ascii="Arial" w:hAnsi="Arial" w:cs="Arial"/>
          <w:color w:val="7B7B7B" w:themeColor="accent3" w:themeShade="BF"/>
          <w:sz w:val="22"/>
          <w:szCs w:val="22"/>
        </w:rPr>
        <w:t>does not</w:t>
      </w:r>
      <w:r w:rsidRPr="000B29F2">
        <w:rPr>
          <w:rFonts w:ascii="Arial" w:hAnsi="Arial" w:cs="Arial"/>
          <w:color w:val="7B7B7B" w:themeColor="accent3" w:themeShade="BF"/>
          <w:sz w:val="22"/>
          <w:szCs w:val="22"/>
        </w:rPr>
        <w:t xml:space="preserve"> apply to Dinosaurus’ scenario</w:t>
      </w:r>
      <w:r w:rsidR="00AF3121">
        <w:rPr>
          <w:rFonts w:ascii="Arial" w:hAnsi="Arial" w:cs="Arial"/>
          <w:color w:val="7B7B7B" w:themeColor="accent3" w:themeShade="BF"/>
          <w:sz w:val="22"/>
          <w:szCs w:val="22"/>
        </w:rPr>
        <w:t xml:space="preserve">. </w:t>
      </w:r>
      <w:r w:rsidRPr="000B29F2">
        <w:rPr>
          <w:rFonts w:ascii="Arial" w:hAnsi="Arial" w:cs="Arial"/>
          <w:color w:val="7B7B7B" w:themeColor="accent3" w:themeShade="BF"/>
          <w:sz w:val="22"/>
          <w:szCs w:val="22"/>
        </w:rPr>
        <w:t xml:space="preserve">Dinosaurus has </w:t>
      </w:r>
      <w:r w:rsidRPr="000B29F2">
        <w:rPr>
          <w:rFonts w:ascii="Arial" w:hAnsi="Arial" w:cs="Arial"/>
          <w:color w:val="7B7B7B" w:themeColor="accent3" w:themeShade="BF"/>
          <w:sz w:val="22"/>
          <w:szCs w:val="22"/>
          <w:u w:val="single"/>
        </w:rPr>
        <w:t>not</w:t>
      </w:r>
      <w:r w:rsidRPr="000B29F2">
        <w:rPr>
          <w:rFonts w:ascii="Arial" w:hAnsi="Arial" w:cs="Arial"/>
          <w:color w:val="7B7B7B" w:themeColor="accent3" w:themeShade="BF"/>
          <w:sz w:val="22"/>
          <w:szCs w:val="22"/>
        </w:rPr>
        <w:t xml:space="preserve"> applied </w:t>
      </w:r>
      <w:r w:rsidR="00E01971" w:rsidRPr="000B29F2">
        <w:rPr>
          <w:rFonts w:ascii="Arial" w:hAnsi="Arial" w:cs="Arial"/>
          <w:color w:val="7B7B7B" w:themeColor="accent3" w:themeShade="BF"/>
          <w:sz w:val="22"/>
          <w:szCs w:val="22"/>
        </w:rPr>
        <w:t>to open “traditional”</w:t>
      </w:r>
      <w:r w:rsidRPr="000B29F2">
        <w:rPr>
          <w:rFonts w:ascii="Arial" w:hAnsi="Arial" w:cs="Arial"/>
          <w:color w:val="7B7B7B" w:themeColor="accent3" w:themeShade="BF"/>
          <w:sz w:val="22"/>
          <w:szCs w:val="22"/>
        </w:rPr>
        <w:t xml:space="preserve"> insolvency proceedings – it has applied </w:t>
      </w:r>
      <w:r w:rsidR="00D97A5E" w:rsidRPr="000B29F2">
        <w:rPr>
          <w:rFonts w:ascii="Arial" w:hAnsi="Arial" w:cs="Arial"/>
          <w:color w:val="7B7B7B" w:themeColor="accent3" w:themeShade="BF"/>
          <w:sz w:val="22"/>
          <w:szCs w:val="22"/>
        </w:rPr>
        <w:t>to open</w:t>
      </w:r>
      <w:r w:rsidRPr="000B29F2">
        <w:rPr>
          <w:rFonts w:ascii="Arial" w:hAnsi="Arial" w:cs="Arial"/>
          <w:color w:val="7B7B7B" w:themeColor="accent3" w:themeShade="BF"/>
          <w:sz w:val="22"/>
          <w:szCs w:val="22"/>
        </w:rPr>
        <w:t xml:space="preserve"> safeguard proceedings which is outside the scope of the EIR 2000</w:t>
      </w:r>
      <w:r w:rsidR="00E01971" w:rsidRPr="000B29F2">
        <w:rPr>
          <w:rFonts w:ascii="Arial" w:hAnsi="Arial" w:cs="Arial"/>
          <w:color w:val="7B7B7B" w:themeColor="accent3" w:themeShade="BF"/>
          <w:sz w:val="22"/>
          <w:szCs w:val="22"/>
        </w:rPr>
        <w:t>. Recital 9 makes it clear that</w:t>
      </w:r>
      <w:r w:rsidR="00D97A5E" w:rsidRPr="000B29F2">
        <w:rPr>
          <w:rFonts w:ascii="Arial" w:hAnsi="Arial" w:cs="Arial"/>
          <w:color w:val="7B7B7B" w:themeColor="accent3" w:themeShade="BF"/>
          <w:sz w:val="22"/>
          <w:szCs w:val="22"/>
        </w:rPr>
        <w:t xml:space="preserve"> the Regulation applies to legal persons (such as Dinosaurus) </w:t>
      </w:r>
      <w:r w:rsidR="00D97A5E" w:rsidRPr="00AF3121">
        <w:rPr>
          <w:rFonts w:ascii="Arial" w:hAnsi="Arial" w:cs="Arial"/>
          <w:color w:val="7B7B7B" w:themeColor="accent3" w:themeShade="BF"/>
          <w:sz w:val="22"/>
          <w:szCs w:val="22"/>
          <w:u w:val="single"/>
        </w:rPr>
        <w:t>in insolvency proceedings</w:t>
      </w:r>
      <w:r w:rsidR="00D97A5E" w:rsidRPr="000B29F2">
        <w:rPr>
          <w:rFonts w:ascii="Arial" w:hAnsi="Arial" w:cs="Arial"/>
          <w:color w:val="7B7B7B" w:themeColor="accent3" w:themeShade="BF"/>
          <w:sz w:val="22"/>
          <w:szCs w:val="22"/>
        </w:rPr>
        <w:t xml:space="preserve">. Even though Dinosaurus is a legal person within the meaning of the EIR 2000, the safeguard proceedings commenced are not insolvency proceedings and </w:t>
      </w:r>
      <w:r w:rsidR="00AF3121">
        <w:rPr>
          <w:rFonts w:ascii="Arial" w:hAnsi="Arial" w:cs="Arial"/>
          <w:color w:val="7B7B7B" w:themeColor="accent3" w:themeShade="BF"/>
          <w:sz w:val="22"/>
          <w:szCs w:val="22"/>
        </w:rPr>
        <w:t xml:space="preserve">therefore </w:t>
      </w:r>
      <w:proofErr w:type="gramStart"/>
      <w:r w:rsidR="00AF3121">
        <w:rPr>
          <w:rFonts w:ascii="Arial" w:hAnsi="Arial" w:cs="Arial"/>
          <w:color w:val="7B7B7B" w:themeColor="accent3" w:themeShade="BF"/>
          <w:sz w:val="22"/>
          <w:szCs w:val="22"/>
        </w:rPr>
        <w:t>does</w:t>
      </w:r>
      <w:proofErr w:type="gramEnd"/>
      <w:r w:rsidR="00AF3121">
        <w:rPr>
          <w:rFonts w:ascii="Arial" w:hAnsi="Arial" w:cs="Arial"/>
          <w:color w:val="7B7B7B" w:themeColor="accent3" w:themeShade="BF"/>
          <w:sz w:val="22"/>
          <w:szCs w:val="22"/>
        </w:rPr>
        <w:t xml:space="preserve"> not fall within</w:t>
      </w:r>
      <w:r w:rsidR="00260D78">
        <w:rPr>
          <w:rFonts w:ascii="Arial" w:hAnsi="Arial" w:cs="Arial"/>
          <w:color w:val="7B7B7B" w:themeColor="accent3" w:themeShade="BF"/>
          <w:sz w:val="22"/>
          <w:szCs w:val="22"/>
        </w:rPr>
        <w:t xml:space="preserve"> the</w:t>
      </w:r>
      <w:r w:rsidR="00D97A5E" w:rsidRPr="000B29F2">
        <w:rPr>
          <w:rFonts w:ascii="Arial" w:hAnsi="Arial" w:cs="Arial"/>
          <w:color w:val="7B7B7B" w:themeColor="accent3" w:themeShade="BF"/>
          <w:sz w:val="22"/>
          <w:szCs w:val="22"/>
        </w:rPr>
        <w:t xml:space="preserve"> </w:t>
      </w:r>
      <w:r w:rsidR="00BE338A" w:rsidRPr="000B29F2">
        <w:rPr>
          <w:rFonts w:ascii="Arial" w:hAnsi="Arial" w:cs="Arial"/>
          <w:color w:val="7B7B7B" w:themeColor="accent3" w:themeShade="BF"/>
          <w:sz w:val="22"/>
          <w:szCs w:val="22"/>
        </w:rPr>
        <w:t>personal scope of the EIR 2000.</w:t>
      </w:r>
    </w:p>
    <w:p w14:paraId="3E4FC274" w14:textId="77777777" w:rsidR="00491EE4" w:rsidRPr="000B29F2" w:rsidRDefault="00491EE4" w:rsidP="004F2CAE">
      <w:pPr>
        <w:jc w:val="both"/>
        <w:rPr>
          <w:rFonts w:ascii="Arial" w:hAnsi="Arial" w:cs="Arial"/>
          <w:color w:val="7B7B7B" w:themeColor="accent3" w:themeShade="BF"/>
          <w:sz w:val="22"/>
          <w:szCs w:val="22"/>
        </w:rPr>
      </w:pPr>
    </w:p>
    <w:p w14:paraId="3DEC8633" w14:textId="3E761273" w:rsidR="00E66622" w:rsidRPr="002B2879" w:rsidRDefault="00E66622" w:rsidP="004F2CAE">
      <w:pPr>
        <w:jc w:val="both"/>
        <w:rPr>
          <w:rFonts w:ascii="Arial" w:hAnsi="Arial" w:cs="Arial"/>
          <w:color w:val="7B7B7B" w:themeColor="accent3" w:themeShade="BF"/>
          <w:sz w:val="22"/>
          <w:szCs w:val="22"/>
        </w:rPr>
      </w:pPr>
      <w:r w:rsidRPr="001863D0">
        <w:rPr>
          <w:rFonts w:ascii="Arial" w:hAnsi="Arial" w:cs="Arial"/>
          <w:color w:val="7B7B7B" w:themeColor="accent3" w:themeShade="BF"/>
          <w:sz w:val="22"/>
          <w:szCs w:val="22"/>
        </w:rPr>
        <w:t xml:space="preserve">In conclusion, </w:t>
      </w:r>
      <w:proofErr w:type="gramStart"/>
      <w:r w:rsidRPr="001863D0">
        <w:rPr>
          <w:rFonts w:ascii="Arial" w:hAnsi="Arial" w:cs="Arial"/>
          <w:color w:val="7B7B7B" w:themeColor="accent3" w:themeShade="BF"/>
          <w:sz w:val="22"/>
          <w:szCs w:val="22"/>
        </w:rPr>
        <w:t>the EIR</w:t>
      </w:r>
      <w:proofErr w:type="gramEnd"/>
      <w:r w:rsidRPr="001863D0">
        <w:rPr>
          <w:rFonts w:ascii="Arial" w:hAnsi="Arial" w:cs="Arial"/>
          <w:color w:val="7B7B7B" w:themeColor="accent3" w:themeShade="BF"/>
          <w:sz w:val="22"/>
          <w:szCs w:val="22"/>
        </w:rPr>
        <w:t xml:space="preserve"> 2000 </w:t>
      </w:r>
      <w:r w:rsidR="00CB68C0" w:rsidRPr="001863D0">
        <w:rPr>
          <w:rFonts w:ascii="Arial" w:hAnsi="Arial" w:cs="Arial"/>
          <w:color w:val="7B7B7B" w:themeColor="accent3" w:themeShade="BF"/>
          <w:sz w:val="22"/>
          <w:szCs w:val="22"/>
        </w:rPr>
        <w:t xml:space="preserve">does </w:t>
      </w:r>
      <w:r w:rsidR="00CB68C0" w:rsidRPr="001863D0">
        <w:rPr>
          <w:rFonts w:ascii="Arial" w:hAnsi="Arial" w:cs="Arial"/>
          <w:color w:val="7B7B7B" w:themeColor="accent3" w:themeShade="BF"/>
          <w:sz w:val="22"/>
          <w:szCs w:val="22"/>
          <w:u w:val="single"/>
        </w:rPr>
        <w:t>not</w:t>
      </w:r>
      <w:r w:rsidR="00CB68C0" w:rsidRPr="001863D0">
        <w:rPr>
          <w:rFonts w:ascii="Arial" w:hAnsi="Arial" w:cs="Arial"/>
          <w:color w:val="7B7B7B" w:themeColor="accent3" w:themeShade="BF"/>
          <w:sz w:val="22"/>
          <w:szCs w:val="22"/>
        </w:rPr>
        <w:t xml:space="preserve"> </w:t>
      </w:r>
      <w:r w:rsidR="00DA4053">
        <w:rPr>
          <w:rFonts w:ascii="Arial" w:hAnsi="Arial" w:cs="Arial"/>
          <w:color w:val="7B7B7B" w:themeColor="accent3" w:themeShade="BF"/>
          <w:sz w:val="22"/>
          <w:szCs w:val="22"/>
        </w:rPr>
        <w:t>apply</w:t>
      </w:r>
      <w:r w:rsidR="00CB68C0" w:rsidRPr="001863D0">
        <w:rPr>
          <w:rFonts w:ascii="Arial" w:hAnsi="Arial" w:cs="Arial"/>
          <w:color w:val="7B7B7B" w:themeColor="accent3" w:themeShade="BF"/>
          <w:sz w:val="22"/>
          <w:szCs w:val="22"/>
        </w:rPr>
        <w:t xml:space="preserve"> in</w:t>
      </w:r>
      <w:r w:rsidRPr="001863D0">
        <w:rPr>
          <w:rFonts w:ascii="Arial" w:hAnsi="Arial" w:cs="Arial"/>
          <w:color w:val="7B7B7B" w:themeColor="accent3" w:themeShade="BF"/>
          <w:sz w:val="22"/>
          <w:szCs w:val="22"/>
        </w:rPr>
        <w:t xml:space="preserve"> Dinosaurus’ scenario and </w:t>
      </w:r>
      <w:r w:rsidR="00DA4053">
        <w:rPr>
          <w:rFonts w:ascii="Arial" w:hAnsi="Arial" w:cs="Arial"/>
          <w:color w:val="7B7B7B" w:themeColor="accent3" w:themeShade="BF"/>
          <w:sz w:val="22"/>
          <w:szCs w:val="22"/>
        </w:rPr>
        <w:t xml:space="preserve">to </w:t>
      </w:r>
      <w:r w:rsidRPr="001863D0">
        <w:rPr>
          <w:rFonts w:ascii="Arial" w:hAnsi="Arial" w:cs="Arial"/>
          <w:color w:val="7B7B7B" w:themeColor="accent3" w:themeShade="BF"/>
          <w:sz w:val="22"/>
          <w:szCs w:val="22"/>
        </w:rPr>
        <w:t>the opening of safeguard proceedings. Despite the COMI being within a</w:t>
      </w:r>
      <w:r w:rsidR="001863D0">
        <w:rPr>
          <w:rFonts w:ascii="Arial" w:hAnsi="Arial" w:cs="Arial"/>
          <w:color w:val="7B7B7B" w:themeColor="accent3" w:themeShade="BF"/>
          <w:sz w:val="22"/>
          <w:szCs w:val="22"/>
        </w:rPr>
        <w:t xml:space="preserve">n EU </w:t>
      </w:r>
      <w:r w:rsidRPr="001863D0">
        <w:rPr>
          <w:rFonts w:ascii="Arial" w:hAnsi="Arial" w:cs="Arial"/>
          <w:color w:val="7B7B7B" w:themeColor="accent3" w:themeShade="BF"/>
          <w:sz w:val="22"/>
          <w:szCs w:val="22"/>
        </w:rPr>
        <w:t>Member State and Dinosaurus being a legal person (and not an excluded entity</w:t>
      </w:r>
      <w:r w:rsidRPr="001863D0">
        <w:rPr>
          <w:rStyle w:val="FootnoteReference"/>
          <w:rFonts w:ascii="Arial" w:hAnsi="Arial" w:cs="Arial"/>
          <w:color w:val="7B7B7B" w:themeColor="accent3" w:themeShade="BF"/>
          <w:sz w:val="22"/>
          <w:szCs w:val="22"/>
        </w:rPr>
        <w:footnoteReference w:id="114"/>
      </w:r>
      <w:r w:rsidR="002B2879" w:rsidRPr="001863D0">
        <w:rPr>
          <w:rFonts w:ascii="Arial" w:hAnsi="Arial" w:cs="Arial"/>
          <w:color w:val="7B7B7B" w:themeColor="accent3" w:themeShade="BF"/>
          <w:sz w:val="22"/>
          <w:szCs w:val="22"/>
        </w:rPr>
        <w:t>)</w:t>
      </w:r>
      <w:r w:rsidRPr="001863D0">
        <w:rPr>
          <w:rFonts w:ascii="Arial" w:hAnsi="Arial" w:cs="Arial"/>
          <w:color w:val="7B7B7B" w:themeColor="accent3" w:themeShade="BF"/>
          <w:sz w:val="22"/>
          <w:szCs w:val="22"/>
        </w:rPr>
        <w:t>, the type of proceedings</w:t>
      </w:r>
      <w:r w:rsidR="002B2879" w:rsidRPr="001863D0">
        <w:rPr>
          <w:rFonts w:ascii="Arial" w:hAnsi="Arial" w:cs="Arial"/>
          <w:color w:val="7B7B7B" w:themeColor="accent3" w:themeShade="BF"/>
          <w:sz w:val="22"/>
          <w:szCs w:val="22"/>
        </w:rPr>
        <w:t xml:space="preserve"> </w:t>
      </w:r>
      <w:r w:rsidRPr="001863D0">
        <w:rPr>
          <w:rFonts w:ascii="Arial" w:hAnsi="Arial" w:cs="Arial"/>
          <w:color w:val="7B7B7B" w:themeColor="accent3" w:themeShade="BF"/>
          <w:sz w:val="22"/>
          <w:szCs w:val="22"/>
        </w:rPr>
        <w:t>Dinosaurus</w:t>
      </w:r>
      <w:r w:rsidR="002B2879" w:rsidRPr="001863D0">
        <w:rPr>
          <w:rFonts w:ascii="Arial" w:hAnsi="Arial" w:cs="Arial"/>
          <w:color w:val="7B7B7B" w:themeColor="accent3" w:themeShade="BF"/>
          <w:sz w:val="22"/>
          <w:szCs w:val="22"/>
        </w:rPr>
        <w:t xml:space="preserve"> ha</w:t>
      </w:r>
      <w:r w:rsidR="00DA4053">
        <w:rPr>
          <w:rFonts w:ascii="Arial" w:hAnsi="Arial" w:cs="Arial"/>
          <w:color w:val="7B7B7B" w:themeColor="accent3" w:themeShade="BF"/>
          <w:sz w:val="22"/>
          <w:szCs w:val="22"/>
        </w:rPr>
        <w:t>s</w:t>
      </w:r>
      <w:r w:rsidR="002B2879" w:rsidRPr="001863D0">
        <w:rPr>
          <w:rFonts w:ascii="Arial" w:hAnsi="Arial" w:cs="Arial"/>
          <w:color w:val="7B7B7B" w:themeColor="accent3" w:themeShade="BF"/>
          <w:sz w:val="22"/>
          <w:szCs w:val="22"/>
        </w:rPr>
        <w:t xml:space="preserve"> initiated are the “wrong” type of proceedings for the EIR 2000</w:t>
      </w:r>
      <w:r w:rsidR="00D97A5E" w:rsidRPr="001863D0">
        <w:rPr>
          <w:rFonts w:ascii="Arial" w:hAnsi="Arial" w:cs="Arial"/>
          <w:color w:val="7B7B7B" w:themeColor="accent3" w:themeShade="BF"/>
          <w:sz w:val="22"/>
          <w:szCs w:val="22"/>
        </w:rPr>
        <w:t xml:space="preserve"> </w:t>
      </w:r>
      <w:r w:rsidR="002B2879" w:rsidRPr="001863D0">
        <w:rPr>
          <w:rFonts w:ascii="Arial" w:hAnsi="Arial" w:cs="Arial"/>
          <w:color w:val="7B7B7B" w:themeColor="accent3" w:themeShade="BF"/>
          <w:sz w:val="22"/>
          <w:szCs w:val="22"/>
        </w:rPr>
        <w:t>- safeguard proceedings are not proceedings referred to in the Annexes of the EIR 2000</w:t>
      </w:r>
      <w:r w:rsidR="00DA4053">
        <w:rPr>
          <w:rFonts w:ascii="Arial" w:hAnsi="Arial" w:cs="Arial"/>
          <w:color w:val="7B7B7B" w:themeColor="accent3" w:themeShade="BF"/>
          <w:sz w:val="22"/>
          <w:szCs w:val="22"/>
        </w:rPr>
        <w:t>. They are outside the jurisdiction of the EIR 2000</w:t>
      </w:r>
      <w:r w:rsidR="002B2879" w:rsidRPr="001863D0">
        <w:rPr>
          <w:rFonts w:ascii="Arial" w:hAnsi="Arial" w:cs="Arial"/>
          <w:color w:val="7B7B7B" w:themeColor="accent3" w:themeShade="BF"/>
          <w:sz w:val="22"/>
          <w:szCs w:val="22"/>
        </w:rPr>
        <w:t xml:space="preserve"> and therefore the fact pattern does </w:t>
      </w:r>
      <w:r w:rsidR="002B2879" w:rsidRPr="00DA4053">
        <w:rPr>
          <w:rFonts w:ascii="Arial" w:hAnsi="Arial" w:cs="Arial"/>
          <w:color w:val="7B7B7B" w:themeColor="accent3" w:themeShade="BF"/>
          <w:sz w:val="22"/>
          <w:szCs w:val="22"/>
          <w:u w:val="single"/>
        </w:rPr>
        <w:t>not</w:t>
      </w:r>
      <w:r w:rsidR="002B2879" w:rsidRPr="001863D0">
        <w:rPr>
          <w:rFonts w:ascii="Arial" w:hAnsi="Arial" w:cs="Arial"/>
          <w:color w:val="7B7B7B" w:themeColor="accent3" w:themeShade="BF"/>
          <w:sz w:val="22"/>
          <w:szCs w:val="22"/>
        </w:rPr>
        <w:t xml:space="preserve"> fall within the scope of the EIR 2000.</w:t>
      </w:r>
    </w:p>
    <w:p w14:paraId="2CD83248" w14:textId="77777777" w:rsidR="0063094D" w:rsidRDefault="0063094D" w:rsidP="002A37BB">
      <w:pPr>
        <w:jc w:val="both"/>
        <w:rPr>
          <w:rFonts w:ascii="Avenir Next" w:hAnsi="Avenir Next" w:cs="Arial"/>
          <w:sz w:val="22"/>
          <w:szCs w:val="22"/>
          <w:lang w:val="en-GB"/>
        </w:rPr>
      </w:pPr>
    </w:p>
    <w:p w14:paraId="10AB1A9A" w14:textId="77777777" w:rsidR="0063094D" w:rsidRDefault="0063094D"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022CB65E" w14:textId="77777777" w:rsidR="004D6EB7" w:rsidRPr="008E3C96" w:rsidRDefault="004D6EB7" w:rsidP="002A37BB">
      <w:pPr>
        <w:jc w:val="both"/>
        <w:rPr>
          <w:rFonts w:ascii="Avenir Next" w:hAnsi="Avenir Next" w:cs="Arial"/>
          <w:sz w:val="22"/>
          <w:szCs w:val="22"/>
          <w:lang w:val="en-GB"/>
        </w:rPr>
      </w:pPr>
    </w:p>
    <w:p w14:paraId="1A747CD9" w14:textId="6F8D801C" w:rsidR="0063094D" w:rsidRPr="00702E7C" w:rsidRDefault="004D6EB7" w:rsidP="0063094D">
      <w:pPr>
        <w:jc w:val="both"/>
        <w:rPr>
          <w:rFonts w:ascii="Arial" w:hAnsi="Arial" w:cs="Arial"/>
          <w:color w:val="7B7B7B" w:themeColor="accent3" w:themeShade="BF"/>
          <w:sz w:val="22"/>
          <w:szCs w:val="22"/>
        </w:rPr>
      </w:pPr>
      <w:r w:rsidRPr="00702E7C">
        <w:rPr>
          <w:rFonts w:ascii="Arial" w:hAnsi="Arial" w:cs="Arial"/>
          <w:color w:val="7B7B7B" w:themeColor="accent3" w:themeShade="BF"/>
          <w:sz w:val="22"/>
          <w:szCs w:val="22"/>
        </w:rPr>
        <w:t>The objective of safeguard proceedings such as those opened by Dinosaurus</w:t>
      </w:r>
      <w:r w:rsidR="00DA4053">
        <w:rPr>
          <w:rFonts w:ascii="Arial" w:hAnsi="Arial" w:cs="Arial"/>
          <w:color w:val="7B7B7B" w:themeColor="accent3" w:themeShade="BF"/>
          <w:sz w:val="22"/>
          <w:szCs w:val="22"/>
        </w:rPr>
        <w:t xml:space="preserve"> SARL (“</w:t>
      </w:r>
      <w:r w:rsidR="00DA4053">
        <w:rPr>
          <w:rFonts w:ascii="Arial" w:hAnsi="Arial" w:cs="Arial"/>
          <w:b/>
          <w:bCs/>
          <w:color w:val="7B7B7B" w:themeColor="accent3" w:themeShade="BF"/>
          <w:sz w:val="22"/>
          <w:szCs w:val="22"/>
        </w:rPr>
        <w:t>Dinosaurus</w:t>
      </w:r>
      <w:r w:rsidR="00DA4053">
        <w:rPr>
          <w:rFonts w:ascii="Arial" w:hAnsi="Arial" w:cs="Arial"/>
          <w:color w:val="7B7B7B" w:themeColor="accent3" w:themeShade="BF"/>
          <w:sz w:val="22"/>
          <w:szCs w:val="22"/>
        </w:rPr>
        <w:t>”)</w:t>
      </w:r>
      <w:r w:rsidRPr="00702E7C">
        <w:rPr>
          <w:rFonts w:ascii="Arial" w:hAnsi="Arial" w:cs="Arial"/>
          <w:color w:val="7B7B7B" w:themeColor="accent3" w:themeShade="BF"/>
          <w:sz w:val="22"/>
          <w:szCs w:val="22"/>
        </w:rPr>
        <w:t xml:space="preserve"> “</w:t>
      </w:r>
      <w:r w:rsidRPr="00702E7C">
        <w:rPr>
          <w:rFonts w:ascii="Arial" w:hAnsi="Arial" w:cs="Arial"/>
          <w:i/>
          <w:iCs/>
          <w:color w:val="7B7B7B" w:themeColor="accent3" w:themeShade="BF"/>
          <w:sz w:val="22"/>
          <w:szCs w:val="22"/>
        </w:rPr>
        <w:t>is to provide for negotiation with each of the company’s creditors and to ensure that the company continues to operate and maintain employment</w:t>
      </w:r>
      <w:r w:rsidRPr="00702E7C">
        <w:rPr>
          <w:rFonts w:ascii="Arial" w:hAnsi="Arial" w:cs="Arial"/>
          <w:color w:val="7B7B7B" w:themeColor="accent3" w:themeShade="BF"/>
          <w:sz w:val="22"/>
          <w:szCs w:val="22"/>
        </w:rPr>
        <w:t>.”</w:t>
      </w:r>
      <w:r w:rsidRPr="00702E7C">
        <w:rPr>
          <w:rStyle w:val="FootnoteReference"/>
          <w:rFonts w:ascii="Arial" w:hAnsi="Arial" w:cs="Arial"/>
          <w:color w:val="7B7B7B" w:themeColor="accent3" w:themeShade="BF"/>
          <w:sz w:val="22"/>
          <w:szCs w:val="22"/>
        </w:rPr>
        <w:footnoteReference w:id="115"/>
      </w:r>
      <w:r w:rsidRPr="00702E7C">
        <w:rPr>
          <w:rFonts w:ascii="Arial" w:hAnsi="Arial" w:cs="Arial"/>
          <w:color w:val="7B7B7B" w:themeColor="accent3" w:themeShade="BF"/>
          <w:sz w:val="22"/>
          <w:szCs w:val="22"/>
        </w:rPr>
        <w:t xml:space="preserve"> This rescue procedure is in line with the EIR Recast’s Recital 10 which states that the</w:t>
      </w:r>
      <w:r w:rsidR="00DA4053">
        <w:rPr>
          <w:rFonts w:ascii="Arial" w:hAnsi="Arial" w:cs="Arial"/>
          <w:color w:val="7B7B7B" w:themeColor="accent3" w:themeShade="BF"/>
          <w:sz w:val="22"/>
          <w:szCs w:val="22"/>
        </w:rPr>
        <w:t xml:space="preserve"> Regulation</w:t>
      </w:r>
      <w:r w:rsidRPr="00702E7C">
        <w:rPr>
          <w:rFonts w:ascii="Arial" w:hAnsi="Arial" w:cs="Arial"/>
          <w:color w:val="7B7B7B" w:themeColor="accent3" w:themeShade="BF"/>
          <w:sz w:val="22"/>
          <w:szCs w:val="22"/>
        </w:rPr>
        <w:t xml:space="preserve"> should extend to promoting the rescuing of distressed but economically viable businesses, in particular the “</w:t>
      </w:r>
      <w:r w:rsidRPr="00702E7C">
        <w:rPr>
          <w:rFonts w:ascii="Arial" w:hAnsi="Arial" w:cs="Arial"/>
          <w:i/>
          <w:iCs/>
          <w:color w:val="7B7B7B" w:themeColor="accent3" w:themeShade="BF"/>
          <w:sz w:val="22"/>
          <w:szCs w:val="22"/>
        </w:rPr>
        <w:t>restructuring of a debtor at a stage where there is only a likelihood of insolvency</w:t>
      </w:r>
      <w:r w:rsidRPr="00702E7C">
        <w:rPr>
          <w:rFonts w:ascii="Arial" w:hAnsi="Arial" w:cs="Arial"/>
          <w:color w:val="7B7B7B" w:themeColor="accent3" w:themeShade="BF"/>
          <w:sz w:val="22"/>
          <w:szCs w:val="22"/>
        </w:rPr>
        <w:t>”</w:t>
      </w:r>
      <w:r w:rsidRPr="00702E7C">
        <w:rPr>
          <w:rStyle w:val="FootnoteReference"/>
          <w:rFonts w:ascii="Arial" w:hAnsi="Arial" w:cs="Arial"/>
          <w:color w:val="7B7B7B" w:themeColor="accent3" w:themeShade="BF"/>
          <w:sz w:val="22"/>
          <w:szCs w:val="22"/>
        </w:rPr>
        <w:footnoteReference w:id="116"/>
      </w:r>
      <w:r w:rsidRPr="00702E7C">
        <w:rPr>
          <w:rFonts w:ascii="Arial" w:hAnsi="Arial" w:cs="Arial"/>
          <w:color w:val="7B7B7B" w:themeColor="accent3" w:themeShade="BF"/>
          <w:sz w:val="22"/>
          <w:szCs w:val="22"/>
        </w:rPr>
        <w:t xml:space="preserve">. </w:t>
      </w:r>
      <w:r w:rsidR="0063094D" w:rsidRPr="00702E7C">
        <w:rPr>
          <w:rFonts w:ascii="Arial" w:hAnsi="Arial" w:cs="Arial"/>
          <w:color w:val="7B7B7B" w:themeColor="accent3" w:themeShade="BF"/>
          <w:sz w:val="22"/>
          <w:szCs w:val="22"/>
        </w:rPr>
        <w:t xml:space="preserve">The EIR Recast will be applicable to the opening of safeguard proceedings on 23 June 2023 by the French High Court (as explained in the original fact pattern). This is </w:t>
      </w:r>
      <w:r w:rsidR="0063094D" w:rsidRPr="00702E7C">
        <w:rPr>
          <w:rFonts w:ascii="Arial" w:hAnsi="Arial" w:cs="Arial"/>
          <w:color w:val="7B7B7B" w:themeColor="accent3" w:themeShade="BF"/>
          <w:sz w:val="22"/>
          <w:szCs w:val="22"/>
        </w:rPr>
        <w:lastRenderedPageBreak/>
        <w:t>because Dinosaurus' scenario falls within the scope of the EIR Recast for the following reasons:</w:t>
      </w:r>
    </w:p>
    <w:p w14:paraId="02CD2E36" w14:textId="224C226C" w:rsidR="00B356FE" w:rsidRPr="00A12FE0" w:rsidRDefault="0063094D" w:rsidP="00A12FE0">
      <w:pPr>
        <w:pStyle w:val="ListParagraph"/>
        <w:numPr>
          <w:ilvl w:val="0"/>
          <w:numId w:val="24"/>
        </w:numPr>
        <w:jc w:val="both"/>
        <w:rPr>
          <w:rFonts w:ascii="Arial" w:hAnsi="Arial" w:cs="Arial"/>
          <w:color w:val="7B7B7B" w:themeColor="accent3" w:themeShade="BF"/>
          <w:sz w:val="22"/>
          <w:szCs w:val="22"/>
        </w:rPr>
      </w:pPr>
      <w:r w:rsidRPr="00702E7C">
        <w:rPr>
          <w:rFonts w:ascii="Arial" w:hAnsi="Arial" w:cs="Arial"/>
          <w:color w:val="7B7B7B" w:themeColor="accent3" w:themeShade="BF"/>
          <w:sz w:val="22"/>
          <w:szCs w:val="22"/>
        </w:rPr>
        <w:t xml:space="preserve">Territorial scope </w:t>
      </w:r>
      <w:r w:rsidR="00A12FE0">
        <w:rPr>
          <w:rFonts w:ascii="Arial" w:hAnsi="Arial" w:cs="Arial"/>
          <w:color w:val="7B7B7B" w:themeColor="accent3" w:themeShade="BF"/>
          <w:sz w:val="22"/>
          <w:szCs w:val="22"/>
        </w:rPr>
        <w:t>–</w:t>
      </w:r>
      <w:r w:rsidRPr="00A12FE0">
        <w:rPr>
          <w:rFonts w:ascii="Arial" w:hAnsi="Arial" w:cs="Arial"/>
          <w:color w:val="7B7B7B" w:themeColor="accent3" w:themeShade="BF"/>
          <w:sz w:val="22"/>
          <w:szCs w:val="22"/>
        </w:rPr>
        <w:t xml:space="preserve"> to assess whether the territorial scope of the EIR Recast is satisfied</w:t>
      </w:r>
      <w:r w:rsidR="00573901" w:rsidRPr="00A12FE0">
        <w:rPr>
          <w:rFonts w:ascii="Arial" w:hAnsi="Arial" w:cs="Arial"/>
          <w:color w:val="7B7B7B" w:themeColor="accent3" w:themeShade="BF"/>
          <w:sz w:val="22"/>
          <w:szCs w:val="22"/>
        </w:rPr>
        <w:t xml:space="preserve">, the debtor’s </w:t>
      </w:r>
      <w:proofErr w:type="spellStart"/>
      <w:r w:rsidR="00573901" w:rsidRPr="00A12FE0">
        <w:rPr>
          <w:rFonts w:ascii="Arial" w:hAnsi="Arial" w:cs="Arial"/>
          <w:color w:val="7B7B7B" w:themeColor="accent3" w:themeShade="BF"/>
          <w:sz w:val="22"/>
          <w:szCs w:val="22"/>
        </w:rPr>
        <w:t>centre</w:t>
      </w:r>
      <w:proofErr w:type="spellEnd"/>
      <w:r w:rsidR="00573901" w:rsidRPr="00A12FE0">
        <w:rPr>
          <w:rFonts w:ascii="Arial" w:hAnsi="Arial" w:cs="Arial"/>
          <w:color w:val="7B7B7B" w:themeColor="accent3" w:themeShade="BF"/>
          <w:sz w:val="22"/>
          <w:szCs w:val="22"/>
        </w:rPr>
        <w:t xml:space="preserve"> of main interest (“</w:t>
      </w:r>
      <w:r w:rsidR="00573901" w:rsidRPr="00A12FE0">
        <w:rPr>
          <w:rFonts w:ascii="Arial" w:hAnsi="Arial" w:cs="Arial"/>
          <w:b/>
          <w:bCs/>
          <w:color w:val="7B7B7B" w:themeColor="accent3" w:themeShade="BF"/>
          <w:sz w:val="22"/>
          <w:szCs w:val="22"/>
        </w:rPr>
        <w:t>COMI</w:t>
      </w:r>
      <w:r w:rsidR="00573901" w:rsidRPr="00A12FE0">
        <w:rPr>
          <w:rFonts w:ascii="Arial" w:hAnsi="Arial" w:cs="Arial"/>
          <w:color w:val="7B7B7B" w:themeColor="accent3" w:themeShade="BF"/>
          <w:sz w:val="22"/>
          <w:szCs w:val="22"/>
        </w:rPr>
        <w:t xml:space="preserve">”) needs to be identified. </w:t>
      </w:r>
      <w:r w:rsidR="00EC3CEE" w:rsidRPr="00A12FE0">
        <w:rPr>
          <w:rFonts w:ascii="Arial" w:hAnsi="Arial" w:cs="Arial"/>
          <w:color w:val="7B7B7B" w:themeColor="accent3" w:themeShade="BF"/>
          <w:sz w:val="22"/>
          <w:szCs w:val="22"/>
        </w:rPr>
        <w:t xml:space="preserve">The seminal </w:t>
      </w:r>
      <w:r w:rsidR="00B356FE" w:rsidRPr="00A12FE0">
        <w:rPr>
          <w:rFonts w:ascii="Arial" w:hAnsi="Arial" w:cs="Arial"/>
          <w:color w:val="7B7B7B" w:themeColor="accent3" w:themeShade="BF"/>
          <w:sz w:val="22"/>
          <w:szCs w:val="22"/>
        </w:rPr>
        <w:t xml:space="preserve">Court of Justice of the European Union case of </w:t>
      </w:r>
      <w:proofErr w:type="spellStart"/>
      <w:r w:rsidR="00573901" w:rsidRPr="00A12FE0">
        <w:rPr>
          <w:rFonts w:ascii="Arial" w:hAnsi="Arial" w:cs="Arial"/>
          <w:i/>
          <w:iCs/>
          <w:color w:val="7B7B7B" w:themeColor="accent3" w:themeShade="BF"/>
          <w:sz w:val="22"/>
          <w:szCs w:val="22"/>
        </w:rPr>
        <w:t>Eurofood</w:t>
      </w:r>
      <w:proofErr w:type="spellEnd"/>
      <w:r w:rsidR="00573901" w:rsidRPr="00A12FE0">
        <w:rPr>
          <w:rFonts w:ascii="Arial" w:hAnsi="Arial" w:cs="Arial"/>
          <w:i/>
          <w:iCs/>
          <w:color w:val="7B7B7B" w:themeColor="accent3" w:themeShade="BF"/>
          <w:sz w:val="22"/>
          <w:szCs w:val="22"/>
        </w:rPr>
        <w:t xml:space="preserve"> IFSC Ltd</w:t>
      </w:r>
      <w:r w:rsidR="00573901" w:rsidRPr="00702E7C">
        <w:rPr>
          <w:rStyle w:val="FootnoteReference"/>
          <w:rFonts w:ascii="Arial" w:hAnsi="Arial" w:cs="Arial"/>
          <w:i/>
          <w:iCs/>
          <w:color w:val="7B7B7B" w:themeColor="accent3" w:themeShade="BF"/>
          <w:sz w:val="22"/>
          <w:szCs w:val="22"/>
        </w:rPr>
        <w:footnoteReference w:id="117"/>
      </w:r>
      <w:r w:rsidR="00EC3CEE" w:rsidRPr="00A12FE0">
        <w:rPr>
          <w:rFonts w:ascii="Arial" w:hAnsi="Arial" w:cs="Arial"/>
          <w:i/>
          <w:iCs/>
          <w:color w:val="7B7B7B" w:themeColor="accent3" w:themeShade="BF"/>
          <w:sz w:val="22"/>
          <w:szCs w:val="22"/>
        </w:rPr>
        <w:t xml:space="preserve"> </w:t>
      </w:r>
      <w:r w:rsidR="00EC3CEE" w:rsidRPr="00A12FE0">
        <w:rPr>
          <w:rFonts w:ascii="Arial" w:hAnsi="Arial" w:cs="Arial"/>
          <w:color w:val="7B7B7B" w:themeColor="accent3" w:themeShade="BF"/>
          <w:sz w:val="22"/>
          <w:szCs w:val="22"/>
        </w:rPr>
        <w:t>stated that</w:t>
      </w:r>
      <w:r w:rsidR="00573901" w:rsidRPr="00A12FE0">
        <w:rPr>
          <w:rFonts w:ascii="Arial" w:hAnsi="Arial" w:cs="Arial"/>
          <w:color w:val="7B7B7B" w:themeColor="accent3" w:themeShade="BF"/>
          <w:sz w:val="22"/>
          <w:szCs w:val="22"/>
        </w:rPr>
        <w:t xml:space="preserve"> the criteria to be used for the identification of a debtor’s COMI must “</w:t>
      </w:r>
      <w:r w:rsidR="00573901" w:rsidRPr="00A12FE0">
        <w:rPr>
          <w:rFonts w:ascii="Arial" w:hAnsi="Arial" w:cs="Arial"/>
          <w:i/>
          <w:iCs/>
          <w:color w:val="7B7B7B" w:themeColor="accent3" w:themeShade="BF"/>
          <w:sz w:val="22"/>
          <w:szCs w:val="22"/>
        </w:rPr>
        <w:t>both objective and ascertainable by third parties</w:t>
      </w:r>
      <w:r w:rsidR="00573901" w:rsidRPr="00A12FE0">
        <w:rPr>
          <w:rFonts w:ascii="Arial" w:hAnsi="Arial" w:cs="Arial"/>
          <w:color w:val="7B7B7B" w:themeColor="accent3" w:themeShade="BF"/>
          <w:sz w:val="22"/>
          <w:szCs w:val="22"/>
        </w:rPr>
        <w:t>.”</w:t>
      </w:r>
      <w:r w:rsidR="00EC3CEE" w:rsidRPr="00702E7C">
        <w:rPr>
          <w:rStyle w:val="FootnoteReference"/>
          <w:rFonts w:ascii="Arial" w:hAnsi="Arial" w:cs="Arial"/>
          <w:color w:val="7B7B7B" w:themeColor="accent3" w:themeShade="BF"/>
          <w:sz w:val="22"/>
          <w:szCs w:val="22"/>
        </w:rPr>
        <w:footnoteReference w:id="118"/>
      </w:r>
      <w:r w:rsidR="00B356FE" w:rsidRPr="00A12FE0">
        <w:rPr>
          <w:rFonts w:ascii="Arial" w:hAnsi="Arial" w:cs="Arial"/>
          <w:color w:val="7B7B7B" w:themeColor="accent3" w:themeShade="BF"/>
          <w:sz w:val="22"/>
          <w:szCs w:val="22"/>
        </w:rPr>
        <w:t xml:space="preserve"> </w:t>
      </w:r>
      <w:r w:rsidR="00573901" w:rsidRPr="00A12FE0">
        <w:rPr>
          <w:rFonts w:ascii="Arial" w:hAnsi="Arial" w:cs="Arial"/>
          <w:color w:val="7B7B7B" w:themeColor="accent3" w:themeShade="BF"/>
          <w:sz w:val="22"/>
          <w:szCs w:val="22"/>
        </w:rPr>
        <w:t xml:space="preserve">Article 3(1) of the EIR Recast codifies this part of the </w:t>
      </w:r>
      <w:proofErr w:type="spellStart"/>
      <w:r w:rsidR="00573901" w:rsidRPr="00A12FE0">
        <w:rPr>
          <w:rFonts w:ascii="Arial" w:hAnsi="Arial" w:cs="Arial"/>
          <w:i/>
          <w:iCs/>
          <w:color w:val="7B7B7B" w:themeColor="accent3" w:themeShade="BF"/>
          <w:sz w:val="22"/>
          <w:szCs w:val="22"/>
        </w:rPr>
        <w:t>Eurofood</w:t>
      </w:r>
      <w:proofErr w:type="spellEnd"/>
      <w:r w:rsidR="00573901" w:rsidRPr="00A12FE0">
        <w:rPr>
          <w:rFonts w:ascii="Arial" w:hAnsi="Arial" w:cs="Arial"/>
          <w:color w:val="7B7B7B" w:themeColor="accent3" w:themeShade="BF"/>
          <w:sz w:val="22"/>
          <w:szCs w:val="22"/>
        </w:rPr>
        <w:t xml:space="preserve"> judgment.</w:t>
      </w:r>
      <w:r w:rsidR="00B356FE" w:rsidRPr="00A12FE0">
        <w:rPr>
          <w:rFonts w:ascii="Arial" w:hAnsi="Arial" w:cs="Arial"/>
          <w:color w:val="7B7B7B" w:themeColor="accent3" w:themeShade="BF"/>
          <w:sz w:val="22"/>
          <w:szCs w:val="22"/>
        </w:rPr>
        <w:t xml:space="preserve"> </w:t>
      </w:r>
      <w:r w:rsidRPr="00A12FE0">
        <w:rPr>
          <w:rFonts w:ascii="Arial" w:hAnsi="Arial" w:cs="Arial"/>
          <w:color w:val="7B7B7B" w:themeColor="accent3" w:themeShade="BF"/>
          <w:sz w:val="22"/>
          <w:szCs w:val="22"/>
        </w:rPr>
        <w:t>Article 3(1) states that the courts of the European Union ("</w:t>
      </w:r>
      <w:r w:rsidRPr="00A12FE0">
        <w:rPr>
          <w:rFonts w:ascii="Arial" w:hAnsi="Arial" w:cs="Arial"/>
          <w:b/>
          <w:bCs/>
          <w:color w:val="7B7B7B" w:themeColor="accent3" w:themeShade="BF"/>
          <w:sz w:val="22"/>
          <w:szCs w:val="22"/>
        </w:rPr>
        <w:t>EU</w:t>
      </w:r>
      <w:r w:rsidRPr="00A12FE0">
        <w:rPr>
          <w:rFonts w:ascii="Arial" w:hAnsi="Arial" w:cs="Arial"/>
          <w:color w:val="7B7B7B" w:themeColor="accent3" w:themeShade="BF"/>
          <w:sz w:val="22"/>
          <w:szCs w:val="22"/>
        </w:rPr>
        <w:t xml:space="preserve">") Member State within the territory of which the </w:t>
      </w:r>
      <w:r w:rsidR="00B92E24" w:rsidRPr="00A12FE0">
        <w:rPr>
          <w:rFonts w:ascii="Arial" w:hAnsi="Arial" w:cs="Arial"/>
          <w:color w:val="7B7B7B" w:themeColor="accent3" w:themeShade="BF"/>
          <w:sz w:val="22"/>
          <w:szCs w:val="22"/>
        </w:rPr>
        <w:t>COMI is located</w:t>
      </w:r>
      <w:r w:rsidRPr="00A12FE0">
        <w:rPr>
          <w:rFonts w:ascii="Arial" w:hAnsi="Arial" w:cs="Arial"/>
          <w:color w:val="7B7B7B" w:themeColor="accent3" w:themeShade="BF"/>
          <w:sz w:val="22"/>
          <w:szCs w:val="22"/>
        </w:rPr>
        <w:t xml:space="preserve"> "</w:t>
      </w:r>
      <w:r w:rsidRPr="00A12FE0">
        <w:rPr>
          <w:rFonts w:ascii="Arial" w:hAnsi="Arial" w:cs="Arial"/>
          <w:i/>
          <w:iCs/>
          <w:color w:val="7B7B7B" w:themeColor="accent3" w:themeShade="BF"/>
          <w:sz w:val="22"/>
          <w:szCs w:val="22"/>
        </w:rPr>
        <w:t>shall have jurisdiction to open insolvency proceedings</w:t>
      </w:r>
      <w:r w:rsidRPr="00A12FE0">
        <w:rPr>
          <w:rFonts w:ascii="Arial" w:hAnsi="Arial" w:cs="Arial"/>
          <w:color w:val="7B7B7B" w:themeColor="accent3" w:themeShade="BF"/>
          <w:sz w:val="22"/>
          <w:szCs w:val="22"/>
        </w:rPr>
        <w:t>"</w:t>
      </w:r>
      <w:r w:rsidR="00CD74C6" w:rsidRPr="00702E7C">
        <w:rPr>
          <w:rStyle w:val="FootnoteReference"/>
          <w:rFonts w:ascii="Arial" w:hAnsi="Arial" w:cs="Arial"/>
          <w:color w:val="7B7B7B" w:themeColor="accent3" w:themeShade="BF"/>
          <w:sz w:val="22"/>
          <w:szCs w:val="22"/>
        </w:rPr>
        <w:footnoteReference w:id="119"/>
      </w:r>
      <w:r w:rsidRPr="00A12FE0">
        <w:rPr>
          <w:rFonts w:ascii="Arial" w:hAnsi="Arial" w:cs="Arial"/>
          <w:color w:val="7B7B7B" w:themeColor="accent3" w:themeShade="BF"/>
          <w:sz w:val="22"/>
          <w:szCs w:val="22"/>
        </w:rPr>
        <w:t>. Article 3(1) further states that the COMI is where a "</w:t>
      </w:r>
      <w:r w:rsidRPr="00A12FE0">
        <w:rPr>
          <w:rFonts w:ascii="Arial" w:hAnsi="Arial" w:cs="Arial"/>
          <w:i/>
          <w:iCs/>
          <w:color w:val="7B7B7B" w:themeColor="accent3" w:themeShade="BF"/>
          <w:sz w:val="22"/>
          <w:szCs w:val="22"/>
        </w:rPr>
        <w:t>debtor conducts the administration of its interests on a regular basis and which is ascertainable by third parties</w:t>
      </w:r>
      <w:r w:rsidRPr="00A12FE0">
        <w:rPr>
          <w:rFonts w:ascii="Arial" w:hAnsi="Arial" w:cs="Arial"/>
          <w:color w:val="7B7B7B" w:themeColor="accent3" w:themeShade="BF"/>
          <w:sz w:val="22"/>
          <w:szCs w:val="22"/>
        </w:rPr>
        <w:t>."</w:t>
      </w:r>
      <w:r w:rsidR="00CD74C6" w:rsidRPr="00702E7C">
        <w:rPr>
          <w:rStyle w:val="FootnoteReference"/>
          <w:rFonts w:ascii="Arial" w:hAnsi="Arial" w:cs="Arial"/>
          <w:color w:val="7B7B7B" w:themeColor="accent3" w:themeShade="BF"/>
          <w:sz w:val="22"/>
          <w:szCs w:val="22"/>
        </w:rPr>
        <w:footnoteReference w:id="120"/>
      </w:r>
      <w:r w:rsidRPr="00A12FE0">
        <w:rPr>
          <w:rFonts w:ascii="Arial" w:hAnsi="Arial" w:cs="Arial"/>
          <w:color w:val="7B7B7B" w:themeColor="accent3" w:themeShade="BF"/>
          <w:sz w:val="22"/>
          <w:szCs w:val="22"/>
        </w:rPr>
        <w:t>.</w:t>
      </w:r>
      <w:r w:rsidR="007D0DE0" w:rsidRPr="00A12FE0">
        <w:rPr>
          <w:rFonts w:ascii="Arial" w:hAnsi="Arial" w:cs="Arial"/>
          <w:color w:val="7B7B7B" w:themeColor="accent3" w:themeShade="BF"/>
          <w:sz w:val="22"/>
          <w:szCs w:val="22"/>
        </w:rPr>
        <w:t xml:space="preserve"> </w:t>
      </w:r>
    </w:p>
    <w:p w14:paraId="06B2B433" w14:textId="77777777" w:rsidR="00B356FE" w:rsidRPr="00702E7C" w:rsidRDefault="00B356FE" w:rsidP="00B356FE">
      <w:pPr>
        <w:pStyle w:val="ListParagraph"/>
        <w:jc w:val="both"/>
        <w:rPr>
          <w:rFonts w:ascii="Arial" w:hAnsi="Arial" w:cs="Arial"/>
          <w:color w:val="7B7B7B" w:themeColor="accent3" w:themeShade="BF"/>
          <w:sz w:val="22"/>
          <w:szCs w:val="22"/>
        </w:rPr>
      </w:pPr>
    </w:p>
    <w:p w14:paraId="51908567" w14:textId="77777777" w:rsidR="0031719B" w:rsidRDefault="00B92E24" w:rsidP="00F959CC">
      <w:pPr>
        <w:pStyle w:val="ListParagraph"/>
        <w:jc w:val="both"/>
        <w:rPr>
          <w:rFonts w:ascii="Arial" w:hAnsi="Arial" w:cs="Arial"/>
          <w:color w:val="7B7B7B" w:themeColor="accent3" w:themeShade="BF"/>
          <w:sz w:val="22"/>
          <w:szCs w:val="22"/>
        </w:rPr>
      </w:pPr>
      <w:r w:rsidRPr="00702E7C">
        <w:rPr>
          <w:rFonts w:ascii="Arial" w:hAnsi="Arial" w:cs="Arial"/>
          <w:color w:val="7B7B7B" w:themeColor="accent3" w:themeShade="BF"/>
          <w:sz w:val="22"/>
          <w:szCs w:val="22"/>
        </w:rPr>
        <w:t xml:space="preserve">There is an internal element and an external element to the definition of COMI in Article 3(1). The internal element is to consider the </w:t>
      </w:r>
      <w:proofErr w:type="spellStart"/>
      <w:r w:rsidRPr="00702E7C">
        <w:rPr>
          <w:rFonts w:ascii="Arial" w:hAnsi="Arial" w:cs="Arial"/>
          <w:color w:val="7B7B7B" w:themeColor="accent3" w:themeShade="BF"/>
          <w:sz w:val="22"/>
          <w:szCs w:val="22"/>
        </w:rPr>
        <w:t>centre</w:t>
      </w:r>
      <w:proofErr w:type="spellEnd"/>
      <w:r w:rsidRPr="00702E7C">
        <w:rPr>
          <w:rFonts w:ascii="Arial" w:hAnsi="Arial" w:cs="Arial"/>
          <w:color w:val="7B7B7B" w:themeColor="accent3" w:themeShade="BF"/>
          <w:sz w:val="22"/>
          <w:szCs w:val="22"/>
        </w:rPr>
        <w:t xml:space="preserve"> of administration and the interest of the debtor.</w:t>
      </w:r>
      <w:r w:rsidR="00F959CC" w:rsidRPr="00702E7C">
        <w:rPr>
          <w:rFonts w:ascii="Arial" w:hAnsi="Arial" w:cs="Arial"/>
          <w:color w:val="7B7B7B" w:themeColor="accent3" w:themeShade="BF"/>
          <w:sz w:val="22"/>
          <w:szCs w:val="22"/>
        </w:rPr>
        <w:t xml:space="preserve"> From the fact pattern, most of Dinosaurus’ stores (11 stores out of 14 stores) and employees (80%) </w:t>
      </w:r>
      <w:proofErr w:type="gramStart"/>
      <w:r w:rsidR="00F959CC" w:rsidRPr="00702E7C">
        <w:rPr>
          <w:rFonts w:ascii="Arial" w:hAnsi="Arial" w:cs="Arial"/>
          <w:color w:val="7B7B7B" w:themeColor="accent3" w:themeShade="BF"/>
          <w:sz w:val="22"/>
          <w:szCs w:val="22"/>
        </w:rPr>
        <w:t>are located in</w:t>
      </w:r>
      <w:proofErr w:type="gramEnd"/>
      <w:r w:rsidR="00F959CC" w:rsidRPr="00702E7C">
        <w:rPr>
          <w:rFonts w:ascii="Arial" w:hAnsi="Arial" w:cs="Arial"/>
          <w:color w:val="7B7B7B" w:themeColor="accent3" w:themeShade="BF"/>
          <w:sz w:val="22"/>
          <w:szCs w:val="22"/>
        </w:rPr>
        <w:t xml:space="preserve"> France. There is also </w:t>
      </w:r>
      <w:r w:rsidR="008C2569" w:rsidRPr="009A2C57">
        <w:rPr>
          <w:rFonts w:ascii="Arial" w:hAnsi="Arial" w:cs="Arial"/>
          <w:color w:val="7B7B7B" w:themeColor="accent3" w:themeShade="BF"/>
          <w:sz w:val="22"/>
          <w:szCs w:val="22"/>
          <w:u w:val="single"/>
        </w:rPr>
        <w:t>no</w:t>
      </w:r>
      <w:r w:rsidR="008C2569" w:rsidRPr="00702E7C">
        <w:rPr>
          <w:rFonts w:ascii="Arial" w:hAnsi="Arial" w:cs="Arial"/>
          <w:color w:val="7B7B7B" w:themeColor="accent3" w:themeShade="BF"/>
          <w:sz w:val="22"/>
          <w:szCs w:val="22"/>
        </w:rPr>
        <w:t xml:space="preserve"> information to suggest </w:t>
      </w:r>
      <w:r w:rsidR="00F959CC" w:rsidRPr="00702E7C">
        <w:rPr>
          <w:rFonts w:ascii="Arial" w:hAnsi="Arial" w:cs="Arial"/>
          <w:color w:val="7B7B7B" w:themeColor="accent3" w:themeShade="BF"/>
          <w:sz w:val="22"/>
          <w:szCs w:val="22"/>
        </w:rPr>
        <w:t xml:space="preserve">that </w:t>
      </w:r>
      <w:proofErr w:type="spellStart"/>
      <w:r w:rsidR="00F959CC" w:rsidRPr="00702E7C">
        <w:rPr>
          <w:rFonts w:ascii="Arial" w:hAnsi="Arial" w:cs="Arial"/>
          <w:color w:val="7B7B7B" w:themeColor="accent3" w:themeShade="BF"/>
          <w:sz w:val="22"/>
          <w:szCs w:val="22"/>
        </w:rPr>
        <w:t>Dinosaurus</w:t>
      </w:r>
      <w:proofErr w:type="spellEnd"/>
      <w:r w:rsidR="00F959CC" w:rsidRPr="00702E7C">
        <w:rPr>
          <w:rFonts w:ascii="Arial" w:hAnsi="Arial" w:cs="Arial"/>
          <w:color w:val="7B7B7B" w:themeColor="accent3" w:themeShade="BF"/>
          <w:sz w:val="22"/>
          <w:szCs w:val="22"/>
        </w:rPr>
        <w:t xml:space="preserve">’ </w:t>
      </w:r>
      <w:proofErr w:type="spellStart"/>
      <w:r w:rsidR="00F959CC" w:rsidRPr="00702E7C">
        <w:rPr>
          <w:rFonts w:ascii="Arial" w:hAnsi="Arial" w:cs="Arial"/>
          <w:color w:val="7B7B7B" w:themeColor="accent3" w:themeShade="BF"/>
          <w:sz w:val="22"/>
          <w:szCs w:val="22"/>
        </w:rPr>
        <w:t>centre</w:t>
      </w:r>
      <w:proofErr w:type="spellEnd"/>
      <w:r w:rsidR="00F959CC" w:rsidRPr="00702E7C">
        <w:rPr>
          <w:rFonts w:ascii="Arial" w:hAnsi="Arial" w:cs="Arial"/>
          <w:color w:val="7B7B7B" w:themeColor="accent3" w:themeShade="BF"/>
          <w:sz w:val="22"/>
          <w:szCs w:val="22"/>
        </w:rPr>
        <w:t xml:space="preserve"> of administration is </w:t>
      </w:r>
      <w:r w:rsidR="00F959CC" w:rsidRPr="009A2C57">
        <w:rPr>
          <w:rFonts w:ascii="Arial" w:hAnsi="Arial" w:cs="Arial"/>
          <w:color w:val="7B7B7B" w:themeColor="accent3" w:themeShade="BF"/>
          <w:sz w:val="22"/>
          <w:szCs w:val="22"/>
          <w:u w:val="single"/>
        </w:rPr>
        <w:t>not</w:t>
      </w:r>
      <w:r w:rsidR="00F959CC" w:rsidRPr="00702E7C">
        <w:rPr>
          <w:rFonts w:ascii="Arial" w:hAnsi="Arial" w:cs="Arial"/>
          <w:color w:val="7B7B7B" w:themeColor="accent3" w:themeShade="BF"/>
          <w:sz w:val="22"/>
          <w:szCs w:val="22"/>
        </w:rPr>
        <w:t xml:space="preserve"> in France. </w:t>
      </w:r>
      <w:r w:rsidRPr="00702E7C">
        <w:rPr>
          <w:rFonts w:ascii="Arial" w:hAnsi="Arial" w:cs="Arial"/>
          <w:color w:val="7B7B7B" w:themeColor="accent3" w:themeShade="BF"/>
          <w:sz w:val="22"/>
          <w:szCs w:val="22"/>
        </w:rPr>
        <w:t>The external element</w:t>
      </w:r>
      <w:r w:rsidR="008C2569" w:rsidRPr="00702E7C">
        <w:rPr>
          <w:rFonts w:ascii="Arial" w:hAnsi="Arial" w:cs="Arial"/>
          <w:color w:val="7B7B7B" w:themeColor="accent3" w:themeShade="BF"/>
          <w:sz w:val="22"/>
          <w:szCs w:val="22"/>
        </w:rPr>
        <w:t xml:space="preserve"> to the definition of COMI</w:t>
      </w:r>
      <w:r w:rsidRPr="00702E7C">
        <w:rPr>
          <w:rFonts w:ascii="Arial" w:hAnsi="Arial" w:cs="Arial"/>
          <w:color w:val="7B7B7B" w:themeColor="accent3" w:themeShade="BF"/>
          <w:sz w:val="22"/>
          <w:szCs w:val="22"/>
        </w:rPr>
        <w:t xml:space="preserve"> is that the location of the </w:t>
      </w:r>
      <w:proofErr w:type="spellStart"/>
      <w:r w:rsidRPr="00702E7C">
        <w:rPr>
          <w:rFonts w:ascii="Arial" w:hAnsi="Arial" w:cs="Arial"/>
          <w:color w:val="7B7B7B" w:themeColor="accent3" w:themeShade="BF"/>
          <w:sz w:val="22"/>
          <w:szCs w:val="22"/>
        </w:rPr>
        <w:t>centre</w:t>
      </w:r>
      <w:proofErr w:type="spellEnd"/>
      <w:r w:rsidRPr="00702E7C">
        <w:rPr>
          <w:rFonts w:ascii="Arial" w:hAnsi="Arial" w:cs="Arial"/>
          <w:color w:val="7B7B7B" w:themeColor="accent3" w:themeShade="BF"/>
          <w:sz w:val="22"/>
          <w:szCs w:val="22"/>
        </w:rPr>
        <w:t xml:space="preserve"> of administration must be objective and ascertainable by third parties. </w:t>
      </w:r>
      <w:r w:rsidR="008C2569" w:rsidRPr="00702E7C">
        <w:rPr>
          <w:rFonts w:ascii="Arial" w:hAnsi="Arial" w:cs="Arial"/>
          <w:color w:val="7B7B7B" w:themeColor="accent3" w:themeShade="BF"/>
          <w:sz w:val="22"/>
          <w:szCs w:val="22"/>
        </w:rPr>
        <w:t xml:space="preserve">From the fact pattern, there is also no information to suggest that a third party would consider the location of the </w:t>
      </w:r>
      <w:proofErr w:type="spellStart"/>
      <w:r w:rsidR="008C2569" w:rsidRPr="00702E7C">
        <w:rPr>
          <w:rFonts w:ascii="Arial" w:hAnsi="Arial" w:cs="Arial"/>
          <w:color w:val="7B7B7B" w:themeColor="accent3" w:themeShade="BF"/>
          <w:sz w:val="22"/>
          <w:szCs w:val="22"/>
        </w:rPr>
        <w:t>centre</w:t>
      </w:r>
      <w:proofErr w:type="spellEnd"/>
      <w:r w:rsidR="008C2569" w:rsidRPr="00702E7C">
        <w:rPr>
          <w:rFonts w:ascii="Arial" w:hAnsi="Arial" w:cs="Arial"/>
          <w:color w:val="7B7B7B" w:themeColor="accent3" w:themeShade="BF"/>
          <w:sz w:val="22"/>
          <w:szCs w:val="22"/>
        </w:rPr>
        <w:t xml:space="preserve"> of administration to be elsewhere other than France. </w:t>
      </w:r>
    </w:p>
    <w:p w14:paraId="20D970C3" w14:textId="77777777" w:rsidR="0031719B" w:rsidRDefault="0031719B" w:rsidP="00F959CC">
      <w:pPr>
        <w:pStyle w:val="ListParagraph"/>
        <w:jc w:val="both"/>
        <w:rPr>
          <w:rFonts w:ascii="Arial" w:hAnsi="Arial" w:cs="Arial"/>
          <w:color w:val="7B7B7B" w:themeColor="accent3" w:themeShade="BF"/>
          <w:sz w:val="22"/>
          <w:szCs w:val="22"/>
        </w:rPr>
      </w:pPr>
    </w:p>
    <w:p w14:paraId="70FBCAA8" w14:textId="528B52AC" w:rsidR="00CD74C6" w:rsidRPr="0031719B" w:rsidRDefault="008C2569" w:rsidP="0031719B">
      <w:pPr>
        <w:pStyle w:val="ListParagraph"/>
        <w:jc w:val="both"/>
        <w:rPr>
          <w:rFonts w:ascii="Arial" w:hAnsi="Arial" w:cs="Arial"/>
          <w:color w:val="7B7B7B" w:themeColor="accent3" w:themeShade="BF"/>
          <w:sz w:val="22"/>
          <w:szCs w:val="22"/>
        </w:rPr>
      </w:pPr>
      <w:r w:rsidRPr="00702E7C">
        <w:rPr>
          <w:rFonts w:ascii="Arial" w:hAnsi="Arial" w:cs="Arial"/>
          <w:color w:val="7B7B7B" w:themeColor="accent3" w:themeShade="BF"/>
          <w:sz w:val="22"/>
          <w:szCs w:val="22"/>
        </w:rPr>
        <w:t>COMI is made even more predictable</w:t>
      </w:r>
      <w:r w:rsidRPr="00702E7C">
        <w:rPr>
          <w:rStyle w:val="FootnoteReference"/>
          <w:rFonts w:ascii="Arial" w:hAnsi="Arial" w:cs="Arial"/>
          <w:color w:val="7B7B7B" w:themeColor="accent3" w:themeShade="BF"/>
          <w:sz w:val="22"/>
          <w:szCs w:val="22"/>
        </w:rPr>
        <w:footnoteReference w:id="121"/>
      </w:r>
      <w:r w:rsidRPr="00702E7C">
        <w:rPr>
          <w:rFonts w:ascii="Arial" w:hAnsi="Arial" w:cs="Arial"/>
          <w:color w:val="7B7B7B" w:themeColor="accent3" w:themeShade="BF"/>
          <w:sz w:val="22"/>
          <w:szCs w:val="22"/>
        </w:rPr>
        <w:t xml:space="preserve"> by the EIR Recast containing a registered office presumption</w:t>
      </w:r>
      <w:r w:rsidRPr="00702E7C">
        <w:rPr>
          <w:rStyle w:val="FootnoteReference"/>
          <w:rFonts w:ascii="Arial" w:hAnsi="Arial" w:cs="Arial"/>
          <w:color w:val="7B7B7B" w:themeColor="accent3" w:themeShade="BF"/>
          <w:sz w:val="22"/>
          <w:szCs w:val="22"/>
        </w:rPr>
        <w:footnoteReference w:id="122"/>
      </w:r>
      <w:r w:rsidRPr="00702E7C">
        <w:rPr>
          <w:rFonts w:ascii="Arial" w:hAnsi="Arial" w:cs="Arial"/>
          <w:color w:val="7B7B7B" w:themeColor="accent3" w:themeShade="BF"/>
          <w:sz w:val="22"/>
          <w:szCs w:val="22"/>
        </w:rPr>
        <w:t>.</w:t>
      </w:r>
      <w:r w:rsidR="0031719B">
        <w:rPr>
          <w:rFonts w:ascii="Arial" w:hAnsi="Arial" w:cs="Arial"/>
          <w:color w:val="7B7B7B" w:themeColor="accent3" w:themeShade="BF"/>
          <w:sz w:val="22"/>
          <w:szCs w:val="22"/>
        </w:rPr>
        <w:t xml:space="preserve"> </w:t>
      </w:r>
      <w:r w:rsidR="0063094D" w:rsidRPr="0031719B">
        <w:rPr>
          <w:rFonts w:ascii="Arial" w:hAnsi="Arial" w:cs="Arial"/>
          <w:color w:val="7B7B7B" w:themeColor="accent3" w:themeShade="BF"/>
          <w:sz w:val="22"/>
          <w:szCs w:val="22"/>
        </w:rPr>
        <w:t>For a company such as Dinosaurus, the place of its registered office is presumed to be the COMI (in the absence of proof to the contrary)</w:t>
      </w:r>
      <w:r w:rsidR="00CD74C6" w:rsidRPr="00702E7C">
        <w:rPr>
          <w:rStyle w:val="FootnoteReference"/>
          <w:rFonts w:ascii="Arial" w:hAnsi="Arial" w:cs="Arial"/>
          <w:color w:val="7B7B7B" w:themeColor="accent3" w:themeShade="BF"/>
          <w:sz w:val="22"/>
          <w:szCs w:val="22"/>
        </w:rPr>
        <w:footnoteReference w:id="123"/>
      </w:r>
      <w:r w:rsidR="0063094D" w:rsidRPr="0031719B">
        <w:rPr>
          <w:rFonts w:ascii="Arial" w:hAnsi="Arial" w:cs="Arial"/>
          <w:color w:val="7B7B7B" w:themeColor="accent3" w:themeShade="BF"/>
          <w:sz w:val="22"/>
          <w:szCs w:val="22"/>
        </w:rPr>
        <w:t>.</w:t>
      </w:r>
      <w:r w:rsidRPr="0031719B">
        <w:rPr>
          <w:rFonts w:ascii="Arial" w:hAnsi="Arial" w:cs="Arial"/>
          <w:color w:val="7B7B7B" w:themeColor="accent3" w:themeShade="BF"/>
          <w:sz w:val="22"/>
          <w:szCs w:val="22"/>
        </w:rPr>
        <w:t xml:space="preserve"> </w:t>
      </w:r>
      <w:r w:rsidR="00CD74C6" w:rsidRPr="0031719B">
        <w:rPr>
          <w:rFonts w:ascii="Arial" w:hAnsi="Arial" w:cs="Arial"/>
          <w:color w:val="7B7B7B" w:themeColor="accent3" w:themeShade="BF"/>
          <w:sz w:val="22"/>
          <w:szCs w:val="22"/>
        </w:rPr>
        <w:t>From the wording of Article 3(1), the EIR Recast / courts of EU Member States will only have jurisdiction to open insolvency proceedings if the debtor's COMI is located within the EU. Dinosaurus was incorporated in France. France is a Member State of the EU (indeed it was one of the founding members). As stated above, Article 3(1) presumes that the COMI is where the debtor company's place of registered office is. Therefore, France is presumed to be where Dinosaurus' COMI is. From the fact pattern, there is insufficient evidence to rebut the presumption that Dinosaurus' COMI is</w:t>
      </w:r>
      <w:r w:rsidR="0031719B">
        <w:rPr>
          <w:rFonts w:ascii="Arial" w:hAnsi="Arial" w:cs="Arial"/>
          <w:color w:val="7B7B7B" w:themeColor="accent3" w:themeShade="BF"/>
          <w:sz w:val="22"/>
          <w:szCs w:val="22"/>
        </w:rPr>
        <w:t xml:space="preserve"> </w:t>
      </w:r>
      <w:r w:rsidR="00CD74C6" w:rsidRPr="0031719B">
        <w:rPr>
          <w:rFonts w:ascii="Arial" w:hAnsi="Arial" w:cs="Arial"/>
          <w:color w:val="7B7B7B" w:themeColor="accent3" w:themeShade="BF"/>
          <w:sz w:val="22"/>
          <w:szCs w:val="22"/>
        </w:rPr>
        <w:t xml:space="preserve">in France. We are informed that </w:t>
      </w:r>
      <w:proofErr w:type="spellStart"/>
      <w:r w:rsidR="00CD74C6" w:rsidRPr="0031719B">
        <w:rPr>
          <w:rFonts w:ascii="Arial" w:hAnsi="Arial" w:cs="Arial"/>
          <w:color w:val="7B7B7B" w:themeColor="accent3" w:themeShade="BF"/>
          <w:sz w:val="22"/>
          <w:szCs w:val="22"/>
        </w:rPr>
        <w:t>Dionsaurus</w:t>
      </w:r>
      <w:proofErr w:type="spellEnd"/>
      <w:r w:rsidR="00CD74C6" w:rsidRPr="0031719B">
        <w:rPr>
          <w:rFonts w:ascii="Arial" w:hAnsi="Arial" w:cs="Arial"/>
          <w:color w:val="7B7B7B" w:themeColor="accent3" w:themeShade="BF"/>
          <w:sz w:val="22"/>
          <w:szCs w:val="22"/>
        </w:rPr>
        <w:t xml:space="preserve"> "</w:t>
      </w:r>
      <w:r w:rsidR="00CD74C6" w:rsidRPr="0031719B">
        <w:rPr>
          <w:rFonts w:ascii="Arial" w:hAnsi="Arial" w:cs="Arial"/>
          <w:i/>
          <w:iCs/>
          <w:color w:val="7B7B7B" w:themeColor="accent3" w:themeShade="BF"/>
          <w:sz w:val="22"/>
          <w:szCs w:val="22"/>
        </w:rPr>
        <w:t>has an office in Cork, Ireland</w:t>
      </w:r>
      <w:r w:rsidR="00CD74C6" w:rsidRPr="0031719B">
        <w:rPr>
          <w:rFonts w:ascii="Arial" w:hAnsi="Arial" w:cs="Arial"/>
          <w:color w:val="7B7B7B" w:themeColor="accent3" w:themeShade="BF"/>
          <w:sz w:val="22"/>
          <w:szCs w:val="22"/>
        </w:rPr>
        <w:t xml:space="preserve">." However, there is insufficient detail in the fact pattern as to the function of the office - for example, whether it is where Dinosaurus would conduct the administration of its interests on a regular basis (in accordance with Article 3(1)) or </w:t>
      </w:r>
      <w:r w:rsidR="0031719B">
        <w:rPr>
          <w:rFonts w:ascii="Arial" w:hAnsi="Arial" w:cs="Arial"/>
          <w:color w:val="7B7B7B" w:themeColor="accent3" w:themeShade="BF"/>
          <w:sz w:val="22"/>
          <w:szCs w:val="22"/>
        </w:rPr>
        <w:t>whether</w:t>
      </w:r>
      <w:r w:rsidR="00CD74C6" w:rsidRPr="0031719B">
        <w:rPr>
          <w:rFonts w:ascii="Arial" w:hAnsi="Arial" w:cs="Arial"/>
          <w:color w:val="7B7B7B" w:themeColor="accent3" w:themeShade="BF"/>
          <w:sz w:val="22"/>
          <w:szCs w:val="22"/>
        </w:rPr>
        <w:t xml:space="preserve"> the office </w:t>
      </w:r>
      <w:r w:rsidR="0031719B">
        <w:rPr>
          <w:rFonts w:ascii="Arial" w:hAnsi="Arial" w:cs="Arial"/>
          <w:color w:val="7B7B7B" w:themeColor="accent3" w:themeShade="BF"/>
          <w:sz w:val="22"/>
          <w:szCs w:val="22"/>
        </w:rPr>
        <w:t xml:space="preserve">is </w:t>
      </w:r>
      <w:r w:rsidR="00CD74C6" w:rsidRPr="0031719B">
        <w:rPr>
          <w:rFonts w:ascii="Arial" w:hAnsi="Arial" w:cs="Arial"/>
          <w:color w:val="7B7B7B" w:themeColor="accent3" w:themeShade="BF"/>
          <w:sz w:val="22"/>
          <w:szCs w:val="22"/>
        </w:rPr>
        <w:t>merely for, say, marketing or recruitment purposes. Given the lack of information as to the function of this office, Dinosaurus' COMI is presumed to be in France. Even in the unlikely event that Dinosaurus' COMI is adjudged to be in Ireland, Ireland is a Member State of the EU (having joined in 1973) and therefore would</w:t>
      </w:r>
      <w:r w:rsidR="0031719B">
        <w:rPr>
          <w:rFonts w:ascii="Arial" w:hAnsi="Arial" w:cs="Arial"/>
          <w:color w:val="7B7B7B" w:themeColor="accent3" w:themeShade="BF"/>
          <w:sz w:val="22"/>
          <w:szCs w:val="22"/>
        </w:rPr>
        <w:t xml:space="preserve"> still</w:t>
      </w:r>
      <w:r w:rsidR="00CD74C6" w:rsidRPr="0031719B">
        <w:rPr>
          <w:rFonts w:ascii="Arial" w:hAnsi="Arial" w:cs="Arial"/>
          <w:color w:val="7B7B7B" w:themeColor="accent3" w:themeShade="BF"/>
          <w:sz w:val="22"/>
          <w:szCs w:val="22"/>
        </w:rPr>
        <w:t xml:space="preserve"> satisfy the territorial scope of the EIR Recast in any event.</w:t>
      </w:r>
    </w:p>
    <w:p w14:paraId="2E105FB8" w14:textId="77777777" w:rsidR="00030C35" w:rsidRPr="00702E7C" w:rsidRDefault="00030C35" w:rsidP="00CD74C6">
      <w:pPr>
        <w:jc w:val="both"/>
        <w:rPr>
          <w:rFonts w:ascii="Arial" w:hAnsi="Arial" w:cs="Arial"/>
          <w:color w:val="7B7B7B" w:themeColor="accent3" w:themeShade="BF"/>
          <w:sz w:val="22"/>
          <w:szCs w:val="22"/>
        </w:rPr>
      </w:pPr>
    </w:p>
    <w:p w14:paraId="285B87A2" w14:textId="7F248948" w:rsidR="0063094D" w:rsidRPr="00702E7C" w:rsidRDefault="0063094D" w:rsidP="00561A78">
      <w:pPr>
        <w:pStyle w:val="ListParagraph"/>
        <w:numPr>
          <w:ilvl w:val="0"/>
          <w:numId w:val="24"/>
        </w:numPr>
        <w:jc w:val="both"/>
        <w:rPr>
          <w:rFonts w:ascii="Arial" w:hAnsi="Arial" w:cs="Arial"/>
          <w:color w:val="7B7B7B" w:themeColor="accent3" w:themeShade="BF"/>
          <w:sz w:val="22"/>
          <w:szCs w:val="22"/>
        </w:rPr>
      </w:pPr>
      <w:r w:rsidRPr="00702E7C">
        <w:rPr>
          <w:rFonts w:ascii="Arial" w:hAnsi="Arial" w:cs="Arial"/>
          <w:color w:val="7B7B7B" w:themeColor="accent3" w:themeShade="BF"/>
          <w:sz w:val="22"/>
          <w:szCs w:val="22"/>
        </w:rPr>
        <w:t xml:space="preserve">Personal scope </w:t>
      </w:r>
      <w:r w:rsidR="00CD74C6" w:rsidRPr="00702E7C">
        <w:rPr>
          <w:rFonts w:ascii="Arial" w:hAnsi="Arial" w:cs="Arial"/>
          <w:color w:val="7B7B7B" w:themeColor="accent3" w:themeShade="BF"/>
          <w:sz w:val="22"/>
          <w:szCs w:val="22"/>
        </w:rPr>
        <w:t>–</w:t>
      </w:r>
      <w:r w:rsidRPr="00702E7C">
        <w:rPr>
          <w:rFonts w:ascii="Arial" w:hAnsi="Arial" w:cs="Arial"/>
          <w:color w:val="7B7B7B" w:themeColor="accent3" w:themeShade="BF"/>
          <w:sz w:val="22"/>
          <w:szCs w:val="22"/>
        </w:rPr>
        <w:t> </w:t>
      </w:r>
      <w:r w:rsidR="00561A78" w:rsidRPr="00702E7C">
        <w:rPr>
          <w:rFonts w:ascii="Arial" w:hAnsi="Arial" w:cs="Arial"/>
          <w:color w:val="7B7B7B" w:themeColor="accent3" w:themeShade="BF"/>
          <w:sz w:val="22"/>
          <w:szCs w:val="22"/>
        </w:rPr>
        <w:t>The EIR Recast applies to insolvency proceedings which meet the conditions set out in the EIR Recast, including where the debtor is a legal person</w:t>
      </w:r>
      <w:r w:rsidR="00561A78" w:rsidRPr="00702E7C">
        <w:rPr>
          <w:rStyle w:val="FootnoteReference"/>
          <w:rFonts w:ascii="Arial" w:hAnsi="Arial" w:cs="Arial"/>
          <w:color w:val="7B7B7B" w:themeColor="accent3" w:themeShade="BF"/>
          <w:sz w:val="22"/>
          <w:szCs w:val="22"/>
        </w:rPr>
        <w:footnoteReference w:id="124"/>
      </w:r>
      <w:r w:rsidR="00561A78" w:rsidRPr="00702E7C">
        <w:rPr>
          <w:rFonts w:ascii="Arial" w:hAnsi="Arial" w:cs="Arial"/>
          <w:color w:val="7B7B7B" w:themeColor="accent3" w:themeShade="BF"/>
          <w:sz w:val="22"/>
          <w:szCs w:val="22"/>
        </w:rPr>
        <w:t xml:space="preserve">. Dinosaurus is a SARL which is a form of private company in France. Dinosaurus is not </w:t>
      </w:r>
      <w:r w:rsidR="00561A78" w:rsidRPr="00702E7C">
        <w:rPr>
          <w:rFonts w:ascii="Arial" w:hAnsi="Arial" w:cs="Arial"/>
          <w:color w:val="7B7B7B" w:themeColor="accent3" w:themeShade="BF"/>
          <w:sz w:val="22"/>
          <w:szCs w:val="22"/>
        </w:rPr>
        <w:lastRenderedPageBreak/>
        <w:t>an entity such as a</w:t>
      </w:r>
      <w:r w:rsidR="00A12FE0">
        <w:rPr>
          <w:rFonts w:ascii="Arial" w:hAnsi="Arial" w:cs="Arial"/>
          <w:color w:val="7B7B7B" w:themeColor="accent3" w:themeShade="BF"/>
          <w:sz w:val="22"/>
          <w:szCs w:val="22"/>
        </w:rPr>
        <w:t xml:space="preserve"> </w:t>
      </w:r>
      <w:r w:rsidR="00561A78" w:rsidRPr="00702E7C">
        <w:rPr>
          <w:rFonts w:ascii="Arial" w:hAnsi="Arial" w:cs="Arial"/>
          <w:color w:val="7B7B7B" w:themeColor="accent3" w:themeShade="BF"/>
          <w:sz w:val="22"/>
          <w:szCs w:val="22"/>
        </w:rPr>
        <w:t>credit institution that is explicitly excluded</w:t>
      </w:r>
      <w:r w:rsidR="00561A78" w:rsidRPr="00702E7C">
        <w:rPr>
          <w:rStyle w:val="FootnoteReference"/>
          <w:rFonts w:ascii="Arial" w:hAnsi="Arial" w:cs="Arial"/>
          <w:color w:val="7B7B7B" w:themeColor="accent3" w:themeShade="BF"/>
          <w:sz w:val="22"/>
          <w:szCs w:val="22"/>
        </w:rPr>
        <w:footnoteReference w:id="125"/>
      </w:r>
      <w:r w:rsidR="00561A78" w:rsidRPr="00702E7C">
        <w:rPr>
          <w:rFonts w:ascii="Arial" w:hAnsi="Arial" w:cs="Arial"/>
          <w:color w:val="7B7B7B" w:themeColor="accent3" w:themeShade="BF"/>
          <w:sz w:val="22"/>
          <w:szCs w:val="22"/>
        </w:rPr>
        <w:t xml:space="preserve"> from the personal scope of the EIR Recast. </w:t>
      </w:r>
      <w:proofErr w:type="gramStart"/>
      <w:r w:rsidR="00D85ADA" w:rsidRPr="00702E7C">
        <w:rPr>
          <w:rFonts w:ascii="Arial" w:hAnsi="Arial" w:cs="Arial"/>
          <w:color w:val="7B7B7B" w:themeColor="accent3" w:themeShade="BF"/>
          <w:sz w:val="22"/>
          <w:szCs w:val="22"/>
        </w:rPr>
        <w:t>In light of</w:t>
      </w:r>
      <w:proofErr w:type="gramEnd"/>
      <w:r w:rsidR="00D85ADA" w:rsidRPr="00702E7C">
        <w:rPr>
          <w:rFonts w:ascii="Arial" w:hAnsi="Arial" w:cs="Arial"/>
          <w:color w:val="7B7B7B" w:themeColor="accent3" w:themeShade="BF"/>
          <w:sz w:val="22"/>
          <w:szCs w:val="22"/>
        </w:rPr>
        <w:t xml:space="preserve"> this, the fact pattern falls with</w:t>
      </w:r>
      <w:r w:rsidR="00561A78" w:rsidRPr="00702E7C">
        <w:rPr>
          <w:rFonts w:ascii="Arial" w:hAnsi="Arial" w:cs="Arial"/>
          <w:color w:val="7B7B7B" w:themeColor="accent3" w:themeShade="BF"/>
          <w:sz w:val="22"/>
          <w:szCs w:val="22"/>
        </w:rPr>
        <w:t>in</w:t>
      </w:r>
      <w:r w:rsidR="00D85ADA" w:rsidRPr="00702E7C">
        <w:rPr>
          <w:rFonts w:ascii="Arial" w:hAnsi="Arial" w:cs="Arial"/>
          <w:color w:val="7B7B7B" w:themeColor="accent3" w:themeShade="BF"/>
          <w:sz w:val="22"/>
          <w:szCs w:val="22"/>
        </w:rPr>
        <w:t xml:space="preserve"> the personal scope of the EIR Recast.</w:t>
      </w:r>
    </w:p>
    <w:p w14:paraId="3F3943E7" w14:textId="77777777" w:rsidR="00CD74C6" w:rsidRPr="00702E7C" w:rsidRDefault="00CD74C6" w:rsidP="00CD74C6">
      <w:pPr>
        <w:jc w:val="both"/>
        <w:rPr>
          <w:rFonts w:ascii="Arial" w:hAnsi="Arial" w:cs="Arial"/>
          <w:color w:val="7B7B7B" w:themeColor="accent3" w:themeShade="BF"/>
          <w:sz w:val="22"/>
          <w:szCs w:val="22"/>
        </w:rPr>
      </w:pPr>
    </w:p>
    <w:p w14:paraId="211FD790" w14:textId="02BB31A5" w:rsidR="00561A78" w:rsidRPr="00702E7C" w:rsidRDefault="0063094D" w:rsidP="004D6EB7">
      <w:pPr>
        <w:pStyle w:val="ListParagraph"/>
        <w:numPr>
          <w:ilvl w:val="0"/>
          <w:numId w:val="24"/>
        </w:numPr>
        <w:jc w:val="both"/>
        <w:rPr>
          <w:rFonts w:ascii="Arial" w:hAnsi="Arial" w:cs="Arial"/>
          <w:color w:val="7B7B7B" w:themeColor="accent3" w:themeShade="BF"/>
          <w:sz w:val="22"/>
          <w:szCs w:val="22"/>
        </w:rPr>
      </w:pPr>
      <w:r w:rsidRPr="00702E7C">
        <w:rPr>
          <w:rFonts w:ascii="Arial" w:hAnsi="Arial" w:cs="Arial"/>
          <w:color w:val="7B7B7B" w:themeColor="accent3" w:themeShade="BF"/>
          <w:sz w:val="22"/>
          <w:szCs w:val="22"/>
        </w:rPr>
        <w:t xml:space="preserve">Material scope </w:t>
      </w:r>
      <w:r w:rsidR="00561A78" w:rsidRPr="00702E7C">
        <w:rPr>
          <w:rFonts w:ascii="Arial" w:hAnsi="Arial" w:cs="Arial"/>
          <w:color w:val="7B7B7B" w:themeColor="accent3" w:themeShade="BF"/>
          <w:sz w:val="22"/>
          <w:szCs w:val="22"/>
        </w:rPr>
        <w:t>–</w:t>
      </w:r>
      <w:r w:rsidRPr="00702E7C">
        <w:rPr>
          <w:rFonts w:ascii="Arial" w:hAnsi="Arial" w:cs="Arial"/>
          <w:color w:val="7B7B7B" w:themeColor="accent3" w:themeShade="BF"/>
          <w:sz w:val="22"/>
          <w:szCs w:val="22"/>
        </w:rPr>
        <w:t> </w:t>
      </w:r>
      <w:r w:rsidR="00C40ED4" w:rsidRPr="00702E7C">
        <w:rPr>
          <w:rFonts w:ascii="Arial" w:hAnsi="Arial" w:cs="Arial"/>
          <w:color w:val="7B7B7B" w:themeColor="accent3" w:themeShade="BF"/>
          <w:sz w:val="22"/>
          <w:szCs w:val="22"/>
        </w:rPr>
        <w:t>Both Recital 9 and Article 2(4) of the EIR Recast state that for</w:t>
      </w:r>
      <w:r w:rsidR="00B60FFD" w:rsidRPr="00702E7C">
        <w:rPr>
          <w:rFonts w:ascii="Arial" w:hAnsi="Arial" w:cs="Arial"/>
          <w:color w:val="7B7B7B" w:themeColor="accent3" w:themeShade="BF"/>
          <w:sz w:val="22"/>
          <w:szCs w:val="22"/>
        </w:rPr>
        <w:t xml:space="preserve"> the EIR Recast to apply, the insolvency proceedings in question </w:t>
      </w:r>
      <w:proofErr w:type="gramStart"/>
      <w:r w:rsidR="00B60FFD" w:rsidRPr="00702E7C">
        <w:rPr>
          <w:rFonts w:ascii="Arial" w:hAnsi="Arial" w:cs="Arial"/>
          <w:color w:val="7B7B7B" w:themeColor="accent3" w:themeShade="BF"/>
          <w:sz w:val="22"/>
          <w:szCs w:val="22"/>
        </w:rPr>
        <w:t>have to</w:t>
      </w:r>
      <w:proofErr w:type="gramEnd"/>
      <w:r w:rsidR="00B60FFD" w:rsidRPr="00702E7C">
        <w:rPr>
          <w:rFonts w:ascii="Arial" w:hAnsi="Arial" w:cs="Arial"/>
          <w:color w:val="7B7B7B" w:themeColor="accent3" w:themeShade="BF"/>
          <w:sz w:val="22"/>
          <w:szCs w:val="22"/>
        </w:rPr>
        <w:t xml:space="preserve"> be the proceedings which are listed in Annex A of the EIR Recas</w:t>
      </w:r>
      <w:r w:rsidR="00C40ED4" w:rsidRPr="00702E7C">
        <w:rPr>
          <w:rFonts w:ascii="Arial" w:hAnsi="Arial" w:cs="Arial"/>
          <w:color w:val="7B7B7B" w:themeColor="accent3" w:themeShade="BF"/>
          <w:sz w:val="22"/>
          <w:szCs w:val="22"/>
        </w:rPr>
        <w:t>t</w:t>
      </w:r>
      <w:r w:rsidR="00B60FFD" w:rsidRPr="00702E7C">
        <w:rPr>
          <w:rStyle w:val="FootnoteReference"/>
          <w:rFonts w:ascii="Arial" w:hAnsi="Arial" w:cs="Arial"/>
          <w:color w:val="7B7B7B" w:themeColor="accent3" w:themeShade="BF"/>
          <w:sz w:val="22"/>
          <w:szCs w:val="22"/>
        </w:rPr>
        <w:footnoteReference w:id="126"/>
      </w:r>
      <w:r w:rsidR="00B60FFD" w:rsidRPr="00702E7C">
        <w:rPr>
          <w:rFonts w:ascii="Arial" w:hAnsi="Arial" w:cs="Arial"/>
          <w:color w:val="7B7B7B" w:themeColor="accent3" w:themeShade="BF"/>
          <w:sz w:val="22"/>
          <w:szCs w:val="22"/>
        </w:rPr>
        <w:t xml:space="preserve">. The safeguard proceedings opened by </w:t>
      </w:r>
      <w:proofErr w:type="spellStart"/>
      <w:r w:rsidR="00B60FFD" w:rsidRPr="00702E7C">
        <w:rPr>
          <w:rFonts w:ascii="Arial" w:hAnsi="Arial" w:cs="Arial"/>
          <w:color w:val="7B7B7B" w:themeColor="accent3" w:themeShade="BF"/>
          <w:sz w:val="22"/>
          <w:szCs w:val="22"/>
        </w:rPr>
        <w:t>Dinosaurus</w:t>
      </w:r>
      <w:proofErr w:type="spellEnd"/>
      <w:r w:rsidR="00B60FFD" w:rsidRPr="00702E7C">
        <w:rPr>
          <w:rFonts w:ascii="Arial" w:hAnsi="Arial" w:cs="Arial"/>
          <w:color w:val="7B7B7B" w:themeColor="accent3" w:themeShade="BF"/>
          <w:sz w:val="22"/>
          <w:szCs w:val="22"/>
        </w:rPr>
        <w:t xml:space="preserve">, </w:t>
      </w:r>
      <w:proofErr w:type="spellStart"/>
      <w:r w:rsidR="00B60FFD" w:rsidRPr="00702E7C">
        <w:rPr>
          <w:rFonts w:ascii="Arial" w:hAnsi="Arial" w:cs="Arial"/>
          <w:i/>
          <w:iCs/>
          <w:color w:val="7B7B7B" w:themeColor="accent3" w:themeShade="BF"/>
          <w:sz w:val="22"/>
          <w:szCs w:val="22"/>
        </w:rPr>
        <w:t>sauvegarde</w:t>
      </w:r>
      <w:proofErr w:type="spellEnd"/>
      <w:r w:rsidR="00B60FFD" w:rsidRPr="00702E7C">
        <w:rPr>
          <w:rFonts w:ascii="Arial" w:hAnsi="Arial" w:cs="Arial"/>
          <w:color w:val="7B7B7B" w:themeColor="accent3" w:themeShade="BF"/>
          <w:sz w:val="22"/>
          <w:szCs w:val="22"/>
        </w:rPr>
        <w:t>, is listed in Annex A of the EIR Recast</w:t>
      </w:r>
      <w:r w:rsidR="00B60FFD" w:rsidRPr="00702E7C">
        <w:rPr>
          <w:rStyle w:val="FootnoteReference"/>
          <w:rFonts w:ascii="Arial" w:hAnsi="Arial" w:cs="Arial"/>
          <w:color w:val="7B7B7B" w:themeColor="accent3" w:themeShade="BF"/>
          <w:sz w:val="22"/>
          <w:szCs w:val="22"/>
        </w:rPr>
        <w:footnoteReference w:id="127"/>
      </w:r>
      <w:r w:rsidR="00C40ED4" w:rsidRPr="00702E7C">
        <w:rPr>
          <w:rFonts w:ascii="Arial" w:hAnsi="Arial" w:cs="Arial"/>
          <w:color w:val="7B7B7B" w:themeColor="accent3" w:themeShade="BF"/>
          <w:sz w:val="22"/>
          <w:szCs w:val="22"/>
        </w:rPr>
        <w:t>. T</w:t>
      </w:r>
      <w:r w:rsidR="00B60FFD" w:rsidRPr="00702E7C">
        <w:rPr>
          <w:rFonts w:ascii="Arial" w:hAnsi="Arial" w:cs="Arial"/>
          <w:color w:val="7B7B7B" w:themeColor="accent3" w:themeShade="BF"/>
          <w:sz w:val="22"/>
          <w:szCs w:val="22"/>
        </w:rPr>
        <w:t xml:space="preserve">he material scope of the EIR Recast has </w:t>
      </w:r>
      <w:r w:rsidR="00C40ED4" w:rsidRPr="00702E7C">
        <w:rPr>
          <w:rFonts w:ascii="Arial" w:hAnsi="Arial" w:cs="Arial"/>
          <w:color w:val="7B7B7B" w:themeColor="accent3" w:themeShade="BF"/>
          <w:sz w:val="22"/>
          <w:szCs w:val="22"/>
        </w:rPr>
        <w:t xml:space="preserve">therefore </w:t>
      </w:r>
      <w:r w:rsidR="00B60FFD" w:rsidRPr="00702E7C">
        <w:rPr>
          <w:rFonts w:ascii="Arial" w:hAnsi="Arial" w:cs="Arial"/>
          <w:color w:val="7B7B7B" w:themeColor="accent3" w:themeShade="BF"/>
          <w:sz w:val="22"/>
          <w:szCs w:val="22"/>
        </w:rPr>
        <w:t>bee</w:t>
      </w:r>
      <w:r w:rsidR="00A12FE0">
        <w:rPr>
          <w:rFonts w:ascii="Arial" w:hAnsi="Arial" w:cs="Arial"/>
          <w:color w:val="7B7B7B" w:themeColor="accent3" w:themeShade="BF"/>
          <w:sz w:val="22"/>
          <w:szCs w:val="22"/>
        </w:rPr>
        <w:t>n satisfied</w:t>
      </w:r>
      <w:r w:rsidR="00B60FFD" w:rsidRPr="00702E7C">
        <w:rPr>
          <w:rFonts w:ascii="Arial" w:hAnsi="Arial" w:cs="Arial"/>
          <w:color w:val="7B7B7B" w:themeColor="accent3" w:themeShade="BF"/>
          <w:sz w:val="22"/>
          <w:szCs w:val="22"/>
        </w:rPr>
        <w:t>.</w:t>
      </w:r>
    </w:p>
    <w:p w14:paraId="7BECFC58" w14:textId="77777777" w:rsidR="00CD74C6" w:rsidRPr="00702E7C" w:rsidRDefault="00CD74C6" w:rsidP="00C40ED4">
      <w:pPr>
        <w:rPr>
          <w:rFonts w:ascii="Arial" w:hAnsi="Arial" w:cs="Arial"/>
          <w:color w:val="7B7B7B" w:themeColor="accent3" w:themeShade="BF"/>
          <w:sz w:val="22"/>
          <w:szCs w:val="22"/>
        </w:rPr>
      </w:pPr>
    </w:p>
    <w:p w14:paraId="18522627" w14:textId="40A7A1FD" w:rsidR="0063094D" w:rsidRPr="00A12FE0" w:rsidRDefault="0063094D" w:rsidP="00A12FE0">
      <w:pPr>
        <w:pStyle w:val="ListParagraph"/>
        <w:numPr>
          <w:ilvl w:val="0"/>
          <w:numId w:val="24"/>
        </w:numPr>
        <w:jc w:val="both"/>
        <w:rPr>
          <w:rFonts w:ascii="Arial" w:hAnsi="Arial" w:cs="Arial"/>
          <w:color w:val="7B7B7B" w:themeColor="accent3" w:themeShade="BF"/>
          <w:sz w:val="22"/>
          <w:szCs w:val="22"/>
        </w:rPr>
      </w:pPr>
      <w:r w:rsidRPr="00702E7C">
        <w:rPr>
          <w:rFonts w:ascii="Arial" w:hAnsi="Arial" w:cs="Arial"/>
          <w:color w:val="7B7B7B" w:themeColor="accent3" w:themeShade="BF"/>
          <w:sz w:val="22"/>
          <w:szCs w:val="22"/>
        </w:rPr>
        <w:t xml:space="preserve">Temporal scope </w:t>
      </w:r>
      <w:r w:rsidR="00A12FE0">
        <w:rPr>
          <w:rFonts w:ascii="Arial" w:hAnsi="Arial" w:cs="Arial"/>
          <w:color w:val="7B7B7B" w:themeColor="accent3" w:themeShade="BF"/>
          <w:sz w:val="22"/>
          <w:szCs w:val="22"/>
        </w:rPr>
        <w:t>–</w:t>
      </w:r>
      <w:r w:rsidRPr="00A12FE0">
        <w:rPr>
          <w:rFonts w:ascii="Arial" w:hAnsi="Arial" w:cs="Arial"/>
          <w:color w:val="7B7B7B" w:themeColor="accent3" w:themeShade="BF"/>
          <w:sz w:val="22"/>
          <w:szCs w:val="22"/>
        </w:rPr>
        <w:t xml:space="preserve"> The transitional provisions of the EIR Recast states that the EIR Recast shall only apply to insolvency proceedings which are opened after 26 June 2017</w:t>
      </w:r>
      <w:r w:rsidR="008A2A24" w:rsidRPr="00702E7C">
        <w:rPr>
          <w:rStyle w:val="FootnoteReference"/>
          <w:rFonts w:ascii="Arial" w:hAnsi="Arial" w:cs="Arial"/>
          <w:color w:val="7B7B7B" w:themeColor="accent3" w:themeShade="BF"/>
          <w:sz w:val="22"/>
          <w:szCs w:val="22"/>
        </w:rPr>
        <w:footnoteReference w:id="128"/>
      </w:r>
      <w:r w:rsidRPr="00A12FE0">
        <w:rPr>
          <w:rFonts w:ascii="Arial" w:hAnsi="Arial" w:cs="Arial"/>
          <w:color w:val="7B7B7B" w:themeColor="accent3" w:themeShade="BF"/>
          <w:sz w:val="22"/>
          <w:szCs w:val="22"/>
        </w:rPr>
        <w:t>. From the fact pattern, it is stated that Dinosaurus experienced financial difficulty in 2021 and that the safeguard proceedings were opened by Dinosaurus on 23 June 2023. This is after the commencement date of</w:t>
      </w:r>
      <w:r w:rsidR="002A7062" w:rsidRPr="00A12FE0">
        <w:rPr>
          <w:rFonts w:ascii="Arial" w:hAnsi="Arial" w:cs="Arial"/>
          <w:color w:val="7B7B7B" w:themeColor="accent3" w:themeShade="BF"/>
          <w:sz w:val="22"/>
          <w:szCs w:val="22"/>
        </w:rPr>
        <w:t xml:space="preserve"> the EIR Recast</w:t>
      </w:r>
      <w:r w:rsidRPr="00A12FE0">
        <w:rPr>
          <w:rFonts w:ascii="Arial" w:hAnsi="Arial" w:cs="Arial"/>
          <w:color w:val="7B7B7B" w:themeColor="accent3" w:themeShade="BF"/>
          <w:sz w:val="22"/>
          <w:szCs w:val="22"/>
        </w:rPr>
        <w:t xml:space="preserve"> </w:t>
      </w:r>
      <w:r w:rsidR="002A7062" w:rsidRPr="00A12FE0">
        <w:rPr>
          <w:rFonts w:ascii="Arial" w:hAnsi="Arial" w:cs="Arial"/>
          <w:color w:val="7B7B7B" w:themeColor="accent3" w:themeShade="BF"/>
          <w:sz w:val="22"/>
          <w:szCs w:val="22"/>
        </w:rPr>
        <w:t>(</w:t>
      </w:r>
      <w:r w:rsidRPr="00A12FE0">
        <w:rPr>
          <w:rFonts w:ascii="Arial" w:hAnsi="Arial" w:cs="Arial"/>
          <w:color w:val="7B7B7B" w:themeColor="accent3" w:themeShade="BF"/>
          <w:sz w:val="22"/>
          <w:szCs w:val="22"/>
        </w:rPr>
        <w:t>26 June 2017</w:t>
      </w:r>
      <w:r w:rsidR="002A7062" w:rsidRPr="00A12FE0">
        <w:rPr>
          <w:rFonts w:ascii="Arial" w:hAnsi="Arial" w:cs="Arial"/>
          <w:color w:val="7B7B7B" w:themeColor="accent3" w:themeShade="BF"/>
          <w:sz w:val="22"/>
          <w:szCs w:val="22"/>
        </w:rPr>
        <w:t>)</w:t>
      </w:r>
      <w:r w:rsidRPr="00A12FE0">
        <w:rPr>
          <w:rFonts w:ascii="Arial" w:hAnsi="Arial" w:cs="Arial"/>
          <w:color w:val="7B7B7B" w:themeColor="accent3" w:themeShade="BF"/>
          <w:sz w:val="22"/>
          <w:szCs w:val="22"/>
        </w:rPr>
        <w:t xml:space="preserve"> and therefore these proceedings </w:t>
      </w:r>
      <w:r w:rsidR="003A0D9C">
        <w:rPr>
          <w:rFonts w:ascii="Arial" w:hAnsi="Arial" w:cs="Arial"/>
          <w:color w:val="7B7B7B" w:themeColor="accent3" w:themeShade="BF"/>
          <w:sz w:val="22"/>
          <w:szCs w:val="22"/>
        </w:rPr>
        <w:t>fall</w:t>
      </w:r>
      <w:r w:rsidRPr="00A12FE0">
        <w:rPr>
          <w:rFonts w:ascii="Arial" w:hAnsi="Arial" w:cs="Arial"/>
          <w:color w:val="7B7B7B" w:themeColor="accent3" w:themeShade="BF"/>
          <w:sz w:val="22"/>
          <w:szCs w:val="22"/>
        </w:rPr>
        <w:t xml:space="preserve"> within the temporal scope of the EIR Recast.</w:t>
      </w:r>
    </w:p>
    <w:p w14:paraId="12C2D4CF" w14:textId="77777777" w:rsidR="00C40ED4" w:rsidRPr="00702E7C" w:rsidRDefault="00C40ED4" w:rsidP="00CD74C6">
      <w:pPr>
        <w:jc w:val="both"/>
        <w:rPr>
          <w:rFonts w:ascii="Arial" w:hAnsi="Arial" w:cs="Arial"/>
          <w:color w:val="7B7B7B" w:themeColor="accent3" w:themeShade="BF"/>
          <w:sz w:val="22"/>
          <w:szCs w:val="22"/>
        </w:rPr>
      </w:pPr>
    </w:p>
    <w:p w14:paraId="0F0C5239" w14:textId="465C75FF" w:rsidR="0063094D" w:rsidRPr="009B6724" w:rsidRDefault="0063094D" w:rsidP="0063094D">
      <w:pPr>
        <w:jc w:val="both"/>
        <w:rPr>
          <w:rFonts w:ascii="Arial" w:hAnsi="Arial" w:cs="Arial"/>
          <w:color w:val="7B7B7B" w:themeColor="accent3" w:themeShade="BF"/>
          <w:sz w:val="22"/>
          <w:szCs w:val="22"/>
        </w:rPr>
      </w:pPr>
      <w:r w:rsidRPr="00702E7C">
        <w:rPr>
          <w:rFonts w:ascii="Arial" w:hAnsi="Arial" w:cs="Arial"/>
          <w:color w:val="7B7B7B" w:themeColor="accent3" w:themeShade="BF"/>
          <w:sz w:val="22"/>
          <w:szCs w:val="22"/>
        </w:rPr>
        <w:t xml:space="preserve">In conclusion, all four steps, namely, the territorial scope, personal scope, material scope and temporal scope, are satisfied </w:t>
      </w:r>
      <w:r w:rsidR="003A0D9C">
        <w:rPr>
          <w:rFonts w:ascii="Arial" w:hAnsi="Arial" w:cs="Arial"/>
          <w:color w:val="7B7B7B" w:themeColor="accent3" w:themeShade="BF"/>
          <w:sz w:val="22"/>
          <w:szCs w:val="22"/>
        </w:rPr>
        <w:t xml:space="preserve">in the scenario </w:t>
      </w:r>
      <w:r w:rsidRPr="00702E7C">
        <w:rPr>
          <w:rFonts w:ascii="Arial" w:hAnsi="Arial" w:cs="Arial"/>
          <w:color w:val="7B7B7B" w:themeColor="accent3" w:themeShade="BF"/>
          <w:sz w:val="22"/>
          <w:szCs w:val="22"/>
        </w:rPr>
        <w:t>and therefore the EIR Recast applies to the opening of safeguard proceedings by Dinosaurus</w:t>
      </w:r>
      <w:r w:rsidR="003A0D9C">
        <w:rPr>
          <w:rFonts w:ascii="Arial" w:hAnsi="Arial" w:cs="Arial"/>
          <w:color w:val="7B7B7B" w:themeColor="accent3" w:themeShade="BF"/>
          <w:sz w:val="22"/>
          <w:szCs w:val="22"/>
        </w:rPr>
        <w:t xml:space="preserve"> on 23 June 2023</w:t>
      </w:r>
      <w:r w:rsidRPr="00702E7C">
        <w:rPr>
          <w:rFonts w:ascii="Arial" w:hAnsi="Arial" w:cs="Arial"/>
          <w:color w:val="7B7B7B" w:themeColor="accent3" w:themeShade="BF"/>
          <w:sz w:val="22"/>
          <w:szCs w:val="22"/>
        </w:rPr>
        <w:t>.</w:t>
      </w:r>
    </w:p>
    <w:p w14:paraId="4E8B10D3" w14:textId="77777777" w:rsidR="00C82D32" w:rsidRPr="009B6724" w:rsidRDefault="00C82D32" w:rsidP="002A37BB">
      <w:pPr>
        <w:autoSpaceDE w:val="0"/>
        <w:autoSpaceDN w:val="0"/>
        <w:adjustRightInd w:val="0"/>
        <w:jc w:val="both"/>
        <w:rPr>
          <w:rFonts w:ascii="Arial" w:hAnsi="Arial" w:cs="Arial"/>
          <w:color w:val="808080" w:themeColor="background1" w:themeShade="80"/>
          <w:sz w:val="22"/>
          <w:szCs w:val="22"/>
          <w:lang w:val="en-GB"/>
        </w:rPr>
      </w:pPr>
    </w:p>
    <w:p w14:paraId="586D6E96" w14:textId="77777777" w:rsidR="00C82D32" w:rsidRPr="009B6724" w:rsidRDefault="00C82D32" w:rsidP="002A37BB">
      <w:pPr>
        <w:autoSpaceDE w:val="0"/>
        <w:autoSpaceDN w:val="0"/>
        <w:adjustRightInd w:val="0"/>
        <w:jc w:val="both"/>
        <w:rPr>
          <w:rFonts w:ascii="Arial" w:hAnsi="Arial"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3"/>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9B6724" w:rsidRDefault="002D0021" w:rsidP="002A37BB">
      <w:pPr>
        <w:jc w:val="both"/>
        <w:rPr>
          <w:rFonts w:ascii="Arial" w:hAnsi="Arial" w:cs="Arial"/>
          <w:sz w:val="22"/>
          <w:szCs w:val="22"/>
          <w:lang w:val="en-GB"/>
        </w:rPr>
      </w:pPr>
    </w:p>
    <w:p w14:paraId="583047B3" w14:textId="4FEFE261" w:rsidR="00EB59B6" w:rsidRPr="008E7794" w:rsidRDefault="00BB2085" w:rsidP="00BB2085">
      <w:pPr>
        <w:jc w:val="both"/>
        <w:rPr>
          <w:rFonts w:ascii="Arial" w:hAnsi="Arial" w:cs="Arial"/>
          <w:color w:val="7B7B7B" w:themeColor="accent3" w:themeShade="BF"/>
          <w:sz w:val="22"/>
          <w:szCs w:val="22"/>
        </w:rPr>
      </w:pPr>
      <w:r w:rsidRPr="008E7794">
        <w:rPr>
          <w:rFonts w:ascii="Arial" w:hAnsi="Arial" w:cs="Arial"/>
          <w:color w:val="7B7B7B" w:themeColor="accent3" w:themeShade="BF"/>
          <w:sz w:val="22"/>
          <w:szCs w:val="22"/>
        </w:rPr>
        <w:t xml:space="preserve">Article 3(2) of the EIR Recast provides that if the debtor's </w:t>
      </w:r>
      <w:proofErr w:type="spellStart"/>
      <w:r w:rsidRPr="008E7794">
        <w:rPr>
          <w:rFonts w:ascii="Arial" w:hAnsi="Arial" w:cs="Arial"/>
          <w:color w:val="7B7B7B" w:themeColor="accent3" w:themeShade="BF"/>
          <w:sz w:val="22"/>
          <w:szCs w:val="22"/>
        </w:rPr>
        <w:t>centre</w:t>
      </w:r>
      <w:proofErr w:type="spellEnd"/>
      <w:r w:rsidRPr="008E7794">
        <w:rPr>
          <w:rFonts w:ascii="Arial" w:hAnsi="Arial" w:cs="Arial"/>
          <w:color w:val="7B7B7B" w:themeColor="accent3" w:themeShade="BF"/>
          <w:sz w:val="22"/>
          <w:szCs w:val="22"/>
        </w:rPr>
        <w:t xml:space="preserve"> of main interest ("</w:t>
      </w:r>
      <w:r w:rsidRPr="008E7794">
        <w:rPr>
          <w:rFonts w:ascii="Arial" w:hAnsi="Arial" w:cs="Arial"/>
          <w:b/>
          <w:bCs/>
          <w:color w:val="7B7B7B" w:themeColor="accent3" w:themeShade="BF"/>
          <w:sz w:val="22"/>
          <w:szCs w:val="22"/>
        </w:rPr>
        <w:t>COMI</w:t>
      </w:r>
      <w:r w:rsidRPr="008E7794">
        <w:rPr>
          <w:rFonts w:ascii="Arial" w:hAnsi="Arial" w:cs="Arial"/>
          <w:color w:val="7B7B7B" w:themeColor="accent3" w:themeShade="BF"/>
          <w:sz w:val="22"/>
          <w:szCs w:val="22"/>
        </w:rPr>
        <w:t>") is located within the European Union ("</w:t>
      </w:r>
      <w:r w:rsidRPr="008E7794">
        <w:rPr>
          <w:rFonts w:ascii="Arial" w:hAnsi="Arial" w:cs="Arial"/>
          <w:b/>
          <w:bCs/>
          <w:color w:val="7B7B7B" w:themeColor="accent3" w:themeShade="BF"/>
          <w:sz w:val="22"/>
          <w:szCs w:val="22"/>
        </w:rPr>
        <w:t>EU</w:t>
      </w:r>
      <w:r w:rsidRPr="008E7794">
        <w:rPr>
          <w:rFonts w:ascii="Arial" w:hAnsi="Arial" w:cs="Arial"/>
          <w:color w:val="7B7B7B" w:themeColor="accent3" w:themeShade="BF"/>
          <w:sz w:val="22"/>
          <w:szCs w:val="22"/>
        </w:rPr>
        <w:t>"), the courts of another EU Member State "</w:t>
      </w:r>
      <w:r w:rsidRPr="008E7794">
        <w:rPr>
          <w:rFonts w:ascii="Arial" w:hAnsi="Arial" w:cs="Arial"/>
          <w:i/>
          <w:iCs/>
          <w:color w:val="7B7B7B" w:themeColor="accent3" w:themeShade="BF"/>
          <w:sz w:val="22"/>
          <w:szCs w:val="22"/>
        </w:rPr>
        <w:t xml:space="preserve">shall have jurisdiction to open insolvency proceedings against that debtor only if it possesses an </w:t>
      </w:r>
      <w:r w:rsidRPr="008E7794">
        <w:rPr>
          <w:rFonts w:ascii="Arial" w:hAnsi="Arial" w:cs="Arial"/>
          <w:i/>
          <w:iCs/>
          <w:color w:val="7B7B7B" w:themeColor="accent3" w:themeShade="BF"/>
          <w:sz w:val="22"/>
          <w:szCs w:val="22"/>
          <w:u w:val="single"/>
        </w:rPr>
        <w:t>establishment</w:t>
      </w:r>
      <w:r w:rsidRPr="008E7794">
        <w:rPr>
          <w:rFonts w:ascii="Arial" w:hAnsi="Arial" w:cs="Arial"/>
          <w:i/>
          <w:iCs/>
          <w:color w:val="7B7B7B" w:themeColor="accent3" w:themeShade="BF"/>
          <w:sz w:val="22"/>
          <w:szCs w:val="22"/>
        </w:rPr>
        <w:t xml:space="preserve"> within the territory of that other Member State</w:t>
      </w:r>
      <w:r w:rsidRPr="008E7794">
        <w:rPr>
          <w:rFonts w:ascii="Arial" w:hAnsi="Arial" w:cs="Arial"/>
          <w:color w:val="7B7B7B" w:themeColor="accent3" w:themeShade="BF"/>
          <w:sz w:val="22"/>
          <w:szCs w:val="22"/>
        </w:rPr>
        <w:t>. [Emphasis added]"</w:t>
      </w:r>
      <w:r w:rsidR="00EB59B6" w:rsidRPr="008E7794">
        <w:rPr>
          <w:rStyle w:val="FootnoteReference"/>
          <w:rFonts w:ascii="Arial" w:hAnsi="Arial" w:cs="Arial"/>
          <w:color w:val="7B7B7B" w:themeColor="accent3" w:themeShade="BF"/>
          <w:sz w:val="22"/>
          <w:szCs w:val="22"/>
        </w:rPr>
        <w:footnoteReference w:id="129"/>
      </w:r>
      <w:r w:rsidRPr="008E7794">
        <w:rPr>
          <w:rFonts w:ascii="Arial" w:hAnsi="Arial" w:cs="Arial"/>
          <w:color w:val="7B7B7B" w:themeColor="accent3" w:themeShade="BF"/>
          <w:sz w:val="22"/>
          <w:szCs w:val="22"/>
        </w:rPr>
        <w:t xml:space="preserve"> These secondary insolvency proceedings run parallel to main insolvency proceedings, the effect of which "</w:t>
      </w:r>
      <w:r w:rsidRPr="008E7794">
        <w:rPr>
          <w:rFonts w:ascii="Arial" w:hAnsi="Arial" w:cs="Arial"/>
          <w:i/>
          <w:iCs/>
          <w:color w:val="7B7B7B" w:themeColor="accent3" w:themeShade="BF"/>
          <w:sz w:val="22"/>
          <w:szCs w:val="22"/>
        </w:rPr>
        <w:t>are limited to the assets located in that State</w:t>
      </w:r>
      <w:r w:rsidRPr="008E7794">
        <w:rPr>
          <w:rFonts w:ascii="Arial" w:hAnsi="Arial" w:cs="Arial"/>
          <w:color w:val="7B7B7B" w:themeColor="accent3" w:themeShade="BF"/>
          <w:sz w:val="22"/>
          <w:szCs w:val="22"/>
        </w:rPr>
        <w:t>."</w:t>
      </w:r>
      <w:r w:rsidR="00EB59B6" w:rsidRPr="008E7794">
        <w:rPr>
          <w:rStyle w:val="FootnoteReference"/>
          <w:rFonts w:ascii="Arial" w:hAnsi="Arial" w:cs="Arial"/>
          <w:color w:val="7B7B7B" w:themeColor="accent3" w:themeShade="BF"/>
          <w:sz w:val="22"/>
          <w:szCs w:val="22"/>
        </w:rPr>
        <w:footnoteReference w:id="130"/>
      </w:r>
      <w:r w:rsidRPr="008E7794">
        <w:rPr>
          <w:rFonts w:ascii="Arial" w:hAnsi="Arial" w:cs="Arial"/>
          <w:color w:val="7B7B7B" w:themeColor="accent3" w:themeShade="BF"/>
          <w:sz w:val="22"/>
          <w:szCs w:val="22"/>
        </w:rPr>
        <w:t xml:space="preserve"> The reasons for the possibility of secondary insolvency proceedings being opened are set out in Recital 40 of the EIR and include protecting local interests and promoting the efficient administration of an insolvent estate.</w:t>
      </w:r>
      <w:r w:rsidR="00EB59B6" w:rsidRPr="008E7794">
        <w:rPr>
          <w:rStyle w:val="FootnoteReference"/>
          <w:rFonts w:ascii="Arial" w:hAnsi="Arial" w:cs="Arial"/>
          <w:color w:val="7B7B7B" w:themeColor="accent3" w:themeShade="BF"/>
          <w:sz w:val="22"/>
          <w:szCs w:val="22"/>
        </w:rPr>
        <w:footnoteReference w:id="131"/>
      </w:r>
    </w:p>
    <w:p w14:paraId="38134A14" w14:textId="77777777" w:rsidR="00EB59B6" w:rsidRPr="008E7794" w:rsidRDefault="00EB59B6" w:rsidP="00BB2085">
      <w:pPr>
        <w:jc w:val="both"/>
        <w:rPr>
          <w:rFonts w:ascii="Arial" w:hAnsi="Arial" w:cs="Arial"/>
          <w:color w:val="7B7B7B" w:themeColor="accent3" w:themeShade="BF"/>
          <w:sz w:val="22"/>
          <w:szCs w:val="22"/>
        </w:rPr>
      </w:pPr>
    </w:p>
    <w:p w14:paraId="1D2A0395" w14:textId="506F1B95" w:rsidR="00EB59B6" w:rsidRPr="008E7794" w:rsidRDefault="00BB2085" w:rsidP="00BB2085">
      <w:pPr>
        <w:jc w:val="both"/>
        <w:rPr>
          <w:rFonts w:ascii="Arial" w:hAnsi="Arial" w:cs="Arial"/>
          <w:color w:val="7B7B7B" w:themeColor="accent3" w:themeShade="BF"/>
          <w:sz w:val="22"/>
          <w:szCs w:val="22"/>
        </w:rPr>
      </w:pPr>
      <w:r w:rsidRPr="008E7794">
        <w:rPr>
          <w:rFonts w:ascii="Arial" w:hAnsi="Arial" w:cs="Arial"/>
          <w:color w:val="7B7B7B" w:themeColor="accent3" w:themeShade="BF"/>
          <w:sz w:val="22"/>
          <w:szCs w:val="22"/>
        </w:rPr>
        <w:t xml:space="preserve">Secondary </w:t>
      </w:r>
      <w:r w:rsidR="008E7794">
        <w:rPr>
          <w:rFonts w:ascii="Arial" w:hAnsi="Arial" w:cs="Arial"/>
          <w:color w:val="7B7B7B" w:themeColor="accent3" w:themeShade="BF"/>
          <w:sz w:val="22"/>
          <w:szCs w:val="22"/>
        </w:rPr>
        <w:t xml:space="preserve">insolvency </w:t>
      </w:r>
      <w:r w:rsidRPr="008E7794">
        <w:rPr>
          <w:rFonts w:ascii="Arial" w:hAnsi="Arial" w:cs="Arial"/>
          <w:color w:val="7B7B7B" w:themeColor="accent3" w:themeShade="BF"/>
          <w:sz w:val="22"/>
          <w:szCs w:val="22"/>
        </w:rPr>
        <w:t xml:space="preserve">proceedings allow for the possibility of local proceedings to be opened which are governed primarily by the </w:t>
      </w:r>
      <w:r w:rsidRPr="008E7794">
        <w:rPr>
          <w:rFonts w:ascii="Arial" w:hAnsi="Arial" w:cs="Arial"/>
          <w:i/>
          <w:iCs/>
          <w:color w:val="7B7B7B" w:themeColor="accent3" w:themeShade="BF"/>
          <w:sz w:val="22"/>
          <w:szCs w:val="22"/>
        </w:rPr>
        <w:t xml:space="preserve">lex </w:t>
      </w:r>
      <w:proofErr w:type="spellStart"/>
      <w:r w:rsidRPr="008E7794">
        <w:rPr>
          <w:rFonts w:ascii="Arial" w:hAnsi="Arial" w:cs="Arial"/>
          <w:i/>
          <w:iCs/>
          <w:color w:val="7B7B7B" w:themeColor="accent3" w:themeShade="BF"/>
          <w:sz w:val="22"/>
          <w:szCs w:val="22"/>
        </w:rPr>
        <w:t>fori</w:t>
      </w:r>
      <w:proofErr w:type="spellEnd"/>
      <w:r w:rsidRPr="008E7794">
        <w:rPr>
          <w:rFonts w:ascii="Arial" w:hAnsi="Arial" w:cs="Arial"/>
          <w:i/>
          <w:iCs/>
          <w:color w:val="7B7B7B" w:themeColor="accent3" w:themeShade="BF"/>
          <w:sz w:val="22"/>
          <w:szCs w:val="22"/>
        </w:rPr>
        <w:t xml:space="preserve"> concursus</w:t>
      </w:r>
      <w:r w:rsidR="00EB59B6" w:rsidRPr="008E7794">
        <w:rPr>
          <w:rFonts w:ascii="Arial" w:hAnsi="Arial" w:cs="Arial"/>
          <w:color w:val="7B7B7B" w:themeColor="accent3" w:themeShade="BF"/>
          <w:sz w:val="22"/>
          <w:szCs w:val="22"/>
        </w:rPr>
        <w:t xml:space="preserve"> </w:t>
      </w:r>
      <w:r w:rsidRPr="008E7794">
        <w:rPr>
          <w:rFonts w:ascii="Arial" w:hAnsi="Arial" w:cs="Arial"/>
          <w:color w:val="7B7B7B" w:themeColor="accent3" w:themeShade="BF"/>
          <w:sz w:val="22"/>
          <w:szCs w:val="22"/>
        </w:rPr>
        <w:t>- this plays an important role in protecting creditor interests in a</w:t>
      </w:r>
      <w:r w:rsidR="008E7794">
        <w:rPr>
          <w:rFonts w:ascii="Arial" w:hAnsi="Arial" w:cs="Arial"/>
          <w:color w:val="7B7B7B" w:themeColor="accent3" w:themeShade="BF"/>
          <w:sz w:val="22"/>
          <w:szCs w:val="22"/>
        </w:rPr>
        <w:t>n EU</w:t>
      </w:r>
      <w:r w:rsidRPr="008E7794">
        <w:rPr>
          <w:rFonts w:ascii="Arial" w:hAnsi="Arial" w:cs="Arial"/>
          <w:color w:val="7B7B7B" w:themeColor="accent3" w:themeShade="BF"/>
          <w:sz w:val="22"/>
          <w:szCs w:val="22"/>
        </w:rPr>
        <w:t xml:space="preserve"> Member State where the debtor has an establishment</w:t>
      </w:r>
      <w:r w:rsidR="00EB59B6" w:rsidRPr="008E7794">
        <w:rPr>
          <w:rFonts w:ascii="Arial" w:hAnsi="Arial" w:cs="Arial"/>
          <w:color w:val="7B7B7B" w:themeColor="accent3" w:themeShade="BF"/>
          <w:sz w:val="22"/>
          <w:szCs w:val="22"/>
        </w:rPr>
        <w:t>.</w:t>
      </w:r>
      <w:r w:rsidR="00EB59B6" w:rsidRPr="008E7794">
        <w:rPr>
          <w:rStyle w:val="FootnoteReference"/>
          <w:rFonts w:ascii="Arial" w:hAnsi="Arial" w:cs="Arial"/>
          <w:color w:val="7B7B7B" w:themeColor="accent3" w:themeShade="BF"/>
          <w:sz w:val="22"/>
          <w:szCs w:val="22"/>
        </w:rPr>
        <w:footnoteReference w:id="132"/>
      </w:r>
      <w:r w:rsidR="00EB59B6" w:rsidRPr="008E7794">
        <w:rPr>
          <w:rFonts w:ascii="Arial" w:hAnsi="Arial" w:cs="Arial"/>
          <w:color w:val="7B7B7B" w:themeColor="accent3" w:themeShade="BF"/>
          <w:sz w:val="22"/>
          <w:szCs w:val="22"/>
        </w:rPr>
        <w:t xml:space="preserve"> </w:t>
      </w:r>
      <w:r w:rsidRPr="008E7794">
        <w:rPr>
          <w:rFonts w:ascii="Arial" w:hAnsi="Arial" w:cs="Arial"/>
          <w:color w:val="7B7B7B" w:themeColor="accent3" w:themeShade="BF"/>
          <w:sz w:val="22"/>
          <w:szCs w:val="22"/>
        </w:rPr>
        <w:t xml:space="preserve">The opening of secondary insolvency proceedings </w:t>
      </w:r>
      <w:r w:rsidR="006D4769" w:rsidRPr="008E7794">
        <w:rPr>
          <w:rFonts w:ascii="Arial" w:hAnsi="Arial" w:cs="Arial"/>
          <w:color w:val="7B7B7B" w:themeColor="accent3" w:themeShade="BF"/>
          <w:sz w:val="22"/>
          <w:szCs w:val="22"/>
        </w:rPr>
        <w:t>is dependent</w:t>
      </w:r>
      <w:r w:rsidRPr="008E7794">
        <w:rPr>
          <w:rFonts w:ascii="Arial" w:hAnsi="Arial" w:cs="Arial"/>
          <w:color w:val="7B7B7B" w:themeColor="accent3" w:themeShade="BF"/>
          <w:sz w:val="22"/>
          <w:szCs w:val="22"/>
        </w:rPr>
        <w:t xml:space="preserve"> on the concept of "establishment". Article 2(1</w:t>
      </w:r>
      <w:r w:rsidR="008F2F6B" w:rsidRPr="008E7794">
        <w:rPr>
          <w:rFonts w:ascii="Arial" w:hAnsi="Arial" w:cs="Arial"/>
          <w:color w:val="7B7B7B" w:themeColor="accent3" w:themeShade="BF"/>
          <w:sz w:val="22"/>
          <w:szCs w:val="22"/>
        </w:rPr>
        <w:t>0</w:t>
      </w:r>
      <w:r w:rsidRPr="008E7794">
        <w:rPr>
          <w:rFonts w:ascii="Arial" w:hAnsi="Arial" w:cs="Arial"/>
          <w:color w:val="7B7B7B" w:themeColor="accent3" w:themeShade="BF"/>
          <w:sz w:val="22"/>
          <w:szCs w:val="22"/>
        </w:rPr>
        <w:t>) of the EIR Recast states that a debtor's "establishment" is "</w:t>
      </w:r>
      <w:r w:rsidRPr="008E7794">
        <w:rPr>
          <w:rFonts w:ascii="Arial" w:hAnsi="Arial" w:cs="Arial"/>
          <w:i/>
          <w:iCs/>
          <w:color w:val="7B7B7B" w:themeColor="accent3" w:themeShade="BF"/>
          <w:sz w:val="22"/>
          <w:szCs w:val="22"/>
        </w:rPr>
        <w:t xml:space="preserve">any </w:t>
      </w:r>
      <w:r w:rsidRPr="008E7794">
        <w:rPr>
          <w:rFonts w:ascii="Arial" w:hAnsi="Arial" w:cs="Arial"/>
          <w:i/>
          <w:iCs/>
          <w:color w:val="7B7B7B" w:themeColor="accent3" w:themeShade="BF"/>
          <w:sz w:val="22"/>
          <w:szCs w:val="22"/>
        </w:rPr>
        <w:lastRenderedPageBreak/>
        <w:t xml:space="preserve">place of operations where a debtor carries out or has carried out in the 3-month period prior to the request to open main insolvency proceedings a </w:t>
      </w:r>
      <w:r w:rsidRPr="008E7794">
        <w:rPr>
          <w:rFonts w:ascii="Arial" w:hAnsi="Arial" w:cs="Arial"/>
          <w:i/>
          <w:iCs/>
          <w:color w:val="7B7B7B" w:themeColor="accent3" w:themeShade="BF"/>
          <w:sz w:val="22"/>
          <w:szCs w:val="22"/>
          <w:u w:val="single"/>
        </w:rPr>
        <w:t>non-transitory economic activity with human means and assets</w:t>
      </w:r>
      <w:r w:rsidRPr="008E7794">
        <w:rPr>
          <w:rFonts w:ascii="Arial" w:hAnsi="Arial" w:cs="Arial"/>
          <w:i/>
          <w:iCs/>
          <w:color w:val="7B7B7B" w:themeColor="accent3" w:themeShade="BF"/>
          <w:sz w:val="22"/>
          <w:szCs w:val="22"/>
        </w:rPr>
        <w:t xml:space="preserve"> </w:t>
      </w:r>
      <w:r w:rsidRPr="008E7794">
        <w:rPr>
          <w:rFonts w:ascii="Arial" w:hAnsi="Arial" w:cs="Arial"/>
          <w:color w:val="7B7B7B" w:themeColor="accent3" w:themeShade="BF"/>
          <w:sz w:val="22"/>
          <w:szCs w:val="22"/>
        </w:rPr>
        <w:t>[Emphasis added]"</w:t>
      </w:r>
      <w:r w:rsidR="00EB59B6" w:rsidRPr="008E7794">
        <w:rPr>
          <w:rStyle w:val="FootnoteReference"/>
          <w:rFonts w:ascii="Arial" w:hAnsi="Arial" w:cs="Arial"/>
          <w:color w:val="7B7B7B" w:themeColor="accent3" w:themeShade="BF"/>
          <w:sz w:val="22"/>
          <w:szCs w:val="22"/>
        </w:rPr>
        <w:footnoteReference w:id="133"/>
      </w:r>
    </w:p>
    <w:p w14:paraId="50F87388" w14:textId="77777777" w:rsidR="00EB59B6" w:rsidRPr="008E7794" w:rsidRDefault="00EB59B6" w:rsidP="00BB2085">
      <w:pPr>
        <w:jc w:val="both"/>
        <w:rPr>
          <w:rFonts w:ascii="Arial" w:hAnsi="Arial" w:cs="Arial"/>
          <w:color w:val="7B7B7B" w:themeColor="accent3" w:themeShade="BF"/>
          <w:sz w:val="22"/>
          <w:szCs w:val="22"/>
        </w:rPr>
      </w:pPr>
    </w:p>
    <w:p w14:paraId="60A12C49" w14:textId="3AB4D529" w:rsidR="00EB59B6" w:rsidRPr="008E7794" w:rsidRDefault="00BB2085" w:rsidP="00BB2085">
      <w:pPr>
        <w:jc w:val="both"/>
        <w:rPr>
          <w:rFonts w:ascii="Arial" w:hAnsi="Arial" w:cs="Arial"/>
          <w:color w:val="7B7B7B" w:themeColor="accent3" w:themeShade="BF"/>
          <w:sz w:val="22"/>
          <w:szCs w:val="22"/>
        </w:rPr>
      </w:pPr>
      <w:r w:rsidRPr="008E7794">
        <w:rPr>
          <w:rFonts w:ascii="Arial" w:hAnsi="Arial" w:cs="Arial"/>
          <w:color w:val="7B7B7B" w:themeColor="accent3" w:themeShade="BF"/>
          <w:sz w:val="22"/>
          <w:szCs w:val="22"/>
        </w:rPr>
        <w:t xml:space="preserve">At paragraph 62 of the CJEU's judgment in </w:t>
      </w:r>
      <w:proofErr w:type="spellStart"/>
      <w:r w:rsidRPr="008E7794">
        <w:rPr>
          <w:rFonts w:ascii="Arial" w:hAnsi="Arial" w:cs="Arial"/>
          <w:i/>
          <w:iCs/>
          <w:color w:val="7B7B7B" w:themeColor="accent3" w:themeShade="BF"/>
          <w:sz w:val="22"/>
          <w:szCs w:val="22"/>
        </w:rPr>
        <w:t>Interedil</w:t>
      </w:r>
      <w:proofErr w:type="spellEnd"/>
      <w:r w:rsidRPr="008E7794">
        <w:rPr>
          <w:rFonts w:ascii="Arial" w:hAnsi="Arial" w:cs="Arial"/>
          <w:i/>
          <w:iCs/>
          <w:color w:val="7B7B7B" w:themeColor="accent3" w:themeShade="BF"/>
          <w:sz w:val="22"/>
          <w:szCs w:val="22"/>
        </w:rPr>
        <w:t xml:space="preserve"> </w:t>
      </w:r>
      <w:proofErr w:type="spellStart"/>
      <w:r w:rsidRPr="008E7794">
        <w:rPr>
          <w:rFonts w:ascii="Arial" w:hAnsi="Arial" w:cs="Arial"/>
          <w:i/>
          <w:iCs/>
          <w:color w:val="7B7B7B" w:themeColor="accent3" w:themeShade="BF"/>
          <w:sz w:val="22"/>
          <w:szCs w:val="22"/>
        </w:rPr>
        <w:t>Srl</w:t>
      </w:r>
      <w:proofErr w:type="spellEnd"/>
      <w:r w:rsidRPr="008E7794">
        <w:rPr>
          <w:rFonts w:ascii="Arial" w:hAnsi="Arial" w:cs="Arial"/>
          <w:i/>
          <w:iCs/>
          <w:color w:val="7B7B7B" w:themeColor="accent3" w:themeShade="BF"/>
          <w:sz w:val="22"/>
          <w:szCs w:val="22"/>
        </w:rPr>
        <w:t xml:space="preserve"> v </w:t>
      </w:r>
      <w:proofErr w:type="spellStart"/>
      <w:r w:rsidRPr="008E7794">
        <w:rPr>
          <w:rFonts w:ascii="Arial" w:hAnsi="Arial" w:cs="Arial"/>
          <w:i/>
          <w:iCs/>
          <w:color w:val="7B7B7B" w:themeColor="accent3" w:themeShade="BF"/>
          <w:sz w:val="22"/>
          <w:szCs w:val="22"/>
        </w:rPr>
        <w:t>Fallimento</w:t>
      </w:r>
      <w:proofErr w:type="spellEnd"/>
      <w:r w:rsidRPr="008E7794">
        <w:rPr>
          <w:rFonts w:ascii="Arial" w:hAnsi="Arial" w:cs="Arial"/>
          <w:i/>
          <w:iCs/>
          <w:color w:val="7B7B7B" w:themeColor="accent3" w:themeShade="BF"/>
          <w:sz w:val="22"/>
          <w:szCs w:val="22"/>
        </w:rPr>
        <w:t xml:space="preserve"> </w:t>
      </w:r>
      <w:proofErr w:type="spellStart"/>
      <w:r w:rsidRPr="008E7794">
        <w:rPr>
          <w:rFonts w:ascii="Arial" w:hAnsi="Arial" w:cs="Arial"/>
          <w:i/>
          <w:iCs/>
          <w:color w:val="7B7B7B" w:themeColor="accent3" w:themeShade="BF"/>
          <w:sz w:val="22"/>
          <w:szCs w:val="22"/>
        </w:rPr>
        <w:t>Interedil</w:t>
      </w:r>
      <w:proofErr w:type="spellEnd"/>
      <w:r w:rsidRPr="008E7794">
        <w:rPr>
          <w:rFonts w:ascii="Arial" w:hAnsi="Arial" w:cs="Arial"/>
          <w:i/>
          <w:iCs/>
          <w:color w:val="7B7B7B" w:themeColor="accent3" w:themeShade="BF"/>
          <w:sz w:val="22"/>
          <w:szCs w:val="22"/>
        </w:rPr>
        <w:t xml:space="preserve"> </w:t>
      </w:r>
      <w:proofErr w:type="spellStart"/>
      <w:r w:rsidRPr="008E7794">
        <w:rPr>
          <w:rFonts w:ascii="Arial" w:hAnsi="Arial" w:cs="Arial"/>
          <w:i/>
          <w:iCs/>
          <w:color w:val="7B7B7B" w:themeColor="accent3" w:themeShade="BF"/>
          <w:sz w:val="22"/>
          <w:szCs w:val="22"/>
        </w:rPr>
        <w:t>Srl</w:t>
      </w:r>
      <w:proofErr w:type="spellEnd"/>
      <w:r w:rsidR="00D91E1D" w:rsidRPr="008E7794">
        <w:rPr>
          <w:rStyle w:val="FootnoteReference"/>
          <w:rFonts w:ascii="Arial" w:hAnsi="Arial" w:cs="Arial"/>
          <w:color w:val="7B7B7B" w:themeColor="accent3" w:themeShade="BF"/>
          <w:sz w:val="22"/>
          <w:szCs w:val="22"/>
        </w:rPr>
        <w:footnoteReference w:id="134"/>
      </w:r>
      <w:r w:rsidRPr="008E7794">
        <w:rPr>
          <w:rFonts w:ascii="Arial" w:hAnsi="Arial" w:cs="Arial"/>
          <w:color w:val="7B7B7B" w:themeColor="accent3" w:themeShade="BF"/>
          <w:sz w:val="22"/>
          <w:szCs w:val="22"/>
        </w:rPr>
        <w:t xml:space="preserve">, the court explained that </w:t>
      </w:r>
      <w:r w:rsidR="006D4769" w:rsidRPr="008E7794">
        <w:rPr>
          <w:rFonts w:ascii="Arial" w:hAnsi="Arial" w:cs="Arial"/>
          <w:color w:val="7B7B7B" w:themeColor="accent3" w:themeShade="BF"/>
          <w:sz w:val="22"/>
          <w:szCs w:val="22"/>
        </w:rPr>
        <w:t>because</w:t>
      </w:r>
      <w:r w:rsidRPr="008E7794">
        <w:rPr>
          <w:rFonts w:ascii="Arial" w:hAnsi="Arial" w:cs="Arial"/>
          <w:color w:val="7B7B7B" w:themeColor="accent3" w:themeShade="BF"/>
          <w:sz w:val="22"/>
          <w:szCs w:val="22"/>
        </w:rPr>
        <w:t xml:space="preserve"> the definition of "establishment" "</w:t>
      </w:r>
      <w:r w:rsidRPr="008E7794">
        <w:rPr>
          <w:rFonts w:ascii="Arial" w:hAnsi="Arial" w:cs="Arial"/>
          <w:i/>
          <w:iCs/>
          <w:color w:val="7B7B7B" w:themeColor="accent3" w:themeShade="BF"/>
          <w:sz w:val="22"/>
          <w:szCs w:val="22"/>
        </w:rPr>
        <w:t xml:space="preserve">links the pursuit of an economic activity to the presence of human resources shows that a minimum level of </w:t>
      </w:r>
      <w:proofErr w:type="spellStart"/>
      <w:r w:rsidRPr="008E7794">
        <w:rPr>
          <w:rFonts w:ascii="Arial" w:hAnsi="Arial" w:cs="Arial"/>
          <w:i/>
          <w:iCs/>
          <w:color w:val="7B7B7B" w:themeColor="accent3" w:themeShade="BF"/>
          <w:sz w:val="22"/>
          <w:szCs w:val="22"/>
        </w:rPr>
        <w:t>organisation</w:t>
      </w:r>
      <w:proofErr w:type="spellEnd"/>
      <w:r w:rsidRPr="008E7794">
        <w:rPr>
          <w:rFonts w:ascii="Arial" w:hAnsi="Arial" w:cs="Arial"/>
          <w:i/>
          <w:iCs/>
          <w:color w:val="7B7B7B" w:themeColor="accent3" w:themeShade="BF"/>
          <w:sz w:val="22"/>
          <w:szCs w:val="22"/>
        </w:rPr>
        <w:t xml:space="preserve"> and a degree of stability are required. It follows that, conversely, the presence alone of goods in isolation or bank accounts does not, in principle, satisfy the requirements for classification as an ‘establishment’</w:t>
      </w:r>
      <w:r w:rsidRPr="008E7794">
        <w:rPr>
          <w:rFonts w:ascii="Arial" w:hAnsi="Arial" w:cs="Arial"/>
          <w:color w:val="7B7B7B" w:themeColor="accent3" w:themeShade="BF"/>
          <w:sz w:val="22"/>
          <w:szCs w:val="22"/>
        </w:rPr>
        <w:t>".</w:t>
      </w:r>
      <w:r w:rsidR="00BA1489" w:rsidRPr="008E7794">
        <w:rPr>
          <w:rStyle w:val="FootnoteReference"/>
          <w:rFonts w:ascii="Arial" w:hAnsi="Arial" w:cs="Arial"/>
          <w:color w:val="7B7B7B" w:themeColor="accent3" w:themeShade="BF"/>
          <w:sz w:val="22"/>
          <w:szCs w:val="22"/>
        </w:rPr>
        <w:footnoteReference w:id="135"/>
      </w:r>
      <w:r w:rsidRPr="008E7794">
        <w:rPr>
          <w:rFonts w:ascii="Arial" w:hAnsi="Arial" w:cs="Arial"/>
          <w:color w:val="7B7B7B" w:themeColor="accent3" w:themeShade="BF"/>
          <w:sz w:val="22"/>
          <w:szCs w:val="22"/>
        </w:rPr>
        <w:t xml:space="preserve"> </w:t>
      </w:r>
    </w:p>
    <w:p w14:paraId="232F3774" w14:textId="77777777" w:rsidR="00EB59B6" w:rsidRPr="008E7794" w:rsidRDefault="00EB59B6" w:rsidP="00BB2085">
      <w:pPr>
        <w:jc w:val="both"/>
        <w:rPr>
          <w:rFonts w:ascii="Arial" w:hAnsi="Arial" w:cs="Arial"/>
          <w:color w:val="7B7B7B" w:themeColor="accent3" w:themeShade="BF"/>
          <w:sz w:val="22"/>
          <w:szCs w:val="22"/>
        </w:rPr>
      </w:pPr>
    </w:p>
    <w:p w14:paraId="765DCFB3" w14:textId="77777777" w:rsidR="00EB59B6" w:rsidRPr="008E7794" w:rsidRDefault="00BB2085" w:rsidP="00BB2085">
      <w:pPr>
        <w:jc w:val="both"/>
        <w:rPr>
          <w:rFonts w:ascii="Arial" w:hAnsi="Arial" w:cs="Arial"/>
          <w:color w:val="7B7B7B" w:themeColor="accent3" w:themeShade="BF"/>
          <w:sz w:val="22"/>
          <w:szCs w:val="22"/>
        </w:rPr>
      </w:pPr>
      <w:proofErr w:type="gramStart"/>
      <w:r w:rsidRPr="008E7794">
        <w:rPr>
          <w:rFonts w:ascii="Arial" w:hAnsi="Arial" w:cs="Arial"/>
          <w:color w:val="7B7B7B" w:themeColor="accent3" w:themeShade="BF"/>
          <w:sz w:val="22"/>
          <w:szCs w:val="22"/>
        </w:rPr>
        <w:t>In light of</w:t>
      </w:r>
      <w:proofErr w:type="gramEnd"/>
      <w:r w:rsidRPr="008E7794">
        <w:rPr>
          <w:rFonts w:ascii="Arial" w:hAnsi="Arial" w:cs="Arial"/>
          <w:color w:val="7B7B7B" w:themeColor="accent3" w:themeShade="BF"/>
          <w:sz w:val="22"/>
          <w:szCs w:val="22"/>
        </w:rPr>
        <w:t xml:space="preserve"> Article 2(10) and the CJEU jurisprudence, the requirements for an "establishment" are therefore:</w:t>
      </w:r>
    </w:p>
    <w:p w14:paraId="009F821F" w14:textId="3701D1A6" w:rsidR="00EB59B6" w:rsidRPr="008E7794" w:rsidRDefault="00BB2085" w:rsidP="00EB59B6">
      <w:pPr>
        <w:pStyle w:val="ListParagraph"/>
        <w:numPr>
          <w:ilvl w:val="0"/>
          <w:numId w:val="25"/>
        </w:numPr>
        <w:jc w:val="both"/>
        <w:rPr>
          <w:rFonts w:ascii="Arial" w:hAnsi="Arial" w:cs="Arial"/>
          <w:color w:val="7B7B7B" w:themeColor="accent3" w:themeShade="BF"/>
          <w:sz w:val="22"/>
          <w:szCs w:val="22"/>
        </w:rPr>
      </w:pPr>
      <w:r w:rsidRPr="008E7794">
        <w:rPr>
          <w:rFonts w:ascii="Arial" w:hAnsi="Arial" w:cs="Arial"/>
          <w:color w:val="7B7B7B" w:themeColor="accent3" w:themeShade="BF"/>
          <w:sz w:val="22"/>
          <w:szCs w:val="22"/>
        </w:rPr>
        <w:t>"</w:t>
      </w:r>
      <w:r w:rsidR="00234ABC" w:rsidRPr="008E7794">
        <w:rPr>
          <w:rFonts w:ascii="Arial" w:hAnsi="Arial" w:cs="Arial"/>
          <w:i/>
          <w:iCs/>
          <w:color w:val="7B7B7B" w:themeColor="accent3" w:themeShade="BF"/>
          <w:sz w:val="22"/>
          <w:szCs w:val="22"/>
        </w:rPr>
        <w:t>n</w:t>
      </w:r>
      <w:r w:rsidRPr="008E7794">
        <w:rPr>
          <w:rFonts w:ascii="Arial" w:hAnsi="Arial" w:cs="Arial"/>
          <w:i/>
          <w:iCs/>
          <w:color w:val="7B7B7B" w:themeColor="accent3" w:themeShade="BF"/>
          <w:sz w:val="22"/>
          <w:szCs w:val="22"/>
        </w:rPr>
        <w:t>on-transitory economic activity</w:t>
      </w:r>
      <w:r w:rsidRPr="008E7794">
        <w:rPr>
          <w:rFonts w:ascii="Arial" w:hAnsi="Arial" w:cs="Arial"/>
          <w:color w:val="7B7B7B" w:themeColor="accent3" w:themeShade="BF"/>
          <w:sz w:val="22"/>
          <w:szCs w:val="22"/>
        </w:rPr>
        <w:t xml:space="preserve">" </w:t>
      </w:r>
      <w:r w:rsidR="006D4769" w:rsidRPr="008E7794">
        <w:rPr>
          <w:rFonts w:ascii="Arial" w:hAnsi="Arial" w:cs="Arial"/>
          <w:color w:val="7B7B7B" w:themeColor="accent3" w:themeShade="BF"/>
          <w:sz w:val="22"/>
          <w:szCs w:val="22"/>
        </w:rPr>
        <w:t>–</w:t>
      </w:r>
      <w:r w:rsidRPr="008E7794">
        <w:rPr>
          <w:rFonts w:ascii="Arial" w:hAnsi="Arial" w:cs="Arial"/>
          <w:color w:val="7B7B7B" w:themeColor="accent3" w:themeShade="BF"/>
          <w:sz w:val="22"/>
          <w:szCs w:val="22"/>
        </w:rPr>
        <w:t xml:space="preserve"> </w:t>
      </w:r>
      <w:r w:rsidR="006D4769" w:rsidRPr="008E7794">
        <w:rPr>
          <w:rFonts w:ascii="Arial" w:hAnsi="Arial" w:cs="Arial"/>
          <w:color w:val="7B7B7B" w:themeColor="accent3" w:themeShade="BF"/>
          <w:sz w:val="22"/>
          <w:szCs w:val="22"/>
        </w:rPr>
        <w:t xml:space="preserve">this </w:t>
      </w:r>
      <w:r w:rsidRPr="008E7794">
        <w:rPr>
          <w:rFonts w:ascii="Arial" w:hAnsi="Arial" w:cs="Arial"/>
          <w:color w:val="7B7B7B" w:themeColor="accent3" w:themeShade="BF"/>
          <w:sz w:val="22"/>
          <w:szCs w:val="22"/>
        </w:rPr>
        <w:t>indicates the need for a certain degree of continuity and stability</w:t>
      </w:r>
      <w:r w:rsidR="00234ABC" w:rsidRPr="008E7794">
        <w:rPr>
          <w:rFonts w:ascii="Arial" w:hAnsi="Arial" w:cs="Arial"/>
          <w:color w:val="7B7B7B" w:themeColor="accent3" w:themeShade="BF"/>
          <w:sz w:val="22"/>
          <w:szCs w:val="22"/>
        </w:rPr>
        <w:t>. An establishment cannot be a purely occasional operational place</w:t>
      </w:r>
      <w:r w:rsidR="00EB59B6" w:rsidRPr="008E7794">
        <w:rPr>
          <w:rStyle w:val="FootnoteReference"/>
          <w:rFonts w:ascii="Arial" w:hAnsi="Arial" w:cs="Arial"/>
          <w:color w:val="7B7B7B" w:themeColor="accent3" w:themeShade="BF"/>
          <w:sz w:val="22"/>
          <w:szCs w:val="22"/>
        </w:rPr>
        <w:footnoteReference w:id="136"/>
      </w:r>
      <w:r w:rsidRPr="008E7794">
        <w:rPr>
          <w:rFonts w:ascii="Arial" w:hAnsi="Arial" w:cs="Arial"/>
          <w:color w:val="7B7B7B" w:themeColor="accent3" w:themeShade="BF"/>
          <w:sz w:val="22"/>
          <w:szCs w:val="22"/>
        </w:rPr>
        <w:t>; and</w:t>
      </w:r>
    </w:p>
    <w:p w14:paraId="5987AD4A" w14:textId="1E41CC14" w:rsidR="00EB59B6" w:rsidRPr="008E7794" w:rsidRDefault="00BB2085" w:rsidP="00EB59B6">
      <w:pPr>
        <w:pStyle w:val="ListParagraph"/>
        <w:numPr>
          <w:ilvl w:val="0"/>
          <w:numId w:val="25"/>
        </w:numPr>
        <w:jc w:val="both"/>
        <w:rPr>
          <w:rFonts w:ascii="Arial" w:hAnsi="Arial" w:cs="Arial"/>
          <w:color w:val="7B7B7B" w:themeColor="accent3" w:themeShade="BF"/>
          <w:sz w:val="22"/>
          <w:szCs w:val="22"/>
        </w:rPr>
      </w:pPr>
      <w:r w:rsidRPr="008E7794">
        <w:rPr>
          <w:rFonts w:ascii="Arial" w:hAnsi="Arial" w:cs="Arial"/>
          <w:color w:val="7B7B7B" w:themeColor="accent3" w:themeShade="BF"/>
          <w:sz w:val="22"/>
          <w:szCs w:val="22"/>
        </w:rPr>
        <w:t>"</w:t>
      </w:r>
      <w:proofErr w:type="gramStart"/>
      <w:r w:rsidRPr="008E7794">
        <w:rPr>
          <w:rFonts w:ascii="Arial" w:hAnsi="Arial" w:cs="Arial"/>
          <w:i/>
          <w:iCs/>
          <w:color w:val="7B7B7B" w:themeColor="accent3" w:themeShade="BF"/>
          <w:sz w:val="22"/>
          <w:szCs w:val="22"/>
        </w:rPr>
        <w:t>human</w:t>
      </w:r>
      <w:proofErr w:type="gramEnd"/>
      <w:r w:rsidRPr="008E7794">
        <w:rPr>
          <w:rFonts w:ascii="Arial" w:hAnsi="Arial" w:cs="Arial"/>
          <w:i/>
          <w:iCs/>
          <w:color w:val="7B7B7B" w:themeColor="accent3" w:themeShade="BF"/>
          <w:sz w:val="22"/>
          <w:szCs w:val="22"/>
        </w:rPr>
        <w:t xml:space="preserve"> means and assets</w:t>
      </w:r>
      <w:r w:rsidRPr="008E7794">
        <w:rPr>
          <w:rFonts w:ascii="Arial" w:hAnsi="Arial" w:cs="Arial"/>
          <w:color w:val="7B7B7B" w:themeColor="accent3" w:themeShade="BF"/>
          <w:sz w:val="22"/>
          <w:szCs w:val="22"/>
        </w:rPr>
        <w:t xml:space="preserve">", i.e. for the debtor to conduct its affairs with the involvement of people and assets (which represent the organisational presence </w:t>
      </w:r>
      <w:r w:rsidR="008E7794">
        <w:rPr>
          <w:rFonts w:ascii="Arial" w:hAnsi="Arial" w:cs="Arial"/>
          <w:color w:val="7B7B7B" w:themeColor="accent3" w:themeShade="BF"/>
          <w:sz w:val="22"/>
          <w:szCs w:val="22"/>
        </w:rPr>
        <w:t>with</w:t>
      </w:r>
      <w:r w:rsidRPr="008E7794">
        <w:rPr>
          <w:rFonts w:ascii="Arial" w:hAnsi="Arial" w:cs="Arial"/>
          <w:color w:val="7B7B7B" w:themeColor="accent3" w:themeShade="BF"/>
          <w:sz w:val="22"/>
          <w:szCs w:val="22"/>
        </w:rPr>
        <w:t>in the Member State)</w:t>
      </w:r>
      <w:r w:rsidR="00EB59B6" w:rsidRPr="008E7794">
        <w:rPr>
          <w:rFonts w:ascii="Arial" w:hAnsi="Arial" w:cs="Arial"/>
          <w:color w:val="7B7B7B" w:themeColor="accent3" w:themeShade="BF"/>
          <w:sz w:val="22"/>
          <w:szCs w:val="22"/>
        </w:rPr>
        <w:t>.</w:t>
      </w:r>
      <w:r w:rsidR="00EB59B6" w:rsidRPr="008E7794">
        <w:rPr>
          <w:rStyle w:val="FootnoteReference"/>
          <w:rFonts w:ascii="Arial" w:hAnsi="Arial" w:cs="Arial"/>
          <w:color w:val="7B7B7B" w:themeColor="accent3" w:themeShade="BF"/>
          <w:sz w:val="22"/>
          <w:szCs w:val="22"/>
        </w:rPr>
        <w:footnoteReference w:id="137"/>
      </w:r>
    </w:p>
    <w:p w14:paraId="0347301F" w14:textId="77777777" w:rsidR="00EB59B6" w:rsidRPr="008E7794" w:rsidRDefault="00EB59B6" w:rsidP="00EB59B6">
      <w:pPr>
        <w:jc w:val="both"/>
        <w:rPr>
          <w:rFonts w:ascii="Arial" w:hAnsi="Arial" w:cs="Arial"/>
          <w:color w:val="7B7B7B" w:themeColor="accent3" w:themeShade="BF"/>
          <w:sz w:val="22"/>
          <w:szCs w:val="22"/>
        </w:rPr>
      </w:pPr>
    </w:p>
    <w:p w14:paraId="3ECEECAD" w14:textId="7BB476EF" w:rsidR="00BB2085" w:rsidRPr="008E7794" w:rsidRDefault="00BB2085" w:rsidP="00BB2085">
      <w:pPr>
        <w:jc w:val="both"/>
        <w:rPr>
          <w:rFonts w:ascii="Arial" w:hAnsi="Arial" w:cs="Arial"/>
          <w:color w:val="7B7B7B" w:themeColor="accent3" w:themeShade="BF"/>
          <w:sz w:val="22"/>
          <w:szCs w:val="22"/>
        </w:rPr>
      </w:pPr>
      <w:r w:rsidRPr="008E7794">
        <w:rPr>
          <w:rFonts w:ascii="Arial" w:hAnsi="Arial" w:cs="Arial"/>
          <w:color w:val="7B7B7B" w:themeColor="accent3" w:themeShade="BF"/>
          <w:sz w:val="22"/>
          <w:szCs w:val="22"/>
        </w:rPr>
        <w:t xml:space="preserve">Secondary insolvency proceedings cannot be opened in Italy under the EIR Recast. </w:t>
      </w:r>
      <w:r w:rsidR="006D4769" w:rsidRPr="008E7794">
        <w:rPr>
          <w:rFonts w:ascii="Arial" w:hAnsi="Arial" w:cs="Arial"/>
          <w:color w:val="7B7B7B" w:themeColor="accent3" w:themeShade="BF"/>
          <w:sz w:val="22"/>
          <w:szCs w:val="22"/>
        </w:rPr>
        <w:t>Applying Article 2(10) and the CJEU jurisprudence to Dinosaurus’ situation</w:t>
      </w:r>
      <w:r w:rsidRPr="008E7794">
        <w:rPr>
          <w:rFonts w:ascii="Arial" w:hAnsi="Arial" w:cs="Arial"/>
          <w:color w:val="7B7B7B" w:themeColor="accent3" w:themeShade="BF"/>
          <w:sz w:val="22"/>
          <w:szCs w:val="22"/>
        </w:rPr>
        <w:t xml:space="preserve">, there is nothing to suggest that Dinosaurus, as debtor, has an establishment in Italy (or indeed any links to Italy). Indeed, the fact pattern does not even mention Italy. There is nothing in </w:t>
      </w:r>
      <w:r w:rsidR="008E7794">
        <w:rPr>
          <w:rFonts w:ascii="Arial" w:hAnsi="Arial" w:cs="Arial"/>
          <w:color w:val="7B7B7B" w:themeColor="accent3" w:themeShade="BF"/>
          <w:sz w:val="22"/>
          <w:szCs w:val="22"/>
        </w:rPr>
        <w:t xml:space="preserve">the </w:t>
      </w:r>
      <w:r w:rsidRPr="008E7794">
        <w:rPr>
          <w:rFonts w:ascii="Arial" w:hAnsi="Arial" w:cs="Arial"/>
          <w:color w:val="7B7B7B" w:themeColor="accent3" w:themeShade="BF"/>
          <w:sz w:val="22"/>
          <w:szCs w:val="22"/>
        </w:rPr>
        <w:t xml:space="preserve">fact pattern that links Dinosaurus to the pursue of </w:t>
      </w:r>
      <w:r w:rsidR="008E7794">
        <w:rPr>
          <w:rFonts w:ascii="Arial" w:hAnsi="Arial" w:cs="Arial"/>
          <w:color w:val="7B7B7B" w:themeColor="accent3" w:themeShade="BF"/>
          <w:sz w:val="22"/>
          <w:szCs w:val="22"/>
        </w:rPr>
        <w:t xml:space="preserve">non-transitory </w:t>
      </w:r>
      <w:r w:rsidRPr="008E7794">
        <w:rPr>
          <w:rFonts w:ascii="Arial" w:hAnsi="Arial" w:cs="Arial"/>
          <w:color w:val="7B7B7B" w:themeColor="accent3" w:themeShade="BF"/>
          <w:sz w:val="22"/>
          <w:szCs w:val="22"/>
        </w:rPr>
        <w:t>economic activity</w:t>
      </w:r>
      <w:r w:rsidR="008E7794">
        <w:rPr>
          <w:rFonts w:ascii="Arial" w:hAnsi="Arial" w:cs="Arial"/>
          <w:color w:val="7B7B7B" w:themeColor="accent3" w:themeShade="BF"/>
          <w:sz w:val="22"/>
          <w:szCs w:val="22"/>
        </w:rPr>
        <w:t xml:space="preserve"> with human means and assets</w:t>
      </w:r>
      <w:r w:rsidRPr="008E7794">
        <w:rPr>
          <w:rFonts w:ascii="Arial" w:hAnsi="Arial" w:cs="Arial"/>
          <w:color w:val="7B7B7B" w:themeColor="accent3" w:themeShade="BF"/>
          <w:sz w:val="22"/>
          <w:szCs w:val="22"/>
        </w:rPr>
        <w:t xml:space="preserve"> in Italy.</w:t>
      </w:r>
    </w:p>
    <w:p w14:paraId="15450B78" w14:textId="77777777" w:rsidR="006D4769" w:rsidRPr="008E7794" w:rsidRDefault="006D4769" w:rsidP="00BB2085">
      <w:pPr>
        <w:jc w:val="both"/>
        <w:rPr>
          <w:rFonts w:ascii="Arial" w:hAnsi="Arial" w:cs="Arial"/>
          <w:color w:val="7B7B7B" w:themeColor="accent3" w:themeShade="BF"/>
          <w:sz w:val="22"/>
          <w:szCs w:val="22"/>
        </w:rPr>
      </w:pPr>
    </w:p>
    <w:p w14:paraId="235A7ECB" w14:textId="37035468" w:rsidR="00BB2085" w:rsidRPr="008E7794" w:rsidRDefault="00BB2085" w:rsidP="00BB2085">
      <w:pPr>
        <w:jc w:val="both"/>
        <w:rPr>
          <w:rFonts w:ascii="Arial" w:hAnsi="Arial" w:cs="Arial"/>
          <w:color w:val="7B7B7B" w:themeColor="accent3" w:themeShade="BF"/>
          <w:sz w:val="22"/>
          <w:szCs w:val="22"/>
        </w:rPr>
      </w:pPr>
      <w:r w:rsidRPr="008E7794">
        <w:rPr>
          <w:rFonts w:ascii="Arial" w:hAnsi="Arial" w:cs="Arial"/>
          <w:color w:val="7B7B7B" w:themeColor="accent3" w:themeShade="BF"/>
          <w:sz w:val="22"/>
          <w:szCs w:val="22"/>
        </w:rPr>
        <w:t xml:space="preserve">Notwithstanding the fact that secondary insolvency proceedings cannot be opened in Italy, they can be opened </w:t>
      </w:r>
      <w:r w:rsidR="008E7794">
        <w:rPr>
          <w:rFonts w:ascii="Arial" w:hAnsi="Arial" w:cs="Arial"/>
          <w:color w:val="7B7B7B" w:themeColor="accent3" w:themeShade="BF"/>
          <w:sz w:val="22"/>
          <w:szCs w:val="22"/>
        </w:rPr>
        <w:t xml:space="preserve">by the Spanish bank </w:t>
      </w:r>
      <w:r w:rsidRPr="008E7794">
        <w:rPr>
          <w:rFonts w:ascii="Arial" w:hAnsi="Arial" w:cs="Arial"/>
          <w:color w:val="7B7B7B" w:themeColor="accent3" w:themeShade="BF"/>
          <w:sz w:val="22"/>
          <w:szCs w:val="22"/>
        </w:rPr>
        <w:t xml:space="preserve">in Spain under the EIR Recast. The reason for this is because Dinosaurus has an "establishment" in Spain. Applying </w:t>
      </w:r>
      <w:r w:rsidR="00BB21D0" w:rsidRPr="008E7794">
        <w:rPr>
          <w:rFonts w:ascii="Arial" w:hAnsi="Arial" w:cs="Arial"/>
          <w:color w:val="7B7B7B" w:themeColor="accent3" w:themeShade="BF"/>
          <w:sz w:val="22"/>
          <w:szCs w:val="22"/>
        </w:rPr>
        <w:t xml:space="preserve">the EIR Recast and </w:t>
      </w:r>
      <w:proofErr w:type="spellStart"/>
      <w:r w:rsidR="00BB21D0" w:rsidRPr="008E7794">
        <w:rPr>
          <w:rFonts w:ascii="Arial" w:hAnsi="Arial" w:cs="Arial"/>
          <w:i/>
          <w:iCs/>
          <w:color w:val="7B7B7B" w:themeColor="accent3" w:themeShade="BF"/>
          <w:sz w:val="22"/>
          <w:szCs w:val="22"/>
        </w:rPr>
        <w:t>Interedil</w:t>
      </w:r>
      <w:proofErr w:type="spellEnd"/>
      <w:r w:rsidR="00BB21D0" w:rsidRPr="008E7794">
        <w:rPr>
          <w:rFonts w:ascii="Arial" w:hAnsi="Arial" w:cs="Arial"/>
          <w:color w:val="7B7B7B" w:themeColor="accent3" w:themeShade="BF"/>
          <w:sz w:val="22"/>
          <w:szCs w:val="22"/>
        </w:rPr>
        <w:t xml:space="preserve"> to </w:t>
      </w:r>
      <w:proofErr w:type="spellStart"/>
      <w:r w:rsidR="00BB21D0" w:rsidRPr="008E7794">
        <w:rPr>
          <w:rFonts w:ascii="Arial" w:hAnsi="Arial" w:cs="Arial"/>
          <w:color w:val="7B7B7B" w:themeColor="accent3" w:themeShade="BF"/>
          <w:sz w:val="22"/>
          <w:szCs w:val="22"/>
        </w:rPr>
        <w:t>Dinosaurus</w:t>
      </w:r>
      <w:proofErr w:type="spellEnd"/>
      <w:r w:rsidR="00BB21D0" w:rsidRPr="008E7794">
        <w:rPr>
          <w:rFonts w:ascii="Arial" w:hAnsi="Arial" w:cs="Arial"/>
          <w:color w:val="7B7B7B" w:themeColor="accent3" w:themeShade="BF"/>
          <w:sz w:val="22"/>
          <w:szCs w:val="22"/>
        </w:rPr>
        <w:t xml:space="preserve">’ situation, Dinosaurus has carried out non-transitory economic activity with human means and assets and there is a minimum level of </w:t>
      </w:r>
      <w:r w:rsidR="008E7794">
        <w:rPr>
          <w:rFonts w:ascii="Arial" w:hAnsi="Arial" w:cs="Arial"/>
          <w:color w:val="7B7B7B" w:themeColor="accent3" w:themeShade="BF"/>
          <w:sz w:val="22"/>
          <w:szCs w:val="22"/>
        </w:rPr>
        <w:t>organization in Spain</w:t>
      </w:r>
      <w:r w:rsidR="00BB21D0" w:rsidRPr="008E7794">
        <w:rPr>
          <w:rFonts w:ascii="Arial" w:hAnsi="Arial" w:cs="Arial"/>
          <w:color w:val="7B7B7B" w:themeColor="accent3" w:themeShade="BF"/>
          <w:sz w:val="22"/>
          <w:szCs w:val="22"/>
        </w:rPr>
        <w:t>.  It</w:t>
      </w:r>
      <w:r w:rsidRPr="008E7794">
        <w:rPr>
          <w:rFonts w:ascii="Arial" w:hAnsi="Arial" w:cs="Arial"/>
          <w:color w:val="7B7B7B" w:themeColor="accent3" w:themeShade="BF"/>
          <w:sz w:val="22"/>
          <w:szCs w:val="22"/>
        </w:rPr>
        <w:t xml:space="preserve"> has operational activities in Spain, which is a Member State of the EU (other than the Member State where Dinosaurus' COMI is located). We are informed that Dinosaurus has entered into a loan agreement with a Spanish bank, opened a bank account with the bank and negotiated prices with local suppliers (as well as sign non-binding memoranda of understanding with three Madrid-based suppliers). </w:t>
      </w:r>
    </w:p>
    <w:p w14:paraId="231B239E" w14:textId="77777777" w:rsidR="00405B2B" w:rsidRPr="008E7794" w:rsidRDefault="00405B2B" w:rsidP="00BB2085">
      <w:pPr>
        <w:jc w:val="both"/>
        <w:rPr>
          <w:rFonts w:ascii="Arial" w:hAnsi="Arial" w:cs="Arial"/>
          <w:color w:val="7B7B7B" w:themeColor="accent3" w:themeShade="BF"/>
          <w:sz w:val="22"/>
          <w:szCs w:val="22"/>
        </w:rPr>
      </w:pPr>
    </w:p>
    <w:p w14:paraId="3053E811" w14:textId="1E6AE72E" w:rsidR="006D4769" w:rsidRPr="009B6724" w:rsidRDefault="00BB21D0" w:rsidP="00BB2085">
      <w:pPr>
        <w:jc w:val="both"/>
        <w:rPr>
          <w:rFonts w:ascii="Arial" w:hAnsi="Arial" w:cs="Arial"/>
          <w:color w:val="7B7B7B" w:themeColor="accent3" w:themeShade="BF"/>
          <w:sz w:val="22"/>
          <w:szCs w:val="22"/>
        </w:rPr>
      </w:pPr>
      <w:r w:rsidRPr="008E7794">
        <w:rPr>
          <w:rFonts w:ascii="Arial" w:hAnsi="Arial" w:cs="Arial"/>
          <w:color w:val="7B7B7B" w:themeColor="accent3" w:themeShade="BF"/>
          <w:sz w:val="22"/>
          <w:szCs w:val="22"/>
        </w:rPr>
        <w:t xml:space="preserve">Viewed externally by a third party, </w:t>
      </w:r>
      <w:r w:rsidR="00405B2B" w:rsidRPr="008E7794">
        <w:rPr>
          <w:rFonts w:ascii="Arial" w:hAnsi="Arial" w:cs="Arial"/>
          <w:color w:val="7B7B7B" w:themeColor="accent3" w:themeShade="BF"/>
          <w:sz w:val="22"/>
          <w:szCs w:val="22"/>
        </w:rPr>
        <w:t>Dinosaurus has carried out</w:t>
      </w:r>
      <w:r w:rsidRPr="008E7794">
        <w:rPr>
          <w:rFonts w:ascii="Arial" w:hAnsi="Arial" w:cs="Arial"/>
          <w:color w:val="7B7B7B" w:themeColor="accent3" w:themeShade="BF"/>
          <w:sz w:val="22"/>
          <w:szCs w:val="22"/>
        </w:rPr>
        <w:t xml:space="preserve"> non-transitory economic activities. </w:t>
      </w:r>
      <w:r w:rsidR="00405B2B" w:rsidRPr="008E7794">
        <w:rPr>
          <w:rFonts w:ascii="Arial" w:hAnsi="Arial" w:cs="Arial"/>
          <w:color w:val="7B7B7B" w:themeColor="accent3" w:themeShade="BF"/>
          <w:sz w:val="22"/>
          <w:szCs w:val="22"/>
        </w:rPr>
        <w:t xml:space="preserve">It has entered into a loan agreement and even opened a bank account with the Spanish bank. There is a degree of permanency in Dinosaurus’ activities. Further, Dinosaurus has carried out non-transitory economic activities with human means and assets. For example, it has negotiated prices with local suppliers which requires human means </w:t>
      </w:r>
      <w:proofErr w:type="gramStart"/>
      <w:r w:rsidR="00405B2B" w:rsidRPr="008E7794">
        <w:rPr>
          <w:rFonts w:ascii="Arial" w:hAnsi="Arial" w:cs="Arial"/>
          <w:color w:val="7B7B7B" w:themeColor="accent3" w:themeShade="BF"/>
          <w:sz w:val="22"/>
          <w:szCs w:val="22"/>
        </w:rPr>
        <w:t>to</w:t>
      </w:r>
      <w:proofErr w:type="gramEnd"/>
      <w:r w:rsidR="00405B2B" w:rsidRPr="008E7794">
        <w:rPr>
          <w:rFonts w:ascii="Arial" w:hAnsi="Arial" w:cs="Arial"/>
          <w:color w:val="7B7B7B" w:themeColor="accent3" w:themeShade="BF"/>
          <w:sz w:val="22"/>
          <w:szCs w:val="22"/>
        </w:rPr>
        <w:t xml:space="preserve"> so. The non-transitory economic activities of Dinosaurus are objective factors which can be ascertained by a third party, the Spanish bank. </w:t>
      </w:r>
      <w:proofErr w:type="gramStart"/>
      <w:r w:rsidR="00405B2B" w:rsidRPr="008E7794">
        <w:rPr>
          <w:rFonts w:ascii="Arial" w:hAnsi="Arial" w:cs="Arial"/>
          <w:color w:val="7B7B7B" w:themeColor="accent3" w:themeShade="BF"/>
          <w:sz w:val="22"/>
          <w:szCs w:val="22"/>
        </w:rPr>
        <w:t>In light of</w:t>
      </w:r>
      <w:proofErr w:type="gramEnd"/>
      <w:r w:rsidR="00405B2B" w:rsidRPr="008E7794">
        <w:rPr>
          <w:rFonts w:ascii="Arial" w:hAnsi="Arial" w:cs="Arial"/>
          <w:color w:val="7B7B7B" w:themeColor="accent3" w:themeShade="BF"/>
          <w:sz w:val="22"/>
          <w:szCs w:val="22"/>
        </w:rPr>
        <w:t xml:space="preserve"> the fact pattern, the Spanish bank can file a petition to open secondary insolvency proceedings in Spain under the EIR Recast.</w:t>
      </w:r>
    </w:p>
    <w:p w14:paraId="09FB5033" w14:textId="77777777" w:rsidR="00187A34" w:rsidRPr="008500BD" w:rsidRDefault="00187A34" w:rsidP="00D97A5E">
      <w:pP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03067F">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B9C" w14:textId="77777777" w:rsidR="0003067F" w:rsidRDefault="0003067F" w:rsidP="00241B44">
      <w:r>
        <w:separator/>
      </w:r>
    </w:p>
  </w:endnote>
  <w:endnote w:type="continuationSeparator" w:id="0">
    <w:p w14:paraId="7DA30FC7" w14:textId="77777777" w:rsidR="0003067F" w:rsidRDefault="0003067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46523060" w:rsidR="00D509A5" w:rsidRPr="00D00F1C" w:rsidRDefault="00D00F1C" w:rsidP="009B4976">
    <w:pPr>
      <w:pStyle w:val="Footer"/>
      <w:ind w:right="360"/>
      <w:rPr>
        <w:rFonts w:ascii="Arial" w:hAnsi="Arial" w:cs="Arial"/>
        <w:sz w:val="22"/>
        <w:szCs w:val="22"/>
        <w:lang w:val="en-GB"/>
      </w:rPr>
    </w:pPr>
    <w:r w:rsidRPr="00D00F1C">
      <w:rPr>
        <w:rFonts w:ascii="Arial" w:hAnsi="Arial" w:cs="Arial"/>
        <w:sz w:val="22"/>
        <w:szCs w:val="22"/>
        <w:lang w:val="en-GB"/>
      </w:rPr>
      <w:t>202324-1433</w:t>
    </w:r>
    <w:r w:rsidR="00D509A5" w:rsidRPr="00D00F1C">
      <w:rPr>
        <w:rFonts w:ascii="Arial" w:hAnsi="Arial"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E9B3" w14:textId="77777777" w:rsidR="0003067F" w:rsidRDefault="0003067F" w:rsidP="00241B44">
      <w:r>
        <w:separator/>
      </w:r>
    </w:p>
  </w:footnote>
  <w:footnote w:type="continuationSeparator" w:id="0">
    <w:p w14:paraId="4A260302" w14:textId="77777777" w:rsidR="0003067F" w:rsidRDefault="0003067F" w:rsidP="00241B44">
      <w:r>
        <w:continuationSeparator/>
      </w:r>
    </w:p>
  </w:footnote>
  <w:footnote w:id="1">
    <w:p w14:paraId="7B70C720" w14:textId="44617EBF" w:rsidR="00667596" w:rsidRPr="0051037C" w:rsidRDefault="00667596" w:rsidP="004A584A">
      <w:pPr>
        <w:pStyle w:val="FootnoteText"/>
        <w:jc w:val="both"/>
        <w:rPr>
          <w:rFonts w:ascii="Arial" w:hAnsi="Arial" w:cs="Arial"/>
          <w:sz w:val="16"/>
          <w:szCs w:val="16"/>
          <w:lang w:val="en-GB"/>
        </w:rPr>
      </w:pPr>
      <w:r w:rsidRPr="0051037C">
        <w:rPr>
          <w:rStyle w:val="FootnoteReference"/>
          <w:rFonts w:ascii="Arial" w:hAnsi="Arial" w:cs="Arial"/>
          <w:sz w:val="16"/>
          <w:szCs w:val="16"/>
        </w:rPr>
        <w:footnoteRef/>
      </w:r>
      <w:r w:rsidRPr="0051037C">
        <w:rPr>
          <w:rFonts w:ascii="Arial" w:hAnsi="Arial" w:cs="Arial"/>
          <w:sz w:val="16"/>
          <w:szCs w:val="16"/>
        </w:rPr>
        <w:t xml:space="preserve"> </w:t>
      </w:r>
      <w:r w:rsidRPr="0051037C">
        <w:rPr>
          <w:rFonts w:ascii="Arial" w:hAnsi="Arial" w:cs="Arial"/>
          <w:color w:val="808080" w:themeColor="background1" w:themeShade="80"/>
          <w:sz w:val="16"/>
          <w:szCs w:val="16"/>
        </w:rPr>
        <w:t>Article 18, EIR Recast</w:t>
      </w:r>
    </w:p>
  </w:footnote>
  <w:footnote w:id="2">
    <w:p w14:paraId="54ABCBE3" w14:textId="52B00701" w:rsidR="0042112D" w:rsidRPr="0051037C" w:rsidRDefault="0042112D" w:rsidP="004A584A">
      <w:pPr>
        <w:pStyle w:val="FootnoteText"/>
        <w:jc w:val="both"/>
        <w:rPr>
          <w:rFonts w:ascii="Arial" w:hAnsi="Arial" w:cs="Arial"/>
          <w:sz w:val="16"/>
          <w:szCs w:val="16"/>
          <w:lang w:val="en-GB"/>
        </w:rPr>
      </w:pPr>
      <w:r w:rsidRPr="0051037C">
        <w:rPr>
          <w:rStyle w:val="FootnoteReference"/>
          <w:rFonts w:ascii="Arial" w:hAnsi="Arial" w:cs="Arial"/>
          <w:sz w:val="16"/>
          <w:szCs w:val="16"/>
        </w:rPr>
        <w:footnoteRef/>
      </w:r>
      <w:r w:rsidRPr="0051037C">
        <w:rPr>
          <w:rFonts w:ascii="Arial" w:hAnsi="Arial" w:cs="Arial"/>
          <w:sz w:val="16"/>
          <w:szCs w:val="16"/>
        </w:rPr>
        <w:t xml:space="preserve"> </w:t>
      </w:r>
      <w:r w:rsidRPr="0051037C">
        <w:rPr>
          <w:rFonts w:ascii="Arial" w:hAnsi="Arial" w:cs="Arial"/>
          <w:color w:val="7B7B7B" w:themeColor="accent3" w:themeShade="BF"/>
          <w:sz w:val="16"/>
          <w:szCs w:val="16"/>
        </w:rPr>
        <w:t>Article 7(1), EIR Recast</w:t>
      </w:r>
    </w:p>
  </w:footnote>
  <w:footnote w:id="3">
    <w:p w14:paraId="73F3A43C" w14:textId="17FB64CA" w:rsidR="00757C19" w:rsidRPr="0051037C" w:rsidRDefault="00757C19" w:rsidP="004A584A">
      <w:pPr>
        <w:pStyle w:val="FootnoteText"/>
        <w:jc w:val="both"/>
        <w:rPr>
          <w:rFonts w:ascii="Arial" w:hAnsi="Arial" w:cs="Arial"/>
          <w:sz w:val="16"/>
          <w:szCs w:val="16"/>
          <w:lang w:val="en-GB"/>
        </w:rPr>
      </w:pPr>
      <w:r w:rsidRPr="0051037C">
        <w:rPr>
          <w:rStyle w:val="FootnoteReference"/>
          <w:rFonts w:ascii="Arial" w:hAnsi="Arial" w:cs="Arial"/>
          <w:sz w:val="16"/>
          <w:szCs w:val="16"/>
        </w:rPr>
        <w:footnoteRef/>
      </w:r>
      <w:r w:rsidRPr="0051037C">
        <w:rPr>
          <w:rFonts w:ascii="Arial" w:hAnsi="Arial" w:cs="Arial"/>
          <w:sz w:val="16"/>
          <w:szCs w:val="16"/>
        </w:rPr>
        <w:t xml:space="preserve"> </w:t>
      </w:r>
      <w:r w:rsidRPr="0051037C">
        <w:rPr>
          <w:rFonts w:ascii="Arial" w:hAnsi="Arial" w:cs="Arial"/>
          <w:color w:val="7B7B7B" w:themeColor="accent3" w:themeShade="BF"/>
          <w:sz w:val="16"/>
          <w:szCs w:val="16"/>
        </w:rPr>
        <w:t>Article 8, EIR Recast</w:t>
      </w:r>
    </w:p>
  </w:footnote>
  <w:footnote w:id="4">
    <w:p w14:paraId="4DBE354D" w14:textId="4607034F" w:rsidR="00602EF9" w:rsidRPr="0051037C" w:rsidRDefault="00602EF9" w:rsidP="004A584A">
      <w:pPr>
        <w:pStyle w:val="FootnoteText"/>
        <w:jc w:val="both"/>
        <w:rPr>
          <w:rFonts w:ascii="Arial" w:hAnsi="Arial" w:cs="Arial"/>
          <w:sz w:val="16"/>
          <w:szCs w:val="16"/>
          <w:lang w:val="en-GB"/>
        </w:rPr>
      </w:pPr>
      <w:r w:rsidRPr="0051037C">
        <w:rPr>
          <w:rStyle w:val="FootnoteReference"/>
          <w:rFonts w:ascii="Arial" w:hAnsi="Arial" w:cs="Arial"/>
          <w:sz w:val="16"/>
          <w:szCs w:val="16"/>
        </w:rPr>
        <w:footnoteRef/>
      </w:r>
      <w:r w:rsidRPr="0051037C">
        <w:rPr>
          <w:rFonts w:ascii="Arial" w:hAnsi="Arial" w:cs="Arial"/>
          <w:sz w:val="16"/>
          <w:szCs w:val="16"/>
        </w:rPr>
        <w:t xml:space="preserve"> </w:t>
      </w:r>
      <w:r w:rsidRPr="0051037C">
        <w:rPr>
          <w:rFonts w:ascii="Arial" w:hAnsi="Arial" w:cs="Arial"/>
          <w:color w:val="808080" w:themeColor="background1" w:themeShade="80"/>
          <w:sz w:val="16"/>
          <w:szCs w:val="16"/>
          <w:lang w:val="en-GB"/>
        </w:rPr>
        <w:t xml:space="preserve">Professor </w:t>
      </w:r>
      <w:r w:rsidRPr="0051037C">
        <w:rPr>
          <w:rFonts w:ascii="Arial" w:hAnsi="Arial" w:cs="Arial"/>
          <w:color w:val="808080" w:themeColor="background1" w:themeShade="80"/>
          <w:sz w:val="16"/>
          <w:szCs w:val="16"/>
        </w:rPr>
        <w:t xml:space="preserve">Bob Wessels and </w:t>
      </w:r>
      <w:proofErr w:type="spellStart"/>
      <w:r w:rsidRPr="0051037C">
        <w:rPr>
          <w:rFonts w:ascii="Arial" w:hAnsi="Arial" w:cs="Arial"/>
          <w:color w:val="808080" w:themeColor="background1" w:themeShade="80"/>
          <w:sz w:val="16"/>
          <w:szCs w:val="16"/>
        </w:rPr>
        <w:t>Mr</w:t>
      </w:r>
      <w:proofErr w:type="spellEnd"/>
      <w:r w:rsidRPr="0051037C">
        <w:rPr>
          <w:rFonts w:ascii="Arial" w:hAnsi="Arial" w:cs="Arial"/>
          <w:color w:val="808080" w:themeColor="background1" w:themeShade="80"/>
          <w:sz w:val="16"/>
          <w:szCs w:val="16"/>
        </w:rPr>
        <w:t xml:space="preserve"> Ilya Kokorin</w:t>
      </w:r>
      <w:r w:rsidRPr="0051037C">
        <w:rPr>
          <w:rFonts w:ascii="Arial" w:hAnsi="Arial" w:cs="Arial"/>
          <w:color w:val="808080" w:themeColor="background1" w:themeShade="80"/>
          <w:sz w:val="16"/>
          <w:szCs w:val="16"/>
          <w:lang w:val="en-GB"/>
        </w:rPr>
        <w:t>,</w:t>
      </w:r>
      <w:r w:rsidRPr="0051037C">
        <w:rPr>
          <w:rFonts w:ascii="Arial" w:hAnsi="Arial" w:cs="Arial"/>
          <w:color w:val="808080" w:themeColor="background1" w:themeShade="80"/>
          <w:sz w:val="16"/>
          <w:szCs w:val="16"/>
        </w:rPr>
        <w:t xml:space="preserve"> text updated for 2020/2021, 2021/2022, 2022/2023 and 2023/2024 by Dr Emilie Ghio,</w:t>
      </w:r>
      <w:r w:rsidRPr="0051037C">
        <w:rPr>
          <w:rFonts w:ascii="Arial" w:hAnsi="Arial" w:cs="Arial"/>
          <w:color w:val="808080" w:themeColor="background1" w:themeShade="80"/>
          <w:sz w:val="16"/>
          <w:szCs w:val="16"/>
          <w:lang w:val="en-GB"/>
        </w:rPr>
        <w:t xml:space="preserve"> “INSOL International, Foundation Certificate in International Insolvency Law, Module </w:t>
      </w:r>
      <w:r w:rsidRPr="0051037C">
        <w:rPr>
          <w:rFonts w:ascii="Arial" w:hAnsi="Arial" w:cs="Arial"/>
          <w:color w:val="808080" w:themeColor="background1" w:themeShade="80"/>
          <w:sz w:val="16"/>
          <w:szCs w:val="16"/>
        </w:rPr>
        <w:t>2B</w:t>
      </w:r>
      <w:r w:rsidRPr="0051037C">
        <w:rPr>
          <w:rFonts w:ascii="Arial" w:hAnsi="Arial" w:cs="Arial"/>
          <w:color w:val="808080" w:themeColor="background1" w:themeShade="80"/>
          <w:sz w:val="16"/>
          <w:szCs w:val="16"/>
          <w:lang w:val="en-GB"/>
        </w:rPr>
        <w:t xml:space="preserve"> Guidance Text, </w:t>
      </w:r>
      <w:r w:rsidRPr="0051037C">
        <w:rPr>
          <w:rFonts w:ascii="Arial" w:hAnsi="Arial" w:cs="Arial"/>
          <w:color w:val="808080" w:themeColor="background1" w:themeShade="80"/>
          <w:sz w:val="16"/>
          <w:szCs w:val="16"/>
        </w:rPr>
        <w:t>The European Insolvency Regulation</w:t>
      </w:r>
      <w:r w:rsidRPr="0051037C">
        <w:rPr>
          <w:rFonts w:ascii="Arial" w:hAnsi="Arial" w:cs="Arial"/>
          <w:color w:val="808080" w:themeColor="background1" w:themeShade="80"/>
          <w:sz w:val="16"/>
          <w:szCs w:val="16"/>
          <w:lang w:val="en-GB"/>
        </w:rPr>
        <w:t xml:space="preserve"> 2023/2024”, p </w:t>
      </w:r>
      <w:proofErr w:type="gramStart"/>
      <w:r w:rsidRPr="0051037C">
        <w:rPr>
          <w:rFonts w:ascii="Arial" w:hAnsi="Arial" w:cs="Arial"/>
          <w:color w:val="808080" w:themeColor="background1" w:themeShade="80"/>
          <w:sz w:val="16"/>
          <w:szCs w:val="16"/>
        </w:rPr>
        <w:t>27</w:t>
      </w:r>
      <w:proofErr w:type="gramEnd"/>
    </w:p>
  </w:footnote>
  <w:footnote w:id="5">
    <w:p w14:paraId="74E7547B" w14:textId="5AE29EF1" w:rsidR="003C461B" w:rsidRPr="0051037C" w:rsidRDefault="003C461B" w:rsidP="004A584A">
      <w:pPr>
        <w:pStyle w:val="FootnoteText"/>
        <w:jc w:val="both"/>
        <w:rPr>
          <w:rFonts w:ascii="Arial" w:hAnsi="Arial" w:cs="Arial"/>
          <w:sz w:val="16"/>
          <w:szCs w:val="16"/>
          <w:lang w:val="en-GB"/>
        </w:rPr>
      </w:pPr>
      <w:r w:rsidRPr="0051037C">
        <w:rPr>
          <w:rStyle w:val="FootnoteReference"/>
          <w:rFonts w:ascii="Arial" w:hAnsi="Arial" w:cs="Arial"/>
          <w:sz w:val="16"/>
          <w:szCs w:val="16"/>
        </w:rPr>
        <w:footnoteRef/>
      </w:r>
      <w:r w:rsidRPr="0051037C">
        <w:rPr>
          <w:rFonts w:ascii="Arial" w:hAnsi="Arial" w:cs="Arial"/>
          <w:sz w:val="16"/>
          <w:szCs w:val="16"/>
        </w:rPr>
        <w:t xml:space="preserve"> </w:t>
      </w:r>
      <w:r w:rsidRPr="0051037C">
        <w:rPr>
          <w:rFonts w:ascii="Arial" w:hAnsi="Arial" w:cs="Arial"/>
          <w:color w:val="7B7B7B" w:themeColor="accent3" w:themeShade="BF"/>
          <w:sz w:val="16"/>
          <w:szCs w:val="16"/>
        </w:rPr>
        <w:t>Ibid., p 74</w:t>
      </w:r>
    </w:p>
  </w:footnote>
  <w:footnote w:id="6">
    <w:p w14:paraId="63C7E711" w14:textId="417054FE" w:rsidR="00A40662" w:rsidRPr="0051037C" w:rsidRDefault="00A40662" w:rsidP="004A584A">
      <w:pPr>
        <w:pStyle w:val="FootnoteText"/>
        <w:jc w:val="both"/>
        <w:rPr>
          <w:rFonts w:ascii="Arial" w:hAnsi="Arial" w:cs="Arial"/>
          <w:sz w:val="16"/>
          <w:szCs w:val="16"/>
          <w:lang w:val="en-GB"/>
        </w:rPr>
      </w:pPr>
      <w:r w:rsidRPr="0051037C">
        <w:rPr>
          <w:rStyle w:val="FootnoteReference"/>
          <w:rFonts w:ascii="Arial" w:hAnsi="Arial" w:cs="Arial"/>
          <w:sz w:val="16"/>
          <w:szCs w:val="16"/>
        </w:rPr>
        <w:footnoteRef/>
      </w:r>
      <w:r w:rsidRPr="0051037C">
        <w:rPr>
          <w:rFonts w:ascii="Arial" w:hAnsi="Arial" w:cs="Arial"/>
          <w:sz w:val="16"/>
          <w:szCs w:val="16"/>
        </w:rPr>
        <w:t xml:space="preserve"> </w:t>
      </w:r>
      <w:r w:rsidRPr="0051037C">
        <w:rPr>
          <w:rFonts w:ascii="Arial" w:hAnsi="Arial" w:cs="Arial"/>
          <w:color w:val="7B7B7B" w:themeColor="accent3" w:themeShade="BF"/>
          <w:sz w:val="16"/>
          <w:szCs w:val="16"/>
        </w:rPr>
        <w:t>Article 7(2)(e), EIR Recast</w:t>
      </w:r>
    </w:p>
  </w:footnote>
  <w:footnote w:id="7">
    <w:p w14:paraId="0A5075C1" w14:textId="5C1FC524" w:rsidR="00C12FFB" w:rsidRPr="0051037C" w:rsidRDefault="00C12FFB" w:rsidP="004A584A">
      <w:pPr>
        <w:pStyle w:val="FootnoteText"/>
        <w:jc w:val="both"/>
        <w:rPr>
          <w:rFonts w:ascii="Arial" w:hAnsi="Arial" w:cs="Arial"/>
          <w:sz w:val="16"/>
          <w:szCs w:val="16"/>
          <w:lang w:val="en-GB"/>
        </w:rPr>
      </w:pPr>
      <w:r w:rsidRPr="0051037C">
        <w:rPr>
          <w:rStyle w:val="FootnoteReference"/>
          <w:rFonts w:ascii="Arial" w:hAnsi="Arial" w:cs="Arial"/>
          <w:sz w:val="16"/>
          <w:szCs w:val="16"/>
        </w:rPr>
        <w:footnoteRef/>
      </w:r>
      <w:r w:rsidRPr="0051037C">
        <w:rPr>
          <w:rFonts w:ascii="Arial" w:hAnsi="Arial" w:cs="Arial"/>
          <w:sz w:val="16"/>
          <w:szCs w:val="16"/>
        </w:rPr>
        <w:t xml:space="preserve"> </w:t>
      </w:r>
      <w:r w:rsidRPr="0051037C">
        <w:rPr>
          <w:rFonts w:ascii="Arial" w:hAnsi="Arial" w:cs="Arial"/>
          <w:color w:val="7B7B7B" w:themeColor="accent3" w:themeShade="BF"/>
          <w:sz w:val="16"/>
          <w:szCs w:val="16"/>
        </w:rPr>
        <w:t>Article 13(1)</w:t>
      </w:r>
      <w:r w:rsidR="00A40662" w:rsidRPr="0051037C">
        <w:rPr>
          <w:rFonts w:ascii="Arial" w:hAnsi="Arial" w:cs="Arial"/>
          <w:color w:val="7B7B7B" w:themeColor="accent3" w:themeShade="BF"/>
          <w:sz w:val="16"/>
          <w:szCs w:val="16"/>
        </w:rPr>
        <w:t>, EIR Recast</w:t>
      </w:r>
    </w:p>
  </w:footnote>
  <w:footnote w:id="8">
    <w:p w14:paraId="24726E8E" w14:textId="7B48CB4B" w:rsidR="00A40662" w:rsidRPr="0051037C" w:rsidRDefault="00A40662" w:rsidP="004A584A">
      <w:pPr>
        <w:pStyle w:val="FootnoteText"/>
        <w:jc w:val="both"/>
        <w:rPr>
          <w:rFonts w:ascii="Arial" w:hAnsi="Arial" w:cs="Arial"/>
          <w:sz w:val="16"/>
          <w:szCs w:val="16"/>
          <w:lang w:val="en-GB"/>
        </w:rPr>
      </w:pPr>
      <w:r w:rsidRPr="0051037C">
        <w:rPr>
          <w:rStyle w:val="FootnoteReference"/>
          <w:rFonts w:ascii="Arial" w:hAnsi="Arial" w:cs="Arial"/>
          <w:sz w:val="16"/>
          <w:szCs w:val="16"/>
        </w:rPr>
        <w:footnoteRef/>
      </w:r>
      <w:r w:rsidRPr="0051037C">
        <w:rPr>
          <w:rFonts w:ascii="Arial" w:hAnsi="Arial" w:cs="Arial"/>
          <w:sz w:val="16"/>
          <w:szCs w:val="16"/>
        </w:rPr>
        <w:t xml:space="preserve"> </w:t>
      </w:r>
      <w:r w:rsidRPr="0051037C">
        <w:rPr>
          <w:rFonts w:ascii="Arial" w:hAnsi="Arial" w:cs="Arial"/>
          <w:color w:val="7B7B7B" w:themeColor="accent3" w:themeShade="BF"/>
          <w:sz w:val="16"/>
          <w:szCs w:val="16"/>
        </w:rPr>
        <w:t>Recital 72, EIR Recast</w:t>
      </w:r>
    </w:p>
  </w:footnote>
  <w:footnote w:id="9">
    <w:p w14:paraId="5F41670D" w14:textId="58CF6AA6" w:rsidR="003C461B" w:rsidRPr="003C461B" w:rsidRDefault="003C461B" w:rsidP="004A584A">
      <w:pPr>
        <w:pStyle w:val="FootnoteText"/>
        <w:jc w:val="both"/>
        <w:rPr>
          <w:lang w:val="en-GB"/>
        </w:rPr>
      </w:pPr>
      <w:r w:rsidRPr="0051037C">
        <w:rPr>
          <w:rStyle w:val="FootnoteReference"/>
          <w:rFonts w:ascii="Arial" w:hAnsi="Arial" w:cs="Arial"/>
          <w:sz w:val="16"/>
          <w:szCs w:val="16"/>
        </w:rPr>
        <w:footnoteRef/>
      </w:r>
      <w:r w:rsidRPr="0051037C">
        <w:rPr>
          <w:rFonts w:ascii="Arial" w:hAnsi="Arial" w:cs="Arial"/>
          <w:sz w:val="16"/>
          <w:szCs w:val="16"/>
        </w:rPr>
        <w:t xml:space="preserve"> </w:t>
      </w:r>
      <w:r w:rsidRPr="0051037C">
        <w:rPr>
          <w:rFonts w:ascii="Arial" w:hAnsi="Arial" w:cs="Arial"/>
          <w:color w:val="808080" w:themeColor="background1" w:themeShade="80"/>
          <w:sz w:val="16"/>
          <w:szCs w:val="16"/>
          <w:lang w:val="en-GB"/>
        </w:rPr>
        <w:t xml:space="preserve">Professor </w:t>
      </w:r>
      <w:r w:rsidRPr="0051037C">
        <w:rPr>
          <w:rFonts w:ascii="Arial" w:hAnsi="Arial" w:cs="Arial"/>
          <w:color w:val="808080" w:themeColor="background1" w:themeShade="80"/>
          <w:sz w:val="16"/>
          <w:szCs w:val="16"/>
        </w:rPr>
        <w:t xml:space="preserve">Bob Wessels and </w:t>
      </w:r>
      <w:proofErr w:type="spellStart"/>
      <w:r w:rsidRPr="0051037C">
        <w:rPr>
          <w:rFonts w:ascii="Arial" w:hAnsi="Arial" w:cs="Arial"/>
          <w:color w:val="808080" w:themeColor="background1" w:themeShade="80"/>
          <w:sz w:val="16"/>
          <w:szCs w:val="16"/>
        </w:rPr>
        <w:t>Mr</w:t>
      </w:r>
      <w:proofErr w:type="spellEnd"/>
      <w:r w:rsidRPr="0051037C">
        <w:rPr>
          <w:rFonts w:ascii="Arial" w:hAnsi="Arial" w:cs="Arial"/>
          <w:color w:val="808080" w:themeColor="background1" w:themeShade="80"/>
          <w:sz w:val="16"/>
          <w:szCs w:val="16"/>
        </w:rPr>
        <w:t xml:space="preserve"> Ilya Kokorin</w:t>
      </w:r>
      <w:r w:rsidRPr="0051037C">
        <w:rPr>
          <w:rFonts w:ascii="Arial" w:hAnsi="Arial" w:cs="Arial"/>
          <w:color w:val="808080" w:themeColor="background1" w:themeShade="80"/>
          <w:sz w:val="16"/>
          <w:szCs w:val="16"/>
          <w:lang w:val="en-GB"/>
        </w:rPr>
        <w:t>,</w:t>
      </w:r>
      <w:r w:rsidRPr="0051037C">
        <w:rPr>
          <w:rFonts w:ascii="Arial" w:hAnsi="Arial" w:cs="Arial"/>
          <w:color w:val="808080" w:themeColor="background1" w:themeShade="80"/>
          <w:sz w:val="16"/>
          <w:szCs w:val="16"/>
        </w:rPr>
        <w:t xml:space="preserve"> text updated for 2020/2021, 2021/2022, 2022/2023 and 2023/2024 by Dr Emilie Ghio,</w:t>
      </w:r>
      <w:r w:rsidRPr="0051037C">
        <w:rPr>
          <w:rFonts w:ascii="Arial" w:hAnsi="Arial" w:cs="Arial"/>
          <w:color w:val="808080" w:themeColor="background1" w:themeShade="80"/>
          <w:sz w:val="16"/>
          <w:szCs w:val="16"/>
          <w:lang w:val="en-GB"/>
        </w:rPr>
        <w:t xml:space="preserve"> “INSOL International, Foundation Certificate in International Insolvency Law, Module </w:t>
      </w:r>
      <w:r w:rsidRPr="0051037C">
        <w:rPr>
          <w:rFonts w:ascii="Arial" w:hAnsi="Arial" w:cs="Arial"/>
          <w:color w:val="808080" w:themeColor="background1" w:themeShade="80"/>
          <w:sz w:val="16"/>
          <w:szCs w:val="16"/>
        </w:rPr>
        <w:t>2B</w:t>
      </w:r>
      <w:r w:rsidRPr="0051037C">
        <w:rPr>
          <w:rFonts w:ascii="Arial" w:hAnsi="Arial" w:cs="Arial"/>
          <w:color w:val="808080" w:themeColor="background1" w:themeShade="80"/>
          <w:sz w:val="16"/>
          <w:szCs w:val="16"/>
          <w:lang w:val="en-GB"/>
        </w:rPr>
        <w:t xml:space="preserve"> Guidance Text, </w:t>
      </w:r>
      <w:r w:rsidRPr="0051037C">
        <w:rPr>
          <w:rFonts w:ascii="Arial" w:hAnsi="Arial" w:cs="Arial"/>
          <w:color w:val="808080" w:themeColor="background1" w:themeShade="80"/>
          <w:sz w:val="16"/>
          <w:szCs w:val="16"/>
        </w:rPr>
        <w:t>The European Insolvency Regulation</w:t>
      </w:r>
      <w:r w:rsidRPr="0051037C">
        <w:rPr>
          <w:rFonts w:ascii="Arial" w:hAnsi="Arial" w:cs="Arial"/>
          <w:color w:val="808080" w:themeColor="background1" w:themeShade="80"/>
          <w:sz w:val="16"/>
          <w:szCs w:val="16"/>
          <w:lang w:val="en-GB"/>
        </w:rPr>
        <w:t xml:space="preserve"> 2023/2024”, p </w:t>
      </w:r>
      <w:proofErr w:type="gramStart"/>
      <w:r w:rsidRPr="0051037C">
        <w:rPr>
          <w:rFonts w:ascii="Arial" w:hAnsi="Arial" w:cs="Arial"/>
          <w:color w:val="808080" w:themeColor="background1" w:themeShade="80"/>
          <w:sz w:val="16"/>
          <w:szCs w:val="16"/>
        </w:rPr>
        <w:t>74</w:t>
      </w:r>
      <w:proofErr w:type="gramEnd"/>
    </w:p>
  </w:footnote>
  <w:footnote w:id="10">
    <w:p w14:paraId="0993FFAF" w14:textId="77777777" w:rsidR="00613952" w:rsidRPr="00ED3C39" w:rsidRDefault="00613952" w:rsidP="00135C99">
      <w:pPr>
        <w:pStyle w:val="FootnoteText"/>
        <w:jc w:val="both"/>
        <w:rPr>
          <w:rFonts w:ascii="Arial" w:hAnsi="Arial" w:cs="Arial"/>
          <w:sz w:val="16"/>
          <w:szCs w:val="16"/>
          <w:lang w:val="en-GB"/>
        </w:rPr>
      </w:pPr>
      <w:r w:rsidRPr="00ED3C39">
        <w:rPr>
          <w:rStyle w:val="FootnoteReference"/>
          <w:rFonts w:ascii="Arial" w:hAnsi="Arial" w:cs="Arial"/>
          <w:sz w:val="16"/>
          <w:szCs w:val="16"/>
        </w:rPr>
        <w:footnoteRef/>
      </w:r>
      <w:r w:rsidRPr="00ED3C39">
        <w:rPr>
          <w:rFonts w:ascii="Arial" w:hAnsi="Arial" w:cs="Arial"/>
          <w:sz w:val="16"/>
          <w:szCs w:val="16"/>
        </w:rPr>
        <w:t xml:space="preserve"> </w:t>
      </w:r>
      <w:r w:rsidRPr="00ED3C39">
        <w:rPr>
          <w:rFonts w:ascii="Arial" w:hAnsi="Arial" w:cs="Arial"/>
          <w:color w:val="808080" w:themeColor="background1" w:themeShade="80"/>
          <w:sz w:val="16"/>
          <w:szCs w:val="16"/>
        </w:rPr>
        <w:t>Article 18, EIR Recast</w:t>
      </w:r>
    </w:p>
  </w:footnote>
  <w:footnote w:id="11">
    <w:p w14:paraId="526D4A8E" w14:textId="7D72A189" w:rsidR="005F7A23" w:rsidRPr="00971A8D" w:rsidRDefault="005F7A23" w:rsidP="00135C99">
      <w:pPr>
        <w:pStyle w:val="FootnoteText"/>
        <w:jc w:val="both"/>
        <w:rPr>
          <w:rFonts w:ascii="Arial" w:hAnsi="Arial" w:cs="Arial"/>
          <w:sz w:val="16"/>
          <w:szCs w:val="16"/>
          <w:lang w:val="en-GB"/>
        </w:rPr>
      </w:pPr>
      <w:r w:rsidRPr="00971A8D">
        <w:rPr>
          <w:rStyle w:val="FootnoteReference"/>
          <w:rFonts w:ascii="Arial" w:hAnsi="Arial" w:cs="Arial"/>
          <w:sz w:val="16"/>
          <w:szCs w:val="16"/>
        </w:rPr>
        <w:footnoteRef/>
      </w:r>
      <w:r w:rsidRPr="00971A8D">
        <w:rPr>
          <w:rFonts w:ascii="Arial" w:hAnsi="Arial" w:cs="Arial"/>
          <w:sz w:val="16"/>
          <w:szCs w:val="16"/>
        </w:rPr>
        <w:t xml:space="preserve"> </w:t>
      </w:r>
      <w:r w:rsidRPr="00971A8D">
        <w:rPr>
          <w:rFonts w:ascii="Arial" w:hAnsi="Arial" w:cs="Arial"/>
          <w:color w:val="808080" w:themeColor="background1" w:themeShade="80"/>
          <w:sz w:val="16"/>
          <w:szCs w:val="16"/>
          <w:lang w:val="en-GB"/>
        </w:rPr>
        <w:t xml:space="preserve">Professor </w:t>
      </w:r>
      <w:r w:rsidRPr="00971A8D">
        <w:rPr>
          <w:rFonts w:ascii="Arial" w:hAnsi="Arial" w:cs="Arial"/>
          <w:color w:val="808080" w:themeColor="background1" w:themeShade="80"/>
          <w:sz w:val="16"/>
          <w:szCs w:val="16"/>
        </w:rPr>
        <w:t xml:space="preserve">Bob Wessels and </w:t>
      </w:r>
      <w:proofErr w:type="spellStart"/>
      <w:r w:rsidRPr="00971A8D">
        <w:rPr>
          <w:rFonts w:ascii="Arial" w:hAnsi="Arial" w:cs="Arial"/>
          <w:color w:val="808080" w:themeColor="background1" w:themeShade="80"/>
          <w:sz w:val="16"/>
          <w:szCs w:val="16"/>
        </w:rPr>
        <w:t>Mr</w:t>
      </w:r>
      <w:proofErr w:type="spellEnd"/>
      <w:r w:rsidRPr="00971A8D">
        <w:rPr>
          <w:rFonts w:ascii="Arial" w:hAnsi="Arial" w:cs="Arial"/>
          <w:color w:val="808080" w:themeColor="background1" w:themeShade="80"/>
          <w:sz w:val="16"/>
          <w:szCs w:val="16"/>
        </w:rPr>
        <w:t xml:space="preserve"> Ilya Kokorin</w:t>
      </w:r>
      <w:r w:rsidRPr="00971A8D">
        <w:rPr>
          <w:rFonts w:ascii="Arial" w:hAnsi="Arial" w:cs="Arial"/>
          <w:color w:val="808080" w:themeColor="background1" w:themeShade="80"/>
          <w:sz w:val="16"/>
          <w:szCs w:val="16"/>
          <w:lang w:val="en-GB"/>
        </w:rPr>
        <w:t>,</w:t>
      </w:r>
      <w:r w:rsidRPr="00971A8D">
        <w:rPr>
          <w:rFonts w:ascii="Arial" w:hAnsi="Arial" w:cs="Arial"/>
          <w:color w:val="808080" w:themeColor="background1" w:themeShade="80"/>
          <w:sz w:val="16"/>
          <w:szCs w:val="16"/>
        </w:rPr>
        <w:t xml:space="preserve"> text updated for 2020/2021, 2021/2022, 2022/2023 and 2023/2024 by Dr Emilie Ghio,</w:t>
      </w:r>
      <w:r w:rsidRPr="00971A8D">
        <w:rPr>
          <w:rFonts w:ascii="Arial" w:hAnsi="Arial" w:cs="Arial"/>
          <w:color w:val="808080" w:themeColor="background1" w:themeShade="80"/>
          <w:sz w:val="16"/>
          <w:szCs w:val="16"/>
          <w:lang w:val="en-GB"/>
        </w:rPr>
        <w:t xml:space="preserve"> “INSOL International, Foundation Certificate in International Insolvency Law, Module </w:t>
      </w:r>
      <w:r w:rsidRPr="00971A8D">
        <w:rPr>
          <w:rFonts w:ascii="Arial" w:hAnsi="Arial" w:cs="Arial"/>
          <w:color w:val="808080" w:themeColor="background1" w:themeShade="80"/>
          <w:sz w:val="16"/>
          <w:szCs w:val="16"/>
        </w:rPr>
        <w:t>2B</w:t>
      </w:r>
      <w:r w:rsidRPr="00971A8D">
        <w:rPr>
          <w:rFonts w:ascii="Arial" w:hAnsi="Arial" w:cs="Arial"/>
          <w:color w:val="808080" w:themeColor="background1" w:themeShade="80"/>
          <w:sz w:val="16"/>
          <w:szCs w:val="16"/>
          <w:lang w:val="en-GB"/>
        </w:rPr>
        <w:t xml:space="preserve"> Guidance Text, </w:t>
      </w:r>
      <w:r w:rsidRPr="00971A8D">
        <w:rPr>
          <w:rFonts w:ascii="Arial" w:hAnsi="Arial" w:cs="Arial"/>
          <w:color w:val="808080" w:themeColor="background1" w:themeShade="80"/>
          <w:sz w:val="16"/>
          <w:szCs w:val="16"/>
        </w:rPr>
        <w:t>The European Insolvency Regulation</w:t>
      </w:r>
      <w:r w:rsidRPr="00971A8D">
        <w:rPr>
          <w:rFonts w:ascii="Arial" w:hAnsi="Arial" w:cs="Arial"/>
          <w:color w:val="808080" w:themeColor="background1" w:themeShade="80"/>
          <w:sz w:val="16"/>
          <w:szCs w:val="16"/>
          <w:lang w:val="en-GB"/>
        </w:rPr>
        <w:t xml:space="preserve"> 2023/2024”, p </w:t>
      </w:r>
      <w:proofErr w:type="gramStart"/>
      <w:r w:rsidRPr="00971A8D">
        <w:rPr>
          <w:rFonts w:ascii="Arial" w:hAnsi="Arial" w:cs="Arial"/>
          <w:color w:val="808080" w:themeColor="background1" w:themeShade="80"/>
          <w:sz w:val="16"/>
          <w:szCs w:val="16"/>
        </w:rPr>
        <w:t>31</w:t>
      </w:r>
      <w:proofErr w:type="gramEnd"/>
    </w:p>
  </w:footnote>
  <w:footnote w:id="12">
    <w:p w14:paraId="3EA8DB60" w14:textId="1F9B368F" w:rsidR="009D0D63" w:rsidRPr="00971A8D" w:rsidRDefault="009D0D63" w:rsidP="00135C99">
      <w:pPr>
        <w:pStyle w:val="FootnoteText"/>
        <w:jc w:val="both"/>
        <w:rPr>
          <w:rFonts w:ascii="Arial" w:hAnsi="Arial" w:cs="Arial"/>
          <w:sz w:val="16"/>
          <w:szCs w:val="16"/>
          <w:lang w:val="en-GB"/>
        </w:rPr>
      </w:pPr>
      <w:r w:rsidRPr="00971A8D">
        <w:rPr>
          <w:rStyle w:val="FootnoteReference"/>
          <w:rFonts w:ascii="Arial" w:hAnsi="Arial" w:cs="Arial"/>
          <w:sz w:val="16"/>
          <w:szCs w:val="16"/>
        </w:rPr>
        <w:footnoteRef/>
      </w:r>
      <w:r w:rsidRPr="00971A8D">
        <w:rPr>
          <w:rFonts w:ascii="Arial" w:hAnsi="Arial" w:cs="Arial"/>
          <w:sz w:val="16"/>
          <w:szCs w:val="16"/>
        </w:rPr>
        <w:t xml:space="preserve"> </w:t>
      </w:r>
      <w:r w:rsidRPr="00971A8D">
        <w:rPr>
          <w:rFonts w:ascii="Arial" w:hAnsi="Arial" w:cs="Arial"/>
          <w:color w:val="7B7B7B" w:themeColor="accent3" w:themeShade="BF"/>
          <w:sz w:val="16"/>
          <w:szCs w:val="16"/>
        </w:rPr>
        <w:t>Ibid.</w:t>
      </w:r>
    </w:p>
  </w:footnote>
  <w:footnote w:id="13">
    <w:p w14:paraId="0BA3B8E4" w14:textId="21A553B1" w:rsidR="00976102" w:rsidRPr="00971A8D" w:rsidRDefault="00976102" w:rsidP="00135C99">
      <w:pPr>
        <w:pStyle w:val="FootnoteText"/>
        <w:jc w:val="both"/>
        <w:rPr>
          <w:rFonts w:ascii="Arial" w:hAnsi="Arial" w:cs="Arial"/>
          <w:sz w:val="16"/>
          <w:szCs w:val="16"/>
          <w:lang w:val="en-GB"/>
        </w:rPr>
      </w:pPr>
      <w:r w:rsidRPr="00971A8D">
        <w:rPr>
          <w:rStyle w:val="FootnoteReference"/>
          <w:rFonts w:ascii="Arial" w:hAnsi="Arial" w:cs="Arial"/>
          <w:sz w:val="16"/>
          <w:szCs w:val="16"/>
        </w:rPr>
        <w:footnoteRef/>
      </w:r>
      <w:r w:rsidRPr="00971A8D">
        <w:rPr>
          <w:rFonts w:ascii="Arial" w:hAnsi="Arial" w:cs="Arial"/>
          <w:sz w:val="16"/>
          <w:szCs w:val="16"/>
        </w:rPr>
        <w:t xml:space="preserve"> </w:t>
      </w:r>
      <w:r w:rsidRPr="00971A8D">
        <w:rPr>
          <w:rFonts w:ascii="Arial" w:hAnsi="Arial" w:cs="Arial"/>
          <w:color w:val="7B7B7B" w:themeColor="accent3" w:themeShade="BF"/>
          <w:sz w:val="16"/>
          <w:szCs w:val="16"/>
        </w:rPr>
        <w:t>Ibid., p 11</w:t>
      </w:r>
    </w:p>
  </w:footnote>
  <w:footnote w:id="14">
    <w:p w14:paraId="0482A6D6" w14:textId="2ED25780" w:rsidR="002724E4" w:rsidRPr="00971A8D" w:rsidRDefault="002724E4" w:rsidP="00135C99">
      <w:pPr>
        <w:pStyle w:val="FootnoteText"/>
        <w:jc w:val="both"/>
        <w:rPr>
          <w:rFonts w:ascii="Arial" w:hAnsi="Arial" w:cs="Arial"/>
          <w:sz w:val="16"/>
          <w:szCs w:val="16"/>
          <w:lang w:val="en-GB"/>
        </w:rPr>
      </w:pPr>
      <w:r w:rsidRPr="00971A8D">
        <w:rPr>
          <w:rStyle w:val="FootnoteReference"/>
          <w:rFonts w:ascii="Arial" w:hAnsi="Arial" w:cs="Arial"/>
          <w:sz w:val="16"/>
          <w:szCs w:val="16"/>
        </w:rPr>
        <w:footnoteRef/>
      </w:r>
      <w:r w:rsidRPr="00971A8D">
        <w:rPr>
          <w:rFonts w:ascii="Arial" w:hAnsi="Arial" w:cs="Arial"/>
          <w:sz w:val="16"/>
          <w:szCs w:val="16"/>
        </w:rPr>
        <w:t xml:space="preserve"> </w:t>
      </w:r>
      <w:r w:rsidRPr="00971A8D">
        <w:rPr>
          <w:rFonts w:ascii="Arial" w:hAnsi="Arial" w:cs="Arial"/>
          <w:color w:val="7B7B7B" w:themeColor="accent3" w:themeShade="BF"/>
          <w:sz w:val="16"/>
          <w:szCs w:val="16"/>
        </w:rPr>
        <w:t>Ibid., p 12</w:t>
      </w:r>
    </w:p>
  </w:footnote>
  <w:footnote w:id="15">
    <w:p w14:paraId="00D62F00" w14:textId="7D1E0736" w:rsidR="00193C57" w:rsidRPr="00971A8D" w:rsidRDefault="00193C57" w:rsidP="00135C99">
      <w:pPr>
        <w:pStyle w:val="FootnoteText"/>
        <w:jc w:val="both"/>
        <w:rPr>
          <w:rFonts w:ascii="Arial" w:hAnsi="Arial" w:cs="Arial"/>
          <w:sz w:val="16"/>
          <w:szCs w:val="16"/>
          <w:lang w:val="en-GB"/>
        </w:rPr>
      </w:pPr>
      <w:r w:rsidRPr="00971A8D">
        <w:rPr>
          <w:rStyle w:val="FootnoteReference"/>
          <w:rFonts w:ascii="Arial" w:hAnsi="Arial" w:cs="Arial"/>
          <w:sz w:val="16"/>
          <w:szCs w:val="16"/>
        </w:rPr>
        <w:footnoteRef/>
      </w:r>
      <w:r w:rsidRPr="00971A8D">
        <w:rPr>
          <w:rFonts w:ascii="Arial" w:hAnsi="Arial" w:cs="Arial"/>
          <w:sz w:val="16"/>
          <w:szCs w:val="16"/>
        </w:rPr>
        <w:t xml:space="preserve"> </w:t>
      </w:r>
      <w:r w:rsidRPr="00971A8D">
        <w:rPr>
          <w:rFonts w:ascii="Arial" w:hAnsi="Arial" w:cs="Arial"/>
          <w:color w:val="7B7B7B" w:themeColor="accent3" w:themeShade="BF"/>
          <w:sz w:val="16"/>
          <w:szCs w:val="16"/>
        </w:rPr>
        <w:t>Recital 9, EIR Recast</w:t>
      </w:r>
    </w:p>
  </w:footnote>
  <w:footnote w:id="16">
    <w:p w14:paraId="339F8415" w14:textId="68AD10C8" w:rsidR="00114C53" w:rsidRPr="00971A8D" w:rsidRDefault="00114C53" w:rsidP="00135C99">
      <w:pPr>
        <w:pStyle w:val="FootnoteText"/>
        <w:jc w:val="both"/>
        <w:rPr>
          <w:rFonts w:ascii="Arial" w:hAnsi="Arial" w:cs="Arial"/>
          <w:sz w:val="16"/>
          <w:szCs w:val="16"/>
          <w:lang w:val="en-GB"/>
        </w:rPr>
      </w:pPr>
      <w:r w:rsidRPr="00971A8D">
        <w:rPr>
          <w:rStyle w:val="FootnoteReference"/>
          <w:rFonts w:ascii="Arial" w:hAnsi="Arial" w:cs="Arial"/>
          <w:sz w:val="16"/>
          <w:szCs w:val="16"/>
        </w:rPr>
        <w:footnoteRef/>
      </w:r>
      <w:r w:rsidRPr="00971A8D">
        <w:rPr>
          <w:rFonts w:ascii="Arial" w:hAnsi="Arial" w:cs="Arial"/>
          <w:sz w:val="16"/>
          <w:szCs w:val="16"/>
        </w:rPr>
        <w:t xml:space="preserve"> </w:t>
      </w:r>
      <w:r w:rsidRPr="00971A8D">
        <w:rPr>
          <w:rFonts w:ascii="Arial" w:hAnsi="Arial" w:cs="Arial"/>
          <w:color w:val="7B7B7B" w:themeColor="accent3" w:themeShade="BF"/>
          <w:sz w:val="16"/>
          <w:szCs w:val="16"/>
        </w:rPr>
        <w:t>Recital 25, EIR Recast</w:t>
      </w:r>
    </w:p>
  </w:footnote>
  <w:footnote w:id="17">
    <w:p w14:paraId="6742E1D0" w14:textId="3F74E355" w:rsidR="00114C53" w:rsidRPr="00971A8D" w:rsidRDefault="00114C53" w:rsidP="00135C99">
      <w:pPr>
        <w:pStyle w:val="FootnoteText"/>
        <w:jc w:val="both"/>
        <w:rPr>
          <w:rFonts w:ascii="Arial" w:hAnsi="Arial" w:cs="Arial"/>
          <w:sz w:val="16"/>
          <w:szCs w:val="16"/>
          <w:lang w:val="en-GB"/>
        </w:rPr>
      </w:pPr>
      <w:r w:rsidRPr="00971A8D">
        <w:rPr>
          <w:rStyle w:val="FootnoteReference"/>
          <w:rFonts w:ascii="Arial" w:hAnsi="Arial" w:cs="Arial"/>
          <w:sz w:val="16"/>
          <w:szCs w:val="16"/>
        </w:rPr>
        <w:footnoteRef/>
      </w:r>
      <w:r w:rsidRPr="00971A8D">
        <w:rPr>
          <w:rFonts w:ascii="Arial" w:hAnsi="Arial" w:cs="Arial"/>
          <w:sz w:val="16"/>
          <w:szCs w:val="16"/>
        </w:rPr>
        <w:t xml:space="preserve"> </w:t>
      </w:r>
      <w:r w:rsidRPr="00971A8D">
        <w:rPr>
          <w:rFonts w:ascii="Arial" w:hAnsi="Arial" w:cs="Arial"/>
          <w:color w:val="7B7B7B" w:themeColor="accent3" w:themeShade="BF"/>
          <w:sz w:val="16"/>
          <w:szCs w:val="16"/>
        </w:rPr>
        <w:t>Recital 27, EIR Recast</w:t>
      </w:r>
    </w:p>
  </w:footnote>
  <w:footnote w:id="18">
    <w:p w14:paraId="3A31E9E7" w14:textId="1D99E2F8" w:rsidR="00114C53" w:rsidRPr="00971A8D" w:rsidRDefault="00114C53" w:rsidP="00135C99">
      <w:pPr>
        <w:pStyle w:val="FootnoteText"/>
        <w:jc w:val="both"/>
        <w:rPr>
          <w:rFonts w:ascii="Arial" w:hAnsi="Arial" w:cs="Arial"/>
          <w:sz w:val="16"/>
          <w:szCs w:val="16"/>
          <w:lang w:val="en-GB"/>
        </w:rPr>
      </w:pPr>
      <w:r w:rsidRPr="00971A8D">
        <w:rPr>
          <w:rStyle w:val="FootnoteReference"/>
          <w:rFonts w:ascii="Arial" w:hAnsi="Arial" w:cs="Arial"/>
          <w:sz w:val="16"/>
          <w:szCs w:val="16"/>
        </w:rPr>
        <w:footnoteRef/>
      </w:r>
      <w:r w:rsidRPr="00971A8D">
        <w:rPr>
          <w:rFonts w:ascii="Arial" w:hAnsi="Arial" w:cs="Arial"/>
          <w:sz w:val="16"/>
          <w:szCs w:val="16"/>
        </w:rPr>
        <w:t xml:space="preserve"> </w:t>
      </w:r>
      <w:r w:rsidRPr="00971A8D">
        <w:rPr>
          <w:rFonts w:ascii="Arial" w:hAnsi="Arial" w:cs="Arial"/>
          <w:color w:val="808080" w:themeColor="background1" w:themeShade="80"/>
          <w:sz w:val="16"/>
          <w:szCs w:val="16"/>
          <w:lang w:val="en-GB"/>
        </w:rPr>
        <w:t xml:space="preserve">Professor </w:t>
      </w:r>
      <w:r w:rsidRPr="00971A8D">
        <w:rPr>
          <w:rFonts w:ascii="Arial" w:hAnsi="Arial" w:cs="Arial"/>
          <w:color w:val="808080" w:themeColor="background1" w:themeShade="80"/>
          <w:sz w:val="16"/>
          <w:szCs w:val="16"/>
        </w:rPr>
        <w:t xml:space="preserve">Bob Wessels and </w:t>
      </w:r>
      <w:proofErr w:type="spellStart"/>
      <w:r w:rsidRPr="00971A8D">
        <w:rPr>
          <w:rFonts w:ascii="Arial" w:hAnsi="Arial" w:cs="Arial"/>
          <w:color w:val="808080" w:themeColor="background1" w:themeShade="80"/>
          <w:sz w:val="16"/>
          <w:szCs w:val="16"/>
        </w:rPr>
        <w:t>Mr</w:t>
      </w:r>
      <w:proofErr w:type="spellEnd"/>
      <w:r w:rsidRPr="00971A8D">
        <w:rPr>
          <w:rFonts w:ascii="Arial" w:hAnsi="Arial" w:cs="Arial"/>
          <w:color w:val="808080" w:themeColor="background1" w:themeShade="80"/>
          <w:sz w:val="16"/>
          <w:szCs w:val="16"/>
        </w:rPr>
        <w:t xml:space="preserve"> Ilya Kokorin</w:t>
      </w:r>
      <w:r w:rsidRPr="00971A8D">
        <w:rPr>
          <w:rFonts w:ascii="Arial" w:hAnsi="Arial" w:cs="Arial"/>
          <w:color w:val="808080" w:themeColor="background1" w:themeShade="80"/>
          <w:sz w:val="16"/>
          <w:szCs w:val="16"/>
          <w:lang w:val="en-GB"/>
        </w:rPr>
        <w:t>,</w:t>
      </w:r>
      <w:r w:rsidRPr="00971A8D">
        <w:rPr>
          <w:rFonts w:ascii="Arial" w:hAnsi="Arial" w:cs="Arial"/>
          <w:color w:val="808080" w:themeColor="background1" w:themeShade="80"/>
          <w:sz w:val="16"/>
          <w:szCs w:val="16"/>
        </w:rPr>
        <w:t xml:space="preserve"> text updated for 2020/2021, 2021/2022, 2022/2023 and 2023/2024 by Dr Emilie Ghio,</w:t>
      </w:r>
      <w:r w:rsidRPr="00971A8D">
        <w:rPr>
          <w:rFonts w:ascii="Arial" w:hAnsi="Arial" w:cs="Arial"/>
          <w:color w:val="808080" w:themeColor="background1" w:themeShade="80"/>
          <w:sz w:val="16"/>
          <w:szCs w:val="16"/>
          <w:lang w:val="en-GB"/>
        </w:rPr>
        <w:t xml:space="preserve"> “INSOL International, Foundation Certificate in International Insolvency Law, Module </w:t>
      </w:r>
      <w:r w:rsidRPr="00971A8D">
        <w:rPr>
          <w:rFonts w:ascii="Arial" w:hAnsi="Arial" w:cs="Arial"/>
          <w:color w:val="808080" w:themeColor="background1" w:themeShade="80"/>
          <w:sz w:val="16"/>
          <w:szCs w:val="16"/>
        </w:rPr>
        <w:t>2B</w:t>
      </w:r>
      <w:r w:rsidRPr="00971A8D">
        <w:rPr>
          <w:rFonts w:ascii="Arial" w:hAnsi="Arial" w:cs="Arial"/>
          <w:color w:val="808080" w:themeColor="background1" w:themeShade="80"/>
          <w:sz w:val="16"/>
          <w:szCs w:val="16"/>
          <w:lang w:val="en-GB"/>
        </w:rPr>
        <w:t xml:space="preserve"> Guidance Text, </w:t>
      </w:r>
      <w:r w:rsidRPr="00971A8D">
        <w:rPr>
          <w:rFonts w:ascii="Arial" w:hAnsi="Arial" w:cs="Arial"/>
          <w:color w:val="808080" w:themeColor="background1" w:themeShade="80"/>
          <w:sz w:val="16"/>
          <w:szCs w:val="16"/>
        </w:rPr>
        <w:t>The European Insolvency Regulation</w:t>
      </w:r>
      <w:r w:rsidRPr="00971A8D">
        <w:rPr>
          <w:rFonts w:ascii="Arial" w:hAnsi="Arial" w:cs="Arial"/>
          <w:color w:val="808080" w:themeColor="background1" w:themeShade="80"/>
          <w:sz w:val="16"/>
          <w:szCs w:val="16"/>
          <w:lang w:val="en-GB"/>
        </w:rPr>
        <w:t xml:space="preserve"> 2023/2024”, p </w:t>
      </w:r>
      <w:proofErr w:type="gramStart"/>
      <w:r w:rsidRPr="00971A8D">
        <w:rPr>
          <w:rFonts w:ascii="Arial" w:hAnsi="Arial" w:cs="Arial"/>
          <w:color w:val="808080" w:themeColor="background1" w:themeShade="80"/>
          <w:sz w:val="16"/>
          <w:szCs w:val="16"/>
        </w:rPr>
        <w:t>13</w:t>
      </w:r>
      <w:proofErr w:type="gramEnd"/>
    </w:p>
  </w:footnote>
  <w:footnote w:id="19">
    <w:p w14:paraId="0F04471B" w14:textId="0DEA067E" w:rsidR="00EE352E" w:rsidRPr="00ED3C39" w:rsidRDefault="00EE352E" w:rsidP="00135C99">
      <w:pPr>
        <w:pStyle w:val="FootnoteText"/>
        <w:jc w:val="both"/>
        <w:rPr>
          <w:rFonts w:ascii="Arial" w:hAnsi="Arial" w:cs="Arial"/>
          <w:sz w:val="16"/>
          <w:szCs w:val="16"/>
          <w:lang w:val="en-GB"/>
        </w:rPr>
      </w:pPr>
      <w:r w:rsidRPr="000403E0">
        <w:rPr>
          <w:rStyle w:val="FootnoteReference"/>
          <w:rFonts w:ascii="Arial" w:hAnsi="Arial" w:cs="Arial"/>
          <w:sz w:val="16"/>
          <w:szCs w:val="16"/>
        </w:rPr>
        <w:footnoteRef/>
      </w:r>
      <w:r w:rsidRPr="000403E0">
        <w:rPr>
          <w:rFonts w:ascii="Arial" w:hAnsi="Arial" w:cs="Arial"/>
          <w:sz w:val="16"/>
          <w:szCs w:val="16"/>
        </w:rPr>
        <w:t xml:space="preserve"> </w:t>
      </w:r>
      <w:r w:rsidRPr="000403E0">
        <w:rPr>
          <w:rFonts w:ascii="Arial" w:hAnsi="Arial" w:cs="Arial"/>
          <w:color w:val="7B7B7B" w:themeColor="accent3" w:themeShade="BF"/>
          <w:sz w:val="16"/>
          <w:szCs w:val="16"/>
        </w:rPr>
        <w:t>Case C-328/12, ECLI:EU:C:2014:6 (16 January 2014)</w:t>
      </w:r>
    </w:p>
  </w:footnote>
  <w:footnote w:id="20">
    <w:p w14:paraId="495C35AD" w14:textId="1D051260" w:rsidR="00B72EDC" w:rsidRPr="001016D0" w:rsidRDefault="00B72EDC"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808080" w:themeColor="background1" w:themeShade="80"/>
          <w:sz w:val="16"/>
          <w:szCs w:val="16"/>
          <w:lang w:val="en-GB"/>
        </w:rPr>
        <w:t xml:space="preserve">Professor </w:t>
      </w:r>
      <w:r w:rsidRPr="001016D0">
        <w:rPr>
          <w:rFonts w:ascii="Arial" w:hAnsi="Arial" w:cs="Arial"/>
          <w:color w:val="808080" w:themeColor="background1" w:themeShade="80"/>
          <w:sz w:val="16"/>
          <w:szCs w:val="16"/>
        </w:rPr>
        <w:t xml:space="preserve">Bob Wessels and </w:t>
      </w:r>
      <w:proofErr w:type="spellStart"/>
      <w:r w:rsidRPr="001016D0">
        <w:rPr>
          <w:rFonts w:ascii="Arial" w:hAnsi="Arial" w:cs="Arial"/>
          <w:color w:val="808080" w:themeColor="background1" w:themeShade="80"/>
          <w:sz w:val="16"/>
          <w:szCs w:val="16"/>
        </w:rPr>
        <w:t>Mr</w:t>
      </w:r>
      <w:proofErr w:type="spellEnd"/>
      <w:r w:rsidRPr="001016D0">
        <w:rPr>
          <w:rFonts w:ascii="Arial" w:hAnsi="Arial" w:cs="Arial"/>
          <w:color w:val="808080" w:themeColor="background1" w:themeShade="80"/>
          <w:sz w:val="16"/>
          <w:szCs w:val="16"/>
        </w:rPr>
        <w:t xml:space="preserve"> Ilya Kokorin</w:t>
      </w:r>
      <w:r w:rsidRPr="001016D0">
        <w:rPr>
          <w:rFonts w:ascii="Arial" w:hAnsi="Arial" w:cs="Arial"/>
          <w:color w:val="808080" w:themeColor="background1" w:themeShade="80"/>
          <w:sz w:val="16"/>
          <w:szCs w:val="16"/>
          <w:lang w:val="en-GB"/>
        </w:rPr>
        <w:t>,</w:t>
      </w:r>
      <w:r w:rsidRPr="001016D0">
        <w:rPr>
          <w:rFonts w:ascii="Arial" w:hAnsi="Arial" w:cs="Arial"/>
          <w:color w:val="808080" w:themeColor="background1" w:themeShade="80"/>
          <w:sz w:val="16"/>
          <w:szCs w:val="16"/>
        </w:rPr>
        <w:t xml:space="preserve"> text updated for 2020/2021, 2021/2022, 2022/2023 and 2023/2024 by Dr Emilie Ghio,</w:t>
      </w:r>
      <w:r w:rsidRPr="001016D0">
        <w:rPr>
          <w:rFonts w:ascii="Arial" w:hAnsi="Arial" w:cs="Arial"/>
          <w:color w:val="808080" w:themeColor="background1" w:themeShade="80"/>
          <w:sz w:val="16"/>
          <w:szCs w:val="16"/>
          <w:lang w:val="en-GB"/>
        </w:rPr>
        <w:t xml:space="preserve"> “INSOL International, Foundation Certificate in International Insolvency Law, Module </w:t>
      </w:r>
      <w:r w:rsidRPr="001016D0">
        <w:rPr>
          <w:rFonts w:ascii="Arial" w:hAnsi="Arial" w:cs="Arial"/>
          <w:color w:val="808080" w:themeColor="background1" w:themeShade="80"/>
          <w:sz w:val="16"/>
          <w:szCs w:val="16"/>
        </w:rPr>
        <w:t>2B</w:t>
      </w:r>
      <w:r w:rsidRPr="001016D0">
        <w:rPr>
          <w:rFonts w:ascii="Arial" w:hAnsi="Arial" w:cs="Arial"/>
          <w:color w:val="808080" w:themeColor="background1" w:themeShade="80"/>
          <w:sz w:val="16"/>
          <w:szCs w:val="16"/>
          <w:lang w:val="en-GB"/>
        </w:rPr>
        <w:t xml:space="preserve"> Guidance Text, </w:t>
      </w:r>
      <w:r w:rsidRPr="001016D0">
        <w:rPr>
          <w:rFonts w:ascii="Arial" w:hAnsi="Arial" w:cs="Arial"/>
          <w:color w:val="808080" w:themeColor="background1" w:themeShade="80"/>
          <w:sz w:val="16"/>
          <w:szCs w:val="16"/>
        </w:rPr>
        <w:t>The European Insolvency Regulation</w:t>
      </w:r>
      <w:r w:rsidRPr="001016D0">
        <w:rPr>
          <w:rFonts w:ascii="Arial" w:hAnsi="Arial" w:cs="Arial"/>
          <w:color w:val="808080" w:themeColor="background1" w:themeShade="80"/>
          <w:sz w:val="16"/>
          <w:szCs w:val="16"/>
          <w:lang w:val="en-GB"/>
        </w:rPr>
        <w:t xml:space="preserve"> 2023/2024”, p </w:t>
      </w:r>
      <w:proofErr w:type="gramStart"/>
      <w:r w:rsidRPr="001016D0">
        <w:rPr>
          <w:rFonts w:ascii="Arial" w:hAnsi="Arial" w:cs="Arial"/>
          <w:color w:val="808080" w:themeColor="background1" w:themeShade="80"/>
          <w:sz w:val="16"/>
          <w:szCs w:val="16"/>
        </w:rPr>
        <w:t>14</w:t>
      </w:r>
      <w:proofErr w:type="gramEnd"/>
    </w:p>
  </w:footnote>
  <w:footnote w:id="21">
    <w:p w14:paraId="71213418" w14:textId="77777777" w:rsidR="00AD2EB7" w:rsidRPr="001016D0" w:rsidRDefault="00AD2EB7"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Recital 88, EIR Recast</w:t>
      </w:r>
    </w:p>
  </w:footnote>
  <w:footnote w:id="22">
    <w:p w14:paraId="52D36B26" w14:textId="0660842B" w:rsidR="008309F9" w:rsidRPr="001016D0" w:rsidRDefault="008309F9">
      <w:pPr>
        <w:pStyle w:val="FootnoteText"/>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3(1), EIR Recast</w:t>
      </w:r>
    </w:p>
  </w:footnote>
  <w:footnote w:id="23">
    <w:p w14:paraId="7EF900D9" w14:textId="620E2B93" w:rsidR="003549CF" w:rsidRPr="001016D0" w:rsidRDefault="003549CF">
      <w:pPr>
        <w:pStyle w:val="FootnoteText"/>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Recital 23, EIR Recast</w:t>
      </w:r>
    </w:p>
  </w:footnote>
  <w:footnote w:id="24">
    <w:p w14:paraId="318008FB" w14:textId="05F47C70" w:rsidR="00AD2EB7" w:rsidRPr="001016D0" w:rsidRDefault="00AD2EB7"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003549CF" w:rsidRPr="001016D0">
        <w:rPr>
          <w:rFonts w:ascii="Arial" w:hAnsi="Arial" w:cs="Arial"/>
          <w:color w:val="7B7B7B" w:themeColor="accent3" w:themeShade="BF"/>
          <w:sz w:val="16"/>
          <w:szCs w:val="16"/>
        </w:rPr>
        <w:t>Ibid.</w:t>
      </w:r>
    </w:p>
  </w:footnote>
  <w:footnote w:id="25">
    <w:p w14:paraId="296BD46D" w14:textId="6D1C6E81" w:rsidR="00CD6B43" w:rsidRPr="001016D0" w:rsidRDefault="00CD6B43"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36, EIR Recast</w:t>
      </w:r>
    </w:p>
  </w:footnote>
  <w:footnote w:id="26">
    <w:p w14:paraId="4E596F86" w14:textId="75C830D1" w:rsidR="00377F0A" w:rsidRPr="001016D0" w:rsidRDefault="00377F0A" w:rsidP="00135C99">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 xml:space="preserve">See James Bell, Douglas Hawthorn and Jeremy Walsh, Travers Smith LLP, “The recast EU Insolvency Regulation and its impact on distressed investing”, published 25 November 2016, p 284 where it was mentioned that Article 36 follows </w:t>
      </w:r>
      <w:r w:rsidRPr="001016D0">
        <w:rPr>
          <w:rFonts w:ascii="Arial" w:hAnsi="Arial" w:cs="Arial"/>
          <w:i/>
          <w:iCs/>
          <w:color w:val="7B7B7B" w:themeColor="accent3" w:themeShade="BF"/>
          <w:sz w:val="16"/>
          <w:szCs w:val="16"/>
        </w:rPr>
        <w:t>Collins &amp; Aikman</w:t>
      </w:r>
      <w:r w:rsidRPr="001016D0">
        <w:rPr>
          <w:rFonts w:ascii="Arial" w:hAnsi="Arial" w:cs="Arial"/>
          <w:color w:val="7B7B7B" w:themeColor="accent3" w:themeShade="BF"/>
          <w:sz w:val="16"/>
          <w:szCs w:val="16"/>
        </w:rPr>
        <w:t xml:space="preserve"> [2007] 1 BCLC 182 and </w:t>
      </w:r>
      <w:r w:rsidRPr="001016D0">
        <w:rPr>
          <w:rFonts w:ascii="Arial" w:hAnsi="Arial" w:cs="Arial"/>
          <w:i/>
          <w:iCs/>
          <w:color w:val="7B7B7B" w:themeColor="accent3" w:themeShade="BF"/>
          <w:sz w:val="16"/>
          <w:szCs w:val="16"/>
        </w:rPr>
        <w:t>Nortel</w:t>
      </w:r>
      <w:r w:rsidRPr="001016D0">
        <w:rPr>
          <w:rFonts w:ascii="Arial" w:hAnsi="Arial" w:cs="Arial"/>
          <w:color w:val="7B7B7B" w:themeColor="accent3" w:themeShade="BF"/>
          <w:sz w:val="16"/>
          <w:szCs w:val="16"/>
        </w:rPr>
        <w:t xml:space="preserve"> [2009] BCC 343. In these cases, </w:t>
      </w:r>
      <w:proofErr w:type="gramStart"/>
      <w:r w:rsidRPr="001016D0">
        <w:rPr>
          <w:rFonts w:ascii="Arial" w:hAnsi="Arial" w:cs="Arial"/>
          <w:color w:val="7B7B7B" w:themeColor="accent3" w:themeShade="BF"/>
          <w:sz w:val="16"/>
          <w:szCs w:val="16"/>
        </w:rPr>
        <w:t>in order to</w:t>
      </w:r>
      <w:proofErr w:type="gramEnd"/>
      <w:r w:rsidRPr="001016D0">
        <w:rPr>
          <w:rFonts w:ascii="Arial" w:hAnsi="Arial" w:cs="Arial"/>
          <w:color w:val="7B7B7B" w:themeColor="accent3" w:themeShade="BF"/>
          <w:sz w:val="16"/>
          <w:szCs w:val="16"/>
        </w:rPr>
        <w:t xml:space="preserve"> avoid multiple secondary insolvency proceedings being opened, the administrator in United Kingdom (then still a Member State of the European Union) insolvency proceedings undertook to respect local priorities of distribution.</w:t>
      </w:r>
    </w:p>
  </w:footnote>
  <w:footnote w:id="27">
    <w:p w14:paraId="35B61CDD" w14:textId="7413862E" w:rsidR="007226B3" w:rsidRPr="001016D0" w:rsidRDefault="007226B3"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38(2), EIR Recast</w:t>
      </w:r>
    </w:p>
  </w:footnote>
  <w:footnote w:id="28">
    <w:p w14:paraId="7C8F639B" w14:textId="2E772910" w:rsidR="00C378AB" w:rsidRPr="00377F0A" w:rsidRDefault="00C378AB"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bookmarkStart w:id="0" w:name="_Hlk155533892"/>
      <w:r w:rsidRPr="001016D0">
        <w:rPr>
          <w:rFonts w:ascii="Arial" w:hAnsi="Arial" w:cs="Arial"/>
          <w:color w:val="7B7B7B" w:themeColor="accent3" w:themeShade="BF"/>
          <w:sz w:val="16"/>
          <w:szCs w:val="16"/>
        </w:rPr>
        <w:t>Article 36(3), EIR Recast</w:t>
      </w:r>
      <w:bookmarkEnd w:id="0"/>
    </w:p>
  </w:footnote>
  <w:footnote w:id="29">
    <w:p w14:paraId="519C194B" w14:textId="45EC6DF8" w:rsidR="00A53581" w:rsidRPr="00377F0A" w:rsidRDefault="00A53581" w:rsidP="00377F0A">
      <w:pPr>
        <w:pStyle w:val="FootnoteText"/>
        <w:jc w:val="both"/>
        <w:rPr>
          <w:rFonts w:ascii="Arial" w:hAnsi="Arial" w:cs="Arial"/>
          <w:sz w:val="16"/>
          <w:szCs w:val="16"/>
          <w:lang w:val="en-GB"/>
        </w:rPr>
      </w:pPr>
      <w:r w:rsidRPr="00377F0A">
        <w:rPr>
          <w:rStyle w:val="FootnoteReference"/>
          <w:rFonts w:ascii="Arial" w:hAnsi="Arial" w:cs="Arial"/>
          <w:sz w:val="16"/>
          <w:szCs w:val="16"/>
        </w:rPr>
        <w:footnoteRef/>
      </w:r>
      <w:r w:rsidRPr="00377F0A">
        <w:rPr>
          <w:rFonts w:ascii="Arial" w:hAnsi="Arial" w:cs="Arial"/>
          <w:sz w:val="16"/>
          <w:szCs w:val="16"/>
        </w:rPr>
        <w:t xml:space="preserve"> </w:t>
      </w:r>
      <w:r w:rsidRPr="00377F0A">
        <w:rPr>
          <w:rFonts w:ascii="Arial" w:hAnsi="Arial" w:cs="Arial"/>
          <w:color w:val="7B7B7B" w:themeColor="accent3" w:themeShade="BF"/>
          <w:sz w:val="16"/>
          <w:szCs w:val="16"/>
        </w:rPr>
        <w:t>Recital 45, EIR Recast</w:t>
      </w:r>
    </w:p>
  </w:footnote>
  <w:footnote w:id="30">
    <w:p w14:paraId="5F63550B" w14:textId="7424C4C2" w:rsidR="006F47B3" w:rsidRPr="00377F0A" w:rsidRDefault="006F47B3" w:rsidP="00377F0A">
      <w:pPr>
        <w:pStyle w:val="FootnoteText"/>
        <w:jc w:val="both"/>
        <w:rPr>
          <w:rFonts w:ascii="Arial" w:hAnsi="Arial" w:cs="Arial"/>
          <w:sz w:val="16"/>
          <w:szCs w:val="16"/>
          <w:lang w:val="en-GB"/>
        </w:rPr>
      </w:pPr>
      <w:r w:rsidRPr="00377F0A">
        <w:rPr>
          <w:rStyle w:val="FootnoteReference"/>
          <w:rFonts w:ascii="Arial" w:hAnsi="Arial" w:cs="Arial"/>
          <w:sz w:val="16"/>
          <w:szCs w:val="16"/>
        </w:rPr>
        <w:footnoteRef/>
      </w:r>
      <w:r w:rsidRPr="00377F0A">
        <w:rPr>
          <w:rFonts w:ascii="Arial" w:hAnsi="Arial" w:cs="Arial"/>
          <w:sz w:val="16"/>
          <w:szCs w:val="16"/>
        </w:rPr>
        <w:t xml:space="preserve"> </w:t>
      </w:r>
      <w:r w:rsidRPr="00377F0A">
        <w:rPr>
          <w:rFonts w:ascii="Arial" w:hAnsi="Arial" w:cs="Arial"/>
          <w:color w:val="7B7B7B" w:themeColor="accent3" w:themeShade="BF"/>
          <w:sz w:val="16"/>
          <w:szCs w:val="16"/>
        </w:rPr>
        <w:t>Article 38(3), EIR Recast</w:t>
      </w:r>
    </w:p>
  </w:footnote>
  <w:footnote w:id="31">
    <w:p w14:paraId="07DC0DD6" w14:textId="73CDFB72" w:rsidR="00AC69B2" w:rsidRPr="00AC69B2" w:rsidRDefault="00AC69B2" w:rsidP="00377F0A">
      <w:pPr>
        <w:pStyle w:val="FootnoteText"/>
        <w:jc w:val="both"/>
        <w:rPr>
          <w:lang w:val="en-GB"/>
        </w:rPr>
      </w:pPr>
      <w:r w:rsidRPr="00377F0A">
        <w:rPr>
          <w:rStyle w:val="FootnoteReference"/>
          <w:rFonts w:ascii="Arial" w:hAnsi="Arial" w:cs="Arial"/>
          <w:sz w:val="16"/>
          <w:szCs w:val="16"/>
        </w:rPr>
        <w:footnoteRef/>
      </w:r>
      <w:r w:rsidRPr="00377F0A">
        <w:rPr>
          <w:rFonts w:ascii="Arial" w:hAnsi="Arial" w:cs="Arial"/>
          <w:sz w:val="16"/>
          <w:szCs w:val="16"/>
        </w:rPr>
        <w:t xml:space="preserve"> </w:t>
      </w:r>
      <w:r w:rsidR="00DE7F85">
        <w:rPr>
          <w:rFonts w:ascii="Arial" w:hAnsi="Arial" w:cs="Arial"/>
          <w:color w:val="7B7B7B" w:themeColor="accent3" w:themeShade="BF"/>
          <w:sz w:val="16"/>
          <w:szCs w:val="16"/>
        </w:rPr>
        <w:t>Ibid.</w:t>
      </w:r>
    </w:p>
  </w:footnote>
  <w:footnote w:id="32">
    <w:p w14:paraId="14961ED0" w14:textId="1253C528" w:rsidR="00ED3C39" w:rsidRPr="000F27FF" w:rsidRDefault="00ED3C39" w:rsidP="004A584A">
      <w:pPr>
        <w:pStyle w:val="FootnoteText"/>
        <w:jc w:val="both"/>
        <w:rPr>
          <w:rFonts w:ascii="Arial" w:hAnsi="Arial" w:cs="Arial"/>
          <w:sz w:val="16"/>
          <w:szCs w:val="16"/>
          <w:lang w:val="en-GB"/>
        </w:rPr>
      </w:pPr>
      <w:r w:rsidRPr="000F27FF">
        <w:rPr>
          <w:rStyle w:val="FootnoteReference"/>
          <w:rFonts w:ascii="Arial" w:hAnsi="Arial" w:cs="Arial"/>
          <w:sz w:val="16"/>
          <w:szCs w:val="16"/>
        </w:rPr>
        <w:footnoteRef/>
      </w:r>
      <w:r w:rsidRPr="000F27FF">
        <w:rPr>
          <w:rFonts w:ascii="Arial" w:hAnsi="Arial" w:cs="Arial"/>
          <w:sz w:val="16"/>
          <w:szCs w:val="16"/>
        </w:rPr>
        <w:t xml:space="preserve"> </w:t>
      </w:r>
      <w:r w:rsidRPr="000F27FF">
        <w:rPr>
          <w:rFonts w:ascii="Arial" w:hAnsi="Arial" w:cs="Arial"/>
          <w:color w:val="7B7B7B" w:themeColor="accent3" w:themeShade="BF"/>
          <w:sz w:val="16"/>
          <w:szCs w:val="16"/>
        </w:rPr>
        <w:t>Article 46, EIR 2000</w:t>
      </w:r>
    </w:p>
  </w:footnote>
  <w:footnote w:id="33">
    <w:p w14:paraId="1CD3517F" w14:textId="12D2EE92" w:rsidR="004C0C12" w:rsidRPr="000F27FF" w:rsidRDefault="00ED3C39" w:rsidP="004A584A">
      <w:pPr>
        <w:jc w:val="both"/>
        <w:rPr>
          <w:rFonts w:ascii="Arial" w:hAnsi="Arial" w:cs="Arial"/>
          <w:color w:val="7B7B7B" w:themeColor="accent3" w:themeShade="BF"/>
          <w:sz w:val="16"/>
          <w:szCs w:val="16"/>
        </w:rPr>
      </w:pPr>
      <w:r w:rsidRPr="000F27FF">
        <w:rPr>
          <w:rStyle w:val="FootnoteReference"/>
          <w:rFonts w:ascii="Arial" w:hAnsi="Arial" w:cs="Arial"/>
          <w:sz w:val="16"/>
          <w:szCs w:val="16"/>
        </w:rPr>
        <w:footnoteRef/>
      </w:r>
      <w:r w:rsidRPr="000F27FF">
        <w:rPr>
          <w:rFonts w:ascii="Arial" w:hAnsi="Arial" w:cs="Arial"/>
          <w:sz w:val="16"/>
          <w:szCs w:val="16"/>
        </w:rPr>
        <w:t xml:space="preserve"> </w:t>
      </w:r>
      <w:r w:rsidR="004C0C12" w:rsidRPr="000F27FF">
        <w:rPr>
          <w:rFonts w:ascii="Arial" w:hAnsi="Arial" w:cs="Arial"/>
          <w:color w:val="7B7B7B" w:themeColor="accent3" w:themeShade="BF"/>
          <w:sz w:val="16"/>
          <w:szCs w:val="16"/>
        </w:rPr>
        <w:t>European Commission, “Proposal for a Regulation of the European Parliament and of the Council amending Council Regulation (EC) No 1346/2000 on insolvency proceedings”</w:t>
      </w:r>
      <w:r w:rsidR="00FC3681" w:rsidRPr="000F27FF">
        <w:rPr>
          <w:rFonts w:ascii="Arial" w:hAnsi="Arial" w:cs="Arial"/>
          <w:color w:val="7B7B7B" w:themeColor="accent3" w:themeShade="BF"/>
          <w:sz w:val="16"/>
          <w:szCs w:val="16"/>
        </w:rPr>
        <w:t>,</w:t>
      </w:r>
      <w:r w:rsidR="004C0C12" w:rsidRPr="000F27FF">
        <w:rPr>
          <w:rFonts w:ascii="Arial" w:hAnsi="Arial" w:cs="Arial"/>
          <w:color w:val="7B7B7B" w:themeColor="accent3" w:themeShade="BF"/>
          <w:sz w:val="16"/>
          <w:szCs w:val="16"/>
        </w:rPr>
        <w:t xml:space="preserve"> (</w:t>
      </w:r>
      <w:proofErr w:type="gramStart"/>
      <w:r w:rsidR="004C0C12" w:rsidRPr="000F27FF">
        <w:rPr>
          <w:rFonts w:ascii="Arial" w:hAnsi="Arial" w:cs="Arial"/>
          <w:color w:val="7B7B7B" w:themeColor="accent3" w:themeShade="BF"/>
          <w:sz w:val="16"/>
          <w:szCs w:val="16"/>
        </w:rPr>
        <w:t>COM(</w:t>
      </w:r>
      <w:proofErr w:type="gramEnd"/>
      <w:r w:rsidR="004C0C12" w:rsidRPr="000F27FF">
        <w:rPr>
          <w:rFonts w:ascii="Arial" w:hAnsi="Arial" w:cs="Arial"/>
          <w:color w:val="7B7B7B" w:themeColor="accent3" w:themeShade="BF"/>
          <w:sz w:val="16"/>
          <w:szCs w:val="16"/>
        </w:rPr>
        <w:t>2012)744 final), p 2</w:t>
      </w:r>
    </w:p>
  </w:footnote>
  <w:footnote w:id="34">
    <w:p w14:paraId="25D236D8" w14:textId="0AE3DCD0" w:rsidR="00817C16" w:rsidRPr="000F27FF" w:rsidRDefault="00817C16" w:rsidP="004A584A">
      <w:pPr>
        <w:jc w:val="both"/>
        <w:rPr>
          <w:rFonts w:ascii="Arial" w:hAnsi="Arial" w:cs="Arial"/>
          <w:color w:val="7B7B7B" w:themeColor="accent3" w:themeShade="BF"/>
          <w:sz w:val="16"/>
          <w:szCs w:val="16"/>
        </w:rPr>
      </w:pPr>
      <w:r w:rsidRPr="000F27FF">
        <w:rPr>
          <w:rStyle w:val="FootnoteReference"/>
          <w:rFonts w:ascii="Arial" w:hAnsi="Arial" w:cs="Arial"/>
          <w:sz w:val="16"/>
          <w:szCs w:val="16"/>
        </w:rPr>
        <w:footnoteRef/>
      </w:r>
      <w:r w:rsidRPr="000F27FF">
        <w:rPr>
          <w:rFonts w:ascii="Arial" w:hAnsi="Arial" w:cs="Arial"/>
          <w:sz w:val="16"/>
          <w:szCs w:val="16"/>
        </w:rPr>
        <w:t xml:space="preserve"> </w:t>
      </w:r>
      <w:r w:rsidR="00FC3681" w:rsidRPr="000F27FF">
        <w:rPr>
          <w:rFonts w:ascii="Arial" w:hAnsi="Arial" w:cs="Arial"/>
          <w:color w:val="7B7B7B" w:themeColor="accent3" w:themeShade="BF"/>
          <w:sz w:val="16"/>
          <w:szCs w:val="16"/>
        </w:rPr>
        <w:t xml:space="preserve">Francisco </w:t>
      </w:r>
      <w:proofErr w:type="spellStart"/>
      <w:r w:rsidR="00FC3681" w:rsidRPr="000F27FF">
        <w:rPr>
          <w:rFonts w:ascii="Arial" w:hAnsi="Arial" w:cs="Arial"/>
          <w:color w:val="7B7B7B" w:themeColor="accent3" w:themeShade="BF"/>
          <w:sz w:val="16"/>
          <w:szCs w:val="16"/>
        </w:rPr>
        <w:t>Garcimartín</w:t>
      </w:r>
      <w:proofErr w:type="spellEnd"/>
      <w:r w:rsidR="00FC3681" w:rsidRPr="000F27FF">
        <w:rPr>
          <w:rFonts w:ascii="Arial" w:hAnsi="Arial" w:cs="Arial"/>
          <w:color w:val="7B7B7B" w:themeColor="accent3" w:themeShade="BF"/>
          <w:sz w:val="16"/>
          <w:szCs w:val="16"/>
        </w:rPr>
        <w:t>, “The EU Insolvency Regulation Recast: Scope and Rules on Jurisdiction”, 2016, p</w:t>
      </w:r>
      <w:r w:rsidR="00E91709">
        <w:rPr>
          <w:rFonts w:ascii="Arial" w:hAnsi="Arial" w:cs="Arial"/>
          <w:color w:val="7B7B7B" w:themeColor="accent3" w:themeShade="BF"/>
          <w:sz w:val="16"/>
          <w:szCs w:val="16"/>
        </w:rPr>
        <w:t>p</w:t>
      </w:r>
      <w:r w:rsidR="00FC3681" w:rsidRPr="000F27FF">
        <w:rPr>
          <w:rFonts w:ascii="Arial" w:hAnsi="Arial" w:cs="Arial"/>
          <w:color w:val="7B7B7B" w:themeColor="accent3" w:themeShade="BF"/>
          <w:sz w:val="16"/>
          <w:szCs w:val="16"/>
        </w:rPr>
        <w:t xml:space="preserve"> 2-3</w:t>
      </w:r>
    </w:p>
  </w:footnote>
  <w:footnote w:id="35">
    <w:p w14:paraId="3018C72B" w14:textId="5550BB63" w:rsidR="004834AD" w:rsidRPr="000F27FF" w:rsidRDefault="004834AD" w:rsidP="004A584A">
      <w:pPr>
        <w:pStyle w:val="FootnoteText"/>
        <w:jc w:val="both"/>
        <w:rPr>
          <w:rFonts w:ascii="Arial" w:hAnsi="Arial" w:cs="Arial"/>
          <w:sz w:val="16"/>
          <w:szCs w:val="16"/>
          <w:lang w:val="en-GB"/>
        </w:rPr>
      </w:pPr>
      <w:r w:rsidRPr="000F27FF">
        <w:rPr>
          <w:rStyle w:val="FootnoteReference"/>
          <w:rFonts w:ascii="Arial" w:hAnsi="Arial" w:cs="Arial"/>
          <w:sz w:val="16"/>
          <w:szCs w:val="16"/>
        </w:rPr>
        <w:footnoteRef/>
      </w:r>
      <w:r w:rsidRPr="000F27FF">
        <w:rPr>
          <w:rFonts w:ascii="Arial" w:hAnsi="Arial" w:cs="Arial"/>
          <w:sz w:val="16"/>
          <w:szCs w:val="16"/>
        </w:rPr>
        <w:t xml:space="preserve"> </w:t>
      </w:r>
      <w:r w:rsidRPr="000F27FF">
        <w:rPr>
          <w:rFonts w:ascii="Arial" w:hAnsi="Arial" w:cs="Arial"/>
          <w:color w:val="808080" w:themeColor="background1" w:themeShade="80"/>
          <w:sz w:val="16"/>
          <w:szCs w:val="16"/>
          <w:lang w:val="en-GB"/>
        </w:rPr>
        <w:t xml:space="preserve">Professor </w:t>
      </w:r>
      <w:r w:rsidRPr="000F27FF">
        <w:rPr>
          <w:rFonts w:ascii="Arial" w:hAnsi="Arial" w:cs="Arial"/>
          <w:color w:val="808080" w:themeColor="background1" w:themeShade="80"/>
          <w:sz w:val="16"/>
          <w:szCs w:val="16"/>
        </w:rPr>
        <w:t xml:space="preserve">Bob Wessels and </w:t>
      </w:r>
      <w:proofErr w:type="spellStart"/>
      <w:r w:rsidRPr="000F27FF">
        <w:rPr>
          <w:rFonts w:ascii="Arial" w:hAnsi="Arial" w:cs="Arial"/>
          <w:color w:val="808080" w:themeColor="background1" w:themeShade="80"/>
          <w:sz w:val="16"/>
          <w:szCs w:val="16"/>
        </w:rPr>
        <w:t>Mr</w:t>
      </w:r>
      <w:proofErr w:type="spellEnd"/>
      <w:r w:rsidRPr="000F27FF">
        <w:rPr>
          <w:rFonts w:ascii="Arial" w:hAnsi="Arial" w:cs="Arial"/>
          <w:color w:val="808080" w:themeColor="background1" w:themeShade="80"/>
          <w:sz w:val="16"/>
          <w:szCs w:val="16"/>
        </w:rPr>
        <w:t xml:space="preserve"> Ilya Kokorin</w:t>
      </w:r>
      <w:r w:rsidRPr="000F27FF">
        <w:rPr>
          <w:rFonts w:ascii="Arial" w:hAnsi="Arial" w:cs="Arial"/>
          <w:color w:val="808080" w:themeColor="background1" w:themeShade="80"/>
          <w:sz w:val="16"/>
          <w:szCs w:val="16"/>
          <w:lang w:val="en-GB"/>
        </w:rPr>
        <w:t>,</w:t>
      </w:r>
      <w:r w:rsidRPr="000F27FF">
        <w:rPr>
          <w:rFonts w:ascii="Arial" w:hAnsi="Arial" w:cs="Arial"/>
          <w:color w:val="808080" w:themeColor="background1" w:themeShade="80"/>
          <w:sz w:val="16"/>
          <w:szCs w:val="16"/>
        </w:rPr>
        <w:t xml:space="preserve"> text updated for 2020/2021, 2021/2022, 2022/2023 and 2023/2024 by Dr Emilie Ghio,</w:t>
      </w:r>
      <w:r w:rsidRPr="000F27FF">
        <w:rPr>
          <w:rFonts w:ascii="Arial" w:hAnsi="Arial" w:cs="Arial"/>
          <w:color w:val="808080" w:themeColor="background1" w:themeShade="80"/>
          <w:sz w:val="16"/>
          <w:szCs w:val="16"/>
          <w:lang w:val="en-GB"/>
        </w:rPr>
        <w:t xml:space="preserve"> “INSOL International, Foundation Certificate in International Insolvency Law, Module </w:t>
      </w:r>
      <w:r w:rsidRPr="000F27FF">
        <w:rPr>
          <w:rFonts w:ascii="Arial" w:hAnsi="Arial" w:cs="Arial"/>
          <w:color w:val="808080" w:themeColor="background1" w:themeShade="80"/>
          <w:sz w:val="16"/>
          <w:szCs w:val="16"/>
        </w:rPr>
        <w:t>2B</w:t>
      </w:r>
      <w:r w:rsidRPr="000F27FF">
        <w:rPr>
          <w:rFonts w:ascii="Arial" w:hAnsi="Arial" w:cs="Arial"/>
          <w:color w:val="808080" w:themeColor="background1" w:themeShade="80"/>
          <w:sz w:val="16"/>
          <w:szCs w:val="16"/>
          <w:lang w:val="en-GB"/>
        </w:rPr>
        <w:t xml:space="preserve"> Guidance Text, </w:t>
      </w:r>
      <w:r w:rsidRPr="000F27FF">
        <w:rPr>
          <w:rFonts w:ascii="Arial" w:hAnsi="Arial" w:cs="Arial"/>
          <w:color w:val="808080" w:themeColor="background1" w:themeShade="80"/>
          <w:sz w:val="16"/>
          <w:szCs w:val="16"/>
        </w:rPr>
        <w:t>The European Insolvency Regulation</w:t>
      </w:r>
      <w:r w:rsidRPr="000F27FF">
        <w:rPr>
          <w:rFonts w:ascii="Arial" w:hAnsi="Arial" w:cs="Arial"/>
          <w:color w:val="808080" w:themeColor="background1" w:themeShade="80"/>
          <w:sz w:val="16"/>
          <w:szCs w:val="16"/>
          <w:lang w:val="en-GB"/>
        </w:rPr>
        <w:t xml:space="preserve"> 2023/2024”, p </w:t>
      </w:r>
      <w:proofErr w:type="gramStart"/>
      <w:r w:rsidRPr="000F27FF">
        <w:rPr>
          <w:rFonts w:ascii="Arial" w:hAnsi="Arial" w:cs="Arial"/>
          <w:color w:val="808080" w:themeColor="background1" w:themeShade="80"/>
          <w:sz w:val="16"/>
          <w:szCs w:val="16"/>
        </w:rPr>
        <w:t>11</w:t>
      </w:r>
      <w:proofErr w:type="gramEnd"/>
    </w:p>
  </w:footnote>
  <w:footnote w:id="36">
    <w:p w14:paraId="59227281" w14:textId="2C5DC45F" w:rsidR="00D24DF2" w:rsidRPr="000F27FF" w:rsidRDefault="00D24DF2" w:rsidP="004A584A">
      <w:pPr>
        <w:pStyle w:val="FootnoteText"/>
        <w:jc w:val="both"/>
        <w:rPr>
          <w:rFonts w:ascii="Arial" w:hAnsi="Arial" w:cs="Arial"/>
          <w:sz w:val="16"/>
          <w:szCs w:val="16"/>
        </w:rPr>
      </w:pPr>
      <w:r w:rsidRPr="000F27FF">
        <w:rPr>
          <w:rStyle w:val="FootnoteReference"/>
          <w:rFonts w:ascii="Arial" w:hAnsi="Arial" w:cs="Arial"/>
          <w:sz w:val="16"/>
          <w:szCs w:val="16"/>
        </w:rPr>
        <w:footnoteRef/>
      </w:r>
      <w:r w:rsidRPr="000F27FF">
        <w:rPr>
          <w:rFonts w:ascii="Arial" w:hAnsi="Arial" w:cs="Arial"/>
          <w:sz w:val="16"/>
          <w:szCs w:val="16"/>
        </w:rPr>
        <w:t xml:space="preserve"> </w:t>
      </w:r>
      <w:r w:rsidR="00CF1B82" w:rsidRPr="000F27FF">
        <w:rPr>
          <w:rFonts w:ascii="Arial" w:hAnsi="Arial" w:cs="Arial"/>
          <w:color w:val="7B7B7B" w:themeColor="accent3" w:themeShade="BF"/>
          <w:sz w:val="16"/>
          <w:szCs w:val="16"/>
        </w:rPr>
        <w:t>European Commission, “Proposal for a Regulation of the European Parliament and of the Council amending Council Regulation (EC) No 1346/2000 on insolvency proceedings” (</w:t>
      </w:r>
      <w:proofErr w:type="gramStart"/>
      <w:r w:rsidR="00CF1B82" w:rsidRPr="000F27FF">
        <w:rPr>
          <w:rFonts w:ascii="Arial" w:hAnsi="Arial" w:cs="Arial"/>
          <w:color w:val="7B7B7B" w:themeColor="accent3" w:themeShade="BF"/>
          <w:sz w:val="16"/>
          <w:szCs w:val="16"/>
        </w:rPr>
        <w:t>COM(</w:t>
      </w:r>
      <w:proofErr w:type="gramEnd"/>
      <w:r w:rsidR="00CF1B82" w:rsidRPr="000F27FF">
        <w:rPr>
          <w:rFonts w:ascii="Arial" w:hAnsi="Arial" w:cs="Arial"/>
          <w:color w:val="7B7B7B" w:themeColor="accent3" w:themeShade="BF"/>
          <w:sz w:val="16"/>
          <w:szCs w:val="16"/>
        </w:rPr>
        <w:t>2012)744 final), p 3</w:t>
      </w:r>
    </w:p>
  </w:footnote>
  <w:footnote w:id="37">
    <w:p w14:paraId="0A90D08E" w14:textId="2DA52C61" w:rsidR="002E6793" w:rsidRPr="005B335E" w:rsidRDefault="002E6793" w:rsidP="004A584A">
      <w:pPr>
        <w:pStyle w:val="FootnoteText"/>
        <w:jc w:val="both"/>
        <w:rPr>
          <w:rFonts w:ascii="Arial" w:hAnsi="Arial" w:cs="Arial"/>
          <w:sz w:val="16"/>
          <w:szCs w:val="16"/>
          <w:lang w:val="en-GB"/>
        </w:rPr>
      </w:pPr>
      <w:r w:rsidRPr="005B335E">
        <w:rPr>
          <w:rStyle w:val="FootnoteReference"/>
          <w:rFonts w:ascii="Arial" w:hAnsi="Arial" w:cs="Arial"/>
          <w:sz w:val="16"/>
          <w:szCs w:val="16"/>
        </w:rPr>
        <w:footnoteRef/>
      </w:r>
      <w:r w:rsidRPr="005B335E">
        <w:rPr>
          <w:rFonts w:ascii="Arial" w:hAnsi="Arial" w:cs="Arial"/>
          <w:sz w:val="16"/>
          <w:szCs w:val="16"/>
        </w:rPr>
        <w:t xml:space="preserve"> </w:t>
      </w:r>
      <w:r w:rsidR="000F27FF" w:rsidRPr="005B335E">
        <w:rPr>
          <w:rFonts w:ascii="Arial" w:hAnsi="Arial" w:cs="Arial"/>
          <w:color w:val="7B7B7B" w:themeColor="accent3" w:themeShade="BF"/>
          <w:sz w:val="16"/>
          <w:szCs w:val="16"/>
        </w:rPr>
        <w:t xml:space="preserve">Francisco </w:t>
      </w:r>
      <w:proofErr w:type="spellStart"/>
      <w:r w:rsidR="000F27FF" w:rsidRPr="005B335E">
        <w:rPr>
          <w:rFonts w:ascii="Arial" w:hAnsi="Arial" w:cs="Arial"/>
          <w:color w:val="7B7B7B" w:themeColor="accent3" w:themeShade="BF"/>
          <w:sz w:val="16"/>
          <w:szCs w:val="16"/>
        </w:rPr>
        <w:t>Garcimartín</w:t>
      </w:r>
      <w:proofErr w:type="spellEnd"/>
      <w:r w:rsidR="000F27FF" w:rsidRPr="005B335E">
        <w:rPr>
          <w:rFonts w:ascii="Arial" w:hAnsi="Arial" w:cs="Arial"/>
          <w:color w:val="7B7B7B" w:themeColor="accent3" w:themeShade="BF"/>
          <w:sz w:val="16"/>
          <w:szCs w:val="16"/>
        </w:rPr>
        <w:t xml:space="preserve">, “The EU Insolvency Regulation Recast: Scope and Rules on Jurisdiction”, 2016, p </w:t>
      </w:r>
      <w:proofErr w:type="gramStart"/>
      <w:r w:rsidR="000F27FF" w:rsidRPr="005B335E">
        <w:rPr>
          <w:rFonts w:ascii="Arial" w:hAnsi="Arial" w:cs="Arial"/>
          <w:color w:val="7B7B7B" w:themeColor="accent3" w:themeShade="BF"/>
          <w:sz w:val="16"/>
          <w:szCs w:val="16"/>
        </w:rPr>
        <w:t>12</w:t>
      </w:r>
      <w:proofErr w:type="gramEnd"/>
    </w:p>
  </w:footnote>
  <w:footnote w:id="38">
    <w:p w14:paraId="26046B9C" w14:textId="7AA77DE6" w:rsidR="00A57EB2" w:rsidRPr="00A57EB2" w:rsidRDefault="00A57EB2" w:rsidP="004A584A">
      <w:pPr>
        <w:jc w:val="both"/>
        <w:rPr>
          <w:rFonts w:ascii="Avenir Next" w:hAnsi="Avenir Next" w:cs="Arial"/>
          <w:color w:val="7B7B7B" w:themeColor="accent3" w:themeShade="BF"/>
          <w:sz w:val="22"/>
          <w:szCs w:val="22"/>
        </w:rPr>
      </w:pPr>
      <w:r w:rsidRPr="005B335E">
        <w:rPr>
          <w:rStyle w:val="FootnoteReference"/>
          <w:rFonts w:ascii="Arial" w:hAnsi="Arial" w:cs="Arial"/>
          <w:sz w:val="16"/>
          <w:szCs w:val="16"/>
        </w:rPr>
        <w:footnoteRef/>
      </w:r>
      <w:r w:rsidRPr="005B335E">
        <w:rPr>
          <w:rFonts w:ascii="Arial" w:hAnsi="Arial" w:cs="Arial"/>
          <w:sz w:val="16"/>
          <w:szCs w:val="16"/>
        </w:rPr>
        <w:t xml:space="preserve"> </w:t>
      </w:r>
      <w:r w:rsidRPr="005B335E">
        <w:rPr>
          <w:rFonts w:ascii="Arial" w:hAnsi="Arial" w:cs="Arial"/>
          <w:color w:val="7B7B7B" w:themeColor="accent3" w:themeShade="BF"/>
          <w:sz w:val="16"/>
          <w:szCs w:val="16"/>
        </w:rPr>
        <w:t>Case C-341/04, ECLI:EU:C:2006:281 (2 May 2006)</w:t>
      </w:r>
    </w:p>
  </w:footnote>
  <w:footnote w:id="39">
    <w:p w14:paraId="19BEF9C0" w14:textId="6FB4B453" w:rsidR="00A57EB2" w:rsidRPr="000F27FF" w:rsidRDefault="00A57EB2" w:rsidP="004A584A">
      <w:pPr>
        <w:pStyle w:val="FootnoteText"/>
        <w:jc w:val="both"/>
        <w:rPr>
          <w:rFonts w:ascii="Arial" w:hAnsi="Arial" w:cs="Arial"/>
          <w:sz w:val="16"/>
          <w:szCs w:val="16"/>
          <w:lang w:val="en-GB"/>
        </w:rPr>
      </w:pPr>
      <w:r w:rsidRPr="000F27FF">
        <w:rPr>
          <w:rStyle w:val="FootnoteReference"/>
          <w:rFonts w:ascii="Arial" w:hAnsi="Arial" w:cs="Arial"/>
          <w:sz w:val="16"/>
          <w:szCs w:val="16"/>
        </w:rPr>
        <w:footnoteRef/>
      </w:r>
      <w:r w:rsidRPr="000F27FF">
        <w:rPr>
          <w:rFonts w:ascii="Arial" w:hAnsi="Arial" w:cs="Arial"/>
          <w:sz w:val="16"/>
          <w:szCs w:val="16"/>
        </w:rPr>
        <w:t xml:space="preserve"> </w:t>
      </w:r>
      <w:r w:rsidRPr="000F27FF">
        <w:rPr>
          <w:rFonts w:ascii="Arial" w:hAnsi="Arial" w:cs="Arial"/>
          <w:color w:val="808080" w:themeColor="background1" w:themeShade="80"/>
          <w:sz w:val="16"/>
          <w:szCs w:val="16"/>
          <w:lang w:val="en-GB"/>
        </w:rPr>
        <w:t xml:space="preserve">Professor </w:t>
      </w:r>
      <w:r w:rsidRPr="000F27FF">
        <w:rPr>
          <w:rFonts w:ascii="Arial" w:hAnsi="Arial" w:cs="Arial"/>
          <w:color w:val="808080" w:themeColor="background1" w:themeShade="80"/>
          <w:sz w:val="16"/>
          <w:szCs w:val="16"/>
        </w:rPr>
        <w:t xml:space="preserve">Bob Wessels and </w:t>
      </w:r>
      <w:proofErr w:type="spellStart"/>
      <w:r w:rsidRPr="000F27FF">
        <w:rPr>
          <w:rFonts w:ascii="Arial" w:hAnsi="Arial" w:cs="Arial"/>
          <w:color w:val="808080" w:themeColor="background1" w:themeShade="80"/>
          <w:sz w:val="16"/>
          <w:szCs w:val="16"/>
        </w:rPr>
        <w:t>Mr</w:t>
      </w:r>
      <w:proofErr w:type="spellEnd"/>
      <w:r w:rsidRPr="000F27FF">
        <w:rPr>
          <w:rFonts w:ascii="Arial" w:hAnsi="Arial" w:cs="Arial"/>
          <w:color w:val="808080" w:themeColor="background1" w:themeShade="80"/>
          <w:sz w:val="16"/>
          <w:szCs w:val="16"/>
        </w:rPr>
        <w:t xml:space="preserve"> Ilya Kokorin</w:t>
      </w:r>
      <w:r w:rsidRPr="000F27FF">
        <w:rPr>
          <w:rFonts w:ascii="Arial" w:hAnsi="Arial" w:cs="Arial"/>
          <w:color w:val="808080" w:themeColor="background1" w:themeShade="80"/>
          <w:sz w:val="16"/>
          <w:szCs w:val="16"/>
          <w:lang w:val="en-GB"/>
        </w:rPr>
        <w:t>,</w:t>
      </w:r>
      <w:r w:rsidRPr="000F27FF">
        <w:rPr>
          <w:rFonts w:ascii="Arial" w:hAnsi="Arial" w:cs="Arial"/>
          <w:color w:val="808080" w:themeColor="background1" w:themeShade="80"/>
          <w:sz w:val="16"/>
          <w:szCs w:val="16"/>
        </w:rPr>
        <w:t xml:space="preserve"> text updated for 2020/2021, 2021/2022, 2022/2023 and 2023/2024 by Dr Emilie Ghio,</w:t>
      </w:r>
      <w:r w:rsidRPr="000F27FF">
        <w:rPr>
          <w:rFonts w:ascii="Arial" w:hAnsi="Arial" w:cs="Arial"/>
          <w:color w:val="808080" w:themeColor="background1" w:themeShade="80"/>
          <w:sz w:val="16"/>
          <w:szCs w:val="16"/>
          <w:lang w:val="en-GB"/>
        </w:rPr>
        <w:t xml:space="preserve"> “INSOL International, Foundation Certificate in International Insolvency Law, Module </w:t>
      </w:r>
      <w:r w:rsidRPr="000F27FF">
        <w:rPr>
          <w:rFonts w:ascii="Arial" w:hAnsi="Arial" w:cs="Arial"/>
          <w:color w:val="808080" w:themeColor="background1" w:themeShade="80"/>
          <w:sz w:val="16"/>
          <w:szCs w:val="16"/>
        </w:rPr>
        <w:t>2B</w:t>
      </w:r>
      <w:r w:rsidRPr="000F27FF">
        <w:rPr>
          <w:rFonts w:ascii="Arial" w:hAnsi="Arial" w:cs="Arial"/>
          <w:color w:val="808080" w:themeColor="background1" w:themeShade="80"/>
          <w:sz w:val="16"/>
          <w:szCs w:val="16"/>
          <w:lang w:val="en-GB"/>
        </w:rPr>
        <w:t xml:space="preserve"> Guidance Text, </w:t>
      </w:r>
      <w:r w:rsidRPr="000F27FF">
        <w:rPr>
          <w:rFonts w:ascii="Arial" w:hAnsi="Arial" w:cs="Arial"/>
          <w:color w:val="808080" w:themeColor="background1" w:themeShade="80"/>
          <w:sz w:val="16"/>
          <w:szCs w:val="16"/>
        </w:rPr>
        <w:t>The European Insolvency Regulation</w:t>
      </w:r>
      <w:r w:rsidRPr="000F27FF">
        <w:rPr>
          <w:rFonts w:ascii="Arial" w:hAnsi="Arial" w:cs="Arial"/>
          <w:color w:val="808080" w:themeColor="background1" w:themeShade="80"/>
          <w:sz w:val="16"/>
          <w:szCs w:val="16"/>
          <w:lang w:val="en-GB"/>
        </w:rPr>
        <w:t xml:space="preserve"> 2023/2024”, p </w:t>
      </w:r>
      <w:proofErr w:type="gramStart"/>
      <w:r w:rsidRPr="000F27FF">
        <w:rPr>
          <w:rFonts w:ascii="Arial" w:hAnsi="Arial" w:cs="Arial"/>
          <w:color w:val="808080" w:themeColor="background1" w:themeShade="80"/>
          <w:sz w:val="16"/>
          <w:szCs w:val="16"/>
        </w:rPr>
        <w:t>16</w:t>
      </w:r>
      <w:proofErr w:type="gramEnd"/>
    </w:p>
  </w:footnote>
  <w:footnote w:id="40">
    <w:p w14:paraId="687D953B" w14:textId="04E97FCE" w:rsidR="00767211" w:rsidRPr="00C320E5" w:rsidRDefault="00767211" w:rsidP="00C320E5">
      <w:pPr>
        <w:pStyle w:val="FootnoteText"/>
        <w:jc w:val="both"/>
        <w:rPr>
          <w:rFonts w:ascii="Arial" w:hAnsi="Arial" w:cs="Arial"/>
          <w:sz w:val="16"/>
          <w:szCs w:val="16"/>
          <w:lang w:val="en-GB"/>
        </w:rPr>
      </w:pPr>
      <w:r w:rsidRPr="00C320E5">
        <w:rPr>
          <w:rStyle w:val="FootnoteReference"/>
          <w:rFonts w:ascii="Arial" w:hAnsi="Arial" w:cs="Arial"/>
          <w:sz w:val="16"/>
          <w:szCs w:val="16"/>
        </w:rPr>
        <w:footnoteRef/>
      </w:r>
      <w:r w:rsidRPr="00C320E5">
        <w:rPr>
          <w:rFonts w:ascii="Arial" w:hAnsi="Arial" w:cs="Arial"/>
          <w:sz w:val="16"/>
          <w:szCs w:val="16"/>
        </w:rPr>
        <w:t xml:space="preserve"> </w:t>
      </w:r>
      <w:r w:rsidRPr="00C320E5">
        <w:rPr>
          <w:rFonts w:ascii="Arial" w:hAnsi="Arial" w:cs="Arial"/>
          <w:color w:val="7B7B7B" w:themeColor="accent3" w:themeShade="BF"/>
          <w:sz w:val="16"/>
          <w:szCs w:val="16"/>
        </w:rPr>
        <w:t>European Commission, “Proposal for a Regulation of the European Parliament and of the Council amending Council Regulation (EC) No 1346/2000 on insolvency proceedings” (</w:t>
      </w:r>
      <w:proofErr w:type="gramStart"/>
      <w:r w:rsidRPr="00C320E5">
        <w:rPr>
          <w:rFonts w:ascii="Arial" w:hAnsi="Arial" w:cs="Arial"/>
          <w:color w:val="7B7B7B" w:themeColor="accent3" w:themeShade="BF"/>
          <w:sz w:val="16"/>
          <w:szCs w:val="16"/>
        </w:rPr>
        <w:t>COM(</w:t>
      </w:r>
      <w:proofErr w:type="gramEnd"/>
      <w:r w:rsidRPr="00C320E5">
        <w:rPr>
          <w:rFonts w:ascii="Arial" w:hAnsi="Arial" w:cs="Arial"/>
          <w:color w:val="7B7B7B" w:themeColor="accent3" w:themeShade="BF"/>
          <w:sz w:val="16"/>
          <w:szCs w:val="16"/>
        </w:rPr>
        <w:t>2012)744 final), p 3</w:t>
      </w:r>
    </w:p>
  </w:footnote>
  <w:footnote w:id="41">
    <w:p w14:paraId="3863547F" w14:textId="25732D91" w:rsidR="00DA3210" w:rsidRPr="00C320E5" w:rsidRDefault="00DA3210" w:rsidP="00C320E5">
      <w:pPr>
        <w:pStyle w:val="FootnoteText"/>
        <w:jc w:val="both"/>
        <w:rPr>
          <w:rFonts w:ascii="Arial" w:hAnsi="Arial" w:cs="Arial"/>
          <w:sz w:val="16"/>
          <w:szCs w:val="16"/>
          <w:lang w:val="en-GB"/>
        </w:rPr>
      </w:pPr>
      <w:r w:rsidRPr="00C320E5">
        <w:rPr>
          <w:rStyle w:val="FootnoteReference"/>
          <w:rFonts w:ascii="Arial" w:hAnsi="Arial" w:cs="Arial"/>
          <w:sz w:val="16"/>
          <w:szCs w:val="16"/>
        </w:rPr>
        <w:footnoteRef/>
      </w:r>
      <w:r w:rsidRPr="00C320E5">
        <w:rPr>
          <w:rFonts w:ascii="Arial" w:hAnsi="Arial" w:cs="Arial"/>
          <w:sz w:val="16"/>
          <w:szCs w:val="16"/>
        </w:rPr>
        <w:t xml:space="preserve"> </w:t>
      </w:r>
      <w:r w:rsidRPr="00C320E5">
        <w:rPr>
          <w:rFonts w:ascii="Arial" w:hAnsi="Arial" w:cs="Arial"/>
          <w:color w:val="7B7B7B" w:themeColor="accent3" w:themeShade="BF"/>
          <w:sz w:val="16"/>
          <w:szCs w:val="16"/>
        </w:rPr>
        <w:t>Ibid.</w:t>
      </w:r>
    </w:p>
  </w:footnote>
  <w:footnote w:id="42">
    <w:p w14:paraId="678F359F" w14:textId="16E230F2" w:rsidR="00250621" w:rsidRPr="00C320E5" w:rsidRDefault="00250621" w:rsidP="00C320E5">
      <w:pPr>
        <w:pStyle w:val="FootnoteText"/>
        <w:jc w:val="both"/>
        <w:rPr>
          <w:rFonts w:ascii="Arial" w:hAnsi="Arial" w:cs="Arial"/>
          <w:sz w:val="16"/>
          <w:szCs w:val="16"/>
          <w:lang w:val="en-GB"/>
        </w:rPr>
      </w:pPr>
      <w:r w:rsidRPr="00C320E5">
        <w:rPr>
          <w:rStyle w:val="FootnoteReference"/>
          <w:rFonts w:ascii="Arial" w:hAnsi="Arial" w:cs="Arial"/>
          <w:sz w:val="16"/>
          <w:szCs w:val="16"/>
        </w:rPr>
        <w:footnoteRef/>
      </w:r>
      <w:r w:rsidRPr="00C320E5">
        <w:rPr>
          <w:rFonts w:ascii="Arial" w:hAnsi="Arial" w:cs="Arial"/>
          <w:sz w:val="16"/>
          <w:szCs w:val="16"/>
        </w:rPr>
        <w:t xml:space="preserve"> </w:t>
      </w:r>
      <w:r w:rsidRPr="00C320E5">
        <w:rPr>
          <w:rFonts w:ascii="Arial" w:hAnsi="Arial" w:cs="Arial"/>
          <w:color w:val="7B7B7B" w:themeColor="accent3" w:themeShade="BF"/>
          <w:sz w:val="16"/>
          <w:szCs w:val="16"/>
        </w:rPr>
        <w:t>Article 3(2), EIR Recast</w:t>
      </w:r>
    </w:p>
  </w:footnote>
  <w:footnote w:id="43">
    <w:p w14:paraId="4800F1BF" w14:textId="52240C4C" w:rsidR="001E3BFE" w:rsidRPr="00C320E5" w:rsidRDefault="001E3BFE" w:rsidP="00C320E5">
      <w:pPr>
        <w:pStyle w:val="FootnoteText"/>
        <w:jc w:val="both"/>
        <w:rPr>
          <w:rFonts w:ascii="Arial" w:hAnsi="Arial" w:cs="Arial"/>
          <w:sz w:val="16"/>
          <w:szCs w:val="16"/>
          <w:lang w:val="en-GB"/>
        </w:rPr>
      </w:pPr>
      <w:r w:rsidRPr="00C320E5">
        <w:rPr>
          <w:rStyle w:val="FootnoteReference"/>
          <w:rFonts w:ascii="Arial" w:hAnsi="Arial" w:cs="Arial"/>
          <w:sz w:val="16"/>
          <w:szCs w:val="16"/>
        </w:rPr>
        <w:footnoteRef/>
      </w:r>
      <w:r w:rsidRPr="00C320E5">
        <w:rPr>
          <w:rFonts w:ascii="Arial" w:hAnsi="Arial" w:cs="Arial"/>
          <w:sz w:val="16"/>
          <w:szCs w:val="16"/>
        </w:rPr>
        <w:t xml:space="preserve"> </w:t>
      </w:r>
      <w:r w:rsidRPr="00C320E5">
        <w:rPr>
          <w:rFonts w:ascii="Arial" w:hAnsi="Arial" w:cs="Arial"/>
          <w:color w:val="808080" w:themeColor="background1" w:themeShade="80"/>
          <w:sz w:val="16"/>
          <w:szCs w:val="16"/>
          <w:lang w:val="en-GB"/>
        </w:rPr>
        <w:t xml:space="preserve">Professor </w:t>
      </w:r>
      <w:r w:rsidRPr="00C320E5">
        <w:rPr>
          <w:rFonts w:ascii="Arial" w:hAnsi="Arial" w:cs="Arial"/>
          <w:color w:val="808080" w:themeColor="background1" w:themeShade="80"/>
          <w:sz w:val="16"/>
          <w:szCs w:val="16"/>
        </w:rPr>
        <w:t xml:space="preserve">Bob Wessels and </w:t>
      </w:r>
      <w:proofErr w:type="spellStart"/>
      <w:r w:rsidRPr="00C320E5">
        <w:rPr>
          <w:rFonts w:ascii="Arial" w:hAnsi="Arial" w:cs="Arial"/>
          <w:color w:val="808080" w:themeColor="background1" w:themeShade="80"/>
          <w:sz w:val="16"/>
          <w:szCs w:val="16"/>
        </w:rPr>
        <w:t>Mr</w:t>
      </w:r>
      <w:proofErr w:type="spellEnd"/>
      <w:r w:rsidRPr="00C320E5">
        <w:rPr>
          <w:rFonts w:ascii="Arial" w:hAnsi="Arial" w:cs="Arial"/>
          <w:color w:val="808080" w:themeColor="background1" w:themeShade="80"/>
          <w:sz w:val="16"/>
          <w:szCs w:val="16"/>
        </w:rPr>
        <w:t xml:space="preserve"> Ilya Kokorin</w:t>
      </w:r>
      <w:r w:rsidRPr="00C320E5">
        <w:rPr>
          <w:rFonts w:ascii="Arial" w:hAnsi="Arial" w:cs="Arial"/>
          <w:color w:val="808080" w:themeColor="background1" w:themeShade="80"/>
          <w:sz w:val="16"/>
          <w:szCs w:val="16"/>
          <w:lang w:val="en-GB"/>
        </w:rPr>
        <w:t>,</w:t>
      </w:r>
      <w:r w:rsidRPr="00C320E5">
        <w:rPr>
          <w:rFonts w:ascii="Arial" w:hAnsi="Arial" w:cs="Arial"/>
          <w:color w:val="808080" w:themeColor="background1" w:themeShade="80"/>
          <w:sz w:val="16"/>
          <w:szCs w:val="16"/>
        </w:rPr>
        <w:t xml:space="preserve"> text updated for 2020/2021, 2021/2022, 2022/2023 and 2023/2024 by Dr Emilie Ghio,</w:t>
      </w:r>
      <w:r w:rsidRPr="00C320E5">
        <w:rPr>
          <w:rFonts w:ascii="Arial" w:hAnsi="Arial" w:cs="Arial"/>
          <w:color w:val="808080" w:themeColor="background1" w:themeShade="80"/>
          <w:sz w:val="16"/>
          <w:szCs w:val="16"/>
          <w:lang w:val="en-GB"/>
        </w:rPr>
        <w:t xml:space="preserve"> “INSOL International, Foundation Certificate in International Insolvency Law, Module </w:t>
      </w:r>
      <w:r w:rsidRPr="00C320E5">
        <w:rPr>
          <w:rFonts w:ascii="Arial" w:hAnsi="Arial" w:cs="Arial"/>
          <w:color w:val="808080" w:themeColor="background1" w:themeShade="80"/>
          <w:sz w:val="16"/>
          <w:szCs w:val="16"/>
        </w:rPr>
        <w:t>2B</w:t>
      </w:r>
      <w:r w:rsidRPr="00C320E5">
        <w:rPr>
          <w:rFonts w:ascii="Arial" w:hAnsi="Arial" w:cs="Arial"/>
          <w:color w:val="808080" w:themeColor="background1" w:themeShade="80"/>
          <w:sz w:val="16"/>
          <w:szCs w:val="16"/>
          <w:lang w:val="en-GB"/>
        </w:rPr>
        <w:t xml:space="preserve"> Guidance Text, </w:t>
      </w:r>
      <w:r w:rsidRPr="00C320E5">
        <w:rPr>
          <w:rFonts w:ascii="Arial" w:hAnsi="Arial" w:cs="Arial"/>
          <w:color w:val="808080" w:themeColor="background1" w:themeShade="80"/>
          <w:sz w:val="16"/>
          <w:szCs w:val="16"/>
        </w:rPr>
        <w:t>The European Insolvency Regulation</w:t>
      </w:r>
      <w:r w:rsidRPr="00C320E5">
        <w:rPr>
          <w:rFonts w:ascii="Arial" w:hAnsi="Arial" w:cs="Arial"/>
          <w:color w:val="808080" w:themeColor="background1" w:themeShade="80"/>
          <w:sz w:val="16"/>
          <w:szCs w:val="16"/>
          <w:lang w:val="en-GB"/>
        </w:rPr>
        <w:t xml:space="preserve"> 2023/2024”, p </w:t>
      </w:r>
      <w:proofErr w:type="gramStart"/>
      <w:r w:rsidRPr="00C320E5">
        <w:rPr>
          <w:rFonts w:ascii="Arial" w:hAnsi="Arial" w:cs="Arial"/>
          <w:color w:val="808080" w:themeColor="background1" w:themeShade="80"/>
          <w:sz w:val="16"/>
          <w:szCs w:val="16"/>
        </w:rPr>
        <w:t>15</w:t>
      </w:r>
      <w:proofErr w:type="gramEnd"/>
    </w:p>
  </w:footnote>
  <w:footnote w:id="44">
    <w:p w14:paraId="6DBAA39B" w14:textId="7DEADCCD" w:rsidR="00265FA1" w:rsidRPr="00C320E5" w:rsidRDefault="00265FA1" w:rsidP="00C320E5">
      <w:pPr>
        <w:pStyle w:val="FootnoteText"/>
        <w:jc w:val="both"/>
        <w:rPr>
          <w:rFonts w:ascii="Arial" w:hAnsi="Arial" w:cs="Arial"/>
          <w:sz w:val="16"/>
          <w:szCs w:val="16"/>
          <w:lang w:val="en-GB"/>
        </w:rPr>
      </w:pPr>
      <w:r w:rsidRPr="00C320E5">
        <w:rPr>
          <w:rStyle w:val="FootnoteReference"/>
          <w:rFonts w:ascii="Arial" w:hAnsi="Arial" w:cs="Arial"/>
          <w:sz w:val="16"/>
          <w:szCs w:val="16"/>
        </w:rPr>
        <w:footnoteRef/>
      </w:r>
      <w:r w:rsidRPr="00C320E5">
        <w:rPr>
          <w:rFonts w:ascii="Arial" w:hAnsi="Arial" w:cs="Arial"/>
          <w:sz w:val="16"/>
          <w:szCs w:val="16"/>
        </w:rPr>
        <w:t xml:space="preserve"> </w:t>
      </w:r>
      <w:bookmarkStart w:id="1" w:name="_Hlk156761838"/>
      <w:r w:rsidRPr="00C320E5">
        <w:rPr>
          <w:rFonts w:ascii="Arial" w:hAnsi="Arial" w:cs="Arial"/>
          <w:color w:val="7B7B7B" w:themeColor="accent3" w:themeShade="BF"/>
          <w:sz w:val="16"/>
          <w:szCs w:val="16"/>
        </w:rPr>
        <w:t>European Commission, “Proposal for a Regulation of the European Parliament and of the Council amending Council Regulation (EC) No 1346/2000 on insolvency proceedings” (</w:t>
      </w:r>
      <w:proofErr w:type="gramStart"/>
      <w:r w:rsidRPr="00C320E5">
        <w:rPr>
          <w:rFonts w:ascii="Arial" w:hAnsi="Arial" w:cs="Arial"/>
          <w:color w:val="7B7B7B" w:themeColor="accent3" w:themeShade="BF"/>
          <w:sz w:val="16"/>
          <w:szCs w:val="16"/>
        </w:rPr>
        <w:t>COM(</w:t>
      </w:r>
      <w:proofErr w:type="gramEnd"/>
      <w:r w:rsidRPr="00C320E5">
        <w:rPr>
          <w:rFonts w:ascii="Arial" w:hAnsi="Arial" w:cs="Arial"/>
          <w:color w:val="7B7B7B" w:themeColor="accent3" w:themeShade="BF"/>
          <w:sz w:val="16"/>
          <w:szCs w:val="16"/>
        </w:rPr>
        <w:t>2012)744 final), p 3</w:t>
      </w:r>
      <w:bookmarkEnd w:id="1"/>
    </w:p>
  </w:footnote>
  <w:footnote w:id="45">
    <w:p w14:paraId="53F3EB47" w14:textId="35F4AAA7" w:rsidR="00133720" w:rsidRPr="00C320E5" w:rsidRDefault="00133720" w:rsidP="00C320E5">
      <w:pPr>
        <w:pStyle w:val="FootnoteText"/>
        <w:jc w:val="both"/>
        <w:rPr>
          <w:rFonts w:ascii="Arial" w:hAnsi="Arial" w:cs="Arial"/>
          <w:sz w:val="16"/>
          <w:szCs w:val="16"/>
          <w:lang w:val="en-GB"/>
        </w:rPr>
      </w:pPr>
      <w:r w:rsidRPr="00C320E5">
        <w:rPr>
          <w:rStyle w:val="FootnoteReference"/>
          <w:rFonts w:ascii="Arial" w:hAnsi="Arial" w:cs="Arial"/>
          <w:sz w:val="16"/>
          <w:szCs w:val="16"/>
        </w:rPr>
        <w:footnoteRef/>
      </w:r>
      <w:r w:rsidRPr="00C320E5">
        <w:rPr>
          <w:rFonts w:ascii="Arial" w:hAnsi="Arial" w:cs="Arial"/>
          <w:sz w:val="16"/>
          <w:szCs w:val="16"/>
        </w:rPr>
        <w:t xml:space="preserve"> </w:t>
      </w:r>
      <w:r w:rsidRPr="00C320E5">
        <w:rPr>
          <w:rFonts w:ascii="Arial" w:hAnsi="Arial" w:cs="Arial"/>
          <w:color w:val="7B7B7B" w:themeColor="accent3" w:themeShade="BF"/>
          <w:sz w:val="16"/>
          <w:szCs w:val="16"/>
        </w:rPr>
        <w:t>Ibid.</w:t>
      </w:r>
    </w:p>
  </w:footnote>
  <w:footnote w:id="46">
    <w:p w14:paraId="1A9CC975" w14:textId="77777777" w:rsidR="00C320E5" w:rsidRPr="00C320E5" w:rsidRDefault="00C320E5" w:rsidP="00C320E5">
      <w:pPr>
        <w:pStyle w:val="FootnoteText"/>
        <w:jc w:val="both"/>
        <w:rPr>
          <w:rFonts w:ascii="Arial" w:hAnsi="Arial" w:cs="Arial"/>
          <w:sz w:val="16"/>
          <w:szCs w:val="16"/>
          <w:lang w:val="en-GB"/>
        </w:rPr>
      </w:pPr>
      <w:r w:rsidRPr="00C320E5">
        <w:rPr>
          <w:rStyle w:val="FootnoteReference"/>
          <w:rFonts w:ascii="Arial" w:hAnsi="Arial" w:cs="Arial"/>
          <w:sz w:val="16"/>
          <w:szCs w:val="16"/>
        </w:rPr>
        <w:footnoteRef/>
      </w:r>
      <w:r w:rsidRPr="00C320E5">
        <w:rPr>
          <w:rFonts w:ascii="Arial" w:hAnsi="Arial" w:cs="Arial"/>
          <w:sz w:val="16"/>
          <w:szCs w:val="16"/>
        </w:rPr>
        <w:t xml:space="preserve"> </w:t>
      </w:r>
      <w:r w:rsidRPr="00C320E5">
        <w:rPr>
          <w:rFonts w:ascii="Arial" w:hAnsi="Arial" w:cs="Arial"/>
          <w:color w:val="7B7B7B" w:themeColor="accent3" w:themeShade="BF"/>
          <w:sz w:val="16"/>
          <w:szCs w:val="16"/>
        </w:rPr>
        <w:t>Article 21, EIR 2000</w:t>
      </w:r>
    </w:p>
  </w:footnote>
  <w:footnote w:id="47">
    <w:p w14:paraId="0BE95A9C" w14:textId="77777777" w:rsidR="00C320E5" w:rsidRPr="006301EE" w:rsidRDefault="00C320E5" w:rsidP="00C320E5">
      <w:pPr>
        <w:pStyle w:val="FootnoteText"/>
        <w:jc w:val="both"/>
        <w:rPr>
          <w:lang w:val="en-GB"/>
        </w:rPr>
      </w:pPr>
      <w:r w:rsidRPr="00C320E5">
        <w:rPr>
          <w:rStyle w:val="FootnoteReference"/>
          <w:rFonts w:ascii="Arial" w:hAnsi="Arial" w:cs="Arial"/>
          <w:sz w:val="16"/>
          <w:szCs w:val="16"/>
        </w:rPr>
        <w:footnoteRef/>
      </w:r>
      <w:r w:rsidRPr="00C320E5">
        <w:rPr>
          <w:rFonts w:ascii="Arial" w:hAnsi="Arial" w:cs="Arial"/>
          <w:sz w:val="16"/>
          <w:szCs w:val="16"/>
        </w:rPr>
        <w:t xml:space="preserve"> </w:t>
      </w:r>
      <w:r w:rsidRPr="00C320E5">
        <w:rPr>
          <w:rFonts w:ascii="Arial" w:hAnsi="Arial" w:cs="Arial"/>
          <w:color w:val="7B7B7B" w:themeColor="accent3" w:themeShade="BF"/>
          <w:sz w:val="16"/>
          <w:szCs w:val="16"/>
        </w:rPr>
        <w:t>Article 22, EIR 2000</w:t>
      </w:r>
    </w:p>
  </w:footnote>
  <w:footnote w:id="48">
    <w:p w14:paraId="1245C2A1" w14:textId="77777777" w:rsidR="00C320E5" w:rsidRPr="000942E7" w:rsidRDefault="00C320E5" w:rsidP="00284D45">
      <w:pPr>
        <w:jc w:val="both"/>
        <w:rPr>
          <w:rFonts w:ascii="Arial" w:hAnsi="Arial" w:cs="Arial"/>
          <w:color w:val="7B7B7B" w:themeColor="accent3" w:themeShade="BF"/>
          <w:sz w:val="16"/>
          <w:szCs w:val="16"/>
        </w:rPr>
      </w:pPr>
      <w:r w:rsidRPr="000942E7">
        <w:rPr>
          <w:rStyle w:val="FootnoteReference"/>
          <w:rFonts w:ascii="Arial" w:hAnsi="Arial" w:cs="Arial"/>
          <w:sz w:val="16"/>
          <w:szCs w:val="16"/>
        </w:rPr>
        <w:footnoteRef/>
      </w:r>
      <w:r w:rsidRPr="000942E7">
        <w:rPr>
          <w:rFonts w:ascii="Arial" w:hAnsi="Arial" w:cs="Arial"/>
          <w:sz w:val="16"/>
          <w:szCs w:val="16"/>
        </w:rPr>
        <w:t xml:space="preserve"> </w:t>
      </w:r>
      <w:r w:rsidRPr="000942E7">
        <w:rPr>
          <w:rFonts w:ascii="Arial" w:hAnsi="Arial" w:cs="Arial"/>
          <w:color w:val="7B7B7B" w:themeColor="accent3" w:themeShade="BF"/>
          <w:sz w:val="16"/>
          <w:szCs w:val="16"/>
        </w:rPr>
        <w:t>Gerard McCormack, ‘Reforming the European Insolvency Regulation: A Legal and Policy Perspective’ (2014) Journal of Private International Law 33</w:t>
      </w:r>
    </w:p>
  </w:footnote>
  <w:footnote w:id="49">
    <w:p w14:paraId="78AFBAF0" w14:textId="4A522B4E" w:rsidR="006D37B7" w:rsidRPr="000942E7" w:rsidRDefault="006D37B7" w:rsidP="00284D45">
      <w:pPr>
        <w:pStyle w:val="FootnoteText"/>
        <w:jc w:val="both"/>
        <w:rPr>
          <w:rFonts w:ascii="Arial" w:hAnsi="Arial" w:cs="Arial"/>
          <w:sz w:val="16"/>
          <w:szCs w:val="16"/>
          <w:lang w:val="en-GB"/>
        </w:rPr>
      </w:pPr>
      <w:r w:rsidRPr="000942E7">
        <w:rPr>
          <w:rStyle w:val="FootnoteReference"/>
          <w:rFonts w:ascii="Arial" w:hAnsi="Arial" w:cs="Arial"/>
          <w:sz w:val="16"/>
          <w:szCs w:val="16"/>
        </w:rPr>
        <w:footnoteRef/>
      </w:r>
      <w:r w:rsidRPr="000942E7">
        <w:rPr>
          <w:rFonts w:ascii="Arial" w:hAnsi="Arial" w:cs="Arial"/>
          <w:sz w:val="16"/>
          <w:szCs w:val="16"/>
        </w:rPr>
        <w:t xml:space="preserve"> </w:t>
      </w:r>
      <w:r w:rsidRPr="000942E7">
        <w:rPr>
          <w:rFonts w:ascii="Arial" w:hAnsi="Arial" w:cs="Arial"/>
          <w:color w:val="7B7B7B" w:themeColor="accent3" w:themeShade="BF"/>
          <w:sz w:val="16"/>
          <w:szCs w:val="16"/>
        </w:rPr>
        <w:t>[2011] EWHC 1025; [2012] BCC 57</w:t>
      </w:r>
    </w:p>
  </w:footnote>
  <w:footnote w:id="50">
    <w:p w14:paraId="1948578F" w14:textId="77777777" w:rsidR="00C320E5" w:rsidRPr="000942E7" w:rsidRDefault="00C320E5" w:rsidP="00284D45">
      <w:pPr>
        <w:pStyle w:val="FootnoteText"/>
        <w:jc w:val="both"/>
        <w:rPr>
          <w:rFonts w:ascii="Arial" w:hAnsi="Arial" w:cs="Arial"/>
          <w:sz w:val="16"/>
          <w:szCs w:val="16"/>
          <w:lang w:val="en-GB"/>
        </w:rPr>
      </w:pPr>
      <w:r w:rsidRPr="000942E7">
        <w:rPr>
          <w:rStyle w:val="FootnoteReference"/>
          <w:rFonts w:ascii="Arial" w:hAnsi="Arial" w:cs="Arial"/>
          <w:sz w:val="16"/>
          <w:szCs w:val="16"/>
        </w:rPr>
        <w:footnoteRef/>
      </w:r>
      <w:r w:rsidRPr="000942E7">
        <w:rPr>
          <w:rFonts w:ascii="Arial" w:hAnsi="Arial" w:cs="Arial"/>
          <w:sz w:val="16"/>
          <w:szCs w:val="16"/>
        </w:rPr>
        <w:t xml:space="preserve"> </w:t>
      </w:r>
      <w:r w:rsidRPr="000942E7">
        <w:rPr>
          <w:rFonts w:ascii="Arial" w:hAnsi="Arial" w:cs="Arial"/>
          <w:color w:val="7B7B7B" w:themeColor="accent3" w:themeShade="BF"/>
          <w:sz w:val="16"/>
          <w:szCs w:val="16"/>
        </w:rPr>
        <w:t>Article 28(1), EIR Recast</w:t>
      </w:r>
    </w:p>
  </w:footnote>
  <w:footnote w:id="51">
    <w:p w14:paraId="0753BDDA" w14:textId="77777777" w:rsidR="00C320E5" w:rsidRPr="000942E7" w:rsidRDefault="00C320E5" w:rsidP="00284D45">
      <w:pPr>
        <w:pStyle w:val="FootnoteText"/>
        <w:jc w:val="both"/>
        <w:rPr>
          <w:rFonts w:ascii="Arial" w:hAnsi="Arial" w:cs="Arial"/>
          <w:sz w:val="16"/>
          <w:szCs w:val="16"/>
          <w:lang w:val="en-GB"/>
        </w:rPr>
      </w:pPr>
      <w:r w:rsidRPr="000942E7">
        <w:rPr>
          <w:rStyle w:val="FootnoteReference"/>
          <w:rFonts w:ascii="Arial" w:hAnsi="Arial" w:cs="Arial"/>
          <w:sz w:val="16"/>
          <w:szCs w:val="16"/>
        </w:rPr>
        <w:footnoteRef/>
      </w:r>
      <w:r w:rsidRPr="000942E7">
        <w:rPr>
          <w:rFonts w:ascii="Arial" w:hAnsi="Arial" w:cs="Arial"/>
          <w:sz w:val="16"/>
          <w:szCs w:val="16"/>
        </w:rPr>
        <w:t xml:space="preserve"> </w:t>
      </w:r>
      <w:r w:rsidRPr="000942E7">
        <w:rPr>
          <w:rFonts w:ascii="Arial" w:hAnsi="Arial" w:cs="Arial"/>
          <w:color w:val="7B7B7B" w:themeColor="accent3" w:themeShade="BF"/>
          <w:sz w:val="16"/>
          <w:szCs w:val="16"/>
        </w:rPr>
        <w:t>Article 54, EIR Recast</w:t>
      </w:r>
    </w:p>
  </w:footnote>
  <w:footnote w:id="52">
    <w:p w14:paraId="67F7F5FB" w14:textId="584BC30B" w:rsidR="00C320E5" w:rsidRPr="000942E7" w:rsidRDefault="00C320E5" w:rsidP="00284D45">
      <w:pPr>
        <w:pStyle w:val="FootnoteText"/>
        <w:jc w:val="both"/>
        <w:rPr>
          <w:rFonts w:ascii="Arial" w:hAnsi="Arial" w:cs="Arial"/>
          <w:sz w:val="16"/>
          <w:szCs w:val="16"/>
          <w:lang w:val="en-GB"/>
        </w:rPr>
      </w:pPr>
      <w:r w:rsidRPr="000942E7">
        <w:rPr>
          <w:rStyle w:val="FootnoteReference"/>
          <w:rFonts w:ascii="Arial" w:hAnsi="Arial" w:cs="Arial"/>
          <w:sz w:val="16"/>
          <w:szCs w:val="16"/>
        </w:rPr>
        <w:footnoteRef/>
      </w:r>
      <w:r w:rsidRPr="000942E7">
        <w:rPr>
          <w:rFonts w:ascii="Arial" w:hAnsi="Arial" w:cs="Arial"/>
          <w:sz w:val="16"/>
          <w:szCs w:val="16"/>
        </w:rPr>
        <w:t xml:space="preserve"> </w:t>
      </w:r>
      <w:r w:rsidRPr="000942E7">
        <w:rPr>
          <w:rFonts w:ascii="Arial" w:hAnsi="Arial" w:cs="Arial"/>
          <w:color w:val="7B7B7B" w:themeColor="accent3" w:themeShade="BF"/>
          <w:sz w:val="16"/>
          <w:szCs w:val="16"/>
        </w:rPr>
        <w:t>European Commission, “Proposal for a Regulation of the European Parliament and of the Council amending Council Regulation (EC) No 1346/2000 on insolvency proceedings” (</w:t>
      </w:r>
      <w:proofErr w:type="gramStart"/>
      <w:r w:rsidRPr="000942E7">
        <w:rPr>
          <w:rFonts w:ascii="Arial" w:hAnsi="Arial" w:cs="Arial"/>
          <w:color w:val="7B7B7B" w:themeColor="accent3" w:themeShade="BF"/>
          <w:sz w:val="16"/>
          <w:szCs w:val="16"/>
        </w:rPr>
        <w:t>COM(</w:t>
      </w:r>
      <w:proofErr w:type="gramEnd"/>
      <w:r w:rsidRPr="000942E7">
        <w:rPr>
          <w:rFonts w:ascii="Arial" w:hAnsi="Arial" w:cs="Arial"/>
          <w:color w:val="7B7B7B" w:themeColor="accent3" w:themeShade="BF"/>
          <w:sz w:val="16"/>
          <w:szCs w:val="16"/>
        </w:rPr>
        <w:t>2012)744 final), p 3</w:t>
      </w:r>
    </w:p>
  </w:footnote>
  <w:footnote w:id="53">
    <w:p w14:paraId="7D0CA1F6" w14:textId="2047C6EA" w:rsidR="00737A49" w:rsidRPr="001016D0" w:rsidRDefault="00737A49" w:rsidP="00284D45">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Ibid., p 3</w:t>
      </w:r>
    </w:p>
  </w:footnote>
  <w:footnote w:id="54">
    <w:p w14:paraId="5F071D70" w14:textId="72A2BF21" w:rsidR="00D56BC6" w:rsidRPr="001016D0" w:rsidRDefault="00D56BC6" w:rsidP="00284D45">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00E91709" w:rsidRPr="001016D0">
        <w:rPr>
          <w:rFonts w:ascii="Arial" w:hAnsi="Arial" w:cs="Arial"/>
          <w:color w:val="7B7B7B" w:themeColor="accent3" w:themeShade="BF"/>
          <w:sz w:val="16"/>
          <w:szCs w:val="16"/>
        </w:rPr>
        <w:t xml:space="preserve">Irit Mevorach, </w:t>
      </w:r>
      <w:r w:rsidR="00E91709" w:rsidRPr="001016D0">
        <w:rPr>
          <w:rFonts w:ascii="Arial" w:hAnsi="Arial" w:cs="Arial"/>
          <w:i/>
          <w:iCs/>
          <w:color w:val="7B7B7B" w:themeColor="accent3" w:themeShade="BF"/>
          <w:sz w:val="16"/>
          <w:szCs w:val="16"/>
        </w:rPr>
        <w:t>The Future of Cross-Border Insolvency: Overcoming Biases and Closing Gaps</w:t>
      </w:r>
      <w:r w:rsidR="00E91709" w:rsidRPr="001016D0">
        <w:rPr>
          <w:rFonts w:ascii="Arial" w:hAnsi="Arial" w:cs="Arial"/>
          <w:color w:val="7B7B7B" w:themeColor="accent3" w:themeShade="BF"/>
          <w:sz w:val="16"/>
          <w:szCs w:val="16"/>
        </w:rPr>
        <w:t xml:space="preserve"> (Oxford University Press, 2018), p </w:t>
      </w:r>
      <w:proofErr w:type="gramStart"/>
      <w:r w:rsidR="00E91709" w:rsidRPr="001016D0">
        <w:rPr>
          <w:rFonts w:ascii="Arial" w:hAnsi="Arial" w:cs="Arial"/>
          <w:color w:val="7B7B7B" w:themeColor="accent3" w:themeShade="BF"/>
          <w:sz w:val="16"/>
          <w:szCs w:val="16"/>
        </w:rPr>
        <w:t>227</w:t>
      </w:r>
      <w:proofErr w:type="gramEnd"/>
    </w:p>
  </w:footnote>
  <w:footnote w:id="55">
    <w:p w14:paraId="66FF2798" w14:textId="6C8E35F4" w:rsidR="00D56BC6" w:rsidRPr="001016D0" w:rsidRDefault="00D56BC6" w:rsidP="00284D45">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53, EIR Recast</w:t>
      </w:r>
    </w:p>
  </w:footnote>
  <w:footnote w:id="56">
    <w:p w14:paraId="1597F0AC" w14:textId="79D1311C" w:rsidR="00303279" w:rsidRPr="001016D0" w:rsidRDefault="00303279" w:rsidP="000E72C5">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Recital 88, EIR Recast</w:t>
      </w:r>
    </w:p>
  </w:footnote>
  <w:footnote w:id="57">
    <w:p w14:paraId="4BDA89CD" w14:textId="53A8B612" w:rsidR="00BA6206" w:rsidRPr="001016D0" w:rsidRDefault="00BA6206" w:rsidP="00BA6206">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 xml:space="preserve">Roger Lawrence, International Corporate Rescue, Article Preview, “Centre of Main Interests (COMI): A Creditor’s Perspective”, </w:t>
      </w:r>
      <w:hyperlink r:id="rId1" w:history="1">
        <w:r w:rsidRPr="001016D0">
          <w:rPr>
            <w:rStyle w:val="Hyperlink"/>
            <w:rFonts w:ascii="Arial" w:hAnsi="Arial" w:cs="Arial"/>
            <w:sz w:val="16"/>
            <w:szCs w:val="16"/>
          </w:rPr>
          <w:t>https://www.chasecambria.com/site/journal/article.php?id=987</w:t>
        </w:r>
      </w:hyperlink>
      <w:r w:rsidRPr="001016D0">
        <w:rPr>
          <w:rFonts w:ascii="Arial" w:hAnsi="Arial" w:cs="Arial"/>
          <w:color w:val="7B7B7B" w:themeColor="accent3" w:themeShade="BF"/>
          <w:sz w:val="16"/>
          <w:szCs w:val="16"/>
        </w:rPr>
        <w:t xml:space="preserve">, accessed on </w:t>
      </w:r>
      <w:r w:rsidR="00BC781E" w:rsidRPr="001016D0">
        <w:rPr>
          <w:rFonts w:ascii="Arial" w:hAnsi="Arial" w:cs="Arial"/>
          <w:color w:val="7B7B7B" w:themeColor="accent3" w:themeShade="BF"/>
          <w:sz w:val="16"/>
          <w:szCs w:val="16"/>
        </w:rPr>
        <w:t>3</w:t>
      </w:r>
      <w:r w:rsidR="000942E7" w:rsidRPr="001016D0">
        <w:rPr>
          <w:rFonts w:ascii="Arial" w:hAnsi="Arial" w:cs="Arial"/>
          <w:color w:val="7B7B7B" w:themeColor="accent3" w:themeShade="BF"/>
          <w:sz w:val="16"/>
          <w:szCs w:val="16"/>
        </w:rPr>
        <w:t xml:space="preserve"> February</w:t>
      </w:r>
      <w:r w:rsidRPr="001016D0">
        <w:rPr>
          <w:rFonts w:ascii="Arial" w:hAnsi="Arial" w:cs="Arial"/>
          <w:color w:val="7B7B7B" w:themeColor="accent3" w:themeShade="BF"/>
          <w:sz w:val="16"/>
          <w:szCs w:val="16"/>
        </w:rPr>
        <w:t xml:space="preserve"> 2024</w:t>
      </w:r>
    </w:p>
  </w:footnote>
  <w:footnote w:id="58">
    <w:p w14:paraId="6D3B182A" w14:textId="0912D113" w:rsidR="007B24FF" w:rsidRPr="001016D0" w:rsidRDefault="007B24FF" w:rsidP="000E72C5">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808080" w:themeColor="background1" w:themeShade="80"/>
          <w:sz w:val="16"/>
          <w:szCs w:val="16"/>
          <w:lang w:val="en-GB"/>
        </w:rPr>
        <w:t xml:space="preserve">Professor </w:t>
      </w:r>
      <w:r w:rsidRPr="001016D0">
        <w:rPr>
          <w:rFonts w:ascii="Arial" w:hAnsi="Arial" w:cs="Arial"/>
          <w:color w:val="808080" w:themeColor="background1" w:themeShade="80"/>
          <w:sz w:val="16"/>
          <w:szCs w:val="16"/>
        </w:rPr>
        <w:t xml:space="preserve">Bob Wessels and </w:t>
      </w:r>
      <w:proofErr w:type="spellStart"/>
      <w:r w:rsidRPr="001016D0">
        <w:rPr>
          <w:rFonts w:ascii="Arial" w:hAnsi="Arial" w:cs="Arial"/>
          <w:color w:val="808080" w:themeColor="background1" w:themeShade="80"/>
          <w:sz w:val="16"/>
          <w:szCs w:val="16"/>
        </w:rPr>
        <w:t>Mr</w:t>
      </w:r>
      <w:proofErr w:type="spellEnd"/>
      <w:r w:rsidRPr="001016D0">
        <w:rPr>
          <w:rFonts w:ascii="Arial" w:hAnsi="Arial" w:cs="Arial"/>
          <w:color w:val="808080" w:themeColor="background1" w:themeShade="80"/>
          <w:sz w:val="16"/>
          <w:szCs w:val="16"/>
        </w:rPr>
        <w:t xml:space="preserve"> Ilya Kokorin</w:t>
      </w:r>
      <w:r w:rsidRPr="001016D0">
        <w:rPr>
          <w:rFonts w:ascii="Arial" w:hAnsi="Arial" w:cs="Arial"/>
          <w:color w:val="808080" w:themeColor="background1" w:themeShade="80"/>
          <w:sz w:val="16"/>
          <w:szCs w:val="16"/>
          <w:lang w:val="en-GB"/>
        </w:rPr>
        <w:t>,</w:t>
      </w:r>
      <w:r w:rsidRPr="001016D0">
        <w:rPr>
          <w:rFonts w:ascii="Arial" w:hAnsi="Arial" w:cs="Arial"/>
          <w:color w:val="808080" w:themeColor="background1" w:themeShade="80"/>
          <w:sz w:val="16"/>
          <w:szCs w:val="16"/>
        </w:rPr>
        <w:t xml:space="preserve"> text updated for 2020/2021, 2021/2022, 2022/2023 and 2023/2024 by Dr Emilie Ghio,</w:t>
      </w:r>
      <w:r w:rsidRPr="001016D0">
        <w:rPr>
          <w:rFonts w:ascii="Arial" w:hAnsi="Arial" w:cs="Arial"/>
          <w:color w:val="808080" w:themeColor="background1" w:themeShade="80"/>
          <w:sz w:val="16"/>
          <w:szCs w:val="16"/>
          <w:lang w:val="en-GB"/>
        </w:rPr>
        <w:t xml:space="preserve"> “INSOL International, Foundation Certificate in International Insolvency Law, Module </w:t>
      </w:r>
      <w:r w:rsidRPr="001016D0">
        <w:rPr>
          <w:rFonts w:ascii="Arial" w:hAnsi="Arial" w:cs="Arial"/>
          <w:color w:val="808080" w:themeColor="background1" w:themeShade="80"/>
          <w:sz w:val="16"/>
          <w:szCs w:val="16"/>
        </w:rPr>
        <w:t>2B</w:t>
      </w:r>
      <w:r w:rsidRPr="001016D0">
        <w:rPr>
          <w:rFonts w:ascii="Arial" w:hAnsi="Arial" w:cs="Arial"/>
          <w:color w:val="808080" w:themeColor="background1" w:themeShade="80"/>
          <w:sz w:val="16"/>
          <w:szCs w:val="16"/>
          <w:lang w:val="en-GB"/>
        </w:rPr>
        <w:t xml:space="preserve"> Guidance Text, </w:t>
      </w:r>
      <w:r w:rsidRPr="001016D0">
        <w:rPr>
          <w:rFonts w:ascii="Arial" w:hAnsi="Arial" w:cs="Arial"/>
          <w:color w:val="808080" w:themeColor="background1" w:themeShade="80"/>
          <w:sz w:val="16"/>
          <w:szCs w:val="16"/>
        </w:rPr>
        <w:t>The European Insolvency Regulation</w:t>
      </w:r>
      <w:r w:rsidRPr="001016D0">
        <w:rPr>
          <w:rFonts w:ascii="Arial" w:hAnsi="Arial" w:cs="Arial"/>
          <w:color w:val="808080" w:themeColor="background1" w:themeShade="80"/>
          <w:sz w:val="16"/>
          <w:szCs w:val="16"/>
          <w:lang w:val="en-GB"/>
        </w:rPr>
        <w:t xml:space="preserve"> 2023/2024”, p </w:t>
      </w:r>
      <w:proofErr w:type="gramStart"/>
      <w:r w:rsidRPr="001016D0">
        <w:rPr>
          <w:rFonts w:ascii="Arial" w:hAnsi="Arial" w:cs="Arial"/>
          <w:color w:val="808080" w:themeColor="background1" w:themeShade="80"/>
          <w:sz w:val="16"/>
          <w:szCs w:val="16"/>
        </w:rPr>
        <w:t>15</w:t>
      </w:r>
      <w:proofErr w:type="gramEnd"/>
    </w:p>
  </w:footnote>
  <w:footnote w:id="59">
    <w:p w14:paraId="72460050" w14:textId="5B21408B" w:rsidR="00363C37" w:rsidRPr="001016D0" w:rsidRDefault="00363C37" w:rsidP="000E72C5">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3(1), EIR Recast</w:t>
      </w:r>
    </w:p>
  </w:footnote>
  <w:footnote w:id="60">
    <w:p w14:paraId="28B0D2DD" w14:textId="60A441CB" w:rsidR="000E72C5" w:rsidRPr="000942E7" w:rsidRDefault="000E72C5" w:rsidP="000E72C5">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 xml:space="preserve">Michael Scott and Patrick Ries, </w:t>
      </w:r>
      <w:proofErr w:type="spellStart"/>
      <w:r w:rsidRPr="001016D0">
        <w:rPr>
          <w:rFonts w:ascii="Arial" w:hAnsi="Arial" w:cs="Arial"/>
          <w:color w:val="7B7B7B" w:themeColor="accent3" w:themeShade="BF"/>
          <w:sz w:val="16"/>
          <w:szCs w:val="16"/>
        </w:rPr>
        <w:t>Loyens</w:t>
      </w:r>
      <w:proofErr w:type="spellEnd"/>
      <w:r w:rsidRPr="001016D0">
        <w:rPr>
          <w:rFonts w:ascii="Arial" w:hAnsi="Arial" w:cs="Arial"/>
          <w:color w:val="7B7B7B" w:themeColor="accent3" w:themeShade="BF"/>
          <w:sz w:val="16"/>
          <w:szCs w:val="16"/>
        </w:rPr>
        <w:t xml:space="preserve"> &amp; </w:t>
      </w:r>
      <w:proofErr w:type="spellStart"/>
      <w:r w:rsidRPr="001016D0">
        <w:rPr>
          <w:rFonts w:ascii="Arial" w:hAnsi="Arial" w:cs="Arial"/>
          <w:color w:val="7B7B7B" w:themeColor="accent3" w:themeShade="BF"/>
          <w:sz w:val="16"/>
          <w:szCs w:val="16"/>
        </w:rPr>
        <w:t>Loeff</w:t>
      </w:r>
      <w:proofErr w:type="spellEnd"/>
      <w:r w:rsidRPr="001016D0">
        <w:rPr>
          <w:rFonts w:ascii="Arial" w:hAnsi="Arial" w:cs="Arial"/>
          <w:color w:val="7B7B7B" w:themeColor="accent3" w:themeShade="BF"/>
          <w:sz w:val="16"/>
          <w:szCs w:val="16"/>
        </w:rPr>
        <w:t xml:space="preserve">, “COMI – Luxembourg technical analysis &amp; case law critique”, </w:t>
      </w:r>
      <w:hyperlink r:id="rId2" w:history="1">
        <w:r w:rsidRPr="001016D0">
          <w:rPr>
            <w:rStyle w:val="Hyperlink"/>
            <w:rFonts w:ascii="Arial" w:hAnsi="Arial" w:cs="Arial"/>
            <w:sz w:val="16"/>
            <w:szCs w:val="16"/>
          </w:rPr>
          <w:t>https://www.loyensloeff.com/insights/news--events/news/</w:t>
        </w:r>
        <w:proofErr w:type="spellStart"/>
        <w:r w:rsidRPr="001016D0">
          <w:rPr>
            <w:rStyle w:val="Hyperlink"/>
            <w:rFonts w:ascii="Arial" w:hAnsi="Arial" w:cs="Arial"/>
            <w:sz w:val="16"/>
            <w:szCs w:val="16"/>
          </w:rPr>
          <w:t>comi</w:t>
        </w:r>
        <w:proofErr w:type="spellEnd"/>
        <w:r w:rsidRPr="001016D0">
          <w:rPr>
            <w:rStyle w:val="Hyperlink"/>
            <w:rFonts w:ascii="Arial" w:hAnsi="Arial" w:cs="Arial"/>
            <w:sz w:val="16"/>
            <w:szCs w:val="16"/>
          </w:rPr>
          <w:t>--</w:t>
        </w:r>
        <w:proofErr w:type="spellStart"/>
        <w:r w:rsidRPr="001016D0">
          <w:rPr>
            <w:rStyle w:val="Hyperlink"/>
            <w:rFonts w:ascii="Arial" w:hAnsi="Arial" w:cs="Arial"/>
            <w:sz w:val="16"/>
            <w:szCs w:val="16"/>
          </w:rPr>
          <w:t>luxembourg</w:t>
        </w:r>
        <w:proofErr w:type="spellEnd"/>
        <w:r w:rsidRPr="001016D0">
          <w:rPr>
            <w:rStyle w:val="Hyperlink"/>
            <w:rFonts w:ascii="Arial" w:hAnsi="Arial" w:cs="Arial"/>
            <w:sz w:val="16"/>
            <w:szCs w:val="16"/>
          </w:rPr>
          <w:t>-technical-analysis--case-law-critique-/</w:t>
        </w:r>
      </w:hyperlink>
      <w:r w:rsidRPr="001016D0">
        <w:rPr>
          <w:rFonts w:ascii="Arial" w:hAnsi="Arial" w:cs="Arial"/>
          <w:color w:val="7B7B7B" w:themeColor="accent3" w:themeShade="BF"/>
          <w:sz w:val="16"/>
          <w:szCs w:val="16"/>
        </w:rPr>
        <w:t>,</w:t>
      </w:r>
      <w:r w:rsidR="007F6D25" w:rsidRPr="001016D0">
        <w:rPr>
          <w:rFonts w:ascii="Arial" w:hAnsi="Arial" w:cs="Arial"/>
          <w:color w:val="7B7B7B" w:themeColor="accent3" w:themeShade="BF"/>
          <w:sz w:val="16"/>
          <w:szCs w:val="16"/>
        </w:rPr>
        <w:t xml:space="preserve"> published</w:t>
      </w:r>
      <w:r w:rsidR="00C53C31" w:rsidRPr="001016D0">
        <w:rPr>
          <w:rFonts w:ascii="Arial" w:hAnsi="Arial" w:cs="Arial"/>
          <w:color w:val="7B7B7B" w:themeColor="accent3" w:themeShade="BF"/>
          <w:sz w:val="16"/>
          <w:szCs w:val="16"/>
        </w:rPr>
        <w:t xml:space="preserve"> on</w:t>
      </w:r>
      <w:r w:rsidR="007F6D25" w:rsidRPr="001016D0">
        <w:rPr>
          <w:rFonts w:ascii="Arial" w:hAnsi="Arial" w:cs="Arial"/>
          <w:color w:val="7B7B7B" w:themeColor="accent3" w:themeShade="BF"/>
          <w:sz w:val="16"/>
          <w:szCs w:val="16"/>
        </w:rPr>
        <w:t xml:space="preserve"> 31 May 2021,</w:t>
      </w:r>
      <w:r w:rsidRPr="001016D0">
        <w:rPr>
          <w:rFonts w:ascii="Arial" w:hAnsi="Arial" w:cs="Arial"/>
          <w:color w:val="7B7B7B" w:themeColor="accent3" w:themeShade="BF"/>
          <w:sz w:val="16"/>
          <w:szCs w:val="16"/>
        </w:rPr>
        <w:t xml:space="preserve"> accessed on </w:t>
      </w:r>
      <w:r w:rsidR="00BC781E" w:rsidRPr="001016D0">
        <w:rPr>
          <w:rFonts w:ascii="Arial" w:hAnsi="Arial" w:cs="Arial"/>
          <w:color w:val="7B7B7B" w:themeColor="accent3" w:themeShade="BF"/>
          <w:sz w:val="16"/>
          <w:szCs w:val="16"/>
        </w:rPr>
        <w:t>3</w:t>
      </w:r>
      <w:r w:rsidR="000942E7" w:rsidRPr="001016D0">
        <w:rPr>
          <w:rFonts w:ascii="Arial" w:hAnsi="Arial" w:cs="Arial"/>
          <w:color w:val="7B7B7B" w:themeColor="accent3" w:themeShade="BF"/>
          <w:sz w:val="16"/>
          <w:szCs w:val="16"/>
        </w:rPr>
        <w:t xml:space="preserve"> February</w:t>
      </w:r>
      <w:r w:rsidRPr="001016D0">
        <w:rPr>
          <w:rFonts w:ascii="Arial" w:hAnsi="Arial" w:cs="Arial"/>
          <w:color w:val="7B7B7B" w:themeColor="accent3" w:themeShade="BF"/>
          <w:sz w:val="16"/>
          <w:szCs w:val="16"/>
        </w:rPr>
        <w:t xml:space="preserve"> 2024</w:t>
      </w:r>
    </w:p>
  </w:footnote>
  <w:footnote w:id="61">
    <w:p w14:paraId="7E91DC76" w14:textId="7646EE9A" w:rsidR="00284D45" w:rsidRPr="001016D0" w:rsidRDefault="00284D45"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808080" w:themeColor="background1" w:themeShade="80"/>
          <w:sz w:val="16"/>
          <w:szCs w:val="16"/>
          <w:lang w:val="en-GB"/>
        </w:rPr>
        <w:t xml:space="preserve">Professor </w:t>
      </w:r>
      <w:r w:rsidRPr="001016D0">
        <w:rPr>
          <w:rFonts w:ascii="Arial" w:hAnsi="Arial" w:cs="Arial"/>
          <w:color w:val="808080" w:themeColor="background1" w:themeShade="80"/>
          <w:sz w:val="16"/>
          <w:szCs w:val="16"/>
        </w:rPr>
        <w:t xml:space="preserve">Bob Wessels and </w:t>
      </w:r>
      <w:proofErr w:type="spellStart"/>
      <w:r w:rsidRPr="001016D0">
        <w:rPr>
          <w:rFonts w:ascii="Arial" w:hAnsi="Arial" w:cs="Arial"/>
          <w:color w:val="808080" w:themeColor="background1" w:themeShade="80"/>
          <w:sz w:val="16"/>
          <w:szCs w:val="16"/>
        </w:rPr>
        <w:t>Mr</w:t>
      </w:r>
      <w:proofErr w:type="spellEnd"/>
      <w:r w:rsidRPr="001016D0">
        <w:rPr>
          <w:rFonts w:ascii="Arial" w:hAnsi="Arial" w:cs="Arial"/>
          <w:color w:val="808080" w:themeColor="background1" w:themeShade="80"/>
          <w:sz w:val="16"/>
          <w:szCs w:val="16"/>
        </w:rPr>
        <w:t xml:space="preserve"> Ilya Kokorin</w:t>
      </w:r>
      <w:r w:rsidRPr="001016D0">
        <w:rPr>
          <w:rFonts w:ascii="Arial" w:hAnsi="Arial" w:cs="Arial"/>
          <w:color w:val="808080" w:themeColor="background1" w:themeShade="80"/>
          <w:sz w:val="16"/>
          <w:szCs w:val="16"/>
          <w:lang w:val="en-GB"/>
        </w:rPr>
        <w:t>,</w:t>
      </w:r>
      <w:r w:rsidRPr="001016D0">
        <w:rPr>
          <w:rFonts w:ascii="Arial" w:hAnsi="Arial" w:cs="Arial"/>
          <w:color w:val="808080" w:themeColor="background1" w:themeShade="80"/>
          <w:sz w:val="16"/>
          <w:szCs w:val="16"/>
        </w:rPr>
        <w:t xml:space="preserve"> text updated for 2020/2021, 2021/2022, 2022/2023 and 2023/2024 by Dr Emilie Ghio,</w:t>
      </w:r>
      <w:r w:rsidRPr="001016D0">
        <w:rPr>
          <w:rFonts w:ascii="Arial" w:hAnsi="Arial" w:cs="Arial"/>
          <w:color w:val="808080" w:themeColor="background1" w:themeShade="80"/>
          <w:sz w:val="16"/>
          <w:szCs w:val="16"/>
          <w:lang w:val="en-GB"/>
        </w:rPr>
        <w:t xml:space="preserve"> “INSOL International, Foundation Certificate in International Insolvency Law, Module </w:t>
      </w:r>
      <w:r w:rsidRPr="001016D0">
        <w:rPr>
          <w:rFonts w:ascii="Arial" w:hAnsi="Arial" w:cs="Arial"/>
          <w:color w:val="808080" w:themeColor="background1" w:themeShade="80"/>
          <w:sz w:val="16"/>
          <w:szCs w:val="16"/>
        </w:rPr>
        <w:t>2B</w:t>
      </w:r>
      <w:r w:rsidRPr="001016D0">
        <w:rPr>
          <w:rFonts w:ascii="Arial" w:hAnsi="Arial" w:cs="Arial"/>
          <w:color w:val="808080" w:themeColor="background1" w:themeShade="80"/>
          <w:sz w:val="16"/>
          <w:szCs w:val="16"/>
          <w:lang w:val="en-GB"/>
        </w:rPr>
        <w:t xml:space="preserve"> Guidance Text, </w:t>
      </w:r>
      <w:r w:rsidRPr="001016D0">
        <w:rPr>
          <w:rFonts w:ascii="Arial" w:hAnsi="Arial" w:cs="Arial"/>
          <w:color w:val="808080" w:themeColor="background1" w:themeShade="80"/>
          <w:sz w:val="16"/>
          <w:szCs w:val="16"/>
        </w:rPr>
        <w:t>The European Insolvency Regulation</w:t>
      </w:r>
      <w:r w:rsidRPr="001016D0">
        <w:rPr>
          <w:rFonts w:ascii="Arial" w:hAnsi="Arial" w:cs="Arial"/>
          <w:color w:val="808080" w:themeColor="background1" w:themeShade="80"/>
          <w:sz w:val="16"/>
          <w:szCs w:val="16"/>
          <w:lang w:val="en-GB"/>
        </w:rPr>
        <w:t xml:space="preserve"> 2023/2024”, p </w:t>
      </w:r>
      <w:proofErr w:type="gramStart"/>
      <w:r w:rsidRPr="001016D0">
        <w:rPr>
          <w:rFonts w:ascii="Arial" w:hAnsi="Arial" w:cs="Arial"/>
          <w:color w:val="808080" w:themeColor="background1" w:themeShade="80"/>
          <w:sz w:val="16"/>
          <w:szCs w:val="16"/>
        </w:rPr>
        <w:t>16</w:t>
      </w:r>
      <w:proofErr w:type="gramEnd"/>
    </w:p>
  </w:footnote>
  <w:footnote w:id="62">
    <w:p w14:paraId="4C89A6E6" w14:textId="2B62F0BC" w:rsidR="005E2C02" w:rsidRPr="001016D0" w:rsidRDefault="005E2C02" w:rsidP="00135C99">
      <w:pPr>
        <w:pStyle w:val="FootnoteText"/>
        <w:jc w:val="both"/>
        <w:rPr>
          <w:rFonts w:ascii="Arial" w:hAnsi="Arial" w:cs="Arial"/>
          <w:sz w:val="16"/>
          <w:szCs w:val="16"/>
          <w:highlight w:val="green"/>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005B335E" w:rsidRPr="001016D0">
        <w:rPr>
          <w:rFonts w:ascii="Arial" w:hAnsi="Arial" w:cs="Arial"/>
          <w:color w:val="7B7B7B" w:themeColor="accent3" w:themeShade="BF"/>
          <w:sz w:val="16"/>
          <w:szCs w:val="16"/>
        </w:rPr>
        <w:t>Case C-341/04, ECLI:EU:C:2006:281 (2 May 2006)</w:t>
      </w:r>
    </w:p>
  </w:footnote>
  <w:footnote w:id="63">
    <w:p w14:paraId="090E1D64" w14:textId="5801CB61" w:rsidR="00CF6890" w:rsidRPr="001016D0" w:rsidRDefault="00CF6890"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Case C-341/04, paragraph 31</w:t>
      </w:r>
    </w:p>
  </w:footnote>
  <w:footnote w:id="64">
    <w:p w14:paraId="2EB5D912" w14:textId="59A130B4" w:rsidR="00A53C3F" w:rsidRPr="001016D0" w:rsidRDefault="00A53C3F"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Case C-341/04, paragraph 33</w:t>
      </w:r>
    </w:p>
  </w:footnote>
  <w:footnote w:id="65">
    <w:p w14:paraId="76B5D86F" w14:textId="1587B975" w:rsidR="000A4DD2" w:rsidRPr="001016D0" w:rsidRDefault="000A4DD2"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European Commission, “Proposal for a Regulation of the European Parliament and of the Council amending Council Regulation (EC) No 1346/2000 on insolvency proceedings” (</w:t>
      </w:r>
      <w:proofErr w:type="gramStart"/>
      <w:r w:rsidRPr="001016D0">
        <w:rPr>
          <w:rFonts w:ascii="Arial" w:hAnsi="Arial" w:cs="Arial"/>
          <w:color w:val="7B7B7B" w:themeColor="accent3" w:themeShade="BF"/>
          <w:sz w:val="16"/>
          <w:szCs w:val="16"/>
        </w:rPr>
        <w:t>COM(</w:t>
      </w:r>
      <w:proofErr w:type="gramEnd"/>
      <w:r w:rsidRPr="001016D0">
        <w:rPr>
          <w:rFonts w:ascii="Arial" w:hAnsi="Arial" w:cs="Arial"/>
          <w:color w:val="7B7B7B" w:themeColor="accent3" w:themeShade="BF"/>
          <w:sz w:val="16"/>
          <w:szCs w:val="16"/>
        </w:rPr>
        <w:t>2012)744 final), p 6</w:t>
      </w:r>
    </w:p>
  </w:footnote>
  <w:footnote w:id="66">
    <w:p w14:paraId="059A78A4" w14:textId="00EA810C" w:rsidR="005A37AD" w:rsidRPr="001016D0" w:rsidRDefault="005A37AD"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Virgos-Schmit Report, paragraph 75</w:t>
      </w:r>
    </w:p>
  </w:footnote>
  <w:footnote w:id="67">
    <w:p w14:paraId="16FCD827" w14:textId="0F7ADA1E" w:rsidR="002D586B" w:rsidRPr="001016D0" w:rsidRDefault="002D586B"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808080" w:themeColor="background1" w:themeShade="80"/>
          <w:sz w:val="16"/>
          <w:szCs w:val="16"/>
          <w:lang w:val="en-GB"/>
        </w:rPr>
        <w:t xml:space="preserve">Professor </w:t>
      </w:r>
      <w:r w:rsidRPr="001016D0">
        <w:rPr>
          <w:rFonts w:ascii="Arial" w:hAnsi="Arial" w:cs="Arial"/>
          <w:color w:val="808080" w:themeColor="background1" w:themeShade="80"/>
          <w:sz w:val="16"/>
          <w:szCs w:val="16"/>
        </w:rPr>
        <w:t xml:space="preserve">Bob Wessels and </w:t>
      </w:r>
      <w:proofErr w:type="spellStart"/>
      <w:r w:rsidRPr="001016D0">
        <w:rPr>
          <w:rFonts w:ascii="Arial" w:hAnsi="Arial" w:cs="Arial"/>
          <w:color w:val="808080" w:themeColor="background1" w:themeShade="80"/>
          <w:sz w:val="16"/>
          <w:szCs w:val="16"/>
        </w:rPr>
        <w:t>Mr</w:t>
      </w:r>
      <w:proofErr w:type="spellEnd"/>
      <w:r w:rsidRPr="001016D0">
        <w:rPr>
          <w:rFonts w:ascii="Arial" w:hAnsi="Arial" w:cs="Arial"/>
          <w:color w:val="808080" w:themeColor="background1" w:themeShade="80"/>
          <w:sz w:val="16"/>
          <w:szCs w:val="16"/>
        </w:rPr>
        <w:t xml:space="preserve"> Ilya Kokorin</w:t>
      </w:r>
      <w:r w:rsidRPr="001016D0">
        <w:rPr>
          <w:rFonts w:ascii="Arial" w:hAnsi="Arial" w:cs="Arial"/>
          <w:color w:val="808080" w:themeColor="background1" w:themeShade="80"/>
          <w:sz w:val="16"/>
          <w:szCs w:val="16"/>
          <w:lang w:val="en-GB"/>
        </w:rPr>
        <w:t>,</w:t>
      </w:r>
      <w:r w:rsidRPr="001016D0">
        <w:rPr>
          <w:rFonts w:ascii="Arial" w:hAnsi="Arial" w:cs="Arial"/>
          <w:color w:val="808080" w:themeColor="background1" w:themeShade="80"/>
          <w:sz w:val="16"/>
          <w:szCs w:val="16"/>
        </w:rPr>
        <w:t xml:space="preserve"> text updated for 2020/2021, 2021/2022, 2022/2023 and 2023/2024 by Dr Emilie Ghio,</w:t>
      </w:r>
      <w:r w:rsidRPr="001016D0">
        <w:rPr>
          <w:rFonts w:ascii="Arial" w:hAnsi="Arial" w:cs="Arial"/>
          <w:color w:val="808080" w:themeColor="background1" w:themeShade="80"/>
          <w:sz w:val="16"/>
          <w:szCs w:val="16"/>
          <w:lang w:val="en-GB"/>
        </w:rPr>
        <w:t xml:space="preserve"> “INSOL International, Foundation Certificate in International Insolvency Law, Module </w:t>
      </w:r>
      <w:r w:rsidRPr="001016D0">
        <w:rPr>
          <w:rFonts w:ascii="Arial" w:hAnsi="Arial" w:cs="Arial"/>
          <w:color w:val="808080" w:themeColor="background1" w:themeShade="80"/>
          <w:sz w:val="16"/>
          <w:szCs w:val="16"/>
        </w:rPr>
        <w:t>2B</w:t>
      </w:r>
      <w:r w:rsidRPr="001016D0">
        <w:rPr>
          <w:rFonts w:ascii="Arial" w:hAnsi="Arial" w:cs="Arial"/>
          <w:color w:val="808080" w:themeColor="background1" w:themeShade="80"/>
          <w:sz w:val="16"/>
          <w:szCs w:val="16"/>
          <w:lang w:val="en-GB"/>
        </w:rPr>
        <w:t xml:space="preserve"> Guidance Text, </w:t>
      </w:r>
      <w:r w:rsidRPr="001016D0">
        <w:rPr>
          <w:rFonts w:ascii="Arial" w:hAnsi="Arial" w:cs="Arial"/>
          <w:color w:val="808080" w:themeColor="background1" w:themeShade="80"/>
          <w:sz w:val="16"/>
          <w:szCs w:val="16"/>
        </w:rPr>
        <w:t>The European Insolvency Regulation</w:t>
      </w:r>
      <w:r w:rsidRPr="001016D0">
        <w:rPr>
          <w:rFonts w:ascii="Arial" w:hAnsi="Arial" w:cs="Arial"/>
          <w:color w:val="808080" w:themeColor="background1" w:themeShade="80"/>
          <w:sz w:val="16"/>
          <w:szCs w:val="16"/>
          <w:lang w:val="en-GB"/>
        </w:rPr>
        <w:t xml:space="preserve"> 2023/2024”, p </w:t>
      </w:r>
      <w:proofErr w:type="gramStart"/>
      <w:r w:rsidRPr="001016D0">
        <w:rPr>
          <w:rFonts w:ascii="Arial" w:hAnsi="Arial" w:cs="Arial"/>
          <w:color w:val="808080" w:themeColor="background1" w:themeShade="80"/>
          <w:sz w:val="16"/>
          <w:szCs w:val="16"/>
        </w:rPr>
        <w:t>19</w:t>
      </w:r>
      <w:proofErr w:type="gramEnd"/>
    </w:p>
  </w:footnote>
  <w:footnote w:id="68">
    <w:p w14:paraId="36F51A3D" w14:textId="2C83442E" w:rsidR="00297BC9" w:rsidRPr="001016D0" w:rsidRDefault="00297BC9" w:rsidP="00135C99">
      <w:pPr>
        <w:pStyle w:val="FootnoteText"/>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 xml:space="preserve">Silvia Marino, Lisa </w:t>
      </w:r>
      <w:proofErr w:type="spellStart"/>
      <w:r w:rsidRPr="001016D0">
        <w:rPr>
          <w:rFonts w:ascii="Arial" w:hAnsi="Arial" w:cs="Arial"/>
          <w:color w:val="7B7B7B" w:themeColor="accent3" w:themeShade="BF"/>
          <w:sz w:val="16"/>
          <w:szCs w:val="16"/>
        </w:rPr>
        <w:t>Stivanello</w:t>
      </w:r>
      <w:proofErr w:type="spellEnd"/>
      <w:r w:rsidRPr="001016D0">
        <w:rPr>
          <w:rFonts w:ascii="Arial" w:hAnsi="Arial" w:cs="Arial"/>
          <w:color w:val="7B7B7B" w:themeColor="accent3" w:themeShade="BF"/>
          <w:sz w:val="16"/>
          <w:szCs w:val="16"/>
        </w:rPr>
        <w:t xml:space="preserve"> and Omar Vanin, </w:t>
      </w:r>
      <w:proofErr w:type="spellStart"/>
      <w:r w:rsidRPr="001016D0">
        <w:rPr>
          <w:rFonts w:ascii="Arial" w:hAnsi="Arial" w:cs="Arial"/>
          <w:color w:val="7B7B7B" w:themeColor="accent3" w:themeShade="BF"/>
          <w:sz w:val="16"/>
          <w:szCs w:val="16"/>
        </w:rPr>
        <w:t>Aldricus</w:t>
      </w:r>
      <w:proofErr w:type="spellEnd"/>
      <w:r w:rsidRPr="001016D0">
        <w:rPr>
          <w:rFonts w:ascii="Arial" w:hAnsi="Arial" w:cs="Arial"/>
          <w:color w:val="7B7B7B" w:themeColor="accent3" w:themeShade="BF"/>
          <w:sz w:val="16"/>
          <w:szCs w:val="16"/>
        </w:rPr>
        <w:t xml:space="preserve"> The </w:t>
      </w:r>
      <w:proofErr w:type="spellStart"/>
      <w:r w:rsidRPr="001016D0">
        <w:rPr>
          <w:rFonts w:ascii="Arial" w:hAnsi="Arial" w:cs="Arial"/>
          <w:color w:val="7B7B7B" w:themeColor="accent3" w:themeShade="BF"/>
          <w:sz w:val="16"/>
          <w:szCs w:val="16"/>
        </w:rPr>
        <w:t>EJNita</w:t>
      </w:r>
      <w:proofErr w:type="spellEnd"/>
      <w:r w:rsidRPr="001016D0">
        <w:rPr>
          <w:rFonts w:ascii="Arial" w:hAnsi="Arial" w:cs="Arial"/>
          <w:color w:val="7B7B7B" w:themeColor="accent3" w:themeShade="BF"/>
          <w:sz w:val="16"/>
          <w:szCs w:val="16"/>
        </w:rPr>
        <w:t xml:space="preserve"> Project Portal, “The Center of the Debtor’s Main Interests (COMI) in the European framework for cross-border insolvency” (translated from Italian to English by the </w:t>
      </w:r>
      <w:proofErr w:type="spellStart"/>
      <w:r w:rsidRPr="001016D0">
        <w:rPr>
          <w:rFonts w:ascii="Arial" w:hAnsi="Arial" w:cs="Arial"/>
          <w:color w:val="7B7B7B" w:themeColor="accent3" w:themeShade="BF"/>
          <w:sz w:val="16"/>
          <w:szCs w:val="16"/>
        </w:rPr>
        <w:t>Aldricus</w:t>
      </w:r>
      <w:proofErr w:type="spellEnd"/>
      <w:r w:rsidRPr="001016D0">
        <w:rPr>
          <w:rFonts w:ascii="Arial" w:hAnsi="Arial" w:cs="Arial"/>
          <w:color w:val="7B7B7B" w:themeColor="accent3" w:themeShade="BF"/>
          <w:sz w:val="16"/>
          <w:szCs w:val="16"/>
        </w:rPr>
        <w:t xml:space="preserve"> Editorial Board), </w:t>
      </w:r>
      <w:hyperlink r:id="rId3" w:history="1">
        <w:r w:rsidRPr="001016D0">
          <w:rPr>
            <w:rStyle w:val="Hyperlink"/>
            <w:rFonts w:ascii="Arial" w:hAnsi="Arial" w:cs="Arial"/>
            <w:sz w:val="16"/>
            <w:szCs w:val="16"/>
          </w:rPr>
          <w:t>https://aldricus.giustizia.it/the-center-of-the-debtors-main-interests-comi-in-the-european-framework-for-cross-border-insolvency/?lang=en</w:t>
        </w:r>
      </w:hyperlink>
      <w:r w:rsidRPr="001016D0">
        <w:rPr>
          <w:rFonts w:ascii="Arial" w:hAnsi="Arial" w:cs="Arial"/>
          <w:color w:val="7B7B7B" w:themeColor="accent3" w:themeShade="BF"/>
          <w:sz w:val="16"/>
          <w:szCs w:val="16"/>
        </w:rPr>
        <w:t xml:space="preserve">, accessed on </w:t>
      </w:r>
      <w:r w:rsidR="00D72626" w:rsidRPr="001016D0">
        <w:rPr>
          <w:rFonts w:ascii="Arial" w:hAnsi="Arial" w:cs="Arial"/>
          <w:color w:val="7B7B7B" w:themeColor="accent3" w:themeShade="BF"/>
          <w:sz w:val="16"/>
          <w:szCs w:val="16"/>
        </w:rPr>
        <w:t>3</w:t>
      </w:r>
      <w:r w:rsidR="000942E7" w:rsidRPr="001016D0">
        <w:rPr>
          <w:rFonts w:ascii="Arial" w:hAnsi="Arial" w:cs="Arial"/>
          <w:color w:val="7B7B7B" w:themeColor="accent3" w:themeShade="BF"/>
          <w:sz w:val="16"/>
          <w:szCs w:val="16"/>
        </w:rPr>
        <w:t xml:space="preserve"> February</w:t>
      </w:r>
      <w:r w:rsidRPr="001016D0">
        <w:rPr>
          <w:rFonts w:ascii="Arial" w:hAnsi="Arial" w:cs="Arial"/>
          <w:color w:val="7B7B7B" w:themeColor="accent3" w:themeShade="BF"/>
          <w:sz w:val="16"/>
          <w:szCs w:val="16"/>
        </w:rPr>
        <w:t xml:space="preserve"> 2024</w:t>
      </w:r>
    </w:p>
  </w:footnote>
  <w:footnote w:id="69">
    <w:p w14:paraId="63FD0C76" w14:textId="6DBFA79A" w:rsidR="001B3918" w:rsidRPr="003B4D0A" w:rsidRDefault="001B3918"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3(1), EIR Recast</w:t>
      </w:r>
    </w:p>
  </w:footnote>
  <w:footnote w:id="70">
    <w:p w14:paraId="2E6DAD28" w14:textId="77777777" w:rsidR="00651E21" w:rsidRPr="003B4D0A" w:rsidRDefault="00651E21" w:rsidP="005C19AF">
      <w:pPr>
        <w:pStyle w:val="FootnoteText"/>
        <w:jc w:val="both"/>
        <w:rPr>
          <w:rFonts w:ascii="Arial" w:hAnsi="Arial" w:cs="Arial"/>
          <w:sz w:val="16"/>
          <w:szCs w:val="16"/>
          <w:lang w:val="en-GB"/>
        </w:rPr>
      </w:pPr>
      <w:r w:rsidRPr="003B4D0A">
        <w:rPr>
          <w:rStyle w:val="FootnoteReference"/>
          <w:rFonts w:ascii="Arial" w:hAnsi="Arial" w:cs="Arial"/>
          <w:sz w:val="16"/>
          <w:szCs w:val="16"/>
        </w:rPr>
        <w:footnoteRef/>
      </w:r>
      <w:r w:rsidRPr="003B4D0A">
        <w:rPr>
          <w:rFonts w:ascii="Arial" w:hAnsi="Arial" w:cs="Arial"/>
          <w:sz w:val="16"/>
          <w:szCs w:val="16"/>
        </w:rPr>
        <w:t xml:space="preserve"> </w:t>
      </w:r>
      <w:r w:rsidRPr="003B4D0A">
        <w:rPr>
          <w:rFonts w:ascii="Arial" w:hAnsi="Arial" w:cs="Arial"/>
          <w:color w:val="808080" w:themeColor="background1" w:themeShade="80"/>
          <w:sz w:val="16"/>
          <w:szCs w:val="16"/>
          <w:lang w:val="en-GB"/>
        </w:rPr>
        <w:t xml:space="preserve">Professor </w:t>
      </w:r>
      <w:r w:rsidRPr="003B4D0A">
        <w:rPr>
          <w:rFonts w:ascii="Arial" w:hAnsi="Arial" w:cs="Arial"/>
          <w:color w:val="808080" w:themeColor="background1" w:themeShade="80"/>
          <w:sz w:val="16"/>
          <w:szCs w:val="16"/>
        </w:rPr>
        <w:t xml:space="preserve">Bob Wessels and </w:t>
      </w:r>
      <w:proofErr w:type="spellStart"/>
      <w:r w:rsidRPr="003B4D0A">
        <w:rPr>
          <w:rFonts w:ascii="Arial" w:hAnsi="Arial" w:cs="Arial"/>
          <w:color w:val="808080" w:themeColor="background1" w:themeShade="80"/>
          <w:sz w:val="16"/>
          <w:szCs w:val="16"/>
        </w:rPr>
        <w:t>Mr</w:t>
      </w:r>
      <w:proofErr w:type="spellEnd"/>
      <w:r w:rsidRPr="003B4D0A">
        <w:rPr>
          <w:rFonts w:ascii="Arial" w:hAnsi="Arial" w:cs="Arial"/>
          <w:color w:val="808080" w:themeColor="background1" w:themeShade="80"/>
          <w:sz w:val="16"/>
          <w:szCs w:val="16"/>
        </w:rPr>
        <w:t xml:space="preserve"> Ilya Kokorin</w:t>
      </w:r>
      <w:r w:rsidRPr="003B4D0A">
        <w:rPr>
          <w:rFonts w:ascii="Arial" w:hAnsi="Arial" w:cs="Arial"/>
          <w:color w:val="808080" w:themeColor="background1" w:themeShade="80"/>
          <w:sz w:val="16"/>
          <w:szCs w:val="16"/>
          <w:lang w:val="en-GB"/>
        </w:rPr>
        <w:t>,</w:t>
      </w:r>
      <w:r w:rsidRPr="003B4D0A">
        <w:rPr>
          <w:rFonts w:ascii="Arial" w:hAnsi="Arial" w:cs="Arial"/>
          <w:color w:val="808080" w:themeColor="background1" w:themeShade="80"/>
          <w:sz w:val="16"/>
          <w:szCs w:val="16"/>
        </w:rPr>
        <w:t xml:space="preserve"> text updated for 2020/2021, 2021/2022, 2022/2023 and 2023/2024 by Dr Emilie Ghio,</w:t>
      </w:r>
      <w:r w:rsidRPr="003B4D0A">
        <w:rPr>
          <w:rFonts w:ascii="Arial" w:hAnsi="Arial" w:cs="Arial"/>
          <w:color w:val="808080" w:themeColor="background1" w:themeShade="80"/>
          <w:sz w:val="16"/>
          <w:szCs w:val="16"/>
          <w:lang w:val="en-GB"/>
        </w:rPr>
        <w:t xml:space="preserve"> “INSOL International, Foundation Certificate in International Insolvency Law, Module </w:t>
      </w:r>
      <w:r w:rsidRPr="003B4D0A">
        <w:rPr>
          <w:rFonts w:ascii="Arial" w:hAnsi="Arial" w:cs="Arial"/>
          <w:color w:val="808080" w:themeColor="background1" w:themeShade="80"/>
          <w:sz w:val="16"/>
          <w:szCs w:val="16"/>
        </w:rPr>
        <w:t>2B</w:t>
      </w:r>
      <w:r w:rsidRPr="003B4D0A">
        <w:rPr>
          <w:rFonts w:ascii="Arial" w:hAnsi="Arial" w:cs="Arial"/>
          <w:color w:val="808080" w:themeColor="background1" w:themeShade="80"/>
          <w:sz w:val="16"/>
          <w:szCs w:val="16"/>
          <w:lang w:val="en-GB"/>
        </w:rPr>
        <w:t xml:space="preserve"> Guidance Text, </w:t>
      </w:r>
      <w:r w:rsidRPr="003B4D0A">
        <w:rPr>
          <w:rFonts w:ascii="Arial" w:hAnsi="Arial" w:cs="Arial"/>
          <w:color w:val="808080" w:themeColor="background1" w:themeShade="80"/>
          <w:sz w:val="16"/>
          <w:szCs w:val="16"/>
        </w:rPr>
        <w:t>The European Insolvency Regulation</w:t>
      </w:r>
      <w:r w:rsidRPr="003B4D0A">
        <w:rPr>
          <w:rFonts w:ascii="Arial" w:hAnsi="Arial" w:cs="Arial"/>
          <w:color w:val="808080" w:themeColor="background1" w:themeShade="80"/>
          <w:sz w:val="16"/>
          <w:szCs w:val="16"/>
          <w:lang w:val="en-GB"/>
        </w:rPr>
        <w:t xml:space="preserve"> 2023/2024”, p </w:t>
      </w:r>
      <w:proofErr w:type="gramStart"/>
      <w:r w:rsidRPr="003B4D0A">
        <w:rPr>
          <w:rFonts w:ascii="Arial" w:hAnsi="Arial" w:cs="Arial"/>
          <w:color w:val="808080" w:themeColor="background1" w:themeShade="80"/>
          <w:sz w:val="16"/>
          <w:szCs w:val="16"/>
        </w:rPr>
        <w:t>16</w:t>
      </w:r>
      <w:proofErr w:type="gramEnd"/>
    </w:p>
  </w:footnote>
  <w:footnote w:id="71">
    <w:p w14:paraId="48D740BC" w14:textId="0EDA1935" w:rsidR="00ED22C0" w:rsidRPr="003B4D0A" w:rsidRDefault="00ED22C0" w:rsidP="005C19AF">
      <w:pPr>
        <w:pStyle w:val="FootnoteText"/>
        <w:jc w:val="both"/>
        <w:rPr>
          <w:rFonts w:ascii="Arial" w:hAnsi="Arial" w:cs="Arial"/>
          <w:sz w:val="16"/>
          <w:szCs w:val="16"/>
          <w:lang w:val="en-GB"/>
        </w:rPr>
      </w:pPr>
      <w:r w:rsidRPr="003B4D0A">
        <w:rPr>
          <w:rStyle w:val="FootnoteReference"/>
          <w:rFonts w:ascii="Arial" w:hAnsi="Arial" w:cs="Arial"/>
          <w:sz w:val="16"/>
          <w:szCs w:val="16"/>
        </w:rPr>
        <w:footnoteRef/>
      </w:r>
      <w:r w:rsidRPr="003B4D0A">
        <w:rPr>
          <w:rFonts w:ascii="Arial" w:hAnsi="Arial" w:cs="Arial"/>
          <w:sz w:val="16"/>
          <w:szCs w:val="16"/>
        </w:rPr>
        <w:t xml:space="preserve"> </w:t>
      </w:r>
      <w:r w:rsidRPr="003B4D0A">
        <w:rPr>
          <w:rFonts w:ascii="Arial" w:hAnsi="Arial" w:cs="Arial"/>
          <w:color w:val="7B7B7B" w:themeColor="accent3" w:themeShade="BF"/>
          <w:sz w:val="16"/>
          <w:szCs w:val="16"/>
        </w:rPr>
        <w:t>Article 3(1), EIR Recast</w:t>
      </w:r>
    </w:p>
  </w:footnote>
  <w:footnote w:id="72">
    <w:p w14:paraId="49D4CEED" w14:textId="6FB11131" w:rsidR="00691895" w:rsidRPr="00A56369" w:rsidRDefault="00691895" w:rsidP="005C19AF">
      <w:pPr>
        <w:pStyle w:val="FootnoteText"/>
        <w:jc w:val="both"/>
        <w:rPr>
          <w:rFonts w:ascii="Arial" w:hAnsi="Arial" w:cs="Arial"/>
          <w:sz w:val="16"/>
          <w:szCs w:val="16"/>
          <w:lang w:val="en-GB"/>
        </w:rPr>
      </w:pPr>
      <w:r w:rsidRPr="003B4D0A">
        <w:rPr>
          <w:rStyle w:val="FootnoteReference"/>
          <w:rFonts w:ascii="Arial" w:hAnsi="Arial" w:cs="Arial"/>
          <w:sz w:val="16"/>
          <w:szCs w:val="16"/>
        </w:rPr>
        <w:footnoteRef/>
      </w:r>
      <w:r w:rsidRPr="003B4D0A">
        <w:rPr>
          <w:rFonts w:ascii="Arial" w:hAnsi="Arial" w:cs="Arial"/>
          <w:sz w:val="16"/>
          <w:szCs w:val="16"/>
        </w:rPr>
        <w:t xml:space="preserve"> </w:t>
      </w:r>
      <w:r w:rsidRPr="003B4D0A">
        <w:rPr>
          <w:rFonts w:ascii="Arial" w:hAnsi="Arial" w:cs="Arial"/>
          <w:color w:val="808080" w:themeColor="background1" w:themeShade="80"/>
          <w:sz w:val="16"/>
          <w:szCs w:val="16"/>
          <w:lang w:val="en-GB"/>
        </w:rPr>
        <w:t xml:space="preserve">Professor </w:t>
      </w:r>
      <w:r w:rsidRPr="003B4D0A">
        <w:rPr>
          <w:rFonts w:ascii="Arial" w:hAnsi="Arial" w:cs="Arial"/>
          <w:color w:val="808080" w:themeColor="background1" w:themeShade="80"/>
          <w:sz w:val="16"/>
          <w:szCs w:val="16"/>
        </w:rPr>
        <w:t xml:space="preserve">Bob Wessels and </w:t>
      </w:r>
      <w:proofErr w:type="spellStart"/>
      <w:r w:rsidRPr="003B4D0A">
        <w:rPr>
          <w:rFonts w:ascii="Arial" w:hAnsi="Arial" w:cs="Arial"/>
          <w:color w:val="808080" w:themeColor="background1" w:themeShade="80"/>
          <w:sz w:val="16"/>
          <w:szCs w:val="16"/>
        </w:rPr>
        <w:t>Mr</w:t>
      </w:r>
      <w:proofErr w:type="spellEnd"/>
      <w:r w:rsidRPr="003B4D0A">
        <w:rPr>
          <w:rFonts w:ascii="Arial" w:hAnsi="Arial" w:cs="Arial"/>
          <w:color w:val="808080" w:themeColor="background1" w:themeShade="80"/>
          <w:sz w:val="16"/>
          <w:szCs w:val="16"/>
        </w:rPr>
        <w:t xml:space="preserve"> Ilya Kokorin</w:t>
      </w:r>
      <w:r w:rsidRPr="003B4D0A">
        <w:rPr>
          <w:rFonts w:ascii="Arial" w:hAnsi="Arial" w:cs="Arial"/>
          <w:color w:val="808080" w:themeColor="background1" w:themeShade="80"/>
          <w:sz w:val="16"/>
          <w:szCs w:val="16"/>
          <w:lang w:val="en-GB"/>
        </w:rPr>
        <w:t>,</w:t>
      </w:r>
      <w:r w:rsidRPr="003B4D0A">
        <w:rPr>
          <w:rFonts w:ascii="Arial" w:hAnsi="Arial" w:cs="Arial"/>
          <w:color w:val="808080" w:themeColor="background1" w:themeShade="80"/>
          <w:sz w:val="16"/>
          <w:szCs w:val="16"/>
        </w:rPr>
        <w:t xml:space="preserve"> text updated for 2020/2021, 2021/2022, 2022/2023 and 2023/2024 by Dr Emilie Ghio,</w:t>
      </w:r>
      <w:r w:rsidRPr="003B4D0A">
        <w:rPr>
          <w:rFonts w:ascii="Arial" w:hAnsi="Arial" w:cs="Arial"/>
          <w:color w:val="808080" w:themeColor="background1" w:themeShade="80"/>
          <w:sz w:val="16"/>
          <w:szCs w:val="16"/>
          <w:lang w:val="en-GB"/>
        </w:rPr>
        <w:t xml:space="preserve"> “INSOL International, Foundation Certificate in International Insolvency Law, Module </w:t>
      </w:r>
      <w:r w:rsidRPr="003B4D0A">
        <w:rPr>
          <w:rFonts w:ascii="Arial" w:hAnsi="Arial" w:cs="Arial"/>
          <w:color w:val="808080" w:themeColor="background1" w:themeShade="80"/>
          <w:sz w:val="16"/>
          <w:szCs w:val="16"/>
        </w:rPr>
        <w:t>2B</w:t>
      </w:r>
      <w:r w:rsidRPr="003B4D0A">
        <w:rPr>
          <w:rFonts w:ascii="Arial" w:hAnsi="Arial" w:cs="Arial"/>
          <w:color w:val="808080" w:themeColor="background1" w:themeShade="80"/>
          <w:sz w:val="16"/>
          <w:szCs w:val="16"/>
          <w:lang w:val="en-GB"/>
        </w:rPr>
        <w:t xml:space="preserve"> Guidance Text, </w:t>
      </w:r>
      <w:r w:rsidRPr="003B4D0A">
        <w:rPr>
          <w:rFonts w:ascii="Arial" w:hAnsi="Arial" w:cs="Arial"/>
          <w:color w:val="808080" w:themeColor="background1" w:themeShade="80"/>
          <w:sz w:val="16"/>
          <w:szCs w:val="16"/>
        </w:rPr>
        <w:t xml:space="preserve">The European </w:t>
      </w:r>
      <w:r w:rsidRPr="00A56369">
        <w:rPr>
          <w:rFonts w:ascii="Arial" w:hAnsi="Arial" w:cs="Arial"/>
          <w:color w:val="808080" w:themeColor="background1" w:themeShade="80"/>
          <w:sz w:val="16"/>
          <w:szCs w:val="16"/>
        </w:rPr>
        <w:t>Insolvency Regulation</w:t>
      </w:r>
      <w:r w:rsidRPr="00A56369">
        <w:rPr>
          <w:rFonts w:ascii="Arial" w:hAnsi="Arial" w:cs="Arial"/>
          <w:color w:val="808080" w:themeColor="background1" w:themeShade="80"/>
          <w:sz w:val="16"/>
          <w:szCs w:val="16"/>
          <w:lang w:val="en-GB"/>
        </w:rPr>
        <w:t xml:space="preserve"> 2023/2024”, p </w:t>
      </w:r>
      <w:proofErr w:type="gramStart"/>
      <w:r w:rsidRPr="00A56369">
        <w:rPr>
          <w:rFonts w:ascii="Arial" w:hAnsi="Arial" w:cs="Arial"/>
          <w:color w:val="808080" w:themeColor="background1" w:themeShade="80"/>
          <w:sz w:val="16"/>
          <w:szCs w:val="16"/>
        </w:rPr>
        <w:t>17</w:t>
      </w:r>
      <w:proofErr w:type="gramEnd"/>
    </w:p>
  </w:footnote>
  <w:footnote w:id="73">
    <w:p w14:paraId="55409D87" w14:textId="30331FC8" w:rsidR="004C4C33" w:rsidRPr="00A56369" w:rsidRDefault="004C4C33" w:rsidP="005C19AF">
      <w:pPr>
        <w:pStyle w:val="FootnoteText"/>
        <w:jc w:val="both"/>
        <w:rPr>
          <w:rFonts w:ascii="Arial" w:hAnsi="Arial" w:cs="Arial"/>
          <w:sz w:val="16"/>
          <w:szCs w:val="16"/>
          <w:lang w:val="en-GB"/>
        </w:rPr>
      </w:pPr>
      <w:r w:rsidRPr="00A56369">
        <w:rPr>
          <w:rStyle w:val="FootnoteReference"/>
          <w:rFonts w:ascii="Arial" w:hAnsi="Arial" w:cs="Arial"/>
          <w:sz w:val="16"/>
          <w:szCs w:val="16"/>
        </w:rPr>
        <w:footnoteRef/>
      </w:r>
      <w:r w:rsidRPr="00A56369">
        <w:rPr>
          <w:rFonts w:ascii="Arial" w:hAnsi="Arial" w:cs="Arial"/>
          <w:sz w:val="16"/>
          <w:szCs w:val="16"/>
        </w:rPr>
        <w:t xml:space="preserve"> </w:t>
      </w:r>
      <w:r w:rsidR="00691895" w:rsidRPr="00A56369">
        <w:rPr>
          <w:rFonts w:ascii="Arial" w:hAnsi="Arial" w:cs="Arial"/>
          <w:color w:val="7B7B7B" w:themeColor="accent3" w:themeShade="BF"/>
          <w:sz w:val="16"/>
          <w:szCs w:val="16"/>
        </w:rPr>
        <w:t>Ibid.</w:t>
      </w:r>
    </w:p>
  </w:footnote>
  <w:footnote w:id="74">
    <w:p w14:paraId="35190A63" w14:textId="1BFCB86C" w:rsidR="00590A27" w:rsidRPr="00590A27" w:rsidRDefault="00590A27" w:rsidP="005C19AF">
      <w:pPr>
        <w:pStyle w:val="FootnoteText"/>
        <w:jc w:val="both"/>
        <w:rPr>
          <w:lang w:val="en-GB"/>
        </w:rPr>
      </w:pPr>
      <w:r w:rsidRPr="00A56369">
        <w:rPr>
          <w:rStyle w:val="FootnoteReference"/>
          <w:rFonts w:ascii="Arial" w:hAnsi="Arial" w:cs="Arial"/>
          <w:sz w:val="16"/>
          <w:szCs w:val="16"/>
        </w:rPr>
        <w:footnoteRef/>
      </w:r>
      <w:r w:rsidRPr="00A56369">
        <w:rPr>
          <w:rFonts w:ascii="Arial" w:hAnsi="Arial" w:cs="Arial"/>
          <w:sz w:val="16"/>
          <w:szCs w:val="16"/>
        </w:rPr>
        <w:t xml:space="preserve"> </w:t>
      </w:r>
      <w:r w:rsidR="00A56369" w:rsidRPr="00A56369">
        <w:rPr>
          <w:rFonts w:ascii="Arial" w:hAnsi="Arial" w:cs="Arial"/>
          <w:color w:val="7B7B7B" w:themeColor="accent3" w:themeShade="BF"/>
          <w:sz w:val="16"/>
          <w:szCs w:val="16"/>
        </w:rPr>
        <w:t>Case C-1/04, E</w:t>
      </w:r>
      <w:r w:rsidRPr="00A56369">
        <w:rPr>
          <w:rFonts w:ascii="Arial" w:hAnsi="Arial" w:cs="Arial"/>
          <w:color w:val="7B7B7B" w:themeColor="accent3" w:themeShade="BF"/>
          <w:sz w:val="16"/>
          <w:szCs w:val="16"/>
        </w:rPr>
        <w:t>CLI:EU:C:2006:39 (17 January 2006)</w:t>
      </w:r>
    </w:p>
  </w:footnote>
  <w:footnote w:id="75">
    <w:p w14:paraId="0E39DF8B" w14:textId="3819C29E" w:rsidR="00704170" w:rsidRPr="000942E7" w:rsidRDefault="00704170" w:rsidP="001A1A19">
      <w:pPr>
        <w:pStyle w:val="FootnoteText"/>
        <w:jc w:val="both"/>
        <w:rPr>
          <w:rFonts w:ascii="Arial" w:hAnsi="Arial" w:cs="Arial"/>
          <w:sz w:val="16"/>
          <w:szCs w:val="16"/>
          <w:lang w:val="en-GB"/>
        </w:rPr>
      </w:pPr>
      <w:r w:rsidRPr="000942E7">
        <w:rPr>
          <w:rStyle w:val="FootnoteReference"/>
          <w:rFonts w:ascii="Arial" w:hAnsi="Arial" w:cs="Arial"/>
          <w:sz w:val="16"/>
          <w:szCs w:val="16"/>
        </w:rPr>
        <w:footnoteRef/>
      </w:r>
      <w:r w:rsidRPr="000942E7">
        <w:rPr>
          <w:rFonts w:ascii="Arial" w:hAnsi="Arial" w:cs="Arial"/>
          <w:sz w:val="16"/>
          <w:szCs w:val="16"/>
        </w:rPr>
        <w:t xml:space="preserve"> </w:t>
      </w:r>
      <w:r w:rsidRPr="000942E7">
        <w:rPr>
          <w:rFonts w:ascii="Arial" w:hAnsi="Arial" w:cs="Arial"/>
          <w:color w:val="808080" w:themeColor="background1" w:themeShade="80"/>
          <w:sz w:val="16"/>
          <w:szCs w:val="16"/>
          <w:lang w:val="en-GB"/>
        </w:rPr>
        <w:t xml:space="preserve">Professor </w:t>
      </w:r>
      <w:r w:rsidRPr="000942E7">
        <w:rPr>
          <w:rFonts w:ascii="Arial" w:hAnsi="Arial" w:cs="Arial"/>
          <w:color w:val="808080" w:themeColor="background1" w:themeShade="80"/>
          <w:sz w:val="16"/>
          <w:szCs w:val="16"/>
        </w:rPr>
        <w:t xml:space="preserve">Bob Wessels and </w:t>
      </w:r>
      <w:proofErr w:type="spellStart"/>
      <w:r w:rsidRPr="000942E7">
        <w:rPr>
          <w:rFonts w:ascii="Arial" w:hAnsi="Arial" w:cs="Arial"/>
          <w:color w:val="808080" w:themeColor="background1" w:themeShade="80"/>
          <w:sz w:val="16"/>
          <w:szCs w:val="16"/>
        </w:rPr>
        <w:t>Mr</w:t>
      </w:r>
      <w:proofErr w:type="spellEnd"/>
      <w:r w:rsidRPr="000942E7">
        <w:rPr>
          <w:rFonts w:ascii="Arial" w:hAnsi="Arial" w:cs="Arial"/>
          <w:color w:val="808080" w:themeColor="background1" w:themeShade="80"/>
          <w:sz w:val="16"/>
          <w:szCs w:val="16"/>
        </w:rPr>
        <w:t xml:space="preserve"> Ilya Kokorin</w:t>
      </w:r>
      <w:r w:rsidRPr="000942E7">
        <w:rPr>
          <w:rFonts w:ascii="Arial" w:hAnsi="Arial" w:cs="Arial"/>
          <w:color w:val="808080" w:themeColor="background1" w:themeShade="80"/>
          <w:sz w:val="16"/>
          <w:szCs w:val="16"/>
          <w:lang w:val="en-GB"/>
        </w:rPr>
        <w:t>,</w:t>
      </w:r>
      <w:r w:rsidRPr="000942E7">
        <w:rPr>
          <w:rFonts w:ascii="Arial" w:hAnsi="Arial" w:cs="Arial"/>
          <w:color w:val="808080" w:themeColor="background1" w:themeShade="80"/>
          <w:sz w:val="16"/>
          <w:szCs w:val="16"/>
        </w:rPr>
        <w:t xml:space="preserve"> text updated for 2020/2021, 2021/2022, 2022/2023 and 2023/2024 by Dr Emilie Ghio,</w:t>
      </w:r>
      <w:r w:rsidRPr="000942E7">
        <w:rPr>
          <w:rFonts w:ascii="Arial" w:hAnsi="Arial" w:cs="Arial"/>
          <w:color w:val="808080" w:themeColor="background1" w:themeShade="80"/>
          <w:sz w:val="16"/>
          <w:szCs w:val="16"/>
          <w:lang w:val="en-GB"/>
        </w:rPr>
        <w:t xml:space="preserve"> “INSOL International, Foundation Certificate in International Insolvency Law, Module </w:t>
      </w:r>
      <w:r w:rsidRPr="000942E7">
        <w:rPr>
          <w:rFonts w:ascii="Arial" w:hAnsi="Arial" w:cs="Arial"/>
          <w:color w:val="808080" w:themeColor="background1" w:themeShade="80"/>
          <w:sz w:val="16"/>
          <w:szCs w:val="16"/>
        </w:rPr>
        <w:t>2B</w:t>
      </w:r>
      <w:r w:rsidRPr="000942E7">
        <w:rPr>
          <w:rFonts w:ascii="Arial" w:hAnsi="Arial" w:cs="Arial"/>
          <w:color w:val="808080" w:themeColor="background1" w:themeShade="80"/>
          <w:sz w:val="16"/>
          <w:szCs w:val="16"/>
          <w:lang w:val="en-GB"/>
        </w:rPr>
        <w:t xml:space="preserve"> Guidance Text, </w:t>
      </w:r>
      <w:r w:rsidRPr="000942E7">
        <w:rPr>
          <w:rFonts w:ascii="Arial" w:hAnsi="Arial" w:cs="Arial"/>
          <w:color w:val="808080" w:themeColor="background1" w:themeShade="80"/>
          <w:sz w:val="16"/>
          <w:szCs w:val="16"/>
        </w:rPr>
        <w:t>The European Insolvency Regulation</w:t>
      </w:r>
      <w:r w:rsidRPr="000942E7">
        <w:rPr>
          <w:rFonts w:ascii="Arial" w:hAnsi="Arial" w:cs="Arial"/>
          <w:color w:val="808080" w:themeColor="background1" w:themeShade="80"/>
          <w:sz w:val="16"/>
          <w:szCs w:val="16"/>
          <w:lang w:val="en-GB"/>
        </w:rPr>
        <w:t xml:space="preserve"> 2023/2024”, p </w:t>
      </w:r>
      <w:proofErr w:type="gramStart"/>
      <w:r w:rsidRPr="000942E7">
        <w:rPr>
          <w:rFonts w:ascii="Arial" w:hAnsi="Arial" w:cs="Arial"/>
          <w:color w:val="808080" w:themeColor="background1" w:themeShade="80"/>
          <w:sz w:val="16"/>
          <w:szCs w:val="16"/>
        </w:rPr>
        <w:t>17</w:t>
      </w:r>
      <w:proofErr w:type="gramEnd"/>
    </w:p>
  </w:footnote>
  <w:footnote w:id="76">
    <w:p w14:paraId="2F186B59" w14:textId="6C7A3AD4" w:rsidR="00475FC9" w:rsidRPr="00D91E1D" w:rsidRDefault="00475FC9" w:rsidP="001A1A19">
      <w:pPr>
        <w:pStyle w:val="FootnoteText"/>
        <w:jc w:val="both"/>
        <w:rPr>
          <w:rFonts w:ascii="Arial" w:hAnsi="Arial" w:cs="Arial"/>
          <w:sz w:val="16"/>
          <w:szCs w:val="16"/>
          <w:highlight w:val="green"/>
          <w:lang w:val="en-GB"/>
        </w:rPr>
      </w:pPr>
      <w:r w:rsidRPr="00A56369">
        <w:rPr>
          <w:rStyle w:val="FootnoteReference"/>
          <w:rFonts w:ascii="Arial" w:hAnsi="Arial" w:cs="Arial"/>
          <w:sz w:val="16"/>
          <w:szCs w:val="16"/>
        </w:rPr>
        <w:footnoteRef/>
      </w:r>
      <w:r w:rsidRPr="00A56369">
        <w:rPr>
          <w:rFonts w:ascii="Arial" w:hAnsi="Arial" w:cs="Arial"/>
          <w:sz w:val="16"/>
          <w:szCs w:val="16"/>
        </w:rPr>
        <w:t xml:space="preserve"> </w:t>
      </w:r>
      <w:r w:rsidR="00A56369" w:rsidRPr="00A56369">
        <w:rPr>
          <w:rFonts w:ascii="Arial" w:hAnsi="Arial" w:cs="Arial"/>
          <w:color w:val="7B7B7B" w:themeColor="accent3" w:themeShade="BF"/>
          <w:sz w:val="16"/>
          <w:szCs w:val="16"/>
        </w:rPr>
        <w:t>Case C-1/04, ECLI:EU:C:2006:39 (17 January 2006)</w:t>
      </w:r>
      <w:r w:rsidRPr="00A56369">
        <w:rPr>
          <w:rFonts w:ascii="Arial" w:hAnsi="Arial" w:cs="Arial"/>
          <w:color w:val="7B7B7B" w:themeColor="accent3" w:themeShade="BF"/>
          <w:sz w:val="16"/>
          <w:szCs w:val="16"/>
        </w:rPr>
        <w:t>, paragraph 25</w:t>
      </w:r>
    </w:p>
  </w:footnote>
  <w:footnote w:id="77">
    <w:p w14:paraId="0059000B" w14:textId="18DFEBB2" w:rsidR="00475FC9" w:rsidRPr="00D91E1D" w:rsidRDefault="00475FC9" w:rsidP="001A1A19">
      <w:pPr>
        <w:pStyle w:val="FootnoteText"/>
        <w:jc w:val="both"/>
        <w:rPr>
          <w:rFonts w:ascii="Arial" w:hAnsi="Arial" w:cs="Arial"/>
          <w:sz w:val="16"/>
          <w:szCs w:val="16"/>
          <w:highlight w:val="green"/>
          <w:lang w:val="en-GB"/>
        </w:rPr>
      </w:pPr>
      <w:r w:rsidRPr="00A56369">
        <w:rPr>
          <w:rStyle w:val="FootnoteReference"/>
          <w:rFonts w:ascii="Arial" w:hAnsi="Arial" w:cs="Arial"/>
          <w:sz w:val="16"/>
          <w:szCs w:val="16"/>
        </w:rPr>
        <w:footnoteRef/>
      </w:r>
      <w:r w:rsidRPr="00A56369">
        <w:rPr>
          <w:rFonts w:ascii="Arial" w:hAnsi="Arial" w:cs="Arial"/>
          <w:color w:val="7B7B7B" w:themeColor="accent3" w:themeShade="BF"/>
          <w:sz w:val="16"/>
          <w:szCs w:val="16"/>
        </w:rPr>
        <w:t xml:space="preserve"> </w:t>
      </w:r>
      <w:r w:rsidR="00A56369" w:rsidRPr="00A56369">
        <w:rPr>
          <w:rFonts w:ascii="Arial" w:hAnsi="Arial" w:cs="Arial"/>
          <w:color w:val="7B7B7B" w:themeColor="accent3" w:themeShade="BF"/>
          <w:sz w:val="16"/>
          <w:szCs w:val="16"/>
        </w:rPr>
        <w:t xml:space="preserve">Ibid., </w:t>
      </w:r>
      <w:r w:rsidRPr="00A56369">
        <w:rPr>
          <w:rFonts w:ascii="Arial" w:hAnsi="Arial" w:cs="Arial"/>
          <w:color w:val="7B7B7B" w:themeColor="accent3" w:themeShade="BF"/>
          <w:sz w:val="16"/>
          <w:szCs w:val="16"/>
        </w:rPr>
        <w:t>paragraph 26</w:t>
      </w:r>
    </w:p>
  </w:footnote>
  <w:footnote w:id="78">
    <w:p w14:paraId="58D39312" w14:textId="3C838B37" w:rsidR="00651E55" w:rsidRPr="001016D0" w:rsidRDefault="00651E55" w:rsidP="00390595">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000942E7" w:rsidRPr="001016D0">
        <w:rPr>
          <w:rFonts w:ascii="Arial" w:hAnsi="Arial" w:cs="Arial"/>
          <w:color w:val="7B7B7B" w:themeColor="accent3" w:themeShade="BF"/>
          <w:sz w:val="16"/>
          <w:szCs w:val="16"/>
        </w:rPr>
        <w:t xml:space="preserve">Stephen D Lerner, Squire Patton Boggs, Restructuring </w:t>
      </w:r>
      <w:proofErr w:type="spellStart"/>
      <w:r w:rsidR="000942E7" w:rsidRPr="001016D0">
        <w:rPr>
          <w:rFonts w:ascii="Arial" w:hAnsi="Arial" w:cs="Arial"/>
          <w:color w:val="7B7B7B" w:themeColor="accent3" w:themeShade="BF"/>
          <w:sz w:val="16"/>
          <w:szCs w:val="16"/>
        </w:rPr>
        <w:t>GlobalView</w:t>
      </w:r>
      <w:proofErr w:type="spellEnd"/>
      <w:r w:rsidR="000942E7" w:rsidRPr="001016D0">
        <w:rPr>
          <w:rFonts w:ascii="Arial" w:hAnsi="Arial" w:cs="Arial"/>
          <w:color w:val="7B7B7B" w:themeColor="accent3" w:themeShade="BF"/>
          <w:sz w:val="16"/>
          <w:szCs w:val="16"/>
        </w:rPr>
        <w:t xml:space="preserve">, “How does the EU Restructuring Directive compare to Chapter 11?”, </w:t>
      </w:r>
      <w:hyperlink r:id="rId4" w:history="1">
        <w:r w:rsidR="000942E7" w:rsidRPr="001016D0">
          <w:rPr>
            <w:rStyle w:val="Hyperlink"/>
            <w:rFonts w:ascii="Arial" w:hAnsi="Arial" w:cs="Arial"/>
            <w:sz w:val="16"/>
            <w:szCs w:val="16"/>
          </w:rPr>
          <w:t>https://www.restructuring-globalview.com/2019/11/how-does-the-eu-restructuring-directive-compare-to-chapter-11/</w:t>
        </w:r>
      </w:hyperlink>
      <w:r w:rsidR="000942E7" w:rsidRPr="001016D0">
        <w:rPr>
          <w:rFonts w:ascii="Arial" w:hAnsi="Arial" w:cs="Arial"/>
          <w:color w:val="7B7B7B" w:themeColor="accent3" w:themeShade="BF"/>
          <w:sz w:val="16"/>
          <w:szCs w:val="16"/>
        </w:rPr>
        <w:t>,</w:t>
      </w:r>
      <w:r w:rsidR="007F6D25" w:rsidRPr="001016D0">
        <w:rPr>
          <w:rFonts w:ascii="Arial" w:hAnsi="Arial" w:cs="Arial"/>
          <w:color w:val="7B7B7B" w:themeColor="accent3" w:themeShade="BF"/>
          <w:sz w:val="16"/>
          <w:szCs w:val="16"/>
        </w:rPr>
        <w:t xml:space="preserve"> published </w:t>
      </w:r>
      <w:r w:rsidR="00C53C31" w:rsidRPr="001016D0">
        <w:rPr>
          <w:rFonts w:ascii="Arial" w:hAnsi="Arial" w:cs="Arial"/>
          <w:color w:val="7B7B7B" w:themeColor="accent3" w:themeShade="BF"/>
          <w:sz w:val="16"/>
          <w:szCs w:val="16"/>
        </w:rPr>
        <w:t xml:space="preserve">on </w:t>
      </w:r>
      <w:r w:rsidR="007F6D25" w:rsidRPr="001016D0">
        <w:rPr>
          <w:rFonts w:ascii="Arial" w:hAnsi="Arial" w:cs="Arial"/>
          <w:color w:val="7B7B7B" w:themeColor="accent3" w:themeShade="BF"/>
          <w:sz w:val="16"/>
          <w:szCs w:val="16"/>
        </w:rPr>
        <w:t>6 November 2019,</w:t>
      </w:r>
      <w:r w:rsidR="000942E7" w:rsidRPr="001016D0">
        <w:rPr>
          <w:rFonts w:ascii="Arial" w:hAnsi="Arial" w:cs="Arial"/>
          <w:color w:val="7B7B7B" w:themeColor="accent3" w:themeShade="BF"/>
          <w:sz w:val="16"/>
          <w:szCs w:val="16"/>
        </w:rPr>
        <w:t xml:space="preserve"> accessed on </w:t>
      </w:r>
      <w:r w:rsidR="00D72626" w:rsidRPr="001016D0">
        <w:rPr>
          <w:rFonts w:ascii="Arial" w:hAnsi="Arial" w:cs="Arial"/>
          <w:color w:val="7B7B7B" w:themeColor="accent3" w:themeShade="BF"/>
          <w:sz w:val="16"/>
          <w:szCs w:val="16"/>
        </w:rPr>
        <w:t>3</w:t>
      </w:r>
      <w:r w:rsidR="000942E7" w:rsidRPr="001016D0">
        <w:rPr>
          <w:rFonts w:ascii="Arial" w:hAnsi="Arial" w:cs="Arial"/>
          <w:color w:val="7B7B7B" w:themeColor="accent3" w:themeShade="BF"/>
          <w:sz w:val="16"/>
          <w:szCs w:val="16"/>
        </w:rPr>
        <w:t xml:space="preserve"> February 2024</w:t>
      </w:r>
    </w:p>
  </w:footnote>
  <w:footnote w:id="79">
    <w:p w14:paraId="0E7BB865" w14:textId="27A7F13C" w:rsidR="00FA4422" w:rsidRPr="001016D0" w:rsidRDefault="00FA4422" w:rsidP="00390595">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005A1EC5" w:rsidRPr="001016D0">
        <w:rPr>
          <w:rFonts w:ascii="Arial" w:hAnsi="Arial" w:cs="Arial"/>
          <w:color w:val="7B7B7B" w:themeColor="accent3" w:themeShade="BF"/>
          <w:sz w:val="16"/>
          <w:szCs w:val="16"/>
        </w:rPr>
        <w:t>European Commission, “Proposal for a Directive of the European Parliament and of the Council on preventive restructuring frameworks, second chance and measures to increase the efficiency of restructuring, insolvency and discharge procedures and amending Directive 2012/30/EU” (</w:t>
      </w:r>
      <w:proofErr w:type="gramStart"/>
      <w:r w:rsidR="005A1EC5" w:rsidRPr="001016D0">
        <w:rPr>
          <w:rFonts w:ascii="Arial" w:hAnsi="Arial" w:cs="Arial"/>
          <w:color w:val="7B7B7B" w:themeColor="accent3" w:themeShade="BF"/>
          <w:sz w:val="16"/>
          <w:szCs w:val="16"/>
        </w:rPr>
        <w:t>COM(</w:t>
      </w:r>
      <w:proofErr w:type="gramEnd"/>
      <w:r w:rsidR="005A1EC5" w:rsidRPr="001016D0">
        <w:rPr>
          <w:rFonts w:ascii="Arial" w:hAnsi="Arial" w:cs="Arial"/>
          <w:color w:val="7B7B7B" w:themeColor="accent3" w:themeShade="BF"/>
          <w:sz w:val="16"/>
          <w:szCs w:val="16"/>
        </w:rPr>
        <w:t>2016) 723 final), p 2</w:t>
      </w:r>
    </w:p>
  </w:footnote>
  <w:footnote w:id="80">
    <w:p w14:paraId="5350A488" w14:textId="610499A4" w:rsidR="00A26E95" w:rsidRPr="001016D0" w:rsidRDefault="00A26E95" w:rsidP="00390595">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808080" w:themeColor="background1" w:themeShade="80"/>
          <w:sz w:val="16"/>
          <w:szCs w:val="16"/>
          <w:lang w:val="en-GB"/>
        </w:rPr>
        <w:t xml:space="preserve">Professor </w:t>
      </w:r>
      <w:r w:rsidRPr="001016D0">
        <w:rPr>
          <w:rFonts w:ascii="Arial" w:hAnsi="Arial" w:cs="Arial"/>
          <w:color w:val="808080" w:themeColor="background1" w:themeShade="80"/>
          <w:sz w:val="16"/>
          <w:szCs w:val="16"/>
        </w:rPr>
        <w:t xml:space="preserve">Bob Wessels and </w:t>
      </w:r>
      <w:proofErr w:type="spellStart"/>
      <w:r w:rsidRPr="001016D0">
        <w:rPr>
          <w:rFonts w:ascii="Arial" w:hAnsi="Arial" w:cs="Arial"/>
          <w:color w:val="808080" w:themeColor="background1" w:themeShade="80"/>
          <w:sz w:val="16"/>
          <w:szCs w:val="16"/>
        </w:rPr>
        <w:t>Mr</w:t>
      </w:r>
      <w:proofErr w:type="spellEnd"/>
      <w:r w:rsidRPr="001016D0">
        <w:rPr>
          <w:rFonts w:ascii="Arial" w:hAnsi="Arial" w:cs="Arial"/>
          <w:color w:val="808080" w:themeColor="background1" w:themeShade="80"/>
          <w:sz w:val="16"/>
          <w:szCs w:val="16"/>
        </w:rPr>
        <w:t xml:space="preserve"> Ilya Kokorin</w:t>
      </w:r>
      <w:r w:rsidRPr="001016D0">
        <w:rPr>
          <w:rFonts w:ascii="Arial" w:hAnsi="Arial" w:cs="Arial"/>
          <w:color w:val="808080" w:themeColor="background1" w:themeShade="80"/>
          <w:sz w:val="16"/>
          <w:szCs w:val="16"/>
          <w:lang w:val="en-GB"/>
        </w:rPr>
        <w:t>,</w:t>
      </w:r>
      <w:r w:rsidRPr="001016D0">
        <w:rPr>
          <w:rFonts w:ascii="Arial" w:hAnsi="Arial" w:cs="Arial"/>
          <w:color w:val="808080" w:themeColor="background1" w:themeShade="80"/>
          <w:sz w:val="16"/>
          <w:szCs w:val="16"/>
        </w:rPr>
        <w:t xml:space="preserve"> text updated for 2020/2021, 2021/2022, 2022/2023 and 2023/2024 by Dr Emilie Ghio,</w:t>
      </w:r>
      <w:r w:rsidRPr="001016D0">
        <w:rPr>
          <w:rFonts w:ascii="Arial" w:hAnsi="Arial" w:cs="Arial"/>
          <w:color w:val="808080" w:themeColor="background1" w:themeShade="80"/>
          <w:sz w:val="16"/>
          <w:szCs w:val="16"/>
          <w:lang w:val="en-GB"/>
        </w:rPr>
        <w:t xml:space="preserve"> “INSOL International, Foundation Certificate in International Insolvency Law, Module </w:t>
      </w:r>
      <w:r w:rsidRPr="001016D0">
        <w:rPr>
          <w:rFonts w:ascii="Arial" w:hAnsi="Arial" w:cs="Arial"/>
          <w:color w:val="808080" w:themeColor="background1" w:themeShade="80"/>
          <w:sz w:val="16"/>
          <w:szCs w:val="16"/>
        </w:rPr>
        <w:t>2B</w:t>
      </w:r>
      <w:r w:rsidRPr="001016D0">
        <w:rPr>
          <w:rFonts w:ascii="Arial" w:hAnsi="Arial" w:cs="Arial"/>
          <w:color w:val="808080" w:themeColor="background1" w:themeShade="80"/>
          <w:sz w:val="16"/>
          <w:szCs w:val="16"/>
          <w:lang w:val="en-GB"/>
        </w:rPr>
        <w:t xml:space="preserve"> Guidance Text, </w:t>
      </w:r>
      <w:r w:rsidRPr="001016D0">
        <w:rPr>
          <w:rFonts w:ascii="Arial" w:hAnsi="Arial" w:cs="Arial"/>
          <w:color w:val="808080" w:themeColor="background1" w:themeShade="80"/>
          <w:sz w:val="16"/>
          <w:szCs w:val="16"/>
        </w:rPr>
        <w:t>The European Insolvency Regulation</w:t>
      </w:r>
      <w:r w:rsidRPr="001016D0">
        <w:rPr>
          <w:rFonts w:ascii="Arial" w:hAnsi="Arial" w:cs="Arial"/>
          <w:color w:val="808080" w:themeColor="background1" w:themeShade="80"/>
          <w:sz w:val="16"/>
          <w:szCs w:val="16"/>
          <w:lang w:val="en-GB"/>
        </w:rPr>
        <w:t xml:space="preserve"> 2023/2024”, p </w:t>
      </w:r>
      <w:proofErr w:type="gramStart"/>
      <w:r w:rsidRPr="001016D0">
        <w:rPr>
          <w:rFonts w:ascii="Arial" w:hAnsi="Arial" w:cs="Arial"/>
          <w:color w:val="808080" w:themeColor="background1" w:themeShade="80"/>
          <w:sz w:val="16"/>
          <w:szCs w:val="16"/>
        </w:rPr>
        <w:t>9</w:t>
      </w:r>
      <w:proofErr w:type="gramEnd"/>
    </w:p>
  </w:footnote>
  <w:footnote w:id="81">
    <w:p w14:paraId="1903D509" w14:textId="4D48AFAB" w:rsidR="00C56506" w:rsidRPr="001016D0" w:rsidRDefault="00C56506" w:rsidP="00390595">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00A26E95" w:rsidRPr="001016D0">
        <w:rPr>
          <w:rFonts w:ascii="Arial" w:hAnsi="Arial" w:cs="Arial"/>
          <w:color w:val="808080" w:themeColor="background1" w:themeShade="80"/>
          <w:sz w:val="16"/>
          <w:szCs w:val="16"/>
          <w:lang w:val="en-GB"/>
        </w:rPr>
        <w:t>Ibid.,</w:t>
      </w:r>
      <w:r w:rsidR="00D71E9C" w:rsidRPr="001016D0">
        <w:rPr>
          <w:rFonts w:ascii="Arial" w:hAnsi="Arial" w:cs="Arial"/>
          <w:color w:val="808080" w:themeColor="background1" w:themeShade="80"/>
          <w:sz w:val="16"/>
          <w:szCs w:val="16"/>
          <w:lang w:val="en-GB"/>
        </w:rPr>
        <w:t xml:space="preserve"> </w:t>
      </w:r>
      <w:r w:rsidR="00A26E95" w:rsidRPr="001016D0">
        <w:rPr>
          <w:rFonts w:ascii="Arial" w:hAnsi="Arial" w:cs="Arial"/>
          <w:color w:val="808080" w:themeColor="background1" w:themeShade="80"/>
          <w:sz w:val="16"/>
          <w:szCs w:val="16"/>
          <w:lang w:val="en-GB"/>
        </w:rPr>
        <w:t xml:space="preserve">p </w:t>
      </w:r>
      <w:r w:rsidR="00D71E9C" w:rsidRPr="001016D0">
        <w:rPr>
          <w:rFonts w:ascii="Arial" w:hAnsi="Arial" w:cs="Arial"/>
          <w:color w:val="808080" w:themeColor="background1" w:themeShade="80"/>
          <w:sz w:val="16"/>
          <w:szCs w:val="16"/>
        </w:rPr>
        <w:t>14-15</w:t>
      </w:r>
    </w:p>
  </w:footnote>
  <w:footnote w:id="82">
    <w:p w14:paraId="27D174BC" w14:textId="2DD75098" w:rsidR="00D71E9C" w:rsidRPr="001016D0" w:rsidRDefault="00D71E9C" w:rsidP="00390595">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Ibid.,</w:t>
      </w:r>
      <w:r w:rsidRPr="001016D0">
        <w:rPr>
          <w:rFonts w:ascii="Arial" w:hAnsi="Arial" w:cs="Arial"/>
          <w:color w:val="808080" w:themeColor="background1" w:themeShade="80"/>
          <w:sz w:val="16"/>
          <w:szCs w:val="16"/>
          <w:lang w:val="en-GB"/>
        </w:rPr>
        <w:t xml:space="preserve"> p </w:t>
      </w:r>
      <w:r w:rsidRPr="001016D0">
        <w:rPr>
          <w:rFonts w:ascii="Arial" w:hAnsi="Arial" w:cs="Arial"/>
          <w:color w:val="808080" w:themeColor="background1" w:themeShade="80"/>
          <w:sz w:val="16"/>
          <w:szCs w:val="16"/>
        </w:rPr>
        <w:t>15</w:t>
      </w:r>
    </w:p>
  </w:footnote>
  <w:footnote w:id="83">
    <w:p w14:paraId="6341EF17" w14:textId="77777777" w:rsidR="00DA3CA2" w:rsidRPr="001016D0" w:rsidRDefault="00DA3CA2" w:rsidP="00DA3CA2">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bookmarkStart w:id="2" w:name="_Hlk157284433"/>
      <w:r w:rsidRPr="001016D0">
        <w:rPr>
          <w:rFonts w:ascii="Arial" w:hAnsi="Arial" w:cs="Arial"/>
          <w:color w:val="7B7B7B" w:themeColor="accent3" w:themeShade="BF"/>
          <w:sz w:val="16"/>
          <w:szCs w:val="16"/>
        </w:rPr>
        <w:t>European Commission, “Proposal for a Directive of the European Parliament and of the Council on preventive restructuring frameworks, second chance and measures to increase the efficiency of restructuring, insolvency and discharge procedures and amending Directive 2012/30/EU” (</w:t>
      </w:r>
      <w:proofErr w:type="gramStart"/>
      <w:r w:rsidRPr="001016D0">
        <w:rPr>
          <w:rFonts w:ascii="Arial" w:hAnsi="Arial" w:cs="Arial"/>
          <w:color w:val="7B7B7B" w:themeColor="accent3" w:themeShade="BF"/>
          <w:sz w:val="16"/>
          <w:szCs w:val="16"/>
        </w:rPr>
        <w:t>COM(</w:t>
      </w:r>
      <w:proofErr w:type="gramEnd"/>
      <w:r w:rsidRPr="001016D0">
        <w:rPr>
          <w:rFonts w:ascii="Arial" w:hAnsi="Arial" w:cs="Arial"/>
          <w:color w:val="7B7B7B" w:themeColor="accent3" w:themeShade="BF"/>
          <w:sz w:val="16"/>
          <w:szCs w:val="16"/>
        </w:rPr>
        <w:t>2016) 723 final), p 6</w:t>
      </w:r>
      <w:bookmarkEnd w:id="2"/>
    </w:p>
  </w:footnote>
  <w:footnote w:id="84">
    <w:p w14:paraId="737E26AF" w14:textId="06FB6E08" w:rsidR="00DA3CA2" w:rsidRPr="001016D0" w:rsidRDefault="00DA3CA2" w:rsidP="00DA3CA2">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Ibid.</w:t>
      </w:r>
    </w:p>
  </w:footnote>
  <w:footnote w:id="85">
    <w:p w14:paraId="499F05E7" w14:textId="313CA99E" w:rsidR="00DA3CA2" w:rsidRPr="001016D0" w:rsidRDefault="00DA3CA2" w:rsidP="0086372F">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 xml:space="preserve">Baker McKenzie, Global Restructuring and Insolvency Guide, “European Union”, </w:t>
      </w:r>
      <w:hyperlink r:id="rId5" w:history="1">
        <w:r w:rsidRPr="001016D0">
          <w:rPr>
            <w:rStyle w:val="Hyperlink"/>
            <w:rFonts w:ascii="Arial" w:hAnsi="Arial" w:cs="Arial"/>
            <w:sz w:val="16"/>
            <w:szCs w:val="16"/>
          </w:rPr>
          <w:t>https://resourcehub.bakermckenzie.com/en/resources/global-restructuring-and-insolvency-guide/subpages/european-union</w:t>
        </w:r>
      </w:hyperlink>
      <w:r w:rsidRPr="001016D0">
        <w:rPr>
          <w:rFonts w:ascii="Arial" w:hAnsi="Arial" w:cs="Arial"/>
          <w:color w:val="7B7B7B" w:themeColor="accent3" w:themeShade="BF"/>
          <w:sz w:val="16"/>
          <w:szCs w:val="16"/>
        </w:rPr>
        <w:t>,</w:t>
      </w:r>
      <w:r w:rsidR="0086372F" w:rsidRPr="001016D0">
        <w:rPr>
          <w:rFonts w:ascii="Arial" w:hAnsi="Arial" w:cs="Arial"/>
          <w:color w:val="7B7B7B" w:themeColor="accent3" w:themeShade="BF"/>
          <w:sz w:val="16"/>
          <w:szCs w:val="16"/>
        </w:rPr>
        <w:t xml:space="preserve"> </w:t>
      </w:r>
      <w:r w:rsidRPr="001016D0">
        <w:rPr>
          <w:rFonts w:ascii="Arial" w:hAnsi="Arial" w:cs="Arial"/>
          <w:color w:val="7B7B7B" w:themeColor="accent3" w:themeShade="BF"/>
          <w:sz w:val="16"/>
          <w:szCs w:val="16"/>
        </w:rPr>
        <w:t xml:space="preserve">accessed on </w:t>
      </w:r>
      <w:r w:rsidR="0086372F" w:rsidRPr="001016D0">
        <w:rPr>
          <w:rFonts w:ascii="Arial" w:hAnsi="Arial" w:cs="Arial"/>
          <w:color w:val="7B7B7B" w:themeColor="accent3" w:themeShade="BF"/>
          <w:sz w:val="16"/>
          <w:szCs w:val="16"/>
        </w:rPr>
        <w:t>3</w:t>
      </w:r>
      <w:r w:rsidRPr="001016D0">
        <w:rPr>
          <w:rFonts w:ascii="Arial" w:hAnsi="Arial" w:cs="Arial"/>
          <w:color w:val="7B7B7B" w:themeColor="accent3" w:themeShade="BF"/>
          <w:sz w:val="16"/>
          <w:szCs w:val="16"/>
        </w:rPr>
        <w:t xml:space="preserve"> February 2024</w:t>
      </w:r>
    </w:p>
  </w:footnote>
  <w:footnote w:id="86">
    <w:p w14:paraId="74B25258" w14:textId="77777777" w:rsidR="00DA3CA2" w:rsidRPr="001016D0" w:rsidRDefault="00DA3CA2" w:rsidP="00DA3CA2">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808080" w:themeColor="background1" w:themeShade="80"/>
          <w:sz w:val="16"/>
          <w:szCs w:val="16"/>
          <w:lang w:val="en-GB"/>
        </w:rPr>
        <w:t xml:space="preserve">Professor </w:t>
      </w:r>
      <w:r w:rsidRPr="001016D0">
        <w:rPr>
          <w:rFonts w:ascii="Arial" w:hAnsi="Arial" w:cs="Arial"/>
          <w:color w:val="808080" w:themeColor="background1" w:themeShade="80"/>
          <w:sz w:val="16"/>
          <w:szCs w:val="16"/>
        </w:rPr>
        <w:t xml:space="preserve">Bob Wessels and </w:t>
      </w:r>
      <w:proofErr w:type="spellStart"/>
      <w:r w:rsidRPr="001016D0">
        <w:rPr>
          <w:rFonts w:ascii="Arial" w:hAnsi="Arial" w:cs="Arial"/>
          <w:color w:val="808080" w:themeColor="background1" w:themeShade="80"/>
          <w:sz w:val="16"/>
          <w:szCs w:val="16"/>
        </w:rPr>
        <w:t>Mr</w:t>
      </w:r>
      <w:proofErr w:type="spellEnd"/>
      <w:r w:rsidRPr="001016D0">
        <w:rPr>
          <w:rFonts w:ascii="Arial" w:hAnsi="Arial" w:cs="Arial"/>
          <w:color w:val="808080" w:themeColor="background1" w:themeShade="80"/>
          <w:sz w:val="16"/>
          <w:szCs w:val="16"/>
        </w:rPr>
        <w:t xml:space="preserve"> Ilya Kokorin</w:t>
      </w:r>
      <w:r w:rsidRPr="001016D0">
        <w:rPr>
          <w:rFonts w:ascii="Arial" w:hAnsi="Arial" w:cs="Arial"/>
          <w:color w:val="808080" w:themeColor="background1" w:themeShade="80"/>
          <w:sz w:val="16"/>
          <w:szCs w:val="16"/>
          <w:lang w:val="en-GB"/>
        </w:rPr>
        <w:t>,</w:t>
      </w:r>
      <w:r w:rsidRPr="001016D0">
        <w:rPr>
          <w:rFonts w:ascii="Arial" w:hAnsi="Arial" w:cs="Arial"/>
          <w:color w:val="808080" w:themeColor="background1" w:themeShade="80"/>
          <w:sz w:val="16"/>
          <w:szCs w:val="16"/>
        </w:rPr>
        <w:t xml:space="preserve"> text updated for 2020/2021, 2021/2022, 2022/2023 and 2023/2024 by Dr Emilie Ghio,</w:t>
      </w:r>
      <w:r w:rsidRPr="001016D0">
        <w:rPr>
          <w:rFonts w:ascii="Arial" w:hAnsi="Arial" w:cs="Arial"/>
          <w:color w:val="808080" w:themeColor="background1" w:themeShade="80"/>
          <w:sz w:val="16"/>
          <w:szCs w:val="16"/>
          <w:lang w:val="en-GB"/>
        </w:rPr>
        <w:t xml:space="preserve"> “INSOL International, Foundation Certificate in International Insolvency Law, Module </w:t>
      </w:r>
      <w:r w:rsidRPr="001016D0">
        <w:rPr>
          <w:rFonts w:ascii="Arial" w:hAnsi="Arial" w:cs="Arial"/>
          <w:color w:val="808080" w:themeColor="background1" w:themeShade="80"/>
          <w:sz w:val="16"/>
          <w:szCs w:val="16"/>
        </w:rPr>
        <w:t>2B</w:t>
      </w:r>
      <w:r w:rsidRPr="001016D0">
        <w:rPr>
          <w:rFonts w:ascii="Arial" w:hAnsi="Arial" w:cs="Arial"/>
          <w:color w:val="808080" w:themeColor="background1" w:themeShade="80"/>
          <w:sz w:val="16"/>
          <w:szCs w:val="16"/>
          <w:lang w:val="en-GB"/>
        </w:rPr>
        <w:t xml:space="preserve"> Guidance Text, </w:t>
      </w:r>
      <w:r w:rsidRPr="001016D0">
        <w:rPr>
          <w:rFonts w:ascii="Arial" w:hAnsi="Arial" w:cs="Arial"/>
          <w:color w:val="808080" w:themeColor="background1" w:themeShade="80"/>
          <w:sz w:val="16"/>
          <w:szCs w:val="16"/>
        </w:rPr>
        <w:t>The European Insolvency Regulation</w:t>
      </w:r>
      <w:r w:rsidRPr="001016D0">
        <w:rPr>
          <w:rFonts w:ascii="Arial" w:hAnsi="Arial" w:cs="Arial"/>
          <w:color w:val="808080" w:themeColor="background1" w:themeShade="80"/>
          <w:sz w:val="16"/>
          <w:szCs w:val="16"/>
          <w:lang w:val="en-GB"/>
        </w:rPr>
        <w:t xml:space="preserve"> 2023/2024”, p </w:t>
      </w:r>
      <w:proofErr w:type="gramStart"/>
      <w:r w:rsidRPr="001016D0">
        <w:rPr>
          <w:rFonts w:ascii="Arial" w:hAnsi="Arial" w:cs="Arial"/>
          <w:color w:val="808080" w:themeColor="background1" w:themeShade="80"/>
          <w:sz w:val="16"/>
          <w:szCs w:val="16"/>
        </w:rPr>
        <w:t>66</w:t>
      </w:r>
      <w:proofErr w:type="gramEnd"/>
    </w:p>
  </w:footnote>
  <w:footnote w:id="87">
    <w:p w14:paraId="733302BF" w14:textId="5060A993" w:rsidR="007F6D25" w:rsidRPr="00161888" w:rsidRDefault="007F6D25" w:rsidP="00135C99">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 xml:space="preserve">Jose M Garrido, Chanda M DeLong, Amira Rasekh and Anjum Rosha, IMF </w:t>
      </w:r>
      <w:proofErr w:type="spellStart"/>
      <w:r w:rsidRPr="001016D0">
        <w:rPr>
          <w:rFonts w:ascii="Arial" w:hAnsi="Arial" w:cs="Arial"/>
          <w:color w:val="7B7B7B" w:themeColor="accent3" w:themeShade="BF"/>
          <w:sz w:val="16"/>
          <w:szCs w:val="16"/>
        </w:rPr>
        <w:t>eLibrary</w:t>
      </w:r>
      <w:proofErr w:type="spellEnd"/>
      <w:r w:rsidRPr="001016D0">
        <w:rPr>
          <w:rFonts w:ascii="Arial" w:hAnsi="Arial" w:cs="Arial"/>
          <w:color w:val="7B7B7B" w:themeColor="accent3" w:themeShade="BF"/>
          <w:sz w:val="16"/>
          <w:szCs w:val="16"/>
        </w:rPr>
        <w:t xml:space="preserve">, “Restructuring and Insolvency in Europe: Policy Options in the Implementation of the EU Directive”, </w:t>
      </w:r>
      <w:hyperlink r:id="rId6" w:history="1">
        <w:r w:rsidRPr="001016D0">
          <w:rPr>
            <w:rStyle w:val="Hyperlink"/>
            <w:rFonts w:ascii="Arial" w:hAnsi="Arial" w:cs="Arial"/>
            <w:sz w:val="16"/>
            <w:szCs w:val="16"/>
          </w:rPr>
          <w:t>https://www.elibrary.imf.org/view/journals/001/2021/152/article-A001-en.xml</w:t>
        </w:r>
      </w:hyperlink>
      <w:r w:rsidRPr="001016D0">
        <w:rPr>
          <w:rFonts w:ascii="Arial" w:hAnsi="Arial" w:cs="Arial"/>
          <w:color w:val="7B7B7B" w:themeColor="accent3" w:themeShade="BF"/>
          <w:sz w:val="16"/>
          <w:szCs w:val="16"/>
        </w:rPr>
        <w:t xml:space="preserve">, 27 May 2021, accessed on </w:t>
      </w:r>
      <w:r w:rsidR="00EC0542" w:rsidRPr="001016D0">
        <w:rPr>
          <w:rFonts w:ascii="Arial" w:hAnsi="Arial" w:cs="Arial"/>
          <w:color w:val="7B7B7B" w:themeColor="accent3" w:themeShade="BF"/>
          <w:sz w:val="16"/>
          <w:szCs w:val="16"/>
        </w:rPr>
        <w:t>3</w:t>
      </w:r>
      <w:r w:rsidRPr="001016D0">
        <w:rPr>
          <w:rFonts w:ascii="Arial" w:hAnsi="Arial" w:cs="Arial"/>
          <w:color w:val="7B7B7B" w:themeColor="accent3" w:themeShade="BF"/>
          <w:sz w:val="16"/>
          <w:szCs w:val="16"/>
        </w:rPr>
        <w:t xml:space="preserve"> February 2024</w:t>
      </w:r>
    </w:p>
  </w:footnote>
  <w:footnote w:id="88">
    <w:p w14:paraId="780DFB97" w14:textId="5E40FBE1" w:rsidR="00DA3CA2" w:rsidRPr="001016D0" w:rsidRDefault="00DA3CA2"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007F6D25" w:rsidRPr="001016D0">
        <w:rPr>
          <w:rFonts w:ascii="Arial" w:hAnsi="Arial" w:cs="Arial"/>
          <w:color w:val="808080" w:themeColor="background1" w:themeShade="80"/>
          <w:sz w:val="16"/>
          <w:szCs w:val="16"/>
          <w:lang w:val="en-GB"/>
        </w:rPr>
        <w:t xml:space="preserve">Professor </w:t>
      </w:r>
      <w:r w:rsidR="007F6D25" w:rsidRPr="001016D0">
        <w:rPr>
          <w:rFonts w:ascii="Arial" w:hAnsi="Arial" w:cs="Arial"/>
          <w:color w:val="808080" w:themeColor="background1" w:themeShade="80"/>
          <w:sz w:val="16"/>
          <w:szCs w:val="16"/>
        </w:rPr>
        <w:t xml:space="preserve">Bob Wessels and </w:t>
      </w:r>
      <w:proofErr w:type="spellStart"/>
      <w:r w:rsidR="007F6D25" w:rsidRPr="001016D0">
        <w:rPr>
          <w:rFonts w:ascii="Arial" w:hAnsi="Arial" w:cs="Arial"/>
          <w:color w:val="808080" w:themeColor="background1" w:themeShade="80"/>
          <w:sz w:val="16"/>
          <w:szCs w:val="16"/>
        </w:rPr>
        <w:t>Mr</w:t>
      </w:r>
      <w:proofErr w:type="spellEnd"/>
      <w:r w:rsidR="007F6D25" w:rsidRPr="001016D0">
        <w:rPr>
          <w:rFonts w:ascii="Arial" w:hAnsi="Arial" w:cs="Arial"/>
          <w:color w:val="808080" w:themeColor="background1" w:themeShade="80"/>
          <w:sz w:val="16"/>
          <w:szCs w:val="16"/>
        </w:rPr>
        <w:t xml:space="preserve"> Ilya Kokorin</w:t>
      </w:r>
      <w:r w:rsidR="007F6D25" w:rsidRPr="001016D0">
        <w:rPr>
          <w:rFonts w:ascii="Arial" w:hAnsi="Arial" w:cs="Arial"/>
          <w:color w:val="808080" w:themeColor="background1" w:themeShade="80"/>
          <w:sz w:val="16"/>
          <w:szCs w:val="16"/>
          <w:lang w:val="en-GB"/>
        </w:rPr>
        <w:t>,</w:t>
      </w:r>
      <w:r w:rsidR="007F6D25" w:rsidRPr="001016D0">
        <w:rPr>
          <w:rFonts w:ascii="Arial" w:hAnsi="Arial" w:cs="Arial"/>
          <w:color w:val="808080" w:themeColor="background1" w:themeShade="80"/>
          <w:sz w:val="16"/>
          <w:szCs w:val="16"/>
        </w:rPr>
        <w:t xml:space="preserve"> text updated for 2020/2021, 2021/2022, 2022/2023 and 2023/2024 by Dr Emilie Ghio,</w:t>
      </w:r>
      <w:r w:rsidR="007F6D25" w:rsidRPr="001016D0">
        <w:rPr>
          <w:rFonts w:ascii="Arial" w:hAnsi="Arial" w:cs="Arial"/>
          <w:color w:val="808080" w:themeColor="background1" w:themeShade="80"/>
          <w:sz w:val="16"/>
          <w:szCs w:val="16"/>
          <w:lang w:val="en-GB"/>
        </w:rPr>
        <w:t xml:space="preserve"> “INSOL International, Foundation Certificate in International Insolvency Law, Module </w:t>
      </w:r>
      <w:r w:rsidR="007F6D25" w:rsidRPr="001016D0">
        <w:rPr>
          <w:rFonts w:ascii="Arial" w:hAnsi="Arial" w:cs="Arial"/>
          <w:color w:val="808080" w:themeColor="background1" w:themeShade="80"/>
          <w:sz w:val="16"/>
          <w:szCs w:val="16"/>
        </w:rPr>
        <w:t>2B</w:t>
      </w:r>
      <w:r w:rsidR="007F6D25" w:rsidRPr="001016D0">
        <w:rPr>
          <w:rFonts w:ascii="Arial" w:hAnsi="Arial" w:cs="Arial"/>
          <w:color w:val="808080" w:themeColor="background1" w:themeShade="80"/>
          <w:sz w:val="16"/>
          <w:szCs w:val="16"/>
          <w:lang w:val="en-GB"/>
        </w:rPr>
        <w:t xml:space="preserve"> Guidance Text, </w:t>
      </w:r>
      <w:r w:rsidR="007F6D25" w:rsidRPr="001016D0">
        <w:rPr>
          <w:rFonts w:ascii="Arial" w:hAnsi="Arial" w:cs="Arial"/>
          <w:color w:val="808080" w:themeColor="background1" w:themeShade="80"/>
          <w:sz w:val="16"/>
          <w:szCs w:val="16"/>
        </w:rPr>
        <w:t>The European Insolvency Regulation</w:t>
      </w:r>
      <w:r w:rsidR="007F6D25" w:rsidRPr="001016D0">
        <w:rPr>
          <w:rFonts w:ascii="Arial" w:hAnsi="Arial" w:cs="Arial"/>
          <w:color w:val="808080" w:themeColor="background1" w:themeShade="80"/>
          <w:sz w:val="16"/>
          <w:szCs w:val="16"/>
          <w:lang w:val="en-GB"/>
        </w:rPr>
        <w:t xml:space="preserve"> 2023/2024”, p </w:t>
      </w:r>
      <w:proofErr w:type="gramStart"/>
      <w:r w:rsidR="007F6D25" w:rsidRPr="001016D0">
        <w:rPr>
          <w:rFonts w:ascii="Arial" w:hAnsi="Arial" w:cs="Arial"/>
          <w:color w:val="808080" w:themeColor="background1" w:themeShade="80"/>
          <w:sz w:val="16"/>
          <w:szCs w:val="16"/>
        </w:rPr>
        <w:t>66</w:t>
      </w:r>
      <w:proofErr w:type="gramEnd"/>
    </w:p>
  </w:footnote>
  <w:footnote w:id="89">
    <w:p w14:paraId="4902B01B" w14:textId="700A2143" w:rsidR="00CE0B1B" w:rsidRPr="001016D0" w:rsidRDefault="00CE0B1B" w:rsidP="00135C99">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00C53C31" w:rsidRPr="001016D0">
        <w:rPr>
          <w:rFonts w:ascii="Arial" w:hAnsi="Arial" w:cs="Arial"/>
          <w:color w:val="7B7B7B" w:themeColor="accent3" w:themeShade="BF"/>
          <w:sz w:val="16"/>
          <w:szCs w:val="16"/>
        </w:rPr>
        <w:t xml:space="preserve">Emilie Ghio, Gert-Jan Boon, David Ehmke, Jennifer Gant, Line </w:t>
      </w:r>
      <w:proofErr w:type="spellStart"/>
      <w:r w:rsidR="00C53C31" w:rsidRPr="001016D0">
        <w:rPr>
          <w:rFonts w:ascii="Arial" w:hAnsi="Arial" w:cs="Arial"/>
          <w:color w:val="7B7B7B" w:themeColor="accent3" w:themeShade="BF"/>
          <w:sz w:val="16"/>
          <w:szCs w:val="16"/>
        </w:rPr>
        <w:t>Langkjaer</w:t>
      </w:r>
      <w:proofErr w:type="spellEnd"/>
      <w:r w:rsidR="00C53C31" w:rsidRPr="001016D0">
        <w:rPr>
          <w:rFonts w:ascii="Arial" w:hAnsi="Arial" w:cs="Arial"/>
          <w:color w:val="7B7B7B" w:themeColor="accent3" w:themeShade="BF"/>
          <w:sz w:val="16"/>
          <w:szCs w:val="16"/>
        </w:rPr>
        <w:t xml:space="preserve"> and Eugenio Vaccari, Wiley Online Library, “</w:t>
      </w:r>
      <w:proofErr w:type="spellStart"/>
      <w:r w:rsidR="00C53C31" w:rsidRPr="001016D0">
        <w:rPr>
          <w:rFonts w:ascii="Arial" w:hAnsi="Arial" w:cs="Arial"/>
          <w:color w:val="7B7B7B" w:themeColor="accent3" w:themeShade="BF"/>
          <w:sz w:val="16"/>
          <w:szCs w:val="16"/>
        </w:rPr>
        <w:t>Harmonising</w:t>
      </w:r>
      <w:proofErr w:type="spellEnd"/>
      <w:r w:rsidR="00C53C31" w:rsidRPr="001016D0">
        <w:rPr>
          <w:rFonts w:ascii="Arial" w:hAnsi="Arial" w:cs="Arial"/>
          <w:color w:val="7B7B7B" w:themeColor="accent3" w:themeShade="BF"/>
          <w:sz w:val="16"/>
          <w:szCs w:val="16"/>
        </w:rPr>
        <w:t xml:space="preserve"> insolvency law in the EU: New thoughts on old ideas in the wake of the COVID-19 pandemic”, </w:t>
      </w:r>
      <w:hyperlink r:id="rId7" w:history="1">
        <w:r w:rsidR="00C53C31" w:rsidRPr="001016D0">
          <w:rPr>
            <w:rStyle w:val="Hyperlink"/>
            <w:rFonts w:ascii="Arial" w:hAnsi="Arial" w:cs="Arial"/>
            <w:sz w:val="16"/>
            <w:szCs w:val="16"/>
          </w:rPr>
          <w:t>https://onlinelibrary.wiley.com/doi/10.1002/iir.1432</w:t>
        </w:r>
      </w:hyperlink>
      <w:r w:rsidR="00C53C31" w:rsidRPr="001016D0">
        <w:rPr>
          <w:rFonts w:ascii="Arial" w:hAnsi="Arial" w:cs="Arial"/>
          <w:color w:val="7B7B7B" w:themeColor="accent3" w:themeShade="BF"/>
          <w:sz w:val="16"/>
          <w:szCs w:val="16"/>
        </w:rPr>
        <w:t xml:space="preserve">, published on 15 September 2021, accessed on </w:t>
      </w:r>
      <w:r w:rsidR="00EC0542" w:rsidRPr="001016D0">
        <w:rPr>
          <w:rFonts w:ascii="Arial" w:hAnsi="Arial" w:cs="Arial"/>
          <w:color w:val="7B7B7B" w:themeColor="accent3" w:themeShade="BF"/>
          <w:sz w:val="16"/>
          <w:szCs w:val="16"/>
        </w:rPr>
        <w:t>3</w:t>
      </w:r>
      <w:r w:rsidR="00C53C31" w:rsidRPr="001016D0">
        <w:rPr>
          <w:rFonts w:ascii="Arial" w:hAnsi="Arial" w:cs="Arial"/>
          <w:color w:val="7B7B7B" w:themeColor="accent3" w:themeShade="BF"/>
          <w:sz w:val="16"/>
          <w:szCs w:val="16"/>
        </w:rPr>
        <w:t xml:space="preserve"> February 2024</w:t>
      </w:r>
    </w:p>
  </w:footnote>
  <w:footnote w:id="90">
    <w:p w14:paraId="4C8BCC0F" w14:textId="5C129C06" w:rsidR="00432D9A" w:rsidRPr="001016D0" w:rsidRDefault="00432D9A"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6(1), Directive</w:t>
      </w:r>
    </w:p>
  </w:footnote>
  <w:footnote w:id="91">
    <w:p w14:paraId="495CFA10" w14:textId="4429C43A" w:rsidR="00432D9A" w:rsidRPr="001016D0" w:rsidRDefault="00432D9A"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9(1), Directive</w:t>
      </w:r>
    </w:p>
  </w:footnote>
  <w:footnote w:id="92">
    <w:p w14:paraId="49A79D12" w14:textId="01B4FF9F" w:rsidR="00432D9A" w:rsidRPr="001016D0" w:rsidRDefault="00432D9A" w:rsidP="00135C99">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9(4), Directive</w:t>
      </w:r>
    </w:p>
  </w:footnote>
  <w:footnote w:id="93">
    <w:p w14:paraId="4C8DA087" w14:textId="276084D9" w:rsidR="00432D9A" w:rsidRPr="001016D0" w:rsidRDefault="00432D9A"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9(6), Directive</w:t>
      </w:r>
    </w:p>
  </w:footnote>
  <w:footnote w:id="94">
    <w:p w14:paraId="57AC3493" w14:textId="1C80C292" w:rsidR="00DC4F3F" w:rsidRPr="001016D0" w:rsidRDefault="00DC4F3F"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Recital 55, Directive</w:t>
      </w:r>
    </w:p>
  </w:footnote>
  <w:footnote w:id="95">
    <w:p w14:paraId="07A738AD" w14:textId="6247088D" w:rsidR="00DC4F3F" w:rsidRPr="001016D0" w:rsidRDefault="00DC4F3F"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Recital 56, Directive</w:t>
      </w:r>
    </w:p>
  </w:footnote>
  <w:footnote w:id="96">
    <w:p w14:paraId="3FF11300" w14:textId="39019687" w:rsidR="00DC4F3F" w:rsidRPr="001016D0" w:rsidRDefault="00DC4F3F" w:rsidP="00135C99">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 xml:space="preserve">Stephen D Lerner, Squire Patton Boggs, Restructuring </w:t>
      </w:r>
      <w:proofErr w:type="spellStart"/>
      <w:r w:rsidRPr="001016D0">
        <w:rPr>
          <w:rFonts w:ascii="Arial" w:hAnsi="Arial" w:cs="Arial"/>
          <w:color w:val="7B7B7B" w:themeColor="accent3" w:themeShade="BF"/>
          <w:sz w:val="16"/>
          <w:szCs w:val="16"/>
        </w:rPr>
        <w:t>GlobalView</w:t>
      </w:r>
      <w:proofErr w:type="spellEnd"/>
      <w:r w:rsidRPr="001016D0">
        <w:rPr>
          <w:rFonts w:ascii="Arial" w:hAnsi="Arial" w:cs="Arial"/>
          <w:color w:val="7B7B7B" w:themeColor="accent3" w:themeShade="BF"/>
          <w:sz w:val="16"/>
          <w:szCs w:val="16"/>
        </w:rPr>
        <w:t xml:space="preserve">, “How does the EU Restructuring Directive compare to Chapter 11?”, </w:t>
      </w:r>
      <w:hyperlink r:id="rId8" w:history="1">
        <w:r w:rsidRPr="001016D0">
          <w:rPr>
            <w:rStyle w:val="Hyperlink"/>
            <w:rFonts w:ascii="Arial" w:hAnsi="Arial" w:cs="Arial"/>
            <w:sz w:val="16"/>
            <w:szCs w:val="16"/>
          </w:rPr>
          <w:t>https://www.restructuring-globalview.com/2019/11/how-does-the-eu-restructuring-directive-compare-to-chapter-11/</w:t>
        </w:r>
      </w:hyperlink>
      <w:r w:rsidRPr="001016D0">
        <w:rPr>
          <w:rFonts w:ascii="Arial" w:hAnsi="Arial" w:cs="Arial"/>
          <w:color w:val="7B7B7B" w:themeColor="accent3" w:themeShade="BF"/>
          <w:sz w:val="16"/>
          <w:szCs w:val="16"/>
        </w:rPr>
        <w:t xml:space="preserve">, published </w:t>
      </w:r>
      <w:r w:rsidR="00C53C31" w:rsidRPr="001016D0">
        <w:rPr>
          <w:rFonts w:ascii="Arial" w:hAnsi="Arial" w:cs="Arial"/>
          <w:color w:val="7B7B7B" w:themeColor="accent3" w:themeShade="BF"/>
          <w:sz w:val="16"/>
          <w:szCs w:val="16"/>
        </w:rPr>
        <w:t xml:space="preserve">on </w:t>
      </w:r>
      <w:r w:rsidRPr="001016D0">
        <w:rPr>
          <w:rFonts w:ascii="Arial" w:hAnsi="Arial" w:cs="Arial"/>
          <w:color w:val="7B7B7B" w:themeColor="accent3" w:themeShade="BF"/>
          <w:sz w:val="16"/>
          <w:szCs w:val="16"/>
        </w:rPr>
        <w:t xml:space="preserve">6 November 2019, accessed on </w:t>
      </w:r>
      <w:r w:rsidR="00EC0542" w:rsidRPr="001016D0">
        <w:rPr>
          <w:rFonts w:ascii="Arial" w:hAnsi="Arial" w:cs="Arial"/>
          <w:color w:val="7B7B7B" w:themeColor="accent3" w:themeShade="BF"/>
          <w:sz w:val="16"/>
          <w:szCs w:val="16"/>
        </w:rPr>
        <w:t xml:space="preserve">3 </w:t>
      </w:r>
      <w:r w:rsidRPr="001016D0">
        <w:rPr>
          <w:rFonts w:ascii="Arial" w:hAnsi="Arial" w:cs="Arial"/>
          <w:color w:val="7B7B7B" w:themeColor="accent3" w:themeShade="BF"/>
          <w:sz w:val="16"/>
          <w:szCs w:val="16"/>
        </w:rPr>
        <w:t>February 2024</w:t>
      </w:r>
    </w:p>
  </w:footnote>
  <w:footnote w:id="97">
    <w:p w14:paraId="33C9493C" w14:textId="214109C1" w:rsidR="00B93068" w:rsidRPr="001016D0" w:rsidRDefault="00B93068"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Ibid.</w:t>
      </w:r>
    </w:p>
  </w:footnote>
  <w:footnote w:id="98">
    <w:p w14:paraId="570FD654" w14:textId="629046D9" w:rsidR="00B93068" w:rsidRPr="001016D0" w:rsidRDefault="00B93068"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Ibid.</w:t>
      </w:r>
    </w:p>
  </w:footnote>
  <w:footnote w:id="99">
    <w:p w14:paraId="14B059C7" w14:textId="27BC3483" w:rsidR="00B93068" w:rsidRPr="001016D0" w:rsidRDefault="00B93068"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Ibid.</w:t>
      </w:r>
    </w:p>
  </w:footnote>
  <w:footnote w:id="100">
    <w:p w14:paraId="44308DED" w14:textId="77777777" w:rsidR="003567E3" w:rsidRPr="001016D0" w:rsidRDefault="003567E3"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Recital 22, Directive</w:t>
      </w:r>
    </w:p>
  </w:footnote>
  <w:footnote w:id="101">
    <w:p w14:paraId="73D3E99F" w14:textId="77777777" w:rsidR="00AC2E36" w:rsidRPr="001016D0" w:rsidRDefault="00AC2E36" w:rsidP="00135C99">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Republic of Ireland Department of Enterprise, Trade and Employment, “European Union (Preventive Restructuring) Regulations 2022 – Information Note)”, 2022, p 3</w:t>
      </w:r>
    </w:p>
  </w:footnote>
  <w:footnote w:id="102">
    <w:p w14:paraId="321A0D1B" w14:textId="54117D17" w:rsidR="0073609A" w:rsidRPr="0073609A" w:rsidRDefault="0073609A" w:rsidP="00161888">
      <w:pPr>
        <w:pStyle w:val="FootnoteText"/>
        <w:jc w:val="both"/>
        <w:rPr>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5(1), Directive</w:t>
      </w:r>
    </w:p>
  </w:footnote>
  <w:footnote w:id="103">
    <w:p w14:paraId="5EB0332D" w14:textId="27BC5CCB" w:rsidR="00992B3F" w:rsidRPr="002B2879" w:rsidRDefault="00992B3F" w:rsidP="00161888">
      <w:pPr>
        <w:pStyle w:val="FootnoteText"/>
        <w:jc w:val="both"/>
        <w:rPr>
          <w:rFonts w:ascii="Arial" w:hAnsi="Arial" w:cs="Arial"/>
          <w:sz w:val="16"/>
          <w:szCs w:val="16"/>
          <w:lang w:val="en-GB"/>
        </w:rPr>
      </w:pPr>
      <w:r w:rsidRPr="002B2879">
        <w:rPr>
          <w:rStyle w:val="FootnoteReference"/>
          <w:rFonts w:ascii="Arial" w:hAnsi="Arial" w:cs="Arial"/>
          <w:sz w:val="16"/>
          <w:szCs w:val="16"/>
        </w:rPr>
        <w:footnoteRef/>
      </w:r>
      <w:r w:rsidRPr="002B2879">
        <w:rPr>
          <w:rFonts w:ascii="Arial" w:hAnsi="Arial" w:cs="Arial"/>
          <w:sz w:val="16"/>
          <w:szCs w:val="16"/>
        </w:rPr>
        <w:t xml:space="preserve"> </w:t>
      </w:r>
      <w:r w:rsidRPr="002B2879">
        <w:rPr>
          <w:rFonts w:ascii="Arial" w:hAnsi="Arial" w:cs="Arial"/>
          <w:color w:val="7B7B7B" w:themeColor="accent3" w:themeShade="BF"/>
          <w:sz w:val="16"/>
          <w:szCs w:val="16"/>
        </w:rPr>
        <w:t>Article 1(1), EIR Recast</w:t>
      </w:r>
    </w:p>
  </w:footnote>
  <w:footnote w:id="104">
    <w:p w14:paraId="34B70F2A" w14:textId="77777777" w:rsidR="008F7804" w:rsidRPr="001016D0" w:rsidRDefault="008F7804" w:rsidP="00135C99">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47, EIR 2000</w:t>
      </w:r>
    </w:p>
  </w:footnote>
  <w:footnote w:id="105">
    <w:p w14:paraId="6DCD92A0" w14:textId="77777777" w:rsidR="008F7804" w:rsidRPr="001016D0" w:rsidRDefault="008F7804" w:rsidP="00135C99">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Recital 33, EIR 2000</w:t>
      </w:r>
    </w:p>
  </w:footnote>
  <w:footnote w:id="106">
    <w:p w14:paraId="130624D0" w14:textId="76B8DFC0" w:rsidR="004E4825" w:rsidRPr="001016D0" w:rsidRDefault="004E4825"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The United Kingdom left the EU on 31 January 2020</w:t>
      </w:r>
    </w:p>
  </w:footnote>
  <w:footnote w:id="107">
    <w:p w14:paraId="35CF974B" w14:textId="4AD60DB6" w:rsidR="008F7804" w:rsidRPr="001016D0" w:rsidRDefault="008F7804" w:rsidP="00135C99">
      <w:pPr>
        <w:jc w:val="both"/>
        <w:rPr>
          <w:rFonts w:ascii="Arial" w:hAnsi="Arial" w:cs="Arial"/>
          <w:color w:val="7B7B7B" w:themeColor="accent3" w:themeShade="BF"/>
          <w:sz w:val="16"/>
          <w:szCs w:val="16"/>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 xml:space="preserve">Céline Domenget Morin and Loris Julia, Goodwin Procter LLP, “Restructuring mechanisms in France and recent developments”, </w:t>
      </w:r>
      <w:hyperlink r:id="rId9" w:history="1">
        <w:r w:rsidRPr="001016D0">
          <w:rPr>
            <w:rStyle w:val="Hyperlink"/>
            <w:rFonts w:ascii="Arial" w:hAnsi="Arial" w:cs="Arial"/>
            <w:sz w:val="16"/>
            <w:szCs w:val="16"/>
          </w:rPr>
          <w:t>https://globalrestructuringreview.com/review/europe-middle-east-and-africa-restructuring-review/2023/article/restructuring-mechanisms-in-france-and-recent-developments</w:t>
        </w:r>
      </w:hyperlink>
      <w:r w:rsidRPr="001016D0">
        <w:rPr>
          <w:rFonts w:ascii="Arial" w:hAnsi="Arial" w:cs="Arial"/>
          <w:color w:val="7B7B7B" w:themeColor="accent3" w:themeShade="BF"/>
          <w:sz w:val="16"/>
          <w:szCs w:val="16"/>
        </w:rPr>
        <w:t xml:space="preserve">, published on 24 March 2023, accessed on </w:t>
      </w:r>
      <w:r w:rsidR="00EC0542" w:rsidRPr="001016D0">
        <w:rPr>
          <w:rFonts w:ascii="Arial" w:hAnsi="Arial" w:cs="Arial"/>
          <w:color w:val="7B7B7B" w:themeColor="accent3" w:themeShade="BF"/>
          <w:sz w:val="16"/>
          <w:szCs w:val="16"/>
        </w:rPr>
        <w:t>3</w:t>
      </w:r>
      <w:r w:rsidRPr="001016D0">
        <w:rPr>
          <w:rFonts w:ascii="Arial" w:hAnsi="Arial" w:cs="Arial"/>
          <w:color w:val="7B7B7B" w:themeColor="accent3" w:themeShade="BF"/>
          <w:sz w:val="16"/>
          <w:szCs w:val="16"/>
        </w:rPr>
        <w:t xml:space="preserve"> February 2024</w:t>
      </w:r>
    </w:p>
  </w:footnote>
  <w:footnote w:id="108">
    <w:p w14:paraId="7E0D9463" w14:textId="77777777" w:rsidR="00BA073C" w:rsidRPr="001016D0" w:rsidRDefault="00BA073C" w:rsidP="00BA073C">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1(1), EIR 2000</w:t>
      </w:r>
    </w:p>
  </w:footnote>
  <w:footnote w:id="109">
    <w:p w14:paraId="6A028C27" w14:textId="77777777" w:rsidR="00BA073C" w:rsidRPr="001016D0" w:rsidRDefault="00BA073C" w:rsidP="00BA073C">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Article 2(a), EIR 2000</w:t>
      </w:r>
    </w:p>
  </w:footnote>
  <w:footnote w:id="110">
    <w:p w14:paraId="7EC7AD79" w14:textId="77777777" w:rsidR="00BA073C" w:rsidRPr="001016D0" w:rsidRDefault="00BA073C" w:rsidP="00BA073C">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Recital 9, EIR 2000</w:t>
      </w:r>
    </w:p>
  </w:footnote>
  <w:footnote w:id="111">
    <w:p w14:paraId="73210F7F" w14:textId="77777777" w:rsidR="008F7804" w:rsidRPr="001016D0" w:rsidRDefault="008F7804"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Recital 12, EIR 2000</w:t>
      </w:r>
    </w:p>
  </w:footnote>
  <w:footnote w:id="112">
    <w:p w14:paraId="565C80CF" w14:textId="77777777" w:rsidR="008F7804" w:rsidRPr="00161888" w:rsidRDefault="008F7804" w:rsidP="00135C99">
      <w:pPr>
        <w:pStyle w:val="FootnoteText"/>
        <w:jc w:val="both"/>
        <w:rPr>
          <w:rFonts w:ascii="Arial" w:hAnsi="Arial" w:cs="Arial"/>
          <w:sz w:val="16"/>
          <w:szCs w:val="16"/>
          <w:lang w:val="en-GB"/>
        </w:rPr>
      </w:pPr>
      <w:r w:rsidRPr="001016D0">
        <w:rPr>
          <w:rStyle w:val="FootnoteReference"/>
          <w:rFonts w:ascii="Arial" w:hAnsi="Arial" w:cs="Arial"/>
          <w:sz w:val="16"/>
          <w:szCs w:val="16"/>
        </w:rPr>
        <w:footnoteRef/>
      </w:r>
      <w:r w:rsidRPr="001016D0">
        <w:rPr>
          <w:rFonts w:ascii="Arial" w:hAnsi="Arial" w:cs="Arial"/>
          <w:sz w:val="16"/>
          <w:szCs w:val="16"/>
        </w:rPr>
        <w:t xml:space="preserve"> </w:t>
      </w:r>
      <w:r w:rsidRPr="001016D0">
        <w:rPr>
          <w:rFonts w:ascii="Arial" w:hAnsi="Arial" w:cs="Arial"/>
          <w:color w:val="7B7B7B" w:themeColor="accent3" w:themeShade="BF"/>
          <w:sz w:val="16"/>
          <w:szCs w:val="16"/>
        </w:rPr>
        <w:t>Recital 14, EIR 2000</w:t>
      </w:r>
    </w:p>
  </w:footnote>
  <w:footnote w:id="113">
    <w:p w14:paraId="1C473DDF" w14:textId="77777777" w:rsidR="008F7804" w:rsidRPr="009517D6" w:rsidRDefault="008F7804" w:rsidP="00135C99">
      <w:pPr>
        <w:pStyle w:val="FootnoteText"/>
        <w:jc w:val="both"/>
        <w:rPr>
          <w:rFonts w:ascii="Arial" w:hAnsi="Arial" w:cs="Arial"/>
          <w:sz w:val="16"/>
          <w:szCs w:val="16"/>
          <w:lang w:val="en-GB"/>
        </w:rPr>
      </w:pPr>
      <w:r w:rsidRPr="00161888">
        <w:rPr>
          <w:rStyle w:val="FootnoteReference"/>
          <w:rFonts w:ascii="Arial" w:hAnsi="Arial" w:cs="Arial"/>
          <w:sz w:val="16"/>
          <w:szCs w:val="16"/>
        </w:rPr>
        <w:footnoteRef/>
      </w:r>
      <w:r w:rsidRPr="00161888">
        <w:rPr>
          <w:rFonts w:ascii="Arial" w:hAnsi="Arial" w:cs="Arial"/>
          <w:sz w:val="16"/>
          <w:szCs w:val="16"/>
        </w:rPr>
        <w:t xml:space="preserve"> </w:t>
      </w:r>
      <w:r w:rsidRPr="00161888">
        <w:rPr>
          <w:rFonts w:ascii="Arial" w:hAnsi="Arial" w:cs="Arial"/>
          <w:color w:val="7B7B7B" w:themeColor="accent3" w:themeShade="BF"/>
          <w:sz w:val="16"/>
          <w:szCs w:val="16"/>
        </w:rPr>
        <w:t>Recital 9, EIR 2000</w:t>
      </w:r>
    </w:p>
  </w:footnote>
  <w:footnote w:id="114">
    <w:p w14:paraId="626C8EFA" w14:textId="1A561F72" w:rsidR="00E66622" w:rsidRPr="00E66622" w:rsidRDefault="00E66622" w:rsidP="00135C99">
      <w:pPr>
        <w:pStyle w:val="FootnoteText"/>
        <w:jc w:val="both"/>
        <w:rPr>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009D4F94">
        <w:rPr>
          <w:rFonts w:ascii="Arial" w:hAnsi="Arial" w:cs="Arial"/>
          <w:color w:val="7B7B7B" w:themeColor="accent3" w:themeShade="BF"/>
          <w:sz w:val="16"/>
          <w:szCs w:val="16"/>
        </w:rPr>
        <w:t>Ibid.</w:t>
      </w:r>
    </w:p>
  </w:footnote>
  <w:footnote w:id="115">
    <w:p w14:paraId="6E4DD7A7" w14:textId="77777777" w:rsidR="004D6EB7" w:rsidRPr="009517D6" w:rsidRDefault="004D6EB7" w:rsidP="00135C99">
      <w:pPr>
        <w:jc w:val="both"/>
        <w:rPr>
          <w:rFonts w:ascii="Arial" w:hAnsi="Arial" w:cs="Arial"/>
          <w:color w:val="7B7B7B" w:themeColor="accent3" w:themeShade="BF"/>
          <w:sz w:val="16"/>
          <w:szCs w:val="16"/>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Allen &amp; Overy, “Restructuring Across Borders. France: Corporate restructuring and insolvency procedures: March 2020”, 2020, p 4</w:t>
      </w:r>
    </w:p>
  </w:footnote>
  <w:footnote w:id="116">
    <w:p w14:paraId="3B572265" w14:textId="77777777" w:rsidR="004D6EB7" w:rsidRPr="009517D6" w:rsidRDefault="004D6EB7" w:rsidP="00135C9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Recital 10, EIR Recast</w:t>
      </w:r>
    </w:p>
  </w:footnote>
  <w:footnote w:id="117">
    <w:p w14:paraId="5625CA70" w14:textId="594FD832" w:rsidR="00573901" w:rsidRPr="00D91E1D" w:rsidRDefault="00573901" w:rsidP="00135C99">
      <w:pPr>
        <w:pStyle w:val="FootnoteText"/>
        <w:jc w:val="both"/>
        <w:rPr>
          <w:rFonts w:ascii="Arial" w:hAnsi="Arial" w:cs="Arial"/>
          <w:sz w:val="16"/>
          <w:szCs w:val="16"/>
          <w:highlight w:val="green"/>
          <w:lang w:val="en-GB"/>
        </w:rPr>
      </w:pPr>
      <w:r w:rsidRPr="00837939">
        <w:rPr>
          <w:rStyle w:val="FootnoteReference"/>
          <w:rFonts w:ascii="Arial" w:hAnsi="Arial" w:cs="Arial"/>
          <w:sz w:val="16"/>
          <w:szCs w:val="16"/>
        </w:rPr>
        <w:footnoteRef/>
      </w:r>
      <w:r w:rsidRPr="00837939">
        <w:rPr>
          <w:rFonts w:ascii="Arial" w:hAnsi="Arial" w:cs="Arial"/>
          <w:sz w:val="16"/>
          <w:szCs w:val="16"/>
        </w:rPr>
        <w:t xml:space="preserve"> </w:t>
      </w:r>
      <w:r w:rsidR="00837939" w:rsidRPr="00837939">
        <w:rPr>
          <w:rFonts w:ascii="Arial" w:hAnsi="Arial" w:cs="Arial"/>
          <w:color w:val="7B7B7B" w:themeColor="accent3" w:themeShade="BF"/>
          <w:sz w:val="16"/>
          <w:szCs w:val="16"/>
        </w:rPr>
        <w:t>Case C-341/04, ECLI:EU:C:2006:281 (2 May 2006)</w:t>
      </w:r>
    </w:p>
  </w:footnote>
  <w:footnote w:id="118">
    <w:p w14:paraId="7B4BB847" w14:textId="6A724A49" w:rsidR="00EC3CEE" w:rsidRPr="009517D6" w:rsidRDefault="00EC3CEE" w:rsidP="00135C99">
      <w:pPr>
        <w:pStyle w:val="FootnoteText"/>
        <w:jc w:val="both"/>
        <w:rPr>
          <w:rFonts w:ascii="Arial" w:hAnsi="Arial" w:cs="Arial"/>
          <w:sz w:val="16"/>
          <w:szCs w:val="16"/>
          <w:lang w:val="en-GB"/>
        </w:rPr>
      </w:pPr>
      <w:r w:rsidRPr="00837939">
        <w:rPr>
          <w:rStyle w:val="FootnoteReference"/>
          <w:rFonts w:ascii="Arial" w:hAnsi="Arial" w:cs="Arial"/>
          <w:sz w:val="16"/>
          <w:szCs w:val="16"/>
        </w:rPr>
        <w:footnoteRef/>
      </w:r>
      <w:r w:rsidRPr="00837939">
        <w:rPr>
          <w:rFonts w:ascii="Arial" w:hAnsi="Arial" w:cs="Arial"/>
          <w:sz w:val="16"/>
          <w:szCs w:val="16"/>
        </w:rPr>
        <w:t xml:space="preserve"> </w:t>
      </w:r>
      <w:r w:rsidR="00837939" w:rsidRPr="00837939">
        <w:rPr>
          <w:rFonts w:ascii="Arial" w:hAnsi="Arial" w:cs="Arial"/>
          <w:color w:val="7B7B7B" w:themeColor="accent3" w:themeShade="BF"/>
          <w:sz w:val="16"/>
          <w:szCs w:val="16"/>
        </w:rPr>
        <w:t>Ibid.</w:t>
      </w:r>
      <w:r w:rsidRPr="00837939">
        <w:rPr>
          <w:rFonts w:ascii="Arial" w:hAnsi="Arial" w:cs="Arial"/>
          <w:color w:val="7B7B7B" w:themeColor="accent3" w:themeShade="BF"/>
          <w:sz w:val="16"/>
          <w:szCs w:val="16"/>
        </w:rPr>
        <w:t>, paragraph 33</w:t>
      </w:r>
    </w:p>
  </w:footnote>
  <w:footnote w:id="119">
    <w:p w14:paraId="22F803E3" w14:textId="23D0B51C" w:rsidR="00CD74C6" w:rsidRPr="009517D6" w:rsidRDefault="00CD74C6" w:rsidP="00135C9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Article 3(1), EIR Recast</w:t>
      </w:r>
    </w:p>
  </w:footnote>
  <w:footnote w:id="120">
    <w:p w14:paraId="7338C8C3" w14:textId="3720CC23" w:rsidR="00CD74C6" w:rsidRPr="009517D6" w:rsidRDefault="00CD74C6" w:rsidP="00135C9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00161888">
        <w:rPr>
          <w:rFonts w:ascii="Arial" w:hAnsi="Arial" w:cs="Arial"/>
          <w:color w:val="7B7B7B" w:themeColor="accent3" w:themeShade="BF"/>
          <w:sz w:val="16"/>
          <w:szCs w:val="16"/>
        </w:rPr>
        <w:t>Ibid.</w:t>
      </w:r>
    </w:p>
  </w:footnote>
  <w:footnote w:id="121">
    <w:p w14:paraId="4CBAD119" w14:textId="209FEDF5" w:rsidR="008C2569" w:rsidRPr="009517D6" w:rsidRDefault="008C2569" w:rsidP="00135C9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808080" w:themeColor="background1" w:themeShade="80"/>
          <w:sz w:val="16"/>
          <w:szCs w:val="16"/>
          <w:lang w:val="en-GB"/>
        </w:rPr>
        <w:t xml:space="preserve">Professor </w:t>
      </w:r>
      <w:r w:rsidRPr="009517D6">
        <w:rPr>
          <w:rFonts w:ascii="Arial" w:hAnsi="Arial" w:cs="Arial"/>
          <w:color w:val="808080" w:themeColor="background1" w:themeShade="80"/>
          <w:sz w:val="16"/>
          <w:szCs w:val="16"/>
        </w:rPr>
        <w:t xml:space="preserve">Bob Wessels and </w:t>
      </w:r>
      <w:proofErr w:type="spellStart"/>
      <w:r w:rsidRPr="009517D6">
        <w:rPr>
          <w:rFonts w:ascii="Arial" w:hAnsi="Arial" w:cs="Arial"/>
          <w:color w:val="808080" w:themeColor="background1" w:themeShade="80"/>
          <w:sz w:val="16"/>
          <w:szCs w:val="16"/>
        </w:rPr>
        <w:t>Mr</w:t>
      </w:r>
      <w:proofErr w:type="spellEnd"/>
      <w:r w:rsidRPr="009517D6">
        <w:rPr>
          <w:rFonts w:ascii="Arial" w:hAnsi="Arial" w:cs="Arial"/>
          <w:color w:val="808080" w:themeColor="background1" w:themeShade="80"/>
          <w:sz w:val="16"/>
          <w:szCs w:val="16"/>
        </w:rPr>
        <w:t xml:space="preserve"> Ilya Kokorin</w:t>
      </w:r>
      <w:r w:rsidRPr="009517D6">
        <w:rPr>
          <w:rFonts w:ascii="Arial" w:hAnsi="Arial" w:cs="Arial"/>
          <w:color w:val="808080" w:themeColor="background1" w:themeShade="80"/>
          <w:sz w:val="16"/>
          <w:szCs w:val="16"/>
          <w:lang w:val="en-GB"/>
        </w:rPr>
        <w:t>,</w:t>
      </w:r>
      <w:r w:rsidRPr="009517D6">
        <w:rPr>
          <w:rFonts w:ascii="Arial" w:hAnsi="Arial" w:cs="Arial"/>
          <w:color w:val="808080" w:themeColor="background1" w:themeShade="80"/>
          <w:sz w:val="16"/>
          <w:szCs w:val="16"/>
        </w:rPr>
        <w:t xml:space="preserve"> text updated for 2020/2021, 2021/2022, 2022/2023 and 2023/2024 by Dr Emilie Ghio,</w:t>
      </w:r>
      <w:r w:rsidRPr="009517D6">
        <w:rPr>
          <w:rFonts w:ascii="Arial" w:hAnsi="Arial" w:cs="Arial"/>
          <w:color w:val="808080" w:themeColor="background1" w:themeShade="80"/>
          <w:sz w:val="16"/>
          <w:szCs w:val="16"/>
          <w:lang w:val="en-GB"/>
        </w:rPr>
        <w:t xml:space="preserve"> “INSOL International, Foundation Certificate in International Insolvency Law, Module </w:t>
      </w:r>
      <w:r w:rsidRPr="009517D6">
        <w:rPr>
          <w:rFonts w:ascii="Arial" w:hAnsi="Arial" w:cs="Arial"/>
          <w:color w:val="808080" w:themeColor="background1" w:themeShade="80"/>
          <w:sz w:val="16"/>
          <w:szCs w:val="16"/>
        </w:rPr>
        <w:t>2B</w:t>
      </w:r>
      <w:r w:rsidRPr="009517D6">
        <w:rPr>
          <w:rFonts w:ascii="Arial" w:hAnsi="Arial" w:cs="Arial"/>
          <w:color w:val="808080" w:themeColor="background1" w:themeShade="80"/>
          <w:sz w:val="16"/>
          <w:szCs w:val="16"/>
          <w:lang w:val="en-GB"/>
        </w:rPr>
        <w:t xml:space="preserve"> Guidance Text, </w:t>
      </w:r>
      <w:r w:rsidRPr="009517D6">
        <w:rPr>
          <w:rFonts w:ascii="Arial" w:hAnsi="Arial" w:cs="Arial"/>
          <w:color w:val="808080" w:themeColor="background1" w:themeShade="80"/>
          <w:sz w:val="16"/>
          <w:szCs w:val="16"/>
        </w:rPr>
        <w:t>The European Insolvency Regulation</w:t>
      </w:r>
      <w:r w:rsidRPr="009517D6">
        <w:rPr>
          <w:rFonts w:ascii="Arial" w:hAnsi="Arial" w:cs="Arial"/>
          <w:color w:val="808080" w:themeColor="background1" w:themeShade="80"/>
          <w:sz w:val="16"/>
          <w:szCs w:val="16"/>
          <w:lang w:val="en-GB"/>
        </w:rPr>
        <w:t xml:space="preserve"> 2023/2024”, p </w:t>
      </w:r>
      <w:proofErr w:type="gramStart"/>
      <w:r w:rsidRPr="009517D6">
        <w:rPr>
          <w:rFonts w:ascii="Arial" w:hAnsi="Arial" w:cs="Arial"/>
          <w:color w:val="808080" w:themeColor="background1" w:themeShade="80"/>
          <w:sz w:val="16"/>
          <w:szCs w:val="16"/>
        </w:rPr>
        <w:t>16</w:t>
      </w:r>
      <w:proofErr w:type="gramEnd"/>
    </w:p>
  </w:footnote>
  <w:footnote w:id="122">
    <w:p w14:paraId="3A8BEF5C" w14:textId="21FB8E3D" w:rsidR="008C2569" w:rsidRPr="009517D6" w:rsidRDefault="008C2569" w:rsidP="00135C9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Article 3(1), EIR Recast</w:t>
      </w:r>
    </w:p>
  </w:footnote>
  <w:footnote w:id="123">
    <w:p w14:paraId="0E7FE07D" w14:textId="2B506744" w:rsidR="00CD74C6" w:rsidRPr="00CD74C6" w:rsidRDefault="00CD74C6" w:rsidP="00135C99">
      <w:pPr>
        <w:pStyle w:val="FootnoteText"/>
        <w:jc w:val="both"/>
        <w:rPr>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00161888">
        <w:rPr>
          <w:rFonts w:ascii="Arial" w:hAnsi="Arial" w:cs="Arial"/>
          <w:color w:val="7B7B7B" w:themeColor="accent3" w:themeShade="BF"/>
          <w:sz w:val="16"/>
          <w:szCs w:val="16"/>
        </w:rPr>
        <w:t>Ibid.</w:t>
      </w:r>
    </w:p>
  </w:footnote>
  <w:footnote w:id="124">
    <w:p w14:paraId="4A703CFA" w14:textId="7B2ED84F" w:rsidR="00561A78" w:rsidRPr="009517D6" w:rsidRDefault="00561A78" w:rsidP="00135C9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Recital 9, EIR Recast</w:t>
      </w:r>
    </w:p>
  </w:footnote>
  <w:footnote w:id="125">
    <w:p w14:paraId="66E52F3D" w14:textId="0AC110DF" w:rsidR="00561A78" w:rsidRPr="009517D6" w:rsidRDefault="00561A78" w:rsidP="00135C9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Article 1(2), EIR Recast</w:t>
      </w:r>
    </w:p>
  </w:footnote>
  <w:footnote w:id="126">
    <w:p w14:paraId="4C655AB2" w14:textId="3720C9F1" w:rsidR="00B60FFD" w:rsidRPr="009517D6" w:rsidRDefault="00B60FFD" w:rsidP="00995A8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00C40ED4" w:rsidRPr="009517D6">
        <w:rPr>
          <w:rFonts w:ascii="Arial" w:hAnsi="Arial" w:cs="Arial"/>
          <w:color w:val="7B7B7B" w:themeColor="accent3" w:themeShade="BF"/>
          <w:sz w:val="16"/>
          <w:szCs w:val="16"/>
        </w:rPr>
        <w:t>Recital 9 and A</w:t>
      </w:r>
      <w:r w:rsidRPr="009517D6">
        <w:rPr>
          <w:rFonts w:ascii="Arial" w:hAnsi="Arial" w:cs="Arial"/>
          <w:color w:val="7B7B7B" w:themeColor="accent3" w:themeShade="BF"/>
          <w:sz w:val="16"/>
          <w:szCs w:val="16"/>
        </w:rPr>
        <w:t>rticle 2(4), EIR Recast</w:t>
      </w:r>
    </w:p>
  </w:footnote>
  <w:footnote w:id="127">
    <w:p w14:paraId="62ABEA04" w14:textId="4C929F11" w:rsidR="00B60FFD" w:rsidRPr="009517D6" w:rsidRDefault="00B60FFD" w:rsidP="00995A8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Annex A, EIR Recast</w:t>
      </w:r>
    </w:p>
  </w:footnote>
  <w:footnote w:id="128">
    <w:p w14:paraId="5FC310D3" w14:textId="125A0D71" w:rsidR="008A2A24" w:rsidRPr="009517D6" w:rsidRDefault="008A2A24" w:rsidP="00995A8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A</w:t>
      </w:r>
      <w:r w:rsidR="00D91E1D">
        <w:rPr>
          <w:rFonts w:ascii="Arial" w:hAnsi="Arial" w:cs="Arial"/>
          <w:color w:val="7B7B7B" w:themeColor="accent3" w:themeShade="BF"/>
          <w:sz w:val="16"/>
          <w:szCs w:val="16"/>
        </w:rPr>
        <w:t>rticle</w:t>
      </w:r>
      <w:r w:rsidRPr="009517D6">
        <w:rPr>
          <w:rFonts w:ascii="Arial" w:hAnsi="Arial" w:cs="Arial"/>
          <w:color w:val="7B7B7B" w:themeColor="accent3" w:themeShade="BF"/>
          <w:sz w:val="16"/>
          <w:szCs w:val="16"/>
        </w:rPr>
        <w:t xml:space="preserve"> 84(1), EIR Recast</w:t>
      </w:r>
    </w:p>
  </w:footnote>
  <w:footnote w:id="129">
    <w:p w14:paraId="59D2EA9A" w14:textId="6528A75A" w:rsidR="00EB59B6" w:rsidRPr="009517D6" w:rsidRDefault="00EB59B6" w:rsidP="00995A8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Article 3(2), EIR Recast</w:t>
      </w:r>
    </w:p>
  </w:footnote>
  <w:footnote w:id="130">
    <w:p w14:paraId="7759D283" w14:textId="07042BCF" w:rsidR="00EB59B6" w:rsidRPr="00EB59B6" w:rsidRDefault="00EB59B6" w:rsidP="00995A89">
      <w:pPr>
        <w:pStyle w:val="FootnoteText"/>
        <w:jc w:val="both"/>
        <w:rPr>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Recital 23, EIR Recast</w:t>
      </w:r>
    </w:p>
  </w:footnote>
  <w:footnote w:id="131">
    <w:p w14:paraId="2EA18F81" w14:textId="002AFA48" w:rsidR="00EB59B6" w:rsidRPr="009517D6" w:rsidRDefault="00EB59B6" w:rsidP="00995A8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Recital 40, EIR Recast</w:t>
      </w:r>
    </w:p>
  </w:footnote>
  <w:footnote w:id="132">
    <w:p w14:paraId="519A75D4" w14:textId="2BD2B693" w:rsidR="00EB59B6" w:rsidRPr="009517D6" w:rsidRDefault="00EB59B6" w:rsidP="00995A89">
      <w:pPr>
        <w:pStyle w:val="FootnoteText"/>
        <w:jc w:val="both"/>
        <w:rPr>
          <w:rFonts w:ascii="Arial" w:hAnsi="Arial" w:cs="Arial"/>
          <w:sz w:val="16"/>
          <w:szCs w:val="16"/>
          <w:lang w:val="en-GB"/>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808080" w:themeColor="background1" w:themeShade="80"/>
          <w:sz w:val="16"/>
          <w:szCs w:val="16"/>
          <w:lang w:val="en-GB"/>
        </w:rPr>
        <w:t xml:space="preserve">Professor </w:t>
      </w:r>
      <w:r w:rsidRPr="009517D6">
        <w:rPr>
          <w:rFonts w:ascii="Arial" w:hAnsi="Arial" w:cs="Arial"/>
          <w:color w:val="808080" w:themeColor="background1" w:themeShade="80"/>
          <w:sz w:val="16"/>
          <w:szCs w:val="16"/>
        </w:rPr>
        <w:t xml:space="preserve">Bob Wessels and </w:t>
      </w:r>
      <w:proofErr w:type="spellStart"/>
      <w:r w:rsidRPr="009517D6">
        <w:rPr>
          <w:rFonts w:ascii="Arial" w:hAnsi="Arial" w:cs="Arial"/>
          <w:color w:val="808080" w:themeColor="background1" w:themeShade="80"/>
          <w:sz w:val="16"/>
          <w:szCs w:val="16"/>
        </w:rPr>
        <w:t>Mr</w:t>
      </w:r>
      <w:proofErr w:type="spellEnd"/>
      <w:r w:rsidRPr="009517D6">
        <w:rPr>
          <w:rFonts w:ascii="Arial" w:hAnsi="Arial" w:cs="Arial"/>
          <w:color w:val="808080" w:themeColor="background1" w:themeShade="80"/>
          <w:sz w:val="16"/>
          <w:szCs w:val="16"/>
        </w:rPr>
        <w:t xml:space="preserve"> Ilya Kokorin</w:t>
      </w:r>
      <w:r w:rsidRPr="009517D6">
        <w:rPr>
          <w:rFonts w:ascii="Arial" w:hAnsi="Arial" w:cs="Arial"/>
          <w:color w:val="808080" w:themeColor="background1" w:themeShade="80"/>
          <w:sz w:val="16"/>
          <w:szCs w:val="16"/>
          <w:lang w:val="en-GB"/>
        </w:rPr>
        <w:t>,</w:t>
      </w:r>
      <w:r w:rsidRPr="009517D6">
        <w:rPr>
          <w:rFonts w:ascii="Arial" w:hAnsi="Arial" w:cs="Arial"/>
          <w:color w:val="808080" w:themeColor="background1" w:themeShade="80"/>
          <w:sz w:val="16"/>
          <w:szCs w:val="16"/>
        </w:rPr>
        <w:t xml:space="preserve"> text updated for 2020/2021, 2021/2022, 2022/2023 and 2023/2024 by Dr Emilie Ghio,</w:t>
      </w:r>
      <w:r w:rsidRPr="009517D6">
        <w:rPr>
          <w:rFonts w:ascii="Arial" w:hAnsi="Arial" w:cs="Arial"/>
          <w:color w:val="808080" w:themeColor="background1" w:themeShade="80"/>
          <w:sz w:val="16"/>
          <w:szCs w:val="16"/>
          <w:lang w:val="en-GB"/>
        </w:rPr>
        <w:t xml:space="preserve"> “INSOL International, Foundation Certificate in International Insolvency Law, Module </w:t>
      </w:r>
      <w:r w:rsidRPr="009517D6">
        <w:rPr>
          <w:rFonts w:ascii="Arial" w:hAnsi="Arial" w:cs="Arial"/>
          <w:color w:val="808080" w:themeColor="background1" w:themeShade="80"/>
          <w:sz w:val="16"/>
          <w:szCs w:val="16"/>
        </w:rPr>
        <w:t>2B</w:t>
      </w:r>
      <w:r w:rsidRPr="009517D6">
        <w:rPr>
          <w:rFonts w:ascii="Arial" w:hAnsi="Arial" w:cs="Arial"/>
          <w:color w:val="808080" w:themeColor="background1" w:themeShade="80"/>
          <w:sz w:val="16"/>
          <w:szCs w:val="16"/>
          <w:lang w:val="en-GB"/>
        </w:rPr>
        <w:t xml:space="preserve"> Guidance Text, </w:t>
      </w:r>
      <w:r w:rsidRPr="009517D6">
        <w:rPr>
          <w:rFonts w:ascii="Arial" w:hAnsi="Arial" w:cs="Arial"/>
          <w:color w:val="808080" w:themeColor="background1" w:themeShade="80"/>
          <w:sz w:val="16"/>
          <w:szCs w:val="16"/>
        </w:rPr>
        <w:t>The European Insolvency Regulation</w:t>
      </w:r>
      <w:r w:rsidRPr="009517D6">
        <w:rPr>
          <w:rFonts w:ascii="Arial" w:hAnsi="Arial" w:cs="Arial"/>
          <w:color w:val="808080" w:themeColor="background1" w:themeShade="80"/>
          <w:sz w:val="16"/>
          <w:szCs w:val="16"/>
          <w:lang w:val="en-GB"/>
        </w:rPr>
        <w:t xml:space="preserve"> 2023/2024”, p </w:t>
      </w:r>
      <w:proofErr w:type="gramStart"/>
      <w:r w:rsidRPr="009517D6">
        <w:rPr>
          <w:rFonts w:ascii="Arial" w:hAnsi="Arial" w:cs="Arial"/>
          <w:color w:val="808080" w:themeColor="background1" w:themeShade="80"/>
          <w:sz w:val="16"/>
          <w:szCs w:val="16"/>
        </w:rPr>
        <w:t>20</w:t>
      </w:r>
      <w:proofErr w:type="gramEnd"/>
    </w:p>
  </w:footnote>
  <w:footnote w:id="133">
    <w:p w14:paraId="4C8C1280" w14:textId="502F4742" w:rsidR="00EB59B6" w:rsidRPr="009517D6" w:rsidRDefault="00EB59B6" w:rsidP="00995A89">
      <w:pPr>
        <w:jc w:val="both"/>
        <w:rPr>
          <w:rFonts w:ascii="Arial" w:hAnsi="Arial" w:cs="Arial"/>
          <w:color w:val="7B7B7B" w:themeColor="accent3" w:themeShade="BF"/>
          <w:sz w:val="16"/>
          <w:szCs w:val="16"/>
        </w:rPr>
      </w:pPr>
      <w:r w:rsidRPr="009517D6">
        <w:rPr>
          <w:rStyle w:val="FootnoteReference"/>
          <w:rFonts w:ascii="Arial" w:hAnsi="Arial" w:cs="Arial"/>
          <w:sz w:val="16"/>
          <w:szCs w:val="16"/>
        </w:rPr>
        <w:footnoteRef/>
      </w:r>
      <w:r w:rsidRPr="009517D6">
        <w:rPr>
          <w:rFonts w:ascii="Arial" w:hAnsi="Arial" w:cs="Arial"/>
          <w:sz w:val="16"/>
          <w:szCs w:val="16"/>
        </w:rPr>
        <w:t xml:space="preserve"> </w:t>
      </w:r>
      <w:r w:rsidRPr="009517D6">
        <w:rPr>
          <w:rFonts w:ascii="Arial" w:hAnsi="Arial" w:cs="Arial"/>
          <w:color w:val="7B7B7B" w:themeColor="accent3" w:themeShade="BF"/>
          <w:sz w:val="16"/>
          <w:szCs w:val="16"/>
        </w:rPr>
        <w:t>Article 2(10), EIR Recast</w:t>
      </w:r>
    </w:p>
  </w:footnote>
  <w:footnote w:id="134">
    <w:p w14:paraId="662B035B" w14:textId="5A3F22A2" w:rsidR="00D91E1D" w:rsidRPr="00F83461" w:rsidRDefault="00D91E1D" w:rsidP="00F83461">
      <w:pPr>
        <w:jc w:val="both"/>
        <w:rPr>
          <w:rFonts w:ascii="Arial" w:hAnsi="Arial" w:cs="Arial"/>
          <w:color w:val="7B7B7B" w:themeColor="accent3" w:themeShade="BF"/>
          <w:sz w:val="16"/>
          <w:szCs w:val="16"/>
        </w:rPr>
      </w:pPr>
      <w:r w:rsidRPr="00F83461">
        <w:rPr>
          <w:rStyle w:val="FootnoteReference"/>
          <w:rFonts w:ascii="Arial" w:hAnsi="Arial" w:cs="Arial"/>
          <w:sz w:val="16"/>
          <w:szCs w:val="16"/>
        </w:rPr>
        <w:footnoteRef/>
      </w:r>
      <w:r w:rsidRPr="00F83461">
        <w:rPr>
          <w:rFonts w:ascii="Arial" w:hAnsi="Arial" w:cs="Arial"/>
          <w:sz w:val="16"/>
          <w:szCs w:val="16"/>
        </w:rPr>
        <w:t xml:space="preserve"> </w:t>
      </w:r>
      <w:r w:rsidRPr="00F83461">
        <w:rPr>
          <w:rFonts w:ascii="Arial" w:hAnsi="Arial" w:cs="Arial"/>
          <w:color w:val="7B7B7B" w:themeColor="accent3" w:themeShade="BF"/>
          <w:sz w:val="16"/>
          <w:szCs w:val="16"/>
        </w:rPr>
        <w:t>C</w:t>
      </w:r>
      <w:r w:rsidR="00BA1489" w:rsidRPr="00F83461">
        <w:rPr>
          <w:rFonts w:ascii="Arial" w:hAnsi="Arial" w:cs="Arial"/>
          <w:color w:val="7B7B7B" w:themeColor="accent3" w:themeShade="BF"/>
          <w:sz w:val="16"/>
          <w:szCs w:val="16"/>
        </w:rPr>
        <w:t>ase C</w:t>
      </w:r>
      <w:r w:rsidRPr="00F83461">
        <w:rPr>
          <w:rFonts w:ascii="Arial" w:hAnsi="Arial" w:cs="Arial"/>
          <w:color w:val="7B7B7B" w:themeColor="accent3" w:themeShade="BF"/>
          <w:sz w:val="16"/>
          <w:szCs w:val="16"/>
        </w:rPr>
        <w:t>-396/09, ECLI:EU:C:2011:671 (20 October 2011)</w:t>
      </w:r>
    </w:p>
  </w:footnote>
  <w:footnote w:id="135">
    <w:p w14:paraId="490F2A52" w14:textId="23FE6173" w:rsidR="00BA1489" w:rsidRPr="00F83461" w:rsidRDefault="00BA1489" w:rsidP="00F83461">
      <w:pPr>
        <w:jc w:val="both"/>
        <w:rPr>
          <w:rFonts w:ascii="Arial" w:hAnsi="Arial" w:cs="Arial"/>
          <w:color w:val="7B7B7B" w:themeColor="accent3" w:themeShade="BF"/>
          <w:sz w:val="16"/>
          <w:szCs w:val="16"/>
        </w:rPr>
      </w:pPr>
      <w:r w:rsidRPr="00F83461">
        <w:rPr>
          <w:rStyle w:val="FootnoteReference"/>
          <w:rFonts w:ascii="Arial" w:hAnsi="Arial" w:cs="Arial"/>
          <w:sz w:val="16"/>
          <w:szCs w:val="16"/>
        </w:rPr>
        <w:footnoteRef/>
      </w:r>
      <w:r w:rsidRPr="00F83461">
        <w:rPr>
          <w:rFonts w:ascii="Arial" w:hAnsi="Arial" w:cs="Arial"/>
          <w:sz w:val="16"/>
          <w:szCs w:val="16"/>
        </w:rPr>
        <w:t xml:space="preserve"> </w:t>
      </w:r>
      <w:r w:rsidR="00F83461" w:rsidRPr="00F83461">
        <w:rPr>
          <w:rFonts w:ascii="Arial" w:hAnsi="Arial" w:cs="Arial"/>
          <w:color w:val="7B7B7B" w:themeColor="accent3" w:themeShade="BF"/>
          <w:sz w:val="16"/>
          <w:szCs w:val="16"/>
        </w:rPr>
        <w:t>Ibid.</w:t>
      </w:r>
      <w:r w:rsidRPr="00F83461">
        <w:rPr>
          <w:rFonts w:ascii="Arial" w:hAnsi="Arial" w:cs="Arial"/>
          <w:color w:val="7B7B7B" w:themeColor="accent3" w:themeShade="BF"/>
          <w:sz w:val="16"/>
          <w:szCs w:val="16"/>
        </w:rPr>
        <w:t>, paragraph 62</w:t>
      </w:r>
    </w:p>
  </w:footnote>
  <w:footnote w:id="136">
    <w:p w14:paraId="670436D3" w14:textId="2CB2D7F4" w:rsidR="00EB59B6" w:rsidRPr="00F83461" w:rsidRDefault="00EB59B6" w:rsidP="00F83461">
      <w:pPr>
        <w:pStyle w:val="FootnoteText"/>
        <w:jc w:val="both"/>
        <w:rPr>
          <w:rFonts w:ascii="Arial" w:hAnsi="Arial" w:cs="Arial"/>
          <w:sz w:val="16"/>
          <w:szCs w:val="16"/>
          <w:lang w:val="en-GB"/>
        </w:rPr>
      </w:pPr>
      <w:r w:rsidRPr="00F83461">
        <w:rPr>
          <w:rStyle w:val="FootnoteReference"/>
          <w:rFonts w:ascii="Arial" w:hAnsi="Arial" w:cs="Arial"/>
          <w:sz w:val="16"/>
          <w:szCs w:val="16"/>
        </w:rPr>
        <w:footnoteRef/>
      </w:r>
      <w:r w:rsidRPr="00F83461">
        <w:rPr>
          <w:rFonts w:ascii="Arial" w:hAnsi="Arial" w:cs="Arial"/>
          <w:sz w:val="16"/>
          <w:szCs w:val="16"/>
        </w:rPr>
        <w:t xml:space="preserve"> </w:t>
      </w:r>
      <w:r w:rsidRPr="00F83461">
        <w:rPr>
          <w:rFonts w:ascii="Arial" w:hAnsi="Arial" w:cs="Arial"/>
          <w:color w:val="808080" w:themeColor="background1" w:themeShade="80"/>
          <w:sz w:val="16"/>
          <w:szCs w:val="16"/>
          <w:lang w:val="en-GB"/>
        </w:rPr>
        <w:t xml:space="preserve">Professor </w:t>
      </w:r>
      <w:r w:rsidRPr="00F83461">
        <w:rPr>
          <w:rFonts w:ascii="Arial" w:hAnsi="Arial" w:cs="Arial"/>
          <w:color w:val="808080" w:themeColor="background1" w:themeShade="80"/>
          <w:sz w:val="16"/>
          <w:szCs w:val="16"/>
        </w:rPr>
        <w:t xml:space="preserve">Bob Wessels and </w:t>
      </w:r>
      <w:proofErr w:type="spellStart"/>
      <w:r w:rsidRPr="00F83461">
        <w:rPr>
          <w:rFonts w:ascii="Arial" w:hAnsi="Arial" w:cs="Arial"/>
          <w:color w:val="808080" w:themeColor="background1" w:themeShade="80"/>
          <w:sz w:val="16"/>
          <w:szCs w:val="16"/>
        </w:rPr>
        <w:t>Mr</w:t>
      </w:r>
      <w:proofErr w:type="spellEnd"/>
      <w:r w:rsidRPr="00F83461">
        <w:rPr>
          <w:rFonts w:ascii="Arial" w:hAnsi="Arial" w:cs="Arial"/>
          <w:color w:val="808080" w:themeColor="background1" w:themeShade="80"/>
          <w:sz w:val="16"/>
          <w:szCs w:val="16"/>
        </w:rPr>
        <w:t xml:space="preserve"> Ilya Kokorin</w:t>
      </w:r>
      <w:r w:rsidRPr="00F83461">
        <w:rPr>
          <w:rFonts w:ascii="Arial" w:hAnsi="Arial" w:cs="Arial"/>
          <w:color w:val="808080" w:themeColor="background1" w:themeShade="80"/>
          <w:sz w:val="16"/>
          <w:szCs w:val="16"/>
          <w:lang w:val="en-GB"/>
        </w:rPr>
        <w:t>,</w:t>
      </w:r>
      <w:r w:rsidRPr="00F83461">
        <w:rPr>
          <w:rFonts w:ascii="Arial" w:hAnsi="Arial" w:cs="Arial"/>
          <w:color w:val="808080" w:themeColor="background1" w:themeShade="80"/>
          <w:sz w:val="16"/>
          <w:szCs w:val="16"/>
        </w:rPr>
        <w:t xml:space="preserve"> text updated for 2020/2021, 2021/2022, 2022/2023 and 2023/2024 by Dr Emilie Ghio,</w:t>
      </w:r>
      <w:r w:rsidRPr="00F83461">
        <w:rPr>
          <w:rFonts w:ascii="Arial" w:hAnsi="Arial" w:cs="Arial"/>
          <w:color w:val="808080" w:themeColor="background1" w:themeShade="80"/>
          <w:sz w:val="16"/>
          <w:szCs w:val="16"/>
          <w:lang w:val="en-GB"/>
        </w:rPr>
        <w:t xml:space="preserve"> “INSOL International, Foundation Certificate in International Insolvency Law, Module </w:t>
      </w:r>
      <w:r w:rsidRPr="00F83461">
        <w:rPr>
          <w:rFonts w:ascii="Arial" w:hAnsi="Arial" w:cs="Arial"/>
          <w:color w:val="808080" w:themeColor="background1" w:themeShade="80"/>
          <w:sz w:val="16"/>
          <w:szCs w:val="16"/>
        </w:rPr>
        <w:t>2B</w:t>
      </w:r>
      <w:r w:rsidRPr="00F83461">
        <w:rPr>
          <w:rFonts w:ascii="Arial" w:hAnsi="Arial" w:cs="Arial"/>
          <w:color w:val="808080" w:themeColor="background1" w:themeShade="80"/>
          <w:sz w:val="16"/>
          <w:szCs w:val="16"/>
          <w:lang w:val="en-GB"/>
        </w:rPr>
        <w:t xml:space="preserve"> Guidance Text, </w:t>
      </w:r>
      <w:r w:rsidRPr="00F83461">
        <w:rPr>
          <w:rFonts w:ascii="Arial" w:hAnsi="Arial" w:cs="Arial"/>
          <w:color w:val="808080" w:themeColor="background1" w:themeShade="80"/>
          <w:sz w:val="16"/>
          <w:szCs w:val="16"/>
        </w:rPr>
        <w:t>The European Insolvency Regulation</w:t>
      </w:r>
      <w:r w:rsidRPr="00F83461">
        <w:rPr>
          <w:rFonts w:ascii="Arial" w:hAnsi="Arial" w:cs="Arial"/>
          <w:color w:val="808080" w:themeColor="background1" w:themeShade="80"/>
          <w:sz w:val="16"/>
          <w:szCs w:val="16"/>
          <w:lang w:val="en-GB"/>
        </w:rPr>
        <w:t xml:space="preserve"> 2023/2024”, p </w:t>
      </w:r>
      <w:proofErr w:type="gramStart"/>
      <w:r w:rsidRPr="00F83461">
        <w:rPr>
          <w:rFonts w:ascii="Arial" w:hAnsi="Arial" w:cs="Arial"/>
          <w:color w:val="808080" w:themeColor="background1" w:themeShade="80"/>
          <w:sz w:val="16"/>
          <w:szCs w:val="16"/>
        </w:rPr>
        <w:t>21</w:t>
      </w:r>
      <w:proofErr w:type="gramEnd"/>
    </w:p>
  </w:footnote>
  <w:footnote w:id="137">
    <w:p w14:paraId="46E358A4" w14:textId="7CD51645" w:rsidR="00EB59B6" w:rsidRPr="00EB59B6" w:rsidRDefault="00EB59B6" w:rsidP="00F83461">
      <w:pPr>
        <w:pStyle w:val="FootnoteText"/>
        <w:jc w:val="both"/>
        <w:rPr>
          <w:lang w:val="en-GB"/>
        </w:rPr>
      </w:pPr>
      <w:r w:rsidRPr="00F83461">
        <w:rPr>
          <w:rStyle w:val="FootnoteReference"/>
          <w:rFonts w:ascii="Arial" w:hAnsi="Arial" w:cs="Arial"/>
          <w:sz w:val="16"/>
          <w:szCs w:val="16"/>
        </w:rPr>
        <w:footnoteRef/>
      </w:r>
      <w:r w:rsidRPr="00F83461">
        <w:rPr>
          <w:rFonts w:ascii="Arial" w:hAnsi="Arial" w:cs="Arial"/>
          <w:sz w:val="16"/>
          <w:szCs w:val="16"/>
        </w:rPr>
        <w:t xml:space="preserve"> </w:t>
      </w:r>
      <w:r w:rsidRPr="00F83461">
        <w:rPr>
          <w:rFonts w:ascii="Arial" w:hAnsi="Arial" w:cs="Arial"/>
          <w:color w:val="7B7B7B" w:themeColor="accent3" w:themeShade="BF"/>
          <w:sz w:val="16"/>
          <w:szCs w:val="16"/>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15"/>
    <w:multiLevelType w:val="hybridMultilevel"/>
    <w:tmpl w:val="87A2C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16183"/>
    <w:multiLevelType w:val="hybridMultilevel"/>
    <w:tmpl w:val="E1389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00792E"/>
    <w:multiLevelType w:val="hybridMultilevel"/>
    <w:tmpl w:val="49CA5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C9F435E"/>
    <w:multiLevelType w:val="hybridMultilevel"/>
    <w:tmpl w:val="9F8E9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720A1"/>
    <w:multiLevelType w:val="hybridMultilevel"/>
    <w:tmpl w:val="D864F5B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BB2310"/>
    <w:multiLevelType w:val="hybridMultilevel"/>
    <w:tmpl w:val="26E68DCA"/>
    <w:lvl w:ilvl="0" w:tplc="4A7AB17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974F55"/>
    <w:multiLevelType w:val="hybridMultilevel"/>
    <w:tmpl w:val="FECA413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0060E"/>
    <w:multiLevelType w:val="hybridMultilevel"/>
    <w:tmpl w:val="85766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56E066E"/>
    <w:multiLevelType w:val="hybridMultilevel"/>
    <w:tmpl w:val="CA886F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4D1D37"/>
    <w:multiLevelType w:val="hybridMultilevel"/>
    <w:tmpl w:val="3D66FE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5C76AC"/>
    <w:multiLevelType w:val="hybridMultilevel"/>
    <w:tmpl w:val="D66C8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61592"/>
    <w:multiLevelType w:val="hybridMultilevel"/>
    <w:tmpl w:val="8A86D12A"/>
    <w:lvl w:ilvl="0" w:tplc="DAC43940">
      <w:start w:val="1"/>
      <w:numFmt w:val="lowerLetter"/>
      <w:lvlText w:val="%1)"/>
      <w:lvlJc w:val="left"/>
      <w:pPr>
        <w:ind w:left="1080" w:hanging="360"/>
      </w:pPr>
      <w:rPr>
        <w:rFonts w:ascii="Avenir Next" w:eastAsia="Times New Roman" w:hAnsi="Avenir Next"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F81CBF"/>
    <w:multiLevelType w:val="hybridMultilevel"/>
    <w:tmpl w:val="E79A7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01D3CC2"/>
    <w:multiLevelType w:val="hybridMultilevel"/>
    <w:tmpl w:val="7E086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9931B58"/>
    <w:multiLevelType w:val="hybridMultilevel"/>
    <w:tmpl w:val="82E64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8407D6"/>
    <w:multiLevelType w:val="hybridMultilevel"/>
    <w:tmpl w:val="FE78C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6681177">
    <w:abstractNumId w:val="11"/>
  </w:num>
  <w:num w:numId="2" w16cid:durableId="262424646">
    <w:abstractNumId w:val="20"/>
  </w:num>
  <w:num w:numId="3" w16cid:durableId="1461680123">
    <w:abstractNumId w:val="4"/>
  </w:num>
  <w:num w:numId="4" w16cid:durableId="892274553">
    <w:abstractNumId w:val="19"/>
  </w:num>
  <w:num w:numId="5" w16cid:durableId="626088575">
    <w:abstractNumId w:val="17"/>
  </w:num>
  <w:num w:numId="6" w16cid:durableId="974988881">
    <w:abstractNumId w:val="23"/>
  </w:num>
  <w:num w:numId="7" w16cid:durableId="1096101251">
    <w:abstractNumId w:val="7"/>
  </w:num>
  <w:num w:numId="8" w16cid:durableId="1807311193">
    <w:abstractNumId w:val="2"/>
  </w:num>
  <w:num w:numId="9" w16cid:durableId="92938254">
    <w:abstractNumId w:val="22"/>
  </w:num>
  <w:num w:numId="10" w16cid:durableId="1838615408">
    <w:abstractNumId w:val="6"/>
  </w:num>
  <w:num w:numId="11" w16cid:durableId="965162606">
    <w:abstractNumId w:val="14"/>
  </w:num>
  <w:num w:numId="12" w16cid:durableId="1826823369">
    <w:abstractNumId w:val="24"/>
  </w:num>
  <w:num w:numId="13" w16cid:durableId="671569828">
    <w:abstractNumId w:val="9"/>
  </w:num>
  <w:num w:numId="14" w16cid:durableId="1194222863">
    <w:abstractNumId w:val="5"/>
  </w:num>
  <w:num w:numId="15" w16cid:durableId="2088764043">
    <w:abstractNumId w:val="0"/>
  </w:num>
  <w:num w:numId="16" w16cid:durableId="1539077304">
    <w:abstractNumId w:val="15"/>
  </w:num>
  <w:num w:numId="17" w16cid:durableId="1966110750">
    <w:abstractNumId w:val="16"/>
  </w:num>
  <w:num w:numId="18" w16cid:durableId="9963097">
    <w:abstractNumId w:val="8"/>
  </w:num>
  <w:num w:numId="19" w16cid:durableId="1204947150">
    <w:abstractNumId w:val="3"/>
  </w:num>
  <w:num w:numId="20" w16cid:durableId="1387147340">
    <w:abstractNumId w:val="13"/>
  </w:num>
  <w:num w:numId="21" w16cid:durableId="449590683">
    <w:abstractNumId w:val="18"/>
  </w:num>
  <w:num w:numId="22" w16cid:durableId="995298443">
    <w:abstractNumId w:val="21"/>
  </w:num>
  <w:num w:numId="23" w16cid:durableId="1316880445">
    <w:abstractNumId w:val="12"/>
  </w:num>
  <w:num w:numId="24" w16cid:durableId="1913008426">
    <w:abstractNumId w:val="10"/>
  </w:num>
  <w:num w:numId="25" w16cid:durableId="72456663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902"/>
    <w:rsid w:val="00005BEE"/>
    <w:rsid w:val="00007146"/>
    <w:rsid w:val="00010BA0"/>
    <w:rsid w:val="0001344B"/>
    <w:rsid w:val="00016162"/>
    <w:rsid w:val="00020557"/>
    <w:rsid w:val="0002365D"/>
    <w:rsid w:val="000250C7"/>
    <w:rsid w:val="00026F16"/>
    <w:rsid w:val="0003067F"/>
    <w:rsid w:val="00030C35"/>
    <w:rsid w:val="00035AF4"/>
    <w:rsid w:val="00037621"/>
    <w:rsid w:val="000403E0"/>
    <w:rsid w:val="00041B32"/>
    <w:rsid w:val="00044D46"/>
    <w:rsid w:val="00045088"/>
    <w:rsid w:val="00045904"/>
    <w:rsid w:val="00054E15"/>
    <w:rsid w:val="000572F1"/>
    <w:rsid w:val="00065166"/>
    <w:rsid w:val="000710EB"/>
    <w:rsid w:val="000721E9"/>
    <w:rsid w:val="000754A9"/>
    <w:rsid w:val="000756D2"/>
    <w:rsid w:val="00077E0D"/>
    <w:rsid w:val="00082609"/>
    <w:rsid w:val="0008350F"/>
    <w:rsid w:val="00084D8B"/>
    <w:rsid w:val="000851CC"/>
    <w:rsid w:val="00086936"/>
    <w:rsid w:val="00086F56"/>
    <w:rsid w:val="00087CD6"/>
    <w:rsid w:val="00091E9D"/>
    <w:rsid w:val="00093BE8"/>
    <w:rsid w:val="0009415C"/>
    <w:rsid w:val="000942E7"/>
    <w:rsid w:val="000A0456"/>
    <w:rsid w:val="000A07A9"/>
    <w:rsid w:val="000A1A16"/>
    <w:rsid w:val="000A3278"/>
    <w:rsid w:val="000A373F"/>
    <w:rsid w:val="000A43CD"/>
    <w:rsid w:val="000A4DD2"/>
    <w:rsid w:val="000A68ED"/>
    <w:rsid w:val="000A7BF9"/>
    <w:rsid w:val="000B29F2"/>
    <w:rsid w:val="000B5FF1"/>
    <w:rsid w:val="000B609F"/>
    <w:rsid w:val="000C6BB5"/>
    <w:rsid w:val="000D0189"/>
    <w:rsid w:val="000D1333"/>
    <w:rsid w:val="000D2B39"/>
    <w:rsid w:val="000D35FF"/>
    <w:rsid w:val="000D55A8"/>
    <w:rsid w:val="000E4841"/>
    <w:rsid w:val="000E49AF"/>
    <w:rsid w:val="000E72C5"/>
    <w:rsid w:val="000F1677"/>
    <w:rsid w:val="000F27FF"/>
    <w:rsid w:val="000F3D6C"/>
    <w:rsid w:val="000F4A14"/>
    <w:rsid w:val="001016D0"/>
    <w:rsid w:val="00101707"/>
    <w:rsid w:val="0010400C"/>
    <w:rsid w:val="00104928"/>
    <w:rsid w:val="00110C0B"/>
    <w:rsid w:val="001139F3"/>
    <w:rsid w:val="00113E29"/>
    <w:rsid w:val="0011473D"/>
    <w:rsid w:val="00114999"/>
    <w:rsid w:val="00114C53"/>
    <w:rsid w:val="0011548B"/>
    <w:rsid w:val="00115C85"/>
    <w:rsid w:val="00116E16"/>
    <w:rsid w:val="00123855"/>
    <w:rsid w:val="00124BBD"/>
    <w:rsid w:val="00126A4D"/>
    <w:rsid w:val="00133720"/>
    <w:rsid w:val="00135C99"/>
    <w:rsid w:val="0014171F"/>
    <w:rsid w:val="00143123"/>
    <w:rsid w:val="0014622C"/>
    <w:rsid w:val="00152348"/>
    <w:rsid w:val="0015456D"/>
    <w:rsid w:val="00155FA2"/>
    <w:rsid w:val="00160C63"/>
    <w:rsid w:val="00161759"/>
    <w:rsid w:val="00161888"/>
    <w:rsid w:val="00161F1B"/>
    <w:rsid w:val="00162829"/>
    <w:rsid w:val="001638C3"/>
    <w:rsid w:val="00174DC4"/>
    <w:rsid w:val="00175A7D"/>
    <w:rsid w:val="00180548"/>
    <w:rsid w:val="00180AC4"/>
    <w:rsid w:val="00180CCE"/>
    <w:rsid w:val="00181D9D"/>
    <w:rsid w:val="0018267A"/>
    <w:rsid w:val="00182779"/>
    <w:rsid w:val="001830DF"/>
    <w:rsid w:val="00183ED8"/>
    <w:rsid w:val="00184331"/>
    <w:rsid w:val="001863D0"/>
    <w:rsid w:val="00187A34"/>
    <w:rsid w:val="00193BB2"/>
    <w:rsid w:val="00193C57"/>
    <w:rsid w:val="001966D9"/>
    <w:rsid w:val="001A1A19"/>
    <w:rsid w:val="001A1F9A"/>
    <w:rsid w:val="001A3A00"/>
    <w:rsid w:val="001A3F7D"/>
    <w:rsid w:val="001A68CC"/>
    <w:rsid w:val="001A7E9A"/>
    <w:rsid w:val="001A7F52"/>
    <w:rsid w:val="001B0F70"/>
    <w:rsid w:val="001B2D53"/>
    <w:rsid w:val="001B3918"/>
    <w:rsid w:val="001B40E5"/>
    <w:rsid w:val="001B5016"/>
    <w:rsid w:val="001B6DDC"/>
    <w:rsid w:val="001B7D72"/>
    <w:rsid w:val="001C45FC"/>
    <w:rsid w:val="001D0469"/>
    <w:rsid w:val="001D3F83"/>
    <w:rsid w:val="001D4862"/>
    <w:rsid w:val="001D6270"/>
    <w:rsid w:val="001D6E1C"/>
    <w:rsid w:val="001E0264"/>
    <w:rsid w:val="001E25B9"/>
    <w:rsid w:val="001E3BFE"/>
    <w:rsid w:val="001E49E0"/>
    <w:rsid w:val="001E541E"/>
    <w:rsid w:val="001E5F8A"/>
    <w:rsid w:val="001E7B5A"/>
    <w:rsid w:val="001E7D09"/>
    <w:rsid w:val="001F6DAD"/>
    <w:rsid w:val="001F7412"/>
    <w:rsid w:val="00202DFE"/>
    <w:rsid w:val="00203720"/>
    <w:rsid w:val="00204D80"/>
    <w:rsid w:val="0020725B"/>
    <w:rsid w:val="002109B9"/>
    <w:rsid w:val="002110F1"/>
    <w:rsid w:val="002149D2"/>
    <w:rsid w:val="00217B93"/>
    <w:rsid w:val="00222FB5"/>
    <w:rsid w:val="00226236"/>
    <w:rsid w:val="002306B6"/>
    <w:rsid w:val="00230A2C"/>
    <w:rsid w:val="00234ABC"/>
    <w:rsid w:val="00235AC6"/>
    <w:rsid w:val="00240ABB"/>
    <w:rsid w:val="0024116D"/>
    <w:rsid w:val="0024170E"/>
    <w:rsid w:val="00241B44"/>
    <w:rsid w:val="00241FA3"/>
    <w:rsid w:val="002436E4"/>
    <w:rsid w:val="00243874"/>
    <w:rsid w:val="00244251"/>
    <w:rsid w:val="00244C44"/>
    <w:rsid w:val="00245EFB"/>
    <w:rsid w:val="00250621"/>
    <w:rsid w:val="00250BDD"/>
    <w:rsid w:val="002529B3"/>
    <w:rsid w:val="0025386E"/>
    <w:rsid w:val="00260D78"/>
    <w:rsid w:val="002638B0"/>
    <w:rsid w:val="00265FA1"/>
    <w:rsid w:val="0026647A"/>
    <w:rsid w:val="002668D3"/>
    <w:rsid w:val="0027094F"/>
    <w:rsid w:val="002724E4"/>
    <w:rsid w:val="0027299F"/>
    <w:rsid w:val="002729AB"/>
    <w:rsid w:val="00272F0B"/>
    <w:rsid w:val="00284D45"/>
    <w:rsid w:val="00284EBE"/>
    <w:rsid w:val="0029433F"/>
    <w:rsid w:val="00294829"/>
    <w:rsid w:val="00295620"/>
    <w:rsid w:val="00296286"/>
    <w:rsid w:val="0029690F"/>
    <w:rsid w:val="00297BC9"/>
    <w:rsid w:val="00297C8A"/>
    <w:rsid w:val="002A2A60"/>
    <w:rsid w:val="002A37BB"/>
    <w:rsid w:val="002A7062"/>
    <w:rsid w:val="002A7B5E"/>
    <w:rsid w:val="002B1C45"/>
    <w:rsid w:val="002B2879"/>
    <w:rsid w:val="002C13C8"/>
    <w:rsid w:val="002C3547"/>
    <w:rsid w:val="002D0021"/>
    <w:rsid w:val="002D179A"/>
    <w:rsid w:val="002D3473"/>
    <w:rsid w:val="002D586B"/>
    <w:rsid w:val="002E4CF1"/>
    <w:rsid w:val="002E6793"/>
    <w:rsid w:val="002F1956"/>
    <w:rsid w:val="002F3440"/>
    <w:rsid w:val="002F55D2"/>
    <w:rsid w:val="002F70C6"/>
    <w:rsid w:val="002F75A3"/>
    <w:rsid w:val="0030216D"/>
    <w:rsid w:val="00302D76"/>
    <w:rsid w:val="00303279"/>
    <w:rsid w:val="00303C2F"/>
    <w:rsid w:val="0031188A"/>
    <w:rsid w:val="003138C9"/>
    <w:rsid w:val="003144EF"/>
    <w:rsid w:val="0031719B"/>
    <w:rsid w:val="0032234E"/>
    <w:rsid w:val="00324521"/>
    <w:rsid w:val="003252C2"/>
    <w:rsid w:val="00326292"/>
    <w:rsid w:val="00326415"/>
    <w:rsid w:val="00330937"/>
    <w:rsid w:val="00330F31"/>
    <w:rsid w:val="00331480"/>
    <w:rsid w:val="00334648"/>
    <w:rsid w:val="0033768C"/>
    <w:rsid w:val="00337938"/>
    <w:rsid w:val="00340769"/>
    <w:rsid w:val="00341AA6"/>
    <w:rsid w:val="003443B8"/>
    <w:rsid w:val="0034579A"/>
    <w:rsid w:val="0034705B"/>
    <w:rsid w:val="00350F94"/>
    <w:rsid w:val="003525B6"/>
    <w:rsid w:val="00353CBA"/>
    <w:rsid w:val="003549CF"/>
    <w:rsid w:val="003567E3"/>
    <w:rsid w:val="003567FB"/>
    <w:rsid w:val="00361A0A"/>
    <w:rsid w:val="00363453"/>
    <w:rsid w:val="00363C37"/>
    <w:rsid w:val="00364836"/>
    <w:rsid w:val="003650E5"/>
    <w:rsid w:val="0036565C"/>
    <w:rsid w:val="0036625E"/>
    <w:rsid w:val="00366415"/>
    <w:rsid w:val="00367A3A"/>
    <w:rsid w:val="0037345B"/>
    <w:rsid w:val="0037465A"/>
    <w:rsid w:val="00375D11"/>
    <w:rsid w:val="00377653"/>
    <w:rsid w:val="00377F0A"/>
    <w:rsid w:val="00382C98"/>
    <w:rsid w:val="0038321E"/>
    <w:rsid w:val="0038533C"/>
    <w:rsid w:val="00386568"/>
    <w:rsid w:val="0038750C"/>
    <w:rsid w:val="00390595"/>
    <w:rsid w:val="00390B57"/>
    <w:rsid w:val="0039176C"/>
    <w:rsid w:val="003948D5"/>
    <w:rsid w:val="00396360"/>
    <w:rsid w:val="003963D1"/>
    <w:rsid w:val="00396821"/>
    <w:rsid w:val="003973F6"/>
    <w:rsid w:val="00397D3A"/>
    <w:rsid w:val="003A051E"/>
    <w:rsid w:val="003A0D9C"/>
    <w:rsid w:val="003A5DF3"/>
    <w:rsid w:val="003B0A27"/>
    <w:rsid w:val="003B170F"/>
    <w:rsid w:val="003B3C5F"/>
    <w:rsid w:val="003B4D0A"/>
    <w:rsid w:val="003B7A4E"/>
    <w:rsid w:val="003C4342"/>
    <w:rsid w:val="003C4471"/>
    <w:rsid w:val="003C461B"/>
    <w:rsid w:val="003C4BCB"/>
    <w:rsid w:val="003C5AB3"/>
    <w:rsid w:val="003D0A6D"/>
    <w:rsid w:val="003D17A2"/>
    <w:rsid w:val="003D1974"/>
    <w:rsid w:val="003D4A79"/>
    <w:rsid w:val="003E0B16"/>
    <w:rsid w:val="003E1D56"/>
    <w:rsid w:val="003E2475"/>
    <w:rsid w:val="003E3366"/>
    <w:rsid w:val="003E4DB0"/>
    <w:rsid w:val="003E67D1"/>
    <w:rsid w:val="00404329"/>
    <w:rsid w:val="00404528"/>
    <w:rsid w:val="004046F0"/>
    <w:rsid w:val="00405B2B"/>
    <w:rsid w:val="00405DC1"/>
    <w:rsid w:val="00415F1F"/>
    <w:rsid w:val="004202D2"/>
    <w:rsid w:val="0042108F"/>
    <w:rsid w:val="0042112D"/>
    <w:rsid w:val="00425094"/>
    <w:rsid w:val="00430FED"/>
    <w:rsid w:val="00432D9A"/>
    <w:rsid w:val="00434072"/>
    <w:rsid w:val="00434A8C"/>
    <w:rsid w:val="00434C0B"/>
    <w:rsid w:val="00437297"/>
    <w:rsid w:val="00444284"/>
    <w:rsid w:val="0044574C"/>
    <w:rsid w:val="00445CE6"/>
    <w:rsid w:val="004465A6"/>
    <w:rsid w:val="004522B5"/>
    <w:rsid w:val="004534C2"/>
    <w:rsid w:val="0045446F"/>
    <w:rsid w:val="004548C8"/>
    <w:rsid w:val="0045665D"/>
    <w:rsid w:val="0045683E"/>
    <w:rsid w:val="00457304"/>
    <w:rsid w:val="00457CA3"/>
    <w:rsid w:val="00465BFF"/>
    <w:rsid w:val="00470681"/>
    <w:rsid w:val="0047122F"/>
    <w:rsid w:val="00475FC9"/>
    <w:rsid w:val="00477C72"/>
    <w:rsid w:val="004834AD"/>
    <w:rsid w:val="004906A6"/>
    <w:rsid w:val="00491675"/>
    <w:rsid w:val="00491EE4"/>
    <w:rsid w:val="00493855"/>
    <w:rsid w:val="00494690"/>
    <w:rsid w:val="00495E79"/>
    <w:rsid w:val="0049649C"/>
    <w:rsid w:val="004976BB"/>
    <w:rsid w:val="00497BBD"/>
    <w:rsid w:val="004A0692"/>
    <w:rsid w:val="004A57DD"/>
    <w:rsid w:val="004A584A"/>
    <w:rsid w:val="004A7B51"/>
    <w:rsid w:val="004A7D71"/>
    <w:rsid w:val="004A7EF3"/>
    <w:rsid w:val="004B11FD"/>
    <w:rsid w:val="004B23A2"/>
    <w:rsid w:val="004C0C12"/>
    <w:rsid w:val="004C0D03"/>
    <w:rsid w:val="004C0D33"/>
    <w:rsid w:val="004C4C33"/>
    <w:rsid w:val="004D1A5A"/>
    <w:rsid w:val="004D2FFF"/>
    <w:rsid w:val="004D3721"/>
    <w:rsid w:val="004D64F9"/>
    <w:rsid w:val="004D6EB7"/>
    <w:rsid w:val="004E018E"/>
    <w:rsid w:val="004E3A6B"/>
    <w:rsid w:val="004E3C58"/>
    <w:rsid w:val="004E4825"/>
    <w:rsid w:val="004E5C50"/>
    <w:rsid w:val="004E622C"/>
    <w:rsid w:val="004F0691"/>
    <w:rsid w:val="004F2CAE"/>
    <w:rsid w:val="004F4245"/>
    <w:rsid w:val="004F4AF9"/>
    <w:rsid w:val="004F5FA0"/>
    <w:rsid w:val="004F5FDF"/>
    <w:rsid w:val="005004E9"/>
    <w:rsid w:val="005059A1"/>
    <w:rsid w:val="0051037C"/>
    <w:rsid w:val="00514940"/>
    <w:rsid w:val="00517335"/>
    <w:rsid w:val="0051760D"/>
    <w:rsid w:val="005177FE"/>
    <w:rsid w:val="0052263B"/>
    <w:rsid w:val="00523135"/>
    <w:rsid w:val="00524728"/>
    <w:rsid w:val="00524DAA"/>
    <w:rsid w:val="005331CA"/>
    <w:rsid w:val="005338F9"/>
    <w:rsid w:val="00534094"/>
    <w:rsid w:val="00535DCF"/>
    <w:rsid w:val="005371D7"/>
    <w:rsid w:val="00537970"/>
    <w:rsid w:val="00537AC2"/>
    <w:rsid w:val="00540E3A"/>
    <w:rsid w:val="005418A0"/>
    <w:rsid w:val="00542F0B"/>
    <w:rsid w:val="00544127"/>
    <w:rsid w:val="00544C52"/>
    <w:rsid w:val="00544F6E"/>
    <w:rsid w:val="005463A9"/>
    <w:rsid w:val="00553EB2"/>
    <w:rsid w:val="00560534"/>
    <w:rsid w:val="00561A78"/>
    <w:rsid w:val="0056391B"/>
    <w:rsid w:val="005650E2"/>
    <w:rsid w:val="005671E1"/>
    <w:rsid w:val="00567AD7"/>
    <w:rsid w:val="0057161E"/>
    <w:rsid w:val="00573901"/>
    <w:rsid w:val="00575B2D"/>
    <w:rsid w:val="005833D0"/>
    <w:rsid w:val="005846F3"/>
    <w:rsid w:val="00585EB9"/>
    <w:rsid w:val="0058622F"/>
    <w:rsid w:val="00587C2D"/>
    <w:rsid w:val="00590A27"/>
    <w:rsid w:val="00591280"/>
    <w:rsid w:val="00592F82"/>
    <w:rsid w:val="005A0CCA"/>
    <w:rsid w:val="005A1CB6"/>
    <w:rsid w:val="005A1EC5"/>
    <w:rsid w:val="005A2C7F"/>
    <w:rsid w:val="005A37AD"/>
    <w:rsid w:val="005A726D"/>
    <w:rsid w:val="005B335E"/>
    <w:rsid w:val="005B67AC"/>
    <w:rsid w:val="005B718A"/>
    <w:rsid w:val="005B79F4"/>
    <w:rsid w:val="005B7C95"/>
    <w:rsid w:val="005C19AF"/>
    <w:rsid w:val="005D2CD6"/>
    <w:rsid w:val="005D43E0"/>
    <w:rsid w:val="005D50C0"/>
    <w:rsid w:val="005D58A3"/>
    <w:rsid w:val="005D6431"/>
    <w:rsid w:val="005E0D28"/>
    <w:rsid w:val="005E1502"/>
    <w:rsid w:val="005E1B79"/>
    <w:rsid w:val="005E2C02"/>
    <w:rsid w:val="005E42DB"/>
    <w:rsid w:val="005E457B"/>
    <w:rsid w:val="005E7008"/>
    <w:rsid w:val="005E784A"/>
    <w:rsid w:val="005F026D"/>
    <w:rsid w:val="005F1070"/>
    <w:rsid w:val="005F249C"/>
    <w:rsid w:val="005F2AEA"/>
    <w:rsid w:val="005F2D0B"/>
    <w:rsid w:val="005F4B31"/>
    <w:rsid w:val="005F7A23"/>
    <w:rsid w:val="00600566"/>
    <w:rsid w:val="00602EF9"/>
    <w:rsid w:val="006048C0"/>
    <w:rsid w:val="00606D68"/>
    <w:rsid w:val="00610388"/>
    <w:rsid w:val="00611DE6"/>
    <w:rsid w:val="00612B7A"/>
    <w:rsid w:val="00612CA5"/>
    <w:rsid w:val="00613952"/>
    <w:rsid w:val="006153EC"/>
    <w:rsid w:val="0061677E"/>
    <w:rsid w:val="00620CF7"/>
    <w:rsid w:val="00621A17"/>
    <w:rsid w:val="00627CC9"/>
    <w:rsid w:val="00627DE9"/>
    <w:rsid w:val="00627E7B"/>
    <w:rsid w:val="006301EE"/>
    <w:rsid w:val="00630542"/>
    <w:rsid w:val="0063094D"/>
    <w:rsid w:val="00631B6D"/>
    <w:rsid w:val="0063292A"/>
    <w:rsid w:val="00632E44"/>
    <w:rsid w:val="00634622"/>
    <w:rsid w:val="00636808"/>
    <w:rsid w:val="00636C15"/>
    <w:rsid w:val="00641515"/>
    <w:rsid w:val="00641D3C"/>
    <w:rsid w:val="00645D5E"/>
    <w:rsid w:val="006474C5"/>
    <w:rsid w:val="00651E21"/>
    <w:rsid w:val="00651E55"/>
    <w:rsid w:val="0065253B"/>
    <w:rsid w:val="00654B27"/>
    <w:rsid w:val="00654C2F"/>
    <w:rsid w:val="00654F27"/>
    <w:rsid w:val="00656DA7"/>
    <w:rsid w:val="00657087"/>
    <w:rsid w:val="006603F1"/>
    <w:rsid w:val="006639DB"/>
    <w:rsid w:val="00664A67"/>
    <w:rsid w:val="006661EF"/>
    <w:rsid w:val="00667596"/>
    <w:rsid w:val="00667A0B"/>
    <w:rsid w:val="006723E9"/>
    <w:rsid w:val="00677AEB"/>
    <w:rsid w:val="00680311"/>
    <w:rsid w:val="00680EF2"/>
    <w:rsid w:val="006866F6"/>
    <w:rsid w:val="00687A1D"/>
    <w:rsid w:val="00691895"/>
    <w:rsid w:val="00696ED8"/>
    <w:rsid w:val="00697EA1"/>
    <w:rsid w:val="006A2646"/>
    <w:rsid w:val="006A28F7"/>
    <w:rsid w:val="006A3AAA"/>
    <w:rsid w:val="006A58BE"/>
    <w:rsid w:val="006A6530"/>
    <w:rsid w:val="006A70BF"/>
    <w:rsid w:val="006A72B9"/>
    <w:rsid w:val="006B2BEF"/>
    <w:rsid w:val="006B435A"/>
    <w:rsid w:val="006B4C64"/>
    <w:rsid w:val="006B5570"/>
    <w:rsid w:val="006C3FB7"/>
    <w:rsid w:val="006C4FAA"/>
    <w:rsid w:val="006D125E"/>
    <w:rsid w:val="006D217A"/>
    <w:rsid w:val="006D37B7"/>
    <w:rsid w:val="006D4769"/>
    <w:rsid w:val="006D4986"/>
    <w:rsid w:val="006D6BD5"/>
    <w:rsid w:val="006E07D8"/>
    <w:rsid w:val="006E4360"/>
    <w:rsid w:val="006E481A"/>
    <w:rsid w:val="006E5287"/>
    <w:rsid w:val="006E5298"/>
    <w:rsid w:val="006E6B51"/>
    <w:rsid w:val="006F0106"/>
    <w:rsid w:val="006F2B12"/>
    <w:rsid w:val="006F3C8F"/>
    <w:rsid w:val="006F47B3"/>
    <w:rsid w:val="006F4A78"/>
    <w:rsid w:val="006F558F"/>
    <w:rsid w:val="006F6C8F"/>
    <w:rsid w:val="006F734A"/>
    <w:rsid w:val="00700D83"/>
    <w:rsid w:val="00702A48"/>
    <w:rsid w:val="00702E7C"/>
    <w:rsid w:val="00704170"/>
    <w:rsid w:val="00704852"/>
    <w:rsid w:val="007074E9"/>
    <w:rsid w:val="00713DA4"/>
    <w:rsid w:val="00714BF1"/>
    <w:rsid w:val="00715E08"/>
    <w:rsid w:val="00717D0E"/>
    <w:rsid w:val="00721383"/>
    <w:rsid w:val="007226B3"/>
    <w:rsid w:val="0073158B"/>
    <w:rsid w:val="007333CC"/>
    <w:rsid w:val="0073399A"/>
    <w:rsid w:val="0073609A"/>
    <w:rsid w:val="0073620C"/>
    <w:rsid w:val="00737A49"/>
    <w:rsid w:val="00745D6F"/>
    <w:rsid w:val="0074731A"/>
    <w:rsid w:val="00751788"/>
    <w:rsid w:val="00752137"/>
    <w:rsid w:val="00757C19"/>
    <w:rsid w:val="007603F5"/>
    <w:rsid w:val="00761495"/>
    <w:rsid w:val="007644B9"/>
    <w:rsid w:val="00764DB0"/>
    <w:rsid w:val="00767211"/>
    <w:rsid w:val="0076764D"/>
    <w:rsid w:val="00772AFE"/>
    <w:rsid w:val="00773463"/>
    <w:rsid w:val="0077468D"/>
    <w:rsid w:val="0077498C"/>
    <w:rsid w:val="007772BD"/>
    <w:rsid w:val="007809BC"/>
    <w:rsid w:val="00782083"/>
    <w:rsid w:val="007829CA"/>
    <w:rsid w:val="00782DF0"/>
    <w:rsid w:val="00782EE1"/>
    <w:rsid w:val="00784128"/>
    <w:rsid w:val="0078463C"/>
    <w:rsid w:val="007902DA"/>
    <w:rsid w:val="00793173"/>
    <w:rsid w:val="007A107A"/>
    <w:rsid w:val="007A1879"/>
    <w:rsid w:val="007A1DA2"/>
    <w:rsid w:val="007A2A33"/>
    <w:rsid w:val="007A6347"/>
    <w:rsid w:val="007A6B8D"/>
    <w:rsid w:val="007A7744"/>
    <w:rsid w:val="007A7B20"/>
    <w:rsid w:val="007B1364"/>
    <w:rsid w:val="007B24FF"/>
    <w:rsid w:val="007B4CD2"/>
    <w:rsid w:val="007C05D8"/>
    <w:rsid w:val="007C1FCC"/>
    <w:rsid w:val="007C25E2"/>
    <w:rsid w:val="007C50AA"/>
    <w:rsid w:val="007C6201"/>
    <w:rsid w:val="007D0DE0"/>
    <w:rsid w:val="007D0EAC"/>
    <w:rsid w:val="007D66D8"/>
    <w:rsid w:val="007D6A92"/>
    <w:rsid w:val="007D7C92"/>
    <w:rsid w:val="007E0D66"/>
    <w:rsid w:val="007E1154"/>
    <w:rsid w:val="007E39B3"/>
    <w:rsid w:val="007E3AA9"/>
    <w:rsid w:val="007E44C4"/>
    <w:rsid w:val="007E6BA4"/>
    <w:rsid w:val="007F41F8"/>
    <w:rsid w:val="007F6A57"/>
    <w:rsid w:val="007F6D25"/>
    <w:rsid w:val="007F747D"/>
    <w:rsid w:val="007F7C71"/>
    <w:rsid w:val="008001BC"/>
    <w:rsid w:val="008007A3"/>
    <w:rsid w:val="00800B1B"/>
    <w:rsid w:val="00800B76"/>
    <w:rsid w:val="008017F0"/>
    <w:rsid w:val="0080454E"/>
    <w:rsid w:val="00804C32"/>
    <w:rsid w:val="00804DA6"/>
    <w:rsid w:val="00806302"/>
    <w:rsid w:val="00806F9E"/>
    <w:rsid w:val="00807119"/>
    <w:rsid w:val="00810E2F"/>
    <w:rsid w:val="008115C6"/>
    <w:rsid w:val="00812013"/>
    <w:rsid w:val="00817C16"/>
    <w:rsid w:val="0082424D"/>
    <w:rsid w:val="0082483F"/>
    <w:rsid w:val="0082523B"/>
    <w:rsid w:val="008279C0"/>
    <w:rsid w:val="008309F9"/>
    <w:rsid w:val="00833821"/>
    <w:rsid w:val="00837939"/>
    <w:rsid w:val="00841051"/>
    <w:rsid w:val="0084293D"/>
    <w:rsid w:val="008500BD"/>
    <w:rsid w:val="0085237E"/>
    <w:rsid w:val="00860723"/>
    <w:rsid w:val="00861FFC"/>
    <w:rsid w:val="0086372F"/>
    <w:rsid w:val="00864593"/>
    <w:rsid w:val="0086548F"/>
    <w:rsid w:val="0086575F"/>
    <w:rsid w:val="00866595"/>
    <w:rsid w:val="00871BD0"/>
    <w:rsid w:val="008723F3"/>
    <w:rsid w:val="00874240"/>
    <w:rsid w:val="00875B7B"/>
    <w:rsid w:val="00876BCF"/>
    <w:rsid w:val="00881DE6"/>
    <w:rsid w:val="00882580"/>
    <w:rsid w:val="008837A6"/>
    <w:rsid w:val="0089145D"/>
    <w:rsid w:val="0089362E"/>
    <w:rsid w:val="00894C1D"/>
    <w:rsid w:val="00895197"/>
    <w:rsid w:val="00897A78"/>
    <w:rsid w:val="008A2A24"/>
    <w:rsid w:val="008A3D91"/>
    <w:rsid w:val="008A4DF2"/>
    <w:rsid w:val="008A4F66"/>
    <w:rsid w:val="008A6CFE"/>
    <w:rsid w:val="008A7391"/>
    <w:rsid w:val="008B50B6"/>
    <w:rsid w:val="008B5333"/>
    <w:rsid w:val="008B6223"/>
    <w:rsid w:val="008C2569"/>
    <w:rsid w:val="008C385B"/>
    <w:rsid w:val="008C4AC6"/>
    <w:rsid w:val="008C66E0"/>
    <w:rsid w:val="008D111E"/>
    <w:rsid w:val="008D6048"/>
    <w:rsid w:val="008D62F7"/>
    <w:rsid w:val="008D664A"/>
    <w:rsid w:val="008D70EB"/>
    <w:rsid w:val="008D7657"/>
    <w:rsid w:val="008E0EC8"/>
    <w:rsid w:val="008E1BFD"/>
    <w:rsid w:val="008E3339"/>
    <w:rsid w:val="008E3C96"/>
    <w:rsid w:val="008E5E81"/>
    <w:rsid w:val="008E7371"/>
    <w:rsid w:val="008E7794"/>
    <w:rsid w:val="008F0FED"/>
    <w:rsid w:val="008F1658"/>
    <w:rsid w:val="008F20FC"/>
    <w:rsid w:val="008F2F6B"/>
    <w:rsid w:val="008F30AE"/>
    <w:rsid w:val="008F5FFE"/>
    <w:rsid w:val="008F7804"/>
    <w:rsid w:val="00902BE3"/>
    <w:rsid w:val="00905A43"/>
    <w:rsid w:val="00906EEE"/>
    <w:rsid w:val="00912C79"/>
    <w:rsid w:val="00914A23"/>
    <w:rsid w:val="00920690"/>
    <w:rsid w:val="0092729C"/>
    <w:rsid w:val="009333CD"/>
    <w:rsid w:val="00935A21"/>
    <w:rsid w:val="00942123"/>
    <w:rsid w:val="00945F0B"/>
    <w:rsid w:val="009517D6"/>
    <w:rsid w:val="0095207B"/>
    <w:rsid w:val="00956E63"/>
    <w:rsid w:val="0095728F"/>
    <w:rsid w:val="0095757A"/>
    <w:rsid w:val="009617FC"/>
    <w:rsid w:val="00962045"/>
    <w:rsid w:val="009627F2"/>
    <w:rsid w:val="009651D2"/>
    <w:rsid w:val="00965DAD"/>
    <w:rsid w:val="009671E6"/>
    <w:rsid w:val="00967219"/>
    <w:rsid w:val="00971896"/>
    <w:rsid w:val="00971A8D"/>
    <w:rsid w:val="00976102"/>
    <w:rsid w:val="00980E61"/>
    <w:rsid w:val="00983231"/>
    <w:rsid w:val="00985E14"/>
    <w:rsid w:val="00986FCB"/>
    <w:rsid w:val="00991428"/>
    <w:rsid w:val="00992676"/>
    <w:rsid w:val="00992B3F"/>
    <w:rsid w:val="0099508B"/>
    <w:rsid w:val="009954B2"/>
    <w:rsid w:val="00995A89"/>
    <w:rsid w:val="00996691"/>
    <w:rsid w:val="009A2C57"/>
    <w:rsid w:val="009A4FAB"/>
    <w:rsid w:val="009A7FD9"/>
    <w:rsid w:val="009B0723"/>
    <w:rsid w:val="009B07AD"/>
    <w:rsid w:val="009B0883"/>
    <w:rsid w:val="009B15E2"/>
    <w:rsid w:val="009B4976"/>
    <w:rsid w:val="009B6724"/>
    <w:rsid w:val="009C0B8E"/>
    <w:rsid w:val="009C10AC"/>
    <w:rsid w:val="009C1BC8"/>
    <w:rsid w:val="009C2442"/>
    <w:rsid w:val="009C5E52"/>
    <w:rsid w:val="009D0811"/>
    <w:rsid w:val="009D0D63"/>
    <w:rsid w:val="009D0EE1"/>
    <w:rsid w:val="009D4F94"/>
    <w:rsid w:val="009D693A"/>
    <w:rsid w:val="009D7CDD"/>
    <w:rsid w:val="009E26C9"/>
    <w:rsid w:val="009E2AEB"/>
    <w:rsid w:val="009E2E27"/>
    <w:rsid w:val="009E39B2"/>
    <w:rsid w:val="009E4DE3"/>
    <w:rsid w:val="009E70C2"/>
    <w:rsid w:val="009F275E"/>
    <w:rsid w:val="009F3184"/>
    <w:rsid w:val="009F3995"/>
    <w:rsid w:val="009F6469"/>
    <w:rsid w:val="009F7C04"/>
    <w:rsid w:val="00A02A4A"/>
    <w:rsid w:val="00A047EE"/>
    <w:rsid w:val="00A07E6F"/>
    <w:rsid w:val="00A1104D"/>
    <w:rsid w:val="00A11E80"/>
    <w:rsid w:val="00A12FE0"/>
    <w:rsid w:val="00A17858"/>
    <w:rsid w:val="00A2274A"/>
    <w:rsid w:val="00A235B7"/>
    <w:rsid w:val="00A26E95"/>
    <w:rsid w:val="00A27A7A"/>
    <w:rsid w:val="00A30103"/>
    <w:rsid w:val="00A31E2B"/>
    <w:rsid w:val="00A33FA6"/>
    <w:rsid w:val="00A40662"/>
    <w:rsid w:val="00A407EF"/>
    <w:rsid w:val="00A4693F"/>
    <w:rsid w:val="00A46B4C"/>
    <w:rsid w:val="00A47C78"/>
    <w:rsid w:val="00A50055"/>
    <w:rsid w:val="00A5117B"/>
    <w:rsid w:val="00A53581"/>
    <w:rsid w:val="00A53C3F"/>
    <w:rsid w:val="00A54CB5"/>
    <w:rsid w:val="00A54DDE"/>
    <w:rsid w:val="00A5553D"/>
    <w:rsid w:val="00A56369"/>
    <w:rsid w:val="00A57EB2"/>
    <w:rsid w:val="00A60074"/>
    <w:rsid w:val="00A615B5"/>
    <w:rsid w:val="00A620A6"/>
    <w:rsid w:val="00A62FDA"/>
    <w:rsid w:val="00A6627C"/>
    <w:rsid w:val="00A670D1"/>
    <w:rsid w:val="00A71019"/>
    <w:rsid w:val="00A76D97"/>
    <w:rsid w:val="00A802C6"/>
    <w:rsid w:val="00A81029"/>
    <w:rsid w:val="00A83E9F"/>
    <w:rsid w:val="00A84370"/>
    <w:rsid w:val="00A9030A"/>
    <w:rsid w:val="00A945BB"/>
    <w:rsid w:val="00A96489"/>
    <w:rsid w:val="00AA406D"/>
    <w:rsid w:val="00AA55B5"/>
    <w:rsid w:val="00AA668B"/>
    <w:rsid w:val="00AA73DC"/>
    <w:rsid w:val="00AB549E"/>
    <w:rsid w:val="00AB685C"/>
    <w:rsid w:val="00AB6C2D"/>
    <w:rsid w:val="00AC08F7"/>
    <w:rsid w:val="00AC14B4"/>
    <w:rsid w:val="00AC2E36"/>
    <w:rsid w:val="00AC3839"/>
    <w:rsid w:val="00AC4C4F"/>
    <w:rsid w:val="00AC69B2"/>
    <w:rsid w:val="00AC7082"/>
    <w:rsid w:val="00AD1451"/>
    <w:rsid w:val="00AD277E"/>
    <w:rsid w:val="00AD2931"/>
    <w:rsid w:val="00AD2EB7"/>
    <w:rsid w:val="00AD35E0"/>
    <w:rsid w:val="00AD513F"/>
    <w:rsid w:val="00AD6870"/>
    <w:rsid w:val="00AE2316"/>
    <w:rsid w:val="00AE477C"/>
    <w:rsid w:val="00AE74BA"/>
    <w:rsid w:val="00AF228E"/>
    <w:rsid w:val="00AF3121"/>
    <w:rsid w:val="00AF39A8"/>
    <w:rsid w:val="00AF4C7A"/>
    <w:rsid w:val="00AF5BEC"/>
    <w:rsid w:val="00B016A8"/>
    <w:rsid w:val="00B070D2"/>
    <w:rsid w:val="00B07675"/>
    <w:rsid w:val="00B113A9"/>
    <w:rsid w:val="00B12499"/>
    <w:rsid w:val="00B12EF7"/>
    <w:rsid w:val="00B137B0"/>
    <w:rsid w:val="00B13C81"/>
    <w:rsid w:val="00B14819"/>
    <w:rsid w:val="00B15E2F"/>
    <w:rsid w:val="00B17AA9"/>
    <w:rsid w:val="00B20DDA"/>
    <w:rsid w:val="00B20E3C"/>
    <w:rsid w:val="00B2537D"/>
    <w:rsid w:val="00B30D9A"/>
    <w:rsid w:val="00B32588"/>
    <w:rsid w:val="00B34913"/>
    <w:rsid w:val="00B356FE"/>
    <w:rsid w:val="00B437B1"/>
    <w:rsid w:val="00B44713"/>
    <w:rsid w:val="00B508DE"/>
    <w:rsid w:val="00B52CB5"/>
    <w:rsid w:val="00B54E86"/>
    <w:rsid w:val="00B5546C"/>
    <w:rsid w:val="00B55C57"/>
    <w:rsid w:val="00B56103"/>
    <w:rsid w:val="00B60FA7"/>
    <w:rsid w:val="00B60FFD"/>
    <w:rsid w:val="00B633CE"/>
    <w:rsid w:val="00B64929"/>
    <w:rsid w:val="00B66D62"/>
    <w:rsid w:val="00B70CB2"/>
    <w:rsid w:val="00B72EDC"/>
    <w:rsid w:val="00B736DF"/>
    <w:rsid w:val="00B743D6"/>
    <w:rsid w:val="00B74FBD"/>
    <w:rsid w:val="00B75D56"/>
    <w:rsid w:val="00B77F46"/>
    <w:rsid w:val="00B82586"/>
    <w:rsid w:val="00B829A3"/>
    <w:rsid w:val="00B84D1F"/>
    <w:rsid w:val="00B86DB1"/>
    <w:rsid w:val="00B87869"/>
    <w:rsid w:val="00B87A0C"/>
    <w:rsid w:val="00B92E24"/>
    <w:rsid w:val="00B93068"/>
    <w:rsid w:val="00B96CE3"/>
    <w:rsid w:val="00B97C62"/>
    <w:rsid w:val="00BA073C"/>
    <w:rsid w:val="00BA11F7"/>
    <w:rsid w:val="00BA1489"/>
    <w:rsid w:val="00BA543A"/>
    <w:rsid w:val="00BA5DF6"/>
    <w:rsid w:val="00BA5F0F"/>
    <w:rsid w:val="00BA6206"/>
    <w:rsid w:val="00BB0F2B"/>
    <w:rsid w:val="00BB2085"/>
    <w:rsid w:val="00BB218F"/>
    <w:rsid w:val="00BB21D0"/>
    <w:rsid w:val="00BB38D1"/>
    <w:rsid w:val="00BB7534"/>
    <w:rsid w:val="00BC33AB"/>
    <w:rsid w:val="00BC6899"/>
    <w:rsid w:val="00BC781E"/>
    <w:rsid w:val="00BD5ABD"/>
    <w:rsid w:val="00BD6BCF"/>
    <w:rsid w:val="00BD73DA"/>
    <w:rsid w:val="00BE048B"/>
    <w:rsid w:val="00BE338A"/>
    <w:rsid w:val="00BE4BFD"/>
    <w:rsid w:val="00BE4FF3"/>
    <w:rsid w:val="00BE6087"/>
    <w:rsid w:val="00BF2AF1"/>
    <w:rsid w:val="00BF50F7"/>
    <w:rsid w:val="00BF59A9"/>
    <w:rsid w:val="00C00B20"/>
    <w:rsid w:val="00C00E77"/>
    <w:rsid w:val="00C02F29"/>
    <w:rsid w:val="00C06787"/>
    <w:rsid w:val="00C12FFB"/>
    <w:rsid w:val="00C15FA2"/>
    <w:rsid w:val="00C20AFE"/>
    <w:rsid w:val="00C20CFC"/>
    <w:rsid w:val="00C22999"/>
    <w:rsid w:val="00C22A25"/>
    <w:rsid w:val="00C31816"/>
    <w:rsid w:val="00C320E5"/>
    <w:rsid w:val="00C3252D"/>
    <w:rsid w:val="00C35671"/>
    <w:rsid w:val="00C35B77"/>
    <w:rsid w:val="00C35F52"/>
    <w:rsid w:val="00C376EB"/>
    <w:rsid w:val="00C378AB"/>
    <w:rsid w:val="00C405A7"/>
    <w:rsid w:val="00C40ED4"/>
    <w:rsid w:val="00C4495A"/>
    <w:rsid w:val="00C46A92"/>
    <w:rsid w:val="00C46DF7"/>
    <w:rsid w:val="00C46EC1"/>
    <w:rsid w:val="00C47613"/>
    <w:rsid w:val="00C476A4"/>
    <w:rsid w:val="00C5095D"/>
    <w:rsid w:val="00C52796"/>
    <w:rsid w:val="00C527E5"/>
    <w:rsid w:val="00C53481"/>
    <w:rsid w:val="00C53C31"/>
    <w:rsid w:val="00C53E2C"/>
    <w:rsid w:val="00C550C8"/>
    <w:rsid w:val="00C56506"/>
    <w:rsid w:val="00C56B5C"/>
    <w:rsid w:val="00C56B61"/>
    <w:rsid w:val="00C606C3"/>
    <w:rsid w:val="00C60B85"/>
    <w:rsid w:val="00C620F4"/>
    <w:rsid w:val="00C63E03"/>
    <w:rsid w:val="00C72848"/>
    <w:rsid w:val="00C7729F"/>
    <w:rsid w:val="00C7736C"/>
    <w:rsid w:val="00C8267F"/>
    <w:rsid w:val="00C82D32"/>
    <w:rsid w:val="00C82D87"/>
    <w:rsid w:val="00C8712A"/>
    <w:rsid w:val="00C963D3"/>
    <w:rsid w:val="00CA7069"/>
    <w:rsid w:val="00CB0D88"/>
    <w:rsid w:val="00CB1983"/>
    <w:rsid w:val="00CB2CBB"/>
    <w:rsid w:val="00CB57B8"/>
    <w:rsid w:val="00CB68C0"/>
    <w:rsid w:val="00CB79DD"/>
    <w:rsid w:val="00CB7CAC"/>
    <w:rsid w:val="00CC3DF6"/>
    <w:rsid w:val="00CC4A4E"/>
    <w:rsid w:val="00CC5335"/>
    <w:rsid w:val="00CC5788"/>
    <w:rsid w:val="00CC5A1C"/>
    <w:rsid w:val="00CC5BA4"/>
    <w:rsid w:val="00CD0261"/>
    <w:rsid w:val="00CD18B5"/>
    <w:rsid w:val="00CD4998"/>
    <w:rsid w:val="00CD6B43"/>
    <w:rsid w:val="00CD74C6"/>
    <w:rsid w:val="00CE0B1B"/>
    <w:rsid w:val="00CE1035"/>
    <w:rsid w:val="00CE4206"/>
    <w:rsid w:val="00CE6E50"/>
    <w:rsid w:val="00CF0F57"/>
    <w:rsid w:val="00CF1AF7"/>
    <w:rsid w:val="00CF1B82"/>
    <w:rsid w:val="00CF1FA0"/>
    <w:rsid w:val="00CF2819"/>
    <w:rsid w:val="00CF4F9D"/>
    <w:rsid w:val="00CF53D2"/>
    <w:rsid w:val="00CF6890"/>
    <w:rsid w:val="00CF70DC"/>
    <w:rsid w:val="00D000F5"/>
    <w:rsid w:val="00D00F1C"/>
    <w:rsid w:val="00D05166"/>
    <w:rsid w:val="00D148DC"/>
    <w:rsid w:val="00D16FA6"/>
    <w:rsid w:val="00D17FDC"/>
    <w:rsid w:val="00D21F62"/>
    <w:rsid w:val="00D24871"/>
    <w:rsid w:val="00D24DF2"/>
    <w:rsid w:val="00D258A8"/>
    <w:rsid w:val="00D26E26"/>
    <w:rsid w:val="00D30C56"/>
    <w:rsid w:val="00D362E8"/>
    <w:rsid w:val="00D405B7"/>
    <w:rsid w:val="00D509A5"/>
    <w:rsid w:val="00D56B4E"/>
    <w:rsid w:val="00D56BC6"/>
    <w:rsid w:val="00D608A4"/>
    <w:rsid w:val="00D60E46"/>
    <w:rsid w:val="00D63EFD"/>
    <w:rsid w:val="00D651FD"/>
    <w:rsid w:val="00D667A3"/>
    <w:rsid w:val="00D66F96"/>
    <w:rsid w:val="00D6736C"/>
    <w:rsid w:val="00D71E9C"/>
    <w:rsid w:val="00D72626"/>
    <w:rsid w:val="00D72770"/>
    <w:rsid w:val="00D75351"/>
    <w:rsid w:val="00D76D29"/>
    <w:rsid w:val="00D800AB"/>
    <w:rsid w:val="00D84752"/>
    <w:rsid w:val="00D85ADA"/>
    <w:rsid w:val="00D8608C"/>
    <w:rsid w:val="00D86B3B"/>
    <w:rsid w:val="00D8748A"/>
    <w:rsid w:val="00D9187D"/>
    <w:rsid w:val="00D91A0C"/>
    <w:rsid w:val="00D91E1D"/>
    <w:rsid w:val="00D920B1"/>
    <w:rsid w:val="00D928E6"/>
    <w:rsid w:val="00D929BE"/>
    <w:rsid w:val="00D93196"/>
    <w:rsid w:val="00D95496"/>
    <w:rsid w:val="00D97A5E"/>
    <w:rsid w:val="00DA09FC"/>
    <w:rsid w:val="00DA0DC0"/>
    <w:rsid w:val="00DA3210"/>
    <w:rsid w:val="00DA3914"/>
    <w:rsid w:val="00DA3CA2"/>
    <w:rsid w:val="00DA4053"/>
    <w:rsid w:val="00DA5A42"/>
    <w:rsid w:val="00DA6DFA"/>
    <w:rsid w:val="00DB0089"/>
    <w:rsid w:val="00DB1D76"/>
    <w:rsid w:val="00DB243C"/>
    <w:rsid w:val="00DB2F7C"/>
    <w:rsid w:val="00DB482A"/>
    <w:rsid w:val="00DB56F2"/>
    <w:rsid w:val="00DB6EF5"/>
    <w:rsid w:val="00DB77F8"/>
    <w:rsid w:val="00DB7E60"/>
    <w:rsid w:val="00DC3089"/>
    <w:rsid w:val="00DC331A"/>
    <w:rsid w:val="00DC4420"/>
    <w:rsid w:val="00DC4F3F"/>
    <w:rsid w:val="00DC62DC"/>
    <w:rsid w:val="00DC7845"/>
    <w:rsid w:val="00DD0802"/>
    <w:rsid w:val="00DD1682"/>
    <w:rsid w:val="00DD1686"/>
    <w:rsid w:val="00DD2E11"/>
    <w:rsid w:val="00DD4615"/>
    <w:rsid w:val="00DD47EF"/>
    <w:rsid w:val="00DD4B88"/>
    <w:rsid w:val="00DD571D"/>
    <w:rsid w:val="00DD5F7C"/>
    <w:rsid w:val="00DE03AF"/>
    <w:rsid w:val="00DE0539"/>
    <w:rsid w:val="00DE0925"/>
    <w:rsid w:val="00DE121C"/>
    <w:rsid w:val="00DE1672"/>
    <w:rsid w:val="00DE4AAF"/>
    <w:rsid w:val="00DE6633"/>
    <w:rsid w:val="00DE7F85"/>
    <w:rsid w:val="00DF0864"/>
    <w:rsid w:val="00DF2FBB"/>
    <w:rsid w:val="00DF75F8"/>
    <w:rsid w:val="00DF7A3A"/>
    <w:rsid w:val="00E00C00"/>
    <w:rsid w:val="00E01971"/>
    <w:rsid w:val="00E03AF0"/>
    <w:rsid w:val="00E07C5A"/>
    <w:rsid w:val="00E10289"/>
    <w:rsid w:val="00E15AA0"/>
    <w:rsid w:val="00E15BA9"/>
    <w:rsid w:val="00E16451"/>
    <w:rsid w:val="00E265FD"/>
    <w:rsid w:val="00E26E19"/>
    <w:rsid w:val="00E30C8A"/>
    <w:rsid w:val="00E31DF3"/>
    <w:rsid w:val="00E37BFD"/>
    <w:rsid w:val="00E441CB"/>
    <w:rsid w:val="00E44B19"/>
    <w:rsid w:val="00E450A4"/>
    <w:rsid w:val="00E506BE"/>
    <w:rsid w:val="00E55547"/>
    <w:rsid w:val="00E604A1"/>
    <w:rsid w:val="00E6302B"/>
    <w:rsid w:val="00E6452F"/>
    <w:rsid w:val="00E64F45"/>
    <w:rsid w:val="00E66622"/>
    <w:rsid w:val="00E6742D"/>
    <w:rsid w:val="00E67BE2"/>
    <w:rsid w:val="00E70379"/>
    <w:rsid w:val="00E70FA4"/>
    <w:rsid w:val="00E71CB0"/>
    <w:rsid w:val="00E74110"/>
    <w:rsid w:val="00E7505F"/>
    <w:rsid w:val="00E75B6E"/>
    <w:rsid w:val="00E77C3D"/>
    <w:rsid w:val="00E81160"/>
    <w:rsid w:val="00E83CE8"/>
    <w:rsid w:val="00E86F5A"/>
    <w:rsid w:val="00E90991"/>
    <w:rsid w:val="00E909F0"/>
    <w:rsid w:val="00E90D47"/>
    <w:rsid w:val="00E91709"/>
    <w:rsid w:val="00E92011"/>
    <w:rsid w:val="00E92273"/>
    <w:rsid w:val="00E92D00"/>
    <w:rsid w:val="00E930D3"/>
    <w:rsid w:val="00E93993"/>
    <w:rsid w:val="00E9597C"/>
    <w:rsid w:val="00E978FA"/>
    <w:rsid w:val="00EA0913"/>
    <w:rsid w:val="00EA14EE"/>
    <w:rsid w:val="00EA3B49"/>
    <w:rsid w:val="00EA5B00"/>
    <w:rsid w:val="00EA60B7"/>
    <w:rsid w:val="00EB146B"/>
    <w:rsid w:val="00EB36DF"/>
    <w:rsid w:val="00EB3BB9"/>
    <w:rsid w:val="00EB45AC"/>
    <w:rsid w:val="00EB59B6"/>
    <w:rsid w:val="00EB59F1"/>
    <w:rsid w:val="00EB5CA4"/>
    <w:rsid w:val="00EB6B9A"/>
    <w:rsid w:val="00EC00F9"/>
    <w:rsid w:val="00EC0181"/>
    <w:rsid w:val="00EC02A6"/>
    <w:rsid w:val="00EC0542"/>
    <w:rsid w:val="00EC1440"/>
    <w:rsid w:val="00EC16A2"/>
    <w:rsid w:val="00EC242E"/>
    <w:rsid w:val="00EC3CEE"/>
    <w:rsid w:val="00ED0BC4"/>
    <w:rsid w:val="00ED20E8"/>
    <w:rsid w:val="00ED22C0"/>
    <w:rsid w:val="00ED2AAE"/>
    <w:rsid w:val="00ED3C39"/>
    <w:rsid w:val="00ED472A"/>
    <w:rsid w:val="00ED54B6"/>
    <w:rsid w:val="00ED5F37"/>
    <w:rsid w:val="00EE0ABC"/>
    <w:rsid w:val="00EE2060"/>
    <w:rsid w:val="00EE352E"/>
    <w:rsid w:val="00EE4971"/>
    <w:rsid w:val="00EE5405"/>
    <w:rsid w:val="00EF090E"/>
    <w:rsid w:val="00EF59C2"/>
    <w:rsid w:val="00F0053B"/>
    <w:rsid w:val="00F033DA"/>
    <w:rsid w:val="00F05F82"/>
    <w:rsid w:val="00F1040E"/>
    <w:rsid w:val="00F13FB1"/>
    <w:rsid w:val="00F15B10"/>
    <w:rsid w:val="00F27CD8"/>
    <w:rsid w:val="00F30351"/>
    <w:rsid w:val="00F3323E"/>
    <w:rsid w:val="00F341F4"/>
    <w:rsid w:val="00F34F9D"/>
    <w:rsid w:val="00F3562C"/>
    <w:rsid w:val="00F35CCE"/>
    <w:rsid w:val="00F44004"/>
    <w:rsid w:val="00F473FC"/>
    <w:rsid w:val="00F51441"/>
    <w:rsid w:val="00F52104"/>
    <w:rsid w:val="00F5524B"/>
    <w:rsid w:val="00F57C8E"/>
    <w:rsid w:val="00F60538"/>
    <w:rsid w:val="00F60B34"/>
    <w:rsid w:val="00F61DD2"/>
    <w:rsid w:val="00F62456"/>
    <w:rsid w:val="00F66AB8"/>
    <w:rsid w:val="00F66AFF"/>
    <w:rsid w:val="00F67D3C"/>
    <w:rsid w:val="00F70804"/>
    <w:rsid w:val="00F71433"/>
    <w:rsid w:val="00F746D8"/>
    <w:rsid w:val="00F76CD4"/>
    <w:rsid w:val="00F814B4"/>
    <w:rsid w:val="00F82184"/>
    <w:rsid w:val="00F83227"/>
    <w:rsid w:val="00F83461"/>
    <w:rsid w:val="00F83464"/>
    <w:rsid w:val="00F878DB"/>
    <w:rsid w:val="00F911BC"/>
    <w:rsid w:val="00F93A4E"/>
    <w:rsid w:val="00F93BE7"/>
    <w:rsid w:val="00F94119"/>
    <w:rsid w:val="00F959CC"/>
    <w:rsid w:val="00F97C5B"/>
    <w:rsid w:val="00FA1F45"/>
    <w:rsid w:val="00FA24C8"/>
    <w:rsid w:val="00FA3D50"/>
    <w:rsid w:val="00FA4422"/>
    <w:rsid w:val="00FA7174"/>
    <w:rsid w:val="00FB50CD"/>
    <w:rsid w:val="00FB6122"/>
    <w:rsid w:val="00FB7FBD"/>
    <w:rsid w:val="00FC235E"/>
    <w:rsid w:val="00FC3276"/>
    <w:rsid w:val="00FC3681"/>
    <w:rsid w:val="00FC36AD"/>
    <w:rsid w:val="00FC374A"/>
    <w:rsid w:val="00FC48D8"/>
    <w:rsid w:val="00FC4C7B"/>
    <w:rsid w:val="00FC7B47"/>
    <w:rsid w:val="00FD035C"/>
    <w:rsid w:val="00FD1A35"/>
    <w:rsid w:val="00FD257B"/>
    <w:rsid w:val="00FD2C26"/>
    <w:rsid w:val="00FD36C5"/>
    <w:rsid w:val="00FD6310"/>
    <w:rsid w:val="00FD7C7B"/>
    <w:rsid w:val="00FE0BDC"/>
    <w:rsid w:val="00FE0D46"/>
    <w:rsid w:val="00FE12B2"/>
    <w:rsid w:val="00FE1D12"/>
    <w:rsid w:val="00FE2122"/>
    <w:rsid w:val="00FE2A86"/>
    <w:rsid w:val="00FE2DE2"/>
    <w:rsid w:val="00FE3923"/>
    <w:rsid w:val="00FE693A"/>
    <w:rsid w:val="00FF296F"/>
    <w:rsid w:val="00FF5E23"/>
    <w:rsid w:val="00FF711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7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08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292978436">
      <w:bodyDiv w:val="1"/>
      <w:marLeft w:val="0"/>
      <w:marRight w:val="0"/>
      <w:marTop w:val="0"/>
      <w:marBottom w:val="0"/>
      <w:divBdr>
        <w:top w:val="none" w:sz="0" w:space="0" w:color="auto"/>
        <w:left w:val="none" w:sz="0" w:space="0" w:color="auto"/>
        <w:bottom w:val="none" w:sz="0" w:space="0" w:color="auto"/>
        <w:right w:val="none" w:sz="0" w:space="0" w:color="auto"/>
      </w:divBdr>
    </w:div>
    <w:div w:id="350952744">
      <w:bodyDiv w:val="1"/>
      <w:marLeft w:val="0"/>
      <w:marRight w:val="0"/>
      <w:marTop w:val="0"/>
      <w:marBottom w:val="0"/>
      <w:divBdr>
        <w:top w:val="none" w:sz="0" w:space="0" w:color="auto"/>
        <w:left w:val="none" w:sz="0" w:space="0" w:color="auto"/>
        <w:bottom w:val="none" w:sz="0" w:space="0" w:color="auto"/>
        <w:right w:val="none" w:sz="0" w:space="0" w:color="auto"/>
      </w:divBdr>
    </w:div>
    <w:div w:id="426580748">
      <w:bodyDiv w:val="1"/>
      <w:marLeft w:val="0"/>
      <w:marRight w:val="0"/>
      <w:marTop w:val="0"/>
      <w:marBottom w:val="0"/>
      <w:divBdr>
        <w:top w:val="none" w:sz="0" w:space="0" w:color="auto"/>
        <w:left w:val="none" w:sz="0" w:space="0" w:color="auto"/>
        <w:bottom w:val="none" w:sz="0" w:space="0" w:color="auto"/>
        <w:right w:val="none" w:sz="0" w:space="0" w:color="auto"/>
      </w:divBdr>
    </w:div>
    <w:div w:id="482279843">
      <w:bodyDiv w:val="1"/>
      <w:marLeft w:val="0"/>
      <w:marRight w:val="0"/>
      <w:marTop w:val="0"/>
      <w:marBottom w:val="0"/>
      <w:divBdr>
        <w:top w:val="none" w:sz="0" w:space="0" w:color="auto"/>
        <w:left w:val="none" w:sz="0" w:space="0" w:color="auto"/>
        <w:bottom w:val="none" w:sz="0" w:space="0" w:color="auto"/>
        <w:right w:val="none" w:sz="0" w:space="0" w:color="auto"/>
      </w:divBdr>
      <w:divsChild>
        <w:div w:id="1555896682">
          <w:marLeft w:val="0"/>
          <w:marRight w:val="0"/>
          <w:marTop w:val="0"/>
          <w:marBottom w:val="0"/>
          <w:divBdr>
            <w:top w:val="none" w:sz="0" w:space="0" w:color="auto"/>
            <w:left w:val="none" w:sz="0" w:space="0" w:color="auto"/>
            <w:bottom w:val="none" w:sz="0" w:space="0" w:color="auto"/>
            <w:right w:val="none" w:sz="0" w:space="0" w:color="auto"/>
          </w:divBdr>
        </w:div>
        <w:div w:id="176311829">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92744953">
      <w:bodyDiv w:val="1"/>
      <w:marLeft w:val="0"/>
      <w:marRight w:val="0"/>
      <w:marTop w:val="0"/>
      <w:marBottom w:val="0"/>
      <w:divBdr>
        <w:top w:val="none" w:sz="0" w:space="0" w:color="auto"/>
        <w:left w:val="none" w:sz="0" w:space="0" w:color="auto"/>
        <w:bottom w:val="none" w:sz="0" w:space="0" w:color="auto"/>
        <w:right w:val="none" w:sz="0" w:space="0" w:color="auto"/>
      </w:divBdr>
      <w:divsChild>
        <w:div w:id="1101801070">
          <w:marLeft w:val="0"/>
          <w:marRight w:val="0"/>
          <w:marTop w:val="0"/>
          <w:marBottom w:val="0"/>
          <w:divBdr>
            <w:top w:val="none" w:sz="0" w:space="0" w:color="auto"/>
            <w:left w:val="none" w:sz="0" w:space="0" w:color="auto"/>
            <w:bottom w:val="none" w:sz="0" w:space="0" w:color="auto"/>
            <w:right w:val="none" w:sz="0" w:space="0" w:color="auto"/>
          </w:divBdr>
        </w:div>
        <w:div w:id="1481074090">
          <w:marLeft w:val="0"/>
          <w:marRight w:val="0"/>
          <w:marTop w:val="0"/>
          <w:marBottom w:val="0"/>
          <w:divBdr>
            <w:top w:val="none" w:sz="0" w:space="0" w:color="auto"/>
            <w:left w:val="none" w:sz="0" w:space="0" w:color="auto"/>
            <w:bottom w:val="none" w:sz="0" w:space="0" w:color="auto"/>
            <w:right w:val="none" w:sz="0" w:space="0" w:color="auto"/>
          </w:divBdr>
        </w:div>
        <w:div w:id="1171873575">
          <w:marLeft w:val="0"/>
          <w:marRight w:val="0"/>
          <w:marTop w:val="0"/>
          <w:marBottom w:val="0"/>
          <w:divBdr>
            <w:top w:val="none" w:sz="0" w:space="0" w:color="auto"/>
            <w:left w:val="none" w:sz="0" w:space="0" w:color="auto"/>
            <w:bottom w:val="none" w:sz="0" w:space="0" w:color="auto"/>
            <w:right w:val="none" w:sz="0" w:space="0" w:color="auto"/>
          </w:divBdr>
        </w:div>
        <w:div w:id="1836072615">
          <w:marLeft w:val="0"/>
          <w:marRight w:val="0"/>
          <w:marTop w:val="0"/>
          <w:marBottom w:val="0"/>
          <w:divBdr>
            <w:top w:val="none" w:sz="0" w:space="0" w:color="auto"/>
            <w:left w:val="none" w:sz="0" w:space="0" w:color="auto"/>
            <w:bottom w:val="none" w:sz="0" w:space="0" w:color="auto"/>
            <w:right w:val="none" w:sz="0" w:space="0" w:color="auto"/>
          </w:divBdr>
        </w:div>
        <w:div w:id="624391771">
          <w:marLeft w:val="0"/>
          <w:marRight w:val="0"/>
          <w:marTop w:val="0"/>
          <w:marBottom w:val="0"/>
          <w:divBdr>
            <w:top w:val="none" w:sz="0" w:space="0" w:color="auto"/>
            <w:left w:val="none" w:sz="0" w:space="0" w:color="auto"/>
            <w:bottom w:val="none" w:sz="0" w:space="0" w:color="auto"/>
            <w:right w:val="none" w:sz="0" w:space="0" w:color="auto"/>
          </w:divBdr>
        </w:div>
        <w:div w:id="459804468">
          <w:marLeft w:val="0"/>
          <w:marRight w:val="0"/>
          <w:marTop w:val="0"/>
          <w:marBottom w:val="0"/>
          <w:divBdr>
            <w:top w:val="none" w:sz="0" w:space="0" w:color="auto"/>
            <w:left w:val="none" w:sz="0" w:space="0" w:color="auto"/>
            <w:bottom w:val="none" w:sz="0" w:space="0" w:color="auto"/>
            <w:right w:val="none" w:sz="0" w:space="0" w:color="auto"/>
          </w:divBdr>
        </w:div>
        <w:div w:id="1074356745">
          <w:marLeft w:val="0"/>
          <w:marRight w:val="0"/>
          <w:marTop w:val="0"/>
          <w:marBottom w:val="0"/>
          <w:divBdr>
            <w:top w:val="none" w:sz="0" w:space="0" w:color="auto"/>
            <w:left w:val="none" w:sz="0" w:space="0" w:color="auto"/>
            <w:bottom w:val="none" w:sz="0" w:space="0" w:color="auto"/>
            <w:right w:val="none" w:sz="0" w:space="0" w:color="auto"/>
          </w:divBdr>
        </w:div>
        <w:div w:id="483009775">
          <w:marLeft w:val="0"/>
          <w:marRight w:val="0"/>
          <w:marTop w:val="0"/>
          <w:marBottom w:val="0"/>
          <w:divBdr>
            <w:top w:val="none" w:sz="0" w:space="0" w:color="auto"/>
            <w:left w:val="none" w:sz="0" w:space="0" w:color="auto"/>
            <w:bottom w:val="none" w:sz="0" w:space="0" w:color="auto"/>
            <w:right w:val="none" w:sz="0" w:space="0" w:color="auto"/>
          </w:divBdr>
        </w:div>
        <w:div w:id="29384157">
          <w:marLeft w:val="0"/>
          <w:marRight w:val="0"/>
          <w:marTop w:val="0"/>
          <w:marBottom w:val="0"/>
          <w:divBdr>
            <w:top w:val="none" w:sz="0" w:space="0" w:color="auto"/>
            <w:left w:val="none" w:sz="0" w:space="0" w:color="auto"/>
            <w:bottom w:val="none" w:sz="0" w:space="0" w:color="auto"/>
            <w:right w:val="none" w:sz="0" w:space="0" w:color="auto"/>
          </w:divBdr>
        </w:div>
        <w:div w:id="82655881">
          <w:marLeft w:val="0"/>
          <w:marRight w:val="0"/>
          <w:marTop w:val="0"/>
          <w:marBottom w:val="0"/>
          <w:divBdr>
            <w:top w:val="none" w:sz="0" w:space="0" w:color="auto"/>
            <w:left w:val="none" w:sz="0" w:space="0" w:color="auto"/>
            <w:bottom w:val="none" w:sz="0" w:space="0" w:color="auto"/>
            <w:right w:val="none" w:sz="0" w:space="0" w:color="auto"/>
          </w:divBdr>
        </w:div>
        <w:div w:id="706489430">
          <w:marLeft w:val="0"/>
          <w:marRight w:val="0"/>
          <w:marTop w:val="0"/>
          <w:marBottom w:val="0"/>
          <w:divBdr>
            <w:top w:val="none" w:sz="0" w:space="0" w:color="auto"/>
            <w:left w:val="none" w:sz="0" w:space="0" w:color="auto"/>
            <w:bottom w:val="none" w:sz="0" w:space="0" w:color="auto"/>
            <w:right w:val="none" w:sz="0" w:space="0" w:color="auto"/>
          </w:divBdr>
        </w:div>
        <w:div w:id="2040201484">
          <w:marLeft w:val="0"/>
          <w:marRight w:val="0"/>
          <w:marTop w:val="0"/>
          <w:marBottom w:val="0"/>
          <w:divBdr>
            <w:top w:val="none" w:sz="0" w:space="0" w:color="auto"/>
            <w:left w:val="none" w:sz="0" w:space="0" w:color="auto"/>
            <w:bottom w:val="none" w:sz="0" w:space="0" w:color="auto"/>
            <w:right w:val="none" w:sz="0" w:space="0" w:color="auto"/>
          </w:divBdr>
        </w:div>
        <w:div w:id="940257393">
          <w:marLeft w:val="0"/>
          <w:marRight w:val="0"/>
          <w:marTop w:val="0"/>
          <w:marBottom w:val="0"/>
          <w:divBdr>
            <w:top w:val="none" w:sz="0" w:space="0" w:color="auto"/>
            <w:left w:val="none" w:sz="0" w:space="0" w:color="auto"/>
            <w:bottom w:val="none" w:sz="0" w:space="0" w:color="auto"/>
            <w:right w:val="none" w:sz="0" w:space="0" w:color="auto"/>
          </w:divBdr>
        </w:div>
        <w:div w:id="1766268784">
          <w:marLeft w:val="0"/>
          <w:marRight w:val="0"/>
          <w:marTop w:val="0"/>
          <w:marBottom w:val="0"/>
          <w:divBdr>
            <w:top w:val="none" w:sz="0" w:space="0" w:color="auto"/>
            <w:left w:val="none" w:sz="0" w:space="0" w:color="auto"/>
            <w:bottom w:val="none" w:sz="0" w:space="0" w:color="auto"/>
            <w:right w:val="none" w:sz="0" w:space="0" w:color="auto"/>
          </w:divBdr>
        </w:div>
        <w:div w:id="597451132">
          <w:marLeft w:val="0"/>
          <w:marRight w:val="0"/>
          <w:marTop w:val="0"/>
          <w:marBottom w:val="0"/>
          <w:divBdr>
            <w:top w:val="none" w:sz="0" w:space="0" w:color="auto"/>
            <w:left w:val="none" w:sz="0" w:space="0" w:color="auto"/>
            <w:bottom w:val="none" w:sz="0" w:space="0" w:color="auto"/>
            <w:right w:val="none" w:sz="0" w:space="0" w:color="auto"/>
          </w:divBdr>
        </w:div>
        <w:div w:id="1770000510">
          <w:marLeft w:val="0"/>
          <w:marRight w:val="0"/>
          <w:marTop w:val="0"/>
          <w:marBottom w:val="0"/>
          <w:divBdr>
            <w:top w:val="none" w:sz="0" w:space="0" w:color="auto"/>
            <w:left w:val="none" w:sz="0" w:space="0" w:color="auto"/>
            <w:bottom w:val="none" w:sz="0" w:space="0" w:color="auto"/>
            <w:right w:val="none" w:sz="0" w:space="0" w:color="auto"/>
          </w:divBdr>
        </w:div>
        <w:div w:id="872159165">
          <w:marLeft w:val="0"/>
          <w:marRight w:val="0"/>
          <w:marTop w:val="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067189571">
      <w:bodyDiv w:val="1"/>
      <w:marLeft w:val="0"/>
      <w:marRight w:val="0"/>
      <w:marTop w:val="0"/>
      <w:marBottom w:val="0"/>
      <w:divBdr>
        <w:top w:val="none" w:sz="0" w:space="0" w:color="auto"/>
        <w:left w:val="none" w:sz="0" w:space="0" w:color="auto"/>
        <w:bottom w:val="none" w:sz="0" w:space="0" w:color="auto"/>
        <w:right w:val="none" w:sz="0" w:space="0" w:color="auto"/>
      </w:divBdr>
    </w:div>
    <w:div w:id="1305045904">
      <w:bodyDiv w:val="1"/>
      <w:marLeft w:val="0"/>
      <w:marRight w:val="0"/>
      <w:marTop w:val="0"/>
      <w:marBottom w:val="0"/>
      <w:divBdr>
        <w:top w:val="none" w:sz="0" w:space="0" w:color="auto"/>
        <w:left w:val="none" w:sz="0" w:space="0" w:color="auto"/>
        <w:bottom w:val="none" w:sz="0" w:space="0" w:color="auto"/>
        <w:right w:val="none" w:sz="0" w:space="0" w:color="auto"/>
      </w:divBdr>
      <w:divsChild>
        <w:div w:id="1646617039">
          <w:marLeft w:val="0"/>
          <w:marRight w:val="0"/>
          <w:marTop w:val="0"/>
          <w:marBottom w:val="0"/>
          <w:divBdr>
            <w:top w:val="none" w:sz="0" w:space="0" w:color="auto"/>
            <w:left w:val="none" w:sz="0" w:space="0" w:color="auto"/>
            <w:bottom w:val="none" w:sz="0" w:space="0" w:color="auto"/>
            <w:right w:val="none" w:sz="0" w:space="0" w:color="auto"/>
          </w:divBdr>
        </w:div>
        <w:div w:id="1851144830">
          <w:marLeft w:val="0"/>
          <w:marRight w:val="0"/>
          <w:marTop w:val="0"/>
          <w:marBottom w:val="0"/>
          <w:divBdr>
            <w:top w:val="none" w:sz="0" w:space="0" w:color="auto"/>
            <w:left w:val="none" w:sz="0" w:space="0" w:color="auto"/>
            <w:bottom w:val="none" w:sz="0" w:space="0" w:color="auto"/>
            <w:right w:val="none" w:sz="0" w:space="0" w:color="auto"/>
          </w:divBdr>
        </w:div>
        <w:div w:id="2123333196">
          <w:marLeft w:val="0"/>
          <w:marRight w:val="0"/>
          <w:marTop w:val="0"/>
          <w:marBottom w:val="0"/>
          <w:divBdr>
            <w:top w:val="none" w:sz="0" w:space="0" w:color="auto"/>
            <w:left w:val="none" w:sz="0" w:space="0" w:color="auto"/>
            <w:bottom w:val="none" w:sz="0" w:space="0" w:color="auto"/>
            <w:right w:val="none" w:sz="0" w:space="0" w:color="auto"/>
          </w:divBdr>
        </w:div>
        <w:div w:id="1653480192">
          <w:marLeft w:val="0"/>
          <w:marRight w:val="0"/>
          <w:marTop w:val="0"/>
          <w:marBottom w:val="0"/>
          <w:divBdr>
            <w:top w:val="none" w:sz="0" w:space="0" w:color="auto"/>
            <w:left w:val="none" w:sz="0" w:space="0" w:color="auto"/>
            <w:bottom w:val="none" w:sz="0" w:space="0" w:color="auto"/>
            <w:right w:val="none" w:sz="0" w:space="0" w:color="auto"/>
          </w:divBdr>
        </w:div>
        <w:div w:id="1911040415">
          <w:marLeft w:val="0"/>
          <w:marRight w:val="0"/>
          <w:marTop w:val="0"/>
          <w:marBottom w:val="0"/>
          <w:divBdr>
            <w:top w:val="none" w:sz="0" w:space="0" w:color="auto"/>
            <w:left w:val="none" w:sz="0" w:space="0" w:color="auto"/>
            <w:bottom w:val="none" w:sz="0" w:space="0" w:color="auto"/>
            <w:right w:val="none" w:sz="0" w:space="0" w:color="auto"/>
          </w:divBdr>
        </w:div>
        <w:div w:id="1408573193">
          <w:marLeft w:val="0"/>
          <w:marRight w:val="0"/>
          <w:marTop w:val="0"/>
          <w:marBottom w:val="0"/>
          <w:divBdr>
            <w:top w:val="none" w:sz="0" w:space="0" w:color="auto"/>
            <w:left w:val="none" w:sz="0" w:space="0" w:color="auto"/>
            <w:bottom w:val="none" w:sz="0" w:space="0" w:color="auto"/>
            <w:right w:val="none" w:sz="0" w:space="0" w:color="auto"/>
          </w:divBdr>
        </w:div>
        <w:div w:id="794443185">
          <w:marLeft w:val="0"/>
          <w:marRight w:val="0"/>
          <w:marTop w:val="0"/>
          <w:marBottom w:val="0"/>
          <w:divBdr>
            <w:top w:val="none" w:sz="0" w:space="0" w:color="auto"/>
            <w:left w:val="none" w:sz="0" w:space="0" w:color="auto"/>
            <w:bottom w:val="none" w:sz="0" w:space="0" w:color="auto"/>
            <w:right w:val="none" w:sz="0" w:space="0" w:color="auto"/>
          </w:divBdr>
        </w:div>
        <w:div w:id="1434592185">
          <w:marLeft w:val="0"/>
          <w:marRight w:val="0"/>
          <w:marTop w:val="0"/>
          <w:marBottom w:val="0"/>
          <w:divBdr>
            <w:top w:val="none" w:sz="0" w:space="0" w:color="auto"/>
            <w:left w:val="none" w:sz="0" w:space="0" w:color="auto"/>
            <w:bottom w:val="none" w:sz="0" w:space="0" w:color="auto"/>
            <w:right w:val="none" w:sz="0" w:space="0" w:color="auto"/>
          </w:divBdr>
        </w:div>
        <w:div w:id="1963489703">
          <w:marLeft w:val="0"/>
          <w:marRight w:val="0"/>
          <w:marTop w:val="0"/>
          <w:marBottom w:val="0"/>
          <w:divBdr>
            <w:top w:val="none" w:sz="0" w:space="0" w:color="auto"/>
            <w:left w:val="none" w:sz="0" w:space="0" w:color="auto"/>
            <w:bottom w:val="none" w:sz="0" w:space="0" w:color="auto"/>
            <w:right w:val="none" w:sz="0" w:space="0" w:color="auto"/>
          </w:divBdr>
        </w:div>
        <w:div w:id="770665915">
          <w:marLeft w:val="0"/>
          <w:marRight w:val="0"/>
          <w:marTop w:val="0"/>
          <w:marBottom w:val="0"/>
          <w:divBdr>
            <w:top w:val="none" w:sz="0" w:space="0" w:color="auto"/>
            <w:left w:val="none" w:sz="0" w:space="0" w:color="auto"/>
            <w:bottom w:val="none" w:sz="0" w:space="0" w:color="auto"/>
            <w:right w:val="none" w:sz="0" w:space="0" w:color="auto"/>
          </w:divBdr>
        </w:div>
        <w:div w:id="1145899540">
          <w:marLeft w:val="0"/>
          <w:marRight w:val="0"/>
          <w:marTop w:val="0"/>
          <w:marBottom w:val="0"/>
          <w:divBdr>
            <w:top w:val="none" w:sz="0" w:space="0" w:color="auto"/>
            <w:left w:val="none" w:sz="0" w:space="0" w:color="auto"/>
            <w:bottom w:val="none" w:sz="0" w:space="0" w:color="auto"/>
            <w:right w:val="none" w:sz="0" w:space="0" w:color="auto"/>
          </w:divBdr>
          <w:divsChild>
            <w:div w:id="1413506585">
              <w:marLeft w:val="0"/>
              <w:marRight w:val="0"/>
              <w:marTop w:val="0"/>
              <w:marBottom w:val="0"/>
              <w:divBdr>
                <w:top w:val="none" w:sz="0" w:space="0" w:color="auto"/>
                <w:left w:val="none" w:sz="0" w:space="0" w:color="auto"/>
                <w:bottom w:val="none" w:sz="0" w:space="0" w:color="auto"/>
                <w:right w:val="none" w:sz="0" w:space="0" w:color="auto"/>
              </w:divBdr>
            </w:div>
            <w:div w:id="2065903187">
              <w:marLeft w:val="0"/>
              <w:marRight w:val="0"/>
              <w:marTop w:val="0"/>
              <w:marBottom w:val="0"/>
              <w:divBdr>
                <w:top w:val="none" w:sz="0" w:space="0" w:color="auto"/>
                <w:left w:val="none" w:sz="0" w:space="0" w:color="auto"/>
                <w:bottom w:val="none" w:sz="0" w:space="0" w:color="auto"/>
                <w:right w:val="none" w:sz="0" w:space="0" w:color="auto"/>
              </w:divBdr>
            </w:div>
          </w:divsChild>
        </w:div>
        <w:div w:id="652565724">
          <w:marLeft w:val="0"/>
          <w:marRight w:val="0"/>
          <w:marTop w:val="0"/>
          <w:marBottom w:val="0"/>
          <w:divBdr>
            <w:top w:val="none" w:sz="0" w:space="0" w:color="auto"/>
            <w:left w:val="none" w:sz="0" w:space="0" w:color="auto"/>
            <w:bottom w:val="none" w:sz="0" w:space="0" w:color="auto"/>
            <w:right w:val="none" w:sz="0" w:space="0" w:color="auto"/>
          </w:divBdr>
        </w:div>
        <w:div w:id="2074691653">
          <w:marLeft w:val="0"/>
          <w:marRight w:val="0"/>
          <w:marTop w:val="0"/>
          <w:marBottom w:val="0"/>
          <w:divBdr>
            <w:top w:val="none" w:sz="0" w:space="0" w:color="auto"/>
            <w:left w:val="none" w:sz="0" w:space="0" w:color="auto"/>
            <w:bottom w:val="none" w:sz="0" w:space="0" w:color="auto"/>
            <w:right w:val="none" w:sz="0" w:space="0" w:color="auto"/>
          </w:divBdr>
        </w:div>
        <w:div w:id="168057683">
          <w:marLeft w:val="0"/>
          <w:marRight w:val="0"/>
          <w:marTop w:val="0"/>
          <w:marBottom w:val="0"/>
          <w:divBdr>
            <w:top w:val="none" w:sz="0" w:space="0" w:color="auto"/>
            <w:left w:val="none" w:sz="0" w:space="0" w:color="auto"/>
            <w:bottom w:val="none" w:sz="0" w:space="0" w:color="auto"/>
            <w:right w:val="none" w:sz="0" w:space="0" w:color="auto"/>
          </w:divBdr>
        </w:div>
        <w:div w:id="406610442">
          <w:marLeft w:val="0"/>
          <w:marRight w:val="0"/>
          <w:marTop w:val="0"/>
          <w:marBottom w:val="0"/>
          <w:divBdr>
            <w:top w:val="none" w:sz="0" w:space="0" w:color="auto"/>
            <w:left w:val="none" w:sz="0" w:space="0" w:color="auto"/>
            <w:bottom w:val="none" w:sz="0" w:space="0" w:color="auto"/>
            <w:right w:val="none" w:sz="0" w:space="0" w:color="auto"/>
          </w:divBdr>
        </w:div>
        <w:div w:id="1199855030">
          <w:marLeft w:val="0"/>
          <w:marRight w:val="0"/>
          <w:marTop w:val="0"/>
          <w:marBottom w:val="0"/>
          <w:divBdr>
            <w:top w:val="none" w:sz="0" w:space="0" w:color="auto"/>
            <w:left w:val="none" w:sz="0" w:space="0" w:color="auto"/>
            <w:bottom w:val="none" w:sz="0" w:space="0" w:color="auto"/>
            <w:right w:val="none" w:sz="0" w:space="0" w:color="auto"/>
          </w:divBdr>
        </w:div>
      </w:divsChild>
    </w:div>
    <w:div w:id="1396972742">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478842893">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760102295">
      <w:bodyDiv w:val="1"/>
      <w:marLeft w:val="0"/>
      <w:marRight w:val="0"/>
      <w:marTop w:val="0"/>
      <w:marBottom w:val="0"/>
      <w:divBdr>
        <w:top w:val="none" w:sz="0" w:space="0" w:color="auto"/>
        <w:left w:val="none" w:sz="0" w:space="0" w:color="auto"/>
        <w:bottom w:val="none" w:sz="0" w:space="0" w:color="auto"/>
        <w:right w:val="none" w:sz="0" w:space="0" w:color="auto"/>
      </w:divBdr>
    </w:div>
    <w:div w:id="1765414674">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54303260">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estructuring-globalview.com/2019/11/how-does-the-eu-restructuring-directive-compare-to-chapter-11/" TargetMode="External"/><Relationship Id="rId3" Type="http://schemas.openxmlformats.org/officeDocument/2006/relationships/hyperlink" Target="https://aldricus.giustizia.it/the-center-of-the-debtors-main-interests-comi-in-the-european-framework-for-cross-border-insolvency/?lang=en" TargetMode="External"/><Relationship Id="rId7" Type="http://schemas.openxmlformats.org/officeDocument/2006/relationships/hyperlink" Target="https://onlinelibrary.wiley.com/doi/10.1002/iir.1432" TargetMode="External"/><Relationship Id="rId2" Type="http://schemas.openxmlformats.org/officeDocument/2006/relationships/hyperlink" Target="https://www.loyensloeff.com/insights/news--events/news/comi--luxembourg-technical-analysis--case-law-critique-/" TargetMode="External"/><Relationship Id="rId1" Type="http://schemas.openxmlformats.org/officeDocument/2006/relationships/hyperlink" Target="https://www.chasecambria.com/site/journal/article.php?id=987" TargetMode="External"/><Relationship Id="rId6" Type="http://schemas.openxmlformats.org/officeDocument/2006/relationships/hyperlink" Target="https://www.elibrary.imf.org/view/journals/001/2021/152/article-A001-en.xml" TargetMode="External"/><Relationship Id="rId5" Type="http://schemas.openxmlformats.org/officeDocument/2006/relationships/hyperlink" Target="https://resourcehub.bakermckenzie.com/en/resources/global-restructuring-and-insolvency-guide/subpages/european-union" TargetMode="External"/><Relationship Id="rId4" Type="http://schemas.openxmlformats.org/officeDocument/2006/relationships/hyperlink" Target="https://www.restructuring-globalview.com/2019/11/how-does-the-eu-restructuring-directive-compare-to-chapter-11/" TargetMode="External"/><Relationship Id="rId9" Type="http://schemas.openxmlformats.org/officeDocument/2006/relationships/hyperlink" Target="https://globalrestructuringreview.com/review/europe-middle-east-and-africa-restructuring-review/2023/article/restructuring-mechanisms-in-france-and-recent-develop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23</Pages>
  <Words>9774</Words>
  <Characters>55713</Characters>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2019-08-27T05:42:00Z</cp:lastPrinted>
  <dcterms:created xsi:type="dcterms:W3CDTF">2023-06-21T09:48:00Z</dcterms:created>
  <dcterms:modified xsi:type="dcterms:W3CDTF">2024-02-09T12:15:00Z</dcterms:modified>
</cp:coreProperties>
</file>