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045C7386" w14:textId="1742F1C3" w:rsidR="00437297" w:rsidRDefault="00EE3EDD" w:rsidP="00EE3EDD">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w:t>
      </w:r>
      <w:r w:rsidRPr="006C65F4">
        <w:rPr>
          <w:rFonts w:ascii="Avenir Next" w:hAnsi="Avenir Next" w:cs="Arial"/>
          <w:sz w:val="22"/>
          <w:szCs w:val="22"/>
          <w:lang w:val="en-GB"/>
        </w:rPr>
        <w:lastRenderedPageBreak/>
        <w:t>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533252">
        <w:rPr>
          <w:rFonts w:ascii="Avenir Next" w:hAnsi="Avenir Next"/>
        </w:rPr>
        <w:t>(b)</w:t>
      </w:r>
      <w:r w:rsidRPr="00533252">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Pr="00EE3EDD" w:rsidRDefault="00D221F8" w:rsidP="00A6313C">
      <w:pPr>
        <w:pStyle w:val="AODocTxt"/>
        <w:spacing w:before="0" w:line="240" w:lineRule="auto"/>
        <w:ind w:left="426" w:hanging="426"/>
        <w:rPr>
          <w:rFonts w:ascii="Avenir Next" w:hAnsi="Avenir Next"/>
        </w:rPr>
      </w:pPr>
      <w:r w:rsidRPr="00EE3EDD">
        <w:rPr>
          <w:rFonts w:ascii="Avenir Next" w:hAnsi="Avenir Next"/>
          <w:highlight w:val="yellow"/>
        </w:rPr>
        <w:t>(c)</w:t>
      </w:r>
      <w:r w:rsidRPr="00EE3EDD">
        <w:rPr>
          <w:rFonts w:ascii="Avenir Next" w:hAnsi="Avenir Next"/>
          <w:highlight w:val="yellow"/>
        </w:rPr>
        <w:tab/>
        <w:t xml:space="preserve">Yes, if other creditors owed at least </w:t>
      </w:r>
      <w:r w:rsidR="00A81F08" w:rsidRPr="00EE3EDD">
        <w:rPr>
          <w:rFonts w:ascii="Avenir Next" w:hAnsi="Avenir Next"/>
          <w:highlight w:val="yellow"/>
        </w:rPr>
        <w:t xml:space="preserve">USD </w:t>
      </w:r>
      <w:r w:rsidRPr="00EE3EDD">
        <w:rPr>
          <w:rFonts w:ascii="Avenir Next" w:hAnsi="Avenir Next"/>
          <w:highlight w:val="yellow"/>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1C7DC3">
        <w:rPr>
          <w:rFonts w:ascii="Avenir Next" w:hAnsi="Avenir Next"/>
          <w:highlight w:val="yellow"/>
        </w:rPr>
        <w:lastRenderedPageBreak/>
        <w:t>(d)</w:t>
      </w:r>
      <w:r w:rsidRPr="001C7DC3">
        <w:rPr>
          <w:rFonts w:ascii="Avenir Next" w:hAnsi="Avenir Next"/>
          <w:highlight w:val="yellow"/>
        </w:rPr>
        <w:tab/>
        <w:t>A retired employee of Car Corp who receives payments from the company’s pension plan</w:t>
      </w:r>
      <w:r w:rsidR="00631394" w:rsidRPr="001C7DC3">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1C7DC3">
        <w:rPr>
          <w:rFonts w:ascii="Avenir Next" w:hAnsi="Avenir Next"/>
          <w:highlight w:val="yellow"/>
        </w:rPr>
        <w:t>(e)</w:t>
      </w:r>
      <w:r w:rsidRPr="001C7DC3">
        <w:rPr>
          <w:rFonts w:ascii="Avenir Next" w:hAnsi="Avenir Next"/>
          <w:highlight w:val="yellow"/>
        </w:rPr>
        <w:tab/>
        <w:t>None of the above</w:t>
      </w:r>
      <w:r w:rsidR="007D6135" w:rsidRPr="001C7DC3">
        <w:rPr>
          <w:rFonts w:ascii="Avenir Next" w:hAnsi="Avenir Next"/>
          <w:highlight w:val="yellow"/>
        </w:rPr>
        <w:t xml:space="preserve"> (options (a) to (d))</w:t>
      </w:r>
      <w:r w:rsidRPr="001C7DC3">
        <w:rPr>
          <w:rFonts w:ascii="Avenir Next" w:hAnsi="Avenir Next"/>
          <w:highlight w:val="yellow"/>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1C7DC3">
        <w:rPr>
          <w:rFonts w:ascii="Avenir Next" w:hAnsi="Avenir Next"/>
          <w:highlight w:val="yellow"/>
        </w:rPr>
        <w:t>(e)</w:t>
      </w:r>
      <w:r w:rsidRPr="001C7DC3">
        <w:rPr>
          <w:rFonts w:ascii="Avenir Next" w:hAnsi="Avenir Next"/>
          <w:highlight w:val="yellow"/>
        </w:rPr>
        <w:tab/>
        <w:t>All of the above</w:t>
      </w:r>
      <w:r w:rsidR="006A42F8" w:rsidRPr="001C7DC3">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lastRenderedPageBreak/>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1C7DC3">
        <w:rPr>
          <w:rFonts w:ascii="Avenir Next" w:hAnsi="Avenir Next"/>
          <w:highlight w:val="yellow"/>
        </w:rPr>
        <w:t>(b)</w:t>
      </w:r>
      <w:r w:rsidRPr="001C7DC3">
        <w:rPr>
          <w:rFonts w:ascii="Avenir Next" w:hAnsi="Avenir Next"/>
          <w:highlight w:val="yellow"/>
        </w:rPr>
        <w:tab/>
        <w:t xml:space="preserve">Executory contracts are clearly defined by the </w:t>
      </w:r>
      <w:r w:rsidR="00ED7BF3" w:rsidRPr="001C7DC3">
        <w:rPr>
          <w:rFonts w:ascii="Avenir Next" w:hAnsi="Avenir Next"/>
          <w:highlight w:val="yellow"/>
        </w:rPr>
        <w:t>B</w:t>
      </w:r>
      <w:r w:rsidRPr="001C7DC3">
        <w:rPr>
          <w:rFonts w:ascii="Avenir Next" w:hAnsi="Avenir Next"/>
          <w:highlight w:val="yellow"/>
        </w:rPr>
        <w:t xml:space="preserve">ankruptcy </w:t>
      </w:r>
      <w:r w:rsidR="00ED7BF3" w:rsidRPr="001C7DC3">
        <w:rPr>
          <w:rFonts w:ascii="Avenir Next" w:hAnsi="Avenir Next"/>
          <w:highlight w:val="yellow"/>
        </w:rPr>
        <w:t>C</w:t>
      </w:r>
      <w:r w:rsidRPr="001C7DC3">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1C7DC3" w:rsidRDefault="000643AB" w:rsidP="00875912">
      <w:pPr>
        <w:pStyle w:val="AODocTxt"/>
        <w:numPr>
          <w:ilvl w:val="0"/>
          <w:numId w:val="24"/>
        </w:numPr>
        <w:spacing w:before="0" w:line="240" w:lineRule="auto"/>
        <w:ind w:left="426" w:hanging="426"/>
        <w:rPr>
          <w:rFonts w:ascii="Avenir Next" w:hAnsi="Avenir Next"/>
          <w:highlight w:val="yellow"/>
        </w:rPr>
      </w:pPr>
      <w:r w:rsidRPr="001C7DC3">
        <w:rPr>
          <w:rFonts w:ascii="Avenir Next" w:hAnsi="Avenir Next"/>
          <w:highlight w:val="yellow"/>
        </w:rPr>
        <w:t>Acceptance of the plan by all classes of secured creditors</w:t>
      </w:r>
      <w:r w:rsidR="006844A8" w:rsidRPr="001C7DC3">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1C7DC3" w:rsidRDefault="00C24FAB" w:rsidP="009017A1">
      <w:pPr>
        <w:pStyle w:val="AODocTxt"/>
        <w:numPr>
          <w:ilvl w:val="0"/>
          <w:numId w:val="33"/>
        </w:numPr>
        <w:spacing w:before="0" w:line="240" w:lineRule="auto"/>
        <w:ind w:left="426" w:hanging="426"/>
        <w:rPr>
          <w:rFonts w:ascii="Avenir Next" w:hAnsi="Avenir Next"/>
          <w:highlight w:val="yellow"/>
        </w:rPr>
      </w:pPr>
      <w:r w:rsidRPr="001C7DC3">
        <w:rPr>
          <w:rFonts w:ascii="Avenir Next" w:hAnsi="Avenir Next"/>
          <w:highlight w:val="yellow"/>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1C7DC3" w:rsidRDefault="00853272" w:rsidP="00BA74EF">
      <w:pPr>
        <w:pStyle w:val="AODocTxt"/>
        <w:numPr>
          <w:ilvl w:val="0"/>
          <w:numId w:val="28"/>
        </w:numPr>
        <w:spacing w:before="0" w:line="240" w:lineRule="auto"/>
        <w:ind w:left="426" w:hanging="426"/>
        <w:rPr>
          <w:rFonts w:ascii="Avenir Next" w:hAnsi="Avenir Next"/>
          <w:highlight w:val="yellow"/>
        </w:rPr>
      </w:pPr>
      <w:r w:rsidRPr="001C7DC3">
        <w:rPr>
          <w:rFonts w:ascii="Avenir Next" w:hAnsi="Avenir Next"/>
          <w:highlight w:val="yellow"/>
        </w:rPr>
        <w:t xml:space="preserve">Both </w:t>
      </w:r>
      <w:r w:rsidR="0072569E" w:rsidRPr="001C7DC3">
        <w:rPr>
          <w:rFonts w:ascii="Avenir Next" w:hAnsi="Avenir Next"/>
          <w:highlight w:val="yellow"/>
        </w:rPr>
        <w:t xml:space="preserve">options </w:t>
      </w:r>
      <w:r w:rsidRPr="001C7DC3">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73108" w:rsidRDefault="00334B98" w:rsidP="00676F12">
      <w:pPr>
        <w:pStyle w:val="AODocTxt"/>
        <w:keepNext/>
        <w:numPr>
          <w:ilvl w:val="0"/>
          <w:numId w:val="30"/>
        </w:numPr>
        <w:spacing w:before="0" w:line="240" w:lineRule="auto"/>
        <w:ind w:left="426" w:hanging="426"/>
        <w:rPr>
          <w:rFonts w:ascii="Avenir Next" w:hAnsi="Avenir Next"/>
          <w:highlight w:val="yellow"/>
        </w:rPr>
      </w:pPr>
      <w:r w:rsidRPr="00373108">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 xml:space="preserve">If a creditor can show it extended credit </w:t>
      </w:r>
      <w:proofErr w:type="gramStart"/>
      <w:r w:rsidRPr="001D3BAA">
        <w:rPr>
          <w:rFonts w:ascii="Avenir Next" w:hAnsi="Avenir Next"/>
        </w:rPr>
        <w:t>on the basis of</w:t>
      </w:r>
      <w:proofErr w:type="gramEnd"/>
      <w:r w:rsidRPr="001D3BAA">
        <w:rPr>
          <w:rFonts w:ascii="Avenir Next" w:hAnsi="Avenir Next"/>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373108" w:rsidRDefault="00740655" w:rsidP="00DF5F7C">
      <w:pPr>
        <w:pStyle w:val="AODocTxt"/>
        <w:keepNext/>
        <w:numPr>
          <w:ilvl w:val="0"/>
          <w:numId w:val="35"/>
        </w:numPr>
        <w:spacing w:before="0" w:line="240" w:lineRule="auto"/>
        <w:ind w:left="426" w:hanging="426"/>
        <w:rPr>
          <w:rFonts w:ascii="Avenir Next" w:hAnsi="Avenir Next"/>
          <w:highlight w:val="yellow"/>
        </w:rPr>
      </w:pPr>
      <w:r w:rsidRPr="00373108">
        <w:rPr>
          <w:rFonts w:ascii="Avenir Next" w:hAnsi="Avenir Next"/>
          <w:highlight w:val="yellow"/>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167D4EB6" w:rsidR="00323167" w:rsidRPr="002B5D64"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Setoff is a legal principle that allows parties to offset mutual debts owed to each other</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Setoff is not permitted in many circumstances in bankruptcy because allowing it could disrupt the principle of equality of distribution among creditors, which is fundamental to bankruptcy law.</w:t>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57C4E09C" w14:textId="77777777" w:rsidR="0037310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A "priming lien" refers to a lien that is granted priority over existing liens or claims in bankruptcy proceedings. It is typically associated with debtor-in-possession (DIP) financing, which is financing provided to a debtor who is in bankruptcy and continuing to operate its business</w:t>
      </w:r>
      <w:r w:rsidR="00373108">
        <w:rPr>
          <w:rFonts w:ascii="Avenir Next" w:hAnsi="Avenir Next"/>
          <w:color w:val="808080" w:themeColor="background1" w:themeShade="80"/>
        </w:rPr>
        <w:t xml:space="preserve">. </w:t>
      </w:r>
    </w:p>
    <w:p w14:paraId="47BB866B" w14:textId="77777777" w:rsidR="00373108" w:rsidRDefault="00373108" w:rsidP="001D3BAA">
      <w:pPr>
        <w:pStyle w:val="AODocTxt"/>
        <w:spacing w:before="0" w:line="240" w:lineRule="auto"/>
        <w:rPr>
          <w:rFonts w:ascii="Avenir Next" w:hAnsi="Avenir Next"/>
          <w:color w:val="808080" w:themeColor="background1" w:themeShade="80"/>
        </w:rPr>
      </w:pPr>
    </w:p>
    <w:p w14:paraId="3FD924BB" w14:textId="6CF4F60C" w:rsidR="001D3BAA" w:rsidRPr="002B5D64" w:rsidRDefault="00373108" w:rsidP="001D3BAA">
      <w:pPr>
        <w:pStyle w:val="AODocTxt"/>
        <w:spacing w:before="0" w:line="240" w:lineRule="auto"/>
        <w:rPr>
          <w:rFonts w:ascii="Avenir Next" w:hAnsi="Avenir Next"/>
          <w:color w:val="808080" w:themeColor="background1" w:themeShade="80"/>
        </w:rPr>
      </w:pPr>
      <w:r w:rsidRPr="00373108">
        <w:rPr>
          <w:rFonts w:ascii="Avenir Next" w:hAnsi="Avenir Next"/>
          <w:color w:val="808080" w:themeColor="background1" w:themeShade="80"/>
        </w:rPr>
        <w:t>For a priming lien to be granted to secure DIP financing, certain requirements must typically be met, including</w:t>
      </w:r>
      <w:r>
        <w:rPr>
          <w:rFonts w:ascii="Avenir Next" w:hAnsi="Avenir Next"/>
          <w:color w:val="808080" w:themeColor="background1" w:themeShade="80"/>
        </w:rPr>
        <w:t xml:space="preserve"> </w:t>
      </w:r>
      <w:r w:rsidRPr="00373108">
        <w:rPr>
          <w:rFonts w:ascii="Avenir Next" w:hAnsi="Avenir Next"/>
          <w:color w:val="808080" w:themeColor="background1" w:themeShade="80"/>
        </w:rPr>
        <w:t>Court Approval</w:t>
      </w:r>
      <w:r>
        <w:rPr>
          <w:rFonts w:ascii="Avenir Next" w:hAnsi="Avenir Next"/>
          <w:color w:val="808080" w:themeColor="background1" w:themeShade="80"/>
        </w:rPr>
        <w:t xml:space="preserve"> and </w:t>
      </w:r>
      <w:r w:rsidRPr="00373108">
        <w:rPr>
          <w:rFonts w:ascii="Avenir Next" w:hAnsi="Avenir Next"/>
          <w:color w:val="808080" w:themeColor="background1" w:themeShade="80"/>
        </w:rPr>
        <w:t>Adequate Protection for Existing Secured Creditors</w:t>
      </w:r>
      <w:r>
        <w:rPr>
          <w:rFonts w:ascii="Avenir Next" w:hAnsi="Avenir Next"/>
          <w:color w:val="808080" w:themeColor="background1" w:themeShade="80"/>
        </w:rPr>
        <w:t>. T</w:t>
      </w:r>
      <w:r w:rsidRPr="00373108">
        <w:rPr>
          <w:rFonts w:ascii="Avenir Next" w:hAnsi="Avenir Next"/>
          <w:color w:val="808080" w:themeColor="background1" w:themeShade="80"/>
        </w:rPr>
        <w:t>he granting of a priming lien to secure DIP financing involves a careful balancing of the interests of the debtor, the lender providing the financing, and other creditors in the bankruptcy proceedings.</w:t>
      </w:r>
      <w:r w:rsidR="001D3BAA">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lastRenderedPageBreak/>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06DBAB27" w14:textId="5D62724E" w:rsidR="00373108" w:rsidRDefault="001D3BAA" w:rsidP="00373108">
      <w:pPr>
        <w:pStyle w:val="AODocTxt"/>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 xml:space="preserve">Sanctions and Penalties: If a creditor or other party willfully violates the automatic stay, they may be subject to sanctions and penalties imposed by the bankruptcy court. </w:t>
      </w:r>
    </w:p>
    <w:p w14:paraId="5452280A" w14:textId="77777777" w:rsidR="009024AB" w:rsidRDefault="009024AB" w:rsidP="00373108">
      <w:pPr>
        <w:pStyle w:val="AODocTxt"/>
        <w:spacing w:before="0" w:line="240" w:lineRule="auto"/>
        <w:rPr>
          <w:rFonts w:ascii="Avenir Next" w:hAnsi="Avenir Next"/>
          <w:color w:val="808080" w:themeColor="background1" w:themeShade="80"/>
        </w:rPr>
      </w:pPr>
    </w:p>
    <w:p w14:paraId="1C23721F" w14:textId="6CE62624" w:rsidR="001D3BAA" w:rsidRPr="002B5D64" w:rsidRDefault="00373108" w:rsidP="00373108">
      <w:pPr>
        <w:pStyle w:val="AODocTxt"/>
        <w:spacing w:before="0" w:line="240" w:lineRule="auto"/>
        <w:rPr>
          <w:rFonts w:ascii="Avenir Next" w:hAnsi="Avenir Next"/>
          <w:color w:val="808080" w:themeColor="background1" w:themeShade="80"/>
        </w:rPr>
      </w:pPr>
      <w:r w:rsidRPr="00373108">
        <w:rPr>
          <w:rFonts w:ascii="Avenir Next" w:hAnsi="Avenir Next"/>
          <w:color w:val="808080" w:themeColor="background1" w:themeShade="80"/>
        </w:rPr>
        <w:t>Voiding of Actions: Any actions taken in violation of the automatic stay may be deemed void or voidable by the bankruptcy court. This means that any transactions or activities undertaken in violation of the stay may be invalidated or unwound, potentially resulting in financial losses or other adverse consequences for the violating party.</w:t>
      </w:r>
      <w:r w:rsidR="001D3BAA">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1F3AA4EE" w14:textId="77777777" w:rsidR="00373108" w:rsidRDefault="001D3BAA" w:rsidP="00373108">
      <w:pPr>
        <w:pStyle w:val="AODocTxt"/>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w:t>
      </w:r>
      <w:proofErr w:type="spellStart"/>
      <w:r w:rsidR="00373108" w:rsidRPr="00373108">
        <w:rPr>
          <w:rFonts w:ascii="Avenir Next" w:hAnsi="Avenir Next"/>
          <w:color w:val="808080" w:themeColor="background1" w:themeShade="80"/>
        </w:rPr>
        <w:t>i</w:t>
      </w:r>
      <w:proofErr w:type="spellEnd"/>
      <w:r w:rsidR="00373108" w:rsidRPr="00373108">
        <w:rPr>
          <w:rFonts w:ascii="Avenir Next" w:hAnsi="Avenir Next"/>
          <w:color w:val="808080" w:themeColor="background1" w:themeShade="80"/>
        </w:rPr>
        <w:t>) Deemed to Accept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Classes of creditors whose claims are unimpaired by the plan are deemed to accept the plan by default.</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(ii) Deemed to Reject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Classes of creditors whose claims are impaired by the plan and who vote against it are deemed to reject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(iii) Permitted to Vote on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 xml:space="preserve">Classes of creditors whose claims are impaired by the plan are typically permitted to vote on the plan. </w:t>
      </w:r>
    </w:p>
    <w:p w14:paraId="037B4B36" w14:textId="2D89EC4A" w:rsidR="001D3BAA" w:rsidRPr="002B5D64" w:rsidRDefault="00373108" w:rsidP="00373108">
      <w:pPr>
        <w:pStyle w:val="AODocTxt"/>
        <w:rPr>
          <w:rFonts w:ascii="Avenir Next" w:hAnsi="Avenir Next"/>
          <w:color w:val="808080" w:themeColor="background1" w:themeShade="80"/>
        </w:rPr>
      </w:pPr>
      <w:r w:rsidRPr="00373108">
        <w:rPr>
          <w:rFonts w:ascii="Avenir Next" w:hAnsi="Avenir Next"/>
          <w:color w:val="808080" w:themeColor="background1" w:themeShade="80"/>
        </w:rPr>
        <w:t xml:space="preserve">The acceptance of a plan by a class of impaired creditors requires the affirmative vote of at least two-thirds in amount and more than one-half in number of those creditors who </w:t>
      </w:r>
      <w:proofErr w:type="gramStart"/>
      <w:r w:rsidRPr="00373108">
        <w:rPr>
          <w:rFonts w:ascii="Avenir Next" w:hAnsi="Avenir Next"/>
          <w:color w:val="808080" w:themeColor="background1" w:themeShade="80"/>
        </w:rPr>
        <w:t>actually vote</w:t>
      </w:r>
      <w:proofErr w:type="gramEnd"/>
      <w:r w:rsidRPr="00373108">
        <w:rPr>
          <w:rFonts w:ascii="Avenir Next" w:hAnsi="Avenir Next"/>
          <w:color w:val="808080" w:themeColor="background1" w:themeShade="80"/>
        </w:rPr>
        <w:t xml:space="preserve"> on the plan within that class.</w:t>
      </w:r>
      <w:r w:rsidR="001D3BAA">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07EA4460" w14:textId="506F6E51" w:rsidR="00373108" w:rsidRDefault="001D3BAA" w:rsidP="00373108">
      <w:pPr>
        <w:pStyle w:val="AODocTxt"/>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(a) Actual fraudulent conveyances apply only to transfers made on account of antecedent debt. These are transfers made with the actual intent to hinder, delay, or defraud creditors.</w:t>
      </w:r>
    </w:p>
    <w:p w14:paraId="6005541E" w14:textId="1A24248B" w:rsidR="00373108" w:rsidRDefault="00373108" w:rsidP="00373108">
      <w:pPr>
        <w:pStyle w:val="AODocTxt"/>
        <w:rPr>
          <w:rFonts w:ascii="Avenir Next" w:hAnsi="Avenir Next"/>
          <w:color w:val="808080" w:themeColor="background1" w:themeShade="80"/>
        </w:rPr>
      </w:pPr>
      <w:r w:rsidRPr="00373108">
        <w:rPr>
          <w:rFonts w:ascii="Avenir Next" w:hAnsi="Avenir Next"/>
          <w:color w:val="808080" w:themeColor="background1" w:themeShade="80"/>
        </w:rPr>
        <w:lastRenderedPageBreak/>
        <w:t xml:space="preserve">(b) Constructive fraudulent conveyances require that the debtor be presumed or proven to have been insolvent at the time of the transfer. </w:t>
      </w:r>
    </w:p>
    <w:p w14:paraId="456A4D4C" w14:textId="77777777" w:rsidR="00373108" w:rsidRDefault="00373108" w:rsidP="00373108">
      <w:pPr>
        <w:pStyle w:val="AODocTxt"/>
        <w:spacing w:before="0" w:line="240" w:lineRule="auto"/>
        <w:rPr>
          <w:rFonts w:ascii="Avenir Next" w:hAnsi="Avenir Next"/>
          <w:color w:val="808080" w:themeColor="background1" w:themeShade="80"/>
        </w:rPr>
      </w:pPr>
    </w:p>
    <w:p w14:paraId="66393F27" w14:textId="45A4269E" w:rsidR="00E239B8" w:rsidRDefault="00373108" w:rsidP="00373108">
      <w:pPr>
        <w:pStyle w:val="AODocTxt"/>
        <w:spacing w:before="0" w:line="240" w:lineRule="auto"/>
        <w:rPr>
          <w:rFonts w:ascii="Avenir Next" w:hAnsi="Avenir Next"/>
          <w:color w:val="808080" w:themeColor="background1" w:themeShade="80"/>
        </w:rPr>
      </w:pPr>
      <w:r w:rsidRPr="00373108">
        <w:rPr>
          <w:rFonts w:ascii="Avenir Next" w:hAnsi="Avenir Next"/>
          <w:color w:val="808080" w:themeColor="background1" w:themeShade="80"/>
        </w:rPr>
        <w:t>(c) Actual fraudulent conveyances require that the debtor be proven to have intended to frustrate creditors' recoveries. These are transfers made with the actual intent to hinder, delay, or defraud creditors.</w:t>
      </w:r>
      <w:r w:rsidR="001D3BAA">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54EF3D8" w14:textId="77777777" w:rsidR="0037310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 xml:space="preserve">In the United States, bankruptcy courts may enter final orders consistent with the U.S. Constitution in cases where they have jurisdiction over the matter at hand. Bankruptcy courts are courts of limited jurisdiction and derive their authority from Article I, Section 8 of the U.S. Constitution, as well as from the Bankruptcy Code. </w:t>
      </w:r>
    </w:p>
    <w:p w14:paraId="4280D1DE" w14:textId="779F220E" w:rsidR="006C7EFB" w:rsidRPr="006C7EFB" w:rsidRDefault="00373108" w:rsidP="006C7EFB">
      <w:pPr>
        <w:pStyle w:val="AODocTxt"/>
        <w:rPr>
          <w:rFonts w:ascii="Avenir Next" w:hAnsi="Avenir Next"/>
          <w:color w:val="808080" w:themeColor="background1" w:themeShade="80"/>
        </w:rPr>
      </w:pPr>
      <w:r w:rsidRPr="00373108">
        <w:rPr>
          <w:rFonts w:ascii="Avenir Next" w:hAnsi="Avenir Next"/>
          <w:color w:val="808080" w:themeColor="background1" w:themeShade="80"/>
        </w:rPr>
        <w:t>They have the power to enter final orders in matters related to bankruptcy cases, such as confirming reorganization plans, approving asset sales, and resolving disputes among creditors.</w:t>
      </w:r>
      <w:r w:rsidR="006C7EFB" w:rsidRPr="006C7EFB">
        <w:t xml:space="preserve"> </w:t>
      </w:r>
      <w:r w:rsidR="006C7EFB" w:rsidRPr="006C7EFB">
        <w:rPr>
          <w:rFonts w:ascii="Avenir Next" w:hAnsi="Avenir Next"/>
          <w:color w:val="808080" w:themeColor="background1" w:themeShade="80"/>
        </w:rPr>
        <w:t>Appeals from final orders of bankruptcy courts are typically reviewed by the United States District Courts. Parties aggrieved by a final order of a bankruptcy court may file a notice of appeal with the district court within the time allowed by the Bankruptcy Rules. The district court reviews the bankruptcy court's decision and may affirm, reverse, or modify the order as appropriate.</w:t>
      </w:r>
    </w:p>
    <w:p w14:paraId="47B3CCAD" w14:textId="77777777" w:rsidR="009024AB" w:rsidRDefault="009024AB" w:rsidP="006C7EFB">
      <w:pPr>
        <w:pStyle w:val="AODocTxt"/>
        <w:spacing w:before="0" w:line="240" w:lineRule="auto"/>
        <w:rPr>
          <w:rFonts w:ascii="Avenir Next" w:hAnsi="Avenir Next"/>
          <w:color w:val="808080" w:themeColor="background1" w:themeShade="80"/>
        </w:rPr>
      </w:pPr>
    </w:p>
    <w:p w14:paraId="41284EC0" w14:textId="6ED6F64D" w:rsidR="001D3BAA" w:rsidRPr="002B5D64" w:rsidRDefault="006C7EFB" w:rsidP="006C7EFB">
      <w:pPr>
        <w:pStyle w:val="AODocTxt"/>
        <w:spacing w:before="0" w:line="240" w:lineRule="auto"/>
        <w:rPr>
          <w:rFonts w:ascii="Avenir Next" w:hAnsi="Avenir Next"/>
          <w:color w:val="808080" w:themeColor="background1" w:themeShade="80"/>
        </w:rPr>
      </w:pPr>
      <w:r w:rsidRPr="006C7EFB">
        <w:rPr>
          <w:rFonts w:ascii="Avenir Next" w:hAnsi="Avenir Next"/>
          <w:color w:val="808080" w:themeColor="background1" w:themeShade="80"/>
        </w:rPr>
        <w:t>Orders that are not constitutionally final, such as proposed findings of fact and conclusions of law in certain core proceedings, are reviewed by the district court. The district court reviews these orders de novo, meaning it examines the issues anew without giving deference to the bankruptcy court's decision. The district court may accept, reject, or modify the proposed findings and conclusions, and enter a final order accordingly.</w:t>
      </w:r>
      <w:r w:rsidR="001D3BAA">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2926A812" w14:textId="77777777" w:rsidR="006C7EFB"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In a Chapter 15 proceeding under the United States Bankruptcy Code, a foreign representative may not invoke certain provisions of the Bankruptcy Code, as Chapter 15 is designed to provide recognition and assistance to foreign bankruptcy proceedings rather than replicate all aspects of domestic bankruptcy law.</w:t>
      </w:r>
    </w:p>
    <w:p w14:paraId="2A8503CE" w14:textId="0D5B0593"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lastRenderedPageBreak/>
        <w:t>Two ways that a foreign representative can obtain equivalent relief despite the limitations in Chapter 15 are:</w:t>
      </w:r>
    </w:p>
    <w:p w14:paraId="1F4BB898" w14:textId="77777777" w:rsidR="006C7EFB" w:rsidRDefault="006C7EFB" w:rsidP="006C7EFB">
      <w:pPr>
        <w:pStyle w:val="AODocTxt"/>
        <w:numPr>
          <w:ilvl w:val="0"/>
          <w:numId w:val="38"/>
        </w:numPr>
        <w:rPr>
          <w:rFonts w:ascii="Avenir Next" w:hAnsi="Avenir Next"/>
          <w:color w:val="808080" w:themeColor="background1" w:themeShade="80"/>
        </w:rPr>
      </w:pPr>
      <w:r w:rsidRPr="006C7EFB">
        <w:rPr>
          <w:rFonts w:ascii="Avenir Next" w:hAnsi="Avenir Next"/>
          <w:color w:val="808080" w:themeColor="background1" w:themeShade="80"/>
        </w:rPr>
        <w:t xml:space="preserve">Common Law or Equitable Relief: Even if specific provisions of the Bankruptcy Code cannot be invoked, a foreign representative may seek relief through common law or equitable principles. </w:t>
      </w:r>
    </w:p>
    <w:p w14:paraId="563007FE" w14:textId="3C9445EF" w:rsidR="001D3BAA" w:rsidRPr="002B5D64" w:rsidRDefault="006C7EFB" w:rsidP="006C7EFB">
      <w:pPr>
        <w:pStyle w:val="AODocTxt"/>
        <w:numPr>
          <w:ilvl w:val="0"/>
          <w:numId w:val="38"/>
        </w:numPr>
        <w:rPr>
          <w:rFonts w:ascii="Avenir Next" w:hAnsi="Avenir Next"/>
          <w:color w:val="808080" w:themeColor="background1" w:themeShade="80"/>
        </w:rPr>
      </w:pPr>
      <w:r w:rsidRPr="006C7EFB">
        <w:rPr>
          <w:rFonts w:ascii="Avenir Next" w:hAnsi="Avenir Next"/>
          <w:color w:val="808080" w:themeColor="background1" w:themeShade="80"/>
        </w:rPr>
        <w:t>Bilateral or Multilateral Agreements: The foreign representative may seek relief through bilateral or multilateral agreements between the United States and the foreign jurisdiction.</w:t>
      </w:r>
      <w:r w:rsidR="001D3BAA">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7593BB22" w14:textId="562A639C"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Pr>
          <w:rFonts w:ascii="Avenir Next" w:hAnsi="Avenir Next"/>
          <w:color w:val="808080" w:themeColor="background1" w:themeShade="80"/>
        </w:rPr>
        <w:t>U</w:t>
      </w:r>
      <w:r w:rsidR="006C7EFB" w:rsidRPr="006C7EFB">
        <w:rPr>
          <w:rFonts w:ascii="Avenir Next" w:hAnsi="Avenir Next"/>
          <w:color w:val="808080" w:themeColor="background1" w:themeShade="80"/>
        </w:rPr>
        <w:t xml:space="preserve">nited States Bankruptcy Code: The Bankruptcy Code is the primary federal law governing bankruptcy proceedings in the United States. </w:t>
      </w:r>
    </w:p>
    <w:p w14:paraId="0723B1F2" w14:textId="5F1415C9"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Local Bankruptcy Rules: Each bankruptcy court has its own set of local rules that supplement the Federal Rules of Bankruptcy Procedure and govern practice and procedure within that court's jurisdiction.</w:t>
      </w:r>
    </w:p>
    <w:p w14:paraId="7F6E3F11" w14:textId="77777777"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Federal Rules of Bankruptcy Procedure (FRBP): The FRBP provide the detailed procedural rules for bankruptcy cases and proceedings, including rules governing the commencement of cases, filing requirements, service of process, hearings, and appeals.</w:t>
      </w:r>
    </w:p>
    <w:p w14:paraId="671A424A" w14:textId="2A4D35F9" w:rsidR="001D3BAA" w:rsidRPr="002B5D64"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Bankruptcy Forms: The Administrative Office of the U.S. Courts provides official bankruptcy forms that must be used when filing documents with the bankruptcy court.</w:t>
      </w:r>
      <w:r w:rsidR="001D3BAA">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C47D3EB" w14:textId="370BBE3F"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These fiduciary duties are typically categorized into three main duties:</w:t>
      </w:r>
    </w:p>
    <w:p w14:paraId="7759547C" w14:textId="486E510D"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Duty of Care: Directors owe a duty of care to the corporation, which requires them to act with the care that an ordinarily prudent person in a similar position would exercise under similar circumstances.</w:t>
      </w:r>
    </w:p>
    <w:p w14:paraId="390B0086" w14:textId="4B283E5B"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Duty of Loyalty: Directors owe a duty of loyalty to the corporation, which requires them to act in the best interests of the corporation and its shareholders, rather than in their own personal interests or the interests of a particular group of shareholders. </w:t>
      </w:r>
    </w:p>
    <w:p w14:paraId="5EF387F0" w14:textId="77777777" w:rsidR="006C7EFB" w:rsidRDefault="006C7EFB" w:rsidP="006C7EFB">
      <w:pPr>
        <w:pStyle w:val="AODocTxt"/>
        <w:spacing w:before="0" w:line="240" w:lineRule="auto"/>
        <w:rPr>
          <w:rFonts w:ascii="Avenir Next" w:hAnsi="Avenir Next"/>
          <w:color w:val="808080" w:themeColor="background1" w:themeShade="80"/>
        </w:rPr>
      </w:pPr>
    </w:p>
    <w:p w14:paraId="454FB954" w14:textId="77777777" w:rsidR="006C7EFB" w:rsidRDefault="006C7EFB" w:rsidP="006C7EFB">
      <w:pPr>
        <w:pStyle w:val="AODocTxt"/>
        <w:spacing w:before="0" w:line="240" w:lineRule="auto"/>
        <w:rPr>
          <w:rFonts w:ascii="Avenir Next" w:hAnsi="Avenir Next"/>
          <w:color w:val="808080" w:themeColor="background1" w:themeShade="80"/>
        </w:rPr>
      </w:pPr>
      <w:r w:rsidRPr="006C7EFB">
        <w:rPr>
          <w:rFonts w:ascii="Avenir Next" w:hAnsi="Avenir Next"/>
          <w:color w:val="808080" w:themeColor="background1" w:themeShade="80"/>
        </w:rPr>
        <w:t xml:space="preserve">Duty of Good Faith: Directors also owe a duty of good faith to the corporation, which requires them to act honestly, in good faith, and with a genuine belief that their actions are in the best interests of the corporation and its shareholders. </w:t>
      </w:r>
    </w:p>
    <w:p w14:paraId="7A03B5A2" w14:textId="3DD832A4" w:rsidR="001D3BAA" w:rsidRPr="002B5D64"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When a corporation is potentially or </w:t>
      </w:r>
      <w:proofErr w:type="gramStart"/>
      <w:r w:rsidRPr="006C7EFB">
        <w:rPr>
          <w:rFonts w:ascii="Avenir Next" w:hAnsi="Avenir Next"/>
          <w:color w:val="808080" w:themeColor="background1" w:themeShade="80"/>
        </w:rPr>
        <w:t>actually insolvent</w:t>
      </w:r>
      <w:proofErr w:type="gramEnd"/>
      <w:r w:rsidRPr="006C7EFB">
        <w:rPr>
          <w:rFonts w:ascii="Avenir Next" w:hAnsi="Avenir Next"/>
          <w:color w:val="808080" w:themeColor="background1" w:themeShade="80"/>
        </w:rPr>
        <w:t>, the duties of directors may shift, and additional considerations come into play:</w:t>
      </w:r>
      <w:r>
        <w:rPr>
          <w:rFonts w:ascii="Avenir Next" w:hAnsi="Avenir Next"/>
          <w:color w:val="808080" w:themeColor="background1" w:themeShade="80"/>
        </w:rPr>
        <w:t xml:space="preserve"> </w:t>
      </w:r>
      <w:r w:rsidRPr="006C7EFB">
        <w:rPr>
          <w:rFonts w:ascii="Avenir Next" w:hAnsi="Avenir Next"/>
          <w:color w:val="808080" w:themeColor="background1" w:themeShade="80"/>
        </w:rPr>
        <w:t>Shift to Creditors Interests</w:t>
      </w:r>
      <w:r>
        <w:rPr>
          <w:rFonts w:ascii="Avenir Next" w:hAnsi="Avenir Next"/>
          <w:color w:val="808080" w:themeColor="background1" w:themeShade="80"/>
        </w:rPr>
        <w:t xml:space="preserve"> and </w:t>
      </w:r>
      <w:r w:rsidRPr="006C7EFB">
        <w:rPr>
          <w:rFonts w:ascii="Avenir Next" w:hAnsi="Avenir Next"/>
          <w:color w:val="808080" w:themeColor="background1" w:themeShade="80"/>
        </w:rPr>
        <w:t>Duty to Preserve Corporate Assets</w:t>
      </w:r>
      <w:r>
        <w:rPr>
          <w:rFonts w:ascii="Avenir Next" w:hAnsi="Avenir Next"/>
          <w:color w:val="808080" w:themeColor="background1" w:themeShade="80"/>
        </w:rPr>
        <w:t>.</w:t>
      </w:r>
      <w:r w:rsidR="001D3BA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D326436" w14:textId="77777777"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The Bankruptcy Code provides certain protections to lessors of office space when a lessee, such as iWork Ltd, files for bankruptcy. These protections are primarily aimed at preserving the lessor's rights and ensuring that they receive payment for the use of their property. Some of the key protections available to lessors of office space under the Bankruptcy Code include:</w:t>
      </w:r>
    </w:p>
    <w:p w14:paraId="10147F0B" w14:textId="67F1EDFA"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Automatic Stay: When a lessee files for bankruptcy, an automatic stay goes into effect, which temporarily halts most collection actions, including efforts to collect unpaid rent. </w:t>
      </w:r>
    </w:p>
    <w:p w14:paraId="15CD23F5" w14:textId="4743781F"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Assumption or Rejection of Lease: The lessee has the option to assume or reject the office space leases in bankruptcy. </w:t>
      </w:r>
    </w:p>
    <w:p w14:paraId="7FB63D5A" w14:textId="0264111C"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Priority Claims for Unpaid Rent: Unpaid rent accruing during the period after the lessee files for bankruptcy and before the lease is assumed or rejected may be treated as an administrative expense claim, which is given priority over other unsecured claims in bankruptcy. </w:t>
      </w:r>
    </w:p>
    <w:p w14:paraId="0D5CA59A" w14:textId="53F11C76"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Limited Period to Assume or Reject Lease: The Bankruptcy Code imposes strict deadlines for the lessee to assume or reject leases.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w:t>
      </w:r>
      <w:r w:rsidRPr="005D4357">
        <w:rPr>
          <w:rFonts w:ascii="Avenir Next" w:hAnsi="Avenir Next"/>
        </w:rPr>
        <w:lastRenderedPageBreak/>
        <w:t xml:space="preserve">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2FC84A57" w14:textId="745DF081"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To determine whether the English scheme of arrangement could be granted recognition under US Chapter 15 as a foreign main or foreign non-main proceeding, several factors need consideration:</w:t>
      </w:r>
    </w:p>
    <w:p w14:paraId="475201BA" w14:textId="77777777" w:rsidR="00080854"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Foreign Main Proceeding:</w:t>
      </w:r>
      <w:r w:rsidR="00080854">
        <w:rPr>
          <w:rFonts w:ascii="Avenir Next" w:hAnsi="Avenir Next"/>
          <w:color w:val="808080" w:themeColor="background1" w:themeShade="80"/>
        </w:rPr>
        <w:t xml:space="preserve"> </w:t>
      </w:r>
    </w:p>
    <w:p w14:paraId="22450601" w14:textId="30D06F7E" w:rsidR="006C7EFB" w:rsidRPr="006C7EFB" w:rsidRDefault="006C7EFB" w:rsidP="00080854">
      <w:pPr>
        <w:pStyle w:val="AODocTxt"/>
        <w:numPr>
          <w:ilvl w:val="0"/>
          <w:numId w:val="39"/>
        </w:numPr>
        <w:rPr>
          <w:rFonts w:ascii="Avenir Next" w:hAnsi="Avenir Next"/>
          <w:color w:val="808080" w:themeColor="background1" w:themeShade="80"/>
        </w:rPr>
      </w:pPr>
      <w:r w:rsidRPr="006C7EFB">
        <w:rPr>
          <w:rFonts w:ascii="Avenir Next" w:hAnsi="Avenir Next"/>
          <w:color w:val="808080" w:themeColor="background1" w:themeShade="80"/>
        </w:rPr>
        <w:t>A foreign main proceeding is typically the primary insolvency proceeding pending in the debtor's jurisdiction of incorporation or principal place of business.</w:t>
      </w:r>
    </w:p>
    <w:p w14:paraId="4D0418B3" w14:textId="77777777" w:rsidR="006C7EFB" w:rsidRPr="006C7EFB" w:rsidRDefault="006C7EFB" w:rsidP="00080854">
      <w:pPr>
        <w:pStyle w:val="AODocTxt"/>
        <w:numPr>
          <w:ilvl w:val="0"/>
          <w:numId w:val="39"/>
        </w:numPr>
        <w:rPr>
          <w:rFonts w:ascii="Avenir Next" w:hAnsi="Avenir Next"/>
          <w:color w:val="808080" w:themeColor="background1" w:themeShade="80"/>
        </w:rPr>
      </w:pPr>
      <w:r w:rsidRPr="006C7EFB">
        <w:rPr>
          <w:rFonts w:ascii="Avenir Next" w:hAnsi="Avenir Next"/>
          <w:color w:val="808080" w:themeColor="background1" w:themeShade="80"/>
        </w:rPr>
        <w:t>Skin Luxe is incorporated and has its principal place of business in France. Therefore, the English scheme of arrangement cannot be considered a foreign main proceeding based on Skin Luxe's incorporation.</w:t>
      </w:r>
    </w:p>
    <w:p w14:paraId="313457AE" w14:textId="3BDA17A7" w:rsidR="006C7EFB" w:rsidRPr="006C7EFB" w:rsidRDefault="006C7EFB" w:rsidP="00080854">
      <w:pPr>
        <w:pStyle w:val="AODocTxt"/>
        <w:numPr>
          <w:ilvl w:val="0"/>
          <w:numId w:val="39"/>
        </w:numPr>
        <w:rPr>
          <w:rFonts w:ascii="Avenir Next" w:hAnsi="Avenir Next"/>
          <w:color w:val="808080" w:themeColor="background1" w:themeShade="80"/>
        </w:rPr>
      </w:pPr>
      <w:r w:rsidRPr="006C7EFB">
        <w:rPr>
          <w:rFonts w:ascii="Avenir Next" w:hAnsi="Avenir Next"/>
          <w:color w:val="808080" w:themeColor="background1" w:themeShade="80"/>
        </w:rPr>
        <w:t>However, if Skin Luxe can demonstrate that its principal place of business is in England, the English scheme of arrangement could potentially be considered a foreign main proceeding.</w:t>
      </w:r>
    </w:p>
    <w:p w14:paraId="6DA8D86B" w14:textId="7E785BAE"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Foreign Non-Main Proceeding:</w:t>
      </w:r>
    </w:p>
    <w:p w14:paraId="01838041" w14:textId="38CA25A1" w:rsidR="006C7EFB" w:rsidRPr="006C7EFB" w:rsidRDefault="006C7EFB" w:rsidP="00080854">
      <w:pPr>
        <w:pStyle w:val="AODocTxt"/>
        <w:numPr>
          <w:ilvl w:val="0"/>
          <w:numId w:val="40"/>
        </w:numPr>
        <w:rPr>
          <w:rFonts w:ascii="Avenir Next" w:hAnsi="Avenir Next"/>
          <w:color w:val="808080" w:themeColor="background1" w:themeShade="80"/>
        </w:rPr>
      </w:pPr>
      <w:r w:rsidRPr="006C7EFB">
        <w:rPr>
          <w:rFonts w:ascii="Avenir Next" w:hAnsi="Avenir Next"/>
          <w:color w:val="808080" w:themeColor="background1" w:themeShade="80"/>
        </w:rPr>
        <w:t>A foreign non-main proceeding is a secondary insolvency proceeding pending in a jurisdiction where the debtor has an establishment but is not its center of main interests.</w:t>
      </w:r>
    </w:p>
    <w:p w14:paraId="2CDBE900" w14:textId="77777777" w:rsidR="006C7EFB" w:rsidRDefault="006C7EFB" w:rsidP="00080854">
      <w:pPr>
        <w:pStyle w:val="AODocTxt"/>
        <w:numPr>
          <w:ilvl w:val="0"/>
          <w:numId w:val="40"/>
        </w:numPr>
        <w:rPr>
          <w:rFonts w:ascii="Avenir Next" w:hAnsi="Avenir Next"/>
          <w:color w:val="808080" w:themeColor="background1" w:themeShade="80"/>
        </w:rPr>
      </w:pPr>
      <w:r w:rsidRPr="006C7EFB">
        <w:rPr>
          <w:rFonts w:ascii="Avenir Next" w:hAnsi="Avenir Next"/>
          <w:color w:val="808080" w:themeColor="background1" w:themeShade="80"/>
        </w:rPr>
        <w:t>Since Skin Luxe's principal place of business is in France, the English scheme of arrangement could be considered a foreign non-main proceeding if Skin Luxe can establish that it has an establishment in England where the scheme of arrangement is being pursued.</w:t>
      </w:r>
    </w:p>
    <w:p w14:paraId="440FFA68" w14:textId="77777777" w:rsidR="00080854" w:rsidRDefault="00080854" w:rsidP="006C7EFB">
      <w:pPr>
        <w:pStyle w:val="AODocTxt"/>
        <w:spacing w:before="0" w:line="240" w:lineRule="auto"/>
        <w:rPr>
          <w:rFonts w:ascii="Avenir Next" w:hAnsi="Avenir Next"/>
          <w:color w:val="808080" w:themeColor="background1" w:themeShade="80"/>
        </w:rPr>
      </w:pPr>
    </w:p>
    <w:p w14:paraId="485D4FED" w14:textId="371537F1" w:rsidR="001D3BAA" w:rsidRPr="002B5D64" w:rsidRDefault="006C7EFB" w:rsidP="00080854">
      <w:pPr>
        <w:pStyle w:val="AODocTxt"/>
        <w:numPr>
          <w:ilvl w:val="0"/>
          <w:numId w:val="40"/>
        </w:numPr>
        <w:spacing w:before="0" w:line="240" w:lineRule="auto"/>
        <w:rPr>
          <w:rFonts w:ascii="Avenir Next" w:hAnsi="Avenir Next"/>
          <w:color w:val="808080" w:themeColor="background1" w:themeShade="80"/>
        </w:rPr>
      </w:pPr>
      <w:r w:rsidRPr="006C7EFB">
        <w:rPr>
          <w:rFonts w:ascii="Avenir Next" w:hAnsi="Avenir Next"/>
          <w:color w:val="808080" w:themeColor="background1" w:themeShade="80"/>
        </w:rPr>
        <w:t>Skin Luxe's operation of boutiques in various international cities, including Paris, Las Vegas, London, and Hong Kong, suggests that it may have establishments in these jurisdictions, including England.</w:t>
      </w:r>
      <w:r w:rsidR="001D3BAA">
        <w:rPr>
          <w:rFonts w:ascii="Avenir Next" w:hAnsi="Avenir Next"/>
          <w:color w:val="808080" w:themeColor="background1" w:themeShade="80"/>
        </w:rPr>
        <w:t>]</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w:t>
      </w:r>
      <w:r w:rsidRPr="00FB2838">
        <w:rPr>
          <w:rFonts w:ascii="Avenir Next" w:hAnsi="Avenir Next"/>
        </w:rPr>
        <w:lastRenderedPageBreak/>
        <w:t xml:space="preserve">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23FF07DF" w14:textId="648B92D7" w:rsidR="00080854" w:rsidRPr="00080854" w:rsidRDefault="001D3BAA" w:rsidP="00080854">
      <w:pPr>
        <w:pStyle w:val="AODocTxt"/>
        <w:rPr>
          <w:rFonts w:ascii="Avenir Next" w:hAnsi="Avenir Next"/>
          <w:color w:val="808080" w:themeColor="background1" w:themeShade="80"/>
        </w:rPr>
      </w:pPr>
      <w:r>
        <w:rPr>
          <w:rFonts w:ascii="Avenir Next" w:hAnsi="Avenir Next"/>
          <w:color w:val="808080" w:themeColor="background1" w:themeShade="80"/>
        </w:rPr>
        <w:t>[</w:t>
      </w:r>
      <w:r w:rsidR="00080854" w:rsidRPr="00080854">
        <w:rPr>
          <w:rFonts w:ascii="Avenir Next" w:hAnsi="Avenir Next"/>
          <w:color w:val="808080" w:themeColor="background1" w:themeShade="80"/>
        </w:rPr>
        <w:t>DOJ Investigation:</w:t>
      </w:r>
      <w:r w:rsidR="00080854">
        <w:rPr>
          <w:rFonts w:ascii="Avenir Next" w:hAnsi="Avenir Next"/>
          <w:color w:val="808080" w:themeColor="background1" w:themeShade="80"/>
        </w:rPr>
        <w:t xml:space="preserve"> M</w:t>
      </w:r>
      <w:r w:rsidR="00080854" w:rsidRPr="00080854">
        <w:rPr>
          <w:rFonts w:ascii="Avenir Next" w:hAnsi="Avenir Next"/>
          <w:color w:val="808080" w:themeColor="background1" w:themeShade="80"/>
        </w:rPr>
        <w:t>ay temporarily halt or delay the DOJ investigation into insider trading allegations. The bankruptcy filing triggers an automatic stay, which generally stops most litigation and enforcement actions against the debtor, including governmental investigations.</w:t>
      </w:r>
    </w:p>
    <w:p w14:paraId="33C609F1" w14:textId="156A651B" w:rsidR="00080854" w:rsidRPr="00080854" w:rsidRDefault="00080854" w:rsidP="00080854">
      <w:pPr>
        <w:pStyle w:val="AODocTxt"/>
        <w:rPr>
          <w:rFonts w:ascii="Avenir Next" w:hAnsi="Avenir Next"/>
          <w:color w:val="808080" w:themeColor="background1" w:themeShade="80"/>
        </w:rPr>
      </w:pPr>
      <w:r w:rsidRPr="00080854">
        <w:rPr>
          <w:rFonts w:ascii="Avenir Next" w:hAnsi="Avenir Next"/>
          <w:color w:val="808080" w:themeColor="background1" w:themeShade="80"/>
        </w:rPr>
        <w:t>Margin Loan Default:</w:t>
      </w:r>
      <w:r>
        <w:rPr>
          <w:rFonts w:ascii="Avenir Next" w:hAnsi="Avenir Next"/>
          <w:color w:val="808080" w:themeColor="background1" w:themeShade="80"/>
        </w:rPr>
        <w:t xml:space="preserve"> W</w:t>
      </w:r>
      <w:r w:rsidRPr="00080854">
        <w:rPr>
          <w:rFonts w:ascii="Avenir Next" w:hAnsi="Avenir Next"/>
          <w:color w:val="808080" w:themeColor="background1" w:themeShade="80"/>
        </w:rPr>
        <w:t>ould likely affect the margin loan default. The automatic stay would temporarily prevent the broker from taking further collection actions against Speculation Inc to recover the defaulted margin loan.</w:t>
      </w:r>
      <w:r>
        <w:rPr>
          <w:rFonts w:ascii="Avenir Next" w:hAnsi="Avenir Next"/>
          <w:color w:val="808080" w:themeColor="background1" w:themeShade="80"/>
        </w:rPr>
        <w:t xml:space="preserve"> </w:t>
      </w:r>
      <w:r w:rsidRPr="00080854">
        <w:rPr>
          <w:rFonts w:ascii="Avenir Next" w:hAnsi="Avenir Next"/>
          <w:color w:val="808080" w:themeColor="background1" w:themeShade="80"/>
        </w:rPr>
        <w:t>Speculation Inc could use the Chapter 11 process to negotiate with its creditors, including the broker, to restructure its debts and potentially arrange for repayment terms that are more favorable and manageable.</w:t>
      </w:r>
    </w:p>
    <w:p w14:paraId="77A35DB7" w14:textId="27089684" w:rsidR="00080854" w:rsidRPr="00080854" w:rsidRDefault="00080854" w:rsidP="00080854">
      <w:pPr>
        <w:pStyle w:val="AODocTxt"/>
        <w:rPr>
          <w:rFonts w:ascii="Avenir Next" w:hAnsi="Avenir Next"/>
          <w:color w:val="808080" w:themeColor="background1" w:themeShade="80"/>
        </w:rPr>
      </w:pPr>
      <w:r w:rsidRPr="00080854">
        <w:rPr>
          <w:rFonts w:ascii="Avenir Next" w:hAnsi="Avenir Next"/>
          <w:color w:val="808080" w:themeColor="background1" w:themeShade="80"/>
        </w:rPr>
        <w:t>Delinquent Lease:</w:t>
      </w:r>
      <w:r>
        <w:rPr>
          <w:rFonts w:ascii="Avenir Next" w:hAnsi="Avenir Next"/>
          <w:color w:val="808080" w:themeColor="background1" w:themeShade="80"/>
        </w:rPr>
        <w:t xml:space="preserve"> W</w:t>
      </w:r>
      <w:r w:rsidRPr="00080854">
        <w:rPr>
          <w:rFonts w:ascii="Avenir Next" w:hAnsi="Avenir Next"/>
          <w:color w:val="808080" w:themeColor="background1" w:themeShade="80"/>
        </w:rPr>
        <w:t>ould also affect the delinquent lease. The automatic stay would temporarily halt any eviction proceedings or other collection actions by the landlord to recover unpaid rent.</w:t>
      </w:r>
      <w:r>
        <w:rPr>
          <w:rFonts w:ascii="Avenir Next" w:hAnsi="Avenir Next"/>
          <w:color w:val="808080" w:themeColor="background1" w:themeShade="80"/>
        </w:rPr>
        <w:t xml:space="preserve"> </w:t>
      </w:r>
      <w:r w:rsidRPr="00080854">
        <w:rPr>
          <w:rFonts w:ascii="Avenir Next" w:hAnsi="Avenir Next"/>
          <w:color w:val="808080" w:themeColor="background1" w:themeShade="80"/>
        </w:rPr>
        <w:t>Speculation Inc could use the Chapter 11 process to negotiate with its landlord to restructure the lease terms or potentially reject the lease if it is no longer viable for the business.</w:t>
      </w:r>
    </w:p>
    <w:p w14:paraId="5F48541D" w14:textId="3467806B" w:rsidR="00080854" w:rsidRDefault="00080854" w:rsidP="00080854">
      <w:pPr>
        <w:pStyle w:val="AODocTxt"/>
        <w:rPr>
          <w:rFonts w:ascii="Avenir Next" w:hAnsi="Avenir Next"/>
          <w:color w:val="808080" w:themeColor="background1" w:themeShade="80"/>
        </w:rPr>
      </w:pPr>
      <w:r w:rsidRPr="00080854">
        <w:rPr>
          <w:rFonts w:ascii="Avenir Next" w:hAnsi="Avenir Next"/>
          <w:color w:val="808080" w:themeColor="background1" w:themeShade="80"/>
        </w:rPr>
        <w:t>Employment Discrimination Lawsuit:</w:t>
      </w:r>
      <w:r>
        <w:rPr>
          <w:rFonts w:ascii="Avenir Next" w:hAnsi="Avenir Next"/>
          <w:color w:val="808080" w:themeColor="background1" w:themeShade="80"/>
        </w:rPr>
        <w:t xml:space="preserve"> W</w:t>
      </w:r>
      <w:r w:rsidRPr="00080854">
        <w:rPr>
          <w:rFonts w:ascii="Avenir Next" w:hAnsi="Avenir Next"/>
          <w:color w:val="808080" w:themeColor="background1" w:themeShade="80"/>
        </w:rPr>
        <w:t>ould have an impact on the employment discrimination lawsuit. The automatic stay would temporarily halt the civil lawsuit filed by the former employee alleging gender bias.</w:t>
      </w:r>
    </w:p>
    <w:p w14:paraId="326B1B18" w14:textId="77777777" w:rsidR="00080854" w:rsidRDefault="00080854" w:rsidP="00080854">
      <w:pPr>
        <w:pStyle w:val="AODocTxt"/>
        <w:spacing w:before="0" w:line="240" w:lineRule="auto"/>
        <w:rPr>
          <w:rFonts w:ascii="Avenir Next" w:hAnsi="Avenir Next"/>
          <w:color w:val="808080" w:themeColor="background1" w:themeShade="80"/>
        </w:rPr>
      </w:pPr>
    </w:p>
    <w:p w14:paraId="51844BC4" w14:textId="28C1EB42" w:rsidR="001D3BAA" w:rsidRPr="002B5D64" w:rsidRDefault="00080854" w:rsidP="00080854">
      <w:pPr>
        <w:pStyle w:val="AODocTxt"/>
        <w:spacing w:before="0" w:line="240" w:lineRule="auto"/>
        <w:rPr>
          <w:rFonts w:ascii="Avenir Next" w:hAnsi="Avenir Next"/>
          <w:color w:val="808080" w:themeColor="background1" w:themeShade="80"/>
        </w:rPr>
      </w:pPr>
      <w:r w:rsidRPr="00080854">
        <w:rPr>
          <w:rFonts w:ascii="Avenir Next" w:hAnsi="Avenir Next"/>
          <w:color w:val="808080" w:themeColor="background1" w:themeShade="80"/>
        </w:rPr>
        <w:t>However, the automatic stay does not necessarily prevent the former employee from pursuing her claim within the bankruptcy proceedings. She may file a proof of claim in the bankruptcy case to seek recovery for damages arising from the alleged discrimination.</w:t>
      </w:r>
      <w:r w:rsidR="001D3BAA">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156FA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C0A3" w14:textId="77777777" w:rsidR="00156FA0" w:rsidRDefault="00156FA0" w:rsidP="00241B44">
      <w:r>
        <w:separator/>
      </w:r>
    </w:p>
  </w:endnote>
  <w:endnote w:type="continuationSeparator" w:id="0">
    <w:p w14:paraId="252CFF7A" w14:textId="77777777" w:rsidR="00156FA0" w:rsidRDefault="00156F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10F70380"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7F45DFF" w:rsidR="00241FA3" w:rsidRPr="00494B81" w:rsidRDefault="005C3E7B" w:rsidP="005C3E7B">
    <w:pPr>
      <w:pStyle w:val="Footer"/>
      <w:ind w:right="360"/>
      <w:rPr>
        <w:rFonts w:ascii="Avenir Next" w:hAnsi="Avenir Next" w:cs="Arial"/>
        <w:sz w:val="22"/>
        <w:szCs w:val="22"/>
        <w:lang w:val="en-GB"/>
      </w:rPr>
    </w:pPr>
    <w:r w:rsidRPr="005C3E7B">
      <w:rPr>
        <w:rFonts w:ascii="Avenir Next" w:hAnsi="Avenir Next" w:cs="Arial"/>
        <w:sz w:val="22"/>
        <w:szCs w:val="22"/>
        <w:lang w:val="en-GB"/>
      </w:rPr>
      <w:t>202324-1296</w:t>
    </w:r>
    <w:r w:rsidR="002573C2">
      <w:rPr>
        <w:rFonts w:ascii="Avenir Next" w:hAnsi="Avenir Next" w:cs="Arial"/>
        <w:sz w:val="22"/>
        <w:szCs w:val="22"/>
        <w:lang w:val="en-GB"/>
      </w:rPr>
      <w:t>.</w:t>
    </w:r>
    <w:r w:rsidRPr="005C3E7B">
      <w:rPr>
        <w:rFonts w:ascii="Avenir Next" w:hAnsi="Avenir Next" w:cs="Arial"/>
        <w:sz w:val="22"/>
        <w:szCs w:val="22"/>
        <w:lang w:val="en-GB"/>
      </w:rPr>
      <w:t>assessment3A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A48C" w14:textId="77777777" w:rsidR="005C3E7B" w:rsidRDefault="005C3E7B" w:rsidP="005C3E7B">
    <w:pPr>
      <w:jc w:val="center"/>
      <w:rPr>
        <w:rFonts w:ascii="Arial" w:hAnsi="Arial" w:cs="Arial"/>
        <w:b/>
        <w:sz w:val="22"/>
        <w:szCs w:val="22"/>
        <w:lang w:val="en-GB"/>
      </w:rPr>
    </w:pPr>
    <w:r w:rsidRPr="00C14177">
      <w:rPr>
        <w:rFonts w:ascii="Arial" w:hAnsi="Arial" w:cs="Arial"/>
        <w:b/>
        <w:sz w:val="22"/>
        <w:szCs w:val="22"/>
        <w:lang w:val="en-GB"/>
      </w:rPr>
      <w:t>202324-1296</w:t>
    </w:r>
    <w:r w:rsidRPr="006C65F4">
      <w:rPr>
        <w:rFonts w:ascii="Avenir Next Demi Bold" w:hAnsi="Avenir Next Demi Bold" w:cs="Arial"/>
        <w:b/>
        <w:bCs/>
        <w:sz w:val="22"/>
        <w:szCs w:val="22"/>
        <w:lang w:val="en-GB" w:eastAsia="en-GB"/>
      </w:rPr>
      <w:t>assessment3A</w:t>
    </w:r>
  </w:p>
  <w:p w14:paraId="56E2C4B1" w14:textId="77777777" w:rsidR="005C3E7B" w:rsidRDefault="005C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C063" w14:textId="77777777" w:rsidR="00156FA0" w:rsidRDefault="00156FA0" w:rsidP="00241B44">
      <w:r>
        <w:separator/>
      </w:r>
    </w:p>
  </w:footnote>
  <w:footnote w:type="continuationSeparator" w:id="0">
    <w:p w14:paraId="36D0E87F" w14:textId="77777777" w:rsidR="00156FA0" w:rsidRDefault="00156FA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9A90" w14:textId="77777777" w:rsidR="002573C2" w:rsidRDefault="00257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C0BA" w14:textId="77777777" w:rsidR="002573C2" w:rsidRDefault="00257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078" w14:textId="77777777" w:rsidR="002573C2" w:rsidRDefault="00257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8197D"/>
    <w:multiLevelType w:val="hybridMultilevel"/>
    <w:tmpl w:val="155CB4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D6663"/>
    <w:multiLevelType w:val="hybridMultilevel"/>
    <w:tmpl w:val="45809E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368D0"/>
    <w:multiLevelType w:val="hybridMultilevel"/>
    <w:tmpl w:val="1D800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2"/>
  </w:num>
  <w:num w:numId="7" w16cid:durableId="1661152946">
    <w:abstractNumId w:val="6"/>
  </w:num>
  <w:num w:numId="8" w16cid:durableId="45877589">
    <w:abstractNumId w:val="36"/>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8"/>
  </w:num>
  <w:num w:numId="23" w16cid:durableId="950893894">
    <w:abstractNumId w:val="14"/>
  </w:num>
  <w:num w:numId="24" w16cid:durableId="1962497721">
    <w:abstractNumId w:val="30"/>
  </w:num>
  <w:num w:numId="25" w16cid:durableId="869756453">
    <w:abstractNumId w:val="20"/>
  </w:num>
  <w:num w:numId="26" w16cid:durableId="1092049203">
    <w:abstractNumId w:val="22"/>
  </w:num>
  <w:num w:numId="27" w16cid:durableId="1146704350">
    <w:abstractNumId w:val="17"/>
  </w:num>
  <w:num w:numId="28" w16cid:durableId="937979478">
    <w:abstractNumId w:val="33"/>
  </w:num>
  <w:num w:numId="29" w16cid:durableId="1970553734">
    <w:abstractNumId w:val="1"/>
  </w:num>
  <w:num w:numId="30" w16cid:durableId="293563849">
    <w:abstractNumId w:val="18"/>
  </w:num>
  <w:num w:numId="31" w16cid:durableId="2126381093">
    <w:abstractNumId w:val="23"/>
  </w:num>
  <w:num w:numId="32" w16cid:durableId="1605572703">
    <w:abstractNumId w:val="39"/>
  </w:num>
  <w:num w:numId="33" w16cid:durableId="1203253494">
    <w:abstractNumId w:val="16"/>
  </w:num>
  <w:num w:numId="34" w16cid:durableId="1104031608">
    <w:abstractNumId w:val="2"/>
  </w:num>
  <w:num w:numId="35" w16cid:durableId="2144806674">
    <w:abstractNumId w:val="35"/>
  </w:num>
  <w:num w:numId="36" w16cid:durableId="1673992024">
    <w:abstractNumId w:val="37"/>
  </w:num>
  <w:num w:numId="37" w16cid:durableId="2022775299">
    <w:abstractNumId w:val="10"/>
  </w:num>
  <w:num w:numId="38" w16cid:durableId="679743285">
    <w:abstractNumId w:val="34"/>
  </w:num>
  <w:num w:numId="39" w16cid:durableId="754477157">
    <w:abstractNumId w:val="21"/>
  </w:num>
  <w:num w:numId="40" w16cid:durableId="196558131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0854"/>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4840"/>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56FA0"/>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C7DC3"/>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573C2"/>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3108"/>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3252"/>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C3E7B"/>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C7EFB"/>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4AB"/>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3EDD"/>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95">
      <w:bodyDiv w:val="1"/>
      <w:marLeft w:val="0"/>
      <w:marRight w:val="0"/>
      <w:marTop w:val="0"/>
      <w:marBottom w:val="0"/>
      <w:divBdr>
        <w:top w:val="none" w:sz="0" w:space="0" w:color="auto"/>
        <w:left w:val="none" w:sz="0" w:space="0" w:color="auto"/>
        <w:bottom w:val="none" w:sz="0" w:space="0" w:color="auto"/>
        <w:right w:val="none" w:sz="0" w:space="0" w:color="auto"/>
      </w:divBdr>
    </w:div>
    <w:div w:id="249581258">
      <w:bodyDiv w:val="1"/>
      <w:marLeft w:val="0"/>
      <w:marRight w:val="0"/>
      <w:marTop w:val="0"/>
      <w:marBottom w:val="0"/>
      <w:divBdr>
        <w:top w:val="none" w:sz="0" w:space="0" w:color="auto"/>
        <w:left w:val="none" w:sz="0" w:space="0" w:color="auto"/>
        <w:bottom w:val="none" w:sz="0" w:space="0" w:color="auto"/>
        <w:right w:val="none" w:sz="0" w:space="0" w:color="auto"/>
      </w:divBdr>
    </w:div>
    <w:div w:id="42534588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2104902">
      <w:bodyDiv w:val="1"/>
      <w:marLeft w:val="0"/>
      <w:marRight w:val="0"/>
      <w:marTop w:val="0"/>
      <w:marBottom w:val="0"/>
      <w:divBdr>
        <w:top w:val="none" w:sz="0" w:space="0" w:color="auto"/>
        <w:left w:val="none" w:sz="0" w:space="0" w:color="auto"/>
        <w:bottom w:val="none" w:sz="0" w:space="0" w:color="auto"/>
        <w:right w:val="none" w:sz="0" w:space="0" w:color="auto"/>
      </w:divBdr>
    </w:div>
    <w:div w:id="61324527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9748845">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038513156">
      <w:bodyDiv w:val="1"/>
      <w:marLeft w:val="0"/>
      <w:marRight w:val="0"/>
      <w:marTop w:val="0"/>
      <w:marBottom w:val="0"/>
      <w:divBdr>
        <w:top w:val="none" w:sz="0" w:space="0" w:color="auto"/>
        <w:left w:val="none" w:sz="0" w:space="0" w:color="auto"/>
        <w:bottom w:val="none" w:sz="0" w:space="0" w:color="auto"/>
        <w:right w:val="none" w:sz="0" w:space="0" w:color="auto"/>
      </w:divBdr>
    </w:div>
    <w:div w:id="1493370045">
      <w:bodyDiv w:val="1"/>
      <w:marLeft w:val="0"/>
      <w:marRight w:val="0"/>
      <w:marTop w:val="0"/>
      <w:marBottom w:val="0"/>
      <w:divBdr>
        <w:top w:val="none" w:sz="0" w:space="0" w:color="auto"/>
        <w:left w:val="none" w:sz="0" w:space="0" w:color="auto"/>
        <w:bottom w:val="none" w:sz="0" w:space="0" w:color="auto"/>
        <w:right w:val="none" w:sz="0" w:space="0" w:color="auto"/>
      </w:divBdr>
    </w:div>
    <w:div w:id="1800997951">
      <w:bodyDiv w:val="1"/>
      <w:marLeft w:val="0"/>
      <w:marRight w:val="0"/>
      <w:marTop w:val="0"/>
      <w:marBottom w:val="0"/>
      <w:divBdr>
        <w:top w:val="none" w:sz="0" w:space="0" w:color="auto"/>
        <w:left w:val="none" w:sz="0" w:space="0" w:color="auto"/>
        <w:bottom w:val="none" w:sz="0" w:space="0" w:color="auto"/>
        <w:right w:val="none" w:sz="0" w:space="0" w:color="auto"/>
      </w:divBdr>
    </w:div>
    <w:div w:id="192048249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3708</Words>
  <Characters>21141</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6</cp:revision>
  <cp:lastPrinted>2019-08-27T05:42:00Z</cp:lastPrinted>
  <dcterms:created xsi:type="dcterms:W3CDTF">2024-02-01T23:00:00Z</dcterms:created>
  <dcterms:modified xsi:type="dcterms:W3CDTF">2024-02-05T07:25:00Z</dcterms:modified>
</cp:coreProperties>
</file>