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22BB0BD7" w14:textId="77777777" w:rsidR="004E37E7" w:rsidRDefault="004E37E7" w:rsidP="004E37E7">
      <w:pPr>
        <w:jc w:val="center"/>
        <w:rPr>
          <w:rFonts w:ascii="Arial" w:hAnsi="Arial" w:cs="Arial"/>
          <w:b/>
          <w:sz w:val="22"/>
          <w:szCs w:val="22"/>
          <w:lang w:val="en-GB"/>
        </w:rPr>
      </w:pPr>
      <w:r w:rsidRPr="00C14177">
        <w:rPr>
          <w:rFonts w:ascii="Arial" w:hAnsi="Arial" w:cs="Arial"/>
          <w:b/>
          <w:sz w:val="22"/>
          <w:szCs w:val="22"/>
          <w:lang w:val="en-GB"/>
        </w:rPr>
        <w:t>AYLIN ROMERO VALETA FC202324-1296</w:t>
      </w: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602B3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602B3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602B3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0562BE74" w:rsidR="002638B0" w:rsidRDefault="009C5C62" w:rsidP="00602B3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B56E2">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FB82270" w14:textId="32F1BF9E" w:rsidR="002F43FA" w:rsidRDefault="002F43FA">
      <w:pPr>
        <w:rPr>
          <w:rFonts w:ascii="Avenir Next Demi Bold" w:hAnsi="Avenir Next Demi Bold" w:cs="Arial"/>
          <w:b/>
          <w:bCs/>
          <w:sz w:val="22"/>
          <w:szCs w:val="22"/>
          <w:u w:val="single"/>
          <w:lang w:val="en-GB"/>
        </w:rPr>
      </w:pPr>
    </w:p>
    <w:p w14:paraId="4287E9EB" w14:textId="77777777" w:rsidR="00BB56E2" w:rsidRDefault="00BB56E2" w:rsidP="009D0811">
      <w:pPr>
        <w:jc w:val="center"/>
        <w:rPr>
          <w:rFonts w:ascii="Avenir Next Demi Bold" w:hAnsi="Avenir Next Demi Bold" w:cs="Arial"/>
          <w:b/>
          <w:bCs/>
          <w:sz w:val="22"/>
          <w:szCs w:val="22"/>
          <w:u w:val="single"/>
          <w:lang w:val="en-GB"/>
        </w:rPr>
      </w:pPr>
    </w:p>
    <w:p w14:paraId="07C0B352" w14:textId="77777777" w:rsidR="00BB56E2" w:rsidRDefault="00BB56E2" w:rsidP="009D0811">
      <w:pPr>
        <w:jc w:val="center"/>
        <w:rPr>
          <w:rFonts w:ascii="Avenir Next Demi Bold" w:hAnsi="Avenir Next Demi Bold" w:cs="Arial"/>
          <w:b/>
          <w:bCs/>
          <w:sz w:val="22"/>
          <w:szCs w:val="22"/>
          <w:u w:val="single"/>
          <w:lang w:val="en-GB"/>
        </w:rPr>
      </w:pPr>
    </w:p>
    <w:p w14:paraId="1B67F986" w14:textId="77777777" w:rsidR="004D16A3" w:rsidRDefault="004D16A3">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192E2C58"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332AA4C3"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EE051F">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EE051F">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468AE6A4" w:rsidR="00D2090D"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D2090D">
        <w:rPr>
          <w:rFonts w:ascii="Avenir Next Demi Bold" w:hAnsi="Avenir Next Demi Bold" w:cs="Arial"/>
          <w:b/>
          <w:bCs/>
          <w:sz w:val="22"/>
          <w:szCs w:val="22"/>
          <w:lang w:val="en-GB"/>
        </w:rPr>
        <w:t>10</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13F8535" w14:textId="32371FAC" w:rsidR="00D2090D" w:rsidRDefault="00D2090D">
      <w:pPr>
        <w:rPr>
          <w:rFonts w:ascii="Avenir Next" w:hAnsi="Avenir Next" w:cs="Arial"/>
          <w:sz w:val="22"/>
          <w:szCs w:val="22"/>
          <w:lang w:val="en-GB"/>
        </w:rPr>
      </w:pPr>
    </w:p>
    <w:p w14:paraId="740BB8D2" w14:textId="77777777" w:rsidR="004D16A3" w:rsidRDefault="004D16A3">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7C6E354"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F43FA">
        <w:rPr>
          <w:rFonts w:ascii="Avenir Next" w:hAnsi="Avenir Next" w:cs="Arial"/>
          <w:sz w:val="22"/>
          <w:szCs w:val="22"/>
          <w:lang w:val="en-GB"/>
        </w:rPr>
        <w:t>answer</w:t>
      </w:r>
      <w:proofErr w:type="gramEnd"/>
      <w:r w:rsidRPr="002F43FA">
        <w:rPr>
          <w:rFonts w:ascii="Avenir Next" w:hAnsi="Avenir Next" w:cs="Arial"/>
          <w:sz w:val="22"/>
          <w:szCs w:val="22"/>
          <w:lang w:val="en-GB"/>
        </w:rPr>
        <w:t xml:space="preserve">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28CB24D6" w14:textId="77777777" w:rsidR="00C633CF" w:rsidRPr="0045419B" w:rsidRDefault="00C633CF" w:rsidP="00A65D22">
      <w:pPr>
        <w:pStyle w:val="INSOLstyle"/>
        <w:ind w:left="0" w:firstLine="0"/>
        <w:jc w:val="both"/>
      </w:pPr>
    </w:p>
    <w:p w14:paraId="1450F339" w14:textId="409D1DD5" w:rsidR="00C633CF" w:rsidRPr="00A65D22" w:rsidRDefault="00C633CF" w:rsidP="00C633CF">
      <w:pPr>
        <w:jc w:val="both"/>
        <w:rPr>
          <w:rFonts w:ascii="Avenir Next" w:hAnsi="Avenir Next" w:cs="Arial"/>
          <w:sz w:val="22"/>
          <w:szCs w:val="22"/>
          <w:lang w:val="en-GB"/>
        </w:rPr>
      </w:pPr>
      <w:r w:rsidRPr="0045419B">
        <w:rPr>
          <w:rFonts w:ascii="Avenir Next" w:hAnsi="Avenir Next" w:cs="Arial"/>
          <w:sz w:val="22"/>
          <w:szCs w:val="22"/>
        </w:rPr>
        <w:t xml:space="preserve">Which of the following statements accurately describes a </w:t>
      </w:r>
      <w:r w:rsidRPr="00C633CF">
        <w:rPr>
          <w:rFonts w:ascii="Avenir Next Demi Bold" w:hAnsi="Avenir Next Demi Bold" w:cs="Arial"/>
          <w:b/>
          <w:bCs/>
          <w:sz w:val="22"/>
          <w:szCs w:val="22"/>
          <w:u w:val="single"/>
          <w:lang w:val="en-GB"/>
        </w:rPr>
        <w:t>difference</w:t>
      </w:r>
      <w:r w:rsidRPr="0045419B">
        <w:rPr>
          <w:rFonts w:ascii="Avenir Next" w:hAnsi="Avenir Next" w:cs="Arial"/>
          <w:sz w:val="22"/>
          <w:szCs w:val="22"/>
        </w:rPr>
        <w:t xml:space="preserve"> between restructuring under the Bankruptcy and Insolvency Act (BIA) and the Companies' Creditors Arrangement Act (CCAA)?</w:t>
      </w:r>
      <w:r w:rsidR="00A65D22">
        <w:rPr>
          <w:rFonts w:ascii="Avenir Next" w:hAnsi="Avenir Next" w:cs="Arial"/>
          <w:sz w:val="22"/>
          <w:szCs w:val="22"/>
        </w:rPr>
        <w:t xml:space="preserve"> </w:t>
      </w:r>
      <w:r w:rsidR="00A65D22" w:rsidRPr="0045419B">
        <w:rPr>
          <w:rFonts w:ascii="Avenir Next" w:hAnsi="Avenir Next" w:cs="Arial"/>
          <w:sz w:val="22"/>
          <w:szCs w:val="22"/>
          <w:lang w:val="en-GB"/>
        </w:rPr>
        <w:t xml:space="preserve">Select the </w:t>
      </w:r>
      <w:r w:rsidR="00A65D22" w:rsidRPr="00C633CF">
        <w:rPr>
          <w:rFonts w:ascii="Avenir Next Demi Bold" w:hAnsi="Avenir Next Demi Bold" w:cs="Arial"/>
          <w:b/>
          <w:bCs/>
          <w:sz w:val="22"/>
          <w:szCs w:val="22"/>
          <w:u w:val="single"/>
          <w:lang w:val="en-GB"/>
        </w:rPr>
        <w:t>correct answer</w:t>
      </w:r>
      <w:r w:rsidR="00A65D22" w:rsidRPr="0045419B">
        <w:rPr>
          <w:rFonts w:ascii="Avenir Next" w:hAnsi="Avenir Next" w:cs="Arial"/>
          <w:sz w:val="22"/>
          <w:szCs w:val="22"/>
          <w:lang w:val="en-GB"/>
        </w:rPr>
        <w:t xml:space="preserve"> from the options below</w:t>
      </w:r>
      <w:r w:rsidR="00A65D22">
        <w:rPr>
          <w:rFonts w:ascii="Avenir Next" w:hAnsi="Avenir Next" w:cs="Arial"/>
          <w:sz w:val="22"/>
          <w:szCs w:val="22"/>
          <w:lang w:val="en-GB"/>
        </w:rPr>
        <w:t>:</w:t>
      </w:r>
    </w:p>
    <w:p w14:paraId="008F7E25" w14:textId="77777777" w:rsidR="00C633CF" w:rsidRPr="0045419B" w:rsidRDefault="00C633CF" w:rsidP="00C633CF">
      <w:pPr>
        <w:pStyle w:val="INSOLstyle"/>
        <w:jc w:val="both"/>
      </w:pPr>
    </w:p>
    <w:p w14:paraId="1BE6F9E8" w14:textId="77777777" w:rsidR="00C633CF" w:rsidRPr="004E37E7" w:rsidRDefault="00C633CF" w:rsidP="00EF516A">
      <w:pPr>
        <w:pStyle w:val="Prrafodelista"/>
        <w:numPr>
          <w:ilvl w:val="0"/>
          <w:numId w:val="3"/>
        </w:numPr>
        <w:ind w:left="360"/>
        <w:jc w:val="both"/>
        <w:rPr>
          <w:rFonts w:ascii="Avenir Next" w:hAnsi="Avenir Next" w:cs="Arial"/>
          <w:sz w:val="22"/>
          <w:szCs w:val="22"/>
          <w:highlight w:val="yellow"/>
        </w:rPr>
      </w:pPr>
      <w:r w:rsidRPr="004E37E7">
        <w:rPr>
          <w:rFonts w:ascii="Avenir Next" w:hAnsi="Avenir Next" w:cs="Arial"/>
          <w:sz w:val="22"/>
          <w:szCs w:val="22"/>
          <w:highlight w:val="yellow"/>
        </w:rPr>
        <w:t xml:space="preserve">The BIA has more procedural steps and strict timeframes, while the CCAA is more discretionary and </w:t>
      </w:r>
      <w:proofErr w:type="gramStart"/>
      <w:r w:rsidRPr="004E37E7">
        <w:rPr>
          <w:rFonts w:ascii="Avenir Next" w:hAnsi="Avenir Next" w:cs="Arial"/>
          <w:sz w:val="22"/>
          <w:szCs w:val="22"/>
          <w:highlight w:val="yellow"/>
        </w:rPr>
        <w:t>judicially-driven</w:t>
      </w:r>
      <w:proofErr w:type="gramEnd"/>
      <w:r w:rsidRPr="004E37E7">
        <w:rPr>
          <w:rFonts w:ascii="Avenir Next" w:hAnsi="Avenir Next" w:cs="Arial"/>
          <w:sz w:val="22"/>
          <w:szCs w:val="22"/>
          <w:highlight w:val="yellow"/>
        </w:rPr>
        <w:t xml:space="preserve">. </w:t>
      </w:r>
    </w:p>
    <w:p w14:paraId="070DF00F" w14:textId="77777777" w:rsidR="00C633CF" w:rsidRPr="0045419B" w:rsidRDefault="00C633CF" w:rsidP="00EF516A">
      <w:pPr>
        <w:pStyle w:val="INSOLstyle"/>
        <w:ind w:left="360"/>
        <w:jc w:val="both"/>
      </w:pPr>
    </w:p>
    <w:p w14:paraId="3CBF25F6" w14:textId="77777777" w:rsidR="00C633CF" w:rsidRPr="0045419B" w:rsidRDefault="00C633CF" w:rsidP="00EF516A">
      <w:pPr>
        <w:pStyle w:val="Prrafodelista"/>
        <w:numPr>
          <w:ilvl w:val="0"/>
          <w:numId w:val="3"/>
        </w:numPr>
        <w:ind w:left="360"/>
        <w:jc w:val="both"/>
        <w:rPr>
          <w:rFonts w:ascii="Avenir Next" w:hAnsi="Avenir Next" w:cs="Arial"/>
          <w:sz w:val="22"/>
          <w:szCs w:val="22"/>
        </w:rPr>
      </w:pPr>
      <w:r w:rsidRPr="0045419B">
        <w:rPr>
          <w:rFonts w:ascii="Avenir Next" w:hAnsi="Avenir Next" w:cs="Arial"/>
          <w:sz w:val="22"/>
          <w:szCs w:val="22"/>
        </w:rPr>
        <w:t>The BIA involves more professionals and court attendances, resulting in higher costs, while the CCAA has stricter rules and guidelines.</w:t>
      </w:r>
    </w:p>
    <w:p w14:paraId="0C201A89" w14:textId="77777777" w:rsidR="00C633CF" w:rsidRPr="0045419B" w:rsidRDefault="00C633CF" w:rsidP="00EF516A">
      <w:pPr>
        <w:pStyle w:val="INSOLstyle"/>
        <w:ind w:left="360"/>
        <w:jc w:val="both"/>
      </w:pPr>
    </w:p>
    <w:p w14:paraId="46A6B291" w14:textId="77777777" w:rsidR="00C633CF" w:rsidRPr="0045419B" w:rsidRDefault="00C633CF" w:rsidP="00EF516A">
      <w:pPr>
        <w:pStyle w:val="Prrafodelista"/>
        <w:numPr>
          <w:ilvl w:val="0"/>
          <w:numId w:val="3"/>
        </w:numPr>
        <w:ind w:left="360"/>
        <w:jc w:val="both"/>
        <w:rPr>
          <w:rFonts w:ascii="Avenir Next" w:hAnsi="Avenir Next" w:cs="Arial"/>
          <w:sz w:val="22"/>
          <w:szCs w:val="22"/>
        </w:rPr>
      </w:pPr>
      <w:r w:rsidRPr="0045419B">
        <w:rPr>
          <w:rFonts w:ascii="Avenir Next" w:hAnsi="Avenir Next" w:cs="Arial"/>
          <w:sz w:val="22"/>
          <w:szCs w:val="22"/>
        </w:rPr>
        <w:t xml:space="preserve">The BIA contains a total of 63 sections, while the CCAA has 285 sections. </w:t>
      </w:r>
    </w:p>
    <w:p w14:paraId="041D3261" w14:textId="77777777" w:rsidR="00C633CF" w:rsidRPr="0045419B" w:rsidRDefault="00C633CF" w:rsidP="00EF516A">
      <w:pPr>
        <w:pStyle w:val="INSOLstyle"/>
        <w:ind w:left="360"/>
        <w:jc w:val="both"/>
      </w:pPr>
    </w:p>
    <w:p w14:paraId="6F227493" w14:textId="77777777" w:rsidR="00C633CF" w:rsidRPr="0045419B" w:rsidRDefault="00C633CF" w:rsidP="00EF516A">
      <w:pPr>
        <w:pStyle w:val="Prrafodelista"/>
        <w:numPr>
          <w:ilvl w:val="0"/>
          <w:numId w:val="3"/>
        </w:numPr>
        <w:ind w:left="360"/>
        <w:jc w:val="both"/>
        <w:rPr>
          <w:rFonts w:ascii="Avenir Next" w:hAnsi="Avenir Next" w:cs="Arial"/>
          <w:sz w:val="22"/>
          <w:szCs w:val="22"/>
        </w:rPr>
      </w:pPr>
      <w:r w:rsidRPr="0045419B">
        <w:rPr>
          <w:rFonts w:ascii="Avenir Next" w:hAnsi="Avenir Next" w:cs="Arial"/>
          <w:sz w:val="22"/>
          <w:szCs w:val="22"/>
        </w:rPr>
        <w:t>The BIA is court-intensive and involves more professionals, while the CCAA has more procedural steps and strict timeframes.</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3B54FD89" w14:textId="27C9AFC4" w:rsidR="009703F0" w:rsidRPr="00A65D22" w:rsidRDefault="009703F0" w:rsidP="009703F0">
      <w:pPr>
        <w:jc w:val="both"/>
        <w:rPr>
          <w:rFonts w:ascii="Avenir Next" w:hAnsi="Avenir Next" w:cs="Arial"/>
          <w:sz w:val="22"/>
          <w:szCs w:val="22"/>
          <w:lang w:val="en-GB"/>
        </w:rPr>
      </w:pPr>
      <w:r w:rsidRPr="00036896">
        <w:rPr>
          <w:rFonts w:ascii="Avenir Next" w:hAnsi="Avenir Next" w:cs="Arial"/>
          <w:sz w:val="22"/>
          <w:szCs w:val="22"/>
        </w:rPr>
        <w:t xml:space="preserve">Which of the following statements accurately describes a role of the </w:t>
      </w:r>
      <w:r w:rsidRPr="00036896">
        <w:rPr>
          <w:rFonts w:ascii="Avenir Next" w:hAnsi="Avenir Next"/>
          <w:sz w:val="22"/>
          <w:szCs w:val="22"/>
        </w:rPr>
        <w:t>Office of the Superintendent of Bankruptcy</w:t>
      </w:r>
      <w:r w:rsidRPr="00036896">
        <w:rPr>
          <w:rFonts w:ascii="Avenir Next" w:hAnsi="Avenir Next" w:cs="Arial"/>
          <w:sz w:val="22"/>
          <w:szCs w:val="22"/>
        </w:rPr>
        <w:t>?</w:t>
      </w:r>
      <w:r w:rsidR="00A65D22">
        <w:rPr>
          <w:rFonts w:ascii="Avenir Next" w:hAnsi="Avenir Next" w:cs="Arial"/>
          <w:sz w:val="22"/>
          <w:szCs w:val="22"/>
        </w:rPr>
        <w:t xml:space="preserve"> </w:t>
      </w:r>
      <w:r w:rsidR="00A65D22" w:rsidRPr="00F57A5D">
        <w:rPr>
          <w:rFonts w:ascii="Avenir Next" w:hAnsi="Avenir Next" w:cs="Arial"/>
          <w:sz w:val="22"/>
          <w:szCs w:val="22"/>
          <w:lang w:val="en-GB"/>
        </w:rPr>
        <w:t xml:space="preserve">Select the </w:t>
      </w:r>
      <w:r w:rsidR="00A65D22" w:rsidRPr="00A65D22">
        <w:rPr>
          <w:rFonts w:ascii="Avenir Next Demi Bold" w:hAnsi="Avenir Next Demi Bold" w:cs="Arial"/>
          <w:b/>
          <w:bCs/>
          <w:sz w:val="22"/>
          <w:szCs w:val="22"/>
          <w:u w:val="single"/>
          <w:lang w:val="en-GB"/>
        </w:rPr>
        <w:t>best answer</w:t>
      </w:r>
      <w:r w:rsidR="00A65D22" w:rsidRPr="00F57A5D">
        <w:rPr>
          <w:rFonts w:ascii="Avenir Next" w:hAnsi="Avenir Next" w:cs="Arial"/>
          <w:sz w:val="22"/>
          <w:szCs w:val="22"/>
          <w:lang w:val="en-GB"/>
        </w:rPr>
        <w:t xml:space="preserve"> from the options below</w:t>
      </w:r>
      <w:r w:rsidR="00A65D22">
        <w:rPr>
          <w:rFonts w:ascii="Avenir Next" w:hAnsi="Avenir Next" w:cs="Arial"/>
          <w:sz w:val="22"/>
          <w:szCs w:val="22"/>
          <w:lang w:val="en-GB"/>
        </w:rPr>
        <w:t>:</w:t>
      </w:r>
    </w:p>
    <w:p w14:paraId="468F3A33" w14:textId="77777777" w:rsidR="009703F0" w:rsidRPr="00036896" w:rsidRDefault="009703F0" w:rsidP="009703F0">
      <w:pPr>
        <w:pStyle w:val="INSOLstyle"/>
        <w:ind w:left="0" w:firstLine="0"/>
        <w:jc w:val="both"/>
        <w:rPr>
          <w:sz w:val="22"/>
        </w:rPr>
      </w:pPr>
    </w:p>
    <w:p w14:paraId="7FB890AA" w14:textId="77777777" w:rsidR="009703F0" w:rsidRPr="004E37E7" w:rsidRDefault="009703F0" w:rsidP="00EF516A">
      <w:pPr>
        <w:pStyle w:val="Prrafodelista"/>
        <w:numPr>
          <w:ilvl w:val="0"/>
          <w:numId w:val="4"/>
        </w:numPr>
        <w:jc w:val="both"/>
        <w:rPr>
          <w:rFonts w:ascii="Avenir Next" w:hAnsi="Avenir Next" w:cs="Arial"/>
          <w:sz w:val="22"/>
          <w:szCs w:val="22"/>
          <w:highlight w:val="yellow"/>
        </w:rPr>
      </w:pPr>
      <w:r w:rsidRPr="004E37E7">
        <w:rPr>
          <w:rFonts w:ascii="Avenir Next" w:hAnsi="Avenir Next"/>
          <w:sz w:val="22"/>
          <w:szCs w:val="22"/>
          <w:highlight w:val="yellow"/>
        </w:rPr>
        <w:t>Maintaining public records regarding the filing of proposals, bankruptcies, license issues and appointments of receivers under the BIA</w:t>
      </w:r>
      <w:r w:rsidRPr="004E37E7">
        <w:rPr>
          <w:rFonts w:ascii="Avenir Next" w:hAnsi="Avenir Next" w:cs="Arial"/>
          <w:sz w:val="22"/>
          <w:szCs w:val="22"/>
          <w:highlight w:val="yellow"/>
        </w:rPr>
        <w:t>.</w:t>
      </w:r>
    </w:p>
    <w:p w14:paraId="6692B74D" w14:textId="77777777" w:rsidR="009703F0" w:rsidRPr="00036896" w:rsidRDefault="009703F0" w:rsidP="00EF516A">
      <w:pPr>
        <w:pStyle w:val="INSOLstyle"/>
        <w:ind w:left="360" w:hanging="360"/>
        <w:jc w:val="both"/>
      </w:pPr>
    </w:p>
    <w:p w14:paraId="258EF465" w14:textId="77777777" w:rsidR="009703F0" w:rsidRDefault="009703F0" w:rsidP="00EF516A">
      <w:pPr>
        <w:pStyle w:val="Prrafodelista"/>
        <w:numPr>
          <w:ilvl w:val="0"/>
          <w:numId w:val="4"/>
        </w:numPr>
        <w:jc w:val="both"/>
        <w:rPr>
          <w:rFonts w:ascii="Avenir Next" w:hAnsi="Avenir Next" w:cs="Arial"/>
          <w:sz w:val="22"/>
          <w:szCs w:val="22"/>
        </w:rPr>
      </w:pPr>
      <w:r w:rsidRPr="00036896">
        <w:rPr>
          <w:rFonts w:ascii="Avenir Next" w:hAnsi="Avenir Next"/>
          <w:sz w:val="22"/>
          <w:szCs w:val="22"/>
        </w:rPr>
        <w:t xml:space="preserve">Taking control of management of the company if </w:t>
      </w:r>
      <w:proofErr w:type="gramStart"/>
      <w:r w:rsidRPr="00036896">
        <w:rPr>
          <w:rFonts w:ascii="Avenir Next" w:hAnsi="Avenir Next"/>
          <w:sz w:val="22"/>
          <w:szCs w:val="22"/>
        </w:rPr>
        <w:t>it is clear that management</w:t>
      </w:r>
      <w:proofErr w:type="gramEnd"/>
      <w:r w:rsidRPr="00036896">
        <w:rPr>
          <w:rFonts w:ascii="Avenir Next" w:hAnsi="Avenir Next"/>
          <w:sz w:val="22"/>
          <w:szCs w:val="22"/>
        </w:rPr>
        <w:t xml:space="preserve"> is no longer acting or capable of acting in the best interests of the company or its stakeholders</w:t>
      </w:r>
      <w:r w:rsidRPr="00036896">
        <w:rPr>
          <w:rFonts w:ascii="Avenir Next" w:hAnsi="Avenir Next" w:cs="Arial"/>
          <w:sz w:val="22"/>
          <w:szCs w:val="22"/>
        </w:rPr>
        <w:t>.</w:t>
      </w:r>
    </w:p>
    <w:p w14:paraId="78427DFC" w14:textId="77777777" w:rsidR="009703F0" w:rsidRPr="00036896" w:rsidRDefault="009703F0" w:rsidP="00EF516A">
      <w:pPr>
        <w:pStyle w:val="INSOLstyle"/>
        <w:ind w:left="360" w:hanging="360"/>
        <w:jc w:val="both"/>
      </w:pPr>
    </w:p>
    <w:p w14:paraId="29E82EB3" w14:textId="268DA497" w:rsidR="009703F0" w:rsidRDefault="009703F0" w:rsidP="00EF516A">
      <w:pPr>
        <w:pStyle w:val="Prrafodelista"/>
        <w:numPr>
          <w:ilvl w:val="0"/>
          <w:numId w:val="4"/>
        </w:numPr>
        <w:jc w:val="both"/>
        <w:rPr>
          <w:rFonts w:ascii="Avenir Next" w:hAnsi="Avenir Next" w:cs="Arial"/>
          <w:sz w:val="22"/>
          <w:szCs w:val="22"/>
        </w:rPr>
      </w:pPr>
      <w:r w:rsidRPr="00036896">
        <w:rPr>
          <w:rFonts w:ascii="Avenir Next" w:hAnsi="Avenir Next"/>
          <w:sz w:val="22"/>
          <w:szCs w:val="22"/>
        </w:rPr>
        <w:t>Making the final application to the bankruptcy court for approval of the proposal if it is accepted by creditors</w:t>
      </w:r>
      <w:r w:rsidR="00A65D22">
        <w:rPr>
          <w:rFonts w:ascii="Avenir Next" w:hAnsi="Avenir Next"/>
          <w:sz w:val="22"/>
          <w:szCs w:val="22"/>
        </w:rPr>
        <w:t>.</w:t>
      </w:r>
    </w:p>
    <w:p w14:paraId="4B545022" w14:textId="77777777" w:rsidR="009703F0" w:rsidRPr="00036896" w:rsidRDefault="009703F0" w:rsidP="00EF516A">
      <w:pPr>
        <w:pStyle w:val="INSOLstyle"/>
        <w:ind w:left="360" w:hanging="360"/>
        <w:jc w:val="both"/>
      </w:pPr>
    </w:p>
    <w:p w14:paraId="7C9310A6" w14:textId="46AC6052" w:rsidR="009703F0" w:rsidRDefault="00A65D22" w:rsidP="00EF516A">
      <w:pPr>
        <w:pStyle w:val="Prrafodelista"/>
        <w:numPr>
          <w:ilvl w:val="0"/>
          <w:numId w:val="4"/>
        </w:numPr>
        <w:jc w:val="both"/>
        <w:rPr>
          <w:rFonts w:ascii="Avenir Next" w:hAnsi="Avenir Next" w:cs="Arial"/>
          <w:sz w:val="22"/>
          <w:szCs w:val="22"/>
        </w:rPr>
      </w:pPr>
      <w:r>
        <w:rPr>
          <w:rFonts w:ascii="Avenir Next" w:hAnsi="Avenir Next"/>
          <w:sz w:val="22"/>
          <w:szCs w:val="22"/>
        </w:rPr>
        <w:t xml:space="preserve">Both options </w:t>
      </w:r>
      <w:r w:rsidR="009703F0" w:rsidRPr="00036896">
        <w:rPr>
          <w:rFonts w:ascii="Avenir Next" w:hAnsi="Avenir Next"/>
          <w:sz w:val="22"/>
          <w:szCs w:val="22"/>
        </w:rPr>
        <w:t>(b) and (c).</w:t>
      </w:r>
    </w:p>
    <w:p w14:paraId="30F2AA84" w14:textId="77777777" w:rsidR="009703F0" w:rsidRPr="00036896" w:rsidRDefault="009703F0" w:rsidP="00EF516A">
      <w:pPr>
        <w:pStyle w:val="INSOLstyle"/>
        <w:ind w:left="360" w:hanging="360"/>
        <w:jc w:val="both"/>
      </w:pPr>
    </w:p>
    <w:p w14:paraId="68844751" w14:textId="77777777" w:rsidR="009703F0" w:rsidRPr="00036896" w:rsidRDefault="009703F0" w:rsidP="00EF516A">
      <w:pPr>
        <w:pStyle w:val="Prrafodelista"/>
        <w:numPr>
          <w:ilvl w:val="0"/>
          <w:numId w:val="4"/>
        </w:numPr>
        <w:jc w:val="both"/>
        <w:rPr>
          <w:rFonts w:ascii="Avenir Next" w:hAnsi="Avenir Next" w:cs="Arial"/>
          <w:sz w:val="22"/>
          <w:szCs w:val="22"/>
        </w:rPr>
      </w:pPr>
      <w:proofErr w:type="gramStart"/>
      <w:r w:rsidRPr="00036896">
        <w:rPr>
          <w:rFonts w:ascii="Avenir Next" w:hAnsi="Avenir Next"/>
          <w:sz w:val="22"/>
          <w:szCs w:val="22"/>
        </w:rPr>
        <w:t>All of</w:t>
      </w:r>
      <w:proofErr w:type="gramEnd"/>
      <w:r w:rsidRPr="00036896">
        <w:rPr>
          <w:rFonts w:ascii="Avenir Next" w:hAnsi="Avenir Next"/>
          <w:sz w:val="22"/>
          <w:szCs w:val="22"/>
        </w:rPr>
        <w:t xml:space="preserve"> the above. </w:t>
      </w:r>
    </w:p>
    <w:p w14:paraId="4106CA79" w14:textId="00BE500C" w:rsidR="00393730" w:rsidRDefault="00393730" w:rsidP="00F47A63">
      <w:pPr>
        <w:jc w:val="both"/>
        <w:rPr>
          <w:rFonts w:ascii="Avenir Next" w:hAnsi="Avenir Next" w:cs="Arial"/>
          <w:iCs/>
          <w:sz w:val="22"/>
          <w:szCs w:val="22"/>
          <w:lang w:val="en-GB"/>
        </w:rPr>
      </w:pPr>
    </w:p>
    <w:p w14:paraId="2011844C" w14:textId="77777777" w:rsidR="004D16A3" w:rsidRPr="002F43FA" w:rsidRDefault="004D16A3"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E40EEB">
      <w:pPr>
        <w:jc w:val="both"/>
        <w:rPr>
          <w:rFonts w:ascii="Avenir Next" w:hAnsi="Avenir Next" w:cs="Arial"/>
          <w:sz w:val="22"/>
          <w:szCs w:val="22"/>
        </w:rPr>
      </w:pPr>
    </w:p>
    <w:p w14:paraId="40FC5417" w14:textId="77777777" w:rsidR="00E40EEB" w:rsidRPr="0045419B" w:rsidRDefault="00E40EEB" w:rsidP="00E40EEB">
      <w:pPr>
        <w:jc w:val="both"/>
        <w:rPr>
          <w:rFonts w:ascii="Avenir Next" w:hAnsi="Avenir Next" w:cs="Arial"/>
          <w:sz w:val="22"/>
          <w:szCs w:val="22"/>
        </w:rPr>
      </w:pPr>
      <w:r w:rsidRPr="0045419B">
        <w:rPr>
          <w:rFonts w:ascii="Avenir Next" w:hAnsi="Avenir Next" w:cs="Arial"/>
          <w:sz w:val="22"/>
          <w:szCs w:val="22"/>
        </w:rPr>
        <w:t xml:space="preserve">Indicate whether the statement below is </w:t>
      </w:r>
      <w:r w:rsidRPr="00E40EEB">
        <w:rPr>
          <w:rFonts w:ascii="Avenir Next Demi Bold" w:hAnsi="Avenir Next Demi Bold" w:cs="Arial"/>
          <w:b/>
          <w:bCs/>
          <w:sz w:val="22"/>
          <w:szCs w:val="22"/>
          <w:u w:val="single"/>
          <w:lang w:val="en-GB"/>
        </w:rPr>
        <w:t>true or false</w:t>
      </w:r>
      <w:r w:rsidRPr="00E40EEB">
        <w:rPr>
          <w:rFonts w:ascii="Avenir Next" w:hAnsi="Avenir Next" w:cs="Arial"/>
          <w:sz w:val="22"/>
          <w:szCs w:val="22"/>
          <w:lang w:val="en-GB"/>
        </w:rPr>
        <w:t>:</w:t>
      </w:r>
    </w:p>
    <w:p w14:paraId="2B32BC31" w14:textId="77777777" w:rsidR="00E40EEB" w:rsidRPr="0045419B" w:rsidRDefault="00E40EEB" w:rsidP="00E40EEB">
      <w:pPr>
        <w:pStyle w:val="INSOLstyle"/>
        <w:jc w:val="both"/>
      </w:pPr>
    </w:p>
    <w:p w14:paraId="546A625D" w14:textId="77777777" w:rsidR="00E40EEB" w:rsidRPr="0045419B" w:rsidRDefault="00E40EEB" w:rsidP="00E40EEB">
      <w:pPr>
        <w:jc w:val="both"/>
        <w:rPr>
          <w:rFonts w:ascii="Avenir Next" w:hAnsi="Avenir Next" w:cs="Arial"/>
          <w:sz w:val="22"/>
          <w:szCs w:val="22"/>
          <w:lang w:val="en-GB"/>
        </w:rPr>
      </w:pPr>
      <w:r w:rsidRPr="0045419B">
        <w:rPr>
          <w:rFonts w:ascii="Avenir Next" w:hAnsi="Avenir Next" w:cs="Arial"/>
          <w:sz w:val="22"/>
          <w:szCs w:val="22"/>
          <w:lang w:val="en-GB"/>
        </w:rPr>
        <w:lastRenderedPageBreak/>
        <w:t>A secured creditor’s enforcement remedies against collateral are regulated by the liquidating provisions of the BIA and are subject to the automatic stay of proceedings that occurs when a company or individual is assigned into bankruptcy.</w:t>
      </w:r>
    </w:p>
    <w:p w14:paraId="104C7D54" w14:textId="77777777" w:rsidR="00E40EEB" w:rsidRPr="0045419B" w:rsidRDefault="00E40EEB" w:rsidP="00E40EEB">
      <w:pPr>
        <w:pStyle w:val="INSOLstyle"/>
        <w:jc w:val="both"/>
      </w:pPr>
    </w:p>
    <w:p w14:paraId="6170B670" w14:textId="77777777" w:rsidR="00E40EEB" w:rsidRPr="004E37E7" w:rsidRDefault="00E40EEB" w:rsidP="00E025FA">
      <w:pPr>
        <w:pStyle w:val="Prrafodelista"/>
        <w:numPr>
          <w:ilvl w:val="0"/>
          <w:numId w:val="8"/>
        </w:numPr>
        <w:ind w:left="426" w:hanging="426"/>
        <w:jc w:val="both"/>
        <w:rPr>
          <w:rFonts w:ascii="Avenir Next" w:hAnsi="Avenir Next" w:cs="Arial"/>
          <w:sz w:val="22"/>
          <w:szCs w:val="22"/>
          <w:highlight w:val="yellow"/>
          <w:lang w:val="en-GB"/>
        </w:rPr>
      </w:pPr>
      <w:r w:rsidRPr="004E37E7">
        <w:rPr>
          <w:rFonts w:ascii="Avenir Next" w:hAnsi="Avenir Next" w:cs="Arial"/>
          <w:sz w:val="22"/>
          <w:szCs w:val="22"/>
          <w:highlight w:val="yellow"/>
          <w:lang w:val="en-GB"/>
        </w:rPr>
        <w:t>True</w:t>
      </w:r>
    </w:p>
    <w:p w14:paraId="3C13C5FF" w14:textId="77777777" w:rsidR="00E40EEB" w:rsidRPr="0045419B" w:rsidRDefault="00E40EEB" w:rsidP="003A0283">
      <w:pPr>
        <w:pStyle w:val="INSOLstyle"/>
        <w:ind w:left="426" w:hanging="426"/>
        <w:jc w:val="both"/>
      </w:pPr>
    </w:p>
    <w:p w14:paraId="5D9FA346" w14:textId="77777777" w:rsidR="00E40EEB" w:rsidRPr="009B32D7" w:rsidRDefault="00E40EEB" w:rsidP="00E025FA">
      <w:pPr>
        <w:pStyle w:val="Prrafodelista"/>
        <w:numPr>
          <w:ilvl w:val="0"/>
          <w:numId w:val="8"/>
        </w:numPr>
        <w:ind w:left="426" w:hanging="426"/>
        <w:jc w:val="both"/>
        <w:rPr>
          <w:rFonts w:ascii="Avenir Next" w:hAnsi="Avenir Next" w:cs="Arial"/>
          <w:sz w:val="22"/>
          <w:szCs w:val="22"/>
          <w:lang w:val="en-GB"/>
        </w:rPr>
      </w:pPr>
      <w:r w:rsidRPr="009B32D7">
        <w:rPr>
          <w:rFonts w:ascii="Avenir Next" w:hAnsi="Avenir Next" w:cs="Arial"/>
          <w:sz w:val="22"/>
          <w:szCs w:val="22"/>
          <w:lang w:val="en-GB"/>
        </w:rPr>
        <w:t>False</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181B737E" w14:textId="18E3CB97" w:rsidR="00653444" w:rsidRPr="0045419B" w:rsidRDefault="00653444" w:rsidP="00653444">
      <w:pPr>
        <w:jc w:val="both"/>
        <w:rPr>
          <w:rFonts w:ascii="Avenir Next" w:hAnsi="Avenir Next" w:cs="Arial"/>
          <w:sz w:val="22"/>
          <w:szCs w:val="22"/>
          <w:lang w:val="en-GB"/>
        </w:rPr>
      </w:pPr>
      <w:r w:rsidRPr="0045419B">
        <w:rPr>
          <w:rFonts w:ascii="Avenir Next" w:hAnsi="Avenir Next" w:cs="Arial"/>
          <w:sz w:val="22"/>
          <w:szCs w:val="22"/>
          <w:lang w:val="en-GB"/>
        </w:rPr>
        <w:t xml:space="preserve">Select the </w:t>
      </w:r>
      <w:r w:rsidRPr="00653444">
        <w:rPr>
          <w:rFonts w:ascii="Avenir Next Demi Bold" w:hAnsi="Avenir Next Demi Bold" w:cs="Arial"/>
          <w:b/>
          <w:bCs/>
          <w:sz w:val="22"/>
          <w:szCs w:val="22"/>
          <w:u w:val="single"/>
          <w:lang w:val="en-GB"/>
        </w:rPr>
        <w:t>best answer</w:t>
      </w:r>
      <w:r w:rsidRPr="0045419B">
        <w:rPr>
          <w:rFonts w:ascii="Avenir Next" w:hAnsi="Avenir Next" w:cs="Arial"/>
          <w:sz w:val="22"/>
          <w:szCs w:val="22"/>
          <w:lang w:val="en-GB"/>
        </w:rPr>
        <w:t xml:space="preserve"> from the options below</w:t>
      </w:r>
      <w:r w:rsidR="00565638">
        <w:rPr>
          <w:rFonts w:ascii="Avenir Next" w:hAnsi="Avenir Next" w:cs="Arial"/>
          <w:sz w:val="22"/>
          <w:szCs w:val="22"/>
          <w:lang w:val="en-GB"/>
        </w:rPr>
        <w:t>:</w:t>
      </w:r>
    </w:p>
    <w:p w14:paraId="702A6769" w14:textId="77777777" w:rsidR="00653444" w:rsidRPr="0045419B" w:rsidRDefault="00653444" w:rsidP="00653444">
      <w:pPr>
        <w:pStyle w:val="INSOLstyle"/>
        <w:jc w:val="both"/>
      </w:pPr>
    </w:p>
    <w:p w14:paraId="68C91E1F" w14:textId="2E59D0D7" w:rsidR="00565638" w:rsidRDefault="00653444" w:rsidP="00653444">
      <w:pPr>
        <w:jc w:val="both"/>
        <w:rPr>
          <w:rFonts w:ascii="Avenir Next" w:hAnsi="Avenir Next" w:cs="Arial"/>
          <w:sz w:val="22"/>
          <w:szCs w:val="22"/>
        </w:rPr>
      </w:pPr>
      <w:r w:rsidRPr="0045419B">
        <w:rPr>
          <w:rFonts w:ascii="Avenir Next" w:hAnsi="Avenir Next" w:cs="Arial"/>
          <w:sz w:val="22"/>
          <w:szCs w:val="22"/>
        </w:rPr>
        <w:t xml:space="preserve">Under the BIA, to </w:t>
      </w:r>
      <w:r w:rsidRPr="00565638">
        <w:rPr>
          <w:rFonts w:ascii="Avenir Next Demi Bold" w:hAnsi="Avenir Next Demi Bold" w:cs="Arial"/>
          <w:b/>
          <w:bCs/>
          <w:sz w:val="22"/>
          <w:szCs w:val="22"/>
          <w:u w:val="single"/>
          <w:lang w:val="en-GB"/>
        </w:rPr>
        <w:t>successfully establish an application</w:t>
      </w:r>
      <w:r w:rsidRPr="0045419B">
        <w:rPr>
          <w:rFonts w:ascii="Avenir Next" w:hAnsi="Avenir Next" w:cs="Arial"/>
          <w:sz w:val="22"/>
          <w:szCs w:val="22"/>
        </w:rPr>
        <w:t xml:space="preserve"> for an involuntary bankruptcy order, the applying creditor(s) must</w:t>
      </w:r>
      <w:r w:rsidR="00565638">
        <w:rPr>
          <w:rFonts w:ascii="Avenir Next" w:hAnsi="Avenir Next" w:cs="Arial"/>
          <w:sz w:val="22"/>
          <w:szCs w:val="22"/>
        </w:rPr>
        <w:t xml:space="preserve"> – </w:t>
      </w:r>
    </w:p>
    <w:p w14:paraId="6FEDDCE8" w14:textId="6550BD57" w:rsidR="00653444" w:rsidRPr="00565638" w:rsidRDefault="00653444" w:rsidP="00565638">
      <w:pPr>
        <w:jc w:val="both"/>
        <w:rPr>
          <w:rFonts w:ascii="Avenir Next" w:hAnsi="Avenir Next" w:cs="Arial"/>
          <w:sz w:val="22"/>
          <w:szCs w:val="22"/>
        </w:rPr>
      </w:pPr>
      <w:r w:rsidRPr="0045419B">
        <w:rPr>
          <w:rFonts w:ascii="Avenir Next" w:hAnsi="Avenir Next" w:cs="Arial"/>
          <w:sz w:val="22"/>
          <w:szCs w:val="22"/>
        </w:rPr>
        <w:t xml:space="preserve"> </w:t>
      </w:r>
    </w:p>
    <w:p w14:paraId="134096F0" w14:textId="77777777" w:rsidR="00653444" w:rsidRPr="0045419B" w:rsidRDefault="00653444" w:rsidP="00BB56E2">
      <w:pPr>
        <w:pStyle w:val="Prrafodelista"/>
        <w:numPr>
          <w:ilvl w:val="0"/>
          <w:numId w:val="5"/>
        </w:numPr>
        <w:ind w:left="360"/>
        <w:jc w:val="both"/>
        <w:rPr>
          <w:rFonts w:ascii="Avenir Next" w:hAnsi="Avenir Next" w:cs="Arial"/>
          <w:sz w:val="22"/>
          <w:szCs w:val="22"/>
        </w:rPr>
      </w:pPr>
      <w:r w:rsidRPr="0045419B">
        <w:rPr>
          <w:rFonts w:ascii="Avenir Next" w:hAnsi="Avenir Next" w:cs="Arial"/>
          <w:sz w:val="22"/>
          <w:szCs w:val="22"/>
        </w:rPr>
        <w:t xml:space="preserve">be owed </w:t>
      </w:r>
      <w:proofErr w:type="gramStart"/>
      <w:r w:rsidRPr="0045419B">
        <w:rPr>
          <w:rFonts w:ascii="Avenir Next" w:hAnsi="Avenir Next" w:cs="Arial"/>
          <w:sz w:val="22"/>
          <w:szCs w:val="22"/>
        </w:rPr>
        <w:t>in excess of</w:t>
      </w:r>
      <w:proofErr w:type="gramEnd"/>
      <w:r w:rsidRPr="0045419B">
        <w:rPr>
          <w:rFonts w:ascii="Avenir Next" w:hAnsi="Avenir Next" w:cs="Arial"/>
          <w:sz w:val="22"/>
          <w:szCs w:val="22"/>
        </w:rPr>
        <w:t xml:space="preserve"> CAD 1,000 of unsecured debt.</w:t>
      </w:r>
    </w:p>
    <w:p w14:paraId="2FEB22F8" w14:textId="77777777" w:rsidR="00653444" w:rsidRPr="0045419B" w:rsidRDefault="00653444" w:rsidP="00BB56E2">
      <w:pPr>
        <w:pStyle w:val="INSOLstyle"/>
        <w:ind w:left="360" w:hanging="360"/>
        <w:jc w:val="both"/>
      </w:pPr>
    </w:p>
    <w:p w14:paraId="6AA95D42" w14:textId="77777777" w:rsidR="00653444" w:rsidRPr="0045419B" w:rsidRDefault="00653444" w:rsidP="00BB56E2">
      <w:pPr>
        <w:pStyle w:val="Prrafodelista"/>
        <w:numPr>
          <w:ilvl w:val="0"/>
          <w:numId w:val="5"/>
        </w:numPr>
        <w:ind w:left="360"/>
        <w:jc w:val="both"/>
        <w:rPr>
          <w:rFonts w:ascii="Avenir Next" w:hAnsi="Avenir Next" w:cs="Arial"/>
          <w:sz w:val="22"/>
          <w:szCs w:val="22"/>
        </w:rPr>
      </w:pPr>
      <w:r w:rsidRPr="0045419B">
        <w:rPr>
          <w:rFonts w:ascii="Avenir Next" w:hAnsi="Avenir Next" w:cs="Arial"/>
          <w:sz w:val="22"/>
          <w:szCs w:val="22"/>
        </w:rPr>
        <w:t>provide evidence that the debtor has committed an “act of bankruptcy” within six months of the date of the filing of the application.</w:t>
      </w:r>
    </w:p>
    <w:p w14:paraId="7E6B8CA8" w14:textId="77777777" w:rsidR="00653444" w:rsidRPr="0045419B" w:rsidRDefault="00653444" w:rsidP="00BB56E2">
      <w:pPr>
        <w:pStyle w:val="INSOLstyle"/>
        <w:ind w:left="360" w:hanging="360"/>
        <w:jc w:val="both"/>
      </w:pPr>
    </w:p>
    <w:p w14:paraId="7F000782" w14:textId="77777777" w:rsidR="00653444" w:rsidRPr="0045419B" w:rsidRDefault="00653444" w:rsidP="00BB56E2">
      <w:pPr>
        <w:pStyle w:val="Prrafodelista"/>
        <w:numPr>
          <w:ilvl w:val="0"/>
          <w:numId w:val="5"/>
        </w:numPr>
        <w:ind w:left="360"/>
        <w:jc w:val="both"/>
        <w:rPr>
          <w:rFonts w:ascii="Avenir Next" w:hAnsi="Avenir Next" w:cs="Arial"/>
          <w:sz w:val="22"/>
          <w:szCs w:val="22"/>
        </w:rPr>
      </w:pPr>
      <w:r w:rsidRPr="0045419B">
        <w:rPr>
          <w:rFonts w:ascii="Avenir Next" w:hAnsi="Avenir Next" w:cs="Arial"/>
          <w:sz w:val="22"/>
          <w:szCs w:val="22"/>
        </w:rPr>
        <w:t xml:space="preserve">provide proof that the debtor currently carries on business or resides in Canada, or currently has assets in Canada. </w:t>
      </w:r>
    </w:p>
    <w:p w14:paraId="3F2CF772" w14:textId="77777777" w:rsidR="00653444" w:rsidRPr="0045419B" w:rsidRDefault="00653444" w:rsidP="00BB56E2">
      <w:pPr>
        <w:pStyle w:val="INSOLstyle"/>
        <w:ind w:left="360" w:hanging="360"/>
        <w:jc w:val="both"/>
      </w:pPr>
    </w:p>
    <w:p w14:paraId="3B1D9593" w14:textId="46CDDB23" w:rsidR="00653444" w:rsidRPr="004E37E7" w:rsidRDefault="00565638" w:rsidP="00BB56E2">
      <w:pPr>
        <w:pStyle w:val="Prrafodelista"/>
        <w:numPr>
          <w:ilvl w:val="0"/>
          <w:numId w:val="5"/>
        </w:numPr>
        <w:ind w:left="360"/>
        <w:jc w:val="both"/>
        <w:rPr>
          <w:rFonts w:ascii="Avenir Next" w:hAnsi="Avenir Next" w:cs="Arial"/>
          <w:sz w:val="22"/>
          <w:szCs w:val="22"/>
          <w:highlight w:val="yellow"/>
        </w:rPr>
      </w:pPr>
      <w:r w:rsidRPr="004E37E7">
        <w:rPr>
          <w:rFonts w:ascii="Avenir Next" w:hAnsi="Avenir Next" w:cs="Arial"/>
          <w:sz w:val="22"/>
          <w:szCs w:val="22"/>
          <w:highlight w:val="yellow"/>
        </w:rPr>
        <w:t xml:space="preserve">Both options </w:t>
      </w:r>
      <w:r w:rsidR="00653444" w:rsidRPr="004E37E7">
        <w:rPr>
          <w:rFonts w:ascii="Avenir Next" w:hAnsi="Avenir Next" w:cs="Arial"/>
          <w:sz w:val="22"/>
          <w:szCs w:val="22"/>
          <w:highlight w:val="yellow"/>
        </w:rPr>
        <w:t xml:space="preserve">(a) and (b). </w:t>
      </w:r>
    </w:p>
    <w:p w14:paraId="78FFF4FA" w14:textId="77777777" w:rsidR="00653444" w:rsidRPr="0045419B" w:rsidRDefault="00653444" w:rsidP="00BB56E2">
      <w:pPr>
        <w:pStyle w:val="INSOLstyle"/>
        <w:ind w:left="360" w:hanging="360"/>
        <w:jc w:val="both"/>
      </w:pPr>
    </w:p>
    <w:p w14:paraId="0E660D17" w14:textId="168C5029" w:rsidR="00653444" w:rsidRPr="0045419B" w:rsidRDefault="00565638" w:rsidP="00BB56E2">
      <w:pPr>
        <w:pStyle w:val="Prrafodelista"/>
        <w:numPr>
          <w:ilvl w:val="0"/>
          <w:numId w:val="5"/>
        </w:numPr>
        <w:ind w:left="360"/>
        <w:jc w:val="both"/>
        <w:rPr>
          <w:rFonts w:ascii="Avenir Next" w:hAnsi="Avenir Next" w:cs="Arial"/>
          <w:sz w:val="22"/>
          <w:szCs w:val="22"/>
        </w:rPr>
      </w:pPr>
      <w:proofErr w:type="gramStart"/>
      <w:r>
        <w:rPr>
          <w:rFonts w:ascii="Avenir Next" w:hAnsi="Avenir Next" w:cs="Arial"/>
          <w:sz w:val="22"/>
          <w:szCs w:val="22"/>
        </w:rPr>
        <w:t>A</w:t>
      </w:r>
      <w:r w:rsidR="00653444" w:rsidRPr="0045419B">
        <w:rPr>
          <w:rFonts w:ascii="Avenir Next" w:hAnsi="Avenir Next" w:cs="Arial"/>
          <w:sz w:val="22"/>
          <w:szCs w:val="22"/>
        </w:rPr>
        <w:t>ll of</w:t>
      </w:r>
      <w:proofErr w:type="gramEnd"/>
      <w:r w:rsidR="00653444" w:rsidRPr="0045419B">
        <w:rPr>
          <w:rFonts w:ascii="Avenir Next" w:hAnsi="Avenir Next" w:cs="Arial"/>
          <w:sz w:val="22"/>
          <w:szCs w:val="22"/>
        </w:rPr>
        <w:t xml:space="preserve"> the above.</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341EE813" w14:textId="7A1ABA00" w:rsidR="00D07C91" w:rsidRPr="0045419B" w:rsidRDefault="00D07C91" w:rsidP="0015621F">
      <w:pPr>
        <w:jc w:val="both"/>
        <w:rPr>
          <w:rFonts w:ascii="Avenir Next" w:hAnsi="Avenir Next" w:cs="Arial"/>
          <w:sz w:val="22"/>
          <w:szCs w:val="22"/>
          <w:lang w:val="en-GB"/>
        </w:rPr>
      </w:pPr>
      <w:r w:rsidRPr="0045419B">
        <w:rPr>
          <w:rFonts w:ascii="Avenir Next" w:hAnsi="Avenir Next" w:cs="Arial"/>
          <w:sz w:val="22"/>
          <w:szCs w:val="22"/>
          <w:lang w:val="en-GB"/>
        </w:rPr>
        <w:t xml:space="preserve">Select the </w:t>
      </w:r>
      <w:r w:rsidRPr="00D07C91">
        <w:rPr>
          <w:rFonts w:ascii="Avenir Next Demi Bold" w:hAnsi="Avenir Next Demi Bold" w:cs="Arial"/>
          <w:b/>
          <w:bCs/>
          <w:sz w:val="22"/>
          <w:szCs w:val="22"/>
          <w:u w:val="single"/>
          <w:lang w:val="en-GB"/>
        </w:rPr>
        <w:t>correct answer</w:t>
      </w:r>
      <w:r w:rsidRPr="0045419B">
        <w:rPr>
          <w:rFonts w:ascii="Avenir Next" w:hAnsi="Avenir Next" w:cs="Arial"/>
          <w:sz w:val="22"/>
          <w:szCs w:val="22"/>
          <w:lang w:val="en-GB"/>
        </w:rPr>
        <w:t xml:space="preserve"> from the options below</w:t>
      </w:r>
      <w:r w:rsidR="003A0283">
        <w:rPr>
          <w:rFonts w:ascii="Avenir Next" w:hAnsi="Avenir Next" w:cs="Arial"/>
          <w:sz w:val="22"/>
          <w:szCs w:val="22"/>
          <w:lang w:val="en-GB"/>
        </w:rPr>
        <w:t>:</w:t>
      </w:r>
    </w:p>
    <w:p w14:paraId="20B9EE9B" w14:textId="77777777" w:rsidR="00D07C91" w:rsidRPr="0045419B" w:rsidRDefault="00D07C91" w:rsidP="0015621F">
      <w:pPr>
        <w:pStyle w:val="INSOLstyle"/>
        <w:jc w:val="both"/>
      </w:pPr>
    </w:p>
    <w:p w14:paraId="180371A6" w14:textId="77777777" w:rsidR="00D07C91" w:rsidRPr="0045419B" w:rsidRDefault="00D07C91" w:rsidP="0015621F">
      <w:pPr>
        <w:jc w:val="both"/>
        <w:rPr>
          <w:rFonts w:ascii="Avenir Next" w:hAnsi="Avenir Next" w:cs="Arial"/>
          <w:sz w:val="22"/>
          <w:szCs w:val="22"/>
          <w:lang w:val="en-GB"/>
        </w:rPr>
      </w:pPr>
      <w:r w:rsidRPr="0045419B">
        <w:rPr>
          <w:rFonts w:ascii="Avenir Next" w:hAnsi="Avenir Next" w:cs="Arial"/>
          <w:sz w:val="22"/>
          <w:szCs w:val="22"/>
          <w:lang w:val="en-GB"/>
        </w:rPr>
        <w:t xml:space="preserve">Which of the following is an </w:t>
      </w:r>
      <w:r w:rsidRPr="00D07C91">
        <w:rPr>
          <w:rFonts w:ascii="Avenir Next Demi Bold" w:hAnsi="Avenir Next Demi Bold" w:cs="Arial"/>
          <w:b/>
          <w:bCs/>
          <w:sz w:val="22"/>
          <w:szCs w:val="22"/>
          <w:u w:val="single"/>
          <w:lang w:val="en-GB"/>
        </w:rPr>
        <w:t>act of bankruptcy</w:t>
      </w:r>
      <w:r w:rsidRPr="0045419B">
        <w:rPr>
          <w:rFonts w:ascii="Avenir Next" w:hAnsi="Avenir Next" w:cs="Arial"/>
          <w:sz w:val="22"/>
          <w:szCs w:val="22"/>
          <w:lang w:val="en-GB"/>
        </w:rPr>
        <w:t xml:space="preserve"> under section 42 of the BIA?  </w:t>
      </w:r>
    </w:p>
    <w:p w14:paraId="572BAFC4" w14:textId="77777777" w:rsidR="00D07C91" w:rsidRPr="0045419B" w:rsidRDefault="00D07C91" w:rsidP="0015621F">
      <w:pPr>
        <w:pStyle w:val="INSOLstyle"/>
        <w:jc w:val="both"/>
      </w:pPr>
    </w:p>
    <w:p w14:paraId="4202D077" w14:textId="77777777" w:rsidR="00D07C91" w:rsidRPr="0045419B" w:rsidRDefault="00D07C91" w:rsidP="00E025FA">
      <w:pPr>
        <w:pStyle w:val="Prrafodelista"/>
        <w:numPr>
          <w:ilvl w:val="0"/>
          <w:numId w:val="6"/>
        </w:numPr>
        <w:ind w:left="360"/>
        <w:jc w:val="both"/>
        <w:rPr>
          <w:rFonts w:ascii="Avenir Next" w:hAnsi="Avenir Next" w:cs="Arial"/>
          <w:sz w:val="22"/>
          <w:szCs w:val="22"/>
        </w:rPr>
      </w:pPr>
      <w:r w:rsidRPr="0045419B">
        <w:rPr>
          <w:rFonts w:ascii="Avenir Next" w:hAnsi="Avenir Next" w:cs="Arial"/>
          <w:sz w:val="22"/>
          <w:szCs w:val="22"/>
          <w:lang w:val="en-GB"/>
        </w:rPr>
        <w:t>I</w:t>
      </w:r>
      <w:r w:rsidRPr="0045419B">
        <w:rPr>
          <w:rFonts w:ascii="Avenir Next" w:hAnsi="Avenir Next" w:cs="Arial"/>
          <w:sz w:val="22"/>
          <w:szCs w:val="22"/>
        </w:rPr>
        <w:t>n Canada or elsewhere the bankrupt makes an assignment of property to a trustee for the benefit of creditors.</w:t>
      </w:r>
    </w:p>
    <w:p w14:paraId="01042C0B" w14:textId="77777777" w:rsidR="00D07C91" w:rsidRPr="0045419B" w:rsidRDefault="00D07C91" w:rsidP="0015621F">
      <w:pPr>
        <w:pStyle w:val="INSOLstyle"/>
        <w:jc w:val="both"/>
      </w:pPr>
    </w:p>
    <w:p w14:paraId="181A4810" w14:textId="77777777" w:rsidR="00D07C91" w:rsidRPr="0045419B" w:rsidRDefault="00D07C91" w:rsidP="00E025FA">
      <w:pPr>
        <w:pStyle w:val="Prrafodelista"/>
        <w:numPr>
          <w:ilvl w:val="0"/>
          <w:numId w:val="6"/>
        </w:numPr>
        <w:ind w:left="360"/>
        <w:jc w:val="both"/>
        <w:rPr>
          <w:rFonts w:ascii="Avenir Next" w:hAnsi="Avenir Next" w:cs="Arial"/>
          <w:sz w:val="22"/>
          <w:szCs w:val="22"/>
        </w:rPr>
      </w:pPr>
      <w:r w:rsidRPr="0045419B">
        <w:rPr>
          <w:rFonts w:ascii="Avenir Next" w:hAnsi="Avenir Next" w:cs="Arial"/>
          <w:sz w:val="22"/>
          <w:szCs w:val="22"/>
        </w:rPr>
        <w:t>Giving notice to creditors that the debtor has suspended or is about to suspend payment of debts.</w:t>
      </w:r>
    </w:p>
    <w:p w14:paraId="434B4BC8" w14:textId="77777777" w:rsidR="00D07C91" w:rsidRPr="0045419B" w:rsidRDefault="00D07C91" w:rsidP="0015621F">
      <w:pPr>
        <w:pStyle w:val="INSOLstyle"/>
        <w:jc w:val="both"/>
      </w:pPr>
    </w:p>
    <w:p w14:paraId="3AA6FEF3" w14:textId="77777777" w:rsidR="00D07C91" w:rsidRPr="0045419B" w:rsidRDefault="00D07C91" w:rsidP="00E025FA">
      <w:pPr>
        <w:pStyle w:val="Prrafodelista"/>
        <w:numPr>
          <w:ilvl w:val="0"/>
          <w:numId w:val="6"/>
        </w:numPr>
        <w:ind w:left="360"/>
        <w:jc w:val="both"/>
        <w:rPr>
          <w:rFonts w:ascii="Avenir Next" w:hAnsi="Avenir Next" w:cs="Arial"/>
          <w:sz w:val="22"/>
          <w:szCs w:val="22"/>
        </w:rPr>
      </w:pPr>
      <w:r w:rsidRPr="0045419B">
        <w:rPr>
          <w:rFonts w:ascii="Avenir Next" w:hAnsi="Avenir Next" w:cs="Arial"/>
          <w:sz w:val="22"/>
          <w:szCs w:val="22"/>
        </w:rPr>
        <w:t xml:space="preserve">The debtor assigns, removes, </w:t>
      </w:r>
      <w:proofErr w:type="gramStart"/>
      <w:r w:rsidRPr="0045419B">
        <w:rPr>
          <w:rFonts w:ascii="Avenir Next" w:hAnsi="Avenir Next" w:cs="Arial"/>
          <w:sz w:val="22"/>
          <w:szCs w:val="22"/>
        </w:rPr>
        <w:t>secretes</w:t>
      </w:r>
      <w:proofErr w:type="gramEnd"/>
      <w:r w:rsidRPr="0045419B">
        <w:rPr>
          <w:rFonts w:ascii="Avenir Next" w:hAnsi="Avenir Next" w:cs="Arial"/>
          <w:sz w:val="22"/>
          <w:szCs w:val="22"/>
        </w:rPr>
        <w:t xml:space="preserve"> or disposes of or attempts or is about to do same with his property with the intent to defraud, defeat or delay his creditors or any of them.</w:t>
      </w:r>
    </w:p>
    <w:p w14:paraId="338F96C8" w14:textId="77777777" w:rsidR="00D07C91" w:rsidRPr="0045419B" w:rsidRDefault="00D07C91" w:rsidP="0015621F">
      <w:pPr>
        <w:pStyle w:val="INSOLstyle"/>
        <w:jc w:val="both"/>
      </w:pPr>
    </w:p>
    <w:p w14:paraId="26983CB7" w14:textId="77777777" w:rsidR="00D07C91" w:rsidRPr="0045419B" w:rsidRDefault="00D07C91" w:rsidP="00E025FA">
      <w:pPr>
        <w:pStyle w:val="Prrafodelista"/>
        <w:numPr>
          <w:ilvl w:val="0"/>
          <w:numId w:val="6"/>
        </w:numPr>
        <w:ind w:left="360"/>
        <w:jc w:val="both"/>
        <w:rPr>
          <w:rFonts w:ascii="Avenir Next" w:hAnsi="Avenir Next" w:cs="Arial"/>
          <w:sz w:val="22"/>
          <w:szCs w:val="22"/>
          <w:lang w:val="en"/>
        </w:rPr>
      </w:pPr>
      <w:r w:rsidRPr="0045419B">
        <w:rPr>
          <w:rFonts w:ascii="Avenir Next" w:hAnsi="Avenir Next" w:cs="Arial"/>
          <w:sz w:val="22"/>
          <w:szCs w:val="22"/>
        </w:rPr>
        <w:t>I</w:t>
      </w:r>
      <w:r w:rsidRPr="0045419B">
        <w:rPr>
          <w:rFonts w:ascii="Avenir Next" w:hAnsi="Avenir Next" w:cs="Arial"/>
          <w:sz w:val="22"/>
          <w:szCs w:val="22"/>
          <w:lang w:val="en"/>
        </w:rPr>
        <w:t xml:space="preserve">n Canada or elsewhere the debtor makes a fraudulent gift, </w:t>
      </w:r>
      <w:proofErr w:type="gramStart"/>
      <w:r w:rsidRPr="0045419B">
        <w:rPr>
          <w:rFonts w:ascii="Avenir Next" w:hAnsi="Avenir Next" w:cs="Arial"/>
          <w:sz w:val="22"/>
          <w:szCs w:val="22"/>
          <w:lang w:val="en"/>
        </w:rPr>
        <w:t>delivery</w:t>
      </w:r>
      <w:proofErr w:type="gramEnd"/>
      <w:r w:rsidRPr="0045419B">
        <w:rPr>
          <w:rFonts w:ascii="Avenir Next" w:hAnsi="Avenir Next" w:cs="Arial"/>
          <w:sz w:val="22"/>
          <w:szCs w:val="22"/>
          <w:lang w:val="en"/>
        </w:rPr>
        <w:t xml:space="preserve"> or transfer of the debtor’s property or of any part of it.</w:t>
      </w:r>
    </w:p>
    <w:p w14:paraId="395E0BF4" w14:textId="77777777" w:rsidR="00D07C91" w:rsidRPr="0045419B" w:rsidRDefault="00D07C91" w:rsidP="0015621F">
      <w:pPr>
        <w:pStyle w:val="INSOLstyle"/>
        <w:jc w:val="both"/>
      </w:pPr>
    </w:p>
    <w:p w14:paraId="67FD5074" w14:textId="77777777" w:rsidR="00D07C91" w:rsidRPr="004E37E7" w:rsidRDefault="00D07C91" w:rsidP="00E025FA">
      <w:pPr>
        <w:pStyle w:val="Prrafodelista"/>
        <w:numPr>
          <w:ilvl w:val="0"/>
          <w:numId w:val="6"/>
        </w:numPr>
        <w:ind w:left="360"/>
        <w:jc w:val="both"/>
        <w:rPr>
          <w:rFonts w:ascii="Avenir Next" w:hAnsi="Avenir Next" w:cs="Arial"/>
          <w:sz w:val="22"/>
          <w:szCs w:val="22"/>
          <w:highlight w:val="yellow"/>
        </w:rPr>
      </w:pPr>
      <w:proofErr w:type="gramStart"/>
      <w:r w:rsidRPr="004E37E7">
        <w:rPr>
          <w:rFonts w:ascii="Avenir Next" w:hAnsi="Avenir Next" w:cs="Arial"/>
          <w:sz w:val="22"/>
          <w:szCs w:val="22"/>
          <w:highlight w:val="yellow"/>
        </w:rPr>
        <w:t>All of</w:t>
      </w:r>
      <w:proofErr w:type="gramEnd"/>
      <w:r w:rsidRPr="004E37E7">
        <w:rPr>
          <w:rFonts w:ascii="Avenir Next" w:hAnsi="Avenir Next" w:cs="Arial"/>
          <w:sz w:val="22"/>
          <w:szCs w:val="22"/>
          <w:highlight w:val="yellow"/>
        </w:rPr>
        <w:t xml:space="preserve"> the above.</w:t>
      </w: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0F5BB69E" w14:textId="77777777" w:rsidR="004D4D9F" w:rsidRPr="0045419B" w:rsidRDefault="004D4D9F" w:rsidP="00554045">
      <w:pPr>
        <w:jc w:val="both"/>
        <w:rPr>
          <w:rFonts w:ascii="Avenir Next" w:hAnsi="Avenir Next" w:cs="Arial"/>
          <w:sz w:val="22"/>
          <w:szCs w:val="22"/>
        </w:rPr>
      </w:pPr>
      <w:r w:rsidRPr="0045419B">
        <w:rPr>
          <w:rFonts w:ascii="Avenir Next" w:hAnsi="Avenir Next" w:cs="Arial"/>
          <w:sz w:val="22"/>
          <w:szCs w:val="22"/>
        </w:rPr>
        <w:t xml:space="preserve">Indicate whether the statement below is </w:t>
      </w:r>
      <w:r w:rsidRPr="004D4D9F">
        <w:rPr>
          <w:rFonts w:ascii="Avenir Next Demi Bold" w:hAnsi="Avenir Next Demi Bold" w:cs="Arial"/>
          <w:b/>
          <w:bCs/>
          <w:sz w:val="22"/>
          <w:szCs w:val="22"/>
          <w:u w:val="single"/>
        </w:rPr>
        <w:t>true or false</w:t>
      </w:r>
      <w:r w:rsidRPr="0045419B">
        <w:rPr>
          <w:rFonts w:ascii="Avenir Next" w:hAnsi="Avenir Next" w:cs="Arial"/>
          <w:sz w:val="22"/>
          <w:szCs w:val="22"/>
        </w:rPr>
        <w:t>:</w:t>
      </w:r>
    </w:p>
    <w:p w14:paraId="4C79920E" w14:textId="77777777" w:rsidR="004D4D9F" w:rsidRPr="0045419B" w:rsidRDefault="004D4D9F" w:rsidP="00554045">
      <w:pPr>
        <w:pStyle w:val="INSOLstyle"/>
        <w:jc w:val="both"/>
      </w:pPr>
    </w:p>
    <w:p w14:paraId="6EE507F0" w14:textId="15B99E10" w:rsidR="004D4D9F" w:rsidRPr="0045419B" w:rsidRDefault="004D4D9F" w:rsidP="00554045">
      <w:pPr>
        <w:jc w:val="both"/>
        <w:rPr>
          <w:rFonts w:ascii="Avenir Next" w:hAnsi="Avenir Next" w:cs="Arial"/>
          <w:sz w:val="22"/>
          <w:szCs w:val="22"/>
        </w:rPr>
      </w:pPr>
      <w:r w:rsidRPr="0045419B">
        <w:rPr>
          <w:rFonts w:ascii="Avenir Next" w:hAnsi="Avenir Next" w:cs="Arial"/>
          <w:sz w:val="22"/>
          <w:szCs w:val="22"/>
        </w:rPr>
        <w:t xml:space="preserve">The CCAA is a debtor-in-possession restructuring statute designed for the </w:t>
      </w:r>
      <w:r w:rsidR="00554045" w:rsidRPr="0045419B">
        <w:rPr>
          <w:rFonts w:ascii="Avenir Next" w:hAnsi="Avenir Next" w:cs="Arial"/>
          <w:sz w:val="22"/>
          <w:szCs w:val="22"/>
        </w:rPr>
        <w:t>reorganization</w:t>
      </w:r>
      <w:r w:rsidRPr="0045419B">
        <w:rPr>
          <w:rFonts w:ascii="Avenir Next" w:hAnsi="Avenir Next" w:cs="Arial"/>
          <w:sz w:val="22"/>
          <w:szCs w:val="22"/>
        </w:rPr>
        <w:t xml:space="preserve"> of insolvent companies with debts under CAD 5 million.</w:t>
      </w:r>
    </w:p>
    <w:p w14:paraId="636E6EC2" w14:textId="77777777" w:rsidR="004D4D9F" w:rsidRPr="0045419B" w:rsidRDefault="004D4D9F" w:rsidP="00554045">
      <w:pPr>
        <w:pStyle w:val="INSOLstyle"/>
        <w:jc w:val="both"/>
      </w:pPr>
    </w:p>
    <w:p w14:paraId="1E9BE9F6" w14:textId="77777777" w:rsidR="004D4D9F" w:rsidRPr="004E37E7" w:rsidRDefault="004D4D9F" w:rsidP="00E025FA">
      <w:pPr>
        <w:pStyle w:val="Prrafodelista"/>
        <w:numPr>
          <w:ilvl w:val="0"/>
          <w:numId w:val="2"/>
        </w:numPr>
        <w:ind w:left="426"/>
        <w:jc w:val="both"/>
        <w:rPr>
          <w:rFonts w:ascii="Avenir Next" w:hAnsi="Avenir Next" w:cs="Arial"/>
          <w:iCs/>
          <w:sz w:val="22"/>
          <w:szCs w:val="22"/>
          <w:highlight w:val="yellow"/>
          <w:lang w:val="en-GB"/>
        </w:rPr>
      </w:pPr>
      <w:r w:rsidRPr="004E37E7">
        <w:rPr>
          <w:rFonts w:ascii="Avenir Next" w:hAnsi="Avenir Next" w:cs="Arial"/>
          <w:iCs/>
          <w:sz w:val="22"/>
          <w:szCs w:val="22"/>
          <w:highlight w:val="yellow"/>
          <w:lang w:val="en-GB"/>
        </w:rPr>
        <w:t>True.</w:t>
      </w:r>
    </w:p>
    <w:p w14:paraId="5E6B41E8" w14:textId="77777777" w:rsidR="004D4D9F" w:rsidRPr="0045419B" w:rsidRDefault="004D4D9F" w:rsidP="00554045">
      <w:pPr>
        <w:pStyle w:val="INSOLstyle"/>
        <w:jc w:val="both"/>
      </w:pPr>
    </w:p>
    <w:p w14:paraId="53CC3C51" w14:textId="77777777" w:rsidR="004D4D9F" w:rsidRPr="0001601D" w:rsidRDefault="004D4D9F" w:rsidP="00E025FA">
      <w:pPr>
        <w:pStyle w:val="Prrafodelista"/>
        <w:numPr>
          <w:ilvl w:val="0"/>
          <w:numId w:val="2"/>
        </w:numPr>
        <w:ind w:left="426"/>
        <w:jc w:val="both"/>
        <w:rPr>
          <w:rFonts w:ascii="Avenir Next" w:hAnsi="Avenir Next" w:cs="Arial"/>
          <w:iCs/>
          <w:sz w:val="22"/>
          <w:szCs w:val="22"/>
          <w:lang w:val="en-GB"/>
        </w:rPr>
      </w:pPr>
      <w:r w:rsidRPr="0001601D">
        <w:rPr>
          <w:rFonts w:ascii="Avenir Next" w:hAnsi="Avenir Next" w:cs="Arial"/>
          <w:iCs/>
          <w:sz w:val="22"/>
          <w:szCs w:val="22"/>
          <w:lang w:val="en-GB"/>
        </w:rPr>
        <w:t>False.</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1BBE06" w14:textId="41B66505" w:rsidR="003453EA" w:rsidRPr="0045419B" w:rsidRDefault="003453EA" w:rsidP="003453EA">
      <w:pPr>
        <w:jc w:val="both"/>
        <w:rPr>
          <w:rFonts w:ascii="Avenir Next" w:hAnsi="Avenir Next" w:cs="Arial"/>
          <w:sz w:val="22"/>
          <w:szCs w:val="22"/>
          <w:lang w:val="en-GB"/>
        </w:rPr>
      </w:pPr>
      <w:r w:rsidRPr="0045419B">
        <w:rPr>
          <w:rFonts w:ascii="Avenir Next" w:hAnsi="Avenir Next" w:cs="Arial"/>
          <w:sz w:val="22"/>
          <w:szCs w:val="22"/>
          <w:lang w:val="en-GB"/>
        </w:rPr>
        <w:t xml:space="preserve">Select the </w:t>
      </w:r>
      <w:r w:rsidRPr="003453EA">
        <w:rPr>
          <w:rFonts w:ascii="Avenir Next Demi Bold" w:hAnsi="Avenir Next Demi Bold" w:cs="Arial"/>
          <w:b/>
          <w:bCs/>
          <w:sz w:val="22"/>
          <w:szCs w:val="22"/>
          <w:u w:val="single"/>
        </w:rPr>
        <w:t>best answer</w:t>
      </w:r>
      <w:r w:rsidRPr="0045419B">
        <w:rPr>
          <w:rFonts w:ascii="Avenir Next" w:hAnsi="Avenir Next" w:cs="Arial"/>
          <w:sz w:val="22"/>
          <w:szCs w:val="22"/>
          <w:lang w:val="en-GB"/>
        </w:rPr>
        <w:t xml:space="preserve"> from the options below</w:t>
      </w:r>
      <w:r w:rsidR="00116433">
        <w:rPr>
          <w:rFonts w:ascii="Avenir Next" w:hAnsi="Avenir Next" w:cs="Arial"/>
          <w:sz w:val="22"/>
          <w:szCs w:val="22"/>
          <w:lang w:val="en-GB"/>
        </w:rPr>
        <w:t>:</w:t>
      </w:r>
    </w:p>
    <w:p w14:paraId="6C55C7AA" w14:textId="77777777" w:rsidR="003453EA" w:rsidRPr="0045419B" w:rsidRDefault="003453EA" w:rsidP="003453EA">
      <w:pPr>
        <w:pStyle w:val="INSOLstyle"/>
        <w:jc w:val="both"/>
      </w:pPr>
    </w:p>
    <w:p w14:paraId="31D9BCA5" w14:textId="044DED1C" w:rsidR="003453EA" w:rsidRPr="0045419B" w:rsidRDefault="003453EA" w:rsidP="003453EA">
      <w:pPr>
        <w:jc w:val="both"/>
        <w:rPr>
          <w:rFonts w:ascii="Avenir Next" w:hAnsi="Avenir Next" w:cs="Arial"/>
          <w:sz w:val="22"/>
          <w:szCs w:val="22"/>
          <w:lang w:val="en-GB"/>
        </w:rPr>
      </w:pPr>
      <w:r w:rsidRPr="0045419B">
        <w:rPr>
          <w:rFonts w:ascii="Avenir Next" w:hAnsi="Avenir Next" w:cs="Arial"/>
          <w:sz w:val="22"/>
          <w:szCs w:val="22"/>
          <w:lang w:val="en-GB"/>
        </w:rPr>
        <w:t xml:space="preserve">Which of the following is required to </w:t>
      </w:r>
      <w:r w:rsidRPr="00BE1AA4">
        <w:rPr>
          <w:rFonts w:ascii="Avenir Next Demi Bold" w:hAnsi="Avenir Next Demi Bold" w:cs="Arial"/>
          <w:b/>
          <w:bCs/>
          <w:sz w:val="22"/>
          <w:szCs w:val="22"/>
          <w:u w:val="single"/>
        </w:rPr>
        <w:t>establish an application</w:t>
      </w:r>
      <w:r w:rsidRPr="0045419B">
        <w:rPr>
          <w:rFonts w:ascii="Avenir Next" w:hAnsi="Avenir Next" w:cs="Arial"/>
          <w:sz w:val="22"/>
          <w:szCs w:val="22"/>
          <w:lang w:val="en-GB"/>
        </w:rPr>
        <w:t xml:space="preserve"> for an initial stay order under the CCAA</w:t>
      </w:r>
      <w:r w:rsidR="00BE1AA4">
        <w:rPr>
          <w:rFonts w:ascii="Avenir Next" w:hAnsi="Avenir Next" w:cs="Arial"/>
          <w:sz w:val="22"/>
          <w:szCs w:val="22"/>
          <w:lang w:val="en-GB"/>
        </w:rPr>
        <w:t>?</w:t>
      </w:r>
      <w:r w:rsidRPr="0045419B">
        <w:rPr>
          <w:rFonts w:ascii="Avenir Next" w:hAnsi="Avenir Next" w:cs="Arial"/>
          <w:sz w:val="22"/>
          <w:szCs w:val="22"/>
          <w:lang w:val="en-GB"/>
        </w:rPr>
        <w:t xml:space="preserve"> </w:t>
      </w:r>
    </w:p>
    <w:p w14:paraId="0926D166" w14:textId="77777777" w:rsidR="003453EA" w:rsidRPr="0045419B" w:rsidRDefault="003453EA" w:rsidP="003453EA">
      <w:pPr>
        <w:pStyle w:val="INSOLstyle"/>
        <w:jc w:val="both"/>
      </w:pPr>
    </w:p>
    <w:p w14:paraId="313BE629" w14:textId="2E5AD8E2" w:rsidR="003453EA" w:rsidRPr="0045419B" w:rsidRDefault="00BE1AA4" w:rsidP="00EF516A">
      <w:pPr>
        <w:pStyle w:val="Prrafodelista"/>
        <w:numPr>
          <w:ilvl w:val="0"/>
          <w:numId w:val="7"/>
        </w:numPr>
        <w:jc w:val="both"/>
        <w:rPr>
          <w:rFonts w:ascii="Avenir Next" w:hAnsi="Avenir Next" w:cs="Arial"/>
          <w:sz w:val="22"/>
          <w:szCs w:val="22"/>
        </w:rPr>
      </w:pPr>
      <w:r>
        <w:rPr>
          <w:rFonts w:ascii="Avenir Next" w:hAnsi="Avenir Next" w:cs="Arial"/>
          <w:sz w:val="22"/>
          <w:szCs w:val="22"/>
        </w:rPr>
        <w:t>A</w:t>
      </w:r>
      <w:r w:rsidR="003453EA" w:rsidRPr="0045419B">
        <w:rPr>
          <w:rFonts w:ascii="Avenir Next" w:hAnsi="Avenir Next" w:cs="Arial"/>
          <w:sz w:val="22"/>
          <w:szCs w:val="22"/>
        </w:rPr>
        <w:t xml:space="preserve"> statement indicating the projected cash flow of the debtor company</w:t>
      </w:r>
      <w:r w:rsidR="003453EA">
        <w:rPr>
          <w:rFonts w:ascii="Avenir Next" w:hAnsi="Avenir Next" w:cs="Arial"/>
          <w:sz w:val="22"/>
          <w:szCs w:val="22"/>
        </w:rPr>
        <w:t>.</w:t>
      </w:r>
      <w:r w:rsidR="003453EA" w:rsidRPr="0045419B">
        <w:rPr>
          <w:rFonts w:ascii="Avenir Next" w:hAnsi="Avenir Next" w:cs="Arial"/>
          <w:sz w:val="22"/>
          <w:szCs w:val="22"/>
        </w:rPr>
        <w:t xml:space="preserve"> </w:t>
      </w:r>
    </w:p>
    <w:p w14:paraId="61F97DE5" w14:textId="77777777" w:rsidR="003453EA" w:rsidRPr="0045419B" w:rsidRDefault="003453EA" w:rsidP="00EF516A">
      <w:pPr>
        <w:pStyle w:val="INSOLstyle"/>
        <w:ind w:left="360"/>
        <w:jc w:val="both"/>
      </w:pPr>
    </w:p>
    <w:p w14:paraId="3B5FB393" w14:textId="07A0B36D" w:rsidR="003453EA" w:rsidRPr="0045419B" w:rsidRDefault="00BE1AA4" w:rsidP="00EF516A">
      <w:pPr>
        <w:pStyle w:val="Prrafodelista"/>
        <w:numPr>
          <w:ilvl w:val="0"/>
          <w:numId w:val="7"/>
        </w:numPr>
        <w:jc w:val="both"/>
        <w:rPr>
          <w:rFonts w:ascii="Avenir Next" w:hAnsi="Avenir Next" w:cs="Arial"/>
          <w:sz w:val="22"/>
          <w:szCs w:val="22"/>
        </w:rPr>
      </w:pPr>
      <w:r>
        <w:rPr>
          <w:rFonts w:ascii="Avenir Next" w:hAnsi="Avenir Next" w:cs="Arial"/>
          <w:sz w:val="22"/>
          <w:szCs w:val="22"/>
        </w:rPr>
        <w:t>R</w:t>
      </w:r>
      <w:r w:rsidR="003453EA" w:rsidRPr="0045419B">
        <w:rPr>
          <w:rFonts w:ascii="Avenir Next" w:hAnsi="Avenir Next" w:cs="Arial"/>
          <w:sz w:val="22"/>
          <w:szCs w:val="22"/>
        </w:rPr>
        <w:t>epresentations of the debtor regarding the preparation of cash-flow projections</w:t>
      </w:r>
      <w:r w:rsidR="003453EA">
        <w:rPr>
          <w:rFonts w:ascii="Avenir Next" w:hAnsi="Avenir Next" w:cs="Arial"/>
          <w:sz w:val="22"/>
          <w:szCs w:val="22"/>
        </w:rPr>
        <w:t>.</w:t>
      </w:r>
    </w:p>
    <w:p w14:paraId="6178F221" w14:textId="77777777" w:rsidR="003453EA" w:rsidRPr="00B84C77" w:rsidRDefault="003453EA" w:rsidP="00EF516A">
      <w:pPr>
        <w:pStyle w:val="INSOLstyle"/>
        <w:ind w:left="360"/>
        <w:jc w:val="both"/>
        <w:rPr>
          <w:lang w:val="en-US"/>
        </w:rPr>
      </w:pPr>
    </w:p>
    <w:p w14:paraId="77EDD31F" w14:textId="77777777" w:rsidR="003453EA" w:rsidRPr="0045419B" w:rsidRDefault="003453EA" w:rsidP="00EF516A">
      <w:pPr>
        <w:pStyle w:val="Prrafodelista"/>
        <w:numPr>
          <w:ilvl w:val="0"/>
          <w:numId w:val="7"/>
        </w:numPr>
        <w:jc w:val="both"/>
        <w:rPr>
          <w:rFonts w:ascii="Avenir Next" w:hAnsi="Avenir Next" w:cs="Arial"/>
          <w:sz w:val="22"/>
          <w:szCs w:val="22"/>
        </w:rPr>
      </w:pPr>
      <w:r w:rsidRPr="0045419B">
        <w:rPr>
          <w:rFonts w:ascii="Avenir Next" w:hAnsi="Avenir Next" w:cs="Arial"/>
          <w:sz w:val="22"/>
          <w:szCs w:val="22"/>
        </w:rPr>
        <w:t>A report containing information about the debtor and its operations</w:t>
      </w:r>
      <w:r>
        <w:rPr>
          <w:rFonts w:ascii="Avenir Next" w:hAnsi="Avenir Next" w:cs="Arial"/>
          <w:sz w:val="22"/>
          <w:szCs w:val="22"/>
        </w:rPr>
        <w:t>.</w:t>
      </w:r>
      <w:r w:rsidRPr="0045419B">
        <w:rPr>
          <w:rFonts w:ascii="Avenir Next" w:hAnsi="Avenir Next" w:cs="Arial"/>
          <w:sz w:val="22"/>
          <w:szCs w:val="22"/>
        </w:rPr>
        <w:t xml:space="preserve"> </w:t>
      </w:r>
    </w:p>
    <w:p w14:paraId="79C9451E" w14:textId="77777777" w:rsidR="003453EA" w:rsidRPr="0045419B" w:rsidRDefault="003453EA" w:rsidP="00EF516A">
      <w:pPr>
        <w:pStyle w:val="INSOLstyle"/>
        <w:ind w:left="360"/>
        <w:jc w:val="both"/>
      </w:pPr>
    </w:p>
    <w:p w14:paraId="396D8FA7" w14:textId="73DDA835" w:rsidR="003453EA" w:rsidRPr="0045419B" w:rsidRDefault="00BE1AA4" w:rsidP="00EF516A">
      <w:pPr>
        <w:pStyle w:val="Prrafodelista"/>
        <w:numPr>
          <w:ilvl w:val="0"/>
          <w:numId w:val="7"/>
        </w:numPr>
        <w:jc w:val="both"/>
        <w:rPr>
          <w:rFonts w:ascii="Avenir Next" w:hAnsi="Avenir Next" w:cs="Arial"/>
          <w:sz w:val="22"/>
          <w:szCs w:val="22"/>
        </w:rPr>
      </w:pPr>
      <w:r>
        <w:rPr>
          <w:rFonts w:ascii="Avenir Next" w:hAnsi="Avenir Next" w:cs="Arial"/>
          <w:sz w:val="22"/>
          <w:szCs w:val="22"/>
        </w:rPr>
        <w:t>C</w:t>
      </w:r>
      <w:r w:rsidR="003453EA" w:rsidRPr="0045419B">
        <w:rPr>
          <w:rFonts w:ascii="Avenir Next" w:hAnsi="Avenir Next" w:cs="Arial"/>
          <w:sz w:val="22"/>
          <w:szCs w:val="22"/>
        </w:rPr>
        <w:t>opies of the financial statements from the previous year</w:t>
      </w:r>
      <w:r w:rsidR="003453EA">
        <w:rPr>
          <w:rFonts w:ascii="Avenir Next" w:hAnsi="Avenir Next" w:cs="Arial"/>
          <w:sz w:val="22"/>
          <w:szCs w:val="22"/>
        </w:rPr>
        <w:t>.</w:t>
      </w:r>
    </w:p>
    <w:p w14:paraId="3B2CC7F8" w14:textId="77777777" w:rsidR="003453EA" w:rsidRPr="0045419B" w:rsidRDefault="003453EA" w:rsidP="00EF516A">
      <w:pPr>
        <w:pStyle w:val="INSOLstyle"/>
        <w:ind w:left="360"/>
        <w:jc w:val="both"/>
      </w:pPr>
    </w:p>
    <w:p w14:paraId="400047D1" w14:textId="72313DB4" w:rsidR="003453EA" w:rsidRPr="0045419B" w:rsidRDefault="00BE1AA4" w:rsidP="00EF516A">
      <w:pPr>
        <w:pStyle w:val="Prrafodelista"/>
        <w:numPr>
          <w:ilvl w:val="0"/>
          <w:numId w:val="7"/>
        </w:numPr>
        <w:jc w:val="both"/>
        <w:rPr>
          <w:rFonts w:ascii="Avenir Next" w:hAnsi="Avenir Next" w:cs="Arial"/>
          <w:sz w:val="22"/>
          <w:szCs w:val="22"/>
        </w:rPr>
      </w:pPr>
      <w:r>
        <w:rPr>
          <w:rFonts w:ascii="Avenir Next" w:hAnsi="Avenir Next" w:cs="Arial"/>
          <w:sz w:val="22"/>
          <w:szCs w:val="22"/>
          <w:lang w:val="en-GB"/>
        </w:rPr>
        <w:t xml:space="preserve">Options </w:t>
      </w:r>
      <w:r w:rsidR="003453EA" w:rsidRPr="0045419B">
        <w:rPr>
          <w:rFonts w:ascii="Avenir Next" w:hAnsi="Avenir Next" w:cs="Arial"/>
          <w:sz w:val="22"/>
          <w:szCs w:val="22"/>
        </w:rPr>
        <w:t>(a), (c) and (d).</w:t>
      </w:r>
    </w:p>
    <w:p w14:paraId="65CFE4C8" w14:textId="77777777" w:rsidR="003453EA" w:rsidRPr="0045419B" w:rsidRDefault="003453EA" w:rsidP="00EF516A">
      <w:pPr>
        <w:pStyle w:val="INSOLstyle"/>
        <w:ind w:left="360"/>
        <w:jc w:val="both"/>
      </w:pPr>
      <w:r w:rsidRPr="0045419B">
        <w:t xml:space="preserve"> </w:t>
      </w:r>
    </w:p>
    <w:p w14:paraId="7388ADE9" w14:textId="6C5C9E08" w:rsidR="003453EA" w:rsidRPr="004E37E7" w:rsidRDefault="00BE1AA4" w:rsidP="00EF516A">
      <w:pPr>
        <w:pStyle w:val="Prrafodelista"/>
        <w:numPr>
          <w:ilvl w:val="0"/>
          <w:numId w:val="7"/>
        </w:numPr>
        <w:jc w:val="both"/>
        <w:rPr>
          <w:rFonts w:ascii="Avenir Next" w:hAnsi="Avenir Next" w:cs="Arial"/>
          <w:sz w:val="22"/>
          <w:szCs w:val="22"/>
          <w:highlight w:val="yellow"/>
        </w:rPr>
      </w:pPr>
      <w:proofErr w:type="gramStart"/>
      <w:r w:rsidRPr="004E37E7">
        <w:rPr>
          <w:rFonts w:ascii="Avenir Next" w:hAnsi="Avenir Next" w:cs="Arial"/>
          <w:sz w:val="22"/>
          <w:szCs w:val="22"/>
          <w:highlight w:val="yellow"/>
        </w:rPr>
        <w:t>A</w:t>
      </w:r>
      <w:r w:rsidR="003453EA" w:rsidRPr="004E37E7">
        <w:rPr>
          <w:rFonts w:ascii="Avenir Next" w:hAnsi="Avenir Next" w:cs="Arial"/>
          <w:sz w:val="22"/>
          <w:szCs w:val="22"/>
          <w:highlight w:val="yellow"/>
        </w:rPr>
        <w:t>ll of</w:t>
      </w:r>
      <w:proofErr w:type="gramEnd"/>
      <w:r w:rsidR="003453EA" w:rsidRPr="004E37E7">
        <w:rPr>
          <w:rFonts w:ascii="Avenir Next" w:hAnsi="Avenir Next" w:cs="Arial"/>
          <w:sz w:val="22"/>
          <w:szCs w:val="22"/>
          <w:highlight w:val="yellow"/>
        </w:rPr>
        <w:t xml:space="preserve"> the above. </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A5332">
      <w:pPr>
        <w:jc w:val="both"/>
        <w:rPr>
          <w:rFonts w:ascii="Avenir Next" w:hAnsi="Avenir Next" w:cs="Arial"/>
          <w:sz w:val="22"/>
          <w:szCs w:val="22"/>
        </w:rPr>
      </w:pPr>
    </w:p>
    <w:p w14:paraId="6978DEBF" w14:textId="5FAF4E79" w:rsidR="00FA5332" w:rsidRPr="0045419B" w:rsidRDefault="00FA5332" w:rsidP="00FA5332">
      <w:pPr>
        <w:jc w:val="both"/>
        <w:rPr>
          <w:rFonts w:ascii="Avenir Next" w:hAnsi="Avenir Next" w:cs="Arial"/>
          <w:sz w:val="22"/>
          <w:szCs w:val="22"/>
          <w:lang w:val="en-GB"/>
        </w:rPr>
      </w:pPr>
      <w:r w:rsidRPr="0045419B">
        <w:rPr>
          <w:rFonts w:ascii="Avenir Next" w:hAnsi="Avenir Next" w:cs="Arial"/>
          <w:sz w:val="22"/>
          <w:szCs w:val="22"/>
          <w:lang w:val="en-GB"/>
        </w:rPr>
        <w:t xml:space="preserve">Select the </w:t>
      </w:r>
      <w:r w:rsidRPr="00DC2FF3">
        <w:rPr>
          <w:rFonts w:ascii="Avenir Next Demi Bold" w:hAnsi="Avenir Next Demi Bold" w:cs="Arial"/>
          <w:b/>
          <w:bCs/>
          <w:sz w:val="22"/>
          <w:szCs w:val="22"/>
          <w:u w:val="single"/>
        </w:rPr>
        <w:t>best answer</w:t>
      </w:r>
      <w:r w:rsidRPr="0045419B">
        <w:rPr>
          <w:rFonts w:ascii="Avenir Next" w:hAnsi="Avenir Next" w:cs="Arial"/>
          <w:sz w:val="22"/>
          <w:szCs w:val="22"/>
          <w:lang w:val="en-GB"/>
        </w:rPr>
        <w:t xml:space="preserve"> from the options below</w:t>
      </w:r>
      <w:r w:rsidR="00DC2FF3">
        <w:rPr>
          <w:rFonts w:ascii="Avenir Next" w:hAnsi="Avenir Next" w:cs="Arial"/>
          <w:sz w:val="22"/>
          <w:szCs w:val="22"/>
          <w:lang w:val="en-GB"/>
        </w:rPr>
        <w:t>:</w:t>
      </w:r>
    </w:p>
    <w:p w14:paraId="5D06231F" w14:textId="77777777" w:rsidR="00FA5332" w:rsidRPr="0045419B" w:rsidRDefault="00FA5332" w:rsidP="00FA5332">
      <w:pPr>
        <w:pStyle w:val="INSOLstyle"/>
        <w:jc w:val="both"/>
      </w:pPr>
    </w:p>
    <w:p w14:paraId="35A54A33" w14:textId="5739D85F" w:rsidR="00DC2FF3" w:rsidRDefault="00FA5332" w:rsidP="00FA5332">
      <w:pPr>
        <w:jc w:val="both"/>
        <w:rPr>
          <w:rFonts w:ascii="Avenir Next" w:hAnsi="Avenir Next" w:cs="Arial"/>
          <w:sz w:val="22"/>
          <w:szCs w:val="22"/>
          <w:lang w:val="en-GB"/>
        </w:rPr>
      </w:pPr>
      <w:r w:rsidRPr="00F57A5D">
        <w:rPr>
          <w:rFonts w:ascii="Avenir Next" w:hAnsi="Avenir Next" w:cs="Arial"/>
          <w:sz w:val="22"/>
          <w:szCs w:val="22"/>
          <w:lang w:val="en-GB"/>
        </w:rPr>
        <w:t>In CCAA proceedings, the minim</w:t>
      </w:r>
      <w:r>
        <w:rPr>
          <w:rFonts w:ascii="Avenir Next" w:hAnsi="Avenir Next" w:cs="Arial"/>
          <w:sz w:val="22"/>
          <w:szCs w:val="22"/>
          <w:lang w:val="en-GB"/>
        </w:rPr>
        <w:t>um powers of the Monitor include</w:t>
      </w:r>
      <w:r w:rsidR="00DC2FF3">
        <w:rPr>
          <w:rFonts w:ascii="Avenir Next" w:hAnsi="Avenir Next" w:cs="Arial"/>
          <w:sz w:val="22"/>
          <w:szCs w:val="22"/>
          <w:lang w:val="en-GB"/>
        </w:rPr>
        <w:t xml:space="preserve"> – </w:t>
      </w:r>
    </w:p>
    <w:p w14:paraId="394465BA" w14:textId="4D991E35" w:rsidR="00FA5332" w:rsidRPr="0045419B" w:rsidRDefault="00FA5332" w:rsidP="00FA5332">
      <w:pPr>
        <w:jc w:val="both"/>
        <w:rPr>
          <w:rFonts w:ascii="Avenir Next" w:hAnsi="Avenir Next" w:cs="Arial"/>
          <w:sz w:val="22"/>
          <w:szCs w:val="22"/>
          <w:lang w:val="en-GB"/>
        </w:rPr>
      </w:pPr>
      <w:r w:rsidRPr="00F57A5D">
        <w:rPr>
          <w:rFonts w:ascii="Avenir Next" w:hAnsi="Avenir Next" w:cs="Arial"/>
          <w:sz w:val="22"/>
          <w:szCs w:val="22"/>
          <w:lang w:val="en-GB"/>
        </w:rPr>
        <w:t xml:space="preserve"> </w:t>
      </w:r>
    </w:p>
    <w:p w14:paraId="0FFF7248" w14:textId="77777777" w:rsidR="00FA5332" w:rsidRPr="0045419B" w:rsidRDefault="00FA5332" w:rsidP="00BB56E2">
      <w:pPr>
        <w:pStyle w:val="Prrafodelista"/>
        <w:numPr>
          <w:ilvl w:val="0"/>
          <w:numId w:val="9"/>
        </w:numPr>
        <w:ind w:left="360"/>
        <w:jc w:val="both"/>
        <w:rPr>
          <w:rFonts w:ascii="Avenir Next" w:hAnsi="Avenir Next" w:cs="Arial"/>
          <w:sz w:val="22"/>
          <w:szCs w:val="22"/>
          <w:lang w:val="en-GB"/>
        </w:rPr>
      </w:pPr>
      <w:r w:rsidRPr="0045419B">
        <w:rPr>
          <w:rFonts w:ascii="Avenir Next" w:hAnsi="Avenir Next" w:cs="Arial"/>
          <w:sz w:val="22"/>
          <w:szCs w:val="22"/>
        </w:rPr>
        <w:t>overseeing the steps taken by the company while in CCAA proceedings as an officer of the court and on behalf of all stakeholders</w:t>
      </w:r>
      <w:r>
        <w:rPr>
          <w:rFonts w:ascii="Avenir Next" w:hAnsi="Avenir Next" w:cs="Arial"/>
          <w:sz w:val="22"/>
          <w:szCs w:val="22"/>
          <w:lang w:val="en-GB"/>
        </w:rPr>
        <w:t>.</w:t>
      </w:r>
    </w:p>
    <w:p w14:paraId="55CFE23C" w14:textId="77777777" w:rsidR="00FA5332" w:rsidRPr="0045419B" w:rsidRDefault="00FA5332" w:rsidP="00BB56E2">
      <w:pPr>
        <w:pStyle w:val="INSOLstyle"/>
        <w:ind w:hanging="360"/>
        <w:jc w:val="both"/>
      </w:pPr>
    </w:p>
    <w:p w14:paraId="23270CD6" w14:textId="77777777" w:rsidR="00FA5332" w:rsidRPr="0045419B" w:rsidRDefault="00FA5332" w:rsidP="00BB56E2">
      <w:pPr>
        <w:pStyle w:val="Prrafodelista"/>
        <w:numPr>
          <w:ilvl w:val="0"/>
          <w:numId w:val="9"/>
        </w:numPr>
        <w:ind w:left="360"/>
        <w:jc w:val="both"/>
        <w:rPr>
          <w:rFonts w:ascii="Avenir Next" w:hAnsi="Avenir Next" w:cs="Arial"/>
          <w:sz w:val="22"/>
          <w:szCs w:val="22"/>
        </w:rPr>
      </w:pPr>
      <w:r w:rsidRPr="0045419B">
        <w:rPr>
          <w:rFonts w:ascii="Avenir Next" w:hAnsi="Avenir Next" w:cs="Arial"/>
          <w:sz w:val="22"/>
          <w:szCs w:val="22"/>
          <w:lang w:val="en-GB"/>
        </w:rPr>
        <w:t>a</w:t>
      </w:r>
      <w:proofErr w:type="spellStart"/>
      <w:r w:rsidRPr="0045419B">
        <w:rPr>
          <w:rFonts w:ascii="Avenir Next" w:hAnsi="Avenir Next" w:cs="Arial"/>
          <w:sz w:val="22"/>
          <w:szCs w:val="22"/>
        </w:rPr>
        <w:t>ssisting</w:t>
      </w:r>
      <w:proofErr w:type="spellEnd"/>
      <w:r w:rsidRPr="0045419B">
        <w:rPr>
          <w:rFonts w:ascii="Avenir Next" w:hAnsi="Avenir Next" w:cs="Arial"/>
          <w:sz w:val="22"/>
          <w:szCs w:val="22"/>
        </w:rPr>
        <w:t xml:space="preserve"> with the preparation of the cash-flow statements as well as the negotiation of the plan between the company and its stakeholders</w:t>
      </w:r>
      <w:r>
        <w:rPr>
          <w:rFonts w:ascii="Avenir Next" w:hAnsi="Avenir Next" w:cs="Arial"/>
          <w:sz w:val="22"/>
          <w:szCs w:val="22"/>
        </w:rPr>
        <w:t>.</w:t>
      </w:r>
    </w:p>
    <w:p w14:paraId="2C243CF1" w14:textId="77777777" w:rsidR="00FA5332" w:rsidRPr="00B84C77" w:rsidRDefault="00FA5332" w:rsidP="00BB56E2">
      <w:pPr>
        <w:pStyle w:val="INSOLstyle"/>
        <w:ind w:hanging="360"/>
        <w:jc w:val="both"/>
        <w:rPr>
          <w:lang w:val="en-US"/>
        </w:rPr>
      </w:pPr>
    </w:p>
    <w:p w14:paraId="0542C32B" w14:textId="77777777" w:rsidR="00FA5332" w:rsidRPr="0045419B" w:rsidRDefault="00FA5332" w:rsidP="00BB56E2">
      <w:pPr>
        <w:pStyle w:val="Prrafodelista"/>
        <w:numPr>
          <w:ilvl w:val="0"/>
          <w:numId w:val="9"/>
        </w:numPr>
        <w:ind w:left="360"/>
        <w:jc w:val="both"/>
        <w:rPr>
          <w:rFonts w:ascii="Avenir Next" w:hAnsi="Avenir Next" w:cs="Arial"/>
          <w:bCs/>
          <w:sz w:val="22"/>
          <w:szCs w:val="22"/>
          <w:lang w:val="en-GB"/>
        </w:rPr>
      </w:pPr>
      <w:r w:rsidRPr="0045419B">
        <w:rPr>
          <w:rFonts w:ascii="Avenir Next" w:hAnsi="Avenir Next" w:cs="Arial"/>
          <w:sz w:val="22"/>
          <w:szCs w:val="22"/>
        </w:rPr>
        <w:t>engaging in litigation on behalf of the debtor company</w:t>
      </w:r>
      <w:r>
        <w:rPr>
          <w:rFonts w:ascii="Avenir Next" w:hAnsi="Avenir Next" w:cs="Arial"/>
          <w:sz w:val="22"/>
          <w:szCs w:val="22"/>
          <w:lang w:val="en-GB"/>
        </w:rPr>
        <w:t>.</w:t>
      </w:r>
      <w:r w:rsidRPr="0045419B">
        <w:rPr>
          <w:rFonts w:ascii="Avenir Next" w:hAnsi="Avenir Next" w:cs="Arial"/>
          <w:sz w:val="22"/>
          <w:szCs w:val="22"/>
          <w:lang w:val="en-GB"/>
        </w:rPr>
        <w:t xml:space="preserve"> </w:t>
      </w:r>
    </w:p>
    <w:p w14:paraId="6D460563" w14:textId="77777777" w:rsidR="00FA5332" w:rsidRPr="0045419B" w:rsidRDefault="00FA5332" w:rsidP="00BB56E2">
      <w:pPr>
        <w:pStyle w:val="INSOLstyle"/>
        <w:ind w:hanging="360"/>
        <w:jc w:val="both"/>
      </w:pPr>
    </w:p>
    <w:p w14:paraId="32498CB8" w14:textId="77777777" w:rsidR="00FA5332" w:rsidRPr="0045419B" w:rsidRDefault="00FA5332" w:rsidP="00BB56E2">
      <w:pPr>
        <w:pStyle w:val="Prrafodelista"/>
        <w:numPr>
          <w:ilvl w:val="0"/>
          <w:numId w:val="9"/>
        </w:numPr>
        <w:ind w:left="360"/>
        <w:jc w:val="both"/>
        <w:rPr>
          <w:rFonts w:ascii="Avenir Next" w:hAnsi="Avenir Next" w:cs="Arial"/>
          <w:sz w:val="22"/>
          <w:szCs w:val="22"/>
        </w:rPr>
      </w:pPr>
      <w:r>
        <w:rPr>
          <w:rFonts w:ascii="Avenir Next" w:hAnsi="Avenir Next" w:cs="Arial"/>
          <w:sz w:val="22"/>
          <w:szCs w:val="22"/>
        </w:rPr>
        <w:t>f</w:t>
      </w:r>
      <w:r w:rsidRPr="0045419B">
        <w:rPr>
          <w:rFonts w:ascii="Avenir Next" w:hAnsi="Avenir Next" w:cs="Arial"/>
          <w:sz w:val="22"/>
          <w:szCs w:val="22"/>
        </w:rPr>
        <w:t>iling periodic reports with the court and creditors</w:t>
      </w:r>
      <w:r>
        <w:rPr>
          <w:rFonts w:ascii="Avenir Next" w:hAnsi="Avenir Next" w:cs="Arial"/>
          <w:sz w:val="22"/>
          <w:szCs w:val="22"/>
        </w:rPr>
        <w:t>.</w:t>
      </w:r>
    </w:p>
    <w:p w14:paraId="4AA83C18" w14:textId="77777777" w:rsidR="00FA5332" w:rsidRPr="0045419B" w:rsidRDefault="00FA5332" w:rsidP="00BB56E2">
      <w:pPr>
        <w:pStyle w:val="INSOLstyle"/>
        <w:ind w:hanging="360"/>
        <w:jc w:val="both"/>
      </w:pPr>
    </w:p>
    <w:p w14:paraId="331648F9" w14:textId="21D0A47F" w:rsidR="00FA5332" w:rsidRPr="004E37E7" w:rsidRDefault="002C49AA" w:rsidP="00BB56E2">
      <w:pPr>
        <w:pStyle w:val="Prrafodelista"/>
        <w:numPr>
          <w:ilvl w:val="0"/>
          <w:numId w:val="9"/>
        </w:numPr>
        <w:ind w:left="360"/>
        <w:jc w:val="both"/>
        <w:rPr>
          <w:rFonts w:ascii="Avenir Next" w:hAnsi="Avenir Next" w:cs="Arial"/>
          <w:sz w:val="22"/>
          <w:szCs w:val="22"/>
          <w:highlight w:val="yellow"/>
        </w:rPr>
      </w:pPr>
      <w:r w:rsidRPr="004E37E7">
        <w:rPr>
          <w:rFonts w:ascii="Avenir Next" w:hAnsi="Avenir Next" w:cs="Arial"/>
          <w:sz w:val="22"/>
          <w:szCs w:val="22"/>
          <w:highlight w:val="yellow"/>
        </w:rPr>
        <w:t xml:space="preserve">Options </w:t>
      </w:r>
      <w:r w:rsidR="00FA5332" w:rsidRPr="004E37E7">
        <w:rPr>
          <w:rFonts w:ascii="Avenir Next" w:hAnsi="Avenir Next" w:cs="Arial"/>
          <w:sz w:val="22"/>
          <w:szCs w:val="22"/>
          <w:highlight w:val="yellow"/>
        </w:rPr>
        <w:t>(a), (b) and (d).</w:t>
      </w:r>
    </w:p>
    <w:p w14:paraId="78FA53A4" w14:textId="77777777" w:rsidR="00FA5332" w:rsidRPr="0045419B" w:rsidRDefault="00FA5332" w:rsidP="00BB56E2">
      <w:pPr>
        <w:pStyle w:val="INSOLstyle"/>
        <w:ind w:hanging="360"/>
        <w:jc w:val="both"/>
      </w:pPr>
    </w:p>
    <w:p w14:paraId="3667BCF4" w14:textId="4A1737BD" w:rsidR="00FA5332" w:rsidRDefault="002C49AA" w:rsidP="00BB56E2">
      <w:pPr>
        <w:pStyle w:val="Prrafodelista"/>
        <w:numPr>
          <w:ilvl w:val="0"/>
          <w:numId w:val="9"/>
        </w:numPr>
        <w:ind w:left="360"/>
        <w:jc w:val="both"/>
        <w:rPr>
          <w:rFonts w:ascii="Avenir Next" w:hAnsi="Avenir Next" w:cs="Arial"/>
          <w:sz w:val="22"/>
          <w:szCs w:val="22"/>
        </w:rPr>
      </w:pPr>
      <w:proofErr w:type="gramStart"/>
      <w:r>
        <w:rPr>
          <w:rFonts w:ascii="Avenir Next" w:hAnsi="Avenir Next" w:cs="Arial"/>
          <w:sz w:val="22"/>
          <w:szCs w:val="22"/>
        </w:rPr>
        <w:t>A</w:t>
      </w:r>
      <w:r w:rsidR="00FA5332" w:rsidRPr="0045419B">
        <w:rPr>
          <w:rFonts w:ascii="Avenir Next" w:hAnsi="Avenir Next" w:cs="Arial"/>
          <w:sz w:val="22"/>
          <w:szCs w:val="22"/>
        </w:rPr>
        <w:t>ll of</w:t>
      </w:r>
      <w:proofErr w:type="gramEnd"/>
      <w:r w:rsidR="00FA5332" w:rsidRPr="0045419B">
        <w:rPr>
          <w:rFonts w:ascii="Avenir Next" w:hAnsi="Avenir Next" w:cs="Arial"/>
          <w:sz w:val="22"/>
          <w:szCs w:val="22"/>
        </w:rPr>
        <w:t xml:space="preserve"> the above. </w:t>
      </w:r>
    </w:p>
    <w:p w14:paraId="77C235BC" w14:textId="0013D14D" w:rsidR="004D16A3" w:rsidRDefault="004D16A3" w:rsidP="004D16A3">
      <w:pPr>
        <w:jc w:val="both"/>
        <w:rPr>
          <w:rFonts w:ascii="Avenir Next" w:hAnsi="Avenir Next" w:cs="Arial"/>
          <w:sz w:val="22"/>
          <w:szCs w:val="22"/>
        </w:rPr>
      </w:pPr>
    </w:p>
    <w:p w14:paraId="135119AB" w14:textId="77777777" w:rsidR="004D16A3" w:rsidRPr="004D16A3" w:rsidRDefault="004D16A3" w:rsidP="004D16A3">
      <w:pPr>
        <w:jc w:val="both"/>
        <w:rPr>
          <w:rFonts w:ascii="Avenir Next" w:hAnsi="Avenir Next" w:cs="Arial"/>
          <w:sz w:val="22"/>
          <w:szCs w:val="22"/>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281873">
      <w:pPr>
        <w:jc w:val="both"/>
        <w:rPr>
          <w:rFonts w:ascii="Avenir Next" w:hAnsi="Avenir Next" w:cs="Arial"/>
          <w:sz w:val="22"/>
          <w:szCs w:val="22"/>
        </w:rPr>
      </w:pPr>
    </w:p>
    <w:p w14:paraId="6118834E" w14:textId="524C1E1C" w:rsidR="00281873" w:rsidRPr="0045419B" w:rsidRDefault="00281873" w:rsidP="00281873">
      <w:pPr>
        <w:jc w:val="both"/>
        <w:rPr>
          <w:rFonts w:ascii="Avenir Next" w:hAnsi="Avenir Next" w:cs="Arial"/>
          <w:sz w:val="22"/>
          <w:szCs w:val="22"/>
          <w:lang w:val="en-GB"/>
        </w:rPr>
      </w:pPr>
      <w:r w:rsidRPr="0045419B">
        <w:rPr>
          <w:rFonts w:ascii="Avenir Next" w:hAnsi="Avenir Next" w:cs="Arial"/>
          <w:sz w:val="22"/>
          <w:szCs w:val="22"/>
          <w:lang w:val="en-GB"/>
        </w:rPr>
        <w:t xml:space="preserve">Indicate the </w:t>
      </w:r>
      <w:r w:rsidRPr="00281873">
        <w:rPr>
          <w:rFonts w:ascii="Avenir Next Demi Bold" w:hAnsi="Avenir Next Demi Bold" w:cs="Arial"/>
          <w:b/>
          <w:bCs/>
          <w:sz w:val="22"/>
          <w:szCs w:val="22"/>
          <w:u w:val="single"/>
        </w:rPr>
        <w:t>correct</w:t>
      </w:r>
      <w:r>
        <w:rPr>
          <w:rFonts w:ascii="Avenir Next" w:hAnsi="Avenir Next" w:cs="Arial"/>
          <w:sz w:val="22"/>
          <w:szCs w:val="22"/>
          <w:lang w:val="en-GB"/>
        </w:rPr>
        <w:t xml:space="preserve"> answer:</w:t>
      </w:r>
    </w:p>
    <w:p w14:paraId="04724179" w14:textId="77777777" w:rsidR="00281873" w:rsidRPr="0045419B" w:rsidRDefault="00281873" w:rsidP="00281873">
      <w:pPr>
        <w:pStyle w:val="INSOLstyle"/>
        <w:jc w:val="both"/>
      </w:pPr>
    </w:p>
    <w:p w14:paraId="2E467548" w14:textId="5BDEB231" w:rsidR="00281873" w:rsidRDefault="00281873" w:rsidP="00281873">
      <w:pPr>
        <w:jc w:val="both"/>
        <w:rPr>
          <w:rFonts w:ascii="Avenir Next" w:hAnsi="Avenir Next" w:cs="Arial"/>
          <w:sz w:val="22"/>
          <w:szCs w:val="22"/>
          <w:lang w:val="en-GB"/>
        </w:rPr>
      </w:pPr>
      <w:r w:rsidRPr="0045419B">
        <w:rPr>
          <w:rFonts w:ascii="Avenir Next" w:hAnsi="Avenir Next" w:cs="Arial"/>
          <w:sz w:val="22"/>
          <w:szCs w:val="22"/>
          <w:lang w:val="en-GB"/>
        </w:rPr>
        <w:t xml:space="preserve">Under Canadian law, when a company enters the </w:t>
      </w:r>
      <w:r w:rsidRPr="00F30488">
        <w:rPr>
          <w:rFonts w:ascii="Avenir Next Demi Bold" w:hAnsi="Avenir Next Demi Bold" w:cs="Arial"/>
          <w:b/>
          <w:bCs/>
          <w:sz w:val="22"/>
          <w:szCs w:val="22"/>
          <w:u w:val="single"/>
        </w:rPr>
        <w:t>“zone of insolvency”</w:t>
      </w:r>
      <w:r w:rsidRPr="0045419B">
        <w:rPr>
          <w:rFonts w:ascii="Avenir Next" w:hAnsi="Avenir Next" w:cs="Arial"/>
          <w:sz w:val="22"/>
          <w:szCs w:val="22"/>
          <w:lang w:val="en-GB"/>
        </w:rPr>
        <w:t>, the directors of a company</w:t>
      </w:r>
      <w:r>
        <w:rPr>
          <w:rFonts w:ascii="Avenir Next" w:hAnsi="Avenir Next" w:cs="Arial"/>
          <w:sz w:val="22"/>
          <w:szCs w:val="22"/>
          <w:lang w:val="en-GB"/>
        </w:rPr>
        <w:t xml:space="preserve"> – </w:t>
      </w:r>
    </w:p>
    <w:p w14:paraId="600E1914" w14:textId="77777777" w:rsidR="00281873" w:rsidRPr="0045419B" w:rsidRDefault="00281873" w:rsidP="00281873">
      <w:pPr>
        <w:pStyle w:val="INSOLstyle"/>
        <w:ind w:left="0" w:firstLine="0"/>
        <w:jc w:val="both"/>
      </w:pPr>
    </w:p>
    <w:p w14:paraId="17E510E0" w14:textId="77777777" w:rsidR="00281873" w:rsidRPr="004E37E7" w:rsidRDefault="00281873" w:rsidP="00EF516A">
      <w:pPr>
        <w:pStyle w:val="Prrafodelista"/>
        <w:numPr>
          <w:ilvl w:val="0"/>
          <w:numId w:val="1"/>
        </w:numPr>
        <w:ind w:left="426"/>
        <w:jc w:val="both"/>
        <w:rPr>
          <w:rFonts w:ascii="Avenir Next" w:hAnsi="Avenir Next" w:cs="Arial"/>
          <w:sz w:val="22"/>
          <w:szCs w:val="22"/>
          <w:highlight w:val="yellow"/>
          <w:lang w:val="en-GB"/>
        </w:rPr>
      </w:pPr>
      <w:r w:rsidRPr="004E37E7">
        <w:rPr>
          <w:rFonts w:ascii="Avenir Next" w:hAnsi="Avenir Next" w:cs="Arial"/>
          <w:sz w:val="22"/>
          <w:szCs w:val="22"/>
          <w:highlight w:val="yellow"/>
          <w:lang w:val="en-GB"/>
        </w:rPr>
        <w:t>continue to have a fiduciary duty to act honestly and in good faith with a view to the best interests of the company.</w:t>
      </w:r>
    </w:p>
    <w:p w14:paraId="49C51779" w14:textId="77777777" w:rsidR="00281873" w:rsidRPr="0045419B" w:rsidRDefault="00281873" w:rsidP="00EF516A">
      <w:pPr>
        <w:pStyle w:val="INSOLstyle"/>
        <w:ind w:hanging="360"/>
        <w:jc w:val="both"/>
      </w:pPr>
    </w:p>
    <w:p w14:paraId="29225C58" w14:textId="77777777" w:rsidR="00281873" w:rsidRPr="0045419B" w:rsidRDefault="00281873" w:rsidP="00EF516A">
      <w:pPr>
        <w:pStyle w:val="Prrafodelista"/>
        <w:numPr>
          <w:ilvl w:val="0"/>
          <w:numId w:val="1"/>
        </w:numPr>
        <w:ind w:left="426"/>
        <w:jc w:val="both"/>
        <w:rPr>
          <w:rFonts w:ascii="Avenir Next" w:hAnsi="Avenir Next" w:cs="Arial"/>
          <w:sz w:val="22"/>
          <w:szCs w:val="22"/>
          <w:lang w:val="en-GB"/>
        </w:rPr>
      </w:pPr>
      <w:r w:rsidRPr="0045419B">
        <w:rPr>
          <w:rFonts w:ascii="Avenir Next" w:hAnsi="Avenir Next" w:cs="Arial"/>
          <w:sz w:val="22"/>
          <w:szCs w:val="22"/>
          <w:lang w:val="en-GB"/>
        </w:rPr>
        <w:t>no longer have a fiduciary duty to act honestly and in good faith with a view to the best interests of the company.</w:t>
      </w:r>
    </w:p>
    <w:p w14:paraId="263D5837" w14:textId="77777777" w:rsidR="00281873" w:rsidRPr="0045419B" w:rsidRDefault="00281873" w:rsidP="00EF516A">
      <w:pPr>
        <w:pStyle w:val="INSOLstyle"/>
        <w:ind w:hanging="360"/>
        <w:jc w:val="both"/>
      </w:pPr>
    </w:p>
    <w:p w14:paraId="1A6DEAF5" w14:textId="77777777" w:rsidR="00281873" w:rsidRPr="0045419B" w:rsidRDefault="00281873" w:rsidP="00EF516A">
      <w:pPr>
        <w:pStyle w:val="Prrafodelista"/>
        <w:numPr>
          <w:ilvl w:val="0"/>
          <w:numId w:val="1"/>
        </w:numPr>
        <w:ind w:left="426"/>
        <w:jc w:val="both"/>
        <w:rPr>
          <w:rFonts w:ascii="Avenir Next" w:hAnsi="Avenir Next" w:cs="Arial"/>
          <w:sz w:val="22"/>
          <w:szCs w:val="22"/>
          <w:lang w:val="en-GB"/>
        </w:rPr>
      </w:pPr>
      <w:r w:rsidRPr="0045419B">
        <w:rPr>
          <w:rFonts w:ascii="Avenir Next" w:hAnsi="Avenir Next" w:cs="Arial"/>
          <w:sz w:val="22"/>
          <w:szCs w:val="22"/>
          <w:lang w:val="en-GB"/>
        </w:rPr>
        <w:t xml:space="preserve">cannot be held personally liable for any of the company’s debts. </w:t>
      </w:r>
    </w:p>
    <w:p w14:paraId="05DB7C98" w14:textId="77777777" w:rsidR="00281873" w:rsidRPr="0045419B" w:rsidRDefault="00281873" w:rsidP="00EF516A">
      <w:pPr>
        <w:pStyle w:val="INSOLstyle"/>
        <w:ind w:hanging="360"/>
        <w:jc w:val="both"/>
      </w:pPr>
    </w:p>
    <w:p w14:paraId="5047808D" w14:textId="77777777" w:rsidR="00281873" w:rsidRPr="0045419B" w:rsidRDefault="00281873" w:rsidP="00EF516A">
      <w:pPr>
        <w:pStyle w:val="Prrafodelista"/>
        <w:numPr>
          <w:ilvl w:val="0"/>
          <w:numId w:val="1"/>
        </w:numPr>
        <w:ind w:left="426"/>
        <w:jc w:val="both"/>
        <w:rPr>
          <w:rFonts w:ascii="Avenir Next" w:hAnsi="Avenir Next" w:cs="Arial"/>
          <w:sz w:val="22"/>
          <w:szCs w:val="22"/>
          <w:lang w:val="en-GB"/>
        </w:rPr>
      </w:pPr>
      <w:r w:rsidRPr="0045419B">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22B4A88C" w14:textId="77777777" w:rsidR="00F47A63" w:rsidRPr="00281873" w:rsidRDefault="00F47A63" w:rsidP="00F47A63">
      <w:pPr>
        <w:jc w:val="both"/>
        <w:rPr>
          <w:rFonts w:ascii="Avenir Next" w:hAnsi="Avenir Next" w:cs="Arial"/>
          <w:sz w:val="22"/>
          <w:szCs w:val="22"/>
          <w:lang w:val="en-GB"/>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F0E78FE" w14:textId="032769A7" w:rsidR="00F30488" w:rsidRPr="0045419B" w:rsidRDefault="00F30488" w:rsidP="00237CA8">
      <w:pPr>
        <w:jc w:val="both"/>
        <w:rPr>
          <w:rFonts w:ascii="Avenir Next" w:hAnsi="Avenir Next" w:cs="Arial"/>
          <w:sz w:val="22"/>
          <w:szCs w:val="22"/>
          <w:lang w:val="en-GB"/>
        </w:rPr>
      </w:pPr>
      <w:r w:rsidRPr="0045419B">
        <w:rPr>
          <w:rFonts w:ascii="Avenir Next" w:hAnsi="Avenir Next" w:cs="Arial"/>
          <w:sz w:val="22"/>
          <w:szCs w:val="22"/>
          <w:lang w:val="en-GB"/>
        </w:rPr>
        <w:t xml:space="preserve">Select the </w:t>
      </w:r>
      <w:r w:rsidRPr="00F30488">
        <w:rPr>
          <w:rFonts w:ascii="Avenir Next Demi Bold" w:hAnsi="Avenir Next Demi Bold" w:cs="Arial"/>
          <w:b/>
          <w:bCs/>
          <w:sz w:val="22"/>
          <w:szCs w:val="22"/>
          <w:u w:val="single"/>
        </w:rPr>
        <w:t>best answer</w:t>
      </w:r>
      <w:r w:rsidRPr="0045419B">
        <w:rPr>
          <w:rFonts w:ascii="Avenir Next" w:hAnsi="Avenir Next" w:cs="Arial"/>
          <w:sz w:val="22"/>
          <w:szCs w:val="22"/>
          <w:lang w:val="en-GB"/>
        </w:rPr>
        <w:t xml:space="preserve"> from the options below</w:t>
      </w:r>
      <w:r>
        <w:rPr>
          <w:rFonts w:ascii="Avenir Next" w:hAnsi="Avenir Next" w:cs="Arial"/>
          <w:sz w:val="22"/>
          <w:szCs w:val="22"/>
          <w:lang w:val="en-GB"/>
        </w:rPr>
        <w:t>:</w:t>
      </w:r>
    </w:p>
    <w:p w14:paraId="094473F4" w14:textId="77777777" w:rsidR="00F30488" w:rsidRPr="0045419B" w:rsidRDefault="00F30488" w:rsidP="00237CA8">
      <w:pPr>
        <w:pStyle w:val="INSOLstyle"/>
        <w:jc w:val="both"/>
      </w:pPr>
    </w:p>
    <w:p w14:paraId="22211CA7" w14:textId="19033162" w:rsidR="00F30488" w:rsidRDefault="00F30488" w:rsidP="00237CA8">
      <w:pPr>
        <w:jc w:val="both"/>
        <w:rPr>
          <w:rFonts w:ascii="Avenir Next" w:hAnsi="Avenir Next" w:cs="Arial"/>
          <w:sz w:val="22"/>
          <w:szCs w:val="22"/>
        </w:rPr>
      </w:pPr>
      <w:r w:rsidRPr="0045419B">
        <w:rPr>
          <w:rFonts w:ascii="Avenir Next" w:hAnsi="Avenir Next" w:cs="Arial"/>
          <w:sz w:val="22"/>
          <w:szCs w:val="22"/>
        </w:rPr>
        <w:t xml:space="preserve">Section 65.11 of the BIA and </w:t>
      </w:r>
      <w:r w:rsidR="002617EB">
        <w:rPr>
          <w:rFonts w:ascii="Avenir Next" w:hAnsi="Avenir Next" w:cs="Arial"/>
          <w:sz w:val="22"/>
          <w:szCs w:val="22"/>
        </w:rPr>
        <w:t xml:space="preserve">section </w:t>
      </w:r>
      <w:r w:rsidRPr="0045419B">
        <w:rPr>
          <w:rFonts w:ascii="Avenir Next" w:hAnsi="Avenir Next" w:cs="Arial"/>
          <w:sz w:val="22"/>
          <w:szCs w:val="22"/>
        </w:rPr>
        <w:t xml:space="preserve">32 of the CCAA prohibit </w:t>
      </w:r>
      <w:r w:rsidRPr="002950BA">
        <w:rPr>
          <w:rFonts w:ascii="Avenir Next Demi Bold" w:hAnsi="Avenir Next Demi Bold" w:cs="Arial"/>
          <w:b/>
          <w:bCs/>
          <w:sz w:val="22"/>
          <w:szCs w:val="22"/>
          <w:u w:val="single"/>
        </w:rPr>
        <w:t>disclaimers</w:t>
      </w:r>
      <w:r w:rsidRPr="0045419B">
        <w:rPr>
          <w:rFonts w:ascii="Avenir Next" w:hAnsi="Avenir Next" w:cs="Arial"/>
          <w:sz w:val="22"/>
          <w:szCs w:val="22"/>
        </w:rPr>
        <w:t xml:space="preserve"> for the following types of agreements</w:t>
      </w:r>
      <w:r w:rsidR="0060579F">
        <w:rPr>
          <w:rFonts w:ascii="Avenir Next" w:hAnsi="Avenir Next" w:cs="Arial"/>
          <w:sz w:val="22"/>
          <w:szCs w:val="22"/>
        </w:rPr>
        <w:t>:</w:t>
      </w:r>
    </w:p>
    <w:p w14:paraId="6B54F14E" w14:textId="77777777" w:rsidR="00F30488" w:rsidRPr="0045419B" w:rsidRDefault="00F30488" w:rsidP="00237CA8">
      <w:pPr>
        <w:pStyle w:val="INSOLstyle"/>
        <w:ind w:left="0" w:firstLine="0"/>
        <w:jc w:val="both"/>
      </w:pPr>
    </w:p>
    <w:p w14:paraId="34BA37D8" w14:textId="5F5C4080" w:rsidR="00F30488" w:rsidRPr="0045419B" w:rsidRDefault="0060579F" w:rsidP="00EF516A">
      <w:pPr>
        <w:pStyle w:val="Prrafodelista"/>
        <w:numPr>
          <w:ilvl w:val="0"/>
          <w:numId w:val="10"/>
        </w:numPr>
        <w:ind w:left="360"/>
        <w:jc w:val="both"/>
        <w:rPr>
          <w:rFonts w:ascii="Avenir Next" w:hAnsi="Avenir Next" w:cs="Arial"/>
          <w:sz w:val="22"/>
          <w:szCs w:val="22"/>
          <w:lang w:val="en-CA"/>
        </w:rPr>
      </w:pPr>
      <w:r>
        <w:rPr>
          <w:rFonts w:ascii="Avenir Next" w:hAnsi="Avenir Next" w:cs="Arial"/>
          <w:sz w:val="22"/>
          <w:szCs w:val="22"/>
          <w:lang w:val="en-GB"/>
        </w:rPr>
        <w:t>C</w:t>
      </w:r>
      <w:proofErr w:type="spellStart"/>
      <w:r w:rsidR="00F30488" w:rsidRPr="0045419B">
        <w:rPr>
          <w:rFonts w:ascii="Avenir Next" w:hAnsi="Avenir Next" w:cs="Arial"/>
          <w:sz w:val="22"/>
          <w:szCs w:val="22"/>
          <w:lang w:val="en-CA"/>
        </w:rPr>
        <w:t>ontracts</w:t>
      </w:r>
      <w:proofErr w:type="spellEnd"/>
      <w:r w:rsidR="00F30488" w:rsidRPr="0045419B">
        <w:rPr>
          <w:rFonts w:ascii="Avenir Next" w:hAnsi="Avenir Next" w:cs="Arial"/>
          <w:sz w:val="22"/>
          <w:szCs w:val="22"/>
          <w:lang w:val="en-CA"/>
        </w:rPr>
        <w:t xml:space="preserve"> </w:t>
      </w:r>
      <w:proofErr w:type="gramStart"/>
      <w:r w:rsidR="00F30488" w:rsidRPr="0045419B">
        <w:rPr>
          <w:rFonts w:ascii="Avenir Next" w:hAnsi="Avenir Next" w:cs="Arial"/>
          <w:sz w:val="22"/>
          <w:szCs w:val="22"/>
          <w:lang w:val="en-CA"/>
        </w:rPr>
        <w:t>entered into</w:t>
      </w:r>
      <w:proofErr w:type="gramEnd"/>
      <w:r w:rsidR="00F30488" w:rsidRPr="0045419B">
        <w:rPr>
          <w:rFonts w:ascii="Avenir Next" w:hAnsi="Avenir Next" w:cs="Arial"/>
          <w:sz w:val="22"/>
          <w:szCs w:val="22"/>
          <w:lang w:val="en-CA"/>
        </w:rPr>
        <w:t xml:space="preserve"> after the date</w:t>
      </w:r>
      <w:r w:rsidR="00857A95">
        <w:rPr>
          <w:rFonts w:ascii="Avenir Next" w:hAnsi="Avenir Next" w:cs="Arial"/>
          <w:sz w:val="22"/>
          <w:szCs w:val="22"/>
          <w:lang w:val="en-CA"/>
        </w:rPr>
        <w:t xml:space="preserve"> that</w:t>
      </w:r>
      <w:r w:rsidR="00F30488" w:rsidRPr="0045419B">
        <w:rPr>
          <w:rFonts w:ascii="Avenir Next" w:hAnsi="Avenir Next" w:cs="Arial"/>
          <w:sz w:val="22"/>
          <w:szCs w:val="22"/>
          <w:lang w:val="en-CA"/>
        </w:rPr>
        <w:t xml:space="preserve"> proceedings began.</w:t>
      </w:r>
    </w:p>
    <w:p w14:paraId="66FD32B5" w14:textId="77777777" w:rsidR="00F30488" w:rsidRPr="0045419B" w:rsidRDefault="00F30488" w:rsidP="00EF516A">
      <w:pPr>
        <w:pStyle w:val="INSOLstyle"/>
        <w:ind w:hanging="360"/>
        <w:jc w:val="both"/>
      </w:pPr>
    </w:p>
    <w:p w14:paraId="1A8F3069" w14:textId="55333E38" w:rsidR="00F30488" w:rsidRPr="0045419B" w:rsidRDefault="0060579F" w:rsidP="00EF516A">
      <w:pPr>
        <w:pStyle w:val="Prrafodelista"/>
        <w:numPr>
          <w:ilvl w:val="0"/>
          <w:numId w:val="10"/>
        </w:numPr>
        <w:ind w:left="360"/>
        <w:jc w:val="both"/>
        <w:rPr>
          <w:rFonts w:ascii="Avenir Next" w:hAnsi="Avenir Next" w:cs="Arial"/>
          <w:sz w:val="22"/>
          <w:szCs w:val="22"/>
          <w:lang w:val="en-CA"/>
        </w:rPr>
      </w:pPr>
      <w:r>
        <w:rPr>
          <w:rFonts w:ascii="Avenir Next" w:hAnsi="Avenir Next" w:cs="Arial"/>
          <w:sz w:val="22"/>
          <w:szCs w:val="22"/>
          <w:lang w:val="en-CA"/>
        </w:rPr>
        <w:t>A</w:t>
      </w:r>
      <w:r w:rsidR="00F30488" w:rsidRPr="0045419B">
        <w:rPr>
          <w:rFonts w:ascii="Avenir Next" w:hAnsi="Avenir Next" w:cs="Arial"/>
          <w:sz w:val="22"/>
          <w:szCs w:val="22"/>
          <w:lang w:val="en-CA"/>
        </w:rPr>
        <w:t xml:space="preserve"> financing agreement if the company is the borrower.</w:t>
      </w:r>
    </w:p>
    <w:p w14:paraId="0240D9C8" w14:textId="77777777" w:rsidR="00F30488" w:rsidRPr="0045419B" w:rsidRDefault="00F30488" w:rsidP="00EF516A">
      <w:pPr>
        <w:pStyle w:val="INSOLstyle"/>
        <w:ind w:hanging="360"/>
        <w:jc w:val="both"/>
      </w:pPr>
    </w:p>
    <w:p w14:paraId="0CEF7286" w14:textId="1896077E" w:rsidR="00F30488" w:rsidRPr="0045419B" w:rsidRDefault="0060579F" w:rsidP="00EF516A">
      <w:pPr>
        <w:pStyle w:val="Prrafodelista"/>
        <w:numPr>
          <w:ilvl w:val="0"/>
          <w:numId w:val="10"/>
        </w:numPr>
        <w:ind w:left="360"/>
        <w:jc w:val="both"/>
        <w:rPr>
          <w:rFonts w:ascii="Avenir Next" w:hAnsi="Avenir Next" w:cs="Arial"/>
          <w:sz w:val="22"/>
          <w:szCs w:val="22"/>
          <w:lang w:val="en"/>
        </w:rPr>
      </w:pPr>
      <w:r>
        <w:rPr>
          <w:rFonts w:ascii="Avenir Next" w:hAnsi="Avenir Next" w:cs="Arial"/>
          <w:sz w:val="22"/>
          <w:szCs w:val="22"/>
          <w:lang w:val="en"/>
        </w:rPr>
        <w:t>C</w:t>
      </w:r>
      <w:r w:rsidR="00F30488" w:rsidRPr="0045419B">
        <w:rPr>
          <w:rFonts w:ascii="Avenir Next" w:hAnsi="Avenir Next" w:cs="Arial"/>
          <w:sz w:val="22"/>
          <w:szCs w:val="22"/>
          <w:lang w:val="en"/>
        </w:rPr>
        <w:t>ommercial leases where the debtor is the lessor.</w:t>
      </w:r>
    </w:p>
    <w:p w14:paraId="5909403E" w14:textId="77777777" w:rsidR="00F30488" w:rsidRPr="0045419B" w:rsidRDefault="00F30488" w:rsidP="00EF516A">
      <w:pPr>
        <w:pStyle w:val="INSOLstyle"/>
        <w:ind w:hanging="360"/>
        <w:jc w:val="both"/>
      </w:pPr>
    </w:p>
    <w:p w14:paraId="52F278E2" w14:textId="73C8B933" w:rsidR="00F30488" w:rsidRPr="0045419B" w:rsidRDefault="0060579F" w:rsidP="00EF516A">
      <w:pPr>
        <w:pStyle w:val="Prrafodelista"/>
        <w:numPr>
          <w:ilvl w:val="0"/>
          <w:numId w:val="10"/>
        </w:numPr>
        <w:ind w:left="360"/>
        <w:jc w:val="both"/>
        <w:rPr>
          <w:rFonts w:ascii="Avenir Next" w:hAnsi="Avenir Next" w:cs="Arial"/>
          <w:sz w:val="22"/>
          <w:szCs w:val="22"/>
          <w:lang w:val="en"/>
        </w:rPr>
      </w:pPr>
      <w:r>
        <w:rPr>
          <w:rFonts w:ascii="Avenir Next" w:hAnsi="Avenir Next" w:cs="Arial"/>
          <w:sz w:val="22"/>
          <w:szCs w:val="22"/>
          <w:lang w:val="en"/>
        </w:rPr>
        <w:t>E</w:t>
      </w:r>
      <w:r w:rsidR="00F30488" w:rsidRPr="0045419B">
        <w:rPr>
          <w:rFonts w:ascii="Avenir Next" w:hAnsi="Avenir Next" w:cs="Arial"/>
          <w:sz w:val="22"/>
          <w:szCs w:val="22"/>
          <w:lang w:val="en"/>
        </w:rPr>
        <w:t xml:space="preserve">ligible financial contracts. </w:t>
      </w:r>
    </w:p>
    <w:p w14:paraId="3B145603" w14:textId="77777777" w:rsidR="00F30488" w:rsidRPr="0045419B" w:rsidRDefault="00F30488" w:rsidP="00EF516A">
      <w:pPr>
        <w:pStyle w:val="INSOLstyle"/>
        <w:ind w:hanging="360"/>
        <w:jc w:val="both"/>
      </w:pPr>
    </w:p>
    <w:p w14:paraId="163477C0" w14:textId="1E7177D3" w:rsidR="00F30488" w:rsidRPr="0045419B" w:rsidRDefault="0060579F" w:rsidP="00EF516A">
      <w:pPr>
        <w:pStyle w:val="Prrafodelista"/>
        <w:numPr>
          <w:ilvl w:val="0"/>
          <w:numId w:val="10"/>
        </w:numPr>
        <w:ind w:left="360"/>
        <w:jc w:val="both"/>
        <w:rPr>
          <w:rFonts w:ascii="Avenir Next" w:hAnsi="Avenir Next" w:cs="Arial"/>
          <w:bCs/>
          <w:sz w:val="22"/>
          <w:szCs w:val="22"/>
          <w:lang w:val="en"/>
        </w:rPr>
      </w:pPr>
      <w:r>
        <w:rPr>
          <w:rFonts w:ascii="Avenir Next" w:hAnsi="Avenir Next" w:cs="Arial"/>
          <w:sz w:val="22"/>
          <w:szCs w:val="22"/>
          <w:lang w:val="en"/>
        </w:rPr>
        <w:t>C</w:t>
      </w:r>
      <w:r w:rsidR="00F30488" w:rsidRPr="0045419B">
        <w:rPr>
          <w:rFonts w:ascii="Avenir Next" w:hAnsi="Avenir Next" w:cs="Arial"/>
          <w:sz w:val="22"/>
          <w:szCs w:val="22"/>
          <w:lang w:val="en"/>
        </w:rPr>
        <w:t>ollective bargaining agreements (union contracts).</w:t>
      </w:r>
    </w:p>
    <w:p w14:paraId="75E2BF3D" w14:textId="77777777" w:rsidR="00F30488" w:rsidRPr="0045419B" w:rsidRDefault="00F30488" w:rsidP="00EF516A">
      <w:pPr>
        <w:pStyle w:val="INSOLstyle"/>
        <w:ind w:hanging="360"/>
        <w:jc w:val="both"/>
      </w:pPr>
    </w:p>
    <w:p w14:paraId="16CF73BC" w14:textId="11B0DF4C" w:rsidR="00F30488" w:rsidRPr="0045419B" w:rsidRDefault="002950BA" w:rsidP="00EF516A">
      <w:pPr>
        <w:pStyle w:val="Prrafodelista"/>
        <w:numPr>
          <w:ilvl w:val="0"/>
          <w:numId w:val="10"/>
        </w:numPr>
        <w:ind w:left="360"/>
        <w:jc w:val="both"/>
        <w:rPr>
          <w:rFonts w:ascii="Avenir Next" w:hAnsi="Avenir Next" w:cs="Arial"/>
          <w:sz w:val="22"/>
          <w:szCs w:val="22"/>
        </w:rPr>
      </w:pPr>
      <w:r>
        <w:rPr>
          <w:rFonts w:ascii="Avenir Next" w:hAnsi="Avenir Next" w:cs="Arial"/>
          <w:sz w:val="22"/>
          <w:szCs w:val="22"/>
        </w:rPr>
        <w:t xml:space="preserve">Options </w:t>
      </w:r>
      <w:r w:rsidR="00F30488" w:rsidRPr="0045419B">
        <w:rPr>
          <w:rFonts w:ascii="Avenir Next" w:hAnsi="Avenir Next" w:cs="Arial"/>
          <w:sz w:val="22"/>
          <w:szCs w:val="22"/>
        </w:rPr>
        <w:t>(b), (d) and (f).</w:t>
      </w:r>
    </w:p>
    <w:p w14:paraId="2F97AE6B" w14:textId="77777777" w:rsidR="00F30488" w:rsidRPr="0045419B" w:rsidRDefault="00F30488" w:rsidP="00EF516A">
      <w:pPr>
        <w:pStyle w:val="INSOLstyle"/>
        <w:ind w:hanging="360"/>
        <w:jc w:val="both"/>
      </w:pPr>
    </w:p>
    <w:p w14:paraId="690AFE68" w14:textId="40061B46" w:rsidR="00F30488" w:rsidRPr="004E37E7" w:rsidRDefault="002950BA" w:rsidP="00EF516A">
      <w:pPr>
        <w:pStyle w:val="Prrafodelista"/>
        <w:numPr>
          <w:ilvl w:val="0"/>
          <w:numId w:val="10"/>
        </w:numPr>
        <w:ind w:left="360"/>
        <w:jc w:val="both"/>
        <w:rPr>
          <w:rFonts w:ascii="Avenir Next" w:hAnsi="Avenir Next" w:cs="Arial"/>
          <w:sz w:val="22"/>
          <w:szCs w:val="22"/>
          <w:highlight w:val="yellow"/>
        </w:rPr>
      </w:pPr>
      <w:proofErr w:type="gramStart"/>
      <w:r w:rsidRPr="004E37E7">
        <w:rPr>
          <w:rFonts w:ascii="Avenir Next" w:hAnsi="Avenir Next" w:cs="Arial"/>
          <w:sz w:val="22"/>
          <w:szCs w:val="22"/>
          <w:highlight w:val="yellow"/>
        </w:rPr>
        <w:t>A</w:t>
      </w:r>
      <w:r w:rsidR="00F30488" w:rsidRPr="004E37E7">
        <w:rPr>
          <w:rFonts w:ascii="Avenir Next" w:hAnsi="Avenir Next" w:cs="Arial"/>
          <w:sz w:val="22"/>
          <w:szCs w:val="22"/>
          <w:highlight w:val="yellow"/>
        </w:rPr>
        <w:t>ll of</w:t>
      </w:r>
      <w:proofErr w:type="gramEnd"/>
      <w:r w:rsidR="00F30488" w:rsidRPr="004E37E7">
        <w:rPr>
          <w:rFonts w:ascii="Avenir Next" w:hAnsi="Avenir Next" w:cs="Arial"/>
          <w:sz w:val="22"/>
          <w:szCs w:val="22"/>
          <w:highlight w:val="yellow"/>
        </w:rPr>
        <w:t xml:space="preserve"> the above. </w:t>
      </w: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6E575BBA"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D638A">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F3FB81D" w14:textId="2C0150E3" w:rsidR="00CC1839" w:rsidRPr="00FD0C9E" w:rsidRDefault="00CC1839" w:rsidP="00CC1839">
      <w:pPr>
        <w:jc w:val="both"/>
        <w:rPr>
          <w:rFonts w:ascii="Avenir Next" w:hAnsi="Avenir Next" w:cs="Arial"/>
          <w:sz w:val="22"/>
          <w:szCs w:val="22"/>
        </w:rPr>
      </w:pPr>
      <w:r w:rsidRPr="00FD0C9E">
        <w:rPr>
          <w:rFonts w:ascii="Avenir Next" w:hAnsi="Avenir Next" w:cs="Arial"/>
          <w:sz w:val="22"/>
          <w:szCs w:val="22"/>
        </w:rPr>
        <w:t>List and describe at least two</w:t>
      </w:r>
      <w:r>
        <w:rPr>
          <w:rFonts w:ascii="Avenir Next" w:hAnsi="Avenir Next" w:cs="Arial"/>
          <w:sz w:val="22"/>
          <w:szCs w:val="22"/>
        </w:rPr>
        <w:t xml:space="preserve"> </w:t>
      </w:r>
      <w:r w:rsidRPr="00FD0C9E">
        <w:rPr>
          <w:rFonts w:ascii="Avenir Next" w:hAnsi="Avenir Next" w:cs="Arial"/>
          <w:sz w:val="22"/>
          <w:szCs w:val="22"/>
        </w:rPr>
        <w:t>remedies that are available to an unsecured creditor to enforce their rights outside</w:t>
      </w:r>
      <w:r>
        <w:rPr>
          <w:rFonts w:ascii="Avenir Next" w:hAnsi="Avenir Next" w:cs="Arial"/>
          <w:sz w:val="22"/>
          <w:szCs w:val="22"/>
        </w:rPr>
        <w:t xml:space="preserve"> of a formal insolvency process.</w:t>
      </w:r>
    </w:p>
    <w:p w14:paraId="5BB3E365" w14:textId="77777777" w:rsidR="00F47A63" w:rsidRPr="00CC1839" w:rsidRDefault="00F47A63" w:rsidP="00F47A63">
      <w:pPr>
        <w:jc w:val="both"/>
        <w:rPr>
          <w:rFonts w:ascii="Avenir Next" w:hAnsi="Avenir Next" w:cs="Arial"/>
          <w:sz w:val="22"/>
          <w:szCs w:val="22"/>
        </w:rPr>
      </w:pPr>
    </w:p>
    <w:p w14:paraId="7F16572F" w14:textId="77777777" w:rsidR="004E37E7" w:rsidRPr="004E37E7" w:rsidRDefault="00237CA8" w:rsidP="004E37E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004E37E7" w:rsidRPr="004E37E7">
        <w:rPr>
          <w:rFonts w:ascii="Avenir Next" w:hAnsi="Avenir Next" w:cs="Arial"/>
          <w:color w:val="808080" w:themeColor="background1" w:themeShade="80"/>
          <w:sz w:val="22"/>
          <w:szCs w:val="22"/>
        </w:rPr>
        <w:t>Legal Action: Unsecured creditors can initiate legal action against the debtor to recover the debt owed. This typically involves filing a lawsuit in court, obtaining a judgment against the debtor, and then enforcing that judgment through various means such as garnishing wages, seizing assets, or placing liens on property. Legal action can be costly and time-consuming but may be necessary if other attempts to recover the debt have failed.</w:t>
      </w:r>
    </w:p>
    <w:p w14:paraId="171BA0CF" w14:textId="77777777" w:rsidR="004E37E7" w:rsidRPr="004E37E7" w:rsidRDefault="004E37E7" w:rsidP="004E37E7">
      <w:pPr>
        <w:jc w:val="both"/>
        <w:rPr>
          <w:rFonts w:ascii="Avenir Next" w:hAnsi="Avenir Next" w:cs="Arial"/>
          <w:color w:val="808080" w:themeColor="background1" w:themeShade="80"/>
          <w:sz w:val="22"/>
          <w:szCs w:val="22"/>
        </w:rPr>
      </w:pPr>
    </w:p>
    <w:p w14:paraId="2BA1FD0D" w14:textId="19F4ED0F" w:rsidR="00E740EA" w:rsidRPr="00237CA8" w:rsidRDefault="004E37E7" w:rsidP="004E37E7">
      <w:pPr>
        <w:jc w:val="both"/>
        <w:rPr>
          <w:rFonts w:ascii="Avenir Next" w:hAnsi="Avenir Next" w:cs="Arial"/>
          <w:color w:val="808080" w:themeColor="background1" w:themeShade="80"/>
          <w:sz w:val="22"/>
          <w:szCs w:val="22"/>
        </w:rPr>
      </w:pPr>
      <w:r w:rsidRPr="004E37E7">
        <w:rPr>
          <w:rFonts w:ascii="Avenir Next" w:hAnsi="Avenir Next" w:cs="Arial"/>
          <w:color w:val="808080" w:themeColor="background1" w:themeShade="80"/>
          <w:sz w:val="22"/>
          <w:szCs w:val="22"/>
        </w:rPr>
        <w:t>Negotiated Settlements: Unsecured creditors can negotiate directly with the debtor to reach a settlement agreement. In many cases, debtors are willing to negotiate repayment terms, reduced amounts, or extended payment periods to avoid legal action or bankruptcy. These negotiations can be facilitated by creditors themselves or through third-party mediators or debt settlement companies. Negotiated settlements can be beneficial as they often result in faster debt resolution and may preserve the business relationship between the creditor and debtor.</w:t>
      </w:r>
      <w:r w:rsidR="00237CA8">
        <w:rPr>
          <w:rFonts w:ascii="Avenir Next" w:hAnsi="Avenir Next" w:cs="Arial"/>
          <w:color w:val="808080" w:themeColor="background1" w:themeShade="80"/>
          <w:sz w:val="22"/>
          <w:szCs w:val="22"/>
        </w:rPr>
        <w:t>]</w:t>
      </w:r>
    </w:p>
    <w:p w14:paraId="24469C67" w14:textId="29526C6C" w:rsidR="00C57600" w:rsidRDefault="00C57600" w:rsidP="009B7C9D">
      <w:pPr>
        <w:jc w:val="both"/>
        <w:rPr>
          <w:rFonts w:ascii="Avenir Next" w:hAnsi="Avenir Next" w:cs="Arial"/>
          <w:color w:val="808080" w:themeColor="background1" w:themeShade="80"/>
          <w:sz w:val="22"/>
          <w:szCs w:val="22"/>
          <w:lang w:val="en-GB"/>
        </w:rPr>
      </w:pPr>
    </w:p>
    <w:p w14:paraId="5A162E50" w14:textId="1FFB9AD7" w:rsidR="004D16A3" w:rsidRDefault="004D16A3" w:rsidP="009B7C9D">
      <w:pPr>
        <w:jc w:val="both"/>
        <w:rPr>
          <w:rFonts w:ascii="Avenir Next" w:hAnsi="Avenir Next" w:cs="Arial"/>
          <w:color w:val="808080" w:themeColor="background1" w:themeShade="80"/>
          <w:sz w:val="22"/>
          <w:szCs w:val="22"/>
          <w:lang w:val="en-GB"/>
        </w:rPr>
      </w:pPr>
    </w:p>
    <w:p w14:paraId="126FF38A" w14:textId="77777777" w:rsidR="004D16A3" w:rsidRDefault="004D16A3" w:rsidP="009B7C9D">
      <w:pPr>
        <w:jc w:val="both"/>
        <w:rPr>
          <w:rFonts w:ascii="Avenir Next" w:hAnsi="Avenir Next" w:cs="Arial"/>
          <w:color w:val="808080" w:themeColor="background1" w:themeShade="80"/>
          <w:sz w:val="22"/>
          <w:szCs w:val="22"/>
          <w:lang w:val="en-GB"/>
        </w:rPr>
      </w:pPr>
    </w:p>
    <w:p w14:paraId="43D0FAD8" w14:textId="65866545"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32E30">
        <w:rPr>
          <w:rFonts w:ascii="Avenir Next Demi Bold" w:hAnsi="Avenir Next Demi Bold"/>
          <w:iCs w:val="0"/>
        </w:rPr>
        <w:t>4</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020500" w14:textId="343CA997" w:rsidR="00D03288" w:rsidRPr="00544CCA" w:rsidRDefault="00D03288" w:rsidP="00D03288">
      <w:pPr>
        <w:jc w:val="both"/>
        <w:rPr>
          <w:rFonts w:ascii="Avenir Next" w:hAnsi="Avenir Next" w:cs="Arial"/>
          <w:sz w:val="22"/>
          <w:szCs w:val="22"/>
        </w:rPr>
      </w:pPr>
      <w:r w:rsidRPr="00544CCA">
        <w:rPr>
          <w:rFonts w:ascii="Avenir Next" w:hAnsi="Avenir Next" w:cs="Arial"/>
          <w:sz w:val="22"/>
          <w:szCs w:val="22"/>
        </w:rPr>
        <w:t>List and describe the four statutory requirements that corporations must satisfy to restructure under section 192 (the plan of arrangement provision) of the CBCA.</w:t>
      </w:r>
    </w:p>
    <w:p w14:paraId="3B894BB6" w14:textId="6B63499D" w:rsidR="00F47A63" w:rsidRPr="00D03288" w:rsidRDefault="00F47A63" w:rsidP="00F47A63">
      <w:pPr>
        <w:jc w:val="both"/>
        <w:rPr>
          <w:rFonts w:ascii="Avenir Next" w:hAnsi="Avenir Next" w:cs="Arial"/>
          <w:sz w:val="22"/>
          <w:szCs w:val="22"/>
        </w:rPr>
      </w:pPr>
    </w:p>
    <w:p w14:paraId="3E23CDC3" w14:textId="77777777" w:rsidR="004E37E7" w:rsidRPr="004E37E7" w:rsidRDefault="001D2BFF" w:rsidP="004E37E7">
      <w:pPr>
        <w:jc w:val="both"/>
        <w:rPr>
          <w:rFonts w:ascii="Avenir Next" w:hAnsi="Avenir Next" w:cs="Arial"/>
          <w:color w:val="808080" w:themeColor="background1" w:themeShade="80"/>
          <w:sz w:val="22"/>
          <w:szCs w:val="22"/>
        </w:rPr>
      </w:pPr>
      <w:bookmarkStart w:id="0" w:name="_Hlk17709135"/>
      <w:r>
        <w:rPr>
          <w:rFonts w:ascii="Avenir Next" w:hAnsi="Avenir Next" w:cs="Arial"/>
          <w:color w:val="808080" w:themeColor="background1" w:themeShade="80"/>
          <w:sz w:val="22"/>
          <w:szCs w:val="22"/>
        </w:rPr>
        <w:t>[</w:t>
      </w:r>
      <w:r w:rsidR="004E37E7" w:rsidRPr="004E37E7">
        <w:rPr>
          <w:rFonts w:ascii="Avenir Next" w:hAnsi="Avenir Next" w:cs="Arial"/>
          <w:color w:val="808080" w:themeColor="background1" w:themeShade="80"/>
          <w:sz w:val="22"/>
          <w:szCs w:val="22"/>
        </w:rPr>
        <w:t>Approval by Special Resolution: The proposed plan of arrangement must be approved by a special resolution passed by the shareholders of the corporation. A special resolution typically requires approval by at least two-thirds of the votes cast by shareholders entitled to vote on the resolution.</w:t>
      </w:r>
    </w:p>
    <w:p w14:paraId="7E999531" w14:textId="77777777" w:rsidR="004E37E7" w:rsidRPr="004E37E7" w:rsidRDefault="004E37E7" w:rsidP="004E37E7">
      <w:pPr>
        <w:jc w:val="both"/>
        <w:rPr>
          <w:rFonts w:ascii="Avenir Next" w:hAnsi="Avenir Next" w:cs="Arial"/>
          <w:color w:val="808080" w:themeColor="background1" w:themeShade="80"/>
          <w:sz w:val="22"/>
          <w:szCs w:val="22"/>
        </w:rPr>
      </w:pPr>
    </w:p>
    <w:p w14:paraId="64FD7375" w14:textId="77777777" w:rsidR="004E37E7" w:rsidRPr="004E37E7" w:rsidRDefault="004E37E7" w:rsidP="004E37E7">
      <w:pPr>
        <w:jc w:val="both"/>
        <w:rPr>
          <w:rFonts w:ascii="Avenir Next" w:hAnsi="Avenir Next" w:cs="Arial"/>
          <w:color w:val="808080" w:themeColor="background1" w:themeShade="80"/>
          <w:sz w:val="22"/>
          <w:szCs w:val="22"/>
        </w:rPr>
      </w:pPr>
      <w:r w:rsidRPr="004E37E7">
        <w:rPr>
          <w:rFonts w:ascii="Avenir Next" w:hAnsi="Avenir Next" w:cs="Arial"/>
          <w:color w:val="808080" w:themeColor="background1" w:themeShade="80"/>
          <w:sz w:val="22"/>
          <w:szCs w:val="22"/>
        </w:rPr>
        <w:lastRenderedPageBreak/>
        <w:t>Court Approval: After obtaining shareholder approval, the corporation must seek approval from the court. The court will review the proposed plan to ensure that it is fair and reasonable and that it complies with the provisions of the CBCA. The court's approval provides legal validation and binding effect to the plan of arrangement.</w:t>
      </w:r>
    </w:p>
    <w:p w14:paraId="6A4336AE" w14:textId="77777777" w:rsidR="004E37E7" w:rsidRPr="004E37E7" w:rsidRDefault="004E37E7" w:rsidP="004E37E7">
      <w:pPr>
        <w:jc w:val="both"/>
        <w:rPr>
          <w:rFonts w:ascii="Avenir Next" w:hAnsi="Avenir Next" w:cs="Arial"/>
          <w:color w:val="808080" w:themeColor="background1" w:themeShade="80"/>
          <w:sz w:val="22"/>
          <w:szCs w:val="22"/>
        </w:rPr>
      </w:pPr>
    </w:p>
    <w:p w14:paraId="2F958F9F" w14:textId="77777777" w:rsidR="004E37E7" w:rsidRPr="004E37E7" w:rsidRDefault="004E37E7" w:rsidP="004E37E7">
      <w:pPr>
        <w:jc w:val="both"/>
        <w:rPr>
          <w:rFonts w:ascii="Avenir Next" w:hAnsi="Avenir Next" w:cs="Arial"/>
          <w:color w:val="808080" w:themeColor="background1" w:themeShade="80"/>
          <w:sz w:val="22"/>
          <w:szCs w:val="22"/>
        </w:rPr>
      </w:pPr>
      <w:r w:rsidRPr="004E37E7">
        <w:rPr>
          <w:rFonts w:ascii="Avenir Next" w:hAnsi="Avenir Next" w:cs="Arial"/>
          <w:color w:val="808080" w:themeColor="background1" w:themeShade="80"/>
          <w:sz w:val="22"/>
          <w:szCs w:val="22"/>
        </w:rPr>
        <w:t>Disclosure Document: The corporation must prepare a disclosure document providing detailed information about the proposed arrangement. This document is circulated to the shareholders to enable them to make an informed decision when voting on the special resolution. The disclosure document typically includes information about the purpose and effect of the arrangement, the rights and interests of affected parties, and any potential risks or conflicts of interest.</w:t>
      </w:r>
    </w:p>
    <w:p w14:paraId="17B39B82" w14:textId="77777777" w:rsidR="004E37E7" w:rsidRPr="004E37E7" w:rsidRDefault="004E37E7" w:rsidP="004E37E7">
      <w:pPr>
        <w:jc w:val="both"/>
        <w:rPr>
          <w:rFonts w:ascii="Avenir Next" w:hAnsi="Avenir Next" w:cs="Arial"/>
          <w:color w:val="808080" w:themeColor="background1" w:themeShade="80"/>
          <w:sz w:val="22"/>
          <w:szCs w:val="22"/>
        </w:rPr>
      </w:pPr>
    </w:p>
    <w:p w14:paraId="793404A4" w14:textId="60618E69" w:rsidR="006F4E04" w:rsidRPr="001D2BFF" w:rsidRDefault="004E37E7" w:rsidP="004E37E7">
      <w:pPr>
        <w:jc w:val="both"/>
        <w:rPr>
          <w:rFonts w:ascii="Avenir Next" w:hAnsi="Avenir Next" w:cs="Arial"/>
          <w:color w:val="808080" w:themeColor="background1" w:themeShade="80"/>
          <w:sz w:val="22"/>
          <w:szCs w:val="22"/>
        </w:rPr>
      </w:pPr>
      <w:r w:rsidRPr="004E37E7">
        <w:rPr>
          <w:rFonts w:ascii="Avenir Next" w:hAnsi="Avenir Next" w:cs="Arial"/>
          <w:color w:val="808080" w:themeColor="background1" w:themeShade="80"/>
          <w:sz w:val="22"/>
          <w:szCs w:val="22"/>
        </w:rPr>
        <w:t>Fairness Hearing: Before granting approval, the court will hold a fairness hearing to consider objections from interested parties and determine whether the proposed arrangement is fair and reasonable. During the hearing, the court will assess whether the arrangement treats all affected parties fairly, safeguards their rights, and provides equitable treatment to different classes of stakeholders.</w:t>
      </w:r>
      <w:r w:rsidR="001D2BFF">
        <w:rPr>
          <w:rFonts w:ascii="Avenir Next" w:hAnsi="Avenir Next" w:cs="Arial"/>
          <w:color w:val="808080" w:themeColor="background1" w:themeShade="80"/>
          <w:sz w:val="22"/>
          <w:szCs w:val="22"/>
        </w:rPr>
        <w:t>]</w:t>
      </w: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144EE49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28298D">
        <w:rPr>
          <w:rFonts w:ascii="Avenir Next Demi Bold" w:hAnsi="Avenir Next Demi Bold"/>
          <w:iCs w:val="0"/>
        </w:rPr>
        <w:t>2</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22E795B9" w:rsidR="00F47A63" w:rsidRDefault="005F26BC" w:rsidP="00F47A63">
      <w:pPr>
        <w:jc w:val="both"/>
        <w:rPr>
          <w:rFonts w:ascii="Avenir Next" w:hAnsi="Avenir Next" w:cs="Arial"/>
          <w:sz w:val="22"/>
          <w:szCs w:val="22"/>
          <w:lang w:val="en-GB"/>
        </w:rPr>
      </w:pPr>
      <w:r w:rsidRPr="00FD0C9E">
        <w:rPr>
          <w:rFonts w:ascii="Avenir Next" w:hAnsi="Avenir Next" w:cs="Arial"/>
          <w:sz w:val="22"/>
          <w:szCs w:val="22"/>
          <w:lang w:val="en-GB"/>
        </w:rPr>
        <w:t>List the three</w:t>
      </w:r>
      <w:r>
        <w:rPr>
          <w:rFonts w:ascii="Avenir Next" w:hAnsi="Avenir Next" w:cs="Arial"/>
          <w:sz w:val="22"/>
          <w:szCs w:val="22"/>
          <w:lang w:val="en-GB"/>
        </w:rPr>
        <w:t xml:space="preserve"> </w:t>
      </w:r>
      <w:r w:rsidRPr="00FD0C9E">
        <w:rPr>
          <w:rFonts w:ascii="Avenir Next" w:hAnsi="Avenir Next" w:cs="Arial"/>
          <w:sz w:val="22"/>
          <w:szCs w:val="22"/>
          <w:lang w:val="en-GB"/>
        </w:rPr>
        <w:t xml:space="preserve">main requirements under the BIA and CCAA </w:t>
      </w:r>
      <w:r w:rsidRPr="00FD0C9E">
        <w:rPr>
          <w:rFonts w:ascii="Avenir Next" w:hAnsi="Avenir Next" w:cs="Arial"/>
          <w:sz w:val="22"/>
          <w:szCs w:val="22"/>
        </w:rPr>
        <w:t>for Canadian courts to recognize foreign proceedings</w:t>
      </w:r>
      <w:r w:rsidRPr="00FD0C9E">
        <w:rPr>
          <w:rFonts w:ascii="Avenir Next" w:hAnsi="Avenir Next" w:cs="Arial"/>
          <w:sz w:val="22"/>
          <w:szCs w:val="22"/>
          <w:lang w:val="en-GB"/>
        </w:rPr>
        <w:t>.</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5F3F866" w14:textId="1D7F82A1" w:rsidR="004E37E7" w:rsidRPr="004E37E7" w:rsidRDefault="001D2BFF" w:rsidP="004E37E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004E37E7" w:rsidRPr="004E37E7">
        <w:rPr>
          <w:rFonts w:ascii="Avenir Next" w:hAnsi="Avenir Next" w:cs="Arial"/>
          <w:color w:val="808080" w:themeColor="background1" w:themeShade="80"/>
          <w:sz w:val="22"/>
          <w:szCs w:val="22"/>
        </w:rPr>
        <w:t xml:space="preserve">Existence of a Foreign Proceeding: The first requirement is that there must be a foreign proceeding in the relevant jurisdiction. </w:t>
      </w:r>
    </w:p>
    <w:p w14:paraId="5B8D5139" w14:textId="77777777" w:rsidR="004E37E7" w:rsidRPr="004E37E7" w:rsidRDefault="004E37E7" w:rsidP="004E37E7">
      <w:pPr>
        <w:jc w:val="both"/>
        <w:rPr>
          <w:rFonts w:ascii="Avenir Next" w:hAnsi="Avenir Next" w:cs="Arial"/>
          <w:color w:val="808080" w:themeColor="background1" w:themeShade="80"/>
          <w:sz w:val="22"/>
          <w:szCs w:val="22"/>
        </w:rPr>
      </w:pPr>
    </w:p>
    <w:p w14:paraId="5771CE53" w14:textId="671F7D94" w:rsidR="004E37E7" w:rsidRPr="004E37E7" w:rsidRDefault="004E37E7" w:rsidP="004E37E7">
      <w:pPr>
        <w:jc w:val="both"/>
        <w:rPr>
          <w:rFonts w:ascii="Avenir Next" w:hAnsi="Avenir Next" w:cs="Arial"/>
          <w:color w:val="808080" w:themeColor="background1" w:themeShade="80"/>
          <w:sz w:val="22"/>
          <w:szCs w:val="22"/>
        </w:rPr>
      </w:pPr>
      <w:r w:rsidRPr="004E37E7">
        <w:rPr>
          <w:rFonts w:ascii="Avenir Next" w:hAnsi="Avenir Next" w:cs="Arial"/>
          <w:color w:val="808080" w:themeColor="background1" w:themeShade="80"/>
          <w:sz w:val="22"/>
          <w:szCs w:val="22"/>
        </w:rPr>
        <w:t xml:space="preserve">Eligibility of the Foreign Proceeding: The foreign proceeding must meet certain eligibility criteria under Canadian law. </w:t>
      </w:r>
    </w:p>
    <w:p w14:paraId="44051F18" w14:textId="77777777" w:rsidR="004E37E7" w:rsidRPr="004E37E7" w:rsidRDefault="004E37E7" w:rsidP="004E37E7">
      <w:pPr>
        <w:jc w:val="both"/>
        <w:rPr>
          <w:rFonts w:ascii="Avenir Next" w:hAnsi="Avenir Next" w:cs="Arial"/>
          <w:color w:val="808080" w:themeColor="background1" w:themeShade="80"/>
          <w:sz w:val="22"/>
          <w:szCs w:val="22"/>
        </w:rPr>
      </w:pPr>
    </w:p>
    <w:p w14:paraId="7D543B09" w14:textId="25A747F0" w:rsidR="001D2BFF" w:rsidRPr="00237CA8" w:rsidRDefault="004E37E7" w:rsidP="004E37E7">
      <w:pPr>
        <w:jc w:val="both"/>
        <w:rPr>
          <w:rFonts w:ascii="Avenir Next" w:hAnsi="Avenir Next" w:cs="Arial"/>
          <w:color w:val="808080" w:themeColor="background1" w:themeShade="80"/>
          <w:sz w:val="22"/>
          <w:szCs w:val="22"/>
        </w:rPr>
      </w:pPr>
      <w:r w:rsidRPr="004E37E7">
        <w:rPr>
          <w:rFonts w:ascii="Avenir Next" w:hAnsi="Avenir Next" w:cs="Arial"/>
          <w:color w:val="808080" w:themeColor="background1" w:themeShade="80"/>
          <w:sz w:val="22"/>
          <w:szCs w:val="22"/>
        </w:rPr>
        <w:t>Comity and Recognition by Canadian Courts: Canadian courts will consider principles of international comity and recognize foreign proceedings that are consistent with Canadian public policy and legal principles.</w:t>
      </w:r>
      <w:r w:rsidR="001D2BFF">
        <w:rPr>
          <w:rFonts w:ascii="Avenir Next" w:hAnsi="Avenir Next" w:cs="Arial"/>
          <w:color w:val="808080" w:themeColor="background1" w:themeShade="80"/>
          <w:sz w:val="22"/>
          <w:szCs w:val="22"/>
        </w:rPr>
        <w:t>]</w:t>
      </w: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3C9022A" w14:textId="3DC2898D" w:rsidR="00234FF0" w:rsidRPr="00FD0C9E" w:rsidRDefault="00234FF0" w:rsidP="00234FF0">
      <w:pPr>
        <w:jc w:val="both"/>
        <w:rPr>
          <w:rFonts w:ascii="Avenir Next" w:hAnsi="Avenir Next" w:cs="Arial"/>
          <w:sz w:val="22"/>
          <w:szCs w:val="22"/>
        </w:rPr>
      </w:pPr>
      <w:r w:rsidRPr="00FD0C9E">
        <w:rPr>
          <w:rFonts w:ascii="Avenir Next" w:hAnsi="Avenir Next" w:cs="Arial"/>
          <w:sz w:val="22"/>
          <w:szCs w:val="22"/>
        </w:rPr>
        <w:t xml:space="preserve">List and briefly </w:t>
      </w:r>
      <w:r>
        <w:rPr>
          <w:rFonts w:ascii="Avenir Next" w:hAnsi="Avenir Next" w:cs="Arial"/>
          <w:sz w:val="22"/>
          <w:szCs w:val="22"/>
        </w:rPr>
        <w:t>describe at</w:t>
      </w:r>
      <w:r w:rsidR="004F46EF">
        <w:rPr>
          <w:rFonts w:ascii="Avenir Next" w:hAnsi="Avenir Next" w:cs="Arial"/>
          <w:sz w:val="22"/>
          <w:szCs w:val="22"/>
        </w:rPr>
        <w:t xml:space="preserve"> </w:t>
      </w:r>
      <w:r>
        <w:rPr>
          <w:rFonts w:ascii="Avenir Next" w:hAnsi="Avenir Next" w:cs="Arial"/>
          <w:sz w:val="22"/>
          <w:szCs w:val="22"/>
        </w:rPr>
        <w:t xml:space="preserve">least </w:t>
      </w:r>
      <w:r w:rsidRPr="00FD0C9E">
        <w:rPr>
          <w:rFonts w:ascii="Avenir Next" w:hAnsi="Avenir Next" w:cs="Arial"/>
          <w:sz w:val="22"/>
          <w:szCs w:val="22"/>
        </w:rPr>
        <w:t xml:space="preserve">two of the main provincial statutes </w:t>
      </w:r>
      <w:r>
        <w:rPr>
          <w:rFonts w:ascii="Avenir Next" w:hAnsi="Avenir Next" w:cs="Arial"/>
          <w:sz w:val="22"/>
          <w:szCs w:val="22"/>
        </w:rPr>
        <w:t>governing</w:t>
      </w:r>
      <w:r w:rsidRPr="00FD0C9E">
        <w:rPr>
          <w:rFonts w:ascii="Avenir Next" w:hAnsi="Avenir Next" w:cs="Arial"/>
          <w:sz w:val="22"/>
          <w:szCs w:val="22"/>
        </w:rPr>
        <w:t xml:space="preserve"> insolvency proceedings in Canada. </w:t>
      </w:r>
    </w:p>
    <w:p w14:paraId="04F52A15" w14:textId="77777777" w:rsidR="00F47A63" w:rsidRPr="00234FF0" w:rsidRDefault="00F47A63" w:rsidP="00F47A63">
      <w:pPr>
        <w:rPr>
          <w:rFonts w:ascii="Avenir Next" w:hAnsi="Avenir Next" w:cs="Arial"/>
          <w:bCs/>
          <w:color w:val="000000" w:themeColor="text1"/>
          <w:sz w:val="22"/>
          <w:szCs w:val="22"/>
        </w:rPr>
      </w:pPr>
    </w:p>
    <w:p w14:paraId="1449F132" w14:textId="2A8E2892" w:rsidR="004E37E7" w:rsidRPr="001D792F" w:rsidRDefault="001D2BFF" w:rsidP="001D792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004E37E7" w:rsidRPr="001D792F">
        <w:rPr>
          <w:rFonts w:ascii="Avenir Next" w:hAnsi="Avenir Next" w:cs="Arial"/>
          <w:color w:val="808080" w:themeColor="background1" w:themeShade="80"/>
          <w:sz w:val="22"/>
          <w:szCs w:val="22"/>
        </w:rPr>
        <w:t>Alberta: The Alberta Business Corporations Act (ABCA):</w:t>
      </w:r>
    </w:p>
    <w:p w14:paraId="73B6D2B8" w14:textId="77777777" w:rsidR="004E37E7" w:rsidRPr="004E37E7" w:rsidRDefault="004E37E7" w:rsidP="004E37E7">
      <w:pPr>
        <w:jc w:val="both"/>
        <w:rPr>
          <w:rFonts w:ascii="Avenir Next" w:hAnsi="Avenir Next" w:cs="Arial"/>
          <w:color w:val="808080" w:themeColor="background1" w:themeShade="80"/>
          <w:sz w:val="22"/>
          <w:szCs w:val="22"/>
        </w:rPr>
      </w:pPr>
    </w:p>
    <w:p w14:paraId="47BEC897" w14:textId="58370D24" w:rsidR="004E37E7" w:rsidRPr="001D792F" w:rsidRDefault="004E37E7" w:rsidP="001D792F">
      <w:pPr>
        <w:pStyle w:val="Prrafodelista"/>
        <w:numPr>
          <w:ilvl w:val="0"/>
          <w:numId w:val="20"/>
        </w:num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The ABCA governs the incorporation, organization, and dissolution of business corporations in Alberta.</w:t>
      </w:r>
    </w:p>
    <w:p w14:paraId="7D222A7C" w14:textId="14FC2106" w:rsidR="004E37E7" w:rsidRPr="001D792F" w:rsidRDefault="004E37E7" w:rsidP="001D792F">
      <w:pPr>
        <w:pStyle w:val="Prrafodelista"/>
        <w:numPr>
          <w:ilvl w:val="0"/>
          <w:numId w:val="20"/>
        </w:num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It provides provisions related to corporate insolvency, including voluntary arrangements, receivership, liquidation, and other restructuring mechanisms.</w:t>
      </w:r>
    </w:p>
    <w:p w14:paraId="406B8C2F" w14:textId="77777777" w:rsidR="001D792F" w:rsidRDefault="001D792F" w:rsidP="004E37E7">
      <w:pPr>
        <w:jc w:val="both"/>
        <w:rPr>
          <w:rFonts w:ascii="Avenir Next" w:hAnsi="Avenir Next" w:cs="Arial"/>
          <w:color w:val="808080" w:themeColor="background1" w:themeShade="80"/>
          <w:sz w:val="22"/>
          <w:szCs w:val="22"/>
        </w:rPr>
      </w:pPr>
    </w:p>
    <w:p w14:paraId="72A83968" w14:textId="7ED159B6" w:rsidR="004E37E7" w:rsidRPr="004E37E7" w:rsidRDefault="004E37E7" w:rsidP="004E37E7">
      <w:pPr>
        <w:jc w:val="both"/>
        <w:rPr>
          <w:rFonts w:ascii="Avenir Next" w:hAnsi="Avenir Next" w:cs="Arial"/>
          <w:color w:val="808080" w:themeColor="background1" w:themeShade="80"/>
          <w:sz w:val="22"/>
          <w:szCs w:val="22"/>
        </w:rPr>
      </w:pPr>
      <w:r w:rsidRPr="004E37E7">
        <w:rPr>
          <w:rFonts w:ascii="Avenir Next" w:hAnsi="Avenir Next" w:cs="Arial"/>
          <w:color w:val="808080" w:themeColor="background1" w:themeShade="80"/>
          <w:sz w:val="22"/>
          <w:szCs w:val="22"/>
        </w:rPr>
        <w:t>Ontario: The Ontario Business Corporations Act (OBCA):</w:t>
      </w:r>
    </w:p>
    <w:p w14:paraId="3AAF4DE8" w14:textId="77777777" w:rsidR="004E37E7" w:rsidRPr="004E37E7" w:rsidRDefault="004E37E7" w:rsidP="004E37E7">
      <w:pPr>
        <w:jc w:val="both"/>
        <w:rPr>
          <w:rFonts w:ascii="Avenir Next" w:hAnsi="Avenir Next" w:cs="Arial"/>
          <w:color w:val="808080" w:themeColor="background1" w:themeShade="80"/>
          <w:sz w:val="22"/>
          <w:szCs w:val="22"/>
        </w:rPr>
      </w:pPr>
    </w:p>
    <w:p w14:paraId="3FFB5A2D" w14:textId="77777777" w:rsidR="001D792F" w:rsidRDefault="004E37E7" w:rsidP="004E37E7">
      <w:pPr>
        <w:pStyle w:val="Prrafodelista"/>
        <w:numPr>
          <w:ilvl w:val="0"/>
          <w:numId w:val="21"/>
        </w:num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 xml:space="preserve">The OBCA is </w:t>
      </w:r>
      <w:proofErr w:type="gramStart"/>
      <w:r w:rsidRPr="001D792F">
        <w:rPr>
          <w:rFonts w:ascii="Avenir Next" w:hAnsi="Avenir Next" w:cs="Arial"/>
          <w:color w:val="808080" w:themeColor="background1" w:themeShade="80"/>
          <w:sz w:val="22"/>
          <w:szCs w:val="22"/>
        </w:rPr>
        <w:t>similar to</w:t>
      </w:r>
      <w:proofErr w:type="gramEnd"/>
      <w:r w:rsidRPr="001D792F">
        <w:rPr>
          <w:rFonts w:ascii="Avenir Next" w:hAnsi="Avenir Next" w:cs="Arial"/>
          <w:color w:val="808080" w:themeColor="background1" w:themeShade="80"/>
          <w:sz w:val="22"/>
          <w:szCs w:val="22"/>
        </w:rPr>
        <w:t xml:space="preserve"> the ABCA but applies to business corporations incorporated in Ontario.</w:t>
      </w:r>
      <w:r w:rsidR="001D792F">
        <w:rPr>
          <w:rFonts w:ascii="Avenir Next" w:hAnsi="Avenir Next" w:cs="Arial"/>
          <w:color w:val="808080" w:themeColor="background1" w:themeShade="80"/>
          <w:sz w:val="22"/>
          <w:szCs w:val="22"/>
        </w:rPr>
        <w:t xml:space="preserve"> </w:t>
      </w:r>
      <w:r w:rsidRPr="001D792F">
        <w:rPr>
          <w:rFonts w:ascii="Avenir Next" w:hAnsi="Avenir Next" w:cs="Arial"/>
          <w:color w:val="808080" w:themeColor="background1" w:themeShade="80"/>
          <w:sz w:val="22"/>
          <w:szCs w:val="22"/>
        </w:rPr>
        <w:t>It contains provisions related to corporate governance, shareholder rights, and corporate restructuring</w:t>
      </w:r>
      <w:r w:rsidR="001D792F">
        <w:rPr>
          <w:rFonts w:ascii="Avenir Next" w:hAnsi="Avenir Next" w:cs="Arial"/>
          <w:color w:val="808080" w:themeColor="background1" w:themeShade="80"/>
          <w:sz w:val="22"/>
          <w:szCs w:val="22"/>
        </w:rPr>
        <w:t>.</w:t>
      </w:r>
    </w:p>
    <w:p w14:paraId="2734A5DE" w14:textId="75A7C346" w:rsidR="001D2BFF" w:rsidRPr="001D792F" w:rsidRDefault="004E37E7" w:rsidP="004E37E7">
      <w:pPr>
        <w:pStyle w:val="Prrafodelista"/>
        <w:numPr>
          <w:ilvl w:val="0"/>
          <w:numId w:val="21"/>
        </w:num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The OBCA also includes provisions for winding-up, receivership, and other insolvency proceedings, providing a framework for corporate restructuring and liquidation in Ontario.</w:t>
      </w:r>
      <w:r w:rsidR="001D2BFF" w:rsidRPr="001D792F">
        <w:rPr>
          <w:rFonts w:ascii="Avenir Next" w:hAnsi="Avenir Next" w:cs="Arial"/>
          <w:color w:val="808080" w:themeColor="background1" w:themeShade="80"/>
          <w:sz w:val="22"/>
          <w:szCs w:val="22"/>
        </w:rPr>
        <w:t>]</w:t>
      </w:r>
    </w:p>
    <w:p w14:paraId="3864E91B" w14:textId="65A8A82C" w:rsidR="006F4E04"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0CE5E6CE" w14:textId="77777777" w:rsidR="00D36168" w:rsidRDefault="00D36168" w:rsidP="00D36168">
      <w:pPr>
        <w:jc w:val="both"/>
        <w:rPr>
          <w:rFonts w:ascii="Avenir Next" w:hAnsi="Avenir Next" w:cs="Arial"/>
          <w:sz w:val="22"/>
          <w:szCs w:val="22"/>
        </w:rPr>
      </w:pPr>
      <w:r w:rsidRPr="00FD0C9E">
        <w:rPr>
          <w:rFonts w:ascii="Avenir Next" w:hAnsi="Avenir Next" w:cs="Arial"/>
          <w:sz w:val="22"/>
          <w:szCs w:val="22"/>
        </w:rPr>
        <w:t xml:space="preserve">Write a short essay that summarizes the general organizing principle of good faith in contractual performance and how it may apply in insolvency proceedings. </w:t>
      </w:r>
    </w:p>
    <w:p w14:paraId="6AD41572" w14:textId="77777777" w:rsidR="00D36168" w:rsidRDefault="00D36168" w:rsidP="00D36168">
      <w:pPr>
        <w:pStyle w:val="INSOLstyle"/>
        <w:jc w:val="both"/>
      </w:pPr>
    </w:p>
    <w:p w14:paraId="6547A17C" w14:textId="77777777" w:rsidR="00D36168" w:rsidRDefault="00D36168" w:rsidP="00D36168">
      <w:pPr>
        <w:jc w:val="both"/>
        <w:rPr>
          <w:rFonts w:ascii="Avenir Next" w:hAnsi="Avenir Next" w:cs="Arial"/>
          <w:sz w:val="22"/>
          <w:szCs w:val="22"/>
        </w:rPr>
      </w:pPr>
      <w:r w:rsidRPr="00544CCA">
        <w:rPr>
          <w:rFonts w:ascii="Avenir Next" w:hAnsi="Avenir Next" w:cs="Arial"/>
          <w:sz w:val="22"/>
          <w:szCs w:val="22"/>
        </w:rPr>
        <w:t xml:space="preserve">Your essay should refer to </w:t>
      </w:r>
      <w:r w:rsidRPr="00D36168">
        <w:rPr>
          <w:rFonts w:ascii="Avenir Next Demi Bold" w:hAnsi="Avenir Next Demi Bold" w:cs="Arial"/>
          <w:b/>
          <w:bCs/>
          <w:sz w:val="22"/>
          <w:szCs w:val="22"/>
          <w:u w:val="single"/>
        </w:rPr>
        <w:t>at least the following</w:t>
      </w:r>
      <w:r w:rsidRPr="00544CCA">
        <w:rPr>
          <w:rFonts w:ascii="Avenir Next" w:hAnsi="Avenir Next" w:cs="Arial"/>
          <w:sz w:val="22"/>
          <w:szCs w:val="22"/>
        </w:rPr>
        <w:t>:</w:t>
      </w:r>
    </w:p>
    <w:p w14:paraId="6E2D5603" w14:textId="77777777" w:rsidR="00FA1823" w:rsidRDefault="00FA1823" w:rsidP="00D36168">
      <w:pPr>
        <w:jc w:val="both"/>
        <w:rPr>
          <w:rFonts w:ascii="Avenir Next" w:hAnsi="Avenir Next" w:cs="Arial"/>
          <w:sz w:val="22"/>
          <w:szCs w:val="22"/>
        </w:rPr>
      </w:pPr>
    </w:p>
    <w:p w14:paraId="080B019E" w14:textId="77777777" w:rsidR="00D36168" w:rsidRDefault="00D36168" w:rsidP="00E025FA">
      <w:pPr>
        <w:pStyle w:val="Prrafodelista"/>
        <w:numPr>
          <w:ilvl w:val="0"/>
          <w:numId w:val="15"/>
        </w:numPr>
        <w:ind w:left="426" w:hanging="426"/>
        <w:jc w:val="both"/>
        <w:rPr>
          <w:rFonts w:ascii="Avenir Next" w:hAnsi="Avenir Next"/>
          <w:sz w:val="22"/>
          <w:szCs w:val="22"/>
        </w:rPr>
      </w:pPr>
      <w:r w:rsidRPr="00544CCA">
        <w:rPr>
          <w:rFonts w:ascii="Avenir Next" w:hAnsi="Avenir Next"/>
          <w:sz w:val="22"/>
          <w:szCs w:val="22"/>
        </w:rPr>
        <w:t xml:space="preserve">the statutory provisions in the BIA and the CCAA which codify the duty of good faith; and </w:t>
      </w:r>
    </w:p>
    <w:p w14:paraId="0E8005E6" w14:textId="77777777" w:rsidR="00FA1823" w:rsidRPr="00544CCA" w:rsidRDefault="00FA1823" w:rsidP="00FA1823">
      <w:pPr>
        <w:pStyle w:val="Prrafodelista"/>
        <w:ind w:left="426"/>
        <w:jc w:val="both"/>
        <w:rPr>
          <w:rFonts w:ascii="Avenir Next" w:hAnsi="Avenir Next"/>
          <w:sz w:val="22"/>
          <w:szCs w:val="22"/>
        </w:rPr>
      </w:pPr>
    </w:p>
    <w:p w14:paraId="2949CFA2" w14:textId="77777777" w:rsidR="00D36168" w:rsidRPr="00544CCA" w:rsidRDefault="00D36168" w:rsidP="00E025FA">
      <w:pPr>
        <w:pStyle w:val="Prrafodelista"/>
        <w:numPr>
          <w:ilvl w:val="0"/>
          <w:numId w:val="15"/>
        </w:numPr>
        <w:ind w:left="426" w:hanging="426"/>
        <w:jc w:val="both"/>
        <w:rPr>
          <w:rFonts w:ascii="Avenir Next" w:hAnsi="Avenir Next"/>
          <w:sz w:val="22"/>
          <w:szCs w:val="22"/>
        </w:rPr>
      </w:pPr>
      <w:r w:rsidRPr="00544CCA">
        <w:rPr>
          <w:rFonts w:ascii="Avenir Next" w:hAnsi="Avenir Next"/>
          <w:sz w:val="22"/>
          <w:szCs w:val="22"/>
        </w:rPr>
        <w:t xml:space="preserve">an example of cases where the Canadian Courts have imported principles of good faith in the context of insolvency </w:t>
      </w:r>
      <w:proofErr w:type="gramStart"/>
      <w:r w:rsidRPr="00544CCA">
        <w:rPr>
          <w:rFonts w:ascii="Avenir Next" w:hAnsi="Avenir Next"/>
          <w:sz w:val="22"/>
          <w:szCs w:val="22"/>
        </w:rPr>
        <w:t>proceedings</w:t>
      </w:r>
      <w:proofErr w:type="gramEnd"/>
    </w:p>
    <w:p w14:paraId="6699DE0C" w14:textId="77777777" w:rsidR="00C57600" w:rsidRPr="00D36168" w:rsidRDefault="00C57600" w:rsidP="00C9788A">
      <w:pPr>
        <w:spacing w:line="276" w:lineRule="auto"/>
        <w:jc w:val="both"/>
        <w:rPr>
          <w:rFonts w:ascii="Avenir Next" w:hAnsi="Avenir Next" w:cs="Arial"/>
          <w:sz w:val="22"/>
          <w:szCs w:val="22"/>
        </w:rPr>
      </w:pPr>
    </w:p>
    <w:p w14:paraId="72403D43" w14:textId="77777777" w:rsidR="001D792F" w:rsidRPr="001D792F" w:rsidRDefault="001D2BFF" w:rsidP="001D792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001D792F" w:rsidRPr="001D792F">
        <w:rPr>
          <w:rFonts w:ascii="Avenir Next" w:hAnsi="Avenir Next" w:cs="Arial"/>
          <w:color w:val="808080" w:themeColor="background1" w:themeShade="80"/>
          <w:sz w:val="22"/>
          <w:szCs w:val="22"/>
        </w:rPr>
        <w:t>The organizing principle of good faith in contractual performance is a fundamental aspect of contract law that requires parties to act honestly and fairly in their dealings with each other. This principle has been recognized and codified in various jurisdictions, including Canada, where it plays a significant role in both commercial and insolvency law.</w:t>
      </w:r>
    </w:p>
    <w:p w14:paraId="257B2DD9" w14:textId="77777777" w:rsidR="001D792F" w:rsidRPr="001D792F" w:rsidRDefault="001D792F" w:rsidP="001D792F">
      <w:pPr>
        <w:jc w:val="both"/>
        <w:rPr>
          <w:rFonts w:ascii="Avenir Next" w:hAnsi="Avenir Next" w:cs="Arial"/>
          <w:color w:val="808080" w:themeColor="background1" w:themeShade="80"/>
          <w:sz w:val="22"/>
          <w:szCs w:val="22"/>
        </w:rPr>
      </w:pPr>
    </w:p>
    <w:p w14:paraId="019AB713"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In the context of insolvency proceedings, the duty of good faith is particularly relevant as it governs the behavior of parties involved, including debtors, creditors, and court-appointed officers such as trustees and monitors. This duty ensures that parties act with honesty, fairness, and integrity throughout the insolvency process, which is critical to achieving equitable outcomes for all stakeholders.</w:t>
      </w:r>
    </w:p>
    <w:p w14:paraId="276E1431" w14:textId="77777777" w:rsidR="001D792F" w:rsidRPr="001D792F" w:rsidRDefault="001D792F" w:rsidP="001D792F">
      <w:pPr>
        <w:jc w:val="both"/>
        <w:rPr>
          <w:rFonts w:ascii="Avenir Next" w:hAnsi="Avenir Next" w:cs="Arial"/>
          <w:color w:val="808080" w:themeColor="background1" w:themeShade="80"/>
          <w:sz w:val="22"/>
          <w:szCs w:val="22"/>
        </w:rPr>
      </w:pPr>
    </w:p>
    <w:p w14:paraId="45096FCC"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Both the Bankruptcy and Insolvency Act (BIA) and the Companies' Creditors Arrangement Act (CCAA) contain statutory provisions that explicitly codify the duty of good faith. For instance, section 18(1) of the BIA states that every person who is involved in proceedings under the Act "shall act in good faith." Similarly, section 18.6(7) of the CCAA requires parties to a plan of arrangement to act in good faith in negotiating and implementing the plan.</w:t>
      </w:r>
    </w:p>
    <w:p w14:paraId="1612BBD7" w14:textId="77777777" w:rsidR="001D792F" w:rsidRPr="001D792F" w:rsidRDefault="001D792F" w:rsidP="001D792F">
      <w:pPr>
        <w:jc w:val="both"/>
        <w:rPr>
          <w:rFonts w:ascii="Avenir Next" w:hAnsi="Avenir Next" w:cs="Arial"/>
          <w:color w:val="808080" w:themeColor="background1" w:themeShade="80"/>
          <w:sz w:val="22"/>
          <w:szCs w:val="22"/>
        </w:rPr>
      </w:pPr>
    </w:p>
    <w:p w14:paraId="67BCF747"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 xml:space="preserve">Canadian courts have consistently recognized and applied the principle of good faith in the context of insolvency proceedings. One notable example is the Supreme Court of Canada's decision in Bhasin v. </w:t>
      </w:r>
      <w:proofErr w:type="spellStart"/>
      <w:r w:rsidRPr="001D792F">
        <w:rPr>
          <w:rFonts w:ascii="Avenir Next" w:hAnsi="Avenir Next" w:cs="Arial"/>
          <w:color w:val="808080" w:themeColor="background1" w:themeShade="80"/>
          <w:sz w:val="22"/>
          <w:szCs w:val="22"/>
        </w:rPr>
        <w:t>Hrynew</w:t>
      </w:r>
      <w:proofErr w:type="spellEnd"/>
      <w:r w:rsidRPr="001D792F">
        <w:rPr>
          <w:rFonts w:ascii="Avenir Next" w:hAnsi="Avenir Next" w:cs="Arial"/>
          <w:color w:val="808080" w:themeColor="background1" w:themeShade="80"/>
          <w:sz w:val="22"/>
          <w:szCs w:val="22"/>
        </w:rPr>
        <w:t>, which established the duty of honest contractual performance as a general organizing principle of contract law. Although Bhasin was not an insolvency case, its principles have been extended to the context of insolvency proceedings.</w:t>
      </w:r>
    </w:p>
    <w:p w14:paraId="57674645" w14:textId="77777777" w:rsidR="001D792F" w:rsidRPr="001D792F" w:rsidRDefault="001D792F" w:rsidP="001D792F">
      <w:pPr>
        <w:jc w:val="both"/>
        <w:rPr>
          <w:rFonts w:ascii="Avenir Next" w:hAnsi="Avenir Next" w:cs="Arial"/>
          <w:color w:val="808080" w:themeColor="background1" w:themeShade="80"/>
          <w:sz w:val="22"/>
          <w:szCs w:val="22"/>
        </w:rPr>
      </w:pPr>
    </w:p>
    <w:p w14:paraId="2FFF98FD"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In the case of Canada North Group Inc. v. Canada North Inc., the Ontario Superior Court of Justice emphasized the importance of good faith in insolvency proceedings. The court held that parties involved in such proceedings must act honestly, transparently, and cooperatively to achieve the overarching goal of maximizing the value of the insolvent entity's assets for the benefit of all stakeholders.</w:t>
      </w:r>
    </w:p>
    <w:p w14:paraId="7B9CE62B" w14:textId="77777777" w:rsidR="001D792F" w:rsidRPr="001D792F" w:rsidRDefault="001D792F" w:rsidP="001D792F">
      <w:pPr>
        <w:jc w:val="both"/>
        <w:rPr>
          <w:rFonts w:ascii="Avenir Next" w:hAnsi="Avenir Next" w:cs="Arial"/>
          <w:color w:val="808080" w:themeColor="background1" w:themeShade="80"/>
          <w:sz w:val="22"/>
          <w:szCs w:val="22"/>
        </w:rPr>
      </w:pPr>
    </w:p>
    <w:p w14:paraId="66CCBE7F" w14:textId="4D36EBAB" w:rsidR="001D2BFF" w:rsidRPr="00237CA8"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Overall, the organizing principle of good faith in contractual performance is a cornerstone of Canadian insolvency law. It serves to promote trust, transparency, and fairness among parties involved in insolvency proceedings, ultimately contributing to the effective resolution of financial distress and the preservation of value for stakeholders.</w:t>
      </w:r>
      <w:r w:rsidR="001D2BFF">
        <w:rPr>
          <w:rFonts w:ascii="Avenir Next" w:hAnsi="Avenir Next" w:cs="Arial"/>
          <w:color w:val="808080" w:themeColor="background1" w:themeShade="80"/>
          <w:sz w:val="22"/>
          <w:szCs w:val="22"/>
        </w:rPr>
        <w:t>]</w:t>
      </w: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EE3A2DD" w14:textId="48E3CB1C" w:rsidR="007D59A3" w:rsidRDefault="007D59A3" w:rsidP="007D59A3">
      <w:pPr>
        <w:jc w:val="both"/>
        <w:rPr>
          <w:rFonts w:ascii="Avenir Next" w:hAnsi="Avenir Next"/>
          <w:sz w:val="22"/>
          <w:szCs w:val="22"/>
        </w:rPr>
      </w:pPr>
      <w:r w:rsidRPr="00BC1B33">
        <w:rPr>
          <w:rFonts w:ascii="Avenir Next" w:hAnsi="Avenir Next"/>
          <w:sz w:val="22"/>
          <w:szCs w:val="22"/>
        </w:rPr>
        <w:lastRenderedPageBreak/>
        <w:t>Write a short essay that identifies the similarities and differences between the UNCITRAL Model Law and the applicable provisions in the BIA</w:t>
      </w:r>
      <w:r>
        <w:rPr>
          <w:rFonts w:ascii="Avenir Next" w:hAnsi="Avenir Next"/>
          <w:sz w:val="22"/>
          <w:szCs w:val="22"/>
        </w:rPr>
        <w:t>.</w:t>
      </w:r>
    </w:p>
    <w:p w14:paraId="43FCC782" w14:textId="77777777" w:rsidR="00D67759" w:rsidRPr="007D59A3" w:rsidRDefault="00D67759" w:rsidP="00F47A63">
      <w:pPr>
        <w:spacing w:line="276" w:lineRule="auto"/>
        <w:jc w:val="both"/>
        <w:rPr>
          <w:rFonts w:ascii="Avenir Next" w:hAnsi="Avenir Next" w:cs="Arial"/>
          <w:sz w:val="22"/>
          <w:szCs w:val="22"/>
        </w:rPr>
      </w:pPr>
    </w:p>
    <w:p w14:paraId="1C4730DD" w14:textId="77777777" w:rsidR="001D792F" w:rsidRPr="001D792F" w:rsidRDefault="001D2BFF" w:rsidP="001D792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001D792F" w:rsidRPr="001D792F">
        <w:rPr>
          <w:rFonts w:ascii="Avenir Next" w:hAnsi="Avenir Next" w:cs="Arial"/>
          <w:color w:val="808080" w:themeColor="background1" w:themeShade="80"/>
          <w:sz w:val="22"/>
          <w:szCs w:val="22"/>
        </w:rPr>
        <w:t>The UNCITRAL Model Law on Cross-Border Insolvency (the Model Law) and the Bankruptcy and Insolvency Act (BIA) are both significant legal frameworks governing cross-border insolvency proceedings. While they share some similarities, they also exhibit key differences in their scope, structure, and implementation.</w:t>
      </w:r>
    </w:p>
    <w:p w14:paraId="722A5085" w14:textId="77777777" w:rsidR="001D792F" w:rsidRPr="001D792F" w:rsidRDefault="001D792F" w:rsidP="001D792F">
      <w:pPr>
        <w:jc w:val="both"/>
        <w:rPr>
          <w:rFonts w:ascii="Avenir Next" w:hAnsi="Avenir Next" w:cs="Arial"/>
          <w:color w:val="808080" w:themeColor="background1" w:themeShade="80"/>
          <w:sz w:val="22"/>
          <w:szCs w:val="22"/>
        </w:rPr>
      </w:pPr>
    </w:p>
    <w:p w14:paraId="5C5FEE08"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One notable similarity between the Model Law and the BIA is their objective to provide a structured framework for the recognition and cooperation of insolvency proceedings across different jurisdictions. Both aim to facilitate efficient and equitable resolution of cross-border insolvency cases by establishing procedures for recognition, cooperation, and coordination between courts and insolvency representatives in different countries.</w:t>
      </w:r>
    </w:p>
    <w:p w14:paraId="673BA283" w14:textId="77777777" w:rsidR="001D792F" w:rsidRPr="001D792F" w:rsidRDefault="001D792F" w:rsidP="001D792F">
      <w:pPr>
        <w:jc w:val="both"/>
        <w:rPr>
          <w:rFonts w:ascii="Avenir Next" w:hAnsi="Avenir Next" w:cs="Arial"/>
          <w:color w:val="808080" w:themeColor="background1" w:themeShade="80"/>
          <w:sz w:val="22"/>
          <w:szCs w:val="22"/>
        </w:rPr>
      </w:pPr>
    </w:p>
    <w:p w14:paraId="75D67439"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Furthermore, both the Model Law and the BIA incorporate principles of comity and cooperation, emphasizing the importance of international cooperation and communication among courts, insolvency representatives, and creditors to achieve the fair and efficient administration of cross-border insolvency cases. Additionally, they both prioritize the protection of the interests of all stakeholders involved, including creditors, debtors, and other affected parties.</w:t>
      </w:r>
    </w:p>
    <w:p w14:paraId="3F35997B" w14:textId="77777777" w:rsidR="001D792F" w:rsidRPr="001D792F" w:rsidRDefault="001D792F" w:rsidP="001D792F">
      <w:pPr>
        <w:jc w:val="both"/>
        <w:rPr>
          <w:rFonts w:ascii="Avenir Next" w:hAnsi="Avenir Next" w:cs="Arial"/>
          <w:color w:val="808080" w:themeColor="background1" w:themeShade="80"/>
          <w:sz w:val="22"/>
          <w:szCs w:val="22"/>
        </w:rPr>
      </w:pPr>
    </w:p>
    <w:p w14:paraId="064DD762"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However, there are also notable differences between the Model Law and the BIA. One significant difference lies in their legal status and applicability. The Model Law is an international legal framework developed by UNCITRAL and adopted by individual countries through domestic legislation or treaty arrangements. In contrast, the BIA is a national insolvency statute specific to Canada, governing insolvency proceedings within its jurisdiction.</w:t>
      </w:r>
    </w:p>
    <w:p w14:paraId="734C79F4" w14:textId="77777777" w:rsidR="001D792F" w:rsidRPr="001D792F" w:rsidRDefault="001D792F" w:rsidP="001D792F">
      <w:pPr>
        <w:jc w:val="both"/>
        <w:rPr>
          <w:rFonts w:ascii="Avenir Next" w:hAnsi="Avenir Next" w:cs="Arial"/>
          <w:color w:val="808080" w:themeColor="background1" w:themeShade="80"/>
          <w:sz w:val="22"/>
          <w:szCs w:val="22"/>
        </w:rPr>
      </w:pPr>
    </w:p>
    <w:p w14:paraId="57EF7E0D"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Another difference is the scope of application. While the Model Law provides a comprehensive framework for the recognition and assistance of cross-border insolvency proceedings, the BIA primarily applies to domestic insolvency proceedings within Canada. However, the BIA does contain provisions for recognizing and cooperating with foreign insolvency proceedings under certain circumstances, aligning with the principles of the Model Law.</w:t>
      </w:r>
    </w:p>
    <w:p w14:paraId="19C38EAB" w14:textId="77777777" w:rsidR="001D792F" w:rsidRPr="001D792F" w:rsidRDefault="001D792F" w:rsidP="001D792F">
      <w:pPr>
        <w:jc w:val="both"/>
        <w:rPr>
          <w:rFonts w:ascii="Avenir Next" w:hAnsi="Avenir Next" w:cs="Arial"/>
          <w:color w:val="808080" w:themeColor="background1" w:themeShade="80"/>
          <w:sz w:val="22"/>
          <w:szCs w:val="22"/>
        </w:rPr>
      </w:pPr>
    </w:p>
    <w:p w14:paraId="7E44F6B5"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Moreover, there may be differences in specific procedural aspects and requirements between the Model Law and the BIA. For example, while both frameworks emphasize the importance of cooperation and communication between courts and insolvency representatives, the specific procedures for recognition and cooperation may differ in practice due to variations in national legal systems and practices.</w:t>
      </w:r>
    </w:p>
    <w:p w14:paraId="36B96D9F" w14:textId="77777777" w:rsidR="001D792F" w:rsidRPr="001D792F" w:rsidRDefault="001D792F" w:rsidP="001D792F">
      <w:pPr>
        <w:jc w:val="both"/>
        <w:rPr>
          <w:rFonts w:ascii="Avenir Next" w:hAnsi="Avenir Next" w:cs="Arial"/>
          <w:color w:val="808080" w:themeColor="background1" w:themeShade="80"/>
          <w:sz w:val="22"/>
          <w:szCs w:val="22"/>
        </w:rPr>
      </w:pPr>
    </w:p>
    <w:p w14:paraId="06C2AA81" w14:textId="02AF4DF3" w:rsidR="001D2BFF" w:rsidRPr="00237CA8"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In conclusion, while the UNCITRAL Model Law on Cross-Border Insolvency and the Bankruptcy and Insolvency Act share common objectives and principles, they also exhibit differences in their scope, legal status, and procedural aspects.</w:t>
      </w:r>
      <w:r w:rsidR="001D2BFF">
        <w:rPr>
          <w:rFonts w:ascii="Avenir Next" w:hAnsi="Avenir Next" w:cs="Arial"/>
          <w:color w:val="808080" w:themeColor="background1" w:themeShade="80"/>
          <w:sz w:val="22"/>
          <w:szCs w:val="22"/>
        </w:rPr>
        <w:t>]</w:t>
      </w:r>
    </w:p>
    <w:p w14:paraId="57BA6B66" w14:textId="6BDEA8E8" w:rsidR="00C57600" w:rsidRDefault="00C57600" w:rsidP="004D67B3">
      <w:pPr>
        <w:jc w:val="both"/>
        <w:rPr>
          <w:rFonts w:ascii="Avenir Next" w:hAnsi="Avenir Next" w:cs="Arial"/>
          <w:color w:val="808080" w:themeColor="background1" w:themeShade="80"/>
          <w:sz w:val="22"/>
          <w:szCs w:val="22"/>
          <w:lang w:val="en-GB"/>
        </w:rPr>
      </w:pPr>
    </w:p>
    <w:p w14:paraId="5802B9D3" w14:textId="7B9FC311" w:rsidR="004D16A3" w:rsidRDefault="004D16A3"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018B33CF" w14:textId="77777777" w:rsidR="00110EDE" w:rsidRPr="00BC58E2" w:rsidRDefault="00110EDE" w:rsidP="00110EDE">
      <w:pPr>
        <w:jc w:val="both"/>
        <w:rPr>
          <w:rFonts w:ascii="Avenir Next" w:hAnsi="Avenir Next" w:cs="Arial"/>
          <w:sz w:val="22"/>
          <w:szCs w:val="22"/>
          <w:lang w:val="en-GB"/>
        </w:rPr>
      </w:pPr>
      <w:r w:rsidRPr="00BC58E2">
        <w:rPr>
          <w:rFonts w:ascii="Avenir Next" w:hAnsi="Avenir Next" w:cs="Arial"/>
          <w:sz w:val="22"/>
          <w:szCs w:val="22"/>
          <w:lang w:val="en-GB"/>
        </w:rPr>
        <w:t xml:space="preserve">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w:t>
      </w:r>
      <w:r w:rsidRPr="00BC58E2">
        <w:rPr>
          <w:rFonts w:ascii="Avenir Next" w:hAnsi="Avenir Next" w:cs="Arial"/>
          <w:sz w:val="22"/>
          <w:szCs w:val="22"/>
          <w:lang w:val="en-GB"/>
        </w:rPr>
        <w:lastRenderedPageBreak/>
        <w:t xml:space="preserve">including to customers in Canada. Due to currency exchange- and supply-related issues, the company has been unable to maintain liquidity and has defaulted on various loans to its foreign-based secured lenders who are owed CAD 200 million plus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w:t>
      </w:r>
      <w:proofErr w:type="gramStart"/>
      <w:r w:rsidRPr="00BC58E2">
        <w:rPr>
          <w:rFonts w:ascii="Avenir Next" w:hAnsi="Avenir Next" w:cs="Arial"/>
          <w:sz w:val="22"/>
          <w:szCs w:val="22"/>
          <w:lang w:val="en-GB"/>
        </w:rPr>
        <w:t>in order to</w:t>
      </w:r>
      <w:proofErr w:type="gramEnd"/>
      <w:r w:rsidRPr="00BC58E2">
        <w:rPr>
          <w:rFonts w:ascii="Avenir Next" w:hAnsi="Avenir Next" w:cs="Arial"/>
          <w:sz w:val="22"/>
          <w:szCs w:val="22"/>
          <w:lang w:val="en-GB"/>
        </w:rPr>
        <w:t xml:space="preserve"> maximise recoveries and provide for an equitable distribution of value among all creditors. </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3AFE9074" w14:textId="77777777" w:rsidR="003B68F8" w:rsidRPr="003B68F8" w:rsidRDefault="003B68F8" w:rsidP="003B68F8">
      <w:pPr>
        <w:jc w:val="both"/>
        <w:rPr>
          <w:rFonts w:ascii="Avenir Next" w:hAnsi="Avenir Next" w:cs="Arial"/>
          <w:sz w:val="22"/>
          <w:szCs w:val="22"/>
          <w:u w:val="single"/>
          <w:lang w:val="en-GB"/>
        </w:rPr>
      </w:pPr>
      <w:r w:rsidRPr="003B68F8">
        <w:rPr>
          <w:rFonts w:ascii="Avenir Next" w:hAnsi="Avenir Next" w:cs="Arial"/>
          <w:sz w:val="22"/>
          <w:szCs w:val="22"/>
          <w:u w:val="single"/>
          <w:lang w:val="en-GB"/>
        </w:rPr>
        <w:t>Using the facts above, answer the questions that follow.</w:t>
      </w:r>
    </w:p>
    <w:p w14:paraId="6C11817C" w14:textId="77777777" w:rsidR="001D2BFF" w:rsidRDefault="001D2BFF" w:rsidP="003B68F8">
      <w:pPr>
        <w:pStyle w:val="INSOLstyleheading4"/>
        <w:ind w:left="0" w:firstLine="0"/>
        <w:rPr>
          <w:rFonts w:ascii="Avenir Next Demi Bold" w:hAnsi="Avenir Next Demi Bold"/>
          <w:iCs w:val="0"/>
        </w:rPr>
      </w:pPr>
    </w:p>
    <w:p w14:paraId="4DA3E7BB" w14:textId="637A7619" w:rsidR="00F47A63" w:rsidRPr="00B1461F" w:rsidRDefault="00F47A63" w:rsidP="003B68F8">
      <w:pPr>
        <w:pStyle w:val="INSOLstyleheading4"/>
        <w:ind w:left="0" w:firstLine="0"/>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0CD26DFB" w14:textId="21ADD426" w:rsidR="00A529AB" w:rsidRPr="00E96697" w:rsidRDefault="00A529AB" w:rsidP="00A529AB">
      <w:pPr>
        <w:autoSpaceDE w:val="0"/>
        <w:autoSpaceDN w:val="0"/>
        <w:adjustRightInd w:val="0"/>
        <w:jc w:val="both"/>
        <w:rPr>
          <w:rFonts w:ascii="Avenir Next" w:hAnsi="Avenir Next" w:cs="Arial"/>
          <w:sz w:val="22"/>
          <w:szCs w:val="22"/>
        </w:rPr>
      </w:pPr>
      <w:r w:rsidRPr="00E96697">
        <w:rPr>
          <w:rFonts w:ascii="Avenir Next" w:hAnsi="Avenir Next" w:cs="Arial"/>
          <w:sz w:val="22"/>
          <w:szCs w:val="22"/>
          <w:lang w:val="en-GB"/>
        </w:rPr>
        <w:t>The foreign agent wants to understand the</w:t>
      </w:r>
      <w:r>
        <w:rPr>
          <w:rFonts w:ascii="Avenir Next" w:hAnsi="Avenir Next" w:cs="Arial"/>
          <w:sz w:val="22"/>
          <w:szCs w:val="22"/>
          <w:lang w:val="en-GB"/>
        </w:rPr>
        <w:t xml:space="preserve"> likelihood of satisfying the </w:t>
      </w:r>
      <w:r w:rsidRPr="00E96697">
        <w:rPr>
          <w:rFonts w:ascii="Avenir Next" w:hAnsi="Avenir Next" w:cs="Arial"/>
          <w:sz w:val="22"/>
          <w:szCs w:val="22"/>
          <w:lang w:val="en-GB"/>
        </w:rPr>
        <w:t xml:space="preserve">formal proof requirements to obtain recognition of the foreign proceeding in Canada and the implications if the Canadian court holds that the foreign proceedings are recognized as a </w:t>
      </w:r>
      <w:r w:rsidRPr="00E96697">
        <w:rPr>
          <w:rFonts w:ascii="Avenir Next" w:hAnsi="Avenir Next"/>
          <w:sz w:val="22"/>
          <w:szCs w:val="22"/>
        </w:rPr>
        <w:t>“foreign main proceeding” versus a “foreign non-main proceeding”</w:t>
      </w:r>
      <w:r>
        <w:rPr>
          <w:rFonts w:ascii="Avenir Next" w:hAnsi="Avenir Next"/>
          <w:sz w:val="22"/>
          <w:szCs w:val="22"/>
        </w:rPr>
        <w:t>.</w:t>
      </w:r>
      <w:r w:rsidRPr="00E96697">
        <w:rPr>
          <w:rFonts w:ascii="Avenir Next" w:hAnsi="Avenir Next" w:cs="Arial"/>
          <w:sz w:val="22"/>
          <w:szCs w:val="22"/>
        </w:rPr>
        <w:t xml:space="preserve"> </w:t>
      </w:r>
      <w:r w:rsidRPr="00E96697">
        <w:rPr>
          <w:rFonts w:ascii="Avenir Next" w:hAnsi="Avenir Next" w:cs="Arial"/>
          <w:sz w:val="22"/>
          <w:szCs w:val="22"/>
          <w:lang w:val="en-GB"/>
        </w:rPr>
        <w:t>What would you inform the foreign agent in this regard?</w:t>
      </w:r>
    </w:p>
    <w:p w14:paraId="04771B55" w14:textId="77777777" w:rsidR="00F47A63" w:rsidRPr="00A529AB" w:rsidRDefault="00F47A63" w:rsidP="00D234C2">
      <w:pPr>
        <w:jc w:val="both"/>
        <w:rPr>
          <w:rFonts w:ascii="Avenir Next" w:eastAsia="Calibri" w:hAnsi="Avenir Next" w:cs="Arial"/>
          <w:sz w:val="22"/>
          <w:szCs w:val="22"/>
        </w:rPr>
      </w:pPr>
    </w:p>
    <w:p w14:paraId="589A7059" w14:textId="77777777" w:rsidR="001D792F" w:rsidRPr="001D792F" w:rsidRDefault="001D2BFF" w:rsidP="001D792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001D792F" w:rsidRPr="001D792F">
        <w:rPr>
          <w:rFonts w:ascii="Avenir Next" w:hAnsi="Avenir Next" w:cs="Arial"/>
          <w:color w:val="808080" w:themeColor="background1" w:themeShade="80"/>
          <w:sz w:val="22"/>
          <w:szCs w:val="22"/>
        </w:rPr>
        <w:t>In Canada, recognition of foreign insolvency proceedings is governed by the UNCITRAL Model Law on Cross-Border Insolvency, adopted in Canada through the Companies' Creditors Arrangement Act (CCAA) and the Bankruptcy and Insolvency Act (BIA). To obtain recognition of the foreign proceeding, the foreign agent must satisfy certain formal proof requirements.</w:t>
      </w:r>
    </w:p>
    <w:p w14:paraId="37D4FDD8" w14:textId="77777777" w:rsidR="001D792F" w:rsidRPr="001D792F" w:rsidRDefault="001D792F" w:rsidP="001D792F">
      <w:pPr>
        <w:jc w:val="both"/>
        <w:rPr>
          <w:rFonts w:ascii="Avenir Next" w:hAnsi="Avenir Next" w:cs="Arial"/>
          <w:color w:val="808080" w:themeColor="background1" w:themeShade="80"/>
          <w:sz w:val="22"/>
          <w:szCs w:val="22"/>
        </w:rPr>
      </w:pPr>
    </w:p>
    <w:p w14:paraId="011B1673"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Firstly, the foreign agent must demonstrate that the proceeding meets the definition of "foreign proceeding" under the Model Law. This requires showing that the proceeding is a collective judicial or administrative proceeding in a foreign jurisdiction, pursuant to a law relating to insolvency or adjustment of debt.</w:t>
      </w:r>
    </w:p>
    <w:p w14:paraId="0738D821" w14:textId="77777777" w:rsidR="001D792F" w:rsidRPr="001D792F" w:rsidRDefault="001D792F" w:rsidP="001D792F">
      <w:pPr>
        <w:jc w:val="both"/>
        <w:rPr>
          <w:rFonts w:ascii="Avenir Next" w:hAnsi="Avenir Next" w:cs="Arial"/>
          <w:color w:val="808080" w:themeColor="background1" w:themeShade="80"/>
          <w:sz w:val="22"/>
          <w:szCs w:val="22"/>
        </w:rPr>
      </w:pPr>
    </w:p>
    <w:p w14:paraId="2AC80CC2"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Secondly, the foreign agent must establish that the foreign proceeding falls within the definition of either a "foreign main proceeding" or a "foreign non-main proceeding." A foreign main proceeding is one taking place where the debtor has its center of main interests (COMI), while a foreign non-main proceeding is one occurring in a jurisdiction where the debtor has an establishment but not its COMI.</w:t>
      </w:r>
    </w:p>
    <w:p w14:paraId="579E383E" w14:textId="77777777" w:rsidR="001D792F" w:rsidRPr="001D792F" w:rsidRDefault="001D792F" w:rsidP="001D792F">
      <w:pPr>
        <w:jc w:val="both"/>
        <w:rPr>
          <w:rFonts w:ascii="Avenir Next" w:hAnsi="Avenir Next" w:cs="Arial"/>
          <w:color w:val="808080" w:themeColor="background1" w:themeShade="80"/>
          <w:sz w:val="22"/>
          <w:szCs w:val="22"/>
        </w:rPr>
      </w:pPr>
    </w:p>
    <w:p w14:paraId="6BE088D6"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In this case, if the head office of the online seller is registered in the foreign jurisdiction where senior management operates, and this is also where the fulfillment office and warehouse are located, it is likely that the foreign proceeding could be considered a foreign main proceeding. However, further analysis would be needed to confirm whether the criteria for COMI are met.</w:t>
      </w:r>
    </w:p>
    <w:p w14:paraId="1FEE67E4" w14:textId="77777777" w:rsidR="001D792F" w:rsidRPr="001D792F" w:rsidRDefault="001D792F" w:rsidP="001D792F">
      <w:pPr>
        <w:jc w:val="both"/>
        <w:rPr>
          <w:rFonts w:ascii="Avenir Next" w:hAnsi="Avenir Next" w:cs="Arial"/>
          <w:color w:val="808080" w:themeColor="background1" w:themeShade="80"/>
          <w:sz w:val="22"/>
          <w:szCs w:val="22"/>
        </w:rPr>
      </w:pPr>
    </w:p>
    <w:p w14:paraId="511AD790" w14:textId="181449E8" w:rsidR="001D2BFF" w:rsidRPr="00237CA8"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 xml:space="preserve">If the foreign proceeding is recognized as a foreign main proceeding, the Canadian court is likely to grant automatic recognition and </w:t>
      </w:r>
      <w:proofErr w:type="gramStart"/>
      <w:r w:rsidRPr="001D792F">
        <w:rPr>
          <w:rFonts w:ascii="Avenir Next" w:hAnsi="Avenir Next" w:cs="Arial"/>
          <w:color w:val="808080" w:themeColor="background1" w:themeShade="80"/>
          <w:sz w:val="22"/>
          <w:szCs w:val="22"/>
        </w:rPr>
        <w:t>provide assistance to</w:t>
      </w:r>
      <w:proofErr w:type="gramEnd"/>
      <w:r w:rsidRPr="001D792F">
        <w:rPr>
          <w:rFonts w:ascii="Avenir Next" w:hAnsi="Avenir Next" w:cs="Arial"/>
          <w:color w:val="808080" w:themeColor="background1" w:themeShade="80"/>
          <w:sz w:val="22"/>
          <w:szCs w:val="22"/>
        </w:rPr>
        <w:t xml:space="preserve"> the foreign representative, including staying proceedings against the debtor and facilitating the administration of the debtor's assets in Canada. On the other hand, if the proceeding is classified as a foreign non-main proceeding, the recognition process may be more limited, and the Canadian court may exercise discretion in </w:t>
      </w:r>
      <w:proofErr w:type="gramStart"/>
      <w:r w:rsidRPr="001D792F">
        <w:rPr>
          <w:rFonts w:ascii="Avenir Next" w:hAnsi="Avenir Next" w:cs="Arial"/>
          <w:color w:val="808080" w:themeColor="background1" w:themeShade="80"/>
          <w:sz w:val="22"/>
          <w:szCs w:val="22"/>
        </w:rPr>
        <w:t>providing assistance</w:t>
      </w:r>
      <w:proofErr w:type="gramEnd"/>
      <w:r w:rsidRPr="001D792F">
        <w:rPr>
          <w:rFonts w:ascii="Avenir Next" w:hAnsi="Avenir Next" w:cs="Arial"/>
          <w:color w:val="808080" w:themeColor="background1" w:themeShade="80"/>
          <w:sz w:val="22"/>
          <w:szCs w:val="22"/>
        </w:rPr>
        <w:t>.</w:t>
      </w:r>
      <w:r w:rsidR="001D2BFF">
        <w:rPr>
          <w:rFonts w:ascii="Avenir Next" w:hAnsi="Avenir Next" w:cs="Arial"/>
          <w:color w:val="808080" w:themeColor="background1" w:themeShade="80"/>
          <w:sz w:val="22"/>
          <w:szCs w:val="22"/>
        </w:rPr>
        <w:t>]</w:t>
      </w: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E6344A">
      <w:pPr>
        <w:jc w:val="both"/>
        <w:rPr>
          <w:rFonts w:ascii="Avenir Next" w:hAnsi="Avenir Next" w:cs="Arial"/>
          <w:b/>
          <w:bCs/>
          <w:sz w:val="22"/>
          <w:szCs w:val="22"/>
          <w:shd w:val="clear" w:color="auto" w:fill="FFFFFF"/>
          <w:lang w:val="en-GB"/>
        </w:rPr>
      </w:pPr>
    </w:p>
    <w:p w14:paraId="127EDA6A" w14:textId="77777777" w:rsidR="00E6344A" w:rsidRPr="0044131A" w:rsidRDefault="00E6344A" w:rsidP="00E6344A">
      <w:pPr>
        <w:jc w:val="both"/>
        <w:rPr>
          <w:rFonts w:ascii="Avenir Next" w:hAnsi="Avenir Next" w:cs="Arial"/>
          <w:sz w:val="22"/>
          <w:szCs w:val="22"/>
          <w:lang w:val="en-GB"/>
        </w:rPr>
      </w:pPr>
      <w:r w:rsidRPr="0044131A">
        <w:rPr>
          <w:rFonts w:ascii="Avenir Next" w:hAnsi="Avenir Next" w:cs="Arial"/>
          <w:sz w:val="22"/>
          <w:szCs w:val="22"/>
          <w:lang w:val="en-GB"/>
        </w:rPr>
        <w:t xml:space="preserve">The foreign agent wants to understand </w:t>
      </w:r>
      <w:proofErr w:type="gramStart"/>
      <w:r w:rsidRPr="0044131A">
        <w:rPr>
          <w:rFonts w:ascii="Avenir Next" w:hAnsi="Avenir Next" w:cs="Arial"/>
          <w:sz w:val="22"/>
          <w:szCs w:val="22"/>
          <w:lang w:val="en-GB"/>
        </w:rPr>
        <w:t>whether or not</w:t>
      </w:r>
      <w:proofErr w:type="gramEnd"/>
      <w:r w:rsidRPr="0044131A">
        <w:rPr>
          <w:rFonts w:ascii="Avenir Next" w:hAnsi="Avenir Next" w:cs="Arial"/>
          <w:sz w:val="22"/>
          <w:szCs w:val="22"/>
          <w:lang w:val="en-GB"/>
        </w:rPr>
        <w:t xml:space="preserve"> you believe the Canadian </w:t>
      </w:r>
      <w:r>
        <w:rPr>
          <w:rFonts w:ascii="Avenir Next" w:hAnsi="Avenir Next" w:cs="Arial"/>
          <w:sz w:val="22"/>
          <w:szCs w:val="22"/>
          <w:lang w:val="en-GB"/>
        </w:rPr>
        <w:t>c</w:t>
      </w:r>
      <w:r w:rsidRPr="0044131A">
        <w:rPr>
          <w:rFonts w:ascii="Avenir Next" w:hAnsi="Avenir Next" w:cs="Arial"/>
          <w:sz w:val="22"/>
          <w:szCs w:val="22"/>
          <w:lang w:val="en-GB"/>
        </w:rPr>
        <w:t xml:space="preserve">ourt can grant an order for the Canadian resident who was in charge of the fulfilment office and warehouse in Canada to produce financial statements and inter-company correspondence of the online seller in accordance </w:t>
      </w:r>
      <w:r w:rsidRPr="0044131A">
        <w:rPr>
          <w:rFonts w:ascii="Avenir Next" w:hAnsi="Avenir Next" w:cs="Arial"/>
          <w:sz w:val="22"/>
          <w:szCs w:val="22"/>
          <w:lang w:val="en-GB"/>
        </w:rPr>
        <w:lastRenderedPageBreak/>
        <w:t>with the civil procedure of the foreign jurisdiction</w:t>
      </w:r>
      <w:r>
        <w:rPr>
          <w:rFonts w:ascii="Avenir Next" w:hAnsi="Avenir Next" w:cs="Arial"/>
          <w:sz w:val="22"/>
          <w:szCs w:val="22"/>
          <w:lang w:val="en-GB"/>
        </w:rPr>
        <w:t xml:space="preserve">. </w:t>
      </w:r>
      <w:r w:rsidRPr="0044131A">
        <w:rPr>
          <w:rFonts w:ascii="Avenir Next" w:hAnsi="Avenir Next" w:cs="Arial"/>
          <w:sz w:val="22"/>
          <w:szCs w:val="22"/>
          <w:lang w:val="en-GB"/>
        </w:rPr>
        <w:t>What would you inform the foreign agent in this regard?</w:t>
      </w:r>
    </w:p>
    <w:p w14:paraId="3A3483DF" w14:textId="77777777" w:rsidR="003825C7" w:rsidRDefault="003825C7" w:rsidP="00F47A63">
      <w:pPr>
        <w:jc w:val="both"/>
        <w:rPr>
          <w:rFonts w:ascii="Avenir Next" w:hAnsi="Avenir Next" w:cs="Arial"/>
          <w:sz w:val="22"/>
          <w:szCs w:val="22"/>
          <w:lang w:val="en-GB"/>
        </w:rPr>
      </w:pPr>
    </w:p>
    <w:p w14:paraId="2C29F6A8" w14:textId="77777777" w:rsidR="001D792F" w:rsidRPr="001D792F" w:rsidRDefault="001D2BFF" w:rsidP="001D792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001D792F" w:rsidRPr="001D792F">
        <w:rPr>
          <w:rFonts w:ascii="Avenir Next" w:hAnsi="Avenir Next" w:cs="Arial"/>
          <w:color w:val="808080" w:themeColor="background1" w:themeShade="80"/>
          <w:sz w:val="22"/>
          <w:szCs w:val="22"/>
        </w:rPr>
        <w:t>Firstly, the legal principles governing the production of documents in Canada may differ from those in the foreign jurisdiction. In Canada, the production of documents is typically governed by rules of civil procedure and may require compliance with specific legal standards, such as relevance, privilege, and proportionality. However, the rules regarding the production of documents in the foreign jurisdiction may have different requirements and standards.</w:t>
      </w:r>
    </w:p>
    <w:p w14:paraId="60E84EEA" w14:textId="77777777" w:rsidR="001D792F" w:rsidRPr="001D792F" w:rsidRDefault="001D792F" w:rsidP="001D792F">
      <w:pPr>
        <w:jc w:val="both"/>
        <w:rPr>
          <w:rFonts w:ascii="Avenir Next" w:hAnsi="Avenir Next" w:cs="Arial"/>
          <w:color w:val="808080" w:themeColor="background1" w:themeShade="80"/>
          <w:sz w:val="22"/>
          <w:szCs w:val="22"/>
        </w:rPr>
      </w:pPr>
    </w:p>
    <w:p w14:paraId="4B285693"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Secondly, the jurisdiction of Canadian courts to compel the production of documents may depend on various factors, including the nature of the documents sought, the parties involved, and the specific circumstances of the case. Canadian courts generally have broad powers to compel the production of relevant documents, but there may be limitations or exceptions based on factors such as privilege, confidentiality, and foreign jurisdiction.</w:t>
      </w:r>
    </w:p>
    <w:p w14:paraId="658E30FF" w14:textId="77777777" w:rsidR="001D792F" w:rsidRPr="001D792F" w:rsidRDefault="001D792F" w:rsidP="001D792F">
      <w:pPr>
        <w:jc w:val="both"/>
        <w:rPr>
          <w:rFonts w:ascii="Avenir Next" w:hAnsi="Avenir Next" w:cs="Arial"/>
          <w:color w:val="808080" w:themeColor="background1" w:themeShade="80"/>
          <w:sz w:val="22"/>
          <w:szCs w:val="22"/>
        </w:rPr>
      </w:pPr>
    </w:p>
    <w:p w14:paraId="1AFAA08C"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Thirdly, the Canadian resident's role and authority within the online seller's organization, as well as the location of the documents in question, may impact the Canadian court's jurisdiction to compel production. If the documents are located within Canada and the Canadian resident has control or possession over them in their capacity as an officer or employee of the online seller, the Canadian court may have jurisdiction to order production.</w:t>
      </w:r>
    </w:p>
    <w:p w14:paraId="1BEDE2A5" w14:textId="77777777" w:rsidR="001D792F" w:rsidRPr="001D792F" w:rsidRDefault="001D792F" w:rsidP="001D792F">
      <w:pPr>
        <w:jc w:val="both"/>
        <w:rPr>
          <w:rFonts w:ascii="Avenir Next" w:hAnsi="Avenir Next" w:cs="Arial"/>
          <w:color w:val="808080" w:themeColor="background1" w:themeShade="80"/>
          <w:sz w:val="22"/>
          <w:szCs w:val="22"/>
        </w:rPr>
      </w:pPr>
    </w:p>
    <w:p w14:paraId="101C87DF"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However, it's essential to recognize that any order issued by a Canadian court must comply with principles of international comity and respect for the sovereignty of foreign jurisdictions. Therefore, the Canadian court may consider factors such as the nature of the foreign proceedings, the interests of justice, and the potential impact on international relations before granting an order for production of documents that would be subject to the civil procedure of the foreign jurisdiction.</w:t>
      </w:r>
    </w:p>
    <w:p w14:paraId="319524C5" w14:textId="77777777" w:rsidR="001D792F" w:rsidRPr="001D792F" w:rsidRDefault="001D792F" w:rsidP="001D792F">
      <w:pPr>
        <w:jc w:val="both"/>
        <w:rPr>
          <w:rFonts w:ascii="Avenir Next" w:hAnsi="Avenir Next" w:cs="Arial"/>
          <w:color w:val="808080" w:themeColor="background1" w:themeShade="80"/>
          <w:sz w:val="22"/>
          <w:szCs w:val="22"/>
        </w:rPr>
      </w:pPr>
    </w:p>
    <w:p w14:paraId="574894AA" w14:textId="41B05A3B" w:rsidR="001D2BFF" w:rsidRPr="00237CA8"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 xml:space="preserve">Ultimately, whether the Canadian court can grant an order </w:t>
      </w:r>
      <w:proofErr w:type="gramStart"/>
      <w:r w:rsidRPr="001D792F">
        <w:rPr>
          <w:rFonts w:ascii="Avenir Next" w:hAnsi="Avenir Next" w:cs="Arial"/>
          <w:color w:val="808080" w:themeColor="background1" w:themeShade="80"/>
          <w:sz w:val="22"/>
          <w:szCs w:val="22"/>
        </w:rPr>
        <w:t>for the production of</w:t>
      </w:r>
      <w:proofErr w:type="gramEnd"/>
      <w:r w:rsidRPr="001D792F">
        <w:rPr>
          <w:rFonts w:ascii="Avenir Next" w:hAnsi="Avenir Next" w:cs="Arial"/>
          <w:color w:val="808080" w:themeColor="background1" w:themeShade="80"/>
          <w:sz w:val="22"/>
          <w:szCs w:val="22"/>
        </w:rPr>
        <w:t xml:space="preserve"> financial statements and inter-company correspondence of the online seller by the Canadian resident will depend on a thorough analysis of the relevant legal principles, procedural requirements, and the specific circumstances of the case.</w:t>
      </w:r>
      <w:r w:rsidR="001D2BFF">
        <w:rPr>
          <w:rFonts w:ascii="Avenir Next" w:hAnsi="Avenir Next" w:cs="Arial"/>
          <w:color w:val="808080" w:themeColor="background1" w:themeShade="80"/>
          <w:sz w:val="22"/>
          <w:szCs w:val="22"/>
        </w:rPr>
        <w:t>]</w:t>
      </w:r>
    </w:p>
    <w:p w14:paraId="533ED754" w14:textId="5CBDC29E" w:rsidR="00C57600" w:rsidRDefault="00C57600" w:rsidP="006F4E04">
      <w:pPr>
        <w:rPr>
          <w:lang w:val="en-GB"/>
        </w:rPr>
      </w:pPr>
    </w:p>
    <w:p w14:paraId="59CF4C41" w14:textId="77777777" w:rsidR="004D16A3" w:rsidRPr="006F4E04" w:rsidRDefault="004D16A3"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306A4E8D" w14:textId="214D34C3" w:rsidR="00B7660E" w:rsidRPr="004672D0" w:rsidRDefault="00B7660E" w:rsidP="00B7660E">
      <w:pPr>
        <w:jc w:val="both"/>
        <w:rPr>
          <w:rFonts w:ascii="Avenir Next" w:hAnsi="Avenir Next" w:cs="Arial"/>
          <w:sz w:val="22"/>
          <w:szCs w:val="22"/>
          <w:lang w:val="en-GB"/>
        </w:rPr>
      </w:pPr>
      <w:r w:rsidRPr="004672D0">
        <w:rPr>
          <w:rFonts w:ascii="Avenir Next" w:eastAsia="Calibri" w:hAnsi="Avenir Next" w:cs="Arial"/>
          <w:sz w:val="22"/>
          <w:szCs w:val="22"/>
          <w:lang w:val="en-ZA"/>
        </w:rPr>
        <w:t xml:space="preserve">The foreign agent wants to understand </w:t>
      </w:r>
      <w:r w:rsidRPr="004672D0">
        <w:rPr>
          <w:rFonts w:ascii="Avenir Next" w:hAnsi="Avenir Next" w:cs="Arial"/>
          <w:sz w:val="22"/>
          <w:szCs w:val="22"/>
          <w:lang w:val="en-GB"/>
        </w:rPr>
        <w:t xml:space="preserve">whether any </w:t>
      </w:r>
      <w:r>
        <w:rPr>
          <w:rFonts w:ascii="Avenir Next" w:hAnsi="Avenir Next" w:cs="Arial"/>
          <w:sz w:val="22"/>
          <w:szCs w:val="22"/>
          <w:lang w:val="en-GB"/>
        </w:rPr>
        <w:t xml:space="preserve">public </w:t>
      </w:r>
      <w:r w:rsidRPr="004672D0">
        <w:rPr>
          <w:rFonts w:ascii="Avenir Next" w:hAnsi="Avenir Next" w:cs="Arial"/>
          <w:sz w:val="22"/>
          <w:szCs w:val="22"/>
          <w:lang w:val="en-GB"/>
        </w:rPr>
        <w:t xml:space="preserve">policy considerations would influence the court to refuse to act even if the foreign proceeding meets the requirements under either the BIA </w:t>
      </w:r>
      <w:r w:rsidR="007F3089" w:rsidRPr="004672D0">
        <w:rPr>
          <w:rFonts w:ascii="Avenir Next" w:hAnsi="Avenir Next" w:cs="Arial"/>
          <w:sz w:val="22"/>
          <w:szCs w:val="22"/>
          <w:lang w:val="en-GB"/>
        </w:rPr>
        <w:t>or</w:t>
      </w:r>
      <w:r w:rsidRPr="004672D0">
        <w:rPr>
          <w:rFonts w:ascii="Avenir Next" w:hAnsi="Avenir Next" w:cs="Arial"/>
          <w:sz w:val="22"/>
          <w:szCs w:val="22"/>
          <w:lang w:val="en-GB"/>
        </w:rPr>
        <w:t xml:space="preserve"> CCAA. What would you inform the foreign agent in this regard? </w:t>
      </w:r>
    </w:p>
    <w:p w14:paraId="1D7A54B0" w14:textId="77777777" w:rsidR="00D97579" w:rsidRPr="00FC1BC1" w:rsidRDefault="00D97579" w:rsidP="00E025FA">
      <w:pPr>
        <w:jc w:val="both"/>
        <w:rPr>
          <w:rFonts w:ascii="Avenir Next" w:hAnsi="Avenir Next" w:cs="Arial"/>
          <w:sz w:val="22"/>
          <w:szCs w:val="22"/>
          <w:lang w:val="en-GB"/>
        </w:rPr>
      </w:pPr>
    </w:p>
    <w:p w14:paraId="398ADC43" w14:textId="77777777" w:rsidR="001D792F" w:rsidRPr="001D792F" w:rsidRDefault="001D2BFF" w:rsidP="001D792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001D792F" w:rsidRPr="001D792F">
        <w:rPr>
          <w:rFonts w:ascii="Avenir Next" w:hAnsi="Avenir Next" w:cs="Arial"/>
          <w:color w:val="808080" w:themeColor="background1" w:themeShade="80"/>
          <w:sz w:val="22"/>
          <w:szCs w:val="22"/>
        </w:rPr>
        <w:t>Fraudulent or Contrary to Public Policy: Canadian courts may refuse to recognize a foreign proceeding if it is found to be fraudulent or contrary to public policy. For example, if the foreign proceeding involves conduct that violates fundamental principles of Canadian law or undermines the integrity of the Canadian legal system, such as fraud, corruption, or human rights violations, recognition may be denied.</w:t>
      </w:r>
    </w:p>
    <w:p w14:paraId="1F30B8E1" w14:textId="77777777" w:rsidR="001D792F" w:rsidRPr="001D792F" w:rsidRDefault="001D792F" w:rsidP="001D792F">
      <w:pPr>
        <w:jc w:val="both"/>
        <w:rPr>
          <w:rFonts w:ascii="Avenir Next" w:hAnsi="Avenir Next" w:cs="Arial"/>
          <w:color w:val="808080" w:themeColor="background1" w:themeShade="80"/>
          <w:sz w:val="22"/>
          <w:szCs w:val="22"/>
        </w:rPr>
      </w:pPr>
    </w:p>
    <w:p w14:paraId="2B314E9B"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Violation of Canadian Sovereignty: Canadian courts may decline to recognize a foreign proceeding if doing so would infringe upon Canadian sovereignty or interfere with the administration of justice within Canada. This could occur if the foreign proceeding seeks to assert jurisdiction over matters that are exclusively within the jurisdiction of Canadian courts or if recognition would undermine the authority of Canadian legal institutions.</w:t>
      </w:r>
    </w:p>
    <w:p w14:paraId="1DA152FF" w14:textId="77777777" w:rsidR="001D792F" w:rsidRPr="001D792F" w:rsidRDefault="001D792F" w:rsidP="001D792F">
      <w:pPr>
        <w:jc w:val="both"/>
        <w:rPr>
          <w:rFonts w:ascii="Avenir Next" w:hAnsi="Avenir Next" w:cs="Arial"/>
          <w:color w:val="808080" w:themeColor="background1" w:themeShade="80"/>
          <w:sz w:val="22"/>
          <w:szCs w:val="22"/>
        </w:rPr>
      </w:pPr>
    </w:p>
    <w:p w14:paraId="50F9CD70"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lastRenderedPageBreak/>
        <w:t>Impact on Canadian Stakeholders: Canadian courts may consider the potential impact of recognizing a foreign proceeding on Canadian stakeholders, including creditors, employees, and other affected parties. If recognition would result in unfair treatment or prejudice to Canadian interests, the court may refuse to act.</w:t>
      </w:r>
    </w:p>
    <w:p w14:paraId="1A4B227F" w14:textId="77777777" w:rsidR="001D792F" w:rsidRPr="001D792F" w:rsidRDefault="001D792F" w:rsidP="001D792F">
      <w:pPr>
        <w:jc w:val="both"/>
        <w:rPr>
          <w:rFonts w:ascii="Avenir Next" w:hAnsi="Avenir Next" w:cs="Arial"/>
          <w:color w:val="808080" w:themeColor="background1" w:themeShade="80"/>
          <w:sz w:val="22"/>
          <w:szCs w:val="22"/>
        </w:rPr>
      </w:pPr>
    </w:p>
    <w:p w14:paraId="4F772FB0" w14:textId="77777777" w:rsidR="001D792F" w:rsidRPr="001D792F"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Public Interest and Policy Goals: Canadian courts may assess whether recognition of the foreign proceeding serves the public interest and aligns with broader policy goals within Canada. This could include considerations related to economic stability, protection of consumers, promotion of fair competition, and support for international cooperation and comity.</w:t>
      </w:r>
    </w:p>
    <w:p w14:paraId="2A6D4CB4" w14:textId="77777777" w:rsidR="001D792F" w:rsidRPr="001D792F" w:rsidRDefault="001D792F" w:rsidP="001D792F">
      <w:pPr>
        <w:jc w:val="both"/>
        <w:rPr>
          <w:rFonts w:ascii="Avenir Next" w:hAnsi="Avenir Next" w:cs="Arial"/>
          <w:color w:val="808080" w:themeColor="background1" w:themeShade="80"/>
          <w:sz w:val="22"/>
          <w:szCs w:val="22"/>
        </w:rPr>
      </w:pPr>
    </w:p>
    <w:p w14:paraId="758347A6" w14:textId="3E246018" w:rsidR="001D2BFF" w:rsidRPr="00237CA8" w:rsidRDefault="001D792F" w:rsidP="001D792F">
      <w:pPr>
        <w:jc w:val="both"/>
        <w:rPr>
          <w:rFonts w:ascii="Avenir Next" w:hAnsi="Avenir Next" w:cs="Arial"/>
          <w:color w:val="808080" w:themeColor="background1" w:themeShade="80"/>
          <w:sz w:val="22"/>
          <w:szCs w:val="22"/>
        </w:rPr>
      </w:pPr>
      <w:r w:rsidRPr="001D792F">
        <w:rPr>
          <w:rFonts w:ascii="Avenir Next" w:hAnsi="Avenir Next" w:cs="Arial"/>
          <w:color w:val="808080" w:themeColor="background1" w:themeShade="80"/>
          <w:sz w:val="22"/>
          <w:szCs w:val="22"/>
        </w:rPr>
        <w:t>Abuse of Process or Forum Shopping: Canadian courts may be reluctant to recognize a foreign proceeding if it is perceived as an attempt to abuse the Canadian legal system or engage in forum shopping to obtain a favorable outcome. If the foreign proceeding lacks legitimacy or is part of a strategy to circumvent Canadian law, recognition may be refused.</w:t>
      </w:r>
      <w:r w:rsidR="001D2BFF">
        <w:rPr>
          <w:rFonts w:ascii="Avenir Next" w:hAnsi="Avenir Next" w:cs="Arial"/>
          <w:color w:val="808080" w:themeColor="background1" w:themeShade="80"/>
          <w:sz w:val="22"/>
          <w:szCs w:val="22"/>
        </w:rPr>
        <w:t>]</w:t>
      </w: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49760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926B" w14:textId="77777777" w:rsidR="0049760A" w:rsidRDefault="0049760A" w:rsidP="00241B44">
      <w:r>
        <w:separator/>
      </w:r>
    </w:p>
  </w:endnote>
  <w:endnote w:type="continuationSeparator" w:id="0">
    <w:p w14:paraId="1D4261DF" w14:textId="77777777" w:rsidR="0049760A" w:rsidRDefault="0049760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691019D"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43F7CECF" w14:textId="77777777"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7ED07D09" w14:textId="6E3CF840"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AE1A12">
          <w:rPr>
            <w:rStyle w:val="Nmerodepgina"/>
            <w:rFonts w:ascii="Arial" w:hAnsi="Arial" w:cs="Arial"/>
            <w:b/>
            <w:bCs/>
            <w:noProof/>
            <w:sz w:val="18"/>
            <w:szCs w:val="18"/>
          </w:rPr>
          <w:t>7</w:t>
        </w:r>
        <w:r w:rsidRPr="0010593A">
          <w:rPr>
            <w:rStyle w:val="Nmerodepgina"/>
            <w:rFonts w:ascii="Arial" w:hAnsi="Arial" w:cs="Arial"/>
            <w:b/>
            <w:bCs/>
            <w:sz w:val="18"/>
            <w:szCs w:val="18"/>
          </w:rPr>
          <w:fldChar w:fldCharType="end"/>
        </w:r>
      </w:p>
    </w:sdtContent>
  </w:sdt>
  <w:p w14:paraId="1F59BECD" w14:textId="4F0A3917" w:rsidR="00241FA3" w:rsidRPr="00A65D22" w:rsidRDefault="0073158B" w:rsidP="009B4976">
    <w:pPr>
      <w:pStyle w:val="Piedepgina"/>
      <w:ind w:right="360"/>
      <w:rPr>
        <w:rFonts w:ascii="Avenir Next" w:hAnsi="Avenir Next" w:cs="Arial"/>
        <w:sz w:val="18"/>
        <w:szCs w:val="18"/>
        <w:lang w:val="en-GB"/>
      </w:rPr>
    </w:pPr>
    <w:r w:rsidRPr="00A65D22">
      <w:rPr>
        <w:rFonts w:ascii="Avenir Next" w:hAnsi="Avenir Next" w:cs="Arial"/>
        <w:sz w:val="18"/>
        <w:szCs w:val="18"/>
        <w:lang w:val="en-GB"/>
      </w:rPr>
      <w:t>student</w:t>
    </w:r>
    <w:r w:rsidR="00C61146" w:rsidRPr="00A65D22">
      <w:rPr>
        <w:rFonts w:ascii="Avenir Next" w:hAnsi="Avenir Next" w:cs="Arial"/>
        <w:sz w:val="18"/>
        <w:szCs w:val="18"/>
        <w:lang w:val="en-GB"/>
      </w:rPr>
      <w:t>ID</w:t>
    </w:r>
    <w:r w:rsidRPr="00A65D22">
      <w:rPr>
        <w:rFonts w:ascii="Avenir Next" w:hAnsi="Avenir Next" w:cs="Arial"/>
        <w:sz w:val="18"/>
        <w:szCs w:val="18"/>
        <w:lang w:val="en-GB"/>
      </w:rPr>
      <w:t>.assessment</w:t>
    </w:r>
    <w:r w:rsidR="008665AF" w:rsidRPr="00A65D22">
      <w:rPr>
        <w:rFonts w:ascii="Avenir Next" w:hAnsi="Avenir Next"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4658" w14:textId="77777777" w:rsidR="0049760A" w:rsidRDefault="0049760A" w:rsidP="00241B44">
      <w:r>
        <w:separator/>
      </w:r>
    </w:p>
  </w:footnote>
  <w:footnote w:type="continuationSeparator" w:id="0">
    <w:p w14:paraId="2188B591" w14:textId="77777777" w:rsidR="0049760A" w:rsidRDefault="0049760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DF5"/>
    <w:multiLevelType w:val="hybridMultilevel"/>
    <w:tmpl w:val="4A0867CE"/>
    <w:name w:val="UnnamedList1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500F"/>
    <w:multiLevelType w:val="hybridMultilevel"/>
    <w:tmpl w:val="0A26AFF4"/>
    <w:name w:val="UnnamedList32390"/>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D3317D"/>
    <w:multiLevelType w:val="hybridMultilevel"/>
    <w:tmpl w:val="7DC46852"/>
    <w:name w:val="UnnamedList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C271B"/>
    <w:multiLevelType w:val="hybridMultilevel"/>
    <w:tmpl w:val="30602C08"/>
    <w:lvl w:ilvl="0" w:tplc="74D6BCD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7C4A8B"/>
    <w:multiLevelType w:val="hybridMultilevel"/>
    <w:tmpl w:val="F88EEB68"/>
    <w:name w:val="UnnamedList55333"/>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F47E2"/>
    <w:multiLevelType w:val="hybridMultilevel"/>
    <w:tmpl w:val="936ABC48"/>
    <w:lvl w:ilvl="0" w:tplc="FFFFFFFF">
      <w:start w:val="1"/>
      <w:numFmt w:val="lowerLetter"/>
      <w:lvlText w:val="(%1)"/>
      <w:lvlJc w:val="left"/>
      <w:pPr>
        <w:ind w:left="1440" w:hanging="360"/>
      </w:pPr>
      <w:rPr>
        <w:rFonts w:hint="default"/>
      </w:rPr>
    </w:lvl>
    <w:lvl w:ilvl="1" w:tplc="DDC6A722">
      <w:start w:val="1"/>
      <w:numFmt w:val="lowerLetter"/>
      <w:lvlText w:val="(%2)"/>
      <w:lvlJc w:val="left"/>
      <w:pPr>
        <w:ind w:left="72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1C95313"/>
    <w:multiLevelType w:val="hybridMultilevel"/>
    <w:tmpl w:val="892A8F94"/>
    <w:name w:val="UnnamedList19181"/>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B5A34"/>
    <w:multiLevelType w:val="hybridMultilevel"/>
    <w:tmpl w:val="6DFE2B38"/>
    <w:lvl w:ilvl="0" w:tplc="DDC6A722">
      <w:start w:val="1"/>
      <w:numFmt w:val="lowerLetter"/>
      <w:lvlText w:val="(%1)"/>
      <w:lvlJc w:val="left"/>
      <w:pPr>
        <w:ind w:left="720" w:hanging="360"/>
      </w:pPr>
      <w:rPr>
        <w:rFonts w:hint="default"/>
      </w:rPr>
    </w:lvl>
    <w:lvl w:ilvl="1" w:tplc="7CA419DC">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C5161A4"/>
    <w:multiLevelType w:val="hybridMultilevel"/>
    <w:tmpl w:val="4C1E7494"/>
    <w:name w:val="UnnamedList8634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D09E3"/>
    <w:multiLevelType w:val="hybridMultilevel"/>
    <w:tmpl w:val="F5684776"/>
    <w:name w:val="UnnamedList9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471BD"/>
    <w:multiLevelType w:val="hybridMultilevel"/>
    <w:tmpl w:val="3D02EB3A"/>
    <w:name w:val="UnnamedList26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B7344"/>
    <w:multiLevelType w:val="hybridMultilevel"/>
    <w:tmpl w:val="6DDCECB2"/>
    <w:name w:val="UnnamedList63221"/>
    <w:lvl w:ilvl="0" w:tplc="DDC6A7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B42313"/>
    <w:multiLevelType w:val="hybridMultilevel"/>
    <w:tmpl w:val="26C82912"/>
    <w:lvl w:ilvl="0" w:tplc="E224226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FC47410"/>
    <w:multiLevelType w:val="hybridMultilevel"/>
    <w:tmpl w:val="D716178C"/>
    <w:name w:val="UnnamedList31038"/>
    <w:lvl w:ilvl="0" w:tplc="FFFFFFFF">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29B6B17"/>
    <w:multiLevelType w:val="hybridMultilevel"/>
    <w:tmpl w:val="57863FA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64F0FAA"/>
    <w:multiLevelType w:val="hybridMultilevel"/>
    <w:tmpl w:val="5F88548C"/>
    <w:name w:val="UnnamedList55795"/>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D5A73"/>
    <w:multiLevelType w:val="hybridMultilevel"/>
    <w:tmpl w:val="02BAF34E"/>
    <w:name w:val="UnnamedList70967"/>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B2566"/>
    <w:multiLevelType w:val="hybridMultilevel"/>
    <w:tmpl w:val="F5D6B30A"/>
    <w:name w:val="UnnamedList6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52AEA"/>
    <w:multiLevelType w:val="hybridMultilevel"/>
    <w:tmpl w:val="38C89FD6"/>
    <w:name w:val="UnnamedList31251"/>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B6035"/>
    <w:multiLevelType w:val="hybridMultilevel"/>
    <w:tmpl w:val="4DBEEA94"/>
    <w:name w:val="UnnamedList49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679CB"/>
    <w:multiLevelType w:val="hybridMultilevel"/>
    <w:tmpl w:val="892E3B48"/>
    <w:name w:val="UnnamedList2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7709D"/>
    <w:multiLevelType w:val="hybridMultilevel"/>
    <w:tmpl w:val="E1CCE5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A1875B3"/>
    <w:multiLevelType w:val="hybridMultilevel"/>
    <w:tmpl w:val="8DB4DF4E"/>
    <w:name w:val="UnnamedList74893"/>
    <w:lvl w:ilvl="0" w:tplc="11DC96AE">
      <w:start w:val="1"/>
      <w:numFmt w:val="lowerLetter"/>
      <w:lvlText w:val="%1)"/>
      <w:lvlJc w:val="left"/>
      <w:pPr>
        <w:ind w:left="862" w:hanging="360"/>
      </w:pPr>
      <w:rPr>
        <w:rFonts w:hint="default"/>
        <w:i w:val="0"/>
        <w:iCs/>
      </w:rPr>
    </w:lvl>
    <w:lvl w:ilvl="1" w:tplc="3F8C709E" w:tentative="1">
      <w:start w:val="1"/>
      <w:numFmt w:val="lowerLetter"/>
      <w:lvlText w:val="%2."/>
      <w:lvlJc w:val="left"/>
      <w:pPr>
        <w:ind w:left="1582" w:hanging="360"/>
      </w:pPr>
    </w:lvl>
    <w:lvl w:ilvl="2" w:tplc="E6C6CAF0" w:tentative="1">
      <w:start w:val="1"/>
      <w:numFmt w:val="lowerRoman"/>
      <w:lvlText w:val="%3."/>
      <w:lvlJc w:val="right"/>
      <w:pPr>
        <w:ind w:left="2302" w:hanging="180"/>
      </w:pPr>
    </w:lvl>
    <w:lvl w:ilvl="3" w:tplc="06DEE1A4" w:tentative="1">
      <w:start w:val="1"/>
      <w:numFmt w:val="decimal"/>
      <w:lvlText w:val="%4."/>
      <w:lvlJc w:val="left"/>
      <w:pPr>
        <w:ind w:left="3022" w:hanging="360"/>
      </w:pPr>
    </w:lvl>
    <w:lvl w:ilvl="4" w:tplc="E67829F4" w:tentative="1">
      <w:start w:val="1"/>
      <w:numFmt w:val="lowerLetter"/>
      <w:lvlText w:val="%5."/>
      <w:lvlJc w:val="left"/>
      <w:pPr>
        <w:ind w:left="3742" w:hanging="360"/>
      </w:pPr>
    </w:lvl>
    <w:lvl w:ilvl="5" w:tplc="D57CABA0" w:tentative="1">
      <w:start w:val="1"/>
      <w:numFmt w:val="lowerRoman"/>
      <w:lvlText w:val="%6."/>
      <w:lvlJc w:val="right"/>
      <w:pPr>
        <w:ind w:left="4462" w:hanging="180"/>
      </w:pPr>
    </w:lvl>
    <w:lvl w:ilvl="6" w:tplc="C276C4FE" w:tentative="1">
      <w:start w:val="1"/>
      <w:numFmt w:val="decimal"/>
      <w:lvlText w:val="%7."/>
      <w:lvlJc w:val="left"/>
      <w:pPr>
        <w:ind w:left="5182" w:hanging="360"/>
      </w:pPr>
    </w:lvl>
    <w:lvl w:ilvl="7" w:tplc="E4C29528" w:tentative="1">
      <w:start w:val="1"/>
      <w:numFmt w:val="lowerLetter"/>
      <w:lvlText w:val="%8."/>
      <w:lvlJc w:val="left"/>
      <w:pPr>
        <w:ind w:left="5902" w:hanging="360"/>
      </w:pPr>
    </w:lvl>
    <w:lvl w:ilvl="8" w:tplc="B73877B4" w:tentative="1">
      <w:start w:val="1"/>
      <w:numFmt w:val="lowerRoman"/>
      <w:lvlText w:val="%9."/>
      <w:lvlJc w:val="right"/>
      <w:pPr>
        <w:ind w:left="6622" w:hanging="180"/>
      </w:pPr>
    </w:lvl>
  </w:abstractNum>
  <w:abstractNum w:abstractNumId="25" w15:restartNumberingAfterBreak="0">
    <w:nsid w:val="76F7465F"/>
    <w:multiLevelType w:val="hybridMultilevel"/>
    <w:tmpl w:val="AA1209F2"/>
    <w:lvl w:ilvl="0" w:tplc="DDC6A722">
      <w:start w:val="1"/>
      <w:numFmt w:val="lowerLetter"/>
      <w:lvlText w:val="(%1)"/>
      <w:lvlJc w:val="left"/>
      <w:pPr>
        <w:ind w:left="862" w:hanging="360"/>
      </w:pPr>
      <w:rPr>
        <w:rFonts w:hint="default"/>
        <w:i w:val="0"/>
        <w:iCs/>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6" w15:restartNumberingAfterBreak="0">
    <w:nsid w:val="7C7F67E6"/>
    <w:multiLevelType w:val="hybridMultilevel"/>
    <w:tmpl w:val="7C541896"/>
    <w:name w:val="UnnamedList40277"/>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787184">
    <w:abstractNumId w:val="15"/>
  </w:num>
  <w:num w:numId="2" w16cid:durableId="472647565">
    <w:abstractNumId w:val="2"/>
  </w:num>
  <w:num w:numId="3" w16cid:durableId="2032753226">
    <w:abstractNumId w:val="1"/>
  </w:num>
  <w:num w:numId="4" w16cid:durableId="1532449638">
    <w:abstractNumId w:val="12"/>
  </w:num>
  <w:num w:numId="5" w16cid:durableId="1838378774">
    <w:abstractNumId w:val="5"/>
  </w:num>
  <w:num w:numId="6" w16cid:durableId="1486386619">
    <w:abstractNumId w:val="20"/>
  </w:num>
  <w:num w:numId="7" w16cid:durableId="610206867">
    <w:abstractNumId w:val="14"/>
  </w:num>
  <w:num w:numId="8" w16cid:durableId="200287660">
    <w:abstractNumId w:val="25"/>
  </w:num>
  <w:num w:numId="9" w16cid:durableId="2051807644">
    <w:abstractNumId w:val="7"/>
  </w:num>
  <w:num w:numId="10" w16cid:durableId="1521316991">
    <w:abstractNumId w:val="21"/>
  </w:num>
  <w:num w:numId="11" w16cid:durableId="481390061">
    <w:abstractNumId w:val="0"/>
  </w:num>
  <w:num w:numId="12" w16cid:durableId="1425374686">
    <w:abstractNumId w:val="19"/>
  </w:num>
  <w:num w:numId="13" w16cid:durableId="744692904">
    <w:abstractNumId w:val="9"/>
  </w:num>
  <w:num w:numId="14" w16cid:durableId="1810635522">
    <w:abstractNumId w:val="3"/>
  </w:num>
  <w:num w:numId="15" w16cid:durableId="1545559950">
    <w:abstractNumId w:val="8"/>
  </w:num>
  <w:num w:numId="16" w16cid:durableId="79261130">
    <w:abstractNumId w:val="17"/>
  </w:num>
  <w:num w:numId="17" w16cid:durableId="977105526">
    <w:abstractNumId w:val="6"/>
  </w:num>
  <w:num w:numId="18" w16cid:durableId="2010860930">
    <w:abstractNumId w:val="16"/>
  </w:num>
  <w:num w:numId="19" w16cid:durableId="2116243313">
    <w:abstractNumId w:val="23"/>
  </w:num>
  <w:num w:numId="20" w16cid:durableId="124470654">
    <w:abstractNumId w:val="4"/>
  </w:num>
  <w:num w:numId="21" w16cid:durableId="62235083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01D"/>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627E0"/>
    <w:rsid w:val="00063584"/>
    <w:rsid w:val="00064CAA"/>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09C4"/>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10EDE"/>
    <w:rsid w:val="00111F83"/>
    <w:rsid w:val="00113522"/>
    <w:rsid w:val="00113AA1"/>
    <w:rsid w:val="0011473D"/>
    <w:rsid w:val="00115C85"/>
    <w:rsid w:val="00116433"/>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5621F"/>
    <w:rsid w:val="00161F1B"/>
    <w:rsid w:val="00162829"/>
    <w:rsid w:val="001652A7"/>
    <w:rsid w:val="0017173B"/>
    <w:rsid w:val="00173A3F"/>
    <w:rsid w:val="001749C3"/>
    <w:rsid w:val="00174C29"/>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6E3"/>
    <w:rsid w:val="001B3956"/>
    <w:rsid w:val="001B462C"/>
    <w:rsid w:val="001B5016"/>
    <w:rsid w:val="001B5D64"/>
    <w:rsid w:val="001B5DC2"/>
    <w:rsid w:val="001C04CD"/>
    <w:rsid w:val="001C1FE0"/>
    <w:rsid w:val="001C2AC2"/>
    <w:rsid w:val="001C45FC"/>
    <w:rsid w:val="001D0469"/>
    <w:rsid w:val="001D29C0"/>
    <w:rsid w:val="001D2BFF"/>
    <w:rsid w:val="001D4862"/>
    <w:rsid w:val="001D4BA3"/>
    <w:rsid w:val="001D4CF9"/>
    <w:rsid w:val="001D572A"/>
    <w:rsid w:val="001D638A"/>
    <w:rsid w:val="001D780C"/>
    <w:rsid w:val="001D792F"/>
    <w:rsid w:val="001E087D"/>
    <w:rsid w:val="001E1429"/>
    <w:rsid w:val="001E25B9"/>
    <w:rsid w:val="001E49B0"/>
    <w:rsid w:val="001E49E0"/>
    <w:rsid w:val="001E748A"/>
    <w:rsid w:val="001E7B5A"/>
    <w:rsid w:val="001F31B5"/>
    <w:rsid w:val="001F41FC"/>
    <w:rsid w:val="001F52A0"/>
    <w:rsid w:val="001F7412"/>
    <w:rsid w:val="0020090A"/>
    <w:rsid w:val="00201840"/>
    <w:rsid w:val="00202DFE"/>
    <w:rsid w:val="0020537C"/>
    <w:rsid w:val="0020725B"/>
    <w:rsid w:val="00207C3D"/>
    <w:rsid w:val="002104F8"/>
    <w:rsid w:val="002110F1"/>
    <w:rsid w:val="00212592"/>
    <w:rsid w:val="0021407D"/>
    <w:rsid w:val="0022116B"/>
    <w:rsid w:val="00221D20"/>
    <w:rsid w:val="0022359C"/>
    <w:rsid w:val="00226CB6"/>
    <w:rsid w:val="00230812"/>
    <w:rsid w:val="00231FB2"/>
    <w:rsid w:val="00233B19"/>
    <w:rsid w:val="00234FF0"/>
    <w:rsid w:val="002356EA"/>
    <w:rsid w:val="002373A3"/>
    <w:rsid w:val="00237777"/>
    <w:rsid w:val="00237CA8"/>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0EF7"/>
    <w:rsid w:val="002617EB"/>
    <w:rsid w:val="002638B0"/>
    <w:rsid w:val="0026647A"/>
    <w:rsid w:val="002668D3"/>
    <w:rsid w:val="0026732A"/>
    <w:rsid w:val="00267804"/>
    <w:rsid w:val="00270438"/>
    <w:rsid w:val="002722CA"/>
    <w:rsid w:val="0027299F"/>
    <w:rsid w:val="002729FA"/>
    <w:rsid w:val="00277995"/>
    <w:rsid w:val="002804F1"/>
    <w:rsid w:val="00281873"/>
    <w:rsid w:val="0028298D"/>
    <w:rsid w:val="00284EBE"/>
    <w:rsid w:val="0028777F"/>
    <w:rsid w:val="002903A7"/>
    <w:rsid w:val="002937F3"/>
    <w:rsid w:val="00293C84"/>
    <w:rsid w:val="002942A6"/>
    <w:rsid w:val="0029433F"/>
    <w:rsid w:val="00294829"/>
    <w:rsid w:val="002950BA"/>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49AA"/>
    <w:rsid w:val="002C5334"/>
    <w:rsid w:val="002C5EF6"/>
    <w:rsid w:val="002C69B4"/>
    <w:rsid w:val="002D0021"/>
    <w:rsid w:val="002D299D"/>
    <w:rsid w:val="002D2DAC"/>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3276"/>
    <w:rsid w:val="00334648"/>
    <w:rsid w:val="00335B16"/>
    <w:rsid w:val="0033768C"/>
    <w:rsid w:val="00337938"/>
    <w:rsid w:val="00340769"/>
    <w:rsid w:val="003407E8"/>
    <w:rsid w:val="00341AA6"/>
    <w:rsid w:val="00343808"/>
    <w:rsid w:val="003453EA"/>
    <w:rsid w:val="00351246"/>
    <w:rsid w:val="00351EF7"/>
    <w:rsid w:val="00361A0A"/>
    <w:rsid w:val="0036358E"/>
    <w:rsid w:val="00364369"/>
    <w:rsid w:val="0036458E"/>
    <w:rsid w:val="00364836"/>
    <w:rsid w:val="0036565C"/>
    <w:rsid w:val="0036625E"/>
    <w:rsid w:val="0036697B"/>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283"/>
    <w:rsid w:val="003A051E"/>
    <w:rsid w:val="003A0927"/>
    <w:rsid w:val="003A2D1E"/>
    <w:rsid w:val="003B0EE9"/>
    <w:rsid w:val="003B116F"/>
    <w:rsid w:val="003B166C"/>
    <w:rsid w:val="003B170F"/>
    <w:rsid w:val="003B36EA"/>
    <w:rsid w:val="003B3847"/>
    <w:rsid w:val="003B3C5F"/>
    <w:rsid w:val="003B68F8"/>
    <w:rsid w:val="003C20E8"/>
    <w:rsid w:val="003C3033"/>
    <w:rsid w:val="003C3158"/>
    <w:rsid w:val="003C4471"/>
    <w:rsid w:val="003C5922"/>
    <w:rsid w:val="003C6597"/>
    <w:rsid w:val="003D0677"/>
    <w:rsid w:val="003D0A6D"/>
    <w:rsid w:val="003D1C23"/>
    <w:rsid w:val="003D3A5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7497A"/>
    <w:rsid w:val="00475CC7"/>
    <w:rsid w:val="00477C72"/>
    <w:rsid w:val="00477D4E"/>
    <w:rsid w:val="00481D6B"/>
    <w:rsid w:val="00482465"/>
    <w:rsid w:val="004873F8"/>
    <w:rsid w:val="004909BA"/>
    <w:rsid w:val="00490FDA"/>
    <w:rsid w:val="00491675"/>
    <w:rsid w:val="00491C29"/>
    <w:rsid w:val="00492E86"/>
    <w:rsid w:val="00493855"/>
    <w:rsid w:val="00494C98"/>
    <w:rsid w:val="00495E79"/>
    <w:rsid w:val="0049714D"/>
    <w:rsid w:val="0049760A"/>
    <w:rsid w:val="004A09CB"/>
    <w:rsid w:val="004A2D83"/>
    <w:rsid w:val="004A457F"/>
    <w:rsid w:val="004A51A5"/>
    <w:rsid w:val="004A57DD"/>
    <w:rsid w:val="004A57FB"/>
    <w:rsid w:val="004A60CB"/>
    <w:rsid w:val="004A7B51"/>
    <w:rsid w:val="004A7C7A"/>
    <w:rsid w:val="004A7D71"/>
    <w:rsid w:val="004A7EF3"/>
    <w:rsid w:val="004B11FD"/>
    <w:rsid w:val="004B23A2"/>
    <w:rsid w:val="004B6651"/>
    <w:rsid w:val="004B7DFB"/>
    <w:rsid w:val="004C5A9F"/>
    <w:rsid w:val="004D0603"/>
    <w:rsid w:val="004D16A3"/>
    <w:rsid w:val="004D17F6"/>
    <w:rsid w:val="004D1A5A"/>
    <w:rsid w:val="004D1DE3"/>
    <w:rsid w:val="004D2FFF"/>
    <w:rsid w:val="004D3721"/>
    <w:rsid w:val="004D3F3A"/>
    <w:rsid w:val="004D4543"/>
    <w:rsid w:val="004D4D9F"/>
    <w:rsid w:val="004D52A8"/>
    <w:rsid w:val="004D5502"/>
    <w:rsid w:val="004D64F9"/>
    <w:rsid w:val="004D67B3"/>
    <w:rsid w:val="004E185D"/>
    <w:rsid w:val="004E37E7"/>
    <w:rsid w:val="004E3A6B"/>
    <w:rsid w:val="004E408D"/>
    <w:rsid w:val="004E4ADF"/>
    <w:rsid w:val="004E622C"/>
    <w:rsid w:val="004E7291"/>
    <w:rsid w:val="004E76A3"/>
    <w:rsid w:val="004F0EDA"/>
    <w:rsid w:val="004F12E6"/>
    <w:rsid w:val="004F3A8D"/>
    <w:rsid w:val="004F46EF"/>
    <w:rsid w:val="004F5FDF"/>
    <w:rsid w:val="00500836"/>
    <w:rsid w:val="00500FDE"/>
    <w:rsid w:val="00502C57"/>
    <w:rsid w:val="00502CF8"/>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045"/>
    <w:rsid w:val="00554212"/>
    <w:rsid w:val="00555E7A"/>
    <w:rsid w:val="00560534"/>
    <w:rsid w:val="00563084"/>
    <w:rsid w:val="0056391B"/>
    <w:rsid w:val="00564DFE"/>
    <w:rsid w:val="005650E2"/>
    <w:rsid w:val="00565638"/>
    <w:rsid w:val="00565AD2"/>
    <w:rsid w:val="00566713"/>
    <w:rsid w:val="00567AD7"/>
    <w:rsid w:val="00567AE6"/>
    <w:rsid w:val="005739CA"/>
    <w:rsid w:val="00575B2D"/>
    <w:rsid w:val="00576A9C"/>
    <w:rsid w:val="00580EA0"/>
    <w:rsid w:val="00582326"/>
    <w:rsid w:val="005833D0"/>
    <w:rsid w:val="005846F3"/>
    <w:rsid w:val="00586138"/>
    <w:rsid w:val="0058622F"/>
    <w:rsid w:val="00587660"/>
    <w:rsid w:val="00590C49"/>
    <w:rsid w:val="00590D6D"/>
    <w:rsid w:val="005915AF"/>
    <w:rsid w:val="005925C2"/>
    <w:rsid w:val="00592F82"/>
    <w:rsid w:val="00595042"/>
    <w:rsid w:val="00597A78"/>
    <w:rsid w:val="005A0CCA"/>
    <w:rsid w:val="005A0DB8"/>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6BC"/>
    <w:rsid w:val="005F2AEA"/>
    <w:rsid w:val="005F2D0B"/>
    <w:rsid w:val="005F4B31"/>
    <w:rsid w:val="005F53AD"/>
    <w:rsid w:val="005F7B12"/>
    <w:rsid w:val="005F7B9A"/>
    <w:rsid w:val="00601D70"/>
    <w:rsid w:val="00602B38"/>
    <w:rsid w:val="0060579F"/>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A9D"/>
    <w:rsid w:val="0065181E"/>
    <w:rsid w:val="00653444"/>
    <w:rsid w:val="00654C2F"/>
    <w:rsid w:val="00657087"/>
    <w:rsid w:val="00662BC3"/>
    <w:rsid w:val="00662EDA"/>
    <w:rsid w:val="00663879"/>
    <w:rsid w:val="006639DB"/>
    <w:rsid w:val="006661EF"/>
    <w:rsid w:val="006719DB"/>
    <w:rsid w:val="00675666"/>
    <w:rsid w:val="00677AEB"/>
    <w:rsid w:val="00680EF2"/>
    <w:rsid w:val="006835EE"/>
    <w:rsid w:val="00687A1D"/>
    <w:rsid w:val="00687EA0"/>
    <w:rsid w:val="00691CCD"/>
    <w:rsid w:val="00691D5F"/>
    <w:rsid w:val="0069476B"/>
    <w:rsid w:val="00697EA1"/>
    <w:rsid w:val="006A2646"/>
    <w:rsid w:val="006A4823"/>
    <w:rsid w:val="006A6530"/>
    <w:rsid w:val="006A7F25"/>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C5102"/>
    <w:rsid w:val="006D2BE7"/>
    <w:rsid w:val="006D5EC7"/>
    <w:rsid w:val="006D6BD5"/>
    <w:rsid w:val="006E21C4"/>
    <w:rsid w:val="006E2B64"/>
    <w:rsid w:val="006E481A"/>
    <w:rsid w:val="006E5298"/>
    <w:rsid w:val="006F400A"/>
    <w:rsid w:val="006F41CC"/>
    <w:rsid w:val="006F4A78"/>
    <w:rsid w:val="006F4E04"/>
    <w:rsid w:val="006F734A"/>
    <w:rsid w:val="006F7E7F"/>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451B"/>
    <w:rsid w:val="007461BC"/>
    <w:rsid w:val="00747162"/>
    <w:rsid w:val="007516A7"/>
    <w:rsid w:val="007537B8"/>
    <w:rsid w:val="00754BBC"/>
    <w:rsid w:val="007603F5"/>
    <w:rsid w:val="007620D0"/>
    <w:rsid w:val="00764DB0"/>
    <w:rsid w:val="00765A8B"/>
    <w:rsid w:val="00765AE9"/>
    <w:rsid w:val="0076764D"/>
    <w:rsid w:val="00771D67"/>
    <w:rsid w:val="0077498C"/>
    <w:rsid w:val="00775BCC"/>
    <w:rsid w:val="007809BC"/>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59A3"/>
    <w:rsid w:val="007D63C5"/>
    <w:rsid w:val="007D6C96"/>
    <w:rsid w:val="007D6DF1"/>
    <w:rsid w:val="007D7C92"/>
    <w:rsid w:val="007E042D"/>
    <w:rsid w:val="007E1154"/>
    <w:rsid w:val="007E3C8F"/>
    <w:rsid w:val="007E6BA4"/>
    <w:rsid w:val="007E70EC"/>
    <w:rsid w:val="007F1022"/>
    <w:rsid w:val="007F1A39"/>
    <w:rsid w:val="007F3089"/>
    <w:rsid w:val="007F41F8"/>
    <w:rsid w:val="007F48BB"/>
    <w:rsid w:val="007F659B"/>
    <w:rsid w:val="00801DDF"/>
    <w:rsid w:val="00803040"/>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57A95"/>
    <w:rsid w:val="008619A1"/>
    <w:rsid w:val="00864762"/>
    <w:rsid w:val="00864AC2"/>
    <w:rsid w:val="008665AF"/>
    <w:rsid w:val="0086705F"/>
    <w:rsid w:val="00867701"/>
    <w:rsid w:val="008723F3"/>
    <w:rsid w:val="00874FFA"/>
    <w:rsid w:val="008759B7"/>
    <w:rsid w:val="00876316"/>
    <w:rsid w:val="00876F56"/>
    <w:rsid w:val="008800DD"/>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A6DE8"/>
    <w:rsid w:val="008B4E45"/>
    <w:rsid w:val="008B5165"/>
    <w:rsid w:val="008B5333"/>
    <w:rsid w:val="008B6223"/>
    <w:rsid w:val="008C06AD"/>
    <w:rsid w:val="008C0A02"/>
    <w:rsid w:val="008C66E0"/>
    <w:rsid w:val="008C7904"/>
    <w:rsid w:val="008D769A"/>
    <w:rsid w:val="008E3339"/>
    <w:rsid w:val="008E53EE"/>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34811"/>
    <w:rsid w:val="00940120"/>
    <w:rsid w:val="0094117F"/>
    <w:rsid w:val="00942123"/>
    <w:rsid w:val="00945BCC"/>
    <w:rsid w:val="00950426"/>
    <w:rsid w:val="009516EA"/>
    <w:rsid w:val="0095207B"/>
    <w:rsid w:val="00952E42"/>
    <w:rsid w:val="00953349"/>
    <w:rsid w:val="00954B98"/>
    <w:rsid w:val="00954CBB"/>
    <w:rsid w:val="009603E5"/>
    <w:rsid w:val="00962045"/>
    <w:rsid w:val="00962513"/>
    <w:rsid w:val="00962A92"/>
    <w:rsid w:val="009631DC"/>
    <w:rsid w:val="00965804"/>
    <w:rsid w:val="0096727F"/>
    <w:rsid w:val="009703F0"/>
    <w:rsid w:val="00970790"/>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32D7"/>
    <w:rsid w:val="009B4976"/>
    <w:rsid w:val="009B7C9D"/>
    <w:rsid w:val="009C0B8E"/>
    <w:rsid w:val="009C1BC8"/>
    <w:rsid w:val="009C2442"/>
    <w:rsid w:val="009C53EC"/>
    <w:rsid w:val="009C5C62"/>
    <w:rsid w:val="009D0811"/>
    <w:rsid w:val="009D0EE1"/>
    <w:rsid w:val="009D6501"/>
    <w:rsid w:val="009E2AEB"/>
    <w:rsid w:val="009E2E27"/>
    <w:rsid w:val="009E44B2"/>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2984"/>
    <w:rsid w:val="00A13100"/>
    <w:rsid w:val="00A14542"/>
    <w:rsid w:val="00A21A65"/>
    <w:rsid w:val="00A225B6"/>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C8"/>
    <w:rsid w:val="00A50F0E"/>
    <w:rsid w:val="00A5117B"/>
    <w:rsid w:val="00A529AB"/>
    <w:rsid w:val="00A54B03"/>
    <w:rsid w:val="00A54C81"/>
    <w:rsid w:val="00A55A47"/>
    <w:rsid w:val="00A56D34"/>
    <w:rsid w:val="00A60074"/>
    <w:rsid w:val="00A60A36"/>
    <w:rsid w:val="00A65D22"/>
    <w:rsid w:val="00A6627C"/>
    <w:rsid w:val="00A7023F"/>
    <w:rsid w:val="00A71019"/>
    <w:rsid w:val="00A759D8"/>
    <w:rsid w:val="00A76786"/>
    <w:rsid w:val="00A77FB4"/>
    <w:rsid w:val="00A81029"/>
    <w:rsid w:val="00A82010"/>
    <w:rsid w:val="00A845F5"/>
    <w:rsid w:val="00A85685"/>
    <w:rsid w:val="00A86EA2"/>
    <w:rsid w:val="00A87A88"/>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0C2E"/>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2E30"/>
    <w:rsid w:val="00B34619"/>
    <w:rsid w:val="00B3727B"/>
    <w:rsid w:val="00B401D6"/>
    <w:rsid w:val="00B404F6"/>
    <w:rsid w:val="00B44713"/>
    <w:rsid w:val="00B4609D"/>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660E"/>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56E2"/>
    <w:rsid w:val="00BB7DFD"/>
    <w:rsid w:val="00BC24AD"/>
    <w:rsid w:val="00BC56F4"/>
    <w:rsid w:val="00BC6005"/>
    <w:rsid w:val="00BD2632"/>
    <w:rsid w:val="00BD4A3D"/>
    <w:rsid w:val="00BD545E"/>
    <w:rsid w:val="00BD5C7A"/>
    <w:rsid w:val="00BE0F37"/>
    <w:rsid w:val="00BE1AA4"/>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6095"/>
    <w:rsid w:val="00C266B5"/>
    <w:rsid w:val="00C27B6A"/>
    <w:rsid w:val="00C35671"/>
    <w:rsid w:val="00C35B77"/>
    <w:rsid w:val="00C3600E"/>
    <w:rsid w:val="00C376EB"/>
    <w:rsid w:val="00C41B6B"/>
    <w:rsid w:val="00C41D2B"/>
    <w:rsid w:val="00C434C3"/>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3CF"/>
    <w:rsid w:val="00C63FAD"/>
    <w:rsid w:val="00C6409D"/>
    <w:rsid w:val="00C64575"/>
    <w:rsid w:val="00C7173F"/>
    <w:rsid w:val="00C72848"/>
    <w:rsid w:val="00C7736C"/>
    <w:rsid w:val="00C8080C"/>
    <w:rsid w:val="00C82D87"/>
    <w:rsid w:val="00C83657"/>
    <w:rsid w:val="00C8712A"/>
    <w:rsid w:val="00C902C8"/>
    <w:rsid w:val="00C919D1"/>
    <w:rsid w:val="00C963D3"/>
    <w:rsid w:val="00C9788A"/>
    <w:rsid w:val="00CA254C"/>
    <w:rsid w:val="00CA7B50"/>
    <w:rsid w:val="00CB1983"/>
    <w:rsid w:val="00CB2CBB"/>
    <w:rsid w:val="00CB5C28"/>
    <w:rsid w:val="00CB6CCB"/>
    <w:rsid w:val="00CB7CAC"/>
    <w:rsid w:val="00CC1839"/>
    <w:rsid w:val="00CC4C50"/>
    <w:rsid w:val="00CC5335"/>
    <w:rsid w:val="00CC5451"/>
    <w:rsid w:val="00CC5BA4"/>
    <w:rsid w:val="00CC6F73"/>
    <w:rsid w:val="00CD06E6"/>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288"/>
    <w:rsid w:val="00D03926"/>
    <w:rsid w:val="00D03AE2"/>
    <w:rsid w:val="00D07C91"/>
    <w:rsid w:val="00D1025B"/>
    <w:rsid w:val="00D12ED4"/>
    <w:rsid w:val="00D148DC"/>
    <w:rsid w:val="00D1516E"/>
    <w:rsid w:val="00D15890"/>
    <w:rsid w:val="00D16F06"/>
    <w:rsid w:val="00D17859"/>
    <w:rsid w:val="00D17FDC"/>
    <w:rsid w:val="00D2090D"/>
    <w:rsid w:val="00D21D8C"/>
    <w:rsid w:val="00D234C2"/>
    <w:rsid w:val="00D23C70"/>
    <w:rsid w:val="00D31358"/>
    <w:rsid w:val="00D36168"/>
    <w:rsid w:val="00D40715"/>
    <w:rsid w:val="00D40B41"/>
    <w:rsid w:val="00D41FDB"/>
    <w:rsid w:val="00D42444"/>
    <w:rsid w:val="00D457B9"/>
    <w:rsid w:val="00D47A2B"/>
    <w:rsid w:val="00D47FBB"/>
    <w:rsid w:val="00D522CF"/>
    <w:rsid w:val="00D53719"/>
    <w:rsid w:val="00D61596"/>
    <w:rsid w:val="00D62306"/>
    <w:rsid w:val="00D63EFD"/>
    <w:rsid w:val="00D66B7D"/>
    <w:rsid w:val="00D67759"/>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579"/>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2FF3"/>
    <w:rsid w:val="00DC3089"/>
    <w:rsid w:val="00DC4420"/>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75F8"/>
    <w:rsid w:val="00DF7A3A"/>
    <w:rsid w:val="00E00A0F"/>
    <w:rsid w:val="00E00C00"/>
    <w:rsid w:val="00E01304"/>
    <w:rsid w:val="00E025FA"/>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35904"/>
    <w:rsid w:val="00E40EEB"/>
    <w:rsid w:val="00E423AC"/>
    <w:rsid w:val="00E450A4"/>
    <w:rsid w:val="00E46C58"/>
    <w:rsid w:val="00E506BE"/>
    <w:rsid w:val="00E549D8"/>
    <w:rsid w:val="00E55547"/>
    <w:rsid w:val="00E56D74"/>
    <w:rsid w:val="00E62FE8"/>
    <w:rsid w:val="00E6302B"/>
    <w:rsid w:val="00E6344A"/>
    <w:rsid w:val="00E6452F"/>
    <w:rsid w:val="00E64F45"/>
    <w:rsid w:val="00E6742D"/>
    <w:rsid w:val="00E71CB0"/>
    <w:rsid w:val="00E73341"/>
    <w:rsid w:val="00E740EA"/>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77AD"/>
    <w:rsid w:val="00EC10DE"/>
    <w:rsid w:val="00EC1E6D"/>
    <w:rsid w:val="00EC441F"/>
    <w:rsid w:val="00EC4755"/>
    <w:rsid w:val="00ED0445"/>
    <w:rsid w:val="00ED0BC4"/>
    <w:rsid w:val="00ED3A06"/>
    <w:rsid w:val="00ED447D"/>
    <w:rsid w:val="00ED4B4D"/>
    <w:rsid w:val="00ED5260"/>
    <w:rsid w:val="00ED6085"/>
    <w:rsid w:val="00EE00AC"/>
    <w:rsid w:val="00EE0481"/>
    <w:rsid w:val="00EE051F"/>
    <w:rsid w:val="00EE1E8B"/>
    <w:rsid w:val="00EE391F"/>
    <w:rsid w:val="00EE4971"/>
    <w:rsid w:val="00EE5D82"/>
    <w:rsid w:val="00EE6CB0"/>
    <w:rsid w:val="00EF0489"/>
    <w:rsid w:val="00EF090E"/>
    <w:rsid w:val="00EF119C"/>
    <w:rsid w:val="00EF17F4"/>
    <w:rsid w:val="00EF516A"/>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0488"/>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1823"/>
    <w:rsid w:val="00FA3D50"/>
    <w:rsid w:val="00FA5332"/>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customStyle="1" w:styleId="INSOLstyle">
    <w:name w:val="INSOL style"/>
    <w:basedOn w:val="Normal"/>
    <w:next w:val="Normal"/>
    <w:qFormat/>
    <w:rsid w:val="00C633CF"/>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4E7291"/>
    <w:pPr>
      <w:ind w:left="708"/>
    </w:pPr>
    <w:rPr>
      <w:rFonts w:ascii="Arial" w:eastAsiaTheme="minorEastAsia" w:hAnsi="Arial" w:cs="Arial"/>
      <w:sz w:val="22"/>
      <w:szCs w:val="22"/>
      <w:u w:color="FF0000"/>
      <w:lang w:val="en-GB"/>
    </w:rPr>
  </w:style>
  <w:style w:type="paragraph" w:styleId="Textoindependiente">
    <w:name w:val="Body Text"/>
    <w:basedOn w:val="Normal"/>
    <w:link w:val="TextoindependienteCar"/>
    <w:qFormat/>
    <w:rsid w:val="0074451B"/>
    <w:pPr>
      <w:widowControl w:val="0"/>
      <w:autoSpaceDE w:val="0"/>
      <w:autoSpaceDN w:val="0"/>
    </w:pPr>
    <w:rPr>
      <w:rFonts w:ascii="Times New Roman" w:hAnsi="Times New Roman" w:cs="Times New Roman"/>
      <w:sz w:val="18"/>
      <w:szCs w:val="18"/>
      <w:lang w:val="en-GB"/>
    </w:rPr>
  </w:style>
  <w:style w:type="character" w:customStyle="1" w:styleId="TextoindependienteCar">
    <w:name w:val="Texto independiente Car"/>
    <w:basedOn w:val="Fuentedeprrafopredeter"/>
    <w:link w:val="Textoindependiente"/>
    <w:rsid w:val="0074451B"/>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965893397">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03052875">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26853539">
      <w:bodyDiv w:val="1"/>
      <w:marLeft w:val="0"/>
      <w:marRight w:val="0"/>
      <w:marTop w:val="0"/>
      <w:marBottom w:val="0"/>
      <w:divBdr>
        <w:top w:val="none" w:sz="0" w:space="0" w:color="auto"/>
        <w:left w:val="none" w:sz="0" w:space="0" w:color="auto"/>
        <w:bottom w:val="none" w:sz="0" w:space="0" w:color="auto"/>
        <w:right w:val="none" w:sz="0" w:space="0" w:color="auto"/>
      </w:divBdr>
    </w:div>
    <w:div w:id="1434667049">
      <w:bodyDiv w:val="1"/>
      <w:marLeft w:val="0"/>
      <w:marRight w:val="0"/>
      <w:marTop w:val="0"/>
      <w:marBottom w:val="0"/>
      <w:divBdr>
        <w:top w:val="none" w:sz="0" w:space="0" w:color="auto"/>
        <w:left w:val="none" w:sz="0" w:space="0" w:color="auto"/>
        <w:bottom w:val="none" w:sz="0" w:space="0" w:color="auto"/>
        <w:right w:val="none" w:sz="0" w:space="0" w:color="auto"/>
      </w:divBdr>
    </w:div>
    <w:div w:id="1507743645">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3841609">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919704345">
      <w:bodyDiv w:val="1"/>
      <w:marLeft w:val="0"/>
      <w:marRight w:val="0"/>
      <w:marTop w:val="0"/>
      <w:marBottom w:val="0"/>
      <w:divBdr>
        <w:top w:val="none" w:sz="0" w:space="0" w:color="auto"/>
        <w:left w:val="none" w:sz="0" w:space="0" w:color="auto"/>
        <w:bottom w:val="none" w:sz="0" w:space="0" w:color="auto"/>
        <w:right w:val="none" w:sz="0" w:space="0" w:color="auto"/>
      </w:divBdr>
    </w:div>
    <w:div w:id="1947737532">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2047824">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4330</Words>
  <Characters>23816</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Aylin Romero</cp:lastModifiedBy>
  <cp:revision>2</cp:revision>
  <cp:lastPrinted>2019-08-27T05:42:00Z</cp:lastPrinted>
  <dcterms:created xsi:type="dcterms:W3CDTF">2024-02-02T00:09:00Z</dcterms:created>
  <dcterms:modified xsi:type="dcterms:W3CDTF">2024-02-02T00:09:00Z</dcterms:modified>
</cp:coreProperties>
</file>