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045C7386" w14:textId="10C8DAFC" w:rsidR="00437297" w:rsidRDefault="004D4400" w:rsidP="004D4400">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Prrafodelista"/>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4D4400" w:rsidRDefault="00AE5B6F" w:rsidP="00B04033">
      <w:pPr>
        <w:pStyle w:val="Prrafodelista"/>
        <w:numPr>
          <w:ilvl w:val="0"/>
          <w:numId w:val="1"/>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w</w:t>
      </w:r>
      <w:r w:rsidR="00C91062" w:rsidRPr="004D4400">
        <w:rPr>
          <w:rFonts w:ascii="Avenir Next" w:hAnsi="Avenir Next" w:cs="Arial"/>
          <w:sz w:val="22"/>
          <w:szCs w:val="22"/>
          <w:highlight w:val="yellow"/>
          <w:lang w:val="en-GB"/>
        </w:rPr>
        <w:t xml:space="preserve">ithin </w:t>
      </w:r>
      <w:r w:rsidR="00733A34" w:rsidRPr="004D4400">
        <w:rPr>
          <w:rFonts w:ascii="Avenir Next" w:hAnsi="Avenir Next" w:cs="Arial"/>
          <w:sz w:val="22"/>
          <w:szCs w:val="22"/>
          <w:highlight w:val="yellow"/>
          <w:lang w:val="en-GB"/>
        </w:rPr>
        <w:t>eight</w:t>
      </w:r>
      <w:r w:rsidR="00C91062" w:rsidRPr="004D4400">
        <w:rPr>
          <w:rFonts w:ascii="Avenir Next" w:hAnsi="Avenir Next" w:cs="Arial"/>
          <w:sz w:val="22"/>
          <w:szCs w:val="22"/>
          <w:highlight w:val="yellow"/>
          <w:lang w:val="en-GB"/>
        </w:rPr>
        <w:t xml:space="preserve"> weeks of the commencement of the administration</w:t>
      </w:r>
      <w:r w:rsidR="00763348" w:rsidRPr="004D4400">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Prrafodelista"/>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4D4400" w:rsidRDefault="00E443D7" w:rsidP="00B04033">
      <w:pPr>
        <w:pStyle w:val="Prrafodelista"/>
        <w:numPr>
          <w:ilvl w:val="0"/>
          <w:numId w:val="2"/>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One year and 40 business days</w:t>
      </w:r>
      <w:r w:rsidR="00763348" w:rsidRPr="004D4400">
        <w:rPr>
          <w:rFonts w:ascii="Avenir Next" w:hAnsi="Avenir Next" w:cs="Arial"/>
          <w:sz w:val="22"/>
          <w:szCs w:val="22"/>
          <w:highlight w:val="yellow"/>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Prrafodelista"/>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Prrafodelista"/>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Prrafodelista"/>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4D4400" w:rsidRDefault="00AE5B6F" w:rsidP="00B04033">
      <w:pPr>
        <w:pStyle w:val="Prrafodelista"/>
        <w:numPr>
          <w:ilvl w:val="0"/>
          <w:numId w:val="3"/>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w:t>
      </w:r>
      <w:r w:rsidR="008D1616" w:rsidRPr="004D4400">
        <w:rPr>
          <w:rFonts w:ascii="Avenir Next" w:hAnsi="Avenir Next" w:cs="Arial"/>
          <w:sz w:val="22"/>
          <w:szCs w:val="22"/>
          <w:highlight w:val="yellow"/>
          <w:lang w:val="en-GB"/>
        </w:rPr>
        <w:t>he company is, or is likely to become, unable to pay their debts, as defined under s</w:t>
      </w:r>
      <w:r w:rsidR="00E833F4" w:rsidRPr="004D4400">
        <w:rPr>
          <w:rFonts w:ascii="Avenir Next" w:hAnsi="Avenir Next" w:cs="Arial"/>
          <w:sz w:val="22"/>
          <w:szCs w:val="22"/>
          <w:highlight w:val="yellow"/>
          <w:lang w:val="en-GB"/>
        </w:rPr>
        <w:t>ection</w:t>
      </w:r>
      <w:r w:rsidR="008D1616" w:rsidRPr="004D4400">
        <w:rPr>
          <w:rFonts w:ascii="Avenir Next" w:hAnsi="Avenir Next" w:cs="Arial"/>
          <w:sz w:val="22"/>
          <w:szCs w:val="22"/>
          <w:highlight w:val="yellow"/>
          <w:lang w:val="en-GB"/>
        </w:rPr>
        <w:t xml:space="preserve"> 123 of the Insolvency Act 1986</w:t>
      </w:r>
      <w:r w:rsidR="00763348" w:rsidRPr="004D4400">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4D4400" w:rsidRDefault="00C91062" w:rsidP="00B04033">
      <w:pPr>
        <w:pStyle w:val="Prrafodelista"/>
        <w:numPr>
          <w:ilvl w:val="0"/>
          <w:numId w:val="4"/>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The administrator</w:t>
      </w:r>
      <w:r w:rsidR="00763348" w:rsidRPr="004D4400">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Prrafodelista"/>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Prrafodelista"/>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4D4400" w:rsidRDefault="00BA1CFD" w:rsidP="00B04033">
      <w:pPr>
        <w:pStyle w:val="Prrafodelista"/>
        <w:numPr>
          <w:ilvl w:val="0"/>
          <w:numId w:val="5"/>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Company Voluntary Arrangement</w:t>
      </w:r>
      <w:r w:rsidR="00763348" w:rsidRPr="004D4400">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4D4400" w:rsidRDefault="00221444" w:rsidP="00221444">
      <w:pPr>
        <w:pStyle w:val="Prrafodelista"/>
        <w:numPr>
          <w:ilvl w:val="0"/>
          <w:numId w:val="6"/>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Prrafodelista"/>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4D4400" w:rsidRDefault="00BA1CFD" w:rsidP="00B04033">
      <w:pPr>
        <w:pStyle w:val="Prrafodelista"/>
        <w:numPr>
          <w:ilvl w:val="0"/>
          <w:numId w:val="7"/>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Breach of fiduciary duty</w:t>
      </w:r>
      <w:r w:rsidR="00763348" w:rsidRPr="004D4400">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Prrafodelista"/>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4D4400" w:rsidRDefault="00450393" w:rsidP="00450393">
      <w:pPr>
        <w:pStyle w:val="Prrafodelista"/>
        <w:numPr>
          <w:ilvl w:val="0"/>
          <w:numId w:val="8"/>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Prrafodelista"/>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4D4400" w:rsidRDefault="00E833F4" w:rsidP="00B04033">
      <w:pPr>
        <w:pStyle w:val="Prrafodelista"/>
        <w:numPr>
          <w:ilvl w:val="0"/>
          <w:numId w:val="9"/>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A</w:t>
      </w:r>
      <w:r w:rsidR="000D10C6" w:rsidRPr="004D4400">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Prrafodelista"/>
        <w:ind w:left="426"/>
        <w:jc w:val="both"/>
        <w:rPr>
          <w:rFonts w:ascii="Avenir Next" w:hAnsi="Avenir Next" w:cs="Arial"/>
          <w:sz w:val="22"/>
          <w:szCs w:val="22"/>
          <w:lang w:val="en-GB"/>
        </w:rPr>
      </w:pPr>
    </w:p>
    <w:p w14:paraId="564FBFE2" w14:textId="18CB27BC" w:rsidR="000D10C6"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Prrafodelista"/>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Prrafodelista"/>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Prrafodelista"/>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4D4400" w:rsidRDefault="000D4CFA" w:rsidP="004C7A8F">
      <w:pPr>
        <w:pStyle w:val="Prrafodelista"/>
        <w:numPr>
          <w:ilvl w:val="0"/>
          <w:numId w:val="10"/>
        </w:numPr>
        <w:ind w:left="426"/>
        <w:jc w:val="both"/>
        <w:rPr>
          <w:rFonts w:ascii="Avenir Next" w:hAnsi="Avenir Next" w:cs="Arial"/>
          <w:sz w:val="22"/>
          <w:szCs w:val="22"/>
          <w:highlight w:val="yellow"/>
          <w:lang w:val="en-GB"/>
        </w:rPr>
      </w:pPr>
      <w:r w:rsidRPr="004D4400">
        <w:rPr>
          <w:rFonts w:ascii="Avenir Next" w:hAnsi="Avenir Next" w:cs="Arial"/>
          <w:sz w:val="22"/>
          <w:szCs w:val="22"/>
          <w:highlight w:val="yellow"/>
          <w:lang w:val="en-GB"/>
        </w:rPr>
        <w:t>Twelve</w:t>
      </w:r>
      <w:r w:rsidR="004C7A8F" w:rsidRPr="004D4400">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BD2DD21" w14:textId="255C9DA3" w:rsidR="004D4400" w:rsidRP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Section 245 of the Insolvency Act 1986:</w:t>
      </w:r>
    </w:p>
    <w:p w14:paraId="0C334990"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liquidator of the company.</w:t>
      </w:r>
    </w:p>
    <w:p w14:paraId="6F047525" w14:textId="77777777" w:rsidR="004D4400" w:rsidRDefault="004D4400" w:rsidP="004D4400">
      <w:pPr>
        <w:jc w:val="both"/>
        <w:rPr>
          <w:rFonts w:ascii="Avenir Next" w:hAnsi="Avenir Next" w:cs="Arial"/>
          <w:color w:val="7B7B7B" w:themeColor="accent3" w:themeShade="BF"/>
          <w:sz w:val="22"/>
          <w:szCs w:val="22"/>
          <w:lang w:val="en-GB"/>
        </w:rPr>
      </w:pPr>
    </w:p>
    <w:p w14:paraId="2699D9E7" w14:textId="6D183AB2"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Section 6 of the Company Directors Disqualification Act 1986:</w:t>
      </w:r>
    </w:p>
    <w:p w14:paraId="4F9FDC57"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Secretary of State.</w:t>
      </w:r>
    </w:p>
    <w:p w14:paraId="2D13DB1A" w14:textId="77777777" w:rsidR="004D4400" w:rsidRDefault="004D4400" w:rsidP="004D4400">
      <w:pPr>
        <w:jc w:val="both"/>
        <w:rPr>
          <w:rFonts w:ascii="Avenir Next" w:hAnsi="Avenir Next" w:cs="Arial"/>
          <w:color w:val="7B7B7B" w:themeColor="accent3" w:themeShade="BF"/>
          <w:sz w:val="22"/>
          <w:szCs w:val="22"/>
          <w:lang w:val="en-GB"/>
        </w:rPr>
      </w:pPr>
    </w:p>
    <w:p w14:paraId="42D4DF08" w14:textId="6DC951F4"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Section 246ZB of the Insolvency Act 1986:</w:t>
      </w:r>
    </w:p>
    <w:p w14:paraId="0556A0A5"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liquidator of the company.</w:t>
      </w:r>
    </w:p>
    <w:p w14:paraId="18A02DE9" w14:textId="77777777" w:rsidR="004D4400" w:rsidRDefault="004D4400" w:rsidP="004D4400">
      <w:pPr>
        <w:jc w:val="both"/>
        <w:rPr>
          <w:rFonts w:ascii="Avenir Next" w:hAnsi="Avenir Next" w:cs="Arial"/>
          <w:color w:val="7B7B7B" w:themeColor="accent3" w:themeShade="BF"/>
          <w:sz w:val="22"/>
          <w:szCs w:val="22"/>
          <w:lang w:val="en-GB"/>
        </w:rPr>
      </w:pPr>
    </w:p>
    <w:p w14:paraId="675D8313" w14:textId="76827C9B"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Section 127 of the Insolvency Act 1986:</w:t>
      </w:r>
    </w:p>
    <w:p w14:paraId="22C610C9" w14:textId="37907FFA" w:rsidR="00DE03AF"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The liquidator of the company.</w:t>
      </w:r>
      <w:r w:rsidR="00197F24" w:rsidRPr="00197F24">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A034714" w14:textId="77777777" w:rsid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p>
    <w:p w14:paraId="2E027FEF" w14:textId="291C33FD"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Employment-related liabilities, including wages, salaries, and other employee entitlements accrued during the moratorium.</w:t>
      </w:r>
    </w:p>
    <w:p w14:paraId="3C2A225E" w14:textId="77777777" w:rsidR="004D4400" w:rsidRPr="004D4400" w:rsidRDefault="004D4400" w:rsidP="004D4400">
      <w:pPr>
        <w:jc w:val="both"/>
        <w:rPr>
          <w:rFonts w:ascii="Avenir Next" w:hAnsi="Avenir Next" w:cs="Arial"/>
          <w:color w:val="7B7B7B" w:themeColor="accent3" w:themeShade="BF"/>
          <w:sz w:val="22"/>
          <w:szCs w:val="22"/>
          <w:lang w:val="en-GB"/>
        </w:rPr>
      </w:pPr>
    </w:p>
    <w:p w14:paraId="30F2B0AB" w14:textId="77777777"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Certain debts arising from financial services contracts, such as rents and liabilities to creditors arising from leases.</w:t>
      </w:r>
    </w:p>
    <w:p w14:paraId="277699AC" w14:textId="77777777" w:rsidR="004D4400" w:rsidRDefault="004D4400" w:rsidP="004D4400">
      <w:pPr>
        <w:jc w:val="both"/>
        <w:rPr>
          <w:rFonts w:ascii="Avenir Next" w:hAnsi="Avenir Next" w:cs="Arial"/>
          <w:color w:val="7B7B7B" w:themeColor="accent3" w:themeShade="BF"/>
          <w:sz w:val="22"/>
          <w:szCs w:val="22"/>
          <w:lang w:val="en-GB"/>
        </w:rPr>
      </w:pPr>
    </w:p>
    <w:p w14:paraId="6970567A" w14:textId="37753B74"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Debts arising from a debtor's wrongful trading during the moratorium.</w:t>
      </w:r>
    </w:p>
    <w:p w14:paraId="64F78E34" w14:textId="77777777" w:rsidR="004D4400" w:rsidRDefault="004D4400" w:rsidP="004D4400">
      <w:pPr>
        <w:jc w:val="both"/>
        <w:rPr>
          <w:rFonts w:ascii="Avenir Next" w:hAnsi="Avenir Next" w:cs="Arial"/>
          <w:color w:val="7B7B7B" w:themeColor="accent3" w:themeShade="BF"/>
          <w:sz w:val="22"/>
          <w:szCs w:val="22"/>
          <w:lang w:val="en-GB"/>
        </w:rPr>
      </w:pPr>
    </w:p>
    <w:p w14:paraId="15B275AB" w14:textId="0BF22EBC"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Liabilities related to any obligations incurred under contracts or other agreements during the moratorium period.</w:t>
      </w:r>
    </w:p>
    <w:p w14:paraId="00BE8C62" w14:textId="77777777" w:rsidR="004D4400" w:rsidRDefault="004D4400" w:rsidP="004D4400">
      <w:pPr>
        <w:jc w:val="both"/>
        <w:rPr>
          <w:rFonts w:ascii="Avenir Next" w:hAnsi="Avenir Next" w:cs="Arial"/>
          <w:color w:val="7B7B7B" w:themeColor="accent3" w:themeShade="BF"/>
          <w:sz w:val="22"/>
          <w:szCs w:val="22"/>
          <w:lang w:val="en-GB"/>
        </w:rPr>
      </w:pPr>
    </w:p>
    <w:p w14:paraId="3C18F52B" w14:textId="77777777" w:rsidR="004D4400" w:rsidRPr="004D4400" w:rsidRDefault="004D4400" w:rsidP="004D4400">
      <w:pPr>
        <w:pStyle w:val="Prrafodelista"/>
        <w:numPr>
          <w:ilvl w:val="0"/>
          <w:numId w:val="18"/>
        </w:num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Debts or liabilities incurred </w:t>
      </w:r>
      <w:proofErr w:type="gramStart"/>
      <w:r w:rsidRPr="004D4400">
        <w:rPr>
          <w:rFonts w:ascii="Avenir Next" w:hAnsi="Avenir Next" w:cs="Arial"/>
          <w:color w:val="7B7B7B" w:themeColor="accent3" w:themeShade="BF"/>
          <w:sz w:val="22"/>
          <w:szCs w:val="22"/>
          <w:lang w:val="en-GB"/>
        </w:rPr>
        <w:t>as a result of</w:t>
      </w:r>
      <w:proofErr w:type="gramEnd"/>
      <w:r w:rsidRPr="004D4400">
        <w:rPr>
          <w:rFonts w:ascii="Avenir Next" w:hAnsi="Avenir Next" w:cs="Arial"/>
          <w:color w:val="7B7B7B" w:themeColor="accent3" w:themeShade="BF"/>
          <w:sz w:val="22"/>
          <w:szCs w:val="22"/>
          <w:lang w:val="en-GB"/>
        </w:rPr>
        <w:t xml:space="preserve"> fraud or fraudulent trading during the moratorium.</w:t>
      </w:r>
    </w:p>
    <w:p w14:paraId="74FF5947" w14:textId="2ACAAB43" w:rsidR="00197F24" w:rsidRPr="00197F24"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lastRenderedPageBreak/>
        <w:t>[Type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E4885E0" w14:textId="77777777" w:rsidR="004D4400"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 xml:space="preserve">Yes, an administrator who wishes to continue operating the business of the company in administration can require suppliers of goods and services to continue supplying those goods and services during the administration. This power is granted under Schedule B1 of the Insolvency Act 1986, which provides the administrator with the authority to manage the affairs, business, and property of the company. </w:t>
      </w:r>
    </w:p>
    <w:p w14:paraId="0D2BA22E" w14:textId="77777777" w:rsidR="004D4400" w:rsidRDefault="004D4400" w:rsidP="00197F24">
      <w:pPr>
        <w:jc w:val="both"/>
        <w:rPr>
          <w:rFonts w:ascii="Avenir Next" w:hAnsi="Avenir Next" w:cs="Arial"/>
          <w:color w:val="7B7B7B" w:themeColor="accent3" w:themeShade="BF"/>
          <w:sz w:val="22"/>
          <w:szCs w:val="22"/>
          <w:lang w:val="en-GB"/>
        </w:rPr>
      </w:pPr>
    </w:p>
    <w:p w14:paraId="44A1787D" w14:textId="77777777" w:rsidR="004D4400" w:rsidRDefault="004D4400" w:rsidP="00197F24">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The administrator may </w:t>
      </w:r>
      <w:proofErr w:type="gramStart"/>
      <w:r w:rsidRPr="004D4400">
        <w:rPr>
          <w:rFonts w:ascii="Avenir Next" w:hAnsi="Avenir Next" w:cs="Arial"/>
          <w:color w:val="7B7B7B" w:themeColor="accent3" w:themeShade="BF"/>
          <w:sz w:val="22"/>
          <w:szCs w:val="22"/>
          <w:lang w:val="en-GB"/>
        </w:rPr>
        <w:t>enter into</w:t>
      </w:r>
      <w:proofErr w:type="gramEnd"/>
      <w:r w:rsidRPr="004D4400">
        <w:rPr>
          <w:rFonts w:ascii="Avenir Next" w:hAnsi="Avenir Next" w:cs="Arial"/>
          <w:color w:val="7B7B7B" w:themeColor="accent3" w:themeShade="BF"/>
          <w:sz w:val="22"/>
          <w:szCs w:val="22"/>
          <w:lang w:val="en-GB"/>
        </w:rPr>
        <w:t xml:space="preserve"> contracts and arrangements on behalf of the company, including agreements with suppliers, to ensure the continued operation of the business during the administration period. </w:t>
      </w:r>
    </w:p>
    <w:p w14:paraId="489664B2" w14:textId="77777777" w:rsidR="004D4400" w:rsidRDefault="004D4400" w:rsidP="00197F24">
      <w:pPr>
        <w:jc w:val="both"/>
        <w:rPr>
          <w:rFonts w:ascii="Avenir Next" w:hAnsi="Avenir Next" w:cs="Arial"/>
          <w:color w:val="7B7B7B" w:themeColor="accent3" w:themeShade="BF"/>
          <w:sz w:val="22"/>
          <w:szCs w:val="22"/>
          <w:lang w:val="en-GB"/>
        </w:rPr>
      </w:pPr>
    </w:p>
    <w:p w14:paraId="2D76528D" w14:textId="01983E30" w:rsidR="00197F24" w:rsidRPr="00197F24" w:rsidRDefault="004D4400" w:rsidP="00197F24">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However, the administrator must ensure that the terms of any such agreements are reasonable and in the best interests of the creditors of the company.</w:t>
      </w:r>
      <w:r w:rsidR="00197F24" w:rsidRPr="00197F24">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9A5843A" w14:textId="77777777" w:rsidR="004D4400" w:rsidRP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 xml:space="preserve">The liquidator may </w:t>
      </w:r>
      <w:proofErr w:type="gramStart"/>
      <w:r w:rsidR="004D4400" w:rsidRPr="004D4400">
        <w:rPr>
          <w:rFonts w:ascii="Avenir Next" w:hAnsi="Avenir Next" w:cs="Arial"/>
          <w:color w:val="7B7B7B" w:themeColor="accent3" w:themeShade="BF"/>
          <w:sz w:val="22"/>
          <w:szCs w:val="22"/>
          <w:lang w:val="en-GB"/>
        </w:rPr>
        <w:t>take action</w:t>
      </w:r>
      <w:proofErr w:type="gramEnd"/>
      <w:r w:rsidR="004D4400" w:rsidRPr="004D4400">
        <w:rPr>
          <w:rFonts w:ascii="Avenir Next" w:hAnsi="Avenir Next" w:cs="Arial"/>
          <w:color w:val="7B7B7B" w:themeColor="accent3" w:themeShade="BF"/>
          <w:sz w:val="22"/>
          <w:szCs w:val="22"/>
          <w:lang w:val="en-GB"/>
        </w:rPr>
        <w:t xml:space="preserve"> in relation to the floating charge in </w:t>
      </w:r>
      <w:proofErr w:type="spellStart"/>
      <w:r w:rsidR="004D4400" w:rsidRPr="004D4400">
        <w:rPr>
          <w:rFonts w:ascii="Avenir Next" w:hAnsi="Avenir Next" w:cs="Arial"/>
          <w:color w:val="7B7B7B" w:themeColor="accent3" w:themeShade="BF"/>
          <w:sz w:val="22"/>
          <w:szCs w:val="22"/>
          <w:lang w:val="en-GB"/>
        </w:rPr>
        <w:t>favor</w:t>
      </w:r>
      <w:proofErr w:type="spellEnd"/>
      <w:r w:rsidR="004D4400" w:rsidRPr="004D4400">
        <w:rPr>
          <w:rFonts w:ascii="Avenir Next" w:hAnsi="Avenir Next" w:cs="Arial"/>
          <w:color w:val="7B7B7B" w:themeColor="accent3" w:themeShade="BF"/>
          <w:sz w:val="22"/>
          <w:szCs w:val="22"/>
          <w:lang w:val="en-GB"/>
        </w:rPr>
        <w:t xml:space="preserve"> of Ambitus Bank plc if there are grounds to challenge its validity or enforceability.</w:t>
      </w:r>
    </w:p>
    <w:p w14:paraId="3DCE984F" w14:textId="77777777" w:rsidR="004D4400" w:rsidRPr="004D4400" w:rsidRDefault="004D4400" w:rsidP="004D4400">
      <w:pPr>
        <w:jc w:val="both"/>
        <w:rPr>
          <w:rFonts w:ascii="Avenir Next" w:hAnsi="Avenir Next" w:cs="Arial"/>
          <w:color w:val="7B7B7B" w:themeColor="accent3" w:themeShade="BF"/>
          <w:sz w:val="22"/>
          <w:szCs w:val="22"/>
          <w:lang w:val="en-GB"/>
        </w:rPr>
      </w:pPr>
    </w:p>
    <w:p w14:paraId="39B5F67A"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One potential ground for challenge could be if the floating charge was created within the "relevant period" prior to the winding-up order, which is defined in Section 245 of the Insolvency Act 1986 as six months preceding the onset of insolvency. Since the debenture containing the floating charge was granted in June 2023, within this relevant period, the liquidator may challenge the floating charge as a preference under Section 239 of the Insolvency Act 1986. This section allows for the avoidance of transactions that put a creditor in a better position than they would have been in the event of a liquidation.</w:t>
      </w:r>
    </w:p>
    <w:p w14:paraId="14BD6FC1" w14:textId="77777777" w:rsidR="004D4400" w:rsidRPr="004D4400" w:rsidRDefault="004D4400" w:rsidP="004D4400">
      <w:pPr>
        <w:jc w:val="both"/>
        <w:rPr>
          <w:rFonts w:ascii="Avenir Next" w:hAnsi="Avenir Next" w:cs="Arial"/>
          <w:color w:val="7B7B7B" w:themeColor="accent3" w:themeShade="BF"/>
          <w:sz w:val="22"/>
          <w:szCs w:val="22"/>
          <w:lang w:val="en-GB"/>
        </w:rPr>
      </w:pPr>
    </w:p>
    <w:p w14:paraId="4274F2E4" w14:textId="77777777" w:rsidR="004D4400" w:rsidRPr="004D4400"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Additionally, if the floating charge was created as security for past debts owed to Ambitus Bank plc, the liquidator may challenge it as a transaction at an undervalue under Section 238 of the Insolvency Act 1986. This section allows for the avoidance of transactions that were entered into at an undervalue with the intent to prejudice creditors' interests.</w:t>
      </w:r>
    </w:p>
    <w:p w14:paraId="1B96DC03" w14:textId="77777777" w:rsidR="004D4400" w:rsidRPr="004D4400" w:rsidRDefault="004D4400" w:rsidP="004D4400">
      <w:pPr>
        <w:jc w:val="both"/>
        <w:rPr>
          <w:rFonts w:ascii="Avenir Next" w:hAnsi="Avenir Next" w:cs="Arial"/>
          <w:color w:val="7B7B7B" w:themeColor="accent3" w:themeShade="BF"/>
          <w:sz w:val="22"/>
          <w:szCs w:val="22"/>
          <w:lang w:val="en-GB"/>
        </w:rPr>
      </w:pPr>
    </w:p>
    <w:p w14:paraId="76E83B6C" w14:textId="05832800" w:rsidR="00197F24"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Therefore, the liquidator may take action to challenge the floating charge in </w:t>
      </w:r>
      <w:proofErr w:type="spellStart"/>
      <w:r w:rsidRPr="004D4400">
        <w:rPr>
          <w:rFonts w:ascii="Avenir Next" w:hAnsi="Avenir Next" w:cs="Arial"/>
          <w:color w:val="7B7B7B" w:themeColor="accent3" w:themeShade="BF"/>
          <w:sz w:val="22"/>
          <w:szCs w:val="22"/>
          <w:lang w:val="en-GB"/>
        </w:rPr>
        <w:t>favor</w:t>
      </w:r>
      <w:proofErr w:type="spellEnd"/>
      <w:r w:rsidRPr="004D4400">
        <w:rPr>
          <w:rFonts w:ascii="Avenir Next" w:hAnsi="Avenir Next" w:cs="Arial"/>
          <w:color w:val="7B7B7B" w:themeColor="accent3" w:themeShade="BF"/>
          <w:sz w:val="22"/>
          <w:szCs w:val="22"/>
          <w:lang w:val="en-GB"/>
        </w:rPr>
        <w:t xml:space="preserve"> of Ambitus Bank plc based on these grounds.</w:t>
      </w:r>
      <w:r w:rsidR="00197F24"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FAED819" w14:textId="77777777" w:rsidR="004D4400" w:rsidRPr="004D4400" w:rsidRDefault="00197F24"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The transaction raises concerns of a potential preference under Section 239 of the Insolvency Act 1986. A preference occurs when a company, within the relevant period before the onset of insolvency, takes actions that put one creditor in a better position than others. Given that the sale occurred in January 2023, well within the relevant period preceding the winding-up order in February 2024, the liquidator may seek to set aside this transaction if it can be demonstrated that the sale was made with the intention of giving Angela Bannister an advantage over other creditors.</w:t>
      </w:r>
    </w:p>
    <w:p w14:paraId="61A5163D" w14:textId="77777777" w:rsidR="004D4400" w:rsidRPr="004D4400" w:rsidRDefault="004D4400" w:rsidP="004D4400">
      <w:pPr>
        <w:jc w:val="both"/>
        <w:rPr>
          <w:rFonts w:ascii="Avenir Next" w:hAnsi="Avenir Next" w:cs="Arial"/>
          <w:color w:val="7B7B7B" w:themeColor="accent3" w:themeShade="BF"/>
          <w:sz w:val="22"/>
          <w:szCs w:val="22"/>
          <w:lang w:val="en-GB"/>
        </w:rPr>
      </w:pPr>
    </w:p>
    <w:p w14:paraId="2048FCA2" w14:textId="1553163A" w:rsidR="00197F24"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Furthermore, the sale could potentially be challenged as a transaction at an undervalue under Section 238 of the Insolvency Act 1986. This section allows for transactions </w:t>
      </w:r>
      <w:proofErr w:type="gramStart"/>
      <w:r w:rsidRPr="004D4400">
        <w:rPr>
          <w:rFonts w:ascii="Avenir Next" w:hAnsi="Avenir Next" w:cs="Arial"/>
          <w:color w:val="7B7B7B" w:themeColor="accent3" w:themeShade="BF"/>
          <w:sz w:val="22"/>
          <w:szCs w:val="22"/>
          <w:lang w:val="en-GB"/>
        </w:rPr>
        <w:t>entered into</w:t>
      </w:r>
      <w:proofErr w:type="gramEnd"/>
      <w:r w:rsidRPr="004D4400">
        <w:rPr>
          <w:rFonts w:ascii="Avenir Next" w:hAnsi="Avenir Next" w:cs="Arial"/>
          <w:color w:val="7B7B7B" w:themeColor="accent3" w:themeShade="BF"/>
          <w:sz w:val="22"/>
          <w:szCs w:val="22"/>
          <w:lang w:val="en-GB"/>
        </w:rPr>
        <w:t xml:space="preserve"> at an undervalue to be set aside if they were made within the relevant period before the insolvency and with the intent to prejudice creditors' interests. If the laser cutting machines were sold for significantly less than their true value, and this transaction can be shown to have disadvantaged creditors, the liquidator may seek to set it aside.</w:t>
      </w:r>
      <w:r w:rsidR="00197F24"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C06A5CD" w14:textId="77777777" w:rsidR="004D4400" w:rsidRPr="004D4400" w:rsidRDefault="00CF3708" w:rsidP="004D4400">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4D4400" w:rsidRPr="004D4400">
        <w:rPr>
          <w:rFonts w:ascii="Avenir Next" w:hAnsi="Avenir Next" w:cs="Arial"/>
          <w:color w:val="7B7B7B" w:themeColor="accent3" w:themeShade="BF"/>
          <w:sz w:val="22"/>
          <w:szCs w:val="22"/>
          <w:lang w:val="en-GB"/>
        </w:rPr>
        <w:t xml:space="preserve">If the payments to Aluminium </w:t>
      </w:r>
      <w:proofErr w:type="spellStart"/>
      <w:r w:rsidR="004D4400" w:rsidRPr="004D4400">
        <w:rPr>
          <w:rFonts w:ascii="Avenir Next" w:hAnsi="Avenir Next" w:cs="Arial"/>
          <w:color w:val="7B7B7B" w:themeColor="accent3" w:themeShade="BF"/>
          <w:sz w:val="22"/>
          <w:szCs w:val="22"/>
          <w:lang w:val="en-GB"/>
        </w:rPr>
        <w:t>Alumini</w:t>
      </w:r>
      <w:proofErr w:type="spellEnd"/>
      <w:r w:rsidR="004D4400" w:rsidRPr="004D4400">
        <w:rPr>
          <w:rFonts w:ascii="Avenir Next" w:hAnsi="Avenir Next" w:cs="Arial"/>
          <w:color w:val="7B7B7B" w:themeColor="accent3" w:themeShade="BF"/>
          <w:sz w:val="22"/>
          <w:szCs w:val="22"/>
          <w:lang w:val="en-GB"/>
        </w:rPr>
        <w:t xml:space="preserve"> Ltd. were made for less than the value of the goods supplied, and this transaction can be shown to have disadvantaged creditors, the liquidator may seek to set them aside.</w:t>
      </w:r>
    </w:p>
    <w:p w14:paraId="0613821E" w14:textId="77777777" w:rsidR="004D4400" w:rsidRPr="004D4400" w:rsidRDefault="004D4400" w:rsidP="004D4400">
      <w:pPr>
        <w:jc w:val="both"/>
        <w:rPr>
          <w:rFonts w:ascii="Avenir Next" w:hAnsi="Avenir Next" w:cs="Arial"/>
          <w:color w:val="7B7B7B" w:themeColor="accent3" w:themeShade="BF"/>
          <w:sz w:val="22"/>
          <w:szCs w:val="22"/>
          <w:lang w:val="en-GB"/>
        </w:rPr>
      </w:pPr>
    </w:p>
    <w:p w14:paraId="5AB3225B" w14:textId="357367CE" w:rsidR="00CF3708" w:rsidRPr="00197F24" w:rsidRDefault="004D4400" w:rsidP="004D4400">
      <w:pPr>
        <w:jc w:val="both"/>
        <w:rPr>
          <w:rFonts w:ascii="Avenir Next" w:hAnsi="Avenir Next" w:cs="Arial"/>
          <w:color w:val="7B7B7B" w:themeColor="accent3" w:themeShade="BF"/>
          <w:sz w:val="22"/>
          <w:szCs w:val="22"/>
          <w:lang w:val="en-GB"/>
        </w:rPr>
      </w:pPr>
      <w:r w:rsidRPr="004D4400">
        <w:rPr>
          <w:rFonts w:ascii="Avenir Next" w:hAnsi="Avenir Next" w:cs="Arial"/>
          <w:color w:val="7B7B7B" w:themeColor="accent3" w:themeShade="BF"/>
          <w:sz w:val="22"/>
          <w:szCs w:val="22"/>
          <w:lang w:val="en-GB"/>
        </w:rPr>
        <w:t xml:space="preserve">Therefore, the liquidator may take action in relation to the payments made to Aluminium </w:t>
      </w:r>
      <w:proofErr w:type="spellStart"/>
      <w:r w:rsidRPr="004D4400">
        <w:rPr>
          <w:rFonts w:ascii="Avenir Next" w:hAnsi="Avenir Next" w:cs="Arial"/>
          <w:color w:val="7B7B7B" w:themeColor="accent3" w:themeShade="BF"/>
          <w:sz w:val="22"/>
          <w:szCs w:val="22"/>
          <w:lang w:val="en-GB"/>
        </w:rPr>
        <w:t>Alumini</w:t>
      </w:r>
      <w:proofErr w:type="spellEnd"/>
      <w:r w:rsidRPr="004D4400">
        <w:rPr>
          <w:rFonts w:ascii="Avenir Next" w:hAnsi="Avenir Next" w:cs="Arial"/>
          <w:color w:val="7B7B7B" w:themeColor="accent3" w:themeShade="BF"/>
          <w:sz w:val="22"/>
          <w:szCs w:val="22"/>
          <w:lang w:val="en-GB"/>
        </w:rPr>
        <w:t xml:space="preserve"> Ltd. based on potential preference and transaction at an undervalue grounds.</w:t>
      </w:r>
      <w:r w:rsidR="00CF3708" w:rsidRPr="00197F24">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EC38BE">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08F6" w14:textId="77777777" w:rsidR="00EC38BE" w:rsidRDefault="00EC38BE" w:rsidP="00241B44">
      <w:r>
        <w:separator/>
      </w:r>
    </w:p>
  </w:endnote>
  <w:endnote w:type="continuationSeparator" w:id="0">
    <w:p w14:paraId="72200EC6" w14:textId="77777777" w:rsidR="00EC38BE" w:rsidRDefault="00EC38B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1857BB82"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A84235">
          <w:rPr>
            <w:rStyle w:val="Nmerodepgina"/>
            <w:rFonts w:ascii="Avenir Next" w:hAnsi="Avenir Next" w:cs="Arial"/>
            <w:sz w:val="22"/>
            <w:szCs w:val="22"/>
          </w:rPr>
          <w:t xml:space="preserve">Page </w:t>
        </w:r>
        <w:r w:rsidRPr="00A84235">
          <w:rPr>
            <w:rStyle w:val="Nmerodepgina"/>
            <w:rFonts w:ascii="Avenir Next" w:hAnsi="Avenir Next" w:cs="Arial"/>
            <w:sz w:val="22"/>
            <w:szCs w:val="22"/>
          </w:rPr>
          <w:fldChar w:fldCharType="begin"/>
        </w:r>
        <w:r w:rsidRPr="00A84235">
          <w:rPr>
            <w:rStyle w:val="Nmerodepgina"/>
            <w:rFonts w:ascii="Avenir Next" w:hAnsi="Avenir Next" w:cs="Arial"/>
            <w:sz w:val="22"/>
            <w:szCs w:val="22"/>
          </w:rPr>
          <w:instrText xml:space="preserve"> PAGE </w:instrText>
        </w:r>
        <w:r w:rsidRPr="00A84235">
          <w:rPr>
            <w:rStyle w:val="Nmerodepgina"/>
            <w:rFonts w:ascii="Avenir Next" w:hAnsi="Avenir Next" w:cs="Arial"/>
            <w:sz w:val="22"/>
            <w:szCs w:val="22"/>
          </w:rPr>
          <w:fldChar w:fldCharType="separate"/>
        </w:r>
        <w:r w:rsidR="009D3AF0" w:rsidRPr="00A84235">
          <w:rPr>
            <w:rStyle w:val="Nmerodepgina"/>
            <w:rFonts w:ascii="Avenir Next" w:hAnsi="Avenir Next" w:cs="Arial"/>
            <w:noProof/>
            <w:sz w:val="22"/>
            <w:szCs w:val="22"/>
          </w:rPr>
          <w:t>8</w:t>
        </w:r>
        <w:r w:rsidRPr="00A84235">
          <w:rPr>
            <w:rStyle w:val="Nmerodepgina"/>
            <w:rFonts w:ascii="Avenir Next" w:hAnsi="Avenir Next" w:cs="Arial"/>
            <w:sz w:val="22"/>
            <w:szCs w:val="22"/>
          </w:rPr>
          <w:fldChar w:fldCharType="end"/>
        </w:r>
      </w:p>
    </w:sdtContent>
  </w:sdt>
  <w:p w14:paraId="30F05E79" w14:textId="6A93CA33" w:rsidR="00241FA3" w:rsidRPr="00A84235" w:rsidRDefault="0073158B" w:rsidP="009B4976">
    <w:pPr>
      <w:pStyle w:val="Piedepgina"/>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90C2" w14:textId="77777777" w:rsidR="00EC38BE" w:rsidRDefault="00EC38BE" w:rsidP="00241B44">
      <w:r>
        <w:separator/>
      </w:r>
    </w:p>
  </w:footnote>
  <w:footnote w:type="continuationSeparator" w:id="0">
    <w:p w14:paraId="3B217EA9" w14:textId="77777777" w:rsidR="00EC38BE" w:rsidRDefault="00EC38B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40E17"/>
    <w:multiLevelType w:val="hybridMultilevel"/>
    <w:tmpl w:val="77CA1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 w:numId="18" w16cid:durableId="176214129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4400"/>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38BE"/>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31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0168824">
      <w:bodyDiv w:val="1"/>
      <w:marLeft w:val="0"/>
      <w:marRight w:val="0"/>
      <w:marTop w:val="0"/>
      <w:marBottom w:val="0"/>
      <w:divBdr>
        <w:top w:val="none" w:sz="0" w:space="0" w:color="auto"/>
        <w:left w:val="none" w:sz="0" w:space="0" w:color="auto"/>
        <w:bottom w:val="none" w:sz="0" w:space="0" w:color="auto"/>
        <w:right w:val="none" w:sz="0" w:space="0" w:color="auto"/>
      </w:divBdr>
    </w:div>
    <w:div w:id="54352116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8026130">
      <w:bodyDiv w:val="1"/>
      <w:marLeft w:val="0"/>
      <w:marRight w:val="0"/>
      <w:marTop w:val="0"/>
      <w:marBottom w:val="0"/>
      <w:divBdr>
        <w:top w:val="none" w:sz="0" w:space="0" w:color="auto"/>
        <w:left w:val="none" w:sz="0" w:space="0" w:color="auto"/>
        <w:bottom w:val="none" w:sz="0" w:space="0" w:color="auto"/>
        <w:right w:val="none" w:sz="0" w:space="0" w:color="auto"/>
      </w:divBdr>
    </w:div>
    <w:div w:id="110272927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2491</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2</cp:revision>
  <cp:lastPrinted>2019-08-27T05:42:00Z</cp:lastPrinted>
  <dcterms:created xsi:type="dcterms:W3CDTF">2024-02-01T23:32:00Z</dcterms:created>
  <dcterms:modified xsi:type="dcterms:W3CDTF">2024-02-01T23:32:00Z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