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76AE2D9" w14:textId="77777777" w:rsidR="00874598" w:rsidRDefault="00874598" w:rsidP="00874598">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13D68906" w14:textId="77777777" w:rsidR="00437297" w:rsidRDefault="00437297" w:rsidP="00874598">
      <w:pP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Prrafodelista"/>
        <w:ind w:left="426"/>
        <w:jc w:val="both"/>
        <w:rPr>
          <w:rFonts w:ascii="Avenir Next" w:hAnsi="Avenir Next" w:cs="Arial"/>
          <w:sz w:val="22"/>
          <w:szCs w:val="22"/>
          <w:lang w:val="en-GB"/>
        </w:rPr>
      </w:pPr>
    </w:p>
    <w:p w14:paraId="05419608" w14:textId="77777777" w:rsidR="00F746D8" w:rsidRPr="008E3C96" w:rsidRDefault="00F746D8" w:rsidP="00F746D8">
      <w:pPr>
        <w:pStyle w:val="Prrafode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Prrafodelista"/>
        <w:ind w:left="426"/>
        <w:jc w:val="both"/>
        <w:rPr>
          <w:rFonts w:ascii="Avenir Next" w:hAnsi="Avenir Next" w:cs="Arial"/>
          <w:sz w:val="22"/>
          <w:szCs w:val="22"/>
          <w:lang w:val="en-GB"/>
        </w:rPr>
      </w:pPr>
    </w:p>
    <w:p w14:paraId="780CB84D" w14:textId="77777777" w:rsidR="00F746D8" w:rsidRPr="00874598" w:rsidRDefault="00F746D8" w:rsidP="00F746D8">
      <w:pPr>
        <w:pStyle w:val="Prrafodelista"/>
        <w:numPr>
          <w:ilvl w:val="0"/>
          <w:numId w:val="26"/>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False, an EU Directive regulating insolvency law at EU level existed before the EIR 2000.</w:t>
      </w:r>
    </w:p>
    <w:p w14:paraId="1B075F55" w14:textId="77777777" w:rsidR="00F746D8" w:rsidRPr="008E3C96" w:rsidRDefault="00F746D8" w:rsidP="00F746D8">
      <w:pPr>
        <w:pStyle w:val="Prrafodelista"/>
        <w:ind w:left="426"/>
        <w:jc w:val="both"/>
        <w:rPr>
          <w:rFonts w:ascii="Avenir Next" w:hAnsi="Avenir Next" w:cs="Arial"/>
          <w:sz w:val="22"/>
          <w:szCs w:val="22"/>
          <w:lang w:val="en-GB"/>
        </w:rPr>
      </w:pPr>
    </w:p>
    <w:p w14:paraId="04E0EF03" w14:textId="77777777" w:rsidR="00F746D8" w:rsidRPr="00AD35E0" w:rsidRDefault="00F746D8" w:rsidP="00F746D8">
      <w:pPr>
        <w:pStyle w:val="Prrafodelista"/>
        <w:numPr>
          <w:ilvl w:val="0"/>
          <w:numId w:val="26"/>
        </w:numPr>
        <w:ind w:left="426"/>
        <w:jc w:val="both"/>
        <w:rPr>
          <w:rFonts w:ascii="Avenir Next" w:hAnsi="Avenir Next" w:cs="Arial"/>
          <w:sz w:val="22"/>
          <w:szCs w:val="22"/>
          <w:lang w:val="en-GB"/>
        </w:rPr>
      </w:pPr>
      <w:r w:rsidRPr="00AD35E0">
        <w:rPr>
          <w:rFonts w:ascii="Avenir Next" w:hAnsi="Avenir Next" w:cs="Arial"/>
          <w:sz w:val="22"/>
          <w:szCs w:val="22"/>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Prrafodelista"/>
        <w:numPr>
          <w:ilvl w:val="0"/>
          <w:numId w:val="3"/>
        </w:numPr>
        <w:ind w:left="426"/>
        <w:jc w:val="both"/>
        <w:rPr>
          <w:rFonts w:ascii="Avenir Next" w:hAnsi="Avenir Next" w:cs="Arial"/>
          <w:iCs/>
          <w:sz w:val="22"/>
          <w:szCs w:val="22"/>
          <w:lang w:val="en-GB"/>
        </w:rPr>
      </w:pPr>
      <w:r w:rsidRPr="00AD35E0">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Prrafodelista"/>
        <w:ind w:left="426"/>
        <w:jc w:val="both"/>
        <w:rPr>
          <w:rFonts w:ascii="Avenir Next" w:hAnsi="Avenir Next" w:cs="Arial"/>
          <w:iCs/>
          <w:sz w:val="22"/>
          <w:szCs w:val="22"/>
          <w:lang w:val="en-GB"/>
        </w:rPr>
      </w:pPr>
    </w:p>
    <w:p w14:paraId="676F8887" w14:textId="77777777" w:rsidR="00F746D8" w:rsidRPr="00874598" w:rsidRDefault="00F746D8" w:rsidP="00F746D8">
      <w:pPr>
        <w:pStyle w:val="Prrafodelista"/>
        <w:numPr>
          <w:ilvl w:val="0"/>
          <w:numId w:val="3"/>
        </w:numPr>
        <w:ind w:left="426"/>
        <w:jc w:val="both"/>
        <w:rPr>
          <w:rFonts w:ascii="Avenir Next" w:hAnsi="Avenir Next" w:cs="Arial"/>
          <w:iCs/>
          <w:sz w:val="22"/>
          <w:szCs w:val="22"/>
          <w:highlight w:val="yellow"/>
          <w:lang w:val="en-GB"/>
        </w:rPr>
      </w:pPr>
      <w:r w:rsidRPr="00874598">
        <w:rPr>
          <w:rFonts w:ascii="Avenir Next" w:hAnsi="Avenir Next" w:cs="Arial"/>
          <w:iCs/>
          <w:sz w:val="22"/>
          <w:szCs w:val="22"/>
          <w:highlight w:val="yellow"/>
          <w:lang w:val="en-GB"/>
        </w:rPr>
        <w:t xml:space="preserve">Proceedings will fall under the scope of the EIR 2015 if they are based on laws relating to insolvency for the purpose of rescue, adjustment of debt, reorganisation, or liquidation; are public; and 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Prrafode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Prrafodelista"/>
        <w:ind w:left="426"/>
        <w:jc w:val="both"/>
        <w:rPr>
          <w:rFonts w:ascii="Avenir Next" w:hAnsi="Avenir Next" w:cs="Arial"/>
          <w:iCs/>
          <w:sz w:val="22"/>
          <w:szCs w:val="22"/>
          <w:lang w:val="en-GB"/>
        </w:rPr>
      </w:pPr>
    </w:p>
    <w:p w14:paraId="3C1680F9" w14:textId="77777777" w:rsidR="00F746D8" w:rsidRPr="00DE27FF" w:rsidRDefault="00F746D8" w:rsidP="00F746D8">
      <w:pPr>
        <w:pStyle w:val="Prrafode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Prrafodelista"/>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Prrafode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Prrafodelista"/>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Prrafodelista"/>
        <w:ind w:left="426"/>
        <w:jc w:val="both"/>
        <w:rPr>
          <w:rFonts w:ascii="Avenir Next" w:hAnsi="Avenir Next" w:cs="Arial"/>
          <w:iCs/>
          <w:sz w:val="22"/>
          <w:szCs w:val="22"/>
          <w:lang w:val="en-GB"/>
        </w:rPr>
      </w:pPr>
    </w:p>
    <w:p w14:paraId="3469FC75" w14:textId="77777777" w:rsidR="00F746D8" w:rsidRPr="00874598" w:rsidRDefault="00F746D8" w:rsidP="00F746D8">
      <w:pPr>
        <w:pStyle w:val="Prrafodelista"/>
        <w:numPr>
          <w:ilvl w:val="0"/>
          <w:numId w:val="27"/>
        </w:numPr>
        <w:ind w:left="426"/>
        <w:jc w:val="both"/>
        <w:rPr>
          <w:rFonts w:ascii="Avenir Next" w:hAnsi="Avenir Next" w:cs="Arial"/>
          <w:iCs/>
          <w:sz w:val="22"/>
          <w:szCs w:val="22"/>
          <w:highlight w:val="yellow"/>
          <w:lang w:val="en-GB"/>
        </w:rPr>
      </w:pPr>
      <w:r w:rsidRPr="00874598">
        <w:rPr>
          <w:rFonts w:ascii="Avenir Next" w:hAnsi="Avenir Next" w:cs="Arial"/>
          <w:iCs/>
          <w:sz w:val="22"/>
          <w:szCs w:val="22"/>
          <w:highlight w:val="yellow"/>
          <w:lang w:val="en-GB"/>
        </w:rPr>
        <w:t>The fundamental choices and underlying policies of the EIR 2000 lacked support from the major stakeholders (businesses, public authorities, insolvency practitioners, etcetera). A new Regulation was therefore needed to meet their expectations.</w:t>
      </w:r>
    </w:p>
    <w:p w14:paraId="6106F66F" w14:textId="77777777" w:rsidR="00F746D8" w:rsidRPr="008E3C96" w:rsidRDefault="00F746D8" w:rsidP="00F746D8">
      <w:pPr>
        <w:pStyle w:val="Prrafodelista"/>
        <w:ind w:left="426"/>
        <w:jc w:val="both"/>
        <w:rPr>
          <w:rFonts w:ascii="Avenir Next" w:hAnsi="Avenir Next" w:cs="Arial"/>
          <w:iCs/>
          <w:sz w:val="22"/>
          <w:szCs w:val="22"/>
          <w:lang w:val="en-GB"/>
        </w:rPr>
      </w:pPr>
    </w:p>
    <w:p w14:paraId="6328E9AC" w14:textId="77777777" w:rsidR="00F746D8" w:rsidRPr="00AD35E0" w:rsidRDefault="00F746D8" w:rsidP="00F746D8">
      <w:pPr>
        <w:pStyle w:val="Prrafodelista"/>
        <w:numPr>
          <w:ilvl w:val="0"/>
          <w:numId w:val="27"/>
        </w:numPr>
        <w:ind w:left="426"/>
        <w:jc w:val="both"/>
        <w:rPr>
          <w:rFonts w:ascii="Avenir Next" w:hAnsi="Avenir Next"/>
          <w:sz w:val="22"/>
          <w:lang w:val="en-GB"/>
        </w:rPr>
      </w:pPr>
      <w:r w:rsidRPr="00AD35E0">
        <w:rPr>
          <w:rFonts w:ascii="Avenir Next" w:hAnsi="Avenir Next"/>
          <w:sz w:val="22"/>
          <w:lang w:val="en-GB"/>
        </w:rPr>
        <w:t xml:space="preserve">The EIR 2000 </w:t>
      </w:r>
      <w:r w:rsidRPr="00AD35E0">
        <w:rPr>
          <w:rFonts w:ascii="Avenir Next" w:hAnsi="Avenir Next" w:cs="Arial"/>
          <w:iCs/>
          <w:sz w:val="22"/>
          <w:szCs w:val="22"/>
          <w:lang w:val="en-GB"/>
        </w:rPr>
        <w:t xml:space="preserve">was generally considered a successful instrument, but areas of improvement had been identified over the years by practitioners and academics. </w:t>
      </w:r>
      <w:r w:rsidRPr="00AD35E0">
        <w:rPr>
          <w:rFonts w:ascii="Avenir Next" w:hAnsi="Avenir Next"/>
          <w:sz w:val="22"/>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874598" w:rsidRDefault="00F746D8" w:rsidP="00F746D8">
      <w:pPr>
        <w:pStyle w:val="Prrafodelista"/>
        <w:numPr>
          <w:ilvl w:val="0"/>
          <w:numId w:val="5"/>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Prrafode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Prrafodelista"/>
        <w:ind w:left="426"/>
        <w:jc w:val="both"/>
        <w:rPr>
          <w:rFonts w:ascii="Avenir Next" w:hAnsi="Avenir Next" w:cs="Arial"/>
          <w:sz w:val="22"/>
          <w:szCs w:val="22"/>
          <w:lang w:val="en-GB"/>
        </w:rPr>
      </w:pPr>
    </w:p>
    <w:p w14:paraId="54DF3437" w14:textId="20CAC8AA" w:rsidR="00F746D8" w:rsidRPr="00874598" w:rsidRDefault="00F746D8" w:rsidP="00F746D8">
      <w:pPr>
        <w:pStyle w:val="Prrafodelista"/>
        <w:numPr>
          <w:ilvl w:val="0"/>
          <w:numId w:val="28"/>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Article 3 states that the courts of the Member State within the territory of which the debtor has its centre of main</w:t>
      </w:r>
      <w:r w:rsidR="003E1D56" w:rsidRPr="00874598">
        <w:rPr>
          <w:rFonts w:ascii="Avenir Next" w:hAnsi="Avenir Next" w:cs="Arial"/>
          <w:sz w:val="22"/>
          <w:szCs w:val="22"/>
          <w:highlight w:val="yellow"/>
          <w:lang w:val="en-GB"/>
        </w:rPr>
        <w:t xml:space="preserve"> interest</w:t>
      </w:r>
      <w:r w:rsidRPr="00874598">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Prrafodelista"/>
        <w:ind w:left="426"/>
        <w:jc w:val="both"/>
        <w:rPr>
          <w:rFonts w:ascii="Avenir Next" w:hAnsi="Avenir Next" w:cs="Arial"/>
          <w:sz w:val="22"/>
          <w:szCs w:val="22"/>
          <w:lang w:val="en-GB"/>
        </w:rPr>
      </w:pPr>
    </w:p>
    <w:p w14:paraId="4E7B7B16"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Prrafodelista"/>
        <w:ind w:left="426"/>
        <w:jc w:val="both"/>
        <w:rPr>
          <w:rFonts w:ascii="Avenir Next" w:hAnsi="Avenir Next" w:cs="Arial"/>
          <w:sz w:val="22"/>
          <w:szCs w:val="22"/>
          <w:lang w:val="en-GB"/>
        </w:rPr>
      </w:pPr>
    </w:p>
    <w:p w14:paraId="644A958A" w14:textId="77777777" w:rsidR="00F746D8" w:rsidRPr="008E3C96" w:rsidRDefault="00F746D8" w:rsidP="00F746D8">
      <w:pPr>
        <w:pStyle w:val="Prrafode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Prrafodelista"/>
        <w:ind w:left="426"/>
        <w:jc w:val="both"/>
        <w:rPr>
          <w:rFonts w:ascii="Avenir Next" w:hAnsi="Avenir Next" w:cs="Arial"/>
          <w:sz w:val="22"/>
          <w:szCs w:val="22"/>
          <w:lang w:val="en-GB"/>
        </w:rPr>
      </w:pPr>
    </w:p>
    <w:p w14:paraId="5E504FB7" w14:textId="77777777" w:rsidR="00F746D8" w:rsidRPr="008E3C96"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874598" w:rsidRDefault="00F746D8" w:rsidP="00F746D8">
      <w:pPr>
        <w:pStyle w:val="Prrafodelista"/>
        <w:numPr>
          <w:ilvl w:val="0"/>
          <w:numId w:val="7"/>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Prrafode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Prrafodelista"/>
        <w:ind w:left="426"/>
        <w:jc w:val="both"/>
        <w:rPr>
          <w:rFonts w:ascii="Avenir Next" w:hAnsi="Avenir Next" w:cs="Arial"/>
          <w:sz w:val="22"/>
          <w:szCs w:val="22"/>
          <w:lang w:val="en-GB"/>
        </w:rPr>
      </w:pPr>
    </w:p>
    <w:p w14:paraId="12FF3881"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Prrafodelista"/>
        <w:ind w:left="426"/>
        <w:jc w:val="both"/>
        <w:rPr>
          <w:rFonts w:ascii="Avenir Next" w:hAnsi="Avenir Next" w:cs="Arial"/>
          <w:sz w:val="22"/>
          <w:szCs w:val="22"/>
          <w:lang w:val="en-GB"/>
        </w:rPr>
      </w:pPr>
    </w:p>
    <w:p w14:paraId="54884835" w14:textId="77777777" w:rsidR="00F746D8" w:rsidRPr="008E3C96" w:rsidRDefault="00F746D8" w:rsidP="00F746D8">
      <w:pPr>
        <w:pStyle w:val="Prrafode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Prrafodelista"/>
        <w:ind w:left="426"/>
        <w:jc w:val="both"/>
        <w:rPr>
          <w:rFonts w:ascii="Avenir Next" w:hAnsi="Avenir Next" w:cs="Arial"/>
          <w:sz w:val="22"/>
          <w:szCs w:val="22"/>
          <w:lang w:val="en-GB"/>
        </w:rPr>
      </w:pPr>
    </w:p>
    <w:p w14:paraId="401BC106" w14:textId="77777777" w:rsidR="00F746D8" w:rsidRPr="00874598" w:rsidRDefault="00F746D8" w:rsidP="00F746D8">
      <w:pPr>
        <w:pStyle w:val="Prrafodelista"/>
        <w:numPr>
          <w:ilvl w:val="0"/>
          <w:numId w:val="31"/>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Article 31 EIR Recast (entitled “</w:t>
      </w:r>
      <w:r w:rsidRPr="00874598">
        <w:rPr>
          <w:rFonts w:ascii="Avenir Next" w:hAnsi="Avenir Next" w:cs="Arial"/>
          <w:bCs/>
          <w:sz w:val="22"/>
          <w:szCs w:val="22"/>
          <w:highlight w:val="yellow"/>
          <w:lang w:val="en-GB"/>
        </w:rPr>
        <w:t>Honouring of an obligation to a debtor”</w:t>
      </w:r>
      <w:r w:rsidRPr="00874598">
        <w:rPr>
          <w:rFonts w:ascii="Avenir Next" w:hAnsi="Avenir Next" w:cs="Arial"/>
          <w:sz w:val="22"/>
          <w:szCs w:val="22"/>
          <w:highlight w:val="yellow"/>
          <w:lang w:val="en-GB"/>
        </w:rPr>
        <w:t>).</w:t>
      </w:r>
    </w:p>
    <w:p w14:paraId="03C8D5D4" w14:textId="77777777" w:rsidR="00F746D8" w:rsidRPr="008E3C96" w:rsidRDefault="00F746D8" w:rsidP="00F746D8">
      <w:pPr>
        <w:pStyle w:val="Prrafodelista"/>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Prrafodelista"/>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Prrafodelista"/>
        <w:ind w:left="426"/>
        <w:jc w:val="both"/>
        <w:rPr>
          <w:rFonts w:ascii="Avenir Next" w:hAnsi="Avenir Next" w:cs="Arial"/>
          <w:sz w:val="22"/>
          <w:szCs w:val="22"/>
          <w:lang w:val="en-GB"/>
        </w:rPr>
      </w:pPr>
    </w:p>
    <w:p w14:paraId="5165E85E" w14:textId="77777777" w:rsidR="00F746D8" w:rsidRPr="008E3C96" w:rsidRDefault="00F746D8" w:rsidP="00F746D8">
      <w:pPr>
        <w:pStyle w:val="Prrafode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Prrafode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874598" w:rsidRDefault="00F746D8" w:rsidP="00F746D8">
      <w:pPr>
        <w:pStyle w:val="Prrafodelista"/>
        <w:numPr>
          <w:ilvl w:val="0"/>
          <w:numId w:val="8"/>
        </w:numPr>
        <w:ind w:left="426"/>
        <w:jc w:val="both"/>
        <w:rPr>
          <w:rFonts w:ascii="Avenir Next" w:hAnsi="Avenir Next" w:cs="Arial"/>
          <w:sz w:val="22"/>
          <w:szCs w:val="22"/>
          <w:highlight w:val="yellow"/>
          <w:lang w:val="en-GB"/>
        </w:rPr>
      </w:pPr>
      <w:r w:rsidRPr="00874598">
        <w:rPr>
          <w:rFonts w:ascii="Avenir Next" w:hAnsi="Avenir Next"/>
          <w:sz w:val="22"/>
          <w:highlight w:val="yellow"/>
          <w:lang w:val="en-GB"/>
        </w:rPr>
        <w:t xml:space="preserve">The </w:t>
      </w:r>
      <w:r w:rsidRPr="00874598">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874598" w:rsidRDefault="00F746D8" w:rsidP="00F746D8">
      <w:pPr>
        <w:pStyle w:val="Prrafodelista"/>
        <w:numPr>
          <w:ilvl w:val="0"/>
          <w:numId w:val="32"/>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Prrafodelista"/>
        <w:ind w:left="426"/>
        <w:jc w:val="both"/>
        <w:rPr>
          <w:rFonts w:ascii="Avenir Next" w:hAnsi="Avenir Next" w:cs="Arial"/>
          <w:sz w:val="22"/>
          <w:szCs w:val="22"/>
          <w:lang w:val="en-GB"/>
        </w:rPr>
      </w:pPr>
    </w:p>
    <w:p w14:paraId="12CA0080"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Prrafode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Prrafodelista"/>
        <w:ind w:left="426"/>
        <w:jc w:val="both"/>
        <w:rPr>
          <w:rFonts w:ascii="Avenir Next" w:hAnsi="Avenir Next" w:cs="Arial"/>
          <w:sz w:val="22"/>
          <w:szCs w:val="22"/>
          <w:lang w:val="en-GB"/>
        </w:rPr>
      </w:pPr>
    </w:p>
    <w:p w14:paraId="39B9C266" w14:textId="77777777" w:rsidR="00F746D8" w:rsidRPr="00874598" w:rsidRDefault="00F746D8" w:rsidP="00F746D8">
      <w:pPr>
        <w:pStyle w:val="Prrafodelista"/>
        <w:numPr>
          <w:ilvl w:val="0"/>
          <w:numId w:val="9"/>
        </w:numPr>
        <w:ind w:left="426"/>
        <w:jc w:val="both"/>
        <w:rPr>
          <w:rFonts w:ascii="Avenir Next" w:hAnsi="Avenir Next" w:cs="Arial"/>
          <w:sz w:val="22"/>
          <w:szCs w:val="22"/>
          <w:highlight w:val="yellow"/>
          <w:lang w:val="en-GB"/>
        </w:rPr>
      </w:pPr>
      <w:r w:rsidRPr="00874598">
        <w:rPr>
          <w:rFonts w:ascii="Avenir Next" w:hAnsi="Avenir Next" w:cs="Arial"/>
          <w:sz w:val="22"/>
          <w:szCs w:val="22"/>
          <w:highlight w:val="yellow"/>
          <w:lang w:val="en-GB"/>
        </w:rPr>
        <w:t xml:space="preserve">Its centre of main interest </w:t>
      </w:r>
      <w:proofErr w:type="gramStart"/>
      <w:r w:rsidRPr="00874598">
        <w:rPr>
          <w:rFonts w:ascii="Avenir Next" w:hAnsi="Avenir Next" w:cs="Arial"/>
          <w:sz w:val="22"/>
          <w:szCs w:val="22"/>
          <w:highlight w:val="yellow"/>
          <w:lang w:val="en-GB"/>
        </w:rPr>
        <w:t>is located in</w:t>
      </w:r>
      <w:proofErr w:type="gramEnd"/>
      <w:r w:rsidRPr="00874598">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Prrafodelista"/>
        <w:ind w:left="426"/>
        <w:jc w:val="both"/>
        <w:rPr>
          <w:rFonts w:ascii="Avenir Next" w:hAnsi="Avenir Next" w:cs="Arial"/>
          <w:sz w:val="22"/>
          <w:szCs w:val="22"/>
          <w:lang w:val="en-GB"/>
        </w:rPr>
      </w:pPr>
    </w:p>
    <w:p w14:paraId="5769E4A5" w14:textId="77777777" w:rsidR="00F746D8" w:rsidRPr="008E3C96" w:rsidRDefault="00F746D8" w:rsidP="00F746D8">
      <w:pPr>
        <w:pStyle w:val="Prrafode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Prrafode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2A533B19" w14:textId="77777777" w:rsidR="00874598" w:rsidRDefault="006C3FB7" w:rsidP="0087459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FC36AD">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Statement 1: The provision/concept addressed is "rescue proceedings" under Article 2(12) of the EIR Recast.</w:t>
      </w:r>
    </w:p>
    <w:p w14:paraId="1714D86A" w14:textId="77777777" w:rsidR="00874598" w:rsidRDefault="00874598" w:rsidP="00874598">
      <w:pPr>
        <w:jc w:val="both"/>
        <w:rPr>
          <w:rFonts w:ascii="Avenir Next" w:hAnsi="Avenir Next" w:cs="Arial"/>
          <w:color w:val="7B7B7B" w:themeColor="accent3" w:themeShade="BF"/>
          <w:sz w:val="22"/>
          <w:szCs w:val="22"/>
        </w:rPr>
      </w:pPr>
    </w:p>
    <w:p w14:paraId="1A1637C6" w14:textId="560EF689" w:rsidR="006C3FB7"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Statement 2: The provision/concept addressed is "effects of insolvency proceedings on pending lawsuits or arbitral proceedings" under Article 18 of the EIR Recast.</w:t>
      </w:r>
      <w:r w:rsidR="00FC36AD">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7B344EB4" w14:textId="77777777" w:rsidR="00874598" w:rsidRP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 xml:space="preserve">Article 4(2): This provision allows a debtor to designate a Member State where it has an establishment as the state where it has its COMI, even if </w:t>
      </w:r>
      <w:proofErr w:type="spellStart"/>
      <w:r w:rsidR="00874598" w:rsidRPr="00874598">
        <w:rPr>
          <w:rFonts w:ascii="Avenir Next" w:hAnsi="Avenir Next" w:cs="Arial"/>
          <w:color w:val="7B7B7B" w:themeColor="accent3" w:themeShade="BF"/>
          <w:sz w:val="22"/>
          <w:szCs w:val="22"/>
        </w:rPr>
        <w:t>its</w:t>
      </w:r>
      <w:proofErr w:type="spellEnd"/>
      <w:r w:rsidR="00874598" w:rsidRPr="00874598">
        <w:rPr>
          <w:rFonts w:ascii="Avenir Next" w:hAnsi="Avenir Next" w:cs="Arial"/>
          <w:color w:val="7B7B7B" w:themeColor="accent3" w:themeShade="BF"/>
          <w:sz w:val="22"/>
          <w:szCs w:val="22"/>
        </w:rPr>
        <w:t xml:space="preserve"> COMI is located elsewhere. This departure from the traditional COMI principle allows debtors to choose a jurisdiction where they have an establishment as their COMI, potentially leading to forum shopping and complicating the determination of the main insolvency proceedings.</w:t>
      </w:r>
    </w:p>
    <w:p w14:paraId="20BC3AEA" w14:textId="77777777" w:rsidR="00874598" w:rsidRPr="00874598" w:rsidRDefault="00874598" w:rsidP="00874598">
      <w:pPr>
        <w:jc w:val="both"/>
        <w:rPr>
          <w:rFonts w:ascii="Avenir Next" w:hAnsi="Avenir Next" w:cs="Arial"/>
          <w:color w:val="7B7B7B" w:themeColor="accent3" w:themeShade="BF"/>
          <w:sz w:val="22"/>
          <w:szCs w:val="22"/>
        </w:rPr>
      </w:pPr>
    </w:p>
    <w:p w14:paraId="702CEFA8" w14:textId="77777777"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36: This article allows the insolvency practitioner in the main insolvency proceedings to provide an undertaking to a court in another Member State where secondary proceedings could be opened. If the undertaking adequately protects the general interests of local creditors, the court may decide not to open secondary proceedings, thus deviating from the automatic opening of secondary proceedings in favor of local proceedings.</w:t>
      </w:r>
    </w:p>
    <w:p w14:paraId="06F2F945" w14:textId="77777777" w:rsidR="00874598" w:rsidRPr="00874598" w:rsidRDefault="00874598" w:rsidP="00874598">
      <w:pPr>
        <w:jc w:val="both"/>
        <w:rPr>
          <w:rFonts w:ascii="Avenir Next" w:hAnsi="Avenir Next" w:cs="Arial"/>
          <w:color w:val="7B7B7B" w:themeColor="accent3" w:themeShade="BF"/>
          <w:sz w:val="22"/>
          <w:szCs w:val="22"/>
        </w:rPr>
      </w:pPr>
    </w:p>
    <w:p w14:paraId="541F1100" w14:textId="32517BA6"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49: This provision allows creditors to lodge their claims in the main proceedings even if they have commenced enforcement proceedings or other legal actions against the debtor in another Member State. It provides for the coordination of such claims in the main proceedings, departing from the traditional fragmentation of claims in multiple jurisdictions.</w:t>
      </w:r>
      <w:r w:rsidR="000A3278">
        <w:rPr>
          <w:rFonts w:ascii="Avenir Next" w:hAnsi="Avenir Next" w:cs="Arial"/>
          <w:color w:val="7B7B7B" w:themeColor="accent3" w:themeShade="BF"/>
          <w:sz w:val="22"/>
          <w:szCs w:val="22"/>
        </w:rPr>
        <w:t>]</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2786BF9F" w14:textId="77777777" w:rsid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 xml:space="preserve">Article 1 sets out the scope of the EIR Recast, defining the types of insolvency proceedings to which it applies. It specifies that the Regulation applies to collective insolvency proceedings which entail the partial or total divestment of a debtor and the appointment of a liquidator or a trustee. </w:t>
      </w:r>
    </w:p>
    <w:p w14:paraId="6C6147B8" w14:textId="77777777" w:rsidR="00874598" w:rsidRDefault="00874598" w:rsidP="00874598">
      <w:pPr>
        <w:jc w:val="both"/>
        <w:rPr>
          <w:rFonts w:ascii="Avenir Next" w:hAnsi="Avenir Next" w:cs="Arial"/>
          <w:color w:val="7B7B7B" w:themeColor="accent3" w:themeShade="BF"/>
          <w:sz w:val="22"/>
          <w:szCs w:val="22"/>
        </w:rPr>
      </w:pPr>
    </w:p>
    <w:p w14:paraId="230629AA" w14:textId="7772061C"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2: Definitions:</w:t>
      </w:r>
    </w:p>
    <w:p w14:paraId="3E79184E" w14:textId="77777777" w:rsidR="00874598" w:rsidRPr="00874598" w:rsidRDefault="00874598" w:rsidP="00874598">
      <w:pPr>
        <w:jc w:val="both"/>
        <w:rPr>
          <w:rFonts w:ascii="Avenir Next" w:hAnsi="Avenir Next" w:cs="Arial"/>
          <w:color w:val="7B7B7B" w:themeColor="accent3" w:themeShade="BF"/>
          <w:sz w:val="22"/>
          <w:szCs w:val="22"/>
        </w:rPr>
      </w:pPr>
    </w:p>
    <w:p w14:paraId="46A62EFE" w14:textId="77777777" w:rsid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2 provides definitions of key terms used throughout the Regulation, including "insolvency proceedings," "court," "establishment," and "</w:t>
      </w:r>
      <w:proofErr w:type="spellStart"/>
      <w:r w:rsidRPr="00874598">
        <w:rPr>
          <w:rFonts w:ascii="Avenir Next" w:hAnsi="Avenir Next" w:cs="Arial"/>
          <w:color w:val="7B7B7B" w:themeColor="accent3" w:themeShade="BF"/>
          <w:sz w:val="22"/>
          <w:szCs w:val="22"/>
        </w:rPr>
        <w:t>centre</w:t>
      </w:r>
      <w:proofErr w:type="spellEnd"/>
      <w:r w:rsidRPr="00874598">
        <w:rPr>
          <w:rFonts w:ascii="Avenir Next" w:hAnsi="Avenir Next" w:cs="Arial"/>
          <w:color w:val="7B7B7B" w:themeColor="accent3" w:themeShade="BF"/>
          <w:sz w:val="22"/>
          <w:szCs w:val="22"/>
        </w:rPr>
        <w:t xml:space="preserve"> of main interests" (COMI). These definitions help to establish a common understanding of the concepts relevant to cross-border insolvency within the European Union, facilitating uniform interpretation and application of the Regulation in Member States.</w:t>
      </w:r>
    </w:p>
    <w:p w14:paraId="6197C209" w14:textId="77777777" w:rsidR="00874598" w:rsidRPr="00874598" w:rsidRDefault="00874598" w:rsidP="00874598">
      <w:pPr>
        <w:jc w:val="both"/>
        <w:rPr>
          <w:rFonts w:ascii="Avenir Next" w:hAnsi="Avenir Next" w:cs="Arial"/>
          <w:color w:val="7B7B7B" w:themeColor="accent3" w:themeShade="BF"/>
          <w:sz w:val="22"/>
          <w:szCs w:val="22"/>
        </w:rPr>
      </w:pPr>
    </w:p>
    <w:p w14:paraId="7065AB20" w14:textId="77777777"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3: International jurisdiction:</w:t>
      </w:r>
    </w:p>
    <w:p w14:paraId="0762D733" w14:textId="77777777" w:rsidR="00874598" w:rsidRPr="00874598" w:rsidRDefault="00874598" w:rsidP="00874598">
      <w:pPr>
        <w:jc w:val="both"/>
        <w:rPr>
          <w:rFonts w:ascii="Avenir Next" w:hAnsi="Avenir Next" w:cs="Arial"/>
          <w:color w:val="7B7B7B" w:themeColor="accent3" w:themeShade="BF"/>
          <w:sz w:val="22"/>
          <w:szCs w:val="22"/>
        </w:rPr>
      </w:pPr>
    </w:p>
    <w:p w14:paraId="67E24F60" w14:textId="15FBBE7F"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3 determines the international jurisdiction for opening insolvency proceedings. It establishes that the main insolvency proceedings should be opened in the Member State where the debtor has its COMI, while secondary insolvency proceedings may be opened in Member States where the debtor has an establishment.</w:t>
      </w:r>
      <w:r w:rsidR="000A3278">
        <w:rPr>
          <w:rFonts w:ascii="Avenir Next" w:hAnsi="Avenir Next" w:cs="Arial"/>
          <w:color w:val="7B7B7B" w:themeColor="accent3" w:themeShade="BF"/>
          <w:sz w:val="22"/>
          <w:szCs w:val="22"/>
        </w:rPr>
        <w:t>]</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4E29BA06" w14:textId="77777777" w:rsid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Undertaking by the insolvency practitioner (Article 36):</w:t>
      </w:r>
    </w:p>
    <w:p w14:paraId="7573A280" w14:textId="025D3E3F" w:rsid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 xml:space="preserve">Under Article 36 of the EIR Recast, the insolvency practitioner appointed in the main insolvency proceedings may provide an undertaking to a court in another Member State where secondary proceedings could be opened. The undertaking assures the court that the general interests of local creditors will be adequately protected in the main proceedings, thereby potentially avoiding the need to open secondary proceedings. </w:t>
      </w:r>
    </w:p>
    <w:p w14:paraId="6B31830B" w14:textId="77777777" w:rsidR="00874598" w:rsidRDefault="00874598" w:rsidP="00874598">
      <w:pPr>
        <w:jc w:val="both"/>
        <w:rPr>
          <w:rFonts w:ascii="Avenir Next" w:hAnsi="Avenir Next" w:cs="Arial"/>
          <w:color w:val="7B7B7B" w:themeColor="accent3" w:themeShade="BF"/>
          <w:sz w:val="22"/>
          <w:szCs w:val="22"/>
        </w:rPr>
      </w:pPr>
    </w:p>
    <w:p w14:paraId="5B7FAB0E" w14:textId="31D2486E" w:rsidR="00874598" w:rsidRPr="0087459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Coordination and communication between insolvency practitioners (Article 41):</w:t>
      </w:r>
    </w:p>
    <w:p w14:paraId="002BC547" w14:textId="657D2A17"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Article 41 of the EIR Recast requires cooperation and communication between insolvency practitioners appointed in different proceedings concerning the same debtor. Insolvency practitioners are obligated to cooperate and share relevant information to ensure the efficient administration of the debtor's estate.</w:t>
      </w:r>
      <w:r w:rsidR="000A3278">
        <w:rPr>
          <w:rFonts w:ascii="Avenir Next" w:hAnsi="Avenir Next" w:cs="Arial"/>
          <w:color w:val="7B7B7B" w:themeColor="accent3" w:themeShade="BF"/>
          <w:sz w:val="22"/>
          <w:szCs w:val="22"/>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1EAD5E0A" w14:textId="77777777" w:rsidR="00874598" w:rsidRP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During the reform process of the EIR 2000, the European Commission identified several main elements that needed revision within the framework of the Regulation. These included:</w:t>
      </w:r>
    </w:p>
    <w:p w14:paraId="7BFD72F5" w14:textId="77777777" w:rsidR="00874598" w:rsidRPr="00874598" w:rsidRDefault="00874598" w:rsidP="00874598">
      <w:pPr>
        <w:jc w:val="both"/>
        <w:rPr>
          <w:rFonts w:ascii="Avenir Next" w:hAnsi="Avenir Next" w:cs="Arial"/>
          <w:color w:val="7B7B7B" w:themeColor="accent3" w:themeShade="BF"/>
          <w:sz w:val="22"/>
          <w:szCs w:val="22"/>
        </w:rPr>
      </w:pPr>
    </w:p>
    <w:p w14:paraId="45300C3A" w14:textId="1D9D4EB7"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Clarification and enhancement of the rules on jurisdiction</w:t>
      </w:r>
      <w:r w:rsidRPr="00874598">
        <w:rPr>
          <w:rFonts w:ascii="Avenir Next" w:hAnsi="Avenir Next" w:cs="Arial"/>
          <w:color w:val="7B7B7B" w:themeColor="accent3" w:themeShade="BF"/>
          <w:sz w:val="22"/>
          <w:szCs w:val="22"/>
        </w:rPr>
        <w:t>.</w:t>
      </w:r>
    </w:p>
    <w:p w14:paraId="5F51E436" w14:textId="77777777" w:rsidR="00874598" w:rsidRPr="00874598" w:rsidRDefault="00874598" w:rsidP="00874598">
      <w:pPr>
        <w:jc w:val="both"/>
        <w:rPr>
          <w:rFonts w:ascii="Avenir Next" w:hAnsi="Avenir Next" w:cs="Arial"/>
          <w:color w:val="7B7B7B" w:themeColor="accent3" w:themeShade="BF"/>
          <w:sz w:val="22"/>
          <w:szCs w:val="22"/>
        </w:rPr>
      </w:pPr>
    </w:p>
    <w:p w14:paraId="63ACCEF8" w14:textId="57557A53"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Improvement of coordination and cooperation</w:t>
      </w:r>
      <w:r w:rsidRPr="00874598">
        <w:rPr>
          <w:rFonts w:ascii="Avenir Next" w:hAnsi="Avenir Next" w:cs="Arial"/>
          <w:color w:val="7B7B7B" w:themeColor="accent3" w:themeShade="BF"/>
          <w:sz w:val="22"/>
          <w:szCs w:val="22"/>
        </w:rPr>
        <w:t>.</w:t>
      </w:r>
    </w:p>
    <w:p w14:paraId="778CFAC0" w14:textId="77777777" w:rsidR="00874598" w:rsidRPr="00874598" w:rsidRDefault="00874598" w:rsidP="00874598">
      <w:pPr>
        <w:jc w:val="both"/>
        <w:rPr>
          <w:rFonts w:ascii="Avenir Next" w:hAnsi="Avenir Next" w:cs="Arial"/>
          <w:color w:val="7B7B7B" w:themeColor="accent3" w:themeShade="BF"/>
          <w:sz w:val="22"/>
          <w:szCs w:val="22"/>
        </w:rPr>
      </w:pPr>
    </w:p>
    <w:p w14:paraId="767C7ED9" w14:textId="35DD8B0C"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Addressing the issue of forum shopping</w:t>
      </w:r>
      <w:r w:rsidRPr="00874598">
        <w:rPr>
          <w:rFonts w:ascii="Avenir Next" w:hAnsi="Avenir Next" w:cs="Arial"/>
          <w:color w:val="7B7B7B" w:themeColor="accent3" w:themeShade="BF"/>
          <w:sz w:val="22"/>
          <w:szCs w:val="22"/>
        </w:rPr>
        <w:t>.</w:t>
      </w:r>
    </w:p>
    <w:p w14:paraId="211B48A4" w14:textId="77777777" w:rsidR="00874598" w:rsidRPr="00874598" w:rsidRDefault="00874598" w:rsidP="00874598">
      <w:pPr>
        <w:jc w:val="both"/>
        <w:rPr>
          <w:rFonts w:ascii="Avenir Next" w:hAnsi="Avenir Next" w:cs="Arial"/>
          <w:color w:val="7B7B7B" w:themeColor="accent3" w:themeShade="BF"/>
          <w:sz w:val="22"/>
          <w:szCs w:val="22"/>
        </w:rPr>
      </w:pPr>
    </w:p>
    <w:p w14:paraId="2EBE6E28" w14:textId="534190C9" w:rsidR="00874598" w:rsidRPr="0087459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Enhancement of the rules on recognition and enforcement</w:t>
      </w:r>
      <w:r w:rsidRPr="00874598">
        <w:rPr>
          <w:rFonts w:ascii="Avenir Next" w:hAnsi="Avenir Next" w:cs="Arial"/>
          <w:color w:val="7B7B7B" w:themeColor="accent3" w:themeShade="BF"/>
          <w:sz w:val="22"/>
          <w:szCs w:val="22"/>
        </w:rPr>
        <w:t>.</w:t>
      </w:r>
    </w:p>
    <w:p w14:paraId="5A94BF4F" w14:textId="77777777" w:rsidR="00874598" w:rsidRPr="00874598" w:rsidRDefault="00874598" w:rsidP="00874598">
      <w:pPr>
        <w:jc w:val="both"/>
        <w:rPr>
          <w:rFonts w:ascii="Avenir Next" w:hAnsi="Avenir Next" w:cs="Arial"/>
          <w:color w:val="7B7B7B" w:themeColor="accent3" w:themeShade="BF"/>
          <w:sz w:val="22"/>
          <w:szCs w:val="22"/>
        </w:rPr>
      </w:pPr>
    </w:p>
    <w:p w14:paraId="35ADCF95" w14:textId="43D74777" w:rsidR="000A3278" w:rsidRDefault="00874598" w:rsidP="00874598">
      <w:pPr>
        <w:pStyle w:val="Prrafodelista"/>
        <w:numPr>
          <w:ilvl w:val="0"/>
          <w:numId w:val="35"/>
        </w:num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Modernization and adaptation to new economic realities</w:t>
      </w:r>
      <w:r w:rsidRPr="00874598">
        <w:rPr>
          <w:rFonts w:ascii="Avenir Next" w:hAnsi="Avenir Next" w:cs="Arial"/>
          <w:color w:val="7B7B7B" w:themeColor="accent3" w:themeShade="BF"/>
          <w:sz w:val="22"/>
          <w:szCs w:val="22"/>
        </w:rPr>
        <w:t>.</w:t>
      </w:r>
      <w:r w:rsidR="000A3278" w:rsidRPr="00874598">
        <w:rPr>
          <w:rFonts w:ascii="Avenir Next" w:hAnsi="Avenir Next" w:cs="Arial"/>
          <w:color w:val="7B7B7B" w:themeColor="accent3" w:themeShade="BF"/>
          <w:sz w:val="22"/>
          <w:szCs w:val="22"/>
        </w:rPr>
        <w:t>]</w:t>
      </w:r>
    </w:p>
    <w:p w14:paraId="3A5AE107" w14:textId="77777777" w:rsidR="00874598" w:rsidRPr="00874598" w:rsidRDefault="00874598" w:rsidP="00874598">
      <w:pPr>
        <w:pStyle w:val="Prrafodelista"/>
        <w:rPr>
          <w:rFonts w:ascii="Avenir Next" w:hAnsi="Avenir Next" w:cs="Arial"/>
          <w:color w:val="7B7B7B" w:themeColor="accent3" w:themeShade="BF"/>
          <w:sz w:val="22"/>
          <w:szCs w:val="22"/>
        </w:rPr>
      </w:pPr>
    </w:p>
    <w:p w14:paraId="3072ACC5" w14:textId="77777777" w:rsidR="00874598" w:rsidRDefault="00874598" w:rsidP="00874598">
      <w:pPr>
        <w:pStyle w:val="Prrafodelista"/>
        <w:jc w:val="both"/>
        <w:rPr>
          <w:rFonts w:ascii="Avenir Next" w:hAnsi="Avenir Next" w:cs="Arial"/>
          <w:color w:val="7B7B7B" w:themeColor="accent3" w:themeShade="BF"/>
          <w:sz w:val="22"/>
          <w:szCs w:val="22"/>
        </w:rPr>
      </w:pPr>
    </w:p>
    <w:p w14:paraId="4CADD3AB" w14:textId="77777777" w:rsidR="00874598" w:rsidRDefault="00874598" w:rsidP="00874598">
      <w:pPr>
        <w:pStyle w:val="Prrafodelista"/>
        <w:jc w:val="both"/>
        <w:rPr>
          <w:rFonts w:ascii="Avenir Next" w:hAnsi="Avenir Next" w:cs="Arial"/>
          <w:color w:val="7B7B7B" w:themeColor="accent3" w:themeShade="BF"/>
          <w:sz w:val="22"/>
          <w:szCs w:val="22"/>
        </w:rPr>
      </w:pPr>
    </w:p>
    <w:p w14:paraId="23F613F5" w14:textId="77777777" w:rsidR="00874598" w:rsidRDefault="00874598" w:rsidP="00874598">
      <w:pPr>
        <w:pStyle w:val="Prrafodelista"/>
        <w:jc w:val="both"/>
        <w:rPr>
          <w:rFonts w:ascii="Avenir Next" w:hAnsi="Avenir Next" w:cs="Arial"/>
          <w:color w:val="7B7B7B" w:themeColor="accent3" w:themeShade="BF"/>
          <w:sz w:val="22"/>
          <w:szCs w:val="22"/>
        </w:rPr>
      </w:pPr>
    </w:p>
    <w:p w14:paraId="677228B3" w14:textId="77777777" w:rsidR="00874598" w:rsidRDefault="00874598" w:rsidP="00874598">
      <w:pPr>
        <w:pStyle w:val="Prrafodelista"/>
        <w:jc w:val="both"/>
        <w:rPr>
          <w:rFonts w:ascii="Avenir Next" w:hAnsi="Avenir Next" w:cs="Arial"/>
          <w:color w:val="7B7B7B" w:themeColor="accent3" w:themeShade="BF"/>
          <w:sz w:val="22"/>
          <w:szCs w:val="22"/>
        </w:rPr>
      </w:pPr>
    </w:p>
    <w:p w14:paraId="34FB324E" w14:textId="77777777" w:rsidR="00874598" w:rsidRDefault="00874598" w:rsidP="00874598">
      <w:pPr>
        <w:pStyle w:val="Prrafodelista"/>
        <w:jc w:val="both"/>
        <w:rPr>
          <w:rFonts w:ascii="Avenir Next" w:hAnsi="Avenir Next" w:cs="Arial"/>
          <w:color w:val="7B7B7B" w:themeColor="accent3" w:themeShade="BF"/>
          <w:sz w:val="22"/>
          <w:szCs w:val="22"/>
        </w:rPr>
      </w:pPr>
    </w:p>
    <w:p w14:paraId="6EC12081" w14:textId="77777777" w:rsidR="00874598" w:rsidRPr="00874598" w:rsidRDefault="00874598" w:rsidP="00874598">
      <w:pPr>
        <w:pStyle w:val="Prrafodelista"/>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243CC5C4" w14:textId="548A9AA4" w:rsidR="00874598" w:rsidRPr="00874598" w:rsidRDefault="000A3278" w:rsidP="0087459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74598" w:rsidRPr="00874598">
        <w:rPr>
          <w:rFonts w:ascii="Avenir Next" w:hAnsi="Avenir Next" w:cs="Arial"/>
          <w:color w:val="7B7B7B" w:themeColor="accent3" w:themeShade="BF"/>
          <w:sz w:val="22"/>
          <w:szCs w:val="22"/>
        </w:rPr>
        <w:t xml:space="preserve">Clear and Predictable Determination of Jurisdiction: One praise of the COMI concept is that it provides a clear and predictable framework for determining the jurisdiction where main insolvency proceedings should be opened. By focusing on the location where the debtor conducts the administration of its interests on a regular basis, the COMI concept offers a straightforward criterion for identifying the most appropriate jurisdiction for insolvency proceedings. </w:t>
      </w:r>
    </w:p>
    <w:p w14:paraId="4A7BA9BF" w14:textId="77777777" w:rsidR="00874598" w:rsidRPr="00874598" w:rsidRDefault="00874598" w:rsidP="00874598">
      <w:pPr>
        <w:jc w:val="both"/>
        <w:rPr>
          <w:rFonts w:ascii="Avenir Next" w:hAnsi="Avenir Next" w:cs="Arial"/>
          <w:color w:val="7B7B7B" w:themeColor="accent3" w:themeShade="BF"/>
          <w:sz w:val="22"/>
          <w:szCs w:val="22"/>
        </w:rPr>
      </w:pPr>
    </w:p>
    <w:p w14:paraId="4662A9D9" w14:textId="23B297A7" w:rsidR="000A3278" w:rsidRDefault="00874598" w:rsidP="00874598">
      <w:pPr>
        <w:jc w:val="both"/>
        <w:rPr>
          <w:rFonts w:ascii="Avenir Next" w:hAnsi="Avenir Next" w:cs="Arial"/>
          <w:color w:val="7B7B7B" w:themeColor="accent3" w:themeShade="BF"/>
          <w:sz w:val="22"/>
          <w:szCs w:val="22"/>
        </w:rPr>
      </w:pPr>
      <w:r w:rsidRPr="00874598">
        <w:rPr>
          <w:rFonts w:ascii="Avenir Next" w:hAnsi="Avenir Next" w:cs="Arial"/>
          <w:color w:val="7B7B7B" w:themeColor="accent3" w:themeShade="BF"/>
          <w:sz w:val="22"/>
          <w:szCs w:val="22"/>
        </w:rPr>
        <w:t>Shortcoming: Potential for Manipulation and Forum Shopping: One of the shortcomings of the COMI concept is its susceptibility to manipulation and forum shopping by debtors seeking to benefit from insolvency laws in more favorable jurisdictions. Debtors may artificially relocate their COMI to jurisdictions with more debtor-friendly laws to initiate insolvency proceedings, even if their operations are primarily located elsewhere.</w:t>
      </w:r>
      <w:r w:rsidR="000A3278">
        <w:rPr>
          <w:rFonts w:ascii="Avenir Next" w:hAnsi="Avenir Next" w:cs="Arial"/>
          <w:color w:val="7B7B7B" w:themeColor="accent3" w:themeShade="BF"/>
          <w:sz w:val="22"/>
          <w:szCs w:val="22"/>
        </w:rPr>
        <w: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7A8FBF94" w14:textId="77777777" w:rsidR="000C6153" w:rsidRDefault="000A3278"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Scope and Objectives:</w:t>
      </w:r>
    </w:p>
    <w:p w14:paraId="7729D0E0" w14:textId="77777777" w:rsidR="000C6153" w:rsidRPr="000C6153" w:rsidRDefault="000C6153" w:rsidP="000C6153">
      <w:pPr>
        <w:jc w:val="both"/>
        <w:rPr>
          <w:rFonts w:ascii="Avenir Next" w:hAnsi="Avenir Next" w:cs="Arial"/>
          <w:color w:val="7B7B7B" w:themeColor="accent3" w:themeShade="BF"/>
          <w:sz w:val="22"/>
          <w:szCs w:val="22"/>
        </w:rPr>
      </w:pPr>
    </w:p>
    <w:p w14:paraId="50D90C84" w14:textId="60E08DEB"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The EIR primarily focuses on procedural aspects of cross-border insolvency proceedings, such as jurisdiction, recognition, and cooperation between courts and insolvency practitioners. </w:t>
      </w:r>
    </w:p>
    <w:p w14:paraId="04342E4A" w14:textId="77777777" w:rsidR="000C6153" w:rsidRPr="000C6153" w:rsidRDefault="000C6153" w:rsidP="000C6153">
      <w:pPr>
        <w:jc w:val="both"/>
        <w:rPr>
          <w:rFonts w:ascii="Avenir Next" w:hAnsi="Avenir Next" w:cs="Arial"/>
          <w:color w:val="7B7B7B" w:themeColor="accent3" w:themeShade="BF"/>
          <w:sz w:val="22"/>
          <w:szCs w:val="22"/>
        </w:rPr>
      </w:pPr>
    </w:p>
    <w:p w14:paraId="00F9F9C4" w14:textId="21B163B0"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In contrast, the Directive on Preventive Restructuring Frameworks addresses substantive aspects of insolvency law by establishing common principles and procedures for preventive restructuring frameworks in Member States. </w:t>
      </w:r>
    </w:p>
    <w:p w14:paraId="364BA83E" w14:textId="77777777" w:rsidR="000C6153" w:rsidRDefault="000C6153" w:rsidP="000C6153">
      <w:pPr>
        <w:jc w:val="both"/>
        <w:rPr>
          <w:rFonts w:ascii="Avenir Next" w:hAnsi="Avenir Next" w:cs="Arial"/>
          <w:color w:val="7B7B7B" w:themeColor="accent3" w:themeShade="BF"/>
          <w:sz w:val="22"/>
          <w:szCs w:val="22"/>
        </w:rPr>
      </w:pPr>
    </w:p>
    <w:p w14:paraId="100C5C0A" w14:textId="409FEE27" w:rsidR="000C6153" w:rsidRP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Application and Implementation:</w:t>
      </w:r>
    </w:p>
    <w:p w14:paraId="10EF9060" w14:textId="77777777" w:rsidR="000C6153" w:rsidRPr="000C6153" w:rsidRDefault="000C6153" w:rsidP="000C6153">
      <w:pPr>
        <w:jc w:val="both"/>
        <w:rPr>
          <w:rFonts w:ascii="Avenir Next" w:hAnsi="Avenir Next" w:cs="Arial"/>
          <w:color w:val="7B7B7B" w:themeColor="accent3" w:themeShade="BF"/>
          <w:sz w:val="22"/>
          <w:szCs w:val="22"/>
        </w:rPr>
      </w:pPr>
    </w:p>
    <w:p w14:paraId="518260E2" w14:textId="77777777"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The EIR is directly applicable in all Member States of the European Union, providing uniform rules for cross-border insolvency proceedings without the need for transposition into national law.</w:t>
      </w:r>
    </w:p>
    <w:p w14:paraId="0FA0521A" w14:textId="77777777" w:rsidR="000C6153" w:rsidRPr="000C6153" w:rsidRDefault="000C6153" w:rsidP="000C6153">
      <w:pPr>
        <w:jc w:val="both"/>
        <w:rPr>
          <w:rFonts w:ascii="Avenir Next" w:hAnsi="Avenir Next" w:cs="Arial"/>
          <w:color w:val="7B7B7B" w:themeColor="accent3" w:themeShade="BF"/>
          <w:sz w:val="22"/>
          <w:szCs w:val="22"/>
        </w:rPr>
      </w:pPr>
    </w:p>
    <w:p w14:paraId="3B7672B9" w14:textId="528013C7" w:rsidR="000A3278"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The Directive on Preventive Restructuring Frameworks requires transposition into national law by Member States, meaning that each Member State must enact legislation to implement the directive's provisions within their respective legal systems.</w:t>
      </w:r>
      <w:r w:rsidR="000A3278">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lastRenderedPageBreak/>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070420D3" w14:textId="77777777" w:rsidR="000C6153" w:rsidRPr="000C6153" w:rsidRDefault="000A3278"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Under the European Insolvency Regulation (EIR) 2000, the determination of jurisdiction, including whether safeguard proceedings can be opened, depends on the center of main interests (COMI) of the debtor. The EIR 2000 does not explicitly define COMI, but it is generally understood to be the place where the debtor conducts the administration of its interests on a regular basis and is ascertainable by third parties.</w:t>
      </w:r>
    </w:p>
    <w:p w14:paraId="446BED1C" w14:textId="77777777" w:rsidR="000C6153" w:rsidRPr="000C6153" w:rsidRDefault="000C6153" w:rsidP="000C6153">
      <w:pPr>
        <w:jc w:val="both"/>
        <w:rPr>
          <w:rFonts w:ascii="Avenir Next" w:hAnsi="Avenir Next" w:cs="Arial"/>
          <w:color w:val="7B7B7B" w:themeColor="accent3" w:themeShade="BF"/>
          <w:sz w:val="22"/>
          <w:szCs w:val="22"/>
        </w:rPr>
      </w:pPr>
    </w:p>
    <w:p w14:paraId="7B741652" w14:textId="77777777" w:rsidR="000C6153" w:rsidRP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In the case of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 while it has some presence in Ireland and Spain, </w:t>
      </w:r>
      <w:proofErr w:type="gramStart"/>
      <w:r w:rsidRPr="000C6153">
        <w:rPr>
          <w:rFonts w:ascii="Avenir Next" w:hAnsi="Avenir Next" w:cs="Arial"/>
          <w:color w:val="7B7B7B" w:themeColor="accent3" w:themeShade="BF"/>
          <w:sz w:val="22"/>
          <w:szCs w:val="22"/>
        </w:rPr>
        <w:t>the majority of</w:t>
      </w:r>
      <w:proofErr w:type="gramEnd"/>
      <w:r w:rsidRPr="000C6153">
        <w:rPr>
          <w:rFonts w:ascii="Avenir Next" w:hAnsi="Avenir Next" w:cs="Arial"/>
          <w:color w:val="7B7B7B" w:themeColor="accent3" w:themeShade="BF"/>
          <w:sz w:val="22"/>
          <w:szCs w:val="22"/>
        </w:rPr>
        <w:t xml:space="preserve"> its operations, including incorporation, stores, employees, and customers, are in France. Additionally, it initiated safeguard proceedings in France by filing a petition in the Commercial Court in Le Mans. According to the CJEU's jurisprudence, as established in the </w:t>
      </w:r>
      <w:proofErr w:type="spellStart"/>
      <w:r w:rsidRPr="000C6153">
        <w:rPr>
          <w:rFonts w:ascii="Avenir Next" w:hAnsi="Avenir Next" w:cs="Arial"/>
          <w:color w:val="7B7B7B" w:themeColor="accent3" w:themeShade="BF"/>
          <w:sz w:val="22"/>
          <w:szCs w:val="22"/>
        </w:rPr>
        <w:t>Eurofoods</w:t>
      </w:r>
      <w:proofErr w:type="spellEnd"/>
      <w:r w:rsidRPr="000C6153">
        <w:rPr>
          <w:rFonts w:ascii="Avenir Next" w:hAnsi="Avenir Next" w:cs="Arial"/>
          <w:color w:val="7B7B7B" w:themeColor="accent3" w:themeShade="BF"/>
          <w:sz w:val="22"/>
          <w:szCs w:val="22"/>
        </w:rPr>
        <w:t xml:space="preserve"> case (C-341/04), the COMI must correspond to the place where the debtor's decisions are taken and implemented, and where the interests of creditors are primarily pursued.</w:t>
      </w:r>
    </w:p>
    <w:p w14:paraId="2F894F1C" w14:textId="77777777" w:rsidR="000C6153" w:rsidRPr="000C6153" w:rsidRDefault="000C6153" w:rsidP="000C6153">
      <w:pPr>
        <w:jc w:val="both"/>
        <w:rPr>
          <w:rFonts w:ascii="Avenir Next" w:hAnsi="Avenir Next" w:cs="Arial"/>
          <w:color w:val="7B7B7B" w:themeColor="accent3" w:themeShade="BF"/>
          <w:sz w:val="22"/>
          <w:szCs w:val="22"/>
        </w:rPr>
      </w:pPr>
    </w:p>
    <w:p w14:paraId="0BA586BF" w14:textId="41ACC0CF" w:rsidR="000A3278"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Given these factors, it is likely that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SARL's COMI is in France. Therefore, under the EIR 2000, the French courts would have jurisdiction to open safeguard proceedings for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 The EIR 2000 applies to this case, and the French court has jurisdiction to open safeguard proceedings based on </w:t>
      </w:r>
      <w:proofErr w:type="spellStart"/>
      <w:r w:rsidRPr="000C6153">
        <w:rPr>
          <w:rFonts w:ascii="Avenir Next" w:hAnsi="Avenir Next" w:cs="Arial"/>
          <w:color w:val="7B7B7B" w:themeColor="accent3" w:themeShade="BF"/>
          <w:sz w:val="22"/>
          <w:szCs w:val="22"/>
        </w:rPr>
        <w:t>Dinosaurus</w:t>
      </w:r>
      <w:proofErr w:type="spellEnd"/>
      <w:r w:rsidRPr="000C6153">
        <w:rPr>
          <w:rFonts w:ascii="Avenir Next" w:hAnsi="Avenir Next" w:cs="Arial"/>
          <w:color w:val="7B7B7B" w:themeColor="accent3" w:themeShade="BF"/>
          <w:sz w:val="22"/>
          <w:szCs w:val="22"/>
        </w:rPr>
        <w:t xml:space="preserve"> SARL's COMI being in France.</w:t>
      </w:r>
      <w:r w:rsidR="000A3278">
        <w:rPr>
          <w:rFonts w:ascii="Avenir Next" w:hAnsi="Avenir Next" w:cs="Arial"/>
          <w:color w:val="7B7B7B" w:themeColor="accent3" w:themeShade="BF"/>
          <w:sz w:val="22"/>
          <w:szCs w:val="22"/>
        </w:rPr>
        <w:t>]</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0864556F" w14:textId="77777777" w:rsidR="000C6153"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The EIR Recast, Regulation (EU) 2015/848, applies to insolvency proceedings opened after 26 June 2017. If the proceedings in question were opened after this date, then the EIR Recast would apply.</w:t>
      </w:r>
      <w:r w:rsidR="000C6153">
        <w:rPr>
          <w:rFonts w:ascii="Avenir Next" w:hAnsi="Avenir Next" w:cs="Arial"/>
          <w:color w:val="7B7B7B" w:themeColor="accent3" w:themeShade="BF"/>
          <w:sz w:val="22"/>
          <w:szCs w:val="22"/>
        </w:rPr>
        <w:t xml:space="preserve"> </w:t>
      </w:r>
    </w:p>
    <w:p w14:paraId="651B7B15" w14:textId="77777777" w:rsidR="000C6153" w:rsidRDefault="000C6153" w:rsidP="000A3278">
      <w:pPr>
        <w:jc w:val="both"/>
        <w:rPr>
          <w:rFonts w:ascii="Avenir Next" w:hAnsi="Avenir Next" w:cs="Arial"/>
          <w:color w:val="7B7B7B" w:themeColor="accent3" w:themeShade="BF"/>
          <w:sz w:val="22"/>
          <w:szCs w:val="22"/>
        </w:rPr>
      </w:pPr>
    </w:p>
    <w:p w14:paraId="376FC44E" w14:textId="77777777" w:rsidR="000C6153"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The EIR Recast applies to insolvency proceedings that fall within its material scope, as defined in Article 1(1). This includes proceedings that are collective insolvency proceedings within the meaning of Article 1(1)(a), which covers proceedings "which entail the partial or total divestment of a debtor and the appointment of a liquidator." </w:t>
      </w:r>
    </w:p>
    <w:p w14:paraId="5E926EA5" w14:textId="77777777" w:rsidR="000C6153" w:rsidRDefault="000C6153" w:rsidP="000A3278">
      <w:pPr>
        <w:jc w:val="both"/>
        <w:rPr>
          <w:rFonts w:ascii="Avenir Next" w:hAnsi="Avenir Next" w:cs="Arial"/>
          <w:color w:val="7B7B7B" w:themeColor="accent3" w:themeShade="BF"/>
          <w:sz w:val="22"/>
          <w:szCs w:val="22"/>
        </w:rPr>
      </w:pPr>
    </w:p>
    <w:p w14:paraId="41F71A15" w14:textId="55CAC272" w:rsidR="000C6153"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Safeguard proceedings typically involve the restructuring of a debtor's debt and the appointment of a judicial administrator to supervise the process, which aligns with the definition of collective insolvency proceedings.</w:t>
      </w:r>
    </w:p>
    <w:p w14:paraId="7111A256" w14:textId="77777777" w:rsidR="000C6153" w:rsidRDefault="000C6153" w:rsidP="000A3278">
      <w:pPr>
        <w:jc w:val="both"/>
        <w:rPr>
          <w:rFonts w:ascii="Avenir Next" w:hAnsi="Avenir Next" w:cs="Arial"/>
          <w:color w:val="7B7B7B" w:themeColor="accent3" w:themeShade="BF"/>
          <w:sz w:val="22"/>
          <w:szCs w:val="22"/>
        </w:rPr>
      </w:pPr>
    </w:p>
    <w:p w14:paraId="7ECAF609" w14:textId="77777777" w:rsidR="000C6153"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Considering the timing of the proceedings and their nature as safeguard proceedings, it is reasonable to conclude that the EIR Recast is applicable to the proceedings opened by the French High Court on 23 June 2023. </w:t>
      </w:r>
    </w:p>
    <w:p w14:paraId="7C11F654" w14:textId="77777777" w:rsidR="000C6153" w:rsidRDefault="000C6153" w:rsidP="000A3278">
      <w:pPr>
        <w:jc w:val="both"/>
        <w:rPr>
          <w:rFonts w:ascii="Avenir Next" w:hAnsi="Avenir Next" w:cs="Arial"/>
          <w:color w:val="7B7B7B" w:themeColor="accent3" w:themeShade="BF"/>
          <w:sz w:val="22"/>
          <w:szCs w:val="22"/>
        </w:rPr>
      </w:pPr>
    </w:p>
    <w:p w14:paraId="4176E5D2" w14:textId="4B4DA078" w:rsidR="000A3278" w:rsidRDefault="000C6153" w:rsidP="000A3278">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Therefore, the EIR Recast governs the cross-border aspects of these safeguard proceedings.</w:t>
      </w:r>
      <w:r w:rsidR="000A3278">
        <w:rPr>
          <w:rFonts w:ascii="Avenir Next" w:hAnsi="Avenir Next" w:cs="Arial"/>
          <w:color w:val="7B7B7B" w:themeColor="accent3" w:themeShade="BF"/>
          <w:sz w:val="22"/>
          <w:szCs w:val="22"/>
        </w:rPr>
        <w:t>]</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294F6AF7" w14:textId="77777777" w:rsidR="000C6153" w:rsidRPr="000C6153" w:rsidRDefault="000A3278"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0C6153" w:rsidRPr="000C6153">
        <w:rPr>
          <w:rFonts w:ascii="Avenir Next" w:hAnsi="Avenir Next" w:cs="Arial"/>
          <w:color w:val="7B7B7B" w:themeColor="accent3" w:themeShade="BF"/>
          <w:sz w:val="22"/>
          <w:szCs w:val="22"/>
        </w:rPr>
        <w:t>The determination of whether an establishment exists is a fact-specific inquiry and may depend on various factors, including the nature and extent of the debtor's operations in Italy, the presence of employees or assets, and the ongoing economic activity conducted there.</w:t>
      </w:r>
    </w:p>
    <w:p w14:paraId="66C74D96" w14:textId="77777777" w:rsidR="000C6153" w:rsidRPr="000C6153" w:rsidRDefault="000C6153" w:rsidP="000C6153">
      <w:pPr>
        <w:jc w:val="both"/>
        <w:rPr>
          <w:rFonts w:ascii="Avenir Next" w:hAnsi="Avenir Next" w:cs="Arial"/>
          <w:color w:val="7B7B7B" w:themeColor="accent3" w:themeShade="BF"/>
          <w:sz w:val="22"/>
          <w:szCs w:val="22"/>
        </w:rPr>
      </w:pPr>
    </w:p>
    <w:p w14:paraId="2086F8CA" w14:textId="71859D45" w:rsidR="000C6153" w:rsidRDefault="000C6153" w:rsidP="000C6153">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w:t>
      </w:r>
      <w:r w:rsidRPr="000C6153">
        <w:rPr>
          <w:rFonts w:ascii="Avenir Next" w:hAnsi="Avenir Next" w:cs="Arial"/>
          <w:color w:val="7B7B7B" w:themeColor="accent3" w:themeShade="BF"/>
          <w:sz w:val="22"/>
          <w:szCs w:val="22"/>
        </w:rPr>
        <w:t xml:space="preserve">he Court of Justice of the European Union (CJEU) has emphasized the need for a genuine presence and economic activity. </w:t>
      </w:r>
    </w:p>
    <w:p w14:paraId="157BEDA0" w14:textId="77777777" w:rsidR="000C6153" w:rsidRDefault="000C6153" w:rsidP="000C6153">
      <w:pPr>
        <w:jc w:val="both"/>
        <w:rPr>
          <w:rFonts w:ascii="Avenir Next" w:hAnsi="Avenir Next" w:cs="Arial"/>
          <w:color w:val="7B7B7B" w:themeColor="accent3" w:themeShade="BF"/>
          <w:sz w:val="22"/>
          <w:szCs w:val="22"/>
        </w:rPr>
      </w:pPr>
    </w:p>
    <w:p w14:paraId="5102A332" w14:textId="77777777"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In the "</w:t>
      </w:r>
      <w:proofErr w:type="spellStart"/>
      <w:r w:rsidRPr="000C6153">
        <w:rPr>
          <w:rFonts w:ascii="Avenir Next" w:hAnsi="Avenir Next" w:cs="Arial"/>
          <w:color w:val="7B7B7B" w:themeColor="accent3" w:themeShade="BF"/>
          <w:sz w:val="22"/>
          <w:szCs w:val="22"/>
        </w:rPr>
        <w:t>Interedil</w:t>
      </w:r>
      <w:proofErr w:type="spellEnd"/>
      <w:r w:rsidRPr="000C6153">
        <w:rPr>
          <w:rFonts w:ascii="Avenir Next" w:hAnsi="Avenir Next" w:cs="Arial"/>
          <w:color w:val="7B7B7B" w:themeColor="accent3" w:themeShade="BF"/>
          <w:sz w:val="22"/>
          <w:szCs w:val="22"/>
        </w:rPr>
        <w:t>" case (C-396/09), the CJEU held that the existence of an establishment requires a stable and continuous presence of human and technical resources.</w:t>
      </w:r>
    </w:p>
    <w:p w14:paraId="2165857A" w14:textId="77777777" w:rsidR="000C6153" w:rsidRDefault="000C6153" w:rsidP="000C6153">
      <w:pPr>
        <w:jc w:val="both"/>
        <w:rPr>
          <w:rFonts w:ascii="Avenir Next" w:hAnsi="Avenir Next" w:cs="Arial"/>
          <w:color w:val="7B7B7B" w:themeColor="accent3" w:themeShade="BF"/>
          <w:sz w:val="22"/>
          <w:szCs w:val="22"/>
        </w:rPr>
      </w:pPr>
    </w:p>
    <w:p w14:paraId="6FB49320" w14:textId="77777777" w:rsidR="000C6153"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 xml:space="preserve">Therefore, whether secondary insolvency proceedings can be opened in Italy for the debtor in this case would depend on whether the debtor has an establishment in Italy where it conducts non-transitory economic activity. </w:t>
      </w:r>
    </w:p>
    <w:p w14:paraId="455354F0" w14:textId="77777777" w:rsidR="000C6153" w:rsidRDefault="000C6153" w:rsidP="000C6153">
      <w:pPr>
        <w:jc w:val="both"/>
        <w:rPr>
          <w:rFonts w:ascii="Avenir Next" w:hAnsi="Avenir Next" w:cs="Arial"/>
          <w:color w:val="7B7B7B" w:themeColor="accent3" w:themeShade="BF"/>
          <w:sz w:val="22"/>
          <w:szCs w:val="22"/>
        </w:rPr>
      </w:pPr>
    </w:p>
    <w:p w14:paraId="6C706484" w14:textId="7D7D2723" w:rsidR="000A3278" w:rsidRDefault="000C6153" w:rsidP="000C6153">
      <w:pPr>
        <w:jc w:val="both"/>
        <w:rPr>
          <w:rFonts w:ascii="Avenir Next" w:hAnsi="Avenir Next" w:cs="Arial"/>
          <w:color w:val="7B7B7B" w:themeColor="accent3" w:themeShade="BF"/>
          <w:sz w:val="22"/>
          <w:szCs w:val="22"/>
        </w:rPr>
      </w:pPr>
      <w:r w:rsidRPr="000C6153">
        <w:rPr>
          <w:rFonts w:ascii="Avenir Next" w:hAnsi="Avenir Next" w:cs="Arial"/>
          <w:color w:val="7B7B7B" w:themeColor="accent3" w:themeShade="BF"/>
          <w:sz w:val="22"/>
          <w:szCs w:val="22"/>
        </w:rPr>
        <w:t>If such an establishment exists, Italy may have jurisdiction to open secondary proceedings under the EIR Recast. However, if no establishment is found, Italy may not have jurisdiction to open secondary proceedings.</w:t>
      </w:r>
      <w:r w:rsidR="000A3278">
        <w:rPr>
          <w:rFonts w:ascii="Avenir Next" w:hAnsi="Avenir Next" w:cs="Arial"/>
          <w:color w:val="7B7B7B" w:themeColor="accent3" w:themeShade="BF"/>
          <w:sz w:val="22"/>
          <w:szCs w:val="22"/>
        </w:rPr>
        <w:t>]</w:t>
      </w:r>
    </w:p>
    <w:p w14:paraId="2943D6F8" w14:textId="77777777" w:rsidR="00EA14EE" w:rsidRPr="00EA14EE" w:rsidRDefault="00EA14EE" w:rsidP="00EA14EE">
      <w:pPr>
        <w:pStyle w:val="Prrafodelista"/>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5B1984">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A3DD" w14:textId="77777777" w:rsidR="005B1984" w:rsidRDefault="005B1984" w:rsidP="00241B44">
      <w:r>
        <w:separator/>
      </w:r>
    </w:p>
  </w:endnote>
  <w:endnote w:type="continuationSeparator" w:id="0">
    <w:p w14:paraId="3496088A" w14:textId="77777777" w:rsidR="005B1984" w:rsidRDefault="005B198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Piedepgina"/>
          <w:framePr w:wrap="none" w:vAnchor="text" w:hAnchor="margin" w:xAlign="right" w:y="1"/>
          <w:rPr>
            <w:rStyle w:val="Nmerodepgina"/>
            <w:rFonts w:ascii="Arial" w:hAnsi="Arial" w:cs="Arial"/>
            <w:sz w:val="18"/>
            <w:szCs w:val="18"/>
          </w:rPr>
        </w:pPr>
        <w:r w:rsidRPr="001B6DDC">
          <w:rPr>
            <w:rStyle w:val="Nmerodepgina"/>
            <w:rFonts w:ascii="Avenir Next" w:hAnsi="Avenir Next" w:cs="Arial"/>
            <w:sz w:val="22"/>
            <w:szCs w:val="22"/>
          </w:rPr>
          <w:t xml:space="preserve">Page </w:t>
        </w:r>
        <w:r w:rsidRPr="001B6DDC">
          <w:rPr>
            <w:rStyle w:val="Nmerodepgina"/>
            <w:rFonts w:ascii="Avenir Next" w:hAnsi="Avenir Next" w:cs="Arial"/>
            <w:sz w:val="22"/>
            <w:szCs w:val="22"/>
          </w:rPr>
          <w:fldChar w:fldCharType="begin"/>
        </w:r>
        <w:r w:rsidRPr="001B6DDC">
          <w:rPr>
            <w:rStyle w:val="Nmerodepgina"/>
            <w:rFonts w:ascii="Avenir Next" w:hAnsi="Avenir Next" w:cs="Arial"/>
            <w:sz w:val="22"/>
            <w:szCs w:val="22"/>
          </w:rPr>
          <w:instrText xml:space="preserve"> PAGE </w:instrText>
        </w:r>
        <w:r w:rsidRPr="001B6DDC">
          <w:rPr>
            <w:rStyle w:val="Nmerodepgina"/>
            <w:rFonts w:ascii="Avenir Next" w:hAnsi="Avenir Next" w:cs="Arial"/>
            <w:sz w:val="22"/>
            <w:szCs w:val="22"/>
          </w:rPr>
          <w:fldChar w:fldCharType="separate"/>
        </w:r>
        <w:r w:rsidR="00BA543A" w:rsidRPr="001B6DDC">
          <w:rPr>
            <w:rStyle w:val="Nmerodepgina"/>
            <w:rFonts w:ascii="Avenir Next" w:hAnsi="Avenir Next" w:cs="Arial"/>
            <w:noProof/>
            <w:sz w:val="22"/>
            <w:szCs w:val="22"/>
          </w:rPr>
          <w:t>9</w:t>
        </w:r>
        <w:r w:rsidRPr="001B6DDC">
          <w:rPr>
            <w:rStyle w:val="Nmerodepgina"/>
            <w:rFonts w:ascii="Avenir Next" w:hAnsi="Avenir Next" w:cs="Arial"/>
            <w:sz w:val="22"/>
            <w:szCs w:val="22"/>
          </w:rPr>
          <w:fldChar w:fldCharType="end"/>
        </w:r>
      </w:p>
    </w:sdtContent>
  </w:sdt>
  <w:p w14:paraId="30F05E79" w14:textId="2616AB09" w:rsidR="00D509A5" w:rsidRPr="005418A0" w:rsidRDefault="00D509A5" w:rsidP="009B4976">
    <w:pPr>
      <w:pStyle w:val="Piedepgina"/>
      <w:ind w:right="360"/>
      <w:rPr>
        <w:rFonts w:ascii="Avenir Next" w:hAnsi="Avenir Next" w:cs="Arial"/>
        <w:sz w:val="22"/>
        <w:szCs w:val="22"/>
        <w:lang w:val="en-GB"/>
      </w:rPr>
    </w:pPr>
    <w:r w:rsidRPr="005418A0">
      <w:rPr>
        <w:rFonts w:ascii="Avenir Next" w:hAnsi="Avenir Next" w:cs="Arial"/>
        <w:sz w:val="22"/>
        <w:szCs w:val="22"/>
        <w:lang w:val="en-GB"/>
      </w:rPr>
      <w:t>student</w:t>
    </w:r>
    <w:r w:rsidR="00B12EF7" w:rsidRPr="005418A0">
      <w:rPr>
        <w:rFonts w:ascii="Avenir Next" w:hAnsi="Avenir Next" w:cs="Arial"/>
        <w:sz w:val="22"/>
        <w:szCs w:val="22"/>
        <w:lang w:val="en-GB"/>
      </w:rPr>
      <w:t>ID</w:t>
    </w:r>
    <w:r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FEBD" w14:textId="77777777" w:rsidR="005B1984" w:rsidRDefault="005B1984" w:rsidP="00241B44">
      <w:r>
        <w:separator/>
      </w:r>
    </w:p>
  </w:footnote>
  <w:footnote w:type="continuationSeparator" w:id="0">
    <w:p w14:paraId="6D62CB89" w14:textId="77777777" w:rsidR="005B1984" w:rsidRDefault="005B198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AF58A2"/>
    <w:multiLevelType w:val="hybridMultilevel"/>
    <w:tmpl w:val="F73C6B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2"/>
  </w:num>
  <w:num w:numId="3" w16cid:durableId="1046681177">
    <w:abstractNumId w:val="16"/>
  </w:num>
  <w:num w:numId="4" w16cid:durableId="1250502507">
    <w:abstractNumId w:val="28"/>
  </w:num>
  <w:num w:numId="5" w16cid:durableId="262424646">
    <w:abstractNumId w:val="21"/>
  </w:num>
  <w:num w:numId="6" w16cid:durableId="2052070068">
    <w:abstractNumId w:val="24"/>
  </w:num>
  <w:num w:numId="7" w16cid:durableId="1461680123">
    <w:abstractNumId w:val="6"/>
  </w:num>
  <w:num w:numId="8" w16cid:durableId="892274553">
    <w:abstractNumId w:val="19"/>
  </w:num>
  <w:num w:numId="9" w16cid:durableId="626088575">
    <w:abstractNumId w:val="18"/>
  </w:num>
  <w:num w:numId="10" w16cid:durableId="1127773174">
    <w:abstractNumId w:val="14"/>
  </w:num>
  <w:num w:numId="11" w16cid:durableId="1017780422">
    <w:abstractNumId w:val="20"/>
  </w:num>
  <w:num w:numId="12" w16cid:durableId="1731923168">
    <w:abstractNumId w:val="2"/>
  </w:num>
  <w:num w:numId="13" w16cid:durableId="325937709">
    <w:abstractNumId w:val="11"/>
  </w:num>
  <w:num w:numId="14" w16cid:durableId="87119507">
    <w:abstractNumId w:val="17"/>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3"/>
  </w:num>
  <w:num w:numId="24" w16cid:durableId="1845364164">
    <w:abstractNumId w:val="25"/>
  </w:num>
  <w:num w:numId="25" w16cid:durableId="1565870678">
    <w:abstractNumId w:val="4"/>
  </w:num>
  <w:num w:numId="26" w16cid:durableId="974988881">
    <w:abstractNumId w:val="29"/>
  </w:num>
  <w:num w:numId="27" w16cid:durableId="1096101251">
    <w:abstractNumId w:val="9"/>
  </w:num>
  <w:num w:numId="28" w16cid:durableId="1807311193">
    <w:abstractNumId w:val="1"/>
  </w:num>
  <w:num w:numId="29" w16cid:durableId="614291072">
    <w:abstractNumId w:val="12"/>
  </w:num>
  <w:num w:numId="30" w16cid:durableId="1134907189">
    <w:abstractNumId w:val="27"/>
  </w:num>
  <w:num w:numId="31" w16cid:durableId="92938254">
    <w:abstractNumId w:val="26"/>
  </w:num>
  <w:num w:numId="32" w16cid:durableId="1838615408">
    <w:abstractNumId w:val="7"/>
  </w:num>
  <w:num w:numId="33" w16cid:durableId="2087847088">
    <w:abstractNumId w:val="32"/>
  </w:num>
  <w:num w:numId="34" w16cid:durableId="1031685811">
    <w:abstractNumId w:val="31"/>
  </w:num>
  <w:num w:numId="35" w16cid:durableId="105959830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153"/>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18A0"/>
    <w:rsid w:val="00544127"/>
    <w:rsid w:val="00544F6E"/>
    <w:rsid w:val="005463A9"/>
    <w:rsid w:val="00553EB2"/>
    <w:rsid w:val="00560534"/>
    <w:rsid w:val="0056391B"/>
    <w:rsid w:val="005650E2"/>
    <w:rsid w:val="00567AD7"/>
    <w:rsid w:val="0057161E"/>
    <w:rsid w:val="00575B2D"/>
    <w:rsid w:val="005833D0"/>
    <w:rsid w:val="005846F3"/>
    <w:rsid w:val="0058622F"/>
    <w:rsid w:val="00591280"/>
    <w:rsid w:val="00592F82"/>
    <w:rsid w:val="005A0CCA"/>
    <w:rsid w:val="005A726D"/>
    <w:rsid w:val="005B1984"/>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6BA4"/>
    <w:rsid w:val="007F41F8"/>
    <w:rsid w:val="007F6A57"/>
    <w:rsid w:val="00800B1B"/>
    <w:rsid w:val="00800B76"/>
    <w:rsid w:val="008017F0"/>
    <w:rsid w:val="0080454E"/>
    <w:rsid w:val="00804C32"/>
    <w:rsid w:val="00804DA6"/>
    <w:rsid w:val="00806302"/>
    <w:rsid w:val="00807119"/>
    <w:rsid w:val="008115C6"/>
    <w:rsid w:val="0082424D"/>
    <w:rsid w:val="0082483F"/>
    <w:rsid w:val="008279C0"/>
    <w:rsid w:val="00841051"/>
    <w:rsid w:val="008500BD"/>
    <w:rsid w:val="00860723"/>
    <w:rsid w:val="00864593"/>
    <w:rsid w:val="0086548F"/>
    <w:rsid w:val="00871BD0"/>
    <w:rsid w:val="008723F3"/>
    <w:rsid w:val="00874240"/>
    <w:rsid w:val="00874598"/>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35E0"/>
    <w:rsid w:val="00AD513F"/>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30D9A"/>
    <w:rsid w:val="00B32588"/>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148DC"/>
    <w:rsid w:val="00D17FDC"/>
    <w:rsid w:val="00D21F62"/>
    <w:rsid w:val="00D24871"/>
    <w:rsid w:val="00D26E26"/>
    <w:rsid w:val="00D509A5"/>
    <w:rsid w:val="00D56B4E"/>
    <w:rsid w:val="00D608A4"/>
    <w:rsid w:val="00D60E46"/>
    <w:rsid w:val="00D63EFD"/>
    <w:rsid w:val="00D651FD"/>
    <w:rsid w:val="00D66F96"/>
    <w:rsid w:val="00D72770"/>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1686"/>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semiHidden/>
    <w:unhideWhenUsed/>
    <w:rsid w:val="008B5333"/>
    <w:rPr>
      <w:szCs w:val="20"/>
    </w:rPr>
  </w:style>
  <w:style w:type="character" w:customStyle="1" w:styleId="TextocomentarioCar">
    <w:name w:val="Texto comentario Car"/>
    <w:basedOn w:val="Fuentedeprrafopredeter"/>
    <w:link w:val="Textocomentario"/>
    <w:uiPriority w:val="99"/>
    <w:semiHidden/>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202">
      <w:bodyDiv w:val="1"/>
      <w:marLeft w:val="0"/>
      <w:marRight w:val="0"/>
      <w:marTop w:val="0"/>
      <w:marBottom w:val="0"/>
      <w:divBdr>
        <w:top w:val="none" w:sz="0" w:space="0" w:color="auto"/>
        <w:left w:val="none" w:sz="0" w:space="0" w:color="auto"/>
        <w:bottom w:val="none" w:sz="0" w:space="0" w:color="auto"/>
        <w:right w:val="none" w:sz="0" w:space="0" w:color="auto"/>
      </w:divBdr>
    </w:div>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11452307">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1778277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1089155">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209298455">
      <w:bodyDiv w:val="1"/>
      <w:marLeft w:val="0"/>
      <w:marRight w:val="0"/>
      <w:marTop w:val="0"/>
      <w:marBottom w:val="0"/>
      <w:divBdr>
        <w:top w:val="none" w:sz="0" w:space="0" w:color="auto"/>
        <w:left w:val="none" w:sz="0" w:space="0" w:color="auto"/>
        <w:bottom w:val="none" w:sz="0" w:space="0" w:color="auto"/>
        <w:right w:val="none" w:sz="0" w:space="0" w:color="auto"/>
      </w:divBdr>
    </w:div>
    <w:div w:id="1227687999">
      <w:bodyDiv w:val="1"/>
      <w:marLeft w:val="0"/>
      <w:marRight w:val="0"/>
      <w:marTop w:val="0"/>
      <w:marBottom w:val="0"/>
      <w:divBdr>
        <w:top w:val="none" w:sz="0" w:space="0" w:color="auto"/>
        <w:left w:val="none" w:sz="0" w:space="0" w:color="auto"/>
        <w:bottom w:val="none" w:sz="0" w:space="0" w:color="auto"/>
        <w:right w:val="none" w:sz="0" w:space="0" w:color="auto"/>
      </w:divBdr>
    </w:div>
    <w:div w:id="1411000702">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443251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0430909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4246</Words>
  <Characters>23354</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Aylin Romero</cp:lastModifiedBy>
  <cp:revision>2</cp:revision>
  <cp:lastPrinted>2019-08-27T05:42:00Z</cp:lastPrinted>
  <dcterms:created xsi:type="dcterms:W3CDTF">2024-02-01T23:20:00Z</dcterms:created>
  <dcterms:modified xsi:type="dcterms:W3CDTF">2024-02-01T23:20:00Z</dcterms:modified>
</cp:coreProperties>
</file>