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Prrafodelista"/>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Prrafodelista"/>
        <w:ind w:left="426" w:hanging="426"/>
        <w:jc w:val="both"/>
        <w:rPr>
          <w:rFonts w:ascii="Avenir Next" w:hAnsi="Avenir Next" w:cs="Arial"/>
          <w:sz w:val="22"/>
          <w:szCs w:val="22"/>
          <w:lang w:val="en-GB"/>
        </w:rPr>
      </w:pPr>
    </w:p>
    <w:p w14:paraId="0D827F42" w14:textId="77777777" w:rsidR="00B263D0" w:rsidRPr="00AD2318" w:rsidRDefault="00B263D0" w:rsidP="00B263D0">
      <w:pPr>
        <w:pStyle w:val="Prrafodelista"/>
        <w:numPr>
          <w:ilvl w:val="0"/>
          <w:numId w:val="14"/>
        </w:numPr>
        <w:ind w:left="426" w:hanging="426"/>
        <w:jc w:val="both"/>
        <w:rPr>
          <w:rFonts w:ascii="Avenir Next" w:hAnsi="Avenir Next" w:cs="Arial"/>
          <w:sz w:val="22"/>
          <w:szCs w:val="22"/>
          <w:highlight w:val="yellow"/>
          <w:lang w:val="en-GB"/>
        </w:rPr>
      </w:pPr>
      <w:r w:rsidRPr="00AD2318">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Prrafodelista"/>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Prrafodelista"/>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Prrafodelista"/>
        <w:ind w:left="426" w:hanging="426"/>
        <w:rPr>
          <w:rFonts w:ascii="Avenir Next" w:hAnsi="Avenir Next"/>
          <w:sz w:val="22"/>
          <w:szCs w:val="28"/>
        </w:rPr>
      </w:pPr>
    </w:p>
    <w:p w14:paraId="44D98AEA" w14:textId="77777777" w:rsidR="00AD0E59" w:rsidRDefault="00AD0E59" w:rsidP="00AD0E59">
      <w:pPr>
        <w:pStyle w:val="Prrafodelista"/>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Prrafodelista"/>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Prrafodelista"/>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Prrafodelista"/>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Prrafodelista"/>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Prrafodelista"/>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Prrafodelista"/>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Prrafodelista"/>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AD2318" w:rsidRDefault="00AD0E59" w:rsidP="00AD0E59">
      <w:pPr>
        <w:pStyle w:val="Prrafodelista"/>
        <w:numPr>
          <w:ilvl w:val="0"/>
          <w:numId w:val="50"/>
        </w:numPr>
        <w:ind w:left="426" w:hanging="426"/>
        <w:jc w:val="both"/>
        <w:rPr>
          <w:rFonts w:ascii="Avenir Next" w:hAnsi="Avenir Next" w:cs="Arial"/>
          <w:sz w:val="22"/>
          <w:szCs w:val="22"/>
          <w:highlight w:val="yellow"/>
          <w:lang w:val="en-GB"/>
        </w:rPr>
      </w:pPr>
      <w:r w:rsidRPr="00AD2318">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Prrafodelista"/>
        <w:numPr>
          <w:ilvl w:val="0"/>
          <w:numId w:val="5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lastRenderedPageBreak/>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Prrafodelista"/>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Prrafodelista"/>
        <w:ind w:left="426" w:hanging="426"/>
        <w:jc w:val="both"/>
        <w:rPr>
          <w:rFonts w:ascii="Avenir Next" w:hAnsi="Avenir Next"/>
          <w:sz w:val="22"/>
          <w:szCs w:val="28"/>
        </w:rPr>
      </w:pPr>
    </w:p>
    <w:p w14:paraId="09A2897D" w14:textId="77777777" w:rsidR="00893A03" w:rsidRDefault="00893A03" w:rsidP="00893A03">
      <w:pPr>
        <w:pStyle w:val="Prrafodelista"/>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Prrafodelista"/>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Prrafodelista"/>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Pr="00D710FD" w:rsidRDefault="00893A03" w:rsidP="00893A03">
      <w:pPr>
        <w:pStyle w:val="Prrafodelista"/>
        <w:numPr>
          <w:ilvl w:val="0"/>
          <w:numId w:val="16"/>
        </w:numPr>
        <w:ind w:left="426" w:hanging="426"/>
        <w:jc w:val="both"/>
        <w:rPr>
          <w:rFonts w:ascii="Avenir Next" w:hAnsi="Avenir Next" w:cs="Arial"/>
          <w:sz w:val="22"/>
          <w:szCs w:val="22"/>
          <w:highlight w:val="yellow"/>
          <w:lang w:val="en-GB"/>
        </w:rPr>
      </w:pPr>
      <w:r w:rsidRPr="00D710FD">
        <w:rPr>
          <w:rFonts w:ascii="Avenir Next" w:hAnsi="Avenir Next" w:cs="Arial"/>
          <w:sz w:val="22"/>
          <w:szCs w:val="22"/>
          <w:highlight w:val="yellow"/>
          <w:lang w:val="en-GB"/>
        </w:rPr>
        <w:t>Options (ii), (iii) and (iv).</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Prrafodelista"/>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893A03">
      <w:pPr>
        <w:pStyle w:val="Prrafodelista"/>
        <w:numPr>
          <w:ilvl w:val="0"/>
          <w:numId w:val="16"/>
        </w:numPr>
        <w:ind w:left="426" w:hanging="426"/>
        <w:jc w:val="both"/>
        <w:rPr>
          <w:rFonts w:ascii="Avenir Next" w:hAnsi="Avenir Next" w:cs="Arial"/>
          <w:sz w:val="22"/>
          <w:szCs w:val="22"/>
          <w:lang w:val="en-GB"/>
        </w:rPr>
      </w:pPr>
      <w:r w:rsidRPr="00893A03">
        <w:rPr>
          <w:rFonts w:ascii="Avenir Next" w:hAnsi="Avenir Next" w:cs="Arial"/>
          <w:sz w:val="22"/>
          <w:szCs w:val="22"/>
          <w:lang w:val="en-GB"/>
        </w:rPr>
        <w:t>Options (</w:t>
      </w:r>
      <w:proofErr w:type="spellStart"/>
      <w:r w:rsidRPr="00893A03">
        <w:rPr>
          <w:rFonts w:ascii="Avenir Next" w:hAnsi="Avenir Next" w:cs="Arial"/>
          <w:sz w:val="22"/>
          <w:szCs w:val="22"/>
          <w:lang w:val="en-GB"/>
        </w:rPr>
        <w:t>i</w:t>
      </w:r>
      <w:proofErr w:type="spellEnd"/>
      <w:r w:rsidRPr="00893A03">
        <w:rPr>
          <w:rFonts w:ascii="Avenir Next" w:hAnsi="Avenir Next" w:cs="Arial"/>
          <w:sz w:val="22"/>
          <w:szCs w:val="22"/>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Prrafodelista"/>
        <w:numPr>
          <w:ilvl w:val="0"/>
          <w:numId w:val="16"/>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Prrafodelista"/>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Prrafodelista"/>
        <w:ind w:left="426" w:hanging="426"/>
        <w:jc w:val="both"/>
        <w:rPr>
          <w:rFonts w:ascii="Avenir Next" w:hAnsi="Avenir Next"/>
          <w:sz w:val="22"/>
          <w:szCs w:val="32"/>
        </w:rPr>
      </w:pPr>
    </w:p>
    <w:p w14:paraId="2AA2541C" w14:textId="3C7E8949" w:rsidR="00812AFE" w:rsidRDefault="00812AFE" w:rsidP="00C00111">
      <w:pPr>
        <w:pStyle w:val="Prrafodelista"/>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Prrafodelista"/>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Prrafodelista"/>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Prrafodelista"/>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D710FD" w:rsidRDefault="00812AFE" w:rsidP="00C00111">
      <w:pPr>
        <w:pStyle w:val="Prrafodelista"/>
        <w:numPr>
          <w:ilvl w:val="0"/>
          <w:numId w:val="18"/>
        </w:numPr>
        <w:ind w:left="426" w:hanging="426"/>
        <w:jc w:val="both"/>
        <w:rPr>
          <w:rFonts w:ascii="Avenir Next" w:hAnsi="Avenir Next" w:cs="Arial"/>
          <w:sz w:val="22"/>
          <w:szCs w:val="22"/>
          <w:highlight w:val="yellow"/>
          <w:lang w:val="en-GB"/>
        </w:rPr>
      </w:pPr>
      <w:r w:rsidRPr="00D710FD">
        <w:rPr>
          <w:rFonts w:ascii="Avenir Next" w:hAnsi="Avenir Next" w:cs="Arial"/>
          <w:sz w:val="22"/>
          <w:szCs w:val="22"/>
          <w:highlight w:val="yellow"/>
          <w:lang w:val="en-GB"/>
        </w:rPr>
        <w:t>Options (</w:t>
      </w:r>
      <w:proofErr w:type="spellStart"/>
      <w:r w:rsidRPr="00D710FD">
        <w:rPr>
          <w:rFonts w:ascii="Avenir Next" w:hAnsi="Avenir Next" w:cs="Arial"/>
          <w:sz w:val="22"/>
          <w:szCs w:val="22"/>
          <w:highlight w:val="yellow"/>
          <w:lang w:val="en-GB"/>
        </w:rPr>
        <w:t>i</w:t>
      </w:r>
      <w:proofErr w:type="spellEnd"/>
      <w:r w:rsidRPr="00D710FD">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Prrafodelista"/>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Prrafodelista"/>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Prrafodelista"/>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Prrafode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Prrafodelista"/>
        <w:ind w:left="426" w:hanging="426"/>
        <w:jc w:val="both"/>
        <w:rPr>
          <w:rFonts w:ascii="Avenir Next" w:hAnsi="Avenir Next"/>
          <w:sz w:val="22"/>
          <w:szCs w:val="28"/>
        </w:rPr>
      </w:pPr>
    </w:p>
    <w:p w14:paraId="4C73762D" w14:textId="77777777" w:rsidR="003220BA" w:rsidRDefault="003220BA" w:rsidP="00C00111">
      <w:pPr>
        <w:pStyle w:val="Prrafode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Prrafode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Prrafode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Prrafodelista"/>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Prrafodelista"/>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Prrafodelista"/>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Prrafodelista"/>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D710FD" w:rsidRDefault="003220BA" w:rsidP="00C00111">
      <w:pPr>
        <w:pStyle w:val="Prrafodelista"/>
        <w:numPr>
          <w:ilvl w:val="0"/>
          <w:numId w:val="20"/>
        </w:numPr>
        <w:ind w:left="426" w:hanging="426"/>
        <w:jc w:val="both"/>
        <w:rPr>
          <w:rFonts w:ascii="Avenir Next" w:hAnsi="Avenir Next" w:cs="Arial"/>
          <w:sz w:val="22"/>
          <w:szCs w:val="22"/>
          <w:highlight w:val="yellow"/>
          <w:lang w:val="en-GB"/>
        </w:rPr>
      </w:pPr>
      <w:r w:rsidRPr="00D710FD">
        <w:rPr>
          <w:rFonts w:ascii="Avenir Next" w:hAnsi="Avenir Next" w:cs="Arial"/>
          <w:sz w:val="22"/>
          <w:szCs w:val="22"/>
          <w:highlight w:val="yellow"/>
          <w:lang w:val="en-GB"/>
        </w:rPr>
        <w:t>Options (</w:t>
      </w:r>
      <w:proofErr w:type="spellStart"/>
      <w:r w:rsidRPr="00D710FD">
        <w:rPr>
          <w:rFonts w:ascii="Avenir Next" w:hAnsi="Avenir Next" w:cs="Arial"/>
          <w:sz w:val="22"/>
          <w:szCs w:val="22"/>
          <w:highlight w:val="yellow"/>
          <w:lang w:val="en-GB"/>
        </w:rPr>
        <w:t>i</w:t>
      </w:r>
      <w:proofErr w:type="spellEnd"/>
      <w:r w:rsidRPr="00D710FD">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Prrafodelista"/>
        <w:ind w:left="426"/>
        <w:jc w:val="both"/>
        <w:rPr>
          <w:rFonts w:ascii="Avenir Next" w:hAnsi="Avenir Next" w:cs="Arial"/>
          <w:sz w:val="22"/>
          <w:szCs w:val="22"/>
          <w:lang w:val="en-GB"/>
        </w:rPr>
      </w:pPr>
    </w:p>
    <w:p w14:paraId="2F00B741" w14:textId="77777777" w:rsidR="009344C1" w:rsidRDefault="009344C1" w:rsidP="00C00111">
      <w:pPr>
        <w:pStyle w:val="Prrafodelista"/>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Prrafodelista"/>
        <w:ind w:left="426" w:hanging="426"/>
        <w:jc w:val="both"/>
        <w:rPr>
          <w:rFonts w:ascii="Avenir Next" w:hAnsi="Avenir Next" w:cs="Arial"/>
          <w:sz w:val="22"/>
          <w:szCs w:val="22"/>
          <w:lang w:val="en-GB"/>
        </w:rPr>
      </w:pPr>
    </w:p>
    <w:p w14:paraId="45257547" w14:textId="77777777" w:rsidR="009344C1" w:rsidRDefault="009344C1" w:rsidP="00C00111">
      <w:pPr>
        <w:pStyle w:val="Prrafodelista"/>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Prrafodelista"/>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D710FD" w:rsidRDefault="009344C1" w:rsidP="00C00111">
      <w:pPr>
        <w:pStyle w:val="Prrafodelista"/>
        <w:numPr>
          <w:ilvl w:val="0"/>
          <w:numId w:val="26"/>
        </w:numPr>
        <w:ind w:left="426" w:hanging="426"/>
        <w:jc w:val="both"/>
        <w:rPr>
          <w:rFonts w:ascii="Avenir Next" w:hAnsi="Avenir Next" w:cs="Arial"/>
          <w:sz w:val="22"/>
          <w:szCs w:val="22"/>
          <w:highlight w:val="yellow"/>
          <w:lang w:val="en-GB"/>
        </w:rPr>
      </w:pPr>
      <w:r w:rsidRPr="00D710FD">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Prrafodelista"/>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Prrafodelista"/>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Prrafodelista"/>
        <w:ind w:left="426"/>
        <w:jc w:val="both"/>
        <w:rPr>
          <w:rFonts w:ascii="Avenir Next" w:hAnsi="Avenir Next"/>
          <w:sz w:val="22"/>
          <w:szCs w:val="28"/>
        </w:rPr>
      </w:pPr>
    </w:p>
    <w:p w14:paraId="044236C4" w14:textId="77777777" w:rsidR="00F51EE5" w:rsidRPr="002E1C4D" w:rsidRDefault="00F51EE5" w:rsidP="00F51EE5">
      <w:pPr>
        <w:pStyle w:val="Prrafodelista"/>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Prrafodelista"/>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Prrafodelista"/>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Prrafodelista"/>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D710FD" w:rsidRDefault="00F51EE5" w:rsidP="00C00111">
      <w:pPr>
        <w:pStyle w:val="Prrafodelista"/>
        <w:numPr>
          <w:ilvl w:val="0"/>
          <w:numId w:val="27"/>
        </w:numPr>
        <w:ind w:left="426" w:hanging="426"/>
        <w:jc w:val="both"/>
        <w:rPr>
          <w:rFonts w:ascii="Avenir Next" w:hAnsi="Avenir Next" w:cs="Arial"/>
          <w:sz w:val="22"/>
          <w:szCs w:val="22"/>
          <w:highlight w:val="yellow"/>
          <w:lang w:val="en-GB"/>
        </w:rPr>
      </w:pPr>
      <w:r w:rsidRPr="00D710FD">
        <w:rPr>
          <w:rFonts w:ascii="Avenir Next" w:hAnsi="Avenir Next" w:cs="Arial"/>
          <w:sz w:val="22"/>
          <w:szCs w:val="22"/>
          <w:highlight w:val="yellow"/>
          <w:lang w:val="en-GB"/>
        </w:rPr>
        <w:t>Options (</w:t>
      </w:r>
      <w:proofErr w:type="spellStart"/>
      <w:r w:rsidRPr="00D710FD">
        <w:rPr>
          <w:rFonts w:ascii="Avenir Next" w:hAnsi="Avenir Next" w:cs="Arial"/>
          <w:sz w:val="22"/>
          <w:szCs w:val="22"/>
          <w:highlight w:val="yellow"/>
          <w:lang w:val="en-GB"/>
        </w:rPr>
        <w:t>i</w:t>
      </w:r>
      <w:proofErr w:type="spellEnd"/>
      <w:r w:rsidRPr="00D710FD">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Prrafodelista"/>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Prrafodelista"/>
        <w:ind w:hanging="426"/>
        <w:rPr>
          <w:rFonts w:ascii="Avenir Next" w:hAnsi="Avenir Next" w:cs="Arial"/>
          <w:sz w:val="22"/>
          <w:szCs w:val="22"/>
          <w:lang w:val="en-GB"/>
        </w:rPr>
      </w:pPr>
    </w:p>
    <w:p w14:paraId="4DC029C8" w14:textId="77777777" w:rsidR="00F51EE5" w:rsidRPr="00E2622D" w:rsidRDefault="00F51EE5" w:rsidP="00C00111">
      <w:pPr>
        <w:pStyle w:val="Prrafodelista"/>
        <w:numPr>
          <w:ilvl w:val="0"/>
          <w:numId w:val="27"/>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Prrafodelista"/>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Prrafodelista"/>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Prrafodelista"/>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Prrafodelista"/>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Prrafodelista"/>
        <w:rPr>
          <w:rFonts w:ascii="Avenir Next" w:hAnsi="Avenir Next"/>
          <w:sz w:val="22"/>
          <w:szCs w:val="28"/>
        </w:rPr>
      </w:pPr>
    </w:p>
    <w:p w14:paraId="785ABFAE" w14:textId="77777777" w:rsidR="0097337E" w:rsidRPr="007742D6" w:rsidRDefault="0097337E" w:rsidP="0097337E">
      <w:pPr>
        <w:pStyle w:val="Prrafodelista"/>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Prrafodelista"/>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D710FD" w:rsidRDefault="0097337E" w:rsidP="0097337E">
      <w:pPr>
        <w:pStyle w:val="Prrafodelista"/>
        <w:numPr>
          <w:ilvl w:val="0"/>
          <w:numId w:val="28"/>
        </w:numPr>
        <w:ind w:left="426" w:hanging="426"/>
        <w:jc w:val="both"/>
        <w:rPr>
          <w:rFonts w:ascii="Avenir Next" w:hAnsi="Avenir Next" w:cs="Arial"/>
          <w:sz w:val="22"/>
          <w:szCs w:val="22"/>
          <w:highlight w:val="yellow"/>
          <w:lang w:val="en-GB"/>
        </w:rPr>
      </w:pPr>
      <w:r w:rsidRPr="00D710FD">
        <w:rPr>
          <w:rFonts w:ascii="Avenir Next" w:hAnsi="Avenir Next" w:cs="Arial"/>
          <w:sz w:val="22"/>
          <w:szCs w:val="22"/>
          <w:highlight w:val="yellow"/>
          <w:lang w:val="en-GB"/>
        </w:rPr>
        <w:t>Options (ii), (iii) and (iv).</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7337E">
      <w:pPr>
        <w:pStyle w:val="Prrafodelista"/>
        <w:numPr>
          <w:ilvl w:val="0"/>
          <w:numId w:val="28"/>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Prrafodelista"/>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Prrafodelista"/>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Prrafodelista"/>
        <w:ind w:left="426"/>
        <w:jc w:val="both"/>
        <w:rPr>
          <w:rFonts w:ascii="Avenir Next" w:hAnsi="Avenir Next"/>
          <w:sz w:val="22"/>
          <w:szCs w:val="28"/>
        </w:rPr>
      </w:pPr>
    </w:p>
    <w:p w14:paraId="39086E74" w14:textId="77777777" w:rsidR="009A58D1" w:rsidRDefault="009A58D1" w:rsidP="009A58D1">
      <w:pPr>
        <w:pStyle w:val="Prrafodelista"/>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Prrafodelista"/>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Prrafodelista"/>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Prrafodelista"/>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D710FD" w:rsidRDefault="009A58D1" w:rsidP="009A58D1">
      <w:pPr>
        <w:pStyle w:val="Prrafodelista"/>
        <w:numPr>
          <w:ilvl w:val="0"/>
          <w:numId w:val="29"/>
        </w:numPr>
        <w:ind w:left="426" w:hanging="426"/>
        <w:jc w:val="both"/>
        <w:rPr>
          <w:rFonts w:ascii="Avenir Next" w:hAnsi="Avenir Next" w:cs="Arial"/>
          <w:sz w:val="22"/>
          <w:szCs w:val="22"/>
          <w:highlight w:val="yellow"/>
          <w:lang w:val="en-GB"/>
        </w:rPr>
      </w:pPr>
      <w:r w:rsidRPr="00D710FD">
        <w:rPr>
          <w:rFonts w:ascii="Avenir Next" w:hAnsi="Avenir Next" w:cs="Arial"/>
          <w:sz w:val="22"/>
          <w:szCs w:val="22"/>
          <w:highlight w:val="yellow"/>
          <w:lang w:val="en-GB"/>
        </w:rPr>
        <w:t>Options (iii), (</w:t>
      </w:r>
      <w:proofErr w:type="spellStart"/>
      <w:r w:rsidRPr="00D710FD">
        <w:rPr>
          <w:rFonts w:ascii="Avenir Next" w:hAnsi="Avenir Next" w:cs="Arial"/>
          <w:sz w:val="22"/>
          <w:szCs w:val="22"/>
          <w:highlight w:val="yellow"/>
          <w:lang w:val="en-GB"/>
        </w:rPr>
        <w:t>i</w:t>
      </w:r>
      <w:proofErr w:type="spellEnd"/>
      <w:r w:rsidRPr="00D710FD">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Prrafodelista"/>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Prrafodelista"/>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Prrafodelista"/>
        <w:ind w:left="426" w:hanging="426"/>
        <w:jc w:val="both"/>
        <w:rPr>
          <w:rFonts w:ascii="Avenir Next" w:hAnsi="Avenir Next" w:cs="Arial"/>
          <w:sz w:val="22"/>
          <w:szCs w:val="22"/>
          <w:lang w:val="en-GB"/>
        </w:rPr>
      </w:pPr>
    </w:p>
    <w:p w14:paraId="3BCC256A" w14:textId="77777777" w:rsidR="00C4510C" w:rsidRPr="00D710FD" w:rsidRDefault="00C4510C" w:rsidP="00C00111">
      <w:pPr>
        <w:pStyle w:val="Prrafodelista"/>
        <w:numPr>
          <w:ilvl w:val="0"/>
          <w:numId w:val="30"/>
        </w:numPr>
        <w:ind w:left="426" w:hanging="426"/>
        <w:jc w:val="both"/>
        <w:rPr>
          <w:rFonts w:ascii="Avenir Next" w:hAnsi="Avenir Next" w:cs="Arial"/>
          <w:sz w:val="22"/>
          <w:szCs w:val="22"/>
          <w:highlight w:val="yellow"/>
          <w:lang w:val="en-GB"/>
        </w:rPr>
      </w:pPr>
      <w:r w:rsidRPr="00D710FD">
        <w:rPr>
          <w:rFonts w:ascii="Avenir Next" w:hAnsi="Avenir Next" w:cs="Arial"/>
          <w:sz w:val="22"/>
          <w:szCs w:val="22"/>
          <w:highlight w:val="yellow"/>
          <w:lang w:val="en-GB"/>
        </w:rPr>
        <w:t>The hotchpot rule prioritises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Prrafodelista"/>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539D7" w:rsidRDefault="00C4510C" w:rsidP="00C00111">
      <w:pPr>
        <w:pStyle w:val="Prrafodelista"/>
        <w:numPr>
          <w:ilvl w:val="0"/>
          <w:numId w:val="30"/>
        </w:numPr>
        <w:ind w:left="426" w:hanging="426"/>
        <w:jc w:val="both"/>
        <w:rPr>
          <w:rFonts w:ascii="Avenir Next" w:hAnsi="Avenir Next" w:cs="Arial"/>
          <w:sz w:val="22"/>
          <w:szCs w:val="22"/>
          <w:lang w:val="en-GB"/>
        </w:rPr>
      </w:pPr>
      <w:r w:rsidRPr="002539D7">
        <w:rPr>
          <w:rFonts w:ascii="Avenir Next" w:hAnsi="Avenir Next" w:cs="Arial"/>
          <w:sz w:val="22"/>
          <w:szCs w:val="22"/>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4C23C27B" w14:textId="38AD6653" w:rsidR="00D710FD" w:rsidRDefault="00B77352" w:rsidP="00D710FD">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30F26">
        <w:rPr>
          <w:rFonts w:ascii="Avenir Next" w:hAnsi="Avenir Next" w:cs="Arial"/>
          <w:color w:val="808080" w:themeColor="background1" w:themeShade="80"/>
          <w:sz w:val="22"/>
          <w:szCs w:val="22"/>
          <w:lang w:val="en-GB"/>
        </w:rPr>
        <w:t>T</w:t>
      </w:r>
      <w:r w:rsidR="00D710FD" w:rsidRPr="00D710FD">
        <w:rPr>
          <w:rFonts w:ascii="Avenir Next" w:hAnsi="Avenir Next" w:cs="Arial"/>
          <w:color w:val="808080" w:themeColor="background1" w:themeShade="80"/>
          <w:sz w:val="22"/>
          <w:szCs w:val="22"/>
          <w:lang w:val="en-GB"/>
        </w:rPr>
        <w:t>he MLCBI offers a more global and universal approach to cross-border insolvency, allowing countries</w:t>
      </w:r>
      <w:r w:rsidR="00D710FD">
        <w:rPr>
          <w:rFonts w:ascii="Avenir Next" w:hAnsi="Avenir Next" w:cs="Arial"/>
          <w:color w:val="808080" w:themeColor="background1" w:themeShade="80"/>
          <w:sz w:val="22"/>
          <w:szCs w:val="22"/>
          <w:lang w:val="en-GB"/>
        </w:rPr>
        <w:t xml:space="preserve"> </w:t>
      </w:r>
      <w:r w:rsidR="00D710FD" w:rsidRPr="00D710FD">
        <w:rPr>
          <w:rFonts w:ascii="Avenir Next" w:hAnsi="Avenir Next" w:cs="Arial"/>
          <w:color w:val="808080" w:themeColor="background1" w:themeShade="80"/>
          <w:sz w:val="22"/>
          <w:szCs w:val="22"/>
          <w:lang w:val="en-GB"/>
        </w:rPr>
        <w:t xml:space="preserve">worldwide to adopt a common framework, while the EU Regulation on insolvency proceedings offers a harmonized approach within the EU, simplifying matters for EU member states but with limited applicability outside the EU. </w:t>
      </w:r>
    </w:p>
    <w:p w14:paraId="20AA7017" w14:textId="77777777" w:rsidR="00D710FD" w:rsidRDefault="00D710FD" w:rsidP="00D710FD">
      <w:pPr>
        <w:jc w:val="both"/>
        <w:rPr>
          <w:rFonts w:ascii="Avenir Next" w:hAnsi="Avenir Next" w:cs="Arial"/>
          <w:color w:val="808080" w:themeColor="background1" w:themeShade="80"/>
          <w:sz w:val="22"/>
          <w:szCs w:val="22"/>
          <w:lang w:val="en-GB"/>
        </w:rPr>
      </w:pPr>
    </w:p>
    <w:p w14:paraId="224D304D" w14:textId="0370FD1A" w:rsidR="00D710FD" w:rsidRDefault="00D710FD" w:rsidP="00D710FD">
      <w:pPr>
        <w:jc w:val="both"/>
        <w:rPr>
          <w:rFonts w:ascii="Avenir Next" w:hAnsi="Avenir Next" w:cs="Arial"/>
          <w:color w:val="808080" w:themeColor="background1" w:themeShade="80"/>
          <w:sz w:val="22"/>
          <w:szCs w:val="22"/>
          <w:lang w:val="en-GB"/>
        </w:rPr>
      </w:pPr>
      <w:r w:rsidRPr="00D710FD">
        <w:rPr>
          <w:rFonts w:ascii="Avenir Next" w:hAnsi="Avenir Next" w:cs="Arial"/>
          <w:color w:val="808080" w:themeColor="background1" w:themeShade="80"/>
          <w:sz w:val="22"/>
          <w:szCs w:val="22"/>
          <w:lang w:val="en-GB"/>
        </w:rPr>
        <w:t>The key benefits and disadvantages of each approach are tied to their respective scopes and applicability</w:t>
      </w:r>
      <w:r>
        <w:rPr>
          <w:rFonts w:ascii="Avenir Next" w:hAnsi="Avenir Next" w:cs="Arial"/>
          <w:color w:val="808080" w:themeColor="background1" w:themeShade="80"/>
          <w:sz w:val="22"/>
          <w:szCs w:val="22"/>
          <w:lang w:val="en-GB"/>
        </w:rPr>
        <w:t>:</w:t>
      </w:r>
    </w:p>
    <w:p w14:paraId="3EAC9265" w14:textId="77777777" w:rsidR="00D710FD" w:rsidRDefault="00D710FD" w:rsidP="00D710FD">
      <w:pPr>
        <w:jc w:val="both"/>
        <w:rPr>
          <w:rFonts w:ascii="Avenir Next" w:hAnsi="Avenir Next" w:cs="Arial"/>
          <w:color w:val="808080" w:themeColor="background1" w:themeShade="80"/>
          <w:sz w:val="22"/>
          <w:szCs w:val="22"/>
          <w:lang w:val="en-GB"/>
        </w:rPr>
      </w:pPr>
      <w:r w:rsidRPr="00D710FD">
        <w:rPr>
          <w:rFonts w:ascii="Avenir Next" w:hAnsi="Avenir Next" w:cs="Arial"/>
          <w:color w:val="808080" w:themeColor="background1" w:themeShade="80"/>
          <w:sz w:val="22"/>
          <w:szCs w:val="22"/>
          <w:lang w:val="en-GB"/>
        </w:rPr>
        <w:t>MLCBI</w:t>
      </w:r>
      <w:r>
        <w:rPr>
          <w:rFonts w:ascii="Avenir Next" w:hAnsi="Avenir Next" w:cs="Arial"/>
          <w:color w:val="808080" w:themeColor="background1" w:themeShade="80"/>
          <w:sz w:val="22"/>
          <w:szCs w:val="22"/>
          <w:lang w:val="en-GB"/>
        </w:rPr>
        <w:t xml:space="preserve">: </w:t>
      </w:r>
    </w:p>
    <w:p w14:paraId="0B03E5E9" w14:textId="3FC333F2" w:rsidR="00D710FD" w:rsidRDefault="00D710FD" w:rsidP="00D710FD">
      <w:pPr>
        <w:jc w:val="both"/>
        <w:rPr>
          <w:rFonts w:ascii="Avenir Next" w:hAnsi="Avenir Next" w:cs="Arial"/>
          <w:color w:val="808080" w:themeColor="background1" w:themeShade="80"/>
          <w:sz w:val="22"/>
          <w:szCs w:val="22"/>
          <w:lang w:val="en-GB"/>
        </w:rPr>
      </w:pPr>
      <w:r w:rsidRPr="00D710FD">
        <w:rPr>
          <w:rFonts w:ascii="Avenir Next" w:hAnsi="Avenir Next" w:cs="Arial"/>
          <w:color w:val="808080" w:themeColor="background1" w:themeShade="80"/>
          <w:sz w:val="22"/>
          <w:szCs w:val="22"/>
          <w:lang w:val="en-GB"/>
        </w:rPr>
        <w:t>Key Benefit: its universality and applicability beyond the EU</w:t>
      </w:r>
      <w:r>
        <w:rPr>
          <w:rFonts w:ascii="Avenir Next" w:hAnsi="Avenir Next" w:cs="Arial"/>
          <w:color w:val="808080" w:themeColor="background1" w:themeShade="80"/>
          <w:sz w:val="22"/>
          <w:szCs w:val="22"/>
          <w:lang w:val="en-GB"/>
        </w:rPr>
        <w:t>.</w:t>
      </w:r>
    </w:p>
    <w:p w14:paraId="365BC774" w14:textId="73904622" w:rsidR="00D710FD" w:rsidRDefault="00D710FD" w:rsidP="00D710FD">
      <w:pPr>
        <w:jc w:val="both"/>
        <w:rPr>
          <w:rFonts w:ascii="Avenir Next" w:hAnsi="Avenir Next" w:cs="Arial"/>
          <w:color w:val="808080" w:themeColor="background1" w:themeShade="80"/>
          <w:sz w:val="22"/>
          <w:szCs w:val="22"/>
          <w:lang w:val="en-GB"/>
        </w:rPr>
      </w:pPr>
      <w:r w:rsidRPr="00D710FD">
        <w:rPr>
          <w:rFonts w:ascii="Avenir Next" w:hAnsi="Avenir Next" w:cs="Arial"/>
          <w:color w:val="808080" w:themeColor="background1" w:themeShade="80"/>
          <w:sz w:val="22"/>
          <w:szCs w:val="22"/>
          <w:lang w:val="en-GB"/>
        </w:rPr>
        <w:t xml:space="preserve">Key Disadvantage: </w:t>
      </w:r>
      <w:r>
        <w:rPr>
          <w:rFonts w:ascii="Avenir Next" w:hAnsi="Avenir Next" w:cs="Arial"/>
          <w:color w:val="808080" w:themeColor="background1" w:themeShade="80"/>
          <w:sz w:val="22"/>
          <w:szCs w:val="22"/>
          <w:lang w:val="en-GB"/>
        </w:rPr>
        <w:t xml:space="preserve">is that </w:t>
      </w:r>
      <w:r w:rsidRPr="00D710FD">
        <w:rPr>
          <w:rFonts w:ascii="Avenir Next" w:hAnsi="Avenir Next" w:cs="Arial"/>
          <w:color w:val="808080" w:themeColor="background1" w:themeShade="80"/>
          <w:sz w:val="22"/>
          <w:szCs w:val="22"/>
          <w:lang w:val="en-GB"/>
        </w:rPr>
        <w:t xml:space="preserve">its adoption is not uniform across all </w:t>
      </w:r>
      <w:r w:rsidRPr="00D710FD">
        <w:rPr>
          <w:rFonts w:ascii="Avenir Next" w:hAnsi="Avenir Next" w:cs="Arial"/>
          <w:color w:val="808080" w:themeColor="background1" w:themeShade="80"/>
          <w:sz w:val="22"/>
          <w:szCs w:val="22"/>
          <w:lang w:val="en-GB"/>
        </w:rPr>
        <w:t>countries.</w:t>
      </w:r>
    </w:p>
    <w:p w14:paraId="28A00E33" w14:textId="77777777" w:rsidR="00D710FD" w:rsidRDefault="00D710FD" w:rsidP="00D710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EU: </w:t>
      </w:r>
    </w:p>
    <w:p w14:paraId="6AAF5F14" w14:textId="7D791177" w:rsidR="00D710FD" w:rsidRDefault="00D710FD" w:rsidP="00D710FD">
      <w:pPr>
        <w:jc w:val="both"/>
        <w:rPr>
          <w:rFonts w:ascii="Avenir Next" w:hAnsi="Avenir Next" w:cs="Arial"/>
          <w:color w:val="808080" w:themeColor="background1" w:themeShade="80"/>
          <w:sz w:val="22"/>
          <w:szCs w:val="22"/>
          <w:lang w:val="en-GB"/>
        </w:rPr>
      </w:pPr>
      <w:r w:rsidRPr="00D710FD">
        <w:rPr>
          <w:rFonts w:ascii="Avenir Next" w:hAnsi="Avenir Next" w:cs="Arial"/>
          <w:color w:val="808080" w:themeColor="background1" w:themeShade="80"/>
          <w:sz w:val="22"/>
          <w:szCs w:val="22"/>
          <w:lang w:val="en-GB"/>
        </w:rPr>
        <w:t>Key Benefit: is the automatic recognition and direct applicability of insolvency proceedings across EU member states</w:t>
      </w:r>
      <w:r>
        <w:rPr>
          <w:rFonts w:ascii="Avenir Next" w:hAnsi="Avenir Next" w:cs="Arial"/>
          <w:color w:val="808080" w:themeColor="background1" w:themeShade="80"/>
          <w:sz w:val="22"/>
          <w:szCs w:val="22"/>
          <w:lang w:val="en-GB"/>
        </w:rPr>
        <w:t>.</w:t>
      </w:r>
    </w:p>
    <w:p w14:paraId="654B0E66" w14:textId="1F1306F5" w:rsidR="00CB56CE" w:rsidRPr="00B77352" w:rsidRDefault="00D710FD" w:rsidP="00D710FD">
      <w:pPr>
        <w:jc w:val="both"/>
        <w:rPr>
          <w:rFonts w:ascii="Avenir Next" w:hAnsi="Avenir Next" w:cs="Arial"/>
          <w:color w:val="808080" w:themeColor="background1" w:themeShade="80"/>
          <w:sz w:val="22"/>
          <w:szCs w:val="22"/>
          <w:lang w:val="en-GB"/>
        </w:rPr>
      </w:pPr>
      <w:r w:rsidRPr="00D710FD">
        <w:rPr>
          <w:rFonts w:ascii="Avenir Next" w:hAnsi="Avenir Next" w:cs="Arial"/>
          <w:color w:val="808080" w:themeColor="background1" w:themeShade="80"/>
          <w:sz w:val="22"/>
          <w:szCs w:val="22"/>
          <w:lang w:val="en-GB"/>
        </w:rPr>
        <w:t xml:space="preserve">Key Disadvantage: </w:t>
      </w:r>
      <w:r w:rsidR="00630F26">
        <w:rPr>
          <w:rFonts w:ascii="Avenir Next" w:hAnsi="Avenir Next" w:cs="Arial"/>
          <w:color w:val="808080" w:themeColor="background1" w:themeShade="80"/>
          <w:sz w:val="22"/>
          <w:szCs w:val="22"/>
          <w:lang w:val="en-GB"/>
        </w:rPr>
        <w:t>l</w:t>
      </w:r>
      <w:r w:rsidRPr="00D710FD">
        <w:rPr>
          <w:rFonts w:ascii="Avenir Next" w:hAnsi="Avenir Next" w:cs="Arial"/>
          <w:color w:val="808080" w:themeColor="background1" w:themeShade="80"/>
          <w:sz w:val="22"/>
          <w:szCs w:val="22"/>
          <w:lang w:val="en-GB"/>
        </w:rPr>
        <w:t>imited geographic scope. It only applies within the EU, which means that it is not available to non-EU countries.</w:t>
      </w:r>
      <w:r w:rsidR="00B77352" w:rsidRPr="00B77352">
        <w:rPr>
          <w:rFonts w:ascii="Avenir Next" w:hAnsi="Avenir Next" w:cs="Arial"/>
          <w:color w:val="808080" w:themeColor="background1" w:themeShade="80"/>
          <w:sz w:val="22"/>
          <w:szCs w:val="22"/>
          <w:lang w:val="en-GB"/>
        </w:rPr>
        <w:t>]</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0DDC46FC" w:rsidR="00867A8F" w:rsidRPr="00B77352" w:rsidRDefault="00867A8F" w:rsidP="00630F26">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30F26">
        <w:rPr>
          <w:rFonts w:ascii="Avenir Next" w:hAnsi="Avenir Next" w:cs="Arial"/>
          <w:color w:val="808080" w:themeColor="background1" w:themeShade="80"/>
          <w:sz w:val="22"/>
          <w:szCs w:val="22"/>
          <w:lang w:val="en-GB"/>
        </w:rPr>
        <w:t>W</w:t>
      </w:r>
      <w:r w:rsidR="00630F26" w:rsidRPr="00630F26">
        <w:rPr>
          <w:rFonts w:ascii="Avenir Next" w:hAnsi="Avenir Next" w:cs="Arial"/>
          <w:color w:val="808080" w:themeColor="background1" w:themeShade="80"/>
          <w:sz w:val="22"/>
          <w:szCs w:val="22"/>
          <w:lang w:val="en-GB"/>
        </w:rPr>
        <w:t>hen exercising its discretionary power under Article 21 of the MLCBI, the court should strive to achieve a balance between the interests of all parties involved, promote the efficient administration of cross-border insolvencies, and ensure that the relief is consistent with the goals of the MLCBI, which include the protection of creditor rights and the facilitation of international cooperation in insolvency matters</w:t>
      </w:r>
      <w:r w:rsidRPr="00B77352">
        <w:rPr>
          <w:rFonts w:ascii="Avenir Next" w:hAnsi="Avenir Next" w:cs="Arial"/>
          <w:color w:val="808080" w:themeColor="background1" w:themeShade="80"/>
          <w:sz w:val="22"/>
          <w:szCs w:val="22"/>
          <w:lang w:val="en-GB"/>
        </w:rPr>
        <w: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70969122" w:rsidR="00867A8F" w:rsidRPr="00B77352" w:rsidRDefault="00867A8F" w:rsidP="00630F26">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30F26" w:rsidRPr="00630F26">
        <w:rPr>
          <w:rFonts w:ascii="Avenir Next" w:hAnsi="Avenir Next" w:cs="Arial"/>
          <w:color w:val="808080" w:themeColor="background1" w:themeShade="80"/>
          <w:sz w:val="22"/>
          <w:szCs w:val="22"/>
          <w:lang w:val="en-GB"/>
        </w:rPr>
        <w:t>Creditors have the right to have their claims recognized and treated fairly in the foreign insolvency proceeding</w:t>
      </w:r>
      <w:r w:rsidR="00630F26">
        <w:rPr>
          <w:rFonts w:ascii="Avenir Next" w:hAnsi="Avenir Next" w:cs="Arial"/>
          <w:color w:val="808080" w:themeColor="background1" w:themeShade="80"/>
          <w:sz w:val="22"/>
          <w:szCs w:val="22"/>
          <w:lang w:val="en-GB"/>
        </w:rPr>
        <w:t>; t</w:t>
      </w:r>
      <w:r w:rsidR="00630F26" w:rsidRPr="00630F26">
        <w:rPr>
          <w:rFonts w:ascii="Avenir Next" w:hAnsi="Avenir Next" w:cs="Arial"/>
          <w:color w:val="808080" w:themeColor="background1" w:themeShade="80"/>
          <w:sz w:val="22"/>
          <w:szCs w:val="22"/>
          <w:lang w:val="en-GB"/>
        </w:rPr>
        <w:t>he MLCBI promotes non-discriminatory treatment of all creditors in the foreign proceeding</w:t>
      </w:r>
      <w:r w:rsidR="00630F26">
        <w:rPr>
          <w:rFonts w:ascii="Avenir Next" w:hAnsi="Avenir Next" w:cs="Arial"/>
          <w:color w:val="808080" w:themeColor="background1" w:themeShade="80"/>
          <w:sz w:val="22"/>
          <w:szCs w:val="22"/>
          <w:lang w:val="en-GB"/>
        </w:rPr>
        <w:t>; c</w:t>
      </w:r>
      <w:r w:rsidR="00630F26" w:rsidRPr="00630F26">
        <w:rPr>
          <w:rFonts w:ascii="Avenir Next" w:hAnsi="Avenir Next" w:cs="Arial"/>
          <w:color w:val="808080" w:themeColor="background1" w:themeShade="80"/>
          <w:sz w:val="22"/>
          <w:szCs w:val="22"/>
          <w:lang w:val="en-GB"/>
        </w:rPr>
        <w:t>reditors should have access to relevant information about the foreign insolvency proceeding, including the financial condition of the debtor and the progress of the insolvency case</w:t>
      </w:r>
      <w:r w:rsidR="00630F26">
        <w:rPr>
          <w:rFonts w:ascii="Avenir Next" w:hAnsi="Avenir Next" w:cs="Arial"/>
          <w:color w:val="808080" w:themeColor="background1" w:themeShade="80"/>
          <w:sz w:val="22"/>
          <w:szCs w:val="22"/>
          <w:lang w:val="en-GB"/>
        </w:rPr>
        <w:t>; c</w:t>
      </w:r>
      <w:r w:rsidR="00630F26" w:rsidRPr="00630F26">
        <w:rPr>
          <w:rFonts w:ascii="Avenir Next" w:hAnsi="Avenir Next" w:cs="Arial"/>
          <w:color w:val="808080" w:themeColor="background1" w:themeShade="80"/>
          <w:sz w:val="22"/>
          <w:szCs w:val="22"/>
          <w:lang w:val="en-GB"/>
        </w:rPr>
        <w:t>reditors should have the opportunity to object to decisions or actions taken in the foreign insolvency proceeding if they believe their rights or interests are at risk</w:t>
      </w:r>
      <w:r w:rsidR="00630F26">
        <w:rPr>
          <w:rFonts w:ascii="Avenir Next" w:hAnsi="Avenir Next" w:cs="Arial"/>
          <w:color w:val="808080" w:themeColor="background1" w:themeShade="80"/>
          <w:sz w:val="22"/>
          <w:szCs w:val="22"/>
          <w:lang w:val="en-GB"/>
        </w:rPr>
        <w:t>…</w:t>
      </w:r>
      <w:r w:rsidRPr="00B77352">
        <w:rPr>
          <w:rFonts w:ascii="Avenir Next" w:hAnsi="Avenir Next" w:cs="Arial"/>
          <w:color w:val="808080" w:themeColor="background1" w:themeShade="80"/>
          <w:sz w:val="22"/>
          <w:szCs w:val="22"/>
          <w:lang w:val="en-GB"/>
        </w:rPr>
        <w:t>]</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4641077D" w:rsidR="00867A8F" w:rsidRDefault="00867A8F" w:rsidP="00630F26">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30F26" w:rsidRPr="00630F26">
        <w:rPr>
          <w:rFonts w:ascii="Avenir Next" w:hAnsi="Avenir Next" w:cs="Arial"/>
          <w:color w:val="808080" w:themeColor="background1" w:themeShade="80"/>
          <w:sz w:val="22"/>
          <w:szCs w:val="22"/>
          <w:lang w:val="en-GB"/>
        </w:rPr>
        <w:t>In a foreign main proceeding, the foreign court recognizes the insolvency case as the primary proceeding and grants comprehensive relief. In a foreign non-main proceeding, the recognition is secondary, and the relief is generally more limited and focused on protecting the assets in that specific jurisdiction without interfering with the primary proceeding's decisions</w:t>
      </w:r>
      <w:r w:rsidRPr="00B77352">
        <w:rPr>
          <w:rFonts w:ascii="Avenir Next" w:hAnsi="Avenir Next" w:cs="Arial"/>
          <w:color w:val="808080" w:themeColor="background1" w:themeShade="80"/>
          <w:sz w:val="22"/>
          <w:szCs w:val="22"/>
          <w:lang w:val="en-GB"/>
        </w:rPr>
        <w:t>]</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39386FFB" w:rsidR="00867A8F" w:rsidRPr="00B77352" w:rsidRDefault="00867A8F" w:rsidP="00630F26">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30F26" w:rsidRPr="00630F26">
        <w:rPr>
          <w:rFonts w:ascii="Avenir Next" w:hAnsi="Avenir Next" w:cs="Arial"/>
          <w:color w:val="808080" w:themeColor="background1" w:themeShade="80"/>
          <w:sz w:val="22"/>
          <w:szCs w:val="22"/>
          <w:lang w:val="en-GB"/>
        </w:rPr>
        <w:t>The likely result of this scenario is a coordinated approach to managing the debtor's assets and affairs in multiple jurisdictions. The foreign main proceeding in Germany would take precedence and serve as the primary insolvency case, while the foreign non-main proceeding in Bermuda would focus on the debtor's assets located there. The recognition proceedings in the United States would ensure that the decisions made in Germany and Bermuda are respected and enforced within U.S. jurisdiction.</w:t>
      </w:r>
      <w:r w:rsidRPr="00B77352">
        <w:rPr>
          <w:rFonts w:ascii="Avenir Next" w:hAnsi="Avenir Next" w:cs="Arial"/>
          <w:color w:val="808080" w:themeColor="background1" w:themeShade="80"/>
          <w:sz w:val="22"/>
          <w:szCs w:val="22"/>
          <w:lang w:val="en-GB"/>
        </w:rPr>
        <w:t>]</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230F068A" w:rsidR="00867A8F" w:rsidRPr="00B77352" w:rsidRDefault="00867A8F" w:rsidP="00630F26">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30F26" w:rsidRPr="00630F26">
        <w:rPr>
          <w:rFonts w:ascii="Avenir Next" w:hAnsi="Avenir Next" w:cs="Arial"/>
          <w:color w:val="808080" w:themeColor="background1" w:themeShade="80"/>
          <w:sz w:val="22"/>
          <w:szCs w:val="22"/>
          <w:lang w:val="en-GB"/>
        </w:rPr>
        <w:t xml:space="preserve">the outcome of such complex legal matters can be influenced by the specific facts and legal arguments presented in each case. Both the recognition </w:t>
      </w:r>
      <w:proofErr w:type="gramStart"/>
      <w:r w:rsidR="00630F26" w:rsidRPr="00630F26">
        <w:rPr>
          <w:rFonts w:ascii="Avenir Next" w:hAnsi="Avenir Next" w:cs="Arial"/>
          <w:color w:val="808080" w:themeColor="background1" w:themeShade="80"/>
          <w:sz w:val="22"/>
          <w:szCs w:val="22"/>
          <w:lang w:val="en-GB"/>
        </w:rPr>
        <w:t>proceeding</w:t>
      </w:r>
      <w:proofErr w:type="gramEnd"/>
      <w:r w:rsidR="00630F26" w:rsidRPr="00630F26">
        <w:rPr>
          <w:rFonts w:ascii="Avenir Next" w:hAnsi="Avenir Next" w:cs="Arial"/>
          <w:color w:val="808080" w:themeColor="background1" w:themeShade="80"/>
          <w:sz w:val="22"/>
          <w:szCs w:val="22"/>
          <w:lang w:val="en-GB"/>
        </w:rPr>
        <w:t xml:space="preserve"> and the tortious interference </w:t>
      </w:r>
      <w:r w:rsidR="00630F26" w:rsidRPr="00630F26">
        <w:rPr>
          <w:rFonts w:ascii="Avenir Next" w:hAnsi="Avenir Next" w:cs="Arial"/>
          <w:color w:val="808080" w:themeColor="background1" w:themeShade="80"/>
          <w:sz w:val="22"/>
          <w:szCs w:val="22"/>
          <w:lang w:val="en-GB"/>
        </w:rPr>
        <w:lastRenderedPageBreak/>
        <w:t>lawsuit would proceed independently, and the outcome of one may not automatically determine the outcome of the other. Legal counsel for the joint provisional liquidators and the vendors would play a crucial role in presenting their respective cases and addressing the legal issues involved.</w:t>
      </w:r>
      <w:r w:rsidRPr="00B77352">
        <w:rPr>
          <w:rFonts w:ascii="Avenir Next" w:hAnsi="Avenir Next" w:cs="Arial"/>
          <w:color w:val="808080" w:themeColor="background1" w:themeShade="80"/>
          <w:sz w:val="22"/>
          <w:szCs w:val="22"/>
          <w:lang w:val="en-GB"/>
        </w:rPr>
        <w:t>]</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65C413FD" w14:textId="7E5E12E7" w:rsidR="006E33BB" w:rsidRPr="006E33BB" w:rsidRDefault="006E33BB" w:rsidP="006E33BB">
      <w:pPr>
        <w:pStyle w:val="Prrafodelista"/>
        <w:numPr>
          <w:ilvl w:val="0"/>
          <w:numId w:val="60"/>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 xml:space="preserve">File a </w:t>
      </w:r>
      <w:r w:rsidRPr="006E33BB">
        <w:rPr>
          <w:rFonts w:ascii="Avenir Next" w:hAnsi="Avenir Next" w:cs="Arial"/>
          <w:color w:val="808080" w:themeColor="background1" w:themeShade="80"/>
          <w:sz w:val="22"/>
          <w:szCs w:val="22"/>
          <w:lang w:val="en-GB"/>
        </w:rPr>
        <w:t>motion for immediate stay or injunction.</w:t>
      </w:r>
    </w:p>
    <w:p w14:paraId="742CD6EF" w14:textId="66A88C33" w:rsidR="006E33BB" w:rsidRPr="006E33BB" w:rsidRDefault="006E33BB" w:rsidP="006E33BB">
      <w:pPr>
        <w:pStyle w:val="Prrafodelista"/>
        <w:numPr>
          <w:ilvl w:val="0"/>
          <w:numId w:val="60"/>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 xml:space="preserve">Notification to </w:t>
      </w:r>
      <w:r w:rsidRPr="006E33BB">
        <w:rPr>
          <w:rFonts w:ascii="Avenir Next" w:hAnsi="Avenir Next" w:cs="Arial"/>
          <w:color w:val="808080" w:themeColor="background1" w:themeShade="80"/>
          <w:sz w:val="22"/>
          <w:szCs w:val="22"/>
          <w:lang w:val="en-GB"/>
        </w:rPr>
        <w:t>counterparties.</w:t>
      </w:r>
    </w:p>
    <w:p w14:paraId="168DF7B6" w14:textId="020B7790" w:rsidR="006E33BB" w:rsidRPr="006E33BB" w:rsidRDefault="006E33BB" w:rsidP="006E33BB">
      <w:pPr>
        <w:pStyle w:val="Prrafodelista"/>
        <w:numPr>
          <w:ilvl w:val="0"/>
          <w:numId w:val="60"/>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 xml:space="preserve">Seek an </w:t>
      </w:r>
      <w:r w:rsidRPr="006E33BB">
        <w:rPr>
          <w:rFonts w:ascii="Avenir Next" w:hAnsi="Avenir Next" w:cs="Arial"/>
          <w:color w:val="808080" w:themeColor="background1" w:themeShade="80"/>
          <w:sz w:val="22"/>
          <w:szCs w:val="22"/>
          <w:lang w:val="en-GB"/>
        </w:rPr>
        <w:t>order recognizing the foreign proceeding.</w:t>
      </w:r>
    </w:p>
    <w:p w14:paraId="73FFF9A8" w14:textId="7F23197B" w:rsidR="006E33BB" w:rsidRPr="006E33BB" w:rsidRDefault="006E33BB" w:rsidP="006E33BB">
      <w:pPr>
        <w:pStyle w:val="Prrafodelista"/>
        <w:numPr>
          <w:ilvl w:val="0"/>
          <w:numId w:val="60"/>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 xml:space="preserve">Prepare a </w:t>
      </w:r>
      <w:r w:rsidRPr="006E33BB">
        <w:rPr>
          <w:rFonts w:ascii="Avenir Next" w:hAnsi="Avenir Next" w:cs="Arial"/>
          <w:color w:val="808080" w:themeColor="background1" w:themeShade="80"/>
          <w:sz w:val="22"/>
          <w:szCs w:val="22"/>
          <w:lang w:val="en-GB"/>
        </w:rPr>
        <w:t>proposed order for the court.</w:t>
      </w:r>
    </w:p>
    <w:p w14:paraId="26AB30A2" w14:textId="20C2B760" w:rsidR="006E33BB" w:rsidRPr="006E33BB" w:rsidRDefault="006E33BB" w:rsidP="006E33BB">
      <w:pPr>
        <w:pStyle w:val="Prrafodelista"/>
        <w:numPr>
          <w:ilvl w:val="0"/>
          <w:numId w:val="60"/>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 xml:space="preserve">Engage </w:t>
      </w:r>
      <w:r w:rsidRPr="006E33BB">
        <w:rPr>
          <w:rFonts w:ascii="Avenir Next" w:hAnsi="Avenir Next" w:cs="Arial"/>
          <w:color w:val="808080" w:themeColor="background1" w:themeShade="80"/>
          <w:sz w:val="22"/>
          <w:szCs w:val="22"/>
          <w:lang w:val="en-GB"/>
        </w:rPr>
        <w:t>legal counsel and experts.</w:t>
      </w:r>
    </w:p>
    <w:p w14:paraId="4A0E319B" w14:textId="2CF42793" w:rsidR="00867A8F" w:rsidRPr="00F31EE9" w:rsidRDefault="006E33BB" w:rsidP="006E33BB">
      <w:p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The foreign representative should work diligently to address these issues and navigate the US recognition process successfully.</w:t>
      </w:r>
      <w:r w:rsidR="00867A8F" w:rsidRPr="00B77352">
        <w:rPr>
          <w:rFonts w:ascii="Avenir Next" w:hAnsi="Avenir Next" w:cs="Arial"/>
          <w:color w:val="808080" w:themeColor="background1" w:themeShade="80"/>
          <w:sz w:val="22"/>
          <w:szCs w:val="22"/>
          <w:lang w:val="en-GB"/>
        </w:rPr>
        <w:t>]</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7A740EA7" w14:textId="77777777" w:rsidR="006E33BB" w:rsidRPr="006E33BB" w:rsidRDefault="00867A8F" w:rsidP="006E33BB">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6E33BB" w:rsidRPr="006E33BB">
        <w:rPr>
          <w:rFonts w:ascii="Avenir Next" w:hAnsi="Avenir Next" w:cs="Arial"/>
          <w:color w:val="808080" w:themeColor="background1" w:themeShade="80"/>
          <w:sz w:val="22"/>
          <w:szCs w:val="22"/>
          <w:lang w:val="en-GB"/>
        </w:rPr>
        <w:t>To enhance the likelihood of a successful recognition and asset sale in Country B, the foreign representative should have taken the following steps at the outset:</w:t>
      </w:r>
    </w:p>
    <w:p w14:paraId="2FBE1E42" w14:textId="4E671CF8" w:rsidR="006E33BB" w:rsidRDefault="006E33BB" w:rsidP="006E33BB">
      <w:pPr>
        <w:pStyle w:val="Prrafodelista"/>
        <w:numPr>
          <w:ilvl w:val="0"/>
          <w:numId w:val="59"/>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Properly Assess Jurisdictio</w:t>
      </w:r>
      <w:r>
        <w:rPr>
          <w:rFonts w:ascii="Avenir Next" w:hAnsi="Avenir Next" w:cs="Arial"/>
          <w:color w:val="808080" w:themeColor="background1" w:themeShade="80"/>
          <w:sz w:val="22"/>
          <w:szCs w:val="22"/>
          <w:lang w:val="en-GB"/>
        </w:rPr>
        <w:t>n.</w:t>
      </w:r>
    </w:p>
    <w:p w14:paraId="7E403508" w14:textId="2B52D6C6" w:rsidR="006E33BB" w:rsidRDefault="006E33BB" w:rsidP="006E33BB">
      <w:pPr>
        <w:pStyle w:val="Prrafodelista"/>
        <w:numPr>
          <w:ilvl w:val="0"/>
          <w:numId w:val="59"/>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Coordinate with Legal Experts</w:t>
      </w:r>
      <w:r>
        <w:rPr>
          <w:rFonts w:ascii="Avenir Next" w:hAnsi="Avenir Next" w:cs="Arial"/>
          <w:color w:val="808080" w:themeColor="background1" w:themeShade="80"/>
          <w:sz w:val="22"/>
          <w:szCs w:val="22"/>
          <w:lang w:val="en-GB"/>
        </w:rPr>
        <w:t>.</w:t>
      </w:r>
    </w:p>
    <w:p w14:paraId="6D6FCDDF" w14:textId="7242726C" w:rsidR="006E33BB" w:rsidRDefault="006E33BB" w:rsidP="006E33BB">
      <w:pPr>
        <w:pStyle w:val="Prrafodelista"/>
        <w:numPr>
          <w:ilvl w:val="0"/>
          <w:numId w:val="59"/>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 xml:space="preserve">Prepare and submit a comprehensive application for </w:t>
      </w:r>
      <w:r w:rsidRPr="006E33BB">
        <w:rPr>
          <w:rFonts w:ascii="Avenir Next" w:hAnsi="Avenir Next" w:cs="Arial"/>
          <w:color w:val="808080" w:themeColor="background1" w:themeShade="80"/>
          <w:sz w:val="22"/>
          <w:szCs w:val="22"/>
          <w:lang w:val="en-GB"/>
        </w:rPr>
        <w:t>recognition.</w:t>
      </w:r>
    </w:p>
    <w:p w14:paraId="6E732D09" w14:textId="77777777" w:rsidR="006E33BB" w:rsidRDefault="006E33BB" w:rsidP="006E33BB">
      <w:pPr>
        <w:pStyle w:val="Prrafodelista"/>
        <w:numPr>
          <w:ilvl w:val="0"/>
          <w:numId w:val="59"/>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Maintain open lines of communication with local creditors</w:t>
      </w:r>
      <w:r>
        <w:rPr>
          <w:rFonts w:ascii="Avenir Next" w:hAnsi="Avenir Next" w:cs="Arial"/>
          <w:color w:val="808080" w:themeColor="background1" w:themeShade="80"/>
          <w:sz w:val="22"/>
          <w:szCs w:val="22"/>
          <w:lang w:val="en-GB"/>
        </w:rPr>
        <w:t>.</w:t>
      </w:r>
    </w:p>
    <w:p w14:paraId="55D111B1" w14:textId="72CC868D" w:rsidR="00867A8F" w:rsidRPr="006E33BB" w:rsidRDefault="006E33BB" w:rsidP="006E33BB">
      <w:pPr>
        <w:pStyle w:val="Prrafodelista"/>
        <w:numPr>
          <w:ilvl w:val="0"/>
          <w:numId w:val="59"/>
        </w:numPr>
        <w:jc w:val="both"/>
        <w:rPr>
          <w:rFonts w:ascii="Avenir Next" w:hAnsi="Avenir Next" w:cs="Arial"/>
          <w:color w:val="808080" w:themeColor="background1" w:themeShade="80"/>
          <w:sz w:val="22"/>
          <w:szCs w:val="22"/>
          <w:lang w:val="en-GB"/>
        </w:rPr>
      </w:pPr>
      <w:r w:rsidRPr="006E33BB">
        <w:rPr>
          <w:rFonts w:ascii="Avenir Next" w:hAnsi="Avenir Next" w:cs="Arial"/>
          <w:color w:val="808080" w:themeColor="background1" w:themeShade="80"/>
          <w:sz w:val="22"/>
          <w:szCs w:val="22"/>
          <w:lang w:val="en-GB"/>
        </w:rPr>
        <w:t>Consider alternative solutions for the sale of assets within the jurisdiction</w:t>
      </w:r>
      <w:r>
        <w:rPr>
          <w:rFonts w:ascii="Avenir Next" w:hAnsi="Avenir Next" w:cs="Arial"/>
          <w:color w:val="808080" w:themeColor="background1" w:themeShade="80"/>
          <w:sz w:val="22"/>
          <w:szCs w:val="22"/>
          <w:lang w:val="en-GB"/>
        </w:rPr>
        <w:t>.</w:t>
      </w:r>
      <w:r w:rsidR="00867A8F" w:rsidRPr="006E33BB">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w:t>
      </w:r>
      <w:r w:rsidRPr="00E61F6E">
        <w:rPr>
          <w:rFonts w:ascii="Avenir Next" w:hAnsi="Avenir Next"/>
          <w:sz w:val="22"/>
          <w:szCs w:val="28"/>
        </w:rPr>
        <w:lastRenderedPageBreak/>
        <w:t xml:space="preserve">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 xml:space="preserve">approached its largest Noteholders regarding the contemplated </w:t>
      </w:r>
      <w:r w:rsidRPr="00E61F6E">
        <w:rPr>
          <w:rFonts w:ascii="Avenir Next" w:hAnsi="Avenir Next"/>
          <w:sz w:val="22"/>
          <w:szCs w:val="28"/>
        </w:rPr>
        <w:lastRenderedPageBreak/>
        <w:t>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DD0564B" w14:textId="77777777" w:rsidR="006E33BB" w:rsidRDefault="009E3CA7" w:rsidP="009E3CA7">
      <w:pPr>
        <w:jc w:val="both"/>
        <w:rPr>
          <w:rFonts w:ascii="Avenir Next" w:hAnsi="Avenir Next"/>
          <w:color w:val="808080" w:themeColor="background1" w:themeShade="80"/>
          <w:sz w:val="22"/>
          <w:szCs w:val="28"/>
        </w:rPr>
      </w:pPr>
      <w:r w:rsidRPr="009E3CA7">
        <w:rPr>
          <w:rFonts w:ascii="Avenir Next" w:hAnsi="Avenir Next"/>
          <w:color w:val="808080" w:themeColor="background1" w:themeShade="80"/>
          <w:sz w:val="22"/>
          <w:szCs w:val="28"/>
        </w:rPr>
        <w:t>[</w:t>
      </w:r>
      <w:r w:rsidR="006E33BB" w:rsidRPr="006E33BB">
        <w:rPr>
          <w:rFonts w:ascii="Avenir Next" w:hAnsi="Avenir Next"/>
          <w:color w:val="808080" w:themeColor="background1" w:themeShade="80"/>
          <w:sz w:val="22"/>
          <w:szCs w:val="28"/>
        </w:rPr>
        <w:t>Globe Holdings is incorporated in the Cayman Islands, where it has its registered office. While its business operations are primarily in the United States, the Cayman Islands is its place of reformation and serves as its jurisdiction of incorporation. The fact that Globe Holdings has retained its Cayman Islands counsel for over a decade further supports its connection to the Cayman Islands.</w:t>
      </w:r>
    </w:p>
    <w:p w14:paraId="05405E17" w14:textId="77777777" w:rsidR="006E33BB" w:rsidRDefault="006E33BB" w:rsidP="009E3CA7">
      <w:pPr>
        <w:jc w:val="both"/>
        <w:rPr>
          <w:rFonts w:ascii="Avenir Next" w:hAnsi="Avenir Next"/>
          <w:color w:val="808080" w:themeColor="background1" w:themeShade="80"/>
          <w:sz w:val="22"/>
          <w:szCs w:val="28"/>
        </w:rPr>
      </w:pPr>
      <w:r w:rsidRPr="006E33BB">
        <w:rPr>
          <w:rFonts w:ascii="Avenir Next" w:hAnsi="Avenir Next"/>
          <w:color w:val="808080" w:themeColor="background1" w:themeShade="80"/>
          <w:sz w:val="22"/>
          <w:szCs w:val="28"/>
        </w:rPr>
        <w:t>To initiate the recognition proceeding in the United States, the following key papers and documents should be submitted:</w:t>
      </w:r>
    </w:p>
    <w:p w14:paraId="01134F12" w14:textId="77777777" w:rsidR="006E33BB" w:rsidRDefault="006E33BB" w:rsidP="006E33BB">
      <w:pPr>
        <w:pStyle w:val="Prrafodelista"/>
        <w:numPr>
          <w:ilvl w:val="0"/>
          <w:numId w:val="61"/>
        </w:numPr>
        <w:jc w:val="both"/>
        <w:rPr>
          <w:rFonts w:ascii="Avenir Next" w:hAnsi="Avenir Next"/>
          <w:color w:val="808080" w:themeColor="background1" w:themeShade="80"/>
          <w:sz w:val="22"/>
          <w:szCs w:val="28"/>
        </w:rPr>
      </w:pPr>
      <w:r w:rsidRPr="006E33BB">
        <w:rPr>
          <w:rFonts w:ascii="Avenir Next" w:hAnsi="Avenir Next"/>
          <w:color w:val="808080" w:themeColor="background1" w:themeShade="80"/>
          <w:sz w:val="22"/>
          <w:szCs w:val="28"/>
        </w:rPr>
        <w:t>The foreign representative should file a petition with the U.S. court seeking recognition of the Cayman Islands scheme as a foreign main proceeding. The petition should provide a clear explanation of the client's connection to the Cayman Islands, the nature of the restructuring, and the support received from Noteholders.</w:t>
      </w:r>
    </w:p>
    <w:p w14:paraId="6416F75B" w14:textId="77777777" w:rsidR="006E33BB" w:rsidRDefault="006E33BB" w:rsidP="006E33BB">
      <w:pPr>
        <w:pStyle w:val="Prrafodelista"/>
        <w:numPr>
          <w:ilvl w:val="0"/>
          <w:numId w:val="61"/>
        </w:numPr>
        <w:jc w:val="both"/>
        <w:rPr>
          <w:rFonts w:ascii="Avenir Next" w:hAnsi="Avenir Next"/>
          <w:color w:val="808080" w:themeColor="background1" w:themeShade="80"/>
          <w:sz w:val="22"/>
          <w:szCs w:val="28"/>
        </w:rPr>
      </w:pPr>
      <w:r w:rsidRPr="006E33BB">
        <w:rPr>
          <w:rFonts w:ascii="Avenir Next" w:hAnsi="Avenir Next"/>
          <w:color w:val="808080" w:themeColor="background1" w:themeShade="80"/>
          <w:sz w:val="22"/>
          <w:szCs w:val="28"/>
        </w:rPr>
        <w:t>Provide the RSA that outlines the terms of the Note Restructuring and its governance by New York law.</w:t>
      </w:r>
    </w:p>
    <w:p w14:paraId="20CD31F3" w14:textId="77777777" w:rsidR="006E33BB" w:rsidRDefault="006E33BB" w:rsidP="006E33BB">
      <w:pPr>
        <w:jc w:val="both"/>
        <w:rPr>
          <w:rFonts w:ascii="Avenir Next" w:hAnsi="Avenir Next"/>
          <w:color w:val="808080" w:themeColor="background1" w:themeShade="80"/>
          <w:sz w:val="22"/>
          <w:szCs w:val="28"/>
        </w:rPr>
      </w:pPr>
      <w:r w:rsidRPr="006E33BB">
        <w:rPr>
          <w:rFonts w:ascii="Avenir Next" w:hAnsi="Avenir Next"/>
          <w:color w:val="808080" w:themeColor="background1" w:themeShade="80"/>
          <w:sz w:val="22"/>
          <w:szCs w:val="28"/>
        </w:rPr>
        <w:t>On the first day of filing for recognition in the United States, the foreign representative should request the following key relief:</w:t>
      </w:r>
    </w:p>
    <w:p w14:paraId="00EFB8DA" w14:textId="77777777" w:rsidR="006E33BB" w:rsidRDefault="006E33BB" w:rsidP="006E33BB">
      <w:pPr>
        <w:pStyle w:val="Prrafodelista"/>
        <w:numPr>
          <w:ilvl w:val="0"/>
          <w:numId w:val="62"/>
        </w:numPr>
        <w:jc w:val="both"/>
        <w:rPr>
          <w:rFonts w:ascii="Avenir Next" w:hAnsi="Avenir Next"/>
          <w:color w:val="808080" w:themeColor="background1" w:themeShade="80"/>
          <w:sz w:val="22"/>
          <w:szCs w:val="28"/>
        </w:rPr>
      </w:pPr>
      <w:r w:rsidRPr="006E33BB">
        <w:rPr>
          <w:rFonts w:ascii="Avenir Next" w:hAnsi="Avenir Next"/>
          <w:color w:val="808080" w:themeColor="background1" w:themeShade="80"/>
          <w:sz w:val="22"/>
          <w:szCs w:val="28"/>
        </w:rPr>
        <w:t>Request the U.S. court to recognize the Cayman Islands scheme as a foreign main proceeding, emphasizing the client's connection to the Cayman Islands and the overwhelming support for the restructuring.</w:t>
      </w:r>
    </w:p>
    <w:p w14:paraId="30D7E6F9" w14:textId="724B7A60" w:rsidR="009E3CA7" w:rsidRPr="006E33BB" w:rsidRDefault="006E33BB" w:rsidP="006E33BB">
      <w:pPr>
        <w:pStyle w:val="Prrafodelista"/>
        <w:numPr>
          <w:ilvl w:val="0"/>
          <w:numId w:val="62"/>
        </w:numPr>
        <w:jc w:val="both"/>
        <w:rPr>
          <w:rFonts w:ascii="Avenir Next" w:hAnsi="Avenir Next"/>
          <w:color w:val="808080" w:themeColor="background1" w:themeShade="80"/>
          <w:sz w:val="22"/>
          <w:szCs w:val="28"/>
        </w:rPr>
      </w:pPr>
      <w:r w:rsidRPr="006E33BB">
        <w:rPr>
          <w:rFonts w:ascii="Avenir Next" w:hAnsi="Avenir Next"/>
          <w:color w:val="808080" w:themeColor="background1" w:themeShade="80"/>
          <w:sz w:val="22"/>
          <w:szCs w:val="28"/>
        </w:rPr>
        <w:t>Notify the court about the class action litigation in the United States and request coordination or communication with the court handling the potential litigation to ensure a cohesive approach to the client's situation.</w:t>
      </w:r>
      <w:r w:rsidR="009E3CA7" w:rsidRPr="006E33BB">
        <w:rPr>
          <w:rFonts w:ascii="Avenir Next" w:hAnsi="Avenir Next"/>
          <w:color w:val="808080" w:themeColor="background1" w:themeShade="80"/>
          <w:sz w:val="22"/>
          <w:szCs w:val="28"/>
        </w:rPr>
        <w:t>]</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6D3E" w14:textId="77777777" w:rsidR="00975713" w:rsidRDefault="00975713" w:rsidP="00241B44">
      <w:r>
        <w:separator/>
      </w:r>
    </w:p>
  </w:endnote>
  <w:endnote w:type="continuationSeparator" w:id="0">
    <w:p w14:paraId="6876167B" w14:textId="77777777" w:rsidR="00975713" w:rsidRDefault="0097571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68880920"/>
      <w:docPartObj>
        <w:docPartGallery w:val="Page Numbers (Bottom of Page)"/>
        <w:docPartUnique/>
      </w:docPartObj>
    </w:sdtPr>
    <w:sdtContent>
      <w:p w14:paraId="75DFA1A2" w14:textId="6BA13D30" w:rsidR="00A70BBC" w:rsidRDefault="00A70BBC" w:rsidP="000300E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CB4F9CA" w14:textId="77777777" w:rsidR="00A70BBC" w:rsidRDefault="00A70BBC" w:rsidP="00A70BB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Piedepgina"/>
      <w:framePr w:wrap="none" w:vAnchor="text" w:hAnchor="margin" w:xAlign="right" w:y="1"/>
      <w:rPr>
        <w:rStyle w:val="Nmerodepgina"/>
        <w:rFonts w:ascii="Avenir Next" w:hAnsi="Avenir Next"/>
        <w:sz w:val="22"/>
        <w:szCs w:val="22"/>
      </w:rPr>
    </w:pPr>
  </w:p>
  <w:p w14:paraId="6BA38AA4" w14:textId="0591D1DD" w:rsidR="00A70BBC" w:rsidRDefault="00A70BBC" w:rsidP="000300E0">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96495926"/>
      <w:docPartObj>
        <w:docPartGallery w:val="Page Numbers (Bottom of Page)"/>
        <w:docPartUnique/>
      </w:docPartObj>
    </w:sdtPr>
    <w:sdtContent>
      <w:p w14:paraId="1F7F18A2" w14:textId="560E059B" w:rsidR="000300E0" w:rsidRDefault="000300E0" w:rsidP="00B22F9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9D7F596" w14:textId="78E40872" w:rsidR="000300E0" w:rsidRPr="000300E0" w:rsidRDefault="000300E0" w:rsidP="000300E0">
    <w:pPr>
      <w:pStyle w:val="Piedepgina"/>
      <w:ind w:right="360"/>
      <w:rPr>
        <w:rFonts w:ascii="Avenir Next" w:hAnsi="Avenir Next" w:cs="Arial"/>
        <w:sz w:val="22"/>
        <w:szCs w:val="22"/>
      </w:rPr>
    </w:pPr>
  </w:p>
  <w:p w14:paraId="01028C96" w14:textId="77777777" w:rsidR="000300E0" w:rsidRDefault="000300E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9F14072" w:rsidR="000300E0" w:rsidRPr="00B46CE2" w:rsidRDefault="00B46CE2" w:rsidP="000300E0">
    <w:pPr>
      <w:pStyle w:val="Piedepgina"/>
      <w:ind w:right="360"/>
      <w:rPr>
        <w:rFonts w:ascii="Avenir Next" w:hAnsi="Avenir Next"/>
        <w:sz w:val="22"/>
        <w:szCs w:val="22"/>
      </w:rPr>
    </w:pPr>
    <w:r w:rsidRPr="00B46CE2">
      <w:rPr>
        <w:rFonts w:ascii="Avenir Next" w:hAnsi="Avenir Next"/>
        <w:sz w:val="22"/>
        <w:szCs w:val="22"/>
      </w:rPr>
      <w:t>studentID.assessment2A</w:t>
    </w:r>
  </w:p>
  <w:sdt>
    <w:sdtPr>
      <w:rPr>
        <w:rStyle w:val="Nmerodepgina"/>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Piedepgina"/>
          <w:framePr w:w="1071" w:h="331" w:hRule="exact" w:wrap="none" w:vAnchor="text" w:hAnchor="page" w:x="9641" w:y="-303"/>
          <w:rPr>
            <w:rStyle w:val="Nmerodepgina"/>
            <w:rFonts w:ascii="Avenir Next" w:hAnsi="Avenir Next"/>
            <w:sz w:val="22"/>
            <w:szCs w:val="22"/>
          </w:rPr>
        </w:pPr>
        <w:r w:rsidRPr="000300E0">
          <w:rPr>
            <w:rStyle w:val="Nmerodepgina"/>
            <w:rFonts w:ascii="Avenir Next" w:hAnsi="Avenir Next"/>
            <w:sz w:val="22"/>
            <w:szCs w:val="22"/>
          </w:rPr>
          <w:t xml:space="preserve">Page </w:t>
        </w:r>
        <w:r w:rsidRPr="000300E0">
          <w:rPr>
            <w:rStyle w:val="Nmerodepgina"/>
            <w:rFonts w:ascii="Avenir Next" w:hAnsi="Avenir Next"/>
            <w:sz w:val="22"/>
            <w:szCs w:val="22"/>
          </w:rPr>
          <w:fldChar w:fldCharType="begin"/>
        </w:r>
        <w:r w:rsidRPr="000300E0">
          <w:rPr>
            <w:rStyle w:val="Nmerodepgina"/>
            <w:rFonts w:ascii="Avenir Next" w:hAnsi="Avenir Next"/>
            <w:sz w:val="22"/>
            <w:szCs w:val="22"/>
          </w:rPr>
          <w:instrText xml:space="preserve"> PAGE </w:instrText>
        </w:r>
        <w:r w:rsidRPr="000300E0">
          <w:rPr>
            <w:rStyle w:val="Nmerodepgina"/>
            <w:rFonts w:ascii="Avenir Next" w:hAnsi="Avenir Next"/>
            <w:sz w:val="22"/>
            <w:szCs w:val="22"/>
          </w:rPr>
          <w:fldChar w:fldCharType="separate"/>
        </w:r>
        <w:r w:rsidRPr="000300E0">
          <w:rPr>
            <w:rStyle w:val="Nmerodepgina"/>
            <w:rFonts w:ascii="Avenir Next" w:hAnsi="Avenir Next"/>
            <w:noProof/>
            <w:sz w:val="22"/>
            <w:szCs w:val="22"/>
          </w:rPr>
          <w:t>2</w:t>
        </w:r>
        <w:r w:rsidRPr="000300E0">
          <w:rPr>
            <w:rStyle w:val="Nmerodepgina"/>
            <w:rFonts w:ascii="Avenir Next" w:hAnsi="Avenir Next"/>
            <w:sz w:val="22"/>
            <w:szCs w:val="22"/>
          </w:rPr>
          <w:fldChar w:fldCharType="end"/>
        </w:r>
      </w:p>
    </w:sdtContent>
  </w:sdt>
  <w:p w14:paraId="4C5B12BE" w14:textId="77777777" w:rsidR="00B46CE2" w:rsidRPr="000300E0" w:rsidRDefault="00B46CE2" w:rsidP="00B46CE2">
    <w:pPr>
      <w:pStyle w:val="Piedepgina"/>
      <w:framePr w:w="1071" w:h="331" w:hRule="exact" w:wrap="none" w:vAnchor="text" w:hAnchor="page" w:x="9641" w:y="-303"/>
      <w:ind w:right="360"/>
      <w:rPr>
        <w:rStyle w:val="Nmerodepgina"/>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6C32" w14:textId="77777777" w:rsidR="00975713" w:rsidRDefault="00975713" w:rsidP="00241B44">
      <w:r>
        <w:separator/>
      </w:r>
    </w:p>
  </w:footnote>
  <w:footnote w:type="continuationSeparator" w:id="0">
    <w:p w14:paraId="5E60F710" w14:textId="77777777" w:rsidR="00975713" w:rsidRDefault="0097571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D7128"/>
    <w:multiLevelType w:val="hybridMultilevel"/>
    <w:tmpl w:val="B7DE529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9E082C"/>
    <w:multiLevelType w:val="hybridMultilevel"/>
    <w:tmpl w:val="B72200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C6E6FF4"/>
    <w:multiLevelType w:val="hybridMultilevel"/>
    <w:tmpl w:val="EE6671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78737F"/>
    <w:multiLevelType w:val="hybridMultilevel"/>
    <w:tmpl w:val="77ECF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6C07C3E"/>
    <w:multiLevelType w:val="hybridMultilevel"/>
    <w:tmpl w:val="671615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61"/>
  </w:num>
  <w:num w:numId="3" w16cid:durableId="1837500537">
    <w:abstractNumId w:val="44"/>
  </w:num>
  <w:num w:numId="4" w16cid:durableId="577205504">
    <w:abstractNumId w:val="55"/>
  </w:num>
  <w:num w:numId="5" w16cid:durableId="587693970">
    <w:abstractNumId w:val="9"/>
  </w:num>
  <w:num w:numId="6" w16cid:durableId="937175523">
    <w:abstractNumId w:val="53"/>
  </w:num>
  <w:num w:numId="7" w16cid:durableId="1654067440">
    <w:abstractNumId w:val="26"/>
  </w:num>
  <w:num w:numId="8" w16cid:durableId="1105736194">
    <w:abstractNumId w:val="46"/>
  </w:num>
  <w:num w:numId="9" w16cid:durableId="337470287">
    <w:abstractNumId w:val="29"/>
  </w:num>
  <w:num w:numId="10" w16cid:durableId="409736686">
    <w:abstractNumId w:val="18"/>
  </w:num>
  <w:num w:numId="11" w16cid:durableId="2113239495">
    <w:abstractNumId w:val="33"/>
  </w:num>
  <w:num w:numId="12" w16cid:durableId="277688465">
    <w:abstractNumId w:val="51"/>
  </w:num>
  <w:num w:numId="13" w16cid:durableId="2058502388">
    <w:abstractNumId w:val="7"/>
  </w:num>
  <w:num w:numId="14" w16cid:durableId="1848598104">
    <w:abstractNumId w:val="40"/>
  </w:num>
  <w:num w:numId="15" w16cid:durableId="634214434">
    <w:abstractNumId w:val="19"/>
  </w:num>
  <w:num w:numId="16" w16cid:durableId="1164055646">
    <w:abstractNumId w:val="20"/>
  </w:num>
  <w:num w:numId="17" w16cid:durableId="4065661">
    <w:abstractNumId w:val="35"/>
  </w:num>
  <w:num w:numId="18" w16cid:durableId="970591766">
    <w:abstractNumId w:val="8"/>
  </w:num>
  <w:num w:numId="19" w16cid:durableId="1299339140">
    <w:abstractNumId w:val="34"/>
  </w:num>
  <w:num w:numId="20" w16cid:durableId="1327175081">
    <w:abstractNumId w:val="60"/>
  </w:num>
  <w:num w:numId="21" w16cid:durableId="2089498112">
    <w:abstractNumId w:val="24"/>
  </w:num>
  <w:num w:numId="22" w16cid:durableId="221064104">
    <w:abstractNumId w:val="50"/>
  </w:num>
  <w:num w:numId="23" w16cid:durableId="860243873">
    <w:abstractNumId w:val="58"/>
  </w:num>
  <w:num w:numId="24" w16cid:durableId="1555506834">
    <w:abstractNumId w:val="48"/>
  </w:num>
  <w:num w:numId="25" w16cid:durableId="1954677308">
    <w:abstractNumId w:val="39"/>
  </w:num>
  <w:num w:numId="26" w16cid:durableId="998270126">
    <w:abstractNumId w:val="59"/>
  </w:num>
  <w:num w:numId="27" w16cid:durableId="657656171">
    <w:abstractNumId w:val="54"/>
  </w:num>
  <w:num w:numId="28" w16cid:durableId="1116829249">
    <w:abstractNumId w:val="14"/>
  </w:num>
  <w:num w:numId="29" w16cid:durableId="1055274873">
    <w:abstractNumId w:val="15"/>
  </w:num>
  <w:num w:numId="30" w16cid:durableId="790785319">
    <w:abstractNumId w:val="36"/>
  </w:num>
  <w:num w:numId="31" w16cid:durableId="781922295">
    <w:abstractNumId w:val="4"/>
  </w:num>
  <w:num w:numId="32" w16cid:durableId="268047206">
    <w:abstractNumId w:val="38"/>
  </w:num>
  <w:num w:numId="33" w16cid:durableId="198930779">
    <w:abstractNumId w:val="0"/>
  </w:num>
  <w:num w:numId="34" w16cid:durableId="480577945">
    <w:abstractNumId w:val="45"/>
  </w:num>
  <w:num w:numId="35" w16cid:durableId="984242224">
    <w:abstractNumId w:val="28"/>
  </w:num>
  <w:num w:numId="36" w16cid:durableId="485898662">
    <w:abstractNumId w:val="47"/>
  </w:num>
  <w:num w:numId="37" w16cid:durableId="1147433143">
    <w:abstractNumId w:val="31"/>
  </w:num>
  <w:num w:numId="38" w16cid:durableId="827285019">
    <w:abstractNumId w:val="42"/>
  </w:num>
  <w:num w:numId="39" w16cid:durableId="128666775">
    <w:abstractNumId w:val="6"/>
  </w:num>
  <w:num w:numId="40" w16cid:durableId="1339426664">
    <w:abstractNumId w:val="27"/>
  </w:num>
  <w:num w:numId="41" w16cid:durableId="1969971734">
    <w:abstractNumId w:val="52"/>
  </w:num>
  <w:num w:numId="42" w16cid:durableId="368453801">
    <w:abstractNumId w:val="23"/>
  </w:num>
  <w:num w:numId="43" w16cid:durableId="51392340">
    <w:abstractNumId w:val="37"/>
  </w:num>
  <w:num w:numId="44" w16cid:durableId="1531332188">
    <w:abstractNumId w:val="17"/>
  </w:num>
  <w:num w:numId="45" w16cid:durableId="8337133">
    <w:abstractNumId w:val="16"/>
  </w:num>
  <w:num w:numId="46" w16cid:durableId="1612931796">
    <w:abstractNumId w:val="41"/>
  </w:num>
  <w:num w:numId="47" w16cid:durableId="89930162">
    <w:abstractNumId w:val="25"/>
  </w:num>
  <w:num w:numId="48" w16cid:durableId="1477838578">
    <w:abstractNumId w:val="11"/>
  </w:num>
  <w:num w:numId="49" w16cid:durableId="2073384460">
    <w:abstractNumId w:val="56"/>
  </w:num>
  <w:num w:numId="50" w16cid:durableId="59720369">
    <w:abstractNumId w:val="32"/>
  </w:num>
  <w:num w:numId="51" w16cid:durableId="1379276728">
    <w:abstractNumId w:val="12"/>
  </w:num>
  <w:num w:numId="52" w16cid:durableId="921179279">
    <w:abstractNumId w:val="22"/>
  </w:num>
  <w:num w:numId="53" w16cid:durableId="1060514793">
    <w:abstractNumId w:val="30"/>
  </w:num>
  <w:num w:numId="54" w16cid:durableId="64230155">
    <w:abstractNumId w:val="3"/>
  </w:num>
  <w:num w:numId="55" w16cid:durableId="1681084025">
    <w:abstractNumId w:val="2"/>
  </w:num>
  <w:num w:numId="56" w16cid:durableId="1275090443">
    <w:abstractNumId w:val="21"/>
  </w:num>
  <w:num w:numId="57" w16cid:durableId="269969236">
    <w:abstractNumId w:val="43"/>
  </w:num>
  <w:num w:numId="58" w16cid:durableId="1527207097">
    <w:abstractNumId w:val="13"/>
  </w:num>
  <w:num w:numId="59" w16cid:durableId="148715444">
    <w:abstractNumId w:val="49"/>
  </w:num>
  <w:num w:numId="60" w16cid:durableId="24839998">
    <w:abstractNumId w:val="57"/>
  </w:num>
  <w:num w:numId="61" w16cid:durableId="244582302">
    <w:abstractNumId w:val="5"/>
  </w:num>
  <w:num w:numId="62" w16cid:durableId="92708419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0F26"/>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33BB"/>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75713"/>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2318"/>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710FD"/>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4104603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3724</Words>
  <Characters>20488</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Aylin Romero</cp:lastModifiedBy>
  <cp:revision>2</cp:revision>
  <cp:lastPrinted>2019-08-27T05:42:00Z</cp:lastPrinted>
  <dcterms:created xsi:type="dcterms:W3CDTF">2023-10-31T23:09:00Z</dcterms:created>
  <dcterms:modified xsi:type="dcterms:W3CDTF">2023-10-31T23:09:00Z</dcterms:modified>
</cp:coreProperties>
</file>