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E10F0A">
        <w:rPr>
          <w:rFonts w:ascii="Avenir Next" w:hAnsi="Avenir Next" w:cs="Arial"/>
          <w:sz w:val="22"/>
          <w:szCs w:val="22"/>
          <w:highlight w:val="yellow"/>
          <w:lang w:val="en-GB"/>
        </w:rPr>
        <w:t>w</w:t>
      </w:r>
      <w:r w:rsidR="00C91062" w:rsidRPr="00E10F0A">
        <w:rPr>
          <w:rFonts w:ascii="Avenir Next" w:hAnsi="Avenir Next" w:cs="Arial"/>
          <w:sz w:val="22"/>
          <w:szCs w:val="22"/>
          <w:highlight w:val="yellow"/>
          <w:lang w:val="en-GB"/>
        </w:rPr>
        <w:t xml:space="preserve">ithin </w:t>
      </w:r>
      <w:r w:rsidR="00733A34" w:rsidRPr="00E10F0A">
        <w:rPr>
          <w:rFonts w:ascii="Avenir Next" w:hAnsi="Avenir Next" w:cs="Arial"/>
          <w:sz w:val="22"/>
          <w:szCs w:val="22"/>
          <w:highlight w:val="yellow"/>
          <w:lang w:val="en-GB"/>
        </w:rPr>
        <w:t>eight</w:t>
      </w:r>
      <w:r w:rsidR="00C91062" w:rsidRPr="00E10F0A">
        <w:rPr>
          <w:rFonts w:ascii="Avenir Next" w:hAnsi="Avenir Next" w:cs="Arial"/>
          <w:sz w:val="22"/>
          <w:szCs w:val="22"/>
          <w:highlight w:val="yellow"/>
          <w:lang w:val="en-GB"/>
        </w:rPr>
        <w:t xml:space="preserve"> weeks of the commencement of the administration</w:t>
      </w:r>
      <w:r w:rsidR="00763348" w:rsidRPr="00197F24">
        <w:rPr>
          <w:rFonts w:ascii="Avenir Next" w:hAnsi="Avenir Next" w:cs="Arial"/>
          <w:sz w:val="22"/>
          <w:szCs w:val="22"/>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E10F0A" w:rsidRDefault="00E443D7" w:rsidP="00C55824">
      <w:pPr>
        <w:pStyle w:val="ListParagraph"/>
        <w:numPr>
          <w:ilvl w:val="0"/>
          <w:numId w:val="2"/>
        </w:numPr>
        <w:ind w:left="426"/>
        <w:jc w:val="both"/>
        <w:rPr>
          <w:rFonts w:ascii="Avenir Next" w:hAnsi="Avenir Next" w:cs="Arial"/>
          <w:sz w:val="22"/>
          <w:szCs w:val="22"/>
          <w:highlight w:val="yellow"/>
          <w:lang w:val="en-GB"/>
        </w:rPr>
      </w:pPr>
      <w:r w:rsidRPr="00E10F0A">
        <w:rPr>
          <w:rFonts w:ascii="Avenir Next" w:hAnsi="Avenir Next" w:cs="Arial"/>
          <w:sz w:val="22"/>
          <w:szCs w:val="22"/>
          <w:highlight w:val="yellow"/>
          <w:lang w:val="en-GB"/>
        </w:rPr>
        <w:t>One year</w:t>
      </w:r>
      <w:r w:rsidR="00763348" w:rsidRPr="00E10F0A">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E10F0A" w:rsidRDefault="00AE5B6F" w:rsidP="00B04033">
      <w:pPr>
        <w:pStyle w:val="ListParagraph"/>
        <w:numPr>
          <w:ilvl w:val="0"/>
          <w:numId w:val="3"/>
        </w:numPr>
        <w:ind w:left="426"/>
        <w:jc w:val="both"/>
        <w:rPr>
          <w:rFonts w:ascii="Avenir Next" w:hAnsi="Avenir Next" w:cs="Arial"/>
          <w:sz w:val="22"/>
          <w:szCs w:val="22"/>
          <w:highlight w:val="yellow"/>
          <w:lang w:val="en-GB"/>
        </w:rPr>
      </w:pPr>
      <w:r w:rsidRPr="00E10F0A">
        <w:rPr>
          <w:rFonts w:ascii="Avenir Next" w:hAnsi="Avenir Next" w:cs="Arial"/>
          <w:sz w:val="22"/>
          <w:szCs w:val="22"/>
          <w:highlight w:val="yellow"/>
          <w:lang w:val="en-GB"/>
        </w:rPr>
        <w:t>T</w:t>
      </w:r>
      <w:r w:rsidR="008D1616" w:rsidRPr="00E10F0A">
        <w:rPr>
          <w:rFonts w:ascii="Avenir Next" w:hAnsi="Avenir Next" w:cs="Arial"/>
          <w:sz w:val="22"/>
          <w:szCs w:val="22"/>
          <w:highlight w:val="yellow"/>
          <w:lang w:val="en-GB"/>
        </w:rPr>
        <w:t>he company is, or is likely to become, unable to pay their debts, as defined under s</w:t>
      </w:r>
      <w:r w:rsidR="00E833F4" w:rsidRPr="00E10F0A">
        <w:rPr>
          <w:rFonts w:ascii="Avenir Next" w:hAnsi="Avenir Next" w:cs="Arial"/>
          <w:sz w:val="22"/>
          <w:szCs w:val="22"/>
          <w:highlight w:val="yellow"/>
          <w:lang w:val="en-GB"/>
        </w:rPr>
        <w:t>ection</w:t>
      </w:r>
      <w:r w:rsidR="008D1616" w:rsidRPr="00E10F0A">
        <w:rPr>
          <w:rFonts w:ascii="Avenir Next" w:hAnsi="Avenir Next" w:cs="Arial"/>
          <w:sz w:val="22"/>
          <w:szCs w:val="22"/>
          <w:highlight w:val="yellow"/>
          <w:lang w:val="en-GB"/>
        </w:rPr>
        <w:t xml:space="preserve"> 123 of the Insolvency Act 1986</w:t>
      </w:r>
      <w:r w:rsidR="00763348" w:rsidRPr="00E10F0A">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E10F0A" w:rsidRDefault="00C91062" w:rsidP="00B04033">
      <w:pPr>
        <w:pStyle w:val="ListParagraph"/>
        <w:numPr>
          <w:ilvl w:val="0"/>
          <w:numId w:val="4"/>
        </w:numPr>
        <w:ind w:left="426"/>
        <w:jc w:val="both"/>
        <w:rPr>
          <w:rFonts w:ascii="Avenir Next" w:hAnsi="Avenir Next" w:cs="Arial"/>
          <w:sz w:val="22"/>
          <w:szCs w:val="22"/>
          <w:highlight w:val="yellow"/>
          <w:lang w:val="en-GB"/>
        </w:rPr>
      </w:pPr>
      <w:r w:rsidRPr="00E10F0A">
        <w:rPr>
          <w:rFonts w:ascii="Avenir Next" w:hAnsi="Avenir Next" w:cs="Arial"/>
          <w:sz w:val="22"/>
          <w:szCs w:val="22"/>
          <w:highlight w:val="yellow"/>
          <w:lang w:val="en-GB"/>
        </w:rPr>
        <w:t>The purchaser</w:t>
      </w:r>
      <w:r w:rsidR="00763348" w:rsidRPr="00E10F0A">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E10F0A" w:rsidRDefault="00BA1CFD" w:rsidP="00B04033">
      <w:pPr>
        <w:pStyle w:val="ListParagraph"/>
        <w:numPr>
          <w:ilvl w:val="0"/>
          <w:numId w:val="5"/>
        </w:numPr>
        <w:ind w:left="426"/>
        <w:jc w:val="both"/>
        <w:rPr>
          <w:rFonts w:ascii="Avenir Next" w:hAnsi="Avenir Next" w:cs="Arial"/>
          <w:sz w:val="22"/>
          <w:szCs w:val="22"/>
          <w:highlight w:val="yellow"/>
          <w:lang w:val="en-GB"/>
        </w:rPr>
      </w:pPr>
      <w:r w:rsidRPr="00E10F0A">
        <w:rPr>
          <w:rFonts w:ascii="Avenir Next" w:hAnsi="Avenir Next" w:cs="Arial"/>
          <w:sz w:val="22"/>
          <w:szCs w:val="22"/>
          <w:highlight w:val="yellow"/>
          <w:lang w:val="en-GB"/>
        </w:rPr>
        <w:t>Administration</w:t>
      </w:r>
      <w:r w:rsidR="00763348" w:rsidRPr="00E10F0A">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E10F0A" w:rsidRDefault="00221444" w:rsidP="00221444">
      <w:pPr>
        <w:pStyle w:val="ListParagraph"/>
        <w:numPr>
          <w:ilvl w:val="0"/>
          <w:numId w:val="6"/>
        </w:numPr>
        <w:ind w:left="426"/>
        <w:jc w:val="both"/>
        <w:rPr>
          <w:rFonts w:ascii="Avenir Next" w:hAnsi="Avenir Next" w:cs="Arial"/>
          <w:sz w:val="22"/>
          <w:szCs w:val="22"/>
          <w:highlight w:val="yellow"/>
          <w:lang w:val="en-GB"/>
        </w:rPr>
      </w:pPr>
      <w:r w:rsidRPr="00E10F0A">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E10F0A" w:rsidRDefault="00BA1CFD" w:rsidP="00B04033">
      <w:pPr>
        <w:pStyle w:val="ListParagraph"/>
        <w:numPr>
          <w:ilvl w:val="0"/>
          <w:numId w:val="7"/>
        </w:numPr>
        <w:ind w:left="426"/>
        <w:jc w:val="both"/>
        <w:rPr>
          <w:rFonts w:ascii="Avenir Next" w:hAnsi="Avenir Next" w:cs="Arial"/>
          <w:sz w:val="22"/>
          <w:szCs w:val="22"/>
          <w:highlight w:val="yellow"/>
          <w:lang w:val="en-GB"/>
        </w:rPr>
      </w:pPr>
      <w:r w:rsidRPr="00E10F0A">
        <w:rPr>
          <w:rFonts w:ascii="Avenir Next" w:hAnsi="Avenir Next" w:cs="Arial"/>
          <w:sz w:val="22"/>
          <w:szCs w:val="22"/>
          <w:highlight w:val="yellow"/>
          <w:lang w:val="en-GB"/>
        </w:rPr>
        <w:t>Breach of fiduciary duty</w:t>
      </w:r>
      <w:r w:rsidR="00763348" w:rsidRPr="00E10F0A">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E10F0A" w:rsidRDefault="00450393" w:rsidP="00450393">
      <w:pPr>
        <w:pStyle w:val="ListParagraph"/>
        <w:numPr>
          <w:ilvl w:val="0"/>
          <w:numId w:val="8"/>
        </w:numPr>
        <w:ind w:left="426"/>
        <w:jc w:val="both"/>
        <w:rPr>
          <w:rFonts w:ascii="Avenir Next" w:hAnsi="Avenir Next" w:cs="Arial"/>
          <w:sz w:val="22"/>
          <w:szCs w:val="22"/>
          <w:highlight w:val="yellow"/>
          <w:lang w:val="en-GB"/>
        </w:rPr>
      </w:pPr>
      <w:r w:rsidRPr="00E10F0A">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E10F0A" w:rsidRDefault="00E833F4" w:rsidP="00B04033">
      <w:pPr>
        <w:pStyle w:val="ListParagraph"/>
        <w:numPr>
          <w:ilvl w:val="0"/>
          <w:numId w:val="9"/>
        </w:numPr>
        <w:ind w:left="426"/>
        <w:jc w:val="both"/>
        <w:rPr>
          <w:rFonts w:ascii="Avenir Next" w:hAnsi="Avenir Next" w:cs="Arial"/>
          <w:sz w:val="22"/>
          <w:szCs w:val="22"/>
          <w:highlight w:val="yellow"/>
          <w:lang w:val="en-GB"/>
        </w:rPr>
      </w:pPr>
      <w:r w:rsidRPr="00E10F0A">
        <w:rPr>
          <w:rFonts w:ascii="Avenir Next" w:hAnsi="Avenir Next" w:cs="Arial"/>
          <w:sz w:val="22"/>
          <w:szCs w:val="22"/>
          <w:highlight w:val="yellow"/>
          <w:lang w:val="en-GB"/>
        </w:rPr>
        <w:t>A</w:t>
      </w:r>
      <w:r w:rsidR="000D10C6" w:rsidRPr="00E10F0A">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E10F0A" w:rsidRDefault="000D4CFA" w:rsidP="004C7A8F">
      <w:pPr>
        <w:pStyle w:val="ListParagraph"/>
        <w:numPr>
          <w:ilvl w:val="0"/>
          <w:numId w:val="10"/>
        </w:numPr>
        <w:ind w:left="426"/>
        <w:jc w:val="both"/>
        <w:rPr>
          <w:rFonts w:ascii="Avenir Next" w:hAnsi="Avenir Next" w:cs="Arial"/>
          <w:sz w:val="22"/>
          <w:szCs w:val="22"/>
          <w:highlight w:val="yellow"/>
          <w:lang w:val="en-GB"/>
        </w:rPr>
      </w:pPr>
      <w:r w:rsidRPr="00E10F0A">
        <w:rPr>
          <w:rFonts w:ascii="Avenir Next" w:hAnsi="Avenir Next" w:cs="Arial"/>
          <w:sz w:val="22"/>
          <w:szCs w:val="22"/>
          <w:highlight w:val="yellow"/>
          <w:lang w:val="en-GB"/>
        </w:rPr>
        <w:t>Twelve</w:t>
      </w:r>
      <w:r w:rsidR="004C7A8F" w:rsidRPr="00E10F0A">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6DCADDE1" w14:textId="71776083" w:rsidR="00197F24" w:rsidRDefault="00E10F0A" w:rsidP="00E10F0A">
      <w:pPr>
        <w:pStyle w:val="ListParagraph"/>
        <w:numPr>
          <w:ilvl w:val="0"/>
          <w:numId w:val="18"/>
        </w:numPr>
        <w:jc w:val="both"/>
        <w:rPr>
          <w:rFonts w:ascii="Avenir Next" w:hAnsi="Avenir Next" w:cs="Arial"/>
          <w:sz w:val="22"/>
          <w:szCs w:val="22"/>
          <w:lang w:val="en-GB"/>
        </w:rPr>
      </w:pPr>
      <w:r>
        <w:rPr>
          <w:rFonts w:ascii="Avenir Next" w:hAnsi="Avenir Next" w:cs="Arial"/>
          <w:sz w:val="22"/>
          <w:szCs w:val="22"/>
          <w:lang w:val="en-GB"/>
        </w:rPr>
        <w:t>Section 245 of the Insolvency Act is the floating lien avoidance statute.  It applies only to floating liens and when the company is in administration or liquidation.  As such, it may be brought by either a liquidator or administrator.</w:t>
      </w:r>
    </w:p>
    <w:p w14:paraId="23FC77B9" w14:textId="141EC55D" w:rsidR="00E10F0A" w:rsidRDefault="00E10F0A" w:rsidP="00E10F0A">
      <w:pPr>
        <w:pStyle w:val="ListParagraph"/>
        <w:numPr>
          <w:ilvl w:val="0"/>
          <w:numId w:val="18"/>
        </w:numPr>
        <w:jc w:val="both"/>
        <w:rPr>
          <w:rFonts w:ascii="Avenir Next" w:hAnsi="Avenir Next" w:cs="Arial"/>
          <w:sz w:val="22"/>
          <w:szCs w:val="22"/>
          <w:lang w:val="en-GB"/>
        </w:rPr>
      </w:pPr>
      <w:r>
        <w:rPr>
          <w:rFonts w:ascii="Avenir Next" w:hAnsi="Avenir Next" w:cs="Arial"/>
          <w:sz w:val="22"/>
          <w:szCs w:val="22"/>
          <w:lang w:val="en-GB"/>
        </w:rPr>
        <w:t>Section 6 of the Company Directors Disqualification Act 1986 addresses disqualification of a director.  The application to the Court is made either by the Secretary of State or by the Official Receiver on instruction from the Secretary of State when the pertinent company has already been wound up by the Court.</w:t>
      </w:r>
    </w:p>
    <w:p w14:paraId="675EB6B3" w14:textId="4EF338D6" w:rsidR="00E10F0A" w:rsidRDefault="00E10F0A" w:rsidP="00E10F0A">
      <w:pPr>
        <w:pStyle w:val="ListParagraph"/>
        <w:numPr>
          <w:ilvl w:val="0"/>
          <w:numId w:val="18"/>
        </w:numPr>
        <w:jc w:val="both"/>
        <w:rPr>
          <w:rFonts w:ascii="Avenir Next" w:hAnsi="Avenir Next" w:cs="Arial"/>
          <w:sz w:val="22"/>
          <w:szCs w:val="22"/>
          <w:lang w:val="en-GB"/>
        </w:rPr>
      </w:pPr>
      <w:r>
        <w:rPr>
          <w:rFonts w:ascii="Avenir Next" w:hAnsi="Avenir Next" w:cs="Arial"/>
          <w:sz w:val="22"/>
          <w:szCs w:val="22"/>
          <w:lang w:val="en-GB"/>
        </w:rPr>
        <w:t xml:space="preserve">Section 246ZB of the Insolvency Act 1986 involves wrongful trading which is an available remedy to a liquidator </w:t>
      </w:r>
      <w:proofErr w:type="gramStart"/>
      <w:r>
        <w:rPr>
          <w:rFonts w:ascii="Avenir Next" w:hAnsi="Avenir Next" w:cs="Arial"/>
          <w:sz w:val="22"/>
          <w:szCs w:val="22"/>
          <w:lang w:val="en-GB"/>
        </w:rPr>
        <w:t>in order to</w:t>
      </w:r>
      <w:proofErr w:type="gramEnd"/>
      <w:r>
        <w:rPr>
          <w:rFonts w:ascii="Avenir Next" w:hAnsi="Avenir Next" w:cs="Arial"/>
          <w:sz w:val="22"/>
          <w:szCs w:val="22"/>
          <w:lang w:val="en-GB"/>
        </w:rPr>
        <w:t xml:space="preserve"> hold a director liable for debts to the company.</w:t>
      </w:r>
    </w:p>
    <w:p w14:paraId="7DC78FB8" w14:textId="31AA91F1" w:rsidR="00E10F0A" w:rsidRDefault="00E10F0A" w:rsidP="00E10F0A">
      <w:pPr>
        <w:pStyle w:val="ListParagraph"/>
        <w:numPr>
          <w:ilvl w:val="0"/>
          <w:numId w:val="18"/>
        </w:numPr>
        <w:jc w:val="both"/>
        <w:rPr>
          <w:rFonts w:ascii="Avenir Next" w:hAnsi="Avenir Next" w:cs="Arial"/>
          <w:sz w:val="22"/>
          <w:szCs w:val="22"/>
          <w:lang w:val="en-GB"/>
        </w:rPr>
      </w:pPr>
      <w:r>
        <w:rPr>
          <w:rFonts w:ascii="Avenir Next" w:hAnsi="Avenir Next" w:cs="Arial"/>
          <w:sz w:val="22"/>
          <w:szCs w:val="22"/>
          <w:lang w:val="en-GB"/>
        </w:rPr>
        <w:t>Section 127 of the Insolvency Act 1986 allows for avoidance of a transfer made after commencement of a compulsory winding up.  This action is brought by the liquidator to retrieve assets disposed of by the Company after the petition and before the winding up order.</w:t>
      </w:r>
    </w:p>
    <w:p w14:paraId="597779CB" w14:textId="77777777" w:rsidR="00E10F0A" w:rsidRPr="00E10F0A" w:rsidRDefault="00E10F0A" w:rsidP="00E10F0A">
      <w:pPr>
        <w:pStyle w:val="ListParagraph"/>
        <w:ind w:left="1080"/>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572227E7" w14:textId="7DCE4F28" w:rsidR="0045683E" w:rsidRDefault="00B07ADE" w:rsidP="002A37BB">
      <w:pPr>
        <w:jc w:val="both"/>
        <w:rPr>
          <w:rFonts w:ascii="Avenir Next" w:hAnsi="Avenir Next" w:cs="Arial"/>
          <w:bCs/>
          <w:sz w:val="22"/>
          <w:szCs w:val="22"/>
          <w:lang w:val="en-GB"/>
        </w:rPr>
      </w:pPr>
      <w:r>
        <w:rPr>
          <w:rFonts w:ascii="Avenir Next" w:hAnsi="Avenir Next" w:cs="Arial"/>
          <w:bCs/>
          <w:sz w:val="22"/>
          <w:szCs w:val="22"/>
          <w:lang w:val="en-GB"/>
        </w:rPr>
        <w:t>Part A1 of the 2020 Act is the Moratorium which is applied for by the directors of a company.  Debts which are not stayed by the Moratorium include the following:</w:t>
      </w:r>
    </w:p>
    <w:p w14:paraId="4AAACFB3" w14:textId="3716AA5B" w:rsidR="00B07ADE" w:rsidRDefault="00B07ADE" w:rsidP="00B07ADE">
      <w:pPr>
        <w:pStyle w:val="ListParagraph"/>
        <w:numPr>
          <w:ilvl w:val="0"/>
          <w:numId w:val="19"/>
        </w:numPr>
        <w:jc w:val="both"/>
        <w:rPr>
          <w:rFonts w:ascii="Avenir Next" w:hAnsi="Avenir Next" w:cs="Arial"/>
          <w:bCs/>
          <w:sz w:val="22"/>
          <w:szCs w:val="22"/>
          <w:lang w:val="en-GB"/>
        </w:rPr>
      </w:pPr>
      <w:r>
        <w:rPr>
          <w:rFonts w:ascii="Avenir Next" w:hAnsi="Avenir Next" w:cs="Arial"/>
          <w:bCs/>
          <w:sz w:val="22"/>
          <w:szCs w:val="22"/>
          <w:lang w:val="en-GB"/>
        </w:rPr>
        <w:t>The monitor’s remuneration or expenses</w:t>
      </w:r>
    </w:p>
    <w:p w14:paraId="335E9C6B" w14:textId="3289A10E" w:rsidR="00B07ADE" w:rsidRDefault="00B07ADE" w:rsidP="00B07ADE">
      <w:pPr>
        <w:pStyle w:val="ListParagraph"/>
        <w:numPr>
          <w:ilvl w:val="0"/>
          <w:numId w:val="19"/>
        </w:numPr>
        <w:jc w:val="both"/>
        <w:rPr>
          <w:rFonts w:ascii="Avenir Next" w:hAnsi="Avenir Next" w:cs="Arial"/>
          <w:bCs/>
          <w:sz w:val="22"/>
          <w:szCs w:val="22"/>
          <w:lang w:val="en-GB"/>
        </w:rPr>
      </w:pPr>
      <w:r>
        <w:rPr>
          <w:rFonts w:ascii="Avenir Next" w:hAnsi="Avenir Next" w:cs="Arial"/>
          <w:bCs/>
          <w:sz w:val="22"/>
          <w:szCs w:val="22"/>
          <w:lang w:val="en-GB"/>
        </w:rPr>
        <w:t xml:space="preserve">Wages or salary arising under a contract of </w:t>
      </w:r>
      <w:proofErr w:type="gramStart"/>
      <w:r>
        <w:rPr>
          <w:rFonts w:ascii="Avenir Next" w:hAnsi="Avenir Next" w:cs="Arial"/>
          <w:bCs/>
          <w:sz w:val="22"/>
          <w:szCs w:val="22"/>
          <w:lang w:val="en-GB"/>
        </w:rPr>
        <w:t>employment</w:t>
      </w:r>
      <w:proofErr w:type="gramEnd"/>
    </w:p>
    <w:p w14:paraId="1042EB1A" w14:textId="27D6E5AA" w:rsidR="00B07ADE" w:rsidRDefault="00B07ADE" w:rsidP="00B07ADE">
      <w:pPr>
        <w:pStyle w:val="ListParagraph"/>
        <w:numPr>
          <w:ilvl w:val="0"/>
          <w:numId w:val="19"/>
        </w:numPr>
        <w:jc w:val="both"/>
        <w:rPr>
          <w:rFonts w:ascii="Avenir Next" w:hAnsi="Avenir Next" w:cs="Arial"/>
          <w:bCs/>
          <w:sz w:val="22"/>
          <w:szCs w:val="22"/>
          <w:lang w:val="en-GB"/>
        </w:rPr>
      </w:pPr>
      <w:r>
        <w:rPr>
          <w:rFonts w:ascii="Avenir Next" w:hAnsi="Avenir Next" w:cs="Arial"/>
          <w:bCs/>
          <w:sz w:val="22"/>
          <w:szCs w:val="22"/>
          <w:lang w:val="en-GB"/>
        </w:rPr>
        <w:t xml:space="preserve">Rent incurred during the </w:t>
      </w:r>
      <w:proofErr w:type="gramStart"/>
      <w:r>
        <w:rPr>
          <w:rFonts w:ascii="Avenir Next" w:hAnsi="Avenir Next" w:cs="Arial"/>
          <w:bCs/>
          <w:sz w:val="22"/>
          <w:szCs w:val="22"/>
          <w:lang w:val="en-GB"/>
        </w:rPr>
        <w:t>Moratorium</w:t>
      </w:r>
      <w:proofErr w:type="gramEnd"/>
    </w:p>
    <w:p w14:paraId="6E45D031" w14:textId="2AB39370" w:rsidR="00B07ADE" w:rsidRDefault="00B07ADE" w:rsidP="00B07ADE">
      <w:pPr>
        <w:pStyle w:val="ListParagraph"/>
        <w:numPr>
          <w:ilvl w:val="0"/>
          <w:numId w:val="19"/>
        </w:numPr>
        <w:jc w:val="both"/>
        <w:rPr>
          <w:rFonts w:ascii="Avenir Next" w:hAnsi="Avenir Next" w:cs="Arial"/>
          <w:bCs/>
          <w:sz w:val="22"/>
          <w:szCs w:val="22"/>
          <w:lang w:val="en-GB"/>
        </w:rPr>
      </w:pPr>
      <w:r>
        <w:rPr>
          <w:rFonts w:ascii="Avenir Next" w:hAnsi="Avenir Next" w:cs="Arial"/>
          <w:bCs/>
          <w:sz w:val="22"/>
          <w:szCs w:val="22"/>
          <w:lang w:val="en-GB"/>
        </w:rPr>
        <w:t>Good or services supplied during the Moratorium</w:t>
      </w:r>
      <w:r w:rsidR="00905304">
        <w:rPr>
          <w:rFonts w:ascii="Avenir Next" w:hAnsi="Avenir Next" w:cs="Arial"/>
          <w:bCs/>
          <w:sz w:val="22"/>
          <w:szCs w:val="22"/>
          <w:lang w:val="en-GB"/>
        </w:rPr>
        <w:t>; and</w:t>
      </w:r>
    </w:p>
    <w:p w14:paraId="1F379718" w14:textId="11A0382A" w:rsidR="00905304" w:rsidRDefault="00905304" w:rsidP="00B07ADE">
      <w:pPr>
        <w:pStyle w:val="ListParagraph"/>
        <w:numPr>
          <w:ilvl w:val="0"/>
          <w:numId w:val="19"/>
        </w:numPr>
        <w:jc w:val="both"/>
        <w:rPr>
          <w:rFonts w:ascii="Avenir Next" w:hAnsi="Avenir Next" w:cs="Arial"/>
          <w:bCs/>
          <w:sz w:val="22"/>
          <w:szCs w:val="22"/>
          <w:lang w:val="en-GB"/>
        </w:rPr>
      </w:pPr>
      <w:r>
        <w:rPr>
          <w:rFonts w:ascii="Avenir Next" w:hAnsi="Avenir Next" w:cs="Arial"/>
          <w:bCs/>
          <w:sz w:val="22"/>
          <w:szCs w:val="22"/>
          <w:lang w:val="en-GB"/>
        </w:rPr>
        <w:t>Redundancy payments</w:t>
      </w:r>
    </w:p>
    <w:p w14:paraId="2D20625D" w14:textId="77777777" w:rsidR="00905304" w:rsidRPr="00B07ADE" w:rsidRDefault="00905304" w:rsidP="00905304">
      <w:pPr>
        <w:pStyle w:val="ListParagraph"/>
        <w:ind w:left="1080"/>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4E6A58D5" w:rsidR="00197F24" w:rsidRDefault="00197F24" w:rsidP="00197F24">
      <w:pPr>
        <w:jc w:val="both"/>
        <w:rPr>
          <w:rFonts w:ascii="Avenir Next" w:hAnsi="Avenir Next" w:cs="Arial"/>
          <w:color w:val="7B7B7B" w:themeColor="accent3" w:themeShade="BF"/>
          <w:sz w:val="22"/>
          <w:szCs w:val="22"/>
          <w:lang w:val="en-GB"/>
        </w:rPr>
      </w:pPr>
    </w:p>
    <w:p w14:paraId="5FAE553E" w14:textId="1E10FD3F" w:rsidR="00905304" w:rsidRPr="00643285" w:rsidRDefault="00905304" w:rsidP="00197F24">
      <w:p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A provision in a contract that effectuates automatic termination upon insolvency, known as an ipso facto clause, was historically permitted.  However, many statues have been promulgated to restrict the effect of ipso facto clauses to such a degree that most often they are now void.  This is because an administrator who wishes to operate a business will often need certain contracts to continue </w:t>
      </w:r>
      <w:proofErr w:type="gramStart"/>
      <w:r w:rsidRPr="00643285">
        <w:rPr>
          <w:rFonts w:ascii="Avenir Next" w:hAnsi="Avenir Next" w:cs="Arial"/>
          <w:b/>
          <w:bCs/>
          <w:color w:val="7B7B7B" w:themeColor="accent3" w:themeShade="BF"/>
          <w:sz w:val="22"/>
          <w:szCs w:val="22"/>
          <w:lang w:val="en-GB"/>
        </w:rPr>
        <w:t xml:space="preserve">in </w:t>
      </w:r>
      <w:r w:rsidRPr="00643285">
        <w:rPr>
          <w:rFonts w:ascii="Avenir Next" w:hAnsi="Avenir Next" w:cs="Arial"/>
          <w:b/>
          <w:bCs/>
          <w:color w:val="7B7B7B" w:themeColor="accent3" w:themeShade="BF"/>
          <w:sz w:val="22"/>
          <w:szCs w:val="22"/>
          <w:lang w:val="en-GB"/>
        </w:rPr>
        <w:lastRenderedPageBreak/>
        <w:t>order to</w:t>
      </w:r>
      <w:proofErr w:type="gramEnd"/>
      <w:r w:rsidRPr="00643285">
        <w:rPr>
          <w:rFonts w:ascii="Avenir Next" w:hAnsi="Avenir Next" w:cs="Arial"/>
          <w:b/>
          <w:bCs/>
          <w:color w:val="7B7B7B" w:themeColor="accent3" w:themeShade="BF"/>
          <w:sz w:val="22"/>
          <w:szCs w:val="22"/>
          <w:lang w:val="en-GB"/>
        </w:rPr>
        <w:t xml:space="preserve"> effectively operate.  Consequently, pursuant to 233A of the Insolvency Act 1986, suppliers are not permitted to required payment of pre-administration debts </w:t>
      </w:r>
      <w:proofErr w:type="gramStart"/>
      <w:r w:rsidRPr="00643285">
        <w:rPr>
          <w:rFonts w:ascii="Avenir Next" w:hAnsi="Avenir Next" w:cs="Arial"/>
          <w:b/>
          <w:bCs/>
          <w:color w:val="7B7B7B" w:themeColor="accent3" w:themeShade="BF"/>
          <w:sz w:val="22"/>
          <w:szCs w:val="22"/>
          <w:lang w:val="en-GB"/>
        </w:rPr>
        <w:t>in order to</w:t>
      </w:r>
      <w:proofErr w:type="gramEnd"/>
      <w:r w:rsidRPr="00643285">
        <w:rPr>
          <w:rFonts w:ascii="Avenir Next" w:hAnsi="Avenir Next" w:cs="Arial"/>
          <w:b/>
          <w:bCs/>
          <w:color w:val="7B7B7B" w:themeColor="accent3" w:themeShade="BF"/>
          <w:sz w:val="22"/>
          <w:szCs w:val="22"/>
          <w:lang w:val="en-GB"/>
        </w:rPr>
        <w:t xml:space="preserve"> continue supply and cannot rely on an ipso facto clause to terminate the contract.  Also, pursuant to Section 233B of the 2020 Act, the supplier may not “do any other thing” in relation to the contract as a condition of continuing.  For instance, the supplier cannot raise the prices.  Under the Act, the supplier could require that an administrator personally guarantee payment of any charges incurred during the administration.  However, this is no longer true under the 2020 Act.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3A283EC4" w:rsidR="00197F24" w:rsidRPr="00643285" w:rsidRDefault="00905304" w:rsidP="00197F24">
      <w:p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Under Section 115 of the Act, there are several categories of expenses that </w:t>
      </w:r>
      <w:r w:rsidR="00572549" w:rsidRPr="00643285">
        <w:rPr>
          <w:rFonts w:ascii="Avenir Next" w:hAnsi="Avenir Next" w:cs="Arial"/>
          <w:b/>
          <w:bCs/>
          <w:color w:val="7B7B7B" w:themeColor="accent3" w:themeShade="BF"/>
          <w:sz w:val="22"/>
          <w:szCs w:val="22"/>
          <w:lang w:val="en-GB"/>
        </w:rPr>
        <w:t xml:space="preserve">are paid at the highest level of priority in a liquidation; </w:t>
      </w:r>
      <w:proofErr w:type="gramStart"/>
      <w:r w:rsidR="00572549" w:rsidRPr="00643285">
        <w:rPr>
          <w:rFonts w:ascii="Avenir Next" w:hAnsi="Avenir Next" w:cs="Arial"/>
          <w:b/>
          <w:bCs/>
          <w:color w:val="7B7B7B" w:themeColor="accent3" w:themeShade="BF"/>
          <w:sz w:val="22"/>
          <w:szCs w:val="22"/>
          <w:lang w:val="en-GB"/>
        </w:rPr>
        <w:t>generally</w:t>
      </w:r>
      <w:proofErr w:type="gramEnd"/>
      <w:r w:rsidR="00572549" w:rsidRPr="00643285">
        <w:rPr>
          <w:rFonts w:ascii="Avenir Next" w:hAnsi="Avenir Next" w:cs="Arial"/>
          <w:b/>
          <w:bCs/>
          <w:color w:val="7B7B7B" w:themeColor="accent3" w:themeShade="BF"/>
          <w:sz w:val="22"/>
          <w:szCs w:val="22"/>
          <w:lang w:val="en-GB"/>
        </w:rPr>
        <w:t xml:space="preserve"> these are fees/expenses incurred during the liquidation.  These categories of expenses also have a hierarchy of payment within this highest level; they are paid in the following priority order:</w:t>
      </w:r>
    </w:p>
    <w:p w14:paraId="5CE3F591" w14:textId="4DDCFE1F" w:rsidR="00572549" w:rsidRPr="00643285" w:rsidRDefault="00572549" w:rsidP="00572549">
      <w:pPr>
        <w:pStyle w:val="ListParagraph"/>
        <w:numPr>
          <w:ilvl w:val="0"/>
          <w:numId w:val="20"/>
        </w:num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Expenses properly incurred by liquidator in collecting, preserving or administering the </w:t>
      </w:r>
      <w:proofErr w:type="gramStart"/>
      <w:r w:rsidRPr="00643285">
        <w:rPr>
          <w:rFonts w:ascii="Avenir Next" w:hAnsi="Avenir Next" w:cs="Arial"/>
          <w:b/>
          <w:bCs/>
          <w:color w:val="7B7B7B" w:themeColor="accent3" w:themeShade="BF"/>
          <w:sz w:val="22"/>
          <w:szCs w:val="22"/>
          <w:lang w:val="en-GB"/>
        </w:rPr>
        <w:t>assets;</w:t>
      </w:r>
      <w:proofErr w:type="gramEnd"/>
    </w:p>
    <w:p w14:paraId="589C6218" w14:textId="3C1D2EC8" w:rsidR="00572549" w:rsidRPr="00643285" w:rsidRDefault="00572549" w:rsidP="00572549">
      <w:pPr>
        <w:pStyle w:val="ListParagraph"/>
        <w:numPr>
          <w:ilvl w:val="0"/>
          <w:numId w:val="20"/>
        </w:num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Any security costs by the </w:t>
      </w:r>
      <w:proofErr w:type="gramStart"/>
      <w:r w:rsidRPr="00643285">
        <w:rPr>
          <w:rFonts w:ascii="Avenir Next" w:hAnsi="Avenir Next" w:cs="Arial"/>
          <w:b/>
          <w:bCs/>
          <w:color w:val="7B7B7B" w:themeColor="accent3" w:themeShade="BF"/>
          <w:sz w:val="22"/>
          <w:szCs w:val="22"/>
          <w:lang w:val="en-GB"/>
        </w:rPr>
        <w:t>liquidator;</w:t>
      </w:r>
      <w:proofErr w:type="gramEnd"/>
    </w:p>
    <w:p w14:paraId="63CD8C69" w14:textId="3CE00444" w:rsidR="00572549" w:rsidRPr="00643285" w:rsidRDefault="00572549" w:rsidP="00572549">
      <w:pPr>
        <w:pStyle w:val="ListParagraph"/>
        <w:numPr>
          <w:ilvl w:val="0"/>
          <w:numId w:val="20"/>
        </w:num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Fees/expenses incurred in preparing statement of affairs or </w:t>
      </w:r>
      <w:proofErr w:type="gramStart"/>
      <w:r w:rsidRPr="00643285">
        <w:rPr>
          <w:rFonts w:ascii="Avenir Next" w:hAnsi="Avenir Next" w:cs="Arial"/>
          <w:b/>
          <w:bCs/>
          <w:color w:val="7B7B7B" w:themeColor="accent3" w:themeShade="BF"/>
          <w:sz w:val="22"/>
          <w:szCs w:val="22"/>
          <w:lang w:val="en-GB"/>
        </w:rPr>
        <w:t>accounts;</w:t>
      </w:r>
      <w:proofErr w:type="gramEnd"/>
    </w:p>
    <w:p w14:paraId="0996E361" w14:textId="336FF81B" w:rsidR="00572549" w:rsidRPr="00643285" w:rsidRDefault="00572549" w:rsidP="00572549">
      <w:pPr>
        <w:pStyle w:val="ListParagraph"/>
        <w:numPr>
          <w:ilvl w:val="0"/>
          <w:numId w:val="20"/>
        </w:num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Any necessary disbursements by the liquidator during the winding </w:t>
      </w:r>
      <w:proofErr w:type="gramStart"/>
      <w:r w:rsidRPr="00643285">
        <w:rPr>
          <w:rFonts w:ascii="Avenir Next" w:hAnsi="Avenir Next" w:cs="Arial"/>
          <w:b/>
          <w:bCs/>
          <w:color w:val="7B7B7B" w:themeColor="accent3" w:themeShade="BF"/>
          <w:sz w:val="22"/>
          <w:szCs w:val="22"/>
          <w:lang w:val="en-GB"/>
        </w:rPr>
        <w:t>up;</w:t>
      </w:r>
      <w:proofErr w:type="gramEnd"/>
    </w:p>
    <w:p w14:paraId="036BC778" w14:textId="112F83BE" w:rsidR="00572549" w:rsidRPr="00643285" w:rsidRDefault="00572549" w:rsidP="00572549">
      <w:pPr>
        <w:pStyle w:val="ListParagraph"/>
        <w:numPr>
          <w:ilvl w:val="0"/>
          <w:numId w:val="20"/>
        </w:num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Fees/expenses of anyone employed by liquidator to provide services in the </w:t>
      </w:r>
      <w:proofErr w:type="gramStart"/>
      <w:r w:rsidRPr="00643285">
        <w:rPr>
          <w:rFonts w:ascii="Avenir Next" w:hAnsi="Avenir Next" w:cs="Arial"/>
          <w:b/>
          <w:bCs/>
          <w:color w:val="7B7B7B" w:themeColor="accent3" w:themeShade="BF"/>
          <w:sz w:val="22"/>
          <w:szCs w:val="22"/>
          <w:lang w:val="en-GB"/>
        </w:rPr>
        <w:t>case;</w:t>
      </w:r>
      <w:proofErr w:type="gramEnd"/>
    </w:p>
    <w:p w14:paraId="67033BC1" w14:textId="1C00C46D" w:rsidR="00572549" w:rsidRPr="00643285" w:rsidRDefault="00572549" w:rsidP="00572549">
      <w:pPr>
        <w:pStyle w:val="ListParagraph"/>
        <w:numPr>
          <w:ilvl w:val="0"/>
          <w:numId w:val="20"/>
        </w:num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Fees/expenses of </w:t>
      </w:r>
      <w:proofErr w:type="gramStart"/>
      <w:r w:rsidRPr="00643285">
        <w:rPr>
          <w:rFonts w:ascii="Avenir Next" w:hAnsi="Avenir Next" w:cs="Arial"/>
          <w:b/>
          <w:bCs/>
          <w:color w:val="7B7B7B" w:themeColor="accent3" w:themeShade="BF"/>
          <w:sz w:val="22"/>
          <w:szCs w:val="22"/>
          <w:lang w:val="en-GB"/>
        </w:rPr>
        <w:t>liquidator;</w:t>
      </w:r>
      <w:proofErr w:type="gramEnd"/>
    </w:p>
    <w:p w14:paraId="0F4DDBE9" w14:textId="03F725B5" w:rsidR="00572549" w:rsidRPr="00643285" w:rsidRDefault="00572549" w:rsidP="00572549">
      <w:pPr>
        <w:pStyle w:val="ListParagraph"/>
        <w:numPr>
          <w:ilvl w:val="0"/>
          <w:numId w:val="20"/>
        </w:num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Chargeable gains tax on any sales of </w:t>
      </w:r>
      <w:proofErr w:type="gramStart"/>
      <w:r w:rsidRPr="00643285">
        <w:rPr>
          <w:rFonts w:ascii="Avenir Next" w:hAnsi="Avenir Next" w:cs="Arial"/>
          <w:b/>
          <w:bCs/>
          <w:color w:val="7B7B7B" w:themeColor="accent3" w:themeShade="BF"/>
          <w:sz w:val="22"/>
          <w:szCs w:val="22"/>
          <w:lang w:val="en-GB"/>
        </w:rPr>
        <w:t>assets;</w:t>
      </w:r>
      <w:proofErr w:type="gramEnd"/>
    </w:p>
    <w:p w14:paraId="113951BA" w14:textId="05A71CA4" w:rsidR="00572549" w:rsidRPr="00643285" w:rsidRDefault="00572549" w:rsidP="00572549">
      <w:pPr>
        <w:pStyle w:val="ListParagraph"/>
        <w:numPr>
          <w:ilvl w:val="0"/>
          <w:numId w:val="20"/>
        </w:num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A catchall aimed to include any other expenses properly chargeable as part of the </w:t>
      </w:r>
      <w:proofErr w:type="gramStart"/>
      <w:r w:rsidRPr="00643285">
        <w:rPr>
          <w:rFonts w:ascii="Avenir Next" w:hAnsi="Avenir Next" w:cs="Arial"/>
          <w:b/>
          <w:bCs/>
          <w:color w:val="7B7B7B" w:themeColor="accent3" w:themeShade="BF"/>
          <w:sz w:val="22"/>
          <w:szCs w:val="22"/>
          <w:lang w:val="en-GB"/>
        </w:rPr>
        <w:t>windup</w:t>
      </w:r>
      <w:proofErr w:type="gramEnd"/>
    </w:p>
    <w:p w14:paraId="74DB4C6A" w14:textId="76F50C2E" w:rsidR="00E427CC" w:rsidRPr="00643285" w:rsidRDefault="00E427CC" w:rsidP="00E427CC">
      <w:p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Each of the above categories must be paid in full prior to the next listed category receiving anything and, if the monies are not sufficient, each creditor within the same category will share on a pro rata basis.</w:t>
      </w:r>
    </w:p>
    <w:p w14:paraId="3599FF86" w14:textId="77777777" w:rsidR="00572549" w:rsidRPr="00643285" w:rsidRDefault="00572549" w:rsidP="00572549">
      <w:pPr>
        <w:jc w:val="both"/>
        <w:rPr>
          <w:rFonts w:ascii="Avenir Next" w:hAnsi="Avenir Next" w:cs="Arial"/>
          <w:b/>
          <w:bCs/>
          <w:color w:val="7B7B7B" w:themeColor="accent3" w:themeShade="BF"/>
          <w:sz w:val="22"/>
          <w:szCs w:val="22"/>
          <w:lang w:val="en-GB"/>
        </w:rPr>
      </w:pPr>
    </w:p>
    <w:p w14:paraId="22ED0E2C" w14:textId="26ABED5E" w:rsidR="00572549" w:rsidRPr="00643285" w:rsidRDefault="00572549" w:rsidP="00572549">
      <w:p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Once </w:t>
      </w:r>
      <w:proofErr w:type="gramStart"/>
      <w:r w:rsidRPr="00643285">
        <w:rPr>
          <w:rFonts w:ascii="Avenir Next" w:hAnsi="Avenir Next" w:cs="Arial"/>
          <w:b/>
          <w:bCs/>
          <w:color w:val="7B7B7B" w:themeColor="accent3" w:themeShade="BF"/>
          <w:sz w:val="22"/>
          <w:szCs w:val="22"/>
          <w:lang w:val="en-GB"/>
        </w:rPr>
        <w:t>all of</w:t>
      </w:r>
      <w:proofErr w:type="gramEnd"/>
      <w:r w:rsidRPr="00643285">
        <w:rPr>
          <w:rFonts w:ascii="Avenir Next" w:hAnsi="Avenir Next" w:cs="Arial"/>
          <w:b/>
          <w:bCs/>
          <w:color w:val="7B7B7B" w:themeColor="accent3" w:themeShade="BF"/>
          <w:sz w:val="22"/>
          <w:szCs w:val="22"/>
          <w:lang w:val="en-GB"/>
        </w:rPr>
        <w:t xml:space="preserve"> the</w:t>
      </w:r>
      <w:r w:rsidR="00E427CC" w:rsidRPr="00643285">
        <w:rPr>
          <w:rFonts w:ascii="Avenir Next" w:hAnsi="Avenir Next" w:cs="Arial"/>
          <w:b/>
          <w:bCs/>
          <w:color w:val="7B7B7B" w:themeColor="accent3" w:themeShade="BF"/>
          <w:sz w:val="22"/>
          <w:szCs w:val="22"/>
          <w:lang w:val="en-GB"/>
        </w:rPr>
        <w:t xml:space="preserve"> above</w:t>
      </w:r>
      <w:r w:rsidRPr="00643285">
        <w:rPr>
          <w:rFonts w:ascii="Avenir Next" w:hAnsi="Avenir Next" w:cs="Arial"/>
          <w:b/>
          <w:bCs/>
          <w:color w:val="7B7B7B" w:themeColor="accent3" w:themeShade="BF"/>
          <w:sz w:val="22"/>
          <w:szCs w:val="22"/>
          <w:lang w:val="en-GB"/>
        </w:rPr>
        <w:t xml:space="preserve"> liquidation expenses are paid, the next category of payment is known as the “preferential creditors”; which are primarily composes of a monetarily limited wage claim for employees and some tax liabilities.  Preferential debts are listed in Schedule 6 of the Act and are divided into two types:  ordinary and secondary.  Ordinary debts are paid first and all debts within that </w:t>
      </w:r>
      <w:proofErr w:type="gramStart"/>
      <w:r w:rsidRPr="00643285">
        <w:rPr>
          <w:rFonts w:ascii="Avenir Next" w:hAnsi="Avenir Next" w:cs="Arial"/>
          <w:b/>
          <w:bCs/>
          <w:color w:val="7B7B7B" w:themeColor="accent3" w:themeShade="BF"/>
          <w:sz w:val="22"/>
          <w:szCs w:val="22"/>
          <w:lang w:val="en-GB"/>
        </w:rPr>
        <w:t>type</w:t>
      </w:r>
      <w:proofErr w:type="gramEnd"/>
      <w:r w:rsidRPr="00643285">
        <w:rPr>
          <w:rFonts w:ascii="Avenir Next" w:hAnsi="Avenir Next" w:cs="Arial"/>
          <w:b/>
          <w:bCs/>
          <w:color w:val="7B7B7B" w:themeColor="accent3" w:themeShade="BF"/>
          <w:sz w:val="22"/>
          <w:szCs w:val="22"/>
          <w:lang w:val="en-GB"/>
        </w:rPr>
        <w:t xml:space="preserve"> share on a pro rata basis.   Then, if the ordinary preferential debts are paid in full, the secondary preferential debts will share, also on a pro rata basis, unless/until they are paid in full.</w:t>
      </w:r>
    </w:p>
    <w:p w14:paraId="55FECFFC" w14:textId="77777777" w:rsidR="00572549" w:rsidRPr="00643285" w:rsidRDefault="00572549" w:rsidP="00572549">
      <w:pPr>
        <w:jc w:val="both"/>
        <w:rPr>
          <w:rFonts w:ascii="Avenir Next" w:hAnsi="Avenir Next" w:cs="Arial"/>
          <w:b/>
          <w:bCs/>
          <w:color w:val="7B7B7B" w:themeColor="accent3" w:themeShade="BF"/>
          <w:sz w:val="22"/>
          <w:szCs w:val="22"/>
          <w:lang w:val="en-GB"/>
        </w:rPr>
      </w:pPr>
    </w:p>
    <w:p w14:paraId="18DD8788" w14:textId="19280DCC" w:rsidR="00572549" w:rsidRPr="00643285" w:rsidRDefault="00572549" w:rsidP="00572549">
      <w:p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The following debts are ordinary preferential debts:</w:t>
      </w:r>
    </w:p>
    <w:p w14:paraId="6EB988E8" w14:textId="4F992751" w:rsidR="00572549" w:rsidRPr="00643285" w:rsidRDefault="00E427CC" w:rsidP="00572549">
      <w:pPr>
        <w:pStyle w:val="ListParagraph"/>
        <w:numPr>
          <w:ilvl w:val="0"/>
          <w:numId w:val="21"/>
        </w:num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Any amounts owed for employee’s contribution to pension scheme, incurred within 4 </w:t>
      </w:r>
      <w:proofErr w:type="gramStart"/>
      <w:r w:rsidRPr="00643285">
        <w:rPr>
          <w:rFonts w:ascii="Avenir Next" w:hAnsi="Avenir Next" w:cs="Arial"/>
          <w:b/>
          <w:bCs/>
          <w:color w:val="7B7B7B" w:themeColor="accent3" w:themeShade="BF"/>
          <w:sz w:val="22"/>
          <w:szCs w:val="22"/>
          <w:lang w:val="en-GB"/>
        </w:rPr>
        <w:t>months  prior</w:t>
      </w:r>
      <w:proofErr w:type="gramEnd"/>
      <w:r w:rsidRPr="00643285">
        <w:rPr>
          <w:rFonts w:ascii="Avenir Next" w:hAnsi="Avenir Next" w:cs="Arial"/>
          <w:b/>
          <w:bCs/>
          <w:color w:val="7B7B7B" w:themeColor="accent3" w:themeShade="BF"/>
          <w:sz w:val="22"/>
          <w:szCs w:val="22"/>
          <w:lang w:val="en-GB"/>
        </w:rPr>
        <w:t xml:space="preserve"> to commencement;</w:t>
      </w:r>
    </w:p>
    <w:p w14:paraId="53714C04" w14:textId="5884C7FC" w:rsidR="00E427CC" w:rsidRPr="00643285" w:rsidRDefault="00E427CC" w:rsidP="00572549">
      <w:pPr>
        <w:pStyle w:val="ListParagraph"/>
        <w:numPr>
          <w:ilvl w:val="0"/>
          <w:numId w:val="21"/>
        </w:num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Any amounts owed for the employer’s </w:t>
      </w:r>
      <w:proofErr w:type="gramStart"/>
      <w:r w:rsidRPr="00643285">
        <w:rPr>
          <w:rFonts w:ascii="Avenir Next" w:hAnsi="Avenir Next" w:cs="Arial"/>
          <w:b/>
          <w:bCs/>
          <w:color w:val="7B7B7B" w:themeColor="accent3" w:themeShade="BF"/>
          <w:sz w:val="22"/>
          <w:szCs w:val="22"/>
          <w:lang w:val="en-GB"/>
        </w:rPr>
        <w:t>contribution  to</w:t>
      </w:r>
      <w:proofErr w:type="gramEnd"/>
      <w:r w:rsidRPr="00643285">
        <w:rPr>
          <w:rFonts w:ascii="Avenir Next" w:hAnsi="Avenir Next" w:cs="Arial"/>
          <w:b/>
          <w:bCs/>
          <w:color w:val="7B7B7B" w:themeColor="accent3" w:themeShade="BF"/>
          <w:sz w:val="22"/>
          <w:szCs w:val="22"/>
          <w:lang w:val="en-GB"/>
        </w:rPr>
        <w:t xml:space="preserve"> pension scheme, incurred within 12 months;</w:t>
      </w:r>
    </w:p>
    <w:p w14:paraId="7F70D5B6" w14:textId="02813586" w:rsidR="00E427CC" w:rsidRPr="00643285" w:rsidRDefault="00E427CC" w:rsidP="00572549">
      <w:pPr>
        <w:pStyle w:val="ListParagraph"/>
        <w:numPr>
          <w:ilvl w:val="0"/>
          <w:numId w:val="21"/>
        </w:num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Wages owed and incurred within 4 months, up to maximum of GBP 800</w:t>
      </w:r>
    </w:p>
    <w:p w14:paraId="38B546ED" w14:textId="7C226153" w:rsidR="00E427CC" w:rsidRPr="00643285" w:rsidRDefault="00E427CC" w:rsidP="00572549">
      <w:pPr>
        <w:pStyle w:val="ListParagraph"/>
        <w:numPr>
          <w:ilvl w:val="0"/>
          <w:numId w:val="21"/>
        </w:num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Accrued holiday remuneration for any </w:t>
      </w:r>
      <w:proofErr w:type="gramStart"/>
      <w:r w:rsidRPr="00643285">
        <w:rPr>
          <w:rFonts w:ascii="Avenir Next" w:hAnsi="Avenir Next" w:cs="Arial"/>
          <w:b/>
          <w:bCs/>
          <w:color w:val="7B7B7B" w:themeColor="accent3" w:themeShade="BF"/>
          <w:sz w:val="22"/>
          <w:szCs w:val="22"/>
          <w:lang w:val="en-GB"/>
        </w:rPr>
        <w:t>period</w:t>
      </w:r>
      <w:proofErr w:type="gramEnd"/>
    </w:p>
    <w:p w14:paraId="6FDB81AA" w14:textId="390A3ECE" w:rsidR="00E427CC" w:rsidRPr="00643285" w:rsidRDefault="00E427CC" w:rsidP="00572549">
      <w:pPr>
        <w:pStyle w:val="ListParagraph"/>
        <w:numPr>
          <w:ilvl w:val="0"/>
          <w:numId w:val="21"/>
        </w:num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Reimbursement claims for lenders for wages paid by them, to the same extent as listed </w:t>
      </w:r>
      <w:proofErr w:type="gramStart"/>
      <w:r w:rsidRPr="00643285">
        <w:rPr>
          <w:rFonts w:ascii="Avenir Next" w:hAnsi="Avenir Next" w:cs="Arial"/>
          <w:b/>
          <w:bCs/>
          <w:color w:val="7B7B7B" w:themeColor="accent3" w:themeShade="BF"/>
          <w:sz w:val="22"/>
          <w:szCs w:val="22"/>
          <w:lang w:val="en-GB"/>
        </w:rPr>
        <w:t>above</w:t>
      </w:r>
      <w:proofErr w:type="gramEnd"/>
    </w:p>
    <w:p w14:paraId="0FB3C0D8" w14:textId="5FDC4944" w:rsidR="00E427CC" w:rsidRPr="00643285" w:rsidRDefault="00E427CC" w:rsidP="00572549">
      <w:pPr>
        <w:pStyle w:val="ListParagraph"/>
        <w:numPr>
          <w:ilvl w:val="0"/>
          <w:numId w:val="21"/>
        </w:num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A few other special interest charges (levies on production of coal, claims under Reserve Forces, certain limited financial institution deposits)</w:t>
      </w:r>
    </w:p>
    <w:p w14:paraId="6E5814A3" w14:textId="77777777" w:rsidR="00E427CC" w:rsidRPr="00643285" w:rsidRDefault="00E427CC" w:rsidP="00E427CC">
      <w:pPr>
        <w:jc w:val="both"/>
        <w:rPr>
          <w:rFonts w:ascii="Avenir Next" w:hAnsi="Avenir Next" w:cs="Arial"/>
          <w:b/>
          <w:bCs/>
          <w:color w:val="7B7B7B" w:themeColor="accent3" w:themeShade="BF"/>
          <w:sz w:val="22"/>
          <w:szCs w:val="22"/>
          <w:lang w:val="en-GB"/>
        </w:rPr>
      </w:pPr>
    </w:p>
    <w:p w14:paraId="69250075" w14:textId="77777777" w:rsidR="00106B2A" w:rsidRPr="00643285" w:rsidRDefault="00E427CC" w:rsidP="00E427CC">
      <w:pPr>
        <w:jc w:val="both"/>
        <w:rPr>
          <w:rFonts w:ascii="Avenir Next" w:hAnsi="Avenir Next" w:cs="Arial"/>
          <w:b/>
          <w:bCs/>
          <w:color w:val="7B7B7B" w:themeColor="accent3" w:themeShade="BF"/>
          <w:sz w:val="22"/>
          <w:szCs w:val="22"/>
          <w:lang w:val="en-GB"/>
        </w:rPr>
      </w:pPr>
      <w:proofErr w:type="gramStart"/>
      <w:r w:rsidRPr="00643285">
        <w:rPr>
          <w:rFonts w:ascii="Avenir Next" w:hAnsi="Avenir Next" w:cs="Arial"/>
          <w:b/>
          <w:bCs/>
          <w:color w:val="7B7B7B" w:themeColor="accent3" w:themeShade="BF"/>
          <w:sz w:val="22"/>
          <w:szCs w:val="22"/>
          <w:lang w:val="en-GB"/>
        </w:rPr>
        <w:t>The  secondary</w:t>
      </w:r>
      <w:proofErr w:type="gramEnd"/>
      <w:r w:rsidRPr="00643285">
        <w:rPr>
          <w:rFonts w:ascii="Avenir Next" w:hAnsi="Avenir Next" w:cs="Arial"/>
          <w:b/>
          <w:bCs/>
          <w:color w:val="7B7B7B" w:themeColor="accent3" w:themeShade="BF"/>
          <w:sz w:val="22"/>
          <w:szCs w:val="22"/>
          <w:lang w:val="en-GB"/>
        </w:rPr>
        <w:t xml:space="preserve"> preferential debts are comprised of additional financial institution deposits (those over the limit of the ordinary preferential debts</w:t>
      </w:r>
      <w:r w:rsidR="00106B2A" w:rsidRPr="00643285">
        <w:rPr>
          <w:rFonts w:ascii="Avenir Next" w:hAnsi="Avenir Next" w:cs="Arial"/>
          <w:b/>
          <w:bCs/>
          <w:color w:val="7B7B7B" w:themeColor="accent3" w:themeShade="BF"/>
          <w:sz w:val="22"/>
          <w:szCs w:val="22"/>
          <w:lang w:val="en-GB"/>
        </w:rPr>
        <w:t xml:space="preserve"> and from banks outside of the UK) and various tax deductions, VAT payments and student loan repayments.</w:t>
      </w:r>
    </w:p>
    <w:p w14:paraId="5BFAFF3E" w14:textId="77777777" w:rsidR="00106B2A" w:rsidRPr="00643285" w:rsidRDefault="00106B2A" w:rsidP="00E427CC">
      <w:pPr>
        <w:jc w:val="both"/>
        <w:rPr>
          <w:rFonts w:ascii="Avenir Next" w:hAnsi="Avenir Next" w:cs="Arial"/>
          <w:b/>
          <w:bCs/>
          <w:color w:val="7B7B7B" w:themeColor="accent3" w:themeShade="BF"/>
          <w:sz w:val="22"/>
          <w:szCs w:val="22"/>
          <w:lang w:val="en-GB"/>
        </w:rPr>
      </w:pPr>
    </w:p>
    <w:p w14:paraId="3AA5500D" w14:textId="77777777" w:rsidR="00106B2A" w:rsidRPr="00643285" w:rsidRDefault="00106B2A" w:rsidP="00E427CC">
      <w:p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If there are still funds left in the estate after payment of the liquidation expenses claims, the ordinary preferential debts and the secondary preferential debts, the next category of payment is to the floating charge holder.  If there is more than one floating charge holder, the one that was created first gets the priority of payment.  Also, before any payment can be made to a floating charge holder, the liquidator needs to apply Section 176A of the Act if the floating charge was created on or after 9/15/03.  Section 176A requires that a percentage of the “net property” (the amount remaining after payment of the liquidation and preferential debts) be provided to unsecured creditors, either 50% if the net property is less than or equal to 10,000 GBP (unless the liquidator deems this disproportionate) or the sum of 50% of the first 10,000 GBP plus 20% of excess above 10,000 GBP (up to GBP 800,000).  Also, the floating lien creditor cannot share in the “carved out” distribution to unsecured creditors.</w:t>
      </w:r>
    </w:p>
    <w:p w14:paraId="665C17E0" w14:textId="77777777" w:rsidR="00106B2A" w:rsidRPr="00643285" w:rsidRDefault="00106B2A" w:rsidP="00E427CC">
      <w:pPr>
        <w:jc w:val="both"/>
        <w:rPr>
          <w:rFonts w:ascii="Avenir Next" w:hAnsi="Avenir Next" w:cs="Arial"/>
          <w:b/>
          <w:bCs/>
          <w:color w:val="7B7B7B" w:themeColor="accent3" w:themeShade="BF"/>
          <w:sz w:val="22"/>
          <w:szCs w:val="22"/>
          <w:lang w:val="en-GB"/>
        </w:rPr>
      </w:pPr>
    </w:p>
    <w:p w14:paraId="22E1A1A9" w14:textId="77777777" w:rsidR="00106B2A" w:rsidRPr="00643285" w:rsidRDefault="00106B2A" w:rsidP="00E427CC">
      <w:p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Next, unsecured creditors are </w:t>
      </w:r>
      <w:proofErr w:type="gramStart"/>
      <w:r w:rsidRPr="00643285">
        <w:rPr>
          <w:rFonts w:ascii="Avenir Next" w:hAnsi="Avenir Next" w:cs="Arial"/>
          <w:b/>
          <w:bCs/>
          <w:color w:val="7B7B7B" w:themeColor="accent3" w:themeShade="BF"/>
          <w:sz w:val="22"/>
          <w:szCs w:val="22"/>
          <w:lang w:val="en-GB"/>
        </w:rPr>
        <w:t>paid, if</w:t>
      </w:r>
      <w:proofErr w:type="gramEnd"/>
      <w:r w:rsidRPr="00643285">
        <w:rPr>
          <w:rFonts w:ascii="Avenir Next" w:hAnsi="Avenir Next" w:cs="Arial"/>
          <w:b/>
          <w:bCs/>
          <w:color w:val="7B7B7B" w:themeColor="accent3" w:themeShade="BF"/>
          <w:sz w:val="22"/>
          <w:szCs w:val="22"/>
          <w:lang w:val="en-GB"/>
        </w:rPr>
        <w:t xml:space="preserve"> there is anything left.  And finally, any surplus is distributed to the shareholders in proportion to their shares held.</w:t>
      </w:r>
    </w:p>
    <w:p w14:paraId="375360BB" w14:textId="77777777" w:rsidR="00106B2A" w:rsidRPr="00643285" w:rsidRDefault="00106B2A" w:rsidP="00E427CC">
      <w:pPr>
        <w:jc w:val="both"/>
        <w:rPr>
          <w:rFonts w:ascii="Avenir Next" w:hAnsi="Avenir Next" w:cs="Arial"/>
          <w:b/>
          <w:bCs/>
          <w:color w:val="7B7B7B" w:themeColor="accent3" w:themeShade="BF"/>
          <w:sz w:val="22"/>
          <w:szCs w:val="22"/>
          <w:lang w:val="en-GB"/>
        </w:rPr>
      </w:pPr>
    </w:p>
    <w:p w14:paraId="2FA0BC83" w14:textId="3093CFF0" w:rsidR="00E427CC" w:rsidRPr="00643285" w:rsidRDefault="00106B2A" w:rsidP="00E427CC">
      <w:p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If a Company has been subject to a Moratorium under Part 1A of the Insolvency Act 1986 during the </w:t>
      </w:r>
      <w:proofErr w:type="gramStart"/>
      <w:r w:rsidRPr="00643285">
        <w:rPr>
          <w:rFonts w:ascii="Avenir Next" w:hAnsi="Avenir Next" w:cs="Arial"/>
          <w:b/>
          <w:bCs/>
          <w:color w:val="7B7B7B" w:themeColor="accent3" w:themeShade="BF"/>
          <w:sz w:val="22"/>
          <w:szCs w:val="22"/>
          <w:lang w:val="en-GB"/>
        </w:rPr>
        <w:t>12 week</w:t>
      </w:r>
      <w:proofErr w:type="gramEnd"/>
      <w:r w:rsidRPr="00643285">
        <w:rPr>
          <w:rFonts w:ascii="Avenir Next" w:hAnsi="Avenir Next" w:cs="Arial"/>
          <w:b/>
          <w:bCs/>
          <w:color w:val="7B7B7B" w:themeColor="accent3" w:themeShade="BF"/>
          <w:sz w:val="22"/>
          <w:szCs w:val="22"/>
          <w:lang w:val="en-GB"/>
        </w:rPr>
        <w:t xml:space="preserve"> period prior to commencement of the liquidation, the priority scheme mentioned above may vary significantly.  </w:t>
      </w:r>
      <w:r w:rsidR="008F53C3" w:rsidRPr="00643285">
        <w:rPr>
          <w:rFonts w:ascii="Avenir Next" w:hAnsi="Avenir Next" w:cs="Arial"/>
          <w:b/>
          <w:bCs/>
          <w:color w:val="7B7B7B" w:themeColor="accent3" w:themeShade="BF"/>
          <w:sz w:val="22"/>
          <w:szCs w:val="22"/>
          <w:lang w:val="en-GB"/>
        </w:rPr>
        <w:t xml:space="preserve">This is because certain unpaid pre-Moratorium debts that are not subject to the “payment holiday” are afforded a “super priority” in a subsequent liquidation.  So, for instance, unpaid debts to employees </w:t>
      </w:r>
      <w:r w:rsidR="00783EAC" w:rsidRPr="00643285">
        <w:rPr>
          <w:rFonts w:ascii="Avenir Next" w:hAnsi="Avenir Next" w:cs="Arial"/>
          <w:b/>
          <w:bCs/>
          <w:color w:val="7B7B7B" w:themeColor="accent3" w:themeShade="BF"/>
          <w:sz w:val="22"/>
          <w:szCs w:val="22"/>
          <w:lang w:val="en-GB"/>
        </w:rPr>
        <w:t xml:space="preserve">are paid in the subsequent liquidation at a higher level of priority than even the liquidator’s fees and expenses.  Similarly, unsecured or secured pre-moratorium bank debt, which falls within the “financial services” exception to the payment holiday, will also normally acquire a super priority (unless the debt came due </w:t>
      </w:r>
      <w:proofErr w:type="gramStart"/>
      <w:r w:rsidR="00783EAC" w:rsidRPr="00643285">
        <w:rPr>
          <w:rFonts w:ascii="Avenir Next" w:hAnsi="Avenir Next" w:cs="Arial"/>
          <w:b/>
          <w:bCs/>
          <w:color w:val="7B7B7B" w:themeColor="accent3" w:themeShade="BF"/>
          <w:sz w:val="22"/>
          <w:szCs w:val="22"/>
          <w:lang w:val="en-GB"/>
        </w:rPr>
        <w:t>as a result of</w:t>
      </w:r>
      <w:proofErr w:type="gramEnd"/>
      <w:r w:rsidR="00783EAC" w:rsidRPr="00643285">
        <w:rPr>
          <w:rFonts w:ascii="Avenir Next" w:hAnsi="Avenir Next" w:cs="Arial"/>
          <w:b/>
          <w:bCs/>
          <w:color w:val="7B7B7B" w:themeColor="accent3" w:themeShade="BF"/>
          <w:sz w:val="22"/>
          <w:szCs w:val="22"/>
          <w:lang w:val="en-GB"/>
        </w:rPr>
        <w:t xml:space="preserve"> an acceleration or early termination provision).</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74550ED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w:t>
      </w:r>
      <w:proofErr w:type="gramStart"/>
      <w:r w:rsidRPr="006925C1">
        <w:rPr>
          <w:rFonts w:ascii="Avenir Next" w:hAnsi="Avenir Next" w:cs="Arial"/>
          <w:sz w:val="22"/>
          <w:szCs w:val="22"/>
        </w:rPr>
        <w:t xml:space="preserve">to </w:t>
      </w:r>
      <w:r w:rsidR="00572549">
        <w:rPr>
          <w:rFonts w:ascii="Avenir Next" w:hAnsi="Avenir Next" w:cs="Arial"/>
          <w:sz w:val="22"/>
          <w:szCs w:val="22"/>
        </w:rPr>
        <w:t xml:space="preserve"> </w:t>
      </w:r>
      <w:r w:rsidRPr="006925C1">
        <w:rPr>
          <w:rFonts w:ascii="Avenir Next" w:hAnsi="Avenir Next" w:cs="Arial"/>
          <w:sz w:val="22"/>
          <w:szCs w:val="22"/>
        </w:rPr>
        <w:t>prevent</w:t>
      </w:r>
      <w:proofErr w:type="gramEnd"/>
      <w:r w:rsidRPr="006925C1">
        <w:rPr>
          <w:rFonts w:ascii="Avenir Next" w:hAnsi="Avenir Next" w:cs="Arial"/>
          <w:sz w:val="22"/>
          <w:szCs w:val="22"/>
        </w:rPr>
        <w:t xml:space="preserve">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lastRenderedPageBreak/>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Default="007E2919" w:rsidP="007E2919">
      <w:pPr>
        <w:rPr>
          <w:rFonts w:ascii="Avenir Next" w:hAnsi="Avenir Next" w:cs="Arial"/>
          <w:b/>
          <w:sz w:val="22"/>
          <w:szCs w:val="22"/>
        </w:rPr>
      </w:pPr>
    </w:p>
    <w:p w14:paraId="6269A142" w14:textId="19592ABE" w:rsidR="00783EAC" w:rsidRDefault="00783EAC" w:rsidP="007E2919">
      <w:pPr>
        <w:rPr>
          <w:rFonts w:ascii="Avenir Next" w:hAnsi="Avenir Next" w:cs="Arial"/>
          <w:bCs/>
          <w:sz w:val="22"/>
          <w:szCs w:val="22"/>
        </w:rPr>
      </w:pPr>
      <w:r>
        <w:rPr>
          <w:rFonts w:ascii="Avenir Next" w:hAnsi="Avenir Next" w:cs="Arial"/>
          <w:bCs/>
          <w:sz w:val="22"/>
          <w:szCs w:val="22"/>
        </w:rPr>
        <w:t xml:space="preserve">Section 245 of the Act applies to Ambitus Bank’s floating charge.  Section 245 invalidates some floating charges if they were granted for no new consideration.  In other words, a bank cannot retain a floating </w:t>
      </w:r>
      <w:proofErr w:type="gramStart"/>
      <w:r>
        <w:rPr>
          <w:rFonts w:ascii="Avenir Next" w:hAnsi="Avenir Next" w:cs="Arial"/>
          <w:bCs/>
          <w:sz w:val="22"/>
          <w:szCs w:val="22"/>
        </w:rPr>
        <w:t>lien</w:t>
      </w:r>
      <w:proofErr w:type="gramEnd"/>
      <w:r>
        <w:rPr>
          <w:rFonts w:ascii="Avenir Next" w:hAnsi="Avenir Next" w:cs="Arial"/>
          <w:bCs/>
          <w:sz w:val="22"/>
          <w:szCs w:val="22"/>
        </w:rPr>
        <w:t xml:space="preserve"> which was granted without providing any new money.  The application of section 245 requires that the new loan took place within a certain </w:t>
      </w:r>
      <w:proofErr w:type="gramStart"/>
      <w:r>
        <w:rPr>
          <w:rFonts w:ascii="Avenir Next" w:hAnsi="Avenir Next" w:cs="Arial"/>
          <w:bCs/>
          <w:sz w:val="22"/>
          <w:szCs w:val="22"/>
        </w:rPr>
        <w:t>period of time</w:t>
      </w:r>
      <w:proofErr w:type="gramEnd"/>
      <w:r>
        <w:rPr>
          <w:rFonts w:ascii="Avenir Next" w:hAnsi="Avenir Next" w:cs="Arial"/>
          <w:bCs/>
          <w:sz w:val="22"/>
          <w:szCs w:val="22"/>
        </w:rPr>
        <w:t xml:space="preserve"> prior to the “onset of insolvency” and that, at that time the company was either unable to pay its debts or became unable to pay as a result of the transaction.</w:t>
      </w:r>
    </w:p>
    <w:p w14:paraId="27D48856" w14:textId="77777777" w:rsidR="00783EAC" w:rsidRDefault="00783EAC" w:rsidP="007E2919">
      <w:pPr>
        <w:rPr>
          <w:rFonts w:ascii="Avenir Next" w:hAnsi="Avenir Next" w:cs="Arial"/>
          <w:bCs/>
          <w:sz w:val="22"/>
          <w:szCs w:val="22"/>
        </w:rPr>
      </w:pPr>
    </w:p>
    <w:p w14:paraId="68D5E9CB" w14:textId="692BD211" w:rsidR="00783EAC" w:rsidRDefault="00783EAC" w:rsidP="007E2919">
      <w:pPr>
        <w:rPr>
          <w:rFonts w:ascii="Avenir Next" w:hAnsi="Avenir Next" w:cs="Arial"/>
          <w:bCs/>
          <w:sz w:val="22"/>
          <w:szCs w:val="22"/>
        </w:rPr>
      </w:pPr>
      <w:r>
        <w:rPr>
          <w:rFonts w:ascii="Avenir Next" w:hAnsi="Avenir Next" w:cs="Arial"/>
          <w:bCs/>
          <w:sz w:val="22"/>
          <w:szCs w:val="22"/>
        </w:rPr>
        <w:t xml:space="preserve">In our facts, it does not appear that Ambitus Bank </w:t>
      </w:r>
      <w:proofErr w:type="gramStart"/>
      <w:r>
        <w:rPr>
          <w:rFonts w:ascii="Avenir Next" w:hAnsi="Avenir Next" w:cs="Arial"/>
          <w:bCs/>
          <w:sz w:val="22"/>
          <w:szCs w:val="22"/>
        </w:rPr>
        <w:t>is connected with</w:t>
      </w:r>
      <w:proofErr w:type="gramEnd"/>
      <w:r>
        <w:rPr>
          <w:rFonts w:ascii="Avenir Next" w:hAnsi="Avenir Next" w:cs="Arial"/>
          <w:bCs/>
          <w:sz w:val="22"/>
          <w:szCs w:val="22"/>
        </w:rPr>
        <w:t xml:space="preserve"> the company.  Therefore, the applicable reach back period is within 12 months prior to the “onset of insolvency”.  Under section 129 of the Act, the liquidation is deemed to have </w:t>
      </w:r>
      <w:proofErr w:type="gramStart"/>
      <w:r>
        <w:rPr>
          <w:rFonts w:ascii="Avenir Next" w:hAnsi="Avenir Next" w:cs="Arial"/>
          <w:bCs/>
          <w:sz w:val="22"/>
          <w:szCs w:val="22"/>
        </w:rPr>
        <w:t>commenced  as</w:t>
      </w:r>
      <w:proofErr w:type="gramEnd"/>
      <w:r>
        <w:rPr>
          <w:rFonts w:ascii="Avenir Next" w:hAnsi="Avenir Next" w:cs="Arial"/>
          <w:bCs/>
          <w:sz w:val="22"/>
          <w:szCs w:val="22"/>
        </w:rPr>
        <w:t xml:space="preserve"> of the date of the petition, not the wind up order.  In our facts then, the onset of insolvency should be the date of the petition, January 13, 2024.  Since the debenture was provided </w:t>
      </w:r>
      <w:proofErr w:type="gramStart"/>
      <w:r>
        <w:rPr>
          <w:rFonts w:ascii="Avenir Next" w:hAnsi="Avenir Next" w:cs="Arial"/>
          <w:bCs/>
          <w:sz w:val="22"/>
          <w:szCs w:val="22"/>
        </w:rPr>
        <w:t>on</w:t>
      </w:r>
      <w:proofErr w:type="gramEnd"/>
      <w:r>
        <w:rPr>
          <w:rFonts w:ascii="Avenir Next" w:hAnsi="Avenir Next" w:cs="Arial"/>
          <w:bCs/>
          <w:sz w:val="22"/>
          <w:szCs w:val="22"/>
        </w:rPr>
        <w:t xml:space="preserve"> June 2023, this would meet the 12 month requirement and therefore the </w:t>
      </w:r>
      <w:proofErr w:type="gramStart"/>
      <w:r>
        <w:rPr>
          <w:rFonts w:ascii="Avenir Next" w:hAnsi="Avenir Next" w:cs="Arial"/>
          <w:bCs/>
          <w:sz w:val="22"/>
          <w:szCs w:val="22"/>
        </w:rPr>
        <w:t>lien</w:t>
      </w:r>
      <w:proofErr w:type="gramEnd"/>
      <w:r>
        <w:rPr>
          <w:rFonts w:ascii="Avenir Next" w:hAnsi="Avenir Next" w:cs="Arial"/>
          <w:bCs/>
          <w:sz w:val="22"/>
          <w:szCs w:val="22"/>
        </w:rPr>
        <w:t xml:space="preserve"> should be avoided.</w:t>
      </w:r>
    </w:p>
    <w:p w14:paraId="60AF75D9" w14:textId="77777777" w:rsidR="00783EAC" w:rsidRDefault="00783EAC" w:rsidP="007E2919">
      <w:pPr>
        <w:rPr>
          <w:rFonts w:ascii="Avenir Next" w:hAnsi="Avenir Next" w:cs="Arial"/>
          <w:bCs/>
          <w:sz w:val="22"/>
          <w:szCs w:val="22"/>
        </w:rPr>
      </w:pPr>
    </w:p>
    <w:p w14:paraId="78E12B4D" w14:textId="5126C585" w:rsidR="00783EAC" w:rsidRDefault="00783EAC" w:rsidP="007E2919">
      <w:pPr>
        <w:rPr>
          <w:rFonts w:ascii="Avenir Next" w:hAnsi="Avenir Next" w:cs="Arial"/>
          <w:bCs/>
          <w:sz w:val="22"/>
          <w:szCs w:val="22"/>
        </w:rPr>
      </w:pPr>
      <w:r>
        <w:rPr>
          <w:rFonts w:ascii="Avenir Next" w:hAnsi="Avenir Next" w:cs="Arial"/>
          <w:bCs/>
          <w:sz w:val="22"/>
          <w:szCs w:val="22"/>
        </w:rPr>
        <w:t xml:space="preserve">The Bank could try to argue that the company wasn’t insolvent as of June 2023 under either the balance sheet or cash flow definitions of insolvency (See Section 123 of the Act).  Essentially, the granting of the floating charge would be invalid if the Debtor either could not pay his debts as they came due at the time the </w:t>
      </w:r>
      <w:proofErr w:type="gramStart"/>
      <w:r>
        <w:rPr>
          <w:rFonts w:ascii="Avenir Next" w:hAnsi="Avenir Next" w:cs="Arial"/>
          <w:bCs/>
          <w:sz w:val="22"/>
          <w:szCs w:val="22"/>
        </w:rPr>
        <w:t>lien</w:t>
      </w:r>
      <w:proofErr w:type="gramEnd"/>
      <w:r>
        <w:rPr>
          <w:rFonts w:ascii="Avenir Next" w:hAnsi="Avenir Next" w:cs="Arial"/>
          <w:bCs/>
          <w:sz w:val="22"/>
          <w:szCs w:val="22"/>
        </w:rPr>
        <w:t xml:space="preserve"> was provided or was rendered unable to pay his debts </w:t>
      </w:r>
      <w:proofErr w:type="gramStart"/>
      <w:r>
        <w:rPr>
          <w:rFonts w:ascii="Avenir Next" w:hAnsi="Avenir Next" w:cs="Arial"/>
          <w:bCs/>
          <w:sz w:val="22"/>
          <w:szCs w:val="22"/>
        </w:rPr>
        <w:t>as a consequence of</w:t>
      </w:r>
      <w:proofErr w:type="gramEnd"/>
      <w:r>
        <w:rPr>
          <w:rFonts w:ascii="Avenir Next" w:hAnsi="Avenir Next" w:cs="Arial"/>
          <w:bCs/>
          <w:sz w:val="22"/>
          <w:szCs w:val="22"/>
        </w:rPr>
        <w:t xml:space="preserve"> the transaction.  This argument should also fail because our facts indicate that the Debtor began having cash flow issues at least by January 2023 prior to the granting of the floating charge.</w:t>
      </w:r>
    </w:p>
    <w:p w14:paraId="70C607A9" w14:textId="77777777" w:rsidR="00783EAC" w:rsidRDefault="00783EAC" w:rsidP="007E2919">
      <w:pPr>
        <w:rPr>
          <w:rFonts w:ascii="Avenir Next" w:hAnsi="Avenir Next" w:cs="Arial"/>
          <w:bCs/>
          <w:sz w:val="22"/>
          <w:szCs w:val="22"/>
        </w:rPr>
      </w:pPr>
    </w:p>
    <w:p w14:paraId="1BDDF53C" w14:textId="57745602" w:rsidR="00783EAC" w:rsidRPr="00783EAC" w:rsidRDefault="00783EAC" w:rsidP="007E2919">
      <w:pPr>
        <w:rPr>
          <w:rFonts w:ascii="Avenir Next" w:hAnsi="Avenir Next" w:cs="Arial"/>
          <w:bCs/>
          <w:sz w:val="22"/>
          <w:szCs w:val="22"/>
        </w:rPr>
      </w:pPr>
      <w:r>
        <w:rPr>
          <w:rFonts w:ascii="Avenir Next" w:hAnsi="Avenir Next" w:cs="Arial"/>
          <w:bCs/>
          <w:sz w:val="22"/>
          <w:szCs w:val="22"/>
        </w:rPr>
        <w:t xml:space="preserve">The result should be that the </w:t>
      </w:r>
      <w:proofErr w:type="gramStart"/>
      <w:r>
        <w:rPr>
          <w:rFonts w:ascii="Avenir Next" w:hAnsi="Avenir Next" w:cs="Arial"/>
          <w:bCs/>
          <w:sz w:val="22"/>
          <w:szCs w:val="22"/>
        </w:rPr>
        <w:t>lien</w:t>
      </w:r>
      <w:proofErr w:type="gramEnd"/>
      <w:r>
        <w:rPr>
          <w:rFonts w:ascii="Avenir Next" w:hAnsi="Avenir Next" w:cs="Arial"/>
          <w:bCs/>
          <w:sz w:val="22"/>
          <w:szCs w:val="22"/>
        </w:rPr>
        <w:t xml:space="preserve"> is invalidated as of the date of the petition.  However, any benefit that the Bank obtained prior to the filing of the </w:t>
      </w:r>
      <w:proofErr w:type="gramStart"/>
      <w:r>
        <w:rPr>
          <w:rFonts w:ascii="Avenir Next" w:hAnsi="Avenir Next" w:cs="Arial"/>
          <w:bCs/>
          <w:sz w:val="22"/>
          <w:szCs w:val="22"/>
        </w:rPr>
        <w:t>wind up</w:t>
      </w:r>
      <w:proofErr w:type="gramEnd"/>
      <w:r>
        <w:rPr>
          <w:rFonts w:ascii="Avenir Next" w:hAnsi="Avenir Next" w:cs="Arial"/>
          <w:bCs/>
          <w:sz w:val="22"/>
          <w:szCs w:val="22"/>
        </w:rPr>
        <w:t xml:space="preserve"> petition would not be subject to avoidance and the underlying debt of the Bank remains valid (as an unsecured claim).</w:t>
      </w:r>
    </w:p>
    <w:p w14:paraId="74C366AC" w14:textId="2A6CB24B"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74C96A10" w:rsidR="00197F24" w:rsidRPr="00643285" w:rsidRDefault="00783EAC" w:rsidP="00643285">
      <w:p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The liquidator may also be able to avoid the sale of the laser cutting machines to Angela </w:t>
      </w:r>
      <w:proofErr w:type="gramStart"/>
      <w:r w:rsidRPr="00643285">
        <w:rPr>
          <w:rFonts w:ascii="Avenir Next" w:hAnsi="Avenir Next" w:cs="Arial"/>
          <w:b/>
          <w:bCs/>
          <w:color w:val="7B7B7B" w:themeColor="accent3" w:themeShade="BF"/>
          <w:sz w:val="22"/>
          <w:szCs w:val="22"/>
          <w:lang w:val="en-GB"/>
        </w:rPr>
        <w:t>B</w:t>
      </w:r>
      <w:r w:rsidR="00F043F9" w:rsidRPr="00643285">
        <w:rPr>
          <w:rFonts w:ascii="Avenir Next" w:hAnsi="Avenir Next" w:cs="Arial"/>
          <w:b/>
          <w:bCs/>
          <w:color w:val="7B7B7B" w:themeColor="accent3" w:themeShade="BF"/>
          <w:sz w:val="22"/>
          <w:szCs w:val="22"/>
          <w:lang w:val="en-GB"/>
        </w:rPr>
        <w:t>a</w:t>
      </w:r>
      <w:r w:rsidRPr="00643285">
        <w:rPr>
          <w:rFonts w:ascii="Avenir Next" w:hAnsi="Avenir Next" w:cs="Arial"/>
          <w:b/>
          <w:bCs/>
          <w:color w:val="7B7B7B" w:themeColor="accent3" w:themeShade="BF"/>
          <w:sz w:val="22"/>
          <w:szCs w:val="22"/>
          <w:lang w:val="en-GB"/>
        </w:rPr>
        <w:t>nnister</w:t>
      </w:r>
      <w:proofErr w:type="gramEnd"/>
      <w:r w:rsidR="00F043F9" w:rsidRPr="00643285">
        <w:rPr>
          <w:rFonts w:ascii="Avenir Next" w:hAnsi="Avenir Next" w:cs="Arial"/>
          <w:b/>
          <w:bCs/>
          <w:color w:val="7B7B7B" w:themeColor="accent3" w:themeShade="BF"/>
          <w:sz w:val="22"/>
          <w:szCs w:val="22"/>
          <w:lang w:val="en-GB"/>
        </w:rPr>
        <w:t xml:space="preserve"> but this is not definite.  Section 238 of the Act governs transactions sold at an undervalue.  The requirements of Section 238 are that the company (1) made a gift to a person; (2) </w:t>
      </w:r>
      <w:proofErr w:type="gramStart"/>
      <w:r w:rsidR="00F043F9" w:rsidRPr="00643285">
        <w:rPr>
          <w:rFonts w:ascii="Avenir Next" w:hAnsi="Avenir Next" w:cs="Arial"/>
          <w:b/>
          <w:bCs/>
          <w:color w:val="7B7B7B" w:themeColor="accent3" w:themeShade="BF"/>
          <w:sz w:val="22"/>
          <w:szCs w:val="22"/>
          <w:lang w:val="en-GB"/>
        </w:rPr>
        <w:t>entered into</w:t>
      </w:r>
      <w:proofErr w:type="gramEnd"/>
      <w:r w:rsidR="00F043F9" w:rsidRPr="00643285">
        <w:rPr>
          <w:rFonts w:ascii="Avenir Next" w:hAnsi="Avenir Next" w:cs="Arial"/>
          <w:b/>
          <w:bCs/>
          <w:color w:val="7B7B7B" w:themeColor="accent3" w:themeShade="BF"/>
          <w:sz w:val="22"/>
          <w:szCs w:val="22"/>
          <w:lang w:val="en-GB"/>
        </w:rPr>
        <w:t xml:space="preserve"> a transaction with a person that provided no money to the company; or (3) entered into a transaction with another person for consideration that was significantly less than the value “in money or money’s worth”.  The required </w:t>
      </w:r>
      <w:proofErr w:type="gramStart"/>
      <w:r w:rsidR="00F043F9" w:rsidRPr="00643285">
        <w:rPr>
          <w:rFonts w:ascii="Avenir Next" w:hAnsi="Avenir Next" w:cs="Arial"/>
          <w:b/>
          <w:bCs/>
          <w:color w:val="7B7B7B" w:themeColor="accent3" w:themeShade="BF"/>
          <w:sz w:val="22"/>
          <w:szCs w:val="22"/>
          <w:lang w:val="en-GB"/>
        </w:rPr>
        <w:t>time period</w:t>
      </w:r>
      <w:proofErr w:type="gramEnd"/>
      <w:r w:rsidR="00F043F9" w:rsidRPr="00643285">
        <w:rPr>
          <w:rFonts w:ascii="Avenir Next" w:hAnsi="Avenir Next" w:cs="Arial"/>
          <w:b/>
          <w:bCs/>
          <w:color w:val="7B7B7B" w:themeColor="accent3" w:themeShade="BF"/>
          <w:sz w:val="22"/>
          <w:szCs w:val="22"/>
          <w:lang w:val="en-GB"/>
        </w:rPr>
        <w:t xml:space="preserve"> for the transaction is within 2 years prior to the commencement of the liquidation, which is well met here.  There is also a requirement of Section 238 that the company was unable or becomes unable to pay its debts within the meaning of Section </w:t>
      </w:r>
      <w:r w:rsidR="00F043F9" w:rsidRPr="00643285">
        <w:rPr>
          <w:rFonts w:ascii="Avenir Next" w:hAnsi="Avenir Next" w:cs="Arial"/>
          <w:b/>
          <w:bCs/>
          <w:color w:val="7B7B7B" w:themeColor="accent3" w:themeShade="BF"/>
          <w:sz w:val="22"/>
          <w:szCs w:val="22"/>
          <w:lang w:val="en-GB"/>
        </w:rPr>
        <w:lastRenderedPageBreak/>
        <w:t>123.  However, this definition of insolvency is presumed if the transfer was to a “connected person”.  Since Angela Bannister is a director, this requirement would be presumed satisfied.</w:t>
      </w:r>
    </w:p>
    <w:p w14:paraId="3294A59F" w14:textId="77777777" w:rsidR="00F043F9" w:rsidRPr="00643285" w:rsidRDefault="00F043F9" w:rsidP="00197F24">
      <w:pPr>
        <w:jc w:val="both"/>
        <w:rPr>
          <w:rFonts w:ascii="Avenir Next" w:hAnsi="Avenir Next" w:cs="Arial"/>
          <w:b/>
          <w:bCs/>
          <w:color w:val="7B7B7B" w:themeColor="accent3" w:themeShade="BF"/>
          <w:sz w:val="22"/>
          <w:szCs w:val="22"/>
          <w:lang w:val="en-GB"/>
        </w:rPr>
      </w:pPr>
    </w:p>
    <w:p w14:paraId="74F0F68D" w14:textId="1B4BB5E0" w:rsidR="00F043F9" w:rsidRPr="00643285" w:rsidRDefault="00F043F9" w:rsidP="00197F24">
      <w:p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The likely uncertainty in our fact pattern would be whether the price of 40K GBP was adequate for machines bought for 100K GBP one year before.  This may require an evidentiary hearing as to valuation/depreciation for this type of asset.  Also, Ms. Bannister could argue that the transaction was entered into in good faith and for the purpose of allowing the business to carry on operations.  If the Court believes Ms. Bannister that she reasonably believed the transaction would benefit the company (because the company was in desperate need of cash for instance), then the Court may well decline to avoid the transaction.  However, the fact that it was a director that benefitted from the lower price would weigh in favour of avoidance.  Also, under section 212, a liquidator can bring a general “misfeasance” type claim against Ms. Bannister based on perhaps a breach of fiduciary duty to the company</w:t>
      </w:r>
      <w:r w:rsidR="00643285">
        <w:rPr>
          <w:rFonts w:ascii="Avenir Next" w:hAnsi="Avenir Next" w:cs="Arial"/>
          <w:b/>
          <w:bCs/>
          <w:color w:val="7B7B7B" w:themeColor="accent3" w:themeShade="BF"/>
          <w:sz w:val="22"/>
          <w:szCs w:val="22"/>
          <w:lang w:val="en-GB"/>
        </w:rPr>
        <w:t>.</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211121CC" w:rsidR="00CF3708" w:rsidRPr="00643285" w:rsidRDefault="00F043F9" w:rsidP="00CF3708">
      <w:p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The payments made to </w:t>
      </w:r>
      <w:proofErr w:type="spellStart"/>
      <w:r w:rsidRPr="00643285">
        <w:rPr>
          <w:rFonts w:ascii="Avenir Next" w:hAnsi="Avenir Next" w:cs="Arial"/>
          <w:b/>
          <w:bCs/>
          <w:color w:val="7B7B7B" w:themeColor="accent3" w:themeShade="BF"/>
          <w:sz w:val="22"/>
          <w:szCs w:val="22"/>
          <w:lang w:val="en-GB"/>
        </w:rPr>
        <w:t>Aluminum</w:t>
      </w:r>
      <w:proofErr w:type="spellEnd"/>
      <w:r w:rsidRPr="00643285">
        <w:rPr>
          <w:rFonts w:ascii="Avenir Next" w:hAnsi="Avenir Next" w:cs="Arial"/>
          <w:b/>
          <w:bCs/>
          <w:color w:val="7B7B7B" w:themeColor="accent3" w:themeShade="BF"/>
          <w:sz w:val="22"/>
          <w:szCs w:val="22"/>
          <w:lang w:val="en-GB"/>
        </w:rPr>
        <w:t xml:space="preserve"> </w:t>
      </w:r>
      <w:proofErr w:type="spellStart"/>
      <w:r w:rsidRPr="00643285">
        <w:rPr>
          <w:rFonts w:ascii="Avenir Next" w:hAnsi="Avenir Next" w:cs="Arial"/>
          <w:b/>
          <w:bCs/>
          <w:color w:val="7B7B7B" w:themeColor="accent3" w:themeShade="BF"/>
          <w:sz w:val="22"/>
          <w:szCs w:val="22"/>
          <w:lang w:val="en-GB"/>
        </w:rPr>
        <w:t>Alumini</w:t>
      </w:r>
      <w:proofErr w:type="spellEnd"/>
      <w:r w:rsidRPr="00643285">
        <w:rPr>
          <w:rFonts w:ascii="Avenir Next" w:hAnsi="Avenir Next" w:cs="Arial"/>
          <w:b/>
          <w:bCs/>
          <w:color w:val="7B7B7B" w:themeColor="accent3" w:themeShade="BF"/>
          <w:sz w:val="22"/>
          <w:szCs w:val="22"/>
          <w:lang w:val="en-GB"/>
        </w:rPr>
        <w:t xml:space="preserve"> should be recoverable.  First, pursuant to 233B of the Insolvency Act 1986, suppliers are not permitted to require payment of pre-liquidation debts </w:t>
      </w:r>
      <w:proofErr w:type="gramStart"/>
      <w:r w:rsidRPr="00643285">
        <w:rPr>
          <w:rFonts w:ascii="Avenir Next" w:hAnsi="Avenir Next" w:cs="Arial"/>
          <w:b/>
          <w:bCs/>
          <w:color w:val="7B7B7B" w:themeColor="accent3" w:themeShade="BF"/>
          <w:sz w:val="22"/>
          <w:szCs w:val="22"/>
          <w:lang w:val="en-GB"/>
        </w:rPr>
        <w:t>in order to</w:t>
      </w:r>
      <w:proofErr w:type="gramEnd"/>
      <w:r w:rsidRPr="00643285">
        <w:rPr>
          <w:rFonts w:ascii="Avenir Next" w:hAnsi="Avenir Next" w:cs="Arial"/>
          <w:b/>
          <w:bCs/>
          <w:color w:val="7B7B7B" w:themeColor="accent3" w:themeShade="BF"/>
          <w:sz w:val="22"/>
          <w:szCs w:val="22"/>
          <w:lang w:val="en-GB"/>
        </w:rPr>
        <w:t xml:space="preserve"> continue supplying the Debtor and that same section prohibits the supplier from “doing any other thing” in relation to that contract.  AS such, the supplier </w:t>
      </w:r>
      <w:r w:rsidR="003C157B" w:rsidRPr="00643285">
        <w:rPr>
          <w:rFonts w:ascii="Avenir Next" w:hAnsi="Avenir Next" w:cs="Arial"/>
          <w:b/>
          <w:bCs/>
          <w:color w:val="7B7B7B" w:themeColor="accent3" w:themeShade="BF"/>
          <w:sz w:val="22"/>
          <w:szCs w:val="22"/>
          <w:lang w:val="en-GB"/>
        </w:rPr>
        <w:t>may</w:t>
      </w:r>
      <w:r w:rsidRPr="00643285">
        <w:rPr>
          <w:rFonts w:ascii="Avenir Next" w:hAnsi="Avenir Next" w:cs="Arial"/>
          <w:b/>
          <w:bCs/>
          <w:color w:val="7B7B7B" w:themeColor="accent3" w:themeShade="BF"/>
          <w:sz w:val="22"/>
          <w:szCs w:val="22"/>
          <w:lang w:val="en-GB"/>
        </w:rPr>
        <w:t xml:space="preserve"> not be permitted to change the payments terms to COD.  </w:t>
      </w:r>
    </w:p>
    <w:p w14:paraId="13374ECD" w14:textId="77777777" w:rsidR="00F043F9" w:rsidRPr="00643285" w:rsidRDefault="00F043F9" w:rsidP="00CF3708">
      <w:pPr>
        <w:jc w:val="both"/>
        <w:rPr>
          <w:rFonts w:ascii="Avenir Next" w:hAnsi="Avenir Next" w:cs="Arial"/>
          <w:b/>
          <w:bCs/>
          <w:color w:val="7B7B7B" w:themeColor="accent3" w:themeShade="BF"/>
          <w:sz w:val="22"/>
          <w:szCs w:val="22"/>
          <w:lang w:val="en-GB"/>
        </w:rPr>
      </w:pPr>
    </w:p>
    <w:p w14:paraId="0A1D4A78" w14:textId="428D10DE" w:rsidR="00F043F9" w:rsidRPr="00643285" w:rsidRDefault="00F043F9" w:rsidP="00CF3708">
      <w:p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The timing of the payments here, though, are somewhat problematic.  The demand by the supplier came one month before the windup order</w:t>
      </w:r>
      <w:r w:rsidR="003C157B" w:rsidRPr="00643285">
        <w:rPr>
          <w:rFonts w:ascii="Avenir Next" w:hAnsi="Avenir Next" w:cs="Arial"/>
          <w:b/>
          <w:bCs/>
          <w:color w:val="7B7B7B" w:themeColor="accent3" w:themeShade="BF"/>
          <w:sz w:val="22"/>
          <w:szCs w:val="22"/>
          <w:lang w:val="en-GB"/>
        </w:rPr>
        <w:t xml:space="preserve">, or approximately Jan 28, 2024.  This predates the </w:t>
      </w:r>
      <w:proofErr w:type="gramStart"/>
      <w:r w:rsidR="003C157B" w:rsidRPr="00643285">
        <w:rPr>
          <w:rFonts w:ascii="Avenir Next" w:hAnsi="Avenir Next" w:cs="Arial"/>
          <w:b/>
          <w:bCs/>
          <w:color w:val="7B7B7B" w:themeColor="accent3" w:themeShade="BF"/>
          <w:sz w:val="22"/>
          <w:szCs w:val="22"/>
          <w:lang w:val="en-GB"/>
        </w:rPr>
        <w:t>wind up</w:t>
      </w:r>
      <w:proofErr w:type="gramEnd"/>
      <w:r w:rsidR="003C157B" w:rsidRPr="00643285">
        <w:rPr>
          <w:rFonts w:ascii="Avenir Next" w:hAnsi="Avenir Next" w:cs="Arial"/>
          <w:b/>
          <w:bCs/>
          <w:color w:val="7B7B7B" w:themeColor="accent3" w:themeShade="BF"/>
          <w:sz w:val="22"/>
          <w:szCs w:val="22"/>
          <w:lang w:val="en-GB"/>
        </w:rPr>
        <w:t xml:space="preserve"> order but is after the filing of the windup petition.  However, under section 129 of the Act, the filing of the windup petition is deemed to be the commencement of the proceeding, so this should still invalidate the overpayments to </w:t>
      </w:r>
      <w:proofErr w:type="spellStart"/>
      <w:r w:rsidR="003C157B" w:rsidRPr="00643285">
        <w:rPr>
          <w:rFonts w:ascii="Avenir Next" w:hAnsi="Avenir Next" w:cs="Arial"/>
          <w:b/>
          <w:bCs/>
          <w:color w:val="7B7B7B" w:themeColor="accent3" w:themeShade="BF"/>
          <w:sz w:val="22"/>
          <w:szCs w:val="22"/>
          <w:lang w:val="en-GB"/>
        </w:rPr>
        <w:t>Aluminum</w:t>
      </w:r>
      <w:proofErr w:type="spellEnd"/>
      <w:r w:rsidR="003C157B" w:rsidRPr="00643285">
        <w:rPr>
          <w:rFonts w:ascii="Avenir Next" w:hAnsi="Avenir Next" w:cs="Arial"/>
          <w:b/>
          <w:bCs/>
          <w:color w:val="7B7B7B" w:themeColor="accent3" w:themeShade="BF"/>
          <w:sz w:val="22"/>
          <w:szCs w:val="22"/>
          <w:lang w:val="en-GB"/>
        </w:rPr>
        <w:t xml:space="preserve"> </w:t>
      </w:r>
      <w:proofErr w:type="spellStart"/>
      <w:r w:rsidR="003C157B" w:rsidRPr="00643285">
        <w:rPr>
          <w:rFonts w:ascii="Avenir Next" w:hAnsi="Avenir Next" w:cs="Arial"/>
          <w:b/>
          <w:bCs/>
          <w:color w:val="7B7B7B" w:themeColor="accent3" w:themeShade="BF"/>
          <w:sz w:val="22"/>
          <w:szCs w:val="22"/>
          <w:lang w:val="en-GB"/>
        </w:rPr>
        <w:t>Alumini</w:t>
      </w:r>
      <w:proofErr w:type="spellEnd"/>
      <w:r w:rsidR="003C157B" w:rsidRPr="00643285">
        <w:rPr>
          <w:rFonts w:ascii="Avenir Next" w:hAnsi="Avenir Next" w:cs="Arial"/>
          <w:b/>
          <w:bCs/>
          <w:color w:val="7B7B7B" w:themeColor="accent3" w:themeShade="BF"/>
          <w:sz w:val="22"/>
          <w:szCs w:val="22"/>
          <w:lang w:val="en-GB"/>
        </w:rPr>
        <w:t>.</w:t>
      </w:r>
    </w:p>
    <w:p w14:paraId="195B7A2E" w14:textId="77777777" w:rsidR="003C157B" w:rsidRPr="00643285" w:rsidRDefault="003C157B" w:rsidP="00CF3708">
      <w:pPr>
        <w:jc w:val="both"/>
        <w:rPr>
          <w:rFonts w:ascii="Avenir Next" w:hAnsi="Avenir Next" w:cs="Arial"/>
          <w:b/>
          <w:bCs/>
          <w:color w:val="7B7B7B" w:themeColor="accent3" w:themeShade="BF"/>
          <w:sz w:val="22"/>
          <w:szCs w:val="22"/>
          <w:lang w:val="en-GB"/>
        </w:rPr>
      </w:pPr>
    </w:p>
    <w:p w14:paraId="558F581A" w14:textId="38CCDADB" w:rsidR="003C157B" w:rsidRPr="00643285" w:rsidRDefault="003C157B" w:rsidP="00CF3708">
      <w:p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 xml:space="preserve">Moreover, section 127 of the Act specifically avoids any transfers of company property made after commencement of the winding up but before the </w:t>
      </w:r>
      <w:proofErr w:type="gramStart"/>
      <w:r w:rsidRPr="00643285">
        <w:rPr>
          <w:rFonts w:ascii="Avenir Next" w:hAnsi="Avenir Next" w:cs="Arial"/>
          <w:b/>
          <w:bCs/>
          <w:color w:val="7B7B7B" w:themeColor="accent3" w:themeShade="BF"/>
          <w:sz w:val="22"/>
          <w:szCs w:val="22"/>
          <w:lang w:val="en-GB"/>
        </w:rPr>
        <w:t>wind up</w:t>
      </w:r>
      <w:proofErr w:type="gramEnd"/>
      <w:r w:rsidRPr="00643285">
        <w:rPr>
          <w:rFonts w:ascii="Avenir Next" w:hAnsi="Avenir Next" w:cs="Arial"/>
          <w:b/>
          <w:bCs/>
          <w:color w:val="7B7B7B" w:themeColor="accent3" w:themeShade="BF"/>
          <w:sz w:val="22"/>
          <w:szCs w:val="22"/>
          <w:lang w:val="en-GB"/>
        </w:rPr>
        <w:t xml:space="preserve"> order, unless the court orders otherwise.  Transfer of property in section 127 of the Act includes payment of money as well as assets being sold or transferred.  As such, the funds obtained by </w:t>
      </w:r>
      <w:proofErr w:type="spellStart"/>
      <w:r w:rsidRPr="00643285">
        <w:rPr>
          <w:rFonts w:ascii="Avenir Next" w:hAnsi="Avenir Next" w:cs="Arial"/>
          <w:b/>
          <w:bCs/>
          <w:color w:val="7B7B7B" w:themeColor="accent3" w:themeShade="BF"/>
          <w:sz w:val="22"/>
          <w:szCs w:val="22"/>
          <w:lang w:val="en-GB"/>
        </w:rPr>
        <w:t>Aluminum</w:t>
      </w:r>
      <w:proofErr w:type="spellEnd"/>
      <w:r w:rsidRPr="00643285">
        <w:rPr>
          <w:rFonts w:ascii="Avenir Next" w:hAnsi="Avenir Next" w:cs="Arial"/>
          <w:b/>
          <w:bCs/>
          <w:color w:val="7B7B7B" w:themeColor="accent3" w:themeShade="BF"/>
          <w:sz w:val="22"/>
          <w:szCs w:val="22"/>
          <w:lang w:val="en-GB"/>
        </w:rPr>
        <w:t xml:space="preserve"> should be recoverable under section 127.  The Court does have discretion but generally this would be used to justify ordinary course transactions, not transactions </w:t>
      </w:r>
      <w:proofErr w:type="gramStart"/>
      <w:r w:rsidRPr="00643285">
        <w:rPr>
          <w:rFonts w:ascii="Avenir Next" w:hAnsi="Avenir Next" w:cs="Arial"/>
          <w:b/>
          <w:bCs/>
          <w:color w:val="7B7B7B" w:themeColor="accent3" w:themeShade="BF"/>
          <w:sz w:val="22"/>
          <w:szCs w:val="22"/>
          <w:lang w:val="en-GB"/>
        </w:rPr>
        <w:t>entered into</w:t>
      </w:r>
      <w:proofErr w:type="gramEnd"/>
      <w:r w:rsidRPr="00643285">
        <w:rPr>
          <w:rFonts w:ascii="Avenir Next" w:hAnsi="Avenir Next" w:cs="Arial"/>
          <w:b/>
          <w:bCs/>
          <w:color w:val="7B7B7B" w:themeColor="accent3" w:themeShade="BF"/>
          <w:sz w:val="22"/>
          <w:szCs w:val="22"/>
          <w:lang w:val="en-GB"/>
        </w:rPr>
        <w:t xml:space="preserve"> only because of the onset of insolvency.  Using section 127, the creditor might well be able to continue the COD payment </w:t>
      </w:r>
      <w:proofErr w:type="gramStart"/>
      <w:r w:rsidRPr="00643285">
        <w:rPr>
          <w:rFonts w:ascii="Avenir Next" w:hAnsi="Avenir Next" w:cs="Arial"/>
          <w:b/>
          <w:bCs/>
          <w:color w:val="7B7B7B" w:themeColor="accent3" w:themeShade="BF"/>
          <w:sz w:val="22"/>
          <w:szCs w:val="22"/>
          <w:lang w:val="en-GB"/>
        </w:rPr>
        <w:t>requirement, but</w:t>
      </w:r>
      <w:proofErr w:type="gramEnd"/>
      <w:r w:rsidRPr="00643285">
        <w:rPr>
          <w:rFonts w:ascii="Avenir Next" w:hAnsi="Avenir Next" w:cs="Arial"/>
          <w:b/>
          <w:bCs/>
          <w:color w:val="7B7B7B" w:themeColor="accent3" w:themeShade="BF"/>
          <w:sz w:val="22"/>
          <w:szCs w:val="22"/>
          <w:lang w:val="en-GB"/>
        </w:rPr>
        <w:t xml:space="preserve"> would likely have to return the $20K GBP.</w:t>
      </w:r>
    </w:p>
    <w:p w14:paraId="490D1A3C" w14:textId="77777777" w:rsidR="003C157B" w:rsidRPr="00643285" w:rsidRDefault="003C157B" w:rsidP="00CF3708">
      <w:pPr>
        <w:jc w:val="both"/>
        <w:rPr>
          <w:rFonts w:ascii="Avenir Next" w:hAnsi="Avenir Next" w:cs="Arial"/>
          <w:b/>
          <w:bCs/>
          <w:color w:val="7B7B7B" w:themeColor="accent3" w:themeShade="BF"/>
          <w:sz w:val="22"/>
          <w:szCs w:val="22"/>
          <w:lang w:val="en-GB"/>
        </w:rPr>
      </w:pPr>
    </w:p>
    <w:p w14:paraId="1F512EAE" w14:textId="25F4E4F8" w:rsidR="003C157B" w:rsidRPr="00643285" w:rsidRDefault="003C157B" w:rsidP="00CF3708">
      <w:pPr>
        <w:jc w:val="both"/>
        <w:rPr>
          <w:rFonts w:ascii="Avenir Next" w:hAnsi="Avenir Next" w:cs="Arial"/>
          <w:b/>
          <w:bCs/>
          <w:color w:val="7B7B7B" w:themeColor="accent3" w:themeShade="BF"/>
          <w:sz w:val="22"/>
          <w:szCs w:val="22"/>
          <w:lang w:val="en-GB"/>
        </w:rPr>
      </w:pPr>
      <w:r w:rsidRPr="00643285">
        <w:rPr>
          <w:rFonts w:ascii="Avenir Next" w:hAnsi="Avenir Next" w:cs="Arial"/>
          <w:b/>
          <w:bCs/>
          <w:color w:val="7B7B7B" w:themeColor="accent3" w:themeShade="BF"/>
          <w:sz w:val="22"/>
          <w:szCs w:val="22"/>
          <w:lang w:val="en-GB"/>
        </w:rPr>
        <w:t>Alternatively, if the demands of the creditors are determined to be prior to liquidation (</w:t>
      </w:r>
      <w:proofErr w:type="spellStart"/>
      <w:r w:rsidRPr="00643285">
        <w:rPr>
          <w:rFonts w:ascii="Avenir Next" w:hAnsi="Avenir Next" w:cs="Arial"/>
          <w:b/>
          <w:bCs/>
          <w:color w:val="7B7B7B" w:themeColor="accent3" w:themeShade="BF"/>
          <w:sz w:val="22"/>
          <w:szCs w:val="22"/>
          <w:lang w:val="en-GB"/>
        </w:rPr>
        <w:t>ie</w:t>
      </w:r>
      <w:proofErr w:type="spellEnd"/>
      <w:r w:rsidRPr="00643285">
        <w:rPr>
          <w:rFonts w:ascii="Avenir Next" w:hAnsi="Avenir Next" w:cs="Arial"/>
          <w:b/>
          <w:bCs/>
          <w:color w:val="7B7B7B" w:themeColor="accent3" w:themeShade="BF"/>
          <w:sz w:val="22"/>
          <w:szCs w:val="22"/>
          <w:lang w:val="en-GB"/>
        </w:rPr>
        <w:t xml:space="preserve"> Section 129 does not apply), then at least the $20K GBP paid for pre-insolvency debt would be recoverable as a preference.  Section 239 governs preferences and prohibits a payment within a pertinent period that enables the creditor to receive more than other similarly situated creditors of the same priority class.  The pertinent period for an unconnected creditor is 6 months prior to the onset of insolvency.  Again, given that Section 129 would appear to deem the filing of the windup petition as the commencement date, Section 239 would not apply.</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5D1C38">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406C" w14:textId="77777777" w:rsidR="005D1C38" w:rsidRDefault="005D1C38" w:rsidP="00241B44">
      <w:r>
        <w:separator/>
      </w:r>
    </w:p>
  </w:endnote>
  <w:endnote w:type="continuationSeparator" w:id="0">
    <w:p w14:paraId="7588C19F" w14:textId="77777777" w:rsidR="005D1C38" w:rsidRDefault="005D1C3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376F6CA2" w:rsidR="00241FA3" w:rsidRPr="00A84235" w:rsidRDefault="009B0AC9" w:rsidP="009B4976">
    <w:pPr>
      <w:pStyle w:val="Footer"/>
      <w:ind w:right="360"/>
      <w:rPr>
        <w:rFonts w:ascii="Avenir Next" w:hAnsi="Avenir Next" w:cs="Arial"/>
        <w:sz w:val="22"/>
        <w:szCs w:val="22"/>
        <w:lang w:val="en-GB"/>
      </w:rPr>
    </w:pPr>
    <w:r>
      <w:rPr>
        <w:rFonts w:ascii="Avenir Next" w:hAnsi="Avenir Next" w:cs="Arial"/>
        <w:sz w:val="22"/>
        <w:szCs w:val="22"/>
        <w:lang w:val="en-GB"/>
      </w:rPr>
      <w:t>202324-1345</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7E60" w14:textId="77777777" w:rsidR="005D1C38" w:rsidRDefault="005D1C38" w:rsidP="00241B44">
      <w:r>
        <w:separator/>
      </w:r>
    </w:p>
  </w:footnote>
  <w:footnote w:type="continuationSeparator" w:id="0">
    <w:p w14:paraId="3919BA05" w14:textId="77777777" w:rsidR="005D1C38" w:rsidRDefault="005D1C3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63BBF"/>
    <w:multiLevelType w:val="hybridMultilevel"/>
    <w:tmpl w:val="D19CFE9E"/>
    <w:lvl w:ilvl="0" w:tplc="74B60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34C61"/>
    <w:multiLevelType w:val="hybridMultilevel"/>
    <w:tmpl w:val="822A0544"/>
    <w:lvl w:ilvl="0" w:tplc="167C0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8A7AB5"/>
    <w:multiLevelType w:val="hybridMultilevel"/>
    <w:tmpl w:val="93965FEC"/>
    <w:lvl w:ilvl="0" w:tplc="BD560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2540E6"/>
    <w:multiLevelType w:val="hybridMultilevel"/>
    <w:tmpl w:val="2892D06C"/>
    <w:lvl w:ilvl="0" w:tplc="D0D4D3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3C7B4A"/>
    <w:multiLevelType w:val="hybridMultilevel"/>
    <w:tmpl w:val="2E388AE4"/>
    <w:lvl w:ilvl="0" w:tplc="CFAC7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8630697">
    <w:abstractNumId w:val="5"/>
  </w:num>
  <w:num w:numId="2" w16cid:durableId="1279876417">
    <w:abstractNumId w:val="1"/>
  </w:num>
  <w:num w:numId="3" w16cid:durableId="100541089">
    <w:abstractNumId w:val="0"/>
  </w:num>
  <w:num w:numId="4" w16cid:durableId="14042412">
    <w:abstractNumId w:val="11"/>
  </w:num>
  <w:num w:numId="5" w16cid:durableId="1338728706">
    <w:abstractNumId w:val="14"/>
  </w:num>
  <w:num w:numId="6" w16cid:durableId="376245857">
    <w:abstractNumId w:val="2"/>
  </w:num>
  <w:num w:numId="7" w16cid:durableId="1396392877">
    <w:abstractNumId w:val="15"/>
  </w:num>
  <w:num w:numId="8" w16cid:durableId="1599950421">
    <w:abstractNumId w:val="19"/>
  </w:num>
  <w:num w:numId="9" w16cid:durableId="858857530">
    <w:abstractNumId w:val="12"/>
  </w:num>
  <w:num w:numId="10" w16cid:durableId="619802517">
    <w:abstractNumId w:val="20"/>
  </w:num>
  <w:num w:numId="11" w16cid:durableId="1831171333">
    <w:abstractNumId w:val="7"/>
  </w:num>
  <w:num w:numId="12" w16cid:durableId="84155222">
    <w:abstractNumId w:val="17"/>
  </w:num>
  <w:num w:numId="13" w16cid:durableId="1163352382">
    <w:abstractNumId w:val="13"/>
  </w:num>
  <w:num w:numId="14" w16cid:durableId="19356955">
    <w:abstractNumId w:val="6"/>
  </w:num>
  <w:num w:numId="15" w16cid:durableId="439304345">
    <w:abstractNumId w:val="16"/>
  </w:num>
  <w:num w:numId="16" w16cid:durableId="1126969584">
    <w:abstractNumId w:val="18"/>
  </w:num>
  <w:num w:numId="17" w16cid:durableId="1710716489">
    <w:abstractNumId w:val="10"/>
  </w:num>
  <w:num w:numId="18" w16cid:durableId="487405644">
    <w:abstractNumId w:val="9"/>
  </w:num>
  <w:num w:numId="19" w16cid:durableId="353120906">
    <w:abstractNumId w:val="4"/>
  </w:num>
  <w:num w:numId="20" w16cid:durableId="1725567349">
    <w:abstractNumId w:val="8"/>
  </w:num>
  <w:num w:numId="21" w16cid:durableId="1418482257">
    <w:abstractNumId w:val="3"/>
  </w:num>
  <w:num w:numId="22" w16cid:durableId="3024695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06B2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157B"/>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2549"/>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1C38"/>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4328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3EA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3C3"/>
    <w:rsid w:val="008F5FFE"/>
    <w:rsid w:val="00905304"/>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0AC9"/>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07ADE"/>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0F0A"/>
    <w:rsid w:val="00E15BA9"/>
    <w:rsid w:val="00E26E19"/>
    <w:rsid w:val="00E31DF3"/>
    <w:rsid w:val="00E427CC"/>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043F9"/>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3692</Words>
  <Characters>21050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Leslie Gladstone</cp:lastModifiedBy>
  <cp:revision>6</cp:revision>
  <cp:lastPrinted>2019-08-27T05:42:00Z</cp:lastPrinted>
  <dcterms:created xsi:type="dcterms:W3CDTF">2024-02-01T02:17:00Z</dcterms:created>
  <dcterms:modified xsi:type="dcterms:W3CDTF">2024-02-01T21:36:00Z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