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B1D40" w14:textId="353F41B6" w:rsidR="0004705A" w:rsidRPr="00BA12C6" w:rsidRDefault="0004705A" w:rsidP="00FC5510">
      <w:pPr>
        <w:spacing w:after="0" w:line="240" w:lineRule="auto"/>
        <w:jc w:val="center"/>
        <w:rPr>
          <w:rFonts w:ascii="Arial" w:hAnsi="Arial" w:cs="Arial"/>
          <w:b/>
          <w:bCs/>
          <w:sz w:val="40"/>
          <w:szCs w:val="40"/>
          <w:lang/>
        </w:rPr>
      </w:pPr>
      <w:r w:rsidRPr="00E440BE">
        <w:rPr>
          <w:rFonts w:ascii="Arial" w:hAnsi="Arial" w:cs="Arial"/>
          <w:b/>
          <w:bCs/>
          <w:sz w:val="40"/>
          <w:szCs w:val="40"/>
        </w:rPr>
        <w:t>CASE STUDY 1</w:t>
      </w:r>
    </w:p>
    <w:p w14:paraId="004E040F" w14:textId="77777777" w:rsidR="0004705A" w:rsidRPr="00E440BE" w:rsidRDefault="0004705A" w:rsidP="00FC5510">
      <w:pPr>
        <w:spacing w:after="0" w:line="240" w:lineRule="auto"/>
        <w:jc w:val="both"/>
        <w:rPr>
          <w:rFonts w:ascii="Arial" w:hAnsi="Arial" w:cs="Arial"/>
          <w:b/>
          <w:bCs/>
        </w:rPr>
      </w:pPr>
    </w:p>
    <w:p w14:paraId="2E25BBDA" w14:textId="77777777" w:rsidR="007E7B91" w:rsidRDefault="007E7B91" w:rsidP="00FC5510">
      <w:pPr>
        <w:spacing w:after="0" w:line="240" w:lineRule="auto"/>
        <w:jc w:val="both"/>
        <w:rPr>
          <w:rFonts w:ascii="Arial" w:hAnsi="Arial" w:cs="Arial"/>
          <w:b/>
          <w:bCs/>
        </w:rPr>
      </w:pPr>
    </w:p>
    <w:p w14:paraId="644AE6F5" w14:textId="77777777" w:rsidR="00BA12C6" w:rsidRPr="00E440BE" w:rsidRDefault="00BA12C6" w:rsidP="00FC5510">
      <w:pPr>
        <w:spacing w:after="0" w:line="240" w:lineRule="auto"/>
        <w:jc w:val="both"/>
        <w:rPr>
          <w:rFonts w:ascii="Arial" w:hAnsi="Arial" w:cs="Arial"/>
          <w:b/>
          <w:bCs/>
        </w:rPr>
      </w:pPr>
    </w:p>
    <w:p w14:paraId="10D4B15B" w14:textId="77777777" w:rsidR="00D7632A" w:rsidRPr="00E440BE" w:rsidRDefault="00FB17E1" w:rsidP="00FC5510">
      <w:pPr>
        <w:spacing w:after="0" w:line="240" w:lineRule="auto"/>
        <w:jc w:val="both"/>
        <w:rPr>
          <w:rFonts w:ascii="Arial" w:hAnsi="Arial" w:cs="Arial"/>
        </w:rPr>
      </w:pPr>
      <w:proofErr w:type="gramStart"/>
      <w:r w:rsidRPr="00E440BE">
        <w:rPr>
          <w:rFonts w:ascii="Arial" w:hAnsi="Arial" w:cs="Arial"/>
        </w:rPr>
        <w:t>For the purpose of</w:t>
      </w:r>
      <w:proofErr w:type="gramEnd"/>
      <w:r w:rsidRPr="00E440BE">
        <w:rPr>
          <w:rFonts w:ascii="Arial" w:hAnsi="Arial" w:cs="Arial"/>
        </w:rPr>
        <w:t xml:space="preserve"> this Case Study</w:t>
      </w:r>
      <w:r w:rsidR="00137F45" w:rsidRPr="00E440BE">
        <w:rPr>
          <w:rFonts w:ascii="Arial" w:hAnsi="Arial" w:cs="Arial"/>
        </w:rPr>
        <w:t xml:space="preserve"> response</w:t>
      </w:r>
      <w:r w:rsidR="00BB6AE3" w:rsidRPr="00E440BE">
        <w:rPr>
          <w:rFonts w:ascii="Arial" w:hAnsi="Arial" w:cs="Arial"/>
        </w:rPr>
        <w:t>:</w:t>
      </w:r>
    </w:p>
    <w:p w14:paraId="5AB51C51" w14:textId="77777777" w:rsidR="007E7B91" w:rsidRPr="00E440BE" w:rsidRDefault="007E7B91" w:rsidP="00FC5510">
      <w:pPr>
        <w:spacing w:after="0" w:line="240" w:lineRule="auto"/>
        <w:jc w:val="both"/>
        <w:rPr>
          <w:rFonts w:ascii="Arial" w:hAnsi="Arial" w:cs="Arial"/>
        </w:rPr>
      </w:pPr>
    </w:p>
    <w:p w14:paraId="2298A5CE" w14:textId="446696F1" w:rsidR="00D7632A" w:rsidRPr="00E440BE" w:rsidRDefault="00FB17E1" w:rsidP="00FC5510">
      <w:pPr>
        <w:pStyle w:val="ListParagraph"/>
        <w:numPr>
          <w:ilvl w:val="0"/>
          <w:numId w:val="10"/>
        </w:numPr>
        <w:spacing w:after="0" w:line="240" w:lineRule="auto"/>
        <w:contextualSpacing w:val="0"/>
        <w:jc w:val="both"/>
        <w:rPr>
          <w:rFonts w:ascii="Arial" w:hAnsi="Arial" w:cs="Arial"/>
        </w:rPr>
      </w:pPr>
      <w:r w:rsidRPr="00E440BE">
        <w:rPr>
          <w:rFonts w:ascii="Arial" w:hAnsi="Arial" w:cs="Arial"/>
        </w:rPr>
        <w:t>“</w:t>
      </w:r>
      <w:r w:rsidRPr="00E440BE">
        <w:rPr>
          <w:rFonts w:ascii="Arial" w:hAnsi="Arial" w:cs="Arial"/>
          <w:b/>
          <w:bCs/>
        </w:rPr>
        <w:t>Company</w:t>
      </w:r>
      <w:r w:rsidRPr="00E440BE">
        <w:rPr>
          <w:rFonts w:ascii="Arial" w:hAnsi="Arial" w:cs="Arial"/>
        </w:rPr>
        <w:t xml:space="preserve">” means </w:t>
      </w:r>
      <w:r w:rsidR="00BB6AE3" w:rsidRPr="00E440BE">
        <w:rPr>
          <w:rFonts w:ascii="Arial" w:hAnsi="Arial" w:cs="Arial"/>
        </w:rPr>
        <w:t>Flow Management Holding BV</w:t>
      </w:r>
      <w:r w:rsidR="007E7B91" w:rsidRPr="00E440BE">
        <w:rPr>
          <w:rFonts w:ascii="Arial" w:hAnsi="Arial" w:cs="Arial"/>
        </w:rPr>
        <w:t>.</w:t>
      </w:r>
    </w:p>
    <w:p w14:paraId="7C32F4E1" w14:textId="77777777" w:rsidR="007E7B91" w:rsidRPr="00E440BE" w:rsidRDefault="007E7B91" w:rsidP="00FC5510">
      <w:pPr>
        <w:pStyle w:val="ListParagraph"/>
        <w:spacing w:after="0" w:line="240" w:lineRule="auto"/>
        <w:ind w:left="360"/>
        <w:contextualSpacing w:val="0"/>
        <w:jc w:val="both"/>
        <w:rPr>
          <w:rFonts w:ascii="Arial" w:hAnsi="Arial" w:cs="Arial"/>
        </w:rPr>
      </w:pPr>
    </w:p>
    <w:p w14:paraId="4EA5A286" w14:textId="1E6E7142" w:rsidR="00D7632A" w:rsidRPr="00E440BE" w:rsidRDefault="00BB6AE3" w:rsidP="00FC5510">
      <w:pPr>
        <w:pStyle w:val="ListParagraph"/>
        <w:numPr>
          <w:ilvl w:val="0"/>
          <w:numId w:val="10"/>
        </w:numPr>
        <w:spacing w:after="0" w:line="240" w:lineRule="auto"/>
        <w:contextualSpacing w:val="0"/>
        <w:jc w:val="both"/>
        <w:rPr>
          <w:rFonts w:ascii="Arial" w:hAnsi="Arial" w:cs="Arial"/>
        </w:rPr>
      </w:pPr>
      <w:r w:rsidRPr="00E440BE">
        <w:rPr>
          <w:rFonts w:ascii="Arial" w:hAnsi="Arial" w:cs="Arial"/>
        </w:rPr>
        <w:t>“</w:t>
      </w:r>
      <w:r w:rsidRPr="00E440BE">
        <w:rPr>
          <w:rFonts w:ascii="Arial" w:hAnsi="Arial" w:cs="Arial"/>
          <w:b/>
          <w:bCs/>
        </w:rPr>
        <w:t>Group</w:t>
      </w:r>
      <w:r w:rsidRPr="00E440BE">
        <w:rPr>
          <w:rFonts w:ascii="Arial" w:hAnsi="Arial" w:cs="Arial"/>
        </w:rPr>
        <w:t xml:space="preserve">” means </w:t>
      </w:r>
      <w:r w:rsidR="00BC1B64" w:rsidRPr="00E440BE">
        <w:rPr>
          <w:rFonts w:ascii="Arial" w:hAnsi="Arial" w:cs="Arial"/>
        </w:rPr>
        <w:t xml:space="preserve">the entities shown </w:t>
      </w:r>
      <w:r w:rsidR="00137F45" w:rsidRPr="00E440BE">
        <w:rPr>
          <w:rFonts w:ascii="Arial" w:hAnsi="Arial" w:cs="Arial"/>
        </w:rPr>
        <w:t xml:space="preserve">in the structure chart </w:t>
      </w:r>
      <w:r w:rsidR="00D81411" w:rsidRPr="00E440BE">
        <w:rPr>
          <w:rFonts w:ascii="Arial" w:hAnsi="Arial" w:cs="Arial"/>
        </w:rPr>
        <w:t>on page 1 of the Case Study</w:t>
      </w:r>
      <w:r w:rsidR="0016459C" w:rsidRPr="00E440BE">
        <w:rPr>
          <w:rFonts w:ascii="Arial" w:hAnsi="Arial" w:cs="Arial"/>
        </w:rPr>
        <w:t xml:space="preserve"> under Lease Group Holding United Kingdom </w:t>
      </w:r>
      <w:proofErr w:type="gramStart"/>
      <w:r w:rsidR="0016459C" w:rsidRPr="00E440BE">
        <w:rPr>
          <w:rFonts w:ascii="Arial" w:hAnsi="Arial" w:cs="Arial"/>
        </w:rPr>
        <w:t>Ltd.</w:t>
      </w:r>
      <w:r w:rsidR="007E7B91" w:rsidRPr="00E440BE">
        <w:rPr>
          <w:rFonts w:ascii="Arial" w:hAnsi="Arial" w:cs="Arial"/>
        </w:rPr>
        <w:t>.</w:t>
      </w:r>
      <w:proofErr w:type="gramEnd"/>
    </w:p>
    <w:p w14:paraId="1656D6DF" w14:textId="77777777" w:rsidR="007E7B91" w:rsidRPr="00E440BE" w:rsidRDefault="007E7B91" w:rsidP="00FC5510">
      <w:pPr>
        <w:pStyle w:val="ListParagraph"/>
        <w:spacing w:after="0" w:line="240" w:lineRule="auto"/>
        <w:ind w:left="360"/>
        <w:contextualSpacing w:val="0"/>
        <w:jc w:val="both"/>
        <w:rPr>
          <w:rFonts w:ascii="Arial" w:hAnsi="Arial" w:cs="Arial"/>
        </w:rPr>
      </w:pPr>
    </w:p>
    <w:p w14:paraId="40B8EA83" w14:textId="107606ED" w:rsidR="00D7632A" w:rsidRPr="00E440BE" w:rsidRDefault="00D81411" w:rsidP="00FC5510">
      <w:pPr>
        <w:pStyle w:val="ListParagraph"/>
        <w:numPr>
          <w:ilvl w:val="0"/>
          <w:numId w:val="10"/>
        </w:numPr>
        <w:spacing w:after="0" w:line="240" w:lineRule="auto"/>
        <w:contextualSpacing w:val="0"/>
        <w:jc w:val="both"/>
        <w:rPr>
          <w:rFonts w:ascii="Arial" w:hAnsi="Arial" w:cs="Arial"/>
        </w:rPr>
      </w:pPr>
      <w:r w:rsidRPr="00E440BE">
        <w:rPr>
          <w:rFonts w:ascii="Arial" w:hAnsi="Arial" w:cs="Arial"/>
        </w:rPr>
        <w:t>“</w:t>
      </w:r>
      <w:r w:rsidRPr="00E440BE">
        <w:rPr>
          <w:rFonts w:ascii="Arial" w:hAnsi="Arial" w:cs="Arial"/>
          <w:b/>
          <w:bCs/>
        </w:rPr>
        <w:t>shareholder</w:t>
      </w:r>
      <w:r w:rsidRPr="00E440BE">
        <w:rPr>
          <w:rFonts w:ascii="Arial" w:hAnsi="Arial" w:cs="Arial"/>
        </w:rPr>
        <w:t xml:space="preserve">”, unless </w:t>
      </w:r>
      <w:r w:rsidR="0016459C" w:rsidRPr="00E440BE">
        <w:rPr>
          <w:rFonts w:ascii="Arial" w:hAnsi="Arial" w:cs="Arial"/>
        </w:rPr>
        <w:t>the context requires otherwise</w:t>
      </w:r>
      <w:r w:rsidRPr="00E440BE">
        <w:rPr>
          <w:rFonts w:ascii="Arial" w:hAnsi="Arial" w:cs="Arial"/>
        </w:rPr>
        <w:t>, means Lease Group Holding Un</w:t>
      </w:r>
      <w:r w:rsidR="00137F45" w:rsidRPr="00E440BE">
        <w:rPr>
          <w:rFonts w:ascii="Arial" w:hAnsi="Arial" w:cs="Arial"/>
        </w:rPr>
        <w:t xml:space="preserve">ited Kingdom </w:t>
      </w:r>
      <w:proofErr w:type="gramStart"/>
      <w:r w:rsidR="00137F45" w:rsidRPr="00E440BE">
        <w:rPr>
          <w:rFonts w:ascii="Arial" w:hAnsi="Arial" w:cs="Arial"/>
        </w:rPr>
        <w:t>Ltd.</w:t>
      </w:r>
      <w:r w:rsidR="007E7B91" w:rsidRPr="00E440BE">
        <w:rPr>
          <w:rFonts w:ascii="Arial" w:hAnsi="Arial" w:cs="Arial"/>
        </w:rPr>
        <w:t>.</w:t>
      </w:r>
      <w:proofErr w:type="gramEnd"/>
    </w:p>
    <w:p w14:paraId="26D632AD" w14:textId="77777777" w:rsidR="007E7B91" w:rsidRPr="00E440BE" w:rsidRDefault="007E7B91" w:rsidP="00FC5510">
      <w:pPr>
        <w:pStyle w:val="ListParagraph"/>
        <w:spacing w:after="0" w:line="240" w:lineRule="auto"/>
        <w:ind w:left="360"/>
        <w:contextualSpacing w:val="0"/>
        <w:jc w:val="both"/>
        <w:rPr>
          <w:rFonts w:ascii="Arial" w:hAnsi="Arial" w:cs="Arial"/>
        </w:rPr>
      </w:pPr>
    </w:p>
    <w:p w14:paraId="61CC528D" w14:textId="7AF19F38" w:rsidR="00BB6AE3" w:rsidRPr="00E440BE" w:rsidRDefault="00256D3E" w:rsidP="00FC5510">
      <w:pPr>
        <w:pStyle w:val="ListParagraph"/>
        <w:numPr>
          <w:ilvl w:val="0"/>
          <w:numId w:val="10"/>
        </w:numPr>
        <w:spacing w:after="0" w:line="240" w:lineRule="auto"/>
        <w:contextualSpacing w:val="0"/>
        <w:jc w:val="both"/>
        <w:rPr>
          <w:rFonts w:ascii="Arial" w:hAnsi="Arial" w:cs="Arial"/>
        </w:rPr>
      </w:pPr>
      <w:r w:rsidRPr="00E440BE">
        <w:rPr>
          <w:rFonts w:ascii="Arial" w:hAnsi="Arial" w:cs="Arial"/>
        </w:rPr>
        <w:t>“</w:t>
      </w:r>
      <w:r w:rsidRPr="00E440BE">
        <w:rPr>
          <w:rFonts w:ascii="Arial" w:hAnsi="Arial" w:cs="Arial"/>
          <w:b/>
          <w:bCs/>
        </w:rPr>
        <w:t>UBOs</w:t>
      </w:r>
      <w:r w:rsidRPr="00E440BE">
        <w:rPr>
          <w:rFonts w:ascii="Arial" w:hAnsi="Arial" w:cs="Arial"/>
        </w:rPr>
        <w:t xml:space="preserve">” means the Johnson Family, </w:t>
      </w:r>
      <w:r w:rsidR="00523715" w:rsidRPr="00E440BE">
        <w:rPr>
          <w:rFonts w:ascii="Arial" w:hAnsi="Arial" w:cs="Arial"/>
        </w:rPr>
        <w:t>LLS Private Equity Fund Ltd. and Cinderella Investment Ltd.</w:t>
      </w:r>
      <w:r w:rsidR="0016383A">
        <w:rPr>
          <w:rFonts w:ascii="Arial" w:hAnsi="Arial" w:cs="Arial"/>
          <w:lang/>
        </w:rPr>
        <w:t xml:space="preserve">, and any respective </w:t>
      </w:r>
      <w:r w:rsidR="00656FBF">
        <w:rPr>
          <w:rFonts w:ascii="Arial" w:hAnsi="Arial" w:cs="Arial"/>
          <w:lang/>
        </w:rPr>
        <w:t>shareholders thereof</w:t>
      </w:r>
      <w:r w:rsidR="00523715" w:rsidRPr="00E440BE">
        <w:rPr>
          <w:rFonts w:ascii="Arial" w:hAnsi="Arial" w:cs="Arial"/>
        </w:rPr>
        <w:t>.</w:t>
      </w:r>
    </w:p>
    <w:p w14:paraId="23743E44" w14:textId="77777777" w:rsidR="007E7B91" w:rsidRPr="00E440BE" w:rsidRDefault="007E7B91" w:rsidP="00FC5510">
      <w:pPr>
        <w:pStyle w:val="ListParagraph"/>
        <w:spacing w:after="0" w:line="240" w:lineRule="auto"/>
        <w:ind w:left="360"/>
        <w:contextualSpacing w:val="0"/>
        <w:jc w:val="both"/>
        <w:rPr>
          <w:rFonts w:ascii="Arial" w:hAnsi="Arial" w:cs="Arial"/>
        </w:rPr>
      </w:pPr>
    </w:p>
    <w:p w14:paraId="5192D86A" w14:textId="3CBF0EDD" w:rsidR="00FA2034" w:rsidRPr="00E440BE" w:rsidRDefault="00E6329C" w:rsidP="00FC5510">
      <w:pPr>
        <w:pStyle w:val="ListParagraph"/>
        <w:numPr>
          <w:ilvl w:val="0"/>
          <w:numId w:val="10"/>
        </w:numPr>
        <w:spacing w:after="0" w:line="240" w:lineRule="auto"/>
        <w:contextualSpacing w:val="0"/>
        <w:jc w:val="both"/>
        <w:rPr>
          <w:rFonts w:ascii="Arial" w:hAnsi="Arial" w:cs="Arial"/>
        </w:rPr>
      </w:pPr>
      <w:r w:rsidRPr="00E440BE">
        <w:rPr>
          <w:rFonts w:ascii="Arial" w:hAnsi="Arial" w:cs="Arial"/>
        </w:rPr>
        <w:t xml:space="preserve">Unless another reference is provided, references to </w:t>
      </w:r>
      <w:r w:rsidR="00FA2034" w:rsidRPr="00E440BE">
        <w:rPr>
          <w:rFonts w:ascii="Arial" w:hAnsi="Arial" w:cs="Arial"/>
        </w:rPr>
        <w:t>“</w:t>
      </w:r>
      <w:r w:rsidR="00FA2034" w:rsidRPr="00E440BE">
        <w:rPr>
          <w:rFonts w:ascii="Arial" w:hAnsi="Arial" w:cs="Arial"/>
          <w:b/>
          <w:bCs/>
        </w:rPr>
        <w:t>Adriaans</w:t>
      </w:r>
      <w:r w:rsidR="00D41DF1" w:rsidRPr="00E440BE">
        <w:rPr>
          <w:rFonts w:ascii="Arial" w:hAnsi="Arial" w:cs="Arial"/>
          <w:b/>
          <w:bCs/>
        </w:rPr>
        <w:t>e</w:t>
      </w:r>
      <w:r w:rsidR="00FA2034" w:rsidRPr="00E440BE">
        <w:rPr>
          <w:rFonts w:ascii="Arial" w:hAnsi="Arial" w:cs="Arial"/>
          <w:b/>
          <w:bCs/>
        </w:rPr>
        <w:t xml:space="preserve"> and</w:t>
      </w:r>
      <w:r w:rsidR="00D41DF1" w:rsidRPr="00E440BE">
        <w:rPr>
          <w:rFonts w:ascii="Arial" w:hAnsi="Arial" w:cs="Arial"/>
          <w:b/>
          <w:bCs/>
        </w:rPr>
        <w:t xml:space="preserve"> </w:t>
      </w:r>
      <w:proofErr w:type="spellStart"/>
      <w:r w:rsidR="00FA2034" w:rsidRPr="00E440BE">
        <w:rPr>
          <w:rFonts w:ascii="Arial" w:hAnsi="Arial" w:cs="Arial"/>
          <w:b/>
          <w:bCs/>
        </w:rPr>
        <w:t>Kuijl</w:t>
      </w:r>
      <w:proofErr w:type="spellEnd"/>
      <w:r w:rsidR="00FA2034" w:rsidRPr="00E440BE">
        <w:rPr>
          <w:rFonts w:ascii="Arial" w:hAnsi="Arial" w:cs="Arial"/>
        </w:rPr>
        <w:t>”</w:t>
      </w:r>
      <w:r w:rsidR="00D41DF1" w:rsidRPr="00E440BE">
        <w:rPr>
          <w:rFonts w:ascii="Arial" w:hAnsi="Arial" w:cs="Arial"/>
        </w:rPr>
        <w:t>, “</w:t>
      </w:r>
      <w:proofErr w:type="spellStart"/>
      <w:r w:rsidR="00D41DF1" w:rsidRPr="00E440BE">
        <w:rPr>
          <w:rFonts w:ascii="Arial" w:hAnsi="Arial" w:cs="Arial"/>
          <w:b/>
          <w:bCs/>
        </w:rPr>
        <w:t>Mellahi</w:t>
      </w:r>
      <w:proofErr w:type="spellEnd"/>
      <w:r w:rsidR="000C6422" w:rsidRPr="00E440BE">
        <w:rPr>
          <w:rFonts w:ascii="Arial" w:hAnsi="Arial" w:cs="Arial"/>
          <w:b/>
          <w:bCs/>
        </w:rPr>
        <w:t xml:space="preserve"> and Wilkson</w:t>
      </w:r>
      <w:r w:rsidR="00D41DF1" w:rsidRPr="00E440BE">
        <w:rPr>
          <w:rFonts w:ascii="Arial" w:hAnsi="Arial" w:cs="Arial"/>
        </w:rPr>
        <w:t>”</w:t>
      </w:r>
      <w:r w:rsidR="000C6422" w:rsidRPr="00E440BE">
        <w:rPr>
          <w:rFonts w:ascii="Arial" w:hAnsi="Arial" w:cs="Arial"/>
        </w:rPr>
        <w:t>, “</w:t>
      </w:r>
      <w:r w:rsidR="000C6422" w:rsidRPr="00E440BE">
        <w:rPr>
          <w:rFonts w:ascii="Arial" w:hAnsi="Arial" w:cs="Arial"/>
          <w:b/>
          <w:bCs/>
        </w:rPr>
        <w:t>Pajunen</w:t>
      </w:r>
      <w:r w:rsidR="000C6422" w:rsidRPr="00E440BE">
        <w:rPr>
          <w:rFonts w:ascii="Arial" w:hAnsi="Arial" w:cs="Arial"/>
        </w:rPr>
        <w:t>”</w:t>
      </w:r>
      <w:r w:rsidR="00ED78E2">
        <w:rPr>
          <w:rFonts w:ascii="Arial" w:hAnsi="Arial" w:cs="Arial"/>
          <w:lang/>
        </w:rPr>
        <w:t xml:space="preserve"> or </w:t>
      </w:r>
      <w:r w:rsidR="000C6422" w:rsidRPr="00E440BE">
        <w:rPr>
          <w:rFonts w:ascii="Arial" w:hAnsi="Arial" w:cs="Arial"/>
        </w:rPr>
        <w:t>“</w:t>
      </w:r>
      <w:proofErr w:type="spellStart"/>
      <w:r w:rsidR="000C6422" w:rsidRPr="00E440BE">
        <w:rPr>
          <w:rFonts w:ascii="Arial" w:hAnsi="Arial" w:cs="Arial"/>
          <w:b/>
          <w:bCs/>
        </w:rPr>
        <w:t>Sudarsanam</w:t>
      </w:r>
      <w:proofErr w:type="spellEnd"/>
      <w:r w:rsidR="000C6422" w:rsidRPr="00E440BE">
        <w:rPr>
          <w:rFonts w:ascii="Arial" w:hAnsi="Arial" w:cs="Arial"/>
          <w:b/>
          <w:bCs/>
        </w:rPr>
        <w:t xml:space="preserve"> and Lai</w:t>
      </w:r>
      <w:r w:rsidR="000C6422" w:rsidRPr="00E440BE">
        <w:rPr>
          <w:rFonts w:ascii="Arial" w:hAnsi="Arial" w:cs="Arial"/>
        </w:rPr>
        <w:t xml:space="preserve">” </w:t>
      </w:r>
      <w:r w:rsidRPr="00E440BE">
        <w:rPr>
          <w:rFonts w:ascii="Arial" w:hAnsi="Arial" w:cs="Arial"/>
        </w:rPr>
        <w:t>are references to the respective articles listed on page 9 of the Case Study.</w:t>
      </w:r>
    </w:p>
    <w:p w14:paraId="064A668B" w14:textId="77777777" w:rsidR="00FB17E1" w:rsidRDefault="00FB17E1" w:rsidP="00FC5510">
      <w:pPr>
        <w:pBdr>
          <w:bottom w:val="dotted" w:sz="24" w:space="1" w:color="auto"/>
        </w:pBdr>
        <w:spacing w:after="0" w:line="240" w:lineRule="auto"/>
        <w:jc w:val="both"/>
        <w:rPr>
          <w:rFonts w:ascii="Arial" w:hAnsi="Arial" w:cs="Arial"/>
          <w:b/>
          <w:bCs/>
        </w:rPr>
      </w:pPr>
    </w:p>
    <w:p w14:paraId="003BA754" w14:textId="77777777" w:rsidR="00BA12C6" w:rsidRPr="00E440BE" w:rsidRDefault="00BA12C6" w:rsidP="00FC5510">
      <w:pPr>
        <w:pBdr>
          <w:bottom w:val="dotted" w:sz="24" w:space="1" w:color="auto"/>
        </w:pBdr>
        <w:spacing w:after="0" w:line="240" w:lineRule="auto"/>
        <w:jc w:val="both"/>
        <w:rPr>
          <w:rFonts w:ascii="Arial" w:hAnsi="Arial" w:cs="Arial"/>
          <w:b/>
          <w:bCs/>
        </w:rPr>
      </w:pPr>
    </w:p>
    <w:p w14:paraId="678B7E04" w14:textId="77777777" w:rsidR="00F064CE" w:rsidRPr="00E440BE" w:rsidRDefault="00F064CE" w:rsidP="00FC5510">
      <w:pPr>
        <w:pBdr>
          <w:bottom w:val="dotted" w:sz="24" w:space="1" w:color="auto"/>
        </w:pBdr>
        <w:spacing w:after="0" w:line="240" w:lineRule="auto"/>
        <w:jc w:val="both"/>
        <w:rPr>
          <w:rFonts w:ascii="Arial" w:hAnsi="Arial" w:cs="Arial"/>
          <w:b/>
          <w:bCs/>
        </w:rPr>
      </w:pPr>
    </w:p>
    <w:p w14:paraId="4516718B" w14:textId="77777777" w:rsidR="007E7B91" w:rsidRPr="00E440BE" w:rsidRDefault="007E7B91" w:rsidP="00FC5510">
      <w:pPr>
        <w:spacing w:after="0" w:line="240" w:lineRule="auto"/>
        <w:jc w:val="both"/>
        <w:rPr>
          <w:rFonts w:ascii="Arial" w:hAnsi="Arial" w:cs="Arial"/>
          <w:b/>
          <w:bCs/>
          <w:i/>
          <w:iCs/>
          <w:caps/>
        </w:rPr>
      </w:pPr>
    </w:p>
    <w:p w14:paraId="685C58BB" w14:textId="77777777" w:rsidR="00CB0C97" w:rsidRDefault="00CB0C97" w:rsidP="00FC5510">
      <w:pPr>
        <w:spacing w:after="0" w:line="240" w:lineRule="auto"/>
        <w:jc w:val="both"/>
        <w:rPr>
          <w:rFonts w:ascii="Arial" w:hAnsi="Arial" w:cs="Arial"/>
          <w:b/>
          <w:bCs/>
          <w:i/>
          <w:iCs/>
          <w:caps/>
        </w:rPr>
      </w:pPr>
    </w:p>
    <w:p w14:paraId="06EEFF3A" w14:textId="77777777" w:rsidR="00BA12C6" w:rsidRPr="00E440BE" w:rsidRDefault="00BA12C6" w:rsidP="00FC5510">
      <w:pPr>
        <w:spacing w:after="0" w:line="240" w:lineRule="auto"/>
        <w:jc w:val="both"/>
        <w:rPr>
          <w:rFonts w:ascii="Arial" w:hAnsi="Arial" w:cs="Arial"/>
          <w:b/>
          <w:bCs/>
          <w:i/>
          <w:iCs/>
          <w:caps/>
        </w:rPr>
      </w:pPr>
    </w:p>
    <w:p w14:paraId="796EE764" w14:textId="3AFB918A" w:rsidR="0004705A" w:rsidRPr="00E440BE" w:rsidRDefault="0004705A" w:rsidP="00FC5510">
      <w:pPr>
        <w:spacing w:after="0" w:line="240" w:lineRule="auto"/>
        <w:jc w:val="both"/>
        <w:rPr>
          <w:rFonts w:ascii="Arial" w:hAnsi="Arial" w:cs="Arial"/>
          <w:b/>
          <w:bCs/>
          <w:caps/>
        </w:rPr>
      </w:pPr>
      <w:r w:rsidRPr="00E440BE">
        <w:rPr>
          <w:rFonts w:ascii="Arial" w:hAnsi="Arial" w:cs="Arial"/>
          <w:b/>
          <w:bCs/>
          <w:caps/>
        </w:rPr>
        <w:t>1. What were in your opinion the causes of financial distress at Flow Management (see e.g. Mellahi &amp; Wilkinson, 2004)? Could the financial distress have been prevented? If yes,</w:t>
      </w:r>
      <w:r w:rsidR="004C71B9" w:rsidRPr="00E440BE">
        <w:rPr>
          <w:rFonts w:ascii="Arial" w:hAnsi="Arial" w:cs="Arial"/>
          <w:b/>
          <w:bCs/>
          <w:caps/>
        </w:rPr>
        <w:t xml:space="preserve"> </w:t>
      </w:r>
      <w:r w:rsidRPr="00E440BE">
        <w:rPr>
          <w:rFonts w:ascii="Arial" w:hAnsi="Arial" w:cs="Arial"/>
          <w:b/>
          <w:bCs/>
          <w:caps/>
        </w:rPr>
        <w:t>explain how. If no, why not?</w:t>
      </w:r>
    </w:p>
    <w:p w14:paraId="2EAFCF68" w14:textId="77777777" w:rsidR="0004705A" w:rsidRDefault="0004705A" w:rsidP="00FC5510">
      <w:pPr>
        <w:spacing w:after="0" w:line="240" w:lineRule="auto"/>
        <w:jc w:val="both"/>
        <w:rPr>
          <w:rFonts w:ascii="Arial" w:hAnsi="Arial" w:cs="Arial"/>
        </w:rPr>
      </w:pPr>
    </w:p>
    <w:p w14:paraId="1DE65668" w14:textId="77777777" w:rsidR="006C661A" w:rsidRPr="00E440BE" w:rsidRDefault="00F367E4" w:rsidP="00FC5510">
      <w:pPr>
        <w:spacing w:after="0" w:line="240" w:lineRule="auto"/>
        <w:jc w:val="both"/>
        <w:rPr>
          <w:rFonts w:ascii="Arial" w:hAnsi="Arial" w:cs="Arial"/>
          <w:b/>
          <w:bCs/>
          <w:i/>
          <w:iCs/>
        </w:rPr>
      </w:pPr>
      <w:r w:rsidRPr="00E440BE">
        <w:rPr>
          <w:rFonts w:ascii="Arial" w:hAnsi="Arial" w:cs="Arial"/>
          <w:b/>
          <w:bCs/>
          <w:i/>
          <w:iCs/>
        </w:rPr>
        <w:t>What is financial distress?</w:t>
      </w:r>
    </w:p>
    <w:p w14:paraId="593FD880" w14:textId="77777777" w:rsidR="006C661A" w:rsidRPr="00E440BE" w:rsidRDefault="006C661A" w:rsidP="00FC5510">
      <w:pPr>
        <w:spacing w:after="0" w:line="240" w:lineRule="auto"/>
        <w:jc w:val="both"/>
        <w:rPr>
          <w:rFonts w:ascii="Arial" w:hAnsi="Arial" w:cs="Arial"/>
          <w:b/>
          <w:bCs/>
          <w:i/>
          <w:iCs/>
        </w:rPr>
      </w:pPr>
    </w:p>
    <w:p w14:paraId="6F9A5F52" w14:textId="288D8BFB" w:rsidR="0019351B" w:rsidRPr="00E440BE" w:rsidRDefault="00286206" w:rsidP="00FC5510">
      <w:pPr>
        <w:spacing w:after="0" w:line="240" w:lineRule="auto"/>
        <w:jc w:val="both"/>
        <w:rPr>
          <w:rFonts w:ascii="Arial" w:hAnsi="Arial" w:cs="Arial"/>
        </w:rPr>
      </w:pPr>
      <w:r w:rsidRPr="00E440BE">
        <w:rPr>
          <w:rFonts w:ascii="Arial" w:hAnsi="Arial" w:cs="Arial"/>
        </w:rPr>
        <w:t xml:space="preserve">As per </w:t>
      </w:r>
      <w:proofErr w:type="spellStart"/>
      <w:r w:rsidR="009457AA" w:rsidRPr="00E440BE">
        <w:rPr>
          <w:rFonts w:ascii="Arial" w:hAnsi="Arial" w:cs="Arial"/>
        </w:rPr>
        <w:t>Mrs</w:t>
      </w:r>
      <w:proofErr w:type="spellEnd"/>
      <w:r w:rsidR="009457AA" w:rsidRPr="00E440BE">
        <w:rPr>
          <w:rFonts w:ascii="Arial" w:hAnsi="Arial" w:cs="Arial"/>
        </w:rPr>
        <w:t xml:space="preserve"> Justic</w:t>
      </w:r>
      <w:r w:rsidR="00D80A46" w:rsidRPr="00E440BE">
        <w:rPr>
          <w:rFonts w:ascii="Arial" w:hAnsi="Arial" w:cs="Arial"/>
        </w:rPr>
        <w:t>e</w:t>
      </w:r>
      <w:r w:rsidR="009457AA" w:rsidRPr="00E440BE">
        <w:rPr>
          <w:rFonts w:ascii="Arial" w:hAnsi="Arial" w:cs="Arial"/>
        </w:rPr>
        <w:t xml:space="preserve"> Falk in</w:t>
      </w:r>
      <w:r w:rsidRPr="00E440BE">
        <w:rPr>
          <w:rFonts w:ascii="Arial" w:hAnsi="Arial" w:cs="Arial"/>
        </w:rPr>
        <w:t xml:space="preserve"> </w:t>
      </w:r>
      <w:r w:rsidRPr="00E440BE">
        <w:rPr>
          <w:rFonts w:ascii="Arial" w:hAnsi="Arial" w:cs="Arial"/>
          <w:i/>
          <w:iCs/>
        </w:rPr>
        <w:t xml:space="preserve">Re Sturgeon Central Asia Balanced Fund Ltd (in liquidation) </w:t>
      </w:r>
      <w:r w:rsidR="00D7632A" w:rsidRPr="00E440BE">
        <w:rPr>
          <w:rFonts w:ascii="Arial" w:hAnsi="Arial" w:cs="Arial"/>
        </w:rPr>
        <w:t>[</w:t>
      </w:r>
      <w:r w:rsidR="006C74ED" w:rsidRPr="00E440BE">
        <w:rPr>
          <w:rFonts w:ascii="Arial" w:hAnsi="Arial" w:cs="Arial"/>
        </w:rPr>
        <w:t>2019] EWHC 1215 (Ch)</w:t>
      </w:r>
      <w:r w:rsidRPr="00E440BE">
        <w:rPr>
          <w:rFonts w:ascii="Arial" w:hAnsi="Arial" w:cs="Arial"/>
        </w:rPr>
        <w:t>:</w:t>
      </w:r>
      <w:r w:rsidR="00E54901" w:rsidRPr="00E440BE">
        <w:rPr>
          <w:rFonts w:ascii="Arial" w:hAnsi="Arial" w:cs="Arial"/>
        </w:rPr>
        <w:t xml:space="preserve"> </w:t>
      </w:r>
      <w:r w:rsidRPr="00E440BE">
        <w:rPr>
          <w:rFonts w:ascii="Arial" w:hAnsi="Arial" w:cs="Arial"/>
        </w:rPr>
        <w:t>“</w:t>
      </w:r>
      <w:r w:rsidR="00E54901" w:rsidRPr="00E440BE">
        <w:rPr>
          <w:rFonts w:ascii="Arial" w:hAnsi="Arial" w:cs="Arial"/>
          <w:i/>
          <w:iCs/>
        </w:rPr>
        <w:t>It is also wholly unclear how financial distress might be determined, or what the threshold is</w:t>
      </w:r>
      <w:r w:rsidR="00E54901" w:rsidRPr="00E440BE">
        <w:rPr>
          <w:rFonts w:ascii="Arial" w:hAnsi="Arial" w:cs="Arial"/>
        </w:rPr>
        <w:t>.</w:t>
      </w:r>
      <w:r w:rsidRPr="00E440BE">
        <w:rPr>
          <w:rFonts w:ascii="Arial" w:hAnsi="Arial" w:cs="Arial"/>
        </w:rPr>
        <w:t>”</w:t>
      </w:r>
      <w:r w:rsidR="006C74ED" w:rsidRPr="00E440BE">
        <w:rPr>
          <w:rStyle w:val="FootnoteReference"/>
          <w:rFonts w:ascii="Arial" w:hAnsi="Arial" w:cs="Arial"/>
        </w:rPr>
        <w:footnoteReference w:id="2"/>
      </w:r>
    </w:p>
    <w:p w14:paraId="2B65370E" w14:textId="77777777" w:rsidR="0019351B" w:rsidRPr="00E440BE" w:rsidRDefault="0019351B" w:rsidP="00FC5510">
      <w:pPr>
        <w:spacing w:after="0" w:line="240" w:lineRule="auto"/>
        <w:jc w:val="both"/>
        <w:rPr>
          <w:rFonts w:ascii="Arial" w:hAnsi="Arial" w:cs="Arial"/>
        </w:rPr>
      </w:pPr>
    </w:p>
    <w:p w14:paraId="49D7DAA2" w14:textId="215F8AF4" w:rsidR="00971671" w:rsidRPr="00E440BE" w:rsidRDefault="00E54901" w:rsidP="00FC5510">
      <w:pPr>
        <w:spacing w:after="0" w:line="240" w:lineRule="auto"/>
        <w:jc w:val="both"/>
        <w:rPr>
          <w:rFonts w:ascii="Arial" w:hAnsi="Arial" w:cs="Arial"/>
          <w:b/>
          <w:bCs/>
          <w:i/>
          <w:iCs/>
        </w:rPr>
      </w:pPr>
      <w:r w:rsidRPr="00E440BE">
        <w:rPr>
          <w:rFonts w:ascii="Arial" w:hAnsi="Arial" w:cs="Arial"/>
        </w:rPr>
        <w:t xml:space="preserve">Granted, one might reasonably confine </w:t>
      </w:r>
      <w:r w:rsidR="00656FBF">
        <w:rPr>
          <w:rFonts w:ascii="Arial" w:hAnsi="Arial" w:cs="Arial"/>
          <w:lang/>
        </w:rPr>
        <w:t>Falk J’s</w:t>
      </w:r>
      <w:r w:rsidRPr="00E440BE">
        <w:rPr>
          <w:rFonts w:ascii="Arial" w:hAnsi="Arial" w:cs="Arial"/>
        </w:rPr>
        <w:t xml:space="preserve"> observations as</w:t>
      </w:r>
      <w:r w:rsidR="0019351B" w:rsidRPr="00E440BE">
        <w:rPr>
          <w:rFonts w:ascii="Arial" w:hAnsi="Arial" w:cs="Arial"/>
        </w:rPr>
        <w:t xml:space="preserve"> being limited to determining the meaning of financial distress in the application of </w:t>
      </w:r>
      <w:r w:rsidRPr="00E440BE">
        <w:rPr>
          <w:rFonts w:ascii="Arial" w:hAnsi="Arial" w:cs="Arial"/>
        </w:rPr>
        <w:t xml:space="preserve">the cross-border recognition of the UNCITRAL Model Law for Cross-Border Insolvency adopted by the UN Commission on International Trade Law on 30 May 1997 </w:t>
      </w:r>
      <w:r w:rsidR="00971671" w:rsidRPr="00E440BE">
        <w:rPr>
          <w:rFonts w:ascii="Arial" w:hAnsi="Arial" w:cs="Arial"/>
        </w:rPr>
        <w:t xml:space="preserve">(the </w:t>
      </w:r>
      <w:r w:rsidR="00971671" w:rsidRPr="00E440BE">
        <w:rPr>
          <w:rFonts w:ascii="Arial" w:hAnsi="Arial" w:cs="Arial"/>
          <w:b/>
          <w:bCs/>
        </w:rPr>
        <w:t>Model Law</w:t>
      </w:r>
      <w:r w:rsidR="00971671" w:rsidRPr="00E440BE">
        <w:rPr>
          <w:rFonts w:ascii="Arial" w:hAnsi="Arial" w:cs="Arial"/>
        </w:rPr>
        <w:t xml:space="preserve">) </w:t>
      </w:r>
      <w:r w:rsidRPr="00E440BE">
        <w:rPr>
          <w:rFonts w:ascii="Arial" w:hAnsi="Arial" w:cs="Arial"/>
        </w:rPr>
        <w:t xml:space="preserve">as implemented in England and Wales (and Scotland) by the Cross-Border Insolvency Regulations 2006. However, </w:t>
      </w:r>
      <w:r w:rsidR="0019351B" w:rsidRPr="00E440BE">
        <w:rPr>
          <w:rFonts w:ascii="Arial" w:hAnsi="Arial" w:cs="Arial"/>
        </w:rPr>
        <w:t xml:space="preserve">there seems to be a general reticence to seek to provide too rigid a meaning to the concept. </w:t>
      </w:r>
      <w:r w:rsidR="00971671" w:rsidRPr="00E440BE">
        <w:rPr>
          <w:rFonts w:ascii="Arial" w:hAnsi="Arial" w:cs="Arial"/>
        </w:rPr>
        <w:t xml:space="preserve">Indeed, even the World Bank Institute’s “Resolution of Financial Distress: </w:t>
      </w:r>
      <w:r w:rsidR="00971671" w:rsidRPr="00E440BE">
        <w:rPr>
          <w:rFonts w:ascii="Arial" w:hAnsi="Arial" w:cs="Arial"/>
          <w:i/>
          <w:iCs/>
        </w:rPr>
        <w:t>An International Perspective on the Design of Bankruptcy Laws,</w:t>
      </w:r>
      <w:r w:rsidR="00971671" w:rsidRPr="00E440BE">
        <w:rPr>
          <w:rFonts w:ascii="Arial" w:hAnsi="Arial" w:cs="Arial"/>
        </w:rPr>
        <w:t>”</w:t>
      </w:r>
      <w:r w:rsidR="00971671" w:rsidRPr="00E440BE">
        <w:rPr>
          <w:rStyle w:val="FootnoteReference"/>
          <w:rFonts w:ascii="Arial" w:hAnsi="Arial" w:cs="Arial"/>
        </w:rPr>
        <w:footnoteReference w:id="3"/>
      </w:r>
      <w:r w:rsidR="00971671" w:rsidRPr="00E440BE">
        <w:rPr>
          <w:rFonts w:ascii="Arial" w:hAnsi="Arial" w:cs="Arial"/>
        </w:rPr>
        <w:t xml:space="preserve"> does not seek to define financial distress. </w:t>
      </w:r>
      <w:r w:rsidR="00656FBF">
        <w:rPr>
          <w:rFonts w:ascii="Arial" w:hAnsi="Arial" w:cs="Arial"/>
          <w:lang/>
        </w:rPr>
        <w:t xml:space="preserve">In their research, </w:t>
      </w:r>
      <w:proofErr w:type="spellStart"/>
      <w:r w:rsidR="008C00FF" w:rsidRPr="00E440BE">
        <w:rPr>
          <w:rFonts w:ascii="Arial" w:hAnsi="Arial" w:cs="Arial"/>
        </w:rPr>
        <w:t>Sudarsanam</w:t>
      </w:r>
      <w:proofErr w:type="spellEnd"/>
      <w:r w:rsidR="008C00FF" w:rsidRPr="00E440BE">
        <w:rPr>
          <w:rFonts w:ascii="Arial" w:hAnsi="Arial" w:cs="Arial"/>
        </w:rPr>
        <w:t xml:space="preserve"> and Lai also </w:t>
      </w:r>
      <w:r w:rsidR="008C00FF" w:rsidRPr="00E440BE">
        <w:rPr>
          <w:rFonts w:ascii="Arial" w:hAnsi="Arial" w:cs="Arial"/>
        </w:rPr>
        <w:lastRenderedPageBreak/>
        <w:t>acknowledge that there are a range of definitions, some based on change in accounting ratios and others on stock return. They adopted the former definition.</w:t>
      </w:r>
      <w:r w:rsidR="0083022E" w:rsidRPr="00E440BE">
        <w:rPr>
          <w:rStyle w:val="FootnoteReference"/>
          <w:rFonts w:ascii="Arial" w:hAnsi="Arial" w:cs="Arial"/>
        </w:rPr>
        <w:footnoteReference w:id="4"/>
      </w:r>
    </w:p>
    <w:p w14:paraId="484FC7E1" w14:textId="77777777" w:rsidR="00F367E4" w:rsidRPr="00E440BE" w:rsidRDefault="00F367E4" w:rsidP="00FC5510">
      <w:pPr>
        <w:spacing w:after="0" w:line="240" w:lineRule="auto"/>
        <w:jc w:val="both"/>
        <w:rPr>
          <w:rFonts w:ascii="Arial" w:hAnsi="Arial" w:cs="Arial"/>
        </w:rPr>
      </w:pPr>
    </w:p>
    <w:p w14:paraId="5F8915FD" w14:textId="604B986A" w:rsidR="00F367E4" w:rsidRPr="002C409F" w:rsidRDefault="00971671" w:rsidP="00FC5510">
      <w:pPr>
        <w:spacing w:after="0" w:line="240" w:lineRule="auto"/>
        <w:jc w:val="both"/>
        <w:rPr>
          <w:rFonts w:ascii="Arial" w:hAnsi="Arial" w:cs="Arial"/>
          <w:lang/>
        </w:rPr>
      </w:pPr>
      <w:r w:rsidRPr="00E440BE">
        <w:rPr>
          <w:rFonts w:ascii="Arial" w:hAnsi="Arial" w:cs="Arial"/>
        </w:rPr>
        <w:t>That said, looking at the common use of the phrase</w:t>
      </w:r>
      <w:r w:rsidR="00FD2957" w:rsidRPr="00E440BE">
        <w:rPr>
          <w:rFonts w:ascii="Arial" w:hAnsi="Arial" w:cs="Arial"/>
        </w:rPr>
        <w:t xml:space="preserve"> (any situation where an individual’s or company’s financial condition leaves them struggling to pay their bills)</w:t>
      </w:r>
      <w:r w:rsidRPr="00E440BE">
        <w:rPr>
          <w:rFonts w:ascii="Arial" w:hAnsi="Arial" w:cs="Arial"/>
        </w:rPr>
        <w:t>,</w:t>
      </w:r>
      <w:r w:rsidR="00FD2957" w:rsidRPr="00E440BE">
        <w:rPr>
          <w:rStyle w:val="FootnoteReference"/>
          <w:rFonts w:ascii="Arial" w:hAnsi="Arial" w:cs="Arial"/>
        </w:rPr>
        <w:footnoteReference w:id="5"/>
      </w:r>
      <w:r w:rsidRPr="00E440BE">
        <w:rPr>
          <w:rFonts w:ascii="Arial" w:hAnsi="Arial" w:cs="Arial"/>
        </w:rPr>
        <w:t xml:space="preserve"> and even </w:t>
      </w:r>
      <w:r w:rsidR="00C60140" w:rsidRPr="00E440BE">
        <w:rPr>
          <w:rFonts w:ascii="Arial" w:hAnsi="Arial" w:cs="Arial"/>
        </w:rPr>
        <w:t>the</w:t>
      </w:r>
      <w:r w:rsidRPr="00E440BE">
        <w:rPr>
          <w:rFonts w:ascii="Arial" w:hAnsi="Arial" w:cs="Arial"/>
        </w:rPr>
        <w:t xml:space="preserve"> use </w:t>
      </w:r>
      <w:r w:rsidR="00C60140" w:rsidRPr="00E440BE">
        <w:rPr>
          <w:rFonts w:ascii="Arial" w:hAnsi="Arial" w:cs="Arial"/>
        </w:rPr>
        <w:t xml:space="preserve">of the phrase </w:t>
      </w:r>
      <w:r w:rsidRPr="00E440BE">
        <w:rPr>
          <w:rFonts w:ascii="Arial" w:hAnsi="Arial" w:cs="Arial"/>
        </w:rPr>
        <w:t>within the Model Law (“</w:t>
      </w:r>
      <w:r w:rsidRPr="00E440BE">
        <w:rPr>
          <w:rFonts w:ascii="Arial" w:hAnsi="Arial" w:cs="Arial"/>
          <w:i/>
          <w:iCs/>
        </w:rPr>
        <w:t xml:space="preserve">debtors experiencing </w:t>
      </w:r>
      <w:r w:rsidR="0019351B" w:rsidRPr="00E440BE">
        <w:rPr>
          <w:rFonts w:ascii="Arial" w:hAnsi="Arial" w:cs="Arial"/>
          <w:i/>
          <w:iCs/>
        </w:rPr>
        <w:t>severe</w:t>
      </w:r>
      <w:r w:rsidRPr="00E440BE">
        <w:rPr>
          <w:rFonts w:ascii="Arial" w:hAnsi="Arial" w:cs="Arial"/>
          <w:i/>
          <w:iCs/>
        </w:rPr>
        <w:t xml:space="preserve"> financial </w:t>
      </w:r>
      <w:r w:rsidR="0019351B" w:rsidRPr="00E440BE">
        <w:rPr>
          <w:rFonts w:ascii="Arial" w:hAnsi="Arial" w:cs="Arial"/>
          <w:i/>
          <w:iCs/>
        </w:rPr>
        <w:t>distress</w:t>
      </w:r>
      <w:r w:rsidRPr="00E440BE">
        <w:rPr>
          <w:rFonts w:ascii="Arial" w:hAnsi="Arial" w:cs="Arial"/>
          <w:i/>
          <w:iCs/>
        </w:rPr>
        <w:t xml:space="preserve"> or insolvency</w:t>
      </w:r>
      <w:r w:rsidRPr="00E440BE">
        <w:rPr>
          <w:rFonts w:ascii="Arial" w:hAnsi="Arial" w:cs="Arial"/>
        </w:rPr>
        <w:t xml:space="preserve">”), </w:t>
      </w:r>
      <w:r w:rsidR="00FF5653" w:rsidRPr="00E440BE">
        <w:rPr>
          <w:rFonts w:ascii="Arial" w:hAnsi="Arial" w:cs="Arial"/>
        </w:rPr>
        <w:t>th</w:t>
      </w:r>
      <w:r w:rsidR="00F367E4" w:rsidRPr="00E440BE">
        <w:rPr>
          <w:rFonts w:ascii="Arial" w:hAnsi="Arial" w:cs="Arial"/>
        </w:rPr>
        <w:t xml:space="preserve">e concept of “financial distress” </w:t>
      </w:r>
      <w:r w:rsidRPr="00E440BE">
        <w:rPr>
          <w:rFonts w:ascii="Arial" w:hAnsi="Arial" w:cs="Arial"/>
        </w:rPr>
        <w:t>can reasonably</w:t>
      </w:r>
      <w:r w:rsidR="00F367E4" w:rsidRPr="00E440BE">
        <w:rPr>
          <w:rFonts w:ascii="Arial" w:hAnsi="Arial" w:cs="Arial"/>
        </w:rPr>
        <w:t xml:space="preserve"> be considered to be akin to the </w:t>
      </w:r>
      <w:r w:rsidRPr="00E440BE">
        <w:rPr>
          <w:rFonts w:ascii="Arial" w:hAnsi="Arial" w:cs="Arial"/>
        </w:rPr>
        <w:t>circumstances that exist when a company</w:t>
      </w:r>
      <w:r w:rsidR="00F367E4" w:rsidRPr="00E440BE">
        <w:rPr>
          <w:rFonts w:ascii="Arial" w:hAnsi="Arial" w:cs="Arial"/>
        </w:rPr>
        <w:t xml:space="preserve"> “</w:t>
      </w:r>
      <w:r w:rsidRPr="00E440BE">
        <w:rPr>
          <w:rFonts w:ascii="Arial" w:hAnsi="Arial" w:cs="Arial"/>
          <w:i/>
          <w:iCs/>
        </w:rPr>
        <w:t>is or is likely to become unable to pay its debts within the mearing of section 93</w:t>
      </w:r>
      <w:r w:rsidRPr="00E440BE">
        <w:rPr>
          <w:rFonts w:ascii="Arial" w:hAnsi="Arial" w:cs="Arial"/>
        </w:rPr>
        <w:t>” (s91B of the Companies Act (2023 Revision))</w:t>
      </w:r>
      <w:r w:rsidR="0019351B" w:rsidRPr="00E440BE">
        <w:rPr>
          <w:rFonts w:ascii="Arial" w:hAnsi="Arial" w:cs="Arial"/>
        </w:rPr>
        <w:t xml:space="preserve">. In other words, the point at which, if nothing is done, the company </w:t>
      </w:r>
      <w:r w:rsidR="002C409F">
        <w:rPr>
          <w:rFonts w:ascii="Arial" w:hAnsi="Arial" w:cs="Arial"/>
          <w:lang/>
        </w:rPr>
        <w:t xml:space="preserve">can be considered </w:t>
      </w:r>
      <w:r w:rsidR="007E2584">
        <w:rPr>
          <w:rFonts w:ascii="Arial" w:hAnsi="Arial" w:cs="Arial"/>
          <w:lang/>
        </w:rPr>
        <w:t>insolvent and at risk of being wound up.</w:t>
      </w:r>
    </w:p>
    <w:p w14:paraId="22E09317" w14:textId="77777777" w:rsidR="00EB7EF4" w:rsidRPr="00E440BE" w:rsidRDefault="00EB7EF4" w:rsidP="00FC5510">
      <w:pPr>
        <w:spacing w:after="0" w:line="240" w:lineRule="auto"/>
        <w:jc w:val="both"/>
        <w:rPr>
          <w:rFonts w:ascii="Arial" w:hAnsi="Arial" w:cs="Arial"/>
          <w:b/>
          <w:bCs/>
          <w:i/>
          <w:iCs/>
        </w:rPr>
      </w:pPr>
    </w:p>
    <w:p w14:paraId="0090B4E8" w14:textId="56C8B803" w:rsidR="006C661A" w:rsidRPr="00BA12C6" w:rsidRDefault="003C6D8C" w:rsidP="00FC5510">
      <w:pPr>
        <w:spacing w:after="0" w:line="240" w:lineRule="auto"/>
        <w:jc w:val="both"/>
        <w:rPr>
          <w:rFonts w:ascii="Arial" w:hAnsi="Arial" w:cs="Arial"/>
          <w:b/>
          <w:bCs/>
          <w:i/>
          <w:iCs/>
          <w:lang/>
        </w:rPr>
      </w:pPr>
      <w:r w:rsidRPr="00E440BE">
        <w:rPr>
          <w:rFonts w:ascii="Arial" w:hAnsi="Arial" w:cs="Arial"/>
          <w:b/>
          <w:bCs/>
          <w:i/>
          <w:iCs/>
        </w:rPr>
        <w:t>What financial distress was Flow Management suffering</w:t>
      </w:r>
      <w:r w:rsidR="00BA12C6">
        <w:rPr>
          <w:rFonts w:ascii="Arial" w:hAnsi="Arial" w:cs="Arial"/>
          <w:b/>
          <w:bCs/>
          <w:i/>
          <w:iCs/>
          <w:lang/>
        </w:rPr>
        <w:t>?</w:t>
      </w:r>
    </w:p>
    <w:p w14:paraId="1987F3AB" w14:textId="77777777" w:rsidR="006C661A" w:rsidRPr="00E440BE" w:rsidRDefault="006C661A" w:rsidP="00FC5510">
      <w:pPr>
        <w:spacing w:after="0" w:line="240" w:lineRule="auto"/>
        <w:jc w:val="both"/>
        <w:rPr>
          <w:rFonts w:ascii="Arial" w:hAnsi="Arial" w:cs="Arial"/>
          <w:b/>
          <w:bCs/>
          <w:i/>
          <w:iCs/>
        </w:rPr>
      </w:pPr>
    </w:p>
    <w:p w14:paraId="12A8936A" w14:textId="48DE96A3" w:rsidR="00FC7909" w:rsidRPr="00E440BE" w:rsidRDefault="00FC7909" w:rsidP="00FC5510">
      <w:pPr>
        <w:spacing w:after="0" w:line="240" w:lineRule="auto"/>
        <w:jc w:val="both"/>
        <w:rPr>
          <w:rFonts w:ascii="Arial" w:hAnsi="Arial" w:cs="Arial"/>
          <w:b/>
          <w:bCs/>
          <w:i/>
          <w:iCs/>
        </w:rPr>
      </w:pPr>
      <w:r w:rsidRPr="00E440BE">
        <w:rPr>
          <w:rFonts w:ascii="Arial" w:hAnsi="Arial" w:cs="Arial"/>
        </w:rPr>
        <w:t>The Institute of Chartered Accountants in England and Wales contends there are six warning signs that a firm is in financial distress and needs to implement recovery measures: (1) cash flow; (2) high interest payments; (3) defaulting on bills; (4)</w:t>
      </w:r>
      <w:r w:rsidR="00BB6AE3" w:rsidRPr="00E440BE">
        <w:rPr>
          <w:rFonts w:ascii="Arial" w:hAnsi="Arial" w:cs="Arial"/>
        </w:rPr>
        <w:t> </w:t>
      </w:r>
      <w:r w:rsidRPr="00E440BE">
        <w:rPr>
          <w:rFonts w:ascii="Arial" w:hAnsi="Arial" w:cs="Arial"/>
        </w:rPr>
        <w:t>extended debtor o</w:t>
      </w:r>
      <w:r w:rsidR="00475E99">
        <w:rPr>
          <w:rFonts w:ascii="Arial" w:hAnsi="Arial" w:cs="Arial"/>
          <w:lang/>
        </w:rPr>
        <w:t>r</w:t>
      </w:r>
      <w:r w:rsidRPr="00E440BE">
        <w:rPr>
          <w:rFonts w:ascii="Arial" w:hAnsi="Arial" w:cs="Arial"/>
        </w:rPr>
        <w:t xml:space="preserve"> creditor days; (5) falling margins; and (6)</w:t>
      </w:r>
      <w:r w:rsidR="001D09CA" w:rsidRPr="00E440BE">
        <w:rPr>
          <w:rFonts w:ascii="Arial" w:hAnsi="Arial" w:cs="Arial"/>
        </w:rPr>
        <w:t> </w:t>
      </w:r>
      <w:r w:rsidRPr="00E440BE">
        <w:rPr>
          <w:rFonts w:ascii="Arial" w:hAnsi="Arial" w:cs="Arial"/>
        </w:rPr>
        <w:t>unhappiness.</w:t>
      </w:r>
      <w:r w:rsidR="0021599F" w:rsidRPr="00E440BE">
        <w:rPr>
          <w:rStyle w:val="FootnoteReference"/>
          <w:rFonts w:ascii="Arial" w:hAnsi="Arial" w:cs="Arial"/>
        </w:rPr>
        <w:footnoteReference w:id="6"/>
      </w:r>
    </w:p>
    <w:p w14:paraId="55E2C3D3" w14:textId="77777777" w:rsidR="003C6D8C" w:rsidRPr="00E440BE" w:rsidRDefault="003C6D8C" w:rsidP="00FC5510">
      <w:pPr>
        <w:spacing w:after="0" w:line="240" w:lineRule="auto"/>
        <w:jc w:val="both"/>
        <w:rPr>
          <w:rFonts w:ascii="Arial" w:hAnsi="Arial" w:cs="Arial"/>
        </w:rPr>
      </w:pPr>
    </w:p>
    <w:p w14:paraId="65C4706F" w14:textId="3F61C275" w:rsidR="00BB6AE3" w:rsidRPr="00E440BE" w:rsidRDefault="00BB6AE3" w:rsidP="00FC5510">
      <w:pPr>
        <w:spacing w:after="0" w:line="240" w:lineRule="auto"/>
        <w:jc w:val="both"/>
        <w:rPr>
          <w:rFonts w:ascii="Arial" w:hAnsi="Arial" w:cs="Arial"/>
        </w:rPr>
      </w:pPr>
      <w:r w:rsidRPr="00E440BE">
        <w:rPr>
          <w:rFonts w:ascii="Arial" w:hAnsi="Arial" w:cs="Arial"/>
        </w:rPr>
        <w:t xml:space="preserve">When judged against </w:t>
      </w:r>
      <w:proofErr w:type="gramStart"/>
      <w:r w:rsidRPr="00E440BE">
        <w:rPr>
          <w:rFonts w:ascii="Arial" w:hAnsi="Arial" w:cs="Arial"/>
        </w:rPr>
        <w:t>this criteria</w:t>
      </w:r>
      <w:proofErr w:type="gramEnd"/>
      <w:r w:rsidRPr="00E440BE">
        <w:rPr>
          <w:rFonts w:ascii="Arial" w:hAnsi="Arial" w:cs="Arial"/>
        </w:rPr>
        <w:t xml:space="preserve">, the available factual information </w:t>
      </w:r>
      <w:r w:rsidR="009D40F5" w:rsidRPr="00E440BE">
        <w:rPr>
          <w:rFonts w:ascii="Arial" w:hAnsi="Arial" w:cs="Arial"/>
        </w:rPr>
        <w:t xml:space="preserve">arguably </w:t>
      </w:r>
      <w:r w:rsidRPr="00E440BE">
        <w:rPr>
          <w:rFonts w:ascii="Arial" w:hAnsi="Arial" w:cs="Arial"/>
        </w:rPr>
        <w:t>indicate</w:t>
      </w:r>
      <w:r w:rsidR="003C6D8C" w:rsidRPr="00E440BE">
        <w:rPr>
          <w:rFonts w:ascii="Arial" w:hAnsi="Arial" w:cs="Arial"/>
        </w:rPr>
        <w:t>s</w:t>
      </w:r>
      <w:r w:rsidRPr="00E440BE">
        <w:rPr>
          <w:rFonts w:ascii="Arial" w:hAnsi="Arial" w:cs="Arial"/>
        </w:rPr>
        <w:t xml:space="preserve"> that the only sign</w:t>
      </w:r>
      <w:r w:rsidR="00F578CF" w:rsidRPr="00E440BE">
        <w:rPr>
          <w:rFonts w:ascii="Arial" w:hAnsi="Arial" w:cs="Arial"/>
        </w:rPr>
        <w:t>s</w:t>
      </w:r>
      <w:r w:rsidRPr="00E440BE">
        <w:rPr>
          <w:rFonts w:ascii="Arial" w:hAnsi="Arial" w:cs="Arial"/>
        </w:rPr>
        <w:t xml:space="preserve"> of financial distress exhibited by December 2013 were (a) falling margins</w:t>
      </w:r>
      <w:r w:rsidR="006559ED" w:rsidRPr="00E440BE">
        <w:rPr>
          <w:rFonts w:ascii="Arial" w:hAnsi="Arial" w:cs="Arial"/>
        </w:rPr>
        <w:t xml:space="preserve"> </w:t>
      </w:r>
      <w:r w:rsidRPr="00E440BE">
        <w:rPr>
          <w:rFonts w:ascii="Arial" w:hAnsi="Arial" w:cs="Arial"/>
        </w:rPr>
        <w:t>and (b)</w:t>
      </w:r>
      <w:r w:rsidR="00F578CF" w:rsidRPr="00E440BE">
        <w:rPr>
          <w:rFonts w:ascii="Arial" w:hAnsi="Arial" w:cs="Arial"/>
        </w:rPr>
        <w:t> </w:t>
      </w:r>
      <w:r w:rsidR="006559ED" w:rsidRPr="00E440BE">
        <w:rPr>
          <w:rFonts w:ascii="Arial" w:hAnsi="Arial" w:cs="Arial"/>
        </w:rPr>
        <w:t>a negative cash flow.</w:t>
      </w:r>
      <w:r w:rsidR="00F578CF" w:rsidRPr="00E440BE">
        <w:rPr>
          <w:rFonts w:ascii="Arial" w:hAnsi="Arial" w:cs="Arial"/>
        </w:rPr>
        <w:t xml:space="preserve"> </w:t>
      </w:r>
      <w:r w:rsidR="00475E99">
        <w:rPr>
          <w:rFonts w:ascii="Arial" w:hAnsi="Arial" w:cs="Arial"/>
          <w:lang/>
        </w:rPr>
        <w:t>T</w:t>
      </w:r>
      <w:proofErr w:type="spellStart"/>
      <w:r w:rsidR="00F578CF" w:rsidRPr="00E440BE">
        <w:rPr>
          <w:rFonts w:ascii="Arial" w:hAnsi="Arial" w:cs="Arial"/>
        </w:rPr>
        <w:t>hese</w:t>
      </w:r>
      <w:proofErr w:type="spellEnd"/>
      <w:r w:rsidR="00F578CF" w:rsidRPr="00E440BE">
        <w:rPr>
          <w:rFonts w:ascii="Arial" w:hAnsi="Arial" w:cs="Arial"/>
        </w:rPr>
        <w:t xml:space="preserve"> issues seem most heavily attributed to (i) formula errors; and (ii) accounting treatment. Or put another way, when analyzed in the context of </w:t>
      </w:r>
      <w:r w:rsidR="00FF5653" w:rsidRPr="00E440BE">
        <w:rPr>
          <w:rFonts w:ascii="Arial" w:hAnsi="Arial" w:cs="Arial"/>
        </w:rPr>
        <w:t>organizational</w:t>
      </w:r>
      <w:r w:rsidR="00F578CF" w:rsidRPr="00E440BE">
        <w:rPr>
          <w:rFonts w:ascii="Arial" w:hAnsi="Arial" w:cs="Arial"/>
        </w:rPr>
        <w:t xml:space="preserve"> failure, these are problems that arose from internal </w:t>
      </w:r>
      <w:r w:rsidR="00FF5653" w:rsidRPr="00E440BE">
        <w:rPr>
          <w:rFonts w:ascii="Arial" w:hAnsi="Arial" w:cs="Arial"/>
        </w:rPr>
        <w:t xml:space="preserve">(or organizational) </w:t>
      </w:r>
      <w:r w:rsidR="00F578CF" w:rsidRPr="00E440BE">
        <w:rPr>
          <w:rFonts w:ascii="Arial" w:hAnsi="Arial" w:cs="Arial"/>
        </w:rPr>
        <w:t xml:space="preserve">factors rather than </w:t>
      </w:r>
      <w:r w:rsidR="00FF5653" w:rsidRPr="00E440BE">
        <w:rPr>
          <w:rFonts w:ascii="Arial" w:hAnsi="Arial" w:cs="Arial"/>
        </w:rPr>
        <w:t>external (or environmental) factors.</w:t>
      </w:r>
    </w:p>
    <w:p w14:paraId="229B8F6F" w14:textId="77777777" w:rsidR="001D09CA" w:rsidRPr="00E440BE" w:rsidRDefault="001D09CA" w:rsidP="00FC5510">
      <w:pPr>
        <w:spacing w:after="0" w:line="240" w:lineRule="auto"/>
        <w:jc w:val="both"/>
        <w:rPr>
          <w:rFonts w:ascii="Arial" w:hAnsi="Arial" w:cs="Arial"/>
        </w:rPr>
      </w:pPr>
    </w:p>
    <w:p w14:paraId="05CB8AC7" w14:textId="3BFC9E91" w:rsidR="001D09CA" w:rsidRPr="00ED78E2" w:rsidRDefault="001D09CA" w:rsidP="00FC5510">
      <w:pPr>
        <w:spacing w:after="0" w:line="240" w:lineRule="auto"/>
        <w:jc w:val="both"/>
        <w:rPr>
          <w:rFonts w:ascii="Arial" w:hAnsi="Arial" w:cs="Arial"/>
          <w:lang/>
        </w:rPr>
      </w:pPr>
      <w:r w:rsidRPr="00E440BE">
        <w:rPr>
          <w:rFonts w:ascii="Arial" w:hAnsi="Arial" w:cs="Arial"/>
        </w:rPr>
        <w:t>Granted, as time went by,</w:t>
      </w:r>
      <w:r w:rsidR="00984601" w:rsidRPr="00E440BE">
        <w:rPr>
          <w:rFonts w:ascii="Arial" w:hAnsi="Arial" w:cs="Arial"/>
        </w:rPr>
        <w:t xml:space="preserve"> the Group started to suffer from additional “warning signs</w:t>
      </w:r>
      <w:r w:rsidR="00B00968" w:rsidRPr="00E440BE">
        <w:rPr>
          <w:rFonts w:ascii="Arial" w:hAnsi="Arial" w:cs="Arial"/>
        </w:rPr>
        <w:t>.</w:t>
      </w:r>
      <w:r w:rsidR="00984601" w:rsidRPr="00E440BE">
        <w:rPr>
          <w:rFonts w:ascii="Arial" w:hAnsi="Arial" w:cs="Arial"/>
        </w:rPr>
        <w:t>”</w:t>
      </w:r>
      <w:r w:rsidR="00B00968" w:rsidRPr="00E440BE">
        <w:rPr>
          <w:rFonts w:ascii="Arial" w:hAnsi="Arial" w:cs="Arial"/>
        </w:rPr>
        <w:t xml:space="preserve"> However, by that point, </w:t>
      </w:r>
      <w:r w:rsidR="00424049" w:rsidRPr="00E440BE">
        <w:rPr>
          <w:rFonts w:ascii="Arial" w:hAnsi="Arial" w:cs="Arial"/>
        </w:rPr>
        <w:t xml:space="preserve">it </w:t>
      </w:r>
      <w:r w:rsidR="00AA4EBB" w:rsidRPr="00E440BE">
        <w:rPr>
          <w:rFonts w:ascii="Arial" w:hAnsi="Arial" w:cs="Arial"/>
        </w:rPr>
        <w:t>may be difficult to pinpoint whether those triggers were caused by the original failings or poor implementation of the improvement plan.</w:t>
      </w:r>
      <w:r w:rsidR="00AB5A08">
        <w:rPr>
          <w:rFonts w:ascii="Arial" w:hAnsi="Arial" w:cs="Arial"/>
          <w:lang/>
        </w:rPr>
        <w:t xml:space="preserve"> One exception being the issues at subsidiary levels: </w:t>
      </w:r>
      <w:r w:rsidR="00270CC9">
        <w:rPr>
          <w:rFonts w:ascii="Arial" w:hAnsi="Arial" w:cs="Arial"/>
          <w:lang/>
        </w:rPr>
        <w:t xml:space="preserve">While the conclusion is drawn (reasonably early) that the </w:t>
      </w:r>
      <w:r w:rsidR="00270CC9" w:rsidRPr="00ED78E2">
        <w:rPr>
          <w:rFonts w:ascii="Arial" w:hAnsi="Arial" w:cs="Arial"/>
          <w:lang/>
        </w:rPr>
        <w:t xml:space="preserve">business is viable, no attention seems to have been given </w:t>
      </w:r>
      <w:r w:rsidR="004F5417" w:rsidRPr="00ED78E2">
        <w:rPr>
          <w:rFonts w:ascii="Arial" w:hAnsi="Arial" w:cs="Arial"/>
          <w:lang/>
        </w:rPr>
        <w:t xml:space="preserve">to identifying in which subsidiary losses were occurring, and whether that was due to a specific market or </w:t>
      </w:r>
      <w:r w:rsidR="005252C7" w:rsidRPr="00ED78E2">
        <w:rPr>
          <w:rFonts w:ascii="Arial" w:hAnsi="Arial" w:cs="Arial"/>
          <w:lang/>
        </w:rPr>
        <w:t xml:space="preserve">product lines (i.e. issues that might be occurring because of external factors) or </w:t>
      </w:r>
      <w:r w:rsidR="00532E40" w:rsidRPr="00ED78E2">
        <w:rPr>
          <w:rFonts w:ascii="Arial" w:hAnsi="Arial" w:cs="Arial"/>
          <w:lang/>
        </w:rPr>
        <w:t>poor management or inefficiencies (i.e.internal factors).</w:t>
      </w:r>
    </w:p>
    <w:p w14:paraId="0900C831" w14:textId="77777777" w:rsidR="003C6D8C" w:rsidRPr="00ED78E2" w:rsidRDefault="003C6D8C" w:rsidP="00FC5510">
      <w:pPr>
        <w:spacing w:after="0" w:line="240" w:lineRule="auto"/>
        <w:jc w:val="both"/>
        <w:rPr>
          <w:rFonts w:ascii="Arial" w:hAnsi="Arial" w:cs="Arial"/>
        </w:rPr>
      </w:pPr>
    </w:p>
    <w:p w14:paraId="59BD27B6" w14:textId="77777777" w:rsidR="006C661A" w:rsidRPr="00ED78E2" w:rsidRDefault="000A4C86" w:rsidP="00FC5510">
      <w:pPr>
        <w:spacing w:after="0" w:line="240" w:lineRule="auto"/>
        <w:jc w:val="both"/>
        <w:rPr>
          <w:rFonts w:ascii="Arial" w:hAnsi="Arial" w:cs="Arial"/>
          <w:b/>
          <w:bCs/>
          <w:i/>
          <w:iCs/>
        </w:rPr>
      </w:pPr>
      <w:r w:rsidRPr="00ED78E2">
        <w:rPr>
          <w:rFonts w:ascii="Arial" w:hAnsi="Arial" w:cs="Arial"/>
          <w:b/>
          <w:bCs/>
          <w:i/>
          <w:iCs/>
        </w:rPr>
        <w:t>I</w:t>
      </w:r>
      <w:r w:rsidR="00B004AC" w:rsidRPr="00ED78E2">
        <w:rPr>
          <w:rFonts w:ascii="Arial" w:hAnsi="Arial" w:cs="Arial"/>
          <w:b/>
          <w:bCs/>
          <w:i/>
          <w:iCs/>
        </w:rPr>
        <w:t xml:space="preserve">nternal </w:t>
      </w:r>
      <w:r w:rsidRPr="00ED78E2">
        <w:rPr>
          <w:rFonts w:ascii="Arial" w:hAnsi="Arial" w:cs="Arial"/>
          <w:b/>
          <w:bCs/>
          <w:i/>
          <w:iCs/>
        </w:rPr>
        <w:t>v</w:t>
      </w:r>
      <w:r w:rsidR="00B004AC" w:rsidRPr="00ED78E2">
        <w:rPr>
          <w:rFonts w:ascii="Arial" w:hAnsi="Arial" w:cs="Arial"/>
          <w:b/>
          <w:bCs/>
          <w:i/>
          <w:iCs/>
        </w:rPr>
        <w:t xml:space="preserve"> external factors</w:t>
      </w:r>
    </w:p>
    <w:p w14:paraId="255DB028" w14:textId="77777777" w:rsidR="006C661A" w:rsidRPr="00ED78E2" w:rsidRDefault="006C661A" w:rsidP="00FC5510">
      <w:pPr>
        <w:spacing w:after="0" w:line="240" w:lineRule="auto"/>
        <w:jc w:val="both"/>
        <w:rPr>
          <w:rFonts w:ascii="Arial" w:hAnsi="Arial" w:cs="Arial"/>
          <w:b/>
          <w:bCs/>
          <w:i/>
          <w:iCs/>
        </w:rPr>
      </w:pPr>
    </w:p>
    <w:p w14:paraId="42295A7E" w14:textId="77777777" w:rsidR="001C65B8" w:rsidRDefault="003C6D8C" w:rsidP="00FC5510">
      <w:pPr>
        <w:spacing w:after="0" w:line="240" w:lineRule="auto"/>
        <w:jc w:val="both"/>
        <w:rPr>
          <w:rFonts w:ascii="Arial" w:hAnsi="Arial" w:cs="Arial"/>
        </w:rPr>
      </w:pPr>
      <w:proofErr w:type="spellStart"/>
      <w:r w:rsidRPr="00ED78E2">
        <w:rPr>
          <w:rFonts w:ascii="Arial" w:hAnsi="Arial" w:cs="Arial"/>
        </w:rPr>
        <w:t>Mellahi</w:t>
      </w:r>
      <w:proofErr w:type="spellEnd"/>
      <w:r w:rsidRPr="00ED78E2">
        <w:rPr>
          <w:rFonts w:ascii="Arial" w:hAnsi="Arial" w:cs="Arial"/>
        </w:rPr>
        <w:t xml:space="preserve"> and Wilkinson argue that “</w:t>
      </w:r>
      <w:r w:rsidRPr="00ED78E2">
        <w:rPr>
          <w:rFonts w:ascii="Arial" w:hAnsi="Arial" w:cs="Arial"/>
          <w:i/>
          <w:iCs/>
        </w:rPr>
        <w:t xml:space="preserve">any attempt </w:t>
      </w:r>
      <w:r w:rsidR="006A0012" w:rsidRPr="00ED78E2">
        <w:rPr>
          <w:rFonts w:ascii="Arial" w:hAnsi="Arial" w:cs="Arial"/>
          <w:i/>
          <w:iCs/>
        </w:rPr>
        <w:t xml:space="preserve">to </w:t>
      </w:r>
      <w:r w:rsidRPr="00ED78E2">
        <w:rPr>
          <w:rFonts w:ascii="Arial" w:hAnsi="Arial" w:cs="Arial"/>
          <w:i/>
          <w:iCs/>
        </w:rPr>
        <w:t xml:space="preserve">explain organizational failure will not be complete unless the interplay between the contextual forces and organizational dynamics is taken into </w:t>
      </w:r>
      <w:proofErr w:type="gramStart"/>
      <w:r w:rsidRPr="00ED78E2">
        <w:rPr>
          <w:rFonts w:ascii="Arial" w:hAnsi="Arial" w:cs="Arial"/>
          <w:i/>
          <w:iCs/>
        </w:rPr>
        <w:t>account</w:t>
      </w:r>
      <w:r w:rsidR="006C661A" w:rsidRPr="00ED78E2">
        <w:rPr>
          <w:rFonts w:ascii="Arial" w:hAnsi="Arial" w:cs="Arial"/>
        </w:rPr>
        <w:t>.</w:t>
      </w:r>
      <w:r w:rsidRPr="00ED78E2">
        <w:rPr>
          <w:rFonts w:ascii="Arial" w:hAnsi="Arial" w:cs="Arial"/>
        </w:rPr>
        <w:t>“</w:t>
      </w:r>
      <w:proofErr w:type="gramEnd"/>
      <w:r w:rsidR="006C661A" w:rsidRPr="00ED78E2">
        <w:rPr>
          <w:rStyle w:val="FootnoteReference"/>
          <w:rFonts w:ascii="Arial" w:hAnsi="Arial" w:cs="Arial"/>
        </w:rPr>
        <w:footnoteReference w:id="7"/>
      </w:r>
      <w:r w:rsidR="0034427A" w:rsidRPr="00ED78E2">
        <w:rPr>
          <w:rFonts w:ascii="Arial" w:hAnsi="Arial" w:cs="Arial"/>
        </w:rPr>
        <w:t xml:space="preserve"> This seems fair: Nothing, particularly in international business, happens in a vacuum.</w:t>
      </w:r>
    </w:p>
    <w:p w14:paraId="4D2E5C7F" w14:textId="77777777" w:rsidR="001C65B8" w:rsidRDefault="001C65B8" w:rsidP="00FC5510">
      <w:pPr>
        <w:spacing w:after="0" w:line="240" w:lineRule="auto"/>
        <w:jc w:val="both"/>
        <w:rPr>
          <w:rFonts w:ascii="Arial" w:hAnsi="Arial" w:cs="Arial"/>
        </w:rPr>
      </w:pPr>
    </w:p>
    <w:p w14:paraId="7EAA01E2" w14:textId="530ED0E9" w:rsidR="002B2EEE" w:rsidRPr="00D47D40" w:rsidRDefault="001C65B8" w:rsidP="00FC5510">
      <w:pPr>
        <w:spacing w:after="0" w:line="240" w:lineRule="auto"/>
        <w:jc w:val="both"/>
        <w:rPr>
          <w:rFonts w:ascii="Arial" w:hAnsi="Arial" w:cs="Arial"/>
          <w:lang/>
        </w:rPr>
      </w:pPr>
      <w:r>
        <w:rPr>
          <w:rFonts w:ascii="Arial" w:hAnsi="Arial" w:cs="Arial"/>
          <w:lang/>
        </w:rPr>
        <w:t>A</w:t>
      </w:r>
      <w:proofErr w:type="spellStart"/>
      <w:r w:rsidR="00463026" w:rsidRPr="00ED78E2">
        <w:rPr>
          <w:rFonts w:ascii="Arial" w:hAnsi="Arial" w:cs="Arial"/>
        </w:rPr>
        <w:t>t</w:t>
      </w:r>
      <w:proofErr w:type="spellEnd"/>
      <w:r w:rsidR="00463026" w:rsidRPr="00ED78E2">
        <w:rPr>
          <w:rFonts w:ascii="Arial" w:hAnsi="Arial" w:cs="Arial"/>
        </w:rPr>
        <w:t xml:space="preserve"> first blush, there is</w:t>
      </w:r>
      <w:r w:rsidR="005C39C0" w:rsidRPr="00ED78E2">
        <w:rPr>
          <w:rFonts w:ascii="Arial" w:hAnsi="Arial" w:cs="Arial"/>
        </w:rPr>
        <w:t xml:space="preserve"> attraction to the </w:t>
      </w:r>
      <w:r w:rsidR="00D71CD4" w:rsidRPr="00ED78E2">
        <w:rPr>
          <w:rFonts w:ascii="Arial" w:hAnsi="Arial" w:cs="Arial"/>
        </w:rPr>
        <w:t>organization studies and organizational</w:t>
      </w:r>
      <w:r w:rsidR="00D71CD4" w:rsidRPr="00E440BE">
        <w:rPr>
          <w:rFonts w:ascii="Arial" w:hAnsi="Arial" w:cs="Arial"/>
        </w:rPr>
        <w:t xml:space="preserve"> psychology </w:t>
      </w:r>
      <w:r w:rsidR="006F2D05" w:rsidRPr="00E440BE">
        <w:rPr>
          <w:rFonts w:ascii="Arial" w:hAnsi="Arial" w:cs="Arial"/>
        </w:rPr>
        <w:t>literature</w:t>
      </w:r>
      <w:r w:rsidR="00D71CD4" w:rsidRPr="00E440BE">
        <w:rPr>
          <w:rFonts w:ascii="Arial" w:hAnsi="Arial" w:cs="Arial"/>
        </w:rPr>
        <w:t xml:space="preserve"> which </w:t>
      </w:r>
      <w:r w:rsidR="006F2D05" w:rsidRPr="00E440BE">
        <w:rPr>
          <w:rFonts w:ascii="Arial" w:hAnsi="Arial" w:cs="Arial"/>
        </w:rPr>
        <w:t>in essence</w:t>
      </w:r>
      <w:r w:rsidR="00B204DE" w:rsidRPr="00E440BE">
        <w:rPr>
          <w:rFonts w:ascii="Arial" w:hAnsi="Arial" w:cs="Arial"/>
        </w:rPr>
        <w:t xml:space="preserve"> lays the blame of corporate failings at the door </w:t>
      </w:r>
      <w:r w:rsidR="006F2D05" w:rsidRPr="00E440BE">
        <w:rPr>
          <w:rFonts w:ascii="Arial" w:hAnsi="Arial" w:cs="Arial"/>
        </w:rPr>
        <w:t>of management.</w:t>
      </w:r>
      <w:r w:rsidR="00D47D40">
        <w:rPr>
          <w:rFonts w:ascii="Arial" w:hAnsi="Arial" w:cs="Arial"/>
          <w:lang/>
        </w:rPr>
        <w:t xml:space="preserve"> </w:t>
      </w:r>
      <w:r w:rsidR="002B2EEE" w:rsidRPr="00E440BE">
        <w:rPr>
          <w:rFonts w:ascii="Arial" w:hAnsi="Arial" w:cs="Arial"/>
        </w:rPr>
        <w:lastRenderedPageBreak/>
        <w:t xml:space="preserve">Adriaanse and </w:t>
      </w:r>
      <w:proofErr w:type="spellStart"/>
      <w:r w:rsidR="00D41DF1" w:rsidRPr="00E440BE">
        <w:rPr>
          <w:rFonts w:ascii="Arial" w:hAnsi="Arial" w:cs="Arial"/>
        </w:rPr>
        <w:t>Kuijl</w:t>
      </w:r>
      <w:proofErr w:type="spellEnd"/>
      <w:r w:rsidR="002B2EEE" w:rsidRPr="00E440BE">
        <w:rPr>
          <w:rFonts w:ascii="Arial" w:hAnsi="Arial" w:cs="Arial"/>
        </w:rPr>
        <w:t xml:space="preserve"> </w:t>
      </w:r>
      <w:r w:rsidR="00D47D40">
        <w:rPr>
          <w:rFonts w:ascii="Arial" w:hAnsi="Arial" w:cs="Arial"/>
          <w:lang/>
        </w:rPr>
        <w:t xml:space="preserve">also </w:t>
      </w:r>
      <w:r w:rsidR="002B2EEE" w:rsidRPr="00E440BE">
        <w:rPr>
          <w:rFonts w:ascii="Arial" w:hAnsi="Arial" w:cs="Arial"/>
        </w:rPr>
        <w:t xml:space="preserve">say that the causes of financial </w:t>
      </w:r>
      <w:r w:rsidR="00F31E53" w:rsidRPr="00E440BE">
        <w:rPr>
          <w:rFonts w:ascii="Arial" w:hAnsi="Arial" w:cs="Arial"/>
        </w:rPr>
        <w:t>difficulties</w:t>
      </w:r>
      <w:r w:rsidR="002B2EEE" w:rsidRPr="00E440BE">
        <w:rPr>
          <w:rFonts w:ascii="Arial" w:hAnsi="Arial" w:cs="Arial"/>
        </w:rPr>
        <w:t xml:space="preserve"> mainly relate to poor </w:t>
      </w:r>
      <w:r w:rsidR="00F31E53" w:rsidRPr="00E440BE">
        <w:rPr>
          <w:rFonts w:ascii="Arial" w:hAnsi="Arial" w:cs="Arial"/>
        </w:rPr>
        <w:t>management</w:t>
      </w:r>
      <w:r w:rsidR="00D47D40">
        <w:rPr>
          <w:rFonts w:ascii="Arial" w:hAnsi="Arial" w:cs="Arial"/>
          <w:lang/>
        </w:rPr>
        <w:t>.</w:t>
      </w:r>
      <w:r w:rsidR="00D47D40">
        <w:rPr>
          <w:rStyle w:val="FootnoteReference"/>
          <w:rFonts w:ascii="Arial" w:hAnsi="Arial" w:cs="Arial"/>
          <w:lang/>
        </w:rPr>
        <w:footnoteReference w:id="8"/>
      </w:r>
    </w:p>
    <w:p w14:paraId="49D53A1B" w14:textId="77777777" w:rsidR="004544D6" w:rsidRPr="00E440BE" w:rsidRDefault="004544D6" w:rsidP="00FC5510">
      <w:pPr>
        <w:spacing w:after="0" w:line="240" w:lineRule="auto"/>
        <w:jc w:val="both"/>
        <w:rPr>
          <w:rFonts w:ascii="Arial" w:hAnsi="Arial" w:cs="Arial"/>
        </w:rPr>
      </w:pPr>
    </w:p>
    <w:p w14:paraId="0CF507B4" w14:textId="2EBCFF4C" w:rsidR="00D46ED7" w:rsidRPr="00E440BE" w:rsidRDefault="00F31E53" w:rsidP="00FC5510">
      <w:pPr>
        <w:spacing w:after="0" w:line="240" w:lineRule="auto"/>
        <w:jc w:val="both"/>
        <w:rPr>
          <w:rFonts w:ascii="Arial" w:hAnsi="Arial" w:cs="Arial"/>
        </w:rPr>
      </w:pPr>
      <w:r w:rsidRPr="00E440BE">
        <w:rPr>
          <w:rFonts w:ascii="Arial" w:hAnsi="Arial" w:cs="Arial"/>
        </w:rPr>
        <w:t>In the case of Flow Management, it would seem fair to say that its problems were indeed mainly attributable to poor management.</w:t>
      </w:r>
      <w:r w:rsidR="004544D6" w:rsidRPr="00E440BE">
        <w:rPr>
          <w:rFonts w:ascii="Arial" w:hAnsi="Arial" w:cs="Arial"/>
        </w:rPr>
        <w:t xml:space="preserve"> The work of third parties </w:t>
      </w:r>
      <w:r w:rsidR="00071077" w:rsidRPr="00E440BE">
        <w:rPr>
          <w:rFonts w:ascii="Arial" w:hAnsi="Arial" w:cs="Arial"/>
        </w:rPr>
        <w:t xml:space="preserve">identified that the business’s issues were not </w:t>
      </w:r>
      <w:r w:rsidR="004544D6" w:rsidRPr="00E440BE">
        <w:rPr>
          <w:rFonts w:ascii="Arial" w:hAnsi="Arial" w:cs="Arial"/>
        </w:rPr>
        <w:t>viability but visibility</w:t>
      </w:r>
      <w:r w:rsidR="00C63324" w:rsidRPr="00E440BE">
        <w:rPr>
          <w:rFonts w:ascii="Arial" w:hAnsi="Arial" w:cs="Arial"/>
        </w:rPr>
        <w:t xml:space="preserve"> as to what was </w:t>
      </w:r>
      <w:proofErr w:type="gramStart"/>
      <w:r w:rsidR="00C63324" w:rsidRPr="00E440BE">
        <w:rPr>
          <w:rFonts w:ascii="Arial" w:hAnsi="Arial" w:cs="Arial"/>
        </w:rPr>
        <w:t>actually going</w:t>
      </w:r>
      <w:proofErr w:type="gramEnd"/>
      <w:r w:rsidR="00C63324" w:rsidRPr="00E440BE">
        <w:rPr>
          <w:rFonts w:ascii="Arial" w:hAnsi="Arial" w:cs="Arial"/>
        </w:rPr>
        <w:t xml:space="preserve"> on within the </w:t>
      </w:r>
      <w:r w:rsidR="00D7632A" w:rsidRPr="00E440BE">
        <w:rPr>
          <w:rFonts w:ascii="Arial" w:hAnsi="Arial" w:cs="Arial"/>
        </w:rPr>
        <w:t>Group</w:t>
      </w:r>
      <w:r w:rsidR="004544D6" w:rsidRPr="00E440BE">
        <w:rPr>
          <w:rFonts w:ascii="Arial" w:hAnsi="Arial" w:cs="Arial"/>
        </w:rPr>
        <w:t xml:space="preserve">. The fact that the management </w:t>
      </w:r>
      <w:r w:rsidR="00D46ED7" w:rsidRPr="00E440BE">
        <w:rPr>
          <w:rFonts w:ascii="Arial" w:hAnsi="Arial" w:cs="Arial"/>
        </w:rPr>
        <w:t>had</w:t>
      </w:r>
      <w:r w:rsidR="00D47D40">
        <w:rPr>
          <w:rFonts w:ascii="Arial" w:hAnsi="Arial" w:cs="Arial"/>
          <w:lang/>
        </w:rPr>
        <w:t xml:space="preserve"> </w:t>
      </w:r>
      <w:r w:rsidR="00D46ED7" w:rsidRPr="00E440BE">
        <w:rPr>
          <w:rFonts w:ascii="Arial" w:hAnsi="Arial" w:cs="Arial"/>
        </w:rPr>
        <w:t>n</w:t>
      </w:r>
      <w:r w:rsidR="00D47D40">
        <w:rPr>
          <w:rFonts w:ascii="Arial" w:hAnsi="Arial" w:cs="Arial"/>
          <w:lang/>
        </w:rPr>
        <w:t>o</w:t>
      </w:r>
      <w:r w:rsidR="00D46ED7" w:rsidRPr="00E440BE">
        <w:rPr>
          <w:rFonts w:ascii="Arial" w:hAnsi="Arial" w:cs="Arial"/>
        </w:rPr>
        <w:t xml:space="preserve">t instigated a sufficiently robust system to ensure timely and accurate financial information was being provided to them was a significant </w:t>
      </w:r>
      <w:r w:rsidR="005241B2" w:rsidRPr="00E440BE">
        <w:rPr>
          <w:rFonts w:ascii="Arial" w:hAnsi="Arial" w:cs="Arial"/>
        </w:rPr>
        <w:t xml:space="preserve">and, potentially, </w:t>
      </w:r>
      <w:r w:rsidR="00F218E7" w:rsidRPr="00E440BE">
        <w:rPr>
          <w:rFonts w:ascii="Arial" w:hAnsi="Arial" w:cs="Arial"/>
        </w:rPr>
        <w:t xml:space="preserve">the </w:t>
      </w:r>
      <w:r w:rsidR="005241B2" w:rsidRPr="00E440BE">
        <w:rPr>
          <w:rFonts w:ascii="Arial" w:hAnsi="Arial" w:cs="Arial"/>
        </w:rPr>
        <w:t>root cause of the key issues.</w:t>
      </w:r>
    </w:p>
    <w:p w14:paraId="2615781E" w14:textId="77777777" w:rsidR="0004705A" w:rsidRPr="00E440BE" w:rsidRDefault="0004705A" w:rsidP="00FC5510">
      <w:pPr>
        <w:spacing w:after="0" w:line="240" w:lineRule="auto"/>
        <w:jc w:val="both"/>
        <w:rPr>
          <w:rFonts w:ascii="Arial" w:hAnsi="Arial" w:cs="Arial"/>
        </w:rPr>
      </w:pPr>
    </w:p>
    <w:p w14:paraId="02F3C13C" w14:textId="77777777" w:rsidR="0009223E" w:rsidRPr="00E440BE" w:rsidRDefault="0009223E" w:rsidP="00FC5510">
      <w:pPr>
        <w:spacing w:after="0" w:line="240" w:lineRule="auto"/>
        <w:jc w:val="both"/>
        <w:rPr>
          <w:rFonts w:ascii="Arial" w:hAnsi="Arial" w:cs="Arial"/>
          <w:b/>
          <w:bCs/>
          <w:i/>
          <w:iCs/>
        </w:rPr>
      </w:pPr>
      <w:r w:rsidRPr="00E440BE">
        <w:rPr>
          <w:rFonts w:ascii="Arial" w:hAnsi="Arial" w:cs="Arial"/>
          <w:b/>
          <w:bCs/>
          <w:i/>
          <w:iCs/>
        </w:rPr>
        <w:t>Could Flow Management’s problems have been prevented?</w:t>
      </w:r>
    </w:p>
    <w:p w14:paraId="283A1995" w14:textId="77777777" w:rsidR="00CB3850" w:rsidRPr="00E440BE" w:rsidRDefault="00CB3850" w:rsidP="00FC5510">
      <w:pPr>
        <w:spacing w:after="0" w:line="240" w:lineRule="auto"/>
        <w:jc w:val="both"/>
        <w:rPr>
          <w:rFonts w:ascii="Arial" w:hAnsi="Arial" w:cs="Arial"/>
        </w:rPr>
      </w:pPr>
    </w:p>
    <w:p w14:paraId="715B8E60" w14:textId="6EC4A470" w:rsidR="00CA4710" w:rsidRPr="009A3AEC" w:rsidRDefault="00CA4710" w:rsidP="00FC5510">
      <w:pPr>
        <w:spacing w:after="0" w:line="240" w:lineRule="auto"/>
        <w:jc w:val="both"/>
        <w:rPr>
          <w:rFonts w:ascii="Arial" w:hAnsi="Arial" w:cs="Arial"/>
          <w:lang/>
        </w:rPr>
      </w:pPr>
      <w:r w:rsidRPr="00E440BE">
        <w:rPr>
          <w:rFonts w:ascii="Arial" w:hAnsi="Arial" w:cs="Arial"/>
        </w:rPr>
        <w:t>In circumstances where it is concluded that the root cause</w:t>
      </w:r>
      <w:r w:rsidR="006C661A" w:rsidRPr="00E440BE">
        <w:rPr>
          <w:rFonts w:ascii="Arial" w:hAnsi="Arial" w:cs="Arial"/>
        </w:rPr>
        <w:t>s</w:t>
      </w:r>
      <w:r w:rsidRPr="00E440BE">
        <w:rPr>
          <w:rFonts w:ascii="Arial" w:hAnsi="Arial" w:cs="Arial"/>
        </w:rPr>
        <w:t xml:space="preserve"> of the problems were internal rather than external then, yes, prevention seems a possiblity.</w:t>
      </w:r>
      <w:r w:rsidR="00437B00" w:rsidRPr="00E440BE">
        <w:rPr>
          <w:rFonts w:ascii="Arial" w:hAnsi="Arial" w:cs="Arial"/>
        </w:rPr>
        <w:t xml:space="preserve"> It is open to management, even those with long </w:t>
      </w:r>
      <w:r w:rsidR="00C02A2E" w:rsidRPr="00E440BE">
        <w:rPr>
          <w:rFonts w:ascii="Arial" w:hAnsi="Arial" w:cs="Arial"/>
        </w:rPr>
        <w:t xml:space="preserve">tenure, </w:t>
      </w:r>
      <w:r w:rsidR="00B1621D">
        <w:rPr>
          <w:rFonts w:ascii="Arial" w:hAnsi="Arial" w:cs="Arial"/>
          <w:lang/>
        </w:rPr>
        <w:t>to</w:t>
      </w:r>
      <w:r w:rsidR="00C02A2E" w:rsidRPr="00E440BE">
        <w:rPr>
          <w:rFonts w:ascii="Arial" w:hAnsi="Arial" w:cs="Arial"/>
        </w:rPr>
        <w:t xml:space="preserve"> c</w:t>
      </w:r>
      <w:r w:rsidR="00437B00" w:rsidRPr="00E440BE">
        <w:rPr>
          <w:rFonts w:ascii="Arial" w:hAnsi="Arial" w:cs="Arial"/>
        </w:rPr>
        <w:t>onstant</w:t>
      </w:r>
      <w:r w:rsidR="00B1621D">
        <w:rPr>
          <w:rFonts w:ascii="Arial" w:hAnsi="Arial" w:cs="Arial"/>
          <w:lang/>
        </w:rPr>
        <w:t>ly</w:t>
      </w:r>
      <w:r w:rsidR="00B5062F">
        <w:rPr>
          <w:rFonts w:ascii="Arial" w:hAnsi="Arial" w:cs="Arial"/>
          <w:lang/>
        </w:rPr>
        <w:t>, and critically,</w:t>
      </w:r>
      <w:r w:rsidR="00437B00" w:rsidRPr="00E440BE">
        <w:rPr>
          <w:rFonts w:ascii="Arial" w:hAnsi="Arial" w:cs="Arial"/>
        </w:rPr>
        <w:t xml:space="preserve"> re</w:t>
      </w:r>
      <w:r w:rsidR="00C02A2E" w:rsidRPr="00E440BE">
        <w:rPr>
          <w:rFonts w:ascii="Arial" w:hAnsi="Arial" w:cs="Arial"/>
        </w:rPr>
        <w:t>-</w:t>
      </w:r>
      <w:proofErr w:type="spellStart"/>
      <w:r w:rsidR="00437B00" w:rsidRPr="00E440BE">
        <w:rPr>
          <w:rFonts w:ascii="Arial" w:hAnsi="Arial" w:cs="Arial"/>
        </w:rPr>
        <w:t>eval</w:t>
      </w:r>
      <w:r w:rsidR="00C02A2E" w:rsidRPr="00E440BE">
        <w:rPr>
          <w:rFonts w:ascii="Arial" w:hAnsi="Arial" w:cs="Arial"/>
        </w:rPr>
        <w:t>uat</w:t>
      </w:r>
      <w:proofErr w:type="spellEnd"/>
      <w:r w:rsidR="00B1621D">
        <w:rPr>
          <w:rFonts w:ascii="Arial" w:hAnsi="Arial" w:cs="Arial"/>
          <w:lang/>
        </w:rPr>
        <w:t>e</w:t>
      </w:r>
      <w:r w:rsidR="00B5062F">
        <w:rPr>
          <w:rFonts w:ascii="Arial" w:hAnsi="Arial" w:cs="Arial"/>
          <w:lang/>
        </w:rPr>
        <w:t xml:space="preserve"> their approach</w:t>
      </w:r>
      <w:r w:rsidR="00C02A2E" w:rsidRPr="00E440BE">
        <w:rPr>
          <w:rFonts w:ascii="Arial" w:hAnsi="Arial" w:cs="Arial"/>
        </w:rPr>
        <w:t xml:space="preserve"> to ensure that they are not slipping into the </w:t>
      </w:r>
      <w:r w:rsidR="00E703F5" w:rsidRPr="00E440BE">
        <w:rPr>
          <w:rFonts w:ascii="Arial" w:hAnsi="Arial" w:cs="Arial"/>
        </w:rPr>
        <w:t xml:space="preserve">pitfalls associated </w:t>
      </w:r>
      <w:r w:rsidR="0069094B" w:rsidRPr="00E440BE">
        <w:rPr>
          <w:rFonts w:ascii="Arial" w:hAnsi="Arial" w:cs="Arial"/>
        </w:rPr>
        <w:t>with Groupthink Theory, Upper Echelon Theory, Curse of Success</w:t>
      </w:r>
      <w:r w:rsidR="000C33AC" w:rsidRPr="00E440BE">
        <w:rPr>
          <w:rFonts w:ascii="Arial" w:hAnsi="Arial" w:cs="Arial"/>
        </w:rPr>
        <w:t xml:space="preserve"> and/or</w:t>
      </w:r>
      <w:r w:rsidR="0069094B" w:rsidRPr="00E440BE">
        <w:rPr>
          <w:rFonts w:ascii="Arial" w:hAnsi="Arial" w:cs="Arial"/>
        </w:rPr>
        <w:t xml:space="preserve"> Threat </w:t>
      </w:r>
      <w:r w:rsidR="000C33AC" w:rsidRPr="00E440BE">
        <w:rPr>
          <w:rFonts w:ascii="Arial" w:hAnsi="Arial" w:cs="Arial"/>
        </w:rPr>
        <w:t>Rigidity</w:t>
      </w:r>
      <w:r w:rsidR="0069094B" w:rsidRPr="00E440BE">
        <w:rPr>
          <w:rFonts w:ascii="Arial" w:hAnsi="Arial" w:cs="Arial"/>
        </w:rPr>
        <w:t xml:space="preserve"> Effect Theory</w:t>
      </w:r>
      <w:r w:rsidR="000C33AC" w:rsidRPr="00E440BE">
        <w:rPr>
          <w:rFonts w:ascii="Arial" w:hAnsi="Arial" w:cs="Arial"/>
        </w:rPr>
        <w:t>.</w:t>
      </w:r>
      <w:r w:rsidR="009A3AEC">
        <w:rPr>
          <w:rFonts w:ascii="Arial" w:hAnsi="Arial" w:cs="Arial"/>
          <w:lang/>
        </w:rPr>
        <w:t xml:space="preserve"> Indeed, had management been doing this, the issues at subsidiary level </w:t>
      </w:r>
      <w:r w:rsidR="00B1621D">
        <w:rPr>
          <w:rFonts w:ascii="Arial" w:hAnsi="Arial" w:cs="Arial"/>
          <w:lang/>
        </w:rPr>
        <w:t>would likely have been identified sooner.</w:t>
      </w:r>
    </w:p>
    <w:p w14:paraId="630A7412" w14:textId="77777777" w:rsidR="00A76938" w:rsidRPr="00E440BE" w:rsidRDefault="00A76938" w:rsidP="00FC5510">
      <w:pPr>
        <w:spacing w:after="0" w:line="240" w:lineRule="auto"/>
        <w:jc w:val="both"/>
        <w:rPr>
          <w:rFonts w:ascii="Arial" w:hAnsi="Arial" w:cs="Arial"/>
        </w:rPr>
      </w:pPr>
    </w:p>
    <w:p w14:paraId="45B88708" w14:textId="1698C4B3" w:rsidR="00A76938" w:rsidRPr="00E440BE" w:rsidRDefault="00D72333" w:rsidP="00FC5510">
      <w:pPr>
        <w:spacing w:after="0" w:line="240" w:lineRule="auto"/>
        <w:jc w:val="both"/>
        <w:rPr>
          <w:rFonts w:ascii="Arial" w:hAnsi="Arial" w:cs="Arial"/>
        </w:rPr>
      </w:pPr>
      <w:proofErr w:type="spellStart"/>
      <w:r w:rsidRPr="00E440BE">
        <w:rPr>
          <w:rFonts w:ascii="Arial" w:hAnsi="Arial" w:cs="Arial"/>
        </w:rPr>
        <w:t>Mellahi</w:t>
      </w:r>
      <w:proofErr w:type="spellEnd"/>
      <w:r w:rsidRPr="00E440BE">
        <w:rPr>
          <w:rFonts w:ascii="Arial" w:hAnsi="Arial" w:cs="Arial"/>
        </w:rPr>
        <w:t xml:space="preserve"> and Wilkinson identify that a criticism of the OS/OP perspective</w:t>
      </w:r>
      <w:r w:rsidR="00D15A39" w:rsidRPr="00E440BE">
        <w:rPr>
          <w:rFonts w:ascii="Arial" w:hAnsi="Arial" w:cs="Arial"/>
        </w:rPr>
        <w:t xml:space="preserve"> is over-reliance on internal factors</w:t>
      </w:r>
      <w:r w:rsidR="00B5062F">
        <w:rPr>
          <w:rFonts w:ascii="Arial" w:hAnsi="Arial" w:cs="Arial"/>
          <w:lang/>
        </w:rPr>
        <w:t xml:space="preserve"> when </w:t>
      </w:r>
      <w:r w:rsidR="002C133E">
        <w:rPr>
          <w:rFonts w:ascii="Arial" w:hAnsi="Arial" w:cs="Arial"/>
          <w:lang/>
        </w:rPr>
        <w:t>considering the causes of failure</w:t>
      </w:r>
      <w:r w:rsidR="00D15A39" w:rsidRPr="00E440BE">
        <w:rPr>
          <w:rFonts w:ascii="Arial" w:hAnsi="Arial" w:cs="Arial"/>
        </w:rPr>
        <w:t>.</w:t>
      </w:r>
      <w:r w:rsidR="006C661A" w:rsidRPr="00E440BE">
        <w:rPr>
          <w:rStyle w:val="FootnoteReference"/>
          <w:rFonts w:ascii="Arial" w:hAnsi="Arial" w:cs="Arial"/>
        </w:rPr>
        <w:footnoteReference w:id="9"/>
      </w:r>
      <w:r w:rsidR="00D15A39" w:rsidRPr="00E440BE">
        <w:rPr>
          <w:rFonts w:ascii="Arial" w:hAnsi="Arial" w:cs="Arial"/>
        </w:rPr>
        <w:t xml:space="preserve"> However, </w:t>
      </w:r>
      <w:r w:rsidR="005C1A62" w:rsidRPr="00E440BE">
        <w:rPr>
          <w:rFonts w:ascii="Arial" w:hAnsi="Arial" w:cs="Arial"/>
        </w:rPr>
        <w:t xml:space="preserve">even if the management </w:t>
      </w:r>
      <w:r w:rsidR="00FE0168" w:rsidRPr="00E440BE">
        <w:rPr>
          <w:rFonts w:ascii="Arial" w:hAnsi="Arial" w:cs="Arial"/>
        </w:rPr>
        <w:t>had been successful in implementing great strategi</w:t>
      </w:r>
      <w:r w:rsidR="003B372D" w:rsidRPr="00E440BE">
        <w:rPr>
          <w:rFonts w:ascii="Arial" w:hAnsi="Arial" w:cs="Arial"/>
        </w:rPr>
        <w:t>c maneuvers</w:t>
      </w:r>
      <w:r w:rsidR="00FE0168" w:rsidRPr="00E440BE">
        <w:rPr>
          <w:rFonts w:ascii="Arial" w:hAnsi="Arial" w:cs="Arial"/>
        </w:rPr>
        <w:t xml:space="preserve"> that navigated </w:t>
      </w:r>
      <w:r w:rsidR="003B372D" w:rsidRPr="00E440BE">
        <w:rPr>
          <w:rFonts w:ascii="Arial" w:hAnsi="Arial" w:cs="Arial"/>
        </w:rPr>
        <w:t>external challenges</w:t>
      </w:r>
      <w:r w:rsidR="00860A29" w:rsidRPr="00E440BE">
        <w:rPr>
          <w:rFonts w:ascii="Arial" w:hAnsi="Arial" w:cs="Arial"/>
        </w:rPr>
        <w:t>,</w:t>
      </w:r>
      <w:r w:rsidR="003B372D" w:rsidRPr="00E440BE">
        <w:rPr>
          <w:rFonts w:ascii="Arial" w:hAnsi="Arial" w:cs="Arial"/>
        </w:rPr>
        <w:t xml:space="preserve"> their lack of oversight as to what was </w:t>
      </w:r>
      <w:r w:rsidR="00860A29" w:rsidRPr="00E440BE">
        <w:rPr>
          <w:rFonts w:ascii="Arial" w:hAnsi="Arial" w:cs="Arial"/>
        </w:rPr>
        <w:t xml:space="preserve">actually </w:t>
      </w:r>
      <w:r w:rsidR="003B372D" w:rsidRPr="00E440BE">
        <w:rPr>
          <w:rFonts w:ascii="Arial" w:hAnsi="Arial" w:cs="Arial"/>
        </w:rPr>
        <w:t xml:space="preserve">happening within the business </w:t>
      </w:r>
      <w:r w:rsidR="00860A29" w:rsidRPr="00E440BE">
        <w:rPr>
          <w:rFonts w:ascii="Arial" w:hAnsi="Arial" w:cs="Arial"/>
        </w:rPr>
        <w:t>would always have ultimately led to failure at some point</w:t>
      </w:r>
      <w:r w:rsidR="00D82183" w:rsidRPr="00E440BE">
        <w:rPr>
          <w:rFonts w:ascii="Arial" w:hAnsi="Arial" w:cs="Arial"/>
        </w:rPr>
        <w:t xml:space="preserve"> because leadership decisions would be being effected based on incorrect </w:t>
      </w:r>
      <w:r w:rsidR="003549CE" w:rsidRPr="00E440BE">
        <w:rPr>
          <w:rFonts w:ascii="Arial" w:hAnsi="Arial" w:cs="Arial"/>
        </w:rPr>
        <w:t>assumptions.</w:t>
      </w:r>
    </w:p>
    <w:p w14:paraId="4CA31F5C" w14:textId="77777777" w:rsidR="002D4D71" w:rsidRPr="00E440BE" w:rsidRDefault="002D4D71" w:rsidP="00FC5510">
      <w:pPr>
        <w:spacing w:after="0" w:line="240" w:lineRule="auto"/>
        <w:rPr>
          <w:rFonts w:ascii="Arial" w:hAnsi="Arial" w:cs="Arial"/>
          <w:b/>
          <w:bCs/>
          <w:caps/>
        </w:rPr>
      </w:pPr>
    </w:p>
    <w:p w14:paraId="2473586D" w14:textId="77777777" w:rsidR="002D4D71" w:rsidRPr="00E440BE" w:rsidRDefault="002D4D71" w:rsidP="00FC5510">
      <w:pPr>
        <w:spacing w:after="0" w:line="240" w:lineRule="auto"/>
        <w:rPr>
          <w:rFonts w:ascii="Arial" w:hAnsi="Arial" w:cs="Arial"/>
          <w:b/>
          <w:bCs/>
          <w:caps/>
        </w:rPr>
      </w:pPr>
    </w:p>
    <w:p w14:paraId="6EC9949C" w14:textId="2672635C" w:rsidR="0004705A" w:rsidRPr="00E440BE" w:rsidRDefault="0004705A" w:rsidP="00FC5510">
      <w:pPr>
        <w:keepNext/>
        <w:spacing w:after="0" w:line="240" w:lineRule="auto"/>
        <w:jc w:val="both"/>
        <w:rPr>
          <w:rFonts w:ascii="Arial" w:hAnsi="Arial" w:cs="Arial"/>
          <w:b/>
          <w:bCs/>
          <w:caps/>
        </w:rPr>
      </w:pPr>
      <w:r w:rsidRPr="00E440BE">
        <w:rPr>
          <w:rFonts w:ascii="Arial" w:hAnsi="Arial" w:cs="Arial"/>
          <w:b/>
          <w:bCs/>
          <w:caps/>
        </w:rPr>
        <w:t>2. What are in general advantages and disadvantages of an out-of-court restructuring</w:t>
      </w:r>
      <w:r w:rsidR="004C71B9" w:rsidRPr="00E440BE">
        <w:rPr>
          <w:rFonts w:ascii="Arial" w:hAnsi="Arial" w:cs="Arial"/>
          <w:b/>
          <w:bCs/>
          <w:caps/>
        </w:rPr>
        <w:t xml:space="preserve"> </w:t>
      </w:r>
      <w:r w:rsidRPr="00E440BE">
        <w:rPr>
          <w:rFonts w:ascii="Arial" w:hAnsi="Arial" w:cs="Arial"/>
          <w:b/>
          <w:bCs/>
          <w:caps/>
        </w:rPr>
        <w:t>(workout) as compared to a formal bankruptcy procedure? More specific, what are the</w:t>
      </w:r>
      <w:r w:rsidR="004C71B9" w:rsidRPr="00E440BE">
        <w:rPr>
          <w:rFonts w:ascii="Arial" w:hAnsi="Arial" w:cs="Arial"/>
          <w:b/>
          <w:bCs/>
          <w:caps/>
        </w:rPr>
        <w:t xml:space="preserve"> </w:t>
      </w:r>
      <w:r w:rsidRPr="00E440BE">
        <w:rPr>
          <w:rFonts w:ascii="Arial" w:hAnsi="Arial" w:cs="Arial"/>
          <w:b/>
          <w:bCs/>
          <w:caps/>
        </w:rPr>
        <w:t>advantages versus disadvantages in your country?</w:t>
      </w:r>
    </w:p>
    <w:p w14:paraId="46570448" w14:textId="77777777" w:rsidR="0004705A" w:rsidRPr="00E440BE" w:rsidRDefault="0004705A" w:rsidP="00FC5510">
      <w:pPr>
        <w:spacing w:after="0" w:line="240" w:lineRule="auto"/>
        <w:jc w:val="both"/>
        <w:rPr>
          <w:rFonts w:ascii="Arial" w:hAnsi="Arial" w:cs="Arial"/>
          <w:b/>
          <w:bCs/>
        </w:rPr>
      </w:pPr>
    </w:p>
    <w:p w14:paraId="602B40B5" w14:textId="7E3A6F3C" w:rsidR="00CB3850" w:rsidRPr="00E440BE" w:rsidRDefault="00CB3850" w:rsidP="00FC5510">
      <w:pPr>
        <w:spacing w:after="0" w:line="240" w:lineRule="auto"/>
        <w:jc w:val="both"/>
        <w:rPr>
          <w:rFonts w:ascii="Arial" w:hAnsi="Arial" w:cs="Arial"/>
        </w:rPr>
      </w:pPr>
      <w:r w:rsidRPr="00E440BE">
        <w:rPr>
          <w:rFonts w:ascii="Arial" w:hAnsi="Arial" w:cs="Arial"/>
        </w:rPr>
        <w:t xml:space="preserve">Before addressing perceived advantages and </w:t>
      </w:r>
      <w:r w:rsidR="00342A06" w:rsidRPr="00E440BE">
        <w:rPr>
          <w:rFonts w:ascii="Arial" w:hAnsi="Arial" w:cs="Arial"/>
        </w:rPr>
        <w:t>disadvantages</w:t>
      </w:r>
      <w:r w:rsidRPr="00E440BE">
        <w:rPr>
          <w:rFonts w:ascii="Arial" w:hAnsi="Arial" w:cs="Arial"/>
        </w:rPr>
        <w:t xml:space="preserve"> of out-of-court </w:t>
      </w:r>
      <w:r w:rsidR="00342A06" w:rsidRPr="00E440BE">
        <w:rPr>
          <w:rFonts w:ascii="Arial" w:hAnsi="Arial" w:cs="Arial"/>
        </w:rPr>
        <w:t>workouts, it is important to note that it is not pos</w:t>
      </w:r>
      <w:r w:rsidR="000D3E0B" w:rsidRPr="00E440BE">
        <w:rPr>
          <w:rFonts w:ascii="Arial" w:hAnsi="Arial" w:cs="Arial"/>
        </w:rPr>
        <w:t xml:space="preserve">sible to compile one objective list. Rather, certain factors and </w:t>
      </w:r>
      <w:r w:rsidR="002D3241" w:rsidRPr="00E440BE">
        <w:rPr>
          <w:rFonts w:ascii="Arial" w:hAnsi="Arial" w:cs="Arial"/>
        </w:rPr>
        <w:t>consequences</w:t>
      </w:r>
      <w:r w:rsidR="000D3E0B" w:rsidRPr="00E440BE">
        <w:rPr>
          <w:rFonts w:ascii="Arial" w:hAnsi="Arial" w:cs="Arial"/>
        </w:rPr>
        <w:t xml:space="preserve"> could be perceived as a possible advantage or disadvantage </w:t>
      </w:r>
      <w:r w:rsidR="00F72FD1" w:rsidRPr="00E440BE">
        <w:rPr>
          <w:rFonts w:ascii="Arial" w:hAnsi="Arial" w:cs="Arial"/>
        </w:rPr>
        <w:t xml:space="preserve">based on </w:t>
      </w:r>
      <w:r w:rsidR="001705D3">
        <w:rPr>
          <w:rFonts w:ascii="Arial" w:hAnsi="Arial" w:cs="Arial"/>
          <w:lang/>
        </w:rPr>
        <w:t>an interested party’s</w:t>
      </w:r>
      <w:r w:rsidR="009818E2">
        <w:rPr>
          <w:rFonts w:ascii="Arial" w:hAnsi="Arial" w:cs="Arial"/>
          <w:lang/>
        </w:rPr>
        <w:t xml:space="preserve"> </w:t>
      </w:r>
      <w:r w:rsidR="005E6EC5" w:rsidRPr="00E440BE">
        <w:rPr>
          <w:rFonts w:ascii="Arial" w:hAnsi="Arial" w:cs="Arial"/>
        </w:rPr>
        <w:t>perspective</w:t>
      </w:r>
      <w:r w:rsidR="00FD3AB5" w:rsidRPr="00E440BE">
        <w:rPr>
          <w:rFonts w:ascii="Arial" w:hAnsi="Arial" w:cs="Arial"/>
        </w:rPr>
        <w:t xml:space="preserve"> and </w:t>
      </w:r>
      <w:proofErr w:type="gramStart"/>
      <w:r w:rsidR="00FD3AB5" w:rsidRPr="00E440BE">
        <w:rPr>
          <w:rFonts w:ascii="Arial" w:hAnsi="Arial" w:cs="Arial"/>
        </w:rPr>
        <w:t>ultimate goal</w:t>
      </w:r>
      <w:proofErr w:type="gramEnd"/>
      <w:r w:rsidR="005E6EC5" w:rsidRPr="00E440BE">
        <w:rPr>
          <w:rFonts w:ascii="Arial" w:hAnsi="Arial" w:cs="Arial"/>
        </w:rPr>
        <w:t>. Th</w:t>
      </w:r>
      <w:r w:rsidR="004F4526">
        <w:rPr>
          <w:rFonts w:ascii="Arial" w:hAnsi="Arial" w:cs="Arial"/>
          <w:lang/>
        </w:rPr>
        <w:t>e below</w:t>
      </w:r>
      <w:r w:rsidR="005E6EC5" w:rsidRPr="00E440BE">
        <w:rPr>
          <w:rFonts w:ascii="Arial" w:hAnsi="Arial" w:cs="Arial"/>
        </w:rPr>
        <w:t xml:space="preserve"> </w:t>
      </w:r>
      <w:r w:rsidR="004F4526">
        <w:rPr>
          <w:rFonts w:ascii="Arial" w:hAnsi="Arial" w:cs="Arial"/>
          <w:lang/>
        </w:rPr>
        <w:t>general response</w:t>
      </w:r>
      <w:r w:rsidR="005E6EC5" w:rsidRPr="00E440BE">
        <w:rPr>
          <w:rFonts w:ascii="Arial" w:hAnsi="Arial" w:cs="Arial"/>
        </w:rPr>
        <w:t xml:space="preserve"> is therefore </w:t>
      </w:r>
      <w:r w:rsidR="004F4526">
        <w:rPr>
          <w:rFonts w:ascii="Arial" w:hAnsi="Arial" w:cs="Arial"/>
          <w:lang/>
        </w:rPr>
        <w:t>prepared</w:t>
      </w:r>
      <w:r w:rsidR="005E6EC5" w:rsidRPr="00E440BE">
        <w:rPr>
          <w:rFonts w:ascii="Arial" w:hAnsi="Arial" w:cs="Arial"/>
        </w:rPr>
        <w:t xml:space="preserve"> from the perspective of the company/debtor</w:t>
      </w:r>
      <w:r w:rsidR="00B5719A" w:rsidRPr="00E440BE">
        <w:rPr>
          <w:rFonts w:ascii="Arial" w:hAnsi="Arial" w:cs="Arial"/>
        </w:rPr>
        <w:t xml:space="preserve"> and their management</w:t>
      </w:r>
      <w:r w:rsidR="00E375E9" w:rsidRPr="00E440BE">
        <w:rPr>
          <w:rFonts w:ascii="Arial" w:hAnsi="Arial" w:cs="Arial"/>
        </w:rPr>
        <w:t xml:space="preserve">, with the </w:t>
      </w:r>
      <w:r w:rsidR="00B57120" w:rsidRPr="00E440BE">
        <w:rPr>
          <w:rFonts w:ascii="Arial" w:hAnsi="Arial" w:cs="Arial"/>
        </w:rPr>
        <w:t>following preliminary points:</w:t>
      </w:r>
    </w:p>
    <w:p w14:paraId="344005EB" w14:textId="77777777" w:rsidR="00B57120" w:rsidRPr="00E440BE" w:rsidRDefault="00B57120" w:rsidP="00FC5510">
      <w:pPr>
        <w:spacing w:after="0" w:line="240" w:lineRule="auto"/>
        <w:jc w:val="both"/>
        <w:rPr>
          <w:rFonts w:ascii="Arial" w:hAnsi="Arial" w:cs="Arial"/>
        </w:rPr>
      </w:pPr>
    </w:p>
    <w:p w14:paraId="22EC2474" w14:textId="60A89D41" w:rsidR="00B57120" w:rsidRPr="00E440BE" w:rsidRDefault="0012483E" w:rsidP="00FC5510">
      <w:pPr>
        <w:pStyle w:val="ListParagraph"/>
        <w:numPr>
          <w:ilvl w:val="0"/>
          <w:numId w:val="8"/>
        </w:numPr>
        <w:spacing w:after="0" w:line="240" w:lineRule="auto"/>
        <w:contextualSpacing w:val="0"/>
        <w:jc w:val="both"/>
        <w:rPr>
          <w:rFonts w:ascii="Arial" w:hAnsi="Arial" w:cs="Arial"/>
        </w:rPr>
      </w:pPr>
      <w:r w:rsidRPr="00E440BE">
        <w:rPr>
          <w:rFonts w:ascii="Arial" w:hAnsi="Arial" w:cs="Arial"/>
          <w:b/>
          <w:bCs/>
          <w:i/>
          <w:iCs/>
        </w:rPr>
        <w:t>Costs</w:t>
      </w:r>
      <w:r w:rsidRPr="00E440BE">
        <w:rPr>
          <w:rFonts w:ascii="Arial" w:hAnsi="Arial" w:cs="Arial"/>
        </w:rPr>
        <w:t xml:space="preserve">: </w:t>
      </w:r>
      <w:r w:rsidR="004E24AB" w:rsidRPr="00E440BE">
        <w:rPr>
          <w:rFonts w:ascii="Arial" w:hAnsi="Arial" w:cs="Arial"/>
        </w:rPr>
        <w:t>Significant costs are usually incurred</w:t>
      </w:r>
      <w:r w:rsidR="00B57120" w:rsidRPr="00E440BE">
        <w:rPr>
          <w:rFonts w:ascii="Arial" w:hAnsi="Arial" w:cs="Arial"/>
        </w:rPr>
        <w:t xml:space="preserve"> regardless of whether an informal or formal </w:t>
      </w:r>
      <w:r w:rsidR="00727704" w:rsidRPr="00E440BE">
        <w:rPr>
          <w:rFonts w:ascii="Arial" w:hAnsi="Arial" w:cs="Arial"/>
        </w:rPr>
        <w:t>process is undertaken</w:t>
      </w:r>
      <w:r w:rsidR="00FD65D9" w:rsidRPr="00E440BE">
        <w:rPr>
          <w:rFonts w:ascii="Arial" w:hAnsi="Arial" w:cs="Arial"/>
        </w:rPr>
        <w:t>. Some consider that informal processes are more cost effective because there are limited “necessary” costs (</w:t>
      </w:r>
      <w:proofErr w:type="gramStart"/>
      <w:r w:rsidR="00DD47C9" w:rsidRPr="00E440BE">
        <w:rPr>
          <w:rFonts w:ascii="Arial" w:hAnsi="Arial" w:cs="Arial"/>
        </w:rPr>
        <w:t>e.g.</w:t>
      </w:r>
      <w:proofErr w:type="gramEnd"/>
      <w:r w:rsidR="00DD47C9" w:rsidRPr="00E440BE">
        <w:rPr>
          <w:rFonts w:ascii="Arial" w:hAnsi="Arial" w:cs="Arial"/>
        </w:rPr>
        <w:t xml:space="preserve"> </w:t>
      </w:r>
      <w:r w:rsidR="002D3241" w:rsidRPr="00E440BE">
        <w:rPr>
          <w:rFonts w:ascii="Arial" w:hAnsi="Arial" w:cs="Arial"/>
          <w:lang/>
        </w:rPr>
        <w:t xml:space="preserve">there are no </w:t>
      </w:r>
      <w:r w:rsidR="00DD47C9" w:rsidRPr="00E440BE">
        <w:rPr>
          <w:rFonts w:ascii="Arial" w:hAnsi="Arial" w:cs="Arial"/>
        </w:rPr>
        <w:t xml:space="preserve">court fees or court mandated payments, more freedom as to the engagement of professional advisors, less </w:t>
      </w:r>
      <w:r w:rsidR="00434A1C" w:rsidRPr="00E440BE">
        <w:rPr>
          <w:rFonts w:ascii="Arial" w:hAnsi="Arial" w:cs="Arial"/>
        </w:rPr>
        <w:t>risk of being forced to pay third parties’ costs</w:t>
      </w:r>
      <w:r w:rsidR="000C29B4" w:rsidRPr="00E440BE">
        <w:rPr>
          <w:rFonts w:ascii="Arial" w:hAnsi="Arial" w:cs="Arial"/>
          <w:lang/>
        </w:rPr>
        <w:t xml:space="preserve"> etc.</w:t>
      </w:r>
      <w:r w:rsidR="00FD65D9" w:rsidRPr="00E440BE">
        <w:rPr>
          <w:rFonts w:ascii="Arial" w:hAnsi="Arial" w:cs="Arial"/>
        </w:rPr>
        <w:t>)</w:t>
      </w:r>
      <w:r w:rsidR="00434A1C" w:rsidRPr="00E440BE">
        <w:rPr>
          <w:rFonts w:ascii="Arial" w:hAnsi="Arial" w:cs="Arial"/>
        </w:rPr>
        <w:t xml:space="preserve">. However, the costs of informal processes can add up, particularly if the debtor is picking up </w:t>
      </w:r>
      <w:r w:rsidR="000C29B4" w:rsidRPr="00E440BE">
        <w:rPr>
          <w:rFonts w:ascii="Arial" w:hAnsi="Arial" w:cs="Arial"/>
          <w:lang/>
        </w:rPr>
        <w:t xml:space="preserve">the costs of creditor committees and their </w:t>
      </w:r>
      <w:r w:rsidR="000C29B4" w:rsidRPr="00E440BE">
        <w:rPr>
          <w:rFonts w:ascii="Arial" w:hAnsi="Arial" w:cs="Arial"/>
          <w:lang/>
        </w:rPr>
        <w:lastRenderedPageBreak/>
        <w:t>representatives. Further, if the informal process fails, the debtor will then likely bear the burden of a formal process as well.</w:t>
      </w:r>
    </w:p>
    <w:p w14:paraId="1A3E5217" w14:textId="77777777" w:rsidR="00CB3850" w:rsidRPr="00E440BE" w:rsidRDefault="00CB3850" w:rsidP="00FC5510">
      <w:pPr>
        <w:spacing w:after="0" w:line="240" w:lineRule="auto"/>
        <w:jc w:val="both"/>
        <w:rPr>
          <w:rFonts w:ascii="Arial" w:hAnsi="Arial" w:cs="Arial"/>
          <w:b/>
          <w:bCs/>
        </w:rPr>
      </w:pPr>
    </w:p>
    <w:p w14:paraId="070A1D38" w14:textId="2C73E420" w:rsidR="004E24AB" w:rsidRPr="00E440BE" w:rsidRDefault="004E24AB" w:rsidP="00FC5510">
      <w:pPr>
        <w:pStyle w:val="ListParagraph"/>
        <w:numPr>
          <w:ilvl w:val="0"/>
          <w:numId w:val="2"/>
        </w:numPr>
        <w:spacing w:after="0" w:line="240" w:lineRule="auto"/>
        <w:contextualSpacing w:val="0"/>
        <w:jc w:val="both"/>
        <w:rPr>
          <w:rFonts w:ascii="Arial" w:hAnsi="Arial" w:cs="Arial"/>
        </w:rPr>
      </w:pPr>
      <w:r w:rsidRPr="00E440BE">
        <w:rPr>
          <w:rFonts w:ascii="Arial" w:hAnsi="Arial" w:cs="Arial"/>
          <w:b/>
          <w:bCs/>
          <w:i/>
          <w:iCs/>
        </w:rPr>
        <w:t>Preservation of market value</w:t>
      </w:r>
      <w:r w:rsidRPr="00E440BE">
        <w:rPr>
          <w:rFonts w:ascii="Arial" w:hAnsi="Arial" w:cs="Arial"/>
        </w:rPr>
        <w:t xml:space="preserve">: </w:t>
      </w:r>
      <w:r w:rsidR="00EB2B8E" w:rsidRPr="00E440BE">
        <w:rPr>
          <w:rFonts w:ascii="Arial" w:hAnsi="Arial" w:cs="Arial"/>
          <w:lang/>
        </w:rPr>
        <w:t>Re</w:t>
      </w:r>
      <w:r w:rsidR="008F0F7A" w:rsidRPr="00E440BE">
        <w:rPr>
          <w:rFonts w:ascii="Arial" w:hAnsi="Arial" w:cs="Arial"/>
        </w:rPr>
        <w:t xml:space="preserve">search </w:t>
      </w:r>
      <w:r w:rsidR="00AB767E" w:rsidRPr="00E440BE">
        <w:rPr>
          <w:rFonts w:ascii="Arial" w:hAnsi="Arial" w:cs="Arial"/>
          <w:lang/>
        </w:rPr>
        <w:t>conducted by Gilson, John and Land</w:t>
      </w:r>
      <w:r w:rsidR="00EB2B8E" w:rsidRPr="00E440BE">
        <w:rPr>
          <w:rFonts w:ascii="Arial" w:hAnsi="Arial" w:cs="Arial"/>
          <w:lang/>
        </w:rPr>
        <w:t xml:space="preserve"> indicates that shareholders tend to see better returns where out of court restructurings take place.</w:t>
      </w:r>
      <w:r w:rsidR="00EB2B8E" w:rsidRPr="00E440BE">
        <w:rPr>
          <w:rStyle w:val="FootnoteReference"/>
          <w:rFonts w:ascii="Arial" w:hAnsi="Arial" w:cs="Arial"/>
          <w:lang/>
        </w:rPr>
        <w:footnoteReference w:id="10"/>
      </w:r>
    </w:p>
    <w:p w14:paraId="2A0FA40B" w14:textId="77777777" w:rsidR="004E24AB" w:rsidRPr="00E440BE" w:rsidRDefault="004E24AB" w:rsidP="00FC5510">
      <w:pPr>
        <w:spacing w:after="0" w:line="240" w:lineRule="auto"/>
        <w:jc w:val="both"/>
        <w:rPr>
          <w:rFonts w:ascii="Arial" w:hAnsi="Arial" w:cs="Arial"/>
        </w:rPr>
      </w:pPr>
    </w:p>
    <w:p w14:paraId="06AFD41D" w14:textId="72A9C896" w:rsidR="00307019" w:rsidRPr="00E440BE" w:rsidRDefault="008B70DF" w:rsidP="00FC5510">
      <w:pPr>
        <w:keepNext/>
        <w:spacing w:after="0" w:line="240" w:lineRule="auto"/>
        <w:jc w:val="both"/>
        <w:rPr>
          <w:rFonts w:ascii="Arial" w:hAnsi="Arial" w:cs="Arial"/>
          <w:b/>
          <w:bCs/>
        </w:rPr>
      </w:pPr>
      <w:r w:rsidRPr="00E440BE">
        <w:rPr>
          <w:rFonts w:ascii="Arial" w:hAnsi="Arial" w:cs="Arial"/>
          <w:b/>
          <w:bCs/>
        </w:rPr>
        <w:t xml:space="preserve">General advantages for the </w:t>
      </w:r>
      <w:r w:rsidR="00B80566">
        <w:rPr>
          <w:rFonts w:ascii="Arial" w:hAnsi="Arial" w:cs="Arial"/>
          <w:b/>
          <w:bCs/>
          <w:lang/>
        </w:rPr>
        <w:t>c</w:t>
      </w:r>
      <w:proofErr w:type="spellStart"/>
      <w:r w:rsidRPr="00E440BE">
        <w:rPr>
          <w:rFonts w:ascii="Arial" w:hAnsi="Arial" w:cs="Arial"/>
          <w:b/>
          <w:bCs/>
        </w:rPr>
        <w:t>ompany</w:t>
      </w:r>
      <w:proofErr w:type="spellEnd"/>
      <w:r w:rsidRPr="00E440BE">
        <w:rPr>
          <w:rFonts w:ascii="Arial" w:hAnsi="Arial" w:cs="Arial"/>
          <w:b/>
          <w:bCs/>
        </w:rPr>
        <w:t xml:space="preserve"> and the incumbent management</w:t>
      </w:r>
    </w:p>
    <w:p w14:paraId="35A33D3A" w14:textId="77777777" w:rsidR="00307019" w:rsidRPr="00E440BE" w:rsidRDefault="00307019" w:rsidP="00FC5510">
      <w:pPr>
        <w:keepNext/>
        <w:spacing w:after="0" w:line="240" w:lineRule="auto"/>
        <w:jc w:val="both"/>
        <w:rPr>
          <w:rFonts w:ascii="Arial" w:hAnsi="Arial" w:cs="Arial"/>
        </w:rPr>
      </w:pPr>
    </w:p>
    <w:p w14:paraId="134C0F4F" w14:textId="3C9EEBA8" w:rsidR="0004705A" w:rsidRPr="00E440BE" w:rsidRDefault="0004705A" w:rsidP="00FC5510">
      <w:pPr>
        <w:spacing w:after="0" w:line="240" w:lineRule="auto"/>
        <w:jc w:val="both"/>
        <w:rPr>
          <w:rFonts w:ascii="Arial" w:hAnsi="Arial" w:cs="Arial"/>
        </w:rPr>
      </w:pPr>
      <w:r w:rsidRPr="00E440BE">
        <w:rPr>
          <w:rFonts w:ascii="Arial" w:hAnsi="Arial" w:cs="Arial"/>
        </w:rPr>
        <w:t>Adriaanse and Kui</w:t>
      </w:r>
      <w:r w:rsidR="002D3241" w:rsidRPr="00E440BE">
        <w:rPr>
          <w:rFonts w:ascii="Arial" w:hAnsi="Arial" w:cs="Arial"/>
          <w:lang/>
        </w:rPr>
        <w:t>jl</w:t>
      </w:r>
      <w:r w:rsidRPr="00E440BE">
        <w:rPr>
          <w:rFonts w:ascii="Arial" w:hAnsi="Arial" w:cs="Arial"/>
        </w:rPr>
        <w:t xml:space="preserve"> posit that the advantages of informal reorganizations can be summed up with the terms “</w:t>
      </w:r>
      <w:r w:rsidRPr="00E440BE">
        <w:rPr>
          <w:rFonts w:ascii="Arial" w:hAnsi="Arial" w:cs="Arial"/>
          <w:i/>
          <w:iCs/>
        </w:rPr>
        <w:t>flexibility, silence and control</w:t>
      </w:r>
      <w:r w:rsidRPr="00E440BE">
        <w:rPr>
          <w:rFonts w:ascii="Arial" w:hAnsi="Arial" w:cs="Arial"/>
        </w:rPr>
        <w:t>”</w:t>
      </w:r>
      <w:r w:rsidR="002B2EEE" w:rsidRPr="00E440BE">
        <w:rPr>
          <w:rFonts w:ascii="Arial" w:hAnsi="Arial" w:cs="Arial"/>
        </w:rPr>
        <w:t>:</w:t>
      </w:r>
    </w:p>
    <w:p w14:paraId="67F3F24F" w14:textId="77777777" w:rsidR="0004705A" w:rsidRPr="00E440BE" w:rsidRDefault="0004705A" w:rsidP="00FC5510">
      <w:pPr>
        <w:spacing w:after="0" w:line="240" w:lineRule="auto"/>
        <w:jc w:val="both"/>
        <w:rPr>
          <w:rFonts w:ascii="Arial" w:hAnsi="Arial" w:cs="Arial"/>
        </w:rPr>
      </w:pPr>
    </w:p>
    <w:p w14:paraId="37E1834F" w14:textId="4BCC5381" w:rsidR="00BB3A30" w:rsidRPr="00E440BE" w:rsidRDefault="0004705A" w:rsidP="00FC5510">
      <w:pPr>
        <w:pStyle w:val="ListParagraph"/>
        <w:numPr>
          <w:ilvl w:val="0"/>
          <w:numId w:val="1"/>
        </w:numPr>
        <w:spacing w:after="0" w:line="240" w:lineRule="auto"/>
        <w:contextualSpacing w:val="0"/>
        <w:jc w:val="both"/>
        <w:rPr>
          <w:rFonts w:ascii="Arial" w:hAnsi="Arial" w:cs="Arial"/>
        </w:rPr>
      </w:pPr>
      <w:r w:rsidRPr="00E440BE">
        <w:rPr>
          <w:rFonts w:ascii="Arial" w:hAnsi="Arial" w:cs="Arial"/>
          <w:b/>
          <w:bCs/>
          <w:i/>
          <w:iCs/>
        </w:rPr>
        <w:t xml:space="preserve">Flexibility: </w:t>
      </w:r>
      <w:r w:rsidR="002B2EEE" w:rsidRPr="00E440BE">
        <w:rPr>
          <w:rFonts w:ascii="Arial" w:hAnsi="Arial" w:cs="Arial"/>
        </w:rPr>
        <w:t>W</w:t>
      </w:r>
      <w:r w:rsidR="00DE6A1C" w:rsidRPr="00E440BE">
        <w:rPr>
          <w:rFonts w:ascii="Arial" w:hAnsi="Arial" w:cs="Arial"/>
        </w:rPr>
        <w:t>ith stakeholder buy-in</w:t>
      </w:r>
      <w:r w:rsidR="005E3628" w:rsidRPr="00E440BE">
        <w:rPr>
          <w:rFonts w:ascii="Arial" w:hAnsi="Arial" w:cs="Arial"/>
          <w:lang/>
        </w:rPr>
        <w:t xml:space="preserve"> (this being the key – and sometimes difficult to attain - element)</w:t>
      </w:r>
      <w:r w:rsidR="00DE6A1C" w:rsidRPr="00E440BE">
        <w:rPr>
          <w:rFonts w:ascii="Arial" w:hAnsi="Arial" w:cs="Arial"/>
        </w:rPr>
        <w:t xml:space="preserve">, </w:t>
      </w:r>
      <w:r w:rsidR="002B2EEE" w:rsidRPr="00E440BE">
        <w:rPr>
          <w:rFonts w:ascii="Arial" w:hAnsi="Arial" w:cs="Arial"/>
        </w:rPr>
        <w:t>a</w:t>
      </w:r>
      <w:r w:rsidR="00307019" w:rsidRPr="00E440BE">
        <w:rPr>
          <w:rFonts w:ascii="Arial" w:hAnsi="Arial" w:cs="Arial"/>
        </w:rPr>
        <w:t xml:space="preserve">lmost </w:t>
      </w:r>
      <w:r w:rsidR="00DE6A1C" w:rsidRPr="00E440BE">
        <w:rPr>
          <w:rFonts w:ascii="Arial" w:hAnsi="Arial" w:cs="Arial"/>
        </w:rPr>
        <w:t>any</w:t>
      </w:r>
      <w:r w:rsidR="002B2EEE" w:rsidRPr="00E440BE">
        <w:rPr>
          <w:rFonts w:ascii="Arial" w:hAnsi="Arial" w:cs="Arial"/>
        </w:rPr>
        <w:t xml:space="preserve"> solution is possible with </w:t>
      </w:r>
      <w:r w:rsidR="00DE6A1C" w:rsidRPr="00E440BE">
        <w:rPr>
          <w:rFonts w:ascii="Arial" w:hAnsi="Arial" w:cs="Arial"/>
        </w:rPr>
        <w:t>an out</w:t>
      </w:r>
      <w:r w:rsidR="004B6B3E" w:rsidRPr="00E440BE">
        <w:rPr>
          <w:rFonts w:ascii="Arial" w:hAnsi="Arial" w:cs="Arial"/>
        </w:rPr>
        <w:t>-</w:t>
      </w:r>
      <w:r w:rsidR="00DE6A1C" w:rsidRPr="00E440BE">
        <w:rPr>
          <w:rFonts w:ascii="Arial" w:hAnsi="Arial" w:cs="Arial"/>
        </w:rPr>
        <w:t>of</w:t>
      </w:r>
      <w:r w:rsidR="004B6B3E" w:rsidRPr="00E440BE">
        <w:rPr>
          <w:rFonts w:ascii="Arial" w:hAnsi="Arial" w:cs="Arial"/>
        </w:rPr>
        <w:t>-</w:t>
      </w:r>
      <w:r w:rsidR="00DE6A1C" w:rsidRPr="00E440BE">
        <w:rPr>
          <w:rFonts w:ascii="Arial" w:hAnsi="Arial" w:cs="Arial"/>
        </w:rPr>
        <w:t>court arrangement</w:t>
      </w:r>
      <w:r w:rsidR="00A12D7D" w:rsidRPr="00E440BE">
        <w:rPr>
          <w:rFonts w:ascii="Arial" w:hAnsi="Arial" w:cs="Arial"/>
        </w:rPr>
        <w:t>.</w:t>
      </w:r>
    </w:p>
    <w:p w14:paraId="4AFA5EB5" w14:textId="77777777" w:rsidR="002B2EEE" w:rsidRPr="00E440BE" w:rsidRDefault="002B2EEE" w:rsidP="00FC5510">
      <w:pPr>
        <w:pStyle w:val="ListParagraph"/>
        <w:spacing w:after="0" w:line="240" w:lineRule="auto"/>
        <w:ind w:left="360"/>
        <w:contextualSpacing w:val="0"/>
        <w:jc w:val="both"/>
        <w:rPr>
          <w:rFonts w:ascii="Arial" w:hAnsi="Arial" w:cs="Arial"/>
        </w:rPr>
      </w:pPr>
    </w:p>
    <w:p w14:paraId="058FC080" w14:textId="20E758D7" w:rsidR="00307019" w:rsidRPr="00E440BE" w:rsidRDefault="00307019" w:rsidP="00FC5510">
      <w:pPr>
        <w:pStyle w:val="ListParagraph"/>
        <w:numPr>
          <w:ilvl w:val="0"/>
          <w:numId w:val="1"/>
        </w:numPr>
        <w:spacing w:after="0" w:line="240" w:lineRule="auto"/>
        <w:contextualSpacing w:val="0"/>
        <w:jc w:val="both"/>
        <w:rPr>
          <w:rFonts w:ascii="Arial" w:hAnsi="Arial" w:cs="Arial"/>
        </w:rPr>
      </w:pPr>
      <w:r w:rsidRPr="00E440BE">
        <w:rPr>
          <w:rFonts w:ascii="Arial" w:hAnsi="Arial" w:cs="Arial"/>
          <w:b/>
          <w:bCs/>
          <w:i/>
          <w:iCs/>
        </w:rPr>
        <w:t>Silence:</w:t>
      </w:r>
      <w:r w:rsidR="002B2EEE" w:rsidRPr="00E440BE">
        <w:rPr>
          <w:rFonts w:ascii="Arial" w:hAnsi="Arial" w:cs="Arial"/>
          <w:b/>
          <w:bCs/>
          <w:i/>
          <w:iCs/>
        </w:rPr>
        <w:t xml:space="preserve"> </w:t>
      </w:r>
      <w:r w:rsidR="002B2EEE" w:rsidRPr="00E440BE">
        <w:rPr>
          <w:rFonts w:ascii="Arial" w:hAnsi="Arial" w:cs="Arial"/>
        </w:rPr>
        <w:t>The relative privacy o</w:t>
      </w:r>
      <w:r w:rsidR="004B6B3E" w:rsidRPr="00E440BE">
        <w:rPr>
          <w:rFonts w:ascii="Arial" w:hAnsi="Arial" w:cs="Arial"/>
        </w:rPr>
        <w:t>f</w:t>
      </w:r>
      <w:r w:rsidR="002B2EEE" w:rsidRPr="00E440BE">
        <w:rPr>
          <w:rFonts w:ascii="Arial" w:hAnsi="Arial" w:cs="Arial"/>
        </w:rPr>
        <w:t xml:space="preserve"> out-of-court restructurings enables parties to communicate more freely.</w:t>
      </w:r>
    </w:p>
    <w:p w14:paraId="36739CA7" w14:textId="77777777" w:rsidR="00BB3A30" w:rsidRPr="00E440BE" w:rsidRDefault="00BB3A30" w:rsidP="00FC5510">
      <w:pPr>
        <w:pStyle w:val="ListParagraph"/>
        <w:spacing w:after="0" w:line="240" w:lineRule="auto"/>
        <w:ind w:left="360"/>
        <w:contextualSpacing w:val="0"/>
        <w:jc w:val="both"/>
        <w:rPr>
          <w:rFonts w:ascii="Arial" w:hAnsi="Arial" w:cs="Arial"/>
        </w:rPr>
      </w:pPr>
    </w:p>
    <w:p w14:paraId="65594C28" w14:textId="5A06AC37" w:rsidR="00307019" w:rsidRPr="00E440BE" w:rsidRDefault="00307019" w:rsidP="00FC5510">
      <w:pPr>
        <w:pStyle w:val="ListParagraph"/>
        <w:numPr>
          <w:ilvl w:val="0"/>
          <w:numId w:val="1"/>
        </w:numPr>
        <w:spacing w:after="0" w:line="240" w:lineRule="auto"/>
        <w:contextualSpacing w:val="0"/>
        <w:jc w:val="both"/>
        <w:rPr>
          <w:rFonts w:ascii="Arial" w:hAnsi="Arial" w:cs="Arial"/>
        </w:rPr>
      </w:pPr>
      <w:r w:rsidRPr="00E440BE">
        <w:rPr>
          <w:rFonts w:ascii="Arial" w:hAnsi="Arial" w:cs="Arial"/>
          <w:b/>
          <w:bCs/>
          <w:i/>
          <w:iCs/>
        </w:rPr>
        <w:t xml:space="preserve">Control: </w:t>
      </w:r>
      <w:r w:rsidR="002B2EEE" w:rsidRPr="00E440BE">
        <w:rPr>
          <w:rFonts w:ascii="Arial" w:hAnsi="Arial" w:cs="Arial"/>
        </w:rPr>
        <w:t xml:space="preserve">The </w:t>
      </w:r>
      <w:r w:rsidR="00B5719A" w:rsidRPr="00E440BE">
        <w:rPr>
          <w:rFonts w:ascii="Arial" w:hAnsi="Arial" w:cs="Arial"/>
        </w:rPr>
        <w:t>ability of the management to retain control of the business throughout the negotiations and, sometimes, through the restructuring.</w:t>
      </w:r>
    </w:p>
    <w:p w14:paraId="6601940F" w14:textId="77777777" w:rsidR="0004705A" w:rsidRPr="00E440BE" w:rsidRDefault="0004705A" w:rsidP="00FC5510">
      <w:pPr>
        <w:spacing w:after="0" w:line="240" w:lineRule="auto"/>
        <w:jc w:val="both"/>
        <w:rPr>
          <w:rFonts w:ascii="Arial" w:hAnsi="Arial" w:cs="Arial"/>
        </w:rPr>
      </w:pPr>
    </w:p>
    <w:p w14:paraId="52FDA36A" w14:textId="0E98789F" w:rsidR="002B2EEE" w:rsidRPr="00E440BE" w:rsidRDefault="002B2EEE" w:rsidP="00FC5510">
      <w:pPr>
        <w:keepNext/>
        <w:spacing w:after="0" w:line="240" w:lineRule="auto"/>
        <w:jc w:val="both"/>
        <w:rPr>
          <w:rFonts w:ascii="Arial" w:hAnsi="Arial" w:cs="Arial"/>
        </w:rPr>
      </w:pPr>
      <w:r w:rsidRPr="00E440BE">
        <w:rPr>
          <w:rFonts w:ascii="Arial" w:hAnsi="Arial" w:cs="Arial"/>
        </w:rPr>
        <w:t>Other advantage</w:t>
      </w:r>
      <w:r w:rsidR="0088086F" w:rsidRPr="00E440BE">
        <w:rPr>
          <w:rFonts w:ascii="Arial" w:hAnsi="Arial" w:cs="Arial"/>
        </w:rPr>
        <w:t>s</w:t>
      </w:r>
      <w:r w:rsidR="00F3194E" w:rsidRPr="00E440BE">
        <w:rPr>
          <w:rFonts w:ascii="Arial" w:hAnsi="Arial" w:cs="Arial"/>
        </w:rPr>
        <w:t xml:space="preserve">, some of which are tacitly </w:t>
      </w:r>
      <w:r w:rsidR="005B15B0" w:rsidRPr="00E440BE">
        <w:rPr>
          <w:rFonts w:ascii="Arial" w:hAnsi="Arial" w:cs="Arial"/>
        </w:rPr>
        <w:t>incorporated</w:t>
      </w:r>
      <w:r w:rsidR="00F3194E" w:rsidRPr="00E440BE">
        <w:rPr>
          <w:rFonts w:ascii="Arial" w:hAnsi="Arial" w:cs="Arial"/>
        </w:rPr>
        <w:t xml:space="preserve"> Adriaanse and </w:t>
      </w:r>
      <w:proofErr w:type="spellStart"/>
      <w:r w:rsidR="00D41DF1" w:rsidRPr="00E440BE">
        <w:rPr>
          <w:rFonts w:ascii="Arial" w:hAnsi="Arial" w:cs="Arial"/>
        </w:rPr>
        <w:t>Kuijl</w:t>
      </w:r>
      <w:r w:rsidR="00C424AB" w:rsidRPr="00E440BE">
        <w:rPr>
          <w:rFonts w:ascii="Arial" w:hAnsi="Arial" w:cs="Arial"/>
        </w:rPr>
        <w:t>’s</w:t>
      </w:r>
      <w:proofErr w:type="spellEnd"/>
      <w:r w:rsidR="00C424AB" w:rsidRPr="00E440BE">
        <w:rPr>
          <w:rFonts w:ascii="Arial" w:hAnsi="Arial" w:cs="Arial"/>
        </w:rPr>
        <w:t xml:space="preserve"> terms, but which nonetheless warrant</w:t>
      </w:r>
      <w:r w:rsidR="00B80566">
        <w:rPr>
          <w:rFonts w:ascii="Arial" w:hAnsi="Arial" w:cs="Arial"/>
          <w:lang/>
        </w:rPr>
        <w:t xml:space="preserve"> separate</w:t>
      </w:r>
      <w:r w:rsidR="00C424AB" w:rsidRPr="00E440BE">
        <w:rPr>
          <w:rFonts w:ascii="Arial" w:hAnsi="Arial" w:cs="Arial"/>
        </w:rPr>
        <w:t xml:space="preserve"> mention are</w:t>
      </w:r>
      <w:r w:rsidRPr="00E440BE">
        <w:rPr>
          <w:rFonts w:ascii="Arial" w:hAnsi="Arial" w:cs="Arial"/>
        </w:rPr>
        <w:t>:</w:t>
      </w:r>
    </w:p>
    <w:p w14:paraId="6D76C549" w14:textId="77777777" w:rsidR="002B2EEE" w:rsidRPr="00E440BE" w:rsidRDefault="002B2EEE" w:rsidP="00FC5510">
      <w:pPr>
        <w:keepNext/>
        <w:spacing w:after="0" w:line="240" w:lineRule="auto"/>
        <w:jc w:val="both"/>
        <w:rPr>
          <w:rFonts w:ascii="Arial" w:hAnsi="Arial" w:cs="Arial"/>
        </w:rPr>
      </w:pPr>
    </w:p>
    <w:p w14:paraId="73B3E33F" w14:textId="0A581547" w:rsidR="0004705A" w:rsidRPr="00E440BE" w:rsidRDefault="0004705A" w:rsidP="00FC5510">
      <w:pPr>
        <w:pStyle w:val="ListParagraph"/>
        <w:numPr>
          <w:ilvl w:val="0"/>
          <w:numId w:val="2"/>
        </w:numPr>
        <w:spacing w:after="0" w:line="240" w:lineRule="auto"/>
        <w:contextualSpacing w:val="0"/>
        <w:jc w:val="both"/>
        <w:rPr>
          <w:rFonts w:ascii="Arial" w:hAnsi="Arial" w:cs="Arial"/>
          <w:b/>
          <w:bCs/>
          <w:i/>
          <w:iCs/>
        </w:rPr>
      </w:pPr>
      <w:r w:rsidRPr="00E440BE">
        <w:rPr>
          <w:rFonts w:ascii="Arial" w:hAnsi="Arial" w:cs="Arial"/>
          <w:b/>
          <w:bCs/>
          <w:i/>
          <w:iCs/>
        </w:rPr>
        <w:t>Less stigma / Less negative publicity</w:t>
      </w:r>
      <w:r w:rsidR="00DF16EA" w:rsidRPr="00E440BE">
        <w:rPr>
          <w:rFonts w:ascii="Arial" w:hAnsi="Arial" w:cs="Arial"/>
          <w:b/>
          <w:bCs/>
          <w:i/>
          <w:iCs/>
        </w:rPr>
        <w:t>:</w:t>
      </w:r>
      <w:r w:rsidR="00DF16EA" w:rsidRPr="00E440BE">
        <w:rPr>
          <w:rFonts w:ascii="Arial" w:hAnsi="Arial" w:cs="Arial"/>
        </w:rPr>
        <w:t xml:space="preserve"> Bankruptcy filings</w:t>
      </w:r>
      <w:r w:rsidR="00DF42C4" w:rsidRPr="00E440BE">
        <w:rPr>
          <w:rFonts w:ascii="Arial" w:hAnsi="Arial" w:cs="Arial"/>
        </w:rPr>
        <w:t xml:space="preserve">, </w:t>
      </w:r>
      <w:r w:rsidR="00DF16EA" w:rsidRPr="00E440BE">
        <w:rPr>
          <w:rFonts w:ascii="Arial" w:hAnsi="Arial" w:cs="Arial"/>
        </w:rPr>
        <w:t>winding up petitions</w:t>
      </w:r>
      <w:r w:rsidR="00DF42C4" w:rsidRPr="00E440BE">
        <w:rPr>
          <w:rFonts w:ascii="Arial" w:hAnsi="Arial" w:cs="Arial"/>
        </w:rPr>
        <w:t xml:space="preserve">, </w:t>
      </w:r>
      <w:r w:rsidR="00E72E07" w:rsidRPr="00E440BE">
        <w:rPr>
          <w:rFonts w:ascii="Arial" w:hAnsi="Arial" w:cs="Arial"/>
        </w:rPr>
        <w:t>together with</w:t>
      </w:r>
      <w:r w:rsidR="00DF42C4" w:rsidRPr="00E440BE">
        <w:rPr>
          <w:rFonts w:ascii="Arial" w:hAnsi="Arial" w:cs="Arial"/>
        </w:rPr>
        <w:t xml:space="preserve"> ancilliary documents and evidence filed in any court proceedings</w:t>
      </w:r>
      <w:r w:rsidR="00DF16EA" w:rsidRPr="00E440BE">
        <w:rPr>
          <w:rFonts w:ascii="Arial" w:hAnsi="Arial" w:cs="Arial"/>
        </w:rPr>
        <w:t xml:space="preserve"> are </w:t>
      </w:r>
      <w:r w:rsidR="00DF42C4" w:rsidRPr="00E440BE">
        <w:rPr>
          <w:rFonts w:ascii="Arial" w:hAnsi="Arial" w:cs="Arial"/>
        </w:rPr>
        <w:t xml:space="preserve">(usually) </w:t>
      </w:r>
      <w:r w:rsidR="00DF16EA" w:rsidRPr="00E440BE">
        <w:rPr>
          <w:rFonts w:ascii="Arial" w:hAnsi="Arial" w:cs="Arial"/>
        </w:rPr>
        <w:t>public record</w:t>
      </w:r>
      <w:r w:rsidR="00DB5599" w:rsidRPr="00E440BE">
        <w:rPr>
          <w:rFonts w:ascii="Arial" w:hAnsi="Arial" w:cs="Arial"/>
        </w:rPr>
        <w:t xml:space="preserve">, and </w:t>
      </w:r>
      <w:r w:rsidR="00D63812" w:rsidRPr="00E440BE">
        <w:rPr>
          <w:rFonts w:ascii="Arial" w:hAnsi="Arial" w:cs="Arial"/>
        </w:rPr>
        <w:t>can be used to generate bad press. Furthermore, there remains a stigma attached to being involved in court proceedings that can be difficult to shake, even if the approach made to the court is to seek assistance to restructure rather than wind down.</w:t>
      </w:r>
    </w:p>
    <w:p w14:paraId="5721CD0A" w14:textId="77777777" w:rsidR="0004705A" w:rsidRPr="00E440BE" w:rsidRDefault="0004705A" w:rsidP="00FC5510">
      <w:pPr>
        <w:pStyle w:val="ListParagraph"/>
        <w:spacing w:after="0" w:line="240" w:lineRule="auto"/>
        <w:contextualSpacing w:val="0"/>
        <w:jc w:val="both"/>
        <w:rPr>
          <w:rFonts w:ascii="Arial" w:hAnsi="Arial" w:cs="Arial"/>
        </w:rPr>
      </w:pPr>
    </w:p>
    <w:p w14:paraId="46C3DADD" w14:textId="2512F01E" w:rsidR="0004705A" w:rsidRPr="00E440BE" w:rsidRDefault="0004705A" w:rsidP="00FC5510">
      <w:pPr>
        <w:pStyle w:val="ListParagraph"/>
        <w:numPr>
          <w:ilvl w:val="0"/>
          <w:numId w:val="2"/>
        </w:numPr>
        <w:spacing w:after="0" w:line="240" w:lineRule="auto"/>
        <w:contextualSpacing w:val="0"/>
        <w:jc w:val="both"/>
        <w:rPr>
          <w:rFonts w:ascii="Arial" w:hAnsi="Arial" w:cs="Arial"/>
          <w:b/>
          <w:bCs/>
          <w:i/>
          <w:iCs/>
        </w:rPr>
      </w:pPr>
      <w:r w:rsidRPr="00E440BE">
        <w:rPr>
          <w:rFonts w:ascii="Arial" w:hAnsi="Arial" w:cs="Arial"/>
          <w:b/>
          <w:bCs/>
          <w:i/>
          <w:iCs/>
        </w:rPr>
        <w:t>Less chance of default being triggered</w:t>
      </w:r>
      <w:r w:rsidR="00CE552D" w:rsidRPr="00E440BE">
        <w:rPr>
          <w:rFonts w:ascii="Arial" w:hAnsi="Arial" w:cs="Arial"/>
          <w:b/>
          <w:bCs/>
          <w:i/>
          <w:iCs/>
        </w:rPr>
        <w:t xml:space="preserve">: </w:t>
      </w:r>
      <w:r w:rsidR="00CE552D" w:rsidRPr="00E440BE">
        <w:rPr>
          <w:rFonts w:ascii="Arial" w:hAnsi="Arial" w:cs="Arial"/>
        </w:rPr>
        <w:t>The commencement (or even threat of commencement) of insolvency proceedings (or similar)</w:t>
      </w:r>
      <w:r w:rsidR="008D5B8D" w:rsidRPr="00E440BE">
        <w:rPr>
          <w:rFonts w:ascii="Arial" w:hAnsi="Arial" w:cs="Arial"/>
        </w:rPr>
        <w:t xml:space="preserve"> is often enough to trigger default or acceleration procedures in respect of debt that would not otherwise be due in the short term.</w:t>
      </w:r>
      <w:r w:rsidR="00FF4852" w:rsidRPr="00E440BE">
        <w:rPr>
          <w:rFonts w:ascii="Arial" w:hAnsi="Arial" w:cs="Arial"/>
        </w:rPr>
        <w:t xml:space="preserve"> </w:t>
      </w:r>
      <w:r w:rsidR="00F37BF8">
        <w:rPr>
          <w:rFonts w:ascii="Arial" w:hAnsi="Arial" w:cs="Arial"/>
          <w:lang/>
        </w:rPr>
        <w:t>Subject to</w:t>
      </w:r>
      <w:r w:rsidR="00FF4852" w:rsidRPr="00E440BE">
        <w:rPr>
          <w:rFonts w:ascii="Arial" w:hAnsi="Arial" w:cs="Arial"/>
        </w:rPr>
        <w:t xml:space="preserve"> the scope of these clauses, out of court negotiations will </w:t>
      </w:r>
      <w:r w:rsidR="00F37BF8">
        <w:rPr>
          <w:rFonts w:ascii="Arial" w:hAnsi="Arial" w:cs="Arial"/>
          <w:lang/>
        </w:rPr>
        <w:t xml:space="preserve">usually </w:t>
      </w:r>
      <w:r w:rsidR="00FF4852" w:rsidRPr="00E440BE">
        <w:rPr>
          <w:rFonts w:ascii="Arial" w:hAnsi="Arial" w:cs="Arial"/>
        </w:rPr>
        <w:t>not trigger them.</w:t>
      </w:r>
    </w:p>
    <w:p w14:paraId="72A01135" w14:textId="77777777" w:rsidR="004E24AB" w:rsidRPr="00E440BE" w:rsidRDefault="004E24AB" w:rsidP="00FC5510">
      <w:pPr>
        <w:spacing w:after="0" w:line="240" w:lineRule="auto"/>
        <w:jc w:val="both"/>
        <w:rPr>
          <w:rFonts w:ascii="Arial" w:hAnsi="Arial" w:cs="Arial"/>
        </w:rPr>
      </w:pPr>
    </w:p>
    <w:p w14:paraId="7080358F" w14:textId="506DD73E" w:rsidR="008B70DF" w:rsidRPr="00E440BE" w:rsidRDefault="008B70DF" w:rsidP="00FC5510">
      <w:pPr>
        <w:keepNext/>
        <w:spacing w:after="0" w:line="240" w:lineRule="auto"/>
        <w:jc w:val="both"/>
        <w:rPr>
          <w:rFonts w:ascii="Arial" w:hAnsi="Arial" w:cs="Arial"/>
          <w:b/>
          <w:bCs/>
        </w:rPr>
      </w:pPr>
      <w:r w:rsidRPr="00E440BE">
        <w:rPr>
          <w:rFonts w:ascii="Arial" w:hAnsi="Arial" w:cs="Arial"/>
          <w:b/>
          <w:bCs/>
        </w:rPr>
        <w:t xml:space="preserve">General disadvantages for the </w:t>
      </w:r>
      <w:r w:rsidR="00B80566">
        <w:rPr>
          <w:rFonts w:ascii="Arial" w:hAnsi="Arial" w:cs="Arial"/>
          <w:b/>
          <w:bCs/>
          <w:lang/>
        </w:rPr>
        <w:t>c</w:t>
      </w:r>
      <w:proofErr w:type="spellStart"/>
      <w:r w:rsidRPr="00E440BE">
        <w:rPr>
          <w:rFonts w:ascii="Arial" w:hAnsi="Arial" w:cs="Arial"/>
          <w:b/>
          <w:bCs/>
        </w:rPr>
        <w:t>ompany</w:t>
      </w:r>
      <w:proofErr w:type="spellEnd"/>
      <w:r w:rsidRPr="00E440BE">
        <w:rPr>
          <w:rFonts w:ascii="Arial" w:hAnsi="Arial" w:cs="Arial"/>
          <w:b/>
          <w:bCs/>
        </w:rPr>
        <w:t xml:space="preserve"> and the incumbent management</w:t>
      </w:r>
    </w:p>
    <w:p w14:paraId="4DE5F783" w14:textId="77777777" w:rsidR="0004705A" w:rsidRPr="00E440BE" w:rsidRDefault="0004705A" w:rsidP="00FC5510">
      <w:pPr>
        <w:keepNext/>
        <w:spacing w:after="0" w:line="240" w:lineRule="auto"/>
        <w:jc w:val="both"/>
        <w:rPr>
          <w:rFonts w:ascii="Arial" w:hAnsi="Arial" w:cs="Arial"/>
        </w:rPr>
      </w:pPr>
    </w:p>
    <w:p w14:paraId="4234D8C7" w14:textId="24A0C23E" w:rsidR="0004705A" w:rsidRPr="00E440BE" w:rsidRDefault="00A3571A" w:rsidP="00FC5510">
      <w:pPr>
        <w:pStyle w:val="ListParagraph"/>
        <w:numPr>
          <w:ilvl w:val="0"/>
          <w:numId w:val="2"/>
        </w:numPr>
        <w:spacing w:after="0" w:line="240" w:lineRule="auto"/>
        <w:contextualSpacing w:val="0"/>
        <w:jc w:val="both"/>
        <w:rPr>
          <w:rFonts w:ascii="Arial" w:hAnsi="Arial" w:cs="Arial"/>
        </w:rPr>
      </w:pPr>
      <w:r w:rsidRPr="00E440BE">
        <w:rPr>
          <w:rFonts w:ascii="Arial" w:hAnsi="Arial" w:cs="Arial"/>
          <w:b/>
          <w:bCs/>
          <w:i/>
          <w:iCs/>
          <w:lang/>
        </w:rPr>
        <w:t>(Usually) n</w:t>
      </w:r>
      <w:r w:rsidR="0004705A" w:rsidRPr="00E440BE">
        <w:rPr>
          <w:rFonts w:ascii="Arial" w:hAnsi="Arial" w:cs="Arial"/>
          <w:b/>
          <w:bCs/>
          <w:i/>
          <w:iCs/>
        </w:rPr>
        <w:t>o moratorium during negotiations</w:t>
      </w:r>
      <w:r w:rsidR="00376AB9" w:rsidRPr="00E440BE">
        <w:rPr>
          <w:rFonts w:ascii="Arial" w:hAnsi="Arial" w:cs="Arial"/>
          <w:b/>
          <w:bCs/>
          <w:i/>
          <w:iCs/>
        </w:rPr>
        <w:t>:</w:t>
      </w:r>
      <w:r w:rsidR="00376AB9" w:rsidRPr="00E440BE">
        <w:rPr>
          <w:rFonts w:ascii="Arial" w:hAnsi="Arial" w:cs="Arial"/>
        </w:rPr>
        <w:t xml:space="preserve"> Therefore, while debts remain unpaid or covenants </w:t>
      </w:r>
      <w:r w:rsidR="00C5267E">
        <w:rPr>
          <w:rFonts w:ascii="Arial" w:hAnsi="Arial" w:cs="Arial"/>
          <w:lang/>
        </w:rPr>
        <w:t xml:space="preserve">are </w:t>
      </w:r>
      <w:r w:rsidR="00376AB9" w:rsidRPr="00E440BE">
        <w:rPr>
          <w:rFonts w:ascii="Arial" w:hAnsi="Arial" w:cs="Arial"/>
        </w:rPr>
        <w:t>breached in any financing agreements, a company remains at imminent threat of enforcement action from a disgruntled creditor.</w:t>
      </w:r>
    </w:p>
    <w:p w14:paraId="006D10A8" w14:textId="77777777" w:rsidR="0004705A" w:rsidRPr="00E440BE" w:rsidRDefault="0004705A" w:rsidP="00FC5510">
      <w:pPr>
        <w:pStyle w:val="ListParagraph"/>
        <w:spacing w:after="0" w:line="240" w:lineRule="auto"/>
        <w:contextualSpacing w:val="0"/>
        <w:jc w:val="both"/>
        <w:rPr>
          <w:rFonts w:ascii="Arial" w:hAnsi="Arial" w:cs="Arial"/>
        </w:rPr>
      </w:pPr>
    </w:p>
    <w:p w14:paraId="68801067" w14:textId="34400A7B" w:rsidR="00CB0B6A" w:rsidRPr="00E440BE" w:rsidRDefault="00CB0B6A" w:rsidP="00FC5510">
      <w:pPr>
        <w:pStyle w:val="ListParagraph"/>
        <w:numPr>
          <w:ilvl w:val="0"/>
          <w:numId w:val="2"/>
        </w:numPr>
        <w:spacing w:after="0" w:line="240" w:lineRule="auto"/>
        <w:contextualSpacing w:val="0"/>
        <w:jc w:val="both"/>
        <w:rPr>
          <w:rFonts w:ascii="Arial" w:hAnsi="Arial" w:cs="Arial"/>
          <w:b/>
          <w:bCs/>
        </w:rPr>
      </w:pPr>
      <w:r w:rsidRPr="00E440BE">
        <w:rPr>
          <w:rFonts w:ascii="Arial" w:hAnsi="Arial" w:cs="Arial"/>
          <w:b/>
          <w:bCs/>
          <w:i/>
          <w:iCs/>
        </w:rPr>
        <w:t>Requires consensus amongst all stakeholders</w:t>
      </w:r>
      <w:r w:rsidR="00BF55AA" w:rsidRPr="00E440BE">
        <w:rPr>
          <w:rFonts w:ascii="Arial" w:hAnsi="Arial" w:cs="Arial"/>
          <w:b/>
          <w:bCs/>
          <w:i/>
          <w:iCs/>
        </w:rPr>
        <w:t xml:space="preserve"> – which can be difficult to achieve</w:t>
      </w:r>
      <w:r w:rsidRPr="00E440BE">
        <w:rPr>
          <w:rFonts w:ascii="Arial" w:hAnsi="Arial" w:cs="Arial"/>
          <w:b/>
          <w:bCs/>
          <w:i/>
          <w:iCs/>
        </w:rPr>
        <w:t>:</w:t>
      </w:r>
      <w:r w:rsidRPr="00E440BE">
        <w:rPr>
          <w:rFonts w:ascii="Arial" w:hAnsi="Arial" w:cs="Arial"/>
          <w:b/>
          <w:bCs/>
        </w:rPr>
        <w:t xml:space="preserve"> </w:t>
      </w:r>
      <w:r w:rsidRPr="00E440BE">
        <w:rPr>
          <w:rFonts w:ascii="Arial" w:hAnsi="Arial" w:cs="Arial"/>
        </w:rPr>
        <w:t xml:space="preserve">Unlike court procedures, </w:t>
      </w:r>
      <w:r w:rsidR="00AD7BD1" w:rsidRPr="00E440BE">
        <w:rPr>
          <w:rFonts w:ascii="Arial" w:hAnsi="Arial" w:cs="Arial"/>
        </w:rPr>
        <w:t>which can</w:t>
      </w:r>
      <w:r w:rsidR="00A3571A" w:rsidRPr="00E440BE">
        <w:rPr>
          <w:rFonts w:ascii="Arial" w:hAnsi="Arial" w:cs="Arial"/>
          <w:lang/>
        </w:rPr>
        <w:t xml:space="preserve"> usually</w:t>
      </w:r>
      <w:r w:rsidR="00AD7BD1" w:rsidRPr="00E440BE">
        <w:rPr>
          <w:rFonts w:ascii="Arial" w:hAnsi="Arial" w:cs="Arial"/>
        </w:rPr>
        <w:t xml:space="preserve"> </w:t>
      </w:r>
      <w:r w:rsidR="003B6F87" w:rsidRPr="00E440BE">
        <w:rPr>
          <w:rFonts w:ascii="Arial" w:hAnsi="Arial" w:cs="Arial"/>
        </w:rPr>
        <w:t>force a variation to existing legal rights</w:t>
      </w:r>
      <w:r w:rsidR="001B7509" w:rsidRPr="00E440BE">
        <w:rPr>
          <w:rFonts w:ascii="Arial" w:hAnsi="Arial" w:cs="Arial"/>
        </w:rPr>
        <w:t xml:space="preserve"> with only a majority (or other stipulated percentage) approval of </w:t>
      </w:r>
      <w:r w:rsidR="003B6F87" w:rsidRPr="00E440BE">
        <w:rPr>
          <w:rFonts w:ascii="Arial" w:hAnsi="Arial" w:cs="Arial"/>
        </w:rPr>
        <w:t xml:space="preserve">a </w:t>
      </w:r>
      <w:r w:rsidR="001B7509" w:rsidRPr="00E440BE">
        <w:rPr>
          <w:rFonts w:ascii="Arial" w:hAnsi="Arial" w:cs="Arial"/>
        </w:rPr>
        <w:t xml:space="preserve">relevant class </w:t>
      </w:r>
      <w:r w:rsidR="003B6F87" w:rsidRPr="00E440BE">
        <w:rPr>
          <w:rFonts w:ascii="Arial" w:hAnsi="Arial" w:cs="Arial"/>
        </w:rPr>
        <w:t xml:space="preserve">of </w:t>
      </w:r>
      <w:r w:rsidR="001B7509" w:rsidRPr="00E440BE">
        <w:rPr>
          <w:rFonts w:ascii="Arial" w:hAnsi="Arial" w:cs="Arial"/>
        </w:rPr>
        <w:t>cr</w:t>
      </w:r>
      <w:r w:rsidR="003B6F87" w:rsidRPr="00E440BE">
        <w:rPr>
          <w:rFonts w:ascii="Arial" w:hAnsi="Arial" w:cs="Arial"/>
        </w:rPr>
        <w:t>e</w:t>
      </w:r>
      <w:r w:rsidR="001B7509" w:rsidRPr="00E440BE">
        <w:rPr>
          <w:rFonts w:ascii="Arial" w:hAnsi="Arial" w:cs="Arial"/>
        </w:rPr>
        <w:t xml:space="preserve">ditors, </w:t>
      </w:r>
      <w:r w:rsidR="00BC6FA9" w:rsidRPr="00E440BE">
        <w:rPr>
          <w:rFonts w:ascii="Arial" w:hAnsi="Arial" w:cs="Arial"/>
        </w:rPr>
        <w:t>consensual workouts require the agreement of all of those affected. This can be problematic</w:t>
      </w:r>
      <w:r w:rsidR="008E5442" w:rsidRPr="00E440BE">
        <w:rPr>
          <w:rFonts w:ascii="Arial" w:hAnsi="Arial" w:cs="Arial"/>
        </w:rPr>
        <w:t>,</w:t>
      </w:r>
      <w:r w:rsidR="00BC6FA9" w:rsidRPr="00E440BE">
        <w:rPr>
          <w:rFonts w:ascii="Arial" w:hAnsi="Arial" w:cs="Arial"/>
        </w:rPr>
        <w:t xml:space="preserve"> not only in terms of winning over hearts and minds</w:t>
      </w:r>
      <w:r w:rsidR="008E5442" w:rsidRPr="00E440BE">
        <w:rPr>
          <w:rFonts w:ascii="Arial" w:hAnsi="Arial" w:cs="Arial"/>
        </w:rPr>
        <w:t>,</w:t>
      </w:r>
      <w:r w:rsidR="009F0E5F" w:rsidRPr="00E440BE">
        <w:rPr>
          <w:rFonts w:ascii="Arial" w:hAnsi="Arial" w:cs="Arial"/>
        </w:rPr>
        <w:t xml:space="preserve"> </w:t>
      </w:r>
      <w:r w:rsidR="00BC6FA9" w:rsidRPr="00E440BE">
        <w:rPr>
          <w:rFonts w:ascii="Arial" w:hAnsi="Arial" w:cs="Arial"/>
        </w:rPr>
        <w:t xml:space="preserve">but also practically in ensuring </w:t>
      </w:r>
      <w:r w:rsidR="009F0E5F" w:rsidRPr="00E440BE">
        <w:rPr>
          <w:rFonts w:ascii="Arial" w:hAnsi="Arial" w:cs="Arial"/>
        </w:rPr>
        <w:t xml:space="preserve">there are timely and meaningful </w:t>
      </w:r>
      <w:r w:rsidR="00BC6FA9" w:rsidRPr="00E440BE">
        <w:rPr>
          <w:rFonts w:ascii="Arial" w:hAnsi="Arial" w:cs="Arial"/>
        </w:rPr>
        <w:t xml:space="preserve">communications with </w:t>
      </w:r>
      <w:r w:rsidR="009F0E5F" w:rsidRPr="00E440BE">
        <w:rPr>
          <w:rFonts w:ascii="Arial" w:hAnsi="Arial" w:cs="Arial"/>
        </w:rPr>
        <w:t>all relevant stakeholders.</w:t>
      </w:r>
    </w:p>
    <w:p w14:paraId="2465EE6C" w14:textId="77777777" w:rsidR="006A7509" w:rsidRPr="00E440BE" w:rsidRDefault="006A7509" w:rsidP="00FC5510">
      <w:pPr>
        <w:pStyle w:val="ListParagraph"/>
        <w:spacing w:after="0" w:line="240" w:lineRule="auto"/>
        <w:ind w:left="360"/>
        <w:contextualSpacing w:val="0"/>
        <w:jc w:val="both"/>
        <w:rPr>
          <w:rFonts w:ascii="Arial" w:hAnsi="Arial" w:cs="Arial"/>
        </w:rPr>
      </w:pPr>
    </w:p>
    <w:p w14:paraId="5F86F1BB" w14:textId="1B329E10" w:rsidR="006A7509" w:rsidRPr="00E440BE" w:rsidRDefault="006A7509" w:rsidP="00FC5510">
      <w:pPr>
        <w:pStyle w:val="ListParagraph"/>
        <w:numPr>
          <w:ilvl w:val="0"/>
          <w:numId w:val="2"/>
        </w:numPr>
        <w:spacing w:after="0" w:line="240" w:lineRule="auto"/>
        <w:contextualSpacing w:val="0"/>
        <w:jc w:val="both"/>
        <w:rPr>
          <w:rFonts w:ascii="Arial" w:hAnsi="Arial" w:cs="Arial"/>
        </w:rPr>
      </w:pPr>
      <w:r w:rsidRPr="00E440BE">
        <w:rPr>
          <w:rFonts w:ascii="Arial" w:hAnsi="Arial" w:cs="Arial"/>
          <w:b/>
          <w:bCs/>
          <w:i/>
          <w:iCs/>
        </w:rPr>
        <w:t>Non-binding</w:t>
      </w:r>
      <w:r w:rsidRPr="00E440BE">
        <w:rPr>
          <w:rFonts w:ascii="Arial" w:hAnsi="Arial" w:cs="Arial"/>
          <w:b/>
          <w:bCs/>
        </w:rPr>
        <w:t>:</w:t>
      </w:r>
      <w:r w:rsidRPr="00E440BE">
        <w:rPr>
          <w:rFonts w:ascii="Arial" w:hAnsi="Arial" w:cs="Arial"/>
        </w:rPr>
        <w:t xml:space="preserve"> Whatever progress is made during </w:t>
      </w:r>
      <w:r w:rsidR="00A01015" w:rsidRPr="00E440BE">
        <w:rPr>
          <w:rFonts w:ascii="Arial" w:hAnsi="Arial" w:cs="Arial"/>
        </w:rPr>
        <w:t>negotiations;</w:t>
      </w:r>
      <w:r w:rsidRPr="00E440BE">
        <w:rPr>
          <w:rFonts w:ascii="Arial" w:hAnsi="Arial" w:cs="Arial"/>
        </w:rPr>
        <w:t xml:space="preserve"> the benefits are unlikely to be realized until a deal has been finalised.</w:t>
      </w:r>
    </w:p>
    <w:p w14:paraId="17EF72FC" w14:textId="77777777" w:rsidR="006A7509" w:rsidRPr="00E440BE" w:rsidRDefault="006A7509" w:rsidP="00FC5510">
      <w:pPr>
        <w:pStyle w:val="ListParagraph"/>
        <w:spacing w:after="0" w:line="240" w:lineRule="auto"/>
        <w:contextualSpacing w:val="0"/>
        <w:rPr>
          <w:rFonts w:ascii="Arial" w:hAnsi="Arial" w:cs="Arial"/>
        </w:rPr>
      </w:pPr>
    </w:p>
    <w:p w14:paraId="7485F586" w14:textId="0B1A4BDF" w:rsidR="00B50A96" w:rsidRPr="00E440BE" w:rsidRDefault="007708A7" w:rsidP="00FC5510">
      <w:pPr>
        <w:pStyle w:val="ListParagraph"/>
        <w:keepNext/>
        <w:numPr>
          <w:ilvl w:val="0"/>
          <w:numId w:val="2"/>
        </w:numPr>
        <w:spacing w:after="0" w:line="240" w:lineRule="auto"/>
        <w:contextualSpacing w:val="0"/>
        <w:jc w:val="both"/>
        <w:rPr>
          <w:rFonts w:ascii="Arial" w:hAnsi="Arial" w:cs="Arial"/>
        </w:rPr>
      </w:pPr>
      <w:r w:rsidRPr="00E440BE">
        <w:rPr>
          <w:rFonts w:ascii="Arial" w:hAnsi="Arial" w:cs="Arial"/>
          <w:b/>
          <w:bCs/>
          <w:i/>
          <w:iCs/>
        </w:rPr>
        <w:t>Limited legal protection:</w:t>
      </w:r>
      <w:r w:rsidRPr="00E440BE">
        <w:rPr>
          <w:rFonts w:ascii="Arial" w:hAnsi="Arial" w:cs="Arial"/>
        </w:rPr>
        <w:t xml:space="preserve"> Particularly in a cross-border scenario, </w:t>
      </w:r>
      <w:r w:rsidR="007E0803" w:rsidRPr="00E440BE">
        <w:rPr>
          <w:rFonts w:ascii="Arial" w:hAnsi="Arial" w:cs="Arial"/>
        </w:rPr>
        <w:t>there is usually no protection that steps taken without court sanction cannot be unwound</w:t>
      </w:r>
      <w:r w:rsidR="001C53AE" w:rsidRPr="00E440BE">
        <w:rPr>
          <w:rFonts w:ascii="Arial" w:hAnsi="Arial" w:cs="Arial"/>
        </w:rPr>
        <w:t>. I</w:t>
      </w:r>
      <w:r w:rsidR="00660940" w:rsidRPr="00E440BE">
        <w:rPr>
          <w:rFonts w:ascii="Arial" w:hAnsi="Arial" w:cs="Arial"/>
        </w:rPr>
        <w:t xml:space="preserve">f a stakeholder can show </w:t>
      </w:r>
      <w:r w:rsidR="001C53AE" w:rsidRPr="00E440BE">
        <w:rPr>
          <w:rFonts w:ascii="Arial" w:hAnsi="Arial" w:cs="Arial"/>
        </w:rPr>
        <w:t xml:space="preserve">prejudice to their, or the debtor’s position, or an actionable preference (under the relevant law), there are real risks that arrangements can be </w:t>
      </w:r>
      <w:proofErr w:type="gramStart"/>
      <w:r w:rsidR="001C53AE" w:rsidRPr="00E440BE">
        <w:rPr>
          <w:rFonts w:ascii="Arial" w:hAnsi="Arial" w:cs="Arial"/>
        </w:rPr>
        <w:t>unwound</w:t>
      </w:r>
      <w:proofErr w:type="gramEnd"/>
      <w:r w:rsidR="001C53AE" w:rsidRPr="00E440BE">
        <w:rPr>
          <w:rFonts w:ascii="Arial" w:hAnsi="Arial" w:cs="Arial"/>
        </w:rPr>
        <w:t xml:space="preserve"> and the individual actors run the risk that personal action is taken against them. </w:t>
      </w:r>
      <w:r w:rsidR="00B50A96" w:rsidRPr="00E440BE">
        <w:rPr>
          <w:rFonts w:ascii="Arial" w:hAnsi="Arial" w:cs="Arial"/>
        </w:rPr>
        <w:t xml:space="preserve">For example, in the Cayman Islands, pre-insolvency transactions can be challenged if they constitute a voidable preference, a disposition at an undervalue, fraudulent </w:t>
      </w:r>
      <w:proofErr w:type="gramStart"/>
      <w:r w:rsidR="00B50A96" w:rsidRPr="00E440BE">
        <w:rPr>
          <w:rFonts w:ascii="Arial" w:hAnsi="Arial" w:cs="Arial"/>
        </w:rPr>
        <w:t>trading;</w:t>
      </w:r>
      <w:proofErr w:type="gramEnd"/>
      <w:r w:rsidR="00B50A96" w:rsidRPr="00E440BE">
        <w:rPr>
          <w:rFonts w:ascii="Arial" w:hAnsi="Arial" w:cs="Arial"/>
        </w:rPr>
        <w:t xml:space="preserve"> or a fraudulent disposition.</w:t>
      </w:r>
    </w:p>
    <w:p w14:paraId="2BD04A38" w14:textId="64321213" w:rsidR="007708A7" w:rsidRPr="00E440BE" w:rsidRDefault="007708A7" w:rsidP="00FC5510">
      <w:pPr>
        <w:keepNext/>
        <w:spacing w:after="0" w:line="240" w:lineRule="auto"/>
        <w:jc w:val="both"/>
        <w:rPr>
          <w:rFonts w:ascii="Arial" w:hAnsi="Arial" w:cs="Arial"/>
        </w:rPr>
      </w:pPr>
    </w:p>
    <w:p w14:paraId="1757A206" w14:textId="110EE9BC" w:rsidR="006A7509" w:rsidRPr="00E440BE" w:rsidRDefault="00B35382" w:rsidP="00FC5510">
      <w:pPr>
        <w:pStyle w:val="ListParagraph"/>
        <w:numPr>
          <w:ilvl w:val="0"/>
          <w:numId w:val="2"/>
        </w:numPr>
        <w:spacing w:after="0" w:line="240" w:lineRule="auto"/>
        <w:contextualSpacing w:val="0"/>
        <w:jc w:val="both"/>
        <w:rPr>
          <w:rFonts w:ascii="Arial" w:hAnsi="Arial" w:cs="Arial"/>
          <w:i/>
          <w:iCs/>
        </w:rPr>
      </w:pPr>
      <w:r w:rsidRPr="00E440BE">
        <w:rPr>
          <w:rFonts w:ascii="Arial" w:hAnsi="Arial" w:cs="Arial"/>
          <w:b/>
          <w:bCs/>
          <w:i/>
          <w:iCs/>
        </w:rPr>
        <w:t>Little control over what information makes its way into the public domain:</w:t>
      </w:r>
      <w:r w:rsidR="00E74311" w:rsidRPr="00E440BE">
        <w:rPr>
          <w:rFonts w:ascii="Arial" w:hAnsi="Arial" w:cs="Arial"/>
          <w:b/>
          <w:bCs/>
          <w:i/>
          <w:iCs/>
          <w:lang/>
        </w:rPr>
        <w:t xml:space="preserve"> </w:t>
      </w:r>
      <w:r w:rsidR="00E74311" w:rsidRPr="00E440BE">
        <w:rPr>
          <w:rFonts w:ascii="Arial" w:hAnsi="Arial" w:cs="Arial"/>
          <w:lang/>
        </w:rPr>
        <w:t xml:space="preserve">If a debtor has a large stakeholder group (for example, </w:t>
      </w:r>
      <w:r w:rsidR="00BD3E75" w:rsidRPr="00E440BE">
        <w:rPr>
          <w:rFonts w:ascii="Arial" w:hAnsi="Arial" w:cs="Arial"/>
          <w:lang/>
        </w:rPr>
        <w:t>a listed company, or a publicly traded bond</w:t>
      </w:r>
      <w:r w:rsidR="00E74311" w:rsidRPr="00E440BE">
        <w:rPr>
          <w:rFonts w:ascii="Arial" w:hAnsi="Arial" w:cs="Arial"/>
          <w:lang/>
        </w:rPr>
        <w:t>)</w:t>
      </w:r>
      <w:r w:rsidR="00BD3E75" w:rsidRPr="00E440BE">
        <w:rPr>
          <w:rFonts w:ascii="Arial" w:hAnsi="Arial" w:cs="Arial"/>
          <w:lang/>
        </w:rPr>
        <w:t>, it can be difficult to balance the need to be transparent with any desire to ensure potentially damaging information does not make it into the public domain. Even with the use of confidentiality agreements, with a large stakeholder body, it can be practically difficult to ensure that information remains confidential.</w:t>
      </w:r>
    </w:p>
    <w:p w14:paraId="56F479A9" w14:textId="77777777" w:rsidR="006A7509" w:rsidRPr="00E440BE" w:rsidRDefault="006A7509" w:rsidP="00FC5510">
      <w:pPr>
        <w:pStyle w:val="ListParagraph"/>
        <w:spacing w:after="0" w:line="240" w:lineRule="auto"/>
        <w:ind w:left="360"/>
        <w:contextualSpacing w:val="0"/>
        <w:jc w:val="both"/>
        <w:rPr>
          <w:rFonts w:ascii="Arial" w:hAnsi="Arial" w:cs="Arial"/>
        </w:rPr>
      </w:pPr>
    </w:p>
    <w:p w14:paraId="230E1729" w14:textId="6B4D4502" w:rsidR="0004705A" w:rsidRPr="00E440BE" w:rsidRDefault="007708A7" w:rsidP="00FC5510">
      <w:pPr>
        <w:spacing w:after="0" w:line="240" w:lineRule="auto"/>
        <w:jc w:val="both"/>
        <w:rPr>
          <w:rFonts w:ascii="Arial" w:hAnsi="Arial" w:cs="Arial"/>
          <w:b/>
          <w:bCs/>
        </w:rPr>
      </w:pPr>
      <w:r w:rsidRPr="00E440BE">
        <w:rPr>
          <w:rFonts w:ascii="Arial" w:hAnsi="Arial" w:cs="Arial"/>
          <w:b/>
          <w:bCs/>
        </w:rPr>
        <w:t>The Cayman Islands regime</w:t>
      </w:r>
    </w:p>
    <w:p w14:paraId="2A0C9D48" w14:textId="77777777" w:rsidR="007708A7" w:rsidRPr="00E440BE" w:rsidRDefault="007708A7" w:rsidP="00FC5510">
      <w:pPr>
        <w:spacing w:after="0" w:line="240" w:lineRule="auto"/>
        <w:jc w:val="both"/>
        <w:rPr>
          <w:rFonts w:ascii="Arial" w:hAnsi="Arial" w:cs="Arial"/>
        </w:rPr>
      </w:pPr>
    </w:p>
    <w:p w14:paraId="763E5E13" w14:textId="73FFD02C" w:rsidR="004E3944" w:rsidRPr="00E440BE" w:rsidRDefault="004E3944" w:rsidP="00FC5510">
      <w:pPr>
        <w:spacing w:after="0" w:line="240" w:lineRule="auto"/>
        <w:jc w:val="both"/>
        <w:rPr>
          <w:rFonts w:ascii="Arial" w:hAnsi="Arial" w:cs="Arial"/>
          <w:lang/>
        </w:rPr>
      </w:pPr>
      <w:r w:rsidRPr="00E440BE">
        <w:rPr>
          <w:rFonts w:ascii="Arial" w:hAnsi="Arial" w:cs="Arial"/>
          <w:lang/>
        </w:rPr>
        <w:t xml:space="preserve">The vast majority of the general </w:t>
      </w:r>
      <w:r w:rsidR="00D31379" w:rsidRPr="00E440BE">
        <w:rPr>
          <w:rFonts w:ascii="Arial" w:hAnsi="Arial" w:cs="Arial"/>
          <w:lang/>
        </w:rPr>
        <w:t>advantages and disadvantages outlined above apply</w:t>
      </w:r>
      <w:r w:rsidR="00067905" w:rsidRPr="00E440BE">
        <w:rPr>
          <w:rFonts w:ascii="Arial" w:hAnsi="Arial" w:cs="Arial"/>
          <w:lang/>
        </w:rPr>
        <w:t xml:space="preserve"> to </w:t>
      </w:r>
      <w:r w:rsidR="0039420C" w:rsidRPr="00E440BE">
        <w:rPr>
          <w:rFonts w:ascii="Arial" w:hAnsi="Arial" w:cs="Arial"/>
          <w:lang/>
        </w:rPr>
        <w:t>considerations of whether to pursue a formal or informal process in the Cayman Islands.</w:t>
      </w:r>
    </w:p>
    <w:p w14:paraId="7A1B4BF5" w14:textId="0EAE8F10" w:rsidR="0039420C" w:rsidRPr="00E440BE" w:rsidRDefault="0039420C" w:rsidP="00FC5510">
      <w:pPr>
        <w:spacing w:after="0" w:line="240" w:lineRule="auto"/>
        <w:jc w:val="both"/>
        <w:rPr>
          <w:rFonts w:ascii="Arial" w:hAnsi="Arial" w:cs="Arial"/>
          <w:lang/>
        </w:rPr>
      </w:pPr>
    </w:p>
    <w:p w14:paraId="45052364" w14:textId="461A464F" w:rsidR="0039420C" w:rsidRPr="00E440BE" w:rsidRDefault="0039420C" w:rsidP="00FC5510">
      <w:pPr>
        <w:spacing w:after="0" w:line="240" w:lineRule="auto"/>
        <w:jc w:val="both"/>
        <w:rPr>
          <w:rFonts w:ascii="Arial" w:hAnsi="Arial" w:cs="Arial"/>
          <w:lang/>
        </w:rPr>
      </w:pPr>
      <w:r w:rsidRPr="00E440BE">
        <w:rPr>
          <w:rFonts w:ascii="Arial" w:hAnsi="Arial" w:cs="Arial"/>
          <w:lang/>
        </w:rPr>
        <w:t xml:space="preserve">One of the primary </w:t>
      </w:r>
      <w:r w:rsidR="000366D7" w:rsidRPr="00E440BE">
        <w:rPr>
          <w:rFonts w:ascii="Arial" w:hAnsi="Arial" w:cs="Arial"/>
          <w:lang/>
        </w:rPr>
        <w:t>challenges faced by debtors in trouble</w:t>
      </w:r>
      <w:r w:rsidR="00E20C10" w:rsidRPr="00E440BE">
        <w:rPr>
          <w:rFonts w:ascii="Arial" w:hAnsi="Arial" w:cs="Arial"/>
          <w:lang/>
        </w:rPr>
        <w:t xml:space="preserve"> in Cayman</w:t>
      </w:r>
      <w:r w:rsidR="000366D7" w:rsidRPr="00E440BE">
        <w:rPr>
          <w:rFonts w:ascii="Arial" w:hAnsi="Arial" w:cs="Arial"/>
          <w:lang/>
        </w:rPr>
        <w:t xml:space="preserve"> has been that they cannot obtain a moratorium, even to put in place a scheme of arrangement, without first presenting a winding up petition. This frequently </w:t>
      </w:r>
      <w:r w:rsidR="00AD6F0C" w:rsidRPr="00E440BE">
        <w:rPr>
          <w:rFonts w:ascii="Arial" w:hAnsi="Arial" w:cs="Arial"/>
          <w:lang/>
        </w:rPr>
        <w:t>caused issues with cross-default provisions on financing arrangements. To help alleviate this issue, last year, a new restructuring officer regime was introduced which allows a company (</w:t>
      </w:r>
      <w:r w:rsidR="00364813" w:rsidRPr="00E440BE">
        <w:rPr>
          <w:rFonts w:ascii="Arial" w:hAnsi="Arial" w:cs="Arial"/>
          <w:lang/>
        </w:rPr>
        <w:t>but not any other stakeholder) to present a restructuring officer petition</w:t>
      </w:r>
      <w:r w:rsidR="00036871" w:rsidRPr="00E440BE">
        <w:rPr>
          <w:rFonts w:ascii="Arial" w:hAnsi="Arial" w:cs="Arial"/>
          <w:lang/>
        </w:rPr>
        <w:t>.</w:t>
      </w:r>
      <w:r w:rsidR="00DB126A" w:rsidRPr="00E440BE">
        <w:rPr>
          <w:rStyle w:val="FootnoteReference"/>
          <w:rFonts w:ascii="Arial" w:hAnsi="Arial" w:cs="Arial"/>
          <w:lang/>
        </w:rPr>
        <w:footnoteReference w:id="11"/>
      </w:r>
      <w:r w:rsidR="00036871" w:rsidRPr="00E440BE">
        <w:rPr>
          <w:rFonts w:ascii="Arial" w:hAnsi="Arial" w:cs="Arial"/>
          <w:lang/>
        </w:rPr>
        <w:t xml:space="preserve"> Benefits of this regime include the protection of a moratorium upon presentation of the petition (albeit secured debts remain enforceable) and the ability for the </w:t>
      </w:r>
      <w:r w:rsidR="002E6940" w:rsidRPr="00E440BE">
        <w:rPr>
          <w:rFonts w:ascii="Arial" w:hAnsi="Arial" w:cs="Arial"/>
          <w:lang/>
        </w:rPr>
        <w:t>management to remain in place throughout the</w:t>
      </w:r>
      <w:r w:rsidR="00000B8C" w:rsidRPr="00E440BE">
        <w:rPr>
          <w:rFonts w:ascii="Arial" w:hAnsi="Arial" w:cs="Arial"/>
          <w:lang/>
        </w:rPr>
        <w:t xml:space="preserve"> restructuring process</w:t>
      </w:r>
      <w:r w:rsidR="002E6940" w:rsidRPr="00E440BE">
        <w:rPr>
          <w:rFonts w:ascii="Arial" w:hAnsi="Arial" w:cs="Arial"/>
          <w:lang/>
        </w:rPr>
        <w:t xml:space="preserve"> </w:t>
      </w:r>
      <w:r w:rsidR="00036871" w:rsidRPr="00E440BE">
        <w:rPr>
          <w:rFonts w:ascii="Arial" w:hAnsi="Arial" w:cs="Arial"/>
          <w:lang/>
        </w:rPr>
        <w:t>(a so called “</w:t>
      </w:r>
      <w:r w:rsidR="002E6940" w:rsidRPr="00E440BE">
        <w:rPr>
          <w:rFonts w:ascii="Arial" w:hAnsi="Arial" w:cs="Arial"/>
          <w:lang/>
        </w:rPr>
        <w:t>debtor in possession regime</w:t>
      </w:r>
      <w:r w:rsidR="00036871" w:rsidRPr="00E440BE">
        <w:rPr>
          <w:rFonts w:ascii="Arial" w:hAnsi="Arial" w:cs="Arial"/>
          <w:lang/>
        </w:rPr>
        <w:t>”</w:t>
      </w:r>
      <w:r w:rsidR="002E6940" w:rsidRPr="00E440BE">
        <w:rPr>
          <w:rFonts w:ascii="Arial" w:hAnsi="Arial" w:cs="Arial"/>
          <w:lang/>
        </w:rPr>
        <w:t>)</w:t>
      </w:r>
      <w:r w:rsidR="00E725C8" w:rsidRPr="00E440BE">
        <w:rPr>
          <w:rFonts w:ascii="Arial" w:hAnsi="Arial" w:cs="Arial"/>
          <w:lang/>
        </w:rPr>
        <w:t>. Although it is yet to be tested, the new regime also purports to enable the compromise of foreign debt</w:t>
      </w:r>
      <w:r w:rsidR="00E326D3" w:rsidRPr="00E440BE">
        <w:rPr>
          <w:rFonts w:ascii="Arial" w:hAnsi="Arial" w:cs="Arial"/>
          <w:lang/>
        </w:rPr>
        <w:t xml:space="preserve"> (i.e. to side step the rule in </w:t>
      </w:r>
      <w:r w:rsidR="00E326D3" w:rsidRPr="00E440BE">
        <w:rPr>
          <w:rFonts w:ascii="Arial" w:hAnsi="Arial" w:cs="Arial"/>
          <w:i/>
          <w:iCs/>
          <w:lang/>
        </w:rPr>
        <w:t>Gibbs</w:t>
      </w:r>
      <w:r w:rsidR="00E326D3" w:rsidRPr="00E440BE">
        <w:rPr>
          <w:rFonts w:ascii="Arial" w:hAnsi="Arial" w:cs="Arial"/>
          <w:lang/>
        </w:rPr>
        <w:t>)</w:t>
      </w:r>
      <w:r w:rsidR="00DB126A" w:rsidRPr="00E440BE">
        <w:rPr>
          <w:rFonts w:ascii="Arial" w:hAnsi="Arial" w:cs="Arial"/>
          <w:lang/>
        </w:rPr>
        <w:t>. It remains to be seen whether this will be effective.</w:t>
      </w:r>
      <w:r w:rsidR="00D6235B" w:rsidRPr="00E440BE">
        <w:rPr>
          <w:rFonts w:ascii="Arial" w:hAnsi="Arial" w:cs="Arial"/>
          <w:lang/>
        </w:rPr>
        <w:t xml:space="preserve"> Furthermore, there is no cross-class cram down in the Cayman Islands</w:t>
      </w:r>
      <w:r w:rsidR="00E440BE" w:rsidRPr="00E440BE">
        <w:rPr>
          <w:rFonts w:ascii="Arial" w:hAnsi="Arial" w:cs="Arial"/>
          <w:lang/>
        </w:rPr>
        <w:t>, which can provide a reasonable amount of power to dissenting creditors.</w:t>
      </w:r>
    </w:p>
    <w:p w14:paraId="4FE35222" w14:textId="77777777" w:rsidR="00307019" w:rsidRPr="00E440BE" w:rsidRDefault="00307019" w:rsidP="00FC5510">
      <w:pPr>
        <w:spacing w:after="0" w:line="240" w:lineRule="auto"/>
        <w:jc w:val="both"/>
        <w:rPr>
          <w:rFonts w:ascii="Arial" w:hAnsi="Arial" w:cs="Arial"/>
          <w:b/>
          <w:bCs/>
        </w:rPr>
      </w:pPr>
    </w:p>
    <w:p w14:paraId="34A7AE7C" w14:textId="77777777" w:rsidR="002D4D71" w:rsidRPr="00E440BE" w:rsidRDefault="002D4D71" w:rsidP="00FC5510">
      <w:pPr>
        <w:spacing w:after="0" w:line="240" w:lineRule="auto"/>
        <w:jc w:val="both"/>
        <w:rPr>
          <w:rFonts w:ascii="Arial" w:hAnsi="Arial" w:cs="Arial"/>
          <w:b/>
          <w:bCs/>
        </w:rPr>
      </w:pPr>
    </w:p>
    <w:p w14:paraId="5B844840" w14:textId="24C328EF" w:rsidR="0004705A" w:rsidRPr="00E440BE" w:rsidRDefault="0004705A" w:rsidP="00FC5510">
      <w:pPr>
        <w:keepNext/>
        <w:spacing w:after="0" w:line="240" w:lineRule="auto"/>
        <w:jc w:val="both"/>
        <w:rPr>
          <w:rFonts w:ascii="Arial" w:hAnsi="Arial" w:cs="Arial"/>
          <w:b/>
          <w:bCs/>
          <w:caps/>
        </w:rPr>
      </w:pPr>
      <w:r w:rsidRPr="00E440BE">
        <w:rPr>
          <w:rFonts w:ascii="Arial" w:hAnsi="Arial" w:cs="Arial"/>
          <w:b/>
          <w:bCs/>
          <w:caps/>
        </w:rPr>
        <w:t>3. Were the turnaround/reorganization approaches as presented in the reading material (see e.g., Adriaanse &amp; Kuijl, 2006, Pajunen, 2006, Sudarsanam, S, Lai, J., 2001, Schmitt, A.,</w:t>
      </w:r>
      <w:r w:rsidR="004C71B9" w:rsidRPr="00E440BE">
        <w:rPr>
          <w:rFonts w:ascii="Arial" w:hAnsi="Arial" w:cs="Arial"/>
          <w:b/>
          <w:bCs/>
          <w:caps/>
        </w:rPr>
        <w:t xml:space="preserve"> </w:t>
      </w:r>
      <w:r w:rsidRPr="00E440BE">
        <w:rPr>
          <w:rFonts w:ascii="Arial" w:hAnsi="Arial" w:cs="Arial"/>
          <w:b/>
          <w:bCs/>
          <w:caps/>
        </w:rPr>
        <w:t>Raisch, S., 2013) applied in this case? If yes, explain in what way. If no, detail what in your opinion should have been done differently.</w:t>
      </w:r>
    </w:p>
    <w:p w14:paraId="7CD4B6C2" w14:textId="77777777" w:rsidR="0004705A" w:rsidRPr="00E440BE" w:rsidRDefault="0004705A" w:rsidP="00FC5510">
      <w:pPr>
        <w:keepNext/>
        <w:spacing w:after="0" w:line="240" w:lineRule="auto"/>
        <w:jc w:val="both"/>
        <w:rPr>
          <w:rFonts w:ascii="Arial" w:hAnsi="Arial" w:cs="Arial"/>
          <w:b/>
          <w:bCs/>
        </w:rPr>
      </w:pPr>
    </w:p>
    <w:p w14:paraId="5A0C5BC1" w14:textId="2B24F32E" w:rsidR="00AB2FA0" w:rsidRPr="00E440BE" w:rsidRDefault="008977F2" w:rsidP="00FC5510">
      <w:pPr>
        <w:spacing w:after="0" w:line="240" w:lineRule="auto"/>
        <w:jc w:val="both"/>
        <w:rPr>
          <w:rFonts w:ascii="Arial" w:hAnsi="Arial" w:cs="Arial"/>
        </w:rPr>
      </w:pPr>
      <w:r w:rsidRPr="00E440BE">
        <w:rPr>
          <w:rFonts w:ascii="Arial" w:hAnsi="Arial" w:cs="Arial"/>
        </w:rPr>
        <w:t>O</w:t>
      </w:r>
      <w:r w:rsidR="00AB2FA0" w:rsidRPr="00E440BE">
        <w:rPr>
          <w:rFonts w:ascii="Arial" w:hAnsi="Arial" w:cs="Arial"/>
        </w:rPr>
        <w:t>ne thing is clear</w:t>
      </w:r>
      <w:r w:rsidRPr="00E440BE">
        <w:rPr>
          <w:rFonts w:ascii="Arial" w:hAnsi="Arial" w:cs="Arial"/>
        </w:rPr>
        <w:t xml:space="preserve"> from the reading material</w:t>
      </w:r>
      <w:r w:rsidR="00AB2FA0" w:rsidRPr="00E440BE">
        <w:rPr>
          <w:rFonts w:ascii="Arial" w:hAnsi="Arial" w:cs="Arial"/>
        </w:rPr>
        <w:t xml:space="preserve">: There is no “one size fits all” </w:t>
      </w:r>
      <w:r w:rsidR="00E53BE2" w:rsidRPr="00E440BE">
        <w:rPr>
          <w:rFonts w:ascii="Arial" w:hAnsi="Arial" w:cs="Arial"/>
        </w:rPr>
        <w:t xml:space="preserve">solution to the issue of corporate </w:t>
      </w:r>
      <w:r w:rsidRPr="00E440BE">
        <w:rPr>
          <w:rFonts w:ascii="Arial" w:hAnsi="Arial" w:cs="Arial"/>
        </w:rPr>
        <w:t>turnarounds</w:t>
      </w:r>
      <w:r w:rsidR="00E53BE2" w:rsidRPr="00E440BE">
        <w:rPr>
          <w:rFonts w:ascii="Arial" w:hAnsi="Arial" w:cs="Arial"/>
        </w:rPr>
        <w:t xml:space="preserve">. </w:t>
      </w:r>
      <w:r w:rsidR="00081FB7" w:rsidRPr="00E440BE">
        <w:rPr>
          <w:rFonts w:ascii="Arial" w:hAnsi="Arial" w:cs="Arial"/>
        </w:rPr>
        <w:t>As</w:t>
      </w:r>
      <w:r w:rsidRPr="00E440BE">
        <w:rPr>
          <w:rFonts w:ascii="Arial" w:hAnsi="Arial" w:cs="Arial"/>
        </w:rPr>
        <w:t xml:space="preserve"> </w:t>
      </w:r>
      <w:r w:rsidR="00BC24BD">
        <w:rPr>
          <w:rFonts w:ascii="Arial" w:hAnsi="Arial" w:cs="Arial"/>
          <w:lang/>
        </w:rPr>
        <w:t xml:space="preserve">identified in the academic works, </w:t>
      </w:r>
      <w:r w:rsidRPr="00E440BE">
        <w:rPr>
          <w:rFonts w:ascii="Arial" w:hAnsi="Arial" w:cs="Arial"/>
        </w:rPr>
        <w:t>there are various factors that lead to corporate demise</w:t>
      </w:r>
      <w:r w:rsidR="00D356C7">
        <w:rPr>
          <w:rFonts w:ascii="Arial" w:hAnsi="Arial" w:cs="Arial"/>
          <w:lang/>
        </w:rPr>
        <w:t>. Consequently, t</w:t>
      </w:r>
      <w:r w:rsidR="00E53BE2" w:rsidRPr="00E440BE">
        <w:rPr>
          <w:rFonts w:ascii="Arial" w:hAnsi="Arial" w:cs="Arial"/>
        </w:rPr>
        <w:t>here are myriad factors</w:t>
      </w:r>
      <w:r w:rsidR="005F305C" w:rsidRPr="00E440BE">
        <w:rPr>
          <w:rFonts w:ascii="Arial" w:hAnsi="Arial" w:cs="Arial"/>
          <w:lang/>
        </w:rPr>
        <w:t xml:space="preserve"> </w:t>
      </w:r>
      <w:r w:rsidR="00E53BE2" w:rsidRPr="00E440BE">
        <w:rPr>
          <w:rFonts w:ascii="Arial" w:hAnsi="Arial" w:cs="Arial"/>
        </w:rPr>
        <w:t>– both internal and external</w:t>
      </w:r>
      <w:r w:rsidRPr="00E440BE">
        <w:rPr>
          <w:rFonts w:ascii="Arial" w:hAnsi="Arial" w:cs="Arial"/>
        </w:rPr>
        <w:t xml:space="preserve"> – </w:t>
      </w:r>
      <w:r w:rsidR="00AC14C4" w:rsidRPr="00E440BE">
        <w:rPr>
          <w:rFonts w:ascii="Arial" w:hAnsi="Arial" w:cs="Arial"/>
        </w:rPr>
        <w:t xml:space="preserve">that </w:t>
      </w:r>
      <w:r w:rsidR="005F305C" w:rsidRPr="00E440BE">
        <w:rPr>
          <w:rFonts w:ascii="Arial" w:hAnsi="Arial" w:cs="Arial"/>
          <w:lang/>
        </w:rPr>
        <w:t>contribute to</w:t>
      </w:r>
      <w:r w:rsidR="00AC14C4" w:rsidRPr="00E440BE">
        <w:rPr>
          <w:rFonts w:ascii="Arial" w:hAnsi="Arial" w:cs="Arial"/>
        </w:rPr>
        <w:t xml:space="preserve"> whether a successful turnaround can be achieved. That said, there are some common themes </w:t>
      </w:r>
      <w:r w:rsidR="0010522D" w:rsidRPr="00E440BE">
        <w:rPr>
          <w:rFonts w:ascii="Arial" w:hAnsi="Arial" w:cs="Arial"/>
        </w:rPr>
        <w:t xml:space="preserve">indicating that certain steps, if applied thoughtfully (including as regards timing) </w:t>
      </w:r>
      <w:r w:rsidR="008D5763" w:rsidRPr="00E440BE">
        <w:rPr>
          <w:rFonts w:ascii="Arial" w:hAnsi="Arial" w:cs="Arial"/>
        </w:rPr>
        <w:t>can increase the likelihood of success.</w:t>
      </w:r>
      <w:r w:rsidR="000879FA" w:rsidRPr="00E440BE">
        <w:rPr>
          <w:rFonts w:ascii="Arial" w:hAnsi="Arial" w:cs="Arial"/>
        </w:rPr>
        <w:t xml:space="preserve"> For the most part it seems as though </w:t>
      </w:r>
      <w:r w:rsidR="00AC6C1B" w:rsidRPr="00E440BE">
        <w:rPr>
          <w:rFonts w:ascii="Arial" w:hAnsi="Arial" w:cs="Arial"/>
        </w:rPr>
        <w:t xml:space="preserve">the Company, and </w:t>
      </w:r>
      <w:r w:rsidR="00AC6C1B" w:rsidRPr="00E440BE">
        <w:rPr>
          <w:rFonts w:ascii="Arial" w:hAnsi="Arial" w:cs="Arial"/>
        </w:rPr>
        <w:lastRenderedPageBreak/>
        <w:t>its advisors, sought to implement the various techniques identified in the research</w:t>
      </w:r>
      <w:r w:rsidR="00110B81">
        <w:rPr>
          <w:rFonts w:ascii="Arial" w:hAnsi="Arial" w:cs="Arial"/>
          <w:lang/>
        </w:rPr>
        <w:t>, but it is more doubtful that these steps were implemented effectively and in a timely manner</w:t>
      </w:r>
      <w:r w:rsidR="00856758" w:rsidRPr="00E440BE">
        <w:rPr>
          <w:rFonts w:ascii="Arial" w:hAnsi="Arial" w:cs="Arial"/>
        </w:rPr>
        <w:t>.</w:t>
      </w:r>
    </w:p>
    <w:p w14:paraId="63E04D6C" w14:textId="77777777" w:rsidR="00AB2FA0" w:rsidRDefault="00AB2FA0" w:rsidP="00FC5510">
      <w:pPr>
        <w:spacing w:after="0" w:line="240" w:lineRule="auto"/>
        <w:jc w:val="both"/>
        <w:rPr>
          <w:rFonts w:ascii="Arial" w:hAnsi="Arial" w:cs="Arial"/>
        </w:rPr>
      </w:pPr>
    </w:p>
    <w:p w14:paraId="6CFBC19E" w14:textId="5DF97394" w:rsidR="00A25B45" w:rsidRPr="00E440BE" w:rsidRDefault="001877C8" w:rsidP="00FC5510">
      <w:pPr>
        <w:spacing w:after="0" w:line="240" w:lineRule="auto"/>
        <w:jc w:val="both"/>
        <w:rPr>
          <w:rFonts w:ascii="Arial" w:hAnsi="Arial" w:cs="Arial"/>
        </w:rPr>
      </w:pPr>
      <w:r w:rsidRPr="00E440BE">
        <w:rPr>
          <w:rFonts w:ascii="Arial" w:hAnsi="Arial" w:cs="Arial"/>
        </w:rPr>
        <w:t xml:space="preserve">Adriaanse &amp; </w:t>
      </w:r>
      <w:proofErr w:type="spellStart"/>
      <w:r w:rsidR="00D41DF1" w:rsidRPr="00E440BE">
        <w:rPr>
          <w:rFonts w:ascii="Arial" w:hAnsi="Arial" w:cs="Arial"/>
        </w:rPr>
        <w:t>Kuijl</w:t>
      </w:r>
      <w:proofErr w:type="spellEnd"/>
      <w:r w:rsidRPr="00E440BE">
        <w:rPr>
          <w:rFonts w:ascii="Arial" w:hAnsi="Arial" w:cs="Arial"/>
        </w:rPr>
        <w:t xml:space="preserve"> identi</w:t>
      </w:r>
      <w:r w:rsidR="00E52754" w:rsidRPr="00E440BE">
        <w:rPr>
          <w:rFonts w:ascii="Arial" w:hAnsi="Arial" w:cs="Arial"/>
        </w:rPr>
        <w:t xml:space="preserve">fy </w:t>
      </w:r>
      <w:r w:rsidR="00856758" w:rsidRPr="00E440BE">
        <w:rPr>
          <w:rFonts w:ascii="Arial" w:hAnsi="Arial" w:cs="Arial"/>
        </w:rPr>
        <w:t>that most restructuring process</w:t>
      </w:r>
      <w:r w:rsidR="00B52375" w:rsidRPr="00E440BE">
        <w:rPr>
          <w:rFonts w:ascii="Arial" w:hAnsi="Arial" w:cs="Arial"/>
        </w:rPr>
        <w:t>es</w:t>
      </w:r>
      <w:r w:rsidR="00856758" w:rsidRPr="00E440BE">
        <w:rPr>
          <w:rFonts w:ascii="Arial" w:hAnsi="Arial" w:cs="Arial"/>
        </w:rPr>
        <w:t xml:space="preserve"> consist of stabilizing, </w:t>
      </w:r>
      <w:r w:rsidR="006564CD" w:rsidRPr="00E440BE">
        <w:rPr>
          <w:rFonts w:ascii="Arial" w:hAnsi="Arial" w:cs="Arial"/>
        </w:rPr>
        <w:t>analyzing</w:t>
      </w:r>
      <w:r w:rsidR="00856758" w:rsidRPr="00E440BE">
        <w:rPr>
          <w:rFonts w:ascii="Arial" w:hAnsi="Arial" w:cs="Arial"/>
        </w:rPr>
        <w:t xml:space="preserve">, </w:t>
      </w:r>
      <w:r w:rsidR="004A1C74">
        <w:rPr>
          <w:rFonts w:ascii="Arial" w:hAnsi="Arial" w:cs="Arial"/>
          <w:lang/>
        </w:rPr>
        <w:t>re</w:t>
      </w:r>
      <w:r w:rsidR="00856758" w:rsidRPr="00E440BE">
        <w:rPr>
          <w:rFonts w:ascii="Arial" w:hAnsi="Arial" w:cs="Arial"/>
        </w:rPr>
        <w:t>positioning and reinforcing</w:t>
      </w:r>
      <w:r w:rsidR="006564CD" w:rsidRPr="00E440BE">
        <w:rPr>
          <w:rFonts w:ascii="Arial" w:hAnsi="Arial" w:cs="Arial"/>
        </w:rPr>
        <w:t>. The</w:t>
      </w:r>
      <w:r w:rsidR="005F305C" w:rsidRPr="00E440BE">
        <w:rPr>
          <w:rFonts w:ascii="Arial" w:hAnsi="Arial" w:cs="Arial"/>
          <w:lang/>
        </w:rPr>
        <w:t>se</w:t>
      </w:r>
      <w:r w:rsidR="006564CD" w:rsidRPr="00E440BE">
        <w:rPr>
          <w:rFonts w:ascii="Arial" w:hAnsi="Arial" w:cs="Arial"/>
        </w:rPr>
        <w:t xml:space="preserve"> p</w:t>
      </w:r>
      <w:r w:rsidR="005F305C" w:rsidRPr="00E440BE">
        <w:rPr>
          <w:rFonts w:ascii="Arial" w:hAnsi="Arial" w:cs="Arial"/>
          <w:lang/>
        </w:rPr>
        <w:t>hase</w:t>
      </w:r>
      <w:r w:rsidR="006564CD" w:rsidRPr="00E440BE">
        <w:rPr>
          <w:rFonts w:ascii="Arial" w:hAnsi="Arial" w:cs="Arial"/>
        </w:rPr>
        <w:t>s need not be</w:t>
      </w:r>
      <w:r w:rsidR="00856758" w:rsidRPr="00E440BE">
        <w:rPr>
          <w:rFonts w:ascii="Arial" w:hAnsi="Arial" w:cs="Arial"/>
        </w:rPr>
        <w:t xml:space="preserve"> sequential</w:t>
      </w:r>
      <w:r w:rsidR="006564CD" w:rsidRPr="00E440BE">
        <w:rPr>
          <w:rFonts w:ascii="Arial" w:hAnsi="Arial" w:cs="Arial"/>
        </w:rPr>
        <w:t xml:space="preserve">, but </w:t>
      </w:r>
      <w:r w:rsidR="006B55FA" w:rsidRPr="00E440BE">
        <w:rPr>
          <w:rFonts w:ascii="Arial" w:hAnsi="Arial" w:cs="Arial"/>
        </w:rPr>
        <w:t xml:space="preserve">a necessary </w:t>
      </w:r>
      <w:r w:rsidR="006564CD" w:rsidRPr="00E440BE">
        <w:rPr>
          <w:rFonts w:ascii="Arial" w:hAnsi="Arial" w:cs="Arial"/>
        </w:rPr>
        <w:t>e</w:t>
      </w:r>
      <w:r w:rsidR="006B55FA" w:rsidRPr="00E440BE">
        <w:rPr>
          <w:rFonts w:ascii="Arial" w:hAnsi="Arial" w:cs="Arial"/>
        </w:rPr>
        <w:t xml:space="preserve">arly </w:t>
      </w:r>
      <w:r w:rsidR="006564CD" w:rsidRPr="00E440BE">
        <w:rPr>
          <w:rFonts w:ascii="Arial" w:hAnsi="Arial" w:cs="Arial"/>
        </w:rPr>
        <w:t xml:space="preserve">step </w:t>
      </w:r>
      <w:r w:rsidR="006B55FA" w:rsidRPr="00E440BE">
        <w:rPr>
          <w:rFonts w:ascii="Arial" w:hAnsi="Arial" w:cs="Arial"/>
        </w:rPr>
        <w:t xml:space="preserve">is to </w:t>
      </w:r>
      <w:r w:rsidR="00047E55" w:rsidRPr="00E440BE">
        <w:rPr>
          <w:rFonts w:ascii="Arial" w:hAnsi="Arial" w:cs="Arial"/>
        </w:rPr>
        <w:t>identify the critical problems which require immediate action, with a view to increasing cash flow</w:t>
      </w:r>
      <w:r w:rsidR="00A055DE" w:rsidRPr="00E440BE">
        <w:rPr>
          <w:rFonts w:ascii="Arial" w:hAnsi="Arial" w:cs="Arial"/>
        </w:rPr>
        <w:t>.</w:t>
      </w:r>
      <w:r w:rsidR="00575B14" w:rsidRPr="00E440BE">
        <w:rPr>
          <w:rStyle w:val="FootnoteReference"/>
          <w:rFonts w:ascii="Arial" w:hAnsi="Arial" w:cs="Arial"/>
        </w:rPr>
        <w:footnoteReference w:id="12"/>
      </w:r>
      <w:r w:rsidR="00034E96" w:rsidRPr="00E440BE">
        <w:rPr>
          <w:rFonts w:ascii="Arial" w:hAnsi="Arial" w:cs="Arial"/>
        </w:rPr>
        <w:t xml:space="preserve"> </w:t>
      </w:r>
      <w:r w:rsidR="00A055DE" w:rsidRPr="00E440BE">
        <w:rPr>
          <w:rFonts w:ascii="Arial" w:hAnsi="Arial" w:cs="Arial"/>
        </w:rPr>
        <w:t xml:space="preserve">In the case of </w:t>
      </w:r>
      <w:r w:rsidR="00360196" w:rsidRPr="00E440BE">
        <w:rPr>
          <w:rFonts w:ascii="Arial" w:hAnsi="Arial" w:cs="Arial"/>
          <w:lang/>
        </w:rPr>
        <w:t>the Group</w:t>
      </w:r>
      <w:r w:rsidR="00A055DE" w:rsidRPr="00E440BE">
        <w:rPr>
          <w:rFonts w:ascii="Arial" w:hAnsi="Arial" w:cs="Arial"/>
        </w:rPr>
        <w:t xml:space="preserve">, the obvious issue they had was the </w:t>
      </w:r>
      <w:r w:rsidR="006C1108" w:rsidRPr="00E440BE">
        <w:rPr>
          <w:rFonts w:ascii="Arial" w:hAnsi="Arial" w:cs="Arial"/>
          <w:lang/>
        </w:rPr>
        <w:t>inadvertent</w:t>
      </w:r>
      <w:r w:rsidR="00A055DE" w:rsidRPr="00E440BE">
        <w:rPr>
          <w:rFonts w:ascii="Arial" w:hAnsi="Arial" w:cs="Arial"/>
        </w:rPr>
        <w:t xml:space="preserve"> </w:t>
      </w:r>
      <w:r w:rsidR="00662E20" w:rsidRPr="00E440BE">
        <w:rPr>
          <w:rFonts w:ascii="Arial" w:hAnsi="Arial" w:cs="Arial"/>
        </w:rPr>
        <w:t>underpricing (and therefore a lower than necessary cash flow). Immediate actions were taken to rectify this</w:t>
      </w:r>
      <w:r w:rsidR="00511FDB" w:rsidRPr="00E440BE">
        <w:rPr>
          <w:rFonts w:ascii="Arial" w:hAnsi="Arial" w:cs="Arial"/>
        </w:rPr>
        <w:t>, by renegotiating with customers</w:t>
      </w:r>
      <w:r w:rsidR="00494580" w:rsidRPr="00E440BE">
        <w:rPr>
          <w:rFonts w:ascii="Arial" w:hAnsi="Arial" w:cs="Arial"/>
        </w:rPr>
        <w:t xml:space="preserve"> and implementing spending cuts</w:t>
      </w:r>
      <w:r w:rsidR="00662E20" w:rsidRPr="00E440BE">
        <w:rPr>
          <w:rFonts w:ascii="Arial" w:hAnsi="Arial" w:cs="Arial"/>
        </w:rPr>
        <w:t>.</w:t>
      </w:r>
    </w:p>
    <w:p w14:paraId="1276AA29" w14:textId="77777777" w:rsidR="001877C8" w:rsidRPr="00E440BE" w:rsidRDefault="001877C8" w:rsidP="00FC5510">
      <w:pPr>
        <w:spacing w:after="0" w:line="240" w:lineRule="auto"/>
        <w:jc w:val="both"/>
        <w:rPr>
          <w:rFonts w:ascii="Arial" w:hAnsi="Arial" w:cs="Arial"/>
        </w:rPr>
      </w:pPr>
    </w:p>
    <w:p w14:paraId="6C159C6D" w14:textId="77777777" w:rsidR="00755E0C" w:rsidRDefault="00EF349B" w:rsidP="00FC5510">
      <w:pPr>
        <w:spacing w:after="0" w:line="240" w:lineRule="auto"/>
        <w:jc w:val="both"/>
        <w:rPr>
          <w:rFonts w:ascii="Arial" w:hAnsi="Arial" w:cs="Arial"/>
        </w:rPr>
      </w:pPr>
      <w:r w:rsidRPr="00E440BE">
        <w:rPr>
          <w:rFonts w:ascii="Arial" w:hAnsi="Arial" w:cs="Arial"/>
        </w:rPr>
        <w:t>The Company then</w:t>
      </w:r>
      <w:r w:rsidR="006D4AA5" w:rsidRPr="00E440BE">
        <w:rPr>
          <w:rFonts w:ascii="Arial" w:hAnsi="Arial" w:cs="Arial"/>
        </w:rPr>
        <w:t xml:space="preserve"> </w:t>
      </w:r>
      <w:r w:rsidRPr="00E440BE">
        <w:rPr>
          <w:rFonts w:ascii="Arial" w:hAnsi="Arial" w:cs="Arial"/>
        </w:rPr>
        <w:t xml:space="preserve">undertook </w:t>
      </w:r>
      <w:r w:rsidR="00D739FE" w:rsidRPr="00E440BE">
        <w:rPr>
          <w:rFonts w:ascii="Arial" w:hAnsi="Arial" w:cs="Arial"/>
        </w:rPr>
        <w:t>a</w:t>
      </w:r>
      <w:r w:rsidR="00301F1D" w:rsidRPr="00E440BE">
        <w:rPr>
          <w:rFonts w:ascii="Arial" w:hAnsi="Arial" w:cs="Arial"/>
        </w:rPr>
        <w:t xml:space="preserve">n analysis of the </w:t>
      </w:r>
      <w:r w:rsidR="0005158B" w:rsidRPr="00E440BE">
        <w:rPr>
          <w:rFonts w:ascii="Arial" w:hAnsi="Arial" w:cs="Arial"/>
        </w:rPr>
        <w:t>causes of the problems an</w:t>
      </w:r>
      <w:r w:rsidR="00E26C53" w:rsidRPr="00E440BE">
        <w:rPr>
          <w:rFonts w:ascii="Arial" w:hAnsi="Arial" w:cs="Arial"/>
        </w:rPr>
        <w:t xml:space="preserve">d compiled projections and calculations </w:t>
      </w:r>
      <w:r w:rsidR="00E91419" w:rsidRPr="00E440BE">
        <w:rPr>
          <w:rFonts w:ascii="Arial" w:hAnsi="Arial" w:cs="Arial"/>
        </w:rPr>
        <w:t>for the future</w:t>
      </w:r>
      <w:r w:rsidR="006C1108" w:rsidRPr="00E440BE">
        <w:rPr>
          <w:rFonts w:ascii="Arial" w:hAnsi="Arial" w:cs="Arial"/>
          <w:lang/>
        </w:rPr>
        <w:t xml:space="preserve"> (essentially, phase 2)</w:t>
      </w:r>
      <w:r w:rsidR="00E91419" w:rsidRPr="00E440BE">
        <w:rPr>
          <w:rFonts w:ascii="Arial" w:hAnsi="Arial" w:cs="Arial"/>
        </w:rPr>
        <w:t xml:space="preserve">. This was </w:t>
      </w:r>
      <w:r w:rsidR="007A5518">
        <w:rPr>
          <w:rFonts w:ascii="Arial" w:hAnsi="Arial" w:cs="Arial"/>
          <w:lang/>
        </w:rPr>
        <w:t>embarked upon</w:t>
      </w:r>
      <w:r w:rsidR="00E91419" w:rsidRPr="00E440BE">
        <w:rPr>
          <w:rFonts w:ascii="Arial" w:hAnsi="Arial" w:cs="Arial"/>
        </w:rPr>
        <w:t xml:space="preserve"> with the assistance of third</w:t>
      </w:r>
      <w:r w:rsidR="006D4AA5" w:rsidRPr="00E440BE">
        <w:rPr>
          <w:rFonts w:ascii="Arial" w:hAnsi="Arial" w:cs="Arial"/>
        </w:rPr>
        <w:t>-</w:t>
      </w:r>
      <w:r w:rsidR="00E91419" w:rsidRPr="00E440BE">
        <w:rPr>
          <w:rFonts w:ascii="Arial" w:hAnsi="Arial" w:cs="Arial"/>
        </w:rPr>
        <w:t xml:space="preserve">party professionals. </w:t>
      </w:r>
      <w:r w:rsidR="00373520" w:rsidRPr="00E440BE">
        <w:rPr>
          <w:rFonts w:ascii="Arial" w:hAnsi="Arial" w:cs="Arial"/>
        </w:rPr>
        <w:t xml:space="preserve">An important part of this phase </w:t>
      </w:r>
      <w:r w:rsidR="006D4AA5" w:rsidRPr="00E440BE">
        <w:rPr>
          <w:rFonts w:ascii="Arial" w:hAnsi="Arial" w:cs="Arial"/>
        </w:rPr>
        <w:t>should have been</w:t>
      </w:r>
      <w:r w:rsidR="00373520" w:rsidRPr="00E440BE">
        <w:rPr>
          <w:rFonts w:ascii="Arial" w:hAnsi="Arial" w:cs="Arial"/>
        </w:rPr>
        <w:t xml:space="preserve"> reinforcing or reinstating the </w:t>
      </w:r>
      <w:r w:rsidR="00355782" w:rsidRPr="00E440BE">
        <w:rPr>
          <w:rFonts w:ascii="Arial" w:hAnsi="Arial" w:cs="Arial"/>
        </w:rPr>
        <w:t>confidence</w:t>
      </w:r>
      <w:r w:rsidR="00373520" w:rsidRPr="00E440BE">
        <w:rPr>
          <w:rFonts w:ascii="Arial" w:hAnsi="Arial" w:cs="Arial"/>
        </w:rPr>
        <w:t xml:space="preserve"> of stakeholders. However, it is apparent this was not done as well as it could have been:</w:t>
      </w:r>
    </w:p>
    <w:p w14:paraId="012B0E8A" w14:textId="77777777" w:rsidR="00755E0C" w:rsidRDefault="00755E0C" w:rsidP="00FC5510">
      <w:pPr>
        <w:spacing w:after="0" w:line="240" w:lineRule="auto"/>
        <w:jc w:val="both"/>
        <w:rPr>
          <w:rFonts w:ascii="Arial" w:hAnsi="Arial" w:cs="Arial"/>
        </w:rPr>
      </w:pPr>
    </w:p>
    <w:p w14:paraId="4F6D3B85" w14:textId="2CEF544E" w:rsidR="00C2438B" w:rsidRPr="00755E0C" w:rsidRDefault="00373520" w:rsidP="00755E0C">
      <w:pPr>
        <w:pStyle w:val="ListParagraph"/>
        <w:numPr>
          <w:ilvl w:val="0"/>
          <w:numId w:val="2"/>
        </w:numPr>
        <w:spacing w:after="0" w:line="240" w:lineRule="auto"/>
        <w:jc w:val="both"/>
        <w:rPr>
          <w:rFonts w:ascii="Arial" w:hAnsi="Arial" w:cs="Arial"/>
          <w:lang/>
        </w:rPr>
      </w:pPr>
      <w:r w:rsidRPr="00755E0C">
        <w:rPr>
          <w:rFonts w:ascii="Arial" w:hAnsi="Arial" w:cs="Arial"/>
        </w:rPr>
        <w:t xml:space="preserve">The failure to produce reliable data about </w:t>
      </w:r>
      <w:r w:rsidR="001402E2" w:rsidRPr="00755E0C">
        <w:rPr>
          <w:rFonts w:ascii="Arial" w:hAnsi="Arial" w:cs="Arial"/>
        </w:rPr>
        <w:t xml:space="preserve">past activities or to accurately </w:t>
      </w:r>
      <w:r w:rsidRPr="00755E0C">
        <w:rPr>
          <w:rFonts w:ascii="Arial" w:hAnsi="Arial" w:cs="Arial"/>
        </w:rPr>
        <w:t>project</w:t>
      </w:r>
      <w:r w:rsidR="001402E2" w:rsidRPr="00755E0C">
        <w:rPr>
          <w:rFonts w:ascii="Arial" w:hAnsi="Arial" w:cs="Arial"/>
        </w:rPr>
        <w:t xml:space="preserve"> </w:t>
      </w:r>
      <w:r w:rsidR="00853847" w:rsidRPr="00755E0C">
        <w:rPr>
          <w:rFonts w:ascii="Arial" w:hAnsi="Arial" w:cs="Arial"/>
          <w:lang/>
        </w:rPr>
        <w:t xml:space="preserve">revenue for </w:t>
      </w:r>
      <w:r w:rsidR="001402E2" w:rsidRPr="00755E0C">
        <w:rPr>
          <w:rFonts w:ascii="Arial" w:hAnsi="Arial" w:cs="Arial"/>
        </w:rPr>
        <w:t>the coming months led to the Banks doubting the management and the long</w:t>
      </w:r>
      <w:r w:rsidR="00E76E2A" w:rsidRPr="00755E0C">
        <w:rPr>
          <w:rFonts w:ascii="Arial" w:hAnsi="Arial" w:cs="Arial"/>
        </w:rPr>
        <w:t>-</w:t>
      </w:r>
      <w:r w:rsidR="001402E2" w:rsidRPr="00755E0C">
        <w:rPr>
          <w:rFonts w:ascii="Arial" w:hAnsi="Arial" w:cs="Arial"/>
        </w:rPr>
        <w:t xml:space="preserve">term viability of the Group. Further, </w:t>
      </w:r>
      <w:r w:rsidR="00E76E2A" w:rsidRPr="00755E0C">
        <w:rPr>
          <w:rFonts w:ascii="Arial" w:hAnsi="Arial" w:cs="Arial"/>
        </w:rPr>
        <w:t xml:space="preserve">while it is apparent that there was some </w:t>
      </w:r>
      <w:r w:rsidR="00E206DD" w:rsidRPr="00755E0C">
        <w:rPr>
          <w:rFonts w:ascii="Arial" w:hAnsi="Arial" w:cs="Arial"/>
        </w:rPr>
        <w:t>engagement</w:t>
      </w:r>
      <w:r w:rsidR="00E76E2A" w:rsidRPr="00755E0C">
        <w:rPr>
          <w:rFonts w:ascii="Arial" w:hAnsi="Arial" w:cs="Arial"/>
        </w:rPr>
        <w:t xml:space="preserve"> with the shareholder, i</w:t>
      </w:r>
      <w:r w:rsidR="00A8655F" w:rsidRPr="00755E0C">
        <w:rPr>
          <w:rFonts w:ascii="Arial" w:hAnsi="Arial" w:cs="Arial"/>
        </w:rPr>
        <w:t xml:space="preserve">t is not clear that sufficient </w:t>
      </w:r>
      <w:r w:rsidR="00E206DD" w:rsidRPr="00755E0C">
        <w:rPr>
          <w:rFonts w:ascii="Arial" w:hAnsi="Arial" w:cs="Arial"/>
        </w:rPr>
        <w:t xml:space="preserve">action </w:t>
      </w:r>
      <w:r w:rsidR="00A8655F" w:rsidRPr="00755E0C">
        <w:rPr>
          <w:rFonts w:ascii="Arial" w:hAnsi="Arial" w:cs="Arial"/>
        </w:rPr>
        <w:t xml:space="preserve">was </w:t>
      </w:r>
      <w:r w:rsidR="00E206DD" w:rsidRPr="00755E0C">
        <w:rPr>
          <w:rFonts w:ascii="Arial" w:hAnsi="Arial" w:cs="Arial"/>
        </w:rPr>
        <w:t>taken</w:t>
      </w:r>
      <w:r w:rsidR="00853847" w:rsidRPr="00755E0C">
        <w:rPr>
          <w:rFonts w:ascii="Arial" w:hAnsi="Arial" w:cs="Arial"/>
          <w:lang/>
        </w:rPr>
        <w:t xml:space="preserve"> to ensure their engagement with the process</w:t>
      </w:r>
      <w:r w:rsidR="00A8655F" w:rsidRPr="00755E0C">
        <w:rPr>
          <w:rFonts w:ascii="Arial" w:hAnsi="Arial" w:cs="Arial"/>
        </w:rPr>
        <w:t>.</w:t>
      </w:r>
      <w:r w:rsidR="00E206DD" w:rsidRPr="00755E0C">
        <w:rPr>
          <w:rFonts w:ascii="Arial" w:hAnsi="Arial" w:cs="Arial"/>
        </w:rPr>
        <w:t xml:space="preserve"> </w:t>
      </w:r>
      <w:proofErr w:type="gramStart"/>
      <w:r w:rsidR="00E206DD" w:rsidRPr="00755E0C">
        <w:rPr>
          <w:rFonts w:ascii="Arial" w:hAnsi="Arial" w:cs="Arial"/>
        </w:rPr>
        <w:t>In particular, given</w:t>
      </w:r>
      <w:proofErr w:type="gramEnd"/>
      <w:r w:rsidR="00E206DD" w:rsidRPr="00755E0C">
        <w:rPr>
          <w:rFonts w:ascii="Arial" w:hAnsi="Arial" w:cs="Arial"/>
        </w:rPr>
        <w:t xml:space="preserve"> that the shareholder was </w:t>
      </w:r>
      <w:r w:rsidR="00ED4424" w:rsidRPr="00755E0C">
        <w:rPr>
          <w:rFonts w:ascii="Arial" w:hAnsi="Arial" w:cs="Arial"/>
        </w:rPr>
        <w:t>likely little more than a shell company, more traction would likely have been gained if there had been direct engagement with the UBOs.</w:t>
      </w:r>
      <w:r w:rsidR="00C2438B" w:rsidRPr="00755E0C">
        <w:rPr>
          <w:rFonts w:ascii="Arial" w:hAnsi="Arial" w:cs="Arial"/>
          <w:lang/>
        </w:rPr>
        <w:t xml:space="preserve"> A</w:t>
      </w:r>
      <w:r w:rsidR="00B927C6" w:rsidRPr="00755E0C">
        <w:rPr>
          <w:rFonts w:ascii="Arial" w:hAnsi="Arial" w:cs="Arial"/>
          <w:lang/>
        </w:rPr>
        <w:t>s per</w:t>
      </w:r>
      <w:r w:rsidR="00853847" w:rsidRPr="00755E0C">
        <w:rPr>
          <w:rFonts w:ascii="Arial" w:hAnsi="Arial" w:cs="Arial"/>
          <w:lang/>
        </w:rPr>
        <w:t xml:space="preserve"> </w:t>
      </w:r>
      <w:r w:rsidR="00853847" w:rsidRPr="00755E0C">
        <w:rPr>
          <w:rFonts w:ascii="Arial" w:hAnsi="Arial" w:cs="Arial"/>
        </w:rPr>
        <w:t xml:space="preserve">Pajunen’s research </w:t>
      </w:r>
      <w:r w:rsidR="00B927C6" w:rsidRPr="00755E0C">
        <w:rPr>
          <w:rFonts w:ascii="Arial" w:hAnsi="Arial" w:cs="Arial"/>
          <w:lang/>
        </w:rPr>
        <w:t>regarding</w:t>
      </w:r>
      <w:r w:rsidR="00853847" w:rsidRPr="00755E0C">
        <w:rPr>
          <w:rFonts w:ascii="Arial" w:hAnsi="Arial" w:cs="Arial"/>
        </w:rPr>
        <w:t xml:space="preserve"> stakeholder influence on organizational survival</w:t>
      </w:r>
      <w:r w:rsidR="00F07566" w:rsidRPr="00755E0C">
        <w:rPr>
          <w:rFonts w:ascii="Arial" w:hAnsi="Arial" w:cs="Arial"/>
          <w:lang/>
        </w:rPr>
        <w:t xml:space="preserve"> a possible failing in the</w:t>
      </w:r>
      <w:r w:rsidR="00853847" w:rsidRPr="00755E0C">
        <w:rPr>
          <w:rFonts w:ascii="Arial" w:hAnsi="Arial" w:cs="Arial"/>
        </w:rPr>
        <w:t xml:space="preserve"> Flow Management process </w:t>
      </w:r>
      <w:r w:rsidR="00F07566" w:rsidRPr="00755E0C">
        <w:rPr>
          <w:rFonts w:ascii="Arial" w:hAnsi="Arial" w:cs="Arial"/>
          <w:lang/>
        </w:rPr>
        <w:t xml:space="preserve">was the </w:t>
      </w:r>
      <w:r w:rsidR="00853847" w:rsidRPr="00755E0C">
        <w:rPr>
          <w:rFonts w:ascii="Arial" w:hAnsi="Arial" w:cs="Arial"/>
        </w:rPr>
        <w:t xml:space="preserve">seeming inability to recognise / utilize the </w:t>
      </w:r>
      <w:r w:rsidR="00702DA8" w:rsidRPr="00755E0C">
        <w:rPr>
          <w:rFonts w:ascii="Arial" w:hAnsi="Arial" w:cs="Arial"/>
          <w:lang/>
        </w:rPr>
        <w:t xml:space="preserve">potential </w:t>
      </w:r>
      <w:r w:rsidR="00853847" w:rsidRPr="00755E0C">
        <w:rPr>
          <w:rFonts w:ascii="Arial" w:hAnsi="Arial" w:cs="Arial"/>
        </w:rPr>
        <w:t xml:space="preserve">importance of </w:t>
      </w:r>
      <w:r w:rsidR="00702DA8" w:rsidRPr="00755E0C">
        <w:rPr>
          <w:rFonts w:ascii="Arial" w:hAnsi="Arial" w:cs="Arial"/>
          <w:lang/>
        </w:rPr>
        <w:t>shareholder and its UBO</w:t>
      </w:r>
      <w:r w:rsidR="00D71A4F" w:rsidRPr="00755E0C">
        <w:rPr>
          <w:rFonts w:ascii="Arial" w:hAnsi="Arial" w:cs="Arial"/>
          <w:lang/>
        </w:rPr>
        <w:t>s</w:t>
      </w:r>
      <w:r w:rsidR="00C2438B" w:rsidRPr="00755E0C">
        <w:rPr>
          <w:rFonts w:ascii="Arial" w:hAnsi="Arial" w:cs="Arial"/>
          <w:lang/>
        </w:rPr>
        <w:t>.</w:t>
      </w:r>
      <w:r w:rsidR="00755E0C" w:rsidRPr="00755E0C">
        <w:rPr>
          <w:rFonts w:ascii="Arial" w:hAnsi="Arial" w:cs="Arial"/>
        </w:rPr>
        <w:t xml:space="preserve"> </w:t>
      </w:r>
      <w:r w:rsidR="00755E0C" w:rsidRPr="000F29D4">
        <w:rPr>
          <w:rFonts w:ascii="Arial" w:hAnsi="Arial" w:cs="Arial"/>
        </w:rPr>
        <w:t xml:space="preserve">Adriaanse and </w:t>
      </w:r>
      <w:proofErr w:type="spellStart"/>
      <w:r w:rsidR="00755E0C" w:rsidRPr="000F29D4">
        <w:rPr>
          <w:rFonts w:ascii="Arial" w:hAnsi="Arial" w:cs="Arial"/>
        </w:rPr>
        <w:t>Kuijl</w:t>
      </w:r>
      <w:proofErr w:type="spellEnd"/>
      <w:r w:rsidR="00755E0C" w:rsidRPr="000F29D4">
        <w:rPr>
          <w:rFonts w:ascii="Arial" w:hAnsi="Arial" w:cs="Arial"/>
        </w:rPr>
        <w:t xml:space="preserve"> consider that whether a rescue operation will be successful depends upon: (1) the active attitude and involvement of the key stakeholders, including transparency; (2) speed and adequacy of the reorganization of the operations; and (3) the injunction of risk-bearing capital.</w:t>
      </w:r>
      <w:r w:rsidR="00755E0C" w:rsidRPr="000F29D4">
        <w:rPr>
          <w:rStyle w:val="FootnoteReference"/>
          <w:rFonts w:ascii="Arial" w:hAnsi="Arial" w:cs="Arial"/>
        </w:rPr>
        <w:footnoteReference w:id="13"/>
      </w:r>
      <w:r w:rsidR="00755E0C" w:rsidRPr="000F29D4">
        <w:rPr>
          <w:rFonts w:ascii="Arial" w:hAnsi="Arial" w:cs="Arial"/>
          <w:lang/>
        </w:rPr>
        <w:t xml:space="preserve"> By failing to engage with the shareholder / UBOs, the Company made it much more difficult to obtain risk-bearing capital in a timely manner</w:t>
      </w:r>
      <w:r w:rsidR="00755E0C">
        <w:rPr>
          <w:rFonts w:ascii="Arial" w:hAnsi="Arial" w:cs="Arial"/>
          <w:lang/>
        </w:rPr>
        <w:t>.</w:t>
      </w:r>
    </w:p>
    <w:p w14:paraId="7EFA696E" w14:textId="77777777" w:rsidR="00755E0C" w:rsidRDefault="00755E0C" w:rsidP="00755E0C">
      <w:pPr>
        <w:pStyle w:val="ListParagraph"/>
        <w:spacing w:after="0" w:line="240" w:lineRule="auto"/>
        <w:ind w:left="360"/>
        <w:jc w:val="both"/>
        <w:rPr>
          <w:rFonts w:ascii="Arial" w:hAnsi="Arial" w:cs="Arial"/>
          <w:lang/>
        </w:rPr>
      </w:pPr>
    </w:p>
    <w:p w14:paraId="62D99122" w14:textId="1BB41EEF" w:rsidR="00755E0C" w:rsidRPr="00755E0C" w:rsidRDefault="00755E0C" w:rsidP="00755E0C">
      <w:pPr>
        <w:pStyle w:val="ListParagraph"/>
        <w:numPr>
          <w:ilvl w:val="0"/>
          <w:numId w:val="2"/>
        </w:numPr>
        <w:spacing w:after="0" w:line="240" w:lineRule="auto"/>
        <w:jc w:val="both"/>
        <w:rPr>
          <w:rFonts w:ascii="Arial" w:hAnsi="Arial" w:cs="Arial"/>
          <w:lang/>
        </w:rPr>
      </w:pPr>
      <w:r w:rsidRPr="00755E0C">
        <w:rPr>
          <w:rFonts w:ascii="Arial" w:hAnsi="Arial" w:cs="Arial"/>
          <w:lang/>
        </w:rPr>
        <w:t>One strategy that may not have been fully explored by the Company is the benefits that could have been obtained from conducting a more significant asset restructuring, or doing so earlier. The Group appears to have operations around much of Europe, the United States, Australia and South Africa. While there will be global factors which affect all of these markets, there a</w:t>
      </w:r>
      <w:r w:rsidR="00512BD3">
        <w:rPr>
          <w:rFonts w:ascii="Arial" w:hAnsi="Arial" w:cs="Arial"/>
          <w:lang/>
        </w:rPr>
        <w:t>re also</w:t>
      </w:r>
      <w:r w:rsidRPr="00755E0C">
        <w:rPr>
          <w:rFonts w:ascii="Arial" w:hAnsi="Arial" w:cs="Arial"/>
          <w:lang/>
        </w:rPr>
        <w:t xml:space="preserve"> likely to be local factors (for example, tax changes, political influences) that affect the viability of the business model in each of these markets. The “foreign subsidiaries” were identified at one point has having made losses of </w:t>
      </w:r>
      <w:r w:rsidRPr="00755E0C">
        <w:rPr>
          <w:rFonts w:ascii="Arial" w:hAnsi="Arial" w:cs="Arial"/>
          <w:shd w:val="clear" w:color="auto" w:fill="FFFFFF"/>
        </w:rPr>
        <w:t>€</w:t>
      </w:r>
      <w:r w:rsidRPr="00755E0C">
        <w:rPr>
          <w:rFonts w:ascii="Arial" w:hAnsi="Arial" w:cs="Arial"/>
          <w:shd w:val="clear" w:color="auto" w:fill="FFFFFF"/>
          <w:lang/>
        </w:rPr>
        <w:t>6.3 million. Ideally further analysis would have been undertaken to identify which of the subsidiaries was failing and why.</w:t>
      </w:r>
    </w:p>
    <w:p w14:paraId="35BF4760" w14:textId="77777777" w:rsidR="0018588F" w:rsidRPr="000F29D4" w:rsidRDefault="0018588F" w:rsidP="00FC5510">
      <w:pPr>
        <w:spacing w:after="0" w:line="240" w:lineRule="auto"/>
        <w:jc w:val="both"/>
        <w:rPr>
          <w:rFonts w:ascii="Arial" w:hAnsi="Arial" w:cs="Arial"/>
          <w:lang/>
        </w:rPr>
      </w:pPr>
    </w:p>
    <w:p w14:paraId="783450D9" w14:textId="512E73C9" w:rsidR="00DB3A0A" w:rsidRDefault="00680999" w:rsidP="00FC5510">
      <w:pPr>
        <w:spacing w:after="0" w:line="240" w:lineRule="auto"/>
        <w:jc w:val="both"/>
        <w:rPr>
          <w:rFonts w:ascii="Arial" w:hAnsi="Arial" w:cs="Arial"/>
          <w:lang/>
        </w:rPr>
      </w:pPr>
      <w:r w:rsidRPr="000F29D4">
        <w:rPr>
          <w:rFonts w:ascii="Arial" w:hAnsi="Arial" w:cs="Arial"/>
          <w:lang/>
        </w:rPr>
        <w:t>Sudarasanam and Lai</w:t>
      </w:r>
      <w:r w:rsidR="003009C5" w:rsidRPr="000F29D4">
        <w:rPr>
          <w:rFonts w:ascii="Arial" w:hAnsi="Arial" w:cs="Arial"/>
          <w:lang/>
        </w:rPr>
        <w:t>’s research (regarding conditions for a successful turnaround)</w:t>
      </w:r>
      <w:r w:rsidR="004E3462">
        <w:rPr>
          <w:rFonts w:ascii="Arial" w:hAnsi="Arial" w:cs="Arial"/>
          <w:lang/>
        </w:rPr>
        <w:t xml:space="preserve"> identif</w:t>
      </w:r>
      <w:r w:rsidR="003009C5">
        <w:rPr>
          <w:rFonts w:ascii="Arial" w:hAnsi="Arial" w:cs="Arial"/>
          <w:lang/>
        </w:rPr>
        <w:t>ies</w:t>
      </w:r>
      <w:r w:rsidR="004E3462">
        <w:rPr>
          <w:rFonts w:ascii="Arial" w:hAnsi="Arial" w:cs="Arial"/>
          <w:lang/>
        </w:rPr>
        <w:t xml:space="preserve"> the range of turnaround strategies as: managerial restructuring, operational </w:t>
      </w:r>
      <w:r w:rsidR="003009C5">
        <w:rPr>
          <w:rFonts w:ascii="Arial" w:hAnsi="Arial" w:cs="Arial"/>
          <w:lang/>
        </w:rPr>
        <w:t>restructuring</w:t>
      </w:r>
      <w:r w:rsidR="004E3462">
        <w:rPr>
          <w:rFonts w:ascii="Arial" w:hAnsi="Arial" w:cs="Arial"/>
          <w:lang/>
        </w:rPr>
        <w:t xml:space="preserve">, </w:t>
      </w:r>
      <w:r w:rsidR="003009C5">
        <w:rPr>
          <w:rFonts w:ascii="Arial" w:hAnsi="Arial" w:cs="Arial"/>
          <w:lang/>
        </w:rPr>
        <w:t>asset restructuring and financial restructuring.</w:t>
      </w:r>
    </w:p>
    <w:p w14:paraId="31255CD1" w14:textId="77777777" w:rsidR="00180A98" w:rsidRDefault="00180A98" w:rsidP="00FC5510">
      <w:pPr>
        <w:spacing w:after="0" w:line="240" w:lineRule="auto"/>
        <w:jc w:val="both"/>
        <w:rPr>
          <w:rFonts w:ascii="Arial" w:hAnsi="Arial" w:cs="Arial"/>
          <w:lang/>
        </w:rPr>
      </w:pPr>
    </w:p>
    <w:p w14:paraId="59E8A7E0" w14:textId="36AE124C" w:rsidR="000249E2" w:rsidRPr="000F29D4" w:rsidRDefault="00180A98" w:rsidP="00FC5510">
      <w:pPr>
        <w:spacing w:after="0" w:line="240" w:lineRule="auto"/>
        <w:jc w:val="both"/>
        <w:rPr>
          <w:rFonts w:ascii="Arial" w:hAnsi="Arial" w:cs="Arial"/>
          <w:lang/>
        </w:rPr>
      </w:pPr>
      <w:r>
        <w:rPr>
          <w:rFonts w:ascii="Arial" w:hAnsi="Arial" w:cs="Arial"/>
          <w:lang/>
        </w:rPr>
        <w:t xml:space="preserve">Although </w:t>
      </w:r>
      <w:r w:rsidR="007219D6">
        <w:rPr>
          <w:rFonts w:ascii="Arial" w:hAnsi="Arial" w:cs="Arial"/>
          <w:lang/>
        </w:rPr>
        <w:t xml:space="preserve">the Company </w:t>
      </w:r>
      <w:r>
        <w:rPr>
          <w:rFonts w:ascii="Arial" w:hAnsi="Arial" w:cs="Arial"/>
          <w:lang/>
        </w:rPr>
        <w:t>ultimately</w:t>
      </w:r>
      <w:r w:rsidR="007219D6">
        <w:rPr>
          <w:rFonts w:ascii="Arial" w:hAnsi="Arial" w:cs="Arial"/>
          <w:lang/>
        </w:rPr>
        <w:t xml:space="preserve"> implemented a debt for equity swap, </w:t>
      </w:r>
      <w:r w:rsidR="007219D6" w:rsidRPr="000F29D4">
        <w:rPr>
          <w:rFonts w:ascii="Arial" w:hAnsi="Arial" w:cs="Arial"/>
          <w:lang/>
        </w:rPr>
        <w:t xml:space="preserve">Sudarasanam and Lai’s research </w:t>
      </w:r>
      <w:r w:rsidR="00680999" w:rsidRPr="000F29D4">
        <w:rPr>
          <w:rFonts w:ascii="Arial" w:hAnsi="Arial" w:cs="Arial"/>
          <w:lang/>
        </w:rPr>
        <w:t xml:space="preserve">indicates that </w:t>
      </w:r>
      <w:r w:rsidR="002100E9" w:rsidRPr="000F29D4">
        <w:rPr>
          <w:rFonts w:ascii="Arial" w:hAnsi="Arial" w:cs="Arial"/>
          <w:lang/>
        </w:rPr>
        <w:t xml:space="preserve">when considering the necessary changes to be made during a </w:t>
      </w:r>
      <w:r w:rsidR="0018588F" w:rsidRPr="000F29D4">
        <w:rPr>
          <w:rFonts w:ascii="Arial" w:hAnsi="Arial" w:cs="Arial"/>
          <w:lang/>
        </w:rPr>
        <w:t>restructuring</w:t>
      </w:r>
      <w:r w:rsidR="002100E9" w:rsidRPr="000F29D4">
        <w:rPr>
          <w:rFonts w:ascii="Arial" w:hAnsi="Arial" w:cs="Arial"/>
          <w:lang/>
        </w:rPr>
        <w:t xml:space="preserve">, </w:t>
      </w:r>
      <w:r w:rsidR="0018588F" w:rsidRPr="000F29D4">
        <w:rPr>
          <w:rFonts w:ascii="Arial" w:hAnsi="Arial" w:cs="Arial"/>
          <w:lang/>
        </w:rPr>
        <w:t>a financial restructuring is the least necessary for ensuring success.</w:t>
      </w:r>
      <w:r w:rsidR="00F557BF" w:rsidRPr="000F29D4">
        <w:rPr>
          <w:rStyle w:val="FootnoteReference"/>
          <w:rFonts w:ascii="Arial" w:hAnsi="Arial" w:cs="Arial"/>
          <w:lang/>
        </w:rPr>
        <w:footnoteReference w:id="14"/>
      </w:r>
      <w:r w:rsidR="00F557BF" w:rsidRPr="000F29D4">
        <w:rPr>
          <w:rFonts w:ascii="Arial" w:hAnsi="Arial" w:cs="Arial"/>
          <w:lang/>
        </w:rPr>
        <w:t xml:space="preserve"> Rather, the </w:t>
      </w:r>
      <w:r w:rsidR="00537C23" w:rsidRPr="000F29D4">
        <w:rPr>
          <w:rFonts w:ascii="Arial" w:hAnsi="Arial" w:cs="Arial"/>
          <w:lang/>
        </w:rPr>
        <w:lastRenderedPageBreak/>
        <w:t>key component is a managerial restructuring.</w:t>
      </w:r>
      <w:r w:rsidR="00537C23" w:rsidRPr="000F29D4">
        <w:rPr>
          <w:rStyle w:val="FootnoteReference"/>
          <w:rFonts w:ascii="Arial" w:hAnsi="Arial" w:cs="Arial"/>
          <w:lang/>
        </w:rPr>
        <w:footnoteReference w:id="15"/>
      </w:r>
      <w:r w:rsidR="00537C23" w:rsidRPr="000F29D4">
        <w:rPr>
          <w:rFonts w:ascii="Arial" w:hAnsi="Arial" w:cs="Arial"/>
          <w:lang/>
        </w:rPr>
        <w:t xml:space="preserve"> </w:t>
      </w:r>
      <w:r w:rsidR="00DA1610" w:rsidRPr="000F29D4">
        <w:rPr>
          <w:rFonts w:ascii="Arial" w:hAnsi="Arial" w:cs="Arial"/>
          <w:lang/>
        </w:rPr>
        <w:t xml:space="preserve">And the Company did indeed implement management changes reasonably early in the process (albeit, arguably, these changes could have been made </w:t>
      </w:r>
      <w:r w:rsidR="00934E58" w:rsidRPr="000F29D4">
        <w:rPr>
          <w:rFonts w:ascii="Arial" w:hAnsi="Arial" w:cs="Arial"/>
          <w:lang/>
        </w:rPr>
        <w:t xml:space="preserve">even </w:t>
      </w:r>
      <w:r w:rsidR="00DA1610" w:rsidRPr="000F29D4">
        <w:rPr>
          <w:rFonts w:ascii="Arial" w:hAnsi="Arial" w:cs="Arial"/>
          <w:lang/>
        </w:rPr>
        <w:t>sooner</w:t>
      </w:r>
      <w:r w:rsidR="00934E58" w:rsidRPr="000F29D4">
        <w:rPr>
          <w:rFonts w:ascii="Arial" w:hAnsi="Arial" w:cs="Arial"/>
          <w:lang/>
        </w:rPr>
        <w:t>)</w:t>
      </w:r>
      <w:r w:rsidR="00DA1610" w:rsidRPr="000F29D4">
        <w:rPr>
          <w:rFonts w:ascii="Arial" w:hAnsi="Arial" w:cs="Arial"/>
          <w:lang/>
        </w:rPr>
        <w:t xml:space="preserve">. </w:t>
      </w:r>
    </w:p>
    <w:p w14:paraId="5598AD52" w14:textId="77777777" w:rsidR="000249E2" w:rsidRPr="000F29D4" w:rsidRDefault="000249E2" w:rsidP="00FC5510">
      <w:pPr>
        <w:spacing w:after="0" w:line="240" w:lineRule="auto"/>
        <w:jc w:val="both"/>
        <w:rPr>
          <w:rFonts w:ascii="Arial" w:hAnsi="Arial" w:cs="Arial"/>
          <w:lang/>
        </w:rPr>
      </w:pPr>
    </w:p>
    <w:p w14:paraId="66E25CD2" w14:textId="6BD02EBC" w:rsidR="00B52375" w:rsidRPr="000F29D4" w:rsidRDefault="00DA1610" w:rsidP="00FC5510">
      <w:pPr>
        <w:spacing w:after="0" w:line="240" w:lineRule="auto"/>
        <w:jc w:val="both"/>
        <w:rPr>
          <w:rFonts w:ascii="Arial" w:hAnsi="Arial" w:cs="Arial"/>
        </w:rPr>
      </w:pPr>
      <w:r w:rsidRPr="000F29D4">
        <w:rPr>
          <w:rFonts w:ascii="Arial" w:hAnsi="Arial" w:cs="Arial"/>
          <w:lang/>
        </w:rPr>
        <w:t>The Company also</w:t>
      </w:r>
      <w:r w:rsidR="00313C51" w:rsidRPr="000F29D4">
        <w:rPr>
          <w:rFonts w:ascii="Arial" w:hAnsi="Arial" w:cs="Arial"/>
          <w:lang/>
        </w:rPr>
        <w:t xml:space="preserve"> </w:t>
      </w:r>
      <w:r w:rsidR="00D32EE4" w:rsidRPr="000F29D4">
        <w:rPr>
          <w:rFonts w:ascii="Arial" w:hAnsi="Arial" w:cs="Arial"/>
          <w:lang/>
        </w:rPr>
        <w:t>undertook</w:t>
      </w:r>
      <w:r w:rsidR="00313C51" w:rsidRPr="000F29D4">
        <w:rPr>
          <w:rFonts w:ascii="Arial" w:hAnsi="Arial" w:cs="Arial"/>
          <w:lang/>
        </w:rPr>
        <w:t xml:space="preserve"> an operational </w:t>
      </w:r>
      <w:r w:rsidR="00BE0881" w:rsidRPr="000F29D4">
        <w:rPr>
          <w:rFonts w:ascii="Arial" w:hAnsi="Arial" w:cs="Arial"/>
          <w:lang/>
        </w:rPr>
        <w:t>restructuring</w:t>
      </w:r>
      <w:r w:rsidR="00233F69" w:rsidRPr="000F29D4">
        <w:rPr>
          <w:rFonts w:ascii="Arial" w:hAnsi="Arial" w:cs="Arial"/>
          <w:lang/>
        </w:rPr>
        <w:t xml:space="preserve"> (one of the other routes to turnaround identified by Sudarasanam and Lai)</w:t>
      </w:r>
      <w:r w:rsidR="00BE0881" w:rsidRPr="000F29D4">
        <w:rPr>
          <w:rFonts w:ascii="Arial" w:hAnsi="Arial" w:cs="Arial"/>
          <w:lang/>
        </w:rPr>
        <w:t xml:space="preserve"> by its cost reductions (redundancies), revenue generation (re-</w:t>
      </w:r>
      <w:r w:rsidR="00B21F19" w:rsidRPr="000F29D4">
        <w:rPr>
          <w:rFonts w:ascii="Arial" w:hAnsi="Arial" w:cs="Arial"/>
          <w:lang/>
        </w:rPr>
        <w:t>negotiations</w:t>
      </w:r>
      <w:r w:rsidR="00BE0881" w:rsidRPr="000F29D4">
        <w:rPr>
          <w:rFonts w:ascii="Arial" w:hAnsi="Arial" w:cs="Arial"/>
          <w:lang/>
        </w:rPr>
        <w:t xml:space="preserve"> with suppliers)</w:t>
      </w:r>
      <w:r w:rsidR="00B21F19" w:rsidRPr="000F29D4">
        <w:rPr>
          <w:rFonts w:ascii="Arial" w:hAnsi="Arial" w:cs="Arial"/>
          <w:lang/>
        </w:rPr>
        <w:t xml:space="preserve"> and </w:t>
      </w:r>
      <w:r w:rsidR="00E245F2" w:rsidRPr="000F29D4">
        <w:rPr>
          <w:rFonts w:ascii="Arial" w:hAnsi="Arial" w:cs="Arial"/>
          <w:lang/>
        </w:rPr>
        <w:t>operating asset</w:t>
      </w:r>
      <w:r w:rsidR="00A24B59" w:rsidRPr="000F29D4">
        <w:rPr>
          <w:rFonts w:ascii="Arial" w:hAnsi="Arial" w:cs="Arial"/>
          <w:lang/>
        </w:rPr>
        <w:t xml:space="preserve"> reduction strategies (selling surplus stock)</w:t>
      </w:r>
      <w:r w:rsidR="00B21F19" w:rsidRPr="000F29D4">
        <w:rPr>
          <w:rFonts w:ascii="Arial" w:hAnsi="Arial" w:cs="Arial"/>
          <w:lang/>
        </w:rPr>
        <w:t>.</w:t>
      </w:r>
      <w:r w:rsidR="00B21F19" w:rsidRPr="000F29D4">
        <w:rPr>
          <w:rStyle w:val="FootnoteReference"/>
          <w:rFonts w:ascii="Arial" w:hAnsi="Arial" w:cs="Arial"/>
          <w:lang/>
        </w:rPr>
        <w:footnoteReference w:id="16"/>
      </w:r>
      <w:r w:rsidR="000249E2" w:rsidRPr="000F29D4">
        <w:rPr>
          <w:rFonts w:ascii="Arial" w:hAnsi="Arial" w:cs="Arial"/>
          <w:lang/>
        </w:rPr>
        <w:t xml:space="preserve"> Again, these changes were implemented, </w:t>
      </w:r>
      <w:r w:rsidR="00D338FF" w:rsidRPr="000F29D4">
        <w:rPr>
          <w:rFonts w:ascii="Arial" w:hAnsi="Arial" w:cs="Arial"/>
          <w:lang/>
        </w:rPr>
        <w:t>necessarily</w:t>
      </w:r>
      <w:r w:rsidR="000249E2" w:rsidRPr="000F29D4">
        <w:rPr>
          <w:rFonts w:ascii="Arial" w:hAnsi="Arial" w:cs="Arial"/>
          <w:lang/>
        </w:rPr>
        <w:t>, reasonably early in the process.</w:t>
      </w:r>
    </w:p>
    <w:p w14:paraId="13B5810F" w14:textId="77777777" w:rsidR="00C86234" w:rsidRPr="00133EE4" w:rsidRDefault="00C86234" w:rsidP="00FC5510">
      <w:pPr>
        <w:spacing w:after="0" w:line="240" w:lineRule="auto"/>
        <w:jc w:val="both"/>
        <w:rPr>
          <w:rFonts w:ascii="Arial" w:hAnsi="Arial" w:cs="Arial"/>
          <w:b/>
          <w:bCs/>
          <w:lang/>
        </w:rPr>
      </w:pPr>
    </w:p>
    <w:p w14:paraId="564A2C0C" w14:textId="77777777" w:rsidR="002D4D71" w:rsidRPr="00E440BE" w:rsidRDefault="002D4D71" w:rsidP="00FC5510">
      <w:pPr>
        <w:spacing w:after="0" w:line="240" w:lineRule="auto"/>
        <w:jc w:val="both"/>
        <w:rPr>
          <w:rFonts w:ascii="Arial" w:hAnsi="Arial" w:cs="Arial"/>
          <w:b/>
          <w:bCs/>
        </w:rPr>
      </w:pPr>
    </w:p>
    <w:p w14:paraId="39F50116" w14:textId="5C9CD428" w:rsidR="0004705A" w:rsidRPr="00E440BE" w:rsidRDefault="0004705A" w:rsidP="00FC5510">
      <w:pPr>
        <w:keepNext/>
        <w:spacing w:after="0" w:line="240" w:lineRule="auto"/>
        <w:jc w:val="both"/>
        <w:rPr>
          <w:rFonts w:ascii="Arial" w:hAnsi="Arial" w:cs="Arial"/>
          <w:b/>
          <w:bCs/>
          <w:i/>
          <w:iCs/>
          <w:caps/>
        </w:rPr>
      </w:pPr>
      <w:r w:rsidRPr="00E440BE">
        <w:rPr>
          <w:rFonts w:ascii="Arial" w:hAnsi="Arial" w:cs="Arial"/>
          <w:b/>
          <w:bCs/>
          <w:i/>
          <w:iCs/>
          <w:caps/>
        </w:rPr>
        <w:t>4. Banks C and D seem to frustrate the process at a certain point. What could have been the (rational and/or opportunistic) reason(s) for them to behave like that? What would you</w:t>
      </w:r>
      <w:r w:rsidR="004C71B9" w:rsidRPr="00E440BE">
        <w:rPr>
          <w:rFonts w:ascii="Arial" w:hAnsi="Arial" w:cs="Arial"/>
          <w:b/>
          <w:bCs/>
          <w:i/>
          <w:iCs/>
          <w:caps/>
        </w:rPr>
        <w:t xml:space="preserve"> </w:t>
      </w:r>
      <w:r w:rsidRPr="00E440BE">
        <w:rPr>
          <w:rFonts w:ascii="Arial" w:hAnsi="Arial" w:cs="Arial"/>
          <w:b/>
          <w:bCs/>
          <w:i/>
          <w:iCs/>
          <w:caps/>
        </w:rPr>
        <w:t>have done in that situation in your role as advisor of the other two banks?</w:t>
      </w:r>
    </w:p>
    <w:p w14:paraId="07378562" w14:textId="77777777" w:rsidR="0004705A" w:rsidRPr="00E440BE" w:rsidRDefault="0004705A" w:rsidP="00FC5510">
      <w:pPr>
        <w:keepNext/>
        <w:spacing w:after="0" w:line="240" w:lineRule="auto"/>
        <w:jc w:val="both"/>
        <w:rPr>
          <w:rFonts w:ascii="Arial" w:hAnsi="Arial" w:cs="Arial"/>
          <w:b/>
          <w:bCs/>
        </w:rPr>
      </w:pPr>
    </w:p>
    <w:p w14:paraId="0F1F9ABD" w14:textId="5EDC9862" w:rsidR="00DF2C34" w:rsidRPr="00E440BE" w:rsidRDefault="00E34157" w:rsidP="00FC5510">
      <w:pPr>
        <w:spacing w:after="0" w:line="240" w:lineRule="auto"/>
        <w:jc w:val="both"/>
        <w:rPr>
          <w:rFonts w:ascii="Arial" w:hAnsi="Arial" w:cs="Arial"/>
        </w:rPr>
      </w:pPr>
      <w:r w:rsidRPr="00E440BE">
        <w:rPr>
          <w:rFonts w:ascii="Arial" w:hAnsi="Arial" w:cs="Arial"/>
        </w:rPr>
        <w:t xml:space="preserve">It is possible that Banks C and D were frustrating the process with a view to </w:t>
      </w:r>
      <w:r w:rsidR="004E6892" w:rsidRPr="00E440BE">
        <w:rPr>
          <w:rFonts w:ascii="Arial" w:hAnsi="Arial" w:cs="Arial"/>
        </w:rPr>
        <w:t xml:space="preserve">creating sufficient pressure to persuade </w:t>
      </w:r>
      <w:r w:rsidR="003A5FEE" w:rsidRPr="00E440BE">
        <w:rPr>
          <w:rFonts w:ascii="Arial" w:hAnsi="Arial" w:cs="Arial"/>
          <w:lang/>
        </w:rPr>
        <w:t>the Group</w:t>
      </w:r>
      <w:r w:rsidR="004E6892" w:rsidRPr="00E440BE">
        <w:rPr>
          <w:rFonts w:ascii="Arial" w:hAnsi="Arial" w:cs="Arial"/>
        </w:rPr>
        <w:t xml:space="preserve"> to pay down the</w:t>
      </w:r>
      <w:r w:rsidR="00410421" w:rsidRPr="00E440BE">
        <w:rPr>
          <w:rFonts w:ascii="Arial" w:hAnsi="Arial" w:cs="Arial"/>
        </w:rPr>
        <w:t>ir</w:t>
      </w:r>
      <w:r w:rsidR="004E6892" w:rsidRPr="00E440BE">
        <w:rPr>
          <w:rFonts w:ascii="Arial" w:hAnsi="Arial" w:cs="Arial"/>
        </w:rPr>
        <w:t xml:space="preserve"> debt</w:t>
      </w:r>
      <w:r w:rsidR="009C696F" w:rsidRPr="00E440BE">
        <w:rPr>
          <w:rFonts w:ascii="Arial" w:hAnsi="Arial" w:cs="Arial"/>
        </w:rPr>
        <w:t xml:space="preserve">, or at least, part of the debt. </w:t>
      </w:r>
      <w:r w:rsidR="003A5FEE" w:rsidRPr="00E440BE">
        <w:rPr>
          <w:rFonts w:ascii="Arial" w:hAnsi="Arial" w:cs="Arial"/>
          <w:lang/>
        </w:rPr>
        <w:t>That said, i</w:t>
      </w:r>
      <w:proofErr w:type="spellStart"/>
      <w:r w:rsidR="009C696F" w:rsidRPr="00E440BE">
        <w:rPr>
          <w:rFonts w:ascii="Arial" w:hAnsi="Arial" w:cs="Arial"/>
        </w:rPr>
        <w:t>n</w:t>
      </w:r>
      <w:proofErr w:type="spellEnd"/>
      <w:r w:rsidR="009C696F" w:rsidRPr="00E440BE">
        <w:rPr>
          <w:rFonts w:ascii="Arial" w:hAnsi="Arial" w:cs="Arial"/>
        </w:rPr>
        <w:t xml:space="preserve"> some juri</w:t>
      </w:r>
      <w:r w:rsidR="001B7BC5" w:rsidRPr="00E440BE">
        <w:rPr>
          <w:rFonts w:ascii="Arial" w:hAnsi="Arial" w:cs="Arial"/>
        </w:rPr>
        <w:t>s</w:t>
      </w:r>
      <w:r w:rsidR="009C696F" w:rsidRPr="00E440BE">
        <w:rPr>
          <w:rFonts w:ascii="Arial" w:hAnsi="Arial" w:cs="Arial"/>
        </w:rPr>
        <w:t>dictions, such conduct</w:t>
      </w:r>
      <w:r w:rsidR="0018209A" w:rsidRPr="00E440BE">
        <w:rPr>
          <w:rFonts w:ascii="Arial" w:hAnsi="Arial" w:cs="Arial"/>
        </w:rPr>
        <w:t xml:space="preserve">, even if it achieves its aim, can be risky because </w:t>
      </w:r>
      <w:r w:rsidR="005E2084" w:rsidRPr="00E440BE">
        <w:rPr>
          <w:rFonts w:ascii="Arial" w:hAnsi="Arial" w:cs="Arial"/>
        </w:rPr>
        <w:t>any repayment might end up being susceptible to legal challenge</w:t>
      </w:r>
      <w:r w:rsidR="00CF5C92" w:rsidRPr="00E440BE">
        <w:rPr>
          <w:rFonts w:ascii="Arial" w:hAnsi="Arial" w:cs="Arial"/>
        </w:rPr>
        <w:t>.</w:t>
      </w:r>
    </w:p>
    <w:p w14:paraId="1226865E" w14:textId="77777777" w:rsidR="00A36E8A" w:rsidRDefault="00A36E8A" w:rsidP="00FC5510">
      <w:pPr>
        <w:spacing w:after="0" w:line="240" w:lineRule="auto"/>
        <w:jc w:val="both"/>
        <w:rPr>
          <w:rFonts w:ascii="Arial" w:hAnsi="Arial" w:cs="Arial"/>
        </w:rPr>
      </w:pPr>
    </w:p>
    <w:p w14:paraId="3A9050BD" w14:textId="7B15E607" w:rsidR="007F021C" w:rsidRPr="00E440BE" w:rsidRDefault="007F021C" w:rsidP="00FC5510">
      <w:pPr>
        <w:spacing w:after="0" w:line="240" w:lineRule="auto"/>
        <w:jc w:val="both"/>
        <w:rPr>
          <w:rFonts w:ascii="Arial" w:hAnsi="Arial" w:cs="Arial"/>
        </w:rPr>
      </w:pPr>
      <w:r w:rsidRPr="00E440BE">
        <w:rPr>
          <w:rFonts w:ascii="Arial" w:hAnsi="Arial" w:cs="Arial"/>
        </w:rPr>
        <w:t xml:space="preserve">It is also possible that for internal risk management and/or compliance and/or </w:t>
      </w:r>
      <w:r w:rsidR="00CC08AF" w:rsidRPr="00E440BE">
        <w:rPr>
          <w:rFonts w:ascii="Arial" w:hAnsi="Arial" w:cs="Arial"/>
        </w:rPr>
        <w:t xml:space="preserve">internal </w:t>
      </w:r>
      <w:r w:rsidRPr="00E440BE">
        <w:rPr>
          <w:rFonts w:ascii="Arial" w:hAnsi="Arial" w:cs="Arial"/>
        </w:rPr>
        <w:t xml:space="preserve">target </w:t>
      </w:r>
      <w:r w:rsidR="00D34B7B" w:rsidRPr="00E440BE">
        <w:rPr>
          <w:rFonts w:ascii="Arial" w:hAnsi="Arial" w:cs="Arial"/>
        </w:rPr>
        <w:t>reasons, the Banks were prepared to take</w:t>
      </w:r>
      <w:r w:rsidR="00CC08AF" w:rsidRPr="00E440BE">
        <w:rPr>
          <w:rFonts w:ascii="Arial" w:hAnsi="Arial" w:cs="Arial"/>
        </w:rPr>
        <w:t xml:space="preserve"> a</w:t>
      </w:r>
      <w:r w:rsidR="00D34B7B" w:rsidRPr="00E440BE">
        <w:rPr>
          <w:rFonts w:ascii="Arial" w:hAnsi="Arial" w:cs="Arial"/>
        </w:rPr>
        <w:t xml:space="preserve"> haircut on their debt repayment in return for obtaining the money in the short term.</w:t>
      </w:r>
    </w:p>
    <w:p w14:paraId="1B166D74" w14:textId="77777777" w:rsidR="00A36E8A" w:rsidRDefault="00A36E8A" w:rsidP="00FC5510">
      <w:pPr>
        <w:spacing w:after="0" w:line="240" w:lineRule="auto"/>
        <w:jc w:val="both"/>
        <w:rPr>
          <w:rFonts w:ascii="Arial" w:hAnsi="Arial" w:cs="Arial"/>
        </w:rPr>
      </w:pPr>
    </w:p>
    <w:p w14:paraId="502DC0C2" w14:textId="2E29537A" w:rsidR="00A812B7" w:rsidRPr="00E440BE" w:rsidRDefault="00CF5C92" w:rsidP="00FC5510">
      <w:pPr>
        <w:spacing w:after="0" w:line="240" w:lineRule="auto"/>
        <w:jc w:val="both"/>
        <w:rPr>
          <w:rFonts w:ascii="Arial" w:hAnsi="Arial" w:cs="Arial"/>
          <w:u w:val="words"/>
        </w:rPr>
      </w:pPr>
      <w:r w:rsidRPr="00E440BE">
        <w:rPr>
          <w:rFonts w:ascii="Arial" w:hAnsi="Arial" w:cs="Arial"/>
        </w:rPr>
        <w:t xml:space="preserve">Less likely, although </w:t>
      </w:r>
      <w:r w:rsidR="00B63C84" w:rsidRPr="00E440BE">
        <w:rPr>
          <w:rFonts w:ascii="Arial" w:hAnsi="Arial" w:cs="Arial"/>
        </w:rPr>
        <w:t xml:space="preserve">still a </w:t>
      </w:r>
      <w:r w:rsidRPr="00E440BE">
        <w:rPr>
          <w:rFonts w:ascii="Arial" w:hAnsi="Arial" w:cs="Arial"/>
        </w:rPr>
        <w:t>possib</w:t>
      </w:r>
      <w:r w:rsidR="00B63C84" w:rsidRPr="00E440BE">
        <w:rPr>
          <w:rFonts w:ascii="Arial" w:hAnsi="Arial" w:cs="Arial"/>
        </w:rPr>
        <w:t>ility</w:t>
      </w:r>
      <w:r w:rsidRPr="00E440BE">
        <w:rPr>
          <w:rFonts w:ascii="Arial" w:hAnsi="Arial" w:cs="Arial"/>
        </w:rPr>
        <w:t xml:space="preserve">, </w:t>
      </w:r>
      <w:r w:rsidR="00265684" w:rsidRPr="00E440BE">
        <w:rPr>
          <w:rFonts w:ascii="Arial" w:hAnsi="Arial" w:cs="Arial"/>
        </w:rPr>
        <w:t xml:space="preserve">was that </w:t>
      </w:r>
      <w:r w:rsidR="00DB298B" w:rsidRPr="00E440BE">
        <w:rPr>
          <w:rFonts w:ascii="Arial" w:hAnsi="Arial" w:cs="Arial"/>
        </w:rPr>
        <w:t xml:space="preserve">Banks C and D </w:t>
      </w:r>
      <w:r w:rsidR="001C7839" w:rsidRPr="00E440BE">
        <w:rPr>
          <w:rFonts w:ascii="Arial" w:hAnsi="Arial" w:cs="Arial"/>
        </w:rPr>
        <w:t xml:space="preserve">were </w:t>
      </w:r>
      <w:r w:rsidR="00265684" w:rsidRPr="00E440BE">
        <w:rPr>
          <w:rFonts w:ascii="Arial" w:hAnsi="Arial" w:cs="Arial"/>
        </w:rPr>
        <w:t>being</w:t>
      </w:r>
      <w:r w:rsidR="001C7839" w:rsidRPr="00E440BE">
        <w:rPr>
          <w:rFonts w:ascii="Arial" w:hAnsi="Arial" w:cs="Arial"/>
        </w:rPr>
        <w:t xml:space="preserve"> uncooperative in the negotiations as a </w:t>
      </w:r>
      <w:r w:rsidR="00265684" w:rsidRPr="00E440BE">
        <w:rPr>
          <w:rFonts w:ascii="Arial" w:hAnsi="Arial" w:cs="Arial"/>
        </w:rPr>
        <w:t xml:space="preserve">strategy for </w:t>
      </w:r>
      <w:r w:rsidR="001C7839" w:rsidRPr="00E440BE">
        <w:rPr>
          <w:rFonts w:ascii="Arial" w:hAnsi="Arial" w:cs="Arial"/>
        </w:rPr>
        <w:t>coerc</w:t>
      </w:r>
      <w:r w:rsidR="00265684" w:rsidRPr="00E440BE">
        <w:rPr>
          <w:rFonts w:ascii="Arial" w:hAnsi="Arial" w:cs="Arial"/>
        </w:rPr>
        <w:t>ing</w:t>
      </w:r>
      <w:r w:rsidR="001C7839" w:rsidRPr="00E440BE">
        <w:rPr>
          <w:rFonts w:ascii="Arial" w:hAnsi="Arial" w:cs="Arial"/>
        </w:rPr>
        <w:t xml:space="preserve"> the shareholder</w:t>
      </w:r>
      <w:r w:rsidR="001E6F3A" w:rsidRPr="00E440BE">
        <w:rPr>
          <w:rFonts w:ascii="Arial" w:hAnsi="Arial" w:cs="Arial"/>
        </w:rPr>
        <w:t xml:space="preserve"> and/or </w:t>
      </w:r>
      <w:r w:rsidR="00842749" w:rsidRPr="00E440BE">
        <w:rPr>
          <w:rFonts w:ascii="Arial" w:hAnsi="Arial" w:cs="Arial"/>
          <w:lang/>
        </w:rPr>
        <w:t>the</w:t>
      </w:r>
      <w:r w:rsidR="001E6F3A" w:rsidRPr="00E440BE">
        <w:rPr>
          <w:rFonts w:ascii="Arial" w:hAnsi="Arial" w:cs="Arial"/>
        </w:rPr>
        <w:t xml:space="preserve"> </w:t>
      </w:r>
      <w:r w:rsidR="007556E4" w:rsidRPr="00E440BE">
        <w:rPr>
          <w:rFonts w:ascii="Arial" w:hAnsi="Arial" w:cs="Arial"/>
          <w:lang/>
        </w:rPr>
        <w:t>UBOs</w:t>
      </w:r>
      <w:r w:rsidR="001C7839" w:rsidRPr="00E440BE">
        <w:rPr>
          <w:rFonts w:ascii="Arial" w:hAnsi="Arial" w:cs="Arial"/>
        </w:rPr>
        <w:t xml:space="preserve"> into </w:t>
      </w:r>
      <w:r w:rsidR="00A25E7F" w:rsidRPr="00E440BE">
        <w:rPr>
          <w:rFonts w:ascii="Arial" w:hAnsi="Arial" w:cs="Arial"/>
        </w:rPr>
        <w:t>cooperating / providing the requested capital injection.</w:t>
      </w:r>
      <w:r w:rsidR="001E6F3A" w:rsidRPr="00E440BE">
        <w:rPr>
          <w:rFonts w:ascii="Arial" w:hAnsi="Arial" w:cs="Arial"/>
        </w:rPr>
        <w:t xml:space="preserve"> The possible rationale being that if</w:t>
      </w:r>
      <w:r w:rsidR="00BD18F0" w:rsidRPr="00E440BE">
        <w:rPr>
          <w:rFonts w:ascii="Arial" w:hAnsi="Arial" w:cs="Arial"/>
        </w:rPr>
        <w:t xml:space="preserve"> formal insolvency procedures were instigated, the shareholder (and </w:t>
      </w:r>
      <w:r w:rsidR="00842749" w:rsidRPr="00E440BE">
        <w:rPr>
          <w:rFonts w:ascii="Arial" w:hAnsi="Arial" w:cs="Arial"/>
          <w:lang/>
        </w:rPr>
        <w:t>the UBOs</w:t>
      </w:r>
      <w:r w:rsidR="00BD18F0" w:rsidRPr="00E440BE">
        <w:rPr>
          <w:rFonts w:ascii="Arial" w:hAnsi="Arial" w:cs="Arial"/>
        </w:rPr>
        <w:t>) would likely</w:t>
      </w:r>
      <w:r w:rsidR="00091A9D" w:rsidRPr="00E440BE">
        <w:rPr>
          <w:rFonts w:ascii="Arial" w:hAnsi="Arial" w:cs="Arial"/>
        </w:rPr>
        <w:t xml:space="preserve"> not</w:t>
      </w:r>
      <w:r w:rsidR="00BD18F0" w:rsidRPr="00E440BE">
        <w:rPr>
          <w:rFonts w:ascii="Arial" w:hAnsi="Arial" w:cs="Arial"/>
        </w:rPr>
        <w:t xml:space="preserve"> receive </w:t>
      </w:r>
      <w:r w:rsidR="00091A9D" w:rsidRPr="00E440BE">
        <w:rPr>
          <w:rFonts w:ascii="Arial" w:hAnsi="Arial" w:cs="Arial"/>
        </w:rPr>
        <w:t xml:space="preserve">any </w:t>
      </w:r>
      <w:r w:rsidR="00BB1894">
        <w:rPr>
          <w:rFonts w:ascii="Arial" w:hAnsi="Arial" w:cs="Arial"/>
          <w:lang/>
        </w:rPr>
        <w:t>return</w:t>
      </w:r>
      <w:r w:rsidR="00BD18F0" w:rsidRPr="00E440BE">
        <w:rPr>
          <w:rFonts w:ascii="Arial" w:hAnsi="Arial" w:cs="Arial"/>
        </w:rPr>
        <w:t>.</w:t>
      </w:r>
      <w:r w:rsidR="00310F3E" w:rsidRPr="00E440BE">
        <w:rPr>
          <w:rFonts w:ascii="Arial" w:hAnsi="Arial" w:cs="Arial"/>
        </w:rPr>
        <w:t xml:space="preserve"> Whereas, by injecting further capital there was a possibility of retain</w:t>
      </w:r>
      <w:r w:rsidR="00EF1812" w:rsidRPr="00E440BE">
        <w:rPr>
          <w:rFonts w:ascii="Arial" w:hAnsi="Arial" w:cs="Arial"/>
        </w:rPr>
        <w:t>ing (and increasing) the value of their investment.</w:t>
      </w:r>
    </w:p>
    <w:p w14:paraId="11E8B936" w14:textId="77777777" w:rsidR="00A36E8A" w:rsidRDefault="00A36E8A" w:rsidP="00FC5510">
      <w:pPr>
        <w:spacing w:after="0" w:line="240" w:lineRule="auto"/>
        <w:jc w:val="both"/>
        <w:rPr>
          <w:rFonts w:ascii="Arial" w:hAnsi="Arial" w:cs="Arial"/>
        </w:rPr>
      </w:pPr>
    </w:p>
    <w:p w14:paraId="67B9C27C" w14:textId="5B9A27EC" w:rsidR="004739F2" w:rsidRPr="00E440BE" w:rsidRDefault="00F92839" w:rsidP="00FC5510">
      <w:pPr>
        <w:spacing w:after="0" w:line="240" w:lineRule="auto"/>
        <w:jc w:val="both"/>
        <w:rPr>
          <w:rFonts w:ascii="Arial" w:hAnsi="Arial" w:cs="Arial"/>
        </w:rPr>
      </w:pPr>
      <w:r w:rsidRPr="00E440BE">
        <w:rPr>
          <w:rFonts w:ascii="Arial" w:hAnsi="Arial" w:cs="Arial"/>
        </w:rPr>
        <w:t xml:space="preserve">As </w:t>
      </w:r>
      <w:r w:rsidR="00EF1812" w:rsidRPr="00E440BE">
        <w:rPr>
          <w:rFonts w:ascii="Arial" w:hAnsi="Arial" w:cs="Arial"/>
        </w:rPr>
        <w:t>t</w:t>
      </w:r>
      <w:r w:rsidRPr="00E440BE">
        <w:rPr>
          <w:rFonts w:ascii="Arial" w:hAnsi="Arial" w:cs="Arial"/>
        </w:rPr>
        <w:t xml:space="preserve">he </w:t>
      </w:r>
      <w:r w:rsidR="00AC3359" w:rsidRPr="00E440BE">
        <w:rPr>
          <w:rFonts w:ascii="Arial" w:hAnsi="Arial" w:cs="Arial"/>
        </w:rPr>
        <w:t xml:space="preserve">other </w:t>
      </w:r>
      <w:r w:rsidRPr="00E440BE">
        <w:rPr>
          <w:rFonts w:ascii="Arial" w:hAnsi="Arial" w:cs="Arial"/>
        </w:rPr>
        <w:t xml:space="preserve">Banks’ </w:t>
      </w:r>
      <w:proofErr w:type="gramStart"/>
      <w:r w:rsidRPr="00E440BE">
        <w:rPr>
          <w:rFonts w:ascii="Arial" w:hAnsi="Arial" w:cs="Arial"/>
        </w:rPr>
        <w:t>advisor</w:t>
      </w:r>
      <w:proofErr w:type="gramEnd"/>
      <w:r w:rsidRPr="00E440BE">
        <w:rPr>
          <w:rFonts w:ascii="Arial" w:hAnsi="Arial" w:cs="Arial"/>
        </w:rPr>
        <w:t xml:space="preserve"> </w:t>
      </w:r>
      <w:r w:rsidR="00BB1894">
        <w:rPr>
          <w:rFonts w:ascii="Arial" w:hAnsi="Arial" w:cs="Arial"/>
          <w:lang/>
        </w:rPr>
        <w:t>one</w:t>
      </w:r>
      <w:r w:rsidR="007F7857" w:rsidRPr="00E440BE">
        <w:rPr>
          <w:rFonts w:ascii="Arial" w:hAnsi="Arial" w:cs="Arial"/>
        </w:rPr>
        <w:t xml:space="preserve"> would</w:t>
      </w:r>
      <w:r w:rsidR="004739F2" w:rsidRPr="00E440BE">
        <w:rPr>
          <w:rFonts w:ascii="Arial" w:hAnsi="Arial" w:cs="Arial"/>
        </w:rPr>
        <w:t>:</w:t>
      </w:r>
    </w:p>
    <w:p w14:paraId="5DD9167F" w14:textId="77777777" w:rsidR="00FC5510" w:rsidRPr="00E440BE" w:rsidRDefault="00FC5510" w:rsidP="00FC5510">
      <w:pPr>
        <w:spacing w:after="0" w:line="240" w:lineRule="auto"/>
        <w:jc w:val="both"/>
        <w:rPr>
          <w:rFonts w:ascii="Arial" w:hAnsi="Arial" w:cs="Arial"/>
        </w:rPr>
      </w:pPr>
    </w:p>
    <w:p w14:paraId="5440FD3F" w14:textId="31D571CC" w:rsidR="00DB298B" w:rsidRPr="00E440BE" w:rsidRDefault="00BE51EE" w:rsidP="00FC5510">
      <w:pPr>
        <w:pStyle w:val="ListParagraph"/>
        <w:numPr>
          <w:ilvl w:val="0"/>
          <w:numId w:val="9"/>
        </w:numPr>
        <w:spacing w:after="0" w:line="240" w:lineRule="auto"/>
        <w:contextualSpacing w:val="0"/>
        <w:jc w:val="both"/>
        <w:rPr>
          <w:rFonts w:ascii="Arial" w:hAnsi="Arial" w:cs="Arial"/>
        </w:rPr>
      </w:pPr>
      <w:r w:rsidRPr="00E440BE">
        <w:rPr>
          <w:rFonts w:ascii="Arial" w:hAnsi="Arial" w:cs="Arial"/>
        </w:rPr>
        <w:t>L</w:t>
      </w:r>
      <w:r w:rsidR="007F7857" w:rsidRPr="00E440BE">
        <w:rPr>
          <w:rFonts w:ascii="Arial" w:hAnsi="Arial" w:cs="Arial"/>
        </w:rPr>
        <w:t xml:space="preserve">ikely question whether Banks C and D had access to additional information that was causing them </w:t>
      </w:r>
      <w:r w:rsidR="00C70A4A" w:rsidRPr="00E440BE">
        <w:rPr>
          <w:rFonts w:ascii="Arial" w:hAnsi="Arial" w:cs="Arial"/>
        </w:rPr>
        <w:t xml:space="preserve">objectively to reach a different view on the viability of any </w:t>
      </w:r>
      <w:proofErr w:type="gramStart"/>
      <w:r w:rsidR="00C70A4A" w:rsidRPr="00E440BE">
        <w:rPr>
          <w:rFonts w:ascii="Arial" w:hAnsi="Arial" w:cs="Arial"/>
        </w:rPr>
        <w:t>restructuring</w:t>
      </w:r>
      <w:r w:rsidRPr="00E440BE">
        <w:rPr>
          <w:rFonts w:ascii="Arial" w:hAnsi="Arial" w:cs="Arial"/>
        </w:rPr>
        <w:t>, and</w:t>
      </w:r>
      <w:proofErr w:type="gramEnd"/>
      <w:r w:rsidRPr="00E440BE">
        <w:rPr>
          <w:rFonts w:ascii="Arial" w:hAnsi="Arial" w:cs="Arial"/>
        </w:rPr>
        <w:t xml:space="preserve"> seek to obtain any other information not available to </w:t>
      </w:r>
      <w:r w:rsidR="004905AB">
        <w:rPr>
          <w:rFonts w:ascii="Arial" w:hAnsi="Arial" w:cs="Arial"/>
          <w:lang/>
        </w:rPr>
        <w:t>one’s own</w:t>
      </w:r>
      <w:r w:rsidRPr="00E440BE">
        <w:rPr>
          <w:rFonts w:ascii="Arial" w:hAnsi="Arial" w:cs="Arial"/>
        </w:rPr>
        <w:t xml:space="preserve"> clients.</w:t>
      </w:r>
    </w:p>
    <w:p w14:paraId="2B8B7823" w14:textId="77777777" w:rsidR="00BE51EE" w:rsidRPr="00E440BE" w:rsidRDefault="00BE51EE" w:rsidP="00FC5510">
      <w:pPr>
        <w:pStyle w:val="ListParagraph"/>
        <w:spacing w:after="0" w:line="240" w:lineRule="auto"/>
        <w:ind w:left="360"/>
        <w:contextualSpacing w:val="0"/>
        <w:jc w:val="both"/>
        <w:rPr>
          <w:rFonts w:ascii="Arial" w:hAnsi="Arial" w:cs="Arial"/>
        </w:rPr>
      </w:pPr>
    </w:p>
    <w:p w14:paraId="4F94BBAC" w14:textId="2B7C9906" w:rsidR="00407D33" w:rsidRPr="00E440BE" w:rsidRDefault="00E64C72" w:rsidP="00FC5510">
      <w:pPr>
        <w:pStyle w:val="ListParagraph"/>
        <w:numPr>
          <w:ilvl w:val="0"/>
          <w:numId w:val="9"/>
        </w:numPr>
        <w:spacing w:after="0" w:line="240" w:lineRule="auto"/>
        <w:contextualSpacing w:val="0"/>
        <w:jc w:val="both"/>
        <w:rPr>
          <w:rFonts w:ascii="Arial" w:hAnsi="Arial" w:cs="Arial"/>
        </w:rPr>
      </w:pPr>
      <w:r w:rsidRPr="00E440BE">
        <w:rPr>
          <w:rFonts w:ascii="Arial" w:hAnsi="Arial" w:cs="Arial"/>
        </w:rPr>
        <w:t>Seek to find a way to ensure that the creditor position was united</w:t>
      </w:r>
      <w:r w:rsidR="00842749" w:rsidRPr="00E440BE">
        <w:rPr>
          <w:rFonts w:ascii="Arial" w:hAnsi="Arial" w:cs="Arial"/>
          <w:lang/>
        </w:rPr>
        <w:t xml:space="preserve"> in the negotiations with the Company and the shareholders / UBOs</w:t>
      </w:r>
      <w:r w:rsidRPr="00E440BE">
        <w:rPr>
          <w:rFonts w:ascii="Arial" w:hAnsi="Arial" w:cs="Arial"/>
        </w:rPr>
        <w:t>. This could include</w:t>
      </w:r>
      <w:r w:rsidR="00407D33" w:rsidRPr="00E440BE">
        <w:rPr>
          <w:rFonts w:ascii="Arial" w:hAnsi="Arial" w:cs="Arial"/>
        </w:rPr>
        <w:t xml:space="preserve"> considering with </w:t>
      </w:r>
      <w:r w:rsidR="00BB1894">
        <w:rPr>
          <w:rFonts w:ascii="Arial" w:hAnsi="Arial" w:cs="Arial"/>
          <w:lang/>
        </w:rPr>
        <w:t>one’s own</w:t>
      </w:r>
      <w:r w:rsidR="00407D33" w:rsidRPr="00E440BE">
        <w:rPr>
          <w:rFonts w:ascii="Arial" w:hAnsi="Arial" w:cs="Arial"/>
        </w:rPr>
        <w:t xml:space="preserve"> clients:</w:t>
      </w:r>
    </w:p>
    <w:p w14:paraId="17F0A056" w14:textId="77777777" w:rsidR="00407D33" w:rsidRPr="00E440BE" w:rsidRDefault="00407D33" w:rsidP="00FC5510">
      <w:pPr>
        <w:pStyle w:val="ListParagraph"/>
        <w:spacing w:after="0" w:line="240" w:lineRule="auto"/>
        <w:contextualSpacing w:val="0"/>
        <w:rPr>
          <w:rFonts w:ascii="Arial" w:hAnsi="Arial" w:cs="Arial"/>
        </w:rPr>
      </w:pPr>
    </w:p>
    <w:p w14:paraId="176C4F2F" w14:textId="14F6D051" w:rsidR="00BE51EE" w:rsidRPr="00E440BE" w:rsidRDefault="00407D33" w:rsidP="00FC5510">
      <w:pPr>
        <w:pStyle w:val="ListParagraph"/>
        <w:numPr>
          <w:ilvl w:val="1"/>
          <w:numId w:val="9"/>
        </w:numPr>
        <w:spacing w:after="0" w:line="240" w:lineRule="auto"/>
        <w:ind w:left="720"/>
        <w:contextualSpacing w:val="0"/>
        <w:jc w:val="both"/>
        <w:rPr>
          <w:rFonts w:ascii="Arial" w:hAnsi="Arial" w:cs="Arial"/>
        </w:rPr>
      </w:pPr>
      <w:r w:rsidRPr="00E440BE">
        <w:rPr>
          <w:rFonts w:ascii="Arial" w:hAnsi="Arial" w:cs="Arial"/>
        </w:rPr>
        <w:t>Whether to</w:t>
      </w:r>
      <w:r w:rsidR="00E64C72" w:rsidRPr="00E440BE">
        <w:rPr>
          <w:rFonts w:ascii="Arial" w:hAnsi="Arial" w:cs="Arial"/>
        </w:rPr>
        <w:t xml:space="preserve"> buy out the debt of Banks C and D</w:t>
      </w:r>
      <w:r w:rsidRPr="00E440BE">
        <w:rPr>
          <w:rFonts w:ascii="Arial" w:hAnsi="Arial" w:cs="Arial"/>
        </w:rPr>
        <w:t xml:space="preserve">, or whether to broker a deal for a </w:t>
      </w:r>
      <w:r w:rsidR="002056B5" w:rsidRPr="00E440BE">
        <w:rPr>
          <w:rFonts w:ascii="Arial" w:hAnsi="Arial" w:cs="Arial"/>
        </w:rPr>
        <w:t>third-party (or shareholder)</w:t>
      </w:r>
      <w:r w:rsidRPr="00E440BE">
        <w:rPr>
          <w:rFonts w:ascii="Arial" w:hAnsi="Arial" w:cs="Arial"/>
        </w:rPr>
        <w:t xml:space="preserve"> purchase of the debt.</w:t>
      </w:r>
    </w:p>
    <w:p w14:paraId="2E166016" w14:textId="26FCF074" w:rsidR="00FC2039" w:rsidRPr="00E440BE" w:rsidRDefault="00FC2039" w:rsidP="00FC5510">
      <w:pPr>
        <w:pStyle w:val="ListParagraph"/>
        <w:spacing w:after="0" w:line="240" w:lineRule="auto"/>
        <w:contextualSpacing w:val="0"/>
        <w:jc w:val="both"/>
        <w:rPr>
          <w:rFonts w:ascii="Arial" w:hAnsi="Arial" w:cs="Arial"/>
        </w:rPr>
      </w:pPr>
    </w:p>
    <w:p w14:paraId="40244642" w14:textId="45D7DE42" w:rsidR="00FC2039" w:rsidRPr="00E440BE" w:rsidRDefault="00FC2039" w:rsidP="00FC5510">
      <w:pPr>
        <w:pStyle w:val="ListParagraph"/>
        <w:numPr>
          <w:ilvl w:val="1"/>
          <w:numId w:val="9"/>
        </w:numPr>
        <w:spacing w:after="0" w:line="240" w:lineRule="auto"/>
        <w:ind w:left="720"/>
        <w:contextualSpacing w:val="0"/>
        <w:jc w:val="both"/>
        <w:rPr>
          <w:rFonts w:ascii="Arial" w:hAnsi="Arial" w:cs="Arial"/>
        </w:rPr>
      </w:pPr>
      <w:r w:rsidRPr="00E440BE">
        <w:rPr>
          <w:rFonts w:ascii="Arial" w:hAnsi="Arial" w:cs="Arial"/>
        </w:rPr>
        <w:t xml:space="preserve">Seeking to change the negotiation structure so that </w:t>
      </w:r>
      <w:r w:rsidR="00DF48F9" w:rsidRPr="00E440BE">
        <w:rPr>
          <w:rFonts w:ascii="Arial" w:hAnsi="Arial" w:cs="Arial"/>
        </w:rPr>
        <w:t xml:space="preserve">communications with </w:t>
      </w:r>
      <w:r w:rsidR="000E6A94" w:rsidRPr="00E440BE">
        <w:rPr>
          <w:rFonts w:ascii="Arial" w:hAnsi="Arial" w:cs="Arial"/>
        </w:rPr>
        <w:t xml:space="preserve">the Company (or its shareholder and UBOs) are funneled through a </w:t>
      </w:r>
      <w:r w:rsidR="00D1358F" w:rsidRPr="00E440BE">
        <w:rPr>
          <w:rFonts w:ascii="Arial" w:hAnsi="Arial" w:cs="Arial"/>
        </w:rPr>
        <w:t>coordinator, and only once a consensus position has been reached amongst the Banks.</w:t>
      </w:r>
    </w:p>
    <w:p w14:paraId="478053B9" w14:textId="77777777" w:rsidR="002D4D71" w:rsidRPr="00E440BE" w:rsidRDefault="002D4D71" w:rsidP="00FC5510">
      <w:pPr>
        <w:spacing w:after="0" w:line="240" w:lineRule="auto"/>
        <w:jc w:val="both"/>
        <w:rPr>
          <w:rFonts w:ascii="Arial" w:hAnsi="Arial" w:cs="Arial"/>
          <w:b/>
          <w:bCs/>
        </w:rPr>
      </w:pPr>
    </w:p>
    <w:p w14:paraId="3F2150A8" w14:textId="77777777" w:rsidR="00592BD3" w:rsidRPr="00E440BE" w:rsidRDefault="00592BD3" w:rsidP="00FC5510">
      <w:pPr>
        <w:spacing w:after="0" w:line="240" w:lineRule="auto"/>
        <w:jc w:val="both"/>
        <w:rPr>
          <w:rFonts w:ascii="Arial" w:hAnsi="Arial" w:cs="Arial"/>
          <w:b/>
          <w:bCs/>
        </w:rPr>
      </w:pPr>
    </w:p>
    <w:p w14:paraId="227C940C" w14:textId="60727B76" w:rsidR="0004705A" w:rsidRPr="00E440BE" w:rsidRDefault="0004705A" w:rsidP="00FC5510">
      <w:pPr>
        <w:keepNext/>
        <w:spacing w:after="0" w:line="240" w:lineRule="auto"/>
        <w:jc w:val="both"/>
        <w:rPr>
          <w:rFonts w:ascii="Arial" w:hAnsi="Arial" w:cs="Arial"/>
          <w:b/>
          <w:bCs/>
          <w:caps/>
        </w:rPr>
      </w:pPr>
      <w:r w:rsidRPr="00E440BE">
        <w:rPr>
          <w:rFonts w:ascii="Arial" w:hAnsi="Arial" w:cs="Arial"/>
          <w:b/>
          <w:bCs/>
          <w:caps/>
        </w:rPr>
        <w:lastRenderedPageBreak/>
        <w:t>5. Which of the eight principles of the ‘Statement of Principles for a Global Approach to</w:t>
      </w:r>
      <w:r w:rsidR="004C71B9" w:rsidRPr="00E440BE">
        <w:rPr>
          <w:rFonts w:ascii="Arial" w:hAnsi="Arial" w:cs="Arial"/>
          <w:b/>
          <w:bCs/>
          <w:caps/>
        </w:rPr>
        <w:t xml:space="preserve"> </w:t>
      </w:r>
      <w:r w:rsidRPr="00E440BE">
        <w:rPr>
          <w:rFonts w:ascii="Arial" w:hAnsi="Arial" w:cs="Arial"/>
          <w:b/>
          <w:bCs/>
          <w:caps/>
        </w:rPr>
        <w:t>Multi-Creditor Workouts II’ can be found in the workout process of Flow Management</w:t>
      </w:r>
      <w:r w:rsidR="004C71B9" w:rsidRPr="00E440BE">
        <w:rPr>
          <w:rFonts w:ascii="Arial" w:hAnsi="Arial" w:cs="Arial"/>
          <w:b/>
          <w:bCs/>
          <w:caps/>
        </w:rPr>
        <w:t xml:space="preserve"> </w:t>
      </w:r>
      <w:r w:rsidRPr="00E440BE">
        <w:rPr>
          <w:rFonts w:ascii="Arial" w:hAnsi="Arial" w:cs="Arial"/>
          <w:b/>
          <w:bCs/>
          <w:caps/>
        </w:rPr>
        <w:t>(explicit or implicit)?</w:t>
      </w:r>
    </w:p>
    <w:p w14:paraId="20485466" w14:textId="77777777" w:rsidR="0004705A" w:rsidRPr="00E440BE" w:rsidRDefault="0004705A" w:rsidP="00FC5510">
      <w:pPr>
        <w:keepNext/>
        <w:spacing w:after="0" w:line="240" w:lineRule="auto"/>
        <w:jc w:val="both"/>
        <w:rPr>
          <w:rFonts w:ascii="Arial" w:hAnsi="Arial" w:cs="Arial"/>
          <w:b/>
          <w:bCs/>
        </w:rPr>
      </w:pPr>
    </w:p>
    <w:p w14:paraId="36D8FB98" w14:textId="451BE55B" w:rsidR="0004705A" w:rsidRDefault="0004705A" w:rsidP="00FC5510">
      <w:pPr>
        <w:spacing w:after="0" w:line="240" w:lineRule="auto"/>
        <w:jc w:val="both"/>
        <w:rPr>
          <w:rFonts w:ascii="Arial" w:hAnsi="Arial" w:cs="Arial"/>
        </w:rPr>
      </w:pPr>
      <w:r w:rsidRPr="00E440BE">
        <w:rPr>
          <w:rFonts w:ascii="Arial" w:hAnsi="Arial" w:cs="Arial"/>
        </w:rPr>
        <w:t xml:space="preserve">Adriaanse and </w:t>
      </w:r>
      <w:proofErr w:type="spellStart"/>
      <w:r w:rsidRPr="00E440BE">
        <w:rPr>
          <w:rFonts w:ascii="Arial" w:hAnsi="Arial" w:cs="Arial"/>
        </w:rPr>
        <w:t>Kuijl</w:t>
      </w:r>
      <w:proofErr w:type="spellEnd"/>
      <w:r w:rsidRPr="00E440BE">
        <w:rPr>
          <w:rFonts w:ascii="Arial" w:hAnsi="Arial" w:cs="Arial"/>
        </w:rPr>
        <w:t xml:space="preserve"> </w:t>
      </w:r>
      <w:r w:rsidR="0055086B" w:rsidRPr="00E440BE">
        <w:rPr>
          <w:rFonts w:ascii="Arial" w:hAnsi="Arial" w:cs="Arial"/>
        </w:rPr>
        <w:t>succinctly</w:t>
      </w:r>
      <w:r w:rsidRPr="00E440BE">
        <w:rPr>
          <w:rFonts w:ascii="Arial" w:hAnsi="Arial" w:cs="Arial"/>
        </w:rPr>
        <w:t xml:space="preserve"> described the eight principles as:</w:t>
      </w:r>
      <w:r w:rsidR="00BA22BB" w:rsidRPr="00E440BE">
        <w:rPr>
          <w:rStyle w:val="FootnoteReference"/>
          <w:rFonts w:ascii="Arial" w:hAnsi="Arial" w:cs="Arial"/>
        </w:rPr>
        <w:footnoteReference w:id="17"/>
      </w:r>
    </w:p>
    <w:p w14:paraId="71810E32" w14:textId="77777777" w:rsidR="00A36E8A" w:rsidRPr="00E440BE" w:rsidRDefault="00A36E8A" w:rsidP="00FC5510">
      <w:pPr>
        <w:spacing w:after="0" w:line="240" w:lineRule="auto"/>
        <w:jc w:val="both"/>
        <w:rPr>
          <w:rFonts w:ascii="Arial" w:hAnsi="Arial" w:cs="Arial"/>
        </w:rPr>
      </w:pPr>
    </w:p>
    <w:p w14:paraId="3D38B6F5" w14:textId="659A7977" w:rsidR="0004705A" w:rsidRPr="00E440BE" w:rsidRDefault="0004705A" w:rsidP="00FC5510">
      <w:pPr>
        <w:pStyle w:val="ListParagraph"/>
        <w:numPr>
          <w:ilvl w:val="0"/>
          <w:numId w:val="5"/>
        </w:numPr>
        <w:spacing w:after="0" w:line="240" w:lineRule="auto"/>
        <w:contextualSpacing w:val="0"/>
        <w:jc w:val="both"/>
        <w:rPr>
          <w:rFonts w:ascii="Arial" w:hAnsi="Arial" w:cs="Arial"/>
        </w:rPr>
      </w:pPr>
      <w:r w:rsidRPr="00E440BE">
        <w:rPr>
          <w:rFonts w:ascii="Arial" w:hAnsi="Arial" w:cs="Arial"/>
        </w:rPr>
        <w:t>Deferment of payment is voluntarily agreed to (‘standstill period’ by creditors</w:t>
      </w:r>
      <w:proofErr w:type="gramStart"/>
      <w:r w:rsidRPr="00E440BE">
        <w:rPr>
          <w:rFonts w:ascii="Arial" w:hAnsi="Arial" w:cs="Arial"/>
        </w:rPr>
        <w:t>);</w:t>
      </w:r>
      <w:proofErr w:type="gramEnd"/>
    </w:p>
    <w:p w14:paraId="43CFAC72" w14:textId="65856AF8" w:rsidR="0004705A" w:rsidRPr="00E440BE" w:rsidRDefault="0004705A" w:rsidP="00FC5510">
      <w:pPr>
        <w:pStyle w:val="ListParagraph"/>
        <w:numPr>
          <w:ilvl w:val="0"/>
          <w:numId w:val="5"/>
        </w:numPr>
        <w:spacing w:after="0" w:line="240" w:lineRule="auto"/>
        <w:contextualSpacing w:val="0"/>
        <w:jc w:val="both"/>
        <w:rPr>
          <w:rFonts w:ascii="Arial" w:hAnsi="Arial" w:cs="Arial"/>
        </w:rPr>
      </w:pPr>
      <w:r w:rsidRPr="00E440BE">
        <w:rPr>
          <w:rFonts w:ascii="Arial" w:hAnsi="Arial" w:cs="Arial"/>
        </w:rPr>
        <w:t xml:space="preserve">The debtor ensures that the relative positions of the creditors are </w:t>
      </w:r>
      <w:proofErr w:type="gramStart"/>
      <w:r w:rsidRPr="00E440BE">
        <w:rPr>
          <w:rFonts w:ascii="Arial" w:hAnsi="Arial" w:cs="Arial"/>
        </w:rPr>
        <w:t>maintained;</w:t>
      </w:r>
      <w:proofErr w:type="gramEnd"/>
    </w:p>
    <w:p w14:paraId="11176A48" w14:textId="74B9F726" w:rsidR="0004705A" w:rsidRPr="00E440BE" w:rsidRDefault="0004705A" w:rsidP="00FC5510">
      <w:pPr>
        <w:pStyle w:val="ListParagraph"/>
        <w:numPr>
          <w:ilvl w:val="0"/>
          <w:numId w:val="5"/>
        </w:numPr>
        <w:spacing w:after="0" w:line="240" w:lineRule="auto"/>
        <w:contextualSpacing w:val="0"/>
        <w:jc w:val="both"/>
        <w:rPr>
          <w:rFonts w:ascii="Arial" w:hAnsi="Arial" w:cs="Arial"/>
        </w:rPr>
      </w:pPr>
      <w:r w:rsidRPr="00E440BE">
        <w:rPr>
          <w:rFonts w:ascii="Arial" w:hAnsi="Arial" w:cs="Arial"/>
        </w:rPr>
        <w:t xml:space="preserve">The debtor refrains from any action that may jeopardize the proceeds for the </w:t>
      </w:r>
      <w:proofErr w:type="gramStart"/>
      <w:r w:rsidRPr="00E440BE">
        <w:rPr>
          <w:rFonts w:ascii="Arial" w:hAnsi="Arial" w:cs="Arial"/>
        </w:rPr>
        <w:t>creditors;</w:t>
      </w:r>
      <w:proofErr w:type="gramEnd"/>
    </w:p>
    <w:p w14:paraId="4A550FF7" w14:textId="34F906B0" w:rsidR="0004705A" w:rsidRPr="00E440BE" w:rsidRDefault="0004705A" w:rsidP="00FC5510">
      <w:pPr>
        <w:pStyle w:val="ListParagraph"/>
        <w:numPr>
          <w:ilvl w:val="0"/>
          <w:numId w:val="5"/>
        </w:numPr>
        <w:spacing w:after="0" w:line="240" w:lineRule="auto"/>
        <w:contextualSpacing w:val="0"/>
        <w:jc w:val="both"/>
        <w:rPr>
          <w:rFonts w:ascii="Arial" w:hAnsi="Arial" w:cs="Arial"/>
        </w:rPr>
      </w:pPr>
      <w:r w:rsidRPr="00E440BE">
        <w:rPr>
          <w:rFonts w:ascii="Arial" w:hAnsi="Arial" w:cs="Arial"/>
        </w:rPr>
        <w:t xml:space="preserve">Creditor committees are set up, if so </w:t>
      </w:r>
      <w:proofErr w:type="gramStart"/>
      <w:r w:rsidRPr="00E440BE">
        <w:rPr>
          <w:rFonts w:ascii="Arial" w:hAnsi="Arial" w:cs="Arial"/>
        </w:rPr>
        <w:t>required;</w:t>
      </w:r>
      <w:proofErr w:type="gramEnd"/>
    </w:p>
    <w:p w14:paraId="3C525F55" w14:textId="01C46C4C" w:rsidR="0004705A" w:rsidRPr="00E440BE" w:rsidRDefault="0004705A" w:rsidP="00FC5510">
      <w:pPr>
        <w:pStyle w:val="ListParagraph"/>
        <w:numPr>
          <w:ilvl w:val="0"/>
          <w:numId w:val="5"/>
        </w:numPr>
        <w:spacing w:after="0" w:line="240" w:lineRule="auto"/>
        <w:contextualSpacing w:val="0"/>
        <w:jc w:val="both"/>
        <w:rPr>
          <w:rFonts w:ascii="Arial" w:hAnsi="Arial" w:cs="Arial"/>
        </w:rPr>
      </w:pPr>
      <w:r w:rsidRPr="00E440BE">
        <w:rPr>
          <w:rFonts w:ascii="Arial" w:hAnsi="Arial" w:cs="Arial"/>
        </w:rPr>
        <w:t xml:space="preserve">The debtor provides the creditors with relevant </w:t>
      </w:r>
      <w:proofErr w:type="gramStart"/>
      <w:r w:rsidRPr="00E440BE">
        <w:rPr>
          <w:rFonts w:ascii="Arial" w:hAnsi="Arial" w:cs="Arial"/>
        </w:rPr>
        <w:t>information;</w:t>
      </w:r>
      <w:proofErr w:type="gramEnd"/>
    </w:p>
    <w:p w14:paraId="3F20093C" w14:textId="18D551C2" w:rsidR="0004705A" w:rsidRPr="00E440BE" w:rsidRDefault="0004705A" w:rsidP="00FC5510">
      <w:pPr>
        <w:pStyle w:val="ListParagraph"/>
        <w:numPr>
          <w:ilvl w:val="0"/>
          <w:numId w:val="5"/>
        </w:numPr>
        <w:spacing w:after="0" w:line="240" w:lineRule="auto"/>
        <w:contextualSpacing w:val="0"/>
        <w:jc w:val="both"/>
        <w:rPr>
          <w:rFonts w:ascii="Arial" w:hAnsi="Arial" w:cs="Arial"/>
        </w:rPr>
      </w:pPr>
      <w:r w:rsidRPr="00E440BE">
        <w:rPr>
          <w:rFonts w:ascii="Arial" w:hAnsi="Arial" w:cs="Arial"/>
        </w:rPr>
        <w:t xml:space="preserve">Reorganization proposals are made in the light of the applicable </w:t>
      </w:r>
      <w:proofErr w:type="gramStart"/>
      <w:r w:rsidRPr="00E440BE">
        <w:rPr>
          <w:rFonts w:ascii="Arial" w:hAnsi="Arial" w:cs="Arial"/>
        </w:rPr>
        <w:t>law;</w:t>
      </w:r>
      <w:proofErr w:type="gramEnd"/>
    </w:p>
    <w:p w14:paraId="4B0F15F8" w14:textId="3F824DE0" w:rsidR="0004705A" w:rsidRPr="00E440BE" w:rsidRDefault="0004705A" w:rsidP="00FC5510">
      <w:pPr>
        <w:pStyle w:val="ListParagraph"/>
        <w:numPr>
          <w:ilvl w:val="0"/>
          <w:numId w:val="5"/>
        </w:numPr>
        <w:spacing w:after="0" w:line="240" w:lineRule="auto"/>
        <w:contextualSpacing w:val="0"/>
        <w:jc w:val="both"/>
        <w:rPr>
          <w:rFonts w:ascii="Arial" w:hAnsi="Arial" w:cs="Arial"/>
        </w:rPr>
      </w:pPr>
      <w:r w:rsidRPr="00E440BE">
        <w:rPr>
          <w:rFonts w:ascii="Arial" w:hAnsi="Arial" w:cs="Arial"/>
        </w:rPr>
        <w:t xml:space="preserve">The parties treat all information </w:t>
      </w:r>
      <w:proofErr w:type="gramStart"/>
      <w:r w:rsidRPr="00E440BE">
        <w:rPr>
          <w:rFonts w:ascii="Arial" w:hAnsi="Arial" w:cs="Arial"/>
        </w:rPr>
        <w:t>confidentially;</w:t>
      </w:r>
      <w:proofErr w:type="gramEnd"/>
    </w:p>
    <w:p w14:paraId="1CCA9666" w14:textId="510BA381" w:rsidR="0004705A" w:rsidRPr="00E440BE" w:rsidRDefault="0004705A" w:rsidP="00FC5510">
      <w:pPr>
        <w:pStyle w:val="ListParagraph"/>
        <w:numPr>
          <w:ilvl w:val="0"/>
          <w:numId w:val="5"/>
        </w:numPr>
        <w:spacing w:after="0" w:line="240" w:lineRule="auto"/>
        <w:contextualSpacing w:val="0"/>
        <w:jc w:val="both"/>
        <w:rPr>
          <w:rFonts w:ascii="Arial" w:hAnsi="Arial" w:cs="Arial"/>
        </w:rPr>
      </w:pPr>
      <w:r w:rsidRPr="00E440BE">
        <w:rPr>
          <w:rFonts w:ascii="Arial" w:hAnsi="Arial" w:cs="Arial"/>
        </w:rPr>
        <w:t>New financing during the process will be given priority status.</w:t>
      </w:r>
    </w:p>
    <w:p w14:paraId="34A940BD" w14:textId="77777777" w:rsidR="0004705A" w:rsidRPr="00E440BE" w:rsidRDefault="0004705A" w:rsidP="00FC5510">
      <w:pPr>
        <w:spacing w:after="0" w:line="240" w:lineRule="auto"/>
        <w:jc w:val="both"/>
        <w:rPr>
          <w:rFonts w:ascii="Arial" w:hAnsi="Arial" w:cs="Arial"/>
        </w:rPr>
      </w:pPr>
    </w:p>
    <w:p w14:paraId="3478C6E0" w14:textId="57DACBF2" w:rsidR="00E074C3" w:rsidRPr="00E440BE" w:rsidRDefault="00E074C3" w:rsidP="00FC5510">
      <w:pPr>
        <w:spacing w:after="0" w:line="240" w:lineRule="auto"/>
        <w:jc w:val="both"/>
        <w:rPr>
          <w:rFonts w:ascii="Arial" w:hAnsi="Arial" w:cs="Arial"/>
        </w:rPr>
      </w:pPr>
      <w:r w:rsidRPr="00E440BE">
        <w:rPr>
          <w:rFonts w:ascii="Arial" w:hAnsi="Arial" w:cs="Arial"/>
        </w:rPr>
        <w:t xml:space="preserve">In one way or another, each of these </w:t>
      </w:r>
      <w:r w:rsidR="00916A75" w:rsidRPr="00E440BE">
        <w:rPr>
          <w:rFonts w:ascii="Arial" w:hAnsi="Arial" w:cs="Arial"/>
        </w:rPr>
        <w:t xml:space="preserve">principles was </w:t>
      </w:r>
      <w:r w:rsidR="00EB2268" w:rsidRPr="00E440BE">
        <w:rPr>
          <w:rFonts w:ascii="Arial" w:hAnsi="Arial" w:cs="Arial"/>
        </w:rPr>
        <w:t>attempted</w:t>
      </w:r>
      <w:r w:rsidR="00F56158" w:rsidRPr="00E440BE">
        <w:rPr>
          <w:rFonts w:ascii="Arial" w:hAnsi="Arial" w:cs="Arial"/>
        </w:rPr>
        <w:t xml:space="preserve"> during the Flow Management </w:t>
      </w:r>
      <w:r w:rsidR="005F4518" w:rsidRPr="00E440BE">
        <w:rPr>
          <w:rFonts w:ascii="Arial" w:hAnsi="Arial" w:cs="Arial"/>
        </w:rPr>
        <w:t>process</w:t>
      </w:r>
      <w:r w:rsidR="00A36690" w:rsidRPr="00E440BE">
        <w:rPr>
          <w:rFonts w:ascii="Arial" w:hAnsi="Arial" w:cs="Arial"/>
        </w:rPr>
        <w:t xml:space="preserve"> (save, arguably, for principle 4)</w:t>
      </w:r>
      <w:r w:rsidR="00916A75" w:rsidRPr="00E440BE">
        <w:rPr>
          <w:rFonts w:ascii="Arial" w:hAnsi="Arial" w:cs="Arial"/>
        </w:rPr>
        <w:t xml:space="preserve">. The real point of interest is the extent to which </w:t>
      </w:r>
      <w:r w:rsidR="007B5704" w:rsidRPr="00E440BE">
        <w:rPr>
          <w:rFonts w:ascii="Arial" w:hAnsi="Arial" w:cs="Arial"/>
        </w:rPr>
        <w:t>these attempts w</w:t>
      </w:r>
      <w:r w:rsidR="006F1013" w:rsidRPr="00E440BE">
        <w:rPr>
          <w:rFonts w:ascii="Arial" w:hAnsi="Arial" w:cs="Arial"/>
        </w:rPr>
        <w:t>ere</w:t>
      </w:r>
      <w:r w:rsidR="00916A75" w:rsidRPr="00E440BE">
        <w:rPr>
          <w:rFonts w:ascii="Arial" w:hAnsi="Arial" w:cs="Arial"/>
        </w:rPr>
        <w:t xml:space="preserve"> effective, or effectively </w:t>
      </w:r>
      <w:r w:rsidR="00C135FB" w:rsidRPr="00E440BE">
        <w:rPr>
          <w:rFonts w:ascii="Arial" w:hAnsi="Arial" w:cs="Arial"/>
        </w:rPr>
        <w:t xml:space="preserve">deployed at the </w:t>
      </w:r>
      <w:r w:rsidR="008D21EA" w:rsidRPr="00E440BE">
        <w:rPr>
          <w:rFonts w:ascii="Arial" w:hAnsi="Arial" w:cs="Arial"/>
        </w:rPr>
        <w:t>most appropriate</w:t>
      </w:r>
      <w:r w:rsidR="00C135FB" w:rsidRPr="00E440BE">
        <w:rPr>
          <w:rFonts w:ascii="Arial" w:hAnsi="Arial" w:cs="Arial"/>
        </w:rPr>
        <w:t xml:space="preserve"> time</w:t>
      </w:r>
      <w:r w:rsidR="00346EF8" w:rsidRPr="00E440BE">
        <w:rPr>
          <w:rFonts w:ascii="Arial" w:hAnsi="Arial" w:cs="Arial"/>
        </w:rPr>
        <w:t>,</w:t>
      </w:r>
      <w:r w:rsidR="00C135FB" w:rsidRPr="00E440BE">
        <w:rPr>
          <w:rFonts w:ascii="Arial" w:hAnsi="Arial" w:cs="Arial"/>
        </w:rPr>
        <w:t xml:space="preserve"> </w:t>
      </w:r>
      <w:proofErr w:type="gramStart"/>
      <w:r w:rsidR="00C135FB" w:rsidRPr="00E440BE">
        <w:rPr>
          <w:rFonts w:ascii="Arial" w:hAnsi="Arial" w:cs="Arial"/>
        </w:rPr>
        <w:t>so as to</w:t>
      </w:r>
      <w:proofErr w:type="gramEnd"/>
      <w:r w:rsidR="00C135FB" w:rsidRPr="00E440BE">
        <w:rPr>
          <w:rFonts w:ascii="Arial" w:hAnsi="Arial" w:cs="Arial"/>
        </w:rPr>
        <w:t xml:space="preserve"> </w:t>
      </w:r>
      <w:r w:rsidR="008D21EA" w:rsidRPr="00E440BE">
        <w:rPr>
          <w:rFonts w:ascii="Arial" w:hAnsi="Arial" w:cs="Arial"/>
        </w:rPr>
        <w:t>achieve maximum beneficial effect</w:t>
      </w:r>
      <w:r w:rsidR="00E90196" w:rsidRPr="00E440BE">
        <w:rPr>
          <w:rFonts w:ascii="Arial" w:hAnsi="Arial" w:cs="Arial"/>
        </w:rPr>
        <w:t xml:space="preserve">. Or, as put in the </w:t>
      </w:r>
      <w:r w:rsidR="007B5704" w:rsidRPr="00E440BE">
        <w:rPr>
          <w:rFonts w:ascii="Arial" w:hAnsi="Arial" w:cs="Arial"/>
        </w:rPr>
        <w:t>commentary</w:t>
      </w:r>
      <w:r w:rsidR="004122E9" w:rsidRPr="00E440BE">
        <w:rPr>
          <w:rFonts w:ascii="Arial" w:hAnsi="Arial" w:cs="Arial"/>
        </w:rPr>
        <w:t>: “</w:t>
      </w:r>
      <w:r w:rsidR="004122E9" w:rsidRPr="00E440BE">
        <w:rPr>
          <w:rFonts w:ascii="Arial" w:hAnsi="Arial" w:cs="Arial"/>
          <w:i/>
          <w:iCs/>
        </w:rPr>
        <w:t>Most importantly, ti</w:t>
      </w:r>
      <w:r w:rsidR="007E7571" w:rsidRPr="00E440BE">
        <w:rPr>
          <w:rFonts w:ascii="Arial" w:hAnsi="Arial" w:cs="Arial"/>
          <w:i/>
          <w:iCs/>
        </w:rPr>
        <w:t>m</w:t>
      </w:r>
      <w:r w:rsidR="004122E9" w:rsidRPr="00E440BE">
        <w:rPr>
          <w:rFonts w:ascii="Arial" w:hAnsi="Arial" w:cs="Arial"/>
          <w:i/>
          <w:iCs/>
        </w:rPr>
        <w:t>e is crucial in resources and works. When a debtor is experiencing financial difficulties, delay prolongs commercial uncertainty, increases the costs of the process and potentially erodes value</w:t>
      </w:r>
      <w:r w:rsidR="00A9257A" w:rsidRPr="00E440BE">
        <w:rPr>
          <w:rFonts w:ascii="Arial" w:hAnsi="Arial" w:cs="Arial"/>
          <w:i/>
          <w:iCs/>
          <w:lang/>
        </w:rPr>
        <w:t>.</w:t>
      </w:r>
      <w:r w:rsidR="004122E9" w:rsidRPr="00E440BE">
        <w:rPr>
          <w:rFonts w:ascii="Arial" w:hAnsi="Arial" w:cs="Arial"/>
        </w:rPr>
        <w:t>”</w:t>
      </w:r>
      <w:r w:rsidR="007E7571" w:rsidRPr="00E440BE">
        <w:rPr>
          <w:rStyle w:val="FootnoteReference"/>
          <w:rFonts w:ascii="Arial" w:hAnsi="Arial" w:cs="Arial"/>
        </w:rPr>
        <w:footnoteReference w:id="18"/>
      </w:r>
    </w:p>
    <w:p w14:paraId="542C6714" w14:textId="77777777" w:rsidR="008D21EA" w:rsidRPr="00E440BE" w:rsidRDefault="008D21EA" w:rsidP="00FC5510">
      <w:pPr>
        <w:spacing w:after="0" w:line="240" w:lineRule="auto"/>
        <w:jc w:val="both"/>
        <w:rPr>
          <w:rFonts w:ascii="Arial" w:hAnsi="Arial" w:cs="Arial"/>
        </w:rPr>
      </w:pPr>
    </w:p>
    <w:p w14:paraId="22105491" w14:textId="464FE0F6" w:rsidR="008D21EA" w:rsidRPr="00E440BE" w:rsidRDefault="008D21EA" w:rsidP="00FC5510">
      <w:pPr>
        <w:keepNext/>
        <w:spacing w:after="0" w:line="240" w:lineRule="auto"/>
        <w:jc w:val="both"/>
        <w:rPr>
          <w:rFonts w:ascii="Arial" w:hAnsi="Arial" w:cs="Arial"/>
          <w:b/>
          <w:bCs/>
        </w:rPr>
      </w:pPr>
      <w:r w:rsidRPr="00E440BE">
        <w:rPr>
          <w:rFonts w:ascii="Arial" w:hAnsi="Arial" w:cs="Arial"/>
          <w:b/>
          <w:bCs/>
        </w:rPr>
        <w:t>Principle 1: Deferment of payment is voluntarily agreed to (‘standstill period’ by creditors)</w:t>
      </w:r>
    </w:p>
    <w:p w14:paraId="058EE3B4" w14:textId="77777777" w:rsidR="008D21EA" w:rsidRPr="00E440BE" w:rsidRDefault="008D21EA" w:rsidP="00FC5510">
      <w:pPr>
        <w:pStyle w:val="ListParagraph"/>
        <w:keepNext/>
        <w:spacing w:after="0" w:line="240" w:lineRule="auto"/>
        <w:ind w:left="360"/>
        <w:contextualSpacing w:val="0"/>
        <w:jc w:val="both"/>
        <w:rPr>
          <w:rFonts w:ascii="Arial" w:hAnsi="Arial" w:cs="Arial"/>
        </w:rPr>
      </w:pPr>
    </w:p>
    <w:p w14:paraId="385D1FC0" w14:textId="3584C45A" w:rsidR="00B9707B" w:rsidRPr="00E440BE" w:rsidRDefault="001B51C5" w:rsidP="00FC5510">
      <w:pPr>
        <w:spacing w:after="0" w:line="240" w:lineRule="auto"/>
        <w:jc w:val="both"/>
        <w:rPr>
          <w:rFonts w:ascii="Arial" w:hAnsi="Arial" w:cs="Arial"/>
        </w:rPr>
      </w:pPr>
      <w:r w:rsidRPr="00E440BE">
        <w:rPr>
          <w:rFonts w:ascii="Arial" w:hAnsi="Arial" w:cs="Arial"/>
        </w:rPr>
        <w:t>K</w:t>
      </w:r>
      <w:r w:rsidR="00B9707B" w:rsidRPr="00E440BE">
        <w:rPr>
          <w:rFonts w:ascii="Arial" w:hAnsi="Arial" w:cs="Arial"/>
        </w:rPr>
        <w:t xml:space="preserve">ey </w:t>
      </w:r>
      <w:r w:rsidR="00B70EA1" w:rsidRPr="00E440BE">
        <w:rPr>
          <w:rFonts w:ascii="Arial" w:hAnsi="Arial" w:cs="Arial"/>
        </w:rPr>
        <w:t>aims</w:t>
      </w:r>
      <w:r w:rsidR="00B9707B" w:rsidRPr="00E440BE">
        <w:rPr>
          <w:rFonts w:ascii="Arial" w:hAnsi="Arial" w:cs="Arial"/>
        </w:rPr>
        <w:t xml:space="preserve"> of this principle </w:t>
      </w:r>
      <w:r w:rsidR="00B70EA1" w:rsidRPr="00E440BE">
        <w:rPr>
          <w:rFonts w:ascii="Arial" w:hAnsi="Arial" w:cs="Arial"/>
        </w:rPr>
        <w:t>are</w:t>
      </w:r>
      <w:r w:rsidR="00B9707B" w:rsidRPr="00E440BE">
        <w:rPr>
          <w:rFonts w:ascii="Arial" w:hAnsi="Arial" w:cs="Arial"/>
        </w:rPr>
        <w:t xml:space="preserve"> </w:t>
      </w:r>
      <w:r w:rsidR="00B70EA1" w:rsidRPr="00E440BE">
        <w:rPr>
          <w:rFonts w:ascii="Arial" w:hAnsi="Arial" w:cs="Arial"/>
        </w:rPr>
        <w:t xml:space="preserve">(a) </w:t>
      </w:r>
      <w:r w:rsidR="00B9707B" w:rsidRPr="00E440BE">
        <w:rPr>
          <w:rFonts w:ascii="Arial" w:hAnsi="Arial" w:cs="Arial"/>
        </w:rPr>
        <w:t>to give the Company/debtor some breathing space</w:t>
      </w:r>
      <w:r w:rsidR="00B70EA1" w:rsidRPr="00E440BE">
        <w:rPr>
          <w:rFonts w:ascii="Arial" w:hAnsi="Arial" w:cs="Arial"/>
        </w:rPr>
        <w:t>;</w:t>
      </w:r>
      <w:r w:rsidR="00947595" w:rsidRPr="00E440BE">
        <w:rPr>
          <w:rFonts w:ascii="Arial" w:hAnsi="Arial" w:cs="Arial"/>
        </w:rPr>
        <w:t xml:space="preserve"> and</w:t>
      </w:r>
      <w:r w:rsidR="00B70EA1" w:rsidRPr="00E440BE">
        <w:rPr>
          <w:rFonts w:ascii="Arial" w:hAnsi="Arial" w:cs="Arial"/>
        </w:rPr>
        <w:t xml:space="preserve"> (b) to</w:t>
      </w:r>
      <w:r w:rsidR="0044198F" w:rsidRPr="00E440BE">
        <w:rPr>
          <w:rFonts w:ascii="Arial" w:hAnsi="Arial" w:cs="Arial"/>
        </w:rPr>
        <w:t xml:space="preserve"> ensure that all relevant creditors are brought into the process</w:t>
      </w:r>
      <w:r w:rsidR="00037FD7" w:rsidRPr="00E440BE">
        <w:rPr>
          <w:rFonts w:ascii="Arial" w:hAnsi="Arial" w:cs="Arial"/>
        </w:rPr>
        <w:t>.</w:t>
      </w:r>
    </w:p>
    <w:p w14:paraId="4907AA96" w14:textId="77777777" w:rsidR="00B9707B" w:rsidRPr="00E440BE" w:rsidRDefault="00B9707B" w:rsidP="00FC5510">
      <w:pPr>
        <w:spacing w:after="0" w:line="240" w:lineRule="auto"/>
        <w:jc w:val="both"/>
        <w:rPr>
          <w:rFonts w:ascii="Arial" w:hAnsi="Arial" w:cs="Arial"/>
        </w:rPr>
      </w:pPr>
    </w:p>
    <w:p w14:paraId="7A3F3B0E" w14:textId="4BF50B22" w:rsidR="00D40CF6" w:rsidRPr="00E440BE" w:rsidRDefault="00B81814" w:rsidP="00FC5510">
      <w:pPr>
        <w:spacing w:after="0" w:line="240" w:lineRule="auto"/>
        <w:jc w:val="both"/>
        <w:rPr>
          <w:rFonts w:ascii="Arial" w:hAnsi="Arial" w:cs="Arial"/>
        </w:rPr>
      </w:pPr>
      <w:r w:rsidRPr="00E440BE">
        <w:rPr>
          <w:rFonts w:ascii="Arial" w:hAnsi="Arial" w:cs="Arial"/>
        </w:rPr>
        <w:t xml:space="preserve">There is no evidence that the Company has significant or relevant </w:t>
      </w:r>
      <w:r w:rsidR="00571B32" w:rsidRPr="00E440BE">
        <w:rPr>
          <w:rFonts w:ascii="Arial" w:hAnsi="Arial" w:cs="Arial"/>
          <w:lang/>
        </w:rPr>
        <w:t>creditors</w:t>
      </w:r>
      <w:r w:rsidRPr="00E440BE">
        <w:rPr>
          <w:rFonts w:ascii="Arial" w:hAnsi="Arial" w:cs="Arial"/>
        </w:rPr>
        <w:t xml:space="preserve"> beyond the four </w:t>
      </w:r>
      <w:r w:rsidR="00D7632A" w:rsidRPr="00E440BE">
        <w:rPr>
          <w:rFonts w:ascii="Arial" w:hAnsi="Arial" w:cs="Arial"/>
        </w:rPr>
        <w:t>Bank</w:t>
      </w:r>
      <w:r w:rsidRPr="00E440BE">
        <w:rPr>
          <w:rFonts w:ascii="Arial" w:hAnsi="Arial" w:cs="Arial"/>
        </w:rPr>
        <w:t>s</w:t>
      </w:r>
      <w:r w:rsidR="008C4CC5" w:rsidRPr="00E440BE">
        <w:rPr>
          <w:rFonts w:ascii="Arial" w:hAnsi="Arial" w:cs="Arial"/>
        </w:rPr>
        <w:t xml:space="preserve"> that the </w:t>
      </w:r>
      <w:r w:rsidR="0008008B" w:rsidRPr="00E440BE">
        <w:rPr>
          <w:rFonts w:ascii="Arial" w:hAnsi="Arial" w:cs="Arial"/>
        </w:rPr>
        <w:t xml:space="preserve">Company </w:t>
      </w:r>
      <w:r w:rsidR="008C4CC5" w:rsidRPr="00E440BE">
        <w:rPr>
          <w:rFonts w:ascii="Arial" w:hAnsi="Arial" w:cs="Arial"/>
        </w:rPr>
        <w:t>me</w:t>
      </w:r>
      <w:r w:rsidR="00571B32" w:rsidRPr="00E440BE">
        <w:rPr>
          <w:rFonts w:ascii="Arial" w:hAnsi="Arial" w:cs="Arial"/>
          <w:lang/>
        </w:rPr>
        <w:t>t with</w:t>
      </w:r>
      <w:r w:rsidR="008C4CC5" w:rsidRPr="00E440BE">
        <w:rPr>
          <w:rFonts w:ascii="Arial" w:hAnsi="Arial" w:cs="Arial"/>
        </w:rPr>
        <w:t xml:space="preserve"> </w:t>
      </w:r>
      <w:r w:rsidR="00605724" w:rsidRPr="00E440BE">
        <w:rPr>
          <w:rFonts w:ascii="Arial" w:hAnsi="Arial" w:cs="Arial"/>
        </w:rPr>
        <w:t>on 16 November 2013</w:t>
      </w:r>
      <w:r w:rsidR="008C4CC5" w:rsidRPr="00E440BE">
        <w:rPr>
          <w:rFonts w:ascii="Arial" w:hAnsi="Arial" w:cs="Arial"/>
        </w:rPr>
        <w:t xml:space="preserve"> (albeit, in terms of key stakeholders</w:t>
      </w:r>
      <w:r w:rsidR="00BB3ED5" w:rsidRPr="00E440BE">
        <w:rPr>
          <w:rFonts w:ascii="Arial" w:hAnsi="Arial" w:cs="Arial"/>
          <w:lang/>
        </w:rPr>
        <w:t xml:space="preserve"> with influence</w:t>
      </w:r>
      <w:r w:rsidR="008C4CC5" w:rsidRPr="00E440BE">
        <w:rPr>
          <w:rFonts w:ascii="Arial" w:hAnsi="Arial" w:cs="Arial"/>
        </w:rPr>
        <w:t>, the shareholder</w:t>
      </w:r>
      <w:r w:rsidR="009944CD" w:rsidRPr="00E440BE">
        <w:rPr>
          <w:rFonts w:ascii="Arial" w:hAnsi="Arial" w:cs="Arial"/>
          <w:lang/>
        </w:rPr>
        <w:t>, management</w:t>
      </w:r>
      <w:r w:rsidR="008C4CC5" w:rsidRPr="00E440BE">
        <w:rPr>
          <w:rFonts w:ascii="Arial" w:hAnsi="Arial" w:cs="Arial"/>
        </w:rPr>
        <w:t xml:space="preserve"> and, potentially, </w:t>
      </w:r>
      <w:r w:rsidR="009944CD" w:rsidRPr="00E440BE">
        <w:rPr>
          <w:rFonts w:ascii="Arial" w:hAnsi="Arial" w:cs="Arial"/>
          <w:lang/>
        </w:rPr>
        <w:t>the</w:t>
      </w:r>
      <w:r w:rsidR="008C4CC5" w:rsidRPr="00E440BE">
        <w:rPr>
          <w:rFonts w:ascii="Arial" w:hAnsi="Arial" w:cs="Arial"/>
        </w:rPr>
        <w:t xml:space="preserve"> </w:t>
      </w:r>
      <w:r w:rsidR="00BB3ED5" w:rsidRPr="00E440BE">
        <w:rPr>
          <w:rFonts w:ascii="Arial" w:hAnsi="Arial" w:cs="Arial"/>
          <w:lang/>
        </w:rPr>
        <w:t>UBOs</w:t>
      </w:r>
      <w:r w:rsidR="009944CD" w:rsidRPr="00E440BE">
        <w:rPr>
          <w:rFonts w:ascii="Arial" w:hAnsi="Arial" w:cs="Arial"/>
          <w:lang/>
        </w:rPr>
        <w:t xml:space="preserve"> and </w:t>
      </w:r>
      <w:r w:rsidR="006B5B78">
        <w:rPr>
          <w:rFonts w:ascii="Arial" w:hAnsi="Arial" w:cs="Arial"/>
          <w:lang/>
        </w:rPr>
        <w:t>lead employees / client liaisons</w:t>
      </w:r>
      <w:r w:rsidR="009944CD" w:rsidRPr="00E440BE">
        <w:rPr>
          <w:rFonts w:ascii="Arial" w:hAnsi="Arial" w:cs="Arial"/>
          <w:lang/>
        </w:rPr>
        <w:t xml:space="preserve"> at key operating subsidiaries</w:t>
      </w:r>
      <w:r w:rsidR="008C4CC5" w:rsidRPr="00E440BE">
        <w:rPr>
          <w:rFonts w:ascii="Arial" w:hAnsi="Arial" w:cs="Arial"/>
        </w:rPr>
        <w:t>, are also relevant)</w:t>
      </w:r>
      <w:r w:rsidR="0030170C" w:rsidRPr="00E440BE">
        <w:rPr>
          <w:rFonts w:ascii="Arial" w:hAnsi="Arial" w:cs="Arial"/>
        </w:rPr>
        <w:t xml:space="preserve">. By at least </w:t>
      </w:r>
      <w:r w:rsidR="0062022C" w:rsidRPr="00E440BE">
        <w:rPr>
          <w:rFonts w:ascii="Arial" w:hAnsi="Arial" w:cs="Arial"/>
        </w:rPr>
        <w:t>December</w:t>
      </w:r>
      <w:r w:rsidR="0030170C" w:rsidRPr="00E440BE">
        <w:rPr>
          <w:rFonts w:ascii="Arial" w:hAnsi="Arial" w:cs="Arial"/>
        </w:rPr>
        <w:t xml:space="preserve"> 2013, the Company already</w:t>
      </w:r>
      <w:r w:rsidR="0050418C" w:rsidRPr="00E440BE">
        <w:rPr>
          <w:rFonts w:ascii="Arial" w:hAnsi="Arial" w:cs="Arial"/>
        </w:rPr>
        <w:t xml:space="preserve"> has</w:t>
      </w:r>
      <w:r w:rsidR="0030170C" w:rsidRPr="00E440BE">
        <w:rPr>
          <w:rFonts w:ascii="Arial" w:hAnsi="Arial" w:cs="Arial"/>
        </w:rPr>
        <w:t xml:space="preserve"> the </w:t>
      </w:r>
      <w:r w:rsidR="00D83DD0" w:rsidRPr="00E440BE">
        <w:rPr>
          <w:rFonts w:ascii="Arial" w:hAnsi="Arial" w:cs="Arial"/>
        </w:rPr>
        <w:t xml:space="preserve">turnaround consultant’s report concluding that the </w:t>
      </w:r>
      <w:r w:rsidR="0062022C" w:rsidRPr="00E440BE">
        <w:rPr>
          <w:rFonts w:ascii="Arial" w:hAnsi="Arial" w:cs="Arial"/>
        </w:rPr>
        <w:t>business</w:t>
      </w:r>
      <w:r w:rsidR="00D83DD0" w:rsidRPr="00E440BE">
        <w:rPr>
          <w:rFonts w:ascii="Arial" w:hAnsi="Arial" w:cs="Arial"/>
        </w:rPr>
        <w:t xml:space="preserve"> is viable and that the</w:t>
      </w:r>
      <w:r w:rsidR="001F408B" w:rsidRPr="00E440BE">
        <w:rPr>
          <w:rFonts w:ascii="Arial" w:hAnsi="Arial" w:cs="Arial"/>
        </w:rPr>
        <w:t xml:space="preserve"> estimated turnovers are realistic</w:t>
      </w:r>
      <w:r w:rsidR="0050418C" w:rsidRPr="00E440BE">
        <w:rPr>
          <w:rFonts w:ascii="Arial" w:hAnsi="Arial" w:cs="Arial"/>
        </w:rPr>
        <w:t>. It is</w:t>
      </w:r>
      <w:r w:rsidR="00D40CF6" w:rsidRPr="00E440BE">
        <w:rPr>
          <w:rFonts w:ascii="Arial" w:hAnsi="Arial" w:cs="Arial"/>
        </w:rPr>
        <w:t xml:space="preserve"> around this period </w:t>
      </w:r>
      <w:r w:rsidR="0050418C" w:rsidRPr="00E440BE">
        <w:rPr>
          <w:rFonts w:ascii="Arial" w:hAnsi="Arial" w:cs="Arial"/>
        </w:rPr>
        <w:t xml:space="preserve">that </w:t>
      </w:r>
      <w:r w:rsidR="00D40CF6" w:rsidRPr="00E440BE">
        <w:rPr>
          <w:rFonts w:ascii="Arial" w:hAnsi="Arial" w:cs="Arial"/>
        </w:rPr>
        <w:t xml:space="preserve">there is </w:t>
      </w:r>
      <w:r w:rsidR="0050418C" w:rsidRPr="00E440BE">
        <w:rPr>
          <w:rFonts w:ascii="Arial" w:hAnsi="Arial" w:cs="Arial"/>
        </w:rPr>
        <w:t xml:space="preserve">evidence of </w:t>
      </w:r>
      <w:r w:rsidR="00D40CF6" w:rsidRPr="00E440BE">
        <w:rPr>
          <w:rFonts w:ascii="Arial" w:hAnsi="Arial" w:cs="Arial"/>
        </w:rPr>
        <w:t>discussion regarding entering into a standstill agreement (</w:t>
      </w:r>
      <w:r w:rsidR="00D40CF6" w:rsidRPr="00E440BE">
        <w:rPr>
          <w:rFonts w:ascii="Arial" w:hAnsi="Arial" w:cs="Arial"/>
          <w:b/>
          <w:bCs/>
        </w:rPr>
        <w:t>SA</w:t>
      </w:r>
      <w:r w:rsidR="00D40CF6" w:rsidRPr="00E440BE">
        <w:rPr>
          <w:rFonts w:ascii="Arial" w:hAnsi="Arial" w:cs="Arial"/>
        </w:rPr>
        <w:t>)</w:t>
      </w:r>
      <w:r w:rsidR="0062022C" w:rsidRPr="00E440BE">
        <w:rPr>
          <w:rFonts w:ascii="Arial" w:hAnsi="Arial" w:cs="Arial"/>
        </w:rPr>
        <w:t>.</w:t>
      </w:r>
      <w:r w:rsidR="00D40CF6" w:rsidRPr="00E440BE">
        <w:rPr>
          <w:rFonts w:ascii="Arial" w:hAnsi="Arial" w:cs="Arial"/>
        </w:rPr>
        <w:t xml:space="preserve"> However, it </w:t>
      </w:r>
      <w:r w:rsidR="0050418C" w:rsidRPr="00E440BE">
        <w:rPr>
          <w:rFonts w:ascii="Arial" w:hAnsi="Arial" w:cs="Arial"/>
        </w:rPr>
        <w:t>i</w:t>
      </w:r>
      <w:r w:rsidR="00D40CF6" w:rsidRPr="00E440BE">
        <w:rPr>
          <w:rFonts w:ascii="Arial" w:hAnsi="Arial" w:cs="Arial"/>
        </w:rPr>
        <w:t xml:space="preserve">s not until </w:t>
      </w:r>
      <w:r w:rsidR="00810F43" w:rsidRPr="00E440BE">
        <w:rPr>
          <w:rFonts w:ascii="Arial" w:hAnsi="Arial" w:cs="Arial"/>
        </w:rPr>
        <w:t xml:space="preserve">mid-August 2014, that an SA </w:t>
      </w:r>
      <w:r w:rsidR="0050418C" w:rsidRPr="00E440BE">
        <w:rPr>
          <w:rFonts w:ascii="Arial" w:hAnsi="Arial" w:cs="Arial"/>
        </w:rPr>
        <w:t>i</w:t>
      </w:r>
      <w:r w:rsidR="00810F43" w:rsidRPr="00E440BE">
        <w:rPr>
          <w:rFonts w:ascii="Arial" w:hAnsi="Arial" w:cs="Arial"/>
        </w:rPr>
        <w:t xml:space="preserve">s eventually </w:t>
      </w:r>
      <w:proofErr w:type="gramStart"/>
      <w:r w:rsidR="00810F43" w:rsidRPr="00E440BE">
        <w:rPr>
          <w:rFonts w:ascii="Arial" w:hAnsi="Arial" w:cs="Arial"/>
        </w:rPr>
        <w:t>entered into</w:t>
      </w:r>
      <w:proofErr w:type="gramEnd"/>
      <w:r w:rsidR="00810F43" w:rsidRPr="00E440BE">
        <w:rPr>
          <w:rFonts w:ascii="Arial" w:hAnsi="Arial" w:cs="Arial"/>
        </w:rPr>
        <w:t>.</w:t>
      </w:r>
    </w:p>
    <w:p w14:paraId="5B1420EC" w14:textId="77777777" w:rsidR="00D40CF6" w:rsidRPr="00E440BE" w:rsidRDefault="00D40CF6" w:rsidP="00FC5510">
      <w:pPr>
        <w:spacing w:after="0" w:line="240" w:lineRule="auto"/>
        <w:jc w:val="both"/>
        <w:rPr>
          <w:rFonts w:ascii="Arial" w:hAnsi="Arial" w:cs="Arial"/>
        </w:rPr>
      </w:pPr>
    </w:p>
    <w:p w14:paraId="61525DFF" w14:textId="0A9C19EF" w:rsidR="00945BC8" w:rsidRPr="00E440BE" w:rsidRDefault="00945BC8" w:rsidP="00FC5510">
      <w:pPr>
        <w:spacing w:after="0" w:line="240" w:lineRule="auto"/>
        <w:jc w:val="both"/>
        <w:rPr>
          <w:rFonts w:ascii="Arial" w:hAnsi="Arial" w:cs="Arial"/>
        </w:rPr>
      </w:pPr>
      <w:r w:rsidRPr="00E440BE">
        <w:rPr>
          <w:rFonts w:ascii="Arial" w:hAnsi="Arial" w:cs="Arial"/>
        </w:rPr>
        <w:t xml:space="preserve">Given that a key purpose of the </w:t>
      </w:r>
      <w:r w:rsidR="00101B1A" w:rsidRPr="00E440BE">
        <w:rPr>
          <w:rFonts w:ascii="Arial" w:hAnsi="Arial" w:cs="Arial"/>
        </w:rPr>
        <w:t>standstill</w:t>
      </w:r>
      <w:r w:rsidRPr="00E440BE">
        <w:rPr>
          <w:rFonts w:ascii="Arial" w:hAnsi="Arial" w:cs="Arial"/>
        </w:rPr>
        <w:t xml:space="preserve"> period is to </w:t>
      </w:r>
      <w:r w:rsidR="00101B1A" w:rsidRPr="00E440BE">
        <w:rPr>
          <w:rFonts w:ascii="Arial" w:hAnsi="Arial" w:cs="Arial"/>
        </w:rPr>
        <w:t>e</w:t>
      </w:r>
      <w:r w:rsidRPr="00E440BE">
        <w:rPr>
          <w:rFonts w:ascii="Arial" w:hAnsi="Arial" w:cs="Arial"/>
        </w:rPr>
        <w:t>nable credi</w:t>
      </w:r>
      <w:r w:rsidR="0022600A" w:rsidRPr="00E440BE">
        <w:rPr>
          <w:rFonts w:ascii="Arial" w:hAnsi="Arial" w:cs="Arial"/>
        </w:rPr>
        <w:t>t</w:t>
      </w:r>
      <w:r w:rsidRPr="00E440BE">
        <w:rPr>
          <w:rFonts w:ascii="Arial" w:hAnsi="Arial" w:cs="Arial"/>
        </w:rPr>
        <w:t xml:space="preserve">ors to obtain and evaluate information </w:t>
      </w:r>
      <w:r w:rsidR="00101B1A" w:rsidRPr="00E440BE">
        <w:rPr>
          <w:rFonts w:ascii="Arial" w:hAnsi="Arial" w:cs="Arial"/>
        </w:rPr>
        <w:t xml:space="preserve">about the debtor, </w:t>
      </w:r>
      <w:r w:rsidR="00413FF1" w:rsidRPr="00E440BE">
        <w:rPr>
          <w:rFonts w:ascii="Arial" w:hAnsi="Arial" w:cs="Arial"/>
        </w:rPr>
        <w:t xml:space="preserve">it might have been better had the </w:t>
      </w:r>
      <w:r w:rsidR="001822AA">
        <w:rPr>
          <w:rFonts w:ascii="Arial" w:hAnsi="Arial" w:cs="Arial"/>
          <w:lang/>
        </w:rPr>
        <w:t xml:space="preserve">SA </w:t>
      </w:r>
      <w:r w:rsidR="00413FF1" w:rsidRPr="00E440BE">
        <w:rPr>
          <w:rFonts w:ascii="Arial" w:hAnsi="Arial" w:cs="Arial"/>
        </w:rPr>
        <w:t>been entered into before the end of 2013</w:t>
      </w:r>
      <w:r w:rsidR="00B43E32" w:rsidRPr="00E440BE">
        <w:rPr>
          <w:rFonts w:ascii="Arial" w:hAnsi="Arial" w:cs="Arial"/>
        </w:rPr>
        <w:t>.</w:t>
      </w:r>
      <w:r w:rsidR="00413FF1" w:rsidRPr="00E440BE">
        <w:rPr>
          <w:rFonts w:ascii="Arial" w:hAnsi="Arial" w:cs="Arial"/>
        </w:rPr>
        <w:t xml:space="preserve"> </w:t>
      </w:r>
      <w:r w:rsidR="00C92535" w:rsidRPr="00E440BE">
        <w:rPr>
          <w:rFonts w:ascii="Arial" w:hAnsi="Arial" w:cs="Arial"/>
        </w:rPr>
        <w:t xml:space="preserve">This could have assisted in the Company being more transparent in its dealings with the </w:t>
      </w:r>
      <w:r w:rsidR="00D7632A" w:rsidRPr="00E440BE">
        <w:rPr>
          <w:rFonts w:ascii="Arial" w:hAnsi="Arial" w:cs="Arial"/>
        </w:rPr>
        <w:t>Bank</w:t>
      </w:r>
      <w:r w:rsidR="00C92535" w:rsidRPr="00E440BE">
        <w:rPr>
          <w:rFonts w:ascii="Arial" w:hAnsi="Arial" w:cs="Arial"/>
        </w:rPr>
        <w:t>s and should have prevent</w:t>
      </w:r>
      <w:r w:rsidR="001822AA">
        <w:rPr>
          <w:rFonts w:ascii="Arial" w:hAnsi="Arial" w:cs="Arial"/>
          <w:lang/>
        </w:rPr>
        <w:t>ed</w:t>
      </w:r>
      <w:r w:rsidR="00C92535" w:rsidRPr="00E440BE">
        <w:rPr>
          <w:rFonts w:ascii="Arial" w:hAnsi="Arial" w:cs="Arial"/>
        </w:rPr>
        <w:t xml:space="preserve"> Banks </w:t>
      </w:r>
      <w:r w:rsidR="00EF182D" w:rsidRPr="00E440BE">
        <w:rPr>
          <w:rFonts w:ascii="Arial" w:hAnsi="Arial" w:cs="Arial"/>
        </w:rPr>
        <w:t>C and D from acting in the way that they did during early 2014.</w:t>
      </w:r>
    </w:p>
    <w:p w14:paraId="0A1704AE" w14:textId="77777777" w:rsidR="00B62D23" w:rsidRPr="00E440BE" w:rsidRDefault="00B62D23" w:rsidP="00FC5510">
      <w:pPr>
        <w:pStyle w:val="ListParagraph"/>
        <w:spacing w:after="0" w:line="240" w:lineRule="auto"/>
        <w:ind w:left="360"/>
        <w:contextualSpacing w:val="0"/>
        <w:jc w:val="both"/>
        <w:rPr>
          <w:rFonts w:ascii="Arial" w:hAnsi="Arial" w:cs="Arial"/>
        </w:rPr>
      </w:pPr>
    </w:p>
    <w:p w14:paraId="3DF4439F" w14:textId="2594B086" w:rsidR="008D21EA" w:rsidRPr="00E440BE" w:rsidRDefault="008D21EA" w:rsidP="00FC5510">
      <w:pPr>
        <w:keepNext/>
        <w:spacing w:after="0" w:line="240" w:lineRule="auto"/>
        <w:jc w:val="both"/>
        <w:rPr>
          <w:rFonts w:ascii="Arial" w:hAnsi="Arial" w:cs="Arial"/>
          <w:b/>
          <w:bCs/>
        </w:rPr>
      </w:pPr>
      <w:r w:rsidRPr="00E440BE">
        <w:rPr>
          <w:rFonts w:ascii="Arial" w:hAnsi="Arial" w:cs="Arial"/>
          <w:b/>
          <w:bCs/>
        </w:rPr>
        <w:t xml:space="preserve">Principle 2: The debtor ensures that the relative positions of the creditors are </w:t>
      </w:r>
      <w:proofErr w:type="gramStart"/>
      <w:r w:rsidRPr="00E440BE">
        <w:rPr>
          <w:rFonts w:ascii="Arial" w:hAnsi="Arial" w:cs="Arial"/>
          <w:b/>
          <w:bCs/>
        </w:rPr>
        <w:t>maintained</w:t>
      </w:r>
      <w:proofErr w:type="gramEnd"/>
    </w:p>
    <w:p w14:paraId="29AD8329" w14:textId="77777777" w:rsidR="00F42C2B" w:rsidRPr="00E440BE" w:rsidRDefault="00F42C2B" w:rsidP="00FC5510">
      <w:pPr>
        <w:keepNext/>
        <w:spacing w:after="0" w:line="240" w:lineRule="auto"/>
        <w:jc w:val="both"/>
        <w:rPr>
          <w:rFonts w:ascii="Arial" w:hAnsi="Arial" w:cs="Arial"/>
        </w:rPr>
      </w:pPr>
    </w:p>
    <w:p w14:paraId="56641481" w14:textId="4F95B71B" w:rsidR="00A17F7F" w:rsidRPr="00E440BE" w:rsidRDefault="00A17F7F" w:rsidP="00FC5510">
      <w:pPr>
        <w:spacing w:after="0" w:line="240" w:lineRule="auto"/>
        <w:jc w:val="both"/>
        <w:rPr>
          <w:rFonts w:ascii="Arial" w:hAnsi="Arial" w:cs="Arial"/>
        </w:rPr>
      </w:pPr>
      <w:r w:rsidRPr="00E440BE">
        <w:rPr>
          <w:rFonts w:ascii="Arial" w:hAnsi="Arial" w:cs="Arial"/>
        </w:rPr>
        <w:t xml:space="preserve">A key purpose of this principle is to ensure that </w:t>
      </w:r>
      <w:r w:rsidR="00126B8C" w:rsidRPr="00E440BE">
        <w:rPr>
          <w:rFonts w:ascii="Arial" w:hAnsi="Arial" w:cs="Arial"/>
        </w:rPr>
        <w:t xml:space="preserve">no single creditor </w:t>
      </w:r>
      <w:proofErr w:type="gramStart"/>
      <w:r w:rsidR="00126B8C" w:rsidRPr="00E440BE">
        <w:rPr>
          <w:rFonts w:ascii="Arial" w:hAnsi="Arial" w:cs="Arial"/>
        </w:rPr>
        <w:t>takes action</w:t>
      </w:r>
      <w:proofErr w:type="gramEnd"/>
      <w:r w:rsidR="00126B8C" w:rsidRPr="00E440BE">
        <w:rPr>
          <w:rFonts w:ascii="Arial" w:hAnsi="Arial" w:cs="Arial"/>
        </w:rPr>
        <w:t xml:space="preserve"> for their own benefit or purpose</w:t>
      </w:r>
      <w:r w:rsidR="00727540" w:rsidRPr="00E440BE">
        <w:rPr>
          <w:rFonts w:ascii="Arial" w:hAnsi="Arial" w:cs="Arial"/>
        </w:rPr>
        <w:t xml:space="preserve"> while the parties are trying to seek a consensual way forward. This principle protects both the debtor (comfort that their attempts are not being undermined) and the creditors (comfort </w:t>
      </w:r>
      <w:r w:rsidR="00727540" w:rsidRPr="00E440BE">
        <w:rPr>
          <w:rFonts w:ascii="Arial" w:hAnsi="Arial" w:cs="Arial"/>
        </w:rPr>
        <w:lastRenderedPageBreak/>
        <w:t xml:space="preserve">that </w:t>
      </w:r>
      <w:r w:rsidR="001344DB" w:rsidRPr="00E440BE">
        <w:rPr>
          <w:rFonts w:ascii="Arial" w:hAnsi="Arial" w:cs="Arial"/>
        </w:rPr>
        <w:t>their interests are not being prejudiced while good faith negotiations continue for the benefit of all</w:t>
      </w:r>
      <w:r w:rsidR="00727540" w:rsidRPr="00E440BE">
        <w:rPr>
          <w:rFonts w:ascii="Arial" w:hAnsi="Arial" w:cs="Arial"/>
        </w:rPr>
        <w:t>)</w:t>
      </w:r>
      <w:r w:rsidR="001344DB" w:rsidRPr="00E440BE">
        <w:rPr>
          <w:rFonts w:ascii="Arial" w:hAnsi="Arial" w:cs="Arial"/>
        </w:rPr>
        <w:t>.</w:t>
      </w:r>
    </w:p>
    <w:p w14:paraId="610F8909" w14:textId="77777777" w:rsidR="00A17F7F" w:rsidRPr="00E440BE" w:rsidRDefault="00A17F7F" w:rsidP="00FC5510">
      <w:pPr>
        <w:spacing w:after="0" w:line="240" w:lineRule="auto"/>
        <w:jc w:val="both"/>
        <w:rPr>
          <w:rFonts w:ascii="Arial" w:hAnsi="Arial" w:cs="Arial"/>
        </w:rPr>
      </w:pPr>
    </w:p>
    <w:p w14:paraId="6562B9AB" w14:textId="3F876FC0" w:rsidR="00BA728E" w:rsidRPr="00E440BE" w:rsidRDefault="00CC6041" w:rsidP="00FC5510">
      <w:pPr>
        <w:spacing w:after="0" w:line="240" w:lineRule="auto"/>
        <w:jc w:val="both"/>
        <w:rPr>
          <w:rFonts w:ascii="Arial" w:hAnsi="Arial" w:cs="Arial"/>
        </w:rPr>
      </w:pPr>
      <w:r w:rsidRPr="00E440BE">
        <w:rPr>
          <w:rFonts w:ascii="Arial" w:hAnsi="Arial" w:cs="Arial"/>
        </w:rPr>
        <w:t>E</w:t>
      </w:r>
      <w:r w:rsidR="00FC5F1E" w:rsidRPr="00E440BE">
        <w:rPr>
          <w:rFonts w:ascii="Arial" w:hAnsi="Arial" w:cs="Arial"/>
        </w:rPr>
        <w:t xml:space="preserve">ach of the </w:t>
      </w:r>
      <w:r w:rsidR="00D7632A" w:rsidRPr="00E440BE">
        <w:rPr>
          <w:rFonts w:ascii="Arial" w:hAnsi="Arial" w:cs="Arial"/>
        </w:rPr>
        <w:t>Bank</w:t>
      </w:r>
      <w:r w:rsidR="00FC5F1E" w:rsidRPr="00E440BE">
        <w:rPr>
          <w:rFonts w:ascii="Arial" w:hAnsi="Arial" w:cs="Arial"/>
        </w:rPr>
        <w:t xml:space="preserve">s refrained from taking any steps to </w:t>
      </w:r>
      <w:r w:rsidRPr="00E440BE">
        <w:rPr>
          <w:rFonts w:ascii="Arial" w:hAnsi="Arial" w:cs="Arial"/>
        </w:rPr>
        <w:t>enforce their claims during the standstill period</w:t>
      </w:r>
      <w:r w:rsidR="00C42FE5" w:rsidRPr="00E440BE">
        <w:rPr>
          <w:rFonts w:ascii="Arial" w:hAnsi="Arial" w:cs="Arial"/>
        </w:rPr>
        <w:t xml:space="preserve">. However, </w:t>
      </w:r>
      <w:r w:rsidR="006E7B96" w:rsidRPr="00E440BE">
        <w:rPr>
          <w:rFonts w:ascii="Arial" w:hAnsi="Arial" w:cs="Arial"/>
        </w:rPr>
        <w:t xml:space="preserve">in the period prior to the SA, </w:t>
      </w:r>
      <w:r w:rsidR="00D2678B" w:rsidRPr="00E440BE">
        <w:rPr>
          <w:rFonts w:ascii="Arial" w:hAnsi="Arial" w:cs="Arial"/>
        </w:rPr>
        <w:t>it is arguable that Banks C and D were breaching this principle</w:t>
      </w:r>
      <w:r w:rsidR="00284C4C" w:rsidRPr="00E440BE">
        <w:rPr>
          <w:rFonts w:ascii="Arial" w:hAnsi="Arial" w:cs="Arial"/>
        </w:rPr>
        <w:t xml:space="preserve">. This again lends support to the proposition that the </w:t>
      </w:r>
      <w:r w:rsidR="00795F61" w:rsidRPr="00E440BE">
        <w:rPr>
          <w:rFonts w:ascii="Arial" w:hAnsi="Arial" w:cs="Arial"/>
        </w:rPr>
        <w:t>SA may have been more effective had it been entered into earlier.</w:t>
      </w:r>
    </w:p>
    <w:p w14:paraId="5539004D" w14:textId="77777777" w:rsidR="00EC4D01" w:rsidRPr="00E440BE" w:rsidRDefault="00EC4D01" w:rsidP="00FC5510">
      <w:pPr>
        <w:spacing w:after="0" w:line="240" w:lineRule="auto"/>
        <w:jc w:val="both"/>
        <w:rPr>
          <w:rFonts w:ascii="Arial" w:hAnsi="Arial" w:cs="Arial"/>
        </w:rPr>
      </w:pPr>
    </w:p>
    <w:p w14:paraId="11836857" w14:textId="5A493665" w:rsidR="00EC4D01" w:rsidRPr="00E440BE" w:rsidRDefault="006032BC" w:rsidP="00FC5510">
      <w:pPr>
        <w:spacing w:after="0" w:line="240" w:lineRule="auto"/>
        <w:jc w:val="both"/>
        <w:rPr>
          <w:rFonts w:ascii="Arial" w:hAnsi="Arial" w:cs="Arial"/>
        </w:rPr>
      </w:pPr>
      <w:r w:rsidRPr="00E440BE">
        <w:rPr>
          <w:rFonts w:ascii="Arial" w:hAnsi="Arial" w:cs="Arial"/>
        </w:rPr>
        <w:t xml:space="preserve">That said, </w:t>
      </w:r>
      <w:r w:rsidR="00EC4D01" w:rsidRPr="00E440BE">
        <w:rPr>
          <w:rFonts w:ascii="Arial" w:hAnsi="Arial" w:cs="Arial"/>
        </w:rPr>
        <w:t xml:space="preserve">even before the SA was </w:t>
      </w:r>
      <w:proofErr w:type="gramStart"/>
      <w:r w:rsidR="00EC4D01" w:rsidRPr="00E440BE">
        <w:rPr>
          <w:rFonts w:ascii="Arial" w:hAnsi="Arial" w:cs="Arial"/>
        </w:rPr>
        <w:t>entered into</w:t>
      </w:r>
      <w:proofErr w:type="gramEnd"/>
      <w:r w:rsidR="00EC4D01" w:rsidRPr="00E440BE">
        <w:rPr>
          <w:rFonts w:ascii="Arial" w:hAnsi="Arial" w:cs="Arial"/>
        </w:rPr>
        <w:t xml:space="preserve">, the </w:t>
      </w:r>
      <w:r w:rsidR="00D7632A" w:rsidRPr="00E440BE">
        <w:rPr>
          <w:rFonts w:ascii="Arial" w:hAnsi="Arial" w:cs="Arial"/>
        </w:rPr>
        <w:t>Bank</w:t>
      </w:r>
      <w:r w:rsidR="00EC4D01" w:rsidRPr="00E440BE">
        <w:rPr>
          <w:rFonts w:ascii="Arial" w:hAnsi="Arial" w:cs="Arial"/>
        </w:rPr>
        <w:t xml:space="preserve">s </w:t>
      </w:r>
      <w:r w:rsidR="00253A5D" w:rsidRPr="00E440BE">
        <w:rPr>
          <w:rFonts w:ascii="Arial" w:hAnsi="Arial" w:cs="Arial"/>
        </w:rPr>
        <w:t xml:space="preserve">were essentially operating a moratorium </w:t>
      </w:r>
      <w:r w:rsidRPr="00E440BE">
        <w:rPr>
          <w:rFonts w:ascii="Arial" w:hAnsi="Arial" w:cs="Arial"/>
        </w:rPr>
        <w:t xml:space="preserve">on their claims (as referred to on page 13 of the Statement of Principles II). </w:t>
      </w:r>
      <w:r w:rsidR="00C35C37" w:rsidRPr="00E440BE">
        <w:rPr>
          <w:rFonts w:ascii="Arial" w:hAnsi="Arial" w:cs="Arial"/>
        </w:rPr>
        <w:t xml:space="preserve">The fact that the </w:t>
      </w:r>
      <w:r w:rsidR="00D7632A" w:rsidRPr="00E440BE">
        <w:rPr>
          <w:rFonts w:ascii="Arial" w:hAnsi="Arial" w:cs="Arial"/>
        </w:rPr>
        <w:t>Bank</w:t>
      </w:r>
      <w:r w:rsidR="00C35C37" w:rsidRPr="00E440BE">
        <w:rPr>
          <w:rFonts w:ascii="Arial" w:hAnsi="Arial" w:cs="Arial"/>
        </w:rPr>
        <w:t xml:space="preserve">s’ reticence to </w:t>
      </w:r>
      <w:proofErr w:type="gramStart"/>
      <w:r w:rsidR="00C35C37" w:rsidRPr="00E440BE">
        <w:rPr>
          <w:rFonts w:ascii="Arial" w:hAnsi="Arial" w:cs="Arial"/>
        </w:rPr>
        <w:t>take action</w:t>
      </w:r>
      <w:proofErr w:type="gramEnd"/>
      <w:r w:rsidR="00C35C37" w:rsidRPr="00E440BE">
        <w:rPr>
          <w:rFonts w:ascii="Arial" w:hAnsi="Arial" w:cs="Arial"/>
        </w:rPr>
        <w:t xml:space="preserve"> was linked to concerns regarding the enforceability of their security does not diminish the fact that the benefits sought to be derived </w:t>
      </w:r>
      <w:r w:rsidR="00607E3C" w:rsidRPr="00E440BE">
        <w:rPr>
          <w:rFonts w:ascii="Arial" w:hAnsi="Arial" w:cs="Arial"/>
        </w:rPr>
        <w:t>by adherence to this principle were nonetheless being obtained.</w:t>
      </w:r>
    </w:p>
    <w:p w14:paraId="5DBA778D" w14:textId="77777777" w:rsidR="00F42C2B" w:rsidRPr="00E440BE" w:rsidRDefault="00F42C2B" w:rsidP="00FC5510">
      <w:pPr>
        <w:spacing w:after="0" w:line="240" w:lineRule="auto"/>
        <w:jc w:val="both"/>
        <w:rPr>
          <w:rFonts w:ascii="Arial" w:hAnsi="Arial" w:cs="Arial"/>
        </w:rPr>
      </w:pPr>
    </w:p>
    <w:p w14:paraId="5AC146FB" w14:textId="6BCAF08F" w:rsidR="008D21EA" w:rsidRPr="00E440BE" w:rsidRDefault="008D21EA" w:rsidP="00FC5510">
      <w:pPr>
        <w:keepNext/>
        <w:spacing w:after="0" w:line="240" w:lineRule="auto"/>
        <w:jc w:val="both"/>
        <w:rPr>
          <w:rFonts w:ascii="Arial" w:hAnsi="Arial" w:cs="Arial"/>
          <w:b/>
          <w:bCs/>
        </w:rPr>
      </w:pPr>
      <w:r w:rsidRPr="00E440BE">
        <w:rPr>
          <w:rFonts w:ascii="Arial" w:hAnsi="Arial" w:cs="Arial"/>
          <w:b/>
          <w:bCs/>
        </w:rPr>
        <w:t xml:space="preserve">Principle 3: The debtor refrains from any action that may jeopardize the proceeds for the </w:t>
      </w:r>
      <w:proofErr w:type="gramStart"/>
      <w:r w:rsidRPr="00E440BE">
        <w:rPr>
          <w:rFonts w:ascii="Arial" w:hAnsi="Arial" w:cs="Arial"/>
          <w:b/>
          <w:bCs/>
        </w:rPr>
        <w:t>creditors</w:t>
      </w:r>
      <w:proofErr w:type="gramEnd"/>
    </w:p>
    <w:p w14:paraId="1552D3D1" w14:textId="77777777" w:rsidR="008D21EA" w:rsidRPr="00E440BE" w:rsidRDefault="008D21EA" w:rsidP="00FC5510">
      <w:pPr>
        <w:keepNext/>
        <w:spacing w:after="0" w:line="240" w:lineRule="auto"/>
        <w:jc w:val="both"/>
        <w:rPr>
          <w:rFonts w:ascii="Arial" w:hAnsi="Arial" w:cs="Arial"/>
        </w:rPr>
      </w:pPr>
    </w:p>
    <w:p w14:paraId="1C2B89D1" w14:textId="509C73DA" w:rsidR="00BC7162" w:rsidRPr="00E440BE" w:rsidRDefault="00BC7162" w:rsidP="00FC5510">
      <w:pPr>
        <w:keepNext/>
        <w:spacing w:after="0" w:line="240" w:lineRule="auto"/>
        <w:jc w:val="both"/>
        <w:rPr>
          <w:rFonts w:ascii="Arial" w:hAnsi="Arial" w:cs="Arial"/>
        </w:rPr>
      </w:pPr>
      <w:r w:rsidRPr="00E440BE">
        <w:rPr>
          <w:rFonts w:ascii="Arial" w:hAnsi="Arial" w:cs="Arial"/>
        </w:rPr>
        <w:t xml:space="preserve">This principle is basically the other side of the coin to principle 2. Here, the focus is on the debtor </w:t>
      </w:r>
      <w:r w:rsidR="0061567E" w:rsidRPr="00E440BE">
        <w:rPr>
          <w:rFonts w:ascii="Arial" w:hAnsi="Arial" w:cs="Arial"/>
        </w:rPr>
        <w:t>not taking any destructive action.</w:t>
      </w:r>
    </w:p>
    <w:p w14:paraId="7DC6B098" w14:textId="77777777" w:rsidR="00BC7162" w:rsidRPr="00E440BE" w:rsidRDefault="00BC7162" w:rsidP="00FC5510">
      <w:pPr>
        <w:keepNext/>
        <w:spacing w:after="0" w:line="240" w:lineRule="auto"/>
        <w:jc w:val="both"/>
        <w:rPr>
          <w:rFonts w:ascii="Arial" w:hAnsi="Arial" w:cs="Arial"/>
        </w:rPr>
      </w:pPr>
    </w:p>
    <w:p w14:paraId="6A986B36" w14:textId="77D8DFBD" w:rsidR="00795F61" w:rsidRPr="00E440BE" w:rsidRDefault="000817F4" w:rsidP="00FC5510">
      <w:pPr>
        <w:spacing w:after="0" w:line="240" w:lineRule="auto"/>
        <w:jc w:val="both"/>
        <w:rPr>
          <w:rFonts w:ascii="Arial" w:hAnsi="Arial" w:cs="Arial"/>
        </w:rPr>
      </w:pPr>
      <w:r w:rsidRPr="00E440BE">
        <w:rPr>
          <w:rFonts w:ascii="Arial" w:hAnsi="Arial" w:cs="Arial"/>
        </w:rPr>
        <w:t xml:space="preserve">Assuming that the sale of surplus assets </w:t>
      </w:r>
      <w:r w:rsidR="004C7CAA" w:rsidRPr="00E440BE">
        <w:rPr>
          <w:rFonts w:ascii="Arial" w:hAnsi="Arial" w:cs="Arial"/>
        </w:rPr>
        <w:t xml:space="preserve">around October 2014 was completed at market value, </w:t>
      </w:r>
      <w:r w:rsidR="00C56D94" w:rsidRPr="00E440BE">
        <w:rPr>
          <w:rFonts w:ascii="Arial" w:hAnsi="Arial" w:cs="Arial"/>
        </w:rPr>
        <w:t xml:space="preserve">there is no </w:t>
      </w:r>
      <w:r w:rsidR="00784A85" w:rsidRPr="00E440BE">
        <w:rPr>
          <w:rFonts w:ascii="Arial" w:hAnsi="Arial" w:cs="Arial"/>
        </w:rPr>
        <w:t>evidence to suggest that this principle was not adhered to.</w:t>
      </w:r>
    </w:p>
    <w:p w14:paraId="2155032E" w14:textId="77777777" w:rsidR="00795F61" w:rsidRPr="00E440BE" w:rsidRDefault="00795F61" w:rsidP="00FC5510">
      <w:pPr>
        <w:spacing w:after="0" w:line="240" w:lineRule="auto"/>
        <w:jc w:val="both"/>
        <w:rPr>
          <w:rFonts w:ascii="Arial" w:hAnsi="Arial" w:cs="Arial"/>
        </w:rPr>
      </w:pPr>
    </w:p>
    <w:p w14:paraId="364D0393" w14:textId="595EB692" w:rsidR="008D21EA" w:rsidRPr="00E440BE" w:rsidRDefault="008D21EA" w:rsidP="00FC5510">
      <w:pPr>
        <w:spacing w:after="0" w:line="240" w:lineRule="auto"/>
        <w:jc w:val="both"/>
        <w:rPr>
          <w:rFonts w:ascii="Arial" w:hAnsi="Arial" w:cs="Arial"/>
          <w:b/>
          <w:bCs/>
        </w:rPr>
      </w:pPr>
      <w:r w:rsidRPr="00E440BE">
        <w:rPr>
          <w:rFonts w:ascii="Arial" w:hAnsi="Arial" w:cs="Arial"/>
          <w:b/>
          <w:bCs/>
        </w:rPr>
        <w:t>Principle 4: Creditor committees are set up, if so required</w:t>
      </w:r>
    </w:p>
    <w:p w14:paraId="3BE61C3F" w14:textId="77777777" w:rsidR="008D21EA" w:rsidRPr="00E440BE" w:rsidRDefault="008D21EA" w:rsidP="00FC5510">
      <w:pPr>
        <w:spacing w:after="0" w:line="240" w:lineRule="auto"/>
        <w:jc w:val="both"/>
        <w:rPr>
          <w:rFonts w:ascii="Arial" w:hAnsi="Arial" w:cs="Arial"/>
        </w:rPr>
      </w:pPr>
    </w:p>
    <w:p w14:paraId="71613AE0" w14:textId="57499590" w:rsidR="00370580" w:rsidRPr="00E440BE" w:rsidRDefault="007074A5" w:rsidP="00FC5510">
      <w:pPr>
        <w:spacing w:after="0" w:line="240" w:lineRule="auto"/>
        <w:jc w:val="both"/>
        <w:rPr>
          <w:rFonts w:ascii="Arial" w:hAnsi="Arial" w:cs="Arial"/>
        </w:rPr>
      </w:pPr>
      <w:r w:rsidRPr="00E440BE">
        <w:rPr>
          <w:rFonts w:ascii="Arial" w:hAnsi="Arial" w:cs="Arial"/>
        </w:rPr>
        <w:t xml:space="preserve">The underlying rationale to this principle appears to be </w:t>
      </w:r>
      <w:r w:rsidR="00B06192" w:rsidRPr="00E440BE">
        <w:rPr>
          <w:rFonts w:ascii="Arial" w:hAnsi="Arial" w:cs="Arial"/>
        </w:rPr>
        <w:t xml:space="preserve">efficient and </w:t>
      </w:r>
      <w:r w:rsidR="009A11EB" w:rsidRPr="00E440BE">
        <w:rPr>
          <w:rFonts w:ascii="Arial" w:hAnsi="Arial" w:cs="Arial"/>
        </w:rPr>
        <w:t>cost-effective</w:t>
      </w:r>
      <w:r w:rsidR="00B06192" w:rsidRPr="00E440BE">
        <w:rPr>
          <w:rFonts w:ascii="Arial" w:hAnsi="Arial" w:cs="Arial"/>
        </w:rPr>
        <w:t xml:space="preserve"> </w:t>
      </w:r>
      <w:r w:rsidR="002E586B" w:rsidRPr="00E440BE">
        <w:rPr>
          <w:rFonts w:ascii="Arial" w:hAnsi="Arial" w:cs="Arial"/>
        </w:rPr>
        <w:t xml:space="preserve">communication and negotiation </w:t>
      </w:r>
      <w:r w:rsidR="00B06192" w:rsidRPr="00E440BE">
        <w:rPr>
          <w:rFonts w:ascii="Arial" w:hAnsi="Arial" w:cs="Arial"/>
        </w:rPr>
        <w:t>been the debtor and the different classes of creditors.</w:t>
      </w:r>
    </w:p>
    <w:p w14:paraId="64CE4D0B" w14:textId="77777777" w:rsidR="00B06192" w:rsidRPr="00E440BE" w:rsidRDefault="00B06192" w:rsidP="00FC5510">
      <w:pPr>
        <w:spacing w:after="0" w:line="240" w:lineRule="auto"/>
        <w:jc w:val="both"/>
        <w:rPr>
          <w:rFonts w:ascii="Arial" w:hAnsi="Arial" w:cs="Arial"/>
        </w:rPr>
      </w:pPr>
    </w:p>
    <w:p w14:paraId="7F1AB815" w14:textId="08615D55" w:rsidR="00B06192" w:rsidRPr="00E440BE" w:rsidRDefault="00B06192" w:rsidP="00FC5510">
      <w:pPr>
        <w:spacing w:after="0" w:line="240" w:lineRule="auto"/>
        <w:jc w:val="both"/>
        <w:rPr>
          <w:rFonts w:ascii="Arial" w:hAnsi="Arial" w:cs="Arial"/>
        </w:rPr>
      </w:pPr>
      <w:r w:rsidRPr="00E440BE">
        <w:rPr>
          <w:rFonts w:ascii="Arial" w:hAnsi="Arial" w:cs="Arial"/>
        </w:rPr>
        <w:t xml:space="preserve">For </w:t>
      </w:r>
      <w:r w:rsidR="00F75107" w:rsidRPr="00E440BE">
        <w:rPr>
          <w:rFonts w:ascii="Arial" w:hAnsi="Arial" w:cs="Arial"/>
          <w:lang/>
        </w:rPr>
        <w:t>the G</w:t>
      </w:r>
      <w:r w:rsidR="00CF0A7E" w:rsidRPr="00E440BE">
        <w:rPr>
          <w:rFonts w:ascii="Arial" w:hAnsi="Arial" w:cs="Arial"/>
          <w:lang/>
        </w:rPr>
        <w:t>r</w:t>
      </w:r>
      <w:r w:rsidR="00F75107" w:rsidRPr="00E440BE">
        <w:rPr>
          <w:rFonts w:ascii="Arial" w:hAnsi="Arial" w:cs="Arial"/>
          <w:lang/>
        </w:rPr>
        <w:t>oup</w:t>
      </w:r>
      <w:r w:rsidRPr="00E440BE">
        <w:rPr>
          <w:rFonts w:ascii="Arial" w:hAnsi="Arial" w:cs="Arial"/>
        </w:rPr>
        <w:t>, the</w:t>
      </w:r>
      <w:r w:rsidR="009A11EB" w:rsidRPr="00E440BE">
        <w:rPr>
          <w:rFonts w:ascii="Arial" w:hAnsi="Arial" w:cs="Arial"/>
        </w:rPr>
        <w:t xml:space="preserve">re </w:t>
      </w:r>
      <w:r w:rsidR="00E80A15" w:rsidRPr="00E440BE">
        <w:rPr>
          <w:rFonts w:ascii="Arial" w:hAnsi="Arial" w:cs="Arial"/>
        </w:rPr>
        <w:t>a</w:t>
      </w:r>
      <w:r w:rsidR="00EB2053" w:rsidRPr="00E440BE">
        <w:rPr>
          <w:rFonts w:ascii="Arial" w:hAnsi="Arial" w:cs="Arial"/>
        </w:rPr>
        <w:t>re a limited number of creditors,</w:t>
      </w:r>
      <w:r w:rsidR="002A7A37" w:rsidRPr="00E440BE">
        <w:rPr>
          <w:rFonts w:ascii="Arial" w:hAnsi="Arial" w:cs="Arial"/>
        </w:rPr>
        <w:t xml:space="preserve"> all of whom are sophisticated operat</w:t>
      </w:r>
      <w:r w:rsidR="005061D4" w:rsidRPr="00E440BE">
        <w:rPr>
          <w:rFonts w:ascii="Arial" w:hAnsi="Arial" w:cs="Arial"/>
        </w:rPr>
        <w:t xml:space="preserve">ors. </w:t>
      </w:r>
      <w:r w:rsidR="008639AB" w:rsidRPr="00E440BE">
        <w:rPr>
          <w:rFonts w:ascii="Arial" w:hAnsi="Arial" w:cs="Arial"/>
        </w:rPr>
        <w:t xml:space="preserve">On one view, </w:t>
      </w:r>
      <w:r w:rsidR="00F35105" w:rsidRPr="00E440BE">
        <w:rPr>
          <w:rFonts w:ascii="Arial" w:hAnsi="Arial" w:cs="Arial"/>
        </w:rPr>
        <w:t xml:space="preserve">and certainly from the </w:t>
      </w:r>
      <w:r w:rsidR="00B968C5" w:rsidRPr="00E440BE">
        <w:rPr>
          <w:rFonts w:ascii="Arial" w:hAnsi="Arial" w:cs="Arial"/>
        </w:rPr>
        <w:t xml:space="preserve">creditors’ </w:t>
      </w:r>
      <w:r w:rsidR="00CF0A7E" w:rsidRPr="00E440BE">
        <w:rPr>
          <w:rFonts w:ascii="Arial" w:hAnsi="Arial" w:cs="Arial"/>
          <w:lang/>
        </w:rPr>
        <w:t>perspective</w:t>
      </w:r>
      <w:r w:rsidR="00B968C5" w:rsidRPr="00E440BE">
        <w:rPr>
          <w:rFonts w:ascii="Arial" w:hAnsi="Arial" w:cs="Arial"/>
        </w:rPr>
        <w:t xml:space="preserve">, </w:t>
      </w:r>
      <w:r w:rsidR="008639AB" w:rsidRPr="00E440BE">
        <w:rPr>
          <w:rFonts w:ascii="Arial" w:hAnsi="Arial" w:cs="Arial"/>
        </w:rPr>
        <w:t xml:space="preserve">there </w:t>
      </w:r>
      <w:r w:rsidR="000673B8" w:rsidRPr="00E440BE">
        <w:rPr>
          <w:rFonts w:ascii="Arial" w:hAnsi="Arial" w:cs="Arial"/>
        </w:rPr>
        <w:t xml:space="preserve">was </w:t>
      </w:r>
      <w:r w:rsidR="00CF0A7E" w:rsidRPr="00E440BE">
        <w:rPr>
          <w:rFonts w:ascii="Arial" w:hAnsi="Arial" w:cs="Arial"/>
          <w:lang/>
        </w:rPr>
        <w:t>initially</w:t>
      </w:r>
      <w:r w:rsidR="000673B8" w:rsidRPr="00E440BE">
        <w:rPr>
          <w:rFonts w:ascii="Arial" w:hAnsi="Arial" w:cs="Arial"/>
        </w:rPr>
        <w:t xml:space="preserve"> limited benefit in appointing a </w:t>
      </w:r>
      <w:proofErr w:type="spellStart"/>
      <w:r w:rsidR="000673B8" w:rsidRPr="00E440BE">
        <w:rPr>
          <w:rFonts w:ascii="Arial" w:hAnsi="Arial" w:cs="Arial"/>
        </w:rPr>
        <w:t>co-ordinator</w:t>
      </w:r>
      <w:proofErr w:type="spellEnd"/>
      <w:r w:rsidR="000673B8" w:rsidRPr="00E440BE">
        <w:rPr>
          <w:rFonts w:ascii="Arial" w:hAnsi="Arial" w:cs="Arial"/>
        </w:rPr>
        <w:t xml:space="preserve">, given the </w:t>
      </w:r>
      <w:r w:rsidR="00F35105" w:rsidRPr="00E440BE">
        <w:rPr>
          <w:rFonts w:ascii="Arial" w:hAnsi="Arial" w:cs="Arial"/>
        </w:rPr>
        <w:t xml:space="preserve">associated </w:t>
      </w:r>
      <w:r w:rsidR="000673B8" w:rsidRPr="00E440BE">
        <w:rPr>
          <w:rFonts w:ascii="Arial" w:hAnsi="Arial" w:cs="Arial"/>
        </w:rPr>
        <w:t>costs a</w:t>
      </w:r>
      <w:r w:rsidR="00F35105" w:rsidRPr="00E440BE">
        <w:rPr>
          <w:rFonts w:ascii="Arial" w:hAnsi="Arial" w:cs="Arial"/>
        </w:rPr>
        <w:t xml:space="preserve">nd the need to agree </w:t>
      </w:r>
      <w:r w:rsidR="00B968C5" w:rsidRPr="00E440BE">
        <w:rPr>
          <w:rFonts w:ascii="Arial" w:hAnsi="Arial" w:cs="Arial"/>
        </w:rPr>
        <w:t xml:space="preserve">arrangements regarding the operation </w:t>
      </w:r>
      <w:r w:rsidR="0022437D" w:rsidRPr="00E440BE">
        <w:rPr>
          <w:rFonts w:ascii="Arial" w:hAnsi="Arial" w:cs="Arial"/>
        </w:rPr>
        <w:t xml:space="preserve">of any committee and limitations on the liability of the </w:t>
      </w:r>
      <w:proofErr w:type="spellStart"/>
      <w:r w:rsidR="0022437D" w:rsidRPr="00E440BE">
        <w:rPr>
          <w:rFonts w:ascii="Arial" w:hAnsi="Arial" w:cs="Arial"/>
        </w:rPr>
        <w:t>co</w:t>
      </w:r>
      <w:r w:rsidR="0022437D" w:rsidRPr="00E440BE">
        <w:rPr>
          <w:rFonts w:ascii="Arial" w:hAnsi="Arial" w:cs="Arial"/>
        </w:rPr>
        <w:noBreakHyphen/>
        <w:t>ordinator</w:t>
      </w:r>
      <w:proofErr w:type="spellEnd"/>
      <w:r w:rsidR="0022437D" w:rsidRPr="00E440BE">
        <w:rPr>
          <w:rFonts w:ascii="Arial" w:hAnsi="Arial" w:cs="Arial"/>
        </w:rPr>
        <w:t>. However, from the Comp</w:t>
      </w:r>
      <w:r w:rsidR="00333FD8" w:rsidRPr="00E440BE">
        <w:rPr>
          <w:rFonts w:ascii="Arial" w:hAnsi="Arial" w:cs="Arial"/>
        </w:rPr>
        <w:t xml:space="preserve">any’s perspective, there may have been benefits in there being a </w:t>
      </w:r>
      <w:proofErr w:type="spellStart"/>
      <w:r w:rsidR="00333FD8" w:rsidRPr="00E440BE">
        <w:rPr>
          <w:rFonts w:ascii="Arial" w:hAnsi="Arial" w:cs="Arial"/>
        </w:rPr>
        <w:t>co</w:t>
      </w:r>
      <w:r w:rsidR="00FE3FA9" w:rsidRPr="00E440BE">
        <w:rPr>
          <w:rFonts w:ascii="Arial" w:hAnsi="Arial" w:cs="Arial"/>
        </w:rPr>
        <w:noBreakHyphen/>
      </w:r>
      <w:r w:rsidR="00333FD8" w:rsidRPr="00E440BE">
        <w:rPr>
          <w:rFonts w:ascii="Arial" w:hAnsi="Arial" w:cs="Arial"/>
        </w:rPr>
        <w:t>ordinator</w:t>
      </w:r>
      <w:proofErr w:type="spellEnd"/>
      <w:r w:rsidR="006A6BF8">
        <w:rPr>
          <w:rFonts w:ascii="Arial" w:hAnsi="Arial" w:cs="Arial"/>
          <w:lang/>
        </w:rPr>
        <w:t xml:space="preserve"> (subject to costs)</w:t>
      </w:r>
      <w:r w:rsidR="00333FD8" w:rsidRPr="00E440BE">
        <w:rPr>
          <w:rFonts w:ascii="Arial" w:hAnsi="Arial" w:cs="Arial"/>
        </w:rPr>
        <w:t xml:space="preserve">. This </w:t>
      </w:r>
      <w:r w:rsidR="00D861A1" w:rsidRPr="00E440BE">
        <w:rPr>
          <w:rFonts w:ascii="Arial" w:hAnsi="Arial" w:cs="Arial"/>
        </w:rPr>
        <w:t>c</w:t>
      </w:r>
      <w:r w:rsidR="00333FD8" w:rsidRPr="00E440BE">
        <w:rPr>
          <w:rFonts w:ascii="Arial" w:hAnsi="Arial" w:cs="Arial"/>
        </w:rPr>
        <w:t>ould have enabled the</w:t>
      </w:r>
      <w:r w:rsidR="00D861A1" w:rsidRPr="00E440BE">
        <w:rPr>
          <w:rFonts w:ascii="Arial" w:hAnsi="Arial" w:cs="Arial"/>
        </w:rPr>
        <w:t xml:space="preserve"> </w:t>
      </w:r>
      <w:proofErr w:type="spellStart"/>
      <w:r w:rsidR="00D861A1" w:rsidRPr="00E440BE">
        <w:rPr>
          <w:rFonts w:ascii="Arial" w:hAnsi="Arial" w:cs="Arial"/>
        </w:rPr>
        <w:t>co-ordinator</w:t>
      </w:r>
      <w:proofErr w:type="spellEnd"/>
      <w:r w:rsidR="00D861A1" w:rsidRPr="00E440BE">
        <w:rPr>
          <w:rFonts w:ascii="Arial" w:hAnsi="Arial" w:cs="Arial"/>
        </w:rPr>
        <w:t xml:space="preserve"> to deal with the brunt o</w:t>
      </w:r>
      <w:r w:rsidR="002943A5" w:rsidRPr="00E440BE">
        <w:rPr>
          <w:rFonts w:ascii="Arial" w:hAnsi="Arial" w:cs="Arial"/>
        </w:rPr>
        <w:t xml:space="preserve">f the disagreement between the </w:t>
      </w:r>
      <w:r w:rsidR="00D7632A" w:rsidRPr="00E440BE">
        <w:rPr>
          <w:rFonts w:ascii="Arial" w:hAnsi="Arial" w:cs="Arial"/>
        </w:rPr>
        <w:t>Bank</w:t>
      </w:r>
      <w:r w:rsidR="002943A5" w:rsidRPr="00E440BE">
        <w:rPr>
          <w:rFonts w:ascii="Arial" w:hAnsi="Arial" w:cs="Arial"/>
        </w:rPr>
        <w:t xml:space="preserve">s, and to seek to </w:t>
      </w:r>
      <w:r w:rsidR="002A6AE7" w:rsidRPr="00E440BE">
        <w:rPr>
          <w:rFonts w:ascii="Arial" w:hAnsi="Arial" w:cs="Arial"/>
        </w:rPr>
        <w:t xml:space="preserve">find a consensual position before </w:t>
      </w:r>
      <w:r w:rsidR="009C308E" w:rsidRPr="00E440BE">
        <w:rPr>
          <w:rFonts w:ascii="Arial" w:hAnsi="Arial" w:cs="Arial"/>
        </w:rPr>
        <w:t>presenting that view to the Company</w:t>
      </w:r>
      <w:r w:rsidR="002A6AE7" w:rsidRPr="00E440BE">
        <w:rPr>
          <w:rFonts w:ascii="Arial" w:hAnsi="Arial" w:cs="Arial"/>
        </w:rPr>
        <w:t xml:space="preserve">. </w:t>
      </w:r>
      <w:r w:rsidR="00D17C63" w:rsidRPr="00E440BE">
        <w:rPr>
          <w:rFonts w:ascii="Arial" w:hAnsi="Arial" w:cs="Arial"/>
          <w:lang/>
        </w:rPr>
        <w:t>Further, the benefit to the creditors would have been</w:t>
      </w:r>
      <w:r w:rsidR="002A6AE7" w:rsidRPr="00E440BE">
        <w:rPr>
          <w:rFonts w:ascii="Arial" w:hAnsi="Arial" w:cs="Arial"/>
        </w:rPr>
        <w:t xml:space="preserve"> (a) ensuring that the</w:t>
      </w:r>
      <w:r w:rsidR="00D17C63" w:rsidRPr="00E440BE">
        <w:rPr>
          <w:rFonts w:ascii="Arial" w:hAnsi="Arial" w:cs="Arial"/>
          <w:lang/>
        </w:rPr>
        <w:t>ir</w:t>
      </w:r>
      <w:r w:rsidR="00E416C4" w:rsidRPr="00E440BE">
        <w:rPr>
          <w:rFonts w:ascii="Arial" w:hAnsi="Arial" w:cs="Arial"/>
          <w:lang/>
        </w:rPr>
        <w:t xml:space="preserve"> </w:t>
      </w:r>
      <w:r w:rsidR="002A6AE7" w:rsidRPr="00E440BE">
        <w:rPr>
          <w:rFonts w:ascii="Arial" w:hAnsi="Arial" w:cs="Arial"/>
        </w:rPr>
        <w:t xml:space="preserve">position </w:t>
      </w:r>
      <w:r w:rsidR="009C308E" w:rsidRPr="00E440BE">
        <w:rPr>
          <w:rFonts w:ascii="Arial" w:hAnsi="Arial" w:cs="Arial"/>
        </w:rPr>
        <w:t>was presented to the Company as a united front; and (b) allowing the Company the time to focus on identifying the causes of the issues and coming up with solutions, rather than having to spend the time and resources on negotiating with the separate creditor positions.</w:t>
      </w:r>
    </w:p>
    <w:p w14:paraId="7782B919" w14:textId="77777777" w:rsidR="00370580" w:rsidRPr="00E440BE" w:rsidRDefault="00370580" w:rsidP="00FC5510">
      <w:pPr>
        <w:spacing w:after="0" w:line="240" w:lineRule="auto"/>
        <w:jc w:val="both"/>
        <w:rPr>
          <w:rFonts w:ascii="Arial" w:hAnsi="Arial" w:cs="Arial"/>
        </w:rPr>
      </w:pPr>
    </w:p>
    <w:p w14:paraId="438EFBD7" w14:textId="218EDA3B" w:rsidR="008D21EA" w:rsidRPr="00E440BE" w:rsidRDefault="008D21EA" w:rsidP="00FC5510">
      <w:pPr>
        <w:keepNext/>
        <w:spacing w:after="0" w:line="240" w:lineRule="auto"/>
        <w:jc w:val="both"/>
        <w:rPr>
          <w:rFonts w:ascii="Arial" w:hAnsi="Arial" w:cs="Arial"/>
          <w:b/>
          <w:bCs/>
        </w:rPr>
      </w:pPr>
      <w:r w:rsidRPr="00E440BE">
        <w:rPr>
          <w:rFonts w:ascii="Arial" w:hAnsi="Arial" w:cs="Arial"/>
          <w:b/>
          <w:bCs/>
        </w:rPr>
        <w:t xml:space="preserve">Principle 5: The debtor provides the creditors with relevant </w:t>
      </w:r>
      <w:proofErr w:type="gramStart"/>
      <w:r w:rsidRPr="00E440BE">
        <w:rPr>
          <w:rFonts w:ascii="Arial" w:hAnsi="Arial" w:cs="Arial"/>
          <w:b/>
          <w:bCs/>
        </w:rPr>
        <w:t>information</w:t>
      </w:r>
      <w:proofErr w:type="gramEnd"/>
    </w:p>
    <w:p w14:paraId="5ACB0A94" w14:textId="77777777" w:rsidR="008D21EA" w:rsidRPr="00E440BE" w:rsidRDefault="008D21EA" w:rsidP="00FC5510">
      <w:pPr>
        <w:keepNext/>
        <w:spacing w:after="0" w:line="240" w:lineRule="auto"/>
        <w:jc w:val="both"/>
        <w:rPr>
          <w:rFonts w:ascii="Arial" w:hAnsi="Arial" w:cs="Arial"/>
        </w:rPr>
      </w:pPr>
    </w:p>
    <w:p w14:paraId="6D08849F" w14:textId="5E06B462" w:rsidR="00EE0C33" w:rsidRPr="00E440BE" w:rsidRDefault="00AD24EB" w:rsidP="00FC5510">
      <w:pPr>
        <w:spacing w:after="0" w:line="240" w:lineRule="auto"/>
        <w:jc w:val="both"/>
        <w:rPr>
          <w:rFonts w:ascii="Arial" w:hAnsi="Arial" w:cs="Arial"/>
        </w:rPr>
      </w:pPr>
      <w:r w:rsidRPr="00E440BE">
        <w:rPr>
          <w:rFonts w:ascii="Arial" w:hAnsi="Arial" w:cs="Arial"/>
        </w:rPr>
        <w:t xml:space="preserve">This is an important principle to ensure that creditors are properly able to assess their position and make an informed decision as to whether to support the debtor’s proposals or whether to </w:t>
      </w:r>
      <w:r w:rsidR="00B51EA6" w:rsidRPr="00E440BE">
        <w:rPr>
          <w:rFonts w:ascii="Arial" w:hAnsi="Arial" w:cs="Arial"/>
        </w:rPr>
        <w:t>ultimately revert to enforcing their rights through formal processes.</w:t>
      </w:r>
    </w:p>
    <w:p w14:paraId="38BE5ACD" w14:textId="77777777" w:rsidR="00AD24EB" w:rsidRPr="00E440BE" w:rsidRDefault="00AD24EB" w:rsidP="00FC5510">
      <w:pPr>
        <w:spacing w:after="0" w:line="240" w:lineRule="auto"/>
        <w:jc w:val="both"/>
        <w:rPr>
          <w:rFonts w:ascii="Arial" w:hAnsi="Arial" w:cs="Arial"/>
        </w:rPr>
      </w:pPr>
    </w:p>
    <w:p w14:paraId="621AF3ED" w14:textId="3734B3E9" w:rsidR="00250EC5" w:rsidRPr="00E440BE" w:rsidRDefault="006347BE" w:rsidP="00FC5510">
      <w:pPr>
        <w:spacing w:after="0" w:line="240" w:lineRule="auto"/>
        <w:jc w:val="both"/>
        <w:rPr>
          <w:rFonts w:ascii="Arial" w:hAnsi="Arial" w:cs="Arial"/>
        </w:rPr>
      </w:pPr>
      <w:r w:rsidRPr="00E440BE">
        <w:rPr>
          <w:rFonts w:ascii="Arial" w:hAnsi="Arial" w:cs="Arial"/>
        </w:rPr>
        <w:t>I</w:t>
      </w:r>
      <w:r w:rsidR="00EE0C33" w:rsidRPr="00E440BE">
        <w:rPr>
          <w:rFonts w:ascii="Arial" w:hAnsi="Arial" w:cs="Arial"/>
        </w:rPr>
        <w:t xml:space="preserve">t is clear from the </w:t>
      </w:r>
      <w:r w:rsidR="00D7632A" w:rsidRPr="00E440BE">
        <w:rPr>
          <w:rFonts w:ascii="Arial" w:hAnsi="Arial" w:cs="Arial"/>
        </w:rPr>
        <w:t>Case Study</w:t>
      </w:r>
      <w:r w:rsidR="00EE0C33" w:rsidRPr="00E440BE">
        <w:rPr>
          <w:rFonts w:ascii="Arial" w:hAnsi="Arial" w:cs="Arial"/>
        </w:rPr>
        <w:t xml:space="preserve"> that the </w:t>
      </w:r>
      <w:r w:rsidR="00D7632A" w:rsidRPr="00E440BE">
        <w:rPr>
          <w:rFonts w:ascii="Arial" w:hAnsi="Arial" w:cs="Arial"/>
        </w:rPr>
        <w:t>Bank</w:t>
      </w:r>
      <w:r w:rsidR="00EE0C33" w:rsidRPr="00E440BE">
        <w:rPr>
          <w:rFonts w:ascii="Arial" w:hAnsi="Arial" w:cs="Arial"/>
        </w:rPr>
        <w:t>s were displeased with the provision of information to them.</w:t>
      </w:r>
      <w:r w:rsidR="00EE0C33" w:rsidRPr="00E440BE">
        <w:rPr>
          <w:rStyle w:val="FootnoteReference"/>
          <w:rFonts w:ascii="Arial" w:hAnsi="Arial" w:cs="Arial"/>
        </w:rPr>
        <w:footnoteReference w:id="19"/>
      </w:r>
      <w:r w:rsidR="00EE0C33" w:rsidRPr="00E440BE">
        <w:rPr>
          <w:rFonts w:ascii="Arial" w:hAnsi="Arial" w:cs="Arial"/>
        </w:rPr>
        <w:t xml:space="preserve"> </w:t>
      </w:r>
      <w:r w:rsidRPr="00E440BE">
        <w:rPr>
          <w:rFonts w:ascii="Arial" w:hAnsi="Arial" w:cs="Arial"/>
        </w:rPr>
        <w:t xml:space="preserve">However, </w:t>
      </w:r>
      <w:r w:rsidR="00EE0C33" w:rsidRPr="00E440BE">
        <w:rPr>
          <w:rFonts w:ascii="Arial" w:hAnsi="Arial" w:cs="Arial"/>
        </w:rPr>
        <w:t xml:space="preserve">the poor information flow </w:t>
      </w:r>
      <w:r w:rsidR="00751AED" w:rsidRPr="00E440BE">
        <w:rPr>
          <w:rFonts w:ascii="Arial" w:hAnsi="Arial" w:cs="Arial"/>
        </w:rPr>
        <w:t xml:space="preserve">/ changing information </w:t>
      </w:r>
      <w:r w:rsidRPr="00E440BE">
        <w:rPr>
          <w:rFonts w:ascii="Arial" w:hAnsi="Arial" w:cs="Arial"/>
        </w:rPr>
        <w:t>appears to be</w:t>
      </w:r>
      <w:r w:rsidR="00EE0C33" w:rsidRPr="00E440BE">
        <w:rPr>
          <w:rFonts w:ascii="Arial" w:hAnsi="Arial" w:cs="Arial"/>
        </w:rPr>
        <w:t xml:space="preserve"> a </w:t>
      </w:r>
      <w:r w:rsidR="00EE0C33" w:rsidRPr="00E440BE">
        <w:rPr>
          <w:rFonts w:ascii="Arial" w:hAnsi="Arial" w:cs="Arial"/>
        </w:rPr>
        <w:lastRenderedPageBreak/>
        <w:t>consequence of management’s own lack of understanding of the situation</w:t>
      </w:r>
      <w:r w:rsidR="00751AED" w:rsidRPr="00E440BE">
        <w:rPr>
          <w:rFonts w:ascii="Arial" w:hAnsi="Arial" w:cs="Arial"/>
        </w:rPr>
        <w:t xml:space="preserve"> rather than </w:t>
      </w:r>
      <w:r w:rsidR="004A7D39" w:rsidRPr="00E440BE">
        <w:rPr>
          <w:rFonts w:ascii="Arial" w:hAnsi="Arial" w:cs="Arial"/>
        </w:rPr>
        <w:t xml:space="preserve">through any intentional </w:t>
      </w:r>
      <w:r w:rsidR="009E537F" w:rsidRPr="00E440BE">
        <w:rPr>
          <w:rFonts w:ascii="Arial" w:hAnsi="Arial" w:cs="Arial"/>
        </w:rPr>
        <w:t>limitation on the flow of information to the creditors</w:t>
      </w:r>
      <w:r w:rsidR="00EE0C33" w:rsidRPr="00E440BE">
        <w:rPr>
          <w:rFonts w:ascii="Arial" w:hAnsi="Arial" w:cs="Arial"/>
        </w:rPr>
        <w:t>.</w:t>
      </w:r>
    </w:p>
    <w:p w14:paraId="73F85E49" w14:textId="77777777" w:rsidR="001C143F" w:rsidRPr="00E440BE" w:rsidRDefault="001C143F" w:rsidP="00FC5510">
      <w:pPr>
        <w:spacing w:after="0" w:line="240" w:lineRule="auto"/>
        <w:jc w:val="both"/>
        <w:rPr>
          <w:rFonts w:ascii="Arial" w:hAnsi="Arial" w:cs="Arial"/>
        </w:rPr>
      </w:pPr>
    </w:p>
    <w:p w14:paraId="0D754DDF" w14:textId="31ADD361" w:rsidR="001C143F" w:rsidRPr="00E440BE" w:rsidRDefault="001C143F" w:rsidP="00FC5510">
      <w:pPr>
        <w:spacing w:after="0" w:line="240" w:lineRule="auto"/>
        <w:jc w:val="both"/>
        <w:rPr>
          <w:rFonts w:ascii="Arial" w:hAnsi="Arial" w:cs="Arial"/>
        </w:rPr>
      </w:pPr>
      <w:r w:rsidRPr="00E440BE">
        <w:rPr>
          <w:rFonts w:ascii="Arial" w:hAnsi="Arial" w:cs="Arial"/>
        </w:rPr>
        <w:t xml:space="preserve">Potentially the situation could have been improved if the </w:t>
      </w:r>
      <w:r w:rsidR="00E84761" w:rsidRPr="00E440BE">
        <w:rPr>
          <w:rFonts w:ascii="Arial" w:hAnsi="Arial" w:cs="Arial"/>
        </w:rPr>
        <w:t xml:space="preserve">accounting firm investigating the procedures within the </w:t>
      </w:r>
      <w:r w:rsidR="00D7632A" w:rsidRPr="00E440BE">
        <w:rPr>
          <w:rFonts w:ascii="Arial" w:hAnsi="Arial" w:cs="Arial"/>
        </w:rPr>
        <w:t>Group</w:t>
      </w:r>
      <w:r w:rsidR="00E84761" w:rsidRPr="00E440BE">
        <w:rPr>
          <w:rFonts w:ascii="Arial" w:hAnsi="Arial" w:cs="Arial"/>
        </w:rPr>
        <w:t xml:space="preserve">, or the </w:t>
      </w:r>
      <w:r w:rsidR="003D57C1" w:rsidRPr="00E440BE">
        <w:rPr>
          <w:rFonts w:ascii="Arial" w:hAnsi="Arial" w:cs="Arial"/>
        </w:rPr>
        <w:t xml:space="preserve">turnaround consultants had been appointed by the creditors rather than the </w:t>
      </w:r>
      <w:r w:rsidR="00B87E42" w:rsidRPr="00E440BE">
        <w:rPr>
          <w:rFonts w:ascii="Arial" w:hAnsi="Arial" w:cs="Arial"/>
          <w:lang/>
        </w:rPr>
        <w:t>C</w:t>
      </w:r>
      <w:proofErr w:type="spellStart"/>
      <w:r w:rsidR="003D57C1" w:rsidRPr="00E440BE">
        <w:rPr>
          <w:rFonts w:ascii="Arial" w:hAnsi="Arial" w:cs="Arial"/>
        </w:rPr>
        <w:t>ompany</w:t>
      </w:r>
      <w:proofErr w:type="spellEnd"/>
      <w:r w:rsidR="003D57C1" w:rsidRPr="00E440BE">
        <w:rPr>
          <w:rFonts w:ascii="Arial" w:hAnsi="Arial" w:cs="Arial"/>
        </w:rPr>
        <w:t xml:space="preserve">. However, </w:t>
      </w:r>
      <w:proofErr w:type="gramStart"/>
      <w:r w:rsidR="003D57C1" w:rsidRPr="00E440BE">
        <w:rPr>
          <w:rFonts w:ascii="Arial" w:hAnsi="Arial" w:cs="Arial"/>
        </w:rPr>
        <w:t>i</w:t>
      </w:r>
      <w:r w:rsidR="00324627" w:rsidRPr="00E440BE">
        <w:rPr>
          <w:rFonts w:ascii="Arial" w:hAnsi="Arial" w:cs="Arial"/>
        </w:rPr>
        <w:t>n reality, if</w:t>
      </w:r>
      <w:proofErr w:type="gramEnd"/>
      <w:r w:rsidR="00324627" w:rsidRPr="00E440BE">
        <w:rPr>
          <w:rFonts w:ascii="Arial" w:hAnsi="Arial" w:cs="Arial"/>
        </w:rPr>
        <w:t xml:space="preserve"> the root cause was the </w:t>
      </w:r>
      <w:r w:rsidR="00D7632A" w:rsidRPr="00E440BE">
        <w:rPr>
          <w:rFonts w:ascii="Arial" w:hAnsi="Arial" w:cs="Arial"/>
        </w:rPr>
        <w:t>Group</w:t>
      </w:r>
      <w:r w:rsidR="00053517" w:rsidRPr="00E440BE">
        <w:rPr>
          <w:rFonts w:ascii="Arial" w:hAnsi="Arial" w:cs="Arial"/>
        </w:rPr>
        <w:t xml:space="preserve">’s own systemic and entrenched failings in the way </w:t>
      </w:r>
      <w:r w:rsidR="009276C4" w:rsidRPr="00E440BE">
        <w:rPr>
          <w:rFonts w:ascii="Arial" w:hAnsi="Arial" w:cs="Arial"/>
          <w:lang/>
        </w:rPr>
        <w:t xml:space="preserve">in which </w:t>
      </w:r>
      <w:r w:rsidR="00B87E42" w:rsidRPr="00E440BE">
        <w:rPr>
          <w:rFonts w:ascii="Arial" w:hAnsi="Arial" w:cs="Arial"/>
          <w:lang/>
        </w:rPr>
        <w:t>it</w:t>
      </w:r>
      <w:r w:rsidR="00053517" w:rsidRPr="00E440BE">
        <w:rPr>
          <w:rFonts w:ascii="Arial" w:hAnsi="Arial" w:cs="Arial"/>
        </w:rPr>
        <w:t xml:space="preserve"> was operating, the</w:t>
      </w:r>
      <w:r w:rsidR="00920BB9" w:rsidRPr="00E440BE">
        <w:rPr>
          <w:rFonts w:ascii="Arial" w:hAnsi="Arial" w:cs="Arial"/>
        </w:rPr>
        <w:t>re would be little/no material difference in the throughflow of information to the creditor</w:t>
      </w:r>
      <w:r w:rsidR="002B0B92" w:rsidRPr="00E440BE">
        <w:rPr>
          <w:rFonts w:ascii="Arial" w:hAnsi="Arial" w:cs="Arial"/>
        </w:rPr>
        <w:t>s based solely on whose appointee was undertaking the investigative work.</w:t>
      </w:r>
    </w:p>
    <w:p w14:paraId="67536C7D" w14:textId="77777777" w:rsidR="00250EC5" w:rsidRPr="00E440BE" w:rsidRDefault="00250EC5" w:rsidP="00FC5510">
      <w:pPr>
        <w:spacing w:after="0" w:line="240" w:lineRule="auto"/>
        <w:jc w:val="both"/>
        <w:rPr>
          <w:rFonts w:ascii="Arial" w:hAnsi="Arial" w:cs="Arial"/>
        </w:rPr>
      </w:pPr>
    </w:p>
    <w:p w14:paraId="5F602DFC" w14:textId="0056BF16" w:rsidR="008D21EA" w:rsidRPr="00E440BE" w:rsidRDefault="008D21EA" w:rsidP="00FC5510">
      <w:pPr>
        <w:keepNext/>
        <w:spacing w:after="0" w:line="240" w:lineRule="auto"/>
        <w:jc w:val="both"/>
        <w:rPr>
          <w:rFonts w:ascii="Arial" w:hAnsi="Arial" w:cs="Arial"/>
          <w:b/>
          <w:bCs/>
        </w:rPr>
      </w:pPr>
      <w:r w:rsidRPr="00E440BE">
        <w:rPr>
          <w:rFonts w:ascii="Arial" w:hAnsi="Arial" w:cs="Arial"/>
          <w:b/>
          <w:bCs/>
        </w:rPr>
        <w:t xml:space="preserve">Principle 6: Reorganization proposals are made in the light of the applicable </w:t>
      </w:r>
      <w:proofErr w:type="gramStart"/>
      <w:r w:rsidRPr="00E440BE">
        <w:rPr>
          <w:rFonts w:ascii="Arial" w:hAnsi="Arial" w:cs="Arial"/>
          <w:b/>
          <w:bCs/>
        </w:rPr>
        <w:t>law</w:t>
      </w:r>
      <w:proofErr w:type="gramEnd"/>
    </w:p>
    <w:p w14:paraId="2D6B2D5C" w14:textId="77777777" w:rsidR="008D21EA" w:rsidRPr="00E440BE" w:rsidRDefault="008D21EA" w:rsidP="00FC5510">
      <w:pPr>
        <w:keepNext/>
        <w:spacing w:after="0" w:line="240" w:lineRule="auto"/>
        <w:jc w:val="both"/>
        <w:rPr>
          <w:rFonts w:ascii="Arial" w:hAnsi="Arial" w:cs="Arial"/>
        </w:rPr>
      </w:pPr>
    </w:p>
    <w:p w14:paraId="7595201F" w14:textId="6FA0560A" w:rsidR="00250EC5" w:rsidRPr="00E440BE" w:rsidRDefault="007D0278" w:rsidP="00FC5510">
      <w:pPr>
        <w:spacing w:after="0" w:line="240" w:lineRule="auto"/>
        <w:jc w:val="both"/>
        <w:rPr>
          <w:rFonts w:ascii="Arial" w:hAnsi="Arial" w:cs="Arial"/>
        </w:rPr>
      </w:pPr>
      <w:r w:rsidRPr="00E440BE">
        <w:rPr>
          <w:rFonts w:ascii="Arial" w:hAnsi="Arial" w:cs="Arial"/>
        </w:rPr>
        <w:t xml:space="preserve">This </w:t>
      </w:r>
      <w:r w:rsidR="0085418D" w:rsidRPr="00E440BE">
        <w:rPr>
          <w:rFonts w:ascii="Arial" w:hAnsi="Arial" w:cs="Arial"/>
        </w:rPr>
        <w:t>principle seems in essence to be an extension of principle 5</w:t>
      </w:r>
      <w:r w:rsidR="006A6BF8">
        <w:rPr>
          <w:rFonts w:ascii="Arial" w:hAnsi="Arial" w:cs="Arial"/>
          <w:lang/>
        </w:rPr>
        <w:t>, b</w:t>
      </w:r>
      <w:proofErr w:type="spellStart"/>
      <w:r w:rsidR="0085418D" w:rsidRPr="00E440BE">
        <w:rPr>
          <w:rFonts w:ascii="Arial" w:hAnsi="Arial" w:cs="Arial"/>
        </w:rPr>
        <w:t>ut</w:t>
      </w:r>
      <w:proofErr w:type="spellEnd"/>
      <w:r w:rsidR="0085418D" w:rsidRPr="00E440BE">
        <w:rPr>
          <w:rFonts w:ascii="Arial" w:hAnsi="Arial" w:cs="Arial"/>
        </w:rPr>
        <w:t xml:space="preserve"> instead of the focus being simply on the provision of necessary </w:t>
      </w:r>
      <w:r w:rsidR="00FA525A" w:rsidRPr="00E440BE">
        <w:rPr>
          <w:rFonts w:ascii="Arial" w:hAnsi="Arial" w:cs="Arial"/>
        </w:rPr>
        <w:t xml:space="preserve">information, </w:t>
      </w:r>
      <w:r w:rsidR="00070677" w:rsidRPr="00E440BE">
        <w:rPr>
          <w:rFonts w:ascii="Arial" w:hAnsi="Arial" w:cs="Arial"/>
        </w:rPr>
        <w:t xml:space="preserve">the </w:t>
      </w:r>
      <w:r w:rsidR="00FF2B52" w:rsidRPr="00E440BE">
        <w:rPr>
          <w:rFonts w:ascii="Arial" w:hAnsi="Arial" w:cs="Arial"/>
        </w:rPr>
        <w:t xml:space="preserve">key </w:t>
      </w:r>
      <w:r w:rsidR="008573C1" w:rsidRPr="00E440BE">
        <w:rPr>
          <w:rFonts w:ascii="Arial" w:hAnsi="Arial" w:cs="Arial"/>
        </w:rPr>
        <w:t>purposes</w:t>
      </w:r>
      <w:r w:rsidR="00070677" w:rsidRPr="00E440BE">
        <w:rPr>
          <w:rFonts w:ascii="Arial" w:hAnsi="Arial" w:cs="Arial"/>
        </w:rPr>
        <w:t xml:space="preserve"> </w:t>
      </w:r>
      <w:r w:rsidR="00FF2B52" w:rsidRPr="00E440BE">
        <w:rPr>
          <w:rFonts w:ascii="Arial" w:hAnsi="Arial" w:cs="Arial"/>
        </w:rPr>
        <w:t>are</w:t>
      </w:r>
      <w:r w:rsidR="00070677" w:rsidRPr="00E440BE">
        <w:rPr>
          <w:rFonts w:ascii="Arial" w:hAnsi="Arial" w:cs="Arial"/>
        </w:rPr>
        <w:t xml:space="preserve"> </w:t>
      </w:r>
      <w:r w:rsidR="00440F00" w:rsidRPr="00E440BE">
        <w:rPr>
          <w:rFonts w:ascii="Arial" w:hAnsi="Arial" w:cs="Arial"/>
        </w:rPr>
        <w:t xml:space="preserve">to ensure that </w:t>
      </w:r>
      <w:r w:rsidR="00FF2B52" w:rsidRPr="00E440BE">
        <w:rPr>
          <w:rFonts w:ascii="Arial" w:hAnsi="Arial" w:cs="Arial"/>
        </w:rPr>
        <w:t>(a)</w:t>
      </w:r>
      <w:r w:rsidR="009276C4" w:rsidRPr="00E440BE">
        <w:rPr>
          <w:rFonts w:ascii="Arial" w:hAnsi="Arial" w:cs="Arial"/>
          <w:lang/>
        </w:rPr>
        <w:t> </w:t>
      </w:r>
      <w:r w:rsidR="00440F00" w:rsidRPr="00E440BE">
        <w:rPr>
          <w:rFonts w:ascii="Arial" w:hAnsi="Arial" w:cs="Arial"/>
        </w:rPr>
        <w:t>proposals being made reflect the realities of the legal frameworks within which the parties are operating</w:t>
      </w:r>
      <w:r w:rsidR="00FF2B52" w:rsidRPr="00E440BE">
        <w:rPr>
          <w:rFonts w:ascii="Arial" w:hAnsi="Arial" w:cs="Arial"/>
        </w:rPr>
        <w:t xml:space="preserve">; and (b) </w:t>
      </w:r>
      <w:r w:rsidR="00440F00" w:rsidRPr="00E440BE">
        <w:rPr>
          <w:rFonts w:ascii="Arial" w:hAnsi="Arial" w:cs="Arial"/>
        </w:rPr>
        <w:t>in the event a compromise is reached, the parties</w:t>
      </w:r>
      <w:r w:rsidR="007C5231" w:rsidRPr="00E440BE">
        <w:rPr>
          <w:rFonts w:ascii="Arial" w:hAnsi="Arial" w:cs="Arial"/>
        </w:rPr>
        <w:t xml:space="preserve"> (both debtor and creditor)</w:t>
      </w:r>
      <w:r w:rsidR="00440F00" w:rsidRPr="00E440BE">
        <w:rPr>
          <w:rFonts w:ascii="Arial" w:hAnsi="Arial" w:cs="Arial"/>
        </w:rPr>
        <w:t xml:space="preserve"> are properly apprised of </w:t>
      </w:r>
      <w:r w:rsidR="007C5231" w:rsidRPr="00E440BE">
        <w:rPr>
          <w:rFonts w:ascii="Arial" w:hAnsi="Arial" w:cs="Arial"/>
        </w:rPr>
        <w:t>any</w:t>
      </w:r>
      <w:r w:rsidR="00440F00" w:rsidRPr="00E440BE">
        <w:rPr>
          <w:rFonts w:ascii="Arial" w:hAnsi="Arial" w:cs="Arial"/>
        </w:rPr>
        <w:t xml:space="preserve"> concessions </w:t>
      </w:r>
      <w:r w:rsidR="007C5231" w:rsidRPr="00E440BE">
        <w:rPr>
          <w:rFonts w:ascii="Arial" w:hAnsi="Arial" w:cs="Arial"/>
        </w:rPr>
        <w:t xml:space="preserve">that </w:t>
      </w:r>
      <w:r w:rsidR="00070677" w:rsidRPr="00E440BE">
        <w:rPr>
          <w:rFonts w:ascii="Arial" w:hAnsi="Arial" w:cs="Arial"/>
        </w:rPr>
        <w:t>they would be making under the turnaround proposals.</w:t>
      </w:r>
    </w:p>
    <w:p w14:paraId="4CEB4413" w14:textId="77777777" w:rsidR="00070677" w:rsidRPr="00E440BE" w:rsidRDefault="00070677" w:rsidP="00FC5510">
      <w:pPr>
        <w:spacing w:after="0" w:line="240" w:lineRule="auto"/>
        <w:jc w:val="both"/>
        <w:rPr>
          <w:rFonts w:ascii="Arial" w:hAnsi="Arial" w:cs="Arial"/>
        </w:rPr>
      </w:pPr>
    </w:p>
    <w:p w14:paraId="4BE60DE5" w14:textId="77777777" w:rsidR="000D3E86" w:rsidRDefault="0062454C" w:rsidP="00FC5510">
      <w:pPr>
        <w:spacing w:after="0" w:line="240" w:lineRule="auto"/>
        <w:jc w:val="both"/>
        <w:rPr>
          <w:rFonts w:ascii="Arial" w:hAnsi="Arial" w:cs="Arial"/>
        </w:rPr>
      </w:pPr>
      <w:r w:rsidRPr="00E440BE">
        <w:rPr>
          <w:rFonts w:ascii="Arial" w:hAnsi="Arial" w:cs="Arial"/>
        </w:rPr>
        <w:t xml:space="preserve">The </w:t>
      </w:r>
      <w:r w:rsidR="00D7632A" w:rsidRPr="00E440BE">
        <w:rPr>
          <w:rFonts w:ascii="Arial" w:hAnsi="Arial" w:cs="Arial"/>
        </w:rPr>
        <w:t>Case Study</w:t>
      </w:r>
      <w:r w:rsidRPr="00E440BE">
        <w:rPr>
          <w:rFonts w:ascii="Arial" w:hAnsi="Arial" w:cs="Arial"/>
        </w:rPr>
        <w:t xml:space="preserve"> does not </w:t>
      </w:r>
      <w:r w:rsidR="002B3D85" w:rsidRPr="00E440BE">
        <w:rPr>
          <w:rFonts w:ascii="Arial" w:hAnsi="Arial" w:cs="Arial"/>
        </w:rPr>
        <w:t xml:space="preserve">provide explicit confirmation that this principle was adhered to. To assess this, it would be necessary to </w:t>
      </w:r>
      <w:r w:rsidR="00051E53">
        <w:rPr>
          <w:rFonts w:ascii="Arial" w:hAnsi="Arial" w:cs="Arial"/>
          <w:lang/>
        </w:rPr>
        <w:t>understand</w:t>
      </w:r>
      <w:r w:rsidR="002B3D85" w:rsidRPr="00E440BE">
        <w:rPr>
          <w:rFonts w:ascii="Arial" w:hAnsi="Arial" w:cs="Arial"/>
        </w:rPr>
        <w:t xml:space="preserve"> details </w:t>
      </w:r>
      <w:r w:rsidR="00051E53">
        <w:rPr>
          <w:rFonts w:ascii="Arial" w:hAnsi="Arial" w:cs="Arial"/>
          <w:lang/>
        </w:rPr>
        <w:t>regarding</w:t>
      </w:r>
      <w:r w:rsidR="002B3D85" w:rsidRPr="00E440BE">
        <w:rPr>
          <w:rFonts w:ascii="Arial" w:hAnsi="Arial" w:cs="Arial"/>
        </w:rPr>
        <w:t xml:space="preserve"> the </w:t>
      </w:r>
      <w:r w:rsidR="00E8007F" w:rsidRPr="00E440BE">
        <w:rPr>
          <w:rFonts w:ascii="Arial" w:hAnsi="Arial" w:cs="Arial"/>
        </w:rPr>
        <w:t>structure of the debt and the security, and the rights that might be available to debtors and creditors in each of the juri</w:t>
      </w:r>
      <w:r w:rsidR="00D7632A" w:rsidRPr="00E440BE">
        <w:rPr>
          <w:rFonts w:ascii="Arial" w:hAnsi="Arial" w:cs="Arial"/>
        </w:rPr>
        <w:t>s</w:t>
      </w:r>
      <w:r w:rsidR="00E8007F" w:rsidRPr="00E440BE">
        <w:rPr>
          <w:rFonts w:ascii="Arial" w:hAnsi="Arial" w:cs="Arial"/>
        </w:rPr>
        <w:t xml:space="preserve">dictions in which </w:t>
      </w:r>
      <w:r w:rsidR="00F7358B" w:rsidRPr="00E440BE">
        <w:rPr>
          <w:rFonts w:ascii="Arial" w:hAnsi="Arial" w:cs="Arial"/>
        </w:rPr>
        <w:t xml:space="preserve">the </w:t>
      </w:r>
      <w:r w:rsidR="00D7632A" w:rsidRPr="00E440BE">
        <w:rPr>
          <w:rFonts w:ascii="Arial" w:hAnsi="Arial" w:cs="Arial"/>
        </w:rPr>
        <w:t>Group</w:t>
      </w:r>
      <w:r w:rsidR="00F7358B" w:rsidRPr="00E440BE">
        <w:rPr>
          <w:rFonts w:ascii="Arial" w:hAnsi="Arial" w:cs="Arial"/>
        </w:rPr>
        <w:t xml:space="preserve"> companies were incorporated </w:t>
      </w:r>
      <w:r w:rsidR="00C937B5" w:rsidRPr="00E440BE">
        <w:rPr>
          <w:rFonts w:ascii="Arial" w:hAnsi="Arial" w:cs="Arial"/>
          <w:lang/>
        </w:rPr>
        <w:t xml:space="preserve">and/or were </w:t>
      </w:r>
      <w:proofErr w:type="spellStart"/>
      <w:r w:rsidR="00F7358B" w:rsidRPr="00E440BE">
        <w:rPr>
          <w:rFonts w:ascii="Arial" w:hAnsi="Arial" w:cs="Arial"/>
        </w:rPr>
        <w:t>operat</w:t>
      </w:r>
      <w:proofErr w:type="spellEnd"/>
      <w:r w:rsidR="00C937B5" w:rsidRPr="00E440BE">
        <w:rPr>
          <w:rFonts w:ascii="Arial" w:hAnsi="Arial" w:cs="Arial"/>
          <w:lang/>
        </w:rPr>
        <w:t>ed</w:t>
      </w:r>
      <w:r w:rsidR="00051E53">
        <w:rPr>
          <w:rFonts w:ascii="Arial" w:hAnsi="Arial" w:cs="Arial"/>
          <w:lang/>
        </w:rPr>
        <w:t xml:space="preserve"> and/</w:t>
      </w:r>
      <w:r w:rsidR="0007750A">
        <w:rPr>
          <w:rFonts w:ascii="Arial" w:hAnsi="Arial" w:cs="Arial"/>
          <w:lang/>
        </w:rPr>
        <w:t>or under the applicable law of the contracts</w:t>
      </w:r>
      <w:r w:rsidR="00F7358B" w:rsidRPr="00E440BE">
        <w:rPr>
          <w:rFonts w:ascii="Arial" w:hAnsi="Arial" w:cs="Arial"/>
        </w:rPr>
        <w:t xml:space="preserve">. </w:t>
      </w:r>
      <w:r w:rsidR="00A414FD" w:rsidRPr="00E440BE">
        <w:rPr>
          <w:rFonts w:ascii="Arial" w:hAnsi="Arial" w:cs="Arial"/>
        </w:rPr>
        <w:t xml:space="preserve">However, given that the Company had engaged </w:t>
      </w:r>
      <w:r w:rsidR="003E1662" w:rsidRPr="00E440BE">
        <w:rPr>
          <w:rFonts w:ascii="Arial" w:hAnsi="Arial" w:cs="Arial"/>
        </w:rPr>
        <w:t xml:space="preserve">relevant professionals, and the </w:t>
      </w:r>
      <w:r w:rsidR="00D7632A" w:rsidRPr="00E440BE">
        <w:rPr>
          <w:rFonts w:ascii="Arial" w:hAnsi="Arial" w:cs="Arial"/>
        </w:rPr>
        <w:t>Bank</w:t>
      </w:r>
      <w:r w:rsidR="003E1662" w:rsidRPr="00E440BE">
        <w:rPr>
          <w:rFonts w:ascii="Arial" w:hAnsi="Arial" w:cs="Arial"/>
        </w:rPr>
        <w:t xml:space="preserve">s would have been </w:t>
      </w:r>
      <w:r w:rsidR="002310A5" w:rsidRPr="00E440BE">
        <w:rPr>
          <w:rFonts w:ascii="Arial" w:hAnsi="Arial" w:cs="Arial"/>
        </w:rPr>
        <w:t>analyzing</w:t>
      </w:r>
      <w:r w:rsidR="003E1662" w:rsidRPr="00E440BE">
        <w:rPr>
          <w:rFonts w:ascii="Arial" w:hAnsi="Arial" w:cs="Arial"/>
        </w:rPr>
        <w:t xml:space="preserve"> and assessing their options, it seems </w:t>
      </w:r>
      <w:proofErr w:type="spellStart"/>
      <w:r w:rsidR="003E1662" w:rsidRPr="00E440BE">
        <w:rPr>
          <w:rFonts w:ascii="Arial" w:hAnsi="Arial" w:cs="Arial"/>
        </w:rPr>
        <w:t>reasonabl</w:t>
      </w:r>
      <w:proofErr w:type="spellEnd"/>
      <w:r w:rsidR="0007750A">
        <w:rPr>
          <w:rFonts w:ascii="Arial" w:hAnsi="Arial" w:cs="Arial"/>
          <w:lang/>
        </w:rPr>
        <w:t>e to conclude</w:t>
      </w:r>
      <w:r w:rsidR="003E1662" w:rsidRPr="00E440BE">
        <w:rPr>
          <w:rFonts w:ascii="Arial" w:hAnsi="Arial" w:cs="Arial"/>
        </w:rPr>
        <w:t xml:space="preserve"> that </w:t>
      </w:r>
      <w:r w:rsidR="002310A5" w:rsidRPr="00E440BE">
        <w:rPr>
          <w:rFonts w:ascii="Arial" w:hAnsi="Arial" w:cs="Arial"/>
        </w:rPr>
        <w:t>this principle must have been adhered to.</w:t>
      </w:r>
    </w:p>
    <w:p w14:paraId="1EFC8ADF" w14:textId="77777777" w:rsidR="000D3E86" w:rsidRDefault="000D3E86" w:rsidP="00FC5510">
      <w:pPr>
        <w:spacing w:after="0" w:line="240" w:lineRule="auto"/>
        <w:jc w:val="both"/>
        <w:rPr>
          <w:rFonts w:ascii="Arial" w:hAnsi="Arial" w:cs="Arial"/>
        </w:rPr>
      </w:pPr>
    </w:p>
    <w:p w14:paraId="16E4B0CF" w14:textId="53AFEBF9" w:rsidR="00070677" w:rsidRPr="00E440BE" w:rsidRDefault="002310A5" w:rsidP="00FC5510">
      <w:pPr>
        <w:spacing w:after="0" w:line="240" w:lineRule="auto"/>
        <w:jc w:val="both"/>
        <w:rPr>
          <w:rFonts w:ascii="Arial" w:hAnsi="Arial" w:cs="Arial"/>
        </w:rPr>
      </w:pPr>
      <w:r w:rsidRPr="00E440BE">
        <w:rPr>
          <w:rFonts w:ascii="Arial" w:hAnsi="Arial" w:cs="Arial"/>
        </w:rPr>
        <w:t>It is possible that there might be a different analysis for the shareholders</w:t>
      </w:r>
      <w:r w:rsidR="005469F9" w:rsidRPr="00E440BE">
        <w:rPr>
          <w:rFonts w:ascii="Arial" w:hAnsi="Arial" w:cs="Arial"/>
        </w:rPr>
        <w:t xml:space="preserve"> albeit, in </w:t>
      </w:r>
      <w:proofErr w:type="gramStart"/>
      <w:r w:rsidR="005469F9" w:rsidRPr="00E440BE">
        <w:rPr>
          <w:rFonts w:ascii="Arial" w:hAnsi="Arial" w:cs="Arial"/>
        </w:rPr>
        <w:t>the vast majority of</w:t>
      </w:r>
      <w:proofErr w:type="gramEnd"/>
      <w:r w:rsidR="005469F9" w:rsidRPr="00E440BE">
        <w:rPr>
          <w:rFonts w:ascii="Arial" w:hAnsi="Arial" w:cs="Arial"/>
        </w:rPr>
        <w:t xml:space="preserve"> juri</w:t>
      </w:r>
      <w:r w:rsidR="00D7632A" w:rsidRPr="00E440BE">
        <w:rPr>
          <w:rFonts w:ascii="Arial" w:hAnsi="Arial" w:cs="Arial"/>
        </w:rPr>
        <w:t>s</w:t>
      </w:r>
      <w:r w:rsidR="005469F9" w:rsidRPr="00E440BE">
        <w:rPr>
          <w:rFonts w:ascii="Arial" w:hAnsi="Arial" w:cs="Arial"/>
        </w:rPr>
        <w:t xml:space="preserve">dictions, shareholder protection is not a </w:t>
      </w:r>
      <w:r w:rsidR="00901A14" w:rsidRPr="00E440BE">
        <w:rPr>
          <w:rFonts w:ascii="Arial" w:hAnsi="Arial" w:cs="Arial"/>
        </w:rPr>
        <w:t>consideration in workout scenarios.</w:t>
      </w:r>
    </w:p>
    <w:p w14:paraId="55B6A646" w14:textId="77777777" w:rsidR="00250EC5" w:rsidRPr="00E440BE" w:rsidRDefault="00250EC5" w:rsidP="00FC5510">
      <w:pPr>
        <w:spacing w:after="0" w:line="240" w:lineRule="auto"/>
        <w:jc w:val="both"/>
        <w:rPr>
          <w:rFonts w:ascii="Arial" w:hAnsi="Arial" w:cs="Arial"/>
        </w:rPr>
      </w:pPr>
    </w:p>
    <w:p w14:paraId="07D1164F" w14:textId="1AED6492" w:rsidR="008D21EA" w:rsidRPr="00E440BE" w:rsidRDefault="008D21EA" w:rsidP="00FC5510">
      <w:pPr>
        <w:keepNext/>
        <w:spacing w:after="0" w:line="240" w:lineRule="auto"/>
        <w:jc w:val="both"/>
        <w:rPr>
          <w:rFonts w:ascii="Arial" w:hAnsi="Arial" w:cs="Arial"/>
          <w:b/>
          <w:bCs/>
        </w:rPr>
      </w:pPr>
      <w:r w:rsidRPr="00E440BE">
        <w:rPr>
          <w:rFonts w:ascii="Arial" w:hAnsi="Arial" w:cs="Arial"/>
          <w:b/>
          <w:bCs/>
        </w:rPr>
        <w:t xml:space="preserve">Principle 7: The parties treat all information </w:t>
      </w:r>
      <w:proofErr w:type="gramStart"/>
      <w:r w:rsidRPr="00E440BE">
        <w:rPr>
          <w:rFonts w:ascii="Arial" w:hAnsi="Arial" w:cs="Arial"/>
          <w:b/>
          <w:bCs/>
        </w:rPr>
        <w:t>confidentially</w:t>
      </w:r>
      <w:proofErr w:type="gramEnd"/>
    </w:p>
    <w:p w14:paraId="77A7D20B" w14:textId="77777777" w:rsidR="008D21EA" w:rsidRPr="00E440BE" w:rsidRDefault="008D21EA" w:rsidP="00FC5510">
      <w:pPr>
        <w:keepNext/>
        <w:spacing w:after="0" w:line="240" w:lineRule="auto"/>
        <w:jc w:val="both"/>
        <w:rPr>
          <w:rFonts w:ascii="Arial" w:hAnsi="Arial" w:cs="Arial"/>
        </w:rPr>
      </w:pPr>
    </w:p>
    <w:p w14:paraId="6C0FB018" w14:textId="274B8D8B" w:rsidR="00250EC5" w:rsidRPr="00E440BE" w:rsidRDefault="009A37BB" w:rsidP="00FC5510">
      <w:pPr>
        <w:spacing w:after="0" w:line="240" w:lineRule="auto"/>
        <w:jc w:val="both"/>
        <w:rPr>
          <w:rFonts w:ascii="Arial" w:hAnsi="Arial" w:cs="Arial"/>
        </w:rPr>
      </w:pPr>
      <w:r w:rsidRPr="00E440BE">
        <w:rPr>
          <w:rFonts w:ascii="Arial" w:hAnsi="Arial" w:cs="Arial"/>
        </w:rPr>
        <w:t xml:space="preserve">The purpose of this </w:t>
      </w:r>
      <w:r w:rsidR="00FA5470" w:rsidRPr="00E440BE">
        <w:rPr>
          <w:rFonts w:ascii="Arial" w:hAnsi="Arial" w:cs="Arial"/>
        </w:rPr>
        <w:t xml:space="preserve">principle appears to be twofold: (a) </w:t>
      </w:r>
      <w:r w:rsidR="00B402E5" w:rsidRPr="00E440BE">
        <w:rPr>
          <w:rFonts w:ascii="Arial" w:hAnsi="Arial" w:cs="Arial"/>
          <w:lang/>
        </w:rPr>
        <w:t xml:space="preserve">to achieve </w:t>
      </w:r>
      <w:r w:rsidR="00FA5470" w:rsidRPr="00E440BE">
        <w:rPr>
          <w:rFonts w:ascii="Arial" w:hAnsi="Arial" w:cs="Arial"/>
        </w:rPr>
        <w:t xml:space="preserve">parity between </w:t>
      </w:r>
      <w:r w:rsidR="0052576D" w:rsidRPr="00E440BE">
        <w:rPr>
          <w:rFonts w:ascii="Arial" w:hAnsi="Arial" w:cs="Arial"/>
        </w:rPr>
        <w:t>stakeholders</w:t>
      </w:r>
      <w:r w:rsidR="00FA5470" w:rsidRPr="00E440BE">
        <w:rPr>
          <w:rFonts w:ascii="Arial" w:hAnsi="Arial" w:cs="Arial"/>
        </w:rPr>
        <w:t>; and (b)</w:t>
      </w:r>
      <w:r w:rsidR="0052576D" w:rsidRPr="00E440BE">
        <w:rPr>
          <w:rFonts w:ascii="Arial" w:hAnsi="Arial" w:cs="Arial"/>
        </w:rPr>
        <w:t> </w:t>
      </w:r>
      <w:r w:rsidR="00FA5470" w:rsidRPr="00E440BE">
        <w:rPr>
          <w:rFonts w:ascii="Arial" w:hAnsi="Arial" w:cs="Arial"/>
        </w:rPr>
        <w:t xml:space="preserve">protection </w:t>
      </w:r>
      <w:r w:rsidR="00C1434E" w:rsidRPr="00E440BE">
        <w:rPr>
          <w:rFonts w:ascii="Arial" w:hAnsi="Arial" w:cs="Arial"/>
        </w:rPr>
        <w:t>of the company’s information</w:t>
      </w:r>
      <w:r w:rsidR="00354504" w:rsidRPr="00E440BE">
        <w:rPr>
          <w:rFonts w:ascii="Arial" w:hAnsi="Arial" w:cs="Arial"/>
        </w:rPr>
        <w:t xml:space="preserve">, </w:t>
      </w:r>
      <w:proofErr w:type="gramStart"/>
      <w:r w:rsidR="00354504" w:rsidRPr="00E440BE">
        <w:rPr>
          <w:rFonts w:ascii="Arial" w:hAnsi="Arial" w:cs="Arial"/>
        </w:rPr>
        <w:t>so as to</w:t>
      </w:r>
      <w:proofErr w:type="gramEnd"/>
      <w:r w:rsidR="00354504" w:rsidRPr="00E440BE">
        <w:rPr>
          <w:rFonts w:ascii="Arial" w:hAnsi="Arial" w:cs="Arial"/>
        </w:rPr>
        <w:t xml:space="preserve"> encourage the sharing of all necessary and relevant information.</w:t>
      </w:r>
    </w:p>
    <w:p w14:paraId="1F99029A" w14:textId="04CB1294" w:rsidR="0059022D" w:rsidRPr="00E440BE" w:rsidRDefault="0059022D" w:rsidP="00FC5510">
      <w:pPr>
        <w:spacing w:after="0" w:line="240" w:lineRule="auto"/>
        <w:jc w:val="both"/>
        <w:rPr>
          <w:rFonts w:ascii="Arial" w:hAnsi="Arial" w:cs="Arial"/>
        </w:rPr>
      </w:pPr>
    </w:p>
    <w:p w14:paraId="3DF2365B" w14:textId="10065D67" w:rsidR="0059022D" w:rsidRPr="00E440BE" w:rsidRDefault="0059022D" w:rsidP="00FC5510">
      <w:pPr>
        <w:spacing w:after="0" w:line="240" w:lineRule="auto"/>
        <w:jc w:val="both"/>
        <w:rPr>
          <w:rFonts w:ascii="Arial" w:hAnsi="Arial" w:cs="Arial"/>
        </w:rPr>
      </w:pPr>
      <w:r w:rsidRPr="00E440BE">
        <w:rPr>
          <w:rFonts w:ascii="Arial" w:hAnsi="Arial" w:cs="Arial"/>
        </w:rPr>
        <w:t>In most cases, tensions will arise in the application of this principle</w:t>
      </w:r>
      <w:r w:rsidR="00D95A9A" w:rsidRPr="00E440BE">
        <w:rPr>
          <w:rFonts w:ascii="Arial" w:hAnsi="Arial" w:cs="Arial"/>
        </w:rPr>
        <w:t xml:space="preserve">, particularly if </w:t>
      </w:r>
      <w:r w:rsidR="00EC3D7F" w:rsidRPr="00E440BE">
        <w:rPr>
          <w:rFonts w:ascii="Arial" w:hAnsi="Arial" w:cs="Arial"/>
        </w:rPr>
        <w:t>(</w:t>
      </w:r>
      <w:r w:rsidR="00AA0BA1" w:rsidRPr="00E440BE">
        <w:rPr>
          <w:rFonts w:ascii="Arial" w:hAnsi="Arial" w:cs="Arial"/>
        </w:rPr>
        <w:t>i</w:t>
      </w:r>
      <w:r w:rsidR="00EC3D7F" w:rsidRPr="00E440BE">
        <w:rPr>
          <w:rFonts w:ascii="Arial" w:hAnsi="Arial" w:cs="Arial"/>
        </w:rPr>
        <w:t xml:space="preserve">) </w:t>
      </w:r>
      <w:r w:rsidR="00D95A9A" w:rsidRPr="00E440BE">
        <w:rPr>
          <w:rFonts w:ascii="Arial" w:hAnsi="Arial" w:cs="Arial"/>
        </w:rPr>
        <w:t xml:space="preserve">the debtor is publicly </w:t>
      </w:r>
      <w:proofErr w:type="gramStart"/>
      <w:r w:rsidR="00D95A9A" w:rsidRPr="00E440BE">
        <w:rPr>
          <w:rFonts w:ascii="Arial" w:hAnsi="Arial" w:cs="Arial"/>
        </w:rPr>
        <w:t>listed</w:t>
      </w:r>
      <w:proofErr w:type="gramEnd"/>
      <w:r w:rsidR="00D95A9A" w:rsidRPr="00E440BE">
        <w:rPr>
          <w:rFonts w:ascii="Arial" w:hAnsi="Arial" w:cs="Arial"/>
        </w:rPr>
        <w:t xml:space="preserve"> </w:t>
      </w:r>
      <w:r w:rsidR="00EF5A3F" w:rsidRPr="00E440BE">
        <w:rPr>
          <w:rFonts w:ascii="Arial" w:hAnsi="Arial" w:cs="Arial"/>
        </w:rPr>
        <w:t xml:space="preserve">and </w:t>
      </w:r>
      <w:r w:rsidR="00EC3D7F" w:rsidRPr="00E440BE">
        <w:rPr>
          <w:rFonts w:ascii="Arial" w:hAnsi="Arial" w:cs="Arial"/>
        </w:rPr>
        <w:t xml:space="preserve">trading is continuing; </w:t>
      </w:r>
      <w:r w:rsidR="000D3E86">
        <w:rPr>
          <w:rFonts w:ascii="Arial" w:hAnsi="Arial" w:cs="Arial"/>
          <w:lang/>
        </w:rPr>
        <w:t>or</w:t>
      </w:r>
      <w:r w:rsidR="00EC3D7F" w:rsidRPr="00E440BE">
        <w:rPr>
          <w:rFonts w:ascii="Arial" w:hAnsi="Arial" w:cs="Arial"/>
        </w:rPr>
        <w:t xml:space="preserve"> (</w:t>
      </w:r>
      <w:r w:rsidR="00AA0BA1" w:rsidRPr="00E440BE">
        <w:rPr>
          <w:rFonts w:ascii="Arial" w:hAnsi="Arial" w:cs="Arial"/>
        </w:rPr>
        <w:t>ii</w:t>
      </w:r>
      <w:r w:rsidR="00EC3D7F" w:rsidRPr="00E440BE">
        <w:rPr>
          <w:rFonts w:ascii="Arial" w:hAnsi="Arial" w:cs="Arial"/>
        </w:rPr>
        <w:t xml:space="preserve">) a creditor is a trade competitor of </w:t>
      </w:r>
      <w:r w:rsidR="00813C71" w:rsidRPr="00E440BE">
        <w:rPr>
          <w:rFonts w:ascii="Arial" w:hAnsi="Arial" w:cs="Arial"/>
        </w:rPr>
        <w:t>the debtor.</w:t>
      </w:r>
    </w:p>
    <w:p w14:paraId="67441106" w14:textId="77777777" w:rsidR="00813C71" w:rsidRPr="00E440BE" w:rsidRDefault="00813C71" w:rsidP="00FC5510">
      <w:pPr>
        <w:spacing w:after="0" w:line="240" w:lineRule="auto"/>
        <w:jc w:val="both"/>
        <w:rPr>
          <w:rFonts w:ascii="Arial" w:hAnsi="Arial" w:cs="Arial"/>
        </w:rPr>
      </w:pPr>
    </w:p>
    <w:p w14:paraId="7DC14807" w14:textId="755A5F13" w:rsidR="00813C71" w:rsidRPr="00E440BE" w:rsidRDefault="00813C71" w:rsidP="00FC5510">
      <w:pPr>
        <w:spacing w:after="0" w:line="240" w:lineRule="auto"/>
        <w:jc w:val="both"/>
        <w:rPr>
          <w:rFonts w:ascii="Arial" w:hAnsi="Arial" w:cs="Arial"/>
        </w:rPr>
      </w:pPr>
      <w:r w:rsidRPr="00E440BE">
        <w:rPr>
          <w:rFonts w:ascii="Arial" w:hAnsi="Arial" w:cs="Arial"/>
        </w:rPr>
        <w:t xml:space="preserve">In the </w:t>
      </w:r>
      <w:r w:rsidR="009108A8" w:rsidRPr="00E440BE">
        <w:rPr>
          <w:rFonts w:ascii="Arial" w:hAnsi="Arial" w:cs="Arial"/>
        </w:rPr>
        <w:t>C</w:t>
      </w:r>
      <w:r w:rsidRPr="00E440BE">
        <w:rPr>
          <w:rFonts w:ascii="Arial" w:hAnsi="Arial" w:cs="Arial"/>
        </w:rPr>
        <w:t xml:space="preserve">ase </w:t>
      </w:r>
      <w:r w:rsidR="009108A8" w:rsidRPr="00E440BE">
        <w:rPr>
          <w:rFonts w:ascii="Arial" w:hAnsi="Arial" w:cs="Arial"/>
        </w:rPr>
        <w:t>S</w:t>
      </w:r>
      <w:r w:rsidRPr="00E440BE">
        <w:rPr>
          <w:rFonts w:ascii="Arial" w:hAnsi="Arial" w:cs="Arial"/>
        </w:rPr>
        <w:t xml:space="preserve">tudy, </w:t>
      </w:r>
      <w:r w:rsidR="00052444" w:rsidRPr="00E440BE">
        <w:rPr>
          <w:rFonts w:ascii="Arial" w:hAnsi="Arial" w:cs="Arial"/>
        </w:rPr>
        <w:t>while there are few indicators of explicit adherence to this principle</w:t>
      </w:r>
      <w:r w:rsidR="00AA4EA6" w:rsidRPr="00E440BE">
        <w:rPr>
          <w:rFonts w:ascii="Arial" w:hAnsi="Arial" w:cs="Arial"/>
        </w:rPr>
        <w:t>, i</w:t>
      </w:r>
      <w:r w:rsidR="00052444" w:rsidRPr="00E440BE">
        <w:rPr>
          <w:rFonts w:ascii="Arial" w:hAnsi="Arial" w:cs="Arial"/>
        </w:rPr>
        <w:t xml:space="preserve">t seems </w:t>
      </w:r>
      <w:r w:rsidR="00D4275E" w:rsidRPr="00E440BE">
        <w:rPr>
          <w:rFonts w:ascii="Arial" w:hAnsi="Arial" w:cs="Arial"/>
        </w:rPr>
        <w:t>likely that due to the few creditors and their (likely) equal sophistication</w:t>
      </w:r>
      <w:r w:rsidR="00485D2C" w:rsidRPr="00E440BE">
        <w:rPr>
          <w:rFonts w:ascii="Arial" w:hAnsi="Arial" w:cs="Arial"/>
        </w:rPr>
        <w:t xml:space="preserve"> and experience, that this principle was implicitly adhered to.</w:t>
      </w:r>
    </w:p>
    <w:p w14:paraId="20933F51" w14:textId="77777777" w:rsidR="00250EC5" w:rsidRPr="00E440BE" w:rsidRDefault="00250EC5" w:rsidP="00FC5510">
      <w:pPr>
        <w:spacing w:after="0" w:line="240" w:lineRule="auto"/>
        <w:jc w:val="both"/>
        <w:rPr>
          <w:rFonts w:ascii="Arial" w:hAnsi="Arial" w:cs="Arial"/>
        </w:rPr>
      </w:pPr>
    </w:p>
    <w:p w14:paraId="7B518E8A" w14:textId="2037E3A6" w:rsidR="008D21EA" w:rsidRPr="00E440BE" w:rsidRDefault="008D21EA" w:rsidP="00FC5510">
      <w:pPr>
        <w:keepNext/>
        <w:spacing w:after="0" w:line="240" w:lineRule="auto"/>
        <w:jc w:val="both"/>
        <w:rPr>
          <w:rFonts w:ascii="Arial" w:hAnsi="Arial" w:cs="Arial"/>
          <w:b/>
          <w:bCs/>
        </w:rPr>
      </w:pPr>
      <w:r w:rsidRPr="00E440BE">
        <w:rPr>
          <w:rFonts w:ascii="Arial" w:hAnsi="Arial" w:cs="Arial"/>
          <w:b/>
          <w:bCs/>
        </w:rPr>
        <w:t xml:space="preserve">Principle 8: New financing during the process will be given priority </w:t>
      </w:r>
      <w:proofErr w:type="gramStart"/>
      <w:r w:rsidRPr="00E440BE">
        <w:rPr>
          <w:rFonts w:ascii="Arial" w:hAnsi="Arial" w:cs="Arial"/>
          <w:b/>
          <w:bCs/>
        </w:rPr>
        <w:t>status</w:t>
      </w:r>
      <w:proofErr w:type="gramEnd"/>
    </w:p>
    <w:p w14:paraId="5C2564EE" w14:textId="77777777" w:rsidR="0004705A" w:rsidRPr="00E440BE" w:rsidRDefault="0004705A" w:rsidP="00FC5510">
      <w:pPr>
        <w:keepNext/>
        <w:spacing w:after="0" w:line="240" w:lineRule="auto"/>
        <w:jc w:val="both"/>
        <w:rPr>
          <w:rFonts w:ascii="Arial" w:hAnsi="Arial" w:cs="Arial"/>
        </w:rPr>
      </w:pPr>
    </w:p>
    <w:p w14:paraId="6E9133A5" w14:textId="1DAFB8EE" w:rsidR="00250EC5" w:rsidRPr="00E440BE" w:rsidRDefault="00AA0A92" w:rsidP="00FC5510">
      <w:pPr>
        <w:spacing w:after="0" w:line="240" w:lineRule="auto"/>
        <w:jc w:val="both"/>
        <w:rPr>
          <w:rFonts w:ascii="Arial" w:hAnsi="Arial" w:cs="Arial"/>
        </w:rPr>
      </w:pPr>
      <w:r w:rsidRPr="00E440BE">
        <w:rPr>
          <w:rFonts w:ascii="Arial" w:hAnsi="Arial" w:cs="Arial"/>
        </w:rPr>
        <w:t xml:space="preserve">The rationale for this principle appears to </w:t>
      </w:r>
      <w:r w:rsidR="005D2CC2" w:rsidRPr="00E440BE">
        <w:rPr>
          <w:rFonts w:ascii="Arial" w:hAnsi="Arial" w:cs="Arial"/>
          <w:lang/>
        </w:rPr>
        <w:t>a desire to</w:t>
      </w:r>
      <w:r w:rsidR="00390D61" w:rsidRPr="00E440BE">
        <w:rPr>
          <w:rFonts w:ascii="Arial" w:hAnsi="Arial" w:cs="Arial"/>
        </w:rPr>
        <w:t xml:space="preserve"> balance </w:t>
      </w:r>
      <w:r w:rsidRPr="00E440BE">
        <w:rPr>
          <w:rFonts w:ascii="Arial" w:hAnsi="Arial" w:cs="Arial"/>
        </w:rPr>
        <w:t>(a)</w:t>
      </w:r>
      <w:r w:rsidR="00D51013" w:rsidRPr="00E440BE">
        <w:rPr>
          <w:rFonts w:ascii="Arial" w:hAnsi="Arial" w:cs="Arial"/>
        </w:rPr>
        <w:t xml:space="preserve"> </w:t>
      </w:r>
      <w:r w:rsidR="00390D61" w:rsidRPr="00E440BE">
        <w:rPr>
          <w:rFonts w:ascii="Arial" w:hAnsi="Arial" w:cs="Arial"/>
        </w:rPr>
        <w:t xml:space="preserve">a need to reasonably justify the injection of additional cash </w:t>
      </w:r>
      <w:proofErr w:type="gramStart"/>
      <w:r w:rsidR="00390D61" w:rsidRPr="00E440BE">
        <w:rPr>
          <w:rFonts w:ascii="Arial" w:hAnsi="Arial" w:cs="Arial"/>
        </w:rPr>
        <w:t>so as to</w:t>
      </w:r>
      <w:proofErr w:type="gramEnd"/>
      <w:r w:rsidR="00390D61" w:rsidRPr="00E440BE">
        <w:rPr>
          <w:rFonts w:ascii="Arial" w:hAnsi="Arial" w:cs="Arial"/>
        </w:rPr>
        <w:t xml:space="preserve"> avoid prejudicing existing creditors in the event that a turnaround is not possible</w:t>
      </w:r>
      <w:r w:rsidR="005D2CC2" w:rsidRPr="00E440BE">
        <w:rPr>
          <w:rFonts w:ascii="Arial" w:hAnsi="Arial" w:cs="Arial"/>
          <w:lang/>
        </w:rPr>
        <w:t>; with</w:t>
      </w:r>
      <w:r w:rsidR="00390D61" w:rsidRPr="00E440BE">
        <w:rPr>
          <w:rFonts w:ascii="Arial" w:hAnsi="Arial" w:cs="Arial"/>
        </w:rPr>
        <w:t xml:space="preserve"> (b)</w:t>
      </w:r>
      <w:r w:rsidR="006041AA" w:rsidRPr="00E440BE">
        <w:rPr>
          <w:rFonts w:ascii="Arial" w:hAnsi="Arial" w:cs="Arial"/>
        </w:rPr>
        <w:t xml:space="preserve"> </w:t>
      </w:r>
      <w:r w:rsidR="00D51013" w:rsidRPr="00E440BE">
        <w:rPr>
          <w:rFonts w:ascii="Arial" w:hAnsi="Arial" w:cs="Arial"/>
        </w:rPr>
        <w:t xml:space="preserve">a need to incentivize the </w:t>
      </w:r>
      <w:r w:rsidR="006041AA" w:rsidRPr="00E440BE">
        <w:rPr>
          <w:rFonts w:ascii="Arial" w:hAnsi="Arial" w:cs="Arial"/>
        </w:rPr>
        <w:t>possible lender / investor t</w:t>
      </w:r>
      <w:r w:rsidR="00F3568D" w:rsidRPr="00E440BE">
        <w:rPr>
          <w:rFonts w:ascii="Arial" w:hAnsi="Arial" w:cs="Arial"/>
        </w:rPr>
        <w:t>o provide funds to a distressed situation</w:t>
      </w:r>
      <w:r w:rsidR="0009085E" w:rsidRPr="00E440BE">
        <w:rPr>
          <w:rFonts w:ascii="Arial" w:hAnsi="Arial" w:cs="Arial"/>
          <w:lang/>
        </w:rPr>
        <w:t>, if such funding is considered necessary</w:t>
      </w:r>
      <w:r w:rsidR="00F3568D" w:rsidRPr="00E440BE">
        <w:rPr>
          <w:rFonts w:ascii="Arial" w:hAnsi="Arial" w:cs="Arial"/>
        </w:rPr>
        <w:t>.</w:t>
      </w:r>
    </w:p>
    <w:p w14:paraId="4A67E354" w14:textId="77777777" w:rsidR="00F3568D" w:rsidRPr="00E440BE" w:rsidRDefault="00F3568D" w:rsidP="00FC5510">
      <w:pPr>
        <w:spacing w:after="0" w:line="240" w:lineRule="auto"/>
        <w:jc w:val="both"/>
        <w:rPr>
          <w:rFonts w:ascii="Arial" w:hAnsi="Arial" w:cs="Arial"/>
        </w:rPr>
      </w:pPr>
    </w:p>
    <w:p w14:paraId="575C4AF6" w14:textId="35FB999A" w:rsidR="00AA0DDC" w:rsidRPr="00E440BE" w:rsidRDefault="00D23ECD" w:rsidP="00FC5510">
      <w:pPr>
        <w:spacing w:after="0" w:line="240" w:lineRule="auto"/>
        <w:jc w:val="both"/>
        <w:rPr>
          <w:rFonts w:ascii="Arial" w:hAnsi="Arial" w:cs="Arial"/>
        </w:rPr>
      </w:pPr>
      <w:r w:rsidRPr="00E440BE">
        <w:rPr>
          <w:rFonts w:ascii="Arial" w:hAnsi="Arial" w:cs="Arial"/>
        </w:rPr>
        <w:lastRenderedPageBreak/>
        <w:t xml:space="preserve">The fact that </w:t>
      </w:r>
      <w:r w:rsidR="0009085E" w:rsidRPr="00E440BE">
        <w:rPr>
          <w:rFonts w:ascii="Arial" w:hAnsi="Arial" w:cs="Arial"/>
          <w:lang/>
        </w:rPr>
        <w:t xml:space="preserve">(i) </w:t>
      </w:r>
      <w:r w:rsidR="00231536" w:rsidRPr="00E440BE">
        <w:rPr>
          <w:rFonts w:ascii="Arial" w:hAnsi="Arial" w:cs="Arial"/>
        </w:rPr>
        <w:t xml:space="preserve">option 1 in the October 2014 scenarios </w:t>
      </w:r>
      <w:r w:rsidR="00AD0766" w:rsidRPr="00E440BE">
        <w:rPr>
          <w:rFonts w:ascii="Arial" w:hAnsi="Arial" w:cs="Arial"/>
        </w:rPr>
        <w:t>suggest</w:t>
      </w:r>
      <w:r w:rsidR="00070530">
        <w:rPr>
          <w:rFonts w:ascii="Arial" w:hAnsi="Arial" w:cs="Arial"/>
          <w:lang/>
        </w:rPr>
        <w:t>ed</w:t>
      </w:r>
      <w:r w:rsidR="00AD0766" w:rsidRPr="00E440BE">
        <w:rPr>
          <w:rFonts w:ascii="Arial" w:hAnsi="Arial" w:cs="Arial"/>
        </w:rPr>
        <w:t xml:space="preserve"> </w:t>
      </w:r>
      <w:r w:rsidR="00231536" w:rsidRPr="00E440BE">
        <w:rPr>
          <w:rFonts w:ascii="Arial" w:hAnsi="Arial" w:cs="Arial"/>
        </w:rPr>
        <w:t>provid</w:t>
      </w:r>
      <w:r w:rsidR="00AD0766" w:rsidRPr="00E440BE">
        <w:rPr>
          <w:rFonts w:ascii="Arial" w:hAnsi="Arial" w:cs="Arial"/>
        </w:rPr>
        <w:t>ing security for any further shareholder contribution</w:t>
      </w:r>
      <w:r w:rsidR="00070530">
        <w:rPr>
          <w:rFonts w:ascii="Arial" w:hAnsi="Arial" w:cs="Arial"/>
          <w:lang/>
        </w:rPr>
        <w:t>;</w:t>
      </w:r>
      <w:r w:rsidR="00D46815" w:rsidRPr="00E440BE">
        <w:rPr>
          <w:rFonts w:ascii="Arial" w:hAnsi="Arial" w:cs="Arial"/>
        </w:rPr>
        <w:t xml:space="preserve"> and </w:t>
      </w:r>
      <w:r w:rsidR="0009085E" w:rsidRPr="00E440BE">
        <w:rPr>
          <w:rFonts w:ascii="Arial" w:hAnsi="Arial" w:cs="Arial"/>
          <w:lang/>
        </w:rPr>
        <w:t xml:space="preserve">(ii) </w:t>
      </w:r>
      <w:r w:rsidR="00B450C1" w:rsidRPr="00E440BE">
        <w:rPr>
          <w:rFonts w:ascii="Arial" w:hAnsi="Arial" w:cs="Arial"/>
          <w:lang/>
        </w:rPr>
        <w:t xml:space="preserve">some </w:t>
      </w:r>
      <w:r w:rsidR="00D46815" w:rsidRPr="00E440BE">
        <w:rPr>
          <w:rFonts w:ascii="Arial" w:hAnsi="Arial" w:cs="Arial"/>
        </w:rPr>
        <w:t xml:space="preserve">security </w:t>
      </w:r>
      <w:r w:rsidR="00B450C1" w:rsidRPr="00E440BE">
        <w:rPr>
          <w:rFonts w:ascii="Arial" w:hAnsi="Arial" w:cs="Arial"/>
          <w:lang/>
        </w:rPr>
        <w:t xml:space="preserve">was </w:t>
      </w:r>
      <w:r w:rsidR="00D46815" w:rsidRPr="00E440BE">
        <w:rPr>
          <w:rFonts w:ascii="Arial" w:hAnsi="Arial" w:cs="Arial"/>
        </w:rPr>
        <w:t xml:space="preserve">provided </w:t>
      </w:r>
      <w:r w:rsidR="00B450C1" w:rsidRPr="00E440BE">
        <w:rPr>
          <w:rFonts w:ascii="Arial" w:hAnsi="Arial" w:cs="Arial"/>
          <w:lang/>
        </w:rPr>
        <w:t>for the additional working capital</w:t>
      </w:r>
      <w:r w:rsidR="00070530">
        <w:rPr>
          <w:rFonts w:ascii="Arial" w:hAnsi="Arial" w:cs="Arial"/>
          <w:lang/>
        </w:rPr>
        <w:t>;</w:t>
      </w:r>
      <w:r w:rsidR="00B450C1" w:rsidRPr="00E440BE">
        <w:rPr>
          <w:rFonts w:ascii="Arial" w:hAnsi="Arial" w:cs="Arial"/>
          <w:lang/>
        </w:rPr>
        <w:t xml:space="preserve"> </w:t>
      </w:r>
      <w:r w:rsidR="001F4CAA" w:rsidRPr="00E440BE">
        <w:rPr>
          <w:rFonts w:ascii="Arial" w:hAnsi="Arial" w:cs="Arial"/>
        </w:rPr>
        <w:t xml:space="preserve">shows that the parties were alive to this principle and </w:t>
      </w:r>
      <w:r w:rsidR="00B450C1" w:rsidRPr="00E440BE">
        <w:rPr>
          <w:rFonts w:ascii="Arial" w:hAnsi="Arial" w:cs="Arial"/>
          <w:lang/>
        </w:rPr>
        <w:t xml:space="preserve">were </w:t>
      </w:r>
      <w:r w:rsidR="001F4CAA" w:rsidRPr="00E440BE">
        <w:rPr>
          <w:rFonts w:ascii="Arial" w:hAnsi="Arial" w:cs="Arial"/>
        </w:rPr>
        <w:t>essentially acting in accordance with it.</w:t>
      </w:r>
    </w:p>
    <w:p w14:paraId="510F6DC4" w14:textId="77777777" w:rsidR="00AA0DDC" w:rsidRPr="00E440BE" w:rsidRDefault="00AA0DDC" w:rsidP="00FC5510">
      <w:pPr>
        <w:spacing w:after="0" w:line="240" w:lineRule="auto"/>
        <w:jc w:val="both"/>
        <w:rPr>
          <w:rFonts w:ascii="Arial" w:hAnsi="Arial" w:cs="Arial"/>
        </w:rPr>
      </w:pPr>
    </w:p>
    <w:p w14:paraId="2E7F796C" w14:textId="28559B63" w:rsidR="00D54E45" w:rsidRPr="00E440BE" w:rsidRDefault="00AA0DDC" w:rsidP="00FC5510">
      <w:pPr>
        <w:spacing w:after="0" w:line="240" w:lineRule="auto"/>
        <w:jc w:val="both"/>
        <w:rPr>
          <w:rFonts w:ascii="Arial" w:hAnsi="Arial" w:cs="Arial"/>
        </w:rPr>
      </w:pPr>
      <w:r w:rsidRPr="00E440BE">
        <w:rPr>
          <w:rFonts w:ascii="Arial" w:hAnsi="Arial" w:cs="Arial"/>
          <w:lang/>
        </w:rPr>
        <w:t>T</w:t>
      </w:r>
      <w:r w:rsidR="009D55A4" w:rsidRPr="00E440BE">
        <w:rPr>
          <w:rFonts w:ascii="Arial" w:hAnsi="Arial" w:cs="Arial"/>
        </w:rPr>
        <w:t xml:space="preserve">he ultimate turnaround package did not </w:t>
      </w:r>
      <w:r w:rsidR="008774F0" w:rsidRPr="00E440BE">
        <w:rPr>
          <w:rFonts w:ascii="Arial" w:hAnsi="Arial" w:cs="Arial"/>
        </w:rPr>
        <w:t>need to utilize this tool – presumably because the relevant parties reached the view that</w:t>
      </w:r>
      <w:r w:rsidR="002D4D71" w:rsidRPr="00E440BE">
        <w:rPr>
          <w:rFonts w:ascii="Arial" w:hAnsi="Arial" w:cs="Arial"/>
          <w:lang/>
        </w:rPr>
        <w:t>,</w:t>
      </w:r>
      <w:r w:rsidR="008774F0" w:rsidRPr="00E440BE">
        <w:rPr>
          <w:rFonts w:ascii="Arial" w:hAnsi="Arial" w:cs="Arial"/>
        </w:rPr>
        <w:t xml:space="preserve"> in the circumstances, </w:t>
      </w:r>
      <w:r w:rsidR="0011640C" w:rsidRPr="00E440BE">
        <w:rPr>
          <w:rFonts w:ascii="Arial" w:hAnsi="Arial" w:cs="Arial"/>
        </w:rPr>
        <w:t xml:space="preserve">additional funding in exchange for further subordination of rights was a less preferable outcome to </w:t>
      </w:r>
      <w:r w:rsidR="004D1759" w:rsidRPr="00E440BE">
        <w:rPr>
          <w:rFonts w:ascii="Arial" w:hAnsi="Arial" w:cs="Arial"/>
        </w:rPr>
        <w:t xml:space="preserve">a reduction in the </w:t>
      </w:r>
      <w:r w:rsidR="00D7632A" w:rsidRPr="00E440BE">
        <w:rPr>
          <w:rFonts w:ascii="Arial" w:hAnsi="Arial" w:cs="Arial"/>
        </w:rPr>
        <w:t>Group</w:t>
      </w:r>
      <w:r w:rsidR="004D1759" w:rsidRPr="00E440BE">
        <w:rPr>
          <w:rFonts w:ascii="Arial" w:hAnsi="Arial" w:cs="Arial"/>
        </w:rPr>
        <w:t>’s liabilities</w:t>
      </w:r>
      <w:r w:rsidR="0011640C" w:rsidRPr="00E440BE">
        <w:rPr>
          <w:rFonts w:ascii="Arial" w:hAnsi="Arial" w:cs="Arial"/>
        </w:rPr>
        <w:t xml:space="preserve">. </w:t>
      </w:r>
    </w:p>
    <w:p w14:paraId="1338FDC1" w14:textId="77777777" w:rsidR="002D4D71" w:rsidRPr="00E440BE" w:rsidRDefault="002D4D71" w:rsidP="00FC5510">
      <w:pPr>
        <w:spacing w:after="0" w:line="240" w:lineRule="auto"/>
        <w:jc w:val="both"/>
        <w:rPr>
          <w:rFonts w:ascii="Arial" w:hAnsi="Arial" w:cs="Arial"/>
          <w:b/>
          <w:bCs/>
        </w:rPr>
      </w:pPr>
    </w:p>
    <w:p w14:paraId="146F5A03" w14:textId="77777777" w:rsidR="002D4D71" w:rsidRPr="00E440BE" w:rsidRDefault="002D4D71" w:rsidP="00FC5510">
      <w:pPr>
        <w:spacing w:after="0" w:line="240" w:lineRule="auto"/>
        <w:jc w:val="both"/>
        <w:rPr>
          <w:rFonts w:ascii="Arial" w:hAnsi="Arial" w:cs="Arial"/>
          <w:b/>
          <w:bCs/>
        </w:rPr>
      </w:pPr>
    </w:p>
    <w:p w14:paraId="0010B5A0" w14:textId="77777777" w:rsidR="0004705A" w:rsidRPr="00E440BE" w:rsidRDefault="0004705A" w:rsidP="00FC5510">
      <w:pPr>
        <w:keepNext/>
        <w:spacing w:after="0" w:line="240" w:lineRule="auto"/>
        <w:jc w:val="both"/>
        <w:rPr>
          <w:rFonts w:ascii="Arial" w:hAnsi="Arial" w:cs="Arial"/>
          <w:b/>
          <w:bCs/>
          <w:caps/>
        </w:rPr>
      </w:pPr>
      <w:r w:rsidRPr="00E440BE">
        <w:rPr>
          <w:rFonts w:ascii="Arial" w:hAnsi="Arial" w:cs="Arial"/>
          <w:b/>
          <w:bCs/>
          <w:caps/>
        </w:rPr>
        <w:t>6. Suppose it is not possible to convince other creditors to adopt the Statement of Principles in a given situation, are there any other possibilities for “soft law” to use (perhaps specifically in your country/region)? If yes, explain in what way. If not, do you see any alternative (informal) possibilities?</w:t>
      </w:r>
    </w:p>
    <w:p w14:paraId="1C146AEF" w14:textId="77777777" w:rsidR="0004705A" w:rsidRPr="00E440BE" w:rsidRDefault="0004705A" w:rsidP="00FC5510">
      <w:pPr>
        <w:keepNext/>
        <w:spacing w:after="0" w:line="240" w:lineRule="auto"/>
        <w:jc w:val="both"/>
        <w:rPr>
          <w:rFonts w:ascii="Arial" w:hAnsi="Arial" w:cs="Arial"/>
          <w:b/>
          <w:bCs/>
        </w:rPr>
      </w:pPr>
    </w:p>
    <w:p w14:paraId="094B5A3C" w14:textId="3AB33759" w:rsidR="001E0FAF" w:rsidRPr="00E440BE" w:rsidRDefault="001E0FAF" w:rsidP="00FC5510">
      <w:pPr>
        <w:spacing w:after="0" w:line="240" w:lineRule="auto"/>
        <w:jc w:val="both"/>
        <w:rPr>
          <w:rFonts w:ascii="Arial" w:hAnsi="Arial" w:cs="Arial"/>
        </w:rPr>
      </w:pPr>
      <w:r w:rsidRPr="00E440BE">
        <w:rPr>
          <w:rFonts w:ascii="Arial" w:hAnsi="Arial" w:cs="Arial"/>
        </w:rPr>
        <w:t>As per Shelton, D:</w:t>
      </w:r>
      <w:r w:rsidR="002E3F5E" w:rsidRPr="00E440BE">
        <w:rPr>
          <w:rStyle w:val="FootnoteReference"/>
          <w:rFonts w:ascii="Arial" w:hAnsi="Arial" w:cs="Arial"/>
        </w:rPr>
        <w:footnoteReference w:id="20"/>
      </w:r>
    </w:p>
    <w:p w14:paraId="3C19DA47" w14:textId="77777777" w:rsidR="001E0FAF" w:rsidRPr="00E440BE" w:rsidRDefault="001E0FAF" w:rsidP="00FC5510">
      <w:pPr>
        <w:spacing w:after="0" w:line="240" w:lineRule="auto"/>
        <w:jc w:val="both"/>
        <w:rPr>
          <w:rFonts w:ascii="Arial" w:hAnsi="Arial" w:cs="Arial"/>
          <w:b/>
          <w:bCs/>
        </w:rPr>
      </w:pPr>
    </w:p>
    <w:p w14:paraId="65362A5C" w14:textId="3207F98A" w:rsidR="001E0FAF" w:rsidRPr="00E440BE" w:rsidRDefault="00BF6095" w:rsidP="00FC5510">
      <w:pPr>
        <w:spacing w:after="0" w:line="240" w:lineRule="auto"/>
        <w:ind w:left="720"/>
        <w:jc w:val="both"/>
        <w:rPr>
          <w:rFonts w:ascii="Arial" w:hAnsi="Arial" w:cs="Arial"/>
        </w:rPr>
      </w:pPr>
      <w:r w:rsidRPr="00E440BE">
        <w:rPr>
          <w:rFonts w:ascii="Arial" w:hAnsi="Arial" w:cs="Arial"/>
        </w:rPr>
        <w:t>“</w:t>
      </w:r>
      <w:r w:rsidR="001E0FAF" w:rsidRPr="00E440BE">
        <w:rPr>
          <w:rFonts w:ascii="Arial" w:hAnsi="Arial" w:cs="Arial"/>
          <w:i/>
          <w:iCs/>
        </w:rPr>
        <w:t>Soft law is a type of social rather than legal norm. While there is no accepted definition of “soft law,” it usually refers to any written international instrument, other than a treaty, containing principles, norms, standards, or other statements of expected behavior. Soft law “expresses a preference and not an obligation that state should act, or should refrain from acting, in a specified manner.” (Gold 1996: 301). This “expressed preference” for certain behavior aims to achieve functional cooperation among states to reach international goals (Lichtenstein 2001: 1433)</w:t>
      </w:r>
      <w:r w:rsidRPr="00E440BE">
        <w:rPr>
          <w:rFonts w:ascii="Arial" w:hAnsi="Arial" w:cs="Arial"/>
          <w:i/>
          <w:iCs/>
        </w:rPr>
        <w:t>.</w:t>
      </w:r>
      <w:r w:rsidRPr="00E440BE">
        <w:rPr>
          <w:rFonts w:ascii="Arial" w:hAnsi="Arial" w:cs="Arial"/>
        </w:rPr>
        <w:t>”</w:t>
      </w:r>
    </w:p>
    <w:p w14:paraId="0D02E30A" w14:textId="77777777" w:rsidR="008B3D60" w:rsidRPr="00E440BE" w:rsidRDefault="008B3D60" w:rsidP="00FC5510">
      <w:pPr>
        <w:spacing w:after="0" w:line="240" w:lineRule="auto"/>
        <w:ind w:left="720"/>
        <w:jc w:val="both"/>
        <w:rPr>
          <w:rFonts w:ascii="Arial" w:hAnsi="Arial" w:cs="Arial"/>
        </w:rPr>
      </w:pPr>
    </w:p>
    <w:p w14:paraId="5A9E49ED" w14:textId="6EE7549A" w:rsidR="00291DC2" w:rsidRPr="00E440BE" w:rsidRDefault="00065B9E" w:rsidP="00FC5510">
      <w:pPr>
        <w:spacing w:after="0" w:line="240" w:lineRule="auto"/>
        <w:jc w:val="both"/>
        <w:rPr>
          <w:rFonts w:ascii="Arial" w:hAnsi="Arial" w:cs="Arial"/>
        </w:rPr>
      </w:pPr>
      <w:r w:rsidRPr="00E440BE">
        <w:rPr>
          <w:rFonts w:ascii="Arial" w:hAnsi="Arial" w:cs="Arial"/>
        </w:rPr>
        <w:t>In addition to INSOL’s Statement of Principles, other “soft laws”</w:t>
      </w:r>
      <w:r w:rsidR="00122CAC" w:rsidRPr="00E440BE">
        <w:rPr>
          <w:rFonts w:ascii="Arial" w:hAnsi="Arial" w:cs="Arial"/>
        </w:rPr>
        <w:t xml:space="preserve"> include</w:t>
      </w:r>
      <w:r w:rsidR="00291DC2" w:rsidRPr="00E440BE">
        <w:rPr>
          <w:rFonts w:ascii="Arial" w:hAnsi="Arial" w:cs="Arial"/>
        </w:rPr>
        <w:t>:</w:t>
      </w:r>
      <w:r w:rsidR="00E14749" w:rsidRPr="00E440BE">
        <w:rPr>
          <w:rStyle w:val="FootnoteReference"/>
          <w:rFonts w:ascii="Arial" w:hAnsi="Arial" w:cs="Arial"/>
        </w:rPr>
        <w:footnoteReference w:id="21"/>
      </w:r>
    </w:p>
    <w:p w14:paraId="476FD1AA" w14:textId="77777777" w:rsidR="00FA4ED7" w:rsidRPr="00E440BE" w:rsidRDefault="00FA4ED7" w:rsidP="00FC5510">
      <w:pPr>
        <w:spacing w:after="0" w:line="240" w:lineRule="auto"/>
        <w:jc w:val="both"/>
        <w:rPr>
          <w:rFonts w:ascii="Arial" w:hAnsi="Arial" w:cs="Arial"/>
        </w:rPr>
      </w:pPr>
    </w:p>
    <w:p w14:paraId="69E4B6D2" w14:textId="0ED21A2F" w:rsidR="00B035E0" w:rsidRPr="00E440BE" w:rsidRDefault="00B035E0" w:rsidP="00FC5510">
      <w:pPr>
        <w:pStyle w:val="ListParagraph"/>
        <w:numPr>
          <w:ilvl w:val="0"/>
          <w:numId w:val="2"/>
        </w:numPr>
        <w:spacing w:after="0" w:line="240" w:lineRule="auto"/>
        <w:contextualSpacing w:val="0"/>
        <w:jc w:val="both"/>
        <w:rPr>
          <w:rFonts w:ascii="Arial" w:hAnsi="Arial" w:cs="Arial"/>
        </w:rPr>
      </w:pPr>
      <w:r w:rsidRPr="00E440BE">
        <w:rPr>
          <w:rFonts w:ascii="Arial" w:hAnsi="Arial" w:cs="Arial"/>
        </w:rPr>
        <w:t>European Communication and Cooperation Guidelines for Cross-border Insolvency</w:t>
      </w:r>
      <w:r w:rsidR="00EA47AE" w:rsidRPr="00E440BE">
        <w:rPr>
          <w:rStyle w:val="FootnoteReference"/>
          <w:rFonts w:ascii="Arial" w:hAnsi="Arial" w:cs="Arial"/>
        </w:rPr>
        <w:footnoteReference w:id="22"/>
      </w:r>
    </w:p>
    <w:p w14:paraId="5C2FD351" w14:textId="182C6A6B" w:rsidR="00317037" w:rsidRPr="00E440BE" w:rsidRDefault="00317037" w:rsidP="00FC5510">
      <w:pPr>
        <w:pStyle w:val="ListParagraph"/>
        <w:numPr>
          <w:ilvl w:val="0"/>
          <w:numId w:val="2"/>
        </w:numPr>
        <w:spacing w:after="0" w:line="240" w:lineRule="auto"/>
        <w:contextualSpacing w:val="0"/>
        <w:jc w:val="both"/>
        <w:rPr>
          <w:rFonts w:ascii="Arial" w:hAnsi="Arial" w:cs="Arial"/>
        </w:rPr>
      </w:pPr>
      <w:r w:rsidRPr="00E440BE">
        <w:rPr>
          <w:rFonts w:ascii="Arial" w:hAnsi="Arial" w:cs="Arial"/>
        </w:rPr>
        <w:t xml:space="preserve">The World Bank’s Principles for Effective </w:t>
      </w:r>
      <w:r w:rsidR="00F52AC7" w:rsidRPr="00E440BE">
        <w:rPr>
          <w:rFonts w:ascii="Arial" w:hAnsi="Arial" w:cs="Arial"/>
        </w:rPr>
        <w:t>Insolvency and Creditor/Debtor Regimes</w:t>
      </w:r>
      <w:r w:rsidR="00A3111F" w:rsidRPr="00E440BE">
        <w:rPr>
          <w:rStyle w:val="FootnoteReference"/>
          <w:rFonts w:ascii="Arial" w:hAnsi="Arial" w:cs="Arial"/>
        </w:rPr>
        <w:footnoteReference w:id="23"/>
      </w:r>
    </w:p>
    <w:p w14:paraId="6C6553DD" w14:textId="72014737" w:rsidR="00FC22A3" w:rsidRPr="00E440BE" w:rsidRDefault="00FC22A3" w:rsidP="00FC5510">
      <w:pPr>
        <w:pStyle w:val="ListParagraph"/>
        <w:numPr>
          <w:ilvl w:val="0"/>
          <w:numId w:val="2"/>
        </w:numPr>
        <w:spacing w:after="0" w:line="240" w:lineRule="auto"/>
        <w:contextualSpacing w:val="0"/>
        <w:jc w:val="both"/>
        <w:rPr>
          <w:rFonts w:ascii="Arial" w:hAnsi="Arial" w:cs="Arial"/>
        </w:rPr>
      </w:pPr>
      <w:r w:rsidRPr="00E440BE">
        <w:rPr>
          <w:rFonts w:ascii="Arial" w:hAnsi="Arial" w:cs="Arial"/>
        </w:rPr>
        <w:t>The United Nations Commission on International Trade Law (</w:t>
      </w:r>
      <w:r w:rsidRPr="00E440BE">
        <w:rPr>
          <w:rFonts w:ascii="Arial" w:hAnsi="Arial" w:cs="Arial"/>
          <w:b/>
          <w:bCs/>
        </w:rPr>
        <w:t>UNCITRAL</w:t>
      </w:r>
      <w:r w:rsidRPr="00E440BE">
        <w:rPr>
          <w:rFonts w:ascii="Arial" w:hAnsi="Arial" w:cs="Arial"/>
        </w:rPr>
        <w:t xml:space="preserve">) </w:t>
      </w:r>
      <w:r w:rsidR="004255D5" w:rsidRPr="00E440BE">
        <w:rPr>
          <w:rFonts w:ascii="Arial" w:hAnsi="Arial" w:cs="Arial"/>
        </w:rPr>
        <w:t xml:space="preserve">Model Laws on Cross-Border Insolvency and/or </w:t>
      </w:r>
      <w:r w:rsidR="005820DC" w:rsidRPr="00E440BE">
        <w:rPr>
          <w:rFonts w:ascii="Arial" w:hAnsi="Arial" w:cs="Arial"/>
        </w:rPr>
        <w:t xml:space="preserve">on Enterprise Group </w:t>
      </w:r>
      <w:r w:rsidRPr="00E440BE">
        <w:rPr>
          <w:rFonts w:ascii="Arial" w:hAnsi="Arial" w:cs="Arial"/>
        </w:rPr>
        <w:t>Insolvency</w:t>
      </w:r>
      <w:r w:rsidRPr="00E440BE">
        <w:rPr>
          <w:rFonts w:ascii="Arial" w:hAnsi="Arial" w:cs="Arial"/>
          <w:vertAlign w:val="superscript"/>
        </w:rPr>
        <w:footnoteReference w:id="24"/>
      </w:r>
    </w:p>
    <w:p w14:paraId="378A4ADB" w14:textId="582F7AA8" w:rsidR="00A13178" w:rsidRPr="00E440BE" w:rsidRDefault="00A13178" w:rsidP="00FC5510">
      <w:pPr>
        <w:pStyle w:val="ListParagraph"/>
        <w:numPr>
          <w:ilvl w:val="0"/>
          <w:numId w:val="2"/>
        </w:numPr>
        <w:spacing w:after="0" w:line="240" w:lineRule="auto"/>
        <w:contextualSpacing w:val="0"/>
        <w:jc w:val="both"/>
        <w:rPr>
          <w:rFonts w:ascii="Arial" w:hAnsi="Arial" w:cs="Arial"/>
        </w:rPr>
      </w:pPr>
      <w:r w:rsidRPr="00E440BE">
        <w:rPr>
          <w:rFonts w:ascii="Arial" w:hAnsi="Arial" w:cs="Arial"/>
        </w:rPr>
        <w:t>the A</w:t>
      </w:r>
      <w:r w:rsidR="00156729" w:rsidRPr="00E440BE">
        <w:rPr>
          <w:rFonts w:ascii="Arial" w:hAnsi="Arial" w:cs="Arial"/>
        </w:rPr>
        <w:t xml:space="preserve">merican </w:t>
      </w:r>
      <w:r w:rsidRPr="00E440BE">
        <w:rPr>
          <w:rFonts w:ascii="Arial" w:hAnsi="Arial" w:cs="Arial"/>
        </w:rPr>
        <w:t>L</w:t>
      </w:r>
      <w:r w:rsidR="00156729" w:rsidRPr="00E440BE">
        <w:rPr>
          <w:rFonts w:ascii="Arial" w:hAnsi="Arial" w:cs="Arial"/>
        </w:rPr>
        <w:t xml:space="preserve">aw </w:t>
      </w:r>
      <w:r w:rsidRPr="00E440BE">
        <w:rPr>
          <w:rFonts w:ascii="Arial" w:hAnsi="Arial" w:cs="Arial"/>
        </w:rPr>
        <w:t>I</w:t>
      </w:r>
      <w:r w:rsidR="00156729" w:rsidRPr="00E440BE">
        <w:rPr>
          <w:rFonts w:ascii="Arial" w:hAnsi="Arial" w:cs="Arial"/>
        </w:rPr>
        <w:t>nstitute</w:t>
      </w:r>
      <w:r w:rsidR="000D24C0" w:rsidRPr="00E440BE">
        <w:rPr>
          <w:rFonts w:ascii="Arial" w:hAnsi="Arial" w:cs="Arial"/>
        </w:rPr>
        <w:t xml:space="preserve"> (</w:t>
      </w:r>
      <w:r w:rsidR="004304BA" w:rsidRPr="00E440BE">
        <w:rPr>
          <w:rFonts w:ascii="Arial" w:hAnsi="Arial" w:cs="Arial"/>
          <w:b/>
          <w:bCs/>
        </w:rPr>
        <w:t>ALI</w:t>
      </w:r>
      <w:r w:rsidR="000D24C0" w:rsidRPr="00E440BE">
        <w:rPr>
          <w:rFonts w:ascii="Arial" w:hAnsi="Arial" w:cs="Arial"/>
        </w:rPr>
        <w:t>)</w:t>
      </w:r>
      <w:r w:rsidR="004304BA" w:rsidRPr="00E440BE">
        <w:rPr>
          <w:rFonts w:ascii="Arial" w:hAnsi="Arial" w:cs="Arial"/>
        </w:rPr>
        <w:t xml:space="preserve"> </w:t>
      </w:r>
      <w:r w:rsidRPr="00E440BE">
        <w:rPr>
          <w:rFonts w:ascii="Arial" w:hAnsi="Arial" w:cs="Arial"/>
        </w:rPr>
        <w:t>-</w:t>
      </w:r>
      <w:r w:rsidR="004304BA" w:rsidRPr="00E440BE">
        <w:rPr>
          <w:rFonts w:ascii="Arial" w:hAnsi="Arial" w:cs="Arial"/>
        </w:rPr>
        <w:t xml:space="preserve"> </w:t>
      </w:r>
      <w:r w:rsidRPr="00E440BE">
        <w:rPr>
          <w:rFonts w:ascii="Arial" w:hAnsi="Arial" w:cs="Arial"/>
        </w:rPr>
        <w:t>I</w:t>
      </w:r>
      <w:r w:rsidR="00156729" w:rsidRPr="00E440BE">
        <w:rPr>
          <w:rFonts w:ascii="Arial" w:hAnsi="Arial" w:cs="Arial"/>
        </w:rPr>
        <w:t xml:space="preserve">nternational </w:t>
      </w:r>
      <w:r w:rsidRPr="00E440BE">
        <w:rPr>
          <w:rFonts w:ascii="Arial" w:hAnsi="Arial" w:cs="Arial"/>
        </w:rPr>
        <w:t>I</w:t>
      </w:r>
      <w:r w:rsidR="00156729" w:rsidRPr="00E440BE">
        <w:rPr>
          <w:rFonts w:ascii="Arial" w:hAnsi="Arial" w:cs="Arial"/>
        </w:rPr>
        <w:t xml:space="preserve">nsolvency </w:t>
      </w:r>
      <w:r w:rsidRPr="00E440BE">
        <w:rPr>
          <w:rFonts w:ascii="Arial" w:hAnsi="Arial" w:cs="Arial"/>
        </w:rPr>
        <w:t>I</w:t>
      </w:r>
      <w:r w:rsidR="00E65D10" w:rsidRPr="00E440BE">
        <w:rPr>
          <w:rFonts w:ascii="Arial" w:hAnsi="Arial" w:cs="Arial"/>
        </w:rPr>
        <w:t>nstitute</w:t>
      </w:r>
      <w:r w:rsidRPr="00E440BE">
        <w:rPr>
          <w:rFonts w:ascii="Arial" w:hAnsi="Arial" w:cs="Arial"/>
        </w:rPr>
        <w:t xml:space="preserve"> </w:t>
      </w:r>
      <w:r w:rsidR="004304BA" w:rsidRPr="00E440BE">
        <w:rPr>
          <w:rFonts w:ascii="Arial" w:hAnsi="Arial" w:cs="Arial"/>
        </w:rPr>
        <w:t>(</w:t>
      </w:r>
      <w:r w:rsidR="004304BA" w:rsidRPr="00E440BE">
        <w:rPr>
          <w:rFonts w:ascii="Arial" w:hAnsi="Arial" w:cs="Arial"/>
          <w:b/>
          <w:bCs/>
        </w:rPr>
        <w:t>III</w:t>
      </w:r>
      <w:r w:rsidR="004304BA" w:rsidRPr="00E440BE">
        <w:rPr>
          <w:rFonts w:ascii="Arial" w:hAnsi="Arial" w:cs="Arial"/>
        </w:rPr>
        <w:t xml:space="preserve">) </w:t>
      </w:r>
      <w:r w:rsidRPr="00E440BE">
        <w:rPr>
          <w:rFonts w:ascii="Arial" w:hAnsi="Arial" w:cs="Arial"/>
        </w:rPr>
        <w:t>Global Principles for Cooperation in International Insolvency Cases</w:t>
      </w:r>
      <w:r w:rsidRPr="00E440BE">
        <w:rPr>
          <w:rFonts w:ascii="Arial" w:hAnsi="Arial" w:cs="Arial"/>
          <w:vertAlign w:val="superscript"/>
        </w:rPr>
        <w:footnoteReference w:id="25"/>
      </w:r>
    </w:p>
    <w:p w14:paraId="4F668E39" w14:textId="6506ABC5" w:rsidR="00A13178" w:rsidRPr="00E440BE" w:rsidRDefault="00A13178" w:rsidP="00FC5510">
      <w:pPr>
        <w:pStyle w:val="ListParagraph"/>
        <w:numPr>
          <w:ilvl w:val="0"/>
          <w:numId w:val="2"/>
        </w:numPr>
        <w:spacing w:after="0" w:line="240" w:lineRule="auto"/>
        <w:contextualSpacing w:val="0"/>
        <w:jc w:val="both"/>
        <w:rPr>
          <w:rFonts w:ascii="Arial" w:hAnsi="Arial" w:cs="Arial"/>
        </w:rPr>
      </w:pPr>
      <w:r w:rsidRPr="00E440BE">
        <w:rPr>
          <w:rFonts w:ascii="Arial" w:hAnsi="Arial" w:cs="Arial"/>
        </w:rPr>
        <w:lastRenderedPageBreak/>
        <w:t>The Judicial Insolvency Networks’</w:t>
      </w:r>
      <w:r w:rsidR="00373CBE" w:rsidRPr="00E440BE">
        <w:rPr>
          <w:rFonts w:ascii="Arial" w:hAnsi="Arial" w:cs="Arial"/>
        </w:rPr>
        <w:t xml:space="preserve"> (</w:t>
      </w:r>
      <w:r w:rsidR="00373CBE" w:rsidRPr="00E440BE">
        <w:rPr>
          <w:rFonts w:ascii="Arial" w:hAnsi="Arial" w:cs="Arial"/>
          <w:b/>
          <w:bCs/>
        </w:rPr>
        <w:t>JIN</w:t>
      </w:r>
      <w:r w:rsidR="00373CBE" w:rsidRPr="00E440BE">
        <w:rPr>
          <w:rFonts w:ascii="Arial" w:hAnsi="Arial" w:cs="Arial"/>
        </w:rPr>
        <w:t>)</w:t>
      </w:r>
      <w:r w:rsidRPr="00E440BE">
        <w:rPr>
          <w:rFonts w:ascii="Arial" w:hAnsi="Arial" w:cs="Arial"/>
        </w:rPr>
        <w:t xml:space="preserve"> Guidelines</w:t>
      </w:r>
      <w:r w:rsidRPr="00E440BE">
        <w:rPr>
          <w:rFonts w:ascii="Arial" w:hAnsi="Arial" w:cs="Arial"/>
          <w:vertAlign w:val="superscript"/>
        </w:rPr>
        <w:footnoteReference w:id="26"/>
      </w:r>
    </w:p>
    <w:p w14:paraId="3CBC494C" w14:textId="6140065C" w:rsidR="00A13178" w:rsidRPr="00E440BE" w:rsidRDefault="00A13178" w:rsidP="00FC5510">
      <w:pPr>
        <w:pStyle w:val="ListParagraph"/>
        <w:numPr>
          <w:ilvl w:val="0"/>
          <w:numId w:val="2"/>
        </w:numPr>
        <w:spacing w:after="0" w:line="240" w:lineRule="auto"/>
        <w:contextualSpacing w:val="0"/>
        <w:jc w:val="both"/>
        <w:rPr>
          <w:rFonts w:ascii="Arial" w:hAnsi="Arial" w:cs="Arial"/>
        </w:rPr>
      </w:pPr>
      <w:r w:rsidRPr="00E440BE">
        <w:rPr>
          <w:rFonts w:ascii="Arial" w:hAnsi="Arial" w:cs="Arial"/>
        </w:rPr>
        <w:t>The so-called “</w:t>
      </w:r>
      <w:proofErr w:type="spellStart"/>
      <w:r w:rsidRPr="00E440BE">
        <w:rPr>
          <w:rFonts w:ascii="Arial" w:hAnsi="Arial" w:cs="Arial"/>
        </w:rPr>
        <w:t>Recofa</w:t>
      </w:r>
      <w:proofErr w:type="spellEnd"/>
      <w:r w:rsidRPr="00E440BE">
        <w:rPr>
          <w:rFonts w:ascii="Arial" w:hAnsi="Arial" w:cs="Arial"/>
        </w:rPr>
        <w:t>” guidelines</w:t>
      </w:r>
      <w:r w:rsidR="00A94F75" w:rsidRPr="00E440BE">
        <w:rPr>
          <w:rFonts w:ascii="Arial" w:hAnsi="Arial" w:cs="Arial"/>
        </w:rPr>
        <w:t>, developed in the Netherlands.</w:t>
      </w:r>
      <w:r w:rsidRPr="00E440BE">
        <w:rPr>
          <w:rStyle w:val="FootnoteReference"/>
          <w:rFonts w:ascii="Arial" w:hAnsi="Arial" w:cs="Arial"/>
        </w:rPr>
        <w:footnoteReference w:id="27"/>
      </w:r>
    </w:p>
    <w:p w14:paraId="5E56EB2B" w14:textId="77777777" w:rsidR="00E854D5" w:rsidRPr="00E440BE" w:rsidRDefault="00E854D5" w:rsidP="00FC5510">
      <w:pPr>
        <w:spacing w:after="0" w:line="240" w:lineRule="auto"/>
        <w:jc w:val="both"/>
        <w:rPr>
          <w:rFonts w:ascii="Arial" w:hAnsi="Arial" w:cs="Arial"/>
        </w:rPr>
      </w:pPr>
    </w:p>
    <w:p w14:paraId="5019DCB8" w14:textId="50F56E1E" w:rsidR="00CD4E76" w:rsidRPr="00E440BE" w:rsidRDefault="008E735A" w:rsidP="00FC5510">
      <w:pPr>
        <w:spacing w:after="0" w:line="240" w:lineRule="auto"/>
        <w:jc w:val="both"/>
        <w:rPr>
          <w:rFonts w:ascii="Arial" w:hAnsi="Arial" w:cs="Arial"/>
        </w:rPr>
      </w:pPr>
      <w:r w:rsidRPr="00E440BE">
        <w:rPr>
          <w:rFonts w:ascii="Arial" w:hAnsi="Arial" w:cs="Arial"/>
        </w:rPr>
        <w:t>T</w:t>
      </w:r>
      <w:r w:rsidR="00CD4E76" w:rsidRPr="00E440BE">
        <w:rPr>
          <w:rFonts w:ascii="Arial" w:hAnsi="Arial" w:cs="Arial"/>
        </w:rPr>
        <w:t xml:space="preserve">hese </w:t>
      </w:r>
      <w:r w:rsidR="00A519CA" w:rsidRPr="00E440BE">
        <w:rPr>
          <w:rFonts w:ascii="Arial" w:hAnsi="Arial" w:cs="Arial"/>
        </w:rPr>
        <w:t xml:space="preserve">guidelines and protocols </w:t>
      </w:r>
      <w:r w:rsidRPr="00E440BE">
        <w:rPr>
          <w:rFonts w:ascii="Arial" w:hAnsi="Arial" w:cs="Arial"/>
        </w:rPr>
        <w:t xml:space="preserve">arguably </w:t>
      </w:r>
      <w:r w:rsidR="00A519CA" w:rsidRPr="00E440BE">
        <w:rPr>
          <w:rFonts w:ascii="Arial" w:hAnsi="Arial" w:cs="Arial"/>
        </w:rPr>
        <w:t>derive from different “categories” of standard setting organisations</w:t>
      </w:r>
      <w:r w:rsidR="005C0F74" w:rsidRPr="00E440BE">
        <w:rPr>
          <w:rFonts w:ascii="Arial" w:hAnsi="Arial" w:cs="Arial"/>
        </w:rPr>
        <w:t>.</w:t>
      </w:r>
      <w:r w:rsidR="005C0F74" w:rsidRPr="00E440BE">
        <w:rPr>
          <w:rStyle w:val="FootnoteReference"/>
          <w:rFonts w:ascii="Arial" w:hAnsi="Arial" w:cs="Arial"/>
        </w:rPr>
        <w:footnoteReference w:id="28"/>
      </w:r>
      <w:r w:rsidRPr="00E440BE">
        <w:rPr>
          <w:rFonts w:ascii="Arial" w:hAnsi="Arial" w:cs="Arial"/>
        </w:rPr>
        <w:t xml:space="preserve"> However, </w:t>
      </w:r>
      <w:proofErr w:type="gramStart"/>
      <w:r w:rsidRPr="00E440BE">
        <w:rPr>
          <w:rFonts w:ascii="Arial" w:hAnsi="Arial" w:cs="Arial"/>
        </w:rPr>
        <w:t xml:space="preserve">due to the fact </w:t>
      </w:r>
      <w:r w:rsidR="00A92093" w:rsidRPr="00E440BE">
        <w:rPr>
          <w:rFonts w:ascii="Arial" w:hAnsi="Arial" w:cs="Arial"/>
        </w:rPr>
        <w:t>that</w:t>
      </w:r>
      <w:proofErr w:type="gramEnd"/>
      <w:r w:rsidR="00A92093" w:rsidRPr="00E440BE">
        <w:rPr>
          <w:rFonts w:ascii="Arial" w:hAnsi="Arial" w:cs="Arial"/>
        </w:rPr>
        <w:t xml:space="preserve"> soft law is not, by its very nature, binding, </w:t>
      </w:r>
      <w:r w:rsidR="00242968" w:rsidRPr="00E440BE">
        <w:rPr>
          <w:rFonts w:ascii="Arial" w:hAnsi="Arial" w:cs="Arial"/>
        </w:rPr>
        <w:t>such</w:t>
      </w:r>
      <w:r w:rsidR="00A92093" w:rsidRPr="00E440BE">
        <w:rPr>
          <w:rFonts w:ascii="Arial" w:hAnsi="Arial" w:cs="Arial"/>
        </w:rPr>
        <w:t xml:space="preserve"> classification has little relevance sa</w:t>
      </w:r>
      <w:r w:rsidR="00242968" w:rsidRPr="00E440BE">
        <w:rPr>
          <w:rFonts w:ascii="Arial" w:hAnsi="Arial" w:cs="Arial"/>
        </w:rPr>
        <w:t>v</w:t>
      </w:r>
      <w:r w:rsidR="00A92093" w:rsidRPr="00E440BE">
        <w:rPr>
          <w:rFonts w:ascii="Arial" w:hAnsi="Arial" w:cs="Arial"/>
        </w:rPr>
        <w:t>e to the extent that it might affect the parties or a court</w:t>
      </w:r>
      <w:r w:rsidR="004E4B68" w:rsidRPr="00E440BE">
        <w:rPr>
          <w:rFonts w:ascii="Arial" w:hAnsi="Arial" w:cs="Arial"/>
        </w:rPr>
        <w:t xml:space="preserve"> or government’s </w:t>
      </w:r>
      <w:r w:rsidR="00004444" w:rsidRPr="00E440BE">
        <w:rPr>
          <w:rFonts w:ascii="Arial" w:hAnsi="Arial" w:cs="Arial"/>
        </w:rPr>
        <w:t>willingness to pay heed to the propositions.</w:t>
      </w:r>
      <w:r w:rsidR="004E4B68" w:rsidRPr="00E440BE">
        <w:rPr>
          <w:rFonts w:ascii="Arial" w:hAnsi="Arial" w:cs="Arial"/>
        </w:rPr>
        <w:t xml:space="preserve"> </w:t>
      </w:r>
    </w:p>
    <w:p w14:paraId="19363324" w14:textId="77777777" w:rsidR="00CD4E76" w:rsidRPr="00E440BE" w:rsidRDefault="00CD4E76" w:rsidP="00FC5510">
      <w:pPr>
        <w:spacing w:after="0" w:line="240" w:lineRule="auto"/>
        <w:jc w:val="both"/>
        <w:rPr>
          <w:rFonts w:ascii="Arial" w:hAnsi="Arial" w:cs="Arial"/>
        </w:rPr>
      </w:pPr>
    </w:p>
    <w:p w14:paraId="4AFB9917" w14:textId="12A5A6C0" w:rsidR="00453FB4" w:rsidRPr="00E440BE" w:rsidRDefault="0064190E" w:rsidP="00FC5510">
      <w:pPr>
        <w:spacing w:after="0" w:line="240" w:lineRule="auto"/>
        <w:jc w:val="both"/>
        <w:rPr>
          <w:rFonts w:ascii="Arial" w:hAnsi="Arial" w:cs="Arial"/>
        </w:rPr>
      </w:pPr>
      <w:r w:rsidRPr="00E440BE">
        <w:rPr>
          <w:rFonts w:ascii="Arial" w:hAnsi="Arial" w:cs="Arial"/>
        </w:rPr>
        <w:t>I</w:t>
      </w:r>
      <w:r w:rsidR="00453FB4" w:rsidRPr="00E440BE">
        <w:rPr>
          <w:rFonts w:ascii="Arial" w:hAnsi="Arial" w:cs="Arial"/>
        </w:rPr>
        <w:t xml:space="preserve">n contrast to INSOL’s Statement of Principles, the </w:t>
      </w:r>
      <w:r w:rsidR="001C6F47" w:rsidRPr="00E440BE">
        <w:rPr>
          <w:rFonts w:ascii="Arial" w:hAnsi="Arial" w:cs="Arial"/>
        </w:rPr>
        <w:t xml:space="preserve">primary focus of the </w:t>
      </w:r>
      <w:r w:rsidR="00453FB4" w:rsidRPr="00E440BE">
        <w:rPr>
          <w:rFonts w:ascii="Arial" w:hAnsi="Arial" w:cs="Arial"/>
        </w:rPr>
        <w:t xml:space="preserve">vast majority </w:t>
      </w:r>
      <w:r w:rsidR="001C6F47" w:rsidRPr="00E440BE">
        <w:rPr>
          <w:rFonts w:ascii="Arial" w:hAnsi="Arial" w:cs="Arial"/>
        </w:rPr>
        <w:t xml:space="preserve">of </w:t>
      </w:r>
      <w:r w:rsidRPr="00E440BE">
        <w:rPr>
          <w:rFonts w:ascii="Arial" w:hAnsi="Arial" w:cs="Arial"/>
        </w:rPr>
        <w:t xml:space="preserve">other </w:t>
      </w:r>
      <w:r w:rsidR="001C6F47" w:rsidRPr="00E440BE">
        <w:rPr>
          <w:rFonts w:ascii="Arial" w:hAnsi="Arial" w:cs="Arial"/>
        </w:rPr>
        <w:t xml:space="preserve">soft laws </w:t>
      </w:r>
      <w:r w:rsidR="004E383C" w:rsidRPr="00E440BE">
        <w:rPr>
          <w:rFonts w:ascii="Arial" w:hAnsi="Arial" w:cs="Arial"/>
        </w:rPr>
        <w:t>relate to court-to-court communications and cooperation in cross-border insolvency and restructuring proceedings.</w:t>
      </w:r>
      <w:r w:rsidR="00C2276C" w:rsidRPr="00E440BE">
        <w:rPr>
          <w:rStyle w:val="FootnoteReference"/>
          <w:rFonts w:ascii="Arial" w:hAnsi="Arial" w:cs="Arial"/>
        </w:rPr>
        <w:footnoteReference w:id="29"/>
      </w:r>
      <w:r w:rsidR="004E383C" w:rsidRPr="00E440BE">
        <w:rPr>
          <w:rFonts w:ascii="Arial" w:hAnsi="Arial" w:cs="Arial"/>
        </w:rPr>
        <w:t xml:space="preserve"> </w:t>
      </w:r>
      <w:r w:rsidRPr="00E440BE">
        <w:rPr>
          <w:rFonts w:ascii="Arial" w:hAnsi="Arial" w:cs="Arial"/>
        </w:rPr>
        <w:t xml:space="preserve">True, certain </w:t>
      </w:r>
      <w:r w:rsidR="009041BE" w:rsidRPr="00E440BE">
        <w:rPr>
          <w:rFonts w:ascii="Arial" w:hAnsi="Arial" w:cs="Arial"/>
        </w:rPr>
        <w:t>principles or guidelines will likely be of relevance to any attempted turnaround situation, but are the parties really going to be seeking to pick and choose principles as part of what are essentially commerical negotiations</w:t>
      </w:r>
      <w:r w:rsidR="00CC609F" w:rsidRPr="00E440BE">
        <w:rPr>
          <w:rFonts w:ascii="Arial" w:hAnsi="Arial" w:cs="Arial"/>
        </w:rPr>
        <w:t>?</w:t>
      </w:r>
      <w:r w:rsidR="009041BE" w:rsidRPr="00E440BE">
        <w:rPr>
          <w:rFonts w:ascii="Arial" w:hAnsi="Arial" w:cs="Arial"/>
        </w:rPr>
        <w:t xml:space="preserve"> </w:t>
      </w:r>
      <w:r w:rsidR="004E383C" w:rsidRPr="00E440BE">
        <w:rPr>
          <w:rFonts w:ascii="Arial" w:hAnsi="Arial" w:cs="Arial"/>
        </w:rPr>
        <w:t xml:space="preserve">The consequence </w:t>
      </w:r>
      <w:r w:rsidR="009041BE" w:rsidRPr="00E440BE">
        <w:rPr>
          <w:rFonts w:ascii="Arial" w:hAnsi="Arial" w:cs="Arial"/>
        </w:rPr>
        <w:t>of this is</w:t>
      </w:r>
      <w:r w:rsidR="004E383C" w:rsidRPr="00E440BE">
        <w:rPr>
          <w:rFonts w:ascii="Arial" w:hAnsi="Arial" w:cs="Arial"/>
        </w:rPr>
        <w:t xml:space="preserve"> that, at best, these other soft laws are of tangential relevance to </w:t>
      </w:r>
      <w:r w:rsidR="003D218B" w:rsidRPr="00E440BE">
        <w:rPr>
          <w:rFonts w:ascii="Arial" w:hAnsi="Arial" w:cs="Arial"/>
        </w:rPr>
        <w:t>debtors and creditors seeking to negoti</w:t>
      </w:r>
      <w:r w:rsidR="001A14CD" w:rsidRPr="00E440BE">
        <w:rPr>
          <w:rFonts w:ascii="Arial" w:hAnsi="Arial" w:cs="Arial"/>
        </w:rPr>
        <w:t>ate a consensual work out.</w:t>
      </w:r>
    </w:p>
    <w:p w14:paraId="2F6DD002" w14:textId="77777777" w:rsidR="001A14CD" w:rsidRPr="00E440BE" w:rsidRDefault="001A14CD" w:rsidP="00FC5510">
      <w:pPr>
        <w:spacing w:after="0" w:line="240" w:lineRule="auto"/>
        <w:jc w:val="both"/>
        <w:rPr>
          <w:rFonts w:ascii="Arial" w:hAnsi="Arial" w:cs="Arial"/>
        </w:rPr>
      </w:pPr>
    </w:p>
    <w:p w14:paraId="6053217F" w14:textId="328CA489" w:rsidR="001A14CD" w:rsidRPr="00E440BE" w:rsidRDefault="00F11D0E" w:rsidP="00FC5510">
      <w:pPr>
        <w:spacing w:after="0" w:line="240" w:lineRule="auto"/>
        <w:jc w:val="both"/>
        <w:rPr>
          <w:rFonts w:ascii="Arial" w:hAnsi="Arial" w:cs="Arial"/>
        </w:rPr>
      </w:pPr>
      <w:r w:rsidRPr="00E440BE">
        <w:rPr>
          <w:rFonts w:ascii="Arial" w:hAnsi="Arial" w:cs="Arial"/>
        </w:rPr>
        <w:t>Furthermore, e</w:t>
      </w:r>
      <w:r w:rsidR="001A14CD" w:rsidRPr="00E440BE">
        <w:rPr>
          <w:rFonts w:ascii="Arial" w:hAnsi="Arial" w:cs="Arial"/>
        </w:rPr>
        <w:t xml:space="preserve">ven if other soft laws </w:t>
      </w:r>
      <w:r w:rsidR="001229F0" w:rsidRPr="00E440BE">
        <w:rPr>
          <w:rFonts w:ascii="Arial" w:hAnsi="Arial" w:cs="Arial"/>
        </w:rPr>
        <w:t xml:space="preserve">(or even the INSOL Statement of Principles) </w:t>
      </w:r>
      <w:r w:rsidR="001A14CD" w:rsidRPr="00E440BE">
        <w:rPr>
          <w:rFonts w:ascii="Arial" w:hAnsi="Arial" w:cs="Arial"/>
        </w:rPr>
        <w:t xml:space="preserve">were utilized </w:t>
      </w:r>
      <w:r w:rsidR="001229F0" w:rsidRPr="00E440BE">
        <w:rPr>
          <w:rFonts w:ascii="Arial" w:hAnsi="Arial" w:cs="Arial"/>
        </w:rPr>
        <w:t>by the parties</w:t>
      </w:r>
      <w:r w:rsidR="001A14CD" w:rsidRPr="00E440BE">
        <w:rPr>
          <w:rFonts w:ascii="Arial" w:hAnsi="Arial" w:cs="Arial"/>
        </w:rPr>
        <w:t>, the issue</w:t>
      </w:r>
      <w:r w:rsidR="0060126A" w:rsidRPr="00E440BE">
        <w:rPr>
          <w:rFonts w:ascii="Arial" w:hAnsi="Arial" w:cs="Arial"/>
        </w:rPr>
        <w:t xml:space="preserve"> would</w:t>
      </w:r>
      <w:r w:rsidR="001A14CD" w:rsidRPr="00E440BE">
        <w:rPr>
          <w:rFonts w:ascii="Arial" w:hAnsi="Arial" w:cs="Arial"/>
        </w:rPr>
        <w:t xml:space="preserve"> remain that soft laws are </w:t>
      </w:r>
      <w:r w:rsidR="00EC387D" w:rsidRPr="00E440BE">
        <w:rPr>
          <w:rFonts w:ascii="Arial" w:hAnsi="Arial" w:cs="Arial"/>
        </w:rPr>
        <w:t xml:space="preserve">- </w:t>
      </w:r>
      <w:r w:rsidR="001A14CD" w:rsidRPr="00E440BE">
        <w:rPr>
          <w:rFonts w:ascii="Arial" w:hAnsi="Arial" w:cs="Arial"/>
        </w:rPr>
        <w:t>by their very nature – not binding</w:t>
      </w:r>
      <w:r w:rsidR="0024237F" w:rsidRPr="00E440BE">
        <w:rPr>
          <w:rFonts w:ascii="Arial" w:hAnsi="Arial" w:cs="Arial"/>
        </w:rPr>
        <w:t>.</w:t>
      </w:r>
      <w:r w:rsidR="0024237F" w:rsidRPr="00E440BE">
        <w:rPr>
          <w:rStyle w:val="FootnoteReference"/>
          <w:rFonts w:ascii="Arial" w:hAnsi="Arial" w:cs="Arial"/>
        </w:rPr>
        <w:footnoteReference w:id="30"/>
      </w:r>
      <w:r w:rsidR="001229F0" w:rsidRPr="00E440BE">
        <w:rPr>
          <w:rFonts w:ascii="Arial" w:hAnsi="Arial" w:cs="Arial"/>
        </w:rPr>
        <w:t xml:space="preserve"> Therefore, if it were ever necessary </w:t>
      </w:r>
      <w:r w:rsidR="00F62DD7" w:rsidRPr="00E440BE">
        <w:rPr>
          <w:rFonts w:ascii="Arial" w:hAnsi="Arial" w:cs="Arial"/>
        </w:rPr>
        <w:t xml:space="preserve">for a party to </w:t>
      </w:r>
      <w:r w:rsidR="00C2276C" w:rsidRPr="00E440BE">
        <w:rPr>
          <w:rFonts w:ascii="Arial" w:hAnsi="Arial" w:cs="Arial"/>
        </w:rPr>
        <w:t xml:space="preserve">seek </w:t>
      </w:r>
      <w:r w:rsidR="00F62DD7" w:rsidRPr="00E440BE">
        <w:rPr>
          <w:rFonts w:ascii="Arial" w:hAnsi="Arial" w:cs="Arial"/>
        </w:rPr>
        <w:t>assistance</w:t>
      </w:r>
      <w:r w:rsidR="00C2276C" w:rsidRPr="00E440BE">
        <w:rPr>
          <w:rFonts w:ascii="Arial" w:hAnsi="Arial" w:cs="Arial"/>
        </w:rPr>
        <w:t xml:space="preserve"> from a court</w:t>
      </w:r>
      <w:r w:rsidR="00F62DD7" w:rsidRPr="00E440BE">
        <w:rPr>
          <w:rFonts w:ascii="Arial" w:hAnsi="Arial" w:cs="Arial"/>
        </w:rPr>
        <w:t xml:space="preserve">, that court would likely pay heed only to the </w:t>
      </w:r>
      <w:r w:rsidR="00FB6250" w:rsidRPr="00E440BE">
        <w:rPr>
          <w:rFonts w:ascii="Arial" w:hAnsi="Arial" w:cs="Arial"/>
        </w:rPr>
        <w:t>law which is binding in its jurisdiction</w:t>
      </w:r>
      <w:r w:rsidR="0060126A" w:rsidRPr="00E440BE">
        <w:rPr>
          <w:rFonts w:ascii="Arial" w:hAnsi="Arial" w:cs="Arial"/>
        </w:rPr>
        <w:t xml:space="preserve"> and would not </w:t>
      </w:r>
      <w:r w:rsidR="00F12211" w:rsidRPr="00E440BE">
        <w:rPr>
          <w:rFonts w:ascii="Arial" w:hAnsi="Arial" w:cs="Arial"/>
        </w:rPr>
        <w:t xml:space="preserve">see compliance with soft law as sufficient if that law conflicted with relevant </w:t>
      </w:r>
      <w:r w:rsidR="009134D0" w:rsidRPr="00E440BE">
        <w:rPr>
          <w:rFonts w:ascii="Arial" w:hAnsi="Arial" w:cs="Arial"/>
        </w:rPr>
        <w:t>binding law.</w:t>
      </w:r>
    </w:p>
    <w:p w14:paraId="3D1D4635" w14:textId="77777777" w:rsidR="009134D0" w:rsidRPr="00E440BE" w:rsidRDefault="009134D0" w:rsidP="00FC5510">
      <w:pPr>
        <w:spacing w:after="0" w:line="240" w:lineRule="auto"/>
        <w:jc w:val="both"/>
        <w:rPr>
          <w:rFonts w:ascii="Arial" w:hAnsi="Arial" w:cs="Arial"/>
        </w:rPr>
      </w:pPr>
    </w:p>
    <w:p w14:paraId="0835DA84" w14:textId="06FC80EF" w:rsidR="00F11D0E" w:rsidRPr="00E440BE" w:rsidRDefault="007A6C1E" w:rsidP="00FC5510">
      <w:pPr>
        <w:spacing w:after="0" w:line="240" w:lineRule="auto"/>
        <w:jc w:val="both"/>
        <w:rPr>
          <w:rFonts w:ascii="Arial" w:hAnsi="Arial" w:cs="Arial"/>
        </w:rPr>
      </w:pPr>
      <w:r w:rsidRPr="00E440BE">
        <w:rPr>
          <w:rFonts w:ascii="Arial" w:hAnsi="Arial" w:cs="Arial"/>
        </w:rPr>
        <w:t>In circumstances where the route chosen by the parties necessarily requires consensus (</w:t>
      </w:r>
      <w:proofErr w:type="spellStart"/>
      <w:proofErr w:type="gramStart"/>
      <w:r w:rsidRPr="00E440BE">
        <w:rPr>
          <w:rFonts w:ascii="Arial" w:hAnsi="Arial" w:cs="Arial"/>
        </w:rPr>
        <w:t>ie</w:t>
      </w:r>
      <w:proofErr w:type="spellEnd"/>
      <w:proofErr w:type="gramEnd"/>
      <w:r w:rsidRPr="00E440BE">
        <w:rPr>
          <w:rFonts w:ascii="Arial" w:hAnsi="Arial" w:cs="Arial"/>
        </w:rPr>
        <w:t xml:space="preserve"> an agreed workout)</w:t>
      </w:r>
      <w:r w:rsidR="00A66EB3" w:rsidRPr="00E440BE">
        <w:rPr>
          <w:rFonts w:ascii="Arial" w:hAnsi="Arial" w:cs="Arial"/>
        </w:rPr>
        <w:t xml:space="preserve">, it </w:t>
      </w:r>
      <w:r w:rsidR="00692172" w:rsidRPr="00E440BE">
        <w:rPr>
          <w:rFonts w:ascii="Arial" w:hAnsi="Arial" w:cs="Arial"/>
        </w:rPr>
        <w:t xml:space="preserve">follows that it is not hugely problematic that there is no rigid framework that applies to </w:t>
      </w:r>
      <w:r w:rsidR="00447926" w:rsidRPr="00E440BE">
        <w:rPr>
          <w:rFonts w:ascii="Arial" w:hAnsi="Arial" w:cs="Arial"/>
        </w:rPr>
        <w:t>their negotiations</w:t>
      </w:r>
      <w:r w:rsidR="00A66EB3" w:rsidRPr="00E440BE">
        <w:rPr>
          <w:rFonts w:ascii="Arial" w:hAnsi="Arial" w:cs="Arial"/>
        </w:rPr>
        <w:t xml:space="preserve">. This could, for example, be compared to </w:t>
      </w:r>
      <w:r w:rsidR="00A66EB3" w:rsidRPr="00E440BE">
        <w:rPr>
          <w:rFonts w:ascii="Arial" w:hAnsi="Arial" w:cs="Arial"/>
          <w:i/>
          <w:iCs/>
        </w:rPr>
        <w:t>ad hoc</w:t>
      </w:r>
      <w:r w:rsidR="00A66EB3" w:rsidRPr="00E440BE">
        <w:rPr>
          <w:rFonts w:ascii="Arial" w:hAnsi="Arial" w:cs="Arial"/>
        </w:rPr>
        <w:t xml:space="preserve"> arbitrations: There is </w:t>
      </w:r>
      <w:r w:rsidR="000D1739" w:rsidRPr="00E440BE">
        <w:rPr>
          <w:rFonts w:ascii="Arial" w:hAnsi="Arial" w:cs="Arial"/>
        </w:rPr>
        <w:t xml:space="preserve">(or, at least, in the early days, there was) </w:t>
      </w:r>
      <w:r w:rsidR="00A66EB3" w:rsidRPr="00E440BE">
        <w:rPr>
          <w:rFonts w:ascii="Arial" w:hAnsi="Arial" w:cs="Arial"/>
        </w:rPr>
        <w:t xml:space="preserve">no explicit </w:t>
      </w:r>
      <w:r w:rsidR="000D1739" w:rsidRPr="00E440BE">
        <w:rPr>
          <w:rFonts w:ascii="Arial" w:hAnsi="Arial" w:cs="Arial"/>
        </w:rPr>
        <w:t xml:space="preserve">rule book that set out the procedure to be </w:t>
      </w:r>
      <w:proofErr w:type="gramStart"/>
      <w:r w:rsidR="000D1739" w:rsidRPr="00E440BE">
        <w:rPr>
          <w:rFonts w:ascii="Arial" w:hAnsi="Arial" w:cs="Arial"/>
        </w:rPr>
        <w:t>followed, but</w:t>
      </w:r>
      <w:proofErr w:type="gramEnd"/>
      <w:r w:rsidR="000D1739" w:rsidRPr="00E440BE">
        <w:rPr>
          <w:rFonts w:ascii="Arial" w:hAnsi="Arial" w:cs="Arial"/>
        </w:rPr>
        <w:t xml:space="preserve"> guided by the overriding agreement/goal of having their dispute resolved through arbitration, the parties found a way through.  </w:t>
      </w:r>
    </w:p>
    <w:p w14:paraId="140B66ED" w14:textId="77777777" w:rsidR="00447926" w:rsidRPr="00E440BE" w:rsidRDefault="00447926" w:rsidP="00FC5510">
      <w:pPr>
        <w:spacing w:after="0" w:line="240" w:lineRule="auto"/>
        <w:jc w:val="both"/>
        <w:rPr>
          <w:rFonts w:ascii="Arial" w:hAnsi="Arial" w:cs="Arial"/>
        </w:rPr>
      </w:pPr>
    </w:p>
    <w:p w14:paraId="66EF149B" w14:textId="49B22664" w:rsidR="00447926" w:rsidRPr="00E440BE" w:rsidRDefault="00447926" w:rsidP="00FC5510">
      <w:pPr>
        <w:spacing w:after="0" w:line="240" w:lineRule="auto"/>
        <w:jc w:val="both"/>
        <w:rPr>
          <w:rFonts w:ascii="Arial" w:hAnsi="Arial" w:cs="Arial"/>
        </w:rPr>
      </w:pPr>
      <w:r w:rsidRPr="00E440BE">
        <w:rPr>
          <w:rFonts w:ascii="Arial" w:hAnsi="Arial" w:cs="Arial"/>
        </w:rPr>
        <w:t xml:space="preserve">What is more important is that </w:t>
      </w:r>
      <w:r w:rsidR="00513422" w:rsidRPr="00E440BE">
        <w:rPr>
          <w:rFonts w:ascii="Arial" w:hAnsi="Arial" w:cs="Arial"/>
        </w:rPr>
        <w:t xml:space="preserve">no parties </w:t>
      </w:r>
      <w:r w:rsidR="00E25714" w:rsidRPr="00E440BE">
        <w:rPr>
          <w:rFonts w:ascii="Arial" w:hAnsi="Arial" w:cs="Arial"/>
        </w:rPr>
        <w:t>unknowingly</w:t>
      </w:r>
      <w:r w:rsidR="00513422" w:rsidRPr="00E440BE">
        <w:rPr>
          <w:rFonts w:ascii="Arial" w:hAnsi="Arial" w:cs="Arial"/>
        </w:rPr>
        <w:t xml:space="preserve"> agree to, or take a step, that would put them in significant legal difficult</w:t>
      </w:r>
      <w:r w:rsidR="00E25714" w:rsidRPr="00E440BE">
        <w:rPr>
          <w:rFonts w:ascii="Arial" w:hAnsi="Arial" w:cs="Arial"/>
        </w:rPr>
        <w:t>ies</w:t>
      </w:r>
      <w:r w:rsidR="00513422" w:rsidRPr="00E440BE">
        <w:rPr>
          <w:rFonts w:ascii="Arial" w:hAnsi="Arial" w:cs="Arial"/>
        </w:rPr>
        <w:t xml:space="preserve"> in </w:t>
      </w:r>
      <w:r w:rsidR="00E25714" w:rsidRPr="00E440BE">
        <w:rPr>
          <w:rFonts w:ascii="Arial" w:hAnsi="Arial" w:cs="Arial"/>
        </w:rPr>
        <w:t xml:space="preserve">a particular jurisdiction. Such </w:t>
      </w:r>
      <w:r w:rsidR="00D43377" w:rsidRPr="00E440BE">
        <w:rPr>
          <w:rFonts w:ascii="Arial" w:hAnsi="Arial" w:cs="Arial"/>
        </w:rPr>
        <w:t>problems can be avoided by engaging suitably qualified professionals to assist.</w:t>
      </w:r>
    </w:p>
    <w:p w14:paraId="565701F4" w14:textId="77777777" w:rsidR="0004705A" w:rsidRPr="00E440BE" w:rsidRDefault="0004705A" w:rsidP="00FC5510">
      <w:pPr>
        <w:spacing w:after="0" w:line="240" w:lineRule="auto"/>
        <w:jc w:val="both"/>
        <w:rPr>
          <w:rFonts w:ascii="Arial" w:hAnsi="Arial" w:cs="Arial"/>
        </w:rPr>
      </w:pPr>
    </w:p>
    <w:p w14:paraId="4163DFAC" w14:textId="77777777" w:rsidR="00A65E3B" w:rsidRPr="00E440BE" w:rsidRDefault="00A65E3B" w:rsidP="00FC5510">
      <w:pPr>
        <w:spacing w:after="0" w:line="240" w:lineRule="auto"/>
        <w:jc w:val="both"/>
        <w:rPr>
          <w:rFonts w:ascii="Arial" w:hAnsi="Arial" w:cs="Arial"/>
        </w:rPr>
      </w:pPr>
    </w:p>
    <w:p w14:paraId="62F2DEC8" w14:textId="77777777" w:rsidR="0004705A" w:rsidRPr="00E440BE" w:rsidRDefault="0004705A" w:rsidP="00FC5510">
      <w:pPr>
        <w:spacing w:after="0" w:line="240" w:lineRule="auto"/>
        <w:jc w:val="both"/>
        <w:rPr>
          <w:rFonts w:ascii="Arial" w:hAnsi="Arial" w:cs="Arial"/>
          <w:b/>
          <w:bCs/>
          <w:caps/>
        </w:rPr>
      </w:pPr>
      <w:r w:rsidRPr="00E440BE">
        <w:rPr>
          <w:rFonts w:ascii="Arial" w:hAnsi="Arial" w:cs="Arial"/>
          <w:b/>
          <w:bCs/>
          <w:caps/>
        </w:rPr>
        <w:t>7. Explain in detail the essence and result of the restructuring agreement as signed on the 4th of July 2015.</w:t>
      </w:r>
    </w:p>
    <w:p w14:paraId="1A598323" w14:textId="77777777" w:rsidR="0004705A" w:rsidRPr="00E440BE" w:rsidRDefault="0004705A" w:rsidP="00FC5510">
      <w:pPr>
        <w:spacing w:after="0" w:line="240" w:lineRule="auto"/>
        <w:jc w:val="both"/>
        <w:rPr>
          <w:rFonts w:ascii="Arial" w:hAnsi="Arial" w:cs="Arial"/>
          <w:b/>
          <w:bCs/>
        </w:rPr>
      </w:pPr>
    </w:p>
    <w:p w14:paraId="36A40B78" w14:textId="01844D6F" w:rsidR="0012087D" w:rsidRPr="00E440BE" w:rsidRDefault="0012087D" w:rsidP="00FC5510">
      <w:pPr>
        <w:spacing w:after="0" w:line="240" w:lineRule="auto"/>
        <w:jc w:val="both"/>
        <w:rPr>
          <w:rFonts w:ascii="Arial" w:hAnsi="Arial" w:cs="Arial"/>
        </w:rPr>
      </w:pPr>
      <w:r w:rsidRPr="00E440BE">
        <w:rPr>
          <w:rFonts w:ascii="Arial" w:hAnsi="Arial" w:cs="Arial"/>
        </w:rPr>
        <w:t xml:space="preserve">The process undertaken by the Group and its stakeholders </w:t>
      </w:r>
      <w:r w:rsidR="00E419AC" w:rsidRPr="00E440BE">
        <w:rPr>
          <w:rFonts w:ascii="Arial" w:hAnsi="Arial" w:cs="Arial"/>
        </w:rPr>
        <w:t xml:space="preserve">combined </w:t>
      </w:r>
      <w:r w:rsidRPr="00E440BE">
        <w:rPr>
          <w:rFonts w:ascii="Arial" w:hAnsi="Arial" w:cs="Arial"/>
        </w:rPr>
        <w:t>a legal restructuring</w:t>
      </w:r>
      <w:r w:rsidR="003F18CD" w:rsidRPr="00E440BE">
        <w:rPr>
          <w:rFonts w:ascii="Arial" w:hAnsi="Arial" w:cs="Arial"/>
          <w:lang/>
        </w:rPr>
        <w:t xml:space="preserve"> (</w:t>
      </w:r>
      <w:r w:rsidR="0022354D" w:rsidRPr="00E440BE">
        <w:rPr>
          <w:rFonts w:ascii="Arial" w:hAnsi="Arial" w:cs="Arial"/>
        </w:rPr>
        <w:t>mak</w:t>
      </w:r>
      <w:r w:rsidR="00FB00BC" w:rsidRPr="00E440BE">
        <w:rPr>
          <w:rFonts w:ascii="Arial" w:hAnsi="Arial" w:cs="Arial"/>
        </w:rPr>
        <w:t>ing</w:t>
      </w:r>
      <w:r w:rsidR="0022354D" w:rsidRPr="00E440BE">
        <w:rPr>
          <w:rFonts w:ascii="Arial" w:hAnsi="Arial" w:cs="Arial"/>
        </w:rPr>
        <w:t xml:space="preserve"> use of existing laws to change the organizational structure and reduce debt</w:t>
      </w:r>
      <w:r w:rsidR="003F18CD" w:rsidRPr="00E440BE">
        <w:rPr>
          <w:rFonts w:ascii="Arial" w:hAnsi="Arial" w:cs="Arial"/>
          <w:lang/>
        </w:rPr>
        <w:t>)</w:t>
      </w:r>
      <w:r w:rsidR="00CF480A" w:rsidRPr="00E440BE">
        <w:rPr>
          <w:rFonts w:ascii="Arial" w:hAnsi="Arial" w:cs="Arial"/>
        </w:rPr>
        <w:t xml:space="preserve"> with a spin</w:t>
      </w:r>
      <w:r w:rsidR="003154F6" w:rsidRPr="00E440BE">
        <w:rPr>
          <w:rFonts w:ascii="Arial" w:hAnsi="Arial" w:cs="Arial"/>
        </w:rPr>
        <w:noBreakHyphen/>
      </w:r>
      <w:r w:rsidR="00CF480A" w:rsidRPr="00E440BE">
        <w:rPr>
          <w:rFonts w:ascii="Arial" w:hAnsi="Arial" w:cs="Arial"/>
        </w:rPr>
        <w:t>off</w:t>
      </w:r>
      <w:r w:rsidR="0022354D" w:rsidRPr="00E440BE">
        <w:rPr>
          <w:rFonts w:ascii="Arial" w:hAnsi="Arial" w:cs="Arial"/>
        </w:rPr>
        <w:t>.</w:t>
      </w:r>
    </w:p>
    <w:p w14:paraId="3FA405F7" w14:textId="77777777" w:rsidR="0012087D" w:rsidRPr="00E440BE" w:rsidRDefault="0012087D" w:rsidP="00FC5510">
      <w:pPr>
        <w:spacing w:after="0" w:line="240" w:lineRule="auto"/>
        <w:jc w:val="both"/>
        <w:rPr>
          <w:rFonts w:ascii="Arial" w:hAnsi="Arial" w:cs="Arial"/>
        </w:rPr>
      </w:pPr>
    </w:p>
    <w:p w14:paraId="69B70FD7" w14:textId="6C69877D" w:rsidR="00721B35" w:rsidRPr="00E440BE" w:rsidRDefault="00721B35" w:rsidP="00FC5510">
      <w:pPr>
        <w:spacing w:after="0" w:line="240" w:lineRule="auto"/>
        <w:jc w:val="both"/>
        <w:rPr>
          <w:rFonts w:ascii="Arial" w:hAnsi="Arial" w:cs="Arial"/>
        </w:rPr>
      </w:pPr>
      <w:r w:rsidRPr="00E440BE">
        <w:rPr>
          <w:rFonts w:ascii="Arial" w:hAnsi="Arial" w:cs="Arial"/>
        </w:rPr>
        <w:t xml:space="preserve">The restructuring agreement spins out the </w:t>
      </w:r>
      <w:r w:rsidR="00077A85" w:rsidRPr="00E440BE">
        <w:rPr>
          <w:rFonts w:ascii="Arial" w:hAnsi="Arial" w:cs="Arial"/>
        </w:rPr>
        <w:t>viable business into a new structure that is owned by the Banks and the management</w:t>
      </w:r>
      <w:r w:rsidR="00B22969" w:rsidRPr="00E440BE">
        <w:rPr>
          <w:rFonts w:ascii="Arial" w:hAnsi="Arial" w:cs="Arial"/>
        </w:rPr>
        <w:t xml:space="preserve"> (the </w:t>
      </w:r>
      <w:r w:rsidR="00B22969" w:rsidRPr="00E440BE">
        <w:rPr>
          <w:rFonts w:ascii="Arial" w:hAnsi="Arial" w:cs="Arial"/>
          <w:b/>
          <w:bCs/>
        </w:rPr>
        <w:t>New Shareholders</w:t>
      </w:r>
      <w:r w:rsidR="00B22969" w:rsidRPr="00E440BE">
        <w:rPr>
          <w:rFonts w:ascii="Arial" w:hAnsi="Arial" w:cs="Arial"/>
        </w:rPr>
        <w:t>)</w:t>
      </w:r>
      <w:r w:rsidR="00077A85" w:rsidRPr="00E440BE">
        <w:rPr>
          <w:rFonts w:ascii="Arial" w:hAnsi="Arial" w:cs="Arial"/>
        </w:rPr>
        <w:t>.</w:t>
      </w:r>
      <w:r w:rsidR="00B22969" w:rsidRPr="00E440BE">
        <w:rPr>
          <w:rFonts w:ascii="Arial" w:hAnsi="Arial" w:cs="Arial"/>
        </w:rPr>
        <w:t xml:space="preserve"> This is a reasonably tried and tested methodology in </w:t>
      </w:r>
      <w:r w:rsidR="005E1B6B" w:rsidRPr="00E440BE">
        <w:rPr>
          <w:rFonts w:ascii="Arial" w:hAnsi="Arial" w:cs="Arial"/>
        </w:rPr>
        <w:t xml:space="preserve">restructurings. </w:t>
      </w:r>
      <w:r w:rsidR="00EF34DD" w:rsidRPr="00E440BE">
        <w:rPr>
          <w:rFonts w:ascii="Arial" w:hAnsi="Arial" w:cs="Arial"/>
        </w:rPr>
        <w:t xml:space="preserve">This </w:t>
      </w:r>
      <w:r w:rsidR="005E1B6B" w:rsidRPr="00E440BE">
        <w:rPr>
          <w:rFonts w:ascii="Arial" w:hAnsi="Arial" w:cs="Arial"/>
        </w:rPr>
        <w:t xml:space="preserve">process will likely be </w:t>
      </w:r>
      <w:r w:rsidR="00D842C0" w:rsidRPr="00E440BE">
        <w:rPr>
          <w:rFonts w:ascii="Arial" w:hAnsi="Arial" w:cs="Arial"/>
        </w:rPr>
        <w:t>undertaken</w:t>
      </w:r>
      <w:r w:rsidR="00080523" w:rsidRPr="00E440BE">
        <w:rPr>
          <w:rFonts w:ascii="Arial" w:hAnsi="Arial" w:cs="Arial"/>
        </w:rPr>
        <w:t xml:space="preserve"> by inserting the new co</w:t>
      </w:r>
      <w:r w:rsidR="00031903" w:rsidRPr="00E440BE">
        <w:rPr>
          <w:rFonts w:ascii="Arial" w:hAnsi="Arial" w:cs="Arial"/>
        </w:rPr>
        <w:t>mpany</w:t>
      </w:r>
      <w:r w:rsidR="00080523" w:rsidRPr="00E440BE">
        <w:rPr>
          <w:rFonts w:ascii="Arial" w:hAnsi="Arial" w:cs="Arial"/>
        </w:rPr>
        <w:t>, Flow Management Holding BV</w:t>
      </w:r>
      <w:r w:rsidR="00031903" w:rsidRPr="00E440BE">
        <w:rPr>
          <w:rFonts w:ascii="Arial" w:hAnsi="Arial" w:cs="Arial"/>
        </w:rPr>
        <w:t xml:space="preserve"> </w:t>
      </w:r>
      <w:r w:rsidR="000D1685" w:rsidRPr="00E440BE">
        <w:rPr>
          <w:rFonts w:ascii="Arial" w:hAnsi="Arial" w:cs="Arial"/>
        </w:rPr>
        <w:t xml:space="preserve">II BV </w:t>
      </w:r>
      <w:r w:rsidR="00031903" w:rsidRPr="00E440BE">
        <w:rPr>
          <w:rFonts w:ascii="Arial" w:hAnsi="Arial" w:cs="Arial"/>
        </w:rPr>
        <w:t>(</w:t>
      </w:r>
      <w:r w:rsidR="00031903" w:rsidRPr="00E440BE">
        <w:rPr>
          <w:rFonts w:ascii="Arial" w:hAnsi="Arial" w:cs="Arial"/>
          <w:b/>
          <w:bCs/>
        </w:rPr>
        <w:t>New Co</w:t>
      </w:r>
      <w:r w:rsidR="00031903" w:rsidRPr="00E440BE">
        <w:rPr>
          <w:rFonts w:ascii="Arial" w:hAnsi="Arial" w:cs="Arial"/>
        </w:rPr>
        <w:t>)</w:t>
      </w:r>
      <w:r w:rsidR="00080523" w:rsidRPr="00E440BE">
        <w:rPr>
          <w:rFonts w:ascii="Arial" w:hAnsi="Arial" w:cs="Arial"/>
        </w:rPr>
        <w:t xml:space="preserve">, as a 100% subsidiary of </w:t>
      </w:r>
      <w:r w:rsidR="00031903" w:rsidRPr="00E440BE">
        <w:rPr>
          <w:rFonts w:ascii="Arial" w:hAnsi="Arial" w:cs="Arial"/>
        </w:rPr>
        <w:t xml:space="preserve">the Company and transferring the shares of each of </w:t>
      </w:r>
      <w:r w:rsidR="00FB11B1" w:rsidRPr="00E440BE">
        <w:rPr>
          <w:rFonts w:ascii="Arial" w:hAnsi="Arial" w:cs="Arial"/>
        </w:rPr>
        <w:t xml:space="preserve">the </w:t>
      </w:r>
      <w:r w:rsidR="00031903" w:rsidRPr="00E440BE">
        <w:rPr>
          <w:rFonts w:ascii="Arial" w:hAnsi="Arial" w:cs="Arial"/>
        </w:rPr>
        <w:t xml:space="preserve">Company’s </w:t>
      </w:r>
      <w:r w:rsidR="00FB11B1" w:rsidRPr="00E440BE">
        <w:rPr>
          <w:rFonts w:ascii="Arial" w:hAnsi="Arial" w:cs="Arial"/>
        </w:rPr>
        <w:t xml:space="preserve">six </w:t>
      </w:r>
      <w:r w:rsidR="00031903" w:rsidRPr="00E440BE">
        <w:rPr>
          <w:rFonts w:ascii="Arial" w:hAnsi="Arial" w:cs="Arial"/>
        </w:rPr>
        <w:t>subsidiaries</w:t>
      </w:r>
      <w:r w:rsidR="00C965A3" w:rsidRPr="00E440BE">
        <w:rPr>
          <w:rFonts w:ascii="Arial" w:hAnsi="Arial" w:cs="Arial"/>
        </w:rPr>
        <w:t xml:space="preserve"> (the </w:t>
      </w:r>
      <w:r w:rsidR="00C965A3" w:rsidRPr="00E440BE">
        <w:rPr>
          <w:rFonts w:ascii="Arial" w:hAnsi="Arial" w:cs="Arial"/>
          <w:b/>
          <w:bCs/>
        </w:rPr>
        <w:t>Op Cos</w:t>
      </w:r>
      <w:r w:rsidR="00C965A3" w:rsidRPr="00E440BE">
        <w:rPr>
          <w:rFonts w:ascii="Arial" w:hAnsi="Arial" w:cs="Arial"/>
        </w:rPr>
        <w:t>)</w:t>
      </w:r>
      <w:r w:rsidR="00031903" w:rsidRPr="00E440BE">
        <w:rPr>
          <w:rFonts w:ascii="Arial" w:hAnsi="Arial" w:cs="Arial"/>
        </w:rPr>
        <w:t xml:space="preserve"> to the </w:t>
      </w:r>
      <w:r w:rsidR="000D1685" w:rsidRPr="00E440BE">
        <w:rPr>
          <w:rFonts w:ascii="Arial" w:hAnsi="Arial" w:cs="Arial"/>
        </w:rPr>
        <w:t xml:space="preserve">New Co before transferring ownership of the New Co to the </w:t>
      </w:r>
      <w:r w:rsidR="00B22969" w:rsidRPr="00E440BE">
        <w:rPr>
          <w:rFonts w:ascii="Arial" w:hAnsi="Arial" w:cs="Arial"/>
        </w:rPr>
        <w:t>New Shareholders.</w:t>
      </w:r>
    </w:p>
    <w:p w14:paraId="6AC8181E" w14:textId="77777777" w:rsidR="004F3952" w:rsidRPr="00E440BE" w:rsidRDefault="004F3952" w:rsidP="00FC5510">
      <w:pPr>
        <w:spacing w:after="0" w:line="240" w:lineRule="auto"/>
        <w:jc w:val="both"/>
        <w:rPr>
          <w:rFonts w:ascii="Arial" w:hAnsi="Arial" w:cs="Arial"/>
        </w:rPr>
      </w:pPr>
    </w:p>
    <w:p w14:paraId="13D31BCF" w14:textId="38E9C495" w:rsidR="00B93F37" w:rsidRPr="00E440BE" w:rsidRDefault="009649DB" w:rsidP="00FC5510">
      <w:pPr>
        <w:spacing w:after="0" w:line="240" w:lineRule="auto"/>
        <w:jc w:val="both"/>
        <w:rPr>
          <w:rFonts w:ascii="Arial" w:hAnsi="Arial" w:cs="Arial"/>
        </w:rPr>
      </w:pPr>
      <w:r w:rsidRPr="00E440BE">
        <w:rPr>
          <w:rFonts w:ascii="Arial" w:hAnsi="Arial" w:cs="Arial"/>
        </w:rPr>
        <w:t xml:space="preserve">It may be that the arrangements are structured such that </w:t>
      </w:r>
      <w:r w:rsidR="004F3952" w:rsidRPr="00E440BE">
        <w:rPr>
          <w:rFonts w:ascii="Arial" w:hAnsi="Arial" w:cs="Arial"/>
        </w:rPr>
        <w:t xml:space="preserve">the transfer of shares to the New Shareholders </w:t>
      </w:r>
      <w:r w:rsidR="00A3798D" w:rsidRPr="00E440BE">
        <w:rPr>
          <w:rFonts w:ascii="Arial" w:hAnsi="Arial" w:cs="Arial"/>
        </w:rPr>
        <w:t>is</w:t>
      </w:r>
      <w:r w:rsidR="0038469A" w:rsidRPr="00E440BE">
        <w:rPr>
          <w:rFonts w:ascii="Arial" w:hAnsi="Arial" w:cs="Arial"/>
        </w:rPr>
        <w:t xml:space="preserve"> </w:t>
      </w:r>
      <w:r w:rsidR="00B93F37" w:rsidRPr="00E440BE">
        <w:rPr>
          <w:rFonts w:ascii="Arial" w:hAnsi="Arial" w:cs="Arial"/>
        </w:rPr>
        <w:t xml:space="preserve">treated as consideration for </w:t>
      </w:r>
      <w:r w:rsidR="0038469A" w:rsidRPr="00E440BE">
        <w:rPr>
          <w:rFonts w:ascii="Arial" w:hAnsi="Arial" w:cs="Arial"/>
        </w:rPr>
        <w:t xml:space="preserve">the compromise of the </w:t>
      </w:r>
      <w:r w:rsidR="00C4208F" w:rsidRPr="00E440BE">
        <w:rPr>
          <w:rFonts w:ascii="Arial" w:hAnsi="Arial" w:cs="Arial"/>
        </w:rPr>
        <w:t xml:space="preserve">Company’s various debts to the </w:t>
      </w:r>
      <w:r w:rsidR="00436C99" w:rsidRPr="00E440BE">
        <w:rPr>
          <w:rFonts w:ascii="Arial" w:hAnsi="Arial" w:cs="Arial"/>
        </w:rPr>
        <w:t>Banks (</w:t>
      </w:r>
      <w:proofErr w:type="spellStart"/>
      <w:proofErr w:type="gramStart"/>
      <w:r w:rsidR="00FB13A3" w:rsidRPr="00E440BE">
        <w:rPr>
          <w:rFonts w:ascii="Arial" w:hAnsi="Arial" w:cs="Arial"/>
        </w:rPr>
        <w:t>ie</w:t>
      </w:r>
      <w:proofErr w:type="spellEnd"/>
      <w:proofErr w:type="gramEnd"/>
      <w:r w:rsidR="00FB13A3" w:rsidRPr="00E440BE">
        <w:rPr>
          <w:rFonts w:ascii="Arial" w:hAnsi="Arial" w:cs="Arial"/>
        </w:rPr>
        <w:t xml:space="preserve"> </w:t>
      </w:r>
      <w:r w:rsidR="00436C99" w:rsidRPr="00E440BE">
        <w:rPr>
          <w:rFonts w:ascii="Arial" w:hAnsi="Arial" w:cs="Arial"/>
        </w:rPr>
        <w:t>the waivers of the working capital</w:t>
      </w:r>
      <w:r w:rsidR="00FB13A3" w:rsidRPr="00E440BE">
        <w:rPr>
          <w:rFonts w:ascii="Arial" w:hAnsi="Arial" w:cs="Arial"/>
        </w:rPr>
        <w:t>). This is known as a debt</w:t>
      </w:r>
      <w:r w:rsidR="00B6377D" w:rsidRPr="00E440BE">
        <w:rPr>
          <w:rFonts w:ascii="Arial" w:hAnsi="Arial" w:cs="Arial"/>
        </w:rPr>
        <w:t>-</w:t>
      </w:r>
      <w:r w:rsidR="00FB13A3" w:rsidRPr="00E440BE">
        <w:rPr>
          <w:rFonts w:ascii="Arial" w:hAnsi="Arial" w:cs="Arial"/>
        </w:rPr>
        <w:t>for</w:t>
      </w:r>
      <w:r w:rsidR="00B6377D" w:rsidRPr="00E440BE">
        <w:rPr>
          <w:rFonts w:ascii="Arial" w:hAnsi="Arial" w:cs="Arial"/>
        </w:rPr>
        <w:t>-</w:t>
      </w:r>
      <w:r w:rsidR="00FB13A3" w:rsidRPr="00E440BE">
        <w:rPr>
          <w:rFonts w:ascii="Arial" w:hAnsi="Arial" w:cs="Arial"/>
        </w:rPr>
        <w:t>equity swap.</w:t>
      </w:r>
      <w:r w:rsidR="00B93F37" w:rsidRPr="00E440BE">
        <w:rPr>
          <w:rFonts w:ascii="Arial" w:hAnsi="Arial" w:cs="Arial"/>
        </w:rPr>
        <w:t xml:space="preserve"> </w:t>
      </w:r>
      <w:r w:rsidR="007468EB">
        <w:rPr>
          <w:rFonts w:ascii="Arial" w:hAnsi="Arial" w:cs="Arial"/>
          <w:lang/>
        </w:rPr>
        <w:t>Alternatively,</w:t>
      </w:r>
      <w:r w:rsidR="00EE5680" w:rsidRPr="00E440BE">
        <w:rPr>
          <w:rFonts w:ascii="Arial" w:hAnsi="Arial" w:cs="Arial"/>
        </w:rPr>
        <w:t xml:space="preserve"> the parties will use a court sanctioned scheme of arrangement to </w:t>
      </w:r>
      <w:r w:rsidR="0027624D">
        <w:rPr>
          <w:rFonts w:ascii="Arial" w:hAnsi="Arial" w:cs="Arial"/>
          <w:lang/>
        </w:rPr>
        <w:t xml:space="preserve">confirm the transaction to </w:t>
      </w:r>
      <w:r w:rsidR="00EE5680" w:rsidRPr="00E440BE">
        <w:rPr>
          <w:rFonts w:ascii="Arial" w:hAnsi="Arial" w:cs="Arial"/>
        </w:rPr>
        <w:t xml:space="preserve">minimize the risk that </w:t>
      </w:r>
      <w:r w:rsidR="00BF7007">
        <w:rPr>
          <w:rFonts w:ascii="Arial" w:hAnsi="Arial" w:cs="Arial"/>
          <w:lang/>
        </w:rPr>
        <w:t>it</w:t>
      </w:r>
      <w:r w:rsidR="009940F2" w:rsidRPr="00E440BE">
        <w:rPr>
          <w:rFonts w:ascii="Arial" w:hAnsi="Arial" w:cs="Arial"/>
        </w:rPr>
        <w:t xml:space="preserve"> can subsequently be challenged.</w:t>
      </w:r>
    </w:p>
    <w:p w14:paraId="77089F71" w14:textId="77777777" w:rsidR="0004705A" w:rsidRPr="00E440BE" w:rsidRDefault="0004705A" w:rsidP="00FC5510">
      <w:pPr>
        <w:spacing w:after="0" w:line="240" w:lineRule="auto"/>
        <w:jc w:val="both"/>
        <w:rPr>
          <w:rFonts w:ascii="Arial" w:hAnsi="Arial" w:cs="Arial"/>
          <w:b/>
          <w:bCs/>
        </w:rPr>
      </w:pPr>
    </w:p>
    <w:p w14:paraId="3A9CAFA6" w14:textId="4340F7D5" w:rsidR="00E26EC0" w:rsidRPr="00E440BE" w:rsidRDefault="003D5E6F" w:rsidP="00FC5510">
      <w:pPr>
        <w:spacing w:after="0" w:line="240" w:lineRule="auto"/>
        <w:jc w:val="both"/>
        <w:rPr>
          <w:rFonts w:ascii="Arial" w:hAnsi="Arial" w:cs="Arial"/>
        </w:rPr>
      </w:pPr>
      <w:r w:rsidRPr="00E440BE">
        <w:rPr>
          <w:rFonts w:ascii="Arial" w:hAnsi="Arial" w:cs="Arial"/>
        </w:rPr>
        <w:t xml:space="preserve">Following </w:t>
      </w:r>
      <w:proofErr w:type="spellStart"/>
      <w:r w:rsidR="006B57E3" w:rsidRPr="00E440BE">
        <w:rPr>
          <w:rFonts w:ascii="Arial" w:hAnsi="Arial" w:cs="Arial"/>
        </w:rPr>
        <w:t>th</w:t>
      </w:r>
      <w:proofErr w:type="spellEnd"/>
      <w:r w:rsidR="003F18CD" w:rsidRPr="00E440BE">
        <w:rPr>
          <w:rFonts w:ascii="Arial" w:hAnsi="Arial" w:cs="Arial"/>
          <w:lang/>
        </w:rPr>
        <w:t>e</w:t>
      </w:r>
      <w:r w:rsidR="006B57E3" w:rsidRPr="00E440BE">
        <w:rPr>
          <w:rFonts w:ascii="Arial" w:hAnsi="Arial" w:cs="Arial"/>
        </w:rPr>
        <w:t xml:space="preserve"> </w:t>
      </w:r>
      <w:r w:rsidR="001D5061" w:rsidRPr="00E440BE">
        <w:rPr>
          <w:rFonts w:ascii="Arial" w:hAnsi="Arial" w:cs="Arial"/>
        </w:rPr>
        <w:t>re</w:t>
      </w:r>
      <w:r w:rsidR="006B57E3" w:rsidRPr="00E440BE">
        <w:rPr>
          <w:rFonts w:ascii="Arial" w:hAnsi="Arial" w:cs="Arial"/>
        </w:rPr>
        <w:t>organization</w:t>
      </w:r>
      <w:r w:rsidR="00E26EC0" w:rsidRPr="00E440BE">
        <w:rPr>
          <w:rFonts w:ascii="Arial" w:hAnsi="Arial" w:cs="Arial"/>
        </w:rPr>
        <w:t>:</w:t>
      </w:r>
    </w:p>
    <w:p w14:paraId="53B28096" w14:textId="77777777" w:rsidR="00E26EC0" w:rsidRPr="00E440BE" w:rsidRDefault="00E26EC0" w:rsidP="00FC5510">
      <w:pPr>
        <w:spacing w:after="0" w:line="240" w:lineRule="auto"/>
        <w:jc w:val="both"/>
        <w:rPr>
          <w:rFonts w:ascii="Arial" w:hAnsi="Arial" w:cs="Arial"/>
        </w:rPr>
      </w:pPr>
    </w:p>
    <w:p w14:paraId="27979F15" w14:textId="7E568844" w:rsidR="00E64117" w:rsidRPr="00E440BE" w:rsidRDefault="00E64117" w:rsidP="00FC5510">
      <w:pPr>
        <w:pStyle w:val="ListParagraph"/>
        <w:numPr>
          <w:ilvl w:val="0"/>
          <w:numId w:val="2"/>
        </w:numPr>
        <w:spacing w:after="0" w:line="240" w:lineRule="auto"/>
        <w:contextualSpacing w:val="0"/>
        <w:jc w:val="both"/>
        <w:rPr>
          <w:rFonts w:ascii="Arial" w:hAnsi="Arial" w:cs="Arial"/>
        </w:rPr>
      </w:pPr>
      <w:r w:rsidRPr="00E440BE">
        <w:rPr>
          <w:rFonts w:ascii="Arial" w:hAnsi="Arial" w:cs="Arial"/>
        </w:rPr>
        <w:t xml:space="preserve">The New Co is </w:t>
      </w:r>
      <w:r w:rsidR="00DF2991" w:rsidRPr="00E440BE">
        <w:rPr>
          <w:rFonts w:ascii="Arial" w:hAnsi="Arial" w:cs="Arial"/>
        </w:rPr>
        <w:t xml:space="preserve">the holding company of what is </w:t>
      </w:r>
      <w:r w:rsidRPr="00E440BE">
        <w:rPr>
          <w:rFonts w:ascii="Arial" w:hAnsi="Arial" w:cs="Arial"/>
        </w:rPr>
        <w:t>supposedly a viable</w:t>
      </w:r>
      <w:r w:rsidR="00DF2991" w:rsidRPr="00E440BE">
        <w:rPr>
          <w:rFonts w:ascii="Arial" w:hAnsi="Arial" w:cs="Arial"/>
        </w:rPr>
        <w:t xml:space="preserve"> operation. </w:t>
      </w:r>
      <w:r w:rsidR="00F64F43">
        <w:rPr>
          <w:rFonts w:ascii="Arial" w:hAnsi="Arial" w:cs="Arial"/>
          <w:lang/>
        </w:rPr>
        <w:t>T</w:t>
      </w:r>
      <w:r w:rsidR="00F64F43" w:rsidRPr="00E440BE">
        <w:rPr>
          <w:rFonts w:ascii="Arial" w:hAnsi="Arial" w:cs="Arial"/>
        </w:rPr>
        <w:t>he Banks/Consortium extend new working capital to the New Co concurrently with the transfer of the shares.</w:t>
      </w:r>
      <w:r w:rsidR="00F2769C">
        <w:rPr>
          <w:rFonts w:ascii="Arial" w:hAnsi="Arial" w:cs="Arial"/>
          <w:lang/>
        </w:rPr>
        <w:t xml:space="preserve"> </w:t>
      </w:r>
      <w:r w:rsidR="00DF2991" w:rsidRPr="00E440BE">
        <w:rPr>
          <w:rFonts w:ascii="Arial" w:hAnsi="Arial" w:cs="Arial"/>
        </w:rPr>
        <w:t xml:space="preserve">Assuming all goes to plan, the </w:t>
      </w:r>
      <w:r w:rsidR="003D6DEE" w:rsidRPr="00E440BE">
        <w:rPr>
          <w:rFonts w:ascii="Arial" w:hAnsi="Arial" w:cs="Arial"/>
        </w:rPr>
        <w:t xml:space="preserve">New Co will be sold on by the Banks in a reasonably short amount of time so that the Banks can in effect </w:t>
      </w:r>
      <w:proofErr w:type="spellStart"/>
      <w:r w:rsidR="003D6DEE" w:rsidRPr="00E440BE">
        <w:rPr>
          <w:rFonts w:ascii="Arial" w:hAnsi="Arial" w:cs="Arial"/>
        </w:rPr>
        <w:t>realise</w:t>
      </w:r>
      <w:proofErr w:type="spellEnd"/>
      <w:r w:rsidR="003D6DEE" w:rsidRPr="00E440BE">
        <w:rPr>
          <w:rFonts w:ascii="Arial" w:hAnsi="Arial" w:cs="Arial"/>
        </w:rPr>
        <w:t xml:space="preserve"> the return of the money that they originally lent to the Company.</w:t>
      </w:r>
    </w:p>
    <w:p w14:paraId="0B464564" w14:textId="77777777" w:rsidR="00DF2991" w:rsidRPr="00E440BE" w:rsidRDefault="00DF2991" w:rsidP="00FC5510">
      <w:pPr>
        <w:pStyle w:val="ListParagraph"/>
        <w:spacing w:after="0" w:line="240" w:lineRule="auto"/>
        <w:ind w:left="360"/>
        <w:contextualSpacing w:val="0"/>
        <w:jc w:val="both"/>
        <w:rPr>
          <w:rFonts w:ascii="Arial" w:hAnsi="Arial" w:cs="Arial"/>
        </w:rPr>
      </w:pPr>
    </w:p>
    <w:p w14:paraId="7ACEBF2D" w14:textId="6FBB6F8B" w:rsidR="00E26EC0" w:rsidRPr="00E440BE" w:rsidRDefault="00E26EC0" w:rsidP="00FC5510">
      <w:pPr>
        <w:pStyle w:val="ListParagraph"/>
        <w:numPr>
          <w:ilvl w:val="0"/>
          <w:numId w:val="2"/>
        </w:numPr>
        <w:spacing w:after="0" w:line="240" w:lineRule="auto"/>
        <w:contextualSpacing w:val="0"/>
        <w:jc w:val="both"/>
        <w:rPr>
          <w:rFonts w:ascii="Arial" w:hAnsi="Arial" w:cs="Arial"/>
        </w:rPr>
      </w:pPr>
      <w:proofErr w:type="gramStart"/>
      <w:r w:rsidRPr="00E440BE">
        <w:rPr>
          <w:rFonts w:ascii="Arial" w:hAnsi="Arial" w:cs="Arial"/>
        </w:rPr>
        <w:t>Assuming that</w:t>
      </w:r>
      <w:proofErr w:type="gramEnd"/>
      <w:r w:rsidRPr="00E440BE">
        <w:rPr>
          <w:rFonts w:ascii="Arial" w:hAnsi="Arial" w:cs="Arial"/>
        </w:rPr>
        <w:t xml:space="preserve"> all of the employees </w:t>
      </w:r>
      <w:r w:rsidR="00F2769C">
        <w:rPr>
          <w:rFonts w:ascii="Arial" w:hAnsi="Arial" w:cs="Arial"/>
          <w:lang/>
        </w:rPr>
        <w:t>needed to operate the ongoing business</w:t>
      </w:r>
      <w:r w:rsidRPr="00E440BE">
        <w:rPr>
          <w:rFonts w:ascii="Arial" w:hAnsi="Arial" w:cs="Arial"/>
        </w:rPr>
        <w:t xml:space="preserve">were </w:t>
      </w:r>
      <w:r w:rsidR="004B5E02" w:rsidRPr="00E440BE">
        <w:rPr>
          <w:rFonts w:ascii="Arial" w:hAnsi="Arial" w:cs="Arial"/>
        </w:rPr>
        <w:t xml:space="preserve">employed by the operating subsidiaries, the change of ownership in those companies </w:t>
      </w:r>
      <w:r w:rsidR="00AE4E07" w:rsidRPr="00E440BE">
        <w:rPr>
          <w:rFonts w:ascii="Arial" w:hAnsi="Arial" w:cs="Arial"/>
        </w:rPr>
        <w:t>should</w:t>
      </w:r>
      <w:r w:rsidR="004B5E02" w:rsidRPr="00E440BE">
        <w:rPr>
          <w:rFonts w:ascii="Arial" w:hAnsi="Arial" w:cs="Arial"/>
        </w:rPr>
        <w:t xml:space="preserve"> have no impact on their employment.</w:t>
      </w:r>
    </w:p>
    <w:p w14:paraId="6E5D810A" w14:textId="77777777" w:rsidR="00E26EC0" w:rsidRPr="00E440BE" w:rsidRDefault="00E26EC0" w:rsidP="00FC5510">
      <w:pPr>
        <w:pStyle w:val="ListParagraph"/>
        <w:spacing w:after="0" w:line="240" w:lineRule="auto"/>
        <w:ind w:left="360"/>
        <w:contextualSpacing w:val="0"/>
        <w:jc w:val="both"/>
        <w:rPr>
          <w:rFonts w:ascii="Arial" w:hAnsi="Arial" w:cs="Arial"/>
        </w:rPr>
      </w:pPr>
    </w:p>
    <w:p w14:paraId="6EEE94C5" w14:textId="58FE3A86" w:rsidR="004B5E02" w:rsidRPr="00E440BE" w:rsidRDefault="003D1121" w:rsidP="00FC5510">
      <w:pPr>
        <w:pStyle w:val="ListParagraph"/>
        <w:numPr>
          <w:ilvl w:val="0"/>
          <w:numId w:val="2"/>
        </w:numPr>
        <w:spacing w:after="0" w:line="240" w:lineRule="auto"/>
        <w:contextualSpacing w:val="0"/>
        <w:jc w:val="both"/>
        <w:rPr>
          <w:rFonts w:ascii="Arial" w:hAnsi="Arial" w:cs="Arial"/>
        </w:rPr>
      </w:pPr>
      <w:r w:rsidRPr="00E440BE">
        <w:rPr>
          <w:rFonts w:ascii="Arial" w:hAnsi="Arial" w:cs="Arial"/>
        </w:rPr>
        <w:t xml:space="preserve">The shareholder will continue to hold its </w:t>
      </w:r>
      <w:r w:rsidR="006B57E3" w:rsidRPr="00E440BE">
        <w:rPr>
          <w:rFonts w:ascii="Arial" w:hAnsi="Arial" w:cs="Arial"/>
        </w:rPr>
        <w:t xml:space="preserve">shares </w:t>
      </w:r>
      <w:r w:rsidRPr="00E440BE">
        <w:rPr>
          <w:rFonts w:ascii="Arial" w:hAnsi="Arial" w:cs="Arial"/>
        </w:rPr>
        <w:t>in Lease Cayman Real Estate Ltd. and Lease Truck Repair Sweden Holding Ltd.</w:t>
      </w:r>
      <w:r w:rsidR="0056053A" w:rsidRPr="00E440BE">
        <w:rPr>
          <w:rFonts w:ascii="Arial" w:hAnsi="Arial" w:cs="Arial"/>
        </w:rPr>
        <w:t xml:space="preserve"> (</w:t>
      </w:r>
      <w:proofErr w:type="spellStart"/>
      <w:r w:rsidR="0056053A" w:rsidRPr="00E440BE">
        <w:rPr>
          <w:rFonts w:ascii="Arial" w:hAnsi="Arial" w:cs="Arial"/>
        </w:rPr>
        <w:t>the</w:t>
      </w:r>
      <w:proofErr w:type="spellEnd"/>
      <w:r w:rsidR="0056053A" w:rsidRPr="00E440BE">
        <w:rPr>
          <w:rFonts w:ascii="Arial" w:hAnsi="Arial" w:cs="Arial"/>
        </w:rPr>
        <w:t xml:space="preserve"> </w:t>
      </w:r>
      <w:r w:rsidR="0056053A" w:rsidRPr="00E440BE">
        <w:rPr>
          <w:rFonts w:ascii="Arial" w:hAnsi="Arial" w:cs="Arial"/>
          <w:b/>
          <w:bCs/>
        </w:rPr>
        <w:t>Remain Cos</w:t>
      </w:r>
      <w:r w:rsidR="0056053A" w:rsidRPr="00E440BE">
        <w:rPr>
          <w:rFonts w:ascii="Arial" w:hAnsi="Arial" w:cs="Arial"/>
        </w:rPr>
        <w:t>)</w:t>
      </w:r>
      <w:r w:rsidRPr="00E440BE">
        <w:rPr>
          <w:rFonts w:ascii="Arial" w:hAnsi="Arial" w:cs="Arial"/>
        </w:rPr>
        <w:t xml:space="preserve">. </w:t>
      </w:r>
      <w:r w:rsidR="00C965A3" w:rsidRPr="00E440BE">
        <w:rPr>
          <w:rFonts w:ascii="Arial" w:hAnsi="Arial" w:cs="Arial"/>
        </w:rPr>
        <w:t>If the</w:t>
      </w:r>
      <w:r w:rsidR="00E90590" w:rsidRPr="00E440BE">
        <w:rPr>
          <w:rFonts w:ascii="Arial" w:hAnsi="Arial" w:cs="Arial"/>
          <w:lang/>
        </w:rPr>
        <w:t xml:space="preserve"> </w:t>
      </w:r>
      <w:r w:rsidR="00C965A3" w:rsidRPr="00E440BE">
        <w:rPr>
          <w:rFonts w:ascii="Arial" w:hAnsi="Arial" w:cs="Arial"/>
        </w:rPr>
        <w:t>Op Cos</w:t>
      </w:r>
      <w:r w:rsidRPr="00E440BE">
        <w:rPr>
          <w:rFonts w:ascii="Arial" w:hAnsi="Arial" w:cs="Arial"/>
        </w:rPr>
        <w:t xml:space="preserve"> had </w:t>
      </w:r>
      <w:r w:rsidR="00C965A3" w:rsidRPr="00E440BE">
        <w:rPr>
          <w:rFonts w:ascii="Arial" w:hAnsi="Arial" w:cs="Arial"/>
        </w:rPr>
        <w:t xml:space="preserve">contractual </w:t>
      </w:r>
      <w:r w:rsidRPr="00E440BE">
        <w:rPr>
          <w:rFonts w:ascii="Arial" w:hAnsi="Arial" w:cs="Arial"/>
        </w:rPr>
        <w:t xml:space="preserve">arrangements with </w:t>
      </w:r>
      <w:r w:rsidR="00C965A3" w:rsidRPr="00E440BE">
        <w:rPr>
          <w:rFonts w:ascii="Arial" w:hAnsi="Arial" w:cs="Arial"/>
        </w:rPr>
        <w:t xml:space="preserve">the </w:t>
      </w:r>
      <w:r w:rsidR="008B4E6B" w:rsidRPr="00E440BE">
        <w:rPr>
          <w:rFonts w:ascii="Arial" w:hAnsi="Arial" w:cs="Arial"/>
        </w:rPr>
        <w:t>Remain Cos</w:t>
      </w:r>
      <w:r w:rsidR="00C965A3" w:rsidRPr="00E440BE">
        <w:rPr>
          <w:rFonts w:ascii="Arial" w:hAnsi="Arial" w:cs="Arial"/>
        </w:rPr>
        <w:t xml:space="preserve">, </w:t>
      </w:r>
      <w:proofErr w:type="spellStart"/>
      <w:r w:rsidR="00C965A3" w:rsidRPr="00E440BE">
        <w:rPr>
          <w:rFonts w:ascii="Arial" w:hAnsi="Arial" w:cs="Arial"/>
        </w:rPr>
        <w:t>th</w:t>
      </w:r>
      <w:proofErr w:type="spellEnd"/>
      <w:r w:rsidR="00E90590" w:rsidRPr="00E440BE">
        <w:rPr>
          <w:rFonts w:ascii="Arial" w:hAnsi="Arial" w:cs="Arial"/>
          <w:lang/>
        </w:rPr>
        <w:t>ose agreements</w:t>
      </w:r>
      <w:r w:rsidR="00C965A3" w:rsidRPr="00E440BE">
        <w:rPr>
          <w:rFonts w:ascii="Arial" w:hAnsi="Arial" w:cs="Arial"/>
        </w:rPr>
        <w:t xml:space="preserve"> will remain in place and should continue to be </w:t>
      </w:r>
      <w:proofErr w:type="spellStart"/>
      <w:r w:rsidR="00C965A3" w:rsidRPr="00E440BE">
        <w:rPr>
          <w:rFonts w:ascii="Arial" w:hAnsi="Arial" w:cs="Arial"/>
        </w:rPr>
        <w:t>honoured</w:t>
      </w:r>
      <w:proofErr w:type="spellEnd"/>
      <w:r w:rsidR="00C965A3" w:rsidRPr="00E440BE">
        <w:rPr>
          <w:rFonts w:ascii="Arial" w:hAnsi="Arial" w:cs="Arial"/>
        </w:rPr>
        <w:t>.</w:t>
      </w:r>
      <w:r w:rsidR="0056053A" w:rsidRPr="00E440BE">
        <w:rPr>
          <w:rFonts w:ascii="Arial" w:hAnsi="Arial" w:cs="Arial"/>
        </w:rPr>
        <w:t xml:space="preserve"> If the arran</w:t>
      </w:r>
      <w:r w:rsidR="008B4E6B" w:rsidRPr="00E440BE">
        <w:rPr>
          <w:rFonts w:ascii="Arial" w:hAnsi="Arial" w:cs="Arial"/>
        </w:rPr>
        <w:t xml:space="preserve">gements between the Remain Cos and the Op Cos had been operating on an informal basis, it will be important for the New Co to ensure these </w:t>
      </w:r>
      <w:r w:rsidR="008B4E6B" w:rsidRPr="00E440BE">
        <w:rPr>
          <w:rFonts w:ascii="Arial" w:hAnsi="Arial" w:cs="Arial"/>
        </w:rPr>
        <w:lastRenderedPageBreak/>
        <w:t>arrangements are formalized (to the extent they are key to the continuing success of the operations).</w:t>
      </w:r>
    </w:p>
    <w:p w14:paraId="51CE42E0" w14:textId="77777777" w:rsidR="004B5E02" w:rsidRPr="00E440BE" w:rsidRDefault="004B5E02" w:rsidP="00FC5510">
      <w:pPr>
        <w:pStyle w:val="ListParagraph"/>
        <w:spacing w:after="0" w:line="240" w:lineRule="auto"/>
        <w:contextualSpacing w:val="0"/>
        <w:rPr>
          <w:rFonts w:ascii="Arial" w:hAnsi="Arial" w:cs="Arial"/>
        </w:rPr>
      </w:pPr>
    </w:p>
    <w:p w14:paraId="5D133770" w14:textId="05A04E23" w:rsidR="00F90452" w:rsidRPr="00E440BE" w:rsidRDefault="004B5E02" w:rsidP="00FC5510">
      <w:pPr>
        <w:pStyle w:val="ListParagraph"/>
        <w:numPr>
          <w:ilvl w:val="0"/>
          <w:numId w:val="2"/>
        </w:numPr>
        <w:spacing w:after="0" w:line="240" w:lineRule="auto"/>
        <w:contextualSpacing w:val="0"/>
        <w:jc w:val="both"/>
        <w:rPr>
          <w:rFonts w:ascii="Arial" w:hAnsi="Arial" w:cs="Arial"/>
        </w:rPr>
      </w:pPr>
      <w:r w:rsidRPr="00E440BE">
        <w:rPr>
          <w:rFonts w:ascii="Arial" w:hAnsi="Arial" w:cs="Arial"/>
        </w:rPr>
        <w:t>T</w:t>
      </w:r>
      <w:r w:rsidR="003D5E6F" w:rsidRPr="00E440BE">
        <w:rPr>
          <w:rFonts w:ascii="Arial" w:hAnsi="Arial" w:cs="Arial"/>
        </w:rPr>
        <w:t>he Company</w:t>
      </w:r>
      <w:r w:rsidR="007B7145" w:rsidRPr="00E440BE">
        <w:rPr>
          <w:rFonts w:ascii="Arial" w:hAnsi="Arial" w:cs="Arial"/>
        </w:rPr>
        <w:t xml:space="preserve"> </w:t>
      </w:r>
      <w:r w:rsidR="00F90452" w:rsidRPr="00E440BE">
        <w:rPr>
          <w:rFonts w:ascii="Arial" w:hAnsi="Arial" w:cs="Arial"/>
        </w:rPr>
        <w:t xml:space="preserve">will no longer own the Op Cos, but it will still have any cash that it had in its bank account(s). The </w:t>
      </w:r>
      <w:r w:rsidR="00A83B1D" w:rsidRPr="00E440BE">
        <w:rPr>
          <w:rFonts w:ascii="Arial" w:hAnsi="Arial" w:cs="Arial"/>
        </w:rPr>
        <w:t xml:space="preserve">plan envisages that these monies will be paid out to the providers of the original working capital under pre-existing pledges. </w:t>
      </w:r>
      <w:r w:rsidR="004617A8" w:rsidRPr="00E440BE">
        <w:rPr>
          <w:rFonts w:ascii="Arial" w:hAnsi="Arial" w:cs="Arial"/>
        </w:rPr>
        <w:t xml:space="preserve">A decision will need to be made as to whether payment can / should be made under the pledges </w:t>
      </w:r>
      <w:r w:rsidR="001F35E3" w:rsidRPr="00E440BE">
        <w:rPr>
          <w:rFonts w:ascii="Arial" w:hAnsi="Arial" w:cs="Arial"/>
        </w:rPr>
        <w:t>prior to the Company commencing the liquidation process, or whether it will afford both the Company’s directors and the relevant creditors greater protection if this payment is made within a</w:t>
      </w:r>
      <w:r w:rsidR="00E90590" w:rsidRPr="00E440BE">
        <w:rPr>
          <w:rFonts w:ascii="Arial" w:hAnsi="Arial" w:cs="Arial"/>
          <w:lang/>
        </w:rPr>
        <w:t xml:space="preserve"> court supervised</w:t>
      </w:r>
      <w:r w:rsidR="00441432" w:rsidRPr="00E440BE">
        <w:rPr>
          <w:rFonts w:ascii="Arial" w:hAnsi="Arial" w:cs="Arial"/>
        </w:rPr>
        <w:t xml:space="preserve"> insolvency process.</w:t>
      </w:r>
    </w:p>
    <w:p w14:paraId="1C92A2C8" w14:textId="77777777" w:rsidR="001D5061" w:rsidRPr="00E440BE" w:rsidRDefault="001D5061" w:rsidP="00FC5510">
      <w:pPr>
        <w:spacing w:after="0" w:line="240" w:lineRule="auto"/>
        <w:jc w:val="both"/>
        <w:rPr>
          <w:rFonts w:ascii="Arial" w:hAnsi="Arial" w:cs="Arial"/>
        </w:rPr>
      </w:pPr>
    </w:p>
    <w:p w14:paraId="6E639300" w14:textId="48B44B09" w:rsidR="003D5E6F" w:rsidRPr="00E440BE" w:rsidRDefault="001D5061" w:rsidP="00FC5510">
      <w:pPr>
        <w:spacing w:after="0" w:line="240" w:lineRule="auto"/>
        <w:jc w:val="both"/>
        <w:rPr>
          <w:rFonts w:ascii="Arial" w:hAnsi="Arial" w:cs="Arial"/>
        </w:rPr>
      </w:pPr>
      <w:r w:rsidRPr="00E440BE">
        <w:rPr>
          <w:rFonts w:ascii="Arial" w:hAnsi="Arial" w:cs="Arial"/>
        </w:rPr>
        <w:t>In the event, it appears that the New Co</w:t>
      </w:r>
      <w:r w:rsidR="00741404" w:rsidRPr="00E440BE">
        <w:rPr>
          <w:rFonts w:ascii="Arial" w:hAnsi="Arial" w:cs="Arial"/>
        </w:rPr>
        <w:t xml:space="preserve">’s operations did not perform as well as expected in the short term (albeit this under performance </w:t>
      </w:r>
      <w:r w:rsidR="009E248B" w:rsidRPr="00E440BE">
        <w:rPr>
          <w:rFonts w:ascii="Arial" w:hAnsi="Arial" w:cs="Arial"/>
        </w:rPr>
        <w:t>may well be linked to the difficulties with valuing</w:t>
      </w:r>
      <w:r w:rsidR="00B96054" w:rsidRPr="00E440BE">
        <w:rPr>
          <w:rFonts w:ascii="Arial" w:hAnsi="Arial" w:cs="Arial"/>
        </w:rPr>
        <w:t xml:space="preserve"> assets, particularly in a restructuring situation – see </w:t>
      </w:r>
      <w:r w:rsidR="00E31F92" w:rsidRPr="00E440BE">
        <w:rPr>
          <w:rFonts w:ascii="Arial" w:hAnsi="Arial" w:cs="Arial"/>
        </w:rPr>
        <w:t>Broekema and Adriaanse</w:t>
      </w:r>
      <w:r w:rsidR="00E31F92" w:rsidRPr="00E440BE">
        <w:rPr>
          <w:rStyle w:val="FootnoteReference"/>
          <w:rFonts w:ascii="Arial" w:hAnsi="Arial" w:cs="Arial"/>
        </w:rPr>
        <w:footnoteReference w:id="31"/>
      </w:r>
      <w:r w:rsidR="00741404" w:rsidRPr="00E440BE">
        <w:rPr>
          <w:rFonts w:ascii="Arial" w:hAnsi="Arial" w:cs="Arial"/>
        </w:rPr>
        <w:t>)</w:t>
      </w:r>
      <w:r w:rsidR="00E31F92" w:rsidRPr="00E440BE">
        <w:rPr>
          <w:rFonts w:ascii="Arial" w:hAnsi="Arial" w:cs="Arial"/>
        </w:rPr>
        <w:t>.</w:t>
      </w:r>
      <w:r w:rsidR="00ED3255" w:rsidRPr="00E440BE">
        <w:rPr>
          <w:rFonts w:ascii="Arial" w:hAnsi="Arial" w:cs="Arial"/>
        </w:rPr>
        <w:t xml:space="preserve"> However, the lenders of the working capital postpone</w:t>
      </w:r>
      <w:r w:rsidR="00666F98" w:rsidRPr="00E440BE">
        <w:rPr>
          <w:rFonts w:ascii="Arial" w:hAnsi="Arial" w:cs="Arial"/>
          <w:lang/>
        </w:rPr>
        <w:t>d the</w:t>
      </w:r>
      <w:r w:rsidR="00ED3255" w:rsidRPr="00E440BE">
        <w:rPr>
          <w:rFonts w:ascii="Arial" w:hAnsi="Arial" w:cs="Arial"/>
        </w:rPr>
        <w:t xml:space="preserve"> refinancing to provide </w:t>
      </w:r>
      <w:r w:rsidR="00FA2251" w:rsidRPr="00E440BE">
        <w:rPr>
          <w:rFonts w:ascii="Arial" w:hAnsi="Arial" w:cs="Arial"/>
        </w:rPr>
        <w:t>a window for the New Co to produce anticipated good results, with a view to ensuring that the proposed sale can still take place.</w:t>
      </w:r>
    </w:p>
    <w:p w14:paraId="208F5FAD" w14:textId="77777777" w:rsidR="00250EC5" w:rsidRPr="00E440BE" w:rsidRDefault="00250EC5" w:rsidP="00FC5510">
      <w:pPr>
        <w:spacing w:after="0" w:line="240" w:lineRule="auto"/>
        <w:jc w:val="both"/>
        <w:rPr>
          <w:rFonts w:ascii="Arial" w:hAnsi="Arial" w:cs="Arial"/>
          <w:b/>
          <w:bCs/>
        </w:rPr>
      </w:pPr>
    </w:p>
    <w:p w14:paraId="2A445DED" w14:textId="77777777" w:rsidR="00A65E3B" w:rsidRPr="00E440BE" w:rsidRDefault="00A65E3B" w:rsidP="00FC5510">
      <w:pPr>
        <w:spacing w:after="0" w:line="240" w:lineRule="auto"/>
        <w:jc w:val="both"/>
        <w:rPr>
          <w:rFonts w:ascii="Arial" w:hAnsi="Arial" w:cs="Arial"/>
          <w:b/>
          <w:bCs/>
        </w:rPr>
      </w:pPr>
    </w:p>
    <w:p w14:paraId="59114AF2" w14:textId="6F776426" w:rsidR="0004705A" w:rsidRPr="00E440BE" w:rsidRDefault="0004705A" w:rsidP="00FC5510">
      <w:pPr>
        <w:spacing w:after="0" w:line="240" w:lineRule="auto"/>
        <w:jc w:val="both"/>
        <w:rPr>
          <w:rFonts w:ascii="Arial" w:hAnsi="Arial" w:cs="Arial"/>
          <w:b/>
          <w:bCs/>
          <w:caps/>
        </w:rPr>
      </w:pPr>
      <w:r w:rsidRPr="00E440BE">
        <w:rPr>
          <w:rFonts w:ascii="Arial" w:hAnsi="Arial" w:cs="Arial"/>
          <w:b/>
          <w:bCs/>
          <w:caps/>
        </w:rPr>
        <w:t>8. Which (potential) legal and/or non-legal cross-border issues – if any – do you recognize</w:t>
      </w:r>
      <w:r w:rsidR="00B20023" w:rsidRPr="00E440BE">
        <w:rPr>
          <w:rFonts w:ascii="Arial" w:hAnsi="Arial" w:cs="Arial"/>
          <w:b/>
          <w:bCs/>
          <w:caps/>
        </w:rPr>
        <w:t xml:space="preserve"> </w:t>
      </w:r>
      <w:r w:rsidRPr="00E440BE">
        <w:rPr>
          <w:rFonts w:ascii="Arial" w:hAnsi="Arial" w:cs="Arial"/>
          <w:b/>
          <w:bCs/>
          <w:caps/>
        </w:rPr>
        <w:t>in the Flow Management restructuring process?</w:t>
      </w:r>
    </w:p>
    <w:p w14:paraId="07751DA7" w14:textId="77777777" w:rsidR="0004705A" w:rsidRPr="00E440BE" w:rsidRDefault="0004705A" w:rsidP="00FC5510">
      <w:pPr>
        <w:spacing w:after="0" w:line="240" w:lineRule="auto"/>
        <w:jc w:val="both"/>
        <w:rPr>
          <w:rFonts w:ascii="Arial" w:hAnsi="Arial" w:cs="Arial"/>
          <w:b/>
          <w:bCs/>
        </w:rPr>
      </w:pPr>
    </w:p>
    <w:p w14:paraId="73073692" w14:textId="7D501629" w:rsidR="002F6E02" w:rsidRPr="00E440BE" w:rsidRDefault="00570B24" w:rsidP="00FC5510">
      <w:pPr>
        <w:spacing w:after="0" w:line="240" w:lineRule="auto"/>
        <w:jc w:val="both"/>
        <w:rPr>
          <w:rFonts w:ascii="Arial" w:hAnsi="Arial" w:cs="Arial"/>
        </w:rPr>
      </w:pPr>
      <w:proofErr w:type="gramStart"/>
      <w:r w:rsidRPr="00E440BE">
        <w:rPr>
          <w:rFonts w:ascii="Arial" w:hAnsi="Arial" w:cs="Arial"/>
        </w:rPr>
        <w:t>For the purpose of</w:t>
      </w:r>
      <w:proofErr w:type="gramEnd"/>
      <w:r w:rsidRPr="00E440BE">
        <w:rPr>
          <w:rFonts w:ascii="Arial" w:hAnsi="Arial" w:cs="Arial"/>
        </w:rPr>
        <w:t xml:space="preserve"> this question, the “restructuring process” is understood to be the arrangement entered into </w:t>
      </w:r>
      <w:r w:rsidR="00164304" w:rsidRPr="00E440BE">
        <w:rPr>
          <w:rFonts w:ascii="Arial" w:hAnsi="Arial" w:cs="Arial"/>
        </w:rPr>
        <w:t>on 4 July 2023.</w:t>
      </w:r>
    </w:p>
    <w:p w14:paraId="36184E0A" w14:textId="77777777" w:rsidR="00FA3D4E" w:rsidRPr="00E440BE" w:rsidRDefault="00FA3D4E" w:rsidP="00FC5510">
      <w:pPr>
        <w:spacing w:after="0" w:line="240" w:lineRule="auto"/>
        <w:jc w:val="both"/>
        <w:rPr>
          <w:rFonts w:ascii="Arial" w:hAnsi="Arial" w:cs="Arial"/>
          <w:b/>
          <w:bCs/>
        </w:rPr>
      </w:pPr>
    </w:p>
    <w:p w14:paraId="0D44EF58" w14:textId="77777777" w:rsidR="00D0462A" w:rsidRPr="00E440BE" w:rsidRDefault="00D0462A" w:rsidP="00FC5510">
      <w:pPr>
        <w:spacing w:after="0" w:line="240" w:lineRule="auto"/>
        <w:jc w:val="both"/>
        <w:rPr>
          <w:rFonts w:ascii="Arial" w:hAnsi="Arial" w:cs="Arial"/>
          <w:color w:val="3D3D3D"/>
          <w:shd w:val="clear" w:color="auto" w:fill="FFFFFF"/>
          <w:lang/>
        </w:rPr>
      </w:pPr>
      <w:r w:rsidRPr="00E440BE">
        <w:rPr>
          <w:rFonts w:ascii="Arial" w:hAnsi="Arial" w:cs="Arial"/>
          <w:color w:val="3D3D3D"/>
          <w:shd w:val="clear" w:color="auto" w:fill="FFFFFF"/>
          <w:lang/>
        </w:rPr>
        <w:t>The Company will likely want to commence proceedings in the jurisdiction of its choosing, ideally one that mitigates the risk of the restructuring agreement being derailed by some of the issues identified below.</w:t>
      </w:r>
    </w:p>
    <w:p w14:paraId="6F4DBC9B" w14:textId="77777777" w:rsidR="00D0462A" w:rsidRPr="00E440BE" w:rsidRDefault="00D0462A" w:rsidP="00FC5510">
      <w:pPr>
        <w:spacing w:after="0" w:line="240" w:lineRule="auto"/>
        <w:jc w:val="both"/>
        <w:rPr>
          <w:rFonts w:ascii="Arial" w:hAnsi="Arial" w:cs="Arial"/>
          <w:color w:val="3D3D3D"/>
          <w:shd w:val="clear" w:color="auto" w:fill="FFFFFF"/>
          <w:lang/>
        </w:rPr>
      </w:pPr>
    </w:p>
    <w:p w14:paraId="74A3CCD4" w14:textId="54632524" w:rsidR="00D0462A" w:rsidRPr="00E440BE" w:rsidRDefault="00D0462A" w:rsidP="00FC5510">
      <w:pPr>
        <w:spacing w:after="0" w:line="240" w:lineRule="auto"/>
        <w:jc w:val="both"/>
        <w:rPr>
          <w:rFonts w:ascii="Arial" w:hAnsi="Arial" w:cs="Arial"/>
          <w:color w:val="3D3D3D"/>
          <w:shd w:val="clear" w:color="auto" w:fill="FFFFFF"/>
          <w:lang/>
        </w:rPr>
      </w:pPr>
      <w:r w:rsidRPr="00E440BE">
        <w:rPr>
          <w:rFonts w:ascii="Arial" w:hAnsi="Arial" w:cs="Arial"/>
          <w:color w:val="3D3D3D"/>
          <w:shd w:val="clear" w:color="auto" w:fill="FFFFFF"/>
          <w:lang/>
        </w:rPr>
        <w:t>A</w:t>
      </w:r>
      <w:r w:rsidRPr="00E440BE">
        <w:rPr>
          <w:rFonts w:ascii="Arial" w:hAnsi="Arial" w:cs="Arial"/>
          <w:color w:val="3D3D3D"/>
          <w:shd w:val="clear" w:color="auto" w:fill="FFFFFF"/>
        </w:rPr>
        <w:t>n analysis will likely need to be undertaken to determine where the “</w:t>
      </w:r>
      <w:proofErr w:type="spellStart"/>
      <w:r w:rsidRPr="00E440BE">
        <w:rPr>
          <w:rFonts w:ascii="Arial" w:hAnsi="Arial" w:cs="Arial"/>
          <w:color w:val="3D3D3D"/>
          <w:shd w:val="clear" w:color="auto" w:fill="FFFFFF"/>
        </w:rPr>
        <w:t>centre</w:t>
      </w:r>
      <w:proofErr w:type="spellEnd"/>
      <w:r w:rsidRPr="00E440BE">
        <w:rPr>
          <w:rFonts w:ascii="Arial" w:hAnsi="Arial" w:cs="Arial"/>
          <w:color w:val="3D3D3D"/>
          <w:shd w:val="clear" w:color="auto" w:fill="FFFFFF"/>
        </w:rPr>
        <w:t xml:space="preserve"> of main interests” (</w:t>
      </w:r>
      <w:r w:rsidRPr="00E440BE">
        <w:rPr>
          <w:rFonts w:ascii="Arial" w:hAnsi="Arial" w:cs="Arial"/>
          <w:b/>
          <w:bCs/>
          <w:color w:val="3D3D3D"/>
          <w:shd w:val="clear" w:color="auto" w:fill="FFFFFF"/>
        </w:rPr>
        <w:t>COMI</w:t>
      </w:r>
      <w:r w:rsidRPr="00E440BE">
        <w:rPr>
          <w:rFonts w:ascii="Arial" w:hAnsi="Arial" w:cs="Arial"/>
          <w:color w:val="3D3D3D"/>
          <w:shd w:val="clear" w:color="auto" w:fill="FFFFFF"/>
        </w:rPr>
        <w:t xml:space="preserve">) lies. Assuming the Company’s registered office is in the </w:t>
      </w:r>
      <w:proofErr w:type="gramStart"/>
      <w:r w:rsidRPr="00E440BE">
        <w:rPr>
          <w:rFonts w:ascii="Arial" w:hAnsi="Arial" w:cs="Arial"/>
          <w:color w:val="3D3D3D"/>
          <w:shd w:val="clear" w:color="auto" w:fill="FFFFFF"/>
        </w:rPr>
        <w:t>Netherlands, and</w:t>
      </w:r>
      <w:proofErr w:type="gramEnd"/>
      <w:r w:rsidRPr="00E440BE">
        <w:rPr>
          <w:rFonts w:ascii="Arial" w:hAnsi="Arial" w:cs="Arial"/>
          <w:color w:val="3D3D3D"/>
          <w:shd w:val="clear" w:color="auto" w:fill="FFFFFF"/>
        </w:rPr>
        <w:t xml:space="preserve"> given that it will have no subsidiaries at the time of entering into the insolvency </w:t>
      </w:r>
      <w:r w:rsidR="0059474A" w:rsidRPr="00E440BE">
        <w:rPr>
          <w:rFonts w:ascii="Arial" w:hAnsi="Arial" w:cs="Arial"/>
          <w:color w:val="3D3D3D"/>
          <w:shd w:val="clear" w:color="auto" w:fill="FFFFFF"/>
          <w:lang/>
        </w:rPr>
        <w:t>process</w:t>
      </w:r>
      <w:r w:rsidRPr="00E440BE">
        <w:rPr>
          <w:rFonts w:ascii="Arial" w:hAnsi="Arial" w:cs="Arial"/>
          <w:color w:val="3D3D3D"/>
          <w:shd w:val="clear" w:color="auto" w:fill="FFFFFF"/>
        </w:rPr>
        <w:t xml:space="preserve">, COMI will likely be the Netherlands, which would make the </w:t>
      </w:r>
      <w:r w:rsidRPr="00E440BE">
        <w:rPr>
          <w:rFonts w:ascii="Arial" w:hAnsi="Arial" w:cs="Arial"/>
          <w:color w:val="333333"/>
          <w:shd w:val="clear" w:color="auto" w:fill="FFFFFF"/>
        </w:rPr>
        <w:t>Regulation (EU) 2015/848 of the European Parliament and of the Council of 20 May 2015 on insolvency proceedings (recast)</w:t>
      </w:r>
      <w:r w:rsidRPr="00E440BE">
        <w:rPr>
          <w:rStyle w:val="FootnoteReference"/>
          <w:rFonts w:ascii="Arial" w:hAnsi="Arial" w:cs="Arial"/>
          <w:i/>
          <w:iCs/>
          <w:color w:val="3D3D3D"/>
          <w:bdr w:val="none" w:sz="0" w:space="0" w:color="auto" w:frame="1"/>
          <w:shd w:val="clear" w:color="auto" w:fill="FFFFFF"/>
        </w:rPr>
        <w:footnoteReference w:id="32"/>
      </w:r>
      <w:r w:rsidRPr="00E440BE">
        <w:rPr>
          <w:rFonts w:ascii="Arial" w:hAnsi="Arial" w:cs="Arial"/>
          <w:color w:val="3D3D3D"/>
          <w:shd w:val="clear" w:color="auto" w:fill="FFFFFF"/>
        </w:rPr>
        <w:t xml:space="preserve"> applicable. </w:t>
      </w:r>
      <w:r w:rsidRPr="00E440BE">
        <w:rPr>
          <w:rFonts w:ascii="Arial" w:hAnsi="Arial" w:cs="Arial"/>
          <w:color w:val="3D3D3D"/>
          <w:shd w:val="clear" w:color="auto" w:fill="FFFFFF"/>
          <w:lang/>
        </w:rPr>
        <w:t>However, the analysis need not end there, and there may be options for the main proceedings to be commenced outside of Europe.</w:t>
      </w:r>
    </w:p>
    <w:p w14:paraId="4AF5CEA3" w14:textId="77777777" w:rsidR="00D0462A" w:rsidRPr="00E440BE" w:rsidRDefault="00D0462A" w:rsidP="00FC5510">
      <w:pPr>
        <w:spacing w:after="0" w:line="240" w:lineRule="auto"/>
        <w:jc w:val="both"/>
        <w:rPr>
          <w:rFonts w:ascii="Arial" w:hAnsi="Arial" w:cs="Arial"/>
          <w:color w:val="3D3D3D"/>
          <w:sz w:val="27"/>
          <w:szCs w:val="27"/>
          <w:shd w:val="clear" w:color="auto" w:fill="FFFFFF"/>
        </w:rPr>
      </w:pPr>
    </w:p>
    <w:p w14:paraId="3D4AAF37" w14:textId="3DACAA49" w:rsidR="00751F45" w:rsidRPr="00E440BE" w:rsidRDefault="00D0462A" w:rsidP="00FC5510">
      <w:pPr>
        <w:spacing w:after="0" w:line="240" w:lineRule="auto"/>
        <w:jc w:val="both"/>
        <w:rPr>
          <w:rFonts w:ascii="Arial" w:hAnsi="Arial" w:cs="Arial"/>
          <w:color w:val="3D3D3D"/>
          <w:shd w:val="clear" w:color="auto" w:fill="FFFFFF"/>
          <w:lang/>
        </w:rPr>
      </w:pPr>
      <w:r w:rsidRPr="00E440BE">
        <w:rPr>
          <w:rFonts w:ascii="Arial" w:hAnsi="Arial" w:cs="Arial"/>
          <w:color w:val="3D3D3D"/>
          <w:shd w:val="clear" w:color="auto" w:fill="FFFFFF"/>
          <w:lang/>
        </w:rPr>
        <w:t>Historically several states within the United States have been considered reasonably debtor friendly</w:t>
      </w:r>
      <w:r w:rsidRPr="00E440BE">
        <w:rPr>
          <w:rStyle w:val="FootnoteReference"/>
          <w:rFonts w:ascii="Arial" w:hAnsi="Arial" w:cs="Arial"/>
          <w:color w:val="3D3D3D"/>
          <w:shd w:val="clear" w:color="auto" w:fill="FFFFFF"/>
          <w:lang/>
        </w:rPr>
        <w:footnoteReference w:id="33"/>
      </w:r>
      <w:r w:rsidRPr="00E440BE">
        <w:rPr>
          <w:rFonts w:ascii="Arial" w:hAnsi="Arial" w:cs="Arial"/>
          <w:color w:val="3D3D3D"/>
          <w:shd w:val="clear" w:color="auto" w:fill="FFFFFF"/>
          <w:lang/>
        </w:rPr>
        <w:t xml:space="preserve"> and, even without significant trading history or creditor base in the US, it is usually possible to persuade the Court to take jurisdiction over a bankruptcy even if it was not the principle place of a </w:t>
      </w:r>
      <w:r w:rsidR="001F1AB9" w:rsidRPr="00E440BE">
        <w:rPr>
          <w:rFonts w:ascii="Arial" w:hAnsi="Arial" w:cs="Arial"/>
          <w:color w:val="3D3D3D"/>
          <w:shd w:val="clear" w:color="auto" w:fill="FFFFFF"/>
          <w:lang/>
        </w:rPr>
        <w:t xml:space="preserve">company or its </w:t>
      </w:r>
      <w:r w:rsidRPr="00E440BE">
        <w:rPr>
          <w:rFonts w:ascii="Arial" w:hAnsi="Arial" w:cs="Arial"/>
          <w:color w:val="3D3D3D"/>
          <w:shd w:val="clear" w:color="auto" w:fill="FFFFFF"/>
          <w:lang/>
        </w:rPr>
        <w:t xml:space="preserve">group’s operations (albeit with the caveat that US Chapter 11 proceedings are notoriously expensive). </w:t>
      </w:r>
      <w:r w:rsidR="00707FF0" w:rsidRPr="00E440BE">
        <w:rPr>
          <w:rFonts w:ascii="Arial" w:hAnsi="Arial" w:cs="Arial"/>
          <w:color w:val="3D3D3D"/>
          <w:shd w:val="clear" w:color="auto" w:fill="FFFFFF"/>
          <w:lang/>
        </w:rPr>
        <w:t xml:space="preserve">In fact, most jurisdictions have mechanisms to enable </w:t>
      </w:r>
      <w:r w:rsidR="00707FF0" w:rsidRPr="00E440BE">
        <w:rPr>
          <w:rFonts w:ascii="Arial" w:hAnsi="Arial" w:cs="Arial"/>
          <w:color w:val="3D3D3D"/>
          <w:shd w:val="clear" w:color="auto" w:fill="FFFFFF"/>
          <w:lang/>
        </w:rPr>
        <w:lastRenderedPageBreak/>
        <w:t>the winding up a company incorporated outside of that country</w:t>
      </w:r>
      <w:r w:rsidR="00FA5221" w:rsidRPr="00E440BE">
        <w:rPr>
          <w:rFonts w:ascii="Arial" w:hAnsi="Arial" w:cs="Arial"/>
          <w:color w:val="3D3D3D"/>
          <w:shd w:val="clear" w:color="auto" w:fill="FFFFFF"/>
          <w:lang/>
        </w:rPr>
        <w:t>, though few accept jurisdiction so easily as the United States</w:t>
      </w:r>
      <w:r w:rsidR="00A640C9" w:rsidRPr="00E440BE">
        <w:rPr>
          <w:rFonts w:ascii="Arial" w:hAnsi="Arial" w:cs="Arial"/>
          <w:color w:val="3D3D3D"/>
          <w:shd w:val="clear" w:color="auto" w:fill="FFFFFF"/>
          <w:lang/>
        </w:rPr>
        <w:t>.</w:t>
      </w:r>
      <w:r w:rsidR="00FA5221" w:rsidRPr="00E440BE">
        <w:rPr>
          <w:rFonts w:ascii="Arial" w:hAnsi="Arial" w:cs="Arial"/>
          <w:color w:val="3D3D3D"/>
          <w:shd w:val="clear" w:color="auto" w:fill="FFFFFF"/>
          <w:vertAlign w:val="superscript"/>
        </w:rPr>
        <w:footnoteReference w:id="34"/>
      </w:r>
    </w:p>
    <w:p w14:paraId="73F181AF" w14:textId="5F203D96" w:rsidR="00AC6F2C" w:rsidRPr="00E440BE" w:rsidRDefault="00AC6F2C" w:rsidP="00FC5510">
      <w:pPr>
        <w:spacing w:after="0" w:line="240" w:lineRule="auto"/>
        <w:jc w:val="both"/>
        <w:rPr>
          <w:rFonts w:ascii="Arial" w:hAnsi="Arial" w:cs="Arial"/>
          <w:color w:val="3D3D3D"/>
          <w:shd w:val="clear" w:color="auto" w:fill="FFFFFF"/>
          <w:lang/>
        </w:rPr>
      </w:pPr>
    </w:p>
    <w:p w14:paraId="4185A8EA" w14:textId="4971F121" w:rsidR="00AC6F2C" w:rsidRPr="00E440BE" w:rsidRDefault="004A0218" w:rsidP="00FC5510">
      <w:pPr>
        <w:spacing w:after="0" w:line="240" w:lineRule="auto"/>
        <w:jc w:val="both"/>
        <w:rPr>
          <w:rFonts w:ascii="Arial" w:hAnsi="Arial" w:cs="Arial"/>
          <w:color w:val="3D3D3D"/>
          <w:shd w:val="clear" w:color="auto" w:fill="FFFFFF"/>
          <w:lang/>
        </w:rPr>
      </w:pPr>
      <w:r w:rsidRPr="00E440BE">
        <w:rPr>
          <w:rFonts w:ascii="Arial" w:hAnsi="Arial" w:cs="Arial"/>
          <w:color w:val="3D3D3D"/>
          <w:shd w:val="clear" w:color="auto" w:fill="FFFFFF"/>
          <w:lang/>
        </w:rPr>
        <w:t>I</w:t>
      </w:r>
      <w:r w:rsidR="00AC6F2C" w:rsidRPr="00E440BE">
        <w:rPr>
          <w:rFonts w:ascii="Arial" w:hAnsi="Arial" w:cs="Arial"/>
          <w:color w:val="3D3D3D"/>
          <w:shd w:val="clear" w:color="auto" w:fill="FFFFFF"/>
          <w:lang/>
        </w:rPr>
        <w:t xml:space="preserve">n most </w:t>
      </w:r>
      <w:r w:rsidR="003677CF" w:rsidRPr="00E440BE">
        <w:rPr>
          <w:rFonts w:ascii="Arial" w:hAnsi="Arial" w:cs="Arial"/>
          <w:color w:val="3D3D3D"/>
          <w:shd w:val="clear" w:color="auto" w:fill="FFFFFF"/>
          <w:lang/>
        </w:rPr>
        <w:t>jurisdictions</w:t>
      </w:r>
      <w:r w:rsidR="00AC6F2C" w:rsidRPr="00E440BE">
        <w:rPr>
          <w:rFonts w:ascii="Arial" w:hAnsi="Arial" w:cs="Arial"/>
          <w:color w:val="3D3D3D"/>
          <w:shd w:val="clear" w:color="auto" w:fill="FFFFFF"/>
          <w:lang/>
        </w:rPr>
        <w:t>, it is not on</w:t>
      </w:r>
      <w:r w:rsidRPr="00E440BE">
        <w:rPr>
          <w:rFonts w:ascii="Arial" w:hAnsi="Arial" w:cs="Arial"/>
          <w:color w:val="3D3D3D"/>
          <w:shd w:val="clear" w:color="auto" w:fill="FFFFFF"/>
          <w:lang/>
        </w:rPr>
        <w:t>ly</w:t>
      </w:r>
      <w:r w:rsidR="00AC6F2C" w:rsidRPr="00E440BE">
        <w:rPr>
          <w:rFonts w:ascii="Arial" w:hAnsi="Arial" w:cs="Arial"/>
          <w:color w:val="3D3D3D"/>
          <w:shd w:val="clear" w:color="auto" w:fill="FFFFFF"/>
          <w:lang/>
        </w:rPr>
        <w:t xml:space="preserve"> the Company that has standing to apply for its</w:t>
      </w:r>
      <w:r w:rsidR="00AC6F2C" w:rsidRPr="00E440BE">
        <w:rPr>
          <w:rFonts w:ascii="Arial" w:hAnsi="Arial" w:cs="Arial"/>
          <w:color w:val="3D3D3D"/>
          <w:shd w:val="clear" w:color="auto" w:fill="FFFFFF"/>
        </w:rPr>
        <w:t xml:space="preserve"> </w:t>
      </w:r>
      <w:r w:rsidR="003677CF" w:rsidRPr="00E440BE">
        <w:rPr>
          <w:rFonts w:ascii="Arial" w:hAnsi="Arial" w:cs="Arial"/>
          <w:color w:val="3D3D3D"/>
          <w:shd w:val="clear" w:color="auto" w:fill="FFFFFF"/>
          <w:lang/>
        </w:rPr>
        <w:t xml:space="preserve">liquidation. </w:t>
      </w:r>
      <w:r w:rsidR="00CB229A" w:rsidRPr="00E440BE">
        <w:rPr>
          <w:rFonts w:ascii="Arial" w:hAnsi="Arial" w:cs="Arial"/>
          <w:color w:val="3D3D3D"/>
          <w:shd w:val="clear" w:color="auto" w:fill="FFFFFF"/>
          <w:lang/>
        </w:rPr>
        <w:t>Usually, anyone who stands to make any recovery for the process is able to a</w:t>
      </w:r>
      <w:r w:rsidR="00244C88" w:rsidRPr="00E440BE">
        <w:rPr>
          <w:rFonts w:ascii="Arial" w:hAnsi="Arial" w:cs="Arial"/>
          <w:color w:val="3D3D3D"/>
          <w:shd w:val="clear" w:color="auto" w:fill="FFFFFF"/>
          <w:lang/>
        </w:rPr>
        <w:t xml:space="preserve">pply. </w:t>
      </w:r>
      <w:r w:rsidRPr="00E440BE">
        <w:rPr>
          <w:rFonts w:ascii="Arial" w:hAnsi="Arial" w:cs="Arial"/>
          <w:color w:val="3D3D3D"/>
          <w:shd w:val="clear" w:color="auto" w:fill="FFFFFF"/>
          <w:lang/>
        </w:rPr>
        <w:t xml:space="preserve">Therefore, if a creditor considers that it might obtain a better return under a </w:t>
      </w:r>
      <w:r w:rsidRPr="00BB3B92">
        <w:rPr>
          <w:rFonts w:ascii="Arial" w:hAnsi="Arial" w:cs="Arial"/>
          <w:color w:val="3D3D3D"/>
          <w:shd w:val="clear" w:color="auto" w:fill="FFFFFF"/>
          <w:lang/>
        </w:rPr>
        <w:t>specific regime, they might apply for the winding</w:t>
      </w:r>
      <w:r w:rsidR="007C7BCF" w:rsidRPr="00BB3B92">
        <w:rPr>
          <w:rFonts w:ascii="Arial" w:hAnsi="Arial" w:cs="Arial"/>
          <w:color w:val="3D3D3D"/>
          <w:shd w:val="clear" w:color="auto" w:fill="FFFFFF"/>
          <w:lang/>
        </w:rPr>
        <w:t>-</w:t>
      </w:r>
      <w:r w:rsidRPr="00BB3B92">
        <w:rPr>
          <w:rFonts w:ascii="Arial" w:hAnsi="Arial" w:cs="Arial"/>
          <w:color w:val="3D3D3D"/>
          <w:shd w:val="clear" w:color="auto" w:fill="FFFFFF"/>
          <w:lang/>
        </w:rPr>
        <w:t>up</w:t>
      </w:r>
      <w:r w:rsidR="007C7BCF" w:rsidRPr="00BB3B92">
        <w:rPr>
          <w:rFonts w:ascii="Arial" w:hAnsi="Arial" w:cs="Arial"/>
          <w:color w:val="3D3D3D"/>
          <w:shd w:val="clear" w:color="auto" w:fill="FFFFFF"/>
          <w:lang/>
        </w:rPr>
        <w:t>/liquidation/bankruptcy</w:t>
      </w:r>
      <w:r w:rsidRPr="00BB3B92">
        <w:rPr>
          <w:rFonts w:ascii="Arial" w:hAnsi="Arial" w:cs="Arial"/>
          <w:color w:val="3D3D3D"/>
          <w:shd w:val="clear" w:color="auto" w:fill="FFFFFF"/>
          <w:lang/>
        </w:rPr>
        <w:t xml:space="preserve"> proceedings to be commenced </w:t>
      </w:r>
      <w:r w:rsidR="007C7BCF" w:rsidRPr="00BB3B92">
        <w:rPr>
          <w:rFonts w:ascii="Arial" w:hAnsi="Arial" w:cs="Arial"/>
          <w:color w:val="3D3D3D"/>
          <w:shd w:val="clear" w:color="auto" w:fill="FFFFFF"/>
          <w:lang/>
        </w:rPr>
        <w:t>in that jurisdiction.</w:t>
      </w:r>
      <w:r w:rsidR="0059474A" w:rsidRPr="00BB3B92">
        <w:rPr>
          <w:rFonts w:ascii="Arial" w:hAnsi="Arial" w:cs="Arial"/>
          <w:color w:val="3D3D3D"/>
          <w:shd w:val="clear" w:color="auto" w:fill="FFFFFF"/>
          <w:lang/>
        </w:rPr>
        <w:t xml:space="preserve"> It can then become a race between the Company and a</w:t>
      </w:r>
      <w:r w:rsidR="00AD24C1" w:rsidRPr="00BB3B92">
        <w:rPr>
          <w:rFonts w:ascii="Arial" w:hAnsi="Arial" w:cs="Arial"/>
          <w:color w:val="3D3D3D"/>
          <w:shd w:val="clear" w:color="auto" w:fill="FFFFFF"/>
          <w:lang/>
        </w:rPr>
        <w:t xml:space="preserve"> determined creditor to obtain </w:t>
      </w:r>
      <w:r w:rsidR="005F1C39" w:rsidRPr="00BB3B92">
        <w:rPr>
          <w:rFonts w:ascii="Arial" w:hAnsi="Arial" w:cs="Arial"/>
          <w:color w:val="3D3D3D"/>
          <w:shd w:val="clear" w:color="auto" w:fill="FFFFFF"/>
          <w:lang/>
        </w:rPr>
        <w:t>a winding-up/liquidation order in the jurisdiction that they consider to be most favourable to them.</w:t>
      </w:r>
    </w:p>
    <w:p w14:paraId="6BB5A1DD" w14:textId="77777777" w:rsidR="00C0074B" w:rsidRPr="00E440BE" w:rsidRDefault="00C0074B" w:rsidP="00FC5510">
      <w:pPr>
        <w:spacing w:after="0" w:line="240" w:lineRule="auto"/>
        <w:jc w:val="both"/>
        <w:rPr>
          <w:rFonts w:ascii="Arial" w:hAnsi="Arial" w:cs="Arial"/>
          <w:color w:val="3D3D3D"/>
          <w:shd w:val="clear" w:color="auto" w:fill="FFFFFF"/>
          <w:lang/>
        </w:rPr>
      </w:pPr>
    </w:p>
    <w:p w14:paraId="3C4EC32F" w14:textId="6A0A8120" w:rsidR="00D0462A" w:rsidRPr="00E440BE" w:rsidRDefault="00C0074B" w:rsidP="00FC5510">
      <w:pPr>
        <w:spacing w:after="0" w:line="240" w:lineRule="auto"/>
        <w:jc w:val="both"/>
        <w:rPr>
          <w:rFonts w:ascii="Arial" w:hAnsi="Arial" w:cs="Arial"/>
        </w:rPr>
      </w:pPr>
      <w:r w:rsidRPr="00E440BE">
        <w:rPr>
          <w:rFonts w:ascii="Arial" w:hAnsi="Arial" w:cs="Arial"/>
          <w:color w:val="3D3D3D"/>
          <w:shd w:val="clear" w:color="auto" w:fill="FFFFFF"/>
          <w:lang/>
        </w:rPr>
        <w:t xml:space="preserve">Further, under most insolvency regimes, the management no longer retain control of the company. </w:t>
      </w:r>
      <w:r w:rsidR="00D32A64">
        <w:rPr>
          <w:rFonts w:ascii="Arial" w:hAnsi="Arial" w:cs="Arial"/>
          <w:color w:val="3D3D3D"/>
          <w:shd w:val="clear" w:color="auto" w:fill="FFFFFF"/>
          <w:lang/>
        </w:rPr>
        <w:t xml:space="preserve">Rather, it is usually an independent professional who ultimately reports to the Court. </w:t>
      </w:r>
      <w:r w:rsidR="00295A26">
        <w:rPr>
          <w:rFonts w:ascii="Arial" w:hAnsi="Arial" w:cs="Arial"/>
          <w:color w:val="3D3D3D"/>
          <w:shd w:val="clear" w:color="auto" w:fill="FFFFFF"/>
          <w:lang/>
        </w:rPr>
        <w:t>Ordinarily, both the company and stakeholders will have an opportunity to say who they would prefer to be appointed, and it can lead to disagreement.</w:t>
      </w:r>
    </w:p>
    <w:p w14:paraId="60B40154" w14:textId="77777777" w:rsidR="00D0462A" w:rsidRPr="00E440BE" w:rsidRDefault="00D0462A" w:rsidP="00FC5510">
      <w:pPr>
        <w:spacing w:after="0" w:line="240" w:lineRule="auto"/>
        <w:jc w:val="both"/>
        <w:rPr>
          <w:rFonts w:ascii="Arial" w:hAnsi="Arial" w:cs="Arial"/>
        </w:rPr>
      </w:pPr>
    </w:p>
    <w:p w14:paraId="4E70434C" w14:textId="205D8A09" w:rsidR="00547B2D" w:rsidRPr="00E440BE" w:rsidRDefault="00547B2D" w:rsidP="00FC5510">
      <w:pPr>
        <w:spacing w:after="0" w:line="240" w:lineRule="auto"/>
        <w:jc w:val="both"/>
        <w:rPr>
          <w:rFonts w:ascii="Arial" w:hAnsi="Arial" w:cs="Arial"/>
          <w:color w:val="3D3D3D"/>
          <w:shd w:val="clear" w:color="auto" w:fill="FFFFFF"/>
        </w:rPr>
      </w:pPr>
      <w:r w:rsidRPr="00E440BE">
        <w:rPr>
          <w:rFonts w:ascii="Arial" w:hAnsi="Arial" w:cs="Arial"/>
          <w:color w:val="3D3D3D"/>
          <w:shd w:val="clear" w:color="auto" w:fill="FFFFFF"/>
        </w:rPr>
        <w:t xml:space="preserve">Depending upon the </w:t>
      </w:r>
      <w:r w:rsidR="00D3147E" w:rsidRPr="00E440BE">
        <w:rPr>
          <w:rFonts w:ascii="Arial" w:hAnsi="Arial" w:cs="Arial"/>
          <w:color w:val="3D3D3D"/>
          <w:shd w:val="clear" w:color="auto" w:fill="FFFFFF"/>
        </w:rPr>
        <w:t>jurisdiction</w:t>
      </w:r>
      <w:r w:rsidRPr="00E440BE">
        <w:rPr>
          <w:rFonts w:ascii="Arial" w:hAnsi="Arial" w:cs="Arial"/>
          <w:color w:val="3D3D3D"/>
          <w:shd w:val="clear" w:color="auto" w:fill="FFFFFF"/>
        </w:rPr>
        <w:t xml:space="preserve"> i</w:t>
      </w:r>
      <w:r w:rsidR="00D3147E" w:rsidRPr="00E440BE">
        <w:rPr>
          <w:rFonts w:ascii="Arial" w:hAnsi="Arial" w:cs="Arial"/>
          <w:color w:val="3D3D3D"/>
          <w:shd w:val="clear" w:color="auto" w:fill="FFFFFF"/>
        </w:rPr>
        <w:t>n</w:t>
      </w:r>
      <w:r w:rsidRPr="00E440BE">
        <w:rPr>
          <w:rFonts w:ascii="Arial" w:hAnsi="Arial" w:cs="Arial"/>
          <w:color w:val="3D3D3D"/>
          <w:shd w:val="clear" w:color="auto" w:fill="FFFFFF"/>
        </w:rPr>
        <w:t xml:space="preserve"> which </w:t>
      </w:r>
      <w:r w:rsidR="00812574" w:rsidRPr="00E440BE">
        <w:rPr>
          <w:rFonts w:ascii="Arial" w:hAnsi="Arial" w:cs="Arial"/>
          <w:color w:val="3D3D3D"/>
          <w:shd w:val="clear" w:color="auto" w:fill="FFFFFF"/>
        </w:rPr>
        <w:t>the Company enters formal insolvency proceedings</w:t>
      </w:r>
      <w:r w:rsidR="00040DC5">
        <w:rPr>
          <w:rFonts w:ascii="Arial" w:hAnsi="Arial" w:cs="Arial"/>
          <w:color w:val="3D3D3D"/>
          <w:shd w:val="clear" w:color="auto" w:fill="FFFFFF"/>
          <w:lang/>
        </w:rPr>
        <w:t xml:space="preserve">, </w:t>
      </w:r>
      <w:r w:rsidR="00812574" w:rsidRPr="00E440BE">
        <w:rPr>
          <w:rFonts w:ascii="Arial" w:hAnsi="Arial" w:cs="Arial"/>
          <w:color w:val="3D3D3D"/>
          <w:shd w:val="clear" w:color="auto" w:fill="FFFFFF"/>
        </w:rPr>
        <w:t>it is possible that</w:t>
      </w:r>
      <w:r w:rsidRPr="00E440BE">
        <w:rPr>
          <w:rFonts w:ascii="Arial" w:hAnsi="Arial" w:cs="Arial"/>
          <w:color w:val="3D3D3D"/>
          <w:shd w:val="clear" w:color="auto" w:fill="FFFFFF"/>
        </w:rPr>
        <w:t>:</w:t>
      </w:r>
    </w:p>
    <w:p w14:paraId="0316D49D" w14:textId="77777777" w:rsidR="00547B2D" w:rsidRPr="00E440BE" w:rsidRDefault="00547B2D" w:rsidP="00FC5510">
      <w:pPr>
        <w:spacing w:after="0" w:line="240" w:lineRule="auto"/>
        <w:jc w:val="both"/>
        <w:rPr>
          <w:rFonts w:ascii="Arial" w:hAnsi="Arial" w:cs="Arial"/>
          <w:color w:val="3D3D3D"/>
          <w:shd w:val="clear" w:color="auto" w:fill="FFFFFF"/>
        </w:rPr>
      </w:pPr>
    </w:p>
    <w:p w14:paraId="5B748315" w14:textId="6564E6A1" w:rsidR="00812574" w:rsidRPr="00E440BE" w:rsidRDefault="00812574" w:rsidP="00FC5510">
      <w:pPr>
        <w:pStyle w:val="ListParagraph"/>
        <w:numPr>
          <w:ilvl w:val="0"/>
          <w:numId w:val="2"/>
        </w:numPr>
        <w:spacing w:after="0" w:line="240" w:lineRule="auto"/>
        <w:contextualSpacing w:val="0"/>
        <w:jc w:val="both"/>
        <w:rPr>
          <w:rFonts w:ascii="Arial" w:hAnsi="Arial" w:cs="Arial"/>
          <w:color w:val="3D3D3D"/>
          <w:shd w:val="clear" w:color="auto" w:fill="FFFFFF"/>
        </w:rPr>
      </w:pPr>
      <w:r w:rsidRPr="00E440BE">
        <w:rPr>
          <w:rFonts w:ascii="Arial" w:hAnsi="Arial" w:cs="Arial"/>
          <w:color w:val="3D3D3D"/>
          <w:shd w:val="clear" w:color="auto" w:fill="FFFFFF"/>
        </w:rPr>
        <w:t xml:space="preserve">the repayment of the €25 million in January 2015 </w:t>
      </w:r>
      <w:r w:rsidR="00B82555" w:rsidRPr="00E440BE">
        <w:rPr>
          <w:rFonts w:ascii="Arial" w:hAnsi="Arial" w:cs="Arial"/>
          <w:color w:val="3D3D3D"/>
          <w:shd w:val="clear" w:color="auto" w:fill="FFFFFF"/>
        </w:rPr>
        <w:t xml:space="preserve">and/or any priority payment of the pledges </w:t>
      </w:r>
      <w:r w:rsidRPr="00E440BE">
        <w:rPr>
          <w:rFonts w:ascii="Arial" w:hAnsi="Arial" w:cs="Arial"/>
          <w:color w:val="3D3D3D"/>
          <w:shd w:val="clear" w:color="auto" w:fill="FFFFFF"/>
        </w:rPr>
        <w:t>could be set aside and/or clawed back</w:t>
      </w:r>
      <w:r w:rsidR="009D5E8C" w:rsidRPr="00E440BE">
        <w:rPr>
          <w:rFonts w:ascii="Arial" w:hAnsi="Arial" w:cs="Arial"/>
          <w:color w:val="3D3D3D"/>
          <w:shd w:val="clear" w:color="auto" w:fill="FFFFFF"/>
          <w:lang/>
        </w:rPr>
        <w:t>.</w:t>
      </w:r>
      <w:r w:rsidR="00E35E0C" w:rsidRPr="00E440BE">
        <w:rPr>
          <w:rStyle w:val="FootnoteReference"/>
          <w:rFonts w:ascii="Arial" w:hAnsi="Arial" w:cs="Arial"/>
          <w:color w:val="3D3D3D"/>
          <w:shd w:val="clear" w:color="auto" w:fill="FFFFFF"/>
        </w:rPr>
        <w:footnoteReference w:id="35"/>
      </w:r>
    </w:p>
    <w:p w14:paraId="3A2947DC" w14:textId="77777777" w:rsidR="00CD4D91" w:rsidRPr="00E440BE" w:rsidRDefault="00CD4D91" w:rsidP="00FC5510">
      <w:pPr>
        <w:pStyle w:val="ListParagraph"/>
        <w:spacing w:after="0" w:line="240" w:lineRule="auto"/>
        <w:ind w:left="360"/>
        <w:contextualSpacing w:val="0"/>
        <w:jc w:val="both"/>
        <w:rPr>
          <w:rFonts w:ascii="Arial" w:hAnsi="Arial" w:cs="Arial"/>
          <w:color w:val="3D3D3D"/>
          <w:shd w:val="clear" w:color="auto" w:fill="FFFFFF"/>
        </w:rPr>
      </w:pPr>
    </w:p>
    <w:p w14:paraId="4F4032E7" w14:textId="24ECD108" w:rsidR="00942C39" w:rsidRPr="00E440BE" w:rsidRDefault="00942C39" w:rsidP="00FC5510">
      <w:pPr>
        <w:pStyle w:val="ListParagraph"/>
        <w:numPr>
          <w:ilvl w:val="0"/>
          <w:numId w:val="2"/>
        </w:numPr>
        <w:spacing w:after="0" w:line="240" w:lineRule="auto"/>
        <w:contextualSpacing w:val="0"/>
        <w:jc w:val="both"/>
        <w:rPr>
          <w:rFonts w:ascii="Arial" w:hAnsi="Arial" w:cs="Arial"/>
          <w:color w:val="3D3D3D"/>
          <w:shd w:val="clear" w:color="auto" w:fill="FFFFFF"/>
        </w:rPr>
      </w:pPr>
      <w:r w:rsidRPr="00E440BE">
        <w:rPr>
          <w:rFonts w:ascii="Arial" w:hAnsi="Arial" w:cs="Arial"/>
          <w:color w:val="3D3D3D"/>
          <w:shd w:val="clear" w:color="auto" w:fill="FFFFFF"/>
        </w:rPr>
        <w:t xml:space="preserve">anti-deprivation </w:t>
      </w:r>
      <w:r w:rsidR="00A4013D" w:rsidRPr="00E440BE">
        <w:rPr>
          <w:rFonts w:ascii="Arial" w:hAnsi="Arial" w:cs="Arial"/>
          <w:color w:val="3D3D3D"/>
          <w:shd w:val="clear" w:color="auto" w:fill="FFFFFF"/>
        </w:rPr>
        <w:t xml:space="preserve">(or similar) </w:t>
      </w:r>
      <w:r w:rsidRPr="00E440BE">
        <w:rPr>
          <w:rFonts w:ascii="Arial" w:hAnsi="Arial" w:cs="Arial"/>
          <w:color w:val="3D3D3D"/>
          <w:shd w:val="clear" w:color="auto" w:fill="FFFFFF"/>
        </w:rPr>
        <w:t>principle</w:t>
      </w:r>
      <w:r w:rsidR="00A4013D" w:rsidRPr="00E440BE">
        <w:rPr>
          <w:rFonts w:ascii="Arial" w:hAnsi="Arial" w:cs="Arial"/>
          <w:color w:val="3D3D3D"/>
          <w:shd w:val="clear" w:color="auto" w:fill="FFFFFF"/>
        </w:rPr>
        <w:t>s</w:t>
      </w:r>
      <w:r w:rsidRPr="00E440BE">
        <w:rPr>
          <w:rFonts w:ascii="Arial" w:hAnsi="Arial" w:cs="Arial"/>
          <w:color w:val="3D3D3D"/>
          <w:shd w:val="clear" w:color="auto" w:fill="FFFFFF"/>
        </w:rPr>
        <w:t xml:space="preserve"> may apply to invalidate the transfer of the New C</w:t>
      </w:r>
      <w:r w:rsidR="009D5E8C" w:rsidRPr="00E440BE">
        <w:rPr>
          <w:rFonts w:ascii="Arial" w:hAnsi="Arial" w:cs="Arial"/>
          <w:color w:val="3D3D3D"/>
          <w:shd w:val="clear" w:color="auto" w:fill="FFFFFF"/>
          <w:lang/>
        </w:rPr>
        <w:t>o.</w:t>
      </w:r>
    </w:p>
    <w:p w14:paraId="65CDE952" w14:textId="77777777" w:rsidR="00CD4D91" w:rsidRPr="00E440BE" w:rsidRDefault="00CD4D91" w:rsidP="00FC5510">
      <w:pPr>
        <w:pStyle w:val="ListParagraph"/>
        <w:spacing w:after="0" w:line="240" w:lineRule="auto"/>
        <w:ind w:left="360"/>
        <w:contextualSpacing w:val="0"/>
        <w:jc w:val="both"/>
        <w:rPr>
          <w:rFonts w:ascii="Arial" w:hAnsi="Arial" w:cs="Arial"/>
          <w:color w:val="3D3D3D"/>
          <w:shd w:val="clear" w:color="auto" w:fill="FFFFFF"/>
        </w:rPr>
      </w:pPr>
    </w:p>
    <w:p w14:paraId="6244D126" w14:textId="79DACBC9" w:rsidR="004B792A" w:rsidRPr="00E440BE" w:rsidRDefault="004B792A" w:rsidP="00FC5510">
      <w:pPr>
        <w:pStyle w:val="ListParagraph"/>
        <w:numPr>
          <w:ilvl w:val="0"/>
          <w:numId w:val="2"/>
        </w:numPr>
        <w:spacing w:after="0" w:line="240" w:lineRule="auto"/>
        <w:contextualSpacing w:val="0"/>
        <w:jc w:val="both"/>
        <w:rPr>
          <w:rFonts w:ascii="Arial" w:hAnsi="Arial" w:cs="Arial"/>
          <w:color w:val="3D3D3D"/>
          <w:shd w:val="clear" w:color="auto" w:fill="FFFFFF"/>
        </w:rPr>
      </w:pPr>
      <w:r w:rsidRPr="00E440BE">
        <w:rPr>
          <w:rFonts w:ascii="Arial" w:hAnsi="Arial" w:cs="Arial"/>
          <w:color w:val="3D3D3D"/>
          <w:shd w:val="clear" w:color="auto" w:fill="FFFFFF"/>
        </w:rPr>
        <w:t xml:space="preserve">the </w:t>
      </w:r>
      <w:r w:rsidR="00EB0F3E" w:rsidRPr="00E440BE">
        <w:rPr>
          <w:rFonts w:ascii="Arial" w:hAnsi="Arial" w:cs="Arial"/>
          <w:color w:val="3D3D3D"/>
          <w:shd w:val="clear" w:color="auto" w:fill="FFFFFF"/>
        </w:rPr>
        <w:t xml:space="preserve">Company’s </w:t>
      </w:r>
      <w:r w:rsidRPr="00E440BE">
        <w:rPr>
          <w:rFonts w:ascii="Arial" w:hAnsi="Arial" w:cs="Arial"/>
          <w:color w:val="3D3D3D"/>
          <w:shd w:val="clear" w:color="auto" w:fill="FFFFFF"/>
        </w:rPr>
        <w:t>attempts to waive the claims</w:t>
      </w:r>
      <w:r w:rsidR="00EB0F3E" w:rsidRPr="00E440BE">
        <w:rPr>
          <w:rFonts w:ascii="Arial" w:hAnsi="Arial" w:cs="Arial"/>
          <w:color w:val="3D3D3D"/>
          <w:shd w:val="clear" w:color="auto" w:fill="FFFFFF"/>
        </w:rPr>
        <w:t xml:space="preserve"> against the New Co and the </w:t>
      </w:r>
      <w:r w:rsidR="000D747C" w:rsidRPr="00E440BE">
        <w:rPr>
          <w:rFonts w:ascii="Arial" w:hAnsi="Arial" w:cs="Arial"/>
          <w:color w:val="3D3D3D"/>
          <w:shd w:val="clear" w:color="auto" w:fill="FFFFFF"/>
        </w:rPr>
        <w:t>Op Cos</w:t>
      </w:r>
      <w:r w:rsidR="00EB0F3E" w:rsidRPr="00E440BE">
        <w:rPr>
          <w:rFonts w:ascii="Arial" w:hAnsi="Arial" w:cs="Arial"/>
          <w:color w:val="3D3D3D"/>
          <w:shd w:val="clear" w:color="auto" w:fill="FFFFFF"/>
        </w:rPr>
        <w:t xml:space="preserve"> </w:t>
      </w:r>
      <w:r w:rsidR="00666F98" w:rsidRPr="00E440BE">
        <w:rPr>
          <w:rFonts w:ascii="Arial" w:hAnsi="Arial" w:cs="Arial"/>
          <w:color w:val="3D3D3D"/>
          <w:shd w:val="clear" w:color="auto" w:fill="FFFFFF"/>
          <w:lang/>
        </w:rPr>
        <w:t>may</w:t>
      </w:r>
      <w:r w:rsidR="00EB0F3E" w:rsidRPr="00E440BE">
        <w:rPr>
          <w:rFonts w:ascii="Arial" w:hAnsi="Arial" w:cs="Arial"/>
          <w:color w:val="3D3D3D"/>
          <w:shd w:val="clear" w:color="auto" w:fill="FFFFFF"/>
        </w:rPr>
        <w:t xml:space="preserve"> be considered invalid and a liquidator </w:t>
      </w:r>
      <w:r w:rsidR="00666F98" w:rsidRPr="00E440BE">
        <w:rPr>
          <w:rFonts w:ascii="Arial" w:hAnsi="Arial" w:cs="Arial"/>
          <w:color w:val="3D3D3D"/>
          <w:shd w:val="clear" w:color="auto" w:fill="FFFFFF"/>
          <w:lang/>
        </w:rPr>
        <w:t>c</w:t>
      </w:r>
      <w:proofErr w:type="spellStart"/>
      <w:r w:rsidR="00EB0F3E" w:rsidRPr="00E440BE">
        <w:rPr>
          <w:rFonts w:ascii="Arial" w:hAnsi="Arial" w:cs="Arial"/>
          <w:color w:val="3D3D3D"/>
          <w:shd w:val="clear" w:color="auto" w:fill="FFFFFF"/>
        </w:rPr>
        <w:t>ould</w:t>
      </w:r>
      <w:proofErr w:type="spellEnd"/>
      <w:r w:rsidR="00EB0F3E" w:rsidRPr="00E440BE">
        <w:rPr>
          <w:rFonts w:ascii="Arial" w:hAnsi="Arial" w:cs="Arial"/>
          <w:color w:val="3D3D3D"/>
          <w:shd w:val="clear" w:color="auto" w:fill="FFFFFF"/>
        </w:rPr>
        <w:t xml:space="preserve"> be free to pursue </w:t>
      </w:r>
      <w:r w:rsidR="000D747C" w:rsidRPr="00E440BE">
        <w:rPr>
          <w:rFonts w:ascii="Arial" w:hAnsi="Arial" w:cs="Arial"/>
          <w:color w:val="3D3D3D"/>
          <w:shd w:val="clear" w:color="auto" w:fill="FFFFFF"/>
        </w:rPr>
        <w:t>perceived viable claims against those entities</w:t>
      </w:r>
      <w:r w:rsidR="009D5E8C" w:rsidRPr="00E440BE">
        <w:rPr>
          <w:rFonts w:ascii="Arial" w:hAnsi="Arial" w:cs="Arial"/>
          <w:color w:val="3D3D3D"/>
          <w:shd w:val="clear" w:color="auto" w:fill="FFFFFF"/>
          <w:lang/>
        </w:rPr>
        <w:t>.</w:t>
      </w:r>
    </w:p>
    <w:p w14:paraId="2BB17C67" w14:textId="77777777" w:rsidR="00CD4D91" w:rsidRPr="00E440BE" w:rsidRDefault="00CD4D91" w:rsidP="00FC5510">
      <w:pPr>
        <w:pStyle w:val="ListParagraph"/>
        <w:spacing w:after="0" w:line="240" w:lineRule="auto"/>
        <w:ind w:left="360"/>
        <w:contextualSpacing w:val="0"/>
        <w:jc w:val="both"/>
        <w:rPr>
          <w:rFonts w:ascii="Arial" w:hAnsi="Arial" w:cs="Arial"/>
          <w:color w:val="3D3D3D"/>
          <w:shd w:val="clear" w:color="auto" w:fill="FFFFFF"/>
        </w:rPr>
      </w:pPr>
    </w:p>
    <w:p w14:paraId="2A56978B" w14:textId="0BD4326B" w:rsidR="000D747C" w:rsidRPr="00E440BE" w:rsidRDefault="00B82555" w:rsidP="00FC5510">
      <w:pPr>
        <w:pStyle w:val="ListParagraph"/>
        <w:numPr>
          <w:ilvl w:val="0"/>
          <w:numId w:val="2"/>
        </w:numPr>
        <w:spacing w:after="0" w:line="240" w:lineRule="auto"/>
        <w:contextualSpacing w:val="0"/>
        <w:jc w:val="both"/>
        <w:rPr>
          <w:rFonts w:ascii="Arial" w:hAnsi="Arial" w:cs="Arial"/>
          <w:color w:val="3D3D3D"/>
          <w:shd w:val="clear" w:color="auto" w:fill="FFFFFF"/>
        </w:rPr>
      </w:pPr>
      <w:r w:rsidRPr="00E440BE">
        <w:rPr>
          <w:rFonts w:ascii="Arial" w:hAnsi="Arial" w:cs="Arial"/>
          <w:color w:val="3D3D3D"/>
          <w:shd w:val="clear" w:color="auto" w:fill="FFFFFF"/>
        </w:rPr>
        <w:t xml:space="preserve">the </w:t>
      </w:r>
      <w:r w:rsidR="00C85F58" w:rsidRPr="00E440BE">
        <w:rPr>
          <w:rFonts w:ascii="Arial" w:hAnsi="Arial" w:cs="Arial"/>
          <w:color w:val="3D3D3D"/>
          <w:shd w:val="clear" w:color="auto" w:fill="FFFFFF"/>
        </w:rPr>
        <w:t>purported waiver of the claims against the Company</w:t>
      </w:r>
      <w:r w:rsidR="00CC0F12" w:rsidRPr="00E440BE">
        <w:rPr>
          <w:rFonts w:ascii="Arial" w:hAnsi="Arial" w:cs="Arial"/>
          <w:color w:val="3D3D3D"/>
          <w:shd w:val="clear" w:color="auto" w:fill="FFFFFF"/>
        </w:rPr>
        <w:t xml:space="preserve"> may not be considered valid, leaving the </w:t>
      </w:r>
      <w:r w:rsidR="00D7632A" w:rsidRPr="00E440BE">
        <w:rPr>
          <w:rFonts w:ascii="Arial" w:hAnsi="Arial" w:cs="Arial"/>
          <w:color w:val="3D3D3D"/>
          <w:shd w:val="clear" w:color="auto" w:fill="FFFFFF"/>
        </w:rPr>
        <w:t>Bank</w:t>
      </w:r>
      <w:r w:rsidR="00CC0F12" w:rsidRPr="00E440BE">
        <w:rPr>
          <w:rFonts w:ascii="Arial" w:hAnsi="Arial" w:cs="Arial"/>
          <w:color w:val="3D3D3D"/>
          <w:shd w:val="clear" w:color="auto" w:fill="FFFFFF"/>
        </w:rPr>
        <w:t>s and the shareholder with the possibility of pursuing any claims they consider to be viable</w:t>
      </w:r>
      <w:r w:rsidR="006C2090" w:rsidRPr="00E440BE">
        <w:rPr>
          <w:rFonts w:ascii="Arial" w:hAnsi="Arial" w:cs="Arial"/>
          <w:color w:val="3D3D3D"/>
          <w:shd w:val="clear" w:color="auto" w:fill="FFFFFF"/>
        </w:rPr>
        <w:t xml:space="preserve"> (with the intention of increasing their share of any payout in the eventual liquidation)</w:t>
      </w:r>
      <w:r w:rsidR="009D5E8C" w:rsidRPr="00E440BE">
        <w:rPr>
          <w:rFonts w:ascii="Arial" w:hAnsi="Arial" w:cs="Arial"/>
          <w:color w:val="3D3D3D"/>
          <w:shd w:val="clear" w:color="auto" w:fill="FFFFFF"/>
          <w:lang/>
        </w:rPr>
        <w:t>.</w:t>
      </w:r>
    </w:p>
    <w:p w14:paraId="72BBB974" w14:textId="77777777" w:rsidR="00CD4D91" w:rsidRPr="00E440BE" w:rsidRDefault="00CD4D91" w:rsidP="00FC5510">
      <w:pPr>
        <w:pStyle w:val="ListParagraph"/>
        <w:spacing w:after="0" w:line="240" w:lineRule="auto"/>
        <w:ind w:left="360"/>
        <w:contextualSpacing w:val="0"/>
        <w:jc w:val="both"/>
        <w:rPr>
          <w:rFonts w:ascii="Arial" w:hAnsi="Arial" w:cs="Arial"/>
          <w:color w:val="3D3D3D"/>
          <w:shd w:val="clear" w:color="auto" w:fill="FFFFFF"/>
        </w:rPr>
      </w:pPr>
    </w:p>
    <w:p w14:paraId="3E24426A" w14:textId="72C4B421" w:rsidR="00B82555" w:rsidRPr="00E440BE" w:rsidRDefault="00B82555" w:rsidP="00FC5510">
      <w:pPr>
        <w:pStyle w:val="ListParagraph"/>
        <w:numPr>
          <w:ilvl w:val="0"/>
          <w:numId w:val="2"/>
        </w:numPr>
        <w:spacing w:after="0" w:line="240" w:lineRule="auto"/>
        <w:contextualSpacing w:val="0"/>
        <w:jc w:val="both"/>
        <w:rPr>
          <w:rFonts w:ascii="Arial" w:hAnsi="Arial" w:cs="Arial"/>
          <w:color w:val="3D3D3D"/>
          <w:shd w:val="clear" w:color="auto" w:fill="FFFFFF"/>
        </w:rPr>
      </w:pPr>
      <w:r w:rsidRPr="00E440BE">
        <w:rPr>
          <w:rFonts w:ascii="Arial" w:hAnsi="Arial" w:cs="Arial"/>
          <w:color w:val="3D3D3D"/>
          <w:shd w:val="clear" w:color="auto" w:fill="FFFFFF"/>
        </w:rPr>
        <w:t>the pledges may not be considered</w:t>
      </w:r>
      <w:r w:rsidR="00D842A2" w:rsidRPr="00E440BE">
        <w:rPr>
          <w:rFonts w:ascii="Arial" w:hAnsi="Arial" w:cs="Arial"/>
          <w:color w:val="3D3D3D"/>
          <w:shd w:val="clear" w:color="auto" w:fill="FFFFFF"/>
        </w:rPr>
        <w:t xml:space="preserve"> valid or</w:t>
      </w:r>
      <w:r w:rsidRPr="00E440BE">
        <w:rPr>
          <w:rFonts w:ascii="Arial" w:hAnsi="Arial" w:cs="Arial"/>
          <w:color w:val="3D3D3D"/>
          <w:shd w:val="clear" w:color="auto" w:fill="FFFFFF"/>
        </w:rPr>
        <w:t xml:space="preserve"> sufficient</w:t>
      </w:r>
      <w:r w:rsidR="00E221BC" w:rsidRPr="00E440BE">
        <w:rPr>
          <w:rFonts w:ascii="Arial" w:hAnsi="Arial" w:cs="Arial"/>
          <w:color w:val="3D3D3D"/>
          <w:shd w:val="clear" w:color="auto" w:fill="FFFFFF"/>
        </w:rPr>
        <w:t xml:space="preserve"> to permit the providers of the original working capital to be paid out ahead of other creditors</w:t>
      </w:r>
      <w:r w:rsidR="00C85F58" w:rsidRPr="00E440BE">
        <w:rPr>
          <w:rFonts w:ascii="Arial" w:hAnsi="Arial" w:cs="Arial"/>
          <w:color w:val="3D3D3D"/>
          <w:shd w:val="clear" w:color="auto" w:fill="FFFFFF"/>
        </w:rPr>
        <w:t xml:space="preserve">; and all creditors may </w:t>
      </w:r>
      <w:r w:rsidR="00666F98" w:rsidRPr="00E440BE">
        <w:rPr>
          <w:rFonts w:ascii="Arial" w:hAnsi="Arial" w:cs="Arial"/>
          <w:color w:val="3D3D3D"/>
          <w:shd w:val="clear" w:color="auto" w:fill="FFFFFF"/>
          <w:lang/>
        </w:rPr>
        <w:t xml:space="preserve">instead </w:t>
      </w:r>
      <w:r w:rsidR="00C85F58" w:rsidRPr="00E440BE">
        <w:rPr>
          <w:rFonts w:ascii="Arial" w:hAnsi="Arial" w:cs="Arial"/>
          <w:color w:val="3D3D3D"/>
          <w:shd w:val="clear" w:color="auto" w:fill="FFFFFF"/>
        </w:rPr>
        <w:t xml:space="preserve">be paid out </w:t>
      </w:r>
      <w:proofErr w:type="spellStart"/>
      <w:r w:rsidR="00C85F58" w:rsidRPr="00E440BE">
        <w:rPr>
          <w:rFonts w:ascii="Arial" w:hAnsi="Arial" w:cs="Arial"/>
          <w:i/>
          <w:iCs/>
          <w:color w:val="3D3D3D"/>
          <w:shd w:val="clear" w:color="auto" w:fill="FFFFFF"/>
        </w:rPr>
        <w:t>parri</w:t>
      </w:r>
      <w:proofErr w:type="spellEnd"/>
      <w:r w:rsidR="00C85F58" w:rsidRPr="00E440BE">
        <w:rPr>
          <w:rFonts w:ascii="Arial" w:hAnsi="Arial" w:cs="Arial"/>
          <w:i/>
          <w:iCs/>
          <w:color w:val="3D3D3D"/>
          <w:shd w:val="clear" w:color="auto" w:fill="FFFFFF"/>
        </w:rPr>
        <w:t xml:space="preserve"> pa</w:t>
      </w:r>
      <w:r w:rsidR="002D13B3" w:rsidRPr="00E440BE">
        <w:rPr>
          <w:rFonts w:ascii="Arial" w:hAnsi="Arial" w:cs="Arial"/>
          <w:i/>
          <w:iCs/>
          <w:color w:val="3D3D3D"/>
          <w:shd w:val="clear" w:color="auto" w:fill="FFFFFF"/>
          <w:lang/>
        </w:rPr>
        <w:t>s</w:t>
      </w:r>
      <w:r w:rsidR="009D5E8C" w:rsidRPr="00E440BE">
        <w:rPr>
          <w:rFonts w:ascii="Arial" w:hAnsi="Arial" w:cs="Arial"/>
          <w:i/>
          <w:iCs/>
          <w:color w:val="3D3D3D"/>
          <w:shd w:val="clear" w:color="auto" w:fill="FFFFFF"/>
          <w:lang/>
        </w:rPr>
        <w:t>su</w:t>
      </w:r>
      <w:r w:rsidR="00C85F58" w:rsidRPr="00E440BE">
        <w:rPr>
          <w:rFonts w:ascii="Arial" w:hAnsi="Arial" w:cs="Arial"/>
          <w:i/>
          <w:iCs/>
          <w:color w:val="3D3D3D"/>
          <w:shd w:val="clear" w:color="auto" w:fill="FFFFFF"/>
        </w:rPr>
        <w:t>.</w:t>
      </w:r>
    </w:p>
    <w:p w14:paraId="50969579" w14:textId="77777777" w:rsidR="00860E73" w:rsidRPr="00E440BE" w:rsidRDefault="00860E73" w:rsidP="00FC5510">
      <w:pPr>
        <w:pStyle w:val="ListParagraph"/>
        <w:spacing w:after="0" w:line="240" w:lineRule="auto"/>
        <w:contextualSpacing w:val="0"/>
        <w:rPr>
          <w:rFonts w:ascii="Arial" w:hAnsi="Arial" w:cs="Arial"/>
          <w:color w:val="3D3D3D"/>
          <w:shd w:val="clear" w:color="auto" w:fill="FFFFFF"/>
        </w:rPr>
      </w:pPr>
    </w:p>
    <w:p w14:paraId="32FF4D2F" w14:textId="62FB5EBF" w:rsidR="0004705A" w:rsidRPr="00E440BE" w:rsidRDefault="00860E73" w:rsidP="00FC5510">
      <w:pPr>
        <w:pStyle w:val="ListParagraph"/>
        <w:numPr>
          <w:ilvl w:val="0"/>
          <w:numId w:val="2"/>
        </w:numPr>
        <w:spacing w:after="0" w:line="240" w:lineRule="auto"/>
        <w:contextualSpacing w:val="0"/>
        <w:jc w:val="both"/>
        <w:rPr>
          <w:rFonts w:ascii="Arial" w:hAnsi="Arial" w:cs="Arial"/>
          <w:color w:val="3D3D3D"/>
          <w:shd w:val="clear" w:color="auto" w:fill="FFFFFF"/>
        </w:rPr>
      </w:pPr>
      <w:r w:rsidRPr="00E440BE">
        <w:rPr>
          <w:rFonts w:ascii="Arial" w:hAnsi="Arial" w:cs="Arial"/>
          <w:color w:val="3D3D3D"/>
          <w:shd w:val="clear" w:color="auto" w:fill="FFFFFF"/>
          <w:lang/>
        </w:rPr>
        <w:t xml:space="preserve">domestic creditors may be treated more preferentially than </w:t>
      </w:r>
      <w:r w:rsidR="009D6FFC" w:rsidRPr="00E440BE">
        <w:rPr>
          <w:rFonts w:ascii="Arial" w:hAnsi="Arial" w:cs="Arial"/>
          <w:color w:val="3D3D3D"/>
          <w:shd w:val="clear" w:color="auto" w:fill="FFFFFF"/>
          <w:lang/>
        </w:rPr>
        <w:t>foreign creditors.</w:t>
      </w:r>
    </w:p>
    <w:p w14:paraId="10582CF7" w14:textId="77777777" w:rsidR="009D5E8C" w:rsidRPr="00E440BE" w:rsidRDefault="009D5E8C" w:rsidP="00FC5510">
      <w:pPr>
        <w:pStyle w:val="ListParagraph"/>
        <w:spacing w:after="0" w:line="240" w:lineRule="auto"/>
        <w:contextualSpacing w:val="0"/>
        <w:rPr>
          <w:rFonts w:ascii="Arial" w:hAnsi="Arial" w:cs="Arial"/>
          <w:color w:val="3D3D3D"/>
          <w:shd w:val="clear" w:color="auto" w:fill="FFFFFF"/>
        </w:rPr>
      </w:pPr>
    </w:p>
    <w:p w14:paraId="5746DFB5" w14:textId="77777777" w:rsidR="001B2E2F" w:rsidRPr="001B2E2F" w:rsidRDefault="00FD437F" w:rsidP="00121AC1">
      <w:pPr>
        <w:pStyle w:val="ListParagraph"/>
        <w:numPr>
          <w:ilvl w:val="0"/>
          <w:numId w:val="2"/>
        </w:numPr>
        <w:spacing w:after="0" w:line="240" w:lineRule="auto"/>
        <w:contextualSpacing w:val="0"/>
        <w:jc w:val="both"/>
        <w:rPr>
          <w:rFonts w:ascii="Arial" w:hAnsi="Arial" w:cs="Arial"/>
          <w:color w:val="3D3D3D"/>
          <w:shd w:val="clear" w:color="auto" w:fill="FFFFFF"/>
        </w:rPr>
      </w:pPr>
      <w:r w:rsidRPr="00E440BE">
        <w:rPr>
          <w:rFonts w:ascii="Arial" w:hAnsi="Arial" w:cs="Arial"/>
          <w:color w:val="3D3D3D"/>
          <w:shd w:val="clear" w:color="auto" w:fill="FFFFFF"/>
          <w:lang/>
        </w:rPr>
        <w:t>t</w:t>
      </w:r>
      <w:r w:rsidR="009D5E8C" w:rsidRPr="00E440BE">
        <w:rPr>
          <w:rFonts w:ascii="Arial" w:hAnsi="Arial" w:cs="Arial"/>
          <w:color w:val="3D3D3D"/>
          <w:shd w:val="clear" w:color="auto" w:fill="FFFFFF"/>
          <w:lang/>
        </w:rPr>
        <w:t>he liquidators</w:t>
      </w:r>
      <w:r w:rsidRPr="00E440BE">
        <w:rPr>
          <w:rFonts w:ascii="Arial" w:hAnsi="Arial" w:cs="Arial"/>
          <w:color w:val="3D3D3D"/>
          <w:shd w:val="clear" w:color="auto" w:fill="FFFFFF"/>
          <w:lang/>
        </w:rPr>
        <w:t>’ authority to act on behalf of the Company may</w:t>
      </w:r>
      <w:r w:rsidR="009D5E8C" w:rsidRPr="00E440BE">
        <w:rPr>
          <w:rFonts w:ascii="Arial" w:hAnsi="Arial" w:cs="Arial"/>
          <w:color w:val="3D3D3D"/>
          <w:shd w:val="clear" w:color="auto" w:fill="FFFFFF"/>
          <w:lang/>
        </w:rPr>
        <w:t xml:space="preserve"> not automatically </w:t>
      </w:r>
      <w:r w:rsidRPr="00E440BE">
        <w:rPr>
          <w:rFonts w:ascii="Arial" w:hAnsi="Arial" w:cs="Arial"/>
          <w:color w:val="3D3D3D"/>
          <w:shd w:val="clear" w:color="auto" w:fill="FFFFFF"/>
          <w:lang/>
        </w:rPr>
        <w:t xml:space="preserve">be recognised in </w:t>
      </w:r>
      <w:r w:rsidR="00702F59">
        <w:rPr>
          <w:rFonts w:ascii="Arial" w:hAnsi="Arial" w:cs="Arial"/>
          <w:color w:val="3D3D3D"/>
          <w:shd w:val="clear" w:color="auto" w:fill="FFFFFF"/>
          <w:lang/>
        </w:rPr>
        <w:t>a</w:t>
      </w:r>
      <w:r w:rsidRPr="00E440BE">
        <w:rPr>
          <w:rFonts w:ascii="Arial" w:hAnsi="Arial" w:cs="Arial"/>
          <w:color w:val="3D3D3D"/>
          <w:shd w:val="clear" w:color="auto" w:fill="FFFFFF"/>
          <w:lang/>
        </w:rPr>
        <w:t xml:space="preserve"> </w:t>
      </w:r>
      <w:r w:rsidR="009D5E8C" w:rsidRPr="00E440BE">
        <w:rPr>
          <w:rFonts w:ascii="Arial" w:hAnsi="Arial" w:cs="Arial"/>
          <w:color w:val="3D3D3D"/>
          <w:shd w:val="clear" w:color="auto" w:fill="FFFFFF"/>
          <w:lang/>
        </w:rPr>
        <w:t>jurisdiction in which they wish to take action.</w:t>
      </w:r>
      <w:r w:rsidRPr="00E440BE">
        <w:rPr>
          <w:rFonts w:ascii="Arial" w:hAnsi="Arial" w:cs="Arial"/>
          <w:color w:val="3D3D3D"/>
          <w:shd w:val="clear" w:color="auto" w:fill="FFFFFF"/>
          <w:lang/>
        </w:rPr>
        <w:t xml:space="preserve"> It may therefore be necessary to obtain recognition and/or</w:t>
      </w:r>
      <w:r w:rsidR="00884F97" w:rsidRPr="00E440BE">
        <w:rPr>
          <w:rFonts w:ascii="Arial" w:hAnsi="Arial" w:cs="Arial"/>
          <w:color w:val="3D3D3D"/>
          <w:shd w:val="clear" w:color="auto" w:fill="FFFFFF"/>
          <w:lang/>
        </w:rPr>
        <w:t xml:space="preserve"> instigate ancillary proceedings and/or navigate the </w:t>
      </w:r>
      <w:r w:rsidR="00BF74CF" w:rsidRPr="00E440BE">
        <w:rPr>
          <w:rFonts w:ascii="Arial" w:hAnsi="Arial" w:cs="Arial"/>
          <w:color w:val="3D3D3D"/>
          <w:shd w:val="clear" w:color="auto" w:fill="FFFFFF"/>
          <w:lang/>
        </w:rPr>
        <w:t>sometimes-intractable</w:t>
      </w:r>
      <w:r w:rsidR="00884F97" w:rsidRPr="00E440BE">
        <w:rPr>
          <w:rFonts w:ascii="Arial" w:hAnsi="Arial" w:cs="Arial"/>
          <w:color w:val="3D3D3D"/>
          <w:shd w:val="clear" w:color="auto" w:fill="FFFFFF"/>
          <w:lang/>
        </w:rPr>
        <w:t xml:space="preserve"> difficulties of trying </w:t>
      </w:r>
      <w:r w:rsidR="0059474A" w:rsidRPr="00E440BE">
        <w:rPr>
          <w:rFonts w:ascii="Arial" w:hAnsi="Arial" w:cs="Arial"/>
          <w:color w:val="3D3D3D"/>
          <w:shd w:val="clear" w:color="auto" w:fill="FFFFFF"/>
          <w:lang/>
        </w:rPr>
        <w:t>to reconcile incompatible laws of several jurisdictions.</w:t>
      </w:r>
    </w:p>
    <w:p w14:paraId="55011551" w14:textId="77777777" w:rsidR="001B2E2F" w:rsidRPr="001B2E2F" w:rsidRDefault="001B2E2F" w:rsidP="001B2E2F">
      <w:pPr>
        <w:pStyle w:val="ListParagraph"/>
        <w:rPr>
          <w:rFonts w:ascii="Arial" w:hAnsi="Arial" w:cs="Arial"/>
          <w:color w:val="3D3D3D"/>
          <w:shd w:val="clear" w:color="auto" w:fill="FFFFFF"/>
          <w:lang/>
        </w:rPr>
      </w:pPr>
    </w:p>
    <w:p w14:paraId="789D8AA9" w14:textId="49DEE60F" w:rsidR="00121AC1" w:rsidRPr="001B2E2F" w:rsidRDefault="001B2E2F" w:rsidP="00121AC1">
      <w:pPr>
        <w:pStyle w:val="ListParagraph"/>
        <w:numPr>
          <w:ilvl w:val="0"/>
          <w:numId w:val="2"/>
        </w:numPr>
        <w:spacing w:after="0" w:line="240" w:lineRule="auto"/>
        <w:contextualSpacing w:val="0"/>
        <w:jc w:val="both"/>
        <w:rPr>
          <w:rFonts w:ascii="Arial" w:hAnsi="Arial" w:cs="Arial"/>
          <w:color w:val="3D3D3D"/>
          <w:shd w:val="clear" w:color="auto" w:fill="FFFFFF"/>
        </w:rPr>
      </w:pPr>
      <w:r>
        <w:rPr>
          <w:rFonts w:ascii="Arial" w:hAnsi="Arial" w:cs="Arial"/>
          <w:color w:val="3D3D3D"/>
          <w:shd w:val="clear" w:color="auto" w:fill="FFFFFF"/>
          <w:lang/>
        </w:rPr>
        <w:t>e</w:t>
      </w:r>
      <w:r w:rsidR="00121AC1" w:rsidRPr="001B2E2F">
        <w:rPr>
          <w:rFonts w:ascii="Arial" w:hAnsi="Arial" w:cs="Arial"/>
          <w:color w:val="3D3D3D"/>
          <w:shd w:val="clear" w:color="auto" w:fill="FFFFFF"/>
          <w:lang/>
        </w:rPr>
        <w:t>ven once a winding-up/liquidation order has been granted in one country, a creditor may still attempt to take action in another country</w:t>
      </w:r>
      <w:r w:rsidR="00D40AB0" w:rsidRPr="001B2E2F">
        <w:rPr>
          <w:rFonts w:ascii="Arial" w:hAnsi="Arial" w:cs="Arial"/>
          <w:color w:val="3D3D3D"/>
          <w:shd w:val="clear" w:color="auto" w:fill="FFFFFF"/>
          <w:lang/>
        </w:rPr>
        <w:t xml:space="preserve"> (even if there is a purported world-wide claims moratorium).</w:t>
      </w:r>
    </w:p>
    <w:p w14:paraId="32DB6E66" w14:textId="77777777" w:rsidR="00A65E3B" w:rsidRPr="00E440BE" w:rsidRDefault="00A65E3B" w:rsidP="00FC5510">
      <w:pPr>
        <w:spacing w:after="0" w:line="240" w:lineRule="auto"/>
        <w:jc w:val="both"/>
        <w:rPr>
          <w:rFonts w:ascii="Arial" w:hAnsi="Arial" w:cs="Arial"/>
          <w:b/>
          <w:bCs/>
        </w:rPr>
      </w:pPr>
    </w:p>
    <w:p w14:paraId="66AF116B" w14:textId="77777777" w:rsidR="00FC5510" w:rsidRPr="00E440BE" w:rsidRDefault="00FC5510" w:rsidP="00FC5510">
      <w:pPr>
        <w:spacing w:after="0" w:line="240" w:lineRule="auto"/>
        <w:jc w:val="both"/>
        <w:rPr>
          <w:rFonts w:ascii="Arial" w:hAnsi="Arial" w:cs="Arial"/>
          <w:b/>
          <w:bCs/>
        </w:rPr>
      </w:pPr>
    </w:p>
    <w:p w14:paraId="5E0EBE59" w14:textId="29F63D2C" w:rsidR="0004705A" w:rsidRPr="00E440BE" w:rsidRDefault="0004705A" w:rsidP="00FC5510">
      <w:pPr>
        <w:spacing w:after="0" w:line="240" w:lineRule="auto"/>
        <w:jc w:val="both"/>
        <w:rPr>
          <w:rFonts w:ascii="Arial" w:hAnsi="Arial" w:cs="Arial"/>
          <w:b/>
          <w:bCs/>
          <w:caps/>
        </w:rPr>
      </w:pPr>
      <w:r w:rsidRPr="00E440BE">
        <w:rPr>
          <w:rFonts w:ascii="Arial" w:hAnsi="Arial" w:cs="Arial"/>
          <w:b/>
          <w:bCs/>
          <w:caps/>
        </w:rPr>
        <w:t>9. In October 2014 four scenarios have been drawn up. Why was or wasn’t calling for a</w:t>
      </w:r>
      <w:r w:rsidR="00577C7B" w:rsidRPr="00E440BE">
        <w:rPr>
          <w:rFonts w:ascii="Arial" w:hAnsi="Arial" w:cs="Arial"/>
          <w:b/>
          <w:bCs/>
          <w:caps/>
        </w:rPr>
        <w:t xml:space="preserve"> </w:t>
      </w:r>
      <w:r w:rsidRPr="00E440BE">
        <w:rPr>
          <w:rFonts w:ascii="Arial" w:hAnsi="Arial" w:cs="Arial"/>
          <w:b/>
          <w:bCs/>
          <w:caps/>
        </w:rPr>
        <w:t>moratorium (see scenario 4) a good option given the situation at that time? [you are</w:t>
      </w:r>
      <w:r w:rsidR="00577C7B" w:rsidRPr="00E440BE">
        <w:rPr>
          <w:rFonts w:ascii="Arial" w:hAnsi="Arial" w:cs="Arial"/>
          <w:b/>
          <w:bCs/>
          <w:caps/>
        </w:rPr>
        <w:t xml:space="preserve"> </w:t>
      </w:r>
      <w:r w:rsidRPr="00E440BE">
        <w:rPr>
          <w:rFonts w:ascii="Arial" w:hAnsi="Arial" w:cs="Arial"/>
          <w:b/>
          <w:bCs/>
          <w:caps/>
        </w:rPr>
        <w:t>allowed to give your opinion based on your own countries’ Bankruptcy Act; be as</w:t>
      </w:r>
      <w:r w:rsidR="00577C7B" w:rsidRPr="00E440BE">
        <w:rPr>
          <w:rFonts w:ascii="Arial" w:hAnsi="Arial" w:cs="Arial"/>
          <w:b/>
          <w:bCs/>
          <w:caps/>
        </w:rPr>
        <w:t xml:space="preserve"> </w:t>
      </w:r>
      <w:r w:rsidRPr="00E440BE">
        <w:rPr>
          <w:rFonts w:ascii="Arial" w:hAnsi="Arial" w:cs="Arial"/>
          <w:b/>
          <w:bCs/>
          <w:caps/>
        </w:rPr>
        <w:t>detailed as possible]</w:t>
      </w:r>
    </w:p>
    <w:p w14:paraId="76A94FB8" w14:textId="77777777" w:rsidR="0004705A" w:rsidRPr="00E440BE" w:rsidRDefault="0004705A" w:rsidP="00FC5510">
      <w:pPr>
        <w:spacing w:after="0" w:line="240" w:lineRule="auto"/>
        <w:jc w:val="both"/>
        <w:rPr>
          <w:rFonts w:ascii="Arial" w:hAnsi="Arial" w:cs="Arial"/>
        </w:rPr>
      </w:pPr>
    </w:p>
    <w:p w14:paraId="5C6513FC" w14:textId="6C327FD8" w:rsidR="00B20023" w:rsidRPr="00E440BE" w:rsidRDefault="00B20023" w:rsidP="00FC5510">
      <w:pPr>
        <w:spacing w:after="0" w:line="240" w:lineRule="auto"/>
        <w:jc w:val="both"/>
        <w:rPr>
          <w:rFonts w:ascii="Arial" w:hAnsi="Arial" w:cs="Arial"/>
          <w:color w:val="08122C"/>
          <w:shd w:val="clear" w:color="auto" w:fill="FFFFFF"/>
        </w:rPr>
      </w:pPr>
      <w:r w:rsidRPr="00E440BE">
        <w:rPr>
          <w:rFonts w:ascii="Arial" w:hAnsi="Arial" w:cs="Arial"/>
          <w:color w:val="08122C"/>
          <w:shd w:val="clear" w:color="auto" w:fill="FFFFFF"/>
        </w:rPr>
        <w:t>As described by Jennifer Payne</w:t>
      </w:r>
      <w:r w:rsidR="0055086B" w:rsidRPr="00E440BE">
        <w:rPr>
          <w:rFonts w:ascii="Arial" w:hAnsi="Arial" w:cs="Arial"/>
          <w:color w:val="08122C"/>
          <w:shd w:val="clear" w:color="auto" w:fill="FFFFFF"/>
        </w:rPr>
        <w:t>, “</w:t>
      </w:r>
      <w:r w:rsidR="0055086B" w:rsidRPr="00E440BE">
        <w:rPr>
          <w:rFonts w:ascii="Arial" w:hAnsi="Arial" w:cs="Arial"/>
          <w:i/>
          <w:iCs/>
          <w:color w:val="08122C"/>
          <w:shd w:val="clear" w:color="auto" w:fill="FFFFFF"/>
        </w:rPr>
        <w:t xml:space="preserve">Moratoria are traditionally regarded as having two benefits. </w:t>
      </w:r>
      <w:r w:rsidRPr="00E440BE">
        <w:rPr>
          <w:rFonts w:ascii="Arial" w:hAnsi="Arial" w:cs="Arial"/>
          <w:i/>
          <w:iCs/>
          <w:color w:val="08122C"/>
          <w:shd w:val="clear" w:color="auto" w:fill="FFFFFF"/>
        </w:rPr>
        <w:t xml:space="preserve">The first is to deal with the ‘common pool’ problem. If there is no stay, then creditors may seize assets that are useful for the carrying on of the debtor’s business and this could jeopardise the prospects of a successful restructuring. </w:t>
      </w:r>
      <w:r w:rsidR="0055086B" w:rsidRPr="00E440BE">
        <w:rPr>
          <w:rFonts w:ascii="Arial" w:hAnsi="Arial" w:cs="Arial"/>
          <w:i/>
          <w:iCs/>
          <w:color w:val="08122C"/>
          <w:shd w:val="clear" w:color="auto" w:fill="FFFFFF"/>
        </w:rPr>
        <w:t>…</w:t>
      </w:r>
      <w:r w:rsidRPr="00E440BE">
        <w:rPr>
          <w:rFonts w:ascii="Arial" w:hAnsi="Arial" w:cs="Arial"/>
          <w:i/>
          <w:iCs/>
          <w:color w:val="08122C"/>
          <w:shd w:val="clear" w:color="auto" w:fill="FFFFFF"/>
        </w:rPr>
        <w:t xml:space="preserve"> The second is that a moratorium can deal with the ‘anti-commons’ problem, </w:t>
      </w:r>
      <w:proofErr w:type="spellStart"/>
      <w:proofErr w:type="gramStart"/>
      <w:r w:rsidRPr="00E440BE">
        <w:rPr>
          <w:rFonts w:ascii="Arial" w:hAnsi="Arial" w:cs="Arial"/>
          <w:i/>
          <w:iCs/>
          <w:color w:val="08122C"/>
          <w:shd w:val="clear" w:color="auto" w:fill="FFFFFF"/>
        </w:rPr>
        <w:t>ie</w:t>
      </w:r>
      <w:proofErr w:type="spellEnd"/>
      <w:proofErr w:type="gramEnd"/>
      <w:r w:rsidRPr="00E440BE">
        <w:rPr>
          <w:rFonts w:ascii="Arial" w:hAnsi="Arial" w:cs="Arial"/>
          <w:i/>
          <w:iCs/>
          <w:color w:val="08122C"/>
          <w:shd w:val="clear" w:color="auto" w:fill="FFFFFF"/>
        </w:rPr>
        <w:t xml:space="preserve"> it can block actions by individual creditors who are seeking to frustrate the wishes of the majority</w:t>
      </w:r>
      <w:r w:rsidR="00037B03" w:rsidRPr="00E440BE">
        <w:rPr>
          <w:rFonts w:ascii="Arial" w:hAnsi="Arial" w:cs="Arial"/>
          <w:i/>
          <w:iCs/>
          <w:color w:val="08122C"/>
          <w:shd w:val="clear" w:color="auto" w:fill="FFFFFF"/>
        </w:rPr>
        <w:t xml:space="preserve">. While moratoria can be potentially very valuable in promoting the rescue of a company or business, a balance is required between the benefits to the company and the creditors </w:t>
      </w:r>
      <w:proofErr w:type="gramStart"/>
      <w:r w:rsidR="00037B03" w:rsidRPr="00E440BE">
        <w:rPr>
          <w:rFonts w:ascii="Arial" w:hAnsi="Arial" w:cs="Arial"/>
          <w:i/>
          <w:iCs/>
          <w:color w:val="08122C"/>
          <w:shd w:val="clear" w:color="auto" w:fill="FFFFFF"/>
        </w:rPr>
        <w:t>as a whole on</w:t>
      </w:r>
      <w:proofErr w:type="gramEnd"/>
      <w:r w:rsidR="00037B03" w:rsidRPr="00E440BE">
        <w:rPr>
          <w:rFonts w:ascii="Arial" w:hAnsi="Arial" w:cs="Arial"/>
          <w:i/>
          <w:iCs/>
          <w:color w:val="08122C"/>
          <w:shd w:val="clear" w:color="auto" w:fill="FFFFFF"/>
        </w:rPr>
        <w:t xml:space="preserve"> the one hand and the rights of the individual creditors on the other</w:t>
      </w:r>
      <w:r w:rsidRPr="00E440BE">
        <w:rPr>
          <w:rFonts w:ascii="Arial" w:hAnsi="Arial" w:cs="Arial"/>
          <w:i/>
          <w:iCs/>
          <w:color w:val="08122C"/>
          <w:shd w:val="clear" w:color="auto" w:fill="FFFFFF"/>
        </w:rPr>
        <w:t>.</w:t>
      </w:r>
      <w:r w:rsidR="0055086B" w:rsidRPr="00E440BE">
        <w:rPr>
          <w:rFonts w:ascii="Arial" w:hAnsi="Arial" w:cs="Arial"/>
          <w:color w:val="08122C"/>
          <w:shd w:val="clear" w:color="auto" w:fill="FFFFFF"/>
        </w:rPr>
        <w:t>”</w:t>
      </w:r>
      <w:r w:rsidR="0055086B" w:rsidRPr="00E440BE">
        <w:rPr>
          <w:rStyle w:val="FootnoteReference"/>
          <w:rFonts w:ascii="Arial" w:hAnsi="Arial" w:cs="Arial"/>
          <w:color w:val="08122C"/>
          <w:shd w:val="clear" w:color="auto" w:fill="FFFFFF"/>
        </w:rPr>
        <w:footnoteReference w:id="36"/>
      </w:r>
    </w:p>
    <w:p w14:paraId="28303AF5" w14:textId="77777777" w:rsidR="00E71C51" w:rsidRPr="00E440BE" w:rsidRDefault="00E71C51" w:rsidP="00FC5510">
      <w:pPr>
        <w:spacing w:after="0" w:line="240" w:lineRule="auto"/>
        <w:jc w:val="both"/>
        <w:rPr>
          <w:rFonts w:ascii="Arial" w:hAnsi="Arial" w:cs="Arial"/>
          <w:color w:val="08122C"/>
          <w:shd w:val="clear" w:color="auto" w:fill="FFFFFF"/>
        </w:rPr>
      </w:pPr>
    </w:p>
    <w:p w14:paraId="3C836516" w14:textId="645CBC82" w:rsidR="003C657E" w:rsidRPr="00E440BE" w:rsidRDefault="003C657E" w:rsidP="00FC5510">
      <w:pPr>
        <w:spacing w:after="0" w:line="240" w:lineRule="auto"/>
        <w:jc w:val="both"/>
        <w:rPr>
          <w:rFonts w:ascii="Arial" w:hAnsi="Arial" w:cs="Arial"/>
          <w:color w:val="08122C"/>
          <w:shd w:val="clear" w:color="auto" w:fill="FFFFFF"/>
        </w:rPr>
      </w:pPr>
      <w:r w:rsidRPr="00E440BE">
        <w:rPr>
          <w:rFonts w:ascii="Arial" w:hAnsi="Arial" w:cs="Arial"/>
          <w:color w:val="08122C"/>
          <w:shd w:val="clear" w:color="auto" w:fill="FFFFFF"/>
        </w:rPr>
        <w:t xml:space="preserve">In practice, this usually means providing the debtor with an </w:t>
      </w:r>
      <w:r w:rsidR="007F4D6C" w:rsidRPr="00E440BE">
        <w:rPr>
          <w:rFonts w:ascii="Arial" w:hAnsi="Arial" w:cs="Arial"/>
          <w:color w:val="08122C"/>
          <w:shd w:val="clear" w:color="auto" w:fill="FFFFFF"/>
        </w:rPr>
        <w:t>opportunity</w:t>
      </w:r>
      <w:r w:rsidRPr="00E440BE">
        <w:rPr>
          <w:rFonts w:ascii="Arial" w:hAnsi="Arial" w:cs="Arial"/>
          <w:color w:val="08122C"/>
          <w:shd w:val="clear" w:color="auto" w:fill="FFFFFF"/>
        </w:rPr>
        <w:t xml:space="preserve"> to overcome temporary liquidity problems and/or </w:t>
      </w:r>
      <w:r w:rsidR="00620845" w:rsidRPr="00E440BE">
        <w:rPr>
          <w:rFonts w:ascii="Arial" w:hAnsi="Arial" w:cs="Arial"/>
          <w:color w:val="08122C"/>
          <w:shd w:val="clear" w:color="auto" w:fill="FFFFFF"/>
        </w:rPr>
        <w:t>to propose a settlement to its creditors.</w:t>
      </w:r>
    </w:p>
    <w:p w14:paraId="35157D1F" w14:textId="77777777" w:rsidR="003C657E" w:rsidRPr="00E440BE" w:rsidRDefault="003C657E" w:rsidP="00FC5510">
      <w:pPr>
        <w:spacing w:after="0" w:line="240" w:lineRule="auto"/>
        <w:jc w:val="both"/>
        <w:rPr>
          <w:rFonts w:ascii="Arial" w:hAnsi="Arial" w:cs="Arial"/>
          <w:color w:val="08122C"/>
          <w:shd w:val="clear" w:color="auto" w:fill="FFFFFF"/>
        </w:rPr>
      </w:pPr>
    </w:p>
    <w:p w14:paraId="4A2771AC" w14:textId="244B64F1" w:rsidR="00E27024" w:rsidRPr="00E440BE" w:rsidRDefault="00AB2282" w:rsidP="00FC5510">
      <w:pPr>
        <w:spacing w:after="0" w:line="240" w:lineRule="auto"/>
        <w:jc w:val="both"/>
        <w:rPr>
          <w:rFonts w:ascii="Arial" w:hAnsi="Arial" w:cs="Arial"/>
          <w:color w:val="08122C"/>
          <w:shd w:val="clear" w:color="auto" w:fill="FFFFFF"/>
        </w:rPr>
      </w:pPr>
      <w:r w:rsidRPr="00E440BE">
        <w:rPr>
          <w:rFonts w:ascii="Arial" w:hAnsi="Arial" w:cs="Arial"/>
          <w:color w:val="08122C"/>
          <w:shd w:val="clear" w:color="auto" w:fill="FFFFFF"/>
        </w:rPr>
        <w:t xml:space="preserve">Informal moratoria can be achieved </w:t>
      </w:r>
      <w:r w:rsidR="004C5DC0" w:rsidRPr="00E440BE">
        <w:rPr>
          <w:rFonts w:ascii="Arial" w:hAnsi="Arial" w:cs="Arial"/>
          <w:color w:val="08122C"/>
          <w:shd w:val="clear" w:color="auto" w:fill="FFFFFF"/>
        </w:rPr>
        <w:t xml:space="preserve">through contractual arrangements </w:t>
      </w:r>
      <w:proofErr w:type="gramStart"/>
      <w:r w:rsidR="004C5DC0" w:rsidRPr="00E440BE">
        <w:rPr>
          <w:rFonts w:ascii="Arial" w:hAnsi="Arial" w:cs="Arial"/>
          <w:color w:val="08122C"/>
          <w:shd w:val="clear" w:color="auto" w:fill="FFFFFF"/>
        </w:rPr>
        <w:t>i.e.</w:t>
      </w:r>
      <w:proofErr w:type="gramEnd"/>
      <w:r w:rsidR="004C5DC0" w:rsidRPr="00E440BE">
        <w:rPr>
          <w:rFonts w:ascii="Arial" w:hAnsi="Arial" w:cs="Arial"/>
          <w:color w:val="08122C"/>
          <w:shd w:val="clear" w:color="auto" w:fill="FFFFFF"/>
        </w:rPr>
        <w:t xml:space="preserve"> standstill agreements. However, such mechanisms are often considered inferior to court mandated moratoria.</w:t>
      </w:r>
      <w:r w:rsidR="000D1CC3" w:rsidRPr="00E440BE">
        <w:rPr>
          <w:rFonts w:ascii="Arial" w:hAnsi="Arial" w:cs="Arial"/>
          <w:color w:val="08122C"/>
          <w:shd w:val="clear" w:color="auto" w:fill="FFFFFF"/>
        </w:rPr>
        <w:t xml:space="preserve"> In Flow Management</w:t>
      </w:r>
      <w:r w:rsidR="00620845" w:rsidRPr="00E440BE">
        <w:rPr>
          <w:rFonts w:ascii="Arial" w:hAnsi="Arial" w:cs="Arial"/>
          <w:color w:val="08122C"/>
          <w:shd w:val="clear" w:color="auto" w:fill="FFFFFF"/>
        </w:rPr>
        <w:t xml:space="preserve"> a standstill agreement </w:t>
      </w:r>
      <w:r w:rsidR="00C7532E" w:rsidRPr="00E440BE">
        <w:rPr>
          <w:rFonts w:ascii="Arial" w:hAnsi="Arial" w:cs="Arial"/>
          <w:color w:val="08122C"/>
          <w:shd w:val="clear" w:color="auto" w:fill="FFFFFF"/>
        </w:rPr>
        <w:t>was</w:t>
      </w:r>
      <w:r w:rsidR="000D1CC3" w:rsidRPr="00E440BE">
        <w:rPr>
          <w:rFonts w:ascii="Arial" w:hAnsi="Arial" w:cs="Arial"/>
          <w:color w:val="08122C"/>
          <w:shd w:val="clear" w:color="auto" w:fill="FFFFFF"/>
        </w:rPr>
        <w:t xml:space="preserve"> utilized</w:t>
      </w:r>
      <w:r w:rsidR="00E27024" w:rsidRPr="00E440BE">
        <w:rPr>
          <w:rFonts w:ascii="Arial" w:hAnsi="Arial" w:cs="Arial"/>
          <w:color w:val="08122C"/>
          <w:shd w:val="clear" w:color="auto" w:fill="FFFFFF"/>
        </w:rPr>
        <w:t xml:space="preserve">, to good effect to enable the October 2014 strategies to be put together without risk of a single creditor </w:t>
      </w:r>
      <w:proofErr w:type="gramStart"/>
      <w:r w:rsidR="00E27024" w:rsidRPr="00E440BE">
        <w:rPr>
          <w:rFonts w:ascii="Arial" w:hAnsi="Arial" w:cs="Arial"/>
          <w:color w:val="08122C"/>
          <w:shd w:val="clear" w:color="auto" w:fill="FFFFFF"/>
        </w:rPr>
        <w:t>taking action</w:t>
      </w:r>
      <w:proofErr w:type="gramEnd"/>
      <w:r w:rsidR="00E27024" w:rsidRPr="00E440BE">
        <w:rPr>
          <w:rFonts w:ascii="Arial" w:hAnsi="Arial" w:cs="Arial"/>
          <w:color w:val="08122C"/>
          <w:shd w:val="clear" w:color="auto" w:fill="FFFFFF"/>
        </w:rPr>
        <w:t>.</w:t>
      </w:r>
      <w:r w:rsidR="00C7532E" w:rsidRPr="00E440BE">
        <w:rPr>
          <w:rFonts w:ascii="Arial" w:hAnsi="Arial" w:cs="Arial"/>
          <w:color w:val="08122C"/>
          <w:shd w:val="clear" w:color="auto" w:fill="FFFFFF"/>
        </w:rPr>
        <w:t xml:space="preserve"> However,</w:t>
      </w:r>
      <w:r w:rsidR="00447905" w:rsidRPr="00E440BE">
        <w:rPr>
          <w:rFonts w:ascii="Arial" w:hAnsi="Arial" w:cs="Arial"/>
          <w:color w:val="08122C"/>
          <w:shd w:val="clear" w:color="auto" w:fill="FFFFFF"/>
        </w:rPr>
        <w:t xml:space="preserve"> it seems unlikely that subsequently seeking a formal moratorium in late 2014 was going to be particularly beneficial – not least because in many regimes </w:t>
      </w:r>
      <w:r w:rsidR="006B1BA0" w:rsidRPr="00E440BE">
        <w:rPr>
          <w:rFonts w:ascii="Arial" w:hAnsi="Arial" w:cs="Arial"/>
          <w:color w:val="08122C"/>
          <w:shd w:val="clear" w:color="auto" w:fill="FFFFFF"/>
          <w:lang/>
        </w:rPr>
        <w:t>available</w:t>
      </w:r>
      <w:r w:rsidR="009677B1" w:rsidRPr="00E440BE">
        <w:rPr>
          <w:rFonts w:ascii="Arial" w:hAnsi="Arial" w:cs="Arial"/>
          <w:color w:val="08122C"/>
          <w:shd w:val="clear" w:color="auto" w:fill="FFFFFF"/>
          <w:lang/>
        </w:rPr>
        <w:t xml:space="preserve"> </w:t>
      </w:r>
      <w:r w:rsidR="00447905" w:rsidRPr="00E440BE">
        <w:rPr>
          <w:rFonts w:ascii="Arial" w:hAnsi="Arial" w:cs="Arial"/>
          <w:color w:val="08122C"/>
          <w:shd w:val="clear" w:color="auto" w:fill="FFFFFF"/>
        </w:rPr>
        <w:t xml:space="preserve">at that time, </w:t>
      </w:r>
      <w:r w:rsidR="00BB05F7" w:rsidRPr="00E440BE">
        <w:rPr>
          <w:rFonts w:ascii="Arial" w:hAnsi="Arial" w:cs="Arial"/>
          <w:color w:val="08122C"/>
          <w:shd w:val="clear" w:color="auto" w:fill="FFFFFF"/>
        </w:rPr>
        <w:t>moratoria were rarely available in support of restructurings</w:t>
      </w:r>
      <w:r w:rsidR="00EE7939" w:rsidRPr="00E440BE">
        <w:rPr>
          <w:rFonts w:ascii="Arial" w:hAnsi="Arial" w:cs="Arial"/>
          <w:color w:val="08122C"/>
          <w:shd w:val="clear" w:color="auto" w:fill="FFFFFF"/>
        </w:rPr>
        <w:t xml:space="preserve"> (as opposed to liquidations / winding-ups)</w:t>
      </w:r>
      <w:r w:rsidR="00BB05F7" w:rsidRPr="00E440BE">
        <w:rPr>
          <w:rFonts w:ascii="Arial" w:hAnsi="Arial" w:cs="Arial"/>
          <w:color w:val="08122C"/>
          <w:shd w:val="clear" w:color="auto" w:fill="FFFFFF"/>
        </w:rPr>
        <w:t>.</w:t>
      </w:r>
    </w:p>
    <w:p w14:paraId="30B11626" w14:textId="77777777" w:rsidR="004A0A2E" w:rsidRPr="00E440BE" w:rsidRDefault="004A0A2E" w:rsidP="00FC5510">
      <w:pPr>
        <w:spacing w:after="0" w:line="240" w:lineRule="auto"/>
        <w:jc w:val="both"/>
        <w:rPr>
          <w:rFonts w:ascii="Arial" w:hAnsi="Arial" w:cs="Arial"/>
          <w:color w:val="08122C"/>
          <w:shd w:val="clear" w:color="auto" w:fill="FFFFFF"/>
        </w:rPr>
      </w:pPr>
    </w:p>
    <w:p w14:paraId="21785A1D" w14:textId="20BB2E12" w:rsidR="005E5DFD" w:rsidRPr="00E440BE" w:rsidRDefault="005E5DFD" w:rsidP="00FC5510">
      <w:pPr>
        <w:spacing w:after="0" w:line="240" w:lineRule="auto"/>
        <w:jc w:val="both"/>
        <w:rPr>
          <w:rFonts w:ascii="Arial" w:hAnsi="Arial" w:cs="Arial"/>
          <w:b/>
          <w:bCs/>
          <w:color w:val="08122C"/>
          <w:shd w:val="clear" w:color="auto" w:fill="FFFFFF"/>
        </w:rPr>
      </w:pPr>
      <w:r w:rsidRPr="00E440BE">
        <w:rPr>
          <w:rFonts w:ascii="Arial" w:hAnsi="Arial" w:cs="Arial"/>
          <w:b/>
          <w:bCs/>
          <w:color w:val="08122C"/>
          <w:shd w:val="clear" w:color="auto" w:fill="FFFFFF"/>
        </w:rPr>
        <w:t>The Cayman Islands regime</w:t>
      </w:r>
    </w:p>
    <w:p w14:paraId="40C64173" w14:textId="77777777" w:rsidR="005E5DFD" w:rsidRPr="00E440BE" w:rsidRDefault="005E5DFD" w:rsidP="00FC5510">
      <w:pPr>
        <w:spacing w:after="0" w:line="240" w:lineRule="auto"/>
        <w:jc w:val="both"/>
        <w:rPr>
          <w:rFonts w:ascii="Arial" w:hAnsi="Arial" w:cs="Arial"/>
          <w:color w:val="08122C"/>
          <w:shd w:val="clear" w:color="auto" w:fill="FFFFFF"/>
        </w:rPr>
      </w:pPr>
    </w:p>
    <w:p w14:paraId="59E5EDE5" w14:textId="0310BB7D" w:rsidR="00623B9E" w:rsidRPr="00E440BE" w:rsidRDefault="00690D2D" w:rsidP="00FC5510">
      <w:pPr>
        <w:spacing w:after="0" w:line="240" w:lineRule="auto"/>
        <w:jc w:val="both"/>
        <w:rPr>
          <w:rFonts w:ascii="Arial" w:hAnsi="Arial" w:cs="Arial"/>
          <w:color w:val="08122C"/>
          <w:shd w:val="clear" w:color="auto" w:fill="FFFFFF"/>
        </w:rPr>
      </w:pPr>
      <w:r w:rsidRPr="00E440BE">
        <w:rPr>
          <w:rFonts w:ascii="Arial" w:hAnsi="Arial" w:cs="Arial"/>
          <w:color w:val="08122C"/>
          <w:shd w:val="clear" w:color="auto" w:fill="FFFFFF"/>
        </w:rPr>
        <w:t xml:space="preserve">Back in 2014, </w:t>
      </w:r>
      <w:r w:rsidR="00E41A80" w:rsidRPr="00E440BE">
        <w:rPr>
          <w:rFonts w:ascii="Arial" w:hAnsi="Arial" w:cs="Arial"/>
          <w:color w:val="08122C"/>
          <w:shd w:val="clear" w:color="auto" w:fill="FFFFFF"/>
        </w:rPr>
        <w:t>there would likely have been severe risks associated with seeking a formal moratorium. For example, take the Cayman Islands regime</w:t>
      </w:r>
      <w:r w:rsidR="008531A9" w:rsidRPr="00E440BE">
        <w:rPr>
          <w:rStyle w:val="FootnoteReference"/>
          <w:rFonts w:ascii="Arial" w:hAnsi="Arial" w:cs="Arial"/>
          <w:color w:val="08122C"/>
          <w:shd w:val="clear" w:color="auto" w:fill="FFFFFF"/>
        </w:rPr>
        <w:footnoteReference w:id="37"/>
      </w:r>
      <w:r w:rsidR="00B62E17" w:rsidRPr="00E440BE">
        <w:rPr>
          <w:rFonts w:ascii="Arial" w:hAnsi="Arial" w:cs="Arial"/>
          <w:color w:val="08122C"/>
          <w:shd w:val="clear" w:color="auto" w:fill="FFFFFF"/>
        </w:rPr>
        <w:t xml:space="preserve"> as it was back then:</w:t>
      </w:r>
    </w:p>
    <w:p w14:paraId="147E8899" w14:textId="77777777" w:rsidR="004A0A2E" w:rsidRPr="00E440BE" w:rsidRDefault="004A0A2E" w:rsidP="00FC5510">
      <w:pPr>
        <w:spacing w:after="0" w:line="240" w:lineRule="auto"/>
        <w:jc w:val="both"/>
        <w:rPr>
          <w:rFonts w:ascii="Arial" w:hAnsi="Arial" w:cs="Arial"/>
          <w:color w:val="08122C"/>
          <w:shd w:val="clear" w:color="auto" w:fill="FFFFFF"/>
        </w:rPr>
      </w:pPr>
    </w:p>
    <w:p w14:paraId="7B94DF05" w14:textId="25F25A2E" w:rsidR="00FB748D" w:rsidRPr="00E440BE" w:rsidRDefault="00B62E17" w:rsidP="00FC5510">
      <w:pPr>
        <w:pStyle w:val="ListParagraph"/>
        <w:numPr>
          <w:ilvl w:val="0"/>
          <w:numId w:val="2"/>
        </w:numPr>
        <w:spacing w:after="0" w:line="240" w:lineRule="auto"/>
        <w:contextualSpacing w:val="0"/>
        <w:jc w:val="both"/>
        <w:rPr>
          <w:rFonts w:ascii="Arial" w:hAnsi="Arial" w:cs="Arial"/>
          <w:color w:val="08122C"/>
          <w:shd w:val="clear" w:color="auto" w:fill="FFFFFF"/>
        </w:rPr>
      </w:pPr>
      <w:r w:rsidRPr="00E440BE">
        <w:rPr>
          <w:rFonts w:ascii="Arial" w:hAnsi="Arial" w:cs="Arial"/>
          <w:color w:val="08122C"/>
          <w:shd w:val="clear" w:color="auto" w:fill="FFFFFF"/>
        </w:rPr>
        <w:t>A</w:t>
      </w:r>
      <w:r w:rsidR="00E621DF" w:rsidRPr="00E440BE">
        <w:rPr>
          <w:rFonts w:ascii="Arial" w:hAnsi="Arial" w:cs="Arial"/>
          <w:color w:val="08122C"/>
          <w:shd w:val="clear" w:color="auto" w:fill="FFFFFF"/>
        </w:rPr>
        <w:t xml:space="preserve"> moratorium could only be obtained </w:t>
      </w:r>
      <w:r w:rsidR="00E621DF" w:rsidRPr="00E440BE">
        <w:rPr>
          <w:rFonts w:ascii="Arial" w:hAnsi="Arial" w:cs="Arial"/>
        </w:rPr>
        <w:t xml:space="preserve">when a winding up order </w:t>
      </w:r>
      <w:r w:rsidR="009677B1" w:rsidRPr="00E440BE">
        <w:rPr>
          <w:rFonts w:ascii="Arial" w:hAnsi="Arial" w:cs="Arial"/>
          <w:lang/>
        </w:rPr>
        <w:t>had been</w:t>
      </w:r>
      <w:r w:rsidR="00E621DF" w:rsidRPr="00E440BE">
        <w:rPr>
          <w:rFonts w:ascii="Arial" w:hAnsi="Arial" w:cs="Arial"/>
        </w:rPr>
        <w:t xml:space="preserve"> made or if a provisional liquidator </w:t>
      </w:r>
      <w:r w:rsidR="009677B1" w:rsidRPr="00E440BE">
        <w:rPr>
          <w:rFonts w:ascii="Arial" w:hAnsi="Arial" w:cs="Arial"/>
          <w:lang/>
        </w:rPr>
        <w:t>wa</w:t>
      </w:r>
      <w:r w:rsidR="00E621DF" w:rsidRPr="00E440BE">
        <w:rPr>
          <w:rFonts w:ascii="Arial" w:hAnsi="Arial" w:cs="Arial"/>
        </w:rPr>
        <w:t xml:space="preserve">s appointed </w:t>
      </w:r>
      <w:r w:rsidR="00E621DF" w:rsidRPr="00E440BE">
        <w:rPr>
          <w:rFonts w:ascii="Arial" w:hAnsi="Arial" w:cs="Arial"/>
          <w:color w:val="08122C"/>
          <w:shd w:val="clear" w:color="auto" w:fill="FFFFFF"/>
        </w:rPr>
        <w:t xml:space="preserve">(section </w:t>
      </w:r>
      <w:r w:rsidR="00F1748B" w:rsidRPr="00E440BE">
        <w:rPr>
          <w:rFonts w:ascii="Arial" w:hAnsi="Arial" w:cs="Arial"/>
          <w:color w:val="08122C"/>
          <w:shd w:val="clear" w:color="auto" w:fill="FFFFFF"/>
        </w:rPr>
        <w:t>97(1)</w:t>
      </w:r>
      <w:r w:rsidR="00E621DF" w:rsidRPr="00E440BE">
        <w:rPr>
          <w:rFonts w:ascii="Arial" w:hAnsi="Arial" w:cs="Arial"/>
          <w:color w:val="08122C"/>
          <w:shd w:val="clear" w:color="auto" w:fill="FFFFFF"/>
        </w:rPr>
        <w:t xml:space="preserve"> of the Companies Act (2023 Revision) (</w:t>
      </w:r>
      <w:r w:rsidR="00E621DF" w:rsidRPr="00E440BE">
        <w:rPr>
          <w:rFonts w:ascii="Arial" w:hAnsi="Arial" w:cs="Arial"/>
          <w:b/>
          <w:bCs/>
          <w:color w:val="08122C"/>
          <w:shd w:val="clear" w:color="auto" w:fill="FFFFFF"/>
        </w:rPr>
        <w:t>CA</w:t>
      </w:r>
      <w:r w:rsidR="00E621DF" w:rsidRPr="00E440BE">
        <w:rPr>
          <w:rFonts w:ascii="Arial" w:hAnsi="Arial" w:cs="Arial"/>
          <w:color w:val="08122C"/>
          <w:shd w:val="clear" w:color="auto" w:fill="FFFFFF"/>
        </w:rPr>
        <w:t>)).</w:t>
      </w:r>
      <w:r w:rsidR="00F1748B" w:rsidRPr="00E440BE">
        <w:rPr>
          <w:rStyle w:val="FootnoteReference"/>
          <w:rFonts w:ascii="Arial" w:hAnsi="Arial" w:cs="Arial"/>
          <w:color w:val="08122C"/>
          <w:shd w:val="clear" w:color="auto" w:fill="FFFFFF"/>
        </w:rPr>
        <w:footnoteReference w:id="38"/>
      </w:r>
      <w:r w:rsidR="00E621DF" w:rsidRPr="00E440BE">
        <w:rPr>
          <w:rFonts w:ascii="Arial" w:hAnsi="Arial" w:cs="Arial"/>
          <w:color w:val="08122C"/>
          <w:shd w:val="clear" w:color="auto" w:fill="FFFFFF"/>
        </w:rPr>
        <w:t xml:space="preserve"> </w:t>
      </w:r>
      <w:r w:rsidR="00C43557" w:rsidRPr="00E440BE">
        <w:rPr>
          <w:rFonts w:ascii="Arial" w:hAnsi="Arial" w:cs="Arial"/>
          <w:color w:val="08122C"/>
          <w:shd w:val="clear" w:color="auto" w:fill="FFFFFF"/>
        </w:rPr>
        <w:t>T</w:t>
      </w:r>
      <w:r w:rsidR="005130FA" w:rsidRPr="00E440BE">
        <w:rPr>
          <w:rFonts w:ascii="Arial" w:hAnsi="Arial" w:cs="Arial"/>
          <w:color w:val="08122C"/>
          <w:shd w:val="clear" w:color="auto" w:fill="FFFFFF"/>
        </w:rPr>
        <w:t>he moratorium purports to have extra-territorial effect</w:t>
      </w:r>
      <w:r w:rsidR="00871888" w:rsidRPr="00E440BE">
        <w:rPr>
          <w:rStyle w:val="FootnoteReference"/>
          <w:rFonts w:ascii="Arial" w:hAnsi="Arial" w:cs="Arial"/>
          <w:color w:val="08122C"/>
          <w:shd w:val="clear" w:color="auto" w:fill="FFFFFF"/>
        </w:rPr>
        <w:footnoteReference w:id="39"/>
      </w:r>
      <w:r w:rsidR="005130FA" w:rsidRPr="00E440BE">
        <w:rPr>
          <w:rFonts w:ascii="Arial" w:hAnsi="Arial" w:cs="Arial"/>
          <w:color w:val="08122C"/>
          <w:shd w:val="clear" w:color="auto" w:fill="FFFFFF"/>
        </w:rPr>
        <w:t xml:space="preserve"> (albeit the effectiveness </w:t>
      </w:r>
      <w:r w:rsidR="00A567DF" w:rsidRPr="00E440BE">
        <w:rPr>
          <w:rFonts w:ascii="Arial" w:hAnsi="Arial" w:cs="Arial"/>
          <w:color w:val="08122C"/>
          <w:shd w:val="clear" w:color="auto" w:fill="FFFFFF"/>
        </w:rPr>
        <w:t>of this remains in question</w:t>
      </w:r>
      <w:r w:rsidR="005130FA" w:rsidRPr="00E440BE">
        <w:rPr>
          <w:rFonts w:ascii="Arial" w:hAnsi="Arial" w:cs="Arial"/>
          <w:color w:val="08122C"/>
          <w:shd w:val="clear" w:color="auto" w:fill="FFFFFF"/>
        </w:rPr>
        <w:t>)</w:t>
      </w:r>
      <w:r w:rsidR="00384746" w:rsidRPr="00E440BE">
        <w:rPr>
          <w:rFonts w:ascii="Arial" w:hAnsi="Arial" w:cs="Arial"/>
          <w:color w:val="08122C"/>
          <w:shd w:val="clear" w:color="auto" w:fill="FFFFFF"/>
        </w:rPr>
        <w:t>. However,</w:t>
      </w:r>
      <w:r w:rsidR="00A567DF" w:rsidRPr="00E440BE">
        <w:rPr>
          <w:rFonts w:ascii="Arial" w:hAnsi="Arial" w:cs="Arial"/>
          <w:color w:val="08122C"/>
          <w:shd w:val="clear" w:color="auto" w:fill="FFFFFF"/>
        </w:rPr>
        <w:t xml:space="preserve"> it </w:t>
      </w:r>
      <w:r w:rsidR="009677B1" w:rsidRPr="00E440BE">
        <w:rPr>
          <w:rFonts w:ascii="Arial" w:hAnsi="Arial" w:cs="Arial"/>
          <w:color w:val="08122C"/>
          <w:shd w:val="clear" w:color="auto" w:fill="FFFFFF"/>
          <w:lang/>
        </w:rPr>
        <w:t>would</w:t>
      </w:r>
      <w:r w:rsidR="00A567DF" w:rsidRPr="00E440BE">
        <w:rPr>
          <w:rFonts w:ascii="Arial" w:hAnsi="Arial" w:cs="Arial"/>
          <w:color w:val="08122C"/>
          <w:shd w:val="clear" w:color="auto" w:fill="FFFFFF"/>
        </w:rPr>
        <w:t xml:space="preserve"> not apply to </w:t>
      </w:r>
      <w:r w:rsidR="009677B1" w:rsidRPr="00E440BE">
        <w:rPr>
          <w:rFonts w:ascii="Arial" w:hAnsi="Arial" w:cs="Arial"/>
          <w:color w:val="08122C"/>
          <w:shd w:val="clear" w:color="auto" w:fill="FFFFFF"/>
          <w:lang/>
        </w:rPr>
        <w:t xml:space="preserve">prevent </w:t>
      </w:r>
      <w:r w:rsidR="00A567DF" w:rsidRPr="00E440BE">
        <w:rPr>
          <w:rFonts w:ascii="Arial" w:hAnsi="Arial" w:cs="Arial"/>
          <w:color w:val="08122C"/>
          <w:shd w:val="clear" w:color="auto" w:fill="FFFFFF"/>
        </w:rPr>
        <w:t xml:space="preserve">the enforcement of security </w:t>
      </w:r>
      <w:r w:rsidR="00455E1C" w:rsidRPr="00E440BE">
        <w:rPr>
          <w:rFonts w:ascii="Arial" w:hAnsi="Arial" w:cs="Arial"/>
          <w:shd w:val="clear" w:color="auto" w:fill="FFFFFF"/>
        </w:rPr>
        <w:t>rights (section 142(1) of the CA)</w:t>
      </w:r>
      <w:r w:rsidR="00384746" w:rsidRPr="00E440BE">
        <w:rPr>
          <w:rFonts w:ascii="Arial" w:hAnsi="Arial" w:cs="Arial"/>
          <w:shd w:val="clear" w:color="auto" w:fill="FFFFFF"/>
        </w:rPr>
        <w:t>, either in Cayman or another jurisdiction</w:t>
      </w:r>
      <w:r w:rsidR="00455E1C" w:rsidRPr="00E440BE">
        <w:rPr>
          <w:rFonts w:ascii="Arial" w:hAnsi="Arial" w:cs="Arial"/>
          <w:shd w:val="clear" w:color="auto" w:fill="FFFFFF"/>
        </w:rPr>
        <w:t>.</w:t>
      </w:r>
      <w:r w:rsidR="00B93137" w:rsidRPr="00E440BE">
        <w:rPr>
          <w:rFonts w:ascii="Arial" w:hAnsi="Arial" w:cs="Arial"/>
        </w:rPr>
        <w:t xml:space="preserve"> The priority of </w:t>
      </w:r>
      <w:r w:rsidR="00B93137" w:rsidRPr="00E440BE">
        <w:rPr>
          <w:rFonts w:ascii="Arial" w:hAnsi="Arial" w:cs="Arial"/>
        </w:rPr>
        <w:lastRenderedPageBreak/>
        <w:t xml:space="preserve">competing security interests </w:t>
      </w:r>
      <w:r w:rsidR="00623B9E" w:rsidRPr="00E440BE">
        <w:rPr>
          <w:rFonts w:ascii="Arial" w:hAnsi="Arial" w:cs="Arial"/>
        </w:rPr>
        <w:t>was (and remains)</w:t>
      </w:r>
      <w:r w:rsidR="00B93137" w:rsidRPr="00E440BE">
        <w:rPr>
          <w:rFonts w:ascii="Arial" w:hAnsi="Arial" w:cs="Arial"/>
        </w:rPr>
        <w:t xml:space="preserve"> fact-specific and depends on the nature of the security interest granted and the lex situs of the underlying asset subject to the interest.</w:t>
      </w:r>
    </w:p>
    <w:p w14:paraId="48499F90" w14:textId="77777777" w:rsidR="00FB748D" w:rsidRPr="00E440BE" w:rsidRDefault="00FB748D" w:rsidP="00FC5510">
      <w:pPr>
        <w:pStyle w:val="ListParagraph"/>
        <w:spacing w:after="0" w:line="240" w:lineRule="auto"/>
        <w:ind w:left="360"/>
        <w:contextualSpacing w:val="0"/>
        <w:jc w:val="both"/>
        <w:rPr>
          <w:rFonts w:ascii="Arial" w:hAnsi="Arial" w:cs="Arial"/>
          <w:color w:val="08122C"/>
          <w:shd w:val="clear" w:color="auto" w:fill="FFFFFF"/>
        </w:rPr>
      </w:pPr>
    </w:p>
    <w:p w14:paraId="734FD7AA" w14:textId="573D0463" w:rsidR="00E621DF" w:rsidRPr="00E440BE" w:rsidRDefault="00623B9E" w:rsidP="00FC5510">
      <w:pPr>
        <w:pStyle w:val="ListParagraph"/>
        <w:numPr>
          <w:ilvl w:val="0"/>
          <w:numId w:val="2"/>
        </w:numPr>
        <w:spacing w:after="0" w:line="240" w:lineRule="auto"/>
        <w:contextualSpacing w:val="0"/>
        <w:jc w:val="both"/>
        <w:rPr>
          <w:rFonts w:ascii="Arial" w:hAnsi="Arial" w:cs="Arial"/>
          <w:color w:val="08122C"/>
          <w:shd w:val="clear" w:color="auto" w:fill="FFFFFF"/>
        </w:rPr>
      </w:pPr>
      <w:r w:rsidRPr="00E440BE">
        <w:rPr>
          <w:rFonts w:ascii="Arial" w:hAnsi="Arial" w:cs="Arial"/>
        </w:rPr>
        <w:t xml:space="preserve">A </w:t>
      </w:r>
      <w:r w:rsidR="00FB748D" w:rsidRPr="00E440BE">
        <w:rPr>
          <w:rFonts w:ascii="Arial" w:hAnsi="Arial" w:cs="Arial"/>
        </w:rPr>
        <w:t xml:space="preserve">moratorium would not apply even if a scheme of arrangement had been applied for, unless </w:t>
      </w:r>
      <w:r w:rsidR="00747176" w:rsidRPr="00E440BE">
        <w:rPr>
          <w:rFonts w:ascii="Arial" w:hAnsi="Arial" w:cs="Arial"/>
        </w:rPr>
        <w:t>a provisional liquidator was first appointed.</w:t>
      </w:r>
    </w:p>
    <w:p w14:paraId="17F808D6" w14:textId="77777777" w:rsidR="00747176" w:rsidRPr="00E440BE" w:rsidRDefault="00747176" w:rsidP="00FC5510">
      <w:pPr>
        <w:pStyle w:val="ListParagraph"/>
        <w:spacing w:after="0" w:line="240" w:lineRule="auto"/>
        <w:contextualSpacing w:val="0"/>
        <w:rPr>
          <w:rFonts w:ascii="Arial" w:hAnsi="Arial" w:cs="Arial"/>
          <w:color w:val="08122C"/>
          <w:shd w:val="clear" w:color="auto" w:fill="FFFFFF"/>
        </w:rPr>
      </w:pPr>
    </w:p>
    <w:p w14:paraId="0A6F701B" w14:textId="0D5DFC7B" w:rsidR="00BD464F" w:rsidRPr="00E440BE" w:rsidRDefault="004B6445" w:rsidP="00FC5510">
      <w:pPr>
        <w:pStyle w:val="ListParagraph"/>
        <w:numPr>
          <w:ilvl w:val="0"/>
          <w:numId w:val="2"/>
        </w:numPr>
        <w:spacing w:after="0" w:line="240" w:lineRule="auto"/>
        <w:contextualSpacing w:val="0"/>
        <w:jc w:val="both"/>
        <w:rPr>
          <w:rFonts w:ascii="Arial" w:hAnsi="Arial" w:cs="Arial"/>
          <w:color w:val="08122C"/>
          <w:shd w:val="clear" w:color="auto" w:fill="FFFFFF"/>
        </w:rPr>
      </w:pPr>
      <w:r w:rsidRPr="00E440BE">
        <w:rPr>
          <w:rFonts w:ascii="Arial" w:hAnsi="Arial" w:cs="Arial"/>
          <w:color w:val="08122C"/>
          <w:shd w:val="clear" w:color="auto" w:fill="FFFFFF"/>
        </w:rPr>
        <w:t xml:space="preserve">To obtain a moratorium, it was necessary to first present a winding-up petition (even for the appointment of a provisional liquidator). The step of presenting the petition often triggered default provisions in financing arrangements, thereby potentially putting the </w:t>
      </w:r>
      <w:r w:rsidR="00F44DDE" w:rsidRPr="00E440BE">
        <w:rPr>
          <w:rFonts w:ascii="Arial" w:hAnsi="Arial" w:cs="Arial"/>
          <w:color w:val="08122C"/>
          <w:shd w:val="clear" w:color="auto" w:fill="FFFFFF"/>
          <w:lang/>
        </w:rPr>
        <w:t>C</w:t>
      </w:r>
      <w:proofErr w:type="spellStart"/>
      <w:r w:rsidRPr="00E440BE">
        <w:rPr>
          <w:rFonts w:ascii="Arial" w:hAnsi="Arial" w:cs="Arial"/>
          <w:color w:val="08122C"/>
          <w:shd w:val="clear" w:color="auto" w:fill="FFFFFF"/>
        </w:rPr>
        <w:t>ompany</w:t>
      </w:r>
      <w:proofErr w:type="spellEnd"/>
      <w:r w:rsidRPr="00E440BE">
        <w:rPr>
          <w:rFonts w:ascii="Arial" w:hAnsi="Arial" w:cs="Arial"/>
          <w:color w:val="08122C"/>
          <w:shd w:val="clear" w:color="auto" w:fill="FFFFFF"/>
        </w:rPr>
        <w:t xml:space="preserve"> in a worse position.</w:t>
      </w:r>
    </w:p>
    <w:p w14:paraId="506CCDB3" w14:textId="77777777" w:rsidR="004A0A2E" w:rsidRPr="00E440BE" w:rsidRDefault="004A0A2E" w:rsidP="00FC5510">
      <w:pPr>
        <w:spacing w:after="0" w:line="240" w:lineRule="auto"/>
        <w:jc w:val="both"/>
        <w:rPr>
          <w:rFonts w:ascii="Arial" w:hAnsi="Arial" w:cs="Arial"/>
          <w:color w:val="08122C"/>
          <w:shd w:val="clear" w:color="auto" w:fill="FFFFFF"/>
        </w:rPr>
      </w:pPr>
    </w:p>
    <w:p w14:paraId="7B51C0CA" w14:textId="033E447E" w:rsidR="007F0AC2" w:rsidRPr="00E440BE" w:rsidRDefault="004E70F8" w:rsidP="00FC5510">
      <w:pPr>
        <w:spacing w:after="0" w:line="240" w:lineRule="auto"/>
        <w:jc w:val="both"/>
        <w:rPr>
          <w:rFonts w:ascii="Arial" w:hAnsi="Arial" w:cs="Arial"/>
          <w:color w:val="08122C"/>
          <w:shd w:val="clear" w:color="auto" w:fill="FFFFFF"/>
        </w:rPr>
      </w:pPr>
      <w:r w:rsidRPr="00E440BE">
        <w:rPr>
          <w:rFonts w:ascii="Arial" w:hAnsi="Arial" w:cs="Arial"/>
          <w:color w:val="08122C"/>
          <w:shd w:val="clear" w:color="auto" w:fill="FFFFFF"/>
        </w:rPr>
        <w:t xml:space="preserve">In 2022, the </w:t>
      </w:r>
      <w:r w:rsidR="00871888" w:rsidRPr="00E440BE">
        <w:rPr>
          <w:rFonts w:ascii="Arial" w:hAnsi="Arial" w:cs="Arial"/>
          <w:color w:val="08122C"/>
          <w:shd w:val="clear" w:color="auto" w:fill="FFFFFF"/>
        </w:rPr>
        <w:t>restructuring</w:t>
      </w:r>
      <w:r w:rsidRPr="00E440BE">
        <w:rPr>
          <w:rFonts w:ascii="Arial" w:hAnsi="Arial" w:cs="Arial"/>
          <w:color w:val="08122C"/>
          <w:shd w:val="clear" w:color="auto" w:fill="FFFFFF"/>
        </w:rPr>
        <w:t xml:space="preserve"> officer regime was implemented</w:t>
      </w:r>
      <w:r w:rsidR="00BD464F" w:rsidRPr="00E440BE">
        <w:rPr>
          <w:rFonts w:ascii="Arial" w:hAnsi="Arial" w:cs="Arial"/>
          <w:color w:val="08122C"/>
          <w:shd w:val="clear" w:color="auto" w:fill="FFFFFF"/>
        </w:rPr>
        <w:t xml:space="preserve"> in Cayman</w:t>
      </w:r>
      <w:r w:rsidRPr="00E440BE">
        <w:rPr>
          <w:rFonts w:ascii="Arial" w:hAnsi="Arial" w:cs="Arial"/>
          <w:color w:val="08122C"/>
          <w:shd w:val="clear" w:color="auto" w:fill="FFFFFF"/>
        </w:rPr>
        <w:t>. This</w:t>
      </w:r>
      <w:r w:rsidR="00D21F27" w:rsidRPr="00E440BE">
        <w:rPr>
          <w:rFonts w:ascii="Arial" w:hAnsi="Arial" w:cs="Arial"/>
          <w:color w:val="08122C"/>
          <w:shd w:val="clear" w:color="auto" w:fill="FFFFFF"/>
        </w:rPr>
        <w:t xml:space="preserve"> </w:t>
      </w:r>
      <w:r w:rsidR="00BE2684" w:rsidRPr="00E440BE">
        <w:rPr>
          <w:rFonts w:ascii="Arial" w:hAnsi="Arial" w:cs="Arial"/>
          <w:color w:val="08122C"/>
          <w:shd w:val="clear" w:color="auto" w:fill="FFFFFF"/>
        </w:rPr>
        <w:t xml:space="preserve">now </w:t>
      </w:r>
      <w:r w:rsidR="00D21F27" w:rsidRPr="00E440BE">
        <w:rPr>
          <w:rFonts w:ascii="Arial" w:hAnsi="Arial" w:cs="Arial"/>
          <w:color w:val="08122C"/>
          <w:shd w:val="clear" w:color="auto" w:fill="FFFFFF"/>
        </w:rPr>
        <w:t xml:space="preserve">enables a company to apply for the appointment </w:t>
      </w:r>
      <w:r w:rsidR="00D428B7" w:rsidRPr="00E440BE">
        <w:rPr>
          <w:rFonts w:ascii="Arial" w:hAnsi="Arial" w:cs="Arial"/>
          <w:color w:val="08122C"/>
          <w:shd w:val="clear" w:color="auto" w:fill="FFFFFF"/>
        </w:rPr>
        <w:t xml:space="preserve">of a restructuring officer to assist with the presentation to creditors </w:t>
      </w:r>
      <w:r w:rsidR="00F44DDE" w:rsidRPr="00E440BE">
        <w:rPr>
          <w:rFonts w:ascii="Arial" w:hAnsi="Arial" w:cs="Arial"/>
          <w:color w:val="08122C"/>
          <w:shd w:val="clear" w:color="auto" w:fill="FFFFFF"/>
        </w:rPr>
        <w:t xml:space="preserve">of a restructuring plan </w:t>
      </w:r>
      <w:r w:rsidR="00D428B7" w:rsidRPr="00E440BE">
        <w:rPr>
          <w:rFonts w:ascii="Arial" w:hAnsi="Arial" w:cs="Arial"/>
          <w:color w:val="08122C"/>
          <w:shd w:val="clear" w:color="auto" w:fill="FFFFFF"/>
        </w:rPr>
        <w:t xml:space="preserve">and </w:t>
      </w:r>
      <w:r w:rsidR="009411A5" w:rsidRPr="00E440BE">
        <w:rPr>
          <w:rFonts w:ascii="Arial" w:hAnsi="Arial" w:cs="Arial"/>
          <w:color w:val="08122C"/>
          <w:shd w:val="clear" w:color="auto" w:fill="FFFFFF"/>
          <w:lang/>
        </w:rPr>
        <w:t xml:space="preserve">the </w:t>
      </w:r>
      <w:r w:rsidR="00D428B7" w:rsidRPr="00E440BE">
        <w:rPr>
          <w:rFonts w:ascii="Arial" w:hAnsi="Arial" w:cs="Arial"/>
          <w:color w:val="08122C"/>
          <w:shd w:val="clear" w:color="auto" w:fill="FFFFFF"/>
        </w:rPr>
        <w:t>implementation</w:t>
      </w:r>
      <w:r w:rsidR="00F44DDE" w:rsidRPr="00E440BE">
        <w:rPr>
          <w:rFonts w:ascii="Arial" w:hAnsi="Arial" w:cs="Arial"/>
          <w:color w:val="08122C"/>
          <w:shd w:val="clear" w:color="auto" w:fill="FFFFFF"/>
          <w:lang/>
        </w:rPr>
        <w:t xml:space="preserve"> the</w:t>
      </w:r>
      <w:r w:rsidR="009411A5" w:rsidRPr="00E440BE">
        <w:rPr>
          <w:rFonts w:ascii="Arial" w:hAnsi="Arial" w:cs="Arial"/>
          <w:color w:val="08122C"/>
          <w:shd w:val="clear" w:color="auto" w:fill="FFFFFF"/>
          <w:lang/>
        </w:rPr>
        <w:t>reof</w:t>
      </w:r>
      <w:r w:rsidR="00D428B7" w:rsidRPr="00E440BE">
        <w:rPr>
          <w:rFonts w:ascii="Arial" w:hAnsi="Arial" w:cs="Arial"/>
          <w:color w:val="08122C"/>
          <w:shd w:val="clear" w:color="auto" w:fill="FFFFFF"/>
        </w:rPr>
        <w:t>.</w:t>
      </w:r>
      <w:r w:rsidR="000D02E9" w:rsidRPr="00E440BE">
        <w:rPr>
          <w:rFonts w:ascii="Arial" w:hAnsi="Arial" w:cs="Arial"/>
          <w:color w:val="08122C"/>
          <w:shd w:val="clear" w:color="auto" w:fill="FFFFFF"/>
        </w:rPr>
        <w:t xml:space="preserve"> Importantly, this regime imposes a moratorium upon </w:t>
      </w:r>
      <w:r w:rsidR="00FC0751" w:rsidRPr="00E440BE">
        <w:rPr>
          <w:rFonts w:ascii="Arial" w:hAnsi="Arial" w:cs="Arial"/>
          <w:color w:val="08122C"/>
          <w:shd w:val="clear" w:color="auto" w:fill="FFFFFF"/>
        </w:rPr>
        <w:t xml:space="preserve">presentation of </w:t>
      </w:r>
      <w:r w:rsidR="000D02E9" w:rsidRPr="00E440BE">
        <w:rPr>
          <w:rFonts w:ascii="Arial" w:hAnsi="Arial" w:cs="Arial"/>
          <w:color w:val="08122C"/>
          <w:shd w:val="clear" w:color="auto" w:fill="FFFFFF"/>
        </w:rPr>
        <w:t>the</w:t>
      </w:r>
      <w:r w:rsidR="00FC0751" w:rsidRPr="00E440BE">
        <w:rPr>
          <w:rFonts w:ascii="Arial" w:hAnsi="Arial" w:cs="Arial"/>
          <w:color w:val="08122C"/>
          <w:shd w:val="clear" w:color="auto" w:fill="FFFFFF"/>
        </w:rPr>
        <w:t xml:space="preserve"> restructuring officer </w:t>
      </w:r>
      <w:r w:rsidR="0081550E" w:rsidRPr="00E440BE">
        <w:rPr>
          <w:rFonts w:ascii="Arial" w:hAnsi="Arial" w:cs="Arial"/>
          <w:color w:val="08122C"/>
          <w:shd w:val="clear" w:color="auto" w:fill="FFFFFF"/>
        </w:rPr>
        <w:t>(</w:t>
      </w:r>
      <w:r w:rsidR="0081550E" w:rsidRPr="00E440BE">
        <w:rPr>
          <w:rFonts w:ascii="Arial" w:hAnsi="Arial" w:cs="Arial"/>
          <w:b/>
          <w:bCs/>
          <w:color w:val="08122C"/>
          <w:shd w:val="clear" w:color="auto" w:fill="FFFFFF"/>
        </w:rPr>
        <w:t>RO</w:t>
      </w:r>
      <w:r w:rsidR="0081550E" w:rsidRPr="00E440BE">
        <w:rPr>
          <w:rFonts w:ascii="Arial" w:hAnsi="Arial" w:cs="Arial"/>
          <w:color w:val="08122C"/>
          <w:shd w:val="clear" w:color="auto" w:fill="FFFFFF"/>
        </w:rPr>
        <w:t xml:space="preserve">) </w:t>
      </w:r>
      <w:r w:rsidR="00FC0751" w:rsidRPr="00E440BE">
        <w:rPr>
          <w:rFonts w:ascii="Arial" w:hAnsi="Arial" w:cs="Arial"/>
          <w:color w:val="08122C"/>
          <w:shd w:val="clear" w:color="auto" w:fill="FFFFFF"/>
        </w:rPr>
        <w:t>petition</w:t>
      </w:r>
      <w:r w:rsidR="001A5E89" w:rsidRPr="00E440BE">
        <w:rPr>
          <w:rFonts w:ascii="Arial" w:hAnsi="Arial" w:cs="Arial"/>
          <w:color w:val="08122C"/>
          <w:shd w:val="clear" w:color="auto" w:fill="FFFFFF"/>
        </w:rPr>
        <w:t xml:space="preserve"> (section </w:t>
      </w:r>
      <w:r w:rsidR="00AF2296" w:rsidRPr="00E440BE">
        <w:rPr>
          <w:rFonts w:ascii="Arial" w:hAnsi="Arial" w:cs="Arial"/>
          <w:color w:val="08122C"/>
          <w:shd w:val="clear" w:color="auto" w:fill="FFFFFF"/>
        </w:rPr>
        <w:t>91</w:t>
      </w:r>
      <w:proofErr w:type="gramStart"/>
      <w:r w:rsidR="00AF2296" w:rsidRPr="00E440BE">
        <w:rPr>
          <w:rFonts w:ascii="Arial" w:hAnsi="Arial" w:cs="Arial"/>
          <w:color w:val="08122C"/>
          <w:shd w:val="clear" w:color="auto" w:fill="FFFFFF"/>
        </w:rPr>
        <w:t>G(</w:t>
      </w:r>
      <w:proofErr w:type="gramEnd"/>
      <w:r w:rsidR="00AF2296" w:rsidRPr="00E440BE">
        <w:rPr>
          <w:rFonts w:ascii="Arial" w:hAnsi="Arial" w:cs="Arial"/>
          <w:color w:val="08122C"/>
          <w:shd w:val="clear" w:color="auto" w:fill="FFFFFF"/>
        </w:rPr>
        <w:t xml:space="preserve">1) </w:t>
      </w:r>
      <w:r w:rsidR="001A5E89" w:rsidRPr="00E440BE">
        <w:rPr>
          <w:rFonts w:ascii="Arial" w:hAnsi="Arial" w:cs="Arial"/>
          <w:color w:val="08122C"/>
          <w:shd w:val="clear" w:color="auto" w:fill="FFFFFF"/>
        </w:rPr>
        <w:t xml:space="preserve">of the </w:t>
      </w:r>
      <w:r w:rsidR="006831B1" w:rsidRPr="00E440BE">
        <w:rPr>
          <w:rFonts w:ascii="Arial" w:hAnsi="Arial" w:cs="Arial"/>
          <w:color w:val="08122C"/>
          <w:shd w:val="clear" w:color="auto" w:fill="FFFFFF"/>
        </w:rPr>
        <w:t>CA</w:t>
      </w:r>
      <w:r w:rsidR="001A5E89" w:rsidRPr="00E440BE">
        <w:rPr>
          <w:rFonts w:ascii="Arial" w:hAnsi="Arial" w:cs="Arial"/>
          <w:color w:val="08122C"/>
          <w:shd w:val="clear" w:color="auto" w:fill="FFFFFF"/>
        </w:rPr>
        <w:t>)</w:t>
      </w:r>
      <w:r w:rsidR="002232F1" w:rsidRPr="00E440BE">
        <w:rPr>
          <w:rFonts w:ascii="Arial" w:hAnsi="Arial" w:cs="Arial"/>
          <w:color w:val="08122C"/>
          <w:shd w:val="clear" w:color="auto" w:fill="FFFFFF"/>
        </w:rPr>
        <w:t xml:space="preserve">, providing </w:t>
      </w:r>
      <w:r w:rsidR="00BE2684" w:rsidRPr="00E440BE">
        <w:rPr>
          <w:rFonts w:ascii="Arial" w:hAnsi="Arial" w:cs="Arial"/>
          <w:color w:val="08122C"/>
          <w:shd w:val="clear" w:color="auto" w:fill="FFFFFF"/>
        </w:rPr>
        <w:t xml:space="preserve">a </w:t>
      </w:r>
      <w:r w:rsidR="002232F1" w:rsidRPr="00E440BE">
        <w:rPr>
          <w:rFonts w:ascii="Arial" w:hAnsi="Arial" w:cs="Arial"/>
          <w:color w:val="08122C"/>
          <w:shd w:val="clear" w:color="auto" w:fill="FFFFFF"/>
        </w:rPr>
        <w:t>debtor</w:t>
      </w:r>
      <w:r w:rsidR="00BE2684" w:rsidRPr="00E440BE">
        <w:rPr>
          <w:rFonts w:ascii="Arial" w:hAnsi="Arial" w:cs="Arial"/>
          <w:color w:val="08122C"/>
          <w:shd w:val="clear" w:color="auto" w:fill="FFFFFF"/>
        </w:rPr>
        <w:t xml:space="preserve"> with</w:t>
      </w:r>
      <w:r w:rsidR="002232F1" w:rsidRPr="00E440BE">
        <w:rPr>
          <w:rFonts w:ascii="Arial" w:hAnsi="Arial" w:cs="Arial"/>
          <w:color w:val="08122C"/>
          <w:shd w:val="clear" w:color="auto" w:fill="FFFFFF"/>
        </w:rPr>
        <w:t xml:space="preserve"> immediate protection</w:t>
      </w:r>
      <w:r w:rsidR="00BD464F" w:rsidRPr="00E440BE">
        <w:rPr>
          <w:rFonts w:ascii="Arial" w:hAnsi="Arial" w:cs="Arial"/>
          <w:color w:val="08122C"/>
          <w:shd w:val="clear" w:color="auto" w:fill="FFFFFF"/>
        </w:rPr>
        <w:t>.</w:t>
      </w:r>
      <w:r w:rsidR="002232F1" w:rsidRPr="00E440BE">
        <w:rPr>
          <w:rFonts w:ascii="Arial" w:hAnsi="Arial" w:cs="Arial"/>
          <w:color w:val="08122C"/>
          <w:shd w:val="clear" w:color="auto" w:fill="FFFFFF"/>
        </w:rPr>
        <w:t xml:space="preserve"> </w:t>
      </w:r>
      <w:r w:rsidR="0081550E" w:rsidRPr="00E440BE">
        <w:rPr>
          <w:rFonts w:ascii="Arial" w:hAnsi="Arial" w:cs="Arial"/>
          <w:color w:val="08122C"/>
          <w:shd w:val="clear" w:color="auto" w:fill="FFFFFF"/>
        </w:rPr>
        <w:t xml:space="preserve">There is no time limit on the moratorium save that it ceases when the RO is no longer appointed. </w:t>
      </w:r>
      <w:r w:rsidR="009411A5" w:rsidRPr="00E440BE">
        <w:rPr>
          <w:rFonts w:ascii="Arial" w:hAnsi="Arial" w:cs="Arial"/>
          <w:color w:val="08122C"/>
          <w:shd w:val="clear" w:color="auto" w:fill="FFFFFF"/>
          <w:lang/>
        </w:rPr>
        <w:t>A moratorium</w:t>
      </w:r>
      <w:r w:rsidR="001D5C7A" w:rsidRPr="00E440BE">
        <w:rPr>
          <w:rFonts w:ascii="Arial" w:hAnsi="Arial" w:cs="Arial"/>
          <w:color w:val="08122C"/>
          <w:shd w:val="clear" w:color="auto" w:fill="FFFFFF"/>
        </w:rPr>
        <w:t xml:space="preserve"> imposed under the restructuring regime </w:t>
      </w:r>
      <w:r w:rsidR="005A72D8" w:rsidRPr="00E440BE">
        <w:rPr>
          <w:rFonts w:ascii="Arial" w:hAnsi="Arial" w:cs="Arial"/>
          <w:color w:val="08122C"/>
          <w:shd w:val="clear" w:color="auto" w:fill="FFFFFF"/>
          <w:lang/>
        </w:rPr>
        <w:t>still</w:t>
      </w:r>
      <w:r w:rsidR="001D5C7A" w:rsidRPr="00E440BE">
        <w:rPr>
          <w:rFonts w:ascii="Arial" w:hAnsi="Arial" w:cs="Arial"/>
          <w:color w:val="08122C"/>
          <w:shd w:val="clear" w:color="auto" w:fill="FFFFFF"/>
        </w:rPr>
        <w:t xml:space="preserve"> carve</w:t>
      </w:r>
      <w:r w:rsidR="005A72D8" w:rsidRPr="00E440BE">
        <w:rPr>
          <w:rFonts w:ascii="Arial" w:hAnsi="Arial" w:cs="Arial"/>
          <w:color w:val="08122C"/>
          <w:shd w:val="clear" w:color="auto" w:fill="FFFFFF"/>
          <w:lang/>
        </w:rPr>
        <w:t>s</w:t>
      </w:r>
      <w:r w:rsidR="001D5C7A" w:rsidRPr="00E440BE">
        <w:rPr>
          <w:rFonts w:ascii="Arial" w:hAnsi="Arial" w:cs="Arial"/>
          <w:color w:val="08122C"/>
          <w:shd w:val="clear" w:color="auto" w:fill="FFFFFF"/>
        </w:rPr>
        <w:t xml:space="preserve"> out </w:t>
      </w:r>
      <w:r w:rsidR="005A72D8" w:rsidRPr="00E440BE">
        <w:rPr>
          <w:rFonts w:ascii="Arial" w:hAnsi="Arial" w:cs="Arial"/>
          <w:color w:val="08122C"/>
          <w:shd w:val="clear" w:color="auto" w:fill="FFFFFF"/>
          <w:lang/>
        </w:rPr>
        <w:t xml:space="preserve">the </w:t>
      </w:r>
      <w:r w:rsidR="001D5C7A" w:rsidRPr="00E440BE">
        <w:rPr>
          <w:rFonts w:ascii="Arial" w:hAnsi="Arial" w:cs="Arial"/>
          <w:color w:val="08122C"/>
          <w:shd w:val="clear" w:color="auto" w:fill="FFFFFF"/>
        </w:rPr>
        <w:t xml:space="preserve">enforcement </w:t>
      </w:r>
      <w:r w:rsidR="007F0AC2" w:rsidRPr="00E440BE">
        <w:rPr>
          <w:rFonts w:ascii="Arial" w:hAnsi="Arial" w:cs="Arial"/>
          <w:color w:val="08122C"/>
          <w:shd w:val="clear" w:color="auto" w:fill="FFFFFF"/>
        </w:rPr>
        <w:t>of</w:t>
      </w:r>
      <w:r w:rsidR="001D5C7A" w:rsidRPr="00E440BE">
        <w:rPr>
          <w:rFonts w:ascii="Arial" w:hAnsi="Arial" w:cs="Arial"/>
          <w:color w:val="08122C"/>
          <w:shd w:val="clear" w:color="auto" w:fill="FFFFFF"/>
        </w:rPr>
        <w:t xml:space="preserve"> security</w:t>
      </w:r>
      <w:r w:rsidR="006831B1" w:rsidRPr="00E440BE">
        <w:rPr>
          <w:rFonts w:ascii="Arial" w:hAnsi="Arial" w:cs="Arial"/>
          <w:color w:val="08122C"/>
          <w:shd w:val="clear" w:color="auto" w:fill="FFFFFF"/>
        </w:rPr>
        <w:t xml:space="preserve"> </w:t>
      </w:r>
      <w:r w:rsidR="005A72D8" w:rsidRPr="00E440BE">
        <w:rPr>
          <w:rFonts w:ascii="Arial" w:hAnsi="Arial" w:cs="Arial"/>
          <w:color w:val="08122C"/>
          <w:shd w:val="clear" w:color="auto" w:fill="FFFFFF"/>
          <w:lang/>
        </w:rPr>
        <w:t xml:space="preserve">rights </w:t>
      </w:r>
      <w:r w:rsidR="006831B1" w:rsidRPr="00E440BE">
        <w:rPr>
          <w:rFonts w:ascii="Arial" w:hAnsi="Arial" w:cs="Arial"/>
          <w:color w:val="08122C"/>
          <w:shd w:val="clear" w:color="auto" w:fill="FFFFFF"/>
        </w:rPr>
        <w:t>(section 91H of the CA).</w:t>
      </w:r>
    </w:p>
    <w:p w14:paraId="7AD70E9F" w14:textId="33BC755A" w:rsidR="00EF29E7" w:rsidRPr="00E440BE" w:rsidRDefault="006831B1" w:rsidP="00FC5510">
      <w:pPr>
        <w:spacing w:after="0" w:line="240" w:lineRule="auto"/>
        <w:jc w:val="both"/>
        <w:rPr>
          <w:rFonts w:ascii="Arial" w:hAnsi="Arial" w:cs="Arial"/>
          <w:color w:val="08122C"/>
          <w:shd w:val="clear" w:color="auto" w:fill="FFFFFF"/>
        </w:rPr>
      </w:pPr>
      <w:r w:rsidRPr="00E440BE">
        <w:rPr>
          <w:rFonts w:ascii="Arial" w:hAnsi="Arial" w:cs="Arial"/>
          <w:color w:val="08122C"/>
          <w:shd w:val="clear" w:color="auto" w:fill="FFFFFF"/>
        </w:rPr>
        <w:br/>
      </w:r>
      <w:r w:rsidR="007F0AC2" w:rsidRPr="00E440BE">
        <w:rPr>
          <w:rFonts w:ascii="Arial" w:hAnsi="Arial" w:cs="Arial"/>
          <w:color w:val="08122C"/>
          <w:shd w:val="clear" w:color="auto" w:fill="FFFFFF"/>
        </w:rPr>
        <w:t>I</w:t>
      </w:r>
      <w:r w:rsidRPr="00E440BE">
        <w:rPr>
          <w:rFonts w:ascii="Arial" w:hAnsi="Arial" w:cs="Arial"/>
          <w:color w:val="08122C"/>
          <w:shd w:val="clear" w:color="auto" w:fill="FFFFFF"/>
        </w:rPr>
        <w:t xml:space="preserve">n circumstances where much of the Group’s assets were pledged, a formal moratorium (at least one obtained in Cayman) would </w:t>
      </w:r>
      <w:r w:rsidR="00545778" w:rsidRPr="00E440BE">
        <w:rPr>
          <w:rFonts w:ascii="Arial" w:hAnsi="Arial" w:cs="Arial"/>
          <w:color w:val="08122C"/>
          <w:shd w:val="clear" w:color="auto" w:fill="FFFFFF"/>
        </w:rPr>
        <w:t xml:space="preserve">therefore </w:t>
      </w:r>
      <w:r w:rsidRPr="00E440BE">
        <w:rPr>
          <w:rFonts w:ascii="Arial" w:hAnsi="Arial" w:cs="Arial"/>
          <w:color w:val="08122C"/>
          <w:shd w:val="clear" w:color="auto" w:fill="FFFFFF"/>
        </w:rPr>
        <w:t>have little to no value</w:t>
      </w:r>
      <w:r w:rsidR="00545778" w:rsidRPr="00E440BE">
        <w:rPr>
          <w:rFonts w:ascii="Arial" w:hAnsi="Arial" w:cs="Arial"/>
          <w:color w:val="08122C"/>
          <w:shd w:val="clear" w:color="auto" w:fill="FFFFFF"/>
        </w:rPr>
        <w:t>,</w:t>
      </w:r>
      <w:r w:rsidR="005E5DFD" w:rsidRPr="00E440BE">
        <w:rPr>
          <w:rFonts w:ascii="Arial" w:hAnsi="Arial" w:cs="Arial"/>
          <w:color w:val="08122C"/>
          <w:shd w:val="clear" w:color="auto" w:fill="FFFFFF"/>
        </w:rPr>
        <w:t xml:space="preserve"> whether in 2014 or if the same scenario </w:t>
      </w:r>
      <w:r w:rsidR="002D08C7" w:rsidRPr="00E440BE">
        <w:rPr>
          <w:rFonts w:ascii="Arial" w:hAnsi="Arial" w:cs="Arial"/>
          <w:color w:val="08122C"/>
          <w:shd w:val="clear" w:color="auto" w:fill="FFFFFF"/>
        </w:rPr>
        <w:t>existed today</w:t>
      </w:r>
      <w:r w:rsidRPr="00E440BE">
        <w:rPr>
          <w:rFonts w:ascii="Arial" w:hAnsi="Arial" w:cs="Arial"/>
          <w:color w:val="08122C"/>
          <w:shd w:val="clear" w:color="auto" w:fill="FFFFFF"/>
        </w:rPr>
        <w:t>.</w:t>
      </w:r>
    </w:p>
    <w:p w14:paraId="3E543AD3" w14:textId="77777777" w:rsidR="0025490A" w:rsidRPr="00E440BE" w:rsidRDefault="0025490A" w:rsidP="00FC5510">
      <w:pPr>
        <w:spacing w:after="0" w:line="240" w:lineRule="auto"/>
        <w:jc w:val="both"/>
        <w:rPr>
          <w:rFonts w:ascii="Arial" w:hAnsi="Arial" w:cs="Arial"/>
          <w:color w:val="08122C"/>
          <w:shd w:val="clear" w:color="auto" w:fill="FFFFFF"/>
        </w:rPr>
      </w:pPr>
    </w:p>
    <w:p w14:paraId="7963F16F" w14:textId="7A415711" w:rsidR="0025490A" w:rsidRPr="00E440BE" w:rsidRDefault="0025490A" w:rsidP="00FC5510">
      <w:pPr>
        <w:spacing w:after="0" w:line="240" w:lineRule="auto"/>
        <w:jc w:val="both"/>
        <w:rPr>
          <w:rFonts w:ascii="Arial" w:hAnsi="Arial" w:cs="Arial"/>
          <w:color w:val="08122C"/>
          <w:shd w:val="clear" w:color="auto" w:fill="FFFFFF"/>
        </w:rPr>
      </w:pPr>
      <w:r w:rsidRPr="00E440BE">
        <w:rPr>
          <w:rFonts w:ascii="Arial" w:hAnsi="Arial" w:cs="Arial"/>
          <w:color w:val="08122C"/>
          <w:shd w:val="clear" w:color="auto" w:fill="FFFFFF"/>
        </w:rPr>
        <w:t xml:space="preserve">Even if </w:t>
      </w:r>
      <w:r w:rsidR="006932D8" w:rsidRPr="00E440BE">
        <w:rPr>
          <w:rFonts w:ascii="Arial" w:hAnsi="Arial" w:cs="Arial"/>
          <w:color w:val="08122C"/>
          <w:shd w:val="clear" w:color="auto" w:fill="FFFFFF"/>
        </w:rPr>
        <w:t xml:space="preserve">the security was found to be unenforceable, a moratorium which </w:t>
      </w:r>
      <w:r w:rsidR="00015C01" w:rsidRPr="00E440BE">
        <w:rPr>
          <w:rFonts w:ascii="Arial" w:hAnsi="Arial" w:cs="Arial"/>
          <w:color w:val="08122C"/>
          <w:shd w:val="clear" w:color="auto" w:fill="FFFFFF"/>
        </w:rPr>
        <w:t xml:space="preserve">could only be obtained following commencement of formal insolvency proceedings </w:t>
      </w:r>
      <w:r w:rsidR="00545778" w:rsidRPr="00E440BE">
        <w:rPr>
          <w:rFonts w:ascii="Arial" w:hAnsi="Arial" w:cs="Arial"/>
          <w:color w:val="08122C"/>
          <w:shd w:val="clear" w:color="auto" w:fill="FFFFFF"/>
        </w:rPr>
        <w:t>(as was the case in 2014) wa</w:t>
      </w:r>
      <w:r w:rsidR="00015C01" w:rsidRPr="00E440BE">
        <w:rPr>
          <w:rFonts w:ascii="Arial" w:hAnsi="Arial" w:cs="Arial"/>
          <w:color w:val="08122C"/>
          <w:shd w:val="clear" w:color="auto" w:fill="FFFFFF"/>
        </w:rPr>
        <w:t>s likely to be of little value to a company that want</w:t>
      </w:r>
      <w:r w:rsidR="00022ABB" w:rsidRPr="00E440BE">
        <w:rPr>
          <w:rFonts w:ascii="Arial" w:hAnsi="Arial" w:cs="Arial"/>
          <w:color w:val="08122C"/>
          <w:shd w:val="clear" w:color="auto" w:fill="FFFFFF"/>
        </w:rPr>
        <w:t>ed</w:t>
      </w:r>
      <w:r w:rsidR="00015C01" w:rsidRPr="00E440BE">
        <w:rPr>
          <w:rFonts w:ascii="Arial" w:hAnsi="Arial" w:cs="Arial"/>
          <w:color w:val="08122C"/>
          <w:shd w:val="clear" w:color="auto" w:fill="FFFFFF"/>
        </w:rPr>
        <w:t xml:space="preserve"> to </w:t>
      </w:r>
      <w:proofErr w:type="gramStart"/>
      <w:r w:rsidR="00015C01" w:rsidRPr="00E440BE">
        <w:rPr>
          <w:rFonts w:ascii="Arial" w:hAnsi="Arial" w:cs="Arial"/>
          <w:color w:val="08122C"/>
          <w:shd w:val="clear" w:color="auto" w:fill="FFFFFF"/>
        </w:rPr>
        <w:t>effect</w:t>
      </w:r>
      <w:proofErr w:type="gramEnd"/>
      <w:r w:rsidR="00015C01" w:rsidRPr="00E440BE">
        <w:rPr>
          <w:rFonts w:ascii="Arial" w:hAnsi="Arial" w:cs="Arial"/>
          <w:color w:val="08122C"/>
          <w:shd w:val="clear" w:color="auto" w:fill="FFFFFF"/>
        </w:rPr>
        <w:t xml:space="preserve"> a sale in a “controlled” manner, </w:t>
      </w:r>
      <w:r w:rsidR="008B4927" w:rsidRPr="00E440BE">
        <w:rPr>
          <w:rFonts w:ascii="Arial" w:hAnsi="Arial" w:cs="Arial"/>
          <w:color w:val="08122C"/>
          <w:shd w:val="clear" w:color="auto" w:fill="FFFFFF"/>
        </w:rPr>
        <w:t xml:space="preserve">as the commencement of the winding up proceedings </w:t>
      </w:r>
      <w:r w:rsidR="00022ABB" w:rsidRPr="00E440BE">
        <w:rPr>
          <w:rFonts w:ascii="Arial" w:hAnsi="Arial" w:cs="Arial"/>
          <w:color w:val="08122C"/>
          <w:shd w:val="clear" w:color="auto" w:fill="FFFFFF"/>
        </w:rPr>
        <w:t>would</w:t>
      </w:r>
      <w:r w:rsidR="008B4927" w:rsidRPr="00E440BE">
        <w:rPr>
          <w:rFonts w:ascii="Arial" w:hAnsi="Arial" w:cs="Arial"/>
          <w:color w:val="08122C"/>
          <w:shd w:val="clear" w:color="auto" w:fill="FFFFFF"/>
        </w:rPr>
        <w:t xml:space="preserve"> likely </w:t>
      </w:r>
      <w:r w:rsidR="00022ABB" w:rsidRPr="00E440BE">
        <w:rPr>
          <w:rFonts w:ascii="Arial" w:hAnsi="Arial" w:cs="Arial"/>
          <w:color w:val="08122C"/>
          <w:shd w:val="clear" w:color="auto" w:fill="FFFFFF"/>
        </w:rPr>
        <w:t>have been</w:t>
      </w:r>
      <w:r w:rsidR="008B4927" w:rsidRPr="00E440BE">
        <w:rPr>
          <w:rFonts w:ascii="Arial" w:hAnsi="Arial" w:cs="Arial"/>
          <w:color w:val="08122C"/>
          <w:shd w:val="clear" w:color="auto" w:fill="FFFFFF"/>
        </w:rPr>
        <w:t xml:space="preserve"> value destructive.</w:t>
      </w:r>
    </w:p>
    <w:p w14:paraId="66F46A0D" w14:textId="0D990830" w:rsidR="0091071F" w:rsidRPr="00E440BE" w:rsidRDefault="0091071F" w:rsidP="00FC5510">
      <w:pPr>
        <w:spacing w:after="0" w:line="240" w:lineRule="auto"/>
        <w:jc w:val="both"/>
        <w:rPr>
          <w:rFonts w:ascii="Arial" w:hAnsi="Arial" w:cs="Arial"/>
        </w:rPr>
      </w:pPr>
    </w:p>
    <w:p w14:paraId="73B2DDB4" w14:textId="30E43366" w:rsidR="005E5DFD" w:rsidRPr="00E440BE" w:rsidRDefault="005E5DFD" w:rsidP="00FC5510">
      <w:pPr>
        <w:spacing w:after="0" w:line="240" w:lineRule="auto"/>
        <w:jc w:val="both"/>
        <w:rPr>
          <w:rFonts w:ascii="Arial" w:hAnsi="Arial" w:cs="Arial"/>
          <w:b/>
          <w:bCs/>
        </w:rPr>
      </w:pPr>
      <w:r w:rsidRPr="00E440BE">
        <w:rPr>
          <w:rFonts w:ascii="Arial" w:hAnsi="Arial" w:cs="Arial"/>
          <w:b/>
          <w:bCs/>
        </w:rPr>
        <w:t>Recent developments</w:t>
      </w:r>
      <w:r w:rsidR="007B7BF4" w:rsidRPr="00E440BE">
        <w:rPr>
          <w:rFonts w:ascii="Arial" w:hAnsi="Arial" w:cs="Arial"/>
          <w:b/>
          <w:bCs/>
        </w:rPr>
        <w:t xml:space="preserve"> in other jurisdictions</w:t>
      </w:r>
      <w:r w:rsidR="00BD3EF8" w:rsidRPr="00E440BE">
        <w:rPr>
          <w:rStyle w:val="FootnoteReference"/>
          <w:rFonts w:ascii="Arial" w:hAnsi="Arial" w:cs="Arial"/>
        </w:rPr>
        <w:footnoteReference w:id="40"/>
      </w:r>
    </w:p>
    <w:p w14:paraId="2B2701C8" w14:textId="77777777" w:rsidR="005E5DFD" w:rsidRPr="00E440BE" w:rsidRDefault="005E5DFD" w:rsidP="00FC5510">
      <w:pPr>
        <w:spacing w:after="0" w:line="240" w:lineRule="auto"/>
        <w:jc w:val="both"/>
        <w:rPr>
          <w:rFonts w:ascii="Arial" w:hAnsi="Arial" w:cs="Arial"/>
        </w:rPr>
      </w:pPr>
    </w:p>
    <w:p w14:paraId="3A205E11" w14:textId="06D634CC" w:rsidR="002D08C7" w:rsidRPr="00E440BE" w:rsidRDefault="00BF1E31" w:rsidP="00FC5510">
      <w:pPr>
        <w:spacing w:after="0" w:line="240" w:lineRule="auto"/>
        <w:jc w:val="both"/>
        <w:rPr>
          <w:rFonts w:ascii="Arial" w:hAnsi="Arial" w:cs="Arial"/>
        </w:rPr>
      </w:pPr>
      <w:r w:rsidRPr="00E440BE">
        <w:rPr>
          <w:rFonts w:ascii="Arial" w:hAnsi="Arial" w:cs="Arial"/>
        </w:rPr>
        <w:t xml:space="preserve">In the context of </w:t>
      </w:r>
      <w:r w:rsidR="00FA5474" w:rsidRPr="00E440BE">
        <w:rPr>
          <w:rFonts w:ascii="Arial" w:hAnsi="Arial" w:cs="Arial"/>
        </w:rPr>
        <w:t xml:space="preserve">the Company, a Dutch company, it is worth mentioning the </w:t>
      </w:r>
      <w:r w:rsidR="002E07D4" w:rsidRPr="00E440BE">
        <w:rPr>
          <w:rFonts w:ascii="Arial" w:hAnsi="Arial" w:cs="Arial"/>
        </w:rPr>
        <w:t xml:space="preserve">“de Wet </w:t>
      </w:r>
      <w:proofErr w:type="spellStart"/>
      <w:r w:rsidR="002E07D4" w:rsidRPr="00E440BE">
        <w:rPr>
          <w:rFonts w:ascii="Arial" w:hAnsi="Arial" w:cs="Arial"/>
        </w:rPr>
        <w:t>homologatie</w:t>
      </w:r>
      <w:proofErr w:type="spellEnd"/>
      <w:r w:rsidR="002E07D4" w:rsidRPr="00E440BE">
        <w:rPr>
          <w:rFonts w:ascii="Arial" w:hAnsi="Arial" w:cs="Arial"/>
        </w:rPr>
        <w:t xml:space="preserve"> </w:t>
      </w:r>
      <w:proofErr w:type="spellStart"/>
      <w:r w:rsidR="002E07D4" w:rsidRPr="00E440BE">
        <w:rPr>
          <w:rFonts w:ascii="Arial" w:hAnsi="Arial" w:cs="Arial"/>
        </w:rPr>
        <w:t>onderhands</w:t>
      </w:r>
      <w:proofErr w:type="spellEnd"/>
      <w:r w:rsidR="002E07D4" w:rsidRPr="00E440BE">
        <w:rPr>
          <w:rFonts w:ascii="Arial" w:hAnsi="Arial" w:cs="Arial"/>
        </w:rPr>
        <w:t xml:space="preserve"> </w:t>
      </w:r>
      <w:proofErr w:type="spellStart"/>
      <w:r w:rsidR="002E07D4" w:rsidRPr="00E440BE">
        <w:rPr>
          <w:rFonts w:ascii="Arial" w:hAnsi="Arial" w:cs="Arial"/>
        </w:rPr>
        <w:t>akkoord</w:t>
      </w:r>
      <w:proofErr w:type="spellEnd"/>
      <w:r w:rsidR="002E07D4" w:rsidRPr="00E440BE">
        <w:rPr>
          <w:rFonts w:ascii="Arial" w:hAnsi="Arial" w:cs="Arial"/>
        </w:rPr>
        <w:t xml:space="preserve"> </w:t>
      </w:r>
      <w:proofErr w:type="spellStart"/>
      <w:r w:rsidR="002E07D4" w:rsidRPr="00E440BE">
        <w:rPr>
          <w:rFonts w:ascii="Arial" w:hAnsi="Arial" w:cs="Arial"/>
        </w:rPr>
        <w:t>ter</w:t>
      </w:r>
      <w:proofErr w:type="spellEnd"/>
      <w:r w:rsidR="002E07D4" w:rsidRPr="00E440BE">
        <w:rPr>
          <w:rFonts w:ascii="Arial" w:hAnsi="Arial" w:cs="Arial"/>
        </w:rPr>
        <w:t xml:space="preserve"> </w:t>
      </w:r>
      <w:proofErr w:type="spellStart"/>
      <w:r w:rsidR="002E07D4" w:rsidRPr="00E440BE">
        <w:rPr>
          <w:rFonts w:ascii="Arial" w:hAnsi="Arial" w:cs="Arial"/>
        </w:rPr>
        <w:t>voorkoming</w:t>
      </w:r>
      <w:proofErr w:type="spellEnd"/>
      <w:r w:rsidR="002E07D4" w:rsidRPr="00E440BE">
        <w:rPr>
          <w:rFonts w:ascii="Arial" w:hAnsi="Arial" w:cs="Arial"/>
        </w:rPr>
        <w:t xml:space="preserve"> van </w:t>
      </w:r>
      <w:proofErr w:type="spellStart"/>
      <w:r w:rsidR="002E07D4" w:rsidRPr="00E440BE">
        <w:rPr>
          <w:rFonts w:ascii="Arial" w:hAnsi="Arial" w:cs="Arial"/>
        </w:rPr>
        <w:t>faillissement</w:t>
      </w:r>
      <w:proofErr w:type="spellEnd"/>
      <w:r w:rsidR="002E07D4" w:rsidRPr="00E440BE">
        <w:rPr>
          <w:rFonts w:ascii="Arial" w:hAnsi="Arial" w:cs="Arial"/>
        </w:rPr>
        <w:t>” (</w:t>
      </w:r>
      <w:proofErr w:type="gramStart"/>
      <w:r w:rsidR="002E07D4" w:rsidRPr="00E440BE">
        <w:rPr>
          <w:rFonts w:ascii="Arial" w:hAnsi="Arial" w:cs="Arial"/>
        </w:rPr>
        <w:t>or,</w:t>
      </w:r>
      <w:proofErr w:type="gramEnd"/>
      <w:r w:rsidR="002E07D4" w:rsidRPr="00E440BE">
        <w:rPr>
          <w:rFonts w:ascii="Arial" w:hAnsi="Arial" w:cs="Arial"/>
        </w:rPr>
        <w:t xml:space="preserve"> the </w:t>
      </w:r>
      <w:r w:rsidR="002E07D4" w:rsidRPr="00E440BE">
        <w:rPr>
          <w:rFonts w:ascii="Arial" w:hAnsi="Arial" w:cs="Arial"/>
          <w:b/>
          <w:bCs/>
        </w:rPr>
        <w:t>WHOA</w:t>
      </w:r>
      <w:r w:rsidR="002E07D4" w:rsidRPr="00E440BE">
        <w:rPr>
          <w:rFonts w:ascii="Arial" w:hAnsi="Arial" w:cs="Arial"/>
        </w:rPr>
        <w:t xml:space="preserve">). The WHOA </w:t>
      </w:r>
      <w:r w:rsidR="00787493" w:rsidRPr="00E440BE">
        <w:rPr>
          <w:rFonts w:ascii="Arial" w:hAnsi="Arial" w:cs="Arial"/>
        </w:rPr>
        <w:t>is</w:t>
      </w:r>
      <w:r w:rsidR="002E07D4" w:rsidRPr="00E440BE">
        <w:rPr>
          <w:rFonts w:ascii="Arial" w:hAnsi="Arial" w:cs="Arial"/>
        </w:rPr>
        <w:t xml:space="preserve"> a scheme that came into force on 1 January 2021 which </w:t>
      </w:r>
      <w:r w:rsidR="009B3993" w:rsidRPr="00E440BE">
        <w:rPr>
          <w:rFonts w:ascii="Arial" w:hAnsi="Arial" w:cs="Arial"/>
        </w:rPr>
        <w:t>provides a mechanism for the Dutch court to sanction “private compositions to avoid bankruptcy</w:t>
      </w:r>
      <w:r w:rsidR="00787493" w:rsidRPr="00E440BE">
        <w:rPr>
          <w:rFonts w:ascii="Arial" w:hAnsi="Arial" w:cs="Arial"/>
        </w:rPr>
        <w:t>.</w:t>
      </w:r>
      <w:r w:rsidR="009B3993" w:rsidRPr="00E440BE">
        <w:rPr>
          <w:rFonts w:ascii="Arial" w:hAnsi="Arial" w:cs="Arial"/>
        </w:rPr>
        <w:t>”</w:t>
      </w:r>
      <w:r w:rsidR="003B4625" w:rsidRPr="00E440BE">
        <w:rPr>
          <w:rFonts w:ascii="Arial" w:hAnsi="Arial" w:cs="Arial"/>
        </w:rPr>
        <w:t xml:space="preserve"> It does not provide for an automatic moratorium, but a company </w:t>
      </w:r>
      <w:r w:rsidR="00381B93" w:rsidRPr="00E440BE">
        <w:rPr>
          <w:rFonts w:ascii="Arial" w:hAnsi="Arial" w:cs="Arial"/>
        </w:rPr>
        <w:t xml:space="preserve">may request the court to grant a moratorium against individual enforcement actions by creditors, including filings for involuntary bankruptcy or for a suspension of payments, for a maximum period of four months (with a possibility to extend for another four months). The court will grant a moratorium if it </w:t>
      </w:r>
      <w:r w:rsidR="00381B93" w:rsidRPr="00E440BE">
        <w:rPr>
          <w:rFonts w:ascii="Arial" w:hAnsi="Arial" w:cs="Arial"/>
          <w:i/>
          <w:iCs/>
        </w:rPr>
        <w:t>prima facie</w:t>
      </w:r>
      <w:r w:rsidR="00381B93" w:rsidRPr="00E440BE">
        <w:rPr>
          <w:rFonts w:ascii="Arial" w:hAnsi="Arial" w:cs="Arial"/>
        </w:rPr>
        <w:t xml:space="preserve"> appears that: </w:t>
      </w:r>
      <w:r w:rsidR="00AF24FF" w:rsidRPr="00E440BE">
        <w:rPr>
          <w:rFonts w:ascii="Arial" w:hAnsi="Arial" w:cs="Arial"/>
        </w:rPr>
        <w:t xml:space="preserve">(a) </w:t>
      </w:r>
      <w:r w:rsidR="00381B93" w:rsidRPr="00E440BE">
        <w:rPr>
          <w:rFonts w:ascii="Arial" w:hAnsi="Arial" w:cs="Arial"/>
        </w:rPr>
        <w:t>the moratorium is necessary for the continuation of the business of the company during the preparation of and the negotiations in relation with the composition</w:t>
      </w:r>
      <w:r w:rsidR="006D04BA" w:rsidRPr="00E440BE">
        <w:rPr>
          <w:rFonts w:ascii="Arial" w:hAnsi="Arial" w:cs="Arial"/>
        </w:rPr>
        <w:t xml:space="preserve">; </w:t>
      </w:r>
      <w:r w:rsidR="00AF24FF" w:rsidRPr="00E440BE">
        <w:rPr>
          <w:rFonts w:ascii="Arial" w:hAnsi="Arial" w:cs="Arial"/>
        </w:rPr>
        <w:t>(b)</w:t>
      </w:r>
      <w:r w:rsidR="006D04BA" w:rsidRPr="00E440BE">
        <w:rPr>
          <w:rFonts w:ascii="Arial" w:hAnsi="Arial" w:cs="Arial"/>
        </w:rPr>
        <w:t xml:space="preserve"> the moratorium is within the joint interest of the creditors of the company; </w:t>
      </w:r>
      <w:r w:rsidR="006D04BA" w:rsidRPr="00E440BE">
        <w:rPr>
          <w:rFonts w:ascii="Arial" w:hAnsi="Arial" w:cs="Arial"/>
          <w:u w:val="single"/>
        </w:rPr>
        <w:t>and</w:t>
      </w:r>
      <w:r w:rsidR="006D04BA" w:rsidRPr="00E440BE">
        <w:rPr>
          <w:rFonts w:ascii="Arial" w:hAnsi="Arial" w:cs="Arial"/>
        </w:rPr>
        <w:t xml:space="preserve"> </w:t>
      </w:r>
      <w:r w:rsidR="00AF24FF" w:rsidRPr="00E440BE">
        <w:rPr>
          <w:rFonts w:ascii="Arial" w:hAnsi="Arial" w:cs="Arial"/>
        </w:rPr>
        <w:t>(c)</w:t>
      </w:r>
      <w:r w:rsidR="006D04BA" w:rsidRPr="00E440BE">
        <w:rPr>
          <w:rFonts w:ascii="Arial" w:hAnsi="Arial" w:cs="Arial"/>
        </w:rPr>
        <w:t xml:space="preserve"> the moratorium is not materially detrimental to the interests of any of the creditors whose interests are affected by the moratorium. It is possible for the Dutch court to attach conditions to the moratorium.</w:t>
      </w:r>
    </w:p>
    <w:p w14:paraId="6E65795B" w14:textId="77777777" w:rsidR="00D529B6" w:rsidRPr="00E440BE" w:rsidRDefault="00D529B6" w:rsidP="00FC5510">
      <w:pPr>
        <w:spacing w:after="0" w:line="240" w:lineRule="auto"/>
        <w:jc w:val="both"/>
        <w:rPr>
          <w:rFonts w:ascii="Arial" w:hAnsi="Arial" w:cs="Arial"/>
        </w:rPr>
      </w:pPr>
    </w:p>
    <w:p w14:paraId="4303419C" w14:textId="0886EEF3" w:rsidR="00D529B6" w:rsidRPr="00E440BE" w:rsidRDefault="00D529B6" w:rsidP="00FC5510">
      <w:pPr>
        <w:spacing w:after="0" w:line="240" w:lineRule="auto"/>
        <w:jc w:val="both"/>
        <w:rPr>
          <w:rFonts w:ascii="Arial" w:hAnsi="Arial" w:cs="Arial"/>
        </w:rPr>
      </w:pPr>
      <w:r w:rsidRPr="00E440BE">
        <w:rPr>
          <w:rFonts w:ascii="Arial" w:hAnsi="Arial" w:cs="Arial"/>
        </w:rPr>
        <w:t xml:space="preserve">The Netherlands were not alone in implementing such reforms in the wake of COVID. </w:t>
      </w:r>
      <w:r w:rsidR="00BD3EF8" w:rsidRPr="00E440BE">
        <w:rPr>
          <w:rFonts w:ascii="Arial" w:hAnsi="Arial" w:cs="Arial"/>
        </w:rPr>
        <w:t xml:space="preserve">Following the amendments to the EU Directive on restructuring and insolvency, some </w:t>
      </w:r>
      <w:r w:rsidR="00EA4336" w:rsidRPr="00E440BE">
        <w:rPr>
          <w:rFonts w:ascii="Arial" w:hAnsi="Arial" w:cs="Arial"/>
        </w:rPr>
        <w:t xml:space="preserve">member states (and </w:t>
      </w:r>
      <w:r w:rsidR="00D76972" w:rsidRPr="00E440BE">
        <w:rPr>
          <w:rFonts w:ascii="Arial" w:hAnsi="Arial" w:cs="Arial"/>
        </w:rPr>
        <w:t>the United Kingdom</w:t>
      </w:r>
      <w:r w:rsidR="00EA4336" w:rsidRPr="00E440BE">
        <w:rPr>
          <w:rFonts w:ascii="Arial" w:hAnsi="Arial" w:cs="Arial"/>
        </w:rPr>
        <w:t xml:space="preserve">) have adopted </w:t>
      </w:r>
      <w:r w:rsidR="00D76972" w:rsidRPr="00E440BE">
        <w:rPr>
          <w:rFonts w:ascii="Arial" w:hAnsi="Arial" w:cs="Arial"/>
        </w:rPr>
        <w:t>new norms on moratoria.</w:t>
      </w:r>
    </w:p>
    <w:p w14:paraId="4B11983F" w14:textId="77777777" w:rsidR="006D04BA" w:rsidRDefault="006D04BA" w:rsidP="00FC5510">
      <w:pPr>
        <w:spacing w:after="0" w:line="240" w:lineRule="auto"/>
        <w:jc w:val="both"/>
        <w:rPr>
          <w:rFonts w:ascii="Arial" w:hAnsi="Arial" w:cs="Arial"/>
        </w:rPr>
      </w:pPr>
    </w:p>
    <w:p w14:paraId="34718608" w14:textId="77777777" w:rsidR="00BB3B92" w:rsidRDefault="00BB3B92" w:rsidP="00FC5510">
      <w:pPr>
        <w:spacing w:after="0" w:line="240" w:lineRule="auto"/>
        <w:jc w:val="both"/>
        <w:rPr>
          <w:rFonts w:ascii="Arial" w:hAnsi="Arial" w:cs="Arial"/>
        </w:rPr>
      </w:pPr>
    </w:p>
    <w:p w14:paraId="7AC032B4" w14:textId="4DE16C1C" w:rsidR="00BB3B92" w:rsidRPr="00BB3B92" w:rsidRDefault="00BB3B92" w:rsidP="00BB3B92">
      <w:pPr>
        <w:spacing w:after="0" w:line="240" w:lineRule="auto"/>
        <w:jc w:val="center"/>
        <w:rPr>
          <w:rFonts w:ascii="Arial" w:hAnsi="Arial" w:cs="Arial"/>
          <w:b/>
          <w:bCs/>
          <w:lang/>
        </w:rPr>
      </w:pPr>
      <w:r w:rsidRPr="00BB3B92">
        <w:rPr>
          <w:rFonts w:ascii="Arial" w:hAnsi="Arial" w:cs="Arial"/>
          <w:b/>
          <w:bCs/>
          <w:lang/>
        </w:rPr>
        <w:t>***** END *****</w:t>
      </w:r>
    </w:p>
    <w:sectPr w:rsidR="00BB3B92" w:rsidRPr="00BB3B92" w:rsidSect="0055086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43C60" w14:textId="77777777" w:rsidR="00B43268" w:rsidRDefault="00B43268" w:rsidP="00FC7909">
      <w:pPr>
        <w:spacing w:after="0" w:line="240" w:lineRule="auto"/>
      </w:pPr>
      <w:r>
        <w:separator/>
      </w:r>
    </w:p>
  </w:endnote>
  <w:endnote w:type="continuationSeparator" w:id="0">
    <w:p w14:paraId="2D21CD11" w14:textId="77777777" w:rsidR="00B43268" w:rsidRDefault="00B43268" w:rsidP="00FC7909">
      <w:pPr>
        <w:spacing w:after="0" w:line="240" w:lineRule="auto"/>
      </w:pPr>
      <w:r>
        <w:continuationSeparator/>
      </w:r>
    </w:p>
  </w:endnote>
  <w:endnote w:type="continuationNotice" w:id="1">
    <w:p w14:paraId="0AC72684" w14:textId="77777777" w:rsidR="00B43268" w:rsidRDefault="00B432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800059904"/>
      <w:docPartObj>
        <w:docPartGallery w:val="Page Numbers (Bottom of Page)"/>
        <w:docPartUnique/>
      </w:docPartObj>
    </w:sdtPr>
    <w:sdtEndPr>
      <w:rPr>
        <w:noProof/>
      </w:rPr>
    </w:sdtEndPr>
    <w:sdtContent>
      <w:p w14:paraId="47965691" w14:textId="0EB79013" w:rsidR="00624195" w:rsidRPr="00624195" w:rsidRDefault="00624195" w:rsidP="00624195">
        <w:pPr>
          <w:pStyle w:val="Footer"/>
          <w:jc w:val="center"/>
          <w:rPr>
            <w:rFonts w:ascii="Arial" w:hAnsi="Arial" w:cs="Arial"/>
          </w:rPr>
        </w:pPr>
        <w:r w:rsidRPr="00624195">
          <w:rPr>
            <w:rFonts w:ascii="Arial" w:hAnsi="Arial" w:cs="Arial"/>
          </w:rPr>
          <w:fldChar w:fldCharType="begin"/>
        </w:r>
        <w:r w:rsidRPr="00624195">
          <w:rPr>
            <w:rFonts w:ascii="Arial" w:hAnsi="Arial" w:cs="Arial"/>
          </w:rPr>
          <w:instrText xml:space="preserve"> PAGE   \* MERGEFORMAT </w:instrText>
        </w:r>
        <w:r w:rsidRPr="00624195">
          <w:rPr>
            <w:rFonts w:ascii="Arial" w:hAnsi="Arial" w:cs="Arial"/>
          </w:rPr>
          <w:fldChar w:fldCharType="separate"/>
        </w:r>
        <w:r w:rsidRPr="00624195">
          <w:rPr>
            <w:rFonts w:ascii="Arial" w:hAnsi="Arial" w:cs="Arial"/>
            <w:noProof/>
          </w:rPr>
          <w:t>2</w:t>
        </w:r>
        <w:r w:rsidRPr="00624195">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73D8F" w14:textId="77777777" w:rsidR="00B43268" w:rsidRDefault="00B43268" w:rsidP="00FC7909">
      <w:pPr>
        <w:spacing w:after="0" w:line="240" w:lineRule="auto"/>
      </w:pPr>
      <w:r>
        <w:separator/>
      </w:r>
    </w:p>
  </w:footnote>
  <w:footnote w:type="continuationSeparator" w:id="0">
    <w:p w14:paraId="1A06AE0F" w14:textId="77777777" w:rsidR="00B43268" w:rsidRDefault="00B43268" w:rsidP="00FC7909">
      <w:pPr>
        <w:spacing w:after="0" w:line="240" w:lineRule="auto"/>
      </w:pPr>
      <w:r>
        <w:continuationSeparator/>
      </w:r>
    </w:p>
  </w:footnote>
  <w:footnote w:type="continuationNotice" w:id="1">
    <w:p w14:paraId="5708403A" w14:textId="77777777" w:rsidR="00B43268" w:rsidRDefault="00B43268">
      <w:pPr>
        <w:spacing w:after="0" w:line="240" w:lineRule="auto"/>
      </w:pPr>
    </w:p>
  </w:footnote>
  <w:footnote w:id="2">
    <w:p w14:paraId="3453A029" w14:textId="5A4AE5D1" w:rsidR="006C74ED" w:rsidRPr="00F557BF" w:rsidRDefault="006C74ED" w:rsidP="00FC5510">
      <w:pPr>
        <w:pStyle w:val="FootnoteText"/>
        <w:jc w:val="both"/>
        <w:rPr>
          <w:rFonts w:ascii="Arial" w:hAnsi="Arial" w:cs="Arial"/>
        </w:rPr>
      </w:pPr>
      <w:r w:rsidRPr="00F557BF">
        <w:rPr>
          <w:rStyle w:val="FootnoteReference"/>
          <w:rFonts w:ascii="Arial" w:hAnsi="Arial" w:cs="Arial"/>
        </w:rPr>
        <w:footnoteRef/>
      </w:r>
      <w:r w:rsidRPr="00F557BF">
        <w:rPr>
          <w:rFonts w:ascii="Arial" w:hAnsi="Arial" w:cs="Arial"/>
        </w:rPr>
        <w:t xml:space="preserve">Available at </w:t>
      </w:r>
      <w:hyperlink r:id="rId1" w:history="1">
        <w:r w:rsidRPr="00F557BF">
          <w:rPr>
            <w:rStyle w:val="Hyperlink"/>
            <w:rFonts w:ascii="Arial" w:hAnsi="Arial" w:cs="Arial"/>
          </w:rPr>
          <w:t>High Court Judgment Template (uncitral.org)</w:t>
        </w:r>
      </w:hyperlink>
    </w:p>
  </w:footnote>
  <w:footnote w:id="3">
    <w:p w14:paraId="747DAF98" w14:textId="75925AF4" w:rsidR="00971671" w:rsidRPr="00F557BF" w:rsidRDefault="00971671" w:rsidP="00FC5510">
      <w:pPr>
        <w:pStyle w:val="FootnoteText"/>
        <w:jc w:val="both"/>
        <w:rPr>
          <w:rFonts w:ascii="Arial" w:hAnsi="Arial" w:cs="Arial"/>
        </w:rPr>
      </w:pPr>
      <w:r w:rsidRPr="00F557BF">
        <w:rPr>
          <w:rStyle w:val="FootnoteReference"/>
          <w:rFonts w:ascii="Arial" w:hAnsi="Arial" w:cs="Arial"/>
        </w:rPr>
        <w:footnoteRef/>
      </w:r>
      <w:hyperlink r:id="rId2" w:history="1">
        <w:r w:rsidR="001B2E2F" w:rsidRPr="00AD2CF5">
          <w:rPr>
            <w:rStyle w:val="Hyperlink"/>
            <w:rFonts w:ascii="Arial" w:hAnsi="Arial" w:cs="Arial"/>
          </w:rPr>
          <w:t>www.citeseerx.ist.psu.edu/document?repid=rep1&amp;type=pdf&amp;doi=4382862e2ba4c34de4b64b7944f4556c0eeb800c</w:t>
        </w:r>
      </w:hyperlink>
      <w:r w:rsidRPr="00F557BF">
        <w:rPr>
          <w:rFonts w:ascii="Arial" w:hAnsi="Arial" w:cs="Arial"/>
        </w:rPr>
        <w:t xml:space="preserve">, </w:t>
      </w:r>
      <w:r w:rsidR="00824022" w:rsidRPr="00F557BF">
        <w:rPr>
          <w:rFonts w:ascii="Arial" w:hAnsi="Arial" w:cs="Arial"/>
        </w:rPr>
        <w:t>accessed 2</w:t>
      </w:r>
      <w:r w:rsidRPr="00F557BF">
        <w:rPr>
          <w:rFonts w:ascii="Arial" w:hAnsi="Arial" w:cs="Arial"/>
        </w:rPr>
        <w:t>2 November 2023.</w:t>
      </w:r>
    </w:p>
  </w:footnote>
  <w:footnote w:id="4">
    <w:p w14:paraId="0A99E070" w14:textId="065F70A0" w:rsidR="0083022E" w:rsidRPr="00656FBF" w:rsidRDefault="0083022E" w:rsidP="00656FBF">
      <w:pPr>
        <w:pStyle w:val="Heading1"/>
        <w:shd w:val="clear" w:color="auto" w:fill="FFFFFF"/>
        <w:spacing w:before="0" w:beforeAutospacing="0" w:after="0" w:afterAutospacing="0"/>
        <w:jc w:val="both"/>
        <w:textAlignment w:val="baseline"/>
        <w:rPr>
          <w:rFonts w:ascii="Arial" w:hAnsi="Arial" w:cs="Arial"/>
          <w:b w:val="0"/>
          <w:bCs w:val="0"/>
          <w:color w:val="00172E"/>
          <w:sz w:val="20"/>
          <w:szCs w:val="20"/>
        </w:rPr>
      </w:pPr>
      <w:r w:rsidRPr="00F557BF">
        <w:rPr>
          <w:rStyle w:val="FootnoteReference"/>
          <w:rFonts w:ascii="Arial" w:hAnsi="Arial" w:cs="Arial"/>
          <w:sz w:val="20"/>
          <w:szCs w:val="20"/>
        </w:rPr>
        <w:footnoteRef/>
      </w:r>
      <w:r w:rsidR="001B2E2F">
        <w:rPr>
          <w:rFonts w:ascii="Arial" w:hAnsi="Arial" w:cs="Arial"/>
          <w:b w:val="0"/>
          <w:bCs w:val="0"/>
          <w:sz w:val="20"/>
          <w:szCs w:val="20"/>
          <w:lang/>
        </w:rPr>
        <w:t xml:space="preserve"> </w:t>
      </w:r>
      <w:r w:rsidRPr="00F557BF">
        <w:rPr>
          <w:rFonts w:ascii="Arial" w:hAnsi="Arial" w:cs="Arial"/>
          <w:b w:val="0"/>
          <w:bCs w:val="0"/>
          <w:sz w:val="20"/>
          <w:szCs w:val="20"/>
        </w:rPr>
        <w:t xml:space="preserve">And as quoted by Briggs J in </w:t>
      </w:r>
      <w:r w:rsidRPr="00F557BF">
        <w:rPr>
          <w:rFonts w:ascii="Arial" w:eastAsiaTheme="minorHAnsi" w:hAnsi="Arial" w:cs="Arial"/>
          <w:b w:val="0"/>
          <w:bCs w:val="0"/>
          <w:kern w:val="0"/>
          <w:sz w:val="20"/>
          <w:szCs w:val="20"/>
        </w:rPr>
        <w:t>Re Sturgeon Central Asia Balanced Fund Ltd (in liquidation) Carter v Bailey and another (as</w:t>
      </w:r>
      <w:r w:rsidRPr="00F557BF">
        <w:rPr>
          <w:rFonts w:ascii="Arial" w:hAnsi="Arial" w:cs="Arial"/>
          <w:b w:val="0"/>
          <w:bCs w:val="0"/>
          <w:color w:val="00172E"/>
          <w:sz w:val="20"/>
          <w:szCs w:val="20"/>
        </w:rPr>
        <w:t xml:space="preserve"> foreign representatives of </w:t>
      </w:r>
      <w:r w:rsidRPr="00F557BF">
        <w:rPr>
          <w:rFonts w:ascii="Arial" w:eastAsiaTheme="minorHAnsi" w:hAnsi="Arial" w:cs="Arial"/>
          <w:b w:val="0"/>
          <w:bCs w:val="0"/>
          <w:kern w:val="0"/>
          <w:sz w:val="20"/>
          <w:szCs w:val="20"/>
        </w:rPr>
        <w:t>Sturgeon Central Asia Balanced Fund Ltd) </w:t>
      </w:r>
      <w:r w:rsidRPr="00F557BF">
        <w:rPr>
          <w:rFonts w:ascii="Arial" w:eastAsiaTheme="minorHAnsi" w:hAnsi="Arial" w:cs="Arial"/>
          <w:b w:val="0"/>
          <w:bCs w:val="0"/>
          <w:i/>
          <w:iCs/>
          <w:kern w:val="0"/>
          <w:sz w:val="20"/>
          <w:szCs w:val="20"/>
        </w:rPr>
        <w:t>[2020] EWHC 123 (Ch)</w:t>
      </w:r>
      <w:r w:rsidRPr="00F557BF">
        <w:rPr>
          <w:rFonts w:ascii="Arial" w:eastAsiaTheme="minorHAnsi" w:hAnsi="Arial" w:cs="Arial"/>
          <w:b w:val="0"/>
          <w:bCs w:val="0"/>
          <w:kern w:val="0"/>
          <w:sz w:val="20"/>
          <w:szCs w:val="20"/>
        </w:rPr>
        <w:t xml:space="preserve"> in his review of her judgment</w:t>
      </w:r>
    </w:p>
  </w:footnote>
  <w:footnote w:id="5">
    <w:p w14:paraId="1D924BDA" w14:textId="625C5A99" w:rsidR="00FD2957" w:rsidRPr="00F557BF" w:rsidRDefault="00FD2957" w:rsidP="00FC5510">
      <w:pPr>
        <w:pStyle w:val="FootnoteText"/>
        <w:jc w:val="both"/>
        <w:rPr>
          <w:rFonts w:ascii="Arial" w:hAnsi="Arial" w:cs="Arial"/>
        </w:rPr>
      </w:pPr>
      <w:r w:rsidRPr="00F557BF">
        <w:rPr>
          <w:rStyle w:val="FootnoteReference"/>
          <w:rFonts w:ascii="Arial" w:hAnsi="Arial" w:cs="Arial"/>
        </w:rPr>
        <w:footnoteRef/>
      </w:r>
      <w:r w:rsidRPr="00F557BF">
        <w:rPr>
          <w:rFonts w:ascii="Arial" w:hAnsi="Arial" w:cs="Arial"/>
        </w:rPr>
        <w:t>CFI Team, “Financial Distress”,</w:t>
      </w:r>
      <w:r w:rsidR="00FC5510" w:rsidRPr="00F557BF">
        <w:rPr>
          <w:rFonts w:ascii="Arial" w:hAnsi="Arial" w:cs="Arial"/>
          <w:lang/>
        </w:rPr>
        <w:t xml:space="preserve"> </w:t>
      </w:r>
      <w:hyperlink r:id="rId3" w:history="1">
        <w:r w:rsidR="00FC5510" w:rsidRPr="00F557BF">
          <w:rPr>
            <w:rStyle w:val="Hyperlink"/>
            <w:rFonts w:ascii="Arial" w:hAnsi="Arial" w:cs="Arial"/>
          </w:rPr>
          <w:t>www.corporatefinanceinstitute.com/resources/commercial-lending/financial-distress/</w:t>
        </w:r>
      </w:hyperlink>
      <w:r w:rsidRPr="00F557BF">
        <w:rPr>
          <w:rFonts w:ascii="Arial" w:hAnsi="Arial" w:cs="Arial"/>
        </w:rPr>
        <w:t>, accessed 22 November 2023.</w:t>
      </w:r>
    </w:p>
  </w:footnote>
  <w:footnote w:id="6">
    <w:p w14:paraId="1273F5BE" w14:textId="084D210A" w:rsidR="0021599F" w:rsidRPr="00F557BF" w:rsidRDefault="0021599F" w:rsidP="00FC5510">
      <w:pPr>
        <w:pStyle w:val="FootnoteText"/>
        <w:jc w:val="both"/>
        <w:rPr>
          <w:rFonts w:ascii="Arial" w:hAnsi="Arial" w:cs="Arial"/>
        </w:rPr>
      </w:pPr>
      <w:r w:rsidRPr="00F557BF">
        <w:rPr>
          <w:rStyle w:val="FootnoteReference"/>
          <w:rFonts w:ascii="Arial" w:hAnsi="Arial" w:cs="Arial"/>
        </w:rPr>
        <w:footnoteRef/>
      </w:r>
      <w:r w:rsidR="00FB17E1" w:rsidRPr="00F557BF">
        <w:rPr>
          <w:rFonts w:ascii="Arial" w:hAnsi="Arial" w:cs="Arial"/>
        </w:rPr>
        <w:t xml:space="preserve">ICAEW, “Six signs that a business is in distress”, </w:t>
      </w:r>
      <w:hyperlink r:id="rId4" w:history="1">
        <w:r w:rsidR="00B0756E" w:rsidRPr="00F557BF">
          <w:rPr>
            <w:rStyle w:val="Hyperlink"/>
            <w:rFonts w:ascii="Arial" w:hAnsi="Arial" w:cs="Arial"/>
          </w:rPr>
          <w:t>https://www.icaew.com/regulation/insolvency/understanding-business-restructuring-and-insolvency/six-signs-that-a-business-is-in-distress</w:t>
        </w:r>
      </w:hyperlink>
      <w:r w:rsidR="00B0756E" w:rsidRPr="00F557BF">
        <w:rPr>
          <w:rFonts w:ascii="Arial" w:hAnsi="Arial" w:cs="Arial"/>
        </w:rPr>
        <w:t>,</w:t>
      </w:r>
      <w:r w:rsidR="00FB17E1" w:rsidRPr="00F557BF">
        <w:rPr>
          <w:rFonts w:ascii="Arial" w:hAnsi="Arial" w:cs="Arial"/>
        </w:rPr>
        <w:t xml:space="preserve"> </w:t>
      </w:r>
      <w:r w:rsidR="00824022" w:rsidRPr="00F557BF">
        <w:rPr>
          <w:rFonts w:ascii="Arial" w:hAnsi="Arial" w:cs="Arial"/>
        </w:rPr>
        <w:t>accessed 2</w:t>
      </w:r>
      <w:r w:rsidR="00FB17E1" w:rsidRPr="00F557BF">
        <w:rPr>
          <w:rFonts w:ascii="Arial" w:hAnsi="Arial" w:cs="Arial"/>
        </w:rPr>
        <w:t>2 November 2023.</w:t>
      </w:r>
    </w:p>
  </w:footnote>
  <w:footnote w:id="7">
    <w:p w14:paraId="4C27336D" w14:textId="7F17AA34" w:rsidR="006C661A" w:rsidRPr="00F557BF" w:rsidRDefault="006C661A" w:rsidP="00FC5510">
      <w:pPr>
        <w:pStyle w:val="FootnoteText"/>
        <w:jc w:val="both"/>
        <w:rPr>
          <w:rFonts w:ascii="Arial" w:hAnsi="Arial" w:cs="Arial"/>
        </w:rPr>
      </w:pPr>
      <w:r w:rsidRPr="00F557BF">
        <w:rPr>
          <w:rStyle w:val="FootnoteReference"/>
          <w:rFonts w:ascii="Arial" w:hAnsi="Arial" w:cs="Arial"/>
        </w:rPr>
        <w:footnoteRef/>
      </w:r>
      <w:r w:rsidR="001B2E2F">
        <w:rPr>
          <w:rFonts w:ascii="Arial" w:hAnsi="Arial" w:cs="Arial"/>
          <w:lang/>
        </w:rPr>
        <w:t xml:space="preserve"> </w:t>
      </w:r>
      <w:r w:rsidRPr="00F557BF">
        <w:rPr>
          <w:rFonts w:ascii="Arial" w:hAnsi="Arial" w:cs="Arial"/>
        </w:rPr>
        <w:t>Page 34.</w:t>
      </w:r>
    </w:p>
  </w:footnote>
  <w:footnote w:id="8">
    <w:p w14:paraId="7A716F3B" w14:textId="49E9964F" w:rsidR="00D47D40" w:rsidRPr="00D47D40" w:rsidRDefault="00D47D40">
      <w:pPr>
        <w:pStyle w:val="FootnoteText"/>
        <w:rPr>
          <w:lang/>
        </w:rPr>
      </w:pPr>
      <w:r>
        <w:rPr>
          <w:rStyle w:val="FootnoteReference"/>
        </w:rPr>
        <w:footnoteRef/>
      </w:r>
      <w:r w:rsidR="001B2E2F">
        <w:rPr>
          <w:rFonts w:ascii="Arial" w:hAnsi="Arial" w:cs="Arial"/>
          <w:lang/>
        </w:rPr>
        <w:t xml:space="preserve"> </w:t>
      </w:r>
      <w:r w:rsidRPr="00E440BE">
        <w:rPr>
          <w:rFonts w:ascii="Arial" w:hAnsi="Arial" w:cs="Arial"/>
        </w:rPr>
        <w:t>“</w:t>
      </w:r>
      <w:r w:rsidRPr="00E440BE">
        <w:rPr>
          <w:rFonts w:ascii="Arial" w:hAnsi="Arial" w:cs="Arial"/>
          <w:i/>
          <w:iCs/>
        </w:rPr>
        <w:t>i.e., inadequate reaction of management of both internal weaknesses and strengths, even as external threats and opportunities – and excessive costs structures (fixed and variable costs), as well as the presence of inadequate management information systems within the company (as a result of which important early warning signals of imminent decline are missed by management).</w:t>
      </w:r>
      <w:r w:rsidRPr="00E440BE">
        <w:rPr>
          <w:rFonts w:ascii="Arial" w:hAnsi="Arial" w:cs="Arial"/>
        </w:rPr>
        <w:t>”</w:t>
      </w:r>
    </w:p>
  </w:footnote>
  <w:footnote w:id="9">
    <w:p w14:paraId="78B44586" w14:textId="213833A3" w:rsidR="006C661A" w:rsidRPr="00F557BF" w:rsidRDefault="006C661A" w:rsidP="00FC5510">
      <w:pPr>
        <w:pStyle w:val="FootnoteText"/>
        <w:jc w:val="both"/>
        <w:rPr>
          <w:rFonts w:ascii="Arial" w:hAnsi="Arial" w:cs="Arial"/>
        </w:rPr>
      </w:pPr>
      <w:r w:rsidRPr="00F557BF">
        <w:rPr>
          <w:rStyle w:val="FootnoteReference"/>
          <w:rFonts w:ascii="Arial" w:hAnsi="Arial" w:cs="Arial"/>
        </w:rPr>
        <w:footnoteRef/>
      </w:r>
      <w:r w:rsidR="001B2E2F">
        <w:rPr>
          <w:rFonts w:ascii="Arial" w:hAnsi="Arial" w:cs="Arial"/>
          <w:lang/>
        </w:rPr>
        <w:t xml:space="preserve"> </w:t>
      </w:r>
      <w:r w:rsidRPr="00F557BF">
        <w:rPr>
          <w:rFonts w:ascii="Arial" w:hAnsi="Arial" w:cs="Arial"/>
        </w:rPr>
        <w:t>Page 31.</w:t>
      </w:r>
    </w:p>
  </w:footnote>
  <w:footnote w:id="10">
    <w:p w14:paraId="75035D10" w14:textId="5DD2490D" w:rsidR="00EB2B8E" w:rsidRPr="00F557BF" w:rsidRDefault="00EB2B8E" w:rsidP="00FC5510">
      <w:pPr>
        <w:pStyle w:val="FootnoteText"/>
        <w:jc w:val="both"/>
        <w:rPr>
          <w:rFonts w:ascii="Arial" w:hAnsi="Arial" w:cs="Arial"/>
          <w:lang/>
        </w:rPr>
      </w:pPr>
      <w:r w:rsidRPr="00F557BF">
        <w:rPr>
          <w:rStyle w:val="FootnoteReference"/>
          <w:rFonts w:ascii="Arial" w:hAnsi="Arial" w:cs="Arial"/>
        </w:rPr>
        <w:footnoteRef/>
      </w:r>
      <w:r w:rsidRPr="00F557BF">
        <w:rPr>
          <w:rFonts w:ascii="Arial" w:hAnsi="Arial" w:cs="Arial"/>
        </w:rPr>
        <w:t xml:space="preserve"> </w:t>
      </w:r>
      <w:r w:rsidR="00A8256D" w:rsidRPr="00F557BF">
        <w:rPr>
          <w:rFonts w:ascii="Arial" w:hAnsi="Arial" w:cs="Arial"/>
          <w:lang/>
        </w:rPr>
        <w:t xml:space="preserve">Referenced on page 147 and </w:t>
      </w:r>
      <w:r w:rsidR="001B2E73" w:rsidRPr="00F557BF">
        <w:rPr>
          <w:rFonts w:ascii="Arial" w:hAnsi="Arial" w:cs="Arial"/>
          <w:lang/>
        </w:rPr>
        <w:t xml:space="preserve">footnote 25 </w:t>
      </w:r>
      <w:r w:rsidR="00A8256D" w:rsidRPr="00F557BF">
        <w:rPr>
          <w:rFonts w:ascii="Arial" w:hAnsi="Arial" w:cs="Arial"/>
          <w:lang/>
        </w:rPr>
        <w:t>of Adriaanse and Ku</w:t>
      </w:r>
      <w:r w:rsidR="001B2E73" w:rsidRPr="00F557BF">
        <w:rPr>
          <w:rFonts w:ascii="Arial" w:hAnsi="Arial" w:cs="Arial"/>
          <w:lang/>
        </w:rPr>
        <w:t>ijl.</w:t>
      </w:r>
    </w:p>
  </w:footnote>
  <w:footnote w:id="11">
    <w:p w14:paraId="5006CA9E" w14:textId="255FFB82" w:rsidR="00DB126A" w:rsidRPr="00F557BF" w:rsidRDefault="00DB126A">
      <w:pPr>
        <w:pStyle w:val="FootnoteText"/>
        <w:rPr>
          <w:rFonts w:ascii="Arial" w:hAnsi="Arial" w:cs="Arial"/>
          <w:lang/>
        </w:rPr>
      </w:pPr>
      <w:r w:rsidRPr="00F557BF">
        <w:rPr>
          <w:rStyle w:val="FootnoteReference"/>
          <w:rFonts w:ascii="Arial" w:hAnsi="Arial" w:cs="Arial"/>
        </w:rPr>
        <w:footnoteRef/>
      </w:r>
      <w:r w:rsidRPr="00F557BF">
        <w:rPr>
          <w:rFonts w:ascii="Arial" w:hAnsi="Arial" w:cs="Arial"/>
        </w:rPr>
        <w:t xml:space="preserve"> </w:t>
      </w:r>
      <w:r w:rsidR="00F63DD2" w:rsidRPr="00F557BF">
        <w:rPr>
          <w:rFonts w:ascii="Arial" w:hAnsi="Arial" w:cs="Arial"/>
          <w:lang/>
        </w:rPr>
        <w:t>Sections 91A to J of the Companies Act (2023 Revision), with consequential amendments also made to the Companies Winding Up Rules</w:t>
      </w:r>
      <w:r w:rsidR="00264649" w:rsidRPr="00F557BF">
        <w:rPr>
          <w:rFonts w:ascii="Arial" w:hAnsi="Arial" w:cs="Arial"/>
          <w:lang/>
        </w:rPr>
        <w:t xml:space="preserve"> (2023 Consolidation)</w:t>
      </w:r>
      <w:r w:rsidR="00F63DD2" w:rsidRPr="00F557BF">
        <w:rPr>
          <w:rFonts w:ascii="Arial" w:hAnsi="Arial" w:cs="Arial"/>
          <w:lang/>
        </w:rPr>
        <w:t>.</w:t>
      </w:r>
    </w:p>
  </w:footnote>
  <w:footnote w:id="12">
    <w:p w14:paraId="78A1C5C8" w14:textId="16148E36" w:rsidR="00575B14" w:rsidRPr="00F557BF" w:rsidRDefault="00575B14" w:rsidP="00FC5510">
      <w:pPr>
        <w:pStyle w:val="FootnoteText"/>
        <w:jc w:val="both"/>
        <w:rPr>
          <w:rFonts w:ascii="Arial" w:hAnsi="Arial" w:cs="Arial"/>
        </w:rPr>
      </w:pPr>
      <w:r w:rsidRPr="00F557BF">
        <w:rPr>
          <w:rStyle w:val="FootnoteReference"/>
          <w:rFonts w:ascii="Arial" w:hAnsi="Arial" w:cs="Arial"/>
        </w:rPr>
        <w:footnoteRef/>
      </w:r>
      <w:r w:rsidRPr="00F557BF">
        <w:rPr>
          <w:rFonts w:ascii="Arial" w:hAnsi="Arial" w:cs="Arial"/>
        </w:rPr>
        <w:t xml:space="preserve"> Page 140.</w:t>
      </w:r>
    </w:p>
  </w:footnote>
  <w:footnote w:id="13">
    <w:p w14:paraId="412E7172" w14:textId="77777777" w:rsidR="00755E0C" w:rsidRPr="00F557BF" w:rsidRDefault="00755E0C" w:rsidP="00755E0C">
      <w:pPr>
        <w:pStyle w:val="FootnoteText"/>
        <w:rPr>
          <w:rFonts w:ascii="Arial" w:hAnsi="Arial" w:cs="Arial"/>
          <w:lang/>
        </w:rPr>
      </w:pPr>
      <w:r w:rsidRPr="00F557BF">
        <w:rPr>
          <w:rStyle w:val="FootnoteReference"/>
          <w:rFonts w:ascii="Arial" w:hAnsi="Arial" w:cs="Arial"/>
        </w:rPr>
        <w:footnoteRef/>
      </w:r>
      <w:r w:rsidRPr="00F557BF">
        <w:rPr>
          <w:rFonts w:ascii="Arial" w:hAnsi="Arial" w:cs="Arial"/>
        </w:rPr>
        <w:t xml:space="preserve"> </w:t>
      </w:r>
      <w:r w:rsidRPr="00F557BF">
        <w:rPr>
          <w:rFonts w:ascii="Arial" w:hAnsi="Arial" w:cs="Arial"/>
          <w:lang/>
        </w:rPr>
        <w:t>Page 149.</w:t>
      </w:r>
    </w:p>
  </w:footnote>
  <w:footnote w:id="14">
    <w:p w14:paraId="64FEE6C5" w14:textId="7F71DC68" w:rsidR="00F557BF" w:rsidRPr="00F557BF" w:rsidRDefault="00F557BF">
      <w:pPr>
        <w:pStyle w:val="FootnoteText"/>
        <w:rPr>
          <w:rFonts w:ascii="Arial" w:hAnsi="Arial" w:cs="Arial"/>
          <w:lang/>
        </w:rPr>
      </w:pPr>
      <w:r w:rsidRPr="00F557BF">
        <w:rPr>
          <w:rStyle w:val="FootnoteReference"/>
          <w:rFonts w:ascii="Arial" w:hAnsi="Arial" w:cs="Arial"/>
        </w:rPr>
        <w:footnoteRef/>
      </w:r>
      <w:r w:rsidRPr="00F557BF">
        <w:rPr>
          <w:rFonts w:ascii="Arial" w:hAnsi="Arial" w:cs="Arial"/>
        </w:rPr>
        <w:t xml:space="preserve"> </w:t>
      </w:r>
      <w:r w:rsidRPr="00F557BF">
        <w:rPr>
          <w:rFonts w:ascii="Arial" w:hAnsi="Arial" w:cs="Arial"/>
          <w:lang/>
        </w:rPr>
        <w:t>Page 187.</w:t>
      </w:r>
    </w:p>
  </w:footnote>
  <w:footnote w:id="15">
    <w:p w14:paraId="20F31792" w14:textId="00BD8B04" w:rsidR="00537C23" w:rsidRPr="00DA1610" w:rsidRDefault="00537C23">
      <w:pPr>
        <w:pStyle w:val="FootnoteText"/>
        <w:rPr>
          <w:rFonts w:ascii="Arial" w:hAnsi="Arial" w:cs="Arial"/>
          <w:lang/>
        </w:rPr>
      </w:pPr>
      <w:r w:rsidRPr="00DA1610">
        <w:rPr>
          <w:rStyle w:val="FootnoteReference"/>
          <w:rFonts w:ascii="Arial" w:hAnsi="Arial" w:cs="Arial"/>
        </w:rPr>
        <w:footnoteRef/>
      </w:r>
      <w:r w:rsidRPr="00DA1610">
        <w:rPr>
          <w:rFonts w:ascii="Arial" w:hAnsi="Arial" w:cs="Arial"/>
        </w:rPr>
        <w:t xml:space="preserve"> </w:t>
      </w:r>
      <w:r w:rsidRPr="00DA1610">
        <w:rPr>
          <w:rFonts w:ascii="Arial" w:hAnsi="Arial" w:cs="Arial"/>
          <w:lang/>
        </w:rPr>
        <w:t xml:space="preserve">Page </w:t>
      </w:r>
      <w:r w:rsidR="00DA1610" w:rsidRPr="00DA1610">
        <w:rPr>
          <w:rFonts w:ascii="Arial" w:hAnsi="Arial" w:cs="Arial"/>
          <w:lang/>
        </w:rPr>
        <w:t>184.</w:t>
      </w:r>
    </w:p>
  </w:footnote>
  <w:footnote w:id="16">
    <w:p w14:paraId="453F9C09" w14:textId="4E98E345" w:rsidR="00B21F19" w:rsidRPr="00B21F19" w:rsidRDefault="00B21F19">
      <w:pPr>
        <w:pStyle w:val="FootnoteText"/>
        <w:rPr>
          <w:rFonts w:ascii="Arial" w:hAnsi="Arial" w:cs="Arial"/>
          <w:lang/>
        </w:rPr>
      </w:pPr>
      <w:r w:rsidRPr="00B21F19">
        <w:rPr>
          <w:rStyle w:val="FootnoteReference"/>
          <w:rFonts w:ascii="Arial" w:hAnsi="Arial" w:cs="Arial"/>
        </w:rPr>
        <w:footnoteRef/>
      </w:r>
      <w:r w:rsidRPr="00B21F19">
        <w:rPr>
          <w:rFonts w:ascii="Arial" w:hAnsi="Arial" w:cs="Arial"/>
        </w:rPr>
        <w:t xml:space="preserve"> </w:t>
      </w:r>
      <w:r w:rsidRPr="00B21F19">
        <w:rPr>
          <w:rFonts w:ascii="Arial" w:hAnsi="Arial" w:cs="Arial"/>
          <w:lang/>
        </w:rPr>
        <w:t>Page 185.</w:t>
      </w:r>
    </w:p>
  </w:footnote>
  <w:footnote w:id="17">
    <w:p w14:paraId="07441605" w14:textId="588A974A" w:rsidR="00BA22BB" w:rsidRPr="00F557BF" w:rsidRDefault="00BA22BB" w:rsidP="00FC5510">
      <w:pPr>
        <w:pStyle w:val="FootnoteText"/>
        <w:jc w:val="both"/>
        <w:rPr>
          <w:rFonts w:ascii="Arial" w:hAnsi="Arial" w:cs="Arial"/>
          <w:lang/>
        </w:rPr>
      </w:pPr>
      <w:r w:rsidRPr="00F557BF">
        <w:rPr>
          <w:rStyle w:val="FootnoteReference"/>
          <w:rFonts w:ascii="Arial" w:hAnsi="Arial" w:cs="Arial"/>
        </w:rPr>
        <w:footnoteRef/>
      </w:r>
      <w:r w:rsidRPr="00F557BF">
        <w:rPr>
          <w:rFonts w:ascii="Arial" w:hAnsi="Arial" w:cs="Arial"/>
        </w:rPr>
        <w:t xml:space="preserve"> Their summary was in respect of the first iteration of the Statement of Principles, but these core concepts are reflected in iteration </w:t>
      </w:r>
      <w:r w:rsidR="00A9257A" w:rsidRPr="00F557BF">
        <w:rPr>
          <w:rFonts w:ascii="Arial" w:hAnsi="Arial" w:cs="Arial"/>
          <w:lang/>
        </w:rPr>
        <w:t xml:space="preserve">II </w:t>
      </w:r>
      <w:r w:rsidRPr="00F557BF">
        <w:rPr>
          <w:rFonts w:ascii="Arial" w:hAnsi="Arial" w:cs="Arial"/>
        </w:rPr>
        <w:t>published in 2017</w:t>
      </w:r>
      <w:r w:rsidR="00A9257A" w:rsidRPr="00F557BF">
        <w:rPr>
          <w:rFonts w:ascii="Arial" w:hAnsi="Arial" w:cs="Arial"/>
          <w:lang/>
        </w:rPr>
        <w:t>.</w:t>
      </w:r>
    </w:p>
  </w:footnote>
  <w:footnote w:id="18">
    <w:p w14:paraId="244989FB" w14:textId="789CA4DA" w:rsidR="007E7571" w:rsidRPr="00F557BF" w:rsidRDefault="007E7571" w:rsidP="00FC5510">
      <w:pPr>
        <w:pStyle w:val="FootnoteText"/>
        <w:jc w:val="both"/>
        <w:rPr>
          <w:rFonts w:ascii="Arial" w:hAnsi="Arial" w:cs="Arial"/>
        </w:rPr>
      </w:pPr>
      <w:r w:rsidRPr="00F557BF">
        <w:rPr>
          <w:rStyle w:val="FootnoteReference"/>
          <w:rFonts w:ascii="Arial" w:hAnsi="Arial" w:cs="Arial"/>
        </w:rPr>
        <w:footnoteRef/>
      </w:r>
      <w:r w:rsidRPr="00F557BF">
        <w:rPr>
          <w:rFonts w:ascii="Arial" w:hAnsi="Arial" w:cs="Arial"/>
        </w:rPr>
        <w:t xml:space="preserve"> Page 5 of Statement of Principles II.</w:t>
      </w:r>
    </w:p>
  </w:footnote>
  <w:footnote w:id="19">
    <w:p w14:paraId="4E5613EE" w14:textId="5E066671" w:rsidR="00EE0C33" w:rsidRPr="00F557BF" w:rsidRDefault="00EE0C33" w:rsidP="00FC5510">
      <w:pPr>
        <w:pStyle w:val="FootnoteText"/>
        <w:jc w:val="both"/>
        <w:rPr>
          <w:rFonts w:ascii="Arial" w:hAnsi="Arial" w:cs="Arial"/>
        </w:rPr>
      </w:pPr>
      <w:r w:rsidRPr="00F557BF">
        <w:rPr>
          <w:rStyle w:val="FootnoteReference"/>
          <w:rFonts w:ascii="Arial" w:hAnsi="Arial" w:cs="Arial"/>
        </w:rPr>
        <w:footnoteRef/>
      </w:r>
      <w:r w:rsidRPr="00F557BF">
        <w:rPr>
          <w:rFonts w:ascii="Arial" w:hAnsi="Arial" w:cs="Arial"/>
        </w:rPr>
        <w:t xml:space="preserve"> See page 6 of Case Study I, first unnumbered paragraph “</w:t>
      </w:r>
      <w:r w:rsidRPr="00F557BF">
        <w:rPr>
          <w:rFonts w:ascii="Arial" w:hAnsi="Arial" w:cs="Arial"/>
          <w:i/>
          <w:iCs/>
        </w:rPr>
        <w:t xml:space="preserve">Although the provision of information has improved, the banks are at that moment disappointed with the progress of the </w:t>
      </w:r>
      <w:proofErr w:type="spellStart"/>
      <w:r w:rsidRPr="00F557BF">
        <w:rPr>
          <w:rFonts w:ascii="Arial" w:hAnsi="Arial" w:cs="Arial"/>
          <w:i/>
          <w:iCs/>
        </w:rPr>
        <w:t>reorg</w:t>
      </w:r>
      <w:r w:rsidR="00AA4EA6" w:rsidRPr="00F557BF">
        <w:rPr>
          <w:rFonts w:ascii="Arial" w:hAnsi="Arial" w:cs="Arial"/>
          <w:i/>
          <w:iCs/>
        </w:rPr>
        <w:t>a</w:t>
      </w:r>
      <w:r w:rsidRPr="00F557BF">
        <w:rPr>
          <w:rFonts w:ascii="Arial" w:hAnsi="Arial" w:cs="Arial"/>
          <w:i/>
          <w:iCs/>
        </w:rPr>
        <w:t>nisation</w:t>
      </w:r>
      <w:proofErr w:type="spellEnd"/>
      <w:r w:rsidRPr="00F557BF">
        <w:rPr>
          <w:rFonts w:ascii="Arial" w:hAnsi="Arial" w:cs="Arial"/>
        </w:rPr>
        <w:t>”.</w:t>
      </w:r>
    </w:p>
  </w:footnote>
  <w:footnote w:id="20">
    <w:p w14:paraId="085F3477" w14:textId="1AF719CB" w:rsidR="002E3F5E" w:rsidRPr="00F557BF" w:rsidRDefault="002E3F5E" w:rsidP="00FC5510">
      <w:pPr>
        <w:pStyle w:val="FootnoteText"/>
        <w:jc w:val="both"/>
        <w:rPr>
          <w:rFonts w:ascii="Arial" w:hAnsi="Arial" w:cs="Arial"/>
        </w:rPr>
      </w:pPr>
      <w:r w:rsidRPr="00F557BF">
        <w:rPr>
          <w:rStyle w:val="FootnoteReference"/>
          <w:rFonts w:ascii="Arial" w:hAnsi="Arial" w:cs="Arial"/>
        </w:rPr>
        <w:footnoteRef/>
      </w:r>
      <w:r w:rsidRPr="00F557BF">
        <w:rPr>
          <w:rFonts w:ascii="Arial" w:hAnsi="Arial" w:cs="Arial"/>
        </w:rPr>
        <w:t>Dinah L. Shelton, Soft Law in HANDBOOK OF INTERNATIONAL LAW (Routledge Press, 2008)</w:t>
      </w:r>
      <w:r w:rsidR="001105D2" w:rsidRPr="00F557BF">
        <w:rPr>
          <w:rFonts w:ascii="Arial" w:hAnsi="Arial" w:cs="Arial"/>
          <w:lang/>
        </w:rPr>
        <w:t>,</w:t>
      </w:r>
      <w:r w:rsidR="00AE6E87" w:rsidRPr="00F557BF">
        <w:rPr>
          <w:rFonts w:ascii="Arial" w:hAnsi="Arial" w:cs="Arial"/>
        </w:rPr>
        <w:t xml:space="preserve"> page 3</w:t>
      </w:r>
      <w:r w:rsidR="00FB27CF" w:rsidRPr="00F557BF">
        <w:rPr>
          <w:rFonts w:ascii="Arial" w:hAnsi="Arial" w:cs="Arial"/>
        </w:rPr>
        <w:t>.</w:t>
      </w:r>
    </w:p>
  </w:footnote>
  <w:footnote w:id="21">
    <w:p w14:paraId="3BA59154" w14:textId="4045F807" w:rsidR="00E14749" w:rsidRPr="00F557BF" w:rsidRDefault="00E14749" w:rsidP="00FC5510">
      <w:pPr>
        <w:pStyle w:val="FootnoteText"/>
        <w:jc w:val="both"/>
        <w:rPr>
          <w:rFonts w:ascii="Arial" w:hAnsi="Arial" w:cs="Arial"/>
        </w:rPr>
      </w:pPr>
      <w:r w:rsidRPr="00F557BF">
        <w:rPr>
          <w:rStyle w:val="FootnoteReference"/>
          <w:rFonts w:ascii="Arial" w:hAnsi="Arial" w:cs="Arial"/>
        </w:rPr>
        <w:footnoteRef/>
      </w:r>
      <w:r w:rsidRPr="00F557BF">
        <w:rPr>
          <w:rFonts w:ascii="Arial" w:hAnsi="Arial" w:cs="Arial"/>
        </w:rPr>
        <w:t xml:space="preserve">Further examples are provided at </w:t>
      </w:r>
      <w:r w:rsidR="006A1D65" w:rsidRPr="00F557BF">
        <w:rPr>
          <w:rFonts w:ascii="Arial" w:hAnsi="Arial" w:cs="Arial"/>
        </w:rPr>
        <w:t>section 4</w:t>
      </w:r>
      <w:r w:rsidR="00071148" w:rsidRPr="00F557BF">
        <w:rPr>
          <w:rFonts w:ascii="Arial" w:hAnsi="Arial" w:cs="Arial"/>
        </w:rPr>
        <w:t xml:space="preserve"> (on pages 8 – 10 of 20)</w:t>
      </w:r>
      <w:r w:rsidR="006A1D65" w:rsidRPr="00F557BF">
        <w:rPr>
          <w:rFonts w:ascii="Arial" w:hAnsi="Arial" w:cs="Arial"/>
        </w:rPr>
        <w:t xml:space="preserve"> of </w:t>
      </w:r>
      <w:r w:rsidRPr="00F557BF">
        <w:rPr>
          <w:rFonts w:ascii="Arial" w:hAnsi="Arial" w:cs="Arial"/>
          <w:shd w:val="clear" w:color="auto" w:fill="FFFFFF"/>
        </w:rPr>
        <w:t xml:space="preserve">Wessels, Bob and Boon, Gert-Jan, Soft Law Instruments in Restructuring and Insolvency Law: Exploring Its Rise and Impact (February 1, 2019). </w:t>
      </w:r>
      <w:proofErr w:type="spellStart"/>
      <w:r w:rsidRPr="00F557BF">
        <w:rPr>
          <w:rFonts w:ascii="Arial" w:hAnsi="Arial" w:cs="Arial"/>
          <w:shd w:val="clear" w:color="auto" w:fill="FFFFFF"/>
        </w:rPr>
        <w:t>Tijdschrift</w:t>
      </w:r>
      <w:proofErr w:type="spellEnd"/>
      <w:r w:rsidRPr="00F557BF">
        <w:rPr>
          <w:rFonts w:ascii="Arial" w:hAnsi="Arial" w:cs="Arial"/>
          <w:shd w:val="clear" w:color="auto" w:fill="FFFFFF"/>
        </w:rPr>
        <w:t xml:space="preserve"> </w:t>
      </w:r>
      <w:proofErr w:type="spellStart"/>
      <w:r w:rsidRPr="00F557BF">
        <w:rPr>
          <w:rFonts w:ascii="Arial" w:hAnsi="Arial" w:cs="Arial"/>
          <w:shd w:val="clear" w:color="auto" w:fill="FFFFFF"/>
        </w:rPr>
        <w:t>voor</w:t>
      </w:r>
      <w:proofErr w:type="spellEnd"/>
      <w:r w:rsidRPr="00F557BF">
        <w:rPr>
          <w:rFonts w:ascii="Arial" w:hAnsi="Arial" w:cs="Arial"/>
          <w:shd w:val="clear" w:color="auto" w:fill="FFFFFF"/>
        </w:rPr>
        <w:t xml:space="preserve"> </w:t>
      </w:r>
      <w:proofErr w:type="spellStart"/>
      <w:r w:rsidRPr="00F557BF">
        <w:rPr>
          <w:rFonts w:ascii="Arial" w:hAnsi="Arial" w:cs="Arial"/>
          <w:shd w:val="clear" w:color="auto" w:fill="FFFFFF"/>
        </w:rPr>
        <w:t>vennootschapsrecht</w:t>
      </w:r>
      <w:proofErr w:type="spellEnd"/>
      <w:r w:rsidRPr="00F557BF">
        <w:rPr>
          <w:rFonts w:ascii="Arial" w:hAnsi="Arial" w:cs="Arial"/>
          <w:shd w:val="clear" w:color="auto" w:fill="FFFFFF"/>
        </w:rPr>
        <w:t xml:space="preserve">, </w:t>
      </w:r>
      <w:proofErr w:type="spellStart"/>
      <w:r w:rsidRPr="00F557BF">
        <w:rPr>
          <w:rFonts w:ascii="Arial" w:hAnsi="Arial" w:cs="Arial"/>
          <w:shd w:val="clear" w:color="auto" w:fill="FFFFFF"/>
        </w:rPr>
        <w:t>rechtspersonenrecht</w:t>
      </w:r>
      <w:proofErr w:type="spellEnd"/>
      <w:r w:rsidRPr="00F557BF">
        <w:rPr>
          <w:rFonts w:ascii="Arial" w:hAnsi="Arial" w:cs="Arial"/>
          <w:shd w:val="clear" w:color="auto" w:fill="FFFFFF"/>
        </w:rPr>
        <w:t xml:space="preserve"> </w:t>
      </w:r>
      <w:proofErr w:type="spellStart"/>
      <w:r w:rsidRPr="00F557BF">
        <w:rPr>
          <w:rFonts w:ascii="Arial" w:hAnsi="Arial" w:cs="Arial"/>
          <w:shd w:val="clear" w:color="auto" w:fill="FFFFFF"/>
        </w:rPr>
        <w:t>en</w:t>
      </w:r>
      <w:proofErr w:type="spellEnd"/>
      <w:r w:rsidRPr="00F557BF">
        <w:rPr>
          <w:rFonts w:ascii="Arial" w:hAnsi="Arial" w:cs="Arial"/>
          <w:shd w:val="clear" w:color="auto" w:fill="FFFFFF"/>
        </w:rPr>
        <w:t xml:space="preserve"> </w:t>
      </w:r>
      <w:proofErr w:type="spellStart"/>
      <w:r w:rsidRPr="00F557BF">
        <w:rPr>
          <w:rFonts w:ascii="Arial" w:hAnsi="Arial" w:cs="Arial"/>
          <w:shd w:val="clear" w:color="auto" w:fill="FFFFFF"/>
        </w:rPr>
        <w:t>ondernemingsbestuur</w:t>
      </w:r>
      <w:proofErr w:type="spellEnd"/>
      <w:r w:rsidRPr="00F557BF">
        <w:rPr>
          <w:rFonts w:ascii="Arial" w:hAnsi="Arial" w:cs="Arial"/>
          <w:shd w:val="clear" w:color="auto" w:fill="FFFFFF"/>
        </w:rPr>
        <w:t xml:space="preserve"> 2019-2, Available </w:t>
      </w:r>
      <w:r w:rsidR="006A1D65" w:rsidRPr="00F557BF">
        <w:rPr>
          <w:rFonts w:ascii="Arial" w:hAnsi="Arial" w:cs="Arial"/>
          <w:shd w:val="clear" w:color="auto" w:fill="FFFFFF"/>
        </w:rPr>
        <w:t xml:space="preserve">for download </w:t>
      </w:r>
      <w:r w:rsidRPr="00F557BF">
        <w:rPr>
          <w:rFonts w:ascii="Arial" w:hAnsi="Arial" w:cs="Arial"/>
          <w:shd w:val="clear" w:color="auto" w:fill="FFFFFF"/>
        </w:rPr>
        <w:t>at SSRN: </w:t>
      </w:r>
      <w:hyperlink r:id="rId5" w:history="1">
        <w:r w:rsidR="00895220" w:rsidRPr="00F557BF">
          <w:rPr>
            <w:rStyle w:val="Hyperlink"/>
            <w:rFonts w:ascii="Arial" w:hAnsi="Arial" w:cs="Arial"/>
            <w:shd w:val="clear" w:color="auto" w:fill="FFFFFF"/>
          </w:rPr>
          <w:t>https://ssrn.com/abstract=3397874</w:t>
        </w:r>
      </w:hyperlink>
      <w:r w:rsidR="00895220" w:rsidRPr="00F557BF">
        <w:rPr>
          <w:rFonts w:ascii="Arial" w:hAnsi="Arial" w:cs="Arial"/>
        </w:rPr>
        <w:t xml:space="preserve">, </w:t>
      </w:r>
      <w:r w:rsidR="00824022" w:rsidRPr="00F557BF">
        <w:rPr>
          <w:rFonts w:ascii="Arial" w:hAnsi="Arial" w:cs="Arial"/>
        </w:rPr>
        <w:t>accessed 2</w:t>
      </w:r>
      <w:r w:rsidR="00895220" w:rsidRPr="00F557BF">
        <w:rPr>
          <w:rFonts w:ascii="Arial" w:hAnsi="Arial" w:cs="Arial"/>
        </w:rPr>
        <w:t>3 November 2023.</w:t>
      </w:r>
    </w:p>
  </w:footnote>
  <w:footnote w:id="22">
    <w:p w14:paraId="2D432B15" w14:textId="3F51CD83" w:rsidR="00EA47AE" w:rsidRPr="00F557BF" w:rsidRDefault="00EA47AE" w:rsidP="00FC5510">
      <w:pPr>
        <w:pStyle w:val="FootnoteText"/>
        <w:jc w:val="both"/>
        <w:rPr>
          <w:rFonts w:ascii="Arial" w:hAnsi="Arial" w:cs="Arial"/>
        </w:rPr>
      </w:pPr>
      <w:r w:rsidRPr="00F557BF">
        <w:rPr>
          <w:rStyle w:val="FootnoteReference"/>
          <w:rFonts w:ascii="Arial" w:hAnsi="Arial" w:cs="Arial"/>
        </w:rPr>
        <w:footnoteRef/>
      </w:r>
      <w:r w:rsidR="00E4298B" w:rsidRPr="00F557BF">
        <w:rPr>
          <w:rFonts w:ascii="Arial" w:hAnsi="Arial" w:cs="Arial"/>
        </w:rPr>
        <w:t>The report</w:t>
      </w:r>
      <w:r w:rsidRPr="00F557BF">
        <w:rPr>
          <w:rFonts w:ascii="Arial" w:hAnsi="Arial" w:cs="Arial"/>
        </w:rPr>
        <w:t xml:space="preserve"> can be downloaded following this link, which appears to derive from the INSOL website: </w:t>
      </w:r>
      <w:hyperlink r:id="rId6" w:history="1">
        <w:r w:rsidRPr="00F557BF">
          <w:rPr>
            <w:rStyle w:val="Hyperlink"/>
            <w:rFonts w:ascii="Arial" w:hAnsi="Arial" w:cs="Arial"/>
          </w:rPr>
          <w:t>google.com/url?sa=t&amp;rct=j&amp;q=&amp;esrc=s&amp;source=web&amp;cd=&amp;ved=2ahUKEwiW94K0qduCAxWuW0EAHS-ACS8QFnoECBYQAQ&amp;url=https%3A%2F%2Fwww.insol-europe.org%2Fdownload%2Fdocuments%2F1113&amp;usg=AOvVaw393w3-P5HowlGRptx_QImu&amp;opi=89978449</w:t>
        </w:r>
      </w:hyperlink>
    </w:p>
  </w:footnote>
  <w:footnote w:id="23">
    <w:p w14:paraId="7AFB41DD" w14:textId="626F9CD3" w:rsidR="00A3111F" w:rsidRPr="00F557BF" w:rsidRDefault="00A3111F" w:rsidP="00FC5510">
      <w:pPr>
        <w:pStyle w:val="FootnoteText"/>
        <w:jc w:val="both"/>
        <w:rPr>
          <w:rFonts w:ascii="Arial" w:hAnsi="Arial" w:cs="Arial"/>
        </w:rPr>
      </w:pPr>
      <w:r w:rsidRPr="00F557BF">
        <w:rPr>
          <w:rStyle w:val="FootnoteReference"/>
          <w:rFonts w:ascii="Arial" w:hAnsi="Arial" w:cs="Arial"/>
        </w:rPr>
        <w:footnoteRef/>
      </w:r>
      <w:hyperlink r:id="rId7" w:history="1">
        <w:r w:rsidR="00E4298B" w:rsidRPr="00F557BF">
          <w:rPr>
            <w:rStyle w:val="Hyperlink"/>
            <w:rFonts w:ascii="Arial" w:hAnsi="Arial" w:cs="Arial"/>
          </w:rPr>
          <w:t>https://documents1.worldbank.org/curated/en/518861467086038847/pdf/106399-WP-REVISED-PUBLIC-ICR-Principle-Final-Hyperlinks-revised-Latest.pdf</w:t>
        </w:r>
      </w:hyperlink>
      <w:r w:rsidRPr="00F557BF">
        <w:rPr>
          <w:rFonts w:ascii="Arial" w:hAnsi="Arial" w:cs="Arial"/>
        </w:rPr>
        <w:t xml:space="preserve">, </w:t>
      </w:r>
      <w:r w:rsidR="00824022" w:rsidRPr="00F557BF">
        <w:rPr>
          <w:rFonts w:ascii="Arial" w:hAnsi="Arial" w:cs="Arial"/>
        </w:rPr>
        <w:t>accessed 2</w:t>
      </w:r>
      <w:r w:rsidRPr="00F557BF">
        <w:rPr>
          <w:rFonts w:ascii="Arial" w:hAnsi="Arial" w:cs="Arial"/>
        </w:rPr>
        <w:t>3 November 2023.</w:t>
      </w:r>
    </w:p>
  </w:footnote>
  <w:footnote w:id="24">
    <w:p w14:paraId="064F30D0" w14:textId="74E9904D" w:rsidR="00FC22A3" w:rsidRPr="00F557BF" w:rsidRDefault="00FC22A3" w:rsidP="00FC5510">
      <w:pPr>
        <w:pStyle w:val="FootnoteText"/>
        <w:jc w:val="both"/>
        <w:rPr>
          <w:rFonts w:ascii="Arial" w:hAnsi="Arial" w:cs="Arial"/>
        </w:rPr>
      </w:pPr>
      <w:r w:rsidRPr="00F557BF">
        <w:rPr>
          <w:rStyle w:val="FootnoteReference"/>
          <w:rFonts w:ascii="Arial" w:hAnsi="Arial" w:cs="Arial"/>
        </w:rPr>
        <w:footnoteRef/>
      </w:r>
      <w:hyperlink r:id="rId8" w:history="1">
        <w:r w:rsidR="001B2E2F" w:rsidRPr="00AD2CF5">
          <w:rPr>
            <w:rStyle w:val="Hyperlink"/>
            <w:rFonts w:ascii="Arial" w:hAnsi="Arial" w:cs="Arial"/>
          </w:rPr>
          <w:t>www.uncitral.un.org/en/content/working-group-v-insolvency-law</w:t>
        </w:r>
      </w:hyperlink>
      <w:r w:rsidRPr="00F557BF">
        <w:rPr>
          <w:rFonts w:ascii="Arial" w:hAnsi="Arial" w:cs="Arial"/>
        </w:rPr>
        <w:t xml:space="preserve">, </w:t>
      </w:r>
      <w:r w:rsidR="00824022" w:rsidRPr="00F557BF">
        <w:rPr>
          <w:rFonts w:ascii="Arial" w:hAnsi="Arial" w:cs="Arial"/>
        </w:rPr>
        <w:t>accessed 2</w:t>
      </w:r>
      <w:r w:rsidRPr="00F557BF">
        <w:rPr>
          <w:rFonts w:ascii="Arial" w:hAnsi="Arial" w:cs="Arial"/>
        </w:rPr>
        <w:t>3 November 2023.</w:t>
      </w:r>
    </w:p>
  </w:footnote>
  <w:footnote w:id="25">
    <w:p w14:paraId="2C6AF24E" w14:textId="15D24A87" w:rsidR="00A13178" w:rsidRPr="00F557BF" w:rsidRDefault="00A13178" w:rsidP="00FC5510">
      <w:pPr>
        <w:pStyle w:val="FootnoteText"/>
        <w:jc w:val="both"/>
        <w:rPr>
          <w:rFonts w:ascii="Arial" w:hAnsi="Arial" w:cs="Arial"/>
        </w:rPr>
      </w:pPr>
      <w:r w:rsidRPr="00F557BF">
        <w:rPr>
          <w:rStyle w:val="FootnoteReference"/>
          <w:rFonts w:ascii="Arial" w:hAnsi="Arial" w:cs="Arial"/>
        </w:rPr>
        <w:footnoteRef/>
      </w:r>
      <w:hyperlink r:id="rId9" w:history="1">
        <w:r w:rsidR="00445D43" w:rsidRPr="00AD2CF5">
          <w:rPr>
            <w:rStyle w:val="Hyperlink"/>
            <w:rFonts w:ascii="Arial" w:hAnsi="Arial" w:cs="Arial"/>
          </w:rPr>
          <w:t>www.iiiglobal.org/file.cfm/159/docs/ALI-III%20Global%20Principles%20booklet_0.pdf</w:t>
        </w:r>
      </w:hyperlink>
      <w:r w:rsidRPr="00F557BF">
        <w:rPr>
          <w:rFonts w:ascii="Arial" w:hAnsi="Arial" w:cs="Arial"/>
        </w:rPr>
        <w:t xml:space="preserve">, </w:t>
      </w:r>
      <w:r w:rsidR="00824022" w:rsidRPr="00F557BF">
        <w:rPr>
          <w:rFonts w:ascii="Arial" w:hAnsi="Arial" w:cs="Arial"/>
        </w:rPr>
        <w:t>accessed 2</w:t>
      </w:r>
      <w:r w:rsidRPr="00F557BF">
        <w:rPr>
          <w:rFonts w:ascii="Arial" w:hAnsi="Arial" w:cs="Arial"/>
        </w:rPr>
        <w:t>3 November 2023.</w:t>
      </w:r>
    </w:p>
  </w:footnote>
  <w:footnote w:id="26">
    <w:p w14:paraId="1DDE6CC2" w14:textId="721279DA" w:rsidR="00A13178" w:rsidRPr="00F557BF" w:rsidRDefault="00A13178" w:rsidP="00FC5510">
      <w:pPr>
        <w:spacing w:after="0" w:line="240" w:lineRule="auto"/>
        <w:jc w:val="both"/>
        <w:rPr>
          <w:rFonts w:ascii="Arial" w:hAnsi="Arial" w:cs="Arial"/>
          <w:color w:val="FF0000"/>
          <w:sz w:val="20"/>
          <w:szCs w:val="20"/>
        </w:rPr>
      </w:pPr>
      <w:r w:rsidRPr="00F557BF">
        <w:rPr>
          <w:rStyle w:val="FootnoteReference"/>
          <w:rFonts w:ascii="Arial" w:hAnsi="Arial" w:cs="Arial"/>
          <w:sz w:val="20"/>
          <w:szCs w:val="20"/>
        </w:rPr>
        <w:footnoteRef/>
      </w:r>
      <w:r w:rsidR="00E4298B" w:rsidRPr="00F557BF">
        <w:rPr>
          <w:rFonts w:ascii="Arial" w:hAnsi="Arial" w:cs="Arial"/>
          <w:color w:val="FF0000"/>
          <w:sz w:val="20"/>
          <w:szCs w:val="20"/>
        </w:rPr>
        <w:t xml:space="preserve"> </w:t>
      </w:r>
      <w:hyperlink r:id="rId10" w:history="1">
        <w:r w:rsidR="005C52A4" w:rsidRPr="00F557BF">
          <w:rPr>
            <w:rStyle w:val="Hyperlink"/>
            <w:rFonts w:ascii="Arial" w:hAnsi="Arial" w:cs="Arial"/>
            <w:sz w:val="20"/>
            <w:szCs w:val="20"/>
          </w:rPr>
          <w:t>www.jin-global.org/jin-guidelines.html</w:t>
        </w:r>
      </w:hyperlink>
      <w:r w:rsidRPr="00F557BF">
        <w:rPr>
          <w:rFonts w:ascii="Arial" w:hAnsi="Arial" w:cs="Arial"/>
          <w:sz w:val="20"/>
          <w:szCs w:val="20"/>
        </w:rPr>
        <w:t xml:space="preserve">, </w:t>
      </w:r>
      <w:r w:rsidR="00824022" w:rsidRPr="00F557BF">
        <w:rPr>
          <w:rFonts w:ascii="Arial" w:hAnsi="Arial" w:cs="Arial"/>
          <w:sz w:val="20"/>
          <w:szCs w:val="20"/>
        </w:rPr>
        <w:t>accessed 2</w:t>
      </w:r>
      <w:r w:rsidRPr="00F557BF">
        <w:rPr>
          <w:rFonts w:ascii="Arial" w:hAnsi="Arial" w:cs="Arial"/>
          <w:sz w:val="20"/>
          <w:szCs w:val="20"/>
        </w:rPr>
        <w:t>3 November 2023.</w:t>
      </w:r>
    </w:p>
  </w:footnote>
  <w:footnote w:id="27">
    <w:p w14:paraId="1E54B21E" w14:textId="3861EF0D" w:rsidR="00A13178" w:rsidRPr="00F557BF" w:rsidRDefault="00A13178" w:rsidP="00FC5510">
      <w:pPr>
        <w:pStyle w:val="FootnoteText"/>
        <w:jc w:val="both"/>
        <w:rPr>
          <w:rStyle w:val="FootnoteReference"/>
          <w:rFonts w:ascii="Arial" w:hAnsi="Arial" w:cs="Arial"/>
        </w:rPr>
      </w:pPr>
      <w:r w:rsidRPr="00F557BF">
        <w:rPr>
          <w:rStyle w:val="FootnoteReference"/>
          <w:rFonts w:ascii="Arial" w:hAnsi="Arial" w:cs="Arial"/>
        </w:rPr>
        <w:footnoteRef/>
      </w:r>
      <w:r w:rsidRPr="00F557BF">
        <w:rPr>
          <w:rStyle w:val="FootnoteReference"/>
          <w:rFonts w:ascii="Arial" w:hAnsi="Arial" w:cs="Arial"/>
        </w:rPr>
        <w:t xml:space="preserve"> </w:t>
      </w:r>
      <w:r w:rsidRPr="00F557BF">
        <w:rPr>
          <w:rStyle w:val="FootnoteReference"/>
          <w:rFonts w:ascii="Arial" w:hAnsi="Arial" w:cs="Arial"/>
          <w:vertAlign w:val="baseline"/>
        </w:rPr>
        <w:t>Reference to these guidelines are made in the Insol Europe Survey Insolvency Regulation in the Netherlands 2016 and Bob Wessel’s blog “2022-11-doc4 Towards a review of the Dutch IP profession</w:t>
      </w:r>
      <w:r w:rsidRPr="00F557BF">
        <w:rPr>
          <w:rFonts w:ascii="Arial" w:hAnsi="Arial" w:cs="Arial"/>
        </w:rPr>
        <w:t>”</w:t>
      </w:r>
      <w:r w:rsidR="00E4298B" w:rsidRPr="00F557BF">
        <w:rPr>
          <w:rFonts w:ascii="Arial" w:hAnsi="Arial" w:cs="Arial"/>
        </w:rPr>
        <w:t>,</w:t>
      </w:r>
      <w:r w:rsidRPr="00F557BF">
        <w:rPr>
          <w:rFonts w:ascii="Arial" w:hAnsi="Arial" w:cs="Arial"/>
        </w:rPr>
        <w:t xml:space="preserve"> </w:t>
      </w:r>
      <w:hyperlink r:id="rId11" w:history="1">
        <w:r w:rsidRPr="00F557BF">
          <w:rPr>
            <w:rStyle w:val="Hyperlink"/>
            <w:rFonts w:ascii="Arial" w:hAnsi="Arial" w:cs="Arial"/>
          </w:rPr>
          <w:t>www.bobwessels.nl/blog/2022-11-doc4-towards-a-review-of-the-dutch-ip-profession/</w:t>
        </w:r>
      </w:hyperlink>
      <w:r w:rsidRPr="00F557BF">
        <w:rPr>
          <w:rFonts w:ascii="Arial" w:hAnsi="Arial" w:cs="Arial"/>
        </w:rPr>
        <w:t xml:space="preserve">, </w:t>
      </w:r>
      <w:r w:rsidR="00824022" w:rsidRPr="00F557BF">
        <w:rPr>
          <w:rFonts w:ascii="Arial" w:hAnsi="Arial" w:cs="Arial"/>
        </w:rPr>
        <w:t>accessed 2</w:t>
      </w:r>
      <w:r w:rsidRPr="00F557BF">
        <w:rPr>
          <w:rFonts w:ascii="Arial" w:hAnsi="Arial" w:cs="Arial"/>
        </w:rPr>
        <w:t>3 November 2023.</w:t>
      </w:r>
    </w:p>
  </w:footnote>
  <w:footnote w:id="28">
    <w:p w14:paraId="725AC425" w14:textId="02A6E592" w:rsidR="005C0F74" w:rsidRPr="00F557BF" w:rsidRDefault="005C0F74" w:rsidP="00FC5510">
      <w:pPr>
        <w:pStyle w:val="FootnoteText"/>
        <w:jc w:val="both"/>
        <w:rPr>
          <w:rFonts w:ascii="Arial" w:hAnsi="Arial" w:cs="Arial"/>
        </w:rPr>
      </w:pPr>
      <w:r w:rsidRPr="00F557BF">
        <w:rPr>
          <w:rStyle w:val="FootnoteReference"/>
          <w:rFonts w:ascii="Arial" w:hAnsi="Arial" w:cs="Arial"/>
        </w:rPr>
        <w:footnoteRef/>
      </w:r>
      <w:r w:rsidRPr="00F557BF">
        <w:rPr>
          <w:rFonts w:ascii="Arial" w:hAnsi="Arial" w:cs="Arial"/>
        </w:rPr>
        <w:t xml:space="preserve"> </w:t>
      </w:r>
      <w:r w:rsidR="002E744B" w:rsidRPr="00F557BF">
        <w:rPr>
          <w:rFonts w:ascii="Arial" w:hAnsi="Arial" w:cs="Arial"/>
        </w:rPr>
        <w:t>Wessels and Boon suggest that the</w:t>
      </w:r>
      <w:r w:rsidRPr="00F557BF">
        <w:rPr>
          <w:rFonts w:ascii="Arial" w:hAnsi="Arial" w:cs="Arial"/>
        </w:rPr>
        <w:t xml:space="preserve"> institutions c</w:t>
      </w:r>
      <w:r w:rsidR="002E744B" w:rsidRPr="00F557BF">
        <w:rPr>
          <w:rFonts w:ascii="Arial" w:hAnsi="Arial" w:cs="Arial"/>
        </w:rPr>
        <w:t>an</w:t>
      </w:r>
      <w:r w:rsidRPr="00F557BF">
        <w:rPr>
          <w:rFonts w:ascii="Arial" w:hAnsi="Arial" w:cs="Arial"/>
        </w:rPr>
        <w:t xml:space="preserve"> be separated into (1) International intergovernmental standard-setting organization (e.g. UNCITRAL and World Bank); (2) other global, regional and local standard-setting organisations</w:t>
      </w:r>
      <w:r w:rsidR="00F70BD3" w:rsidRPr="00F557BF">
        <w:rPr>
          <w:rFonts w:ascii="Arial" w:hAnsi="Arial" w:cs="Arial"/>
        </w:rPr>
        <w:t xml:space="preserve"> (such as  INSOL, III</w:t>
      </w:r>
      <w:r w:rsidR="005C2265" w:rsidRPr="00F557BF">
        <w:rPr>
          <w:rFonts w:ascii="Arial" w:hAnsi="Arial" w:cs="Arial"/>
        </w:rPr>
        <w:t>, ALI and the European Legal Institute</w:t>
      </w:r>
      <w:r w:rsidR="00F70BD3" w:rsidRPr="00F557BF">
        <w:rPr>
          <w:rFonts w:ascii="Arial" w:hAnsi="Arial" w:cs="Arial"/>
        </w:rPr>
        <w:t>)</w:t>
      </w:r>
      <w:r w:rsidRPr="00F557BF">
        <w:rPr>
          <w:rFonts w:ascii="Arial" w:hAnsi="Arial" w:cs="Arial"/>
        </w:rPr>
        <w:t>; and (3) informa</w:t>
      </w:r>
      <w:r w:rsidR="002D3B47" w:rsidRPr="00F557BF">
        <w:rPr>
          <w:rFonts w:ascii="Arial" w:hAnsi="Arial" w:cs="Arial"/>
        </w:rPr>
        <w:t xml:space="preserve">l standard setters (for example, Working Groups for </w:t>
      </w:r>
      <w:proofErr w:type="spellStart"/>
      <w:r w:rsidR="002D3B47" w:rsidRPr="00F557BF">
        <w:rPr>
          <w:rFonts w:ascii="Arial" w:hAnsi="Arial" w:cs="Arial"/>
        </w:rPr>
        <w:t>CoCo</w:t>
      </w:r>
      <w:proofErr w:type="spellEnd"/>
      <w:r w:rsidR="002D3B47" w:rsidRPr="00F557BF">
        <w:rPr>
          <w:rFonts w:ascii="Arial" w:hAnsi="Arial" w:cs="Arial"/>
        </w:rPr>
        <w:t xml:space="preserve"> Guidelines)</w:t>
      </w:r>
      <w:r w:rsidR="002E744B" w:rsidRPr="00F557BF">
        <w:rPr>
          <w:rFonts w:ascii="Arial" w:hAnsi="Arial" w:cs="Arial"/>
        </w:rPr>
        <w:t xml:space="preserve">: </w:t>
      </w:r>
      <w:r w:rsidR="00B07730" w:rsidRPr="00F557BF">
        <w:rPr>
          <w:rFonts w:ascii="Arial" w:hAnsi="Arial" w:cs="Arial"/>
        </w:rPr>
        <w:t xml:space="preserve">See slides from their presentation at the </w:t>
      </w:r>
      <w:proofErr w:type="spellStart"/>
      <w:r w:rsidR="00B07730" w:rsidRPr="00F557BF">
        <w:rPr>
          <w:rFonts w:ascii="Arial" w:hAnsi="Arial" w:cs="Arial"/>
        </w:rPr>
        <w:t>TvOB</w:t>
      </w:r>
      <w:proofErr w:type="spellEnd"/>
      <w:r w:rsidR="00B07730" w:rsidRPr="00F557BF">
        <w:rPr>
          <w:rFonts w:ascii="Arial" w:hAnsi="Arial" w:cs="Arial"/>
        </w:rPr>
        <w:t xml:space="preserve"> Conference on 9 May 2019, </w:t>
      </w:r>
      <w:hyperlink r:id="rId12" w:history="1">
        <w:r w:rsidR="002E744B" w:rsidRPr="00F557BF">
          <w:rPr>
            <w:rStyle w:val="Hyperlink"/>
            <w:rFonts w:ascii="Arial" w:hAnsi="Arial" w:cs="Arial"/>
          </w:rPr>
          <w:t>EU PRIVATE INT’L INSOLVENCY LAW FRAMEWORK (uitgeverijparis.nl)</w:t>
        </w:r>
      </w:hyperlink>
      <w:r w:rsidR="00B07730" w:rsidRPr="00F557BF">
        <w:rPr>
          <w:rFonts w:ascii="Arial" w:hAnsi="Arial" w:cs="Arial"/>
        </w:rPr>
        <w:t xml:space="preserve">, </w:t>
      </w:r>
      <w:r w:rsidR="00824022" w:rsidRPr="00F557BF">
        <w:rPr>
          <w:rFonts w:ascii="Arial" w:hAnsi="Arial" w:cs="Arial"/>
        </w:rPr>
        <w:t>accessed 2</w:t>
      </w:r>
      <w:r w:rsidR="00B07730" w:rsidRPr="00F557BF">
        <w:rPr>
          <w:rFonts w:ascii="Arial" w:hAnsi="Arial" w:cs="Arial"/>
        </w:rPr>
        <w:t>3 November 2023.</w:t>
      </w:r>
    </w:p>
  </w:footnote>
  <w:footnote w:id="29">
    <w:p w14:paraId="7552EAA3" w14:textId="7EA575C1" w:rsidR="00C2276C" w:rsidRPr="00F557BF" w:rsidRDefault="00C2276C" w:rsidP="00FC5510">
      <w:pPr>
        <w:pStyle w:val="FootnoteText"/>
        <w:jc w:val="both"/>
        <w:rPr>
          <w:rFonts w:ascii="Arial" w:hAnsi="Arial" w:cs="Arial"/>
        </w:rPr>
      </w:pPr>
      <w:r w:rsidRPr="00F557BF">
        <w:rPr>
          <w:rStyle w:val="FootnoteReference"/>
          <w:rFonts w:ascii="Arial" w:hAnsi="Arial" w:cs="Arial"/>
        </w:rPr>
        <w:footnoteRef/>
      </w:r>
      <w:r w:rsidRPr="00F557BF">
        <w:rPr>
          <w:rFonts w:ascii="Arial" w:hAnsi="Arial" w:cs="Arial"/>
        </w:rPr>
        <w:t xml:space="preserve"> </w:t>
      </w:r>
      <w:r w:rsidR="00B04668" w:rsidRPr="00F557BF">
        <w:rPr>
          <w:rFonts w:ascii="Arial" w:hAnsi="Arial" w:cs="Arial"/>
        </w:rPr>
        <w:t>As put by Casasola, O and Madaus: “</w:t>
      </w:r>
      <w:r w:rsidR="00B04668" w:rsidRPr="00F557BF">
        <w:rPr>
          <w:rFonts w:ascii="Arial" w:hAnsi="Arial" w:cs="Arial"/>
          <w:i/>
          <w:iCs/>
        </w:rPr>
        <w:t xml:space="preserve">Protocols are a practical attempt to adapt the scopes of national insolvency law to the global dimension of businesses in distress. They function as a bridge between jurisdictions </w:t>
      </w:r>
      <w:proofErr w:type="gramStart"/>
      <w:r w:rsidR="00B04668" w:rsidRPr="00F557BF">
        <w:rPr>
          <w:rFonts w:ascii="Arial" w:hAnsi="Arial" w:cs="Arial"/>
          <w:i/>
          <w:iCs/>
        </w:rPr>
        <w:t>in order to</w:t>
      </w:r>
      <w:proofErr w:type="gramEnd"/>
      <w:r w:rsidR="00B04668" w:rsidRPr="00F557BF">
        <w:rPr>
          <w:rFonts w:ascii="Arial" w:hAnsi="Arial" w:cs="Arial"/>
          <w:i/>
          <w:iCs/>
        </w:rPr>
        <w:t xml:space="preserve"> overcome issues of coordination and communication between insolvency proceedings that are opened in different countries and involve the same debtor or corporate group</w:t>
      </w:r>
      <w:r w:rsidR="00B04668" w:rsidRPr="00F557BF">
        <w:rPr>
          <w:rFonts w:ascii="Arial" w:hAnsi="Arial" w:cs="Arial"/>
        </w:rPr>
        <w:t>.” – See page 2 of</w:t>
      </w:r>
      <w:r w:rsidR="00B04668" w:rsidRPr="00F557BF">
        <w:rPr>
          <w:rFonts w:ascii="Arial" w:hAnsi="Arial" w:cs="Arial"/>
          <w:i/>
          <w:iCs/>
        </w:rPr>
        <w:t xml:space="preserve"> </w:t>
      </w:r>
      <w:r w:rsidR="00B04668" w:rsidRPr="00F557BF">
        <w:rPr>
          <w:rFonts w:ascii="Arial" w:hAnsi="Arial" w:cs="Arial"/>
        </w:rPr>
        <w:t xml:space="preserve">Casasola, O and Madaus, S (2022) Cross-border Insolvency Protocols: Cooperation, Coordination, and Communication Duties under the European Insolvency Regulation Recast. European Business Law Review, 33 (6). pp. 839- 880, available at </w:t>
      </w:r>
      <w:hyperlink r:id="rId13" w:history="1">
        <w:r w:rsidR="00B04668" w:rsidRPr="00F557BF">
          <w:rPr>
            <w:rStyle w:val="Hyperlink"/>
            <w:rFonts w:ascii="Arial" w:hAnsi="Arial" w:cs="Arial"/>
          </w:rPr>
          <w:t>www.eprints.whiterose.ac.uk/193385/1/Cross-border%20Insolvency%20Protocols%20-%20Casasola%20Madaus%20-%20author%20manuscript%20.pdf</w:t>
        </w:r>
      </w:hyperlink>
      <w:r w:rsidR="00B04668" w:rsidRPr="00F557BF">
        <w:rPr>
          <w:rFonts w:ascii="Arial" w:hAnsi="Arial" w:cs="Arial"/>
        </w:rPr>
        <w:t xml:space="preserve">, and referring to Fabian Andreas Van de Ven, The Cross-Border Insolvency Protocol; What Is It and What Is in It? From a European Union Perspective </w:t>
      </w:r>
      <w:hyperlink r:id="rId14" w:history="1">
        <w:r w:rsidR="00B04668" w:rsidRPr="00F557BF">
          <w:rPr>
            <w:rStyle w:val="Hyperlink"/>
            <w:rFonts w:ascii="Arial" w:hAnsi="Arial" w:cs="Arial"/>
          </w:rPr>
          <w:t>www.academia.edu/15056737/The_Cross_Border_Insolvency_Protocol_what_is_it_and_what_is_in_it_From_a_European_Union_Perspective</w:t>
        </w:r>
      </w:hyperlink>
      <w:r w:rsidR="00B04668" w:rsidRPr="00F557BF">
        <w:rPr>
          <w:rFonts w:ascii="Arial" w:hAnsi="Arial" w:cs="Arial"/>
        </w:rPr>
        <w:t>.</w:t>
      </w:r>
    </w:p>
  </w:footnote>
  <w:footnote w:id="30">
    <w:p w14:paraId="6042E281" w14:textId="77777777" w:rsidR="0024237F" w:rsidRPr="00F557BF" w:rsidRDefault="0024237F" w:rsidP="00FC5510">
      <w:pPr>
        <w:spacing w:after="0" w:line="240" w:lineRule="auto"/>
        <w:jc w:val="both"/>
        <w:rPr>
          <w:rFonts w:ascii="Arial" w:hAnsi="Arial" w:cs="Arial"/>
          <w:sz w:val="20"/>
          <w:szCs w:val="20"/>
        </w:rPr>
      </w:pPr>
      <w:r w:rsidRPr="00F557BF">
        <w:rPr>
          <w:rStyle w:val="FootnoteReference"/>
          <w:rFonts w:ascii="Arial" w:hAnsi="Arial" w:cs="Arial"/>
          <w:sz w:val="20"/>
          <w:szCs w:val="20"/>
        </w:rPr>
        <w:footnoteRef/>
      </w:r>
      <w:r w:rsidRPr="00F557BF">
        <w:rPr>
          <w:rFonts w:ascii="Arial" w:hAnsi="Arial" w:cs="Arial"/>
          <w:sz w:val="20"/>
          <w:szCs w:val="20"/>
        </w:rPr>
        <w:t xml:space="preserve"> In some countries, some of these (and other) guidelines are elevated beyond “soft law,” and have in fact been incorporated – in whole or in part - as legally binding. Examples include:</w:t>
      </w:r>
    </w:p>
    <w:p w14:paraId="5040909B" w14:textId="77777777" w:rsidR="0024237F" w:rsidRPr="00F557BF" w:rsidRDefault="0024237F" w:rsidP="00FC5510">
      <w:pPr>
        <w:pStyle w:val="ListParagraph"/>
        <w:numPr>
          <w:ilvl w:val="0"/>
          <w:numId w:val="2"/>
        </w:numPr>
        <w:spacing w:after="0" w:line="240" w:lineRule="auto"/>
        <w:jc w:val="both"/>
        <w:rPr>
          <w:rFonts w:ascii="Arial" w:hAnsi="Arial" w:cs="Arial"/>
          <w:sz w:val="20"/>
          <w:szCs w:val="20"/>
        </w:rPr>
      </w:pPr>
      <w:r w:rsidRPr="00F557BF">
        <w:rPr>
          <w:rFonts w:ascii="Arial" w:hAnsi="Arial" w:cs="Arial"/>
          <w:sz w:val="20"/>
          <w:szCs w:val="20"/>
        </w:rPr>
        <w:t>The adoption of the JIN Guidelines. See their website for countries which have adopted the guidelines. These include The District Court Midden-Nederland, certain US states, the Cayman Islands and myriad other common law territories.</w:t>
      </w:r>
      <w:r w:rsidRPr="00F557BF">
        <w:rPr>
          <w:rFonts w:ascii="Arial" w:hAnsi="Arial" w:cs="Arial"/>
          <w:sz w:val="20"/>
          <w:szCs w:val="20"/>
          <w:vertAlign w:val="superscript"/>
        </w:rPr>
        <w:footnoteRef/>
      </w:r>
    </w:p>
    <w:p w14:paraId="57F86220" w14:textId="77777777" w:rsidR="0024237F" w:rsidRPr="00F557BF" w:rsidRDefault="0024237F" w:rsidP="00FC5510">
      <w:pPr>
        <w:pStyle w:val="ListParagraph"/>
        <w:numPr>
          <w:ilvl w:val="0"/>
          <w:numId w:val="2"/>
        </w:numPr>
        <w:spacing w:after="0" w:line="240" w:lineRule="auto"/>
        <w:jc w:val="both"/>
        <w:rPr>
          <w:rFonts w:ascii="Arial" w:hAnsi="Arial" w:cs="Arial"/>
          <w:sz w:val="20"/>
          <w:szCs w:val="20"/>
        </w:rPr>
      </w:pPr>
      <w:r w:rsidRPr="00F557BF">
        <w:rPr>
          <w:rFonts w:ascii="Arial" w:hAnsi="Arial" w:cs="Arial"/>
          <w:sz w:val="20"/>
          <w:szCs w:val="20"/>
        </w:rPr>
        <w:t>The UNCITRAL Model Laws, which have been adopted in whole, or in part, in many jurisdictions across the globe.</w:t>
      </w:r>
    </w:p>
    <w:p w14:paraId="5F531A0B" w14:textId="39B5E1D7" w:rsidR="0024237F" w:rsidRPr="00F557BF" w:rsidRDefault="0024237F" w:rsidP="00FC5510">
      <w:pPr>
        <w:pStyle w:val="FootnoteText"/>
        <w:jc w:val="both"/>
        <w:rPr>
          <w:rFonts w:ascii="Arial" w:hAnsi="Arial" w:cs="Arial"/>
        </w:rPr>
      </w:pPr>
      <w:r w:rsidRPr="00F557BF">
        <w:rPr>
          <w:rFonts w:ascii="Arial" w:hAnsi="Arial" w:cs="Arial"/>
        </w:rPr>
        <w:t>However, at the point of incorporation into local la</w:t>
      </w:r>
      <w:r w:rsidR="001F38E6" w:rsidRPr="00F557BF">
        <w:rPr>
          <w:rFonts w:ascii="Arial" w:hAnsi="Arial" w:cs="Arial"/>
        </w:rPr>
        <w:t>w</w:t>
      </w:r>
      <w:r w:rsidRPr="00F557BF">
        <w:rPr>
          <w:rFonts w:ascii="Arial" w:hAnsi="Arial" w:cs="Arial"/>
        </w:rPr>
        <w:t xml:space="preserve">, it is no longer </w:t>
      </w:r>
      <w:r w:rsidR="001F38E6" w:rsidRPr="00F557BF">
        <w:rPr>
          <w:rFonts w:ascii="Arial" w:hAnsi="Arial" w:cs="Arial"/>
        </w:rPr>
        <w:t xml:space="preserve">appropriate to term them </w:t>
      </w:r>
      <w:r w:rsidRPr="00F557BF">
        <w:rPr>
          <w:rFonts w:ascii="Arial" w:hAnsi="Arial" w:cs="Arial"/>
        </w:rPr>
        <w:t>“soft law”</w:t>
      </w:r>
      <w:r w:rsidR="001229F0" w:rsidRPr="00F557BF">
        <w:rPr>
          <w:rFonts w:ascii="Arial" w:hAnsi="Arial" w:cs="Arial"/>
        </w:rPr>
        <w:t>.</w:t>
      </w:r>
    </w:p>
  </w:footnote>
  <w:footnote w:id="31">
    <w:p w14:paraId="04FB12CE" w14:textId="3BFB82D6" w:rsidR="00E31F92" w:rsidRPr="00F557BF" w:rsidRDefault="00E31F92" w:rsidP="00FC5510">
      <w:pPr>
        <w:autoSpaceDE w:val="0"/>
        <w:autoSpaceDN w:val="0"/>
        <w:adjustRightInd w:val="0"/>
        <w:spacing w:after="0" w:line="240" w:lineRule="auto"/>
        <w:jc w:val="both"/>
        <w:rPr>
          <w:rFonts w:ascii="Arial" w:hAnsi="Arial" w:cs="Arial"/>
          <w:sz w:val="20"/>
          <w:szCs w:val="20"/>
        </w:rPr>
      </w:pPr>
      <w:r w:rsidRPr="00F557BF">
        <w:rPr>
          <w:rStyle w:val="FootnoteReference"/>
          <w:rFonts w:ascii="Arial" w:hAnsi="Arial" w:cs="Arial"/>
          <w:sz w:val="20"/>
          <w:szCs w:val="20"/>
        </w:rPr>
        <w:footnoteRef/>
      </w:r>
      <w:r w:rsidRPr="00F557BF">
        <w:rPr>
          <w:rFonts w:ascii="Arial" w:hAnsi="Arial" w:cs="Arial"/>
          <w:sz w:val="20"/>
          <w:szCs w:val="20"/>
        </w:rPr>
        <w:t xml:space="preserve"> </w:t>
      </w:r>
      <w:r w:rsidR="00294451" w:rsidRPr="00F557BF">
        <w:rPr>
          <w:rFonts w:ascii="Arial" w:hAnsi="Arial" w:cs="Arial"/>
          <w:sz w:val="20"/>
          <w:szCs w:val="20"/>
        </w:rPr>
        <w:t>Broekema M.J.R. &amp; Adriaanse J.A.A. (2022), Valuation Ambiguities under the European Directive on Preventive Restructuring Frameworks: Insights from the Netherlands, The European Business Valuation Magazine 1(1): 4-10</w:t>
      </w:r>
    </w:p>
  </w:footnote>
  <w:footnote w:id="32">
    <w:p w14:paraId="5B2A621B" w14:textId="77777777" w:rsidR="00D0462A" w:rsidRPr="00F557BF" w:rsidRDefault="00D0462A" w:rsidP="00FC5510">
      <w:pPr>
        <w:pStyle w:val="FootnoteText"/>
        <w:jc w:val="both"/>
        <w:rPr>
          <w:rFonts w:ascii="Arial" w:hAnsi="Arial" w:cs="Arial"/>
        </w:rPr>
      </w:pPr>
      <w:r w:rsidRPr="00F557BF">
        <w:rPr>
          <w:rStyle w:val="FootnoteReference"/>
          <w:rFonts w:ascii="Arial" w:hAnsi="Arial" w:cs="Arial"/>
        </w:rPr>
        <w:footnoteRef/>
      </w:r>
      <w:r w:rsidRPr="00F557BF">
        <w:rPr>
          <w:rFonts w:ascii="Arial" w:hAnsi="Arial" w:cs="Arial"/>
        </w:rPr>
        <w:t xml:space="preserve"> </w:t>
      </w:r>
      <w:hyperlink r:id="rId15" w:history="1">
        <w:r w:rsidRPr="00F557BF">
          <w:rPr>
            <w:rStyle w:val="Hyperlink"/>
            <w:rFonts w:ascii="Arial" w:hAnsi="Arial" w:cs="Arial"/>
          </w:rPr>
          <w:t>EUR-Lex - 32015R0848 - EN - EUR-Lex (europa.eu)</w:t>
        </w:r>
      </w:hyperlink>
      <w:r w:rsidRPr="00F557BF">
        <w:rPr>
          <w:rFonts w:ascii="Arial" w:hAnsi="Arial" w:cs="Arial"/>
        </w:rPr>
        <w:t>, accessed 24 November 2023.</w:t>
      </w:r>
    </w:p>
  </w:footnote>
  <w:footnote w:id="33">
    <w:p w14:paraId="04029C6D" w14:textId="77777777" w:rsidR="00D0462A" w:rsidRPr="00F557BF" w:rsidRDefault="00D0462A" w:rsidP="00FC5510">
      <w:pPr>
        <w:pStyle w:val="FootnoteText"/>
        <w:jc w:val="both"/>
        <w:rPr>
          <w:rFonts w:ascii="Arial" w:hAnsi="Arial" w:cs="Arial"/>
          <w:lang/>
        </w:rPr>
      </w:pPr>
      <w:r w:rsidRPr="00F557BF">
        <w:rPr>
          <w:rStyle w:val="FootnoteReference"/>
          <w:rFonts w:ascii="Arial" w:hAnsi="Arial" w:cs="Arial"/>
        </w:rPr>
        <w:footnoteRef/>
      </w:r>
      <w:r w:rsidRPr="00F557BF">
        <w:rPr>
          <w:rFonts w:ascii="Arial" w:hAnsi="Arial" w:cs="Arial"/>
        </w:rPr>
        <w:t xml:space="preserve"> </w:t>
      </w:r>
      <w:r w:rsidRPr="00F557BF">
        <w:rPr>
          <w:rFonts w:ascii="Arial" w:hAnsi="Arial" w:cs="Arial"/>
          <w:lang/>
        </w:rPr>
        <w:t>Texas, Delaware, Southern District of New York, to name a few.</w:t>
      </w:r>
    </w:p>
  </w:footnote>
  <w:footnote w:id="34">
    <w:p w14:paraId="749FDE26" w14:textId="477C90F8" w:rsidR="00FA5221" w:rsidRPr="00F557BF" w:rsidRDefault="00FA5221" w:rsidP="00FC5510">
      <w:pPr>
        <w:pStyle w:val="FootnoteText"/>
        <w:jc w:val="both"/>
        <w:rPr>
          <w:rFonts w:ascii="Arial" w:hAnsi="Arial" w:cs="Arial"/>
          <w:lang/>
        </w:rPr>
      </w:pPr>
      <w:r w:rsidRPr="00F557BF">
        <w:rPr>
          <w:rStyle w:val="FootnoteReference"/>
          <w:rFonts w:ascii="Arial" w:hAnsi="Arial" w:cs="Arial"/>
        </w:rPr>
        <w:footnoteRef/>
      </w:r>
      <w:r w:rsidRPr="00F557BF">
        <w:rPr>
          <w:rFonts w:ascii="Arial" w:hAnsi="Arial" w:cs="Arial"/>
        </w:rPr>
        <w:t xml:space="preserve"> </w:t>
      </w:r>
      <w:r w:rsidRPr="00F557BF">
        <w:rPr>
          <w:rFonts w:ascii="Arial" w:hAnsi="Arial" w:cs="Arial"/>
          <w:lang/>
        </w:rPr>
        <w:t>For example, the Grand Court of the Cayman Islands has jurisdiction to wind up a company incorporated outside of the Cayman Islands if the company (i) has property located in the Cayman Islands; (ii) is carrying on business in the Cayman Islands; (iii) is the general partner of a limited partnership; or (iv) is registered as a foreign company in the Cayman Islands.</w:t>
      </w:r>
      <w:r w:rsidR="000C68AA" w:rsidRPr="00F557BF">
        <w:rPr>
          <w:rFonts w:ascii="Arial" w:hAnsi="Arial" w:cs="Arial"/>
          <w:lang/>
        </w:rPr>
        <w:t xml:space="preserve"> See section 91 of the Companies Act (2023 Revision).</w:t>
      </w:r>
    </w:p>
  </w:footnote>
  <w:footnote w:id="35">
    <w:p w14:paraId="2F50F087" w14:textId="3E339C9B" w:rsidR="00E35E0C" w:rsidRPr="00F557BF" w:rsidRDefault="00E35E0C" w:rsidP="00FC5510">
      <w:pPr>
        <w:spacing w:after="0" w:line="240" w:lineRule="auto"/>
        <w:jc w:val="both"/>
        <w:rPr>
          <w:rFonts w:ascii="Arial" w:hAnsi="Arial" w:cs="Arial"/>
          <w:color w:val="3D3D3D"/>
          <w:sz w:val="20"/>
          <w:szCs w:val="20"/>
          <w:shd w:val="clear" w:color="auto" w:fill="FFFFFF"/>
        </w:rPr>
      </w:pPr>
      <w:r w:rsidRPr="00F557BF">
        <w:rPr>
          <w:rStyle w:val="FootnoteReference"/>
          <w:rFonts w:ascii="Arial" w:hAnsi="Arial" w:cs="Arial"/>
          <w:sz w:val="20"/>
          <w:szCs w:val="20"/>
        </w:rPr>
        <w:footnoteRef/>
      </w:r>
      <w:r w:rsidRPr="00F557BF">
        <w:rPr>
          <w:rFonts w:ascii="Arial" w:hAnsi="Arial" w:cs="Arial"/>
          <w:sz w:val="20"/>
          <w:szCs w:val="20"/>
        </w:rPr>
        <w:t xml:space="preserve"> There is an interesting discussion at Chapter 6 of the Rescue of Business in Insolvency Law produced by the European Law Institute in 2017 (from page 276 of the pdf) comparing claw-back and safe </w:t>
      </w:r>
      <w:proofErr w:type="spellStart"/>
      <w:r w:rsidRPr="00F557BF">
        <w:rPr>
          <w:rFonts w:ascii="Arial" w:hAnsi="Arial" w:cs="Arial"/>
          <w:sz w:val="20"/>
          <w:szCs w:val="20"/>
        </w:rPr>
        <w:t>harbour</w:t>
      </w:r>
      <w:proofErr w:type="spellEnd"/>
      <w:r w:rsidRPr="00F557BF">
        <w:rPr>
          <w:rFonts w:ascii="Arial" w:hAnsi="Arial" w:cs="Arial"/>
          <w:sz w:val="20"/>
          <w:szCs w:val="20"/>
        </w:rPr>
        <w:t xml:space="preserve"> rules across various European (and former European) regimes, </w:t>
      </w:r>
      <w:hyperlink r:id="rId16" w:history="1">
        <w:r w:rsidRPr="00F557BF">
          <w:rPr>
            <w:rStyle w:val="Hyperlink"/>
            <w:rFonts w:ascii="Arial" w:hAnsi="Arial" w:cs="Arial"/>
            <w:sz w:val="20"/>
            <w:szCs w:val="20"/>
          </w:rPr>
          <w:t>https://www.europeanlawinstitute.eu/fileadmin/user_upload/p_eli/Publications/Instrument_INSOLVENCY.pdf</w:t>
        </w:r>
      </w:hyperlink>
      <w:r w:rsidRPr="00F557BF">
        <w:rPr>
          <w:rFonts w:ascii="Arial" w:hAnsi="Arial" w:cs="Arial"/>
          <w:sz w:val="20"/>
          <w:szCs w:val="20"/>
        </w:rPr>
        <w:t xml:space="preserve">, </w:t>
      </w:r>
      <w:r w:rsidR="00824022" w:rsidRPr="00F557BF">
        <w:rPr>
          <w:rFonts w:ascii="Arial" w:hAnsi="Arial" w:cs="Arial"/>
          <w:sz w:val="20"/>
          <w:szCs w:val="20"/>
        </w:rPr>
        <w:t>accessed 2</w:t>
      </w:r>
      <w:r w:rsidRPr="00F557BF">
        <w:rPr>
          <w:rFonts w:ascii="Arial" w:hAnsi="Arial" w:cs="Arial"/>
          <w:sz w:val="20"/>
          <w:szCs w:val="20"/>
        </w:rPr>
        <w:t>3 November 2023.</w:t>
      </w:r>
    </w:p>
  </w:footnote>
  <w:footnote w:id="36">
    <w:p w14:paraId="1BC1ED40" w14:textId="2414234B" w:rsidR="0055086B" w:rsidRPr="00F557BF" w:rsidRDefault="0055086B" w:rsidP="00FC5510">
      <w:pPr>
        <w:pStyle w:val="FootnoteText"/>
        <w:jc w:val="both"/>
        <w:rPr>
          <w:rFonts w:ascii="Arial" w:hAnsi="Arial" w:cs="Arial"/>
        </w:rPr>
      </w:pPr>
      <w:r w:rsidRPr="00F557BF">
        <w:rPr>
          <w:rStyle w:val="FootnoteReference"/>
          <w:rFonts w:ascii="Arial" w:hAnsi="Arial" w:cs="Arial"/>
        </w:rPr>
        <w:footnoteRef/>
      </w:r>
      <w:r w:rsidR="00C00935" w:rsidRPr="00F557BF">
        <w:rPr>
          <w:rFonts w:ascii="Arial" w:hAnsi="Arial" w:cs="Arial"/>
        </w:rPr>
        <w:t xml:space="preserve">J. Payne, </w:t>
      </w:r>
      <w:r w:rsidRPr="00F557BF">
        <w:rPr>
          <w:rFonts w:ascii="Arial" w:hAnsi="Arial" w:cs="Arial"/>
        </w:rPr>
        <w:t>The UK Restructuring Moratorium</w:t>
      </w:r>
      <w:r w:rsidR="005E5406" w:rsidRPr="00F557BF">
        <w:rPr>
          <w:rFonts w:ascii="Arial" w:hAnsi="Arial" w:cs="Arial"/>
        </w:rPr>
        <w:t>, 26 January 2021</w:t>
      </w:r>
      <w:r w:rsidR="00182B57" w:rsidRPr="00F557BF">
        <w:rPr>
          <w:rFonts w:ascii="Arial" w:hAnsi="Arial" w:cs="Arial"/>
        </w:rPr>
        <w:t>,</w:t>
      </w:r>
      <w:r w:rsidRPr="00F557BF">
        <w:rPr>
          <w:rFonts w:ascii="Arial" w:hAnsi="Arial" w:cs="Arial"/>
        </w:rPr>
        <w:t xml:space="preserve"> </w:t>
      </w:r>
      <w:hyperlink r:id="rId17" w:history="1">
        <w:r w:rsidR="0018014D" w:rsidRPr="00F557BF">
          <w:rPr>
            <w:rStyle w:val="Hyperlink"/>
            <w:rFonts w:ascii="Arial" w:hAnsi="Arial" w:cs="Arial"/>
          </w:rPr>
          <w:t>https://blogs.law.ox.ac.uk/business-law-blog/blog/2021/01/uk-restructuring-moratorium</w:t>
        </w:r>
      </w:hyperlink>
      <w:r w:rsidRPr="00F557BF">
        <w:rPr>
          <w:rFonts w:ascii="Arial" w:hAnsi="Arial" w:cs="Arial"/>
        </w:rPr>
        <w:t xml:space="preserve">, </w:t>
      </w:r>
      <w:r w:rsidR="00824022" w:rsidRPr="00F557BF">
        <w:rPr>
          <w:rFonts w:ascii="Arial" w:hAnsi="Arial" w:cs="Arial"/>
        </w:rPr>
        <w:t>accessed 2</w:t>
      </w:r>
      <w:r w:rsidRPr="00F557BF">
        <w:rPr>
          <w:rFonts w:ascii="Arial" w:hAnsi="Arial" w:cs="Arial"/>
        </w:rPr>
        <w:t>2 November 2023.</w:t>
      </w:r>
    </w:p>
  </w:footnote>
  <w:footnote w:id="37">
    <w:p w14:paraId="33F55831" w14:textId="086141A1" w:rsidR="008531A9" w:rsidRPr="00F557BF" w:rsidRDefault="008531A9" w:rsidP="00FC5510">
      <w:pPr>
        <w:pStyle w:val="FootnoteText"/>
        <w:jc w:val="both"/>
        <w:rPr>
          <w:rFonts w:ascii="Arial" w:hAnsi="Arial" w:cs="Arial"/>
        </w:rPr>
      </w:pPr>
      <w:r w:rsidRPr="00F557BF">
        <w:rPr>
          <w:rStyle w:val="FootnoteReference"/>
          <w:rFonts w:ascii="Arial" w:hAnsi="Arial" w:cs="Arial"/>
        </w:rPr>
        <w:footnoteRef/>
      </w:r>
      <w:r w:rsidRPr="00F557BF">
        <w:rPr>
          <w:rFonts w:ascii="Arial" w:hAnsi="Arial" w:cs="Arial"/>
        </w:rPr>
        <w:t xml:space="preserve"> </w:t>
      </w:r>
      <w:proofErr w:type="gramStart"/>
      <w:r w:rsidRPr="00F557BF">
        <w:rPr>
          <w:rFonts w:ascii="Arial" w:hAnsi="Arial" w:cs="Arial"/>
        </w:rPr>
        <w:t>For the purpose of</w:t>
      </w:r>
      <w:proofErr w:type="gramEnd"/>
      <w:r w:rsidRPr="00F557BF">
        <w:rPr>
          <w:rFonts w:ascii="Arial" w:hAnsi="Arial" w:cs="Arial"/>
        </w:rPr>
        <w:t xml:space="preserve"> this discussion, the focus is solely on moratoria in </w:t>
      </w:r>
      <w:r w:rsidR="009A04A1" w:rsidRPr="00F557BF">
        <w:rPr>
          <w:rFonts w:ascii="Arial" w:hAnsi="Arial" w:cs="Arial"/>
        </w:rPr>
        <w:t xml:space="preserve">respect of civil claims, although it is noted that </w:t>
      </w:r>
      <w:r w:rsidRPr="00F557BF">
        <w:rPr>
          <w:rFonts w:ascii="Arial" w:hAnsi="Arial" w:cs="Arial"/>
        </w:rPr>
        <w:t xml:space="preserve">a stay </w:t>
      </w:r>
      <w:r w:rsidR="009A04A1" w:rsidRPr="00F557BF">
        <w:rPr>
          <w:rFonts w:ascii="Arial" w:hAnsi="Arial" w:cs="Arial"/>
        </w:rPr>
        <w:t>can</w:t>
      </w:r>
      <w:r w:rsidRPr="00F557BF">
        <w:rPr>
          <w:rFonts w:ascii="Arial" w:hAnsi="Arial" w:cs="Arial"/>
        </w:rPr>
        <w:t xml:space="preserve"> be sought of any criminal proceedings against the Company – see section 97(1A).</w:t>
      </w:r>
    </w:p>
  </w:footnote>
  <w:footnote w:id="38">
    <w:p w14:paraId="4E3D7854" w14:textId="6B50F2E4" w:rsidR="00F1748B" w:rsidRPr="00F557BF" w:rsidRDefault="00F1748B" w:rsidP="00FC5510">
      <w:pPr>
        <w:pStyle w:val="FootnoteText"/>
        <w:jc w:val="both"/>
        <w:rPr>
          <w:rFonts w:ascii="Arial" w:hAnsi="Arial" w:cs="Arial"/>
        </w:rPr>
      </w:pPr>
      <w:r w:rsidRPr="00F557BF">
        <w:rPr>
          <w:rStyle w:val="FootnoteReference"/>
          <w:rFonts w:ascii="Arial" w:hAnsi="Arial" w:cs="Arial"/>
        </w:rPr>
        <w:footnoteRef/>
      </w:r>
      <w:r w:rsidRPr="00F557BF">
        <w:rPr>
          <w:rFonts w:ascii="Arial" w:hAnsi="Arial" w:cs="Arial"/>
        </w:rPr>
        <w:t xml:space="preserve"> “</w:t>
      </w:r>
      <w:r w:rsidRPr="00F557BF">
        <w:rPr>
          <w:rFonts w:ascii="Arial" w:hAnsi="Arial" w:cs="Arial"/>
          <w:i/>
          <w:iCs/>
        </w:rPr>
        <w:t>When a winding up order is made or a provisional liquidator is appointed, no suit, action or other proceedings, other than criminal proceedings, shall be proceeded with or commenced against the company except with the leave of the Court and subject to such terms as the Court may impose.</w:t>
      </w:r>
      <w:r w:rsidRPr="00F557BF">
        <w:rPr>
          <w:rFonts w:ascii="Arial" w:hAnsi="Arial" w:cs="Arial"/>
        </w:rPr>
        <w:t>”</w:t>
      </w:r>
    </w:p>
  </w:footnote>
  <w:footnote w:id="39">
    <w:p w14:paraId="696F132E" w14:textId="7A18A455" w:rsidR="00871888" w:rsidRPr="00F557BF" w:rsidRDefault="00871888" w:rsidP="00FC5510">
      <w:pPr>
        <w:pStyle w:val="FootnoteText"/>
        <w:jc w:val="both"/>
        <w:rPr>
          <w:rFonts w:ascii="Arial" w:hAnsi="Arial" w:cs="Arial"/>
        </w:rPr>
      </w:pPr>
      <w:r w:rsidRPr="00F557BF">
        <w:rPr>
          <w:rStyle w:val="FootnoteReference"/>
          <w:rFonts w:ascii="Arial" w:hAnsi="Arial" w:cs="Arial"/>
        </w:rPr>
        <w:footnoteRef/>
      </w:r>
      <w:r w:rsidRPr="00F557BF">
        <w:rPr>
          <w:rFonts w:ascii="Arial" w:hAnsi="Arial" w:cs="Arial"/>
        </w:rPr>
        <w:t xml:space="preserve"> </w:t>
      </w:r>
      <w:r w:rsidRPr="00F557BF">
        <w:rPr>
          <w:rFonts w:ascii="Arial" w:hAnsi="Arial" w:cs="Arial"/>
          <w:i/>
          <w:iCs/>
        </w:rPr>
        <w:t>Re Madison Niche Opportunities</w:t>
      </w:r>
      <w:r w:rsidR="00D149F5" w:rsidRPr="00F557BF">
        <w:rPr>
          <w:rFonts w:ascii="Arial" w:hAnsi="Arial" w:cs="Arial"/>
        </w:rPr>
        <w:t xml:space="preserve"> FSD 35 and 36 of 2015 (ASCJ)</w:t>
      </w:r>
      <w:r w:rsidR="00A25CFA" w:rsidRPr="00F557BF">
        <w:rPr>
          <w:rFonts w:ascii="Arial" w:hAnsi="Arial" w:cs="Arial"/>
        </w:rPr>
        <w:t>, unreported, 30 May 2016</w:t>
      </w:r>
      <w:r w:rsidRPr="00F557BF">
        <w:rPr>
          <w:rFonts w:ascii="Arial" w:hAnsi="Arial" w:cs="Arial"/>
        </w:rPr>
        <w:t xml:space="preserve"> and </w:t>
      </w:r>
      <w:r w:rsidRPr="00F557BF">
        <w:rPr>
          <w:rFonts w:ascii="Arial" w:hAnsi="Arial" w:cs="Arial"/>
          <w:i/>
          <w:iCs/>
        </w:rPr>
        <w:t>Re Ardent Harmony</w:t>
      </w:r>
      <w:r w:rsidR="00FF6596" w:rsidRPr="00F557BF">
        <w:rPr>
          <w:rFonts w:ascii="Arial" w:hAnsi="Arial" w:cs="Arial"/>
          <w:i/>
          <w:iCs/>
        </w:rPr>
        <w:t xml:space="preserve"> </w:t>
      </w:r>
      <w:r w:rsidR="00FF6596" w:rsidRPr="00F557BF">
        <w:rPr>
          <w:rFonts w:ascii="Arial" w:hAnsi="Arial" w:cs="Arial"/>
        </w:rPr>
        <w:t>FSD 54 of 2016 (ASCJ), unreported, 31 May 2016</w:t>
      </w:r>
      <w:r w:rsidR="00177910" w:rsidRPr="00F557BF">
        <w:rPr>
          <w:rFonts w:ascii="Arial" w:hAnsi="Arial" w:cs="Arial"/>
          <w:i/>
          <w:iCs/>
        </w:rPr>
        <w:t>.</w:t>
      </w:r>
    </w:p>
  </w:footnote>
  <w:footnote w:id="40">
    <w:p w14:paraId="3D94A65F" w14:textId="54DE187A" w:rsidR="00BD3EF8" w:rsidRPr="00F557BF" w:rsidRDefault="00BD3EF8" w:rsidP="00FC5510">
      <w:pPr>
        <w:pStyle w:val="FootnoteText"/>
        <w:jc w:val="both"/>
        <w:rPr>
          <w:rFonts w:ascii="Arial" w:hAnsi="Arial" w:cs="Arial"/>
        </w:rPr>
      </w:pPr>
      <w:r w:rsidRPr="00F557BF">
        <w:rPr>
          <w:rStyle w:val="FootnoteReference"/>
          <w:rFonts w:ascii="Arial" w:hAnsi="Arial" w:cs="Arial"/>
        </w:rPr>
        <w:footnoteRef/>
      </w:r>
      <w:r w:rsidRPr="00F557BF">
        <w:rPr>
          <w:rFonts w:ascii="Arial" w:hAnsi="Arial" w:cs="Arial"/>
        </w:rPr>
        <w:t xml:space="preserve"> Articles reviewed</w:t>
      </w:r>
      <w:r w:rsidR="00FA0E86" w:rsidRPr="00F557BF">
        <w:rPr>
          <w:rFonts w:ascii="Arial" w:hAnsi="Arial" w:cs="Arial"/>
        </w:rPr>
        <w:t>; each of which was accessed and/or downloaded on 23 or 24 November 2023</w:t>
      </w:r>
      <w:r w:rsidRPr="00F557BF">
        <w:rPr>
          <w:rFonts w:ascii="Arial" w:hAnsi="Arial" w:cs="Arial"/>
        </w:rPr>
        <w:t xml:space="preserve">: Prof. Reinhard Bork, Pre-insolvency moratoria – a legal comparison, European Insolvency and Restructuring Journal Academic Article EIRJ 2021-9, </w:t>
      </w:r>
      <w:hyperlink r:id="rId18" w:history="1">
        <w:r w:rsidRPr="00F557BF">
          <w:rPr>
            <w:rStyle w:val="Hyperlink"/>
            <w:rFonts w:ascii="Arial" w:hAnsi="Arial" w:cs="Arial"/>
          </w:rPr>
          <w:t>Restructuring &amp; Insolvency Laws and Regulations Report 2023 Netherlands (iclg.com)</w:t>
        </w:r>
      </w:hyperlink>
      <w:r w:rsidRPr="00F557BF">
        <w:rPr>
          <w:rFonts w:ascii="Arial" w:hAnsi="Arial" w:cs="Arial"/>
        </w:rPr>
        <w:t xml:space="preserve">; </w:t>
      </w:r>
      <w:hyperlink r:id="rId19" w:history="1">
        <w:r w:rsidRPr="00F557BF">
          <w:rPr>
            <w:rStyle w:val="Hyperlink"/>
            <w:rFonts w:ascii="Arial" w:hAnsi="Arial" w:cs="Arial"/>
          </w:rPr>
          <w:t>dutch-scheme-of-arrangement.pdf (loyensloeff.com)</w:t>
        </w:r>
      </w:hyperlink>
      <w:r w:rsidR="00072624" w:rsidRPr="00F557BF">
        <w:rPr>
          <w:rFonts w:ascii="Arial" w:hAnsi="Arial" w:cs="Arial"/>
        </w:rPr>
        <w:t xml:space="preserve">; </w:t>
      </w:r>
      <w:hyperlink r:id="rId20" w:history="1">
        <w:r w:rsidR="00072624" w:rsidRPr="00F557BF">
          <w:rPr>
            <w:rStyle w:val="Hyperlink"/>
            <w:rFonts w:ascii="Arial" w:hAnsi="Arial" w:cs="Arial"/>
          </w:rPr>
          <w:t>The UK Restructuring Moratorium | Oxford Law Blogs</w:t>
        </w:r>
      </w:hyperlink>
      <w:r w:rsidR="00072624" w:rsidRPr="00F557BF">
        <w:rPr>
          <w:rFonts w:ascii="Arial" w:hAnsi="Arial" w:cs="Arial"/>
        </w:rPr>
        <w:t xml:space="preserve">; </w:t>
      </w:r>
      <w:hyperlink r:id="rId21" w:history="1">
        <w:r w:rsidR="003E1AA3" w:rsidRPr="00F557BF">
          <w:rPr>
            <w:rStyle w:val="Hyperlink"/>
            <w:rFonts w:ascii="Arial" w:hAnsi="Arial" w:cs="Arial"/>
          </w:rPr>
          <w:t>a-guide-to-restructuring-and-insolvency-procedures-in-europe.pdf (cliffordchance.com)</w:t>
        </w:r>
      </w:hyperlink>
      <w:r w:rsidR="00287F66" w:rsidRPr="00F557BF">
        <w:rPr>
          <w:rFonts w:ascii="Arial" w:hAnsi="Arial" w:cs="Arial"/>
        </w:rPr>
        <w:t xml:space="preserve">; </w:t>
      </w:r>
      <w:hyperlink r:id="rId22" w:history="1">
        <w:r w:rsidR="00F64337" w:rsidRPr="00F557BF">
          <w:rPr>
            <w:rStyle w:val="Hyperlink"/>
            <w:rFonts w:ascii="Arial" w:hAnsi="Arial" w:cs="Arial"/>
          </w:rPr>
          <w:t>UK Corporate Insolvency And Governance Bill | DLA Piper</w:t>
        </w:r>
      </w:hyperlink>
      <w:r w:rsidR="00FA0E86" w:rsidRPr="00F557BF">
        <w:rPr>
          <w:rFonts w:ascii="Arial" w:hAnsi="Arial" w:cs="Arial"/>
        </w:rPr>
        <w:t xml:space="preserve">; and </w:t>
      </w:r>
      <w:hyperlink r:id="rId23" w:history="1">
        <w:r w:rsidR="00FA0E86" w:rsidRPr="00F557BF">
          <w:rPr>
            <w:rStyle w:val="Hyperlink"/>
            <w:rFonts w:ascii="Arial" w:hAnsi="Arial" w:cs="Arial"/>
          </w:rPr>
          <w:t>2022-11-doc4 Towards a review of the Dutch IP profession - Prof. Dr. Bob Wessels</w:t>
        </w:r>
      </w:hyperlink>
      <w:r w:rsidR="00FA0E86" w:rsidRPr="00F557BF">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0828"/>
    <w:multiLevelType w:val="hybridMultilevel"/>
    <w:tmpl w:val="DA30F220"/>
    <w:lvl w:ilvl="0" w:tplc="BF9C55BE">
      <w:start w:val="4"/>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ABB4B60"/>
    <w:multiLevelType w:val="hybridMultilevel"/>
    <w:tmpl w:val="0292EDC8"/>
    <w:lvl w:ilvl="0" w:tplc="5F6E8364">
      <w:start w:val="9"/>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52568B"/>
    <w:multiLevelType w:val="hybridMultilevel"/>
    <w:tmpl w:val="05D4D26C"/>
    <w:lvl w:ilvl="0" w:tplc="DF14A00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863768"/>
    <w:multiLevelType w:val="hybridMultilevel"/>
    <w:tmpl w:val="042A22FC"/>
    <w:lvl w:ilvl="0" w:tplc="6DC249D0">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F2671"/>
    <w:multiLevelType w:val="hybridMultilevel"/>
    <w:tmpl w:val="E3F6E3BC"/>
    <w:lvl w:ilvl="0" w:tplc="873C68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D52BEA"/>
    <w:multiLevelType w:val="hybridMultilevel"/>
    <w:tmpl w:val="89A4EEB4"/>
    <w:lvl w:ilvl="0" w:tplc="1B5E3B76">
      <w:start w:val="1"/>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0D72E56"/>
    <w:multiLevelType w:val="hybridMultilevel"/>
    <w:tmpl w:val="BB38FF1E"/>
    <w:lvl w:ilvl="0" w:tplc="873C6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9F6EE2"/>
    <w:multiLevelType w:val="multilevel"/>
    <w:tmpl w:val="2F9A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D63E8D"/>
    <w:multiLevelType w:val="hybridMultilevel"/>
    <w:tmpl w:val="88349418"/>
    <w:lvl w:ilvl="0" w:tplc="3CAE5A6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EC64B03"/>
    <w:multiLevelType w:val="hybridMultilevel"/>
    <w:tmpl w:val="E3F6E3B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7389316">
    <w:abstractNumId w:val="5"/>
  </w:num>
  <w:num w:numId="2" w16cid:durableId="1792703097">
    <w:abstractNumId w:val="0"/>
  </w:num>
  <w:num w:numId="3" w16cid:durableId="794569251">
    <w:abstractNumId w:val="3"/>
  </w:num>
  <w:num w:numId="4" w16cid:durableId="1089043725">
    <w:abstractNumId w:val="0"/>
  </w:num>
  <w:num w:numId="5" w16cid:durableId="2097167912">
    <w:abstractNumId w:val="4"/>
  </w:num>
  <w:num w:numId="6" w16cid:durableId="1226142900">
    <w:abstractNumId w:val="6"/>
  </w:num>
  <w:num w:numId="7" w16cid:durableId="1756246636">
    <w:abstractNumId w:val="9"/>
  </w:num>
  <w:num w:numId="8" w16cid:durableId="781994450">
    <w:abstractNumId w:val="1"/>
  </w:num>
  <w:num w:numId="9" w16cid:durableId="1579749846">
    <w:abstractNumId w:val="2"/>
  </w:num>
  <w:num w:numId="10" w16cid:durableId="973482147">
    <w:abstractNumId w:val="8"/>
  </w:num>
  <w:num w:numId="11" w16cid:durableId="17123413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05A"/>
    <w:rsid w:val="00000B8C"/>
    <w:rsid w:val="00004444"/>
    <w:rsid w:val="0000757F"/>
    <w:rsid w:val="00015C01"/>
    <w:rsid w:val="00021FCF"/>
    <w:rsid w:val="00022ABB"/>
    <w:rsid w:val="000249E2"/>
    <w:rsid w:val="00025954"/>
    <w:rsid w:val="00026661"/>
    <w:rsid w:val="00031903"/>
    <w:rsid w:val="00034E96"/>
    <w:rsid w:val="00036407"/>
    <w:rsid w:val="000365BC"/>
    <w:rsid w:val="000366D7"/>
    <w:rsid w:val="00036871"/>
    <w:rsid w:val="00037B03"/>
    <w:rsid w:val="00037FD7"/>
    <w:rsid w:val="00040285"/>
    <w:rsid w:val="00040DC5"/>
    <w:rsid w:val="00041A4E"/>
    <w:rsid w:val="0004705A"/>
    <w:rsid w:val="00047E55"/>
    <w:rsid w:val="0005158B"/>
    <w:rsid w:val="00051E53"/>
    <w:rsid w:val="00052444"/>
    <w:rsid w:val="000534C2"/>
    <w:rsid w:val="00053517"/>
    <w:rsid w:val="000575D5"/>
    <w:rsid w:val="00062517"/>
    <w:rsid w:val="00065B9E"/>
    <w:rsid w:val="000662CE"/>
    <w:rsid w:val="000673B8"/>
    <w:rsid w:val="00067905"/>
    <w:rsid w:val="00067BCC"/>
    <w:rsid w:val="00070530"/>
    <w:rsid w:val="00070677"/>
    <w:rsid w:val="00071077"/>
    <w:rsid w:val="00071148"/>
    <w:rsid w:val="00071E98"/>
    <w:rsid w:val="00072624"/>
    <w:rsid w:val="00074811"/>
    <w:rsid w:val="0007750A"/>
    <w:rsid w:val="00077A85"/>
    <w:rsid w:val="0008008B"/>
    <w:rsid w:val="00080523"/>
    <w:rsid w:val="000817F4"/>
    <w:rsid w:val="00081FB7"/>
    <w:rsid w:val="000879FA"/>
    <w:rsid w:val="0009085E"/>
    <w:rsid w:val="00091A9D"/>
    <w:rsid w:val="0009223E"/>
    <w:rsid w:val="00094DED"/>
    <w:rsid w:val="00095737"/>
    <w:rsid w:val="00095BD1"/>
    <w:rsid w:val="000A1CD2"/>
    <w:rsid w:val="000A437F"/>
    <w:rsid w:val="000A4C86"/>
    <w:rsid w:val="000A7797"/>
    <w:rsid w:val="000B2638"/>
    <w:rsid w:val="000B3A6D"/>
    <w:rsid w:val="000C1A7A"/>
    <w:rsid w:val="000C29B4"/>
    <w:rsid w:val="000C33AC"/>
    <w:rsid w:val="000C6422"/>
    <w:rsid w:val="000C68AA"/>
    <w:rsid w:val="000C70EB"/>
    <w:rsid w:val="000D02E9"/>
    <w:rsid w:val="000D1685"/>
    <w:rsid w:val="000D1739"/>
    <w:rsid w:val="000D1CC3"/>
    <w:rsid w:val="000D24C0"/>
    <w:rsid w:val="000D3E0B"/>
    <w:rsid w:val="000D3E86"/>
    <w:rsid w:val="000D747C"/>
    <w:rsid w:val="000E4396"/>
    <w:rsid w:val="000E64F3"/>
    <w:rsid w:val="000E6A94"/>
    <w:rsid w:val="000E7BF0"/>
    <w:rsid w:val="000F057E"/>
    <w:rsid w:val="000F29D4"/>
    <w:rsid w:val="000F429B"/>
    <w:rsid w:val="001000D3"/>
    <w:rsid w:val="00101B1A"/>
    <w:rsid w:val="00102798"/>
    <w:rsid w:val="001040E3"/>
    <w:rsid w:val="0010522D"/>
    <w:rsid w:val="00106ED3"/>
    <w:rsid w:val="001105D2"/>
    <w:rsid w:val="00110B81"/>
    <w:rsid w:val="001126A9"/>
    <w:rsid w:val="0011640C"/>
    <w:rsid w:val="00117736"/>
    <w:rsid w:val="001204E7"/>
    <w:rsid w:val="0012087D"/>
    <w:rsid w:val="00121AC1"/>
    <w:rsid w:val="001229F0"/>
    <w:rsid w:val="00122CAC"/>
    <w:rsid w:val="0012483E"/>
    <w:rsid w:val="00126B8C"/>
    <w:rsid w:val="00126BB9"/>
    <w:rsid w:val="00133EE4"/>
    <w:rsid w:val="001344DB"/>
    <w:rsid w:val="00134E7C"/>
    <w:rsid w:val="00137F45"/>
    <w:rsid w:val="001402E2"/>
    <w:rsid w:val="00141AF7"/>
    <w:rsid w:val="00147203"/>
    <w:rsid w:val="00150F44"/>
    <w:rsid w:val="00156729"/>
    <w:rsid w:val="0016383A"/>
    <w:rsid w:val="00164304"/>
    <w:rsid w:val="0016459C"/>
    <w:rsid w:val="00164837"/>
    <w:rsid w:val="001705D3"/>
    <w:rsid w:val="001718A5"/>
    <w:rsid w:val="001725F4"/>
    <w:rsid w:val="00177366"/>
    <w:rsid w:val="00177910"/>
    <w:rsid w:val="0018014D"/>
    <w:rsid w:val="00180A98"/>
    <w:rsid w:val="0018209A"/>
    <w:rsid w:val="001822AA"/>
    <w:rsid w:val="00182B57"/>
    <w:rsid w:val="0018588F"/>
    <w:rsid w:val="001877C8"/>
    <w:rsid w:val="00187884"/>
    <w:rsid w:val="0019351B"/>
    <w:rsid w:val="00194BD7"/>
    <w:rsid w:val="00197FA6"/>
    <w:rsid w:val="001A06D6"/>
    <w:rsid w:val="001A06FE"/>
    <w:rsid w:val="001A0EE8"/>
    <w:rsid w:val="001A14CD"/>
    <w:rsid w:val="001A2E3A"/>
    <w:rsid w:val="001A4CE7"/>
    <w:rsid w:val="001A525E"/>
    <w:rsid w:val="001A52D8"/>
    <w:rsid w:val="001A5E89"/>
    <w:rsid w:val="001A6DF8"/>
    <w:rsid w:val="001B2E2F"/>
    <w:rsid w:val="001B2E73"/>
    <w:rsid w:val="001B51C5"/>
    <w:rsid w:val="001B7509"/>
    <w:rsid w:val="001B7BC5"/>
    <w:rsid w:val="001C143F"/>
    <w:rsid w:val="001C53AE"/>
    <w:rsid w:val="001C65B8"/>
    <w:rsid w:val="001C6F47"/>
    <w:rsid w:val="001C7839"/>
    <w:rsid w:val="001D09CA"/>
    <w:rsid w:val="001D28C8"/>
    <w:rsid w:val="001D37BA"/>
    <w:rsid w:val="001D3815"/>
    <w:rsid w:val="001D5061"/>
    <w:rsid w:val="001D553E"/>
    <w:rsid w:val="001D5C7A"/>
    <w:rsid w:val="001E0FAF"/>
    <w:rsid w:val="001E1414"/>
    <w:rsid w:val="001E2F39"/>
    <w:rsid w:val="001E6F3A"/>
    <w:rsid w:val="001F1AB9"/>
    <w:rsid w:val="001F35E3"/>
    <w:rsid w:val="001F38E6"/>
    <w:rsid w:val="001F408B"/>
    <w:rsid w:val="001F4CAA"/>
    <w:rsid w:val="002056B5"/>
    <w:rsid w:val="00205991"/>
    <w:rsid w:val="00205E50"/>
    <w:rsid w:val="002100E9"/>
    <w:rsid w:val="0021599F"/>
    <w:rsid w:val="0022155C"/>
    <w:rsid w:val="002232F1"/>
    <w:rsid w:val="0022354D"/>
    <w:rsid w:val="0022437D"/>
    <w:rsid w:val="0022600A"/>
    <w:rsid w:val="002310A5"/>
    <w:rsid w:val="00231536"/>
    <w:rsid w:val="00232E9D"/>
    <w:rsid w:val="002332BF"/>
    <w:rsid w:val="00233F69"/>
    <w:rsid w:val="00236A36"/>
    <w:rsid w:val="002406A9"/>
    <w:rsid w:val="0024237F"/>
    <w:rsid w:val="00242968"/>
    <w:rsid w:val="00244C88"/>
    <w:rsid w:val="00250EC5"/>
    <w:rsid w:val="00251735"/>
    <w:rsid w:val="00253A5D"/>
    <w:rsid w:val="0025490A"/>
    <w:rsid w:val="00256D3E"/>
    <w:rsid w:val="002602F9"/>
    <w:rsid w:val="00264649"/>
    <w:rsid w:val="00265684"/>
    <w:rsid w:val="00266D10"/>
    <w:rsid w:val="00270CC9"/>
    <w:rsid w:val="0027624D"/>
    <w:rsid w:val="00284C4C"/>
    <w:rsid w:val="002853B4"/>
    <w:rsid w:val="00286206"/>
    <w:rsid w:val="00287F66"/>
    <w:rsid w:val="00291DC2"/>
    <w:rsid w:val="002943A5"/>
    <w:rsid w:val="00294451"/>
    <w:rsid w:val="00295A26"/>
    <w:rsid w:val="002A2EA2"/>
    <w:rsid w:val="002A6AE7"/>
    <w:rsid w:val="002A7A37"/>
    <w:rsid w:val="002B0B92"/>
    <w:rsid w:val="002B2EEE"/>
    <w:rsid w:val="002B3D85"/>
    <w:rsid w:val="002C06F3"/>
    <w:rsid w:val="002C133E"/>
    <w:rsid w:val="002C243D"/>
    <w:rsid w:val="002C3C83"/>
    <w:rsid w:val="002C409F"/>
    <w:rsid w:val="002D08C7"/>
    <w:rsid w:val="002D13B3"/>
    <w:rsid w:val="002D3241"/>
    <w:rsid w:val="002D33B4"/>
    <w:rsid w:val="002D3B47"/>
    <w:rsid w:val="002D45B4"/>
    <w:rsid w:val="002D4D71"/>
    <w:rsid w:val="002E07D4"/>
    <w:rsid w:val="002E3F5E"/>
    <w:rsid w:val="002E586B"/>
    <w:rsid w:val="002E6531"/>
    <w:rsid w:val="002E6940"/>
    <w:rsid w:val="002E744B"/>
    <w:rsid w:val="002F0641"/>
    <w:rsid w:val="002F1816"/>
    <w:rsid w:val="002F5E33"/>
    <w:rsid w:val="002F6E02"/>
    <w:rsid w:val="003009C5"/>
    <w:rsid w:val="0030170C"/>
    <w:rsid w:val="00301F1D"/>
    <w:rsid w:val="003053A5"/>
    <w:rsid w:val="00307019"/>
    <w:rsid w:val="00310F3E"/>
    <w:rsid w:val="00313C51"/>
    <w:rsid w:val="003154F6"/>
    <w:rsid w:val="00317037"/>
    <w:rsid w:val="00324627"/>
    <w:rsid w:val="00333FD8"/>
    <w:rsid w:val="00342A06"/>
    <w:rsid w:val="0034427A"/>
    <w:rsid w:val="00346740"/>
    <w:rsid w:val="00346EF8"/>
    <w:rsid w:val="00354504"/>
    <w:rsid w:val="003549CE"/>
    <w:rsid w:val="00354AA1"/>
    <w:rsid w:val="00354B02"/>
    <w:rsid w:val="00355782"/>
    <w:rsid w:val="00355909"/>
    <w:rsid w:val="003566C5"/>
    <w:rsid w:val="00360196"/>
    <w:rsid w:val="00364813"/>
    <w:rsid w:val="0036507D"/>
    <w:rsid w:val="003677CF"/>
    <w:rsid w:val="00370580"/>
    <w:rsid w:val="00373520"/>
    <w:rsid w:val="00373A34"/>
    <w:rsid w:val="00373CBE"/>
    <w:rsid w:val="00376AB9"/>
    <w:rsid w:val="00381B93"/>
    <w:rsid w:val="0038469A"/>
    <w:rsid w:val="00384746"/>
    <w:rsid w:val="00390D61"/>
    <w:rsid w:val="00392A0B"/>
    <w:rsid w:val="0039420C"/>
    <w:rsid w:val="0039749D"/>
    <w:rsid w:val="003A05BA"/>
    <w:rsid w:val="003A5FEE"/>
    <w:rsid w:val="003B0DBF"/>
    <w:rsid w:val="003B372D"/>
    <w:rsid w:val="003B4625"/>
    <w:rsid w:val="003B6F87"/>
    <w:rsid w:val="003B7B81"/>
    <w:rsid w:val="003C47B3"/>
    <w:rsid w:val="003C5E3C"/>
    <w:rsid w:val="003C657E"/>
    <w:rsid w:val="003C6A02"/>
    <w:rsid w:val="003C6D8C"/>
    <w:rsid w:val="003D1121"/>
    <w:rsid w:val="003D218B"/>
    <w:rsid w:val="003D57C1"/>
    <w:rsid w:val="003D5E6F"/>
    <w:rsid w:val="003D6DEE"/>
    <w:rsid w:val="003E1662"/>
    <w:rsid w:val="003E1AA3"/>
    <w:rsid w:val="003F18CD"/>
    <w:rsid w:val="003F4018"/>
    <w:rsid w:val="003F5650"/>
    <w:rsid w:val="004010B7"/>
    <w:rsid w:val="00407D33"/>
    <w:rsid w:val="0041021A"/>
    <w:rsid w:val="00410421"/>
    <w:rsid w:val="004122E9"/>
    <w:rsid w:val="00413FF1"/>
    <w:rsid w:val="00414905"/>
    <w:rsid w:val="004236E5"/>
    <w:rsid w:val="00424049"/>
    <w:rsid w:val="004255D5"/>
    <w:rsid w:val="004304BA"/>
    <w:rsid w:val="00434A1C"/>
    <w:rsid w:val="00436C99"/>
    <w:rsid w:val="00437B00"/>
    <w:rsid w:val="00440F00"/>
    <w:rsid w:val="00441240"/>
    <w:rsid w:val="00441432"/>
    <w:rsid w:val="0044198F"/>
    <w:rsid w:val="00445D43"/>
    <w:rsid w:val="00447905"/>
    <w:rsid w:val="00447926"/>
    <w:rsid w:val="00450C08"/>
    <w:rsid w:val="00453FB4"/>
    <w:rsid w:val="004544D6"/>
    <w:rsid w:val="00455E1C"/>
    <w:rsid w:val="004617A8"/>
    <w:rsid w:val="00462FF8"/>
    <w:rsid w:val="00463026"/>
    <w:rsid w:val="004739F2"/>
    <w:rsid w:val="00475E99"/>
    <w:rsid w:val="00485D2C"/>
    <w:rsid w:val="004862B9"/>
    <w:rsid w:val="004905AB"/>
    <w:rsid w:val="00491FED"/>
    <w:rsid w:val="00494580"/>
    <w:rsid w:val="004A0218"/>
    <w:rsid w:val="004A0A2E"/>
    <w:rsid w:val="004A1C74"/>
    <w:rsid w:val="004A7D39"/>
    <w:rsid w:val="004B007C"/>
    <w:rsid w:val="004B049F"/>
    <w:rsid w:val="004B1937"/>
    <w:rsid w:val="004B5E02"/>
    <w:rsid w:val="004B6445"/>
    <w:rsid w:val="004B6B3E"/>
    <w:rsid w:val="004B7450"/>
    <w:rsid w:val="004B792A"/>
    <w:rsid w:val="004C20FB"/>
    <w:rsid w:val="004C5DC0"/>
    <w:rsid w:val="004C71B9"/>
    <w:rsid w:val="004C7BDD"/>
    <w:rsid w:val="004C7CAA"/>
    <w:rsid w:val="004D1759"/>
    <w:rsid w:val="004E24AB"/>
    <w:rsid w:val="004E3462"/>
    <w:rsid w:val="004E383C"/>
    <w:rsid w:val="004E3944"/>
    <w:rsid w:val="004E4B68"/>
    <w:rsid w:val="004E5B0C"/>
    <w:rsid w:val="004E6892"/>
    <w:rsid w:val="004E70F8"/>
    <w:rsid w:val="004F0EE5"/>
    <w:rsid w:val="004F151E"/>
    <w:rsid w:val="004F1A28"/>
    <w:rsid w:val="004F3952"/>
    <w:rsid w:val="004F4526"/>
    <w:rsid w:val="004F46D6"/>
    <w:rsid w:val="004F4C9D"/>
    <w:rsid w:val="004F52AE"/>
    <w:rsid w:val="004F5417"/>
    <w:rsid w:val="0050418C"/>
    <w:rsid w:val="005061D4"/>
    <w:rsid w:val="00511FDB"/>
    <w:rsid w:val="00512BD3"/>
    <w:rsid w:val="005130FA"/>
    <w:rsid w:val="00513422"/>
    <w:rsid w:val="005154EF"/>
    <w:rsid w:val="005202EB"/>
    <w:rsid w:val="00521109"/>
    <w:rsid w:val="005218F1"/>
    <w:rsid w:val="00523715"/>
    <w:rsid w:val="005241B2"/>
    <w:rsid w:val="005252C7"/>
    <w:rsid w:val="0052576D"/>
    <w:rsid w:val="005266BF"/>
    <w:rsid w:val="00532E40"/>
    <w:rsid w:val="0053526A"/>
    <w:rsid w:val="00537C23"/>
    <w:rsid w:val="00540D92"/>
    <w:rsid w:val="00545778"/>
    <w:rsid w:val="0054683E"/>
    <w:rsid w:val="005469F9"/>
    <w:rsid w:val="00547404"/>
    <w:rsid w:val="00547B2D"/>
    <w:rsid w:val="0055086B"/>
    <w:rsid w:val="00554B9B"/>
    <w:rsid w:val="0056053A"/>
    <w:rsid w:val="0056090D"/>
    <w:rsid w:val="00566FF5"/>
    <w:rsid w:val="00567718"/>
    <w:rsid w:val="00567990"/>
    <w:rsid w:val="00570B24"/>
    <w:rsid w:val="00571B32"/>
    <w:rsid w:val="0057579A"/>
    <w:rsid w:val="00575B14"/>
    <w:rsid w:val="00577C7B"/>
    <w:rsid w:val="005820DC"/>
    <w:rsid w:val="005840BA"/>
    <w:rsid w:val="0059022D"/>
    <w:rsid w:val="00592BD3"/>
    <w:rsid w:val="00593568"/>
    <w:rsid w:val="0059474A"/>
    <w:rsid w:val="00596217"/>
    <w:rsid w:val="005A72D8"/>
    <w:rsid w:val="005A764A"/>
    <w:rsid w:val="005A786A"/>
    <w:rsid w:val="005B07D6"/>
    <w:rsid w:val="005B11BD"/>
    <w:rsid w:val="005B15B0"/>
    <w:rsid w:val="005B16DC"/>
    <w:rsid w:val="005B22EE"/>
    <w:rsid w:val="005B7C3F"/>
    <w:rsid w:val="005C0F74"/>
    <w:rsid w:val="005C108B"/>
    <w:rsid w:val="005C1A62"/>
    <w:rsid w:val="005C2265"/>
    <w:rsid w:val="005C39C0"/>
    <w:rsid w:val="005C52A4"/>
    <w:rsid w:val="005D09BD"/>
    <w:rsid w:val="005D2CC2"/>
    <w:rsid w:val="005D4370"/>
    <w:rsid w:val="005D5D8A"/>
    <w:rsid w:val="005D6DF2"/>
    <w:rsid w:val="005E1B6B"/>
    <w:rsid w:val="005E2084"/>
    <w:rsid w:val="005E3628"/>
    <w:rsid w:val="005E5406"/>
    <w:rsid w:val="005E5DFD"/>
    <w:rsid w:val="005E6EC5"/>
    <w:rsid w:val="005F06DF"/>
    <w:rsid w:val="005F1C39"/>
    <w:rsid w:val="005F305C"/>
    <w:rsid w:val="005F4518"/>
    <w:rsid w:val="005F7F71"/>
    <w:rsid w:val="00600E53"/>
    <w:rsid w:val="0060126A"/>
    <w:rsid w:val="006032BC"/>
    <w:rsid w:val="006041AA"/>
    <w:rsid w:val="00605724"/>
    <w:rsid w:val="00607E3C"/>
    <w:rsid w:val="006111B8"/>
    <w:rsid w:val="0061567E"/>
    <w:rsid w:val="00615DD2"/>
    <w:rsid w:val="0062022C"/>
    <w:rsid w:val="00620845"/>
    <w:rsid w:val="00623B9E"/>
    <w:rsid w:val="00624195"/>
    <w:rsid w:val="0062454C"/>
    <w:rsid w:val="00630B58"/>
    <w:rsid w:val="006347BE"/>
    <w:rsid w:val="00635EBD"/>
    <w:rsid w:val="0064190E"/>
    <w:rsid w:val="0064645B"/>
    <w:rsid w:val="00650736"/>
    <w:rsid w:val="00655692"/>
    <w:rsid w:val="006559ED"/>
    <w:rsid w:val="006564CD"/>
    <w:rsid w:val="00656FBF"/>
    <w:rsid w:val="00660940"/>
    <w:rsid w:val="00662E20"/>
    <w:rsid w:val="00666F98"/>
    <w:rsid w:val="006677E8"/>
    <w:rsid w:val="006714B7"/>
    <w:rsid w:val="00671ECF"/>
    <w:rsid w:val="00680999"/>
    <w:rsid w:val="006831B1"/>
    <w:rsid w:val="0069094B"/>
    <w:rsid w:val="00690D2D"/>
    <w:rsid w:val="00692172"/>
    <w:rsid w:val="006932D8"/>
    <w:rsid w:val="00696285"/>
    <w:rsid w:val="006A0012"/>
    <w:rsid w:val="006A1D65"/>
    <w:rsid w:val="006A4333"/>
    <w:rsid w:val="006A6BF8"/>
    <w:rsid w:val="006A7509"/>
    <w:rsid w:val="006B00BF"/>
    <w:rsid w:val="006B1BA0"/>
    <w:rsid w:val="006B55FA"/>
    <w:rsid w:val="006B57E3"/>
    <w:rsid w:val="006B5B78"/>
    <w:rsid w:val="006C1108"/>
    <w:rsid w:val="006C2090"/>
    <w:rsid w:val="006C607E"/>
    <w:rsid w:val="006C661A"/>
    <w:rsid w:val="006C74ED"/>
    <w:rsid w:val="006C7AD7"/>
    <w:rsid w:val="006D04BA"/>
    <w:rsid w:val="006D08E1"/>
    <w:rsid w:val="006D1714"/>
    <w:rsid w:val="006D4AA5"/>
    <w:rsid w:val="006E7B96"/>
    <w:rsid w:val="006F1013"/>
    <w:rsid w:val="006F2279"/>
    <w:rsid w:val="006F2D05"/>
    <w:rsid w:val="006F61EA"/>
    <w:rsid w:val="00701432"/>
    <w:rsid w:val="00702825"/>
    <w:rsid w:val="00702DA8"/>
    <w:rsid w:val="00702F59"/>
    <w:rsid w:val="007074A5"/>
    <w:rsid w:val="00707FF0"/>
    <w:rsid w:val="00712590"/>
    <w:rsid w:val="00714CB5"/>
    <w:rsid w:val="007219D6"/>
    <w:rsid w:val="00721B35"/>
    <w:rsid w:val="0072567F"/>
    <w:rsid w:val="00727540"/>
    <w:rsid w:val="00727704"/>
    <w:rsid w:val="007314BB"/>
    <w:rsid w:val="00732333"/>
    <w:rsid w:val="00734384"/>
    <w:rsid w:val="00735517"/>
    <w:rsid w:val="00740CD7"/>
    <w:rsid w:val="00741404"/>
    <w:rsid w:val="00744778"/>
    <w:rsid w:val="007468EB"/>
    <w:rsid w:val="00747176"/>
    <w:rsid w:val="007502E9"/>
    <w:rsid w:val="00751AED"/>
    <w:rsid w:val="00751C4B"/>
    <w:rsid w:val="00751F45"/>
    <w:rsid w:val="007540DE"/>
    <w:rsid w:val="007556E4"/>
    <w:rsid w:val="00755E0C"/>
    <w:rsid w:val="00757533"/>
    <w:rsid w:val="007708A7"/>
    <w:rsid w:val="0077305C"/>
    <w:rsid w:val="00773519"/>
    <w:rsid w:val="00781455"/>
    <w:rsid w:val="00782163"/>
    <w:rsid w:val="00784A85"/>
    <w:rsid w:val="00786C3B"/>
    <w:rsid w:val="00787493"/>
    <w:rsid w:val="0079479E"/>
    <w:rsid w:val="00795F61"/>
    <w:rsid w:val="00797144"/>
    <w:rsid w:val="007A3E27"/>
    <w:rsid w:val="007A52EC"/>
    <w:rsid w:val="007A5518"/>
    <w:rsid w:val="007A6C1E"/>
    <w:rsid w:val="007B00CA"/>
    <w:rsid w:val="007B1E90"/>
    <w:rsid w:val="007B502F"/>
    <w:rsid w:val="007B5704"/>
    <w:rsid w:val="007B7145"/>
    <w:rsid w:val="007B7BF4"/>
    <w:rsid w:val="007C323D"/>
    <w:rsid w:val="007C3E76"/>
    <w:rsid w:val="007C5231"/>
    <w:rsid w:val="007C7BCF"/>
    <w:rsid w:val="007D0278"/>
    <w:rsid w:val="007D1D2D"/>
    <w:rsid w:val="007D2387"/>
    <w:rsid w:val="007E0803"/>
    <w:rsid w:val="007E2584"/>
    <w:rsid w:val="007E7571"/>
    <w:rsid w:val="007E7B91"/>
    <w:rsid w:val="007F021C"/>
    <w:rsid w:val="007F0AC2"/>
    <w:rsid w:val="007F4D6C"/>
    <w:rsid w:val="007F7857"/>
    <w:rsid w:val="00805002"/>
    <w:rsid w:val="00806FCA"/>
    <w:rsid w:val="00810F43"/>
    <w:rsid w:val="00812574"/>
    <w:rsid w:val="00813C71"/>
    <w:rsid w:val="0081550E"/>
    <w:rsid w:val="008207FC"/>
    <w:rsid w:val="00824022"/>
    <w:rsid w:val="0083022E"/>
    <w:rsid w:val="00830F68"/>
    <w:rsid w:val="00834C17"/>
    <w:rsid w:val="008355D9"/>
    <w:rsid w:val="00841F12"/>
    <w:rsid w:val="00842749"/>
    <w:rsid w:val="00845347"/>
    <w:rsid w:val="008531A9"/>
    <w:rsid w:val="00853847"/>
    <w:rsid w:val="0085418D"/>
    <w:rsid w:val="008544C9"/>
    <w:rsid w:val="00856758"/>
    <w:rsid w:val="008573C1"/>
    <w:rsid w:val="00860A29"/>
    <w:rsid w:val="00860E73"/>
    <w:rsid w:val="008639AB"/>
    <w:rsid w:val="00870FC6"/>
    <w:rsid w:val="00871888"/>
    <w:rsid w:val="008774F0"/>
    <w:rsid w:val="0088086F"/>
    <w:rsid w:val="00880E3A"/>
    <w:rsid w:val="00882ACA"/>
    <w:rsid w:val="00884F97"/>
    <w:rsid w:val="008948B6"/>
    <w:rsid w:val="00895220"/>
    <w:rsid w:val="008977F2"/>
    <w:rsid w:val="008B1176"/>
    <w:rsid w:val="008B2FAD"/>
    <w:rsid w:val="008B3D60"/>
    <w:rsid w:val="008B4927"/>
    <w:rsid w:val="008B4E6B"/>
    <w:rsid w:val="008B7078"/>
    <w:rsid w:val="008B70DF"/>
    <w:rsid w:val="008C00FF"/>
    <w:rsid w:val="008C4CC5"/>
    <w:rsid w:val="008C51A7"/>
    <w:rsid w:val="008D1F75"/>
    <w:rsid w:val="008D21EA"/>
    <w:rsid w:val="008D3E1F"/>
    <w:rsid w:val="008D495E"/>
    <w:rsid w:val="008D5763"/>
    <w:rsid w:val="008D5B8D"/>
    <w:rsid w:val="008D5D2B"/>
    <w:rsid w:val="008E5442"/>
    <w:rsid w:val="008E5DCA"/>
    <w:rsid w:val="008E735A"/>
    <w:rsid w:val="008F0F7A"/>
    <w:rsid w:val="008F4EFE"/>
    <w:rsid w:val="00901A14"/>
    <w:rsid w:val="0090416A"/>
    <w:rsid w:val="009041BE"/>
    <w:rsid w:val="0091071F"/>
    <w:rsid w:val="009108A8"/>
    <w:rsid w:val="00912D40"/>
    <w:rsid w:val="009134D0"/>
    <w:rsid w:val="00916A75"/>
    <w:rsid w:val="00917ADB"/>
    <w:rsid w:val="00920BB9"/>
    <w:rsid w:val="00924683"/>
    <w:rsid w:val="009276C4"/>
    <w:rsid w:val="00930E0B"/>
    <w:rsid w:val="00934E58"/>
    <w:rsid w:val="0093635A"/>
    <w:rsid w:val="009411A5"/>
    <w:rsid w:val="009415DB"/>
    <w:rsid w:val="00942C39"/>
    <w:rsid w:val="009457AA"/>
    <w:rsid w:val="00945A88"/>
    <w:rsid w:val="00945BC8"/>
    <w:rsid w:val="0094737F"/>
    <w:rsid w:val="00947595"/>
    <w:rsid w:val="00952D29"/>
    <w:rsid w:val="00954241"/>
    <w:rsid w:val="00964528"/>
    <w:rsid w:val="009649DB"/>
    <w:rsid w:val="00965AA8"/>
    <w:rsid w:val="009677B1"/>
    <w:rsid w:val="00971671"/>
    <w:rsid w:val="009750EA"/>
    <w:rsid w:val="00980555"/>
    <w:rsid w:val="009818E2"/>
    <w:rsid w:val="00982F4C"/>
    <w:rsid w:val="00984601"/>
    <w:rsid w:val="0099309C"/>
    <w:rsid w:val="0099391A"/>
    <w:rsid w:val="009940F2"/>
    <w:rsid w:val="009944CD"/>
    <w:rsid w:val="00997C15"/>
    <w:rsid w:val="009A04A1"/>
    <w:rsid w:val="009A11EB"/>
    <w:rsid w:val="009A37BB"/>
    <w:rsid w:val="009A3AEC"/>
    <w:rsid w:val="009A50E9"/>
    <w:rsid w:val="009B15BE"/>
    <w:rsid w:val="009B3993"/>
    <w:rsid w:val="009B51FF"/>
    <w:rsid w:val="009B7278"/>
    <w:rsid w:val="009B73CD"/>
    <w:rsid w:val="009C308E"/>
    <w:rsid w:val="009C5008"/>
    <w:rsid w:val="009C696F"/>
    <w:rsid w:val="009C6FD2"/>
    <w:rsid w:val="009C76A1"/>
    <w:rsid w:val="009D0875"/>
    <w:rsid w:val="009D40F5"/>
    <w:rsid w:val="009D55A4"/>
    <w:rsid w:val="009D5E8C"/>
    <w:rsid w:val="009D6FFC"/>
    <w:rsid w:val="009E01D2"/>
    <w:rsid w:val="009E248B"/>
    <w:rsid w:val="009E41E0"/>
    <w:rsid w:val="009E537F"/>
    <w:rsid w:val="009E6719"/>
    <w:rsid w:val="009F0E5F"/>
    <w:rsid w:val="009F3C93"/>
    <w:rsid w:val="009F5B1A"/>
    <w:rsid w:val="00A01015"/>
    <w:rsid w:val="00A053B1"/>
    <w:rsid w:val="00A055DE"/>
    <w:rsid w:val="00A12A37"/>
    <w:rsid w:val="00A12D7D"/>
    <w:rsid w:val="00A13178"/>
    <w:rsid w:val="00A15B92"/>
    <w:rsid w:val="00A1774C"/>
    <w:rsid w:val="00A17F7F"/>
    <w:rsid w:val="00A20917"/>
    <w:rsid w:val="00A24B59"/>
    <w:rsid w:val="00A257A8"/>
    <w:rsid w:val="00A25B45"/>
    <w:rsid w:val="00A25CFA"/>
    <w:rsid w:val="00A25E7F"/>
    <w:rsid w:val="00A2733D"/>
    <w:rsid w:val="00A303CD"/>
    <w:rsid w:val="00A3111F"/>
    <w:rsid w:val="00A3571A"/>
    <w:rsid w:val="00A36690"/>
    <w:rsid w:val="00A36E8A"/>
    <w:rsid w:val="00A3798D"/>
    <w:rsid w:val="00A4013D"/>
    <w:rsid w:val="00A414FD"/>
    <w:rsid w:val="00A41DB8"/>
    <w:rsid w:val="00A42F3C"/>
    <w:rsid w:val="00A435B9"/>
    <w:rsid w:val="00A44198"/>
    <w:rsid w:val="00A5115B"/>
    <w:rsid w:val="00A519CA"/>
    <w:rsid w:val="00A567DF"/>
    <w:rsid w:val="00A6123F"/>
    <w:rsid w:val="00A640C9"/>
    <w:rsid w:val="00A65E3B"/>
    <w:rsid w:val="00A66EB3"/>
    <w:rsid w:val="00A76938"/>
    <w:rsid w:val="00A812B7"/>
    <w:rsid w:val="00A8256D"/>
    <w:rsid w:val="00A83B1D"/>
    <w:rsid w:val="00A8655F"/>
    <w:rsid w:val="00A92093"/>
    <w:rsid w:val="00A9257A"/>
    <w:rsid w:val="00A94F75"/>
    <w:rsid w:val="00AA0A92"/>
    <w:rsid w:val="00AA0BA1"/>
    <w:rsid w:val="00AA0DDC"/>
    <w:rsid w:val="00AA1315"/>
    <w:rsid w:val="00AA4EA6"/>
    <w:rsid w:val="00AA4EBB"/>
    <w:rsid w:val="00AB2282"/>
    <w:rsid w:val="00AB2FA0"/>
    <w:rsid w:val="00AB5A08"/>
    <w:rsid w:val="00AB767E"/>
    <w:rsid w:val="00AC045A"/>
    <w:rsid w:val="00AC06E6"/>
    <w:rsid w:val="00AC1359"/>
    <w:rsid w:val="00AC14C4"/>
    <w:rsid w:val="00AC3359"/>
    <w:rsid w:val="00AC6C1B"/>
    <w:rsid w:val="00AC6F2C"/>
    <w:rsid w:val="00AD0766"/>
    <w:rsid w:val="00AD24C1"/>
    <w:rsid w:val="00AD24EB"/>
    <w:rsid w:val="00AD447D"/>
    <w:rsid w:val="00AD6F0C"/>
    <w:rsid w:val="00AD7BD1"/>
    <w:rsid w:val="00AE143F"/>
    <w:rsid w:val="00AE4E07"/>
    <w:rsid w:val="00AE6116"/>
    <w:rsid w:val="00AE6796"/>
    <w:rsid w:val="00AE6E87"/>
    <w:rsid w:val="00AE6FBA"/>
    <w:rsid w:val="00AF2296"/>
    <w:rsid w:val="00AF24FF"/>
    <w:rsid w:val="00AF2A83"/>
    <w:rsid w:val="00AF3AC3"/>
    <w:rsid w:val="00AF5A4E"/>
    <w:rsid w:val="00B004AC"/>
    <w:rsid w:val="00B00968"/>
    <w:rsid w:val="00B01D4B"/>
    <w:rsid w:val="00B02C2B"/>
    <w:rsid w:val="00B035E0"/>
    <w:rsid w:val="00B04668"/>
    <w:rsid w:val="00B06192"/>
    <w:rsid w:val="00B0756E"/>
    <w:rsid w:val="00B07730"/>
    <w:rsid w:val="00B1621D"/>
    <w:rsid w:val="00B20023"/>
    <w:rsid w:val="00B204DE"/>
    <w:rsid w:val="00B21F19"/>
    <w:rsid w:val="00B22969"/>
    <w:rsid w:val="00B35382"/>
    <w:rsid w:val="00B402E5"/>
    <w:rsid w:val="00B43268"/>
    <w:rsid w:val="00B43E32"/>
    <w:rsid w:val="00B449AA"/>
    <w:rsid w:val="00B450C1"/>
    <w:rsid w:val="00B5062F"/>
    <w:rsid w:val="00B50A96"/>
    <w:rsid w:val="00B51EA6"/>
    <w:rsid w:val="00B52375"/>
    <w:rsid w:val="00B56961"/>
    <w:rsid w:val="00B57120"/>
    <w:rsid w:val="00B5719A"/>
    <w:rsid w:val="00B62D23"/>
    <w:rsid w:val="00B62E17"/>
    <w:rsid w:val="00B62EAB"/>
    <w:rsid w:val="00B6377D"/>
    <w:rsid w:val="00B63C84"/>
    <w:rsid w:val="00B65C52"/>
    <w:rsid w:val="00B70EA1"/>
    <w:rsid w:val="00B76B14"/>
    <w:rsid w:val="00B80566"/>
    <w:rsid w:val="00B81814"/>
    <w:rsid w:val="00B82555"/>
    <w:rsid w:val="00B84755"/>
    <w:rsid w:val="00B87E42"/>
    <w:rsid w:val="00B91599"/>
    <w:rsid w:val="00B927C6"/>
    <w:rsid w:val="00B93137"/>
    <w:rsid w:val="00B93F37"/>
    <w:rsid w:val="00B96054"/>
    <w:rsid w:val="00B968C5"/>
    <w:rsid w:val="00B96CB5"/>
    <w:rsid w:val="00B97017"/>
    <w:rsid w:val="00B9707B"/>
    <w:rsid w:val="00BA007C"/>
    <w:rsid w:val="00BA12C6"/>
    <w:rsid w:val="00BA22BB"/>
    <w:rsid w:val="00BA36C3"/>
    <w:rsid w:val="00BA728E"/>
    <w:rsid w:val="00BB05F7"/>
    <w:rsid w:val="00BB1894"/>
    <w:rsid w:val="00BB3A30"/>
    <w:rsid w:val="00BB3B92"/>
    <w:rsid w:val="00BB3ED5"/>
    <w:rsid w:val="00BB6AE3"/>
    <w:rsid w:val="00BC1B64"/>
    <w:rsid w:val="00BC24BD"/>
    <w:rsid w:val="00BC6FA9"/>
    <w:rsid w:val="00BC7162"/>
    <w:rsid w:val="00BD18F0"/>
    <w:rsid w:val="00BD3188"/>
    <w:rsid w:val="00BD3E75"/>
    <w:rsid w:val="00BD3EF8"/>
    <w:rsid w:val="00BD464F"/>
    <w:rsid w:val="00BD4C0E"/>
    <w:rsid w:val="00BD5AC1"/>
    <w:rsid w:val="00BD5D26"/>
    <w:rsid w:val="00BE0881"/>
    <w:rsid w:val="00BE08C8"/>
    <w:rsid w:val="00BE2684"/>
    <w:rsid w:val="00BE3D66"/>
    <w:rsid w:val="00BE51EE"/>
    <w:rsid w:val="00BF060F"/>
    <w:rsid w:val="00BF1E31"/>
    <w:rsid w:val="00BF55AA"/>
    <w:rsid w:val="00BF6095"/>
    <w:rsid w:val="00BF6441"/>
    <w:rsid w:val="00BF6DE9"/>
    <w:rsid w:val="00BF7007"/>
    <w:rsid w:val="00BF74CF"/>
    <w:rsid w:val="00C0074B"/>
    <w:rsid w:val="00C00935"/>
    <w:rsid w:val="00C02A2E"/>
    <w:rsid w:val="00C04380"/>
    <w:rsid w:val="00C12E09"/>
    <w:rsid w:val="00C135FB"/>
    <w:rsid w:val="00C1434E"/>
    <w:rsid w:val="00C2276C"/>
    <w:rsid w:val="00C2438B"/>
    <w:rsid w:val="00C313E4"/>
    <w:rsid w:val="00C33AB0"/>
    <w:rsid w:val="00C35C37"/>
    <w:rsid w:val="00C3781B"/>
    <w:rsid w:val="00C4208F"/>
    <w:rsid w:val="00C424AB"/>
    <w:rsid w:val="00C42FE5"/>
    <w:rsid w:val="00C43557"/>
    <w:rsid w:val="00C43E1A"/>
    <w:rsid w:val="00C5267E"/>
    <w:rsid w:val="00C56D94"/>
    <w:rsid w:val="00C57812"/>
    <w:rsid w:val="00C60140"/>
    <w:rsid w:val="00C63324"/>
    <w:rsid w:val="00C70A4A"/>
    <w:rsid w:val="00C72A02"/>
    <w:rsid w:val="00C7532E"/>
    <w:rsid w:val="00C75967"/>
    <w:rsid w:val="00C8004C"/>
    <w:rsid w:val="00C805C5"/>
    <w:rsid w:val="00C8084B"/>
    <w:rsid w:val="00C85F58"/>
    <w:rsid w:val="00C86234"/>
    <w:rsid w:val="00C86F2C"/>
    <w:rsid w:val="00C908A6"/>
    <w:rsid w:val="00C92535"/>
    <w:rsid w:val="00C937B5"/>
    <w:rsid w:val="00C94781"/>
    <w:rsid w:val="00C9549A"/>
    <w:rsid w:val="00C965A3"/>
    <w:rsid w:val="00CA4309"/>
    <w:rsid w:val="00CA4710"/>
    <w:rsid w:val="00CA6DEF"/>
    <w:rsid w:val="00CB0B6A"/>
    <w:rsid w:val="00CB0C97"/>
    <w:rsid w:val="00CB1FC2"/>
    <w:rsid w:val="00CB229A"/>
    <w:rsid w:val="00CB384B"/>
    <w:rsid w:val="00CB3850"/>
    <w:rsid w:val="00CB6AD1"/>
    <w:rsid w:val="00CC08AF"/>
    <w:rsid w:val="00CC0F12"/>
    <w:rsid w:val="00CC222D"/>
    <w:rsid w:val="00CC29E5"/>
    <w:rsid w:val="00CC6041"/>
    <w:rsid w:val="00CC609F"/>
    <w:rsid w:val="00CC6A80"/>
    <w:rsid w:val="00CC7326"/>
    <w:rsid w:val="00CD0BB6"/>
    <w:rsid w:val="00CD1185"/>
    <w:rsid w:val="00CD480A"/>
    <w:rsid w:val="00CD4D91"/>
    <w:rsid w:val="00CD4E76"/>
    <w:rsid w:val="00CD5462"/>
    <w:rsid w:val="00CD5CF8"/>
    <w:rsid w:val="00CD76A2"/>
    <w:rsid w:val="00CE2763"/>
    <w:rsid w:val="00CE552D"/>
    <w:rsid w:val="00CE5C6F"/>
    <w:rsid w:val="00CF0A7E"/>
    <w:rsid w:val="00CF1654"/>
    <w:rsid w:val="00CF1D6E"/>
    <w:rsid w:val="00CF480A"/>
    <w:rsid w:val="00CF4883"/>
    <w:rsid w:val="00CF5C92"/>
    <w:rsid w:val="00CF7E03"/>
    <w:rsid w:val="00D0462A"/>
    <w:rsid w:val="00D124BA"/>
    <w:rsid w:val="00D1358F"/>
    <w:rsid w:val="00D149F5"/>
    <w:rsid w:val="00D15A39"/>
    <w:rsid w:val="00D17C63"/>
    <w:rsid w:val="00D21F27"/>
    <w:rsid w:val="00D23ECD"/>
    <w:rsid w:val="00D2678B"/>
    <w:rsid w:val="00D306C8"/>
    <w:rsid w:val="00D30BE0"/>
    <w:rsid w:val="00D31379"/>
    <w:rsid w:val="00D3147E"/>
    <w:rsid w:val="00D32A64"/>
    <w:rsid w:val="00D32EE4"/>
    <w:rsid w:val="00D338FF"/>
    <w:rsid w:val="00D34B7B"/>
    <w:rsid w:val="00D356C7"/>
    <w:rsid w:val="00D36188"/>
    <w:rsid w:val="00D40AB0"/>
    <w:rsid w:val="00D40CF6"/>
    <w:rsid w:val="00D41DF1"/>
    <w:rsid w:val="00D4275E"/>
    <w:rsid w:val="00D428B7"/>
    <w:rsid w:val="00D43377"/>
    <w:rsid w:val="00D436B6"/>
    <w:rsid w:val="00D46815"/>
    <w:rsid w:val="00D46ED7"/>
    <w:rsid w:val="00D47D40"/>
    <w:rsid w:val="00D50386"/>
    <w:rsid w:val="00D51013"/>
    <w:rsid w:val="00D52382"/>
    <w:rsid w:val="00D529B6"/>
    <w:rsid w:val="00D547D2"/>
    <w:rsid w:val="00D54CA6"/>
    <w:rsid w:val="00D54E45"/>
    <w:rsid w:val="00D6235B"/>
    <w:rsid w:val="00D63812"/>
    <w:rsid w:val="00D63E85"/>
    <w:rsid w:val="00D71A4F"/>
    <w:rsid w:val="00D71CD4"/>
    <w:rsid w:val="00D72333"/>
    <w:rsid w:val="00D739FE"/>
    <w:rsid w:val="00D7632A"/>
    <w:rsid w:val="00D76972"/>
    <w:rsid w:val="00D80A46"/>
    <w:rsid w:val="00D81411"/>
    <w:rsid w:val="00D82183"/>
    <w:rsid w:val="00D83DD0"/>
    <w:rsid w:val="00D842A2"/>
    <w:rsid w:val="00D842C0"/>
    <w:rsid w:val="00D861A1"/>
    <w:rsid w:val="00D8678A"/>
    <w:rsid w:val="00D91602"/>
    <w:rsid w:val="00D95A9A"/>
    <w:rsid w:val="00DA1610"/>
    <w:rsid w:val="00DA18E0"/>
    <w:rsid w:val="00DA551B"/>
    <w:rsid w:val="00DB0B62"/>
    <w:rsid w:val="00DB0E88"/>
    <w:rsid w:val="00DB126A"/>
    <w:rsid w:val="00DB2075"/>
    <w:rsid w:val="00DB298B"/>
    <w:rsid w:val="00DB3A0A"/>
    <w:rsid w:val="00DB4D70"/>
    <w:rsid w:val="00DB5599"/>
    <w:rsid w:val="00DD47C9"/>
    <w:rsid w:val="00DD4A8F"/>
    <w:rsid w:val="00DE2C51"/>
    <w:rsid w:val="00DE53E4"/>
    <w:rsid w:val="00DE6A1C"/>
    <w:rsid w:val="00DF16EA"/>
    <w:rsid w:val="00DF2991"/>
    <w:rsid w:val="00DF2C34"/>
    <w:rsid w:val="00DF330C"/>
    <w:rsid w:val="00DF42C4"/>
    <w:rsid w:val="00DF48F9"/>
    <w:rsid w:val="00DF6102"/>
    <w:rsid w:val="00DF7EAC"/>
    <w:rsid w:val="00E0086A"/>
    <w:rsid w:val="00E074C3"/>
    <w:rsid w:val="00E079D4"/>
    <w:rsid w:val="00E13B6B"/>
    <w:rsid w:val="00E14749"/>
    <w:rsid w:val="00E206DD"/>
    <w:rsid w:val="00E20C10"/>
    <w:rsid w:val="00E20E7B"/>
    <w:rsid w:val="00E221BC"/>
    <w:rsid w:val="00E23725"/>
    <w:rsid w:val="00E245F2"/>
    <w:rsid w:val="00E25714"/>
    <w:rsid w:val="00E2683F"/>
    <w:rsid w:val="00E26C53"/>
    <w:rsid w:val="00E26EC0"/>
    <w:rsid w:val="00E27024"/>
    <w:rsid w:val="00E31F92"/>
    <w:rsid w:val="00E326D3"/>
    <w:rsid w:val="00E33403"/>
    <w:rsid w:val="00E34157"/>
    <w:rsid w:val="00E34E17"/>
    <w:rsid w:val="00E35E0C"/>
    <w:rsid w:val="00E375E9"/>
    <w:rsid w:val="00E37A10"/>
    <w:rsid w:val="00E409A0"/>
    <w:rsid w:val="00E416C4"/>
    <w:rsid w:val="00E419AC"/>
    <w:rsid w:val="00E41A80"/>
    <w:rsid w:val="00E4298B"/>
    <w:rsid w:val="00E440BE"/>
    <w:rsid w:val="00E52754"/>
    <w:rsid w:val="00E53BE2"/>
    <w:rsid w:val="00E54901"/>
    <w:rsid w:val="00E621DF"/>
    <w:rsid w:val="00E6329C"/>
    <w:rsid w:val="00E63E02"/>
    <w:rsid w:val="00E64117"/>
    <w:rsid w:val="00E64C72"/>
    <w:rsid w:val="00E65D10"/>
    <w:rsid w:val="00E67974"/>
    <w:rsid w:val="00E703F5"/>
    <w:rsid w:val="00E71C51"/>
    <w:rsid w:val="00E72060"/>
    <w:rsid w:val="00E725C8"/>
    <w:rsid w:val="00E72E07"/>
    <w:rsid w:val="00E74311"/>
    <w:rsid w:val="00E75D8D"/>
    <w:rsid w:val="00E76E2A"/>
    <w:rsid w:val="00E8007F"/>
    <w:rsid w:val="00E807DB"/>
    <w:rsid w:val="00E80A15"/>
    <w:rsid w:val="00E84761"/>
    <w:rsid w:val="00E854D5"/>
    <w:rsid w:val="00E86A50"/>
    <w:rsid w:val="00E86ED2"/>
    <w:rsid w:val="00E90196"/>
    <w:rsid w:val="00E90590"/>
    <w:rsid w:val="00E91419"/>
    <w:rsid w:val="00EA4336"/>
    <w:rsid w:val="00EA47AE"/>
    <w:rsid w:val="00EA6A16"/>
    <w:rsid w:val="00EB0F3E"/>
    <w:rsid w:val="00EB1B08"/>
    <w:rsid w:val="00EB2053"/>
    <w:rsid w:val="00EB2268"/>
    <w:rsid w:val="00EB2B8E"/>
    <w:rsid w:val="00EB2C27"/>
    <w:rsid w:val="00EB2FB3"/>
    <w:rsid w:val="00EB59A1"/>
    <w:rsid w:val="00EB7EF4"/>
    <w:rsid w:val="00EC25F2"/>
    <w:rsid w:val="00EC387D"/>
    <w:rsid w:val="00EC3D7F"/>
    <w:rsid w:val="00EC4D01"/>
    <w:rsid w:val="00ED1D20"/>
    <w:rsid w:val="00ED3255"/>
    <w:rsid w:val="00ED36BF"/>
    <w:rsid w:val="00ED4424"/>
    <w:rsid w:val="00ED6E49"/>
    <w:rsid w:val="00ED78E2"/>
    <w:rsid w:val="00EE0C33"/>
    <w:rsid w:val="00EE15F1"/>
    <w:rsid w:val="00EE5680"/>
    <w:rsid w:val="00EE7939"/>
    <w:rsid w:val="00EF133A"/>
    <w:rsid w:val="00EF1812"/>
    <w:rsid w:val="00EF182D"/>
    <w:rsid w:val="00EF29E7"/>
    <w:rsid w:val="00EF349B"/>
    <w:rsid w:val="00EF34DD"/>
    <w:rsid w:val="00EF5A3F"/>
    <w:rsid w:val="00F00F29"/>
    <w:rsid w:val="00F01005"/>
    <w:rsid w:val="00F061D1"/>
    <w:rsid w:val="00F064CE"/>
    <w:rsid w:val="00F07566"/>
    <w:rsid w:val="00F11D0E"/>
    <w:rsid w:val="00F12211"/>
    <w:rsid w:val="00F12798"/>
    <w:rsid w:val="00F1748B"/>
    <w:rsid w:val="00F206DF"/>
    <w:rsid w:val="00F218E7"/>
    <w:rsid w:val="00F2769C"/>
    <w:rsid w:val="00F3194E"/>
    <w:rsid w:val="00F31E53"/>
    <w:rsid w:val="00F344C0"/>
    <w:rsid w:val="00F35105"/>
    <w:rsid w:val="00F3568D"/>
    <w:rsid w:val="00F35D2A"/>
    <w:rsid w:val="00F367E4"/>
    <w:rsid w:val="00F37BF8"/>
    <w:rsid w:val="00F37D83"/>
    <w:rsid w:val="00F42C2B"/>
    <w:rsid w:val="00F4317A"/>
    <w:rsid w:val="00F43DAC"/>
    <w:rsid w:val="00F44DDE"/>
    <w:rsid w:val="00F46421"/>
    <w:rsid w:val="00F47550"/>
    <w:rsid w:val="00F527B2"/>
    <w:rsid w:val="00F52AC7"/>
    <w:rsid w:val="00F54EA1"/>
    <w:rsid w:val="00F557BF"/>
    <w:rsid w:val="00F56158"/>
    <w:rsid w:val="00F578CF"/>
    <w:rsid w:val="00F62DD7"/>
    <w:rsid w:val="00F63DD2"/>
    <w:rsid w:val="00F64337"/>
    <w:rsid w:val="00F64F43"/>
    <w:rsid w:val="00F661BA"/>
    <w:rsid w:val="00F70BD3"/>
    <w:rsid w:val="00F72D58"/>
    <w:rsid w:val="00F72FD1"/>
    <w:rsid w:val="00F7358B"/>
    <w:rsid w:val="00F73FA3"/>
    <w:rsid w:val="00F75107"/>
    <w:rsid w:val="00F8161B"/>
    <w:rsid w:val="00F8464C"/>
    <w:rsid w:val="00F85B0A"/>
    <w:rsid w:val="00F90452"/>
    <w:rsid w:val="00F92839"/>
    <w:rsid w:val="00FA0E86"/>
    <w:rsid w:val="00FA2034"/>
    <w:rsid w:val="00FA2251"/>
    <w:rsid w:val="00FA2E82"/>
    <w:rsid w:val="00FA3D4E"/>
    <w:rsid w:val="00FA4ED7"/>
    <w:rsid w:val="00FA5221"/>
    <w:rsid w:val="00FA525A"/>
    <w:rsid w:val="00FA5470"/>
    <w:rsid w:val="00FA5474"/>
    <w:rsid w:val="00FB00BC"/>
    <w:rsid w:val="00FB11B1"/>
    <w:rsid w:val="00FB13A3"/>
    <w:rsid w:val="00FB149F"/>
    <w:rsid w:val="00FB17E1"/>
    <w:rsid w:val="00FB27CF"/>
    <w:rsid w:val="00FB6250"/>
    <w:rsid w:val="00FB6A8C"/>
    <w:rsid w:val="00FB748D"/>
    <w:rsid w:val="00FB7B49"/>
    <w:rsid w:val="00FC0751"/>
    <w:rsid w:val="00FC2039"/>
    <w:rsid w:val="00FC22A3"/>
    <w:rsid w:val="00FC5510"/>
    <w:rsid w:val="00FC5F1E"/>
    <w:rsid w:val="00FC7909"/>
    <w:rsid w:val="00FC7BA6"/>
    <w:rsid w:val="00FD0A34"/>
    <w:rsid w:val="00FD2957"/>
    <w:rsid w:val="00FD2ACF"/>
    <w:rsid w:val="00FD3AB5"/>
    <w:rsid w:val="00FD437F"/>
    <w:rsid w:val="00FD65D9"/>
    <w:rsid w:val="00FD7AE0"/>
    <w:rsid w:val="00FE0168"/>
    <w:rsid w:val="00FE2A4F"/>
    <w:rsid w:val="00FE3FA9"/>
    <w:rsid w:val="00FF279E"/>
    <w:rsid w:val="00FF2B52"/>
    <w:rsid w:val="00FF3D4C"/>
    <w:rsid w:val="00FF4852"/>
    <w:rsid w:val="00FF5653"/>
    <w:rsid w:val="00FF61C7"/>
    <w:rsid w:val="00FF62EE"/>
    <w:rsid w:val="00FF6596"/>
    <w:rsid w:val="00FF7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B0D9F"/>
  <w15:chartTrackingRefBased/>
  <w15:docId w15:val="{49BC1878-5631-4C6A-8DD8-845008D0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05A"/>
    <w:pPr>
      <w:spacing w:line="252" w:lineRule="auto"/>
    </w:pPr>
  </w:style>
  <w:style w:type="paragraph" w:styleId="Heading1">
    <w:name w:val="heading 1"/>
    <w:basedOn w:val="Normal"/>
    <w:link w:val="Heading1Char"/>
    <w:uiPriority w:val="9"/>
    <w:qFormat/>
    <w:rsid w:val="003C6A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05A"/>
    <w:rPr>
      <w:color w:val="0563C1" w:themeColor="hyperlink"/>
      <w:u w:val="single"/>
    </w:rPr>
  </w:style>
  <w:style w:type="paragraph" w:styleId="ListParagraph">
    <w:name w:val="List Paragraph"/>
    <w:basedOn w:val="Normal"/>
    <w:uiPriority w:val="34"/>
    <w:qFormat/>
    <w:rsid w:val="0004705A"/>
    <w:pPr>
      <w:ind w:left="720"/>
      <w:contextualSpacing/>
    </w:pPr>
  </w:style>
  <w:style w:type="paragraph" w:styleId="FootnoteText">
    <w:name w:val="footnote text"/>
    <w:basedOn w:val="Normal"/>
    <w:link w:val="FootnoteTextChar"/>
    <w:uiPriority w:val="99"/>
    <w:semiHidden/>
    <w:unhideWhenUsed/>
    <w:rsid w:val="00FC79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7909"/>
    <w:rPr>
      <w:sz w:val="20"/>
      <w:szCs w:val="20"/>
    </w:rPr>
  </w:style>
  <w:style w:type="character" w:styleId="FootnoteReference">
    <w:name w:val="footnote reference"/>
    <w:basedOn w:val="DefaultParagraphFont"/>
    <w:uiPriority w:val="99"/>
    <w:semiHidden/>
    <w:unhideWhenUsed/>
    <w:rsid w:val="00FC7909"/>
    <w:rPr>
      <w:vertAlign w:val="superscript"/>
    </w:rPr>
  </w:style>
  <w:style w:type="character" w:styleId="UnresolvedMention">
    <w:name w:val="Unresolved Mention"/>
    <w:basedOn w:val="DefaultParagraphFont"/>
    <w:uiPriority w:val="99"/>
    <w:semiHidden/>
    <w:unhideWhenUsed/>
    <w:rsid w:val="00FB17E1"/>
    <w:rPr>
      <w:color w:val="605E5C"/>
      <w:shd w:val="clear" w:color="auto" w:fill="E1DFDD"/>
    </w:rPr>
  </w:style>
  <w:style w:type="character" w:customStyle="1" w:styleId="ssit">
    <w:name w:val="ss_it"/>
    <w:basedOn w:val="DefaultParagraphFont"/>
    <w:rsid w:val="00870FC6"/>
  </w:style>
  <w:style w:type="paragraph" w:styleId="Header">
    <w:name w:val="header"/>
    <w:basedOn w:val="Normal"/>
    <w:link w:val="HeaderChar"/>
    <w:uiPriority w:val="99"/>
    <w:unhideWhenUsed/>
    <w:rsid w:val="005B1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6DC"/>
  </w:style>
  <w:style w:type="paragraph" w:styleId="Footer">
    <w:name w:val="footer"/>
    <w:basedOn w:val="Normal"/>
    <w:link w:val="FooterChar"/>
    <w:uiPriority w:val="99"/>
    <w:unhideWhenUsed/>
    <w:rsid w:val="005B1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6DC"/>
  </w:style>
  <w:style w:type="character" w:customStyle="1" w:styleId="Heading1Char">
    <w:name w:val="Heading 1 Char"/>
    <w:basedOn w:val="DefaultParagraphFont"/>
    <w:link w:val="Heading1"/>
    <w:uiPriority w:val="9"/>
    <w:rsid w:val="003C6A02"/>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D08E1"/>
    <w:rPr>
      <w:color w:val="954F72" w:themeColor="followedHyperlink"/>
      <w:u w:val="single"/>
    </w:rPr>
  </w:style>
  <w:style w:type="character" w:customStyle="1" w:styleId="coglossaryterm">
    <w:name w:val="co_glossaryterm"/>
    <w:basedOn w:val="DefaultParagraphFont"/>
    <w:rsid w:val="002F6E02"/>
  </w:style>
  <w:style w:type="character" w:styleId="Strong">
    <w:name w:val="Strong"/>
    <w:basedOn w:val="DefaultParagraphFont"/>
    <w:uiPriority w:val="22"/>
    <w:qFormat/>
    <w:rsid w:val="002F6E02"/>
    <w:rPr>
      <w:b/>
      <w:bCs/>
    </w:rPr>
  </w:style>
  <w:style w:type="character" w:styleId="Emphasis">
    <w:name w:val="Emphasis"/>
    <w:basedOn w:val="DefaultParagraphFont"/>
    <w:uiPriority w:val="20"/>
    <w:qFormat/>
    <w:rsid w:val="00BF060F"/>
    <w:rPr>
      <w:i/>
      <w:iCs/>
    </w:rPr>
  </w:style>
  <w:style w:type="paragraph" w:styleId="NormalWeb">
    <w:name w:val="Normal (Web)"/>
    <w:basedOn w:val="Normal"/>
    <w:uiPriority w:val="99"/>
    <w:unhideWhenUsed/>
    <w:rsid w:val="00B50A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295276">
      <w:bodyDiv w:val="1"/>
      <w:marLeft w:val="0"/>
      <w:marRight w:val="0"/>
      <w:marTop w:val="0"/>
      <w:marBottom w:val="0"/>
      <w:divBdr>
        <w:top w:val="none" w:sz="0" w:space="0" w:color="auto"/>
        <w:left w:val="none" w:sz="0" w:space="0" w:color="auto"/>
        <w:bottom w:val="none" w:sz="0" w:space="0" w:color="auto"/>
        <w:right w:val="none" w:sz="0" w:space="0" w:color="auto"/>
      </w:divBdr>
    </w:div>
    <w:div w:id="1185439843">
      <w:bodyDiv w:val="1"/>
      <w:marLeft w:val="0"/>
      <w:marRight w:val="0"/>
      <w:marTop w:val="0"/>
      <w:marBottom w:val="0"/>
      <w:divBdr>
        <w:top w:val="none" w:sz="0" w:space="0" w:color="auto"/>
        <w:left w:val="none" w:sz="0" w:space="0" w:color="auto"/>
        <w:bottom w:val="none" w:sz="0" w:space="0" w:color="auto"/>
        <w:right w:val="none" w:sz="0" w:space="0" w:color="auto"/>
      </w:divBdr>
    </w:div>
    <w:div w:id="1315258345">
      <w:bodyDiv w:val="1"/>
      <w:marLeft w:val="0"/>
      <w:marRight w:val="0"/>
      <w:marTop w:val="0"/>
      <w:marBottom w:val="0"/>
      <w:divBdr>
        <w:top w:val="none" w:sz="0" w:space="0" w:color="auto"/>
        <w:left w:val="none" w:sz="0" w:space="0" w:color="auto"/>
        <w:bottom w:val="none" w:sz="0" w:space="0" w:color="auto"/>
        <w:right w:val="none" w:sz="0" w:space="0" w:color="auto"/>
      </w:divBdr>
    </w:div>
    <w:div w:id="183252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ncitral.un.org/en/content/working-group-v-insolvency-law" TargetMode="External"/><Relationship Id="rId13" Type="http://schemas.openxmlformats.org/officeDocument/2006/relationships/hyperlink" Target="http://www.eprints.whiterose.ac.uk/193385/1/Cross-border%20Insolvency%20Protocols%20-%20Casasola%20Madaus%20-%20author%20manuscript%20.pdf" TargetMode="External"/><Relationship Id="rId18" Type="http://schemas.openxmlformats.org/officeDocument/2006/relationships/hyperlink" Target="https://iclg.com/practice-areas/restructuring-and-insolvency-laws-and-regulations/netherlands" TargetMode="External"/><Relationship Id="rId3" Type="http://schemas.openxmlformats.org/officeDocument/2006/relationships/hyperlink" Target="http://www.corporatefinanceinstitute.com/resources/commercial-lending/financial-distress/" TargetMode="External"/><Relationship Id="rId21" Type="http://schemas.openxmlformats.org/officeDocument/2006/relationships/hyperlink" Target="https://www.cliffordchance.com/content/dam/cliffordchance/briefings/2019/07/a-guide-to-restructuring-and-insolvency-procedures-in-europe.pdf" TargetMode="External"/><Relationship Id="rId7" Type="http://schemas.openxmlformats.org/officeDocument/2006/relationships/hyperlink" Target="https://documents1.worldbank.org/curated/en/518861467086038847/pdf/106399-WP-REVISED-PUBLIC-ICR-Principle-Final-Hyperlinks-revised-Latest.pdf" TargetMode="External"/><Relationship Id="rId12" Type="http://schemas.openxmlformats.org/officeDocument/2006/relationships/hyperlink" Target="https://www.uitgeverijparis.nl/documenten/tvob_sym_19/wessels_2019-05_final_-_presentation_tvob_soft_law_instruments_in_restructuring_and_insolvency.pdf" TargetMode="External"/><Relationship Id="rId17" Type="http://schemas.openxmlformats.org/officeDocument/2006/relationships/hyperlink" Target="https://blogs.law.ox.ac.uk/business-law-blog/blog/2021/01/uk-restructuring-moratorium" TargetMode="External"/><Relationship Id="rId2" Type="http://schemas.openxmlformats.org/officeDocument/2006/relationships/hyperlink" Target="http://www.citeseerx.ist.psu.edu/document?repid=rep1&amp;type=pdf&amp;doi=4382862e2ba4c34de4b64b7944f4556c0eeb800c" TargetMode="External"/><Relationship Id="rId16" Type="http://schemas.openxmlformats.org/officeDocument/2006/relationships/hyperlink" Target="https://www.europeanlawinstitute.eu/fileadmin/user_upload/p_eli/Publications/Instrument_INSOLVENCY.pdf" TargetMode="External"/><Relationship Id="rId20" Type="http://schemas.openxmlformats.org/officeDocument/2006/relationships/hyperlink" Target="https://blogs.law.ox.ac.uk/business-law-blog/blog/2021/01/uk-restructuring-moratorium" TargetMode="External"/><Relationship Id="rId1" Type="http://schemas.openxmlformats.org/officeDocument/2006/relationships/hyperlink" Target="http://www.uncitral.org/docs/clout/GBR/GBR_170519_FT.pdf" TargetMode="External"/><Relationship Id="rId6" Type="http://schemas.openxmlformats.org/officeDocument/2006/relationships/hyperlink" Target="https://www.google.com/url?sa=t&amp;rct=j&amp;q=&amp;esrc=s&amp;source=web&amp;cd=&amp;ved=2ahUKEwiW94K0qduCAxWuW0EAHS-ACS8QFnoECBYQAQ&amp;url=https%3A%2F%2Fwww.insol-europe.org%2Fdownload%2Fdocuments%2F1113&amp;usg=AOvVaw393w3-P5HowlGRptx_QImu&amp;opi=89978449" TargetMode="External"/><Relationship Id="rId11" Type="http://schemas.openxmlformats.org/officeDocument/2006/relationships/hyperlink" Target="http://www.bobwessels.nl/blog/2022-11-doc4-towards-a-review-of-the-dutch-ip-profession/" TargetMode="External"/><Relationship Id="rId5" Type="http://schemas.openxmlformats.org/officeDocument/2006/relationships/hyperlink" Target="https://ssrn.com/abstract=3397874" TargetMode="External"/><Relationship Id="rId15" Type="http://schemas.openxmlformats.org/officeDocument/2006/relationships/hyperlink" Target="https://eur-lex.europa.eu/legal-content/EN/TXT/?uri=CELEX%3A32015R0848" TargetMode="External"/><Relationship Id="rId23" Type="http://schemas.openxmlformats.org/officeDocument/2006/relationships/hyperlink" Target="https://bobwessels.nl/blog/2022-11-doc4-towards-a-review-of-the-dutch-ip-profession/" TargetMode="External"/><Relationship Id="rId10" Type="http://schemas.openxmlformats.org/officeDocument/2006/relationships/hyperlink" Target="http://www.jin-global.org/jin-guidelines.html" TargetMode="External"/><Relationship Id="rId19" Type="http://schemas.openxmlformats.org/officeDocument/2006/relationships/hyperlink" Target="https://www.loyensloeff.com/dutch-scheme-of-arrangement.pdf" TargetMode="External"/><Relationship Id="rId4" Type="http://schemas.openxmlformats.org/officeDocument/2006/relationships/hyperlink" Target="https://www.icaew.com/regulation/insolvency/understanding-business-restructuring-and-insolvency/six-signs-that-a-business-is-in-distress" TargetMode="External"/><Relationship Id="rId9" Type="http://schemas.openxmlformats.org/officeDocument/2006/relationships/hyperlink" Target="http://www.iiiglobal.org/file.cfm/159/docs/ALI-III%20Global%20Principles%20booklet_0.pdf" TargetMode="External"/><Relationship Id="rId14" Type="http://schemas.openxmlformats.org/officeDocument/2006/relationships/hyperlink" Target="http://www.academia.edu/15056737/The_Cross_Border_Insolvency_Protocol_what_is_it_and_what_is_in_it_From_a_European_Union_Perspective" TargetMode="External"/><Relationship Id="rId22" Type="http://schemas.openxmlformats.org/officeDocument/2006/relationships/hyperlink" Target="https://www.dlapiper.com/en-gb/insights/publications/2020/09/uk-corporate-insolvency-and-governance-b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6F8C7C988384409E56E50016D7E9B3" ma:contentTypeVersion="11" ma:contentTypeDescription="Create a new document." ma:contentTypeScope="" ma:versionID="1940c7c4871f08d2e7e98b91cabc83b3">
  <xsd:schema xmlns:xsd="http://www.w3.org/2001/XMLSchema" xmlns:xs="http://www.w3.org/2001/XMLSchema" xmlns:p="http://schemas.microsoft.com/office/2006/metadata/properties" xmlns:ns2="18e62be2-c4e9-4ce5-a02f-eb20c2d38545" xmlns:ns3="c242c73c-47d0-4b9f-b82b-3a14ebb11afb" targetNamespace="http://schemas.microsoft.com/office/2006/metadata/properties" ma:root="true" ma:fieldsID="4e9907daa2b3da5c125bfcb46cb4696b" ns2:_="" ns3:_="">
    <xsd:import namespace="18e62be2-c4e9-4ce5-a02f-eb20c2d38545"/>
    <xsd:import namespace="c242c73c-47d0-4b9f-b82b-3a14ebb11af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62be2-c4e9-4ce5-a02f-eb20c2d38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d00175-ead4-462a-bd62-8aa33dd9966b"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42c73c-47d0-4b9f-b82b-3a14ebb11af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56a6780-6e67-488c-b3c5-edbefee3beb5}" ma:internalName="TaxCatchAll" ma:showField="CatchAllData" ma:web="c242c73c-47d0-4b9f-b82b-3a14ebb11af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e62be2-c4e9-4ce5-a02f-eb20c2d38545">
      <Terms xmlns="http://schemas.microsoft.com/office/infopath/2007/PartnerControls"/>
    </lcf76f155ced4ddcb4097134ff3c332f>
    <TaxCatchAll xmlns="c242c73c-47d0-4b9f-b82b-3a14ebb11afb" xsi:nil="true"/>
  </documentManagement>
</p:properties>
</file>

<file path=customXml/itemProps1.xml><?xml version="1.0" encoding="utf-8"?>
<ds:datastoreItem xmlns:ds="http://schemas.openxmlformats.org/officeDocument/2006/customXml" ds:itemID="{6FAB6631-C688-4CF7-B4D0-0C94EC7A61E9}"/>
</file>

<file path=customXml/itemProps2.xml><?xml version="1.0" encoding="utf-8"?>
<ds:datastoreItem xmlns:ds="http://schemas.openxmlformats.org/officeDocument/2006/customXml" ds:itemID="{52DADEC7-9D72-4B2B-A180-17A29FDAEBAF}"/>
</file>

<file path=customXml/itemProps3.xml><?xml version="1.0" encoding="utf-8"?>
<ds:datastoreItem xmlns:ds="http://schemas.openxmlformats.org/officeDocument/2006/customXml" ds:itemID="{BF85AD7E-8F82-4584-91BB-23F3472D70B4}"/>
</file>

<file path=docProps/app.xml><?xml version="1.0" encoding="utf-8"?>
<Properties xmlns="http://schemas.openxmlformats.org/officeDocument/2006/extended-properties" xmlns:vt="http://schemas.openxmlformats.org/officeDocument/2006/docPropsVTypes">
  <Template>Normal</Template>
  <TotalTime>1</TotalTime>
  <Pages>18</Pages>
  <Words>7115</Words>
  <Characters>40562</Characters>
  <Application>Microsoft Office Word</Application>
  <DocSecurity>4</DocSecurity>
  <Lines>338</Lines>
  <Paragraphs>95</Paragraphs>
  <ScaleCrop>false</ScaleCrop>
  <Company/>
  <LinksUpToDate>false</LinksUpToDate>
  <CharactersWithSpaces>47582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Callow</dc:creator>
  <cp:lastModifiedBy>Heather Callow</cp:lastModifiedBy>
  <cp:revision>2</cp:revision>
  <cp:lastPrinted>1900-01-01T05:00:00Z</cp:lastPrinted>
  <dcterms:created xsi:type="dcterms:W3CDTF">2023-11-27T07:40:00Z</dcterms:created>
  <dcterms:modified xsi:type="dcterms:W3CDTF">2023-11-27T07:40:00Z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0x0101009D6F8C7C988384409E56E50016D7E9B3</vt:lpwstr>
  </property>
</Properties>
</file>