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43343C" w:rsidRDefault="00C3318F" w:rsidP="00BD0DC2">
      <w:pPr>
        <w:pStyle w:val="BodyText"/>
        <w:widowControl/>
        <w:numPr>
          <w:ilvl w:val="0"/>
          <w:numId w:val="24"/>
        </w:numPr>
        <w:autoSpaceDE/>
        <w:autoSpaceDN/>
        <w:rPr>
          <w:rFonts w:ascii="Avenir Next" w:hAnsi="Avenir Next"/>
          <w:highlight w:val="yellow"/>
        </w:rPr>
      </w:pPr>
      <w:r w:rsidRPr="0043343C">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DE4199" w:rsidRDefault="00957995" w:rsidP="00BD0DC2">
      <w:pPr>
        <w:pStyle w:val="BodyText"/>
        <w:widowControl/>
        <w:numPr>
          <w:ilvl w:val="0"/>
          <w:numId w:val="25"/>
        </w:numPr>
        <w:autoSpaceDE/>
        <w:autoSpaceDN/>
        <w:rPr>
          <w:rFonts w:ascii="Avenir Next" w:hAnsi="Avenir Next"/>
        </w:rPr>
      </w:pPr>
      <w:r w:rsidRPr="00DE4199">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925F4C" w:rsidRDefault="00957995" w:rsidP="00BD0DC2">
      <w:pPr>
        <w:pStyle w:val="BodyText"/>
        <w:widowControl/>
        <w:numPr>
          <w:ilvl w:val="0"/>
          <w:numId w:val="25"/>
        </w:numPr>
        <w:autoSpaceDE/>
        <w:autoSpaceDN/>
        <w:rPr>
          <w:rFonts w:ascii="Avenir Next" w:hAnsi="Avenir Next"/>
          <w:highlight w:val="yellow"/>
        </w:rPr>
      </w:pPr>
      <w:r w:rsidRPr="00925F4C">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25F4C" w:rsidRDefault="001F2690" w:rsidP="00BD0DC2">
      <w:pPr>
        <w:pStyle w:val="BodyText"/>
        <w:widowControl/>
        <w:numPr>
          <w:ilvl w:val="0"/>
          <w:numId w:val="7"/>
        </w:numPr>
        <w:autoSpaceDE/>
        <w:autoSpaceDN/>
        <w:ind w:left="709" w:hanging="709"/>
        <w:rPr>
          <w:rFonts w:ascii="Avenir Next" w:hAnsi="Avenir Next"/>
          <w:highlight w:val="yellow"/>
        </w:rPr>
      </w:pPr>
      <w:r w:rsidRPr="00925F4C">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925F4C"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925F4C">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DE4199" w:rsidRDefault="00785937" w:rsidP="00BD2F4B">
      <w:pPr>
        <w:pStyle w:val="ListParagraph"/>
        <w:numPr>
          <w:ilvl w:val="0"/>
          <w:numId w:val="9"/>
        </w:numPr>
        <w:spacing w:after="0" w:line="240" w:lineRule="auto"/>
        <w:ind w:left="709" w:hanging="709"/>
        <w:rPr>
          <w:rFonts w:ascii="Avenir Next" w:hAnsi="Avenir Next" w:cs="Arial"/>
          <w:lang w:val="en-GB"/>
        </w:rPr>
      </w:pPr>
      <w:r w:rsidRPr="00925F4C">
        <w:rPr>
          <w:rFonts w:ascii="Avenir Next" w:hAnsi="Avenir Next" w:cs="Arial"/>
          <w:highlight w:val="yellow"/>
          <w:lang w:val="en-GB"/>
        </w:rPr>
        <w:t>KYD 100</w:t>
      </w:r>
    </w:p>
    <w:p w14:paraId="4B71E39F" w14:textId="77777777" w:rsidR="00785937" w:rsidRPr="00DE4199"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DE4199" w:rsidRDefault="00785937" w:rsidP="00BD2F4B">
      <w:pPr>
        <w:pStyle w:val="ListParagraph"/>
        <w:numPr>
          <w:ilvl w:val="0"/>
          <w:numId w:val="9"/>
        </w:numPr>
        <w:spacing w:after="0" w:line="240" w:lineRule="auto"/>
        <w:ind w:left="709" w:hanging="709"/>
        <w:rPr>
          <w:rFonts w:ascii="Avenir Next" w:hAnsi="Avenir Next" w:cs="Arial"/>
          <w:lang w:val="en-GB"/>
        </w:rPr>
      </w:pPr>
      <w:r w:rsidRPr="00DE4199">
        <w:rPr>
          <w:rFonts w:ascii="Avenir Next" w:hAnsi="Avenir Next" w:cs="Arial"/>
          <w:lang w:val="en-GB"/>
        </w:rPr>
        <w:t>KYD 1,000</w:t>
      </w:r>
    </w:p>
    <w:p w14:paraId="18466CB0" w14:textId="77777777" w:rsidR="00785937" w:rsidRPr="00DE4199"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DE4199" w:rsidRDefault="00785937" w:rsidP="00BD2F4B">
      <w:pPr>
        <w:pStyle w:val="ListParagraph"/>
        <w:numPr>
          <w:ilvl w:val="0"/>
          <w:numId w:val="9"/>
        </w:numPr>
        <w:spacing w:after="0" w:line="240" w:lineRule="auto"/>
        <w:ind w:left="709" w:hanging="709"/>
        <w:rPr>
          <w:rFonts w:ascii="Avenir Next" w:hAnsi="Avenir Next" w:cs="Arial"/>
          <w:lang w:val="en-GB"/>
        </w:rPr>
      </w:pPr>
      <w:r w:rsidRPr="00DE4199">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B3197C"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B3197C">
        <w:rPr>
          <w:rFonts w:ascii="Avenir Next" w:hAnsi="Avenir Next"/>
          <w:highlight w:val="yellow"/>
          <w:lang w:val="en-GB"/>
        </w:rPr>
        <w:t>W</w:t>
      </w:r>
      <w:r w:rsidR="004A11A1" w:rsidRPr="00B3197C">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 xml:space="preserve">required to be included in an affidavit filed in support of a restructuring </w:t>
      </w:r>
      <w:proofErr w:type="gramStart"/>
      <w:r w:rsidRPr="006E060C">
        <w:rPr>
          <w:lang w:val="en-GB"/>
        </w:rPr>
        <w:t>petition:</w:t>
      </w:r>
      <w:proofErr w:type="gramEnd"/>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733415"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733415">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733415"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733415">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D34CED" w:rsidRDefault="004A11A1" w:rsidP="00BD2F4B">
      <w:pPr>
        <w:pStyle w:val="ListParagraph"/>
        <w:numPr>
          <w:ilvl w:val="0"/>
          <w:numId w:val="14"/>
        </w:numPr>
        <w:spacing w:after="0" w:line="240" w:lineRule="auto"/>
        <w:ind w:left="709" w:hanging="709"/>
        <w:rPr>
          <w:rFonts w:ascii="Avenir Next" w:hAnsi="Avenir Next"/>
          <w:lang w:val="en-GB"/>
        </w:rPr>
      </w:pPr>
      <w:r w:rsidRPr="00D34CED">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733415"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733415">
        <w:rPr>
          <w:rFonts w:ascii="Avenir Next" w:hAnsi="Avenir Next"/>
          <w:highlight w:val="yellow"/>
          <w:lang w:val="en-GB"/>
        </w:rPr>
        <w:t>within 21 days of the petition being filed</w:t>
      </w:r>
      <w:r w:rsidR="003721B7" w:rsidRPr="00733415">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DB22B1" w:rsidRDefault="003721B7" w:rsidP="00BD2F4B">
      <w:pPr>
        <w:pStyle w:val="ListParagraph"/>
        <w:numPr>
          <w:ilvl w:val="1"/>
          <w:numId w:val="10"/>
        </w:numPr>
        <w:spacing w:after="0" w:line="240" w:lineRule="auto"/>
        <w:ind w:left="709" w:hanging="709"/>
        <w:jc w:val="left"/>
        <w:rPr>
          <w:rFonts w:ascii="Avenir Next" w:hAnsi="Avenir Next"/>
          <w:highlight w:val="yellow"/>
          <w:lang w:val="en-GB"/>
        </w:rPr>
      </w:pPr>
      <w:r w:rsidRPr="00DB22B1">
        <w:rPr>
          <w:rFonts w:ascii="Avenir Next" w:hAnsi="Avenir Next"/>
          <w:highlight w:val="yellow"/>
          <w:lang w:val="en-GB"/>
        </w:rPr>
        <w:t>c</w:t>
      </w:r>
      <w:r w:rsidR="004A11A1" w:rsidRPr="00DB22B1">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DB22B1" w:rsidRDefault="004A11A1" w:rsidP="00BD2F4B">
      <w:pPr>
        <w:pStyle w:val="ListParagraph"/>
        <w:numPr>
          <w:ilvl w:val="1"/>
          <w:numId w:val="10"/>
        </w:numPr>
        <w:spacing w:after="0" w:line="240" w:lineRule="auto"/>
        <w:ind w:left="709" w:hanging="709"/>
        <w:jc w:val="left"/>
        <w:rPr>
          <w:rFonts w:ascii="Avenir Next" w:hAnsi="Avenir Next"/>
          <w:lang w:val="en-GB"/>
        </w:rPr>
      </w:pPr>
      <w:r w:rsidRPr="00DB22B1">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7268DC"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7268DC">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DC3358" w:rsidRDefault="00B341CA" w:rsidP="00BD2F4B">
      <w:pPr>
        <w:pStyle w:val="ListParagraph"/>
        <w:numPr>
          <w:ilvl w:val="0"/>
          <w:numId w:val="15"/>
        </w:numPr>
        <w:spacing w:after="0" w:line="240" w:lineRule="auto"/>
        <w:ind w:left="709" w:hanging="709"/>
        <w:rPr>
          <w:rFonts w:ascii="Avenir Next" w:hAnsi="Avenir Next"/>
          <w:lang w:val="en-GB"/>
        </w:rPr>
      </w:pPr>
      <w:r w:rsidRPr="00DC3358">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232EB7"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232EB7">
        <w:rPr>
          <w:rFonts w:ascii="Avenir Next" w:hAnsi="Avenir Next"/>
          <w:highlight w:val="yellow"/>
          <w:lang w:val="en-GB"/>
        </w:rPr>
        <w:t xml:space="preserve">The Cayman Islands </w:t>
      </w:r>
      <w:r w:rsidR="00512319" w:rsidRPr="00232EB7">
        <w:rPr>
          <w:rFonts w:ascii="Avenir Next" w:hAnsi="Avenir Next"/>
          <w:highlight w:val="yellow"/>
          <w:lang w:val="en-GB"/>
        </w:rPr>
        <w:t>C</w:t>
      </w:r>
      <w:r w:rsidRPr="00232EB7">
        <w:rPr>
          <w:rFonts w:ascii="Avenir Next" w:hAnsi="Avenir Next"/>
          <w:highlight w:val="yellow"/>
          <w:lang w:val="en-GB"/>
        </w:rPr>
        <w:t xml:space="preserve">ourt </w:t>
      </w:r>
      <w:proofErr w:type="gramStart"/>
      <w:r w:rsidRPr="00232EB7">
        <w:rPr>
          <w:rFonts w:ascii="Avenir Next" w:hAnsi="Avenir Next"/>
          <w:highlight w:val="yellow"/>
          <w:lang w:val="en-GB"/>
        </w:rPr>
        <w:t>takes into account</w:t>
      </w:r>
      <w:proofErr w:type="gramEnd"/>
      <w:r w:rsidRPr="00232EB7">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1F6DFC" w:rsidRDefault="00BD0DC2" w:rsidP="00BD2F4B">
      <w:pPr>
        <w:numPr>
          <w:ilvl w:val="0"/>
          <w:numId w:val="27"/>
        </w:numPr>
        <w:ind w:left="709" w:hanging="709"/>
        <w:rPr>
          <w:rFonts w:cs="Calibri"/>
          <w:color w:val="000000"/>
          <w:highlight w:val="yellow"/>
          <w:lang w:val="en-ZA" w:eastAsia="en-GB"/>
        </w:rPr>
      </w:pPr>
      <w:r w:rsidRPr="001F6DFC">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1F6DFC">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846F68" w:rsidRDefault="00BD0DC2" w:rsidP="00BD2F4B">
      <w:pPr>
        <w:numPr>
          <w:ilvl w:val="0"/>
          <w:numId w:val="28"/>
        </w:numPr>
        <w:ind w:left="709" w:hanging="709"/>
        <w:rPr>
          <w:rFonts w:cs="Calibri"/>
          <w:color w:val="000000"/>
          <w:highlight w:val="yellow"/>
          <w:lang w:val="en-ZA" w:eastAsia="en-GB"/>
        </w:rPr>
      </w:pPr>
      <w:r w:rsidRPr="00846F68">
        <w:rPr>
          <w:rFonts w:cs="Calibri"/>
          <w:color w:val="000000"/>
          <w:highlight w:val="yellow"/>
          <w:lang w:val="en-ZA" w:eastAsia="en-GB"/>
        </w:rPr>
        <w:t xml:space="preserve">An official liquidator acts in </w:t>
      </w:r>
      <w:r w:rsidRPr="00846F68">
        <w:rPr>
          <w:rFonts w:cs="Calibri"/>
          <w:i/>
          <w:iCs/>
          <w:color w:val="000000"/>
          <w:highlight w:val="yellow"/>
          <w:lang w:val="en-ZA" w:eastAsia="en-GB"/>
        </w:rPr>
        <w:t>quasi</w:t>
      </w:r>
      <w:r w:rsidR="00972B13" w:rsidRPr="00846F68">
        <w:rPr>
          <w:rFonts w:cs="Calibri"/>
          <w:color w:val="000000"/>
          <w:highlight w:val="yellow"/>
          <w:lang w:val="en-ZA" w:eastAsia="en-GB"/>
        </w:rPr>
        <w:t>-</w:t>
      </w:r>
      <w:r w:rsidRPr="00846F68">
        <w:rPr>
          <w:rFonts w:cs="Calibri"/>
          <w:color w:val="000000"/>
          <w:highlight w:val="yellow"/>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D34CED" w:rsidRDefault="00BD0DC2" w:rsidP="00BD2F4B">
      <w:pPr>
        <w:numPr>
          <w:ilvl w:val="0"/>
          <w:numId w:val="28"/>
        </w:numPr>
        <w:ind w:left="709" w:hanging="709"/>
        <w:rPr>
          <w:rFonts w:cs="Calibri"/>
          <w:color w:val="000000"/>
          <w:lang w:val="en-ZA" w:eastAsia="en-GB"/>
        </w:rPr>
      </w:pPr>
      <w:r w:rsidRPr="00D34CED">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303E42" w:rsidRDefault="00BD0DC2" w:rsidP="00BD2F4B">
      <w:pPr>
        <w:numPr>
          <w:ilvl w:val="0"/>
          <w:numId w:val="29"/>
        </w:numPr>
        <w:ind w:left="709" w:hanging="709"/>
        <w:rPr>
          <w:rFonts w:cs="Calibri"/>
          <w:color w:val="000000"/>
          <w:highlight w:val="yellow"/>
          <w:lang w:val="en-ZA" w:eastAsia="en-GB"/>
        </w:rPr>
      </w:pPr>
      <w:r w:rsidRPr="00303E42">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232EB7" w:rsidRDefault="00BD0DC2" w:rsidP="00BD2F4B">
      <w:pPr>
        <w:numPr>
          <w:ilvl w:val="0"/>
          <w:numId w:val="30"/>
        </w:numPr>
        <w:ind w:left="709" w:hanging="709"/>
        <w:rPr>
          <w:rFonts w:cs="Calibri"/>
          <w:color w:val="000000"/>
          <w:lang w:val="en-ZA" w:eastAsia="en-GB"/>
        </w:rPr>
      </w:pPr>
      <w:r w:rsidRPr="00232EB7">
        <w:rPr>
          <w:rFonts w:cs="Calibri"/>
          <w:color w:val="000000"/>
          <w:lang w:val="en-ZA" w:eastAsia="en-GB"/>
        </w:rPr>
        <w:t>L</w:t>
      </w:r>
      <w:r w:rsidR="002D006E" w:rsidRPr="00232EB7">
        <w:rPr>
          <w:rFonts w:cs="Calibri"/>
          <w:color w:val="000000"/>
          <w:lang w:val="en-ZA" w:eastAsia="en-GB"/>
        </w:rPr>
        <w:t>imited Partners</w:t>
      </w:r>
      <w:r w:rsidRPr="00232EB7">
        <w:rPr>
          <w:rFonts w:cs="Calibri"/>
          <w:color w:val="000000"/>
          <w:lang w:val="en-ZA" w:eastAsia="en-GB"/>
        </w:rPr>
        <w:t xml:space="preserve"> have an unfettered statutory right to petition the court to wind up the relevant </w:t>
      </w:r>
      <w:r w:rsidR="00747A99" w:rsidRPr="00232EB7">
        <w:rPr>
          <w:rFonts w:cs="Calibri"/>
          <w:color w:val="000000"/>
          <w:lang w:val="en-ZA" w:eastAsia="en-GB"/>
        </w:rPr>
        <w:t>ELP</w:t>
      </w:r>
      <w:r w:rsidR="00B856C0" w:rsidRPr="00232EB7">
        <w:rPr>
          <w:rFonts w:cs="Calibri"/>
          <w:color w:val="000000"/>
          <w:lang w:val="en-ZA" w:eastAsia="en-GB"/>
        </w:rPr>
        <w:t xml:space="preserve"> </w:t>
      </w:r>
      <w:r w:rsidRPr="00232EB7">
        <w:rPr>
          <w:rFonts w:cs="Calibri"/>
          <w:color w:val="000000"/>
          <w:lang w:val="en-ZA" w:eastAsia="en-GB"/>
        </w:rPr>
        <w:t>/</w:t>
      </w:r>
      <w:r w:rsidR="00B856C0" w:rsidRPr="00232EB7">
        <w:rPr>
          <w:rFonts w:cs="Calibri"/>
          <w:color w:val="000000"/>
          <w:lang w:val="en-ZA" w:eastAsia="en-GB"/>
        </w:rPr>
        <w:t xml:space="preserve"> </w:t>
      </w:r>
      <w:r w:rsidRPr="00232EB7">
        <w:rPr>
          <w:rFonts w:cs="Calibri"/>
          <w:color w:val="000000"/>
          <w:lang w:val="en-ZA" w:eastAsia="en-GB"/>
        </w:rPr>
        <w:t>G</w:t>
      </w:r>
      <w:r w:rsidR="006B582B" w:rsidRPr="00232EB7">
        <w:rPr>
          <w:rFonts w:cs="Calibri"/>
          <w:color w:val="000000"/>
          <w:lang w:val="en-ZA" w:eastAsia="en-GB"/>
        </w:rPr>
        <w:t>eneral Partner</w:t>
      </w:r>
      <w:r w:rsidRPr="00232EB7">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232EB7" w:rsidRDefault="00BD0DC2" w:rsidP="00BD2F4B">
      <w:pPr>
        <w:numPr>
          <w:ilvl w:val="0"/>
          <w:numId w:val="30"/>
        </w:numPr>
        <w:ind w:left="709" w:hanging="709"/>
        <w:rPr>
          <w:rFonts w:cs="Calibri"/>
          <w:color w:val="000000"/>
          <w:highlight w:val="yellow"/>
          <w:lang w:val="en-ZA" w:eastAsia="en-GB"/>
        </w:rPr>
      </w:pPr>
      <w:r w:rsidRPr="00232EB7">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232EB7" w:rsidRDefault="00BD0DC2" w:rsidP="00BD2F4B">
      <w:pPr>
        <w:numPr>
          <w:ilvl w:val="0"/>
          <w:numId w:val="31"/>
        </w:numPr>
        <w:ind w:left="709" w:hanging="709"/>
        <w:rPr>
          <w:rFonts w:cs="Calibri"/>
          <w:color w:val="000000"/>
          <w:highlight w:val="yellow"/>
          <w:lang w:val="en-ZA" w:eastAsia="en-GB"/>
        </w:rPr>
      </w:pPr>
      <w:r w:rsidRPr="00232EB7">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232EB7" w:rsidRDefault="00BD0DC2" w:rsidP="00BD2F4B">
      <w:pPr>
        <w:numPr>
          <w:ilvl w:val="0"/>
          <w:numId w:val="31"/>
        </w:numPr>
        <w:ind w:left="709" w:hanging="709"/>
        <w:rPr>
          <w:rFonts w:cs="Calibri"/>
          <w:color w:val="000000"/>
          <w:lang w:val="en-ZA" w:eastAsia="en-GB"/>
        </w:rPr>
      </w:pPr>
      <w:r w:rsidRPr="00232EB7">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232EB7">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2355C" w:rsidRDefault="00BD0DC2" w:rsidP="00BD2F4B">
      <w:pPr>
        <w:numPr>
          <w:ilvl w:val="0"/>
          <w:numId w:val="32"/>
        </w:numPr>
        <w:ind w:left="709" w:hanging="709"/>
        <w:rPr>
          <w:rFonts w:cs="Calibri"/>
          <w:color w:val="000000"/>
          <w:highlight w:val="yellow"/>
          <w:lang w:val="en-ZA" w:eastAsia="en-GB"/>
        </w:rPr>
      </w:pPr>
      <w:r w:rsidRPr="0062355C">
        <w:rPr>
          <w:rFonts w:cs="Calibri"/>
          <w:color w:val="000000"/>
          <w:highlight w:val="yellow"/>
          <w:lang w:val="en-ZA" w:eastAsia="en-GB"/>
        </w:rPr>
        <w:t>A winding up petition must be presented as a precursor to the application for the provisional liquidation</w:t>
      </w:r>
      <w:r w:rsidR="00BD2F4B" w:rsidRPr="0062355C">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803499" w:rsidRDefault="00BD0DC2" w:rsidP="00BD2F4B">
      <w:pPr>
        <w:numPr>
          <w:ilvl w:val="0"/>
          <w:numId w:val="34"/>
        </w:numPr>
        <w:ind w:left="709" w:hanging="709"/>
        <w:jc w:val="left"/>
        <w:rPr>
          <w:rFonts w:cs="Calibri"/>
          <w:color w:val="000000"/>
          <w:highlight w:val="yellow"/>
          <w:lang w:val="en-ZA" w:eastAsia="en-GB"/>
        </w:rPr>
      </w:pPr>
      <w:r w:rsidRPr="0080349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1168CA" w:rsidRDefault="00BD0DC2" w:rsidP="00BD2F4B">
      <w:pPr>
        <w:numPr>
          <w:ilvl w:val="0"/>
          <w:numId w:val="33"/>
        </w:numPr>
        <w:ind w:left="709" w:hanging="709"/>
        <w:jc w:val="left"/>
        <w:rPr>
          <w:rFonts w:cs="Calibri"/>
          <w:color w:val="000000"/>
          <w:highlight w:val="yellow"/>
          <w:lang w:val="en-ZA" w:eastAsia="en-GB"/>
        </w:rPr>
      </w:pPr>
      <w:r w:rsidRPr="001168CA">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4C126C3" w14:textId="760FEF05" w:rsidR="00AE4B7F" w:rsidRDefault="00015092" w:rsidP="00DB5BF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3, Rule 4(1) of the Companies Winding Up Rules (2023 Consolidation) </w:t>
      </w:r>
      <w:r w:rsidR="00647055">
        <w:rPr>
          <w:rFonts w:ascii="Avenir Next" w:hAnsi="Avenir Next"/>
          <w:color w:val="808080" w:themeColor="background1" w:themeShade="80"/>
        </w:rPr>
        <w:t>(</w:t>
      </w:r>
      <w:r w:rsidR="00647055" w:rsidRPr="00647055">
        <w:rPr>
          <w:rFonts w:ascii="Avenir Next" w:hAnsi="Avenir Next"/>
          <w:b/>
          <w:color w:val="808080" w:themeColor="background1" w:themeShade="80"/>
        </w:rPr>
        <w:t>CWR</w:t>
      </w:r>
      <w:r w:rsidR="00647055">
        <w:rPr>
          <w:rFonts w:ascii="Avenir Next" w:hAnsi="Avenir Next"/>
          <w:color w:val="808080" w:themeColor="background1" w:themeShade="80"/>
        </w:rPr>
        <w:t xml:space="preserve">) </w:t>
      </w:r>
      <w:r>
        <w:rPr>
          <w:rFonts w:ascii="Avenir Next" w:hAnsi="Avenir Next"/>
          <w:color w:val="808080" w:themeColor="background1" w:themeShade="80"/>
        </w:rPr>
        <w:t xml:space="preserve">sets out </w:t>
      </w:r>
      <w:r w:rsidR="00647055">
        <w:rPr>
          <w:rFonts w:ascii="Avenir Next" w:hAnsi="Avenir Next"/>
          <w:color w:val="808080" w:themeColor="background1" w:themeShade="80"/>
        </w:rPr>
        <w:t>that the</w:t>
      </w:r>
      <w:r>
        <w:rPr>
          <w:rFonts w:ascii="Avenir Next" w:hAnsi="Avenir Next"/>
          <w:color w:val="808080" w:themeColor="background1" w:themeShade="80"/>
        </w:rPr>
        <w:t xml:space="preserve"> consent to act signed by the proposed official liquidator</w:t>
      </w:r>
      <w:r w:rsidR="00647055">
        <w:rPr>
          <w:rFonts w:ascii="Avenir Next" w:hAnsi="Avenir Next"/>
          <w:color w:val="808080" w:themeColor="background1" w:themeShade="80"/>
        </w:rPr>
        <w:t>(s)</w:t>
      </w:r>
      <w:r>
        <w:rPr>
          <w:rFonts w:ascii="Avenir Next" w:hAnsi="Avenir Next"/>
          <w:color w:val="808080" w:themeColor="background1" w:themeShade="80"/>
        </w:rPr>
        <w:t xml:space="preserve"> </w:t>
      </w:r>
      <w:r w:rsidR="00647055">
        <w:rPr>
          <w:rFonts w:ascii="Avenir Next" w:hAnsi="Avenir Next"/>
          <w:color w:val="808080" w:themeColor="background1" w:themeShade="80"/>
        </w:rPr>
        <w:t>must state the following</w:t>
      </w:r>
      <w:r>
        <w:rPr>
          <w:rFonts w:ascii="Avenir Next" w:hAnsi="Avenir Next"/>
          <w:color w:val="808080" w:themeColor="background1" w:themeShade="80"/>
        </w:rPr>
        <w:t>:</w:t>
      </w:r>
    </w:p>
    <w:p w14:paraId="079A83BB" w14:textId="454129B5" w:rsidR="00015092" w:rsidRPr="00015092" w:rsidRDefault="00015092" w:rsidP="00647055">
      <w:pPr>
        <w:pStyle w:val="BodyText"/>
        <w:ind w:firstLine="0"/>
        <w:rPr>
          <w:rFonts w:ascii="Avenir Next" w:hAnsi="Avenir Next"/>
          <w:i/>
          <w:color w:val="808080" w:themeColor="background1" w:themeShade="80"/>
        </w:rPr>
      </w:pPr>
    </w:p>
    <w:p w14:paraId="53258BDA" w14:textId="77777777" w:rsidR="00647055" w:rsidRDefault="00647055" w:rsidP="00015092">
      <w:pPr>
        <w:pStyle w:val="BodyText"/>
        <w:ind w:left="1074"/>
        <w:rPr>
          <w:rFonts w:ascii="Avenir Next" w:hAnsi="Avenir Next"/>
          <w:i/>
          <w:color w:val="808080" w:themeColor="background1" w:themeShade="80"/>
        </w:rPr>
      </w:pPr>
      <w:r>
        <w:rPr>
          <w:rFonts w:ascii="Avenir Next" w:hAnsi="Avenir Next"/>
          <w:i/>
          <w:color w:val="808080" w:themeColor="background1" w:themeShade="80"/>
        </w:rPr>
        <w:lastRenderedPageBreak/>
        <w:t>“</w:t>
      </w:r>
      <w:r w:rsidR="00AE4B7F" w:rsidRPr="00015092">
        <w:rPr>
          <w:rFonts w:ascii="Avenir Next" w:hAnsi="Avenir Next"/>
          <w:i/>
          <w:color w:val="808080" w:themeColor="background1" w:themeShade="80"/>
        </w:rPr>
        <w:t>(a) that person is a qualified insolvency practitioner and meets the residency requirement</w:t>
      </w:r>
    </w:p>
    <w:p w14:paraId="40CC9477" w14:textId="104C1DF2" w:rsidR="00AE4B7F" w:rsidRPr="00015092" w:rsidRDefault="00AE4B7F" w:rsidP="00015092">
      <w:pPr>
        <w:pStyle w:val="BodyText"/>
        <w:ind w:left="1074"/>
        <w:rPr>
          <w:rFonts w:ascii="Avenir Next" w:hAnsi="Avenir Next"/>
          <w:i/>
          <w:color w:val="808080" w:themeColor="background1" w:themeShade="80"/>
        </w:rPr>
      </w:pPr>
      <w:r w:rsidRPr="00015092">
        <w:rPr>
          <w:rFonts w:ascii="Avenir Next" w:hAnsi="Avenir Next"/>
          <w:i/>
          <w:color w:val="808080" w:themeColor="background1" w:themeShade="80"/>
        </w:rPr>
        <w:t>contained in Regulation 5;</w:t>
      </w:r>
    </w:p>
    <w:p w14:paraId="3880B127" w14:textId="43890AD8" w:rsidR="00AE4B7F" w:rsidRPr="00015092" w:rsidRDefault="00AE4B7F" w:rsidP="00647055">
      <w:pPr>
        <w:pStyle w:val="BodyText"/>
        <w:ind w:left="720" w:firstLine="2"/>
        <w:rPr>
          <w:rFonts w:ascii="Avenir Next" w:hAnsi="Avenir Next"/>
          <w:i/>
          <w:color w:val="808080" w:themeColor="background1" w:themeShade="80"/>
        </w:rPr>
      </w:pPr>
      <w:r w:rsidRPr="00015092">
        <w:rPr>
          <w:rFonts w:ascii="Avenir Next" w:hAnsi="Avenir Next"/>
          <w:i/>
          <w:color w:val="808080" w:themeColor="background1" w:themeShade="80"/>
        </w:rPr>
        <w:t>(b) having made due enquiry, that person believes that that person and that person’s firm meet the independence requirement contained in Regulation 6;</w:t>
      </w:r>
    </w:p>
    <w:p w14:paraId="65B0E595" w14:textId="7B71D4D6" w:rsidR="00647055" w:rsidRDefault="00AE4B7F" w:rsidP="00647055">
      <w:pPr>
        <w:pStyle w:val="BodyText"/>
        <w:ind w:left="720" w:hanging="4"/>
        <w:rPr>
          <w:rFonts w:ascii="Avenir Next" w:hAnsi="Avenir Next"/>
          <w:i/>
          <w:color w:val="808080" w:themeColor="background1" w:themeShade="80"/>
        </w:rPr>
      </w:pPr>
      <w:r w:rsidRPr="00015092">
        <w:rPr>
          <w:rFonts w:ascii="Avenir Next" w:hAnsi="Avenir Next"/>
          <w:i/>
          <w:color w:val="808080" w:themeColor="background1" w:themeShade="80"/>
        </w:rPr>
        <w:t xml:space="preserve">(c) that person and/or that person’s firm </w:t>
      </w:r>
      <w:proofErr w:type="gramStart"/>
      <w:r w:rsidRPr="00015092">
        <w:rPr>
          <w:rFonts w:ascii="Avenir Next" w:hAnsi="Avenir Next"/>
          <w:i/>
          <w:color w:val="808080" w:themeColor="background1" w:themeShade="80"/>
        </w:rPr>
        <w:t>are in compliance with</w:t>
      </w:r>
      <w:proofErr w:type="gramEnd"/>
      <w:r w:rsidRPr="00015092">
        <w:rPr>
          <w:rFonts w:ascii="Avenir Next" w:hAnsi="Avenir Next"/>
          <w:i/>
          <w:color w:val="808080" w:themeColor="background1" w:themeShade="80"/>
        </w:rPr>
        <w:t xml:space="preserve"> the insurance requirement contained in Regulation 7; and</w:t>
      </w:r>
      <w:r w:rsidR="00647055">
        <w:rPr>
          <w:rFonts w:ascii="Avenir Next" w:hAnsi="Avenir Next"/>
          <w:i/>
          <w:color w:val="808080" w:themeColor="background1" w:themeShade="80"/>
        </w:rPr>
        <w:t xml:space="preserve"> </w:t>
      </w:r>
    </w:p>
    <w:p w14:paraId="4E761E23" w14:textId="58FF03D0" w:rsidR="00647055" w:rsidRDefault="00AE4B7F" w:rsidP="00647055">
      <w:pPr>
        <w:pStyle w:val="BodyText"/>
        <w:ind w:left="1074"/>
        <w:rPr>
          <w:rFonts w:ascii="Avenir Next" w:hAnsi="Avenir Next"/>
          <w:i/>
          <w:color w:val="808080" w:themeColor="background1" w:themeShade="80"/>
        </w:rPr>
      </w:pPr>
      <w:r w:rsidRPr="00015092">
        <w:rPr>
          <w:rFonts w:ascii="Avenir Next" w:hAnsi="Avenir Next"/>
          <w:i/>
          <w:color w:val="808080" w:themeColor="background1" w:themeShade="80"/>
        </w:rPr>
        <w:t>(d) that person is willing to act as official liquidator if so appointed by the Court.</w:t>
      </w:r>
      <w:r w:rsidR="00647055">
        <w:rPr>
          <w:rFonts w:ascii="Avenir Next" w:hAnsi="Avenir Next"/>
          <w:i/>
          <w:color w:val="808080" w:themeColor="background1" w:themeShade="80"/>
        </w:rPr>
        <w:t>”</w:t>
      </w:r>
    </w:p>
    <w:p w14:paraId="544D3B0C" w14:textId="77777777" w:rsidR="00647055" w:rsidRDefault="00647055" w:rsidP="00647055">
      <w:pPr>
        <w:pStyle w:val="BodyText"/>
        <w:ind w:left="1074"/>
        <w:rPr>
          <w:rFonts w:ascii="Avenir Next" w:hAnsi="Avenir Next"/>
          <w:i/>
          <w:color w:val="808080" w:themeColor="background1" w:themeShade="80"/>
        </w:rPr>
      </w:pPr>
    </w:p>
    <w:p w14:paraId="29F99BA0" w14:textId="2BA9714E" w:rsidR="00647055" w:rsidRDefault="00647055" w:rsidP="00DB5BF9">
      <w:pPr>
        <w:rPr>
          <w:rFonts w:eastAsia="Arial"/>
          <w:color w:val="808080" w:themeColor="background1" w:themeShade="80"/>
        </w:rPr>
      </w:pPr>
      <w:r w:rsidRPr="00647055">
        <w:rPr>
          <w:rFonts w:eastAsia="Arial"/>
          <w:color w:val="808080" w:themeColor="background1" w:themeShade="80"/>
        </w:rPr>
        <w:t xml:space="preserve">The consent </w:t>
      </w:r>
      <w:r>
        <w:rPr>
          <w:rFonts w:eastAsia="Arial"/>
          <w:color w:val="808080" w:themeColor="background1" w:themeShade="80"/>
        </w:rPr>
        <w:t xml:space="preserve">to act </w:t>
      </w:r>
      <w:r w:rsidRPr="00647055">
        <w:rPr>
          <w:rFonts w:eastAsia="Arial"/>
          <w:color w:val="808080" w:themeColor="background1" w:themeShade="80"/>
        </w:rPr>
        <w:t xml:space="preserve">must be in the form of an affidavit sworn by the person or persons nominated for appointed as official liquidator and must support the petition for winding up. </w:t>
      </w:r>
    </w:p>
    <w:p w14:paraId="3CF6764C" w14:textId="77777777" w:rsidR="002A2B0D" w:rsidRPr="002A2B0D" w:rsidRDefault="002A2B0D" w:rsidP="00647055">
      <w:pPr>
        <w:pStyle w:val="BodyText"/>
        <w:ind w:firstLine="0"/>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0B4437F2" w14:textId="77777777" w:rsidR="00346E45" w:rsidRDefault="00346E45" w:rsidP="00346E45">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Order 1A, Rule 10(6) of the CWR provides that:</w:t>
      </w:r>
    </w:p>
    <w:p w14:paraId="7E3B3DB0" w14:textId="77777777" w:rsidR="00346E45" w:rsidRDefault="00346E45" w:rsidP="00346E45">
      <w:pPr>
        <w:pStyle w:val="BodyText"/>
        <w:ind w:left="-360" w:firstLine="2"/>
        <w:rPr>
          <w:rFonts w:ascii="Avenir Next" w:hAnsi="Avenir Next"/>
          <w:color w:val="808080" w:themeColor="background1" w:themeShade="80"/>
        </w:rPr>
      </w:pPr>
    </w:p>
    <w:p w14:paraId="6A19EAB6" w14:textId="04896EF3" w:rsidR="00346E45" w:rsidRPr="00346E45" w:rsidRDefault="00346E45" w:rsidP="00346E45">
      <w:pPr>
        <w:pStyle w:val="BodyText"/>
        <w:ind w:left="-360" w:firstLine="2"/>
        <w:rPr>
          <w:rFonts w:ascii="Avenir Next" w:hAnsi="Avenir Next"/>
          <w:b/>
          <w:i/>
          <w:color w:val="808080" w:themeColor="background1" w:themeShade="80"/>
          <w:u w:val="single"/>
        </w:rPr>
      </w:pPr>
      <w:r w:rsidRPr="00346E45">
        <w:rPr>
          <w:rFonts w:ascii="Avenir Next" w:hAnsi="Avenir Next"/>
          <w:i/>
          <w:color w:val="808080" w:themeColor="background1" w:themeShade="80"/>
        </w:rPr>
        <w:t xml:space="preserve"> “(6) A qualified insolvency practitioner may be regarded as independent notwithstanding that that person (or the firm of which that person is a partner or employee, or the company of which that person is a director or employee) has previously provided advice to the company as financial advisor or otherwise. However, a qualified insolvency practitioner </w:t>
      </w:r>
      <w:r w:rsidRPr="00346E45">
        <w:rPr>
          <w:rFonts w:ascii="Avenir Next" w:hAnsi="Avenir Next"/>
          <w:b/>
          <w:i/>
          <w:color w:val="808080" w:themeColor="background1" w:themeShade="80"/>
        </w:rPr>
        <w:t xml:space="preserve">shall not be regarded as independent if, within a period of </w:t>
      </w:r>
      <w:r w:rsidRPr="00346E45">
        <w:rPr>
          <w:rFonts w:ascii="Avenir Next" w:hAnsi="Avenir Next"/>
          <w:b/>
          <w:i/>
          <w:color w:val="808080" w:themeColor="background1" w:themeShade="80"/>
          <w:u w:val="single"/>
        </w:rPr>
        <w:t>3 years immediately preceding the petition to appoint a restructuring officer being filed</w:t>
      </w:r>
      <w:r w:rsidRPr="00346E45">
        <w:rPr>
          <w:rFonts w:ascii="Avenir Next" w:hAnsi="Avenir Next"/>
          <w:b/>
          <w:i/>
          <w:color w:val="808080" w:themeColor="background1" w:themeShade="80"/>
        </w:rPr>
        <w:t xml:space="preserve"> with the Court, that person (or the firm of which that person is a partner or employee, or the company of which that person is a director or employee) </w:t>
      </w:r>
      <w:r w:rsidRPr="00346E45">
        <w:rPr>
          <w:rFonts w:ascii="Avenir Next" w:hAnsi="Avenir Next"/>
          <w:b/>
          <w:i/>
          <w:color w:val="808080" w:themeColor="background1" w:themeShade="80"/>
          <w:u w:val="single"/>
        </w:rPr>
        <w:t xml:space="preserve">has acted in relation to the company as its </w:t>
      </w:r>
    </w:p>
    <w:p w14:paraId="3B043657" w14:textId="1FD2C66F" w:rsidR="00346E45" w:rsidRPr="00346E45" w:rsidRDefault="00346E45" w:rsidP="00346E45">
      <w:pPr>
        <w:pStyle w:val="BodyText"/>
        <w:ind w:left="-360" w:firstLine="2"/>
        <w:rPr>
          <w:rFonts w:ascii="Avenir Next" w:hAnsi="Avenir Next"/>
          <w:i/>
          <w:color w:val="808080" w:themeColor="background1" w:themeShade="80"/>
        </w:rPr>
      </w:pPr>
      <w:r w:rsidRPr="00346E45">
        <w:rPr>
          <w:rFonts w:ascii="Avenir Next" w:hAnsi="Avenir Next"/>
          <w:b/>
          <w:i/>
          <w:color w:val="808080" w:themeColor="background1" w:themeShade="80"/>
          <w:u w:val="single"/>
        </w:rPr>
        <w:t>Auditor</w:t>
      </w:r>
      <w:r w:rsidRPr="00346E45">
        <w:rPr>
          <w:rFonts w:ascii="Avenir Next" w:hAnsi="Avenir Next"/>
          <w:i/>
          <w:color w:val="808080" w:themeColor="background1" w:themeShade="80"/>
        </w:rPr>
        <w:t>.”</w:t>
      </w:r>
      <w:r w:rsidRPr="00346E45">
        <w:rPr>
          <w:rFonts w:ascii="Avenir Next" w:hAnsi="Avenir Next"/>
          <w:color w:val="808080" w:themeColor="background1" w:themeShade="80"/>
        </w:rPr>
        <w:t xml:space="preserve"> [emphasis added]</w:t>
      </w:r>
    </w:p>
    <w:p w14:paraId="0589796E" w14:textId="77777777" w:rsidR="00346E45" w:rsidRDefault="00346E45" w:rsidP="00346E45">
      <w:pPr>
        <w:pStyle w:val="BodyText"/>
        <w:ind w:left="-360" w:firstLine="2"/>
        <w:rPr>
          <w:rFonts w:ascii="Avenir Next" w:hAnsi="Avenir Next"/>
          <w:color w:val="808080" w:themeColor="background1" w:themeShade="80"/>
        </w:rPr>
      </w:pPr>
    </w:p>
    <w:p w14:paraId="2BD4488F" w14:textId="720A666B" w:rsidR="00DB5BF9" w:rsidRDefault="00346E45" w:rsidP="00346E45">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Therefore, consistent </w:t>
      </w:r>
      <w:r w:rsidR="00BE59D3">
        <w:rPr>
          <w:rFonts w:ascii="Avenir Next" w:hAnsi="Avenir Next"/>
          <w:color w:val="808080" w:themeColor="background1" w:themeShade="80"/>
        </w:rPr>
        <w:t xml:space="preserve">with the independence requirements under </w:t>
      </w:r>
      <w:r>
        <w:rPr>
          <w:rFonts w:ascii="Avenir Next" w:hAnsi="Avenir Next"/>
          <w:color w:val="808080" w:themeColor="background1" w:themeShade="80"/>
        </w:rPr>
        <w:t xml:space="preserve">Regulation 6 of the </w:t>
      </w:r>
      <w:r w:rsidR="00DB5BF9" w:rsidRPr="00DB5BF9">
        <w:rPr>
          <w:rFonts w:ascii="Avenir Next" w:hAnsi="Avenir Next"/>
          <w:color w:val="808080" w:themeColor="background1" w:themeShade="80"/>
        </w:rPr>
        <w:t>Insolvency Practitioners’ Regulations</w:t>
      </w:r>
      <w:r>
        <w:rPr>
          <w:rFonts w:ascii="Avenir Next" w:hAnsi="Avenir Next"/>
          <w:color w:val="808080" w:themeColor="background1" w:themeShade="80"/>
        </w:rPr>
        <w:t xml:space="preserve"> (2023 Regulations) (</w:t>
      </w:r>
      <w:r w:rsidRPr="00346E45">
        <w:rPr>
          <w:rFonts w:ascii="Avenir Next" w:hAnsi="Avenir Next"/>
          <w:b/>
          <w:color w:val="808080" w:themeColor="background1" w:themeShade="80"/>
        </w:rPr>
        <w:t>Regulations</w:t>
      </w:r>
      <w:r>
        <w:rPr>
          <w:rFonts w:ascii="Avenir Next" w:hAnsi="Avenir Next"/>
          <w:color w:val="808080" w:themeColor="background1" w:themeShade="80"/>
        </w:rPr>
        <w:t>)</w:t>
      </w:r>
      <w:r w:rsidR="00DB5BF9" w:rsidRPr="00DB5BF9">
        <w:rPr>
          <w:rFonts w:ascii="Avenir Next" w:hAnsi="Avenir Next"/>
          <w:color w:val="808080" w:themeColor="background1" w:themeShade="80"/>
        </w:rPr>
        <w:t xml:space="preserve">, </w:t>
      </w:r>
      <w:r w:rsidR="008C7E0A">
        <w:rPr>
          <w:rFonts w:ascii="Avenir Next" w:hAnsi="Avenir Next"/>
          <w:color w:val="808080" w:themeColor="background1" w:themeShade="80"/>
        </w:rPr>
        <w:t>liquidators are generally</w:t>
      </w:r>
      <w:r>
        <w:rPr>
          <w:rFonts w:ascii="Avenir Next" w:hAnsi="Avenir Next"/>
          <w:color w:val="808080" w:themeColor="background1" w:themeShade="80"/>
        </w:rPr>
        <w:t xml:space="preserve"> not</w:t>
      </w:r>
      <w:r w:rsidR="00DB5BF9" w:rsidRPr="00DB5BF9">
        <w:rPr>
          <w:rFonts w:ascii="Avenir Next" w:hAnsi="Avenir Next"/>
          <w:color w:val="808080" w:themeColor="background1" w:themeShade="80"/>
        </w:rPr>
        <w:t xml:space="preserve"> regarded </w:t>
      </w:r>
      <w:r w:rsidR="008C7E0A">
        <w:rPr>
          <w:rFonts w:ascii="Avenir Next" w:hAnsi="Avenir Next"/>
          <w:color w:val="808080" w:themeColor="background1" w:themeShade="80"/>
        </w:rPr>
        <w:t xml:space="preserve">as </w:t>
      </w:r>
      <w:r w:rsidR="00DB5BF9" w:rsidRPr="00DB5BF9">
        <w:rPr>
          <w:rFonts w:ascii="Avenir Next" w:hAnsi="Avenir Next"/>
          <w:color w:val="808080" w:themeColor="background1" w:themeShade="80"/>
        </w:rPr>
        <w:t xml:space="preserve">independent </w:t>
      </w:r>
      <w:r>
        <w:rPr>
          <w:rFonts w:ascii="Avenir Next" w:hAnsi="Avenir Next"/>
          <w:color w:val="808080" w:themeColor="background1" w:themeShade="80"/>
        </w:rPr>
        <w:t>where they have</w:t>
      </w:r>
      <w:r w:rsidR="00DB5BF9" w:rsidRPr="00DB5BF9">
        <w:rPr>
          <w:rFonts w:ascii="Avenir Next" w:hAnsi="Avenir Next"/>
          <w:color w:val="808080" w:themeColor="background1" w:themeShade="80"/>
        </w:rPr>
        <w:t xml:space="preserve"> acted in relation to the </w:t>
      </w:r>
      <w:r>
        <w:rPr>
          <w:rFonts w:ascii="Avenir Next" w:hAnsi="Avenir Next"/>
          <w:color w:val="808080" w:themeColor="background1" w:themeShade="80"/>
        </w:rPr>
        <w:t xml:space="preserve">respective </w:t>
      </w:r>
      <w:r w:rsidR="00DB5BF9" w:rsidRPr="00DB5BF9">
        <w:rPr>
          <w:rFonts w:ascii="Avenir Next" w:hAnsi="Avenir Next"/>
          <w:color w:val="808080" w:themeColor="background1" w:themeShade="80"/>
        </w:rPr>
        <w:t>company as</w:t>
      </w:r>
      <w:r>
        <w:rPr>
          <w:rFonts w:ascii="Avenir Next" w:hAnsi="Avenir Next"/>
          <w:color w:val="808080" w:themeColor="background1" w:themeShade="80"/>
        </w:rPr>
        <w:t xml:space="preserve"> an</w:t>
      </w:r>
      <w:r w:rsidR="00DB5BF9" w:rsidRPr="00DB5BF9">
        <w:rPr>
          <w:rFonts w:ascii="Avenir Next" w:hAnsi="Avenir Next"/>
          <w:color w:val="808080" w:themeColor="background1" w:themeShade="80"/>
        </w:rPr>
        <w:t xml:space="preserve"> auditor within a period of three years immediately</w:t>
      </w:r>
      <w:r>
        <w:rPr>
          <w:rFonts w:ascii="Avenir Next" w:hAnsi="Avenir Next"/>
          <w:color w:val="808080" w:themeColor="background1" w:themeShade="80"/>
        </w:rPr>
        <w:t xml:space="preserve"> </w:t>
      </w:r>
      <w:r w:rsidR="00DB5BF9" w:rsidRPr="00DB5BF9">
        <w:rPr>
          <w:rFonts w:ascii="Avenir Next" w:hAnsi="Avenir Next"/>
          <w:color w:val="808080" w:themeColor="background1" w:themeShade="80"/>
        </w:rPr>
        <w:t xml:space="preserve">preceding the filing of the </w:t>
      </w:r>
      <w:r>
        <w:rPr>
          <w:rFonts w:ascii="Avenir Next" w:hAnsi="Avenir Next"/>
          <w:color w:val="808080" w:themeColor="background1" w:themeShade="80"/>
        </w:rPr>
        <w:t>relevant winding up p</w:t>
      </w:r>
      <w:r w:rsidR="00DB5BF9" w:rsidRPr="00DB5BF9">
        <w:rPr>
          <w:rFonts w:ascii="Avenir Next" w:hAnsi="Avenir Next"/>
          <w:color w:val="808080" w:themeColor="background1" w:themeShade="80"/>
        </w:rPr>
        <w:t>etition.</w:t>
      </w:r>
    </w:p>
    <w:p w14:paraId="76DCB0EB" w14:textId="0B7C318B" w:rsidR="00BE59D3" w:rsidRDefault="00BE59D3" w:rsidP="00346E45">
      <w:pPr>
        <w:pStyle w:val="BodyText"/>
        <w:ind w:left="-360" w:firstLine="2"/>
        <w:rPr>
          <w:rFonts w:ascii="Avenir Next" w:hAnsi="Avenir Next"/>
          <w:color w:val="808080" w:themeColor="background1" w:themeShade="80"/>
        </w:rPr>
      </w:pPr>
    </w:p>
    <w:p w14:paraId="5DAD614A" w14:textId="6D2D2507" w:rsidR="0016385D" w:rsidRDefault="00393EB5" w:rsidP="0016385D">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Given that </w:t>
      </w:r>
      <w:proofErr w:type="spellStart"/>
      <w:r>
        <w:rPr>
          <w:rFonts w:ascii="Avenir Next" w:hAnsi="Avenir Next"/>
          <w:color w:val="808080" w:themeColor="background1" w:themeShade="80"/>
        </w:rPr>
        <w:t>Bodden</w:t>
      </w:r>
      <w:proofErr w:type="spellEnd"/>
      <w:r>
        <w:rPr>
          <w:rFonts w:ascii="Avenir Next" w:hAnsi="Avenir Next"/>
          <w:color w:val="808080" w:themeColor="background1" w:themeShade="80"/>
        </w:rPr>
        <w:t xml:space="preserve"> &amp; Ebanks acted as auditors for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 xml:space="preserve"> in 2021, there</w:t>
      </w:r>
      <w:r w:rsidR="0016385D">
        <w:rPr>
          <w:rFonts w:ascii="Avenir Next" w:hAnsi="Avenir Next"/>
          <w:color w:val="808080" w:themeColor="background1" w:themeShade="80"/>
        </w:rPr>
        <w:t xml:space="preserve"> might be actual or perceived bias which render them ineligible to act under the ethical and legal obligations. Indeed, the proposed liquidators might not be able to show that they are truly independent under Regulation 6, and there is a</w:t>
      </w:r>
      <w:r w:rsidR="005D6D67" w:rsidRPr="005D6D67">
        <w:rPr>
          <w:rFonts w:ascii="Avenir Next" w:hAnsi="Avenir Next"/>
          <w:color w:val="808080" w:themeColor="background1" w:themeShade="80"/>
        </w:rPr>
        <w:t xml:space="preserve"> potential of conflict of interest due to the prior auditing role</w:t>
      </w:r>
      <w:r w:rsidR="005D6D67">
        <w:rPr>
          <w:rFonts w:ascii="Avenir Next" w:hAnsi="Avenir Next"/>
          <w:color w:val="808080" w:themeColor="background1" w:themeShade="80"/>
        </w:rPr>
        <w:t xml:space="preserve">, which would be contrary to the Code of Ethics for </w:t>
      </w:r>
      <w:r w:rsidR="005D6D67" w:rsidRPr="005D6D67">
        <w:rPr>
          <w:rFonts w:ascii="Avenir Next" w:hAnsi="Avenir Next"/>
          <w:color w:val="808080" w:themeColor="background1" w:themeShade="80"/>
        </w:rPr>
        <w:t>Cayman Islands Institute of Professional Accountants</w:t>
      </w:r>
      <w:r w:rsidR="005D6D67">
        <w:rPr>
          <w:rFonts w:ascii="Avenir Next" w:hAnsi="Avenir Next"/>
          <w:color w:val="808080" w:themeColor="background1" w:themeShade="80"/>
        </w:rPr>
        <w:t xml:space="preserve">, and in particular the principle of impartiality. </w:t>
      </w:r>
      <w:r w:rsidR="0016385D">
        <w:rPr>
          <w:rFonts w:ascii="Avenir Next" w:hAnsi="Avenir Next"/>
          <w:color w:val="808080" w:themeColor="background1" w:themeShade="80"/>
        </w:rPr>
        <w:t xml:space="preserve">Even where no actual bias could be shown to exist, the perception </w:t>
      </w:r>
      <w:r w:rsidR="005D6D67">
        <w:rPr>
          <w:rFonts w:ascii="Avenir Next" w:hAnsi="Avenir Next"/>
          <w:color w:val="808080" w:themeColor="background1" w:themeShade="80"/>
        </w:rPr>
        <w:t xml:space="preserve">to </w:t>
      </w:r>
      <w:r w:rsidR="0016385D">
        <w:rPr>
          <w:rFonts w:ascii="Avenir Next" w:hAnsi="Avenir Next"/>
          <w:color w:val="808080" w:themeColor="background1" w:themeShade="80"/>
        </w:rPr>
        <w:t>bias could undermine the integrity of the liquidation process.</w:t>
      </w:r>
    </w:p>
    <w:p w14:paraId="6D4FE2D8" w14:textId="77777777" w:rsidR="0016385D" w:rsidRDefault="0016385D" w:rsidP="0016385D">
      <w:pPr>
        <w:pStyle w:val="BodyText"/>
        <w:ind w:left="-360" w:firstLine="2"/>
        <w:rPr>
          <w:rFonts w:ascii="Avenir Next" w:hAnsi="Avenir Next"/>
          <w:color w:val="808080" w:themeColor="background1" w:themeShade="80"/>
        </w:rPr>
      </w:pPr>
    </w:p>
    <w:p w14:paraId="0795874A" w14:textId="4D5C88BF" w:rsidR="00393EB5" w:rsidRDefault="0016385D" w:rsidP="006F097B">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Accordingly, the proposed liquidators are advised to</w:t>
      </w:r>
      <w:r w:rsidR="00393EB5">
        <w:rPr>
          <w:rFonts w:ascii="Avenir Next" w:hAnsi="Avenir Next"/>
          <w:color w:val="808080" w:themeColor="background1" w:themeShade="80"/>
        </w:rPr>
        <w:t xml:space="preserve"> assess whether their prior role as auditors affects their ability to act impartially and</w:t>
      </w:r>
      <w:r>
        <w:rPr>
          <w:rFonts w:ascii="Avenir Next" w:hAnsi="Avenir Next"/>
          <w:color w:val="808080" w:themeColor="background1" w:themeShade="80"/>
        </w:rPr>
        <w:t xml:space="preserve"> disclose the potential conflict immediately </w:t>
      </w:r>
      <w:r w:rsidR="00393EB5">
        <w:rPr>
          <w:rFonts w:ascii="Avenir Next" w:hAnsi="Avenir Next"/>
          <w:color w:val="808080" w:themeColor="background1" w:themeShade="80"/>
        </w:rPr>
        <w:t>to</w:t>
      </w:r>
      <w:r>
        <w:rPr>
          <w:rFonts w:ascii="Avenir Next" w:hAnsi="Avenir Next"/>
          <w:color w:val="808080" w:themeColor="background1" w:themeShade="80"/>
        </w:rPr>
        <w:t xml:space="preserve"> the Court and all interested parties. </w:t>
      </w:r>
      <w:r w:rsidR="00393EB5" w:rsidRPr="00393EB5">
        <w:rPr>
          <w:rFonts w:ascii="Avenir Next" w:hAnsi="Avenir Next"/>
          <w:color w:val="808080" w:themeColor="background1" w:themeShade="80"/>
        </w:rPr>
        <w:t xml:space="preserve">The proposed liquidators may </w:t>
      </w:r>
      <w:r w:rsidR="006F097B">
        <w:rPr>
          <w:rFonts w:ascii="Avenir Next" w:hAnsi="Avenir Next"/>
          <w:color w:val="808080" w:themeColor="background1" w:themeShade="80"/>
        </w:rPr>
        <w:t xml:space="preserve">choose to resign, in which they must </w:t>
      </w:r>
      <w:r w:rsidR="006F097B" w:rsidRPr="006F097B">
        <w:rPr>
          <w:rFonts w:ascii="Avenir Next" w:hAnsi="Avenir Next"/>
          <w:color w:val="808080" w:themeColor="background1" w:themeShade="80"/>
        </w:rPr>
        <w:t>take steps in accordance with</w:t>
      </w:r>
      <w:r w:rsidR="002C3614">
        <w:rPr>
          <w:rFonts w:ascii="Avenir Next" w:hAnsi="Avenir Next"/>
          <w:color w:val="808080" w:themeColor="background1" w:themeShade="80"/>
        </w:rPr>
        <w:t xml:space="preserve"> </w:t>
      </w:r>
      <w:r w:rsidR="006F097B" w:rsidRPr="006F097B">
        <w:rPr>
          <w:rFonts w:ascii="Avenir Next" w:hAnsi="Avenir Next"/>
          <w:color w:val="808080" w:themeColor="background1" w:themeShade="80"/>
        </w:rPr>
        <w:t xml:space="preserve">Order 5, rule 4 </w:t>
      </w:r>
      <w:r w:rsidR="006F097B">
        <w:rPr>
          <w:rFonts w:ascii="Avenir Next" w:hAnsi="Avenir Next"/>
          <w:color w:val="808080" w:themeColor="background1" w:themeShade="80"/>
        </w:rPr>
        <w:t>of the CWR, which include p</w:t>
      </w:r>
      <w:r w:rsidR="006F097B" w:rsidRPr="006F097B">
        <w:rPr>
          <w:rFonts w:ascii="Avenir Next" w:hAnsi="Avenir Next"/>
          <w:color w:val="808080" w:themeColor="background1" w:themeShade="80"/>
        </w:rPr>
        <w:t>repar</w:t>
      </w:r>
      <w:r w:rsidR="006F097B">
        <w:rPr>
          <w:rFonts w:ascii="Avenir Next" w:hAnsi="Avenir Next"/>
          <w:color w:val="808080" w:themeColor="background1" w:themeShade="80"/>
        </w:rPr>
        <w:t>ing</w:t>
      </w:r>
      <w:r w:rsidR="006F097B" w:rsidRPr="006F097B">
        <w:rPr>
          <w:rFonts w:ascii="Avenir Next" w:hAnsi="Avenir Next"/>
          <w:color w:val="808080" w:themeColor="background1" w:themeShade="80"/>
        </w:rPr>
        <w:t xml:space="preserve"> a report and accounts</w:t>
      </w:r>
      <w:r w:rsidR="006F097B">
        <w:rPr>
          <w:rFonts w:ascii="Avenir Next" w:hAnsi="Avenir Next"/>
          <w:color w:val="808080" w:themeColor="background1" w:themeShade="80"/>
        </w:rPr>
        <w:t xml:space="preserve"> (r.4(4)-(5) and r. 2(4). They must also g</w:t>
      </w:r>
      <w:r w:rsidR="006F097B" w:rsidRPr="006F097B">
        <w:rPr>
          <w:rFonts w:ascii="Avenir Next" w:hAnsi="Avenir Next"/>
          <w:color w:val="808080" w:themeColor="background1" w:themeShade="80"/>
        </w:rPr>
        <w:t>ive notice of their resignation to the company’s liquidation committee</w:t>
      </w:r>
      <w:r w:rsidR="006F097B">
        <w:rPr>
          <w:rFonts w:ascii="Avenir Next" w:hAnsi="Avenir Next"/>
          <w:color w:val="808080" w:themeColor="background1" w:themeShade="80"/>
        </w:rPr>
        <w:t xml:space="preserve"> and a</w:t>
      </w:r>
      <w:r w:rsidR="006F097B" w:rsidRPr="006F097B">
        <w:rPr>
          <w:rFonts w:ascii="Avenir Next" w:hAnsi="Avenir Next"/>
          <w:color w:val="808080" w:themeColor="background1" w:themeShade="80"/>
        </w:rPr>
        <w:t>pply to the Court for an order that they be released from the performance of any further</w:t>
      </w:r>
      <w:r w:rsidR="006F097B">
        <w:rPr>
          <w:rFonts w:ascii="Avenir Next" w:hAnsi="Avenir Next"/>
          <w:color w:val="808080" w:themeColor="background1" w:themeShade="80"/>
        </w:rPr>
        <w:t xml:space="preserve"> </w:t>
      </w:r>
      <w:r w:rsidR="006F097B" w:rsidRPr="006F097B">
        <w:rPr>
          <w:rFonts w:ascii="Avenir Next" w:hAnsi="Avenir Next"/>
          <w:color w:val="808080" w:themeColor="background1" w:themeShade="80"/>
        </w:rPr>
        <w:t>duties. The application must be served on each member of the liquidation committee</w:t>
      </w:r>
      <w:r w:rsidR="002C3614">
        <w:rPr>
          <w:rFonts w:ascii="Avenir Next" w:hAnsi="Avenir Next"/>
          <w:color w:val="808080" w:themeColor="background1" w:themeShade="80"/>
        </w:rPr>
        <w:t>.</w:t>
      </w:r>
    </w:p>
    <w:p w14:paraId="0CFDD9E6" w14:textId="77777777" w:rsidR="00393EB5" w:rsidRDefault="00393EB5" w:rsidP="0016385D">
      <w:pPr>
        <w:pStyle w:val="BodyText"/>
        <w:ind w:left="-360" w:firstLine="2"/>
        <w:rPr>
          <w:rFonts w:ascii="Avenir Next" w:hAnsi="Avenir Next"/>
          <w:color w:val="808080" w:themeColor="background1" w:themeShade="80"/>
        </w:rPr>
      </w:pPr>
    </w:p>
    <w:p w14:paraId="34EF8008" w14:textId="37A5B5D9" w:rsidR="0016385D" w:rsidRDefault="0016385D" w:rsidP="0016385D">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The Court will then need to assess whether the previous relationship between the proposed liquidators and the company will impact their ability to act objectively and fairly</w:t>
      </w:r>
      <w:r w:rsidR="00393EB5">
        <w:rPr>
          <w:rFonts w:ascii="Avenir Next" w:hAnsi="Avenir Next"/>
          <w:color w:val="808080" w:themeColor="background1" w:themeShade="80"/>
        </w:rPr>
        <w:t>, and if so, may order that they be replaced.</w:t>
      </w:r>
      <w:r w:rsidR="00F0123D">
        <w:rPr>
          <w:rFonts w:ascii="Avenir Next" w:hAnsi="Avenir Next"/>
          <w:color w:val="808080" w:themeColor="background1" w:themeShade="80"/>
        </w:rPr>
        <w:t xml:space="preserve"> </w:t>
      </w:r>
      <w:proofErr w:type="spellStart"/>
      <w:r w:rsidR="00F0123D">
        <w:rPr>
          <w:rFonts w:ascii="Avenir Next" w:hAnsi="Avenir Next"/>
          <w:color w:val="808080" w:themeColor="background1" w:themeShade="80"/>
        </w:rPr>
        <w:t>Bodden</w:t>
      </w:r>
      <w:proofErr w:type="spellEnd"/>
      <w:r w:rsidR="00F0123D">
        <w:rPr>
          <w:rFonts w:ascii="Avenir Next" w:hAnsi="Avenir Next"/>
          <w:color w:val="808080" w:themeColor="background1" w:themeShade="80"/>
        </w:rPr>
        <w:t xml:space="preserve"> &amp; Ebanks should </w:t>
      </w:r>
      <w:r w:rsidR="00F0123D" w:rsidRPr="00F0123D">
        <w:rPr>
          <w:rFonts w:ascii="Avenir Next" w:hAnsi="Avenir Next"/>
          <w:color w:val="808080" w:themeColor="background1" w:themeShade="80"/>
        </w:rPr>
        <w:t xml:space="preserve">take a neutral stance but they might appear and be represented and assist the court by the provision of evidence, information and neutral submissions to enable the court to come to a fair and just determination of the issue before it. </w:t>
      </w:r>
    </w:p>
    <w:p w14:paraId="6466C646" w14:textId="2316865F" w:rsidR="0016385D" w:rsidRDefault="0016385D" w:rsidP="0016385D">
      <w:pPr>
        <w:pStyle w:val="BodyText"/>
        <w:ind w:left="-360" w:firstLine="2"/>
        <w:rPr>
          <w:rFonts w:ascii="Avenir Next" w:hAnsi="Avenir Next"/>
          <w:color w:val="808080" w:themeColor="background1" w:themeShade="80"/>
        </w:rPr>
      </w:pPr>
    </w:p>
    <w:p w14:paraId="7EE44D86" w14:textId="47289C75" w:rsidR="00234BCA" w:rsidRDefault="00234BCA" w:rsidP="00234BCA">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It should be noted </w:t>
      </w:r>
      <w:r w:rsidR="00F0123D">
        <w:rPr>
          <w:rFonts w:ascii="Avenir Next" w:hAnsi="Avenir Next"/>
          <w:color w:val="808080" w:themeColor="background1" w:themeShade="80"/>
        </w:rPr>
        <w:t xml:space="preserve">that in </w:t>
      </w:r>
      <w:r w:rsidR="00F0123D" w:rsidRPr="00F0123D">
        <w:rPr>
          <w:rFonts w:ascii="Avenir Next" w:hAnsi="Avenir Next"/>
          <w:i/>
          <w:color w:val="808080" w:themeColor="background1" w:themeShade="80"/>
          <w:u w:val="single"/>
        </w:rPr>
        <w:t xml:space="preserve">In the Matter of Global </w:t>
      </w:r>
      <w:proofErr w:type="spellStart"/>
      <w:r w:rsidR="00F0123D" w:rsidRPr="00F0123D">
        <w:rPr>
          <w:rFonts w:ascii="Avenir Next" w:hAnsi="Avenir Next"/>
          <w:i/>
          <w:color w:val="808080" w:themeColor="background1" w:themeShade="80"/>
          <w:u w:val="single"/>
        </w:rPr>
        <w:t>Fildelity</w:t>
      </w:r>
      <w:proofErr w:type="spellEnd"/>
      <w:r w:rsidR="00F0123D" w:rsidRPr="00F0123D">
        <w:rPr>
          <w:rFonts w:ascii="Avenir Next" w:hAnsi="Avenir Next"/>
          <w:i/>
          <w:color w:val="808080" w:themeColor="background1" w:themeShade="80"/>
          <w:u w:val="single"/>
        </w:rPr>
        <w:t xml:space="preserve"> Bank Limited (IOL)</w:t>
      </w:r>
      <w:r w:rsidR="00F0123D">
        <w:rPr>
          <w:rFonts w:ascii="Avenir Next" w:hAnsi="Avenir Next"/>
          <w:color w:val="808080" w:themeColor="background1" w:themeShade="80"/>
        </w:rPr>
        <w:t xml:space="preserve"> [</w:t>
      </w:r>
      <w:r w:rsidR="00D9248F" w:rsidRPr="00D9248F">
        <w:rPr>
          <w:rFonts w:ascii="Avenir Next" w:hAnsi="Avenir Next"/>
          <w:color w:val="808080" w:themeColor="background1" w:themeShade="80"/>
        </w:rPr>
        <w:t>2021 (2) CILR 361]</w:t>
      </w:r>
      <w:r w:rsidR="00F0123D" w:rsidRPr="00F0123D">
        <w:rPr>
          <w:rFonts w:ascii="Avenir Next" w:hAnsi="Avenir Next"/>
          <w:color w:val="808080" w:themeColor="background1" w:themeShade="80"/>
        </w:rPr>
        <w:t xml:space="preserve">, the </w:t>
      </w:r>
      <w:r w:rsidR="00F0123D">
        <w:rPr>
          <w:rFonts w:ascii="Avenir Next" w:hAnsi="Avenir Next"/>
          <w:color w:val="808080" w:themeColor="background1" w:themeShade="80"/>
        </w:rPr>
        <w:t>C</w:t>
      </w:r>
      <w:r w:rsidR="00F0123D" w:rsidRPr="00F0123D">
        <w:rPr>
          <w:rFonts w:ascii="Avenir Next" w:hAnsi="Avenir Next"/>
          <w:color w:val="808080" w:themeColor="background1" w:themeShade="80"/>
        </w:rPr>
        <w:t xml:space="preserve">ourt </w:t>
      </w:r>
      <w:r>
        <w:rPr>
          <w:rFonts w:ascii="Avenir Next" w:hAnsi="Avenir Next"/>
          <w:color w:val="808080" w:themeColor="background1" w:themeShade="80"/>
        </w:rPr>
        <w:t>stated that w</w:t>
      </w:r>
      <w:r w:rsidRPr="00234BCA">
        <w:rPr>
          <w:rFonts w:ascii="Avenir Next" w:hAnsi="Avenir Next"/>
          <w:color w:val="808080" w:themeColor="background1" w:themeShade="80"/>
        </w:rPr>
        <w:t>hether or not any kind of personal, professional or economic relationship and prior involvement with a company would lead to the conclusion that a practitioner could not be properly regarded as independent either in reality or in perception depended on the factual circumstances of each cas</w:t>
      </w:r>
      <w:r>
        <w:rPr>
          <w:rFonts w:ascii="Avenir Next" w:hAnsi="Avenir Next"/>
          <w:color w:val="808080" w:themeColor="background1" w:themeShade="80"/>
        </w:rPr>
        <w:t xml:space="preserve">e. While the Court in that case </w:t>
      </w:r>
      <w:r w:rsidR="00F0123D">
        <w:rPr>
          <w:rFonts w:ascii="Avenir Next" w:hAnsi="Avenir Next"/>
          <w:color w:val="808080" w:themeColor="background1" w:themeShade="80"/>
        </w:rPr>
        <w:t>considered</w:t>
      </w:r>
      <w:r w:rsidR="00F0123D" w:rsidRPr="00F0123D">
        <w:rPr>
          <w:rFonts w:ascii="Avenir Next" w:hAnsi="Avenir Next"/>
          <w:color w:val="808080" w:themeColor="background1" w:themeShade="80"/>
        </w:rPr>
        <w:t xml:space="preserve"> the subjective views of all stakeholders including, where relevant, creditors and contributories</w:t>
      </w:r>
      <w:r w:rsidR="00F0123D">
        <w:rPr>
          <w:rFonts w:ascii="Avenir Next" w:hAnsi="Avenir Next"/>
          <w:color w:val="808080" w:themeColor="background1" w:themeShade="80"/>
        </w:rPr>
        <w:t xml:space="preserve">, </w:t>
      </w:r>
      <w:r>
        <w:rPr>
          <w:rFonts w:ascii="Avenir Next" w:hAnsi="Avenir Next"/>
          <w:color w:val="808080" w:themeColor="background1" w:themeShade="80"/>
        </w:rPr>
        <w:t>it</w:t>
      </w:r>
      <w:r w:rsidR="00F0123D">
        <w:rPr>
          <w:rFonts w:ascii="Avenir Next" w:hAnsi="Avenir Next"/>
          <w:color w:val="808080" w:themeColor="background1" w:themeShade="80"/>
        </w:rPr>
        <w:t xml:space="preserve"> said that those were not determinative.</w:t>
      </w:r>
      <w:r w:rsidR="00F0123D" w:rsidRPr="00F0123D">
        <w:rPr>
          <w:rFonts w:ascii="Avenir Next" w:hAnsi="Avenir Next"/>
          <w:color w:val="808080" w:themeColor="background1" w:themeShade="80"/>
        </w:rPr>
        <w:t xml:space="preserve"> The </w:t>
      </w:r>
      <w:r>
        <w:rPr>
          <w:rFonts w:ascii="Avenir Next" w:hAnsi="Avenir Next"/>
          <w:color w:val="808080" w:themeColor="background1" w:themeShade="80"/>
        </w:rPr>
        <w:t>C</w:t>
      </w:r>
      <w:r w:rsidR="00F0123D" w:rsidRPr="00F0123D">
        <w:rPr>
          <w:rFonts w:ascii="Avenir Next" w:hAnsi="Avenir Next"/>
          <w:color w:val="808080" w:themeColor="background1" w:themeShade="80"/>
        </w:rPr>
        <w:t xml:space="preserve">ourt also undertook a full and careful assessment of all the circumstances of the case and all the relevant objective factors. </w:t>
      </w:r>
      <w:r w:rsidR="00F0123D">
        <w:rPr>
          <w:rFonts w:ascii="Avenir Next" w:hAnsi="Avenir Next"/>
          <w:color w:val="808080" w:themeColor="background1" w:themeShade="80"/>
        </w:rPr>
        <w:t>The Court,</w:t>
      </w:r>
      <w:r w:rsidR="00F0123D" w:rsidRPr="00F0123D">
        <w:rPr>
          <w:rFonts w:ascii="Avenir Next" w:hAnsi="Avenir Next"/>
          <w:color w:val="808080" w:themeColor="background1" w:themeShade="80"/>
        </w:rPr>
        <w:t xml:space="preserve"> despite the subjective views of significant creditors, conclude</w:t>
      </w:r>
      <w:r w:rsidR="00F0123D">
        <w:rPr>
          <w:rFonts w:ascii="Avenir Next" w:hAnsi="Avenir Next"/>
          <w:color w:val="808080" w:themeColor="background1" w:themeShade="80"/>
        </w:rPr>
        <w:t>d</w:t>
      </w:r>
      <w:r w:rsidR="00F0123D" w:rsidRPr="00F0123D">
        <w:rPr>
          <w:rFonts w:ascii="Avenir Next" w:hAnsi="Avenir Next"/>
          <w:color w:val="808080" w:themeColor="background1" w:themeShade="80"/>
        </w:rPr>
        <w:t xml:space="preserve"> that on an objective analysis no reasonable perception of lack of independence had been established. </w:t>
      </w:r>
    </w:p>
    <w:p w14:paraId="004468DA" w14:textId="77777777" w:rsidR="00234BCA" w:rsidRDefault="00234BCA" w:rsidP="00234BCA">
      <w:pPr>
        <w:pStyle w:val="BodyText"/>
        <w:ind w:left="-360" w:firstLine="2"/>
        <w:rPr>
          <w:rFonts w:ascii="Avenir Next" w:hAnsi="Avenir Next"/>
          <w:color w:val="808080" w:themeColor="background1" w:themeShade="80"/>
        </w:rPr>
      </w:pPr>
    </w:p>
    <w:p w14:paraId="03DD2336" w14:textId="07400DDB" w:rsidR="00F0123D" w:rsidRDefault="00234BCA" w:rsidP="00234BCA">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I</w:t>
      </w:r>
      <w:r w:rsidR="00F0123D">
        <w:rPr>
          <w:rFonts w:ascii="Avenir Next" w:hAnsi="Avenir Next"/>
          <w:color w:val="808080" w:themeColor="background1" w:themeShade="80"/>
        </w:rPr>
        <w:t xml:space="preserve">t </w:t>
      </w:r>
      <w:r>
        <w:rPr>
          <w:rFonts w:ascii="Avenir Next" w:hAnsi="Avenir Next"/>
          <w:color w:val="808080" w:themeColor="background1" w:themeShade="80"/>
        </w:rPr>
        <w:t>went on to say that w</w:t>
      </w:r>
      <w:r w:rsidR="00F0123D" w:rsidRPr="00F0123D">
        <w:rPr>
          <w:rFonts w:ascii="Avenir Next" w:hAnsi="Avenir Next"/>
          <w:color w:val="808080" w:themeColor="background1" w:themeShade="80"/>
        </w:rPr>
        <w:t xml:space="preserve">hen considering whether a particular personal or professional relationship would lead to a perception of lack of independence and impartiality, the court should consider the issue from the perspective of a reasonable, fair-minded and </w:t>
      </w:r>
      <w:r w:rsidRPr="00F0123D">
        <w:rPr>
          <w:rFonts w:ascii="Avenir Next" w:hAnsi="Avenir Next"/>
          <w:color w:val="808080" w:themeColor="background1" w:themeShade="80"/>
        </w:rPr>
        <w:t>well-informed</w:t>
      </w:r>
      <w:r w:rsidR="00F0123D" w:rsidRPr="00F0123D">
        <w:rPr>
          <w:rFonts w:ascii="Avenir Next" w:hAnsi="Avenir Next"/>
          <w:color w:val="808080" w:themeColor="background1" w:themeShade="80"/>
        </w:rPr>
        <w:t xml:space="preserve"> stakeholder. </w:t>
      </w:r>
      <w:r w:rsidR="00F0123D">
        <w:rPr>
          <w:rFonts w:ascii="Avenir Next" w:hAnsi="Avenir Next"/>
          <w:color w:val="808080" w:themeColor="background1" w:themeShade="80"/>
        </w:rPr>
        <w:t>The Court further stated that i</w:t>
      </w:r>
      <w:r w:rsidR="00F0123D" w:rsidRPr="00F0123D">
        <w:rPr>
          <w:rFonts w:ascii="Avenir Next" w:hAnsi="Avenir Next"/>
          <w:color w:val="808080" w:themeColor="background1" w:themeShade="80"/>
        </w:rPr>
        <w:t>n some cases, previous involvement with the company might be an advantage (provided the</w:t>
      </w:r>
      <w:r w:rsidR="00F0123D">
        <w:rPr>
          <w:rFonts w:ascii="Avenir Next" w:hAnsi="Avenir Next"/>
          <w:color w:val="808080" w:themeColor="background1" w:themeShade="80"/>
        </w:rPr>
        <w:t xml:space="preserve"> </w:t>
      </w:r>
      <w:r w:rsidR="00F0123D" w:rsidRPr="00F0123D">
        <w:rPr>
          <w:rFonts w:ascii="Avenir Next" w:hAnsi="Avenir Next"/>
          <w:color w:val="808080" w:themeColor="background1" w:themeShade="80"/>
        </w:rPr>
        <w:t>candidate could properly be regarded as independent</w:t>
      </w:r>
      <w:r>
        <w:rPr>
          <w:rFonts w:ascii="Avenir Next" w:hAnsi="Avenir Next"/>
          <w:color w:val="808080" w:themeColor="background1" w:themeShade="80"/>
        </w:rPr>
        <w:t xml:space="preserve">. </w:t>
      </w:r>
    </w:p>
    <w:p w14:paraId="25F35CE2" w14:textId="043F0D64" w:rsidR="00234BCA" w:rsidRDefault="00234BCA" w:rsidP="00234BCA">
      <w:pPr>
        <w:pStyle w:val="BodyText"/>
        <w:ind w:left="-360" w:firstLine="2"/>
        <w:rPr>
          <w:rFonts w:ascii="Avenir Next" w:hAnsi="Avenir Next"/>
          <w:color w:val="808080" w:themeColor="background1" w:themeShade="80"/>
        </w:rPr>
      </w:pPr>
    </w:p>
    <w:p w14:paraId="0A30D685" w14:textId="6335ACC1" w:rsidR="00CA1016" w:rsidRDefault="00234BCA" w:rsidP="00234BCA">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It held that t</w:t>
      </w:r>
      <w:r w:rsidR="00F0123D" w:rsidRPr="00F0123D">
        <w:rPr>
          <w:rFonts w:ascii="Avenir Next" w:hAnsi="Avenir Next"/>
          <w:color w:val="808080" w:themeColor="background1" w:themeShade="80"/>
        </w:rPr>
        <w:t xml:space="preserve">he petitioners </w:t>
      </w:r>
      <w:r>
        <w:rPr>
          <w:rFonts w:ascii="Avenir Next" w:hAnsi="Avenir Next"/>
          <w:color w:val="808080" w:themeColor="background1" w:themeShade="80"/>
        </w:rPr>
        <w:t xml:space="preserve">in that case, despite having prior involvement, </w:t>
      </w:r>
      <w:r w:rsidR="00F0123D" w:rsidRPr="00F0123D">
        <w:rPr>
          <w:rFonts w:ascii="Avenir Next" w:hAnsi="Avenir Next"/>
          <w:color w:val="808080" w:themeColor="background1" w:themeShade="80"/>
        </w:rPr>
        <w:t>would be appointed as joint official liquidators</w:t>
      </w:r>
      <w:r>
        <w:rPr>
          <w:rFonts w:ascii="Avenir Next" w:hAnsi="Avenir Next"/>
          <w:color w:val="808080" w:themeColor="background1" w:themeShade="80"/>
        </w:rPr>
        <w:t xml:space="preserve"> because </w:t>
      </w:r>
      <w:proofErr w:type="spellStart"/>
      <w:r>
        <w:rPr>
          <w:rFonts w:ascii="Avenir Next" w:hAnsi="Avenir Next"/>
          <w:color w:val="808080" w:themeColor="background1" w:themeShade="80"/>
        </w:rPr>
        <w:t>the</w:t>
      </w:r>
      <w:proofErr w:type="spellEnd"/>
      <w:r>
        <w:rPr>
          <w:rFonts w:ascii="Avenir Next" w:hAnsi="Avenir Next"/>
          <w:color w:val="808080" w:themeColor="background1" w:themeShade="80"/>
        </w:rPr>
        <w:t xml:space="preserve"> previous affiliation</w:t>
      </w:r>
      <w:r w:rsidR="00F0123D" w:rsidRPr="00F0123D">
        <w:rPr>
          <w:rFonts w:ascii="Avenir Next" w:hAnsi="Avenir Next"/>
          <w:color w:val="808080" w:themeColor="background1" w:themeShade="80"/>
        </w:rPr>
        <w:t xml:space="preserve"> did not disqualify them from appointmen</w:t>
      </w:r>
      <w:r>
        <w:rPr>
          <w:rFonts w:ascii="Avenir Next" w:hAnsi="Avenir Next"/>
          <w:color w:val="808080" w:themeColor="background1" w:themeShade="80"/>
        </w:rPr>
        <w:t>t, i</w:t>
      </w:r>
      <w:r w:rsidR="00F0123D" w:rsidRPr="00F0123D">
        <w:rPr>
          <w:rFonts w:ascii="Avenir Next" w:hAnsi="Avenir Next"/>
          <w:color w:val="808080" w:themeColor="background1" w:themeShade="80"/>
        </w:rPr>
        <w:t>t was not a significant prior relationship that could reasonably cast doubt on their independence</w:t>
      </w:r>
      <w:r>
        <w:rPr>
          <w:rFonts w:ascii="Avenir Next" w:hAnsi="Avenir Next"/>
          <w:color w:val="808080" w:themeColor="background1" w:themeShade="80"/>
        </w:rPr>
        <w:t xml:space="preserve"> and s</w:t>
      </w:r>
      <w:r w:rsidR="00F0123D" w:rsidRPr="00F0123D">
        <w:rPr>
          <w:rFonts w:ascii="Avenir Next" w:hAnsi="Avenir Next"/>
          <w:color w:val="808080" w:themeColor="background1" w:themeShade="80"/>
        </w:rPr>
        <w:t xml:space="preserve">uch limited connection was not reasonably capable of impairing the appearance of impartiality and, even if it was, it was not sufficiently material to this liquidation that a fair-minded stakeholder would reasonably object to the petitioners’ appointment as JOLs.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44DA67A" w14:textId="77777777" w:rsidR="00F438F1" w:rsidRDefault="00F438F1" w:rsidP="00F438F1">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Pursuant to s. 120 of the Companies Act (2023 Revision) (</w:t>
      </w:r>
      <w:r w:rsidRPr="00F438F1">
        <w:rPr>
          <w:rFonts w:ascii="Avenir Next" w:hAnsi="Avenir Next"/>
          <w:b/>
          <w:color w:val="808080" w:themeColor="background1" w:themeShade="80"/>
        </w:rPr>
        <w:t>Companies Act</w:t>
      </w:r>
      <w:r>
        <w:rPr>
          <w:rFonts w:ascii="Avenir Next" w:hAnsi="Avenir Next"/>
          <w:color w:val="808080" w:themeColor="background1" w:themeShade="80"/>
        </w:rPr>
        <w:t>), “</w:t>
      </w:r>
      <w:r w:rsidRPr="00F438F1">
        <w:rPr>
          <w:rFonts w:ascii="Avenir Next" w:hAnsi="Avenir Next"/>
          <w:i/>
          <w:color w:val="808080" w:themeColor="background1" w:themeShade="80"/>
        </w:rPr>
        <w:t>any person, including a director or officer of the company, may be appointed as its voluntary liquidator.”</w:t>
      </w:r>
      <w:r>
        <w:rPr>
          <w:rFonts w:ascii="Avenir Next" w:hAnsi="Avenir Next"/>
          <w:color w:val="808080" w:themeColor="background1" w:themeShade="80"/>
        </w:rPr>
        <w:t xml:space="preserve"> </w:t>
      </w:r>
    </w:p>
    <w:p w14:paraId="2CC6ADB2" w14:textId="77777777" w:rsidR="00F438F1" w:rsidRDefault="00F438F1" w:rsidP="00F438F1">
      <w:pPr>
        <w:pStyle w:val="BodyText"/>
        <w:ind w:left="-360" w:firstLine="2"/>
        <w:rPr>
          <w:rFonts w:ascii="Avenir Next" w:hAnsi="Avenir Next"/>
          <w:color w:val="808080" w:themeColor="background1" w:themeShade="80"/>
        </w:rPr>
      </w:pPr>
    </w:p>
    <w:p w14:paraId="155E6BDA" w14:textId="01F846F4" w:rsidR="00586B0F" w:rsidRPr="00486A0B" w:rsidRDefault="00F438F1" w:rsidP="00F438F1">
      <w:pPr>
        <w:pStyle w:val="BodyText"/>
        <w:ind w:left="-360" w:firstLine="2"/>
        <w:rPr>
          <w:rFonts w:ascii="Avenir Next" w:hAnsi="Avenir Next"/>
          <w:b/>
          <w:bCs/>
        </w:rPr>
      </w:pPr>
      <w:r>
        <w:rPr>
          <w:rFonts w:ascii="Avenir Next" w:hAnsi="Avenir Next"/>
          <w:color w:val="808080" w:themeColor="background1" w:themeShade="80"/>
        </w:rPr>
        <w:t>Therefore, Tom and Jerry do not require any</w:t>
      </w:r>
      <w:r w:rsidR="00902434" w:rsidRPr="00902434">
        <w:rPr>
          <w:rFonts w:ascii="Avenir Next" w:hAnsi="Avenir Next"/>
          <w:color w:val="808080" w:themeColor="background1" w:themeShade="80"/>
        </w:rPr>
        <w:t xml:space="preserve"> qualification requirements to be appointed as </w:t>
      </w:r>
      <w:r>
        <w:rPr>
          <w:rFonts w:ascii="Avenir Next" w:hAnsi="Avenir Next"/>
          <w:color w:val="808080" w:themeColor="background1" w:themeShade="80"/>
        </w:rPr>
        <w:t>v</w:t>
      </w:r>
      <w:r w:rsidR="00902434" w:rsidRPr="00902434">
        <w:rPr>
          <w:rFonts w:ascii="Avenir Next" w:hAnsi="Avenir Next"/>
          <w:color w:val="808080" w:themeColor="background1" w:themeShade="80"/>
        </w:rPr>
        <w:t>oluntary liquidator</w:t>
      </w:r>
      <w:r>
        <w:rPr>
          <w:rFonts w:ascii="Avenir Next" w:hAnsi="Avenir Next"/>
          <w:color w:val="808080" w:themeColor="background1" w:themeShade="80"/>
        </w:rPr>
        <w:t>s</w:t>
      </w:r>
      <w:r w:rsidR="00902434" w:rsidRPr="00902434">
        <w:rPr>
          <w:rFonts w:ascii="Avenir Next" w:hAnsi="Avenir Next"/>
          <w:color w:val="808080" w:themeColor="background1" w:themeShade="80"/>
        </w:rPr>
        <w:t xml:space="preserve">.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2A8A836E" w14:textId="77777777" w:rsidR="00F438F1" w:rsidRDefault="00F438F1" w:rsidP="00F438F1">
      <w:pPr>
        <w:pStyle w:val="BodyText"/>
        <w:tabs>
          <w:tab w:val="left" w:pos="-358"/>
        </w:tabs>
        <w:ind w:firstLine="0"/>
        <w:rPr>
          <w:rFonts w:ascii="Avenir Next" w:hAnsi="Avenir Next"/>
          <w:color w:val="808080" w:themeColor="background1" w:themeShade="80"/>
        </w:rPr>
      </w:pPr>
    </w:p>
    <w:p w14:paraId="22D5BD88" w14:textId="6801F026" w:rsidR="00F438F1" w:rsidRDefault="00F438F1" w:rsidP="00F438F1">
      <w:pPr>
        <w:pStyle w:val="BodyText"/>
        <w:tabs>
          <w:tab w:val="left" w:pos="-358"/>
        </w:tabs>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123 of the Companies Act, Tom and Jerry must </w:t>
      </w:r>
      <w:r w:rsidR="005B4569">
        <w:rPr>
          <w:rFonts w:ascii="Avenir Next" w:hAnsi="Avenir Next"/>
          <w:color w:val="808080" w:themeColor="background1" w:themeShade="80"/>
        </w:rPr>
        <w:t xml:space="preserve">notify the Registrar of their appointment and </w:t>
      </w:r>
      <w:r>
        <w:rPr>
          <w:rFonts w:ascii="Avenir Next" w:hAnsi="Avenir Next"/>
          <w:color w:val="808080" w:themeColor="background1" w:themeShade="80"/>
        </w:rPr>
        <w:t xml:space="preserve">carry out the following steps within </w:t>
      </w:r>
      <w:r w:rsidR="001D3512" w:rsidRPr="001D3512">
        <w:rPr>
          <w:rFonts w:ascii="Avenir Next" w:hAnsi="Avenir Next"/>
          <w:color w:val="808080" w:themeColor="background1" w:themeShade="80"/>
        </w:rPr>
        <w:t>28 days of the commencement of a voluntary winding up</w:t>
      </w:r>
      <w:r>
        <w:rPr>
          <w:rFonts w:ascii="Avenir Next" w:hAnsi="Avenir Next"/>
          <w:color w:val="808080" w:themeColor="background1" w:themeShade="80"/>
        </w:rPr>
        <w:t>:</w:t>
      </w:r>
    </w:p>
    <w:p w14:paraId="0D3122FA" w14:textId="77777777" w:rsidR="00F438F1" w:rsidRDefault="00F438F1" w:rsidP="00F438F1">
      <w:pPr>
        <w:pStyle w:val="BodyText"/>
        <w:tabs>
          <w:tab w:val="left" w:pos="-358"/>
        </w:tabs>
        <w:ind w:firstLine="0"/>
        <w:rPr>
          <w:rFonts w:ascii="Avenir Next" w:hAnsi="Avenir Next"/>
          <w:color w:val="808080" w:themeColor="background1" w:themeShade="80"/>
        </w:rPr>
      </w:pPr>
    </w:p>
    <w:p w14:paraId="47F22CA2" w14:textId="30A71E6A" w:rsidR="00F438F1" w:rsidRDefault="001D3512" w:rsidP="00F438F1">
      <w:pPr>
        <w:pStyle w:val="BodyText"/>
        <w:numPr>
          <w:ilvl w:val="0"/>
          <w:numId w:val="42"/>
        </w:numPr>
        <w:rPr>
          <w:rFonts w:ascii="Avenir Next" w:hAnsi="Avenir Next"/>
          <w:color w:val="808080" w:themeColor="background1" w:themeShade="80"/>
        </w:rPr>
      </w:pPr>
      <w:r w:rsidRPr="001D3512">
        <w:rPr>
          <w:rFonts w:ascii="Avenir Next" w:hAnsi="Avenir Next"/>
          <w:color w:val="808080" w:themeColor="background1" w:themeShade="80"/>
        </w:rPr>
        <w:t>file notice of the winding up with the Registrar</w:t>
      </w:r>
      <w:r w:rsidR="00F438F1">
        <w:rPr>
          <w:rFonts w:ascii="Avenir Next" w:hAnsi="Avenir Next"/>
          <w:color w:val="808080" w:themeColor="background1" w:themeShade="80"/>
        </w:rPr>
        <w:t xml:space="preserve"> in the form prescribed by the Companies Winding Rules (2023 Consolidation) (</w:t>
      </w:r>
      <w:r w:rsidR="00F438F1" w:rsidRPr="00F438F1">
        <w:rPr>
          <w:rFonts w:ascii="Avenir Next" w:hAnsi="Avenir Next"/>
          <w:b/>
          <w:color w:val="808080" w:themeColor="background1" w:themeShade="80"/>
        </w:rPr>
        <w:t>CWR</w:t>
      </w:r>
      <w:r w:rsidR="00F438F1">
        <w:rPr>
          <w:rFonts w:ascii="Avenir Next" w:hAnsi="Avenir Next"/>
          <w:color w:val="808080" w:themeColor="background1" w:themeShade="80"/>
        </w:rPr>
        <w:t>) i.e. Form 19;</w:t>
      </w:r>
    </w:p>
    <w:p w14:paraId="76171A05" w14:textId="77777777" w:rsidR="00F438F1" w:rsidRDefault="001D3512" w:rsidP="00F438F1">
      <w:pPr>
        <w:pStyle w:val="BodyText"/>
        <w:numPr>
          <w:ilvl w:val="0"/>
          <w:numId w:val="42"/>
        </w:numPr>
        <w:rPr>
          <w:rFonts w:ascii="Avenir Next" w:hAnsi="Avenir Next"/>
          <w:color w:val="808080" w:themeColor="background1" w:themeShade="80"/>
        </w:rPr>
      </w:pPr>
      <w:r w:rsidRPr="001D3512">
        <w:rPr>
          <w:rFonts w:ascii="Avenir Next" w:hAnsi="Avenir Next"/>
          <w:color w:val="808080" w:themeColor="background1" w:themeShade="80"/>
        </w:rPr>
        <w:t xml:space="preserve">file </w:t>
      </w:r>
      <w:r w:rsidR="00F438F1">
        <w:rPr>
          <w:rFonts w:ascii="Avenir Next" w:hAnsi="Avenir Next"/>
          <w:color w:val="808080" w:themeColor="background1" w:themeShade="80"/>
        </w:rPr>
        <w:t>their</w:t>
      </w:r>
      <w:r w:rsidRPr="001D3512">
        <w:rPr>
          <w:rFonts w:ascii="Avenir Next" w:hAnsi="Avenir Next"/>
          <w:color w:val="808080" w:themeColor="background1" w:themeShade="80"/>
        </w:rPr>
        <w:t xml:space="preserve"> consent to act with the Registrar</w:t>
      </w:r>
      <w:r w:rsidR="00F438F1">
        <w:rPr>
          <w:rFonts w:ascii="Avenir Next" w:hAnsi="Avenir Next"/>
          <w:color w:val="808080" w:themeColor="background1" w:themeShade="80"/>
        </w:rPr>
        <w:t xml:space="preserve"> (Form No. 20, CWR);</w:t>
      </w:r>
    </w:p>
    <w:p w14:paraId="52A5A59D" w14:textId="4E166F61" w:rsidR="00F438F1" w:rsidRDefault="001D3512" w:rsidP="00F438F1">
      <w:pPr>
        <w:pStyle w:val="BodyText"/>
        <w:numPr>
          <w:ilvl w:val="0"/>
          <w:numId w:val="42"/>
        </w:numPr>
        <w:rPr>
          <w:rFonts w:ascii="Avenir Next" w:hAnsi="Avenir Next"/>
          <w:color w:val="808080" w:themeColor="background1" w:themeShade="80"/>
        </w:rPr>
      </w:pPr>
      <w:r w:rsidRPr="00F438F1">
        <w:rPr>
          <w:rFonts w:ascii="Avenir Next" w:hAnsi="Avenir Next"/>
          <w:color w:val="808080" w:themeColor="background1" w:themeShade="80"/>
        </w:rPr>
        <w:t xml:space="preserve">file the directors’ declaration of solvency </w:t>
      </w:r>
      <w:r w:rsidR="00F438F1">
        <w:rPr>
          <w:rFonts w:ascii="Avenir Next" w:hAnsi="Avenir Next"/>
          <w:color w:val="808080" w:themeColor="background1" w:themeShade="80"/>
        </w:rPr>
        <w:t xml:space="preserve">(signed by all directors) </w:t>
      </w:r>
      <w:r w:rsidRPr="00F438F1">
        <w:rPr>
          <w:rFonts w:ascii="Avenir Next" w:hAnsi="Avenir Next"/>
          <w:color w:val="808080" w:themeColor="background1" w:themeShade="80"/>
        </w:rPr>
        <w:t>with the Registrar (if the supervision of the Court is</w:t>
      </w:r>
    </w:p>
    <w:p w14:paraId="55FFADE2" w14:textId="77777777" w:rsidR="00F438F1" w:rsidRDefault="001D3512" w:rsidP="00F438F1">
      <w:pPr>
        <w:pStyle w:val="BodyText"/>
        <w:ind w:left="410" w:firstLine="0"/>
        <w:rPr>
          <w:rFonts w:ascii="Avenir Next" w:hAnsi="Avenir Next"/>
          <w:color w:val="808080" w:themeColor="background1" w:themeShade="80"/>
        </w:rPr>
      </w:pPr>
      <w:r w:rsidRPr="00F438F1">
        <w:rPr>
          <w:rFonts w:ascii="Avenir Next" w:hAnsi="Avenir Next"/>
          <w:color w:val="808080" w:themeColor="background1" w:themeShade="80"/>
        </w:rPr>
        <w:t>not sought</w:t>
      </w:r>
      <w:r w:rsidR="00F438F1">
        <w:rPr>
          <w:rFonts w:ascii="Avenir Next" w:hAnsi="Avenir Next"/>
          <w:color w:val="808080" w:themeColor="background1" w:themeShade="80"/>
        </w:rPr>
        <w:t xml:space="preserve"> (Form No. 21);</w:t>
      </w:r>
    </w:p>
    <w:p w14:paraId="41B6020A" w14:textId="77777777" w:rsidR="00F438F1" w:rsidRDefault="001D3512" w:rsidP="00F438F1">
      <w:pPr>
        <w:pStyle w:val="BodyText"/>
        <w:numPr>
          <w:ilvl w:val="0"/>
          <w:numId w:val="42"/>
        </w:numPr>
        <w:rPr>
          <w:rFonts w:ascii="Avenir Next" w:hAnsi="Avenir Next"/>
          <w:color w:val="808080" w:themeColor="background1" w:themeShade="80"/>
        </w:rPr>
      </w:pPr>
      <w:r w:rsidRPr="001D3512">
        <w:rPr>
          <w:rFonts w:ascii="Avenir Next" w:hAnsi="Avenir Next"/>
          <w:color w:val="808080" w:themeColor="background1" w:themeShade="80"/>
        </w:rPr>
        <w:t>serve notice of the winding up</w:t>
      </w:r>
      <w:r w:rsidR="00F438F1">
        <w:rPr>
          <w:rFonts w:ascii="Avenir Next" w:hAnsi="Avenir Next"/>
          <w:color w:val="808080" w:themeColor="background1" w:themeShade="80"/>
        </w:rPr>
        <w:t xml:space="preserve"> </w:t>
      </w:r>
      <w:r w:rsidRPr="00F438F1">
        <w:rPr>
          <w:rFonts w:ascii="Avenir Next" w:hAnsi="Avenir Next"/>
          <w:color w:val="808080" w:themeColor="background1" w:themeShade="80"/>
        </w:rPr>
        <w:t>upon the Cayman Islands Monetary Authority</w:t>
      </w:r>
      <w:r w:rsidR="00F438F1">
        <w:rPr>
          <w:rFonts w:ascii="Avenir Next" w:hAnsi="Avenir Next"/>
          <w:color w:val="808080" w:themeColor="background1" w:themeShade="80"/>
        </w:rPr>
        <w:t>, p</w:t>
      </w:r>
      <w:r w:rsidR="00F438F1" w:rsidRPr="00F438F1">
        <w:rPr>
          <w:rFonts w:ascii="Avenir Next" w:hAnsi="Avenir Next"/>
          <w:color w:val="808080" w:themeColor="background1" w:themeShade="80"/>
        </w:rPr>
        <w:t>roviding stamped copies of CWR Form No 19 and Form No 20</w:t>
      </w:r>
      <w:r w:rsidR="00F438F1">
        <w:rPr>
          <w:rFonts w:ascii="Avenir Next" w:hAnsi="Avenir Next"/>
          <w:color w:val="808080" w:themeColor="background1" w:themeShade="80"/>
        </w:rPr>
        <w:t>; and</w:t>
      </w:r>
    </w:p>
    <w:p w14:paraId="5AB05127" w14:textId="77777777" w:rsidR="00356D5C" w:rsidRDefault="001D3512" w:rsidP="00356D5C">
      <w:pPr>
        <w:pStyle w:val="BodyText"/>
        <w:numPr>
          <w:ilvl w:val="0"/>
          <w:numId w:val="42"/>
        </w:numPr>
        <w:rPr>
          <w:rFonts w:ascii="Avenir Next" w:hAnsi="Avenir Next"/>
          <w:color w:val="808080" w:themeColor="background1" w:themeShade="80"/>
        </w:rPr>
      </w:pPr>
      <w:r w:rsidRPr="00F438F1">
        <w:rPr>
          <w:rFonts w:ascii="Avenir Next" w:hAnsi="Avenir Next"/>
          <w:color w:val="808080" w:themeColor="background1" w:themeShade="80"/>
        </w:rPr>
        <w:t>publish notice of the winding up in the Gazette</w:t>
      </w:r>
      <w:r w:rsidR="00356D5C">
        <w:rPr>
          <w:rFonts w:ascii="Avenir Next" w:hAnsi="Avenir Next"/>
          <w:color w:val="808080" w:themeColor="background1" w:themeShade="80"/>
        </w:rPr>
        <w:t xml:space="preserve"> (Form 19).</w:t>
      </w:r>
    </w:p>
    <w:p w14:paraId="0A8B32D8" w14:textId="77777777" w:rsidR="00356D5C" w:rsidRDefault="00356D5C" w:rsidP="00356D5C">
      <w:pPr>
        <w:pStyle w:val="BodyText"/>
        <w:ind w:left="410" w:firstLine="0"/>
        <w:rPr>
          <w:rFonts w:ascii="Avenir Next" w:hAnsi="Avenir Next"/>
          <w:color w:val="808080" w:themeColor="background1" w:themeShade="80"/>
        </w:rPr>
      </w:pPr>
    </w:p>
    <w:p w14:paraId="6A18A7A2" w14:textId="2EAD99E4" w:rsidR="00586B0F" w:rsidRPr="00356D5C" w:rsidRDefault="00356D5C" w:rsidP="00356D5C">
      <w:pPr>
        <w:pStyle w:val="BodyText"/>
        <w:ind w:firstLine="0"/>
        <w:rPr>
          <w:rFonts w:ascii="Avenir Next" w:hAnsi="Avenir Next"/>
          <w:color w:val="808080" w:themeColor="background1" w:themeShade="80"/>
        </w:rPr>
      </w:pPr>
      <w:r w:rsidRPr="00356D5C">
        <w:rPr>
          <w:rFonts w:ascii="Avenir Next" w:hAnsi="Avenir Next"/>
          <w:color w:val="808080" w:themeColor="background1" w:themeShade="80"/>
        </w:rPr>
        <w:t>If Tom and Jerry fail to comply with the above requirements for the notice of voluntary winding up, they will</w:t>
      </w:r>
      <w:r w:rsidR="001D3512" w:rsidRPr="00356D5C">
        <w:rPr>
          <w:rFonts w:ascii="Avenir Next" w:hAnsi="Avenir Next"/>
          <w:color w:val="808080" w:themeColor="background1" w:themeShade="80"/>
        </w:rPr>
        <w:t xml:space="preserve"> commit an offence liable to a fine of KYD 10,000.117</w:t>
      </w:r>
      <w:r w:rsidRPr="00356D5C">
        <w:rPr>
          <w:rFonts w:ascii="Avenir Next" w:hAnsi="Avenir Next"/>
          <w:color w:val="808080" w:themeColor="background1" w:themeShade="80"/>
        </w:rPr>
        <w:t>, pursuant to s.123(2) of the Act.</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0B22B15D" w14:textId="1EE693BB" w:rsidR="00A66E9C" w:rsidRDefault="00A66E9C" w:rsidP="00A66E9C">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130 of the Companies Act stipulates the</w:t>
      </w:r>
      <w:r w:rsidR="000F58A5" w:rsidRPr="00A66E9C">
        <w:rPr>
          <w:rFonts w:ascii="Avenir Next" w:hAnsi="Avenir Next"/>
          <w:color w:val="808080" w:themeColor="background1" w:themeShade="80"/>
        </w:rPr>
        <w:t xml:space="preserve"> expenses</w:t>
      </w:r>
      <w:r>
        <w:rPr>
          <w:rFonts w:ascii="Avenir Next" w:hAnsi="Avenir Next"/>
          <w:color w:val="808080" w:themeColor="background1" w:themeShade="80"/>
        </w:rPr>
        <w:t xml:space="preserve"> of voluntary winding up as follows:</w:t>
      </w:r>
    </w:p>
    <w:p w14:paraId="50D4B80A" w14:textId="77777777" w:rsidR="00A66E9C" w:rsidRDefault="00A66E9C" w:rsidP="00A66E9C">
      <w:pPr>
        <w:pStyle w:val="BodyText"/>
        <w:ind w:firstLine="0"/>
        <w:rPr>
          <w:rFonts w:ascii="Avenir Next" w:hAnsi="Avenir Next"/>
          <w:color w:val="808080" w:themeColor="background1" w:themeShade="80"/>
        </w:rPr>
      </w:pPr>
    </w:p>
    <w:p w14:paraId="327B9E00" w14:textId="7AAD4150" w:rsidR="00A66E9C" w:rsidRDefault="00A66E9C" w:rsidP="00A66E9C">
      <w:pPr>
        <w:pStyle w:val="BodyText"/>
        <w:ind w:firstLine="0"/>
        <w:rPr>
          <w:rFonts w:ascii="Avenir Next" w:hAnsi="Avenir Next"/>
          <w:color w:val="808080" w:themeColor="background1" w:themeShade="80"/>
        </w:rPr>
      </w:pPr>
      <w:r>
        <w:rPr>
          <w:rFonts w:ascii="Avenir Next" w:hAnsi="Avenir Next"/>
          <w:color w:val="808080" w:themeColor="background1" w:themeShade="80"/>
        </w:rPr>
        <w:t>“(1)</w:t>
      </w:r>
      <w:r w:rsidR="000F58A5" w:rsidRPr="00A66E9C">
        <w:rPr>
          <w:rFonts w:ascii="Avenir Next" w:hAnsi="Avenir Next"/>
          <w:color w:val="808080" w:themeColor="background1" w:themeShade="80"/>
        </w:rPr>
        <w:t xml:space="preserve"> </w:t>
      </w:r>
      <w:r w:rsidRPr="00A66E9C">
        <w:rPr>
          <w:rFonts w:ascii="Avenir Next" w:hAnsi="Avenir Next"/>
          <w:color w:val="808080" w:themeColor="background1" w:themeShade="80"/>
        </w:rPr>
        <w:t>The expenses properly incurred in the winding up, including the remuneration of the liquidator, are payable out of the company’s assets in priority to all other</w:t>
      </w:r>
      <w:r>
        <w:rPr>
          <w:rFonts w:ascii="Avenir Next" w:hAnsi="Avenir Next"/>
          <w:color w:val="808080" w:themeColor="background1" w:themeShade="80"/>
        </w:rPr>
        <w:t xml:space="preserve"> </w:t>
      </w:r>
      <w:r w:rsidRPr="00A66E9C">
        <w:rPr>
          <w:rFonts w:ascii="Avenir Next" w:hAnsi="Avenir Next"/>
          <w:color w:val="808080" w:themeColor="background1" w:themeShade="80"/>
        </w:rPr>
        <w:t>claims.</w:t>
      </w:r>
    </w:p>
    <w:p w14:paraId="63AFA5CD" w14:textId="77777777" w:rsidR="00A66E9C" w:rsidRDefault="00A66E9C" w:rsidP="00A66E9C">
      <w:pPr>
        <w:pStyle w:val="BodyText"/>
        <w:ind w:firstLine="0"/>
        <w:rPr>
          <w:rFonts w:ascii="Avenir Next" w:hAnsi="Avenir Next"/>
          <w:color w:val="808080" w:themeColor="background1" w:themeShade="80"/>
        </w:rPr>
      </w:pPr>
    </w:p>
    <w:p w14:paraId="02B3734D" w14:textId="77777777" w:rsidR="00A66E9C" w:rsidRDefault="000F58A5" w:rsidP="00A66E9C">
      <w:pPr>
        <w:pStyle w:val="BodyText"/>
        <w:ind w:firstLine="0"/>
        <w:rPr>
          <w:rFonts w:ascii="Avenir Next" w:hAnsi="Avenir Next"/>
          <w:color w:val="808080" w:themeColor="background1" w:themeShade="80"/>
        </w:rPr>
      </w:pPr>
      <w:r w:rsidRPr="00A66E9C">
        <w:rPr>
          <w:rFonts w:ascii="Avenir Next" w:hAnsi="Avenir Next"/>
          <w:color w:val="808080" w:themeColor="background1" w:themeShade="80"/>
        </w:rPr>
        <w:t xml:space="preserve">(2) The rate and amount of the liquidator’s remuneration shall be fixed and payment </w:t>
      </w:r>
      <w:proofErr w:type="spellStart"/>
      <w:r w:rsidRPr="00A66E9C">
        <w:rPr>
          <w:rFonts w:ascii="Avenir Next" w:hAnsi="Avenir Next"/>
          <w:color w:val="808080" w:themeColor="background1" w:themeShade="80"/>
        </w:rPr>
        <w:t>authorised</w:t>
      </w:r>
      <w:proofErr w:type="spellEnd"/>
      <w:r w:rsidRPr="00A66E9C">
        <w:rPr>
          <w:rFonts w:ascii="Avenir Next" w:hAnsi="Avenir Next"/>
          <w:color w:val="808080" w:themeColor="background1" w:themeShade="80"/>
        </w:rPr>
        <w:t xml:space="preserve"> by resolution of the company. </w:t>
      </w:r>
    </w:p>
    <w:p w14:paraId="74507B3E" w14:textId="77777777" w:rsidR="00A66E9C" w:rsidRDefault="00A66E9C" w:rsidP="00A66E9C">
      <w:pPr>
        <w:pStyle w:val="BodyText"/>
        <w:ind w:firstLine="0"/>
        <w:rPr>
          <w:rFonts w:ascii="Avenir Next" w:hAnsi="Avenir Next"/>
          <w:color w:val="808080" w:themeColor="background1" w:themeShade="80"/>
        </w:rPr>
      </w:pPr>
    </w:p>
    <w:p w14:paraId="2ECA2606" w14:textId="77777777" w:rsidR="00A66E9C" w:rsidRDefault="000F58A5" w:rsidP="00A66E9C">
      <w:pPr>
        <w:pStyle w:val="BodyText"/>
        <w:ind w:firstLine="0"/>
        <w:rPr>
          <w:rFonts w:ascii="Avenir Next" w:hAnsi="Avenir Next"/>
          <w:color w:val="808080" w:themeColor="background1" w:themeShade="80"/>
        </w:rPr>
      </w:pPr>
      <w:r w:rsidRPr="00A66E9C">
        <w:rPr>
          <w:rFonts w:ascii="Avenir Next" w:hAnsi="Avenir Next"/>
          <w:color w:val="808080" w:themeColor="background1" w:themeShade="80"/>
        </w:rPr>
        <w:t xml:space="preserve">(3) Each report and account laid before the company in general meetings by its liquidator shall contain all such information, including the rate at which the liquidator’s remuneration is calculated and particulars of the work done, as may be necessary to enable the members to determine what expenses have been properly incurred and what remuneration is properly payable to the liquidator. </w:t>
      </w:r>
    </w:p>
    <w:p w14:paraId="4CB43A1C" w14:textId="77777777" w:rsidR="00A66E9C" w:rsidRDefault="00A66E9C" w:rsidP="00A66E9C">
      <w:pPr>
        <w:pStyle w:val="BodyText"/>
        <w:ind w:firstLine="0"/>
        <w:rPr>
          <w:rFonts w:ascii="Avenir Next" w:hAnsi="Avenir Next"/>
          <w:color w:val="808080" w:themeColor="background1" w:themeShade="80"/>
        </w:rPr>
      </w:pPr>
    </w:p>
    <w:p w14:paraId="79ABA0D9" w14:textId="1F98791C" w:rsidR="00586B0F" w:rsidRDefault="000F58A5" w:rsidP="00A66E9C">
      <w:pPr>
        <w:pStyle w:val="BodyText"/>
        <w:ind w:firstLine="0"/>
        <w:rPr>
          <w:rFonts w:ascii="Avenir Next" w:hAnsi="Avenir Next"/>
          <w:color w:val="808080" w:themeColor="background1" w:themeShade="80"/>
        </w:rPr>
      </w:pPr>
      <w:r w:rsidRPr="00A66E9C">
        <w:rPr>
          <w:rFonts w:ascii="Avenir Next" w:hAnsi="Avenir Next"/>
          <w:color w:val="808080" w:themeColor="background1" w:themeShade="80"/>
        </w:rPr>
        <w:t>(4) If the company fails to approve the liquidator’s remuneration and expenses or the liquidator is dissatisfied with the decision of the company, that person may apply to the Court which shall fix the rate and amount of that person’s remuneration and expenses.</w:t>
      </w:r>
      <w:r w:rsidR="00A66E9C">
        <w:rPr>
          <w:rFonts w:ascii="Avenir Next" w:hAnsi="Avenir Next"/>
          <w:color w:val="808080" w:themeColor="background1" w:themeShade="80"/>
        </w:rPr>
        <w:t>”</w:t>
      </w:r>
    </w:p>
    <w:p w14:paraId="376AE07E" w14:textId="1A3319E4" w:rsidR="00A66E9C" w:rsidRDefault="00A66E9C" w:rsidP="00A66E9C">
      <w:pPr>
        <w:pStyle w:val="BodyText"/>
        <w:ind w:firstLine="0"/>
        <w:rPr>
          <w:rFonts w:ascii="Avenir Next" w:hAnsi="Avenir Next"/>
          <w:color w:val="808080" w:themeColor="background1" w:themeShade="80"/>
        </w:rPr>
      </w:pPr>
    </w:p>
    <w:p w14:paraId="6247D1BE" w14:textId="751958DB" w:rsidR="00A66E9C" w:rsidRDefault="00A66E9C" w:rsidP="00A66E9C">
      <w:pPr>
        <w:pStyle w:val="BodyText"/>
        <w:ind w:firstLine="0"/>
        <w:rPr>
          <w:rFonts w:ascii="Avenir Next" w:hAnsi="Avenir Next"/>
          <w:color w:val="808080" w:themeColor="background1" w:themeShade="80"/>
        </w:rPr>
      </w:pPr>
      <w:r>
        <w:rPr>
          <w:rFonts w:ascii="Avenir Next" w:hAnsi="Avenir Next"/>
          <w:color w:val="808080" w:themeColor="background1" w:themeShade="80"/>
        </w:rPr>
        <w:t>As to the basis of that remuneration of liquidators, Regulation 11</w:t>
      </w:r>
      <w:r w:rsidR="0038664A">
        <w:rPr>
          <w:rFonts w:ascii="Avenir Next" w:hAnsi="Avenir Next"/>
          <w:color w:val="808080" w:themeColor="background1" w:themeShade="80"/>
        </w:rPr>
        <w:t>(1)</w:t>
      </w:r>
      <w:r>
        <w:rPr>
          <w:rFonts w:ascii="Avenir Next" w:hAnsi="Avenir Next"/>
          <w:color w:val="808080" w:themeColor="background1" w:themeShade="80"/>
        </w:rPr>
        <w:t xml:space="preserve"> of the Regulations relevantly provides</w:t>
      </w:r>
      <w:r w:rsidR="0038664A">
        <w:rPr>
          <w:rFonts w:ascii="Avenir Next" w:hAnsi="Avenir Next"/>
          <w:color w:val="808080" w:themeColor="background1" w:themeShade="80"/>
        </w:rPr>
        <w:t xml:space="preserve"> that</w:t>
      </w:r>
      <w:r>
        <w:rPr>
          <w:rFonts w:ascii="Avenir Next" w:hAnsi="Avenir Next"/>
          <w:color w:val="808080" w:themeColor="background1" w:themeShade="80"/>
        </w:rPr>
        <w:t>:</w:t>
      </w:r>
    </w:p>
    <w:p w14:paraId="3F50F64E" w14:textId="77777777" w:rsidR="00A66E9C" w:rsidRPr="0038664A" w:rsidRDefault="00A66E9C" w:rsidP="00A66E9C">
      <w:pPr>
        <w:pStyle w:val="BodyText"/>
        <w:ind w:firstLine="0"/>
        <w:rPr>
          <w:rFonts w:ascii="Avenir Next" w:hAnsi="Avenir Next"/>
          <w:i/>
          <w:color w:val="808080" w:themeColor="background1" w:themeShade="80"/>
        </w:rPr>
      </w:pPr>
    </w:p>
    <w:p w14:paraId="0506AD75" w14:textId="77777777" w:rsidR="00A66E9C" w:rsidRPr="0038664A" w:rsidRDefault="00A66E9C" w:rsidP="00A66E9C">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lastRenderedPageBreak/>
        <w:t>“(1) An official liquidator may be remunerated on the basis of —</w:t>
      </w:r>
    </w:p>
    <w:p w14:paraId="62996D5E" w14:textId="77777777" w:rsidR="00A66E9C" w:rsidRPr="0038664A" w:rsidRDefault="00A66E9C" w:rsidP="00A66E9C">
      <w:pPr>
        <w:pStyle w:val="BodyText"/>
        <w:ind w:firstLine="0"/>
        <w:rPr>
          <w:rFonts w:ascii="Avenir Next" w:hAnsi="Avenir Next"/>
          <w:i/>
          <w:color w:val="808080" w:themeColor="background1" w:themeShade="80"/>
        </w:rPr>
      </w:pPr>
    </w:p>
    <w:p w14:paraId="57C4FB08" w14:textId="77777777" w:rsidR="0038664A" w:rsidRPr="0038664A" w:rsidRDefault="00A66E9C" w:rsidP="0038664A">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t>(a) the time spent by the official liquidator and the official liquidator’s staff upon the affairs of the liquidation; or</w:t>
      </w:r>
    </w:p>
    <w:p w14:paraId="5356E8F3" w14:textId="77777777" w:rsidR="0038664A" w:rsidRPr="0038664A" w:rsidRDefault="00A66E9C" w:rsidP="0038664A">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t>(b) a percentage of the amount distributed to creditors and members of the company; or</w:t>
      </w:r>
    </w:p>
    <w:p w14:paraId="6EB898D9" w14:textId="77777777" w:rsidR="0038664A" w:rsidRPr="0038664A" w:rsidRDefault="00A66E9C" w:rsidP="0038664A">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t xml:space="preserve">(c) a percentage of the amount </w:t>
      </w:r>
      <w:proofErr w:type="spellStart"/>
      <w:r w:rsidRPr="0038664A">
        <w:rPr>
          <w:rFonts w:ascii="Avenir Next" w:hAnsi="Avenir Next"/>
          <w:i/>
          <w:color w:val="808080" w:themeColor="background1" w:themeShade="80"/>
        </w:rPr>
        <w:t>realised</w:t>
      </w:r>
      <w:proofErr w:type="spellEnd"/>
      <w:r w:rsidRPr="0038664A">
        <w:rPr>
          <w:rFonts w:ascii="Avenir Next" w:hAnsi="Avenir Next"/>
          <w:i/>
          <w:color w:val="808080" w:themeColor="background1" w:themeShade="80"/>
        </w:rPr>
        <w:t xml:space="preserve"> upon the sale of the company's assets (net after deduction of the direct costs of sale); or</w:t>
      </w:r>
    </w:p>
    <w:p w14:paraId="35B6A567" w14:textId="77777777" w:rsidR="0038664A" w:rsidRPr="0038664A" w:rsidRDefault="00A66E9C" w:rsidP="0038664A">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t>(d) a fixed fee; or</w:t>
      </w:r>
    </w:p>
    <w:p w14:paraId="484695F9" w14:textId="76E480A8" w:rsidR="00586B0F" w:rsidRPr="0038664A" w:rsidRDefault="00A66E9C" w:rsidP="0038664A">
      <w:pPr>
        <w:pStyle w:val="BodyText"/>
        <w:ind w:firstLine="0"/>
        <w:rPr>
          <w:rFonts w:ascii="Avenir Next" w:hAnsi="Avenir Next"/>
          <w:i/>
          <w:color w:val="808080" w:themeColor="background1" w:themeShade="80"/>
        </w:rPr>
      </w:pPr>
      <w:r w:rsidRPr="0038664A">
        <w:rPr>
          <w:rFonts w:ascii="Avenir Next" w:hAnsi="Avenir Next"/>
          <w:i/>
          <w:color w:val="808080" w:themeColor="background1" w:themeShade="80"/>
        </w:rPr>
        <w:t>(e) a combination of some or all of the above.</w:t>
      </w:r>
      <w:r w:rsidR="0038664A" w:rsidRPr="0038664A">
        <w:rPr>
          <w:rFonts w:ascii="Avenir Next" w:hAnsi="Avenir Next"/>
          <w:i/>
          <w:color w:val="808080" w:themeColor="background1" w:themeShade="80"/>
        </w:rPr>
        <w:t>”</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338C9AAD"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122C858" w14:textId="5E8A6CE3" w:rsidR="005B4569" w:rsidRDefault="005B456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the course of a provisional liquidation, the Court can:</w:t>
      </w:r>
    </w:p>
    <w:p w14:paraId="7D0D6B6D" w14:textId="77777777" w:rsidR="005B4569" w:rsidRDefault="005B4569" w:rsidP="00586B0F">
      <w:pPr>
        <w:pStyle w:val="BodyText"/>
        <w:ind w:firstLine="0"/>
        <w:rPr>
          <w:rFonts w:ascii="Avenir Next" w:hAnsi="Avenir Next"/>
          <w:color w:val="808080" w:themeColor="background1" w:themeShade="80"/>
        </w:rPr>
      </w:pPr>
    </w:p>
    <w:p w14:paraId="2E5928A2" w14:textId="0D93434A" w:rsidR="005B4569" w:rsidRPr="005B4569" w:rsidRDefault="005B4569" w:rsidP="005B4569">
      <w:pPr>
        <w:pStyle w:val="BodyText"/>
        <w:numPr>
          <w:ilvl w:val="0"/>
          <w:numId w:val="44"/>
        </w:numPr>
        <w:rPr>
          <w:rFonts w:ascii="Avenir Next" w:hAnsi="Avenir Next"/>
          <w:b/>
          <w:bCs/>
        </w:rPr>
      </w:pPr>
      <w:r>
        <w:rPr>
          <w:rFonts w:ascii="Avenir Next" w:hAnsi="Avenir Next"/>
          <w:color w:val="808080" w:themeColor="background1" w:themeShade="80"/>
        </w:rPr>
        <w:t>appoint a provisional liquidator under s. 104 of the Companies Act to safeguard the company’s assets (this is s</w:t>
      </w:r>
      <w:r w:rsidRPr="005B4569">
        <w:rPr>
          <w:rFonts w:ascii="Avenir Next" w:hAnsi="Avenir Next"/>
          <w:color w:val="808080" w:themeColor="background1" w:themeShade="80"/>
        </w:rPr>
        <w:t>ubject to th</w:t>
      </w:r>
      <w:r>
        <w:rPr>
          <w:rFonts w:ascii="Avenir Next" w:hAnsi="Avenir Next"/>
          <w:color w:val="808080" w:themeColor="background1" w:themeShade="80"/>
        </w:rPr>
        <w:t xml:space="preserve">at </w:t>
      </w:r>
      <w:r w:rsidRPr="005B4569">
        <w:rPr>
          <w:rFonts w:ascii="Avenir Next" w:hAnsi="Avenir Next"/>
          <w:color w:val="808080" w:themeColor="background1" w:themeShade="80"/>
        </w:rPr>
        <w:t>section and any rules made under section 155</w:t>
      </w:r>
      <w:r>
        <w:rPr>
          <w:rFonts w:ascii="Avenir Next" w:hAnsi="Avenir Next"/>
          <w:color w:val="808080" w:themeColor="background1" w:themeShade="80"/>
        </w:rPr>
        <w:t>); and</w:t>
      </w:r>
    </w:p>
    <w:p w14:paraId="62FE7FC7" w14:textId="1E053A89" w:rsidR="00586B0F" w:rsidRPr="00486A0B" w:rsidRDefault="005B4569" w:rsidP="005B4569">
      <w:pPr>
        <w:pStyle w:val="BodyText"/>
        <w:numPr>
          <w:ilvl w:val="0"/>
          <w:numId w:val="44"/>
        </w:numPr>
        <w:rPr>
          <w:rFonts w:ascii="Avenir Next" w:hAnsi="Avenir Next"/>
          <w:b/>
          <w:bCs/>
        </w:rPr>
      </w:pPr>
      <w:r>
        <w:rPr>
          <w:rFonts w:ascii="Avenir Next" w:hAnsi="Avenir Next"/>
          <w:color w:val="808080" w:themeColor="background1" w:themeShade="80"/>
        </w:rPr>
        <w:t>stay the proceedings under s. 97 of the Act to halt any ongoing litigation against the company.</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3648EA79" w14:textId="77777777" w:rsidR="004F4F26" w:rsidRDefault="006F097B" w:rsidP="004F4F26">
      <w:pPr>
        <w:pStyle w:val="BodyText"/>
        <w:ind w:left="-450" w:firstLine="2"/>
        <w:rPr>
          <w:rFonts w:ascii="Avenir Next" w:hAnsi="Avenir Next"/>
          <w:color w:val="808080" w:themeColor="background1" w:themeShade="80"/>
        </w:rPr>
      </w:pPr>
      <w:r>
        <w:rPr>
          <w:rFonts w:ascii="Avenir Next" w:hAnsi="Avenir Next"/>
          <w:color w:val="808080" w:themeColor="background1" w:themeShade="80"/>
        </w:rPr>
        <w:t>A creditor or contributory can apply to remove an</w:t>
      </w:r>
      <w:r w:rsidRPr="006F097B">
        <w:rPr>
          <w:rFonts w:ascii="Avenir Next" w:hAnsi="Avenir Next"/>
          <w:color w:val="808080" w:themeColor="background1" w:themeShade="80"/>
        </w:rPr>
        <w:t xml:space="preserve"> official liquidator</w:t>
      </w:r>
      <w:r>
        <w:rPr>
          <w:rFonts w:ascii="Avenir Next" w:hAnsi="Avenir Next"/>
          <w:color w:val="808080" w:themeColor="background1" w:themeShade="80"/>
        </w:rPr>
        <w:t xml:space="preserve"> f</w:t>
      </w:r>
      <w:r w:rsidRPr="006F097B">
        <w:rPr>
          <w:rFonts w:ascii="Avenir Next" w:hAnsi="Avenir Next"/>
          <w:color w:val="808080" w:themeColor="background1" w:themeShade="80"/>
        </w:rPr>
        <w:t>rom office</w:t>
      </w:r>
      <w:r w:rsidRPr="006F097B">
        <w:t xml:space="preserve"> </w:t>
      </w:r>
      <w:r>
        <w:rPr>
          <w:rFonts w:ascii="Avenir Next" w:hAnsi="Avenir Next"/>
          <w:color w:val="808080" w:themeColor="background1" w:themeShade="80"/>
        </w:rPr>
        <w:t>p</w:t>
      </w:r>
      <w:r w:rsidRPr="006F097B">
        <w:rPr>
          <w:rFonts w:ascii="Avenir Next" w:hAnsi="Avenir Next"/>
          <w:color w:val="808080" w:themeColor="background1" w:themeShade="80"/>
        </w:rPr>
        <w:t>ursuant to section 107 of the Act, a</w:t>
      </w:r>
      <w:r>
        <w:rPr>
          <w:rFonts w:ascii="Avenir Next" w:hAnsi="Avenir Next"/>
          <w:color w:val="808080" w:themeColor="background1" w:themeShade="80"/>
        </w:rPr>
        <w:t>.</w:t>
      </w:r>
    </w:p>
    <w:p w14:paraId="17BBF7C7" w14:textId="77777777" w:rsidR="004F4F26" w:rsidRDefault="004F4F26" w:rsidP="004F4F26">
      <w:pPr>
        <w:pStyle w:val="BodyText"/>
        <w:ind w:left="-450" w:firstLine="2"/>
        <w:rPr>
          <w:rFonts w:ascii="Avenir Next" w:hAnsi="Avenir Next"/>
          <w:color w:val="808080" w:themeColor="background1" w:themeShade="80"/>
        </w:rPr>
      </w:pPr>
    </w:p>
    <w:p w14:paraId="75BE83C7" w14:textId="77777777" w:rsidR="004F4F26" w:rsidRDefault="006F097B" w:rsidP="004F4F26">
      <w:pPr>
        <w:pStyle w:val="BodyText"/>
        <w:ind w:left="-450" w:firstLine="2"/>
        <w:rPr>
          <w:rFonts w:ascii="Avenir Next" w:hAnsi="Avenir Next"/>
          <w:color w:val="808080" w:themeColor="background1" w:themeShade="80"/>
        </w:rPr>
      </w:pPr>
      <w:r>
        <w:rPr>
          <w:rFonts w:ascii="Avenir Next" w:hAnsi="Avenir Next"/>
          <w:color w:val="808080" w:themeColor="background1" w:themeShade="80"/>
        </w:rPr>
        <w:t>The Court will typically approve such an order in cases where there is misconduct, incapacity, or a conflict of interest</w:t>
      </w:r>
      <w:r w:rsidR="004F4F26">
        <w:rPr>
          <w:rFonts w:ascii="Avenir Next" w:hAnsi="Avenir Next"/>
          <w:color w:val="808080" w:themeColor="background1" w:themeShade="80"/>
        </w:rPr>
        <w:t>.</w:t>
      </w:r>
    </w:p>
    <w:p w14:paraId="2931D563" w14:textId="77777777" w:rsidR="004F4F26" w:rsidRDefault="004F4F26" w:rsidP="004F4F26">
      <w:pPr>
        <w:pStyle w:val="BodyText"/>
        <w:ind w:left="-450" w:firstLine="2"/>
        <w:rPr>
          <w:rFonts w:ascii="Avenir Next" w:hAnsi="Avenir Next"/>
          <w:color w:val="808080" w:themeColor="background1" w:themeShade="80"/>
        </w:rPr>
      </w:pPr>
    </w:p>
    <w:p w14:paraId="050B5B4D" w14:textId="28D25C76" w:rsidR="006F097B" w:rsidRDefault="006F097B" w:rsidP="004F4F26">
      <w:pPr>
        <w:pStyle w:val="BodyText"/>
        <w:ind w:left="-450" w:firstLine="2"/>
        <w:rPr>
          <w:rFonts w:ascii="Avenir Next" w:hAnsi="Avenir Next"/>
          <w:color w:val="808080" w:themeColor="background1" w:themeShade="80"/>
        </w:rPr>
      </w:pPr>
      <w:r>
        <w:rPr>
          <w:rFonts w:ascii="Avenir Next" w:hAnsi="Avenir Next"/>
          <w:color w:val="808080" w:themeColor="background1" w:themeShade="80"/>
        </w:rPr>
        <w:t>The application must be served on the liquidator, the company and any other party the Court deems appropriate.</w:t>
      </w:r>
    </w:p>
    <w:p w14:paraId="1590B1F2" w14:textId="51DDB8B8" w:rsidR="00586B0F" w:rsidRPr="004F4F26" w:rsidRDefault="00586B0F" w:rsidP="004F4F26">
      <w:pPr>
        <w:rPr>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42BCB07D" w:rsidR="00586B0F" w:rsidRPr="00486A0B" w:rsidRDefault="004F4F26" w:rsidP="00586B0F">
      <w:pPr>
        <w:pStyle w:val="BodyText"/>
        <w:ind w:firstLine="0"/>
        <w:rPr>
          <w:rFonts w:ascii="Avenir Next" w:hAnsi="Avenir Next"/>
          <w:b/>
          <w:bCs/>
        </w:rPr>
      </w:pPr>
      <w:r>
        <w:rPr>
          <w:rFonts w:ascii="Avenir Next" w:hAnsi="Avenir Next"/>
          <w:color w:val="808080" w:themeColor="background1" w:themeShade="80"/>
        </w:rPr>
        <w:t xml:space="preserve">It makes sense that the class of potential applicant varies in accordance with the solvency of the company in order to protect interests i.e. different stakeholders are affected differently by a company’s solvency status. In addition, it ensures that the parties most impacted will have a say in the liquidation process/proceedings.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lastRenderedPageBreak/>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645CCC4A" w14:textId="02229669" w:rsidR="004F4F26" w:rsidRDefault="004F4F26"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change will mean a redefinition of the liquidation committee’s role, in that the focus may shift from creditor representation to overseeing asset distribution.</w:t>
      </w:r>
    </w:p>
    <w:p w14:paraId="07068373" w14:textId="77777777" w:rsidR="004F4F26" w:rsidRDefault="004F4F26" w:rsidP="00B20DBE">
      <w:pPr>
        <w:pStyle w:val="BodyText"/>
        <w:ind w:firstLine="0"/>
        <w:rPr>
          <w:rFonts w:ascii="Avenir Next" w:hAnsi="Avenir Next"/>
          <w:color w:val="808080" w:themeColor="background1" w:themeShade="80"/>
        </w:rPr>
      </w:pPr>
    </w:p>
    <w:p w14:paraId="092C37A3" w14:textId="77DC0190" w:rsidR="00B20DBE" w:rsidRPr="00486A0B" w:rsidRDefault="004F4F26" w:rsidP="00B20DBE">
      <w:pPr>
        <w:pStyle w:val="BodyText"/>
        <w:ind w:firstLine="0"/>
        <w:rPr>
          <w:rFonts w:ascii="Avenir Next" w:hAnsi="Avenir Next"/>
          <w:b/>
          <w:bCs/>
        </w:rPr>
      </w:pPr>
      <w:r>
        <w:rPr>
          <w:rFonts w:ascii="Avenir Next" w:hAnsi="Avenir Next"/>
          <w:color w:val="808080" w:themeColor="background1" w:themeShade="80"/>
        </w:rPr>
        <w:t>There is also a potential dissolution as the LC might be dissolved if its purpose is deemed served.</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3F527980"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w:t>
      </w:r>
      <w:r w:rsidR="004F4F26">
        <w:t>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48A8AAD4" w:rsidR="00B20DBE" w:rsidRDefault="00007079" w:rsidP="004F4F26">
      <w:pPr>
        <w:pStyle w:val="BodyText"/>
        <w:rPr>
          <w:rFonts w:ascii="Avenir Next" w:hAnsi="Avenir Next"/>
          <w:color w:val="808080" w:themeColor="background1" w:themeShade="80"/>
        </w:rPr>
      </w:pPr>
      <w:r w:rsidRPr="00007079">
        <w:rPr>
          <w:rFonts w:ascii="Avenir Next" w:hAnsi="Avenir Next"/>
          <w:color w:val="808080" w:themeColor="background1" w:themeShade="80"/>
        </w:rPr>
        <w:t>Upon the making of</w:t>
      </w:r>
      <w:r w:rsidR="004F4F26">
        <w:rPr>
          <w:rFonts w:ascii="Avenir Next" w:hAnsi="Avenir Next"/>
          <w:color w:val="808080" w:themeColor="background1" w:themeShade="80"/>
        </w:rPr>
        <w:t xml:space="preserve"> </w:t>
      </w:r>
      <w:r w:rsidRPr="00007079">
        <w:rPr>
          <w:rFonts w:ascii="Avenir Next" w:hAnsi="Avenir Next"/>
          <w:color w:val="808080" w:themeColor="background1" w:themeShade="80"/>
        </w:rPr>
        <w:t>an order dissolving a company, the official liquidator’s duties as officeholder cease</w:t>
      </w:r>
      <w:r w:rsidR="004F4F26">
        <w:rPr>
          <w:rFonts w:ascii="Avenir Next" w:hAnsi="Avenir Next"/>
          <w:color w:val="808080" w:themeColor="background1" w:themeShade="80"/>
        </w:rPr>
        <w:t xml:space="preserve">. Therefore, they will no longer hold certain duties and powers, apart </w:t>
      </w:r>
      <w:r w:rsidRPr="00007079">
        <w:rPr>
          <w:rFonts w:ascii="Avenir Next" w:hAnsi="Avenir Next"/>
          <w:color w:val="808080" w:themeColor="background1" w:themeShade="80"/>
        </w:rPr>
        <w:t>for any</w:t>
      </w:r>
      <w:r w:rsidRPr="00007079">
        <w:t xml:space="preserve"> </w:t>
      </w:r>
      <w:r w:rsidRPr="00007079">
        <w:rPr>
          <w:rFonts w:ascii="Avenir Next" w:hAnsi="Avenir Next"/>
          <w:color w:val="808080" w:themeColor="background1" w:themeShade="80"/>
        </w:rPr>
        <w:t>residual duties preserved by the order for dissolution</w:t>
      </w:r>
      <w:r w:rsidR="004F4F26">
        <w:rPr>
          <w:rFonts w:ascii="Avenir Next" w:hAnsi="Avenir Next"/>
          <w:color w:val="808080" w:themeColor="background1" w:themeShade="80"/>
        </w:rPr>
        <w:t xml:space="preserve"> (</w:t>
      </w:r>
      <w:r w:rsidRPr="00007079">
        <w:rPr>
          <w:rFonts w:ascii="Avenir Next" w:hAnsi="Avenir Next"/>
          <w:color w:val="808080" w:themeColor="background1" w:themeShade="80"/>
        </w:rPr>
        <w:t>including for the preservation, storage</w:t>
      </w:r>
      <w:r w:rsidR="004F4F26">
        <w:rPr>
          <w:rFonts w:ascii="Avenir Next" w:hAnsi="Avenir Next"/>
          <w:color w:val="808080" w:themeColor="background1" w:themeShade="80"/>
        </w:rPr>
        <w:t xml:space="preserve"> </w:t>
      </w:r>
      <w:r w:rsidRPr="00007079">
        <w:rPr>
          <w:rFonts w:ascii="Avenir Next" w:hAnsi="Avenir Next"/>
          <w:color w:val="808080" w:themeColor="background1" w:themeShade="80"/>
        </w:rPr>
        <w:t>and destruction of the company’s remaining books and records, and dealings with unclaimed</w:t>
      </w:r>
      <w:r w:rsidR="004F4F26">
        <w:rPr>
          <w:rFonts w:ascii="Avenir Next" w:hAnsi="Avenir Next"/>
          <w:color w:val="808080" w:themeColor="background1" w:themeShade="80"/>
        </w:rPr>
        <w:t xml:space="preserve"> </w:t>
      </w:r>
      <w:r w:rsidRPr="00007079">
        <w:rPr>
          <w:rFonts w:ascii="Avenir Next" w:hAnsi="Avenir Next"/>
          <w:color w:val="808080" w:themeColor="background1" w:themeShade="80"/>
        </w:rPr>
        <w:t>dividends</w:t>
      </w:r>
      <w:r w:rsidR="004F4F26">
        <w:rPr>
          <w:rFonts w:ascii="Avenir Next" w:hAnsi="Avenir Next"/>
          <w:color w:val="808080" w:themeColor="background1" w:themeShade="80"/>
        </w:rPr>
        <w:t>). A</w:t>
      </w:r>
      <w:r w:rsidRPr="00007079">
        <w:rPr>
          <w:rFonts w:ascii="Avenir Next" w:hAnsi="Avenir Next"/>
          <w:color w:val="808080" w:themeColor="background1" w:themeShade="80"/>
        </w:rPr>
        <w:t>n order for discharge of the liquidators is often included in the order for dissolution.</w:t>
      </w:r>
    </w:p>
    <w:p w14:paraId="09AE6AF9" w14:textId="034A91C7" w:rsidR="004F4F26" w:rsidRDefault="004F4F26" w:rsidP="004F4F26">
      <w:pPr>
        <w:pStyle w:val="BodyText"/>
        <w:rPr>
          <w:rFonts w:ascii="Avenir Next" w:hAnsi="Avenir Next"/>
          <w:color w:val="808080" w:themeColor="background1" w:themeShade="80"/>
        </w:rPr>
      </w:pPr>
    </w:p>
    <w:p w14:paraId="5EC71F10" w14:textId="7D220C3A" w:rsidR="004F4F26" w:rsidRPr="004F4F26" w:rsidRDefault="004F4F26" w:rsidP="004F4F26">
      <w:pPr>
        <w:pStyle w:val="BodyText"/>
        <w:rPr>
          <w:rFonts w:ascii="Avenir Next" w:hAnsi="Avenir Next"/>
          <w:color w:val="808080" w:themeColor="background1" w:themeShade="80"/>
        </w:rPr>
      </w:pPr>
      <w:r>
        <w:rPr>
          <w:rFonts w:ascii="Avenir Next" w:hAnsi="Avenir Next"/>
          <w:color w:val="808080" w:themeColor="background1" w:themeShade="80"/>
        </w:rPr>
        <w:t>The residual duties will include asset realization i.e. liquidating the company’s assets, settling creditor claims and payment, preparing final accounts and reports and completing the legal dissolution process.</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60B93B5" w14:textId="6957FFEA" w:rsidR="008B0573" w:rsidRPr="008B0573" w:rsidRDefault="0055136F" w:rsidP="008B0573">
      <w:pPr>
        <w:pStyle w:val="BodyText"/>
        <w:ind w:left="-360" w:firstLine="2"/>
        <w:rPr>
          <w:rFonts w:ascii="Avenir Next" w:hAnsi="Avenir Next"/>
          <w:i/>
          <w:color w:val="808080" w:themeColor="background1" w:themeShade="80"/>
        </w:rPr>
      </w:pPr>
      <w:r w:rsidRPr="0055136F">
        <w:rPr>
          <w:rFonts w:ascii="Avenir Next" w:hAnsi="Avenir Next"/>
          <w:color w:val="808080" w:themeColor="background1" w:themeShade="80"/>
        </w:rPr>
        <w:t xml:space="preserve">The liquidator is empowered to gather information necessary to assist and facilitate their investigations into a company and its affairs. </w:t>
      </w:r>
      <w:r w:rsidR="008B0573" w:rsidRPr="008B0573">
        <w:rPr>
          <w:rFonts w:ascii="Avenir Next" w:hAnsi="Avenir Next"/>
          <w:color w:val="808080" w:themeColor="background1" w:themeShade="80"/>
        </w:rPr>
        <w:t>A</w:t>
      </w:r>
      <w:r w:rsidR="008B0573">
        <w:rPr>
          <w:rFonts w:ascii="Avenir Next" w:hAnsi="Avenir Next"/>
          <w:color w:val="808080" w:themeColor="background1" w:themeShade="80"/>
        </w:rPr>
        <w:t>s an</w:t>
      </w:r>
      <w:r w:rsidR="008B0573" w:rsidRPr="008B0573">
        <w:rPr>
          <w:rFonts w:ascii="Avenir Next" w:hAnsi="Avenir Next"/>
          <w:color w:val="808080" w:themeColor="background1" w:themeShade="80"/>
        </w:rPr>
        <w:t xml:space="preserve"> officer of the </w:t>
      </w:r>
      <w:r w:rsidR="008B0573">
        <w:rPr>
          <w:rFonts w:ascii="Avenir Next" w:hAnsi="Avenir Next"/>
          <w:color w:val="808080" w:themeColor="background1" w:themeShade="80"/>
        </w:rPr>
        <w:t>C</w:t>
      </w:r>
      <w:r w:rsidR="008B0573" w:rsidRPr="008B0573">
        <w:rPr>
          <w:rFonts w:ascii="Avenir Next" w:hAnsi="Avenir Next"/>
          <w:color w:val="808080" w:themeColor="background1" w:themeShade="80"/>
        </w:rPr>
        <w:t>ourt</w:t>
      </w:r>
      <w:r w:rsidR="008B0573">
        <w:rPr>
          <w:rFonts w:ascii="Avenir Next" w:hAnsi="Avenir Next"/>
          <w:color w:val="808080" w:themeColor="background1" w:themeShade="80"/>
        </w:rPr>
        <w:t xml:space="preserve">, the liquidator </w:t>
      </w:r>
      <w:r w:rsidR="008B0573" w:rsidRPr="008B0573">
        <w:rPr>
          <w:rFonts w:ascii="Avenir Next" w:hAnsi="Avenir Next"/>
          <w:color w:val="808080" w:themeColor="background1" w:themeShade="80"/>
        </w:rPr>
        <w:t xml:space="preserve">is required to </w:t>
      </w:r>
      <w:r w:rsidR="008B0573" w:rsidRPr="008B0573">
        <w:rPr>
          <w:rFonts w:ascii="Avenir Next" w:hAnsi="Avenir Next"/>
          <w:i/>
          <w:color w:val="808080" w:themeColor="background1" w:themeShade="80"/>
        </w:rPr>
        <w:t>“make himself thoroughly acquainted with the affairs of the company; and to suppress nothing, and to conceal nothing,</w:t>
      </w:r>
    </w:p>
    <w:p w14:paraId="152E5FD9" w14:textId="77777777" w:rsidR="008B0573" w:rsidRPr="008B0573" w:rsidRDefault="008B0573" w:rsidP="008B0573">
      <w:pPr>
        <w:pStyle w:val="BodyText"/>
        <w:ind w:left="-360" w:firstLine="2"/>
        <w:rPr>
          <w:rFonts w:ascii="Avenir Next" w:hAnsi="Avenir Next"/>
          <w:i/>
          <w:color w:val="808080" w:themeColor="background1" w:themeShade="80"/>
        </w:rPr>
      </w:pPr>
      <w:r w:rsidRPr="008B0573">
        <w:rPr>
          <w:rFonts w:ascii="Avenir Next" w:hAnsi="Avenir Next"/>
          <w:i/>
          <w:color w:val="808080" w:themeColor="background1" w:themeShade="80"/>
        </w:rPr>
        <w:t>which has come to his knowledge in the course of his investigation, which is material to ascertain</w:t>
      </w:r>
    </w:p>
    <w:p w14:paraId="47029B04" w14:textId="7DAABABD" w:rsidR="0055136F" w:rsidRDefault="008B0573" w:rsidP="008B0573">
      <w:pPr>
        <w:pStyle w:val="BodyText"/>
        <w:ind w:left="-360" w:firstLine="2"/>
        <w:rPr>
          <w:rFonts w:ascii="Avenir Next" w:hAnsi="Avenir Next"/>
          <w:color w:val="808080" w:themeColor="background1" w:themeShade="80"/>
        </w:rPr>
      </w:pPr>
      <w:r w:rsidRPr="008B0573">
        <w:rPr>
          <w:rFonts w:ascii="Avenir Next" w:hAnsi="Avenir Next"/>
          <w:i/>
          <w:color w:val="808080" w:themeColor="background1" w:themeShade="80"/>
        </w:rPr>
        <w:t>the exact truth in every case before the Court</w:t>
      </w:r>
      <w:r w:rsidRPr="008B0573">
        <w:rPr>
          <w:rFonts w:ascii="Avenir Next" w:hAnsi="Avenir Next"/>
          <w:color w:val="808080" w:themeColor="background1" w:themeShade="80"/>
        </w:rPr>
        <w:t>”</w:t>
      </w:r>
      <w:r>
        <w:rPr>
          <w:rFonts w:ascii="Avenir Next" w:hAnsi="Avenir Next"/>
          <w:color w:val="808080" w:themeColor="background1" w:themeShade="80"/>
        </w:rPr>
        <w:t xml:space="preserve"> (</w:t>
      </w:r>
      <w:r w:rsidRPr="008B0573">
        <w:rPr>
          <w:rFonts w:ascii="Avenir Next" w:hAnsi="Avenir Next"/>
          <w:i/>
          <w:color w:val="808080" w:themeColor="background1" w:themeShade="80"/>
          <w:u w:val="single"/>
        </w:rPr>
        <w:t xml:space="preserve">In the Matter of </w:t>
      </w:r>
      <w:proofErr w:type="spellStart"/>
      <w:r w:rsidRPr="008B0573">
        <w:rPr>
          <w:rFonts w:ascii="Avenir Next" w:hAnsi="Avenir Next"/>
          <w:i/>
          <w:color w:val="808080" w:themeColor="background1" w:themeShade="80"/>
          <w:u w:val="single"/>
        </w:rPr>
        <w:t>Citrico</w:t>
      </w:r>
      <w:proofErr w:type="spellEnd"/>
      <w:r w:rsidRPr="008B0573">
        <w:rPr>
          <w:rFonts w:ascii="Avenir Next" w:hAnsi="Avenir Next"/>
          <w:i/>
          <w:color w:val="808080" w:themeColor="background1" w:themeShade="80"/>
          <w:u w:val="single"/>
        </w:rPr>
        <w:t xml:space="preserve"> International Limited</w:t>
      </w:r>
      <w:r>
        <w:rPr>
          <w:rFonts w:ascii="Avenir Next" w:hAnsi="Avenir Next"/>
          <w:color w:val="808080" w:themeColor="background1" w:themeShade="80"/>
        </w:rPr>
        <w:t xml:space="preserve"> </w:t>
      </w:r>
      <w:r w:rsidRPr="008B0573">
        <w:rPr>
          <w:rFonts w:ascii="Avenir Next" w:hAnsi="Avenir Next"/>
          <w:color w:val="808080" w:themeColor="background1" w:themeShade="80"/>
        </w:rPr>
        <w:t>[2004-05 CILR 435]</w:t>
      </w:r>
      <w:r>
        <w:rPr>
          <w:rFonts w:ascii="Avenir Next" w:hAnsi="Avenir Next"/>
          <w:color w:val="808080" w:themeColor="background1" w:themeShade="80"/>
        </w:rPr>
        <w:t>)</w:t>
      </w:r>
      <w:r w:rsidRPr="008B0573">
        <w:rPr>
          <w:rFonts w:ascii="Avenir Next" w:hAnsi="Avenir Next"/>
          <w:color w:val="808080" w:themeColor="background1" w:themeShade="80"/>
        </w:rPr>
        <w:t>.</w:t>
      </w:r>
      <w:r>
        <w:rPr>
          <w:rFonts w:ascii="Avenir Next" w:hAnsi="Avenir Next"/>
          <w:color w:val="808080" w:themeColor="background1" w:themeShade="80"/>
        </w:rPr>
        <w:t xml:space="preserve"> </w:t>
      </w:r>
    </w:p>
    <w:p w14:paraId="3EE3DBCD" w14:textId="77777777" w:rsidR="0055136F" w:rsidRDefault="0055136F" w:rsidP="000C2104">
      <w:pPr>
        <w:pStyle w:val="BodyText"/>
        <w:ind w:left="-360" w:firstLine="2"/>
        <w:rPr>
          <w:rFonts w:ascii="Avenir Next" w:hAnsi="Avenir Next"/>
          <w:color w:val="808080" w:themeColor="background1" w:themeShade="80"/>
        </w:rPr>
      </w:pPr>
    </w:p>
    <w:p w14:paraId="6AC0B334" w14:textId="4A01B75A" w:rsidR="000C2104" w:rsidRDefault="000C2104" w:rsidP="000C2104">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The general investigative powers and duties of a liquidator are set out in s</w:t>
      </w:r>
      <w:r w:rsidR="00B52599" w:rsidRPr="00007079">
        <w:rPr>
          <w:rFonts w:ascii="Avenir Next" w:hAnsi="Avenir Next"/>
          <w:color w:val="808080" w:themeColor="background1" w:themeShade="80"/>
        </w:rPr>
        <w:t>ection 102</w:t>
      </w:r>
      <w:r>
        <w:rPr>
          <w:rFonts w:ascii="Avenir Next" w:hAnsi="Avenir Next"/>
          <w:color w:val="808080" w:themeColor="background1" w:themeShade="80"/>
        </w:rPr>
        <w:t xml:space="preserve">(1) </w:t>
      </w:r>
      <w:r w:rsidR="00B52599" w:rsidRPr="00007079">
        <w:rPr>
          <w:rFonts w:ascii="Avenir Next" w:hAnsi="Avenir Next"/>
          <w:color w:val="808080" w:themeColor="background1" w:themeShade="80"/>
        </w:rPr>
        <w:t>of the Companies Act</w:t>
      </w:r>
      <w:r>
        <w:rPr>
          <w:rFonts w:ascii="Avenir Next" w:hAnsi="Avenir Next"/>
          <w:color w:val="808080" w:themeColor="background1" w:themeShade="80"/>
        </w:rPr>
        <w:t xml:space="preserve">, which provides that the liquidator is empowered to investigate – </w:t>
      </w:r>
      <w:r w:rsidRPr="000C2104">
        <w:rPr>
          <w:rFonts w:ascii="Avenir Next" w:hAnsi="Avenir Next"/>
          <w:i/>
          <w:color w:val="808080" w:themeColor="background1" w:themeShade="80"/>
        </w:rPr>
        <w:t>“(a) if the company has failed, the causes of the failure; and (b) generally, the promotion, business, dealings and affairs of the company, and to make such report, if any, to the court as the liquidator thinks fit.”</w:t>
      </w:r>
    </w:p>
    <w:p w14:paraId="28A7063D" w14:textId="77777777" w:rsidR="000C2104" w:rsidRDefault="000C2104" w:rsidP="000C2104">
      <w:pPr>
        <w:pStyle w:val="BodyText"/>
        <w:ind w:left="-360" w:firstLine="2"/>
        <w:rPr>
          <w:rFonts w:ascii="Avenir Next" w:hAnsi="Avenir Next"/>
          <w:color w:val="808080" w:themeColor="background1" w:themeShade="80"/>
        </w:rPr>
      </w:pPr>
    </w:p>
    <w:p w14:paraId="74B44899" w14:textId="54333E7A" w:rsidR="00E55691" w:rsidRDefault="000C2104" w:rsidP="00E55691">
      <w:pPr>
        <w:pStyle w:val="BodyText"/>
        <w:ind w:left="-360" w:firstLine="2"/>
        <w:rPr>
          <w:rFonts w:ascii="Avenir Next" w:hAnsi="Avenir Next"/>
          <w:i/>
          <w:color w:val="808080" w:themeColor="background1" w:themeShade="80"/>
        </w:rPr>
      </w:pPr>
      <w:r>
        <w:rPr>
          <w:rFonts w:ascii="Avenir Next" w:hAnsi="Avenir Next"/>
          <w:color w:val="808080" w:themeColor="background1" w:themeShade="80"/>
        </w:rPr>
        <w:t>Pursuant to s. 102(2)</w:t>
      </w:r>
      <w:r w:rsidR="00E55691">
        <w:rPr>
          <w:rFonts w:ascii="Avenir Next" w:hAnsi="Avenir Next"/>
          <w:color w:val="808080" w:themeColor="background1" w:themeShade="80"/>
        </w:rPr>
        <w:t xml:space="preserve"> of the Act</w:t>
      </w:r>
      <w:r>
        <w:rPr>
          <w:rFonts w:ascii="Avenir Next" w:hAnsi="Avenir Next"/>
          <w:color w:val="808080" w:themeColor="background1" w:themeShade="80"/>
        </w:rPr>
        <w:t xml:space="preserve">, subject </w:t>
      </w:r>
      <w:r w:rsidRPr="000C2104">
        <w:rPr>
          <w:rFonts w:ascii="Avenir Next" w:hAnsi="Avenir Next"/>
          <w:color w:val="808080" w:themeColor="background1" w:themeShade="80"/>
        </w:rPr>
        <w:t xml:space="preserve">to obtaining directions of the </w:t>
      </w:r>
      <w:r>
        <w:rPr>
          <w:rFonts w:ascii="Avenir Next" w:hAnsi="Avenir Next"/>
          <w:color w:val="808080" w:themeColor="background1" w:themeShade="80"/>
        </w:rPr>
        <w:t>C</w:t>
      </w:r>
      <w:r w:rsidRPr="000C2104">
        <w:rPr>
          <w:rFonts w:ascii="Avenir Next" w:hAnsi="Avenir Next"/>
          <w:color w:val="808080" w:themeColor="background1" w:themeShade="80"/>
        </w:rPr>
        <w:t xml:space="preserve">ourt, the liquidator </w:t>
      </w:r>
      <w:r>
        <w:rPr>
          <w:rFonts w:ascii="Avenir Next" w:hAnsi="Avenir Next"/>
          <w:color w:val="808080" w:themeColor="background1" w:themeShade="80"/>
        </w:rPr>
        <w:t xml:space="preserve">also </w:t>
      </w:r>
      <w:r w:rsidRPr="000C2104">
        <w:rPr>
          <w:rFonts w:ascii="Avenir Next" w:hAnsi="Avenir Next"/>
          <w:color w:val="808080" w:themeColor="background1" w:themeShade="80"/>
        </w:rPr>
        <w:t>has the power to</w:t>
      </w:r>
      <w:r>
        <w:rPr>
          <w:rFonts w:ascii="Avenir Next" w:hAnsi="Avenir Next"/>
          <w:color w:val="808080" w:themeColor="background1" w:themeShade="80"/>
        </w:rPr>
        <w:t>:</w:t>
      </w:r>
      <w:r w:rsidRPr="000C2104">
        <w:rPr>
          <w:rFonts w:ascii="Avenir Next" w:hAnsi="Avenir Next"/>
          <w:color w:val="808080" w:themeColor="background1" w:themeShade="80"/>
        </w:rPr>
        <w:t xml:space="preserve"> </w:t>
      </w:r>
      <w:r w:rsidR="00E55691" w:rsidRPr="00E55691">
        <w:rPr>
          <w:rFonts w:ascii="Avenir Next" w:hAnsi="Avenir Next"/>
          <w:i/>
          <w:color w:val="808080" w:themeColor="background1" w:themeShade="80"/>
        </w:rPr>
        <w:t>“</w:t>
      </w:r>
      <w:r w:rsidRPr="00E55691">
        <w:rPr>
          <w:rFonts w:ascii="Avenir Next" w:hAnsi="Avenir Next"/>
          <w:i/>
          <w:color w:val="808080" w:themeColor="background1" w:themeShade="80"/>
        </w:rPr>
        <w:t>(1) assist the Cayman Islands Monetary Authority and the Royal Cayman Islands Police Service to investigate the conduct of persons referred to in s. 101(3) of the Act; and (2) institute and conduct a criminal prosecution of persons referred to in s. 101(3).</w:t>
      </w:r>
      <w:r w:rsidR="00E55691" w:rsidRPr="00E55691">
        <w:rPr>
          <w:rFonts w:ascii="Avenir Next" w:hAnsi="Avenir Next"/>
          <w:i/>
          <w:color w:val="808080" w:themeColor="background1" w:themeShade="80"/>
        </w:rPr>
        <w:t>”</w:t>
      </w:r>
    </w:p>
    <w:p w14:paraId="4CF0BF29" w14:textId="4AE276DD" w:rsidR="00DD2778" w:rsidRDefault="00DD2778" w:rsidP="00E55691">
      <w:pPr>
        <w:pStyle w:val="BodyText"/>
        <w:ind w:left="-360" w:firstLine="2"/>
        <w:rPr>
          <w:rFonts w:ascii="Avenir Next" w:hAnsi="Avenir Next"/>
          <w:i/>
          <w:color w:val="808080" w:themeColor="background1" w:themeShade="80"/>
        </w:rPr>
      </w:pPr>
    </w:p>
    <w:p w14:paraId="6CF6D67F" w14:textId="386A3F66" w:rsidR="00DD2778" w:rsidRPr="00DD2778" w:rsidRDefault="00DD2778" w:rsidP="00E55691">
      <w:pPr>
        <w:pStyle w:val="BodyText"/>
        <w:ind w:left="-360" w:firstLine="2"/>
        <w:rPr>
          <w:rFonts w:ascii="Avenir Next" w:hAnsi="Avenir Next"/>
          <w:color w:val="808080" w:themeColor="background1" w:themeShade="80"/>
        </w:rPr>
      </w:pPr>
      <w:r w:rsidRPr="00DD2778">
        <w:rPr>
          <w:rFonts w:ascii="Avenir Next" w:hAnsi="Avenir Next"/>
          <w:color w:val="808080" w:themeColor="background1" w:themeShade="80"/>
        </w:rPr>
        <w:t>The persons referred to in s. 101(3) are discussed</w:t>
      </w:r>
      <w:r>
        <w:rPr>
          <w:rFonts w:ascii="Avenir Next" w:hAnsi="Avenir Next"/>
          <w:color w:val="808080" w:themeColor="background1" w:themeShade="80"/>
        </w:rPr>
        <w:t xml:space="preserve"> below.</w:t>
      </w:r>
    </w:p>
    <w:p w14:paraId="693461EC" w14:textId="199D90E6" w:rsidR="00DD2778" w:rsidRDefault="00DD2778" w:rsidP="00E55691">
      <w:pPr>
        <w:pStyle w:val="BodyText"/>
        <w:ind w:left="-360" w:firstLine="2"/>
        <w:rPr>
          <w:rFonts w:ascii="Avenir Next" w:hAnsi="Avenir Next"/>
          <w:color w:val="808080" w:themeColor="background1" w:themeShade="80"/>
        </w:rPr>
      </w:pPr>
    </w:p>
    <w:p w14:paraId="4CCC8C30" w14:textId="0D8D6990" w:rsidR="00DD2778" w:rsidRDefault="00DD2778" w:rsidP="00DD2778">
      <w:pPr>
        <w:pStyle w:val="BodyText"/>
        <w:ind w:left="-360" w:firstLine="2"/>
        <w:rPr>
          <w:rFonts w:ascii="Avenir Next" w:hAnsi="Avenir Next"/>
          <w:color w:val="808080" w:themeColor="background1" w:themeShade="80"/>
        </w:rPr>
      </w:pPr>
      <w:r w:rsidRPr="00DD2778">
        <w:rPr>
          <w:rFonts w:ascii="Avenir Next" w:hAnsi="Avenir Next"/>
          <w:color w:val="808080" w:themeColor="background1" w:themeShade="80"/>
        </w:rPr>
        <w:t xml:space="preserve">Section 102(3) </w:t>
      </w:r>
      <w:r>
        <w:rPr>
          <w:rFonts w:ascii="Avenir Next" w:hAnsi="Avenir Next"/>
          <w:color w:val="808080" w:themeColor="background1" w:themeShade="80"/>
        </w:rPr>
        <w:t xml:space="preserve">provides that the </w:t>
      </w:r>
      <w:proofErr w:type="spellStart"/>
      <w:r>
        <w:rPr>
          <w:rFonts w:ascii="Avenir Next" w:hAnsi="Avenir Next"/>
          <w:color w:val="808080" w:themeColor="background1" w:themeShade="80"/>
        </w:rPr>
        <w:t>the</w:t>
      </w:r>
      <w:proofErr w:type="spellEnd"/>
      <w:r>
        <w:rPr>
          <w:rFonts w:ascii="Avenir Next" w:hAnsi="Avenir Next"/>
          <w:color w:val="808080" w:themeColor="background1" w:themeShade="80"/>
        </w:rPr>
        <w:t xml:space="preserve"> liquidator is also empowered to include in the directions given </w:t>
      </w:r>
      <w:r>
        <w:rPr>
          <w:rFonts w:ascii="Avenir Next" w:hAnsi="Avenir Next"/>
          <w:color w:val="808080" w:themeColor="background1" w:themeShade="80"/>
        </w:rPr>
        <w:lastRenderedPageBreak/>
        <w:t>under s. 102(2), that the whole or part of the costs of the investigation and prosecution be paid out of the assets of the company. However, this is s</w:t>
      </w:r>
      <w:r w:rsidRPr="00DD2778">
        <w:rPr>
          <w:rFonts w:ascii="Avenir Next" w:hAnsi="Avenir Next"/>
          <w:color w:val="808080" w:themeColor="background1" w:themeShade="80"/>
        </w:rPr>
        <w:t xml:space="preserve">ubject to obtaining the prior approval of the company’s creditors, if it </w:t>
      </w:r>
      <w:r>
        <w:rPr>
          <w:rFonts w:ascii="Avenir Next" w:hAnsi="Avenir Next"/>
          <w:color w:val="808080" w:themeColor="background1" w:themeShade="80"/>
        </w:rPr>
        <w:t xml:space="preserve">the company is </w:t>
      </w:r>
      <w:r w:rsidRPr="00DD2778">
        <w:rPr>
          <w:rFonts w:ascii="Avenir Next" w:hAnsi="Avenir Next"/>
          <w:color w:val="808080" w:themeColor="background1" w:themeShade="80"/>
        </w:rPr>
        <w:t>insolvent, or its contributories, if it is solvent</w:t>
      </w:r>
      <w:r>
        <w:rPr>
          <w:rFonts w:ascii="Avenir Next" w:hAnsi="Avenir Next"/>
          <w:color w:val="808080" w:themeColor="background1" w:themeShade="80"/>
        </w:rPr>
        <w:t>.</w:t>
      </w:r>
    </w:p>
    <w:p w14:paraId="3E799902" w14:textId="77777777" w:rsidR="00E55691" w:rsidRDefault="00E55691" w:rsidP="00E55691">
      <w:pPr>
        <w:pStyle w:val="BodyText"/>
        <w:ind w:left="-360" w:firstLine="2"/>
        <w:rPr>
          <w:rFonts w:ascii="Avenir Next" w:hAnsi="Avenir Next"/>
          <w:color w:val="808080" w:themeColor="background1" w:themeShade="80"/>
        </w:rPr>
      </w:pPr>
    </w:p>
    <w:p w14:paraId="222B8CD5" w14:textId="77777777" w:rsidR="00DD2778" w:rsidRPr="00DD2778" w:rsidRDefault="00DD2778" w:rsidP="00E55691">
      <w:pPr>
        <w:pStyle w:val="BodyText"/>
        <w:ind w:left="-360" w:firstLine="2"/>
        <w:rPr>
          <w:rFonts w:ascii="Avenir Next" w:hAnsi="Avenir Next"/>
          <w:color w:val="808080" w:themeColor="background1" w:themeShade="80"/>
          <w:u w:val="single"/>
        </w:rPr>
      </w:pPr>
      <w:r w:rsidRPr="00DD2778">
        <w:rPr>
          <w:rFonts w:ascii="Avenir Next" w:hAnsi="Avenir Next"/>
          <w:color w:val="808080" w:themeColor="background1" w:themeShade="80"/>
          <w:u w:val="single"/>
        </w:rPr>
        <w:t>Power to require a statement of affairs</w:t>
      </w:r>
    </w:p>
    <w:p w14:paraId="09528A80" w14:textId="77777777" w:rsidR="00DD2778" w:rsidRDefault="00DD2778" w:rsidP="00E55691">
      <w:pPr>
        <w:pStyle w:val="BodyText"/>
        <w:ind w:left="-360" w:firstLine="2"/>
        <w:rPr>
          <w:rFonts w:ascii="Avenir Next" w:hAnsi="Avenir Next"/>
          <w:color w:val="808080" w:themeColor="background1" w:themeShade="80"/>
        </w:rPr>
      </w:pPr>
    </w:p>
    <w:p w14:paraId="4D1B35EB" w14:textId="61A8B0DA" w:rsidR="00640076" w:rsidRDefault="00640076" w:rsidP="00640076">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Pursuant to s. 101(1), where the Court has made a winding up order or appointed a provisional liquidator, the liquidator is empowered to serve a s. 101 notice requiring</w:t>
      </w:r>
      <w:r w:rsidRPr="00640076">
        <w:rPr>
          <w:rFonts w:ascii="Avenir Next" w:hAnsi="Avenir Next"/>
          <w:color w:val="808080" w:themeColor="background1" w:themeShade="80"/>
        </w:rPr>
        <w:t xml:space="preserve"> some or all of the persons mentioned in </w:t>
      </w:r>
      <w:r>
        <w:rPr>
          <w:rFonts w:ascii="Avenir Next" w:hAnsi="Avenir Next"/>
          <w:color w:val="808080" w:themeColor="background1" w:themeShade="80"/>
        </w:rPr>
        <w:t>s. 101(3) to</w:t>
      </w:r>
      <w:r w:rsidRPr="00640076">
        <w:rPr>
          <w:rFonts w:ascii="Avenir Next" w:hAnsi="Avenir Next"/>
          <w:color w:val="808080" w:themeColor="background1" w:themeShade="80"/>
        </w:rPr>
        <w:t xml:space="preserve"> prepare and submit a statement in the prescribed form as to the affairs of the company.</w:t>
      </w:r>
      <w:r>
        <w:rPr>
          <w:rFonts w:ascii="Avenir Next" w:hAnsi="Avenir Next"/>
          <w:color w:val="808080" w:themeColor="background1" w:themeShade="80"/>
        </w:rPr>
        <w:t xml:space="preserve"> </w:t>
      </w:r>
    </w:p>
    <w:p w14:paraId="4A5DA9FA" w14:textId="77777777" w:rsidR="00640076" w:rsidRDefault="00640076" w:rsidP="00640076">
      <w:pPr>
        <w:pStyle w:val="BodyText"/>
        <w:ind w:left="-360" w:firstLine="2"/>
        <w:rPr>
          <w:rFonts w:ascii="Avenir Next" w:hAnsi="Avenir Next"/>
          <w:color w:val="808080" w:themeColor="background1" w:themeShade="80"/>
        </w:rPr>
      </w:pPr>
    </w:p>
    <w:p w14:paraId="54F3C59E" w14:textId="2301DB06" w:rsidR="000C2104" w:rsidRPr="000C2104" w:rsidRDefault="00640076" w:rsidP="00640076">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The </w:t>
      </w:r>
      <w:r w:rsidR="000C2104" w:rsidRPr="000C2104">
        <w:rPr>
          <w:rFonts w:ascii="Avenir Next" w:hAnsi="Avenir Next"/>
          <w:color w:val="808080" w:themeColor="background1" w:themeShade="80"/>
        </w:rPr>
        <w:t xml:space="preserve">persons listed in section 101(3) </w:t>
      </w:r>
      <w:r>
        <w:rPr>
          <w:rFonts w:ascii="Avenir Next" w:hAnsi="Avenir Next"/>
          <w:color w:val="808080" w:themeColor="background1" w:themeShade="80"/>
        </w:rPr>
        <w:t>f</w:t>
      </w:r>
      <w:r w:rsidR="000C2104" w:rsidRPr="000C2104">
        <w:rPr>
          <w:rFonts w:ascii="Avenir Next" w:hAnsi="Avenir Next"/>
          <w:color w:val="808080" w:themeColor="background1" w:themeShade="80"/>
        </w:rPr>
        <w:t>rom whom a statement of affairs can</w:t>
      </w:r>
      <w:r w:rsidR="000C2104">
        <w:rPr>
          <w:rFonts w:ascii="Avenir Next" w:hAnsi="Avenir Next"/>
          <w:color w:val="808080" w:themeColor="background1" w:themeShade="80"/>
        </w:rPr>
        <w:t xml:space="preserve"> </w:t>
      </w:r>
      <w:r w:rsidR="000C2104" w:rsidRPr="000C2104">
        <w:rPr>
          <w:rFonts w:ascii="Avenir Next" w:hAnsi="Avenir Next"/>
          <w:color w:val="808080" w:themeColor="background1" w:themeShade="80"/>
        </w:rPr>
        <w:t xml:space="preserve">be required </w:t>
      </w:r>
      <w:r>
        <w:rPr>
          <w:rFonts w:ascii="Avenir Next" w:hAnsi="Avenir Next"/>
          <w:color w:val="808080" w:themeColor="background1" w:themeShade="80"/>
        </w:rPr>
        <w:t xml:space="preserve">are </w:t>
      </w:r>
      <w:r w:rsidR="000A6E08">
        <w:rPr>
          <w:rFonts w:ascii="Avenir Next" w:hAnsi="Avenir Next"/>
          <w:color w:val="808080" w:themeColor="background1" w:themeShade="80"/>
        </w:rPr>
        <w:t>as follows</w:t>
      </w:r>
      <w:r w:rsidR="000C2104" w:rsidRPr="000C2104">
        <w:rPr>
          <w:rFonts w:ascii="Avenir Next" w:hAnsi="Avenir Next"/>
          <w:color w:val="808080" w:themeColor="background1" w:themeShade="80"/>
        </w:rPr>
        <w:t>:</w:t>
      </w:r>
    </w:p>
    <w:p w14:paraId="5E44C981" w14:textId="77777777" w:rsidR="00E55691" w:rsidRDefault="00E55691" w:rsidP="000C2104">
      <w:pPr>
        <w:pStyle w:val="BodyText"/>
        <w:rPr>
          <w:rFonts w:ascii="Avenir Next" w:hAnsi="Avenir Next"/>
          <w:color w:val="808080" w:themeColor="background1" w:themeShade="80"/>
        </w:rPr>
      </w:pPr>
    </w:p>
    <w:p w14:paraId="26F124FA" w14:textId="17421C4F" w:rsidR="000C2104" w:rsidRPr="000C2104" w:rsidRDefault="000C2104" w:rsidP="000C2104">
      <w:pPr>
        <w:pStyle w:val="BodyText"/>
        <w:rPr>
          <w:rFonts w:ascii="Avenir Next" w:hAnsi="Avenir Next"/>
          <w:color w:val="808080" w:themeColor="background1" w:themeShade="80"/>
        </w:rPr>
      </w:pPr>
      <w:r w:rsidRPr="000C2104">
        <w:rPr>
          <w:rFonts w:ascii="Avenir Next" w:hAnsi="Avenir Next"/>
          <w:color w:val="808080" w:themeColor="background1" w:themeShade="80"/>
        </w:rPr>
        <w:t xml:space="preserve">(a) </w:t>
      </w:r>
      <w:r>
        <w:rPr>
          <w:rFonts w:ascii="Avenir Next" w:hAnsi="Avenir Next"/>
          <w:color w:val="808080" w:themeColor="background1" w:themeShade="80"/>
        </w:rPr>
        <w:t xml:space="preserve">existing or former </w:t>
      </w:r>
      <w:r w:rsidRPr="000C2104">
        <w:rPr>
          <w:rFonts w:ascii="Avenir Next" w:hAnsi="Avenir Next"/>
          <w:color w:val="808080" w:themeColor="background1" w:themeShade="80"/>
        </w:rPr>
        <w:t>directors or officers of the company;</w:t>
      </w:r>
    </w:p>
    <w:p w14:paraId="0C2457DA" w14:textId="453ECED2" w:rsidR="000C2104" w:rsidRPr="000C2104" w:rsidRDefault="000C2104" w:rsidP="000C2104">
      <w:pPr>
        <w:pStyle w:val="BodyText"/>
        <w:rPr>
          <w:rFonts w:ascii="Avenir Next" w:hAnsi="Avenir Next"/>
          <w:color w:val="808080" w:themeColor="background1" w:themeShade="80"/>
        </w:rPr>
      </w:pPr>
      <w:r w:rsidRPr="000C2104">
        <w:rPr>
          <w:rFonts w:ascii="Avenir Next" w:hAnsi="Avenir Next"/>
          <w:color w:val="808080" w:themeColor="background1" w:themeShade="80"/>
        </w:rPr>
        <w:t xml:space="preserve">(b) </w:t>
      </w:r>
      <w:r>
        <w:rPr>
          <w:rFonts w:ascii="Avenir Next" w:hAnsi="Avenir Next"/>
          <w:color w:val="808080" w:themeColor="background1" w:themeShade="80"/>
        </w:rPr>
        <w:t xml:space="preserve">existing or former </w:t>
      </w:r>
      <w:r w:rsidRPr="000C2104">
        <w:rPr>
          <w:rFonts w:ascii="Avenir Next" w:hAnsi="Avenir Next"/>
          <w:color w:val="808080" w:themeColor="background1" w:themeShade="80"/>
        </w:rPr>
        <w:t>professional service providers to the company; and</w:t>
      </w:r>
    </w:p>
    <w:p w14:paraId="4F67169A" w14:textId="77777777" w:rsidR="00E55691" w:rsidRDefault="000C2104" w:rsidP="000C2104">
      <w:pPr>
        <w:pStyle w:val="BodyText"/>
        <w:rPr>
          <w:rFonts w:ascii="Avenir Next" w:hAnsi="Avenir Next"/>
          <w:color w:val="808080" w:themeColor="background1" w:themeShade="80"/>
        </w:rPr>
      </w:pPr>
      <w:r w:rsidRPr="000C2104">
        <w:rPr>
          <w:rFonts w:ascii="Avenir Next" w:hAnsi="Avenir Next"/>
          <w:color w:val="808080" w:themeColor="background1" w:themeShade="80"/>
        </w:rPr>
        <w:t xml:space="preserve">(c) </w:t>
      </w:r>
      <w:r>
        <w:rPr>
          <w:rFonts w:ascii="Avenir Next" w:hAnsi="Avenir Next"/>
          <w:color w:val="808080" w:themeColor="background1" w:themeShade="80"/>
        </w:rPr>
        <w:t xml:space="preserve">existing or former </w:t>
      </w:r>
      <w:r w:rsidRPr="000C2104">
        <w:rPr>
          <w:rFonts w:ascii="Avenir Next" w:hAnsi="Avenir Next"/>
          <w:color w:val="808080" w:themeColor="background1" w:themeShade="80"/>
        </w:rPr>
        <w:t>employees of the company, during the period of one year immediately preceding</w:t>
      </w:r>
    </w:p>
    <w:p w14:paraId="0BC92864" w14:textId="77777777" w:rsidR="00E55691" w:rsidRDefault="000C2104" w:rsidP="00E55691">
      <w:pPr>
        <w:pStyle w:val="BodyText"/>
        <w:rPr>
          <w:rFonts w:ascii="Avenir Next" w:hAnsi="Avenir Next"/>
          <w:color w:val="808080" w:themeColor="background1" w:themeShade="80"/>
        </w:rPr>
      </w:pPr>
      <w:r w:rsidRPr="000C2104">
        <w:rPr>
          <w:rFonts w:ascii="Avenir Next" w:hAnsi="Avenir Next"/>
          <w:color w:val="808080" w:themeColor="background1" w:themeShade="80"/>
        </w:rPr>
        <w:t>the</w:t>
      </w:r>
      <w:r>
        <w:rPr>
          <w:rFonts w:ascii="Avenir Next" w:hAnsi="Avenir Next"/>
          <w:color w:val="808080" w:themeColor="background1" w:themeShade="80"/>
        </w:rPr>
        <w:t xml:space="preserve"> </w:t>
      </w:r>
      <w:r w:rsidRPr="000C2104">
        <w:rPr>
          <w:rFonts w:ascii="Avenir Next" w:hAnsi="Avenir Next"/>
          <w:color w:val="808080" w:themeColor="background1" w:themeShade="80"/>
        </w:rPr>
        <w:t>relevant date.</w:t>
      </w:r>
    </w:p>
    <w:p w14:paraId="2B003345" w14:textId="77777777" w:rsidR="00E55691" w:rsidRDefault="00E55691" w:rsidP="00E55691">
      <w:pPr>
        <w:pStyle w:val="BodyText"/>
        <w:rPr>
          <w:rFonts w:ascii="Avenir Next" w:hAnsi="Avenir Next"/>
          <w:color w:val="808080" w:themeColor="background1" w:themeShade="80"/>
        </w:rPr>
      </w:pPr>
    </w:p>
    <w:p w14:paraId="40F1D756" w14:textId="4861A0D7" w:rsidR="000C2104" w:rsidRDefault="00640076" w:rsidP="000A6E08">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However, in respect of professions service providers listed at category (b) above, t</w:t>
      </w:r>
      <w:r w:rsidR="00553D3F" w:rsidRPr="00553D3F">
        <w:rPr>
          <w:rFonts w:ascii="Avenir Next" w:hAnsi="Avenir Next"/>
          <w:color w:val="808080" w:themeColor="background1" w:themeShade="80"/>
        </w:rPr>
        <w:t>he decision in</w:t>
      </w:r>
      <w:r w:rsidR="00553D3F">
        <w:rPr>
          <w:rFonts w:ascii="Avenir Next" w:hAnsi="Avenir Next"/>
          <w:i/>
          <w:color w:val="808080" w:themeColor="background1" w:themeShade="80"/>
          <w:u w:val="single"/>
        </w:rPr>
        <w:t xml:space="preserve"> </w:t>
      </w:r>
      <w:r w:rsidR="00553D3F" w:rsidRPr="00E55691">
        <w:rPr>
          <w:rFonts w:ascii="Avenir Next" w:hAnsi="Avenir Next"/>
          <w:i/>
          <w:color w:val="808080" w:themeColor="background1" w:themeShade="80"/>
          <w:u w:val="single"/>
        </w:rPr>
        <w:t>In the Matter of ICP Strategic Credit Income Fund Limited</w:t>
      </w:r>
      <w:r w:rsidR="00553D3F" w:rsidRPr="00E55691">
        <w:rPr>
          <w:rFonts w:ascii="Avenir Next" w:hAnsi="Avenir Next"/>
          <w:color w:val="808080" w:themeColor="background1" w:themeShade="80"/>
        </w:rPr>
        <w:t xml:space="preserve"> [2012 (1) CILR 383]</w:t>
      </w:r>
      <w:r w:rsidR="00553D3F">
        <w:rPr>
          <w:rFonts w:ascii="Avenir Next" w:hAnsi="Avenir Next"/>
          <w:color w:val="808080" w:themeColor="background1" w:themeShade="80"/>
        </w:rPr>
        <w:t xml:space="preserve"> </w:t>
      </w:r>
      <w:r>
        <w:rPr>
          <w:rFonts w:ascii="Avenir Next" w:hAnsi="Avenir Next"/>
          <w:color w:val="808080" w:themeColor="background1" w:themeShade="80"/>
        </w:rPr>
        <w:t>indicated</w:t>
      </w:r>
      <w:r w:rsidRPr="00640076">
        <w:rPr>
          <w:rFonts w:ascii="Avenir Next" w:hAnsi="Avenir Next"/>
          <w:color w:val="808080" w:themeColor="background1" w:themeShade="80"/>
        </w:rPr>
        <w:t xml:space="preserve"> that such persons will not include auditors, since they are deemed to be independent and do not provide general administrative services to companies. </w:t>
      </w:r>
      <w:r>
        <w:rPr>
          <w:rFonts w:ascii="Avenir Next" w:hAnsi="Avenir Next"/>
          <w:color w:val="808080" w:themeColor="background1" w:themeShade="80"/>
        </w:rPr>
        <w:t xml:space="preserve">The decision therefore </w:t>
      </w:r>
      <w:r w:rsidR="00553D3F">
        <w:rPr>
          <w:rFonts w:ascii="Avenir Next" w:hAnsi="Avenir Next"/>
          <w:color w:val="808080" w:themeColor="background1" w:themeShade="80"/>
        </w:rPr>
        <w:t>highlight</w:t>
      </w:r>
      <w:r>
        <w:rPr>
          <w:rFonts w:ascii="Avenir Next" w:hAnsi="Avenir Next"/>
          <w:color w:val="808080" w:themeColor="background1" w:themeShade="80"/>
        </w:rPr>
        <w:t>s</w:t>
      </w:r>
      <w:r w:rsidR="00553D3F">
        <w:rPr>
          <w:rFonts w:ascii="Avenir Next" w:hAnsi="Avenir Next"/>
          <w:color w:val="808080" w:themeColor="background1" w:themeShade="80"/>
        </w:rPr>
        <w:t xml:space="preserve"> that the </w:t>
      </w:r>
      <w:r w:rsidR="00553D3F" w:rsidRPr="00553D3F">
        <w:rPr>
          <w:rFonts w:ascii="Avenir Next" w:hAnsi="Avenir Next"/>
          <w:color w:val="808080" w:themeColor="background1" w:themeShade="80"/>
        </w:rPr>
        <w:t xml:space="preserve">investigative power of the liquidator is intended </w:t>
      </w:r>
      <w:r w:rsidR="00553D3F" w:rsidRPr="00553D3F">
        <w:rPr>
          <w:rFonts w:ascii="Avenir Next" w:hAnsi="Avenir Next"/>
          <w:i/>
          <w:color w:val="808080" w:themeColor="background1" w:themeShade="80"/>
        </w:rPr>
        <w:t>“to apply only to those who were involved in the company’s promotion/management”.</w:t>
      </w:r>
      <w:r w:rsidR="00553D3F" w:rsidRPr="00553D3F">
        <w:rPr>
          <w:rFonts w:ascii="Avenir Next" w:hAnsi="Avenir Next"/>
          <w:color w:val="808080" w:themeColor="background1" w:themeShade="80"/>
        </w:rPr>
        <w:t xml:space="preserve"> </w:t>
      </w:r>
      <w:r w:rsidR="00553D3F">
        <w:rPr>
          <w:rFonts w:ascii="Avenir Next" w:hAnsi="Avenir Next"/>
          <w:color w:val="808080" w:themeColor="background1" w:themeShade="80"/>
        </w:rPr>
        <w:t xml:space="preserve"> </w:t>
      </w:r>
    </w:p>
    <w:p w14:paraId="0B49D2A7" w14:textId="77777777" w:rsidR="0055136F" w:rsidRDefault="0055136F" w:rsidP="00640076">
      <w:pPr>
        <w:pStyle w:val="BodyText"/>
        <w:ind w:firstLine="0"/>
        <w:rPr>
          <w:rFonts w:ascii="Avenir Next" w:hAnsi="Avenir Next"/>
          <w:color w:val="808080" w:themeColor="background1" w:themeShade="80"/>
        </w:rPr>
      </w:pPr>
    </w:p>
    <w:p w14:paraId="514AD18D" w14:textId="3E55F626" w:rsidR="00640076" w:rsidRPr="00640076" w:rsidRDefault="00640076" w:rsidP="0055136F">
      <w:pPr>
        <w:pStyle w:val="BodyText"/>
        <w:rPr>
          <w:rFonts w:ascii="Avenir Next" w:hAnsi="Avenir Next"/>
          <w:color w:val="808080" w:themeColor="background1" w:themeShade="80"/>
          <w:u w:val="single"/>
        </w:rPr>
      </w:pPr>
      <w:r w:rsidRPr="00640076">
        <w:rPr>
          <w:rFonts w:ascii="Avenir Next" w:hAnsi="Avenir Next"/>
          <w:color w:val="808080" w:themeColor="background1" w:themeShade="80"/>
          <w:u w:val="single"/>
        </w:rPr>
        <w:t>Order for examination</w:t>
      </w:r>
    </w:p>
    <w:p w14:paraId="234154E2" w14:textId="77777777" w:rsidR="00640076" w:rsidRDefault="00640076" w:rsidP="0055136F">
      <w:pPr>
        <w:pStyle w:val="BodyText"/>
        <w:rPr>
          <w:rFonts w:ascii="Avenir Next" w:hAnsi="Avenir Next"/>
          <w:color w:val="808080" w:themeColor="background1" w:themeShade="80"/>
        </w:rPr>
      </w:pPr>
    </w:p>
    <w:p w14:paraId="31621ECE" w14:textId="77777777" w:rsidR="001A135D" w:rsidRDefault="00640076" w:rsidP="001A135D">
      <w:pPr>
        <w:pStyle w:val="BodyText"/>
        <w:rPr>
          <w:rFonts w:ascii="Avenir Next" w:hAnsi="Avenir Next"/>
          <w:color w:val="808080" w:themeColor="background1" w:themeShade="80"/>
        </w:rPr>
      </w:pPr>
      <w:r>
        <w:rPr>
          <w:rFonts w:ascii="Avenir Next" w:hAnsi="Avenir Next"/>
          <w:color w:val="808080" w:themeColor="background1" w:themeShade="80"/>
        </w:rPr>
        <w:t xml:space="preserve">Pursuant to s.103(3), while a company is being wound up, a liquidator may at any time before the dissolution apply to the Court for an order for the examination of any relevant person, or that a relevant person transfer or deliver up to the liquidator any property/documents belonging to the company. </w:t>
      </w:r>
    </w:p>
    <w:p w14:paraId="0D2C7FAE" w14:textId="77777777" w:rsidR="001A135D" w:rsidRDefault="001A135D" w:rsidP="001A135D">
      <w:pPr>
        <w:pStyle w:val="BodyText"/>
        <w:rPr>
          <w:rFonts w:ascii="Avenir Next" w:hAnsi="Avenir Next"/>
          <w:color w:val="808080" w:themeColor="background1" w:themeShade="80"/>
        </w:rPr>
      </w:pPr>
    </w:p>
    <w:p w14:paraId="2DE314AA" w14:textId="49B34AA4" w:rsidR="0055136F" w:rsidRPr="0055136F" w:rsidRDefault="001A135D" w:rsidP="001A135D">
      <w:pPr>
        <w:pStyle w:val="BodyText"/>
        <w:ind w:left="-450" w:firstLine="2"/>
        <w:rPr>
          <w:rFonts w:ascii="Avenir Next" w:hAnsi="Avenir Next"/>
          <w:color w:val="808080" w:themeColor="background1" w:themeShade="80"/>
        </w:rPr>
      </w:pPr>
      <w:r>
        <w:rPr>
          <w:rFonts w:ascii="Avenir Next" w:hAnsi="Avenir Next"/>
          <w:color w:val="808080" w:themeColor="background1" w:themeShade="80"/>
        </w:rPr>
        <w:t>Under s. 103(1), a</w:t>
      </w:r>
      <w:r w:rsidR="0055136F" w:rsidRPr="0055136F">
        <w:rPr>
          <w:rFonts w:ascii="Avenir Next" w:hAnsi="Avenir Next"/>
          <w:color w:val="808080" w:themeColor="background1" w:themeShade="80"/>
        </w:rPr>
        <w:t xml:space="preserve"> “relevant person”</w:t>
      </w:r>
      <w:r>
        <w:rPr>
          <w:rFonts w:ascii="Avenir Next" w:hAnsi="Avenir Next"/>
          <w:color w:val="808080" w:themeColor="background1" w:themeShade="80"/>
        </w:rPr>
        <w:t xml:space="preserve"> </w:t>
      </w:r>
      <w:r w:rsidR="0055136F" w:rsidRPr="0055136F">
        <w:rPr>
          <w:rFonts w:ascii="Avenir Next" w:hAnsi="Avenir Next"/>
          <w:color w:val="808080" w:themeColor="background1" w:themeShade="80"/>
        </w:rPr>
        <w:t>includes any person who, whether resident in the Cayman Island</w:t>
      </w:r>
      <w:r>
        <w:rPr>
          <w:rFonts w:ascii="Avenir Next" w:hAnsi="Avenir Next"/>
          <w:color w:val="808080" w:themeColor="background1" w:themeShade="80"/>
        </w:rPr>
        <w:t xml:space="preserve"> </w:t>
      </w:r>
      <w:r w:rsidR="0055136F" w:rsidRPr="0055136F">
        <w:rPr>
          <w:rFonts w:ascii="Avenir Next" w:hAnsi="Avenir Next"/>
          <w:color w:val="808080" w:themeColor="background1" w:themeShade="80"/>
        </w:rPr>
        <w:t>or</w:t>
      </w:r>
      <w:r>
        <w:rPr>
          <w:rFonts w:ascii="Avenir Next" w:hAnsi="Avenir Next"/>
          <w:color w:val="808080" w:themeColor="background1" w:themeShade="80"/>
        </w:rPr>
        <w:t xml:space="preserve"> </w:t>
      </w:r>
      <w:r w:rsidR="0055136F" w:rsidRPr="0055136F">
        <w:rPr>
          <w:rFonts w:ascii="Avenir Next" w:hAnsi="Avenir Next"/>
          <w:color w:val="808080" w:themeColor="background1" w:themeShade="80"/>
        </w:rPr>
        <w:t xml:space="preserve">elsewhere: </w:t>
      </w:r>
    </w:p>
    <w:p w14:paraId="1F0E47E4" w14:textId="77777777" w:rsidR="001A135D" w:rsidRPr="001A135D" w:rsidRDefault="001A135D" w:rsidP="0055136F">
      <w:pPr>
        <w:pStyle w:val="BodyText"/>
        <w:rPr>
          <w:rFonts w:ascii="Avenir Next" w:hAnsi="Avenir Next"/>
          <w:i/>
          <w:color w:val="808080" w:themeColor="background1" w:themeShade="80"/>
        </w:rPr>
      </w:pPr>
    </w:p>
    <w:p w14:paraId="7B9C8D7B" w14:textId="029C2282" w:rsidR="0055136F" w:rsidRPr="001A135D" w:rsidRDefault="001A135D" w:rsidP="0055136F">
      <w:pPr>
        <w:pStyle w:val="BodyText"/>
        <w:rPr>
          <w:rFonts w:ascii="Avenir Next" w:hAnsi="Avenir Next"/>
          <w:i/>
          <w:color w:val="808080" w:themeColor="background1" w:themeShade="80"/>
        </w:rPr>
      </w:pPr>
      <w:r w:rsidRPr="001A135D">
        <w:rPr>
          <w:rFonts w:ascii="Avenir Next" w:hAnsi="Avenir Next"/>
          <w:i/>
          <w:color w:val="808080" w:themeColor="background1" w:themeShade="80"/>
        </w:rPr>
        <w:t>“</w:t>
      </w:r>
      <w:r w:rsidR="0055136F" w:rsidRPr="001A135D">
        <w:rPr>
          <w:rFonts w:ascii="Avenir Next" w:hAnsi="Avenir Next"/>
          <w:i/>
          <w:color w:val="808080" w:themeColor="background1" w:themeShade="80"/>
        </w:rPr>
        <w:t>(a) has made or concurred with the statement of affairs;</w:t>
      </w:r>
    </w:p>
    <w:p w14:paraId="3FECA2B7" w14:textId="77777777" w:rsidR="0055136F" w:rsidRPr="001A135D" w:rsidRDefault="0055136F" w:rsidP="0055136F">
      <w:pPr>
        <w:pStyle w:val="BodyText"/>
        <w:rPr>
          <w:rFonts w:ascii="Avenir Next" w:hAnsi="Avenir Next"/>
          <w:i/>
          <w:color w:val="808080" w:themeColor="background1" w:themeShade="80"/>
        </w:rPr>
      </w:pPr>
      <w:r w:rsidRPr="001A135D">
        <w:rPr>
          <w:rFonts w:ascii="Avenir Next" w:hAnsi="Avenir Next"/>
          <w:i/>
          <w:color w:val="808080" w:themeColor="background1" w:themeShade="80"/>
        </w:rPr>
        <w:t>(b) is or has been a director or officer of the company;</w:t>
      </w:r>
    </w:p>
    <w:p w14:paraId="742B2A35" w14:textId="77777777" w:rsidR="0055136F" w:rsidRPr="001A135D" w:rsidRDefault="0055136F" w:rsidP="0055136F">
      <w:pPr>
        <w:pStyle w:val="BodyText"/>
        <w:rPr>
          <w:rFonts w:ascii="Avenir Next" w:hAnsi="Avenir Next"/>
          <w:i/>
          <w:color w:val="808080" w:themeColor="background1" w:themeShade="80"/>
        </w:rPr>
      </w:pPr>
      <w:r w:rsidRPr="001A135D">
        <w:rPr>
          <w:rFonts w:ascii="Avenir Next" w:hAnsi="Avenir Next"/>
          <w:i/>
          <w:color w:val="808080" w:themeColor="background1" w:themeShade="80"/>
        </w:rPr>
        <w:t xml:space="preserve">(c) is or was a professional service provider to the company; </w:t>
      </w:r>
    </w:p>
    <w:p w14:paraId="760A10F9" w14:textId="01E8C974" w:rsidR="0055136F" w:rsidRPr="001A135D" w:rsidRDefault="0055136F" w:rsidP="001A135D">
      <w:pPr>
        <w:pStyle w:val="BodyText"/>
        <w:rPr>
          <w:rFonts w:ascii="Avenir Next" w:hAnsi="Avenir Next"/>
          <w:i/>
          <w:color w:val="808080" w:themeColor="background1" w:themeShade="80"/>
        </w:rPr>
      </w:pPr>
      <w:r w:rsidRPr="001A135D">
        <w:rPr>
          <w:rFonts w:ascii="Avenir Next" w:hAnsi="Avenir Next"/>
          <w:i/>
          <w:color w:val="808080" w:themeColor="background1" w:themeShade="80"/>
        </w:rPr>
        <w:t>(d) has acted as a controller, advisor or liquidator of the company or receiver or manager of its property;</w:t>
      </w:r>
    </w:p>
    <w:p w14:paraId="27B3F546" w14:textId="32CDBBE8" w:rsidR="0055136F" w:rsidRPr="001A135D" w:rsidRDefault="0055136F" w:rsidP="001A135D">
      <w:pPr>
        <w:pStyle w:val="BodyText"/>
        <w:rPr>
          <w:rFonts w:ascii="Avenir Next" w:hAnsi="Avenir Next"/>
          <w:i/>
          <w:color w:val="808080" w:themeColor="background1" w:themeShade="80"/>
        </w:rPr>
      </w:pPr>
      <w:r w:rsidRPr="001A135D">
        <w:rPr>
          <w:rFonts w:ascii="Avenir Next" w:hAnsi="Avenir Next"/>
          <w:i/>
          <w:color w:val="808080" w:themeColor="background1" w:themeShade="80"/>
        </w:rPr>
        <w:t>(e) not being a person falling within paragraphs (a) to (c), is or has been concerned or has taken part in the promotion or management of the company.</w:t>
      </w:r>
      <w:r w:rsidR="001A135D" w:rsidRPr="001A135D">
        <w:rPr>
          <w:rFonts w:ascii="Avenir Next" w:hAnsi="Avenir Next"/>
          <w:i/>
          <w:color w:val="808080" w:themeColor="background1" w:themeShade="80"/>
        </w:rPr>
        <w:t>”</w:t>
      </w:r>
    </w:p>
    <w:p w14:paraId="3C0FC798" w14:textId="77777777" w:rsidR="0055136F" w:rsidRDefault="0055136F" w:rsidP="0055136F">
      <w:pPr>
        <w:pStyle w:val="BodyText"/>
        <w:rPr>
          <w:rFonts w:ascii="Avenir Next" w:hAnsi="Avenir Next"/>
          <w:color w:val="808080" w:themeColor="background1" w:themeShade="80"/>
        </w:rPr>
      </w:pPr>
    </w:p>
    <w:p w14:paraId="3A19F8CB" w14:textId="50335CAA" w:rsidR="0055136F" w:rsidRDefault="003A6683" w:rsidP="003A6683">
      <w:pPr>
        <w:pStyle w:val="BodyText"/>
        <w:ind w:left="-360" w:firstLine="2"/>
        <w:rPr>
          <w:rFonts w:ascii="Avenir Next" w:hAnsi="Avenir Next"/>
          <w:color w:val="808080" w:themeColor="background1" w:themeShade="80"/>
        </w:rPr>
      </w:pPr>
      <w:r w:rsidRPr="003A6683">
        <w:rPr>
          <w:rFonts w:ascii="Avenir Next" w:hAnsi="Avenir Next"/>
          <w:color w:val="808080" w:themeColor="background1" w:themeShade="80"/>
        </w:rPr>
        <w:t>The</w:t>
      </w:r>
      <w:r>
        <w:rPr>
          <w:rFonts w:ascii="Avenir Next" w:hAnsi="Avenir Next"/>
          <w:color w:val="808080" w:themeColor="background1" w:themeShade="80"/>
        </w:rPr>
        <w:t>refore, an order for examination</w:t>
      </w:r>
      <w:r w:rsidRPr="003A6683">
        <w:rPr>
          <w:rFonts w:ascii="Avenir Next" w:hAnsi="Avenir Next"/>
          <w:color w:val="808080" w:themeColor="background1" w:themeShade="80"/>
        </w:rPr>
        <w:t xml:space="preserve"> under section 103 extends to</w:t>
      </w:r>
      <w:r>
        <w:rPr>
          <w:rFonts w:ascii="Avenir Next" w:hAnsi="Avenir Next"/>
          <w:color w:val="808080" w:themeColor="background1" w:themeShade="80"/>
        </w:rPr>
        <w:t xml:space="preserve"> </w:t>
      </w:r>
      <w:r w:rsidRPr="003A6683">
        <w:rPr>
          <w:rFonts w:ascii="Avenir Next" w:hAnsi="Avenir Next"/>
          <w:color w:val="808080" w:themeColor="background1" w:themeShade="80"/>
        </w:rPr>
        <w:t>relevant persons resident outside of the Cayman Islands</w:t>
      </w:r>
      <w:r>
        <w:rPr>
          <w:rFonts w:ascii="Avenir Next" w:hAnsi="Avenir Next"/>
          <w:color w:val="808080" w:themeColor="background1" w:themeShade="80"/>
        </w:rPr>
        <w:t>. However, a</w:t>
      </w:r>
      <w:r w:rsidR="001A135D">
        <w:rPr>
          <w:rFonts w:ascii="Avenir Next" w:hAnsi="Avenir Next"/>
          <w:color w:val="808080" w:themeColor="background1" w:themeShade="80"/>
        </w:rPr>
        <w:t xml:space="preserve">s mentioned </w:t>
      </w:r>
      <w:r>
        <w:rPr>
          <w:rFonts w:ascii="Avenir Next" w:hAnsi="Avenir Next"/>
          <w:color w:val="808080" w:themeColor="background1" w:themeShade="80"/>
        </w:rPr>
        <w:t xml:space="preserve">in the section </w:t>
      </w:r>
      <w:r w:rsidR="001A135D">
        <w:rPr>
          <w:rFonts w:ascii="Avenir Next" w:hAnsi="Avenir Next"/>
          <w:color w:val="808080" w:themeColor="background1" w:themeShade="80"/>
        </w:rPr>
        <w:t xml:space="preserve">above, </w:t>
      </w:r>
      <w:r w:rsidR="001A135D" w:rsidRPr="001A135D">
        <w:rPr>
          <w:rFonts w:ascii="Avenir Next" w:hAnsi="Avenir Next"/>
          <w:color w:val="808080" w:themeColor="background1" w:themeShade="80"/>
        </w:rPr>
        <w:t>as set out in relation to section 101(3)</w:t>
      </w:r>
      <w:r w:rsidR="001A135D">
        <w:rPr>
          <w:rFonts w:ascii="Avenir Next" w:hAnsi="Avenir Next"/>
          <w:color w:val="808080" w:themeColor="background1" w:themeShade="80"/>
        </w:rPr>
        <w:t xml:space="preserve">, </w:t>
      </w:r>
      <w:r w:rsidR="001A135D" w:rsidRPr="001A135D">
        <w:rPr>
          <w:rFonts w:ascii="Avenir Next" w:hAnsi="Avenir Next"/>
          <w:color w:val="808080" w:themeColor="background1" w:themeShade="80"/>
        </w:rPr>
        <w:t>section 103(1)(c) does not include</w:t>
      </w:r>
      <w:r w:rsidR="001A135D">
        <w:rPr>
          <w:rFonts w:ascii="Avenir Next" w:hAnsi="Avenir Next"/>
          <w:color w:val="808080" w:themeColor="background1" w:themeShade="80"/>
        </w:rPr>
        <w:t xml:space="preserve"> </w:t>
      </w:r>
      <w:r w:rsidR="001A135D" w:rsidRPr="001A135D">
        <w:rPr>
          <w:rFonts w:ascii="Avenir Next" w:hAnsi="Avenir Next"/>
          <w:color w:val="808080" w:themeColor="background1" w:themeShade="80"/>
        </w:rPr>
        <w:t>auditors</w:t>
      </w:r>
      <w:r w:rsidR="001A135D">
        <w:rPr>
          <w:rFonts w:ascii="Avenir Next" w:hAnsi="Avenir Next"/>
          <w:color w:val="808080" w:themeColor="background1" w:themeShade="80"/>
        </w:rPr>
        <w:t>.</w:t>
      </w:r>
    </w:p>
    <w:p w14:paraId="06604234" w14:textId="77777777" w:rsidR="0055136F" w:rsidRDefault="0055136F" w:rsidP="003A6683">
      <w:pPr>
        <w:pStyle w:val="BodyText"/>
        <w:ind w:firstLine="0"/>
        <w:rPr>
          <w:rFonts w:ascii="Avenir Next" w:hAnsi="Avenir Next"/>
          <w:color w:val="808080" w:themeColor="background1" w:themeShade="80"/>
        </w:rPr>
      </w:pPr>
    </w:p>
    <w:p w14:paraId="14311348" w14:textId="77777777" w:rsidR="001A135D" w:rsidRPr="001A135D" w:rsidRDefault="001A135D" w:rsidP="0055136F">
      <w:pPr>
        <w:pStyle w:val="BodyText"/>
        <w:rPr>
          <w:rFonts w:ascii="Avenir Next" w:hAnsi="Avenir Next"/>
          <w:color w:val="808080" w:themeColor="background1" w:themeShade="80"/>
          <w:u w:val="single"/>
        </w:rPr>
      </w:pPr>
      <w:r w:rsidRPr="001A135D">
        <w:rPr>
          <w:rFonts w:ascii="Avenir Next" w:hAnsi="Avenir Next"/>
          <w:color w:val="808080" w:themeColor="background1" w:themeShade="80"/>
          <w:u w:val="single"/>
        </w:rPr>
        <w:t>Possession, collection and entry to Property</w:t>
      </w:r>
    </w:p>
    <w:p w14:paraId="33349C3B" w14:textId="77777777" w:rsidR="001A135D" w:rsidRDefault="001A135D" w:rsidP="0055136F">
      <w:pPr>
        <w:pStyle w:val="BodyText"/>
        <w:rPr>
          <w:rFonts w:ascii="Avenir Next" w:hAnsi="Avenir Next"/>
          <w:color w:val="808080" w:themeColor="background1" w:themeShade="80"/>
        </w:rPr>
      </w:pPr>
    </w:p>
    <w:p w14:paraId="64B021A2" w14:textId="3695CF96" w:rsidR="003A6683" w:rsidRPr="003A6683" w:rsidRDefault="003A6683" w:rsidP="003A6683">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A liquidator is </w:t>
      </w:r>
      <w:r w:rsidR="008B0573">
        <w:rPr>
          <w:rFonts w:ascii="Avenir Next" w:hAnsi="Avenir Next"/>
          <w:color w:val="808080" w:themeColor="background1" w:themeShade="80"/>
        </w:rPr>
        <w:t xml:space="preserve">empowered </w:t>
      </w:r>
      <w:r>
        <w:rPr>
          <w:rFonts w:ascii="Avenir Next" w:hAnsi="Avenir Next"/>
          <w:color w:val="808080" w:themeColor="background1" w:themeShade="80"/>
        </w:rPr>
        <w:t>t</w:t>
      </w:r>
      <w:r w:rsidRPr="003A6683">
        <w:rPr>
          <w:rFonts w:ascii="Avenir Next" w:hAnsi="Avenir Next"/>
          <w:color w:val="808080" w:themeColor="background1" w:themeShade="80"/>
        </w:rPr>
        <w:t>o take possessio</w:t>
      </w:r>
      <w:r w:rsidR="008B0573">
        <w:rPr>
          <w:rFonts w:ascii="Avenir Next" w:hAnsi="Avenir Next"/>
          <w:color w:val="808080" w:themeColor="background1" w:themeShade="80"/>
        </w:rPr>
        <w:t>n of, collect, access</w:t>
      </w:r>
      <w:r w:rsidRPr="003A6683">
        <w:rPr>
          <w:rFonts w:ascii="Avenir Next" w:hAnsi="Avenir Next"/>
          <w:color w:val="808080" w:themeColor="background1" w:themeShade="80"/>
        </w:rPr>
        <w:t xml:space="preserve"> or control of all </w:t>
      </w:r>
      <w:r w:rsidR="008B0573">
        <w:rPr>
          <w:rFonts w:ascii="Avenir Next" w:hAnsi="Avenir Next"/>
          <w:color w:val="808080" w:themeColor="background1" w:themeShade="80"/>
        </w:rPr>
        <w:t>of th</w:t>
      </w:r>
      <w:r w:rsidRPr="003A6683">
        <w:rPr>
          <w:rFonts w:ascii="Avenir Next" w:hAnsi="Avenir Next"/>
          <w:color w:val="808080" w:themeColor="background1" w:themeShade="80"/>
        </w:rPr>
        <w:t>e company’s books and records, including those</w:t>
      </w:r>
      <w:r>
        <w:rPr>
          <w:rFonts w:ascii="Avenir Next" w:hAnsi="Avenir Next"/>
          <w:color w:val="808080" w:themeColor="background1" w:themeShade="80"/>
        </w:rPr>
        <w:t xml:space="preserve"> </w:t>
      </w:r>
      <w:r w:rsidRPr="003A6683">
        <w:rPr>
          <w:rFonts w:ascii="Avenir Next" w:hAnsi="Avenir Next"/>
          <w:color w:val="808080" w:themeColor="background1" w:themeShade="80"/>
        </w:rPr>
        <w:t>maintained in electronic form</w:t>
      </w:r>
      <w:r w:rsidR="008B0573">
        <w:rPr>
          <w:rFonts w:ascii="Avenir Next" w:hAnsi="Avenir Next"/>
          <w:color w:val="808080" w:themeColor="background1" w:themeShade="80"/>
        </w:rPr>
        <w:t xml:space="preserve"> is enshrined in </w:t>
      </w:r>
      <w:r w:rsidRPr="003A6683">
        <w:rPr>
          <w:rFonts w:ascii="Avenir Next" w:hAnsi="Avenir Next"/>
          <w:color w:val="808080" w:themeColor="background1" w:themeShade="80"/>
        </w:rPr>
        <w:t>Sch 3, Part II, para 1</w:t>
      </w:r>
      <w:r w:rsidR="008B0573">
        <w:rPr>
          <w:rFonts w:ascii="Avenir Next" w:hAnsi="Avenir Next"/>
          <w:color w:val="808080" w:themeColor="background1" w:themeShade="80"/>
        </w:rPr>
        <w:t xml:space="preserve"> of the Act</w:t>
      </w:r>
      <w:r w:rsidRPr="003A6683">
        <w:rPr>
          <w:rFonts w:ascii="Avenir Next" w:hAnsi="Avenir Next"/>
          <w:color w:val="808080" w:themeColor="background1" w:themeShade="80"/>
        </w:rPr>
        <w:t xml:space="preserve"> and CWR, O 26, r 3.</w:t>
      </w:r>
    </w:p>
    <w:p w14:paraId="19869453" w14:textId="77777777" w:rsidR="008B0573" w:rsidRDefault="008B0573" w:rsidP="003A6683">
      <w:pPr>
        <w:pStyle w:val="BodyText"/>
        <w:ind w:left="-360" w:firstLine="2"/>
        <w:rPr>
          <w:rFonts w:ascii="Avenir Next" w:hAnsi="Avenir Next"/>
          <w:color w:val="808080" w:themeColor="background1" w:themeShade="80"/>
        </w:rPr>
      </w:pPr>
    </w:p>
    <w:p w14:paraId="3201EA57" w14:textId="4E8C7074" w:rsidR="003A6683" w:rsidRPr="003A6683" w:rsidRDefault="008B0573" w:rsidP="008B0573">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Under, s. 138, the C</w:t>
      </w:r>
      <w:r w:rsidR="003A6683" w:rsidRPr="003A6683">
        <w:rPr>
          <w:rFonts w:ascii="Avenir Next" w:hAnsi="Avenir Next"/>
          <w:color w:val="808080" w:themeColor="background1" w:themeShade="80"/>
        </w:rPr>
        <w:t>ourt may require any person, who has in their possession any property or documents to</w:t>
      </w:r>
      <w:r>
        <w:rPr>
          <w:rFonts w:ascii="Avenir Next" w:hAnsi="Avenir Next"/>
          <w:color w:val="808080" w:themeColor="background1" w:themeShade="80"/>
        </w:rPr>
        <w:t xml:space="preserve"> </w:t>
      </w:r>
      <w:r w:rsidR="003A6683" w:rsidRPr="003A6683">
        <w:rPr>
          <w:rFonts w:ascii="Avenir Next" w:hAnsi="Avenir Next"/>
          <w:color w:val="808080" w:themeColor="background1" w:themeShade="80"/>
        </w:rPr>
        <w:t>which the company appears entitled, to pay, transfer or deliver such property or documents to</w:t>
      </w:r>
    </w:p>
    <w:p w14:paraId="0E87ECB7" w14:textId="4E55D9AC" w:rsidR="003A6683" w:rsidRPr="003A6683" w:rsidRDefault="003A6683" w:rsidP="003A6683">
      <w:pPr>
        <w:pStyle w:val="BodyText"/>
        <w:ind w:left="-360" w:firstLine="2"/>
        <w:rPr>
          <w:rFonts w:ascii="Avenir Next" w:hAnsi="Avenir Next"/>
          <w:color w:val="808080" w:themeColor="background1" w:themeShade="80"/>
        </w:rPr>
      </w:pPr>
      <w:r w:rsidRPr="003A6683">
        <w:rPr>
          <w:rFonts w:ascii="Avenir Next" w:hAnsi="Avenir Next"/>
          <w:color w:val="808080" w:themeColor="background1" w:themeShade="80"/>
        </w:rPr>
        <w:t>the official liquidator.</w:t>
      </w:r>
      <w:r w:rsidR="008B0573">
        <w:rPr>
          <w:rFonts w:ascii="Avenir Next" w:hAnsi="Avenir Next"/>
          <w:color w:val="808080" w:themeColor="background1" w:themeShade="80"/>
        </w:rPr>
        <w:t xml:space="preserve"> However, t</w:t>
      </w:r>
      <w:r w:rsidRPr="003A6683">
        <w:rPr>
          <w:rFonts w:ascii="Avenir Next" w:hAnsi="Avenir Next"/>
          <w:color w:val="808080" w:themeColor="background1" w:themeShade="80"/>
        </w:rPr>
        <w:t>his provision is to be used solely for the purpose of the liquidation and</w:t>
      </w:r>
    </w:p>
    <w:p w14:paraId="1B88CF57" w14:textId="1E3C196A" w:rsidR="00D44BFA" w:rsidRDefault="003A6683" w:rsidP="008B0573">
      <w:pPr>
        <w:pStyle w:val="BodyText"/>
        <w:ind w:left="-360" w:firstLine="2"/>
        <w:rPr>
          <w:rFonts w:ascii="Avenir Next" w:hAnsi="Avenir Next"/>
          <w:color w:val="808080" w:themeColor="background1" w:themeShade="80"/>
        </w:rPr>
      </w:pPr>
      <w:r w:rsidRPr="003A6683">
        <w:rPr>
          <w:rFonts w:ascii="Avenir Next" w:hAnsi="Avenir Next"/>
          <w:color w:val="808080" w:themeColor="background1" w:themeShade="80"/>
        </w:rPr>
        <w:t xml:space="preserve">for the discharge of the official liquidator’s statutory functions. </w:t>
      </w:r>
    </w:p>
    <w:p w14:paraId="02A7B33B" w14:textId="769388FD" w:rsidR="004F4F26" w:rsidRDefault="004F4F26" w:rsidP="008B0573">
      <w:pPr>
        <w:pStyle w:val="BodyText"/>
        <w:ind w:left="-360" w:firstLine="2"/>
        <w:rPr>
          <w:rFonts w:ascii="Avenir Next" w:hAnsi="Avenir Next"/>
          <w:color w:val="808080" w:themeColor="background1" w:themeShade="80"/>
        </w:rPr>
      </w:pPr>
    </w:p>
    <w:p w14:paraId="14FB58B6" w14:textId="5A1BC7A9" w:rsidR="004F4F26" w:rsidRPr="004F4F26" w:rsidRDefault="004F4F26" w:rsidP="008B0573">
      <w:pPr>
        <w:pStyle w:val="BodyText"/>
        <w:ind w:left="-360" w:firstLine="2"/>
        <w:rPr>
          <w:rFonts w:ascii="Avenir Next" w:hAnsi="Avenir Next"/>
          <w:color w:val="808080" w:themeColor="background1" w:themeShade="80"/>
          <w:u w:val="single"/>
        </w:rPr>
      </w:pPr>
      <w:r w:rsidRPr="004F4F26">
        <w:rPr>
          <w:rFonts w:ascii="Avenir Next" w:hAnsi="Avenir Next"/>
          <w:color w:val="808080" w:themeColor="background1" w:themeShade="80"/>
          <w:u w:val="single"/>
        </w:rPr>
        <w:t>Conclusion</w:t>
      </w:r>
    </w:p>
    <w:p w14:paraId="76C77AA1" w14:textId="5DB86354" w:rsidR="004F4F26" w:rsidRDefault="004F4F26" w:rsidP="008B0573">
      <w:pPr>
        <w:pStyle w:val="BodyText"/>
        <w:ind w:left="-360" w:firstLine="2"/>
        <w:rPr>
          <w:rFonts w:ascii="Avenir Next" w:hAnsi="Avenir Next"/>
          <w:color w:val="808080" w:themeColor="background1" w:themeShade="80"/>
        </w:rPr>
      </w:pPr>
    </w:p>
    <w:p w14:paraId="05C77CA3" w14:textId="0BAFF8B6" w:rsidR="004F4F26" w:rsidRDefault="004F4F26" w:rsidP="008B0573">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The investigative duties and powers therefore scope asset tracing, financial review, creditors </w:t>
      </w:r>
      <w:proofErr w:type="gramStart"/>
      <w:r>
        <w:rPr>
          <w:rFonts w:ascii="Avenir Next" w:hAnsi="Avenir Next"/>
          <w:color w:val="808080" w:themeColor="background1" w:themeShade="80"/>
        </w:rPr>
        <w:t>claims</w:t>
      </w:r>
      <w:proofErr w:type="gramEnd"/>
      <w:r>
        <w:rPr>
          <w:rFonts w:ascii="Avenir Next" w:hAnsi="Avenir Next"/>
          <w:color w:val="808080" w:themeColor="background1" w:themeShade="80"/>
        </w:rPr>
        <w:t xml:space="preserve"> assessment and reporting to keep stakeholders informed.</w:t>
      </w:r>
    </w:p>
    <w:p w14:paraId="109EBB99" w14:textId="77777777" w:rsidR="008B0573" w:rsidRPr="008B0573" w:rsidRDefault="008B0573" w:rsidP="008B0573">
      <w:pPr>
        <w:pStyle w:val="BodyText"/>
        <w:ind w:left="-360" w:firstLine="2"/>
        <w:rPr>
          <w:rFonts w:ascii="Avenir Next" w:hAnsi="Avenir Next"/>
          <w:color w:val="808080" w:themeColor="background1" w:themeShade="80"/>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569E891F" w14:textId="7B13FE1A" w:rsidR="00B01521" w:rsidRDefault="00B01521" w:rsidP="00B01521">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The requirement to prepare and submit a statement of affairs </w:t>
      </w:r>
      <w:r w:rsidR="00172668">
        <w:rPr>
          <w:rFonts w:ascii="Avenir Next" w:hAnsi="Avenir Next"/>
          <w:color w:val="808080" w:themeColor="background1" w:themeShade="80"/>
        </w:rPr>
        <w:t xml:space="preserve">(in the prescribed form) </w:t>
      </w:r>
      <w:r>
        <w:rPr>
          <w:rFonts w:ascii="Avenir Next" w:hAnsi="Avenir Next"/>
          <w:color w:val="808080" w:themeColor="background1" w:themeShade="80"/>
        </w:rPr>
        <w:t>as stipulated under section 101(1) of the Companies Act, relates to “</w:t>
      </w:r>
      <w:r w:rsidRPr="00B01521">
        <w:rPr>
          <w:rFonts w:ascii="Avenir Next" w:hAnsi="Avenir Next"/>
          <w:i/>
          <w:color w:val="808080" w:themeColor="background1" w:themeShade="80"/>
        </w:rPr>
        <w:t>persons who are or have been employees of the company, during the period of one year immediately preceding the relevant date</w:t>
      </w:r>
      <w:r>
        <w:rPr>
          <w:rFonts w:ascii="Avenir Next" w:hAnsi="Avenir Next"/>
          <w:color w:val="808080" w:themeColor="background1" w:themeShade="80"/>
        </w:rPr>
        <w:t xml:space="preserve">”, pursuant to s. 101(3)(c). </w:t>
      </w:r>
    </w:p>
    <w:p w14:paraId="50F25EF1" w14:textId="77777777" w:rsidR="00B01521" w:rsidRDefault="00B01521" w:rsidP="00B01521">
      <w:pPr>
        <w:pStyle w:val="BodyText"/>
        <w:rPr>
          <w:rFonts w:ascii="Avenir Next" w:hAnsi="Avenir Next"/>
          <w:color w:val="808080" w:themeColor="background1" w:themeShade="80"/>
        </w:rPr>
      </w:pPr>
    </w:p>
    <w:p w14:paraId="58B1CEBB" w14:textId="58124166" w:rsidR="00614A98" w:rsidRDefault="00614A98" w:rsidP="00B01521">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Section 101(6) provides the definition of “relevant date” for the purposes of</w:t>
      </w:r>
      <w:r w:rsidR="00172668">
        <w:rPr>
          <w:rFonts w:ascii="Avenir Next" w:hAnsi="Avenir Next"/>
          <w:color w:val="808080" w:themeColor="background1" w:themeShade="80"/>
        </w:rPr>
        <w:t xml:space="preserve"> a</w:t>
      </w:r>
      <w:r>
        <w:rPr>
          <w:rFonts w:ascii="Avenir Next" w:hAnsi="Avenir Next"/>
          <w:color w:val="808080" w:themeColor="background1" w:themeShade="80"/>
        </w:rPr>
        <w:t xml:space="preserve"> section 101</w:t>
      </w:r>
      <w:r w:rsidR="00B01521">
        <w:rPr>
          <w:rFonts w:ascii="Avenir Next" w:hAnsi="Avenir Next"/>
          <w:color w:val="808080" w:themeColor="background1" w:themeShade="80"/>
        </w:rPr>
        <w:t>(3)(c)</w:t>
      </w:r>
      <w:r>
        <w:rPr>
          <w:rFonts w:ascii="Avenir Next" w:hAnsi="Avenir Next"/>
          <w:color w:val="808080" w:themeColor="background1" w:themeShade="80"/>
        </w:rPr>
        <w:t xml:space="preserve"> notice as follows</w:t>
      </w:r>
      <w:r w:rsidR="0028349F">
        <w:rPr>
          <w:rFonts w:ascii="Avenir Next" w:hAnsi="Avenir Next"/>
          <w:color w:val="808080" w:themeColor="background1" w:themeShade="80"/>
        </w:rPr>
        <w:t>:</w:t>
      </w:r>
    </w:p>
    <w:p w14:paraId="24136702" w14:textId="77777777" w:rsidR="00614A98" w:rsidRDefault="00614A98" w:rsidP="00614A98">
      <w:pPr>
        <w:pStyle w:val="BodyText"/>
        <w:ind w:firstLine="0"/>
        <w:rPr>
          <w:rFonts w:ascii="Avenir Next" w:hAnsi="Avenir Next"/>
          <w:color w:val="808080" w:themeColor="background1" w:themeShade="80"/>
        </w:rPr>
      </w:pPr>
    </w:p>
    <w:p w14:paraId="270048A6" w14:textId="77777777" w:rsidR="00614A98" w:rsidRPr="00614A98" w:rsidRDefault="00614A98" w:rsidP="00B01521">
      <w:pPr>
        <w:pStyle w:val="BodyText"/>
        <w:ind w:hanging="360"/>
        <w:rPr>
          <w:rFonts w:ascii="Avenir Next" w:hAnsi="Avenir Next"/>
          <w:i/>
          <w:color w:val="808080" w:themeColor="background1" w:themeShade="80"/>
        </w:rPr>
      </w:pPr>
      <w:r w:rsidRPr="00614A98">
        <w:rPr>
          <w:rFonts w:ascii="Avenir Next" w:hAnsi="Avenir Next"/>
          <w:i/>
          <w:color w:val="808080" w:themeColor="background1" w:themeShade="80"/>
        </w:rPr>
        <w:t>“</w:t>
      </w:r>
      <w:r w:rsidR="0028349F" w:rsidRPr="00614A98">
        <w:rPr>
          <w:rFonts w:ascii="Avenir Next" w:hAnsi="Avenir Next"/>
          <w:i/>
          <w:color w:val="808080" w:themeColor="background1" w:themeShade="80"/>
        </w:rPr>
        <w:t>(6) In this section —</w:t>
      </w:r>
    </w:p>
    <w:p w14:paraId="475D4296" w14:textId="01A3F15B" w:rsidR="00614A98" w:rsidRPr="00614A98" w:rsidRDefault="0028349F" w:rsidP="00B01521">
      <w:pPr>
        <w:pStyle w:val="BodyText"/>
        <w:ind w:hanging="360"/>
        <w:rPr>
          <w:rFonts w:ascii="Avenir Next" w:hAnsi="Avenir Next"/>
          <w:i/>
          <w:color w:val="808080" w:themeColor="background1" w:themeShade="80"/>
        </w:rPr>
      </w:pPr>
      <w:r w:rsidRPr="00614A98">
        <w:rPr>
          <w:rFonts w:ascii="Avenir Next" w:hAnsi="Avenir Next"/>
          <w:i/>
          <w:color w:val="808080" w:themeColor="background1" w:themeShade="80"/>
        </w:rPr>
        <w:t>“</w:t>
      </w:r>
      <w:r w:rsidRPr="00B01521">
        <w:rPr>
          <w:rFonts w:ascii="Avenir Next" w:hAnsi="Avenir Next"/>
          <w:b/>
          <w:i/>
          <w:color w:val="808080" w:themeColor="background1" w:themeShade="80"/>
        </w:rPr>
        <w:t>relevant date</w:t>
      </w:r>
      <w:r w:rsidRPr="00614A98">
        <w:rPr>
          <w:rFonts w:ascii="Avenir Next" w:hAnsi="Avenir Next"/>
          <w:i/>
          <w:color w:val="808080" w:themeColor="background1" w:themeShade="80"/>
        </w:rPr>
        <w:t>” means —</w:t>
      </w:r>
    </w:p>
    <w:p w14:paraId="205BA87F" w14:textId="5FD04F74" w:rsidR="0028349F" w:rsidRPr="00614A98" w:rsidRDefault="0028349F" w:rsidP="00B01521">
      <w:pPr>
        <w:pStyle w:val="BodyText"/>
        <w:ind w:left="360" w:hanging="360"/>
        <w:rPr>
          <w:rFonts w:ascii="Avenir Next" w:hAnsi="Avenir Next"/>
          <w:i/>
          <w:color w:val="808080" w:themeColor="background1" w:themeShade="80"/>
        </w:rPr>
      </w:pPr>
      <w:r w:rsidRPr="00614A98">
        <w:rPr>
          <w:rFonts w:ascii="Avenir Next" w:hAnsi="Avenir Next"/>
          <w:i/>
          <w:color w:val="808080" w:themeColor="background1" w:themeShade="80"/>
        </w:rPr>
        <w:t>(a) in a case where a provisional liquidator is appointed, the date of that person’s appointment; and</w:t>
      </w:r>
    </w:p>
    <w:p w14:paraId="09E7562C" w14:textId="2FF8DE4E" w:rsidR="0028349F" w:rsidRDefault="0028349F" w:rsidP="00B01521">
      <w:pPr>
        <w:pStyle w:val="BodyText"/>
        <w:ind w:left="360" w:hanging="360"/>
        <w:rPr>
          <w:rFonts w:ascii="Avenir Next" w:hAnsi="Avenir Next"/>
          <w:color w:val="808080" w:themeColor="background1" w:themeShade="80"/>
        </w:rPr>
      </w:pPr>
      <w:r w:rsidRPr="00614A98">
        <w:rPr>
          <w:rFonts w:ascii="Avenir Next" w:hAnsi="Avenir Next"/>
          <w:i/>
          <w:color w:val="808080" w:themeColor="background1" w:themeShade="80"/>
        </w:rPr>
        <w:t>(b) in any other case, the commencement of the winding up.</w:t>
      </w:r>
      <w:r w:rsidR="00614A98" w:rsidRPr="00614A98">
        <w:rPr>
          <w:rFonts w:ascii="Avenir Next" w:hAnsi="Avenir Next"/>
          <w:i/>
          <w:color w:val="808080" w:themeColor="background1" w:themeShade="80"/>
        </w:rPr>
        <w:t>”</w:t>
      </w:r>
      <w:r w:rsidRPr="0028349F">
        <w:rPr>
          <w:rFonts w:ascii="Avenir Next" w:hAnsi="Avenir Next"/>
          <w:color w:val="808080" w:themeColor="background1" w:themeShade="80"/>
        </w:rPr>
        <w:cr/>
      </w:r>
    </w:p>
    <w:p w14:paraId="0C82A3ED" w14:textId="3F262446" w:rsidR="00172668" w:rsidRDefault="00172668" w:rsidP="00172668">
      <w:pPr>
        <w:pStyle w:val="BodyText"/>
        <w:ind w:left="-360" w:firstLine="2"/>
        <w:rPr>
          <w:rFonts w:ascii="Avenir Next" w:hAnsi="Avenir Next"/>
          <w:color w:val="808080" w:themeColor="background1" w:themeShade="80"/>
        </w:rPr>
      </w:pPr>
      <w:r>
        <w:rPr>
          <w:rFonts w:ascii="Avenir Next" w:hAnsi="Avenir Next"/>
          <w:color w:val="808080" w:themeColor="background1" w:themeShade="80"/>
        </w:rPr>
        <w:t xml:space="preserve">Therefore, </w:t>
      </w:r>
      <w:r w:rsidR="008F2622">
        <w:rPr>
          <w:rFonts w:ascii="Avenir Next" w:hAnsi="Avenir Next"/>
          <w:color w:val="808080" w:themeColor="background1" w:themeShade="80"/>
        </w:rPr>
        <w:t>i</w:t>
      </w:r>
      <w:r>
        <w:rPr>
          <w:rFonts w:ascii="Avenir Next" w:hAnsi="Avenir Next"/>
          <w:color w:val="808080" w:themeColor="background1" w:themeShade="80"/>
        </w:rPr>
        <w:t xml:space="preserve">n cases where a provisional liquidator has been appointed, the relevant date is the date of the appointment of the provisional liquidator. </w:t>
      </w:r>
      <w:r w:rsidR="008F2622">
        <w:rPr>
          <w:rFonts w:ascii="Avenir Next" w:hAnsi="Avenir Next"/>
          <w:color w:val="808080" w:themeColor="background1" w:themeShade="80"/>
        </w:rPr>
        <w:t>I</w:t>
      </w:r>
      <w:r w:rsidR="008F2622" w:rsidRPr="008F2622">
        <w:rPr>
          <w:rFonts w:ascii="Avenir Next" w:hAnsi="Avenir Next"/>
          <w:color w:val="808080" w:themeColor="background1" w:themeShade="80"/>
        </w:rPr>
        <w:t>n the context of official liquidation</w:t>
      </w:r>
      <w:r w:rsidR="008F2622">
        <w:rPr>
          <w:rFonts w:ascii="Avenir Next" w:hAnsi="Avenir Next"/>
          <w:color w:val="808080" w:themeColor="background1" w:themeShade="80"/>
        </w:rPr>
        <w:t>,</w:t>
      </w:r>
      <w:r w:rsidR="008F2622" w:rsidRPr="008F2622">
        <w:rPr>
          <w:rFonts w:ascii="Avenir Next" w:hAnsi="Avenir Next"/>
          <w:color w:val="808080" w:themeColor="background1" w:themeShade="80"/>
        </w:rPr>
        <w:t xml:space="preserve"> the relevant date will in many cases be the date of the presentation of the winding up petition.</w:t>
      </w:r>
    </w:p>
    <w:p w14:paraId="03EB03E6" w14:textId="77777777" w:rsidR="00172668" w:rsidRDefault="00172668" w:rsidP="00172668">
      <w:pPr>
        <w:pStyle w:val="BodyText"/>
        <w:ind w:left="-360" w:firstLine="2"/>
        <w:rPr>
          <w:rFonts w:ascii="Avenir Next" w:hAnsi="Avenir Next"/>
          <w:color w:val="808080" w:themeColor="background1" w:themeShade="80"/>
        </w:rPr>
      </w:pPr>
    </w:p>
    <w:p w14:paraId="52B7E13B" w14:textId="67A703A1" w:rsidR="008F2622" w:rsidRDefault="0028349F" w:rsidP="008F2622">
      <w:pPr>
        <w:pStyle w:val="BodyText"/>
        <w:ind w:left="-360" w:firstLine="2"/>
        <w:rPr>
          <w:rFonts w:ascii="Avenir Next" w:hAnsi="Avenir Next"/>
          <w:color w:val="808080" w:themeColor="background1" w:themeShade="80"/>
        </w:rPr>
      </w:pPr>
      <w:r w:rsidRPr="0028349F">
        <w:rPr>
          <w:rFonts w:ascii="Avenir Next" w:hAnsi="Avenir Next"/>
          <w:color w:val="808080" w:themeColor="background1" w:themeShade="80"/>
        </w:rPr>
        <w:t xml:space="preserve">However, </w:t>
      </w:r>
      <w:r w:rsidR="008F2622">
        <w:rPr>
          <w:rFonts w:ascii="Avenir Next" w:hAnsi="Avenir Next"/>
          <w:color w:val="808080" w:themeColor="background1" w:themeShade="80"/>
        </w:rPr>
        <w:t xml:space="preserve">pursuant to s. 100(1), the relevant date </w:t>
      </w:r>
      <w:r w:rsidR="005F4D50">
        <w:rPr>
          <w:rFonts w:ascii="Avenir Next" w:hAnsi="Avenir Next"/>
          <w:color w:val="808080" w:themeColor="background1" w:themeShade="80"/>
        </w:rPr>
        <w:t>will</w:t>
      </w:r>
      <w:r w:rsidR="008F2622">
        <w:rPr>
          <w:rFonts w:ascii="Avenir Next" w:hAnsi="Avenir Next"/>
          <w:color w:val="808080" w:themeColor="background1" w:themeShade="80"/>
        </w:rPr>
        <w:t xml:space="preserve"> be earlier if,</w:t>
      </w:r>
      <w:r w:rsidRPr="0028349F">
        <w:rPr>
          <w:rFonts w:ascii="Avenir Next" w:hAnsi="Avenir Next"/>
          <w:color w:val="808080" w:themeColor="background1" w:themeShade="80"/>
        </w:rPr>
        <w:t xml:space="preserve"> before the presentation of a petition for the winding up of a company by the </w:t>
      </w:r>
      <w:r w:rsidR="008F2622">
        <w:rPr>
          <w:rFonts w:ascii="Avenir Next" w:hAnsi="Avenir Next"/>
          <w:color w:val="808080" w:themeColor="background1" w:themeShade="80"/>
        </w:rPr>
        <w:t>C</w:t>
      </w:r>
      <w:r w:rsidRPr="0028349F">
        <w:rPr>
          <w:rFonts w:ascii="Avenir Next" w:hAnsi="Avenir Next"/>
          <w:color w:val="808080" w:themeColor="background1" w:themeShade="80"/>
        </w:rPr>
        <w:t>ourt</w:t>
      </w:r>
      <w:r w:rsidR="005F4D50">
        <w:rPr>
          <w:rFonts w:ascii="Avenir Next" w:hAnsi="Avenir Next"/>
          <w:color w:val="808080" w:themeColor="background1" w:themeShade="80"/>
        </w:rPr>
        <w:t>,</w:t>
      </w:r>
      <w:r w:rsidR="008F2622">
        <w:rPr>
          <w:rFonts w:ascii="Avenir Next" w:hAnsi="Avenir Next"/>
          <w:color w:val="808080" w:themeColor="background1" w:themeShade="80"/>
        </w:rPr>
        <w:t xml:space="preserve"> any of the following has occurred:</w:t>
      </w:r>
    </w:p>
    <w:p w14:paraId="3ECC2D4E" w14:textId="77777777" w:rsidR="008F2622" w:rsidRDefault="008F2622" w:rsidP="008F2622">
      <w:pPr>
        <w:pStyle w:val="BodyText"/>
        <w:ind w:left="-360" w:firstLine="2"/>
        <w:rPr>
          <w:rFonts w:ascii="Avenir Next" w:hAnsi="Avenir Next"/>
          <w:color w:val="808080" w:themeColor="background1" w:themeShade="80"/>
        </w:rPr>
      </w:pPr>
    </w:p>
    <w:p w14:paraId="3D9BCB59" w14:textId="5E08783D" w:rsidR="008F2622" w:rsidRDefault="0028349F" w:rsidP="008F2622">
      <w:pPr>
        <w:pStyle w:val="BodyText"/>
        <w:numPr>
          <w:ilvl w:val="0"/>
          <w:numId w:val="41"/>
        </w:numPr>
        <w:rPr>
          <w:rFonts w:ascii="Avenir Next" w:hAnsi="Avenir Next"/>
          <w:color w:val="808080" w:themeColor="background1" w:themeShade="80"/>
        </w:rPr>
      </w:pPr>
      <w:r w:rsidRPr="0028349F">
        <w:rPr>
          <w:rFonts w:ascii="Avenir Next" w:hAnsi="Avenir Next"/>
          <w:color w:val="808080" w:themeColor="background1" w:themeShade="80"/>
        </w:rPr>
        <w:t>a</w:t>
      </w:r>
      <w:r w:rsidR="00172668">
        <w:rPr>
          <w:rFonts w:ascii="Avenir Next" w:hAnsi="Avenir Next"/>
          <w:color w:val="808080" w:themeColor="background1" w:themeShade="80"/>
        </w:rPr>
        <w:t xml:space="preserve"> </w:t>
      </w:r>
      <w:r w:rsidRPr="0028349F">
        <w:rPr>
          <w:rFonts w:ascii="Avenir Next" w:hAnsi="Avenir Next"/>
          <w:color w:val="808080" w:themeColor="background1" w:themeShade="80"/>
        </w:rPr>
        <w:t>resolution was passed by the company for voluntary winding up</w:t>
      </w:r>
      <w:r w:rsidR="008F2622">
        <w:rPr>
          <w:rFonts w:ascii="Avenir Next" w:hAnsi="Avenir Next"/>
          <w:color w:val="808080" w:themeColor="background1" w:themeShade="80"/>
        </w:rPr>
        <w:t>;</w:t>
      </w:r>
    </w:p>
    <w:p w14:paraId="718D71D5" w14:textId="77777777" w:rsidR="008F2622" w:rsidRDefault="008F2622" w:rsidP="008F2622">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period, if any,</w:t>
      </w:r>
      <w:r w:rsidR="0028349F" w:rsidRPr="0028349F">
        <w:rPr>
          <w:rFonts w:ascii="Avenir Next" w:hAnsi="Avenir Next"/>
          <w:color w:val="808080" w:themeColor="background1" w:themeShade="80"/>
        </w:rPr>
        <w:t xml:space="preserve"> fixed for the</w:t>
      </w:r>
      <w:r w:rsidR="00172668">
        <w:rPr>
          <w:rFonts w:ascii="Avenir Next" w:hAnsi="Avenir Next"/>
          <w:color w:val="808080" w:themeColor="background1" w:themeShade="80"/>
        </w:rPr>
        <w:t xml:space="preserve"> </w:t>
      </w:r>
      <w:r w:rsidR="0028349F" w:rsidRPr="0028349F">
        <w:rPr>
          <w:rFonts w:ascii="Avenir Next" w:hAnsi="Avenir Next"/>
          <w:color w:val="808080" w:themeColor="background1" w:themeShade="80"/>
        </w:rPr>
        <w:t>duration of the company by the articles of association has expired</w:t>
      </w:r>
      <w:r>
        <w:rPr>
          <w:rFonts w:ascii="Avenir Next" w:hAnsi="Avenir Next"/>
          <w:color w:val="808080" w:themeColor="background1" w:themeShade="80"/>
        </w:rPr>
        <w:t>;</w:t>
      </w:r>
    </w:p>
    <w:p w14:paraId="26488FBD" w14:textId="6C614465" w:rsidR="008F2622" w:rsidRDefault="008F2622" w:rsidP="008F2622">
      <w:pPr>
        <w:pStyle w:val="BodyText"/>
        <w:numPr>
          <w:ilvl w:val="0"/>
          <w:numId w:val="41"/>
        </w:numPr>
        <w:rPr>
          <w:rFonts w:ascii="Avenir Next" w:hAnsi="Avenir Next"/>
          <w:color w:val="808080" w:themeColor="background1" w:themeShade="80"/>
        </w:rPr>
      </w:pPr>
      <w:r w:rsidRPr="008F2622">
        <w:rPr>
          <w:rFonts w:ascii="Avenir Next" w:hAnsi="Avenir Next"/>
          <w:color w:val="808080" w:themeColor="background1" w:themeShade="80"/>
        </w:rPr>
        <w:t xml:space="preserve">the event </w:t>
      </w:r>
      <w:r w:rsidR="0028349F" w:rsidRPr="008F2622">
        <w:rPr>
          <w:rFonts w:ascii="Avenir Next" w:hAnsi="Avenir Next"/>
          <w:color w:val="808080" w:themeColor="background1" w:themeShade="80"/>
        </w:rPr>
        <w:t>giving rise to a</w:t>
      </w:r>
      <w:r w:rsidR="00172668" w:rsidRPr="008F2622">
        <w:rPr>
          <w:rFonts w:ascii="Avenir Next" w:hAnsi="Avenir Next"/>
          <w:color w:val="808080" w:themeColor="background1" w:themeShade="80"/>
        </w:rPr>
        <w:t xml:space="preserve"> </w:t>
      </w:r>
      <w:r w:rsidR="0028349F" w:rsidRPr="008F2622">
        <w:rPr>
          <w:rFonts w:ascii="Avenir Next" w:hAnsi="Avenir Next"/>
          <w:color w:val="808080" w:themeColor="background1" w:themeShade="80"/>
        </w:rPr>
        <w:t>requirement to wind up the company in the articles of association has occurred</w:t>
      </w:r>
      <w:r>
        <w:rPr>
          <w:rFonts w:ascii="Avenir Next" w:hAnsi="Avenir Next"/>
          <w:color w:val="808080" w:themeColor="background1" w:themeShade="80"/>
        </w:rPr>
        <w:t>; or</w:t>
      </w:r>
    </w:p>
    <w:p w14:paraId="4F03415A" w14:textId="3D69FE2B" w:rsidR="00D44BFA" w:rsidRPr="008F2622" w:rsidRDefault="0028349F" w:rsidP="008F2622">
      <w:pPr>
        <w:pStyle w:val="BodyText"/>
        <w:numPr>
          <w:ilvl w:val="0"/>
          <w:numId w:val="41"/>
        </w:numPr>
        <w:rPr>
          <w:rFonts w:ascii="Avenir Next" w:hAnsi="Avenir Next"/>
          <w:color w:val="808080" w:themeColor="background1" w:themeShade="80"/>
        </w:rPr>
      </w:pPr>
      <w:r w:rsidRPr="008F2622">
        <w:rPr>
          <w:rFonts w:ascii="Avenir Next" w:hAnsi="Avenir Next"/>
          <w:color w:val="808080" w:themeColor="background1" w:themeShade="80"/>
        </w:rPr>
        <w:t>a</w:t>
      </w:r>
      <w:r w:rsidR="00172668" w:rsidRPr="008F2622">
        <w:rPr>
          <w:rFonts w:ascii="Avenir Next" w:hAnsi="Avenir Next"/>
          <w:color w:val="808080" w:themeColor="background1" w:themeShade="80"/>
        </w:rPr>
        <w:t xml:space="preserve"> </w:t>
      </w:r>
      <w:r w:rsidRPr="008F2622">
        <w:rPr>
          <w:rFonts w:ascii="Avenir Next" w:hAnsi="Avenir Next"/>
          <w:color w:val="808080" w:themeColor="background1" w:themeShade="80"/>
        </w:rPr>
        <w:t>restructuring officer has been appointed, then the winding ups deemed to have commenced</w:t>
      </w:r>
      <w:r w:rsidR="00172668" w:rsidRPr="008F2622">
        <w:rPr>
          <w:rFonts w:ascii="Avenir Next" w:hAnsi="Avenir Next"/>
          <w:color w:val="808080" w:themeColor="background1" w:themeShade="80"/>
        </w:rPr>
        <w:t xml:space="preserve"> </w:t>
      </w:r>
      <w:r w:rsidRPr="008F2622">
        <w:rPr>
          <w:rFonts w:ascii="Avenir Next" w:hAnsi="Avenir Next"/>
          <w:color w:val="808080" w:themeColor="background1" w:themeShade="80"/>
        </w:rPr>
        <w:t>at the time of the relevant aforementioned event</w:t>
      </w:r>
      <w:r w:rsidR="00172668" w:rsidRPr="008F2622">
        <w:rPr>
          <w:rFonts w:ascii="Avenir Next" w:hAnsi="Avenir Next"/>
          <w:color w:val="808080" w:themeColor="background1" w:themeShade="80"/>
        </w:rPr>
        <w:t>.</w:t>
      </w: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2B9EB392" w14:textId="673BAA85" w:rsidR="00DE4199" w:rsidRDefault="00DE4199"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The chosen PL could be appointed for the following reasons:</w:t>
      </w:r>
    </w:p>
    <w:p w14:paraId="10D9D813" w14:textId="77777777" w:rsidR="00DE4199" w:rsidRDefault="00DE4199" w:rsidP="00080EDC">
      <w:pPr>
        <w:pStyle w:val="BodyText"/>
        <w:ind w:firstLine="0"/>
        <w:rPr>
          <w:rFonts w:ascii="Avenir Next" w:hAnsi="Avenir Next"/>
          <w:color w:val="808080" w:themeColor="background1" w:themeShade="80"/>
        </w:rPr>
      </w:pPr>
    </w:p>
    <w:p w14:paraId="5C1D3308" w14:textId="285CA0C8" w:rsidR="00DE4199" w:rsidRDefault="00DE4199" w:rsidP="00DE4199">
      <w:pPr>
        <w:pStyle w:val="BodyText"/>
        <w:numPr>
          <w:ilvl w:val="0"/>
          <w:numId w:val="45"/>
        </w:numPr>
        <w:rPr>
          <w:rFonts w:ascii="Avenir Next" w:hAnsi="Avenir Next"/>
          <w:b/>
          <w:bCs/>
        </w:rPr>
      </w:pPr>
      <w:r>
        <w:rPr>
          <w:rFonts w:ascii="Avenir Next" w:hAnsi="Avenir Next"/>
          <w:color w:val="808080" w:themeColor="background1" w:themeShade="80"/>
        </w:rPr>
        <w:t>Insurance adequacy – to consider whether the US$5million is sufficient given the company’s size, complexity, etc.</w:t>
      </w:r>
    </w:p>
    <w:p w14:paraId="69FD7B8B" w14:textId="44D1E49A" w:rsidR="00DE4199" w:rsidRDefault="00DE4199" w:rsidP="00DE4199">
      <w:pPr>
        <w:pStyle w:val="BodyText"/>
        <w:numPr>
          <w:ilvl w:val="0"/>
          <w:numId w:val="45"/>
        </w:numPr>
        <w:rPr>
          <w:rFonts w:ascii="Avenir Next" w:hAnsi="Avenir Next"/>
          <w:color w:val="808080" w:themeColor="background1" w:themeShade="80"/>
        </w:rPr>
      </w:pPr>
      <w:r w:rsidRPr="00DE4199">
        <w:rPr>
          <w:rFonts w:ascii="Avenir Next" w:hAnsi="Avenir Next"/>
          <w:color w:val="808080" w:themeColor="background1" w:themeShade="80"/>
        </w:rPr>
        <w:t>Ris</w:t>
      </w:r>
      <w:r>
        <w:rPr>
          <w:rFonts w:ascii="Avenir Next" w:hAnsi="Avenir Next"/>
          <w:color w:val="808080" w:themeColor="background1" w:themeShade="80"/>
        </w:rPr>
        <w:t>k assessment – to evaluate if the limit poses a risk to the liquidation process.</w:t>
      </w:r>
    </w:p>
    <w:p w14:paraId="710DAEDE" w14:textId="77777777" w:rsidR="00DE4199" w:rsidRDefault="00DE4199" w:rsidP="00DE4199">
      <w:pPr>
        <w:pStyle w:val="BodyText"/>
        <w:ind w:firstLine="0"/>
        <w:rPr>
          <w:rFonts w:ascii="Avenir Next" w:hAnsi="Avenir Next"/>
          <w:color w:val="808080" w:themeColor="background1" w:themeShade="80"/>
        </w:rPr>
      </w:pPr>
    </w:p>
    <w:p w14:paraId="0490DF3E" w14:textId="377A7CAC" w:rsidR="00DE4199" w:rsidRPr="00DE4199" w:rsidRDefault="00DE4199" w:rsidP="00DE419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Ultimately, the Court will decide if the limit is acceptable. </w:t>
      </w:r>
    </w:p>
    <w:p w14:paraId="0278307F" w14:textId="2B214C57" w:rsidR="00080EDC" w:rsidRPr="00486A0B" w:rsidRDefault="00080EDC" w:rsidP="00DE4199">
      <w:pPr>
        <w:pStyle w:val="BodyText"/>
        <w:ind w:firstLine="0"/>
        <w:rPr>
          <w:rFonts w:ascii="Avenir Next" w:hAnsi="Avenir Next"/>
          <w:b/>
          <w:bCs/>
        </w:rPr>
      </w:pP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4F6E0423" w14:textId="77777777" w:rsidR="00DE4199" w:rsidRDefault="00DE4199" w:rsidP="00DE4199">
      <w:pPr>
        <w:pStyle w:val="BodyText"/>
        <w:rPr>
          <w:rFonts w:ascii="Avenir Next" w:hAnsi="Avenir Next"/>
          <w:color w:val="808080" w:themeColor="background1" w:themeShade="80"/>
        </w:rPr>
      </w:pPr>
      <w:r>
        <w:rPr>
          <w:rFonts w:ascii="Avenir Next" w:hAnsi="Avenir Next"/>
          <w:color w:val="808080" w:themeColor="background1" w:themeShade="80"/>
        </w:rPr>
        <w:t>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1) of the Companies Act provides as follows:</w:t>
      </w:r>
    </w:p>
    <w:p w14:paraId="32D092CD" w14:textId="77777777" w:rsidR="00DE4199" w:rsidRDefault="00DE4199" w:rsidP="00DE4199">
      <w:pPr>
        <w:pStyle w:val="BodyText"/>
        <w:rPr>
          <w:rFonts w:ascii="Avenir Next" w:hAnsi="Avenir Next"/>
          <w:color w:val="808080" w:themeColor="background1" w:themeShade="80"/>
        </w:rPr>
      </w:pPr>
    </w:p>
    <w:p w14:paraId="67CEC9FD" w14:textId="34752CA4" w:rsidR="00DE4199" w:rsidRPr="00DE4199" w:rsidRDefault="00DE4199" w:rsidP="00DE4199">
      <w:pPr>
        <w:pStyle w:val="BodyText"/>
        <w:rPr>
          <w:rFonts w:ascii="Avenir Next" w:hAnsi="Avenir Next"/>
          <w:color w:val="808080" w:themeColor="background1" w:themeShade="80"/>
        </w:rPr>
      </w:pPr>
      <w:r>
        <w:rPr>
          <w:rFonts w:ascii="Avenir Next" w:hAnsi="Avenir Next"/>
          <w:color w:val="808080" w:themeColor="background1" w:themeShade="80"/>
        </w:rPr>
        <w:t>“</w:t>
      </w:r>
      <w:r w:rsidRPr="00DE4199">
        <w:rPr>
          <w:rFonts w:ascii="Avenir Next" w:hAnsi="Avenir Next"/>
          <w:color w:val="808080" w:themeColor="background1" w:themeShade="80"/>
        </w:rPr>
        <w:t>Appointment of a restructuring officer</w:t>
      </w:r>
    </w:p>
    <w:p w14:paraId="28FF7768" w14:textId="0E3E53B1" w:rsidR="00DE4199" w:rsidRPr="00DE4199" w:rsidRDefault="00DE4199" w:rsidP="00DE4199">
      <w:pPr>
        <w:pStyle w:val="BodyText"/>
        <w:rPr>
          <w:rFonts w:ascii="Avenir Next" w:hAnsi="Avenir Next"/>
          <w:color w:val="808080" w:themeColor="background1" w:themeShade="80"/>
        </w:rPr>
      </w:pPr>
      <w:r w:rsidRPr="00DE4199">
        <w:rPr>
          <w:rFonts w:ascii="Avenir Next" w:hAnsi="Avenir Next"/>
          <w:color w:val="808080" w:themeColor="background1" w:themeShade="80"/>
        </w:rPr>
        <w:t>91</w:t>
      </w:r>
      <w:proofErr w:type="gramStart"/>
      <w:r w:rsidRPr="00DE4199">
        <w:rPr>
          <w:rFonts w:ascii="Avenir Next" w:hAnsi="Avenir Next"/>
          <w:color w:val="808080" w:themeColor="background1" w:themeShade="80"/>
        </w:rPr>
        <w:t>B.(</w:t>
      </w:r>
      <w:proofErr w:type="gramEnd"/>
      <w:r w:rsidRPr="00DE4199">
        <w:rPr>
          <w:rFonts w:ascii="Avenir Next" w:hAnsi="Avenir Next"/>
          <w:color w:val="808080" w:themeColor="background1" w:themeShade="80"/>
        </w:rPr>
        <w:t>1) A company may present a petition to the Court for the appointment of a restructuring officer on the grounds that the company —</w:t>
      </w:r>
    </w:p>
    <w:p w14:paraId="3D85AAED" w14:textId="0A7F07E4" w:rsidR="00DE4199" w:rsidRPr="00DE4199" w:rsidRDefault="00DE4199" w:rsidP="00DE4199">
      <w:pPr>
        <w:pStyle w:val="BodyText"/>
        <w:rPr>
          <w:rFonts w:ascii="Avenir Next" w:hAnsi="Avenir Next"/>
          <w:color w:val="808080" w:themeColor="background1" w:themeShade="80"/>
        </w:rPr>
      </w:pPr>
      <w:r w:rsidRPr="00DE4199">
        <w:rPr>
          <w:rFonts w:ascii="Avenir Next" w:hAnsi="Avenir Next"/>
          <w:color w:val="808080" w:themeColor="background1" w:themeShade="80"/>
        </w:rPr>
        <w:t>(a) is or is likely to become unable to pay its debts within the meaning of section 93; and</w:t>
      </w:r>
    </w:p>
    <w:p w14:paraId="1854F47C" w14:textId="45926011" w:rsidR="00DE4199" w:rsidRDefault="00DE4199" w:rsidP="00DE4199">
      <w:pPr>
        <w:pStyle w:val="BodyText"/>
        <w:rPr>
          <w:rFonts w:ascii="Avenir Next" w:hAnsi="Avenir Next"/>
          <w:color w:val="808080" w:themeColor="background1" w:themeShade="80"/>
        </w:rPr>
      </w:pPr>
      <w:r w:rsidRPr="00DE4199">
        <w:rPr>
          <w:rFonts w:ascii="Avenir Next" w:hAnsi="Avenir Next"/>
          <w:color w:val="808080" w:themeColor="background1" w:themeShade="80"/>
        </w:rPr>
        <w:t>(b) intends to present a compromise or arrangement to its creditors (or classes thereof) either, pursuant to this Law, the law of a foreign country or by way of a consensual restructuring.</w:t>
      </w:r>
      <w:r>
        <w:rPr>
          <w:rFonts w:ascii="Avenir Next" w:hAnsi="Avenir Next"/>
          <w:color w:val="808080" w:themeColor="background1" w:themeShade="80"/>
        </w:rPr>
        <w:t>”</w:t>
      </w:r>
      <w:r w:rsidRPr="00DE4199">
        <w:rPr>
          <w:rFonts w:ascii="Avenir Next" w:hAnsi="Avenir Next"/>
          <w:color w:val="808080" w:themeColor="background1" w:themeShade="80"/>
        </w:rPr>
        <w:t xml:space="preserve"> </w:t>
      </w:r>
    </w:p>
    <w:p w14:paraId="7D0AB40D" w14:textId="77777777" w:rsidR="00DE4199" w:rsidRDefault="00DE4199" w:rsidP="00DE4199">
      <w:pPr>
        <w:pStyle w:val="BodyText"/>
        <w:rPr>
          <w:rFonts w:ascii="Avenir Next" w:hAnsi="Avenir Next"/>
          <w:color w:val="808080" w:themeColor="background1" w:themeShade="80"/>
        </w:rPr>
      </w:pPr>
    </w:p>
    <w:p w14:paraId="1FAFB0DC" w14:textId="05DF07A8" w:rsidR="00662A8E" w:rsidRPr="00DE4199" w:rsidRDefault="00DE4199" w:rsidP="00DE4199">
      <w:pPr>
        <w:pStyle w:val="BodyText"/>
        <w:rPr>
          <w:rFonts w:ascii="Avenir Next" w:hAnsi="Avenir Next"/>
          <w:color w:val="808080" w:themeColor="background1" w:themeShade="80"/>
        </w:rPr>
      </w:pPr>
      <w:r>
        <w:rPr>
          <w:rFonts w:ascii="Avenir Next" w:hAnsi="Avenir Next"/>
          <w:color w:val="808080" w:themeColor="background1" w:themeShade="80"/>
        </w:rPr>
        <w:t>The Company must therefore demonstrate the need for a Restructuring Officer by showing that the company is facing insolvency and is therefore under financial strain and that the restructuring will better serve creditor interests than liquidation.</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089B9B8C" w14:textId="6FB249E1" w:rsidR="00251FE9" w:rsidRDefault="00251FE9" w:rsidP="00251FE9">
      <w:pPr>
        <w:pStyle w:val="BodyText"/>
        <w:ind w:left="90" w:hanging="90"/>
        <w:rPr>
          <w:rFonts w:ascii="Avenir Next" w:hAnsi="Avenir Next"/>
          <w:color w:val="808080" w:themeColor="background1" w:themeShade="80"/>
        </w:rPr>
      </w:pPr>
      <w:r>
        <w:rPr>
          <w:rFonts w:ascii="Avenir Next" w:hAnsi="Avenir Next"/>
          <w:color w:val="808080" w:themeColor="background1" w:themeShade="80"/>
        </w:rPr>
        <w:t xml:space="preserve"> Order 1A, Rule 1(3) to (5), CWR sets out the formal advertisement requirements for a restructuring petition as follows:</w:t>
      </w:r>
    </w:p>
    <w:p w14:paraId="3CE2B3A4" w14:textId="77777777" w:rsidR="00251FE9" w:rsidRDefault="00251FE9" w:rsidP="00F373E4">
      <w:pPr>
        <w:pStyle w:val="BodyText"/>
        <w:rPr>
          <w:rFonts w:ascii="Avenir Next" w:hAnsi="Avenir Next"/>
          <w:color w:val="808080" w:themeColor="background1" w:themeShade="80"/>
        </w:rPr>
      </w:pPr>
    </w:p>
    <w:p w14:paraId="49CC8681" w14:textId="77777777" w:rsidR="00251FE9" w:rsidRPr="00251FE9" w:rsidRDefault="00251FE9" w:rsidP="0022169F">
      <w:pPr>
        <w:pStyle w:val="BodyText"/>
        <w:ind w:left="448"/>
        <w:rPr>
          <w:rFonts w:ascii="Avenir Next" w:hAnsi="Avenir Next"/>
          <w:i/>
          <w:color w:val="808080" w:themeColor="background1" w:themeShade="80"/>
        </w:rPr>
      </w:pPr>
      <w:r w:rsidRPr="00251FE9">
        <w:rPr>
          <w:rFonts w:ascii="Avenir Next" w:hAnsi="Avenir Next"/>
          <w:i/>
          <w:color w:val="808080" w:themeColor="background1" w:themeShade="80"/>
        </w:rPr>
        <w:t>“(3) Unless the Court otherwise directs, every petition for the appointment of a restructuring officer shall be advertised once in a newspaper having a circulation in the Islands. An advertisement published in accordance with this Rule shall be in CWR Form No. 3A.</w:t>
      </w:r>
    </w:p>
    <w:p w14:paraId="5369176B" w14:textId="77777777" w:rsidR="00251FE9" w:rsidRPr="00251FE9" w:rsidRDefault="00251FE9" w:rsidP="0022169F">
      <w:pPr>
        <w:pStyle w:val="BodyText"/>
        <w:ind w:left="448"/>
        <w:rPr>
          <w:rFonts w:ascii="Avenir Next" w:hAnsi="Avenir Next"/>
          <w:i/>
          <w:color w:val="808080" w:themeColor="background1" w:themeShade="80"/>
        </w:rPr>
      </w:pPr>
      <w:r w:rsidRPr="00251FE9">
        <w:rPr>
          <w:rFonts w:ascii="Avenir Next" w:hAnsi="Avenir Next"/>
          <w:i/>
          <w:color w:val="808080" w:themeColor="background1" w:themeShade="80"/>
        </w:rPr>
        <w:t>(4) In addition, unless the Court otherwise directs, if the company is carrying on business outside the Islands, every petition for the appointment of a restructuring officer shall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p>
    <w:p w14:paraId="3B17AB78" w14:textId="24342E82" w:rsidR="00251FE9" w:rsidRPr="00251FE9" w:rsidRDefault="00251FE9" w:rsidP="0022169F">
      <w:pPr>
        <w:pStyle w:val="BodyText"/>
        <w:ind w:left="448"/>
        <w:rPr>
          <w:rFonts w:ascii="Avenir Next" w:hAnsi="Avenir Next"/>
          <w:i/>
          <w:color w:val="808080" w:themeColor="background1" w:themeShade="80"/>
        </w:rPr>
      </w:pPr>
      <w:r w:rsidRPr="00251FE9">
        <w:rPr>
          <w:rFonts w:ascii="Avenir Next" w:hAnsi="Avenir Next"/>
          <w:i/>
          <w:color w:val="808080" w:themeColor="background1" w:themeShade="80"/>
        </w:rPr>
        <w:t>(5) The advertisements shall be made to appear not more than 7 business days after the petition for the appointment of a restructuring officer is filed in Court and not less than 7 business days before the hearing date.”</w:t>
      </w:r>
    </w:p>
    <w:p w14:paraId="57736DF1" w14:textId="77777777" w:rsidR="00251FE9" w:rsidRDefault="00251FE9" w:rsidP="004C3689">
      <w:pPr>
        <w:pStyle w:val="BodyText"/>
        <w:rPr>
          <w:rFonts w:ascii="Avenir Next" w:hAnsi="Avenir Next"/>
          <w:color w:val="808080" w:themeColor="background1" w:themeShade="80"/>
        </w:rPr>
      </w:pPr>
    </w:p>
    <w:p w14:paraId="31BB57C0" w14:textId="21106544" w:rsidR="00251FE9" w:rsidRDefault="00251FE9" w:rsidP="00251FE9">
      <w:pPr>
        <w:pStyle w:val="BodyText"/>
        <w:ind w:firstLine="0"/>
        <w:rPr>
          <w:rFonts w:ascii="Avenir Next" w:hAnsi="Avenir Next"/>
          <w:color w:val="808080" w:themeColor="background1" w:themeShade="80"/>
        </w:rPr>
      </w:pPr>
      <w:r>
        <w:rPr>
          <w:rFonts w:ascii="Avenir Next" w:hAnsi="Avenir Next"/>
          <w:color w:val="808080" w:themeColor="background1" w:themeShade="80"/>
        </w:rPr>
        <w:t>Therefore, the default position is that a restructuring position</w:t>
      </w:r>
      <w:r w:rsidR="004C3689" w:rsidRPr="004C3689">
        <w:rPr>
          <w:rFonts w:ascii="Avenir Next" w:hAnsi="Avenir Next"/>
          <w:color w:val="808080" w:themeColor="background1" w:themeShade="80"/>
        </w:rPr>
        <w:t xml:space="preserve"> will be heard on notice to</w:t>
      </w:r>
      <w:r>
        <w:rPr>
          <w:rFonts w:ascii="Avenir Next" w:hAnsi="Avenir Next"/>
          <w:color w:val="808080" w:themeColor="background1" w:themeShade="80"/>
        </w:rPr>
        <w:t xml:space="preserve"> </w:t>
      </w:r>
      <w:r w:rsidR="004C3689" w:rsidRPr="004C3689">
        <w:rPr>
          <w:rFonts w:ascii="Avenir Next" w:hAnsi="Avenir Next"/>
          <w:color w:val="808080" w:themeColor="background1" w:themeShade="80"/>
        </w:rPr>
        <w:t>stakeholders.</w:t>
      </w:r>
      <w:r>
        <w:rPr>
          <w:rFonts w:ascii="Avenir Next" w:hAnsi="Avenir Next"/>
          <w:color w:val="808080" w:themeColor="background1" w:themeShade="80"/>
        </w:rPr>
        <w:t xml:space="preserve"> </w:t>
      </w:r>
    </w:p>
    <w:p w14:paraId="6A0C3196" w14:textId="77777777" w:rsidR="00251FE9" w:rsidRDefault="00251FE9" w:rsidP="00251FE9">
      <w:pPr>
        <w:pStyle w:val="BodyText"/>
        <w:ind w:firstLine="0"/>
        <w:rPr>
          <w:rFonts w:ascii="Avenir Next" w:hAnsi="Avenir Next"/>
          <w:color w:val="808080" w:themeColor="background1" w:themeShade="80"/>
        </w:rPr>
      </w:pPr>
    </w:p>
    <w:p w14:paraId="60881935" w14:textId="1E2E46FF" w:rsidR="00662A8E" w:rsidRPr="0022169F" w:rsidRDefault="0022169F" w:rsidP="0022169F">
      <w:pPr>
        <w:pStyle w:val="BodyText"/>
        <w:ind w:firstLine="0"/>
        <w:rPr>
          <w:rFonts w:ascii="Avenir Next" w:hAnsi="Avenir Next"/>
          <w:color w:val="808080" w:themeColor="background1" w:themeShade="80"/>
        </w:rPr>
      </w:pPr>
      <w:r>
        <w:rPr>
          <w:rFonts w:ascii="Avenir Next" w:hAnsi="Avenir Next"/>
          <w:color w:val="808080" w:themeColor="background1" w:themeShade="80"/>
        </w:rPr>
        <w:t>Notwithstanding the above formal advertisement requirements, it should be noted that t</w:t>
      </w:r>
      <w:r w:rsidR="00251FE9">
        <w:rPr>
          <w:rFonts w:ascii="Avenir Next" w:hAnsi="Avenir Next"/>
          <w:color w:val="808080" w:themeColor="background1" w:themeShade="80"/>
        </w:rPr>
        <w:t xml:space="preserve">he Court </w:t>
      </w:r>
      <w:r>
        <w:rPr>
          <w:rFonts w:ascii="Avenir Next" w:hAnsi="Avenir Next"/>
          <w:color w:val="808080" w:themeColor="background1" w:themeShade="80"/>
        </w:rPr>
        <w:t>has demonstrated some flexibility in respect of advertisements, where in</w:t>
      </w:r>
      <w:r w:rsidRPr="0022169F">
        <w:rPr>
          <w:rFonts w:ascii="Avenir Next" w:hAnsi="Avenir Next"/>
          <w:i/>
          <w:color w:val="808080" w:themeColor="background1" w:themeShade="80"/>
          <w:u w:val="single"/>
        </w:rPr>
        <w:t xml:space="preserve"> </w:t>
      </w:r>
      <w:proofErr w:type="gramStart"/>
      <w:r w:rsidRPr="00251FE9">
        <w:rPr>
          <w:rFonts w:ascii="Avenir Next" w:hAnsi="Avenir Next"/>
          <w:i/>
          <w:color w:val="808080" w:themeColor="background1" w:themeShade="80"/>
          <w:u w:val="single"/>
        </w:rPr>
        <w:t>In</w:t>
      </w:r>
      <w:proofErr w:type="gramEnd"/>
      <w:r w:rsidRPr="00251FE9">
        <w:rPr>
          <w:rFonts w:ascii="Avenir Next" w:hAnsi="Avenir Next"/>
          <w:i/>
          <w:color w:val="808080" w:themeColor="background1" w:themeShade="80"/>
          <w:u w:val="single"/>
        </w:rPr>
        <w:t xml:space="preserve"> re Midway Resources International</w:t>
      </w:r>
      <w:r w:rsidRPr="004C3689">
        <w:rPr>
          <w:rFonts w:ascii="Avenir Next" w:hAnsi="Avenir Next"/>
          <w:color w:val="808080" w:themeColor="background1" w:themeShade="80"/>
        </w:rPr>
        <w:t>, FSD 51 of 2021, judgment dated 30 March 2021 (unreported</w:t>
      </w:r>
      <w:r>
        <w:rPr>
          <w:rFonts w:ascii="Avenir Next" w:hAnsi="Avenir Next"/>
          <w:color w:val="808080" w:themeColor="background1" w:themeShade="80"/>
        </w:rPr>
        <w:t>) it allowed</w:t>
      </w:r>
      <w:r w:rsidR="00251FE9">
        <w:rPr>
          <w:rFonts w:ascii="Avenir Next" w:hAnsi="Avenir Next"/>
          <w:color w:val="808080" w:themeColor="background1" w:themeShade="80"/>
        </w:rPr>
        <w:t xml:space="preserve"> dispensation with the formal advertising requirements</w:t>
      </w:r>
      <w:r w:rsidR="004C3689" w:rsidRPr="004C3689">
        <w:rPr>
          <w:rFonts w:ascii="Avenir Next" w:hAnsi="Avenir Next"/>
          <w:color w:val="808080" w:themeColor="background1" w:themeShade="80"/>
        </w:rPr>
        <w:t xml:space="preserve"> on the basis that the Company had directly notified all unsecured creditors of the petition</w:t>
      </w:r>
      <w:r>
        <w:rPr>
          <w:rFonts w:ascii="Avenir Next" w:hAnsi="Avenir Next"/>
          <w:color w:val="808080" w:themeColor="background1" w:themeShade="80"/>
        </w:rPr>
        <w:t xml:space="preserve">, </w:t>
      </w:r>
      <w:r w:rsidR="004C3689" w:rsidRPr="004C3689">
        <w:rPr>
          <w:rFonts w:ascii="Avenir Next" w:hAnsi="Avenir Next"/>
          <w:color w:val="808080" w:themeColor="background1" w:themeShade="80"/>
        </w:rPr>
        <w:t>its contents</w:t>
      </w:r>
      <w:r>
        <w:rPr>
          <w:rFonts w:ascii="Avenir Next" w:hAnsi="Avenir Next"/>
          <w:color w:val="808080" w:themeColor="background1" w:themeShade="80"/>
        </w:rPr>
        <w:t xml:space="preserve"> and the hearing date,</w:t>
      </w:r>
      <w:r w:rsidR="004C3689" w:rsidRPr="004C3689">
        <w:rPr>
          <w:rFonts w:ascii="Avenir Next" w:hAnsi="Avenir Next"/>
          <w:color w:val="808080" w:themeColor="background1" w:themeShade="80"/>
        </w:rPr>
        <w:t xml:space="preserve"> 7 calendar days before the hearing. </w:t>
      </w:r>
      <w:r>
        <w:rPr>
          <w:rFonts w:ascii="Avenir Next" w:hAnsi="Avenir Next"/>
          <w:color w:val="808080" w:themeColor="background1" w:themeShade="80"/>
        </w:rPr>
        <w:t xml:space="preserve">Justice Segal </w:t>
      </w:r>
      <w:r w:rsidR="004C3689" w:rsidRPr="004C3689">
        <w:rPr>
          <w:rFonts w:ascii="Avenir Next" w:hAnsi="Avenir Next"/>
          <w:color w:val="808080" w:themeColor="background1" w:themeShade="80"/>
        </w:rPr>
        <w:t xml:space="preserve">accepted that the actual notice given to each creditor through an emailed circular was in real world terms more effective notice than would have been achieved through strict </w:t>
      </w:r>
      <w:r w:rsidR="004C3689" w:rsidRPr="004C3689">
        <w:rPr>
          <w:rFonts w:ascii="Avenir Next" w:hAnsi="Avenir Next"/>
          <w:color w:val="808080" w:themeColor="background1" w:themeShade="80"/>
        </w:rPr>
        <w:lastRenderedPageBreak/>
        <w:t xml:space="preserve">compliance with the advertising requirements. </w:t>
      </w: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3E1D9C75" w:rsidR="00662A8E"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Oversight – supervising the restructuring process.</w:t>
      </w:r>
    </w:p>
    <w:p w14:paraId="5183E80F" w14:textId="04F136F5" w:rsidR="00DE4199"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Creditor protection – ensuring that credit claims are treated fairly.</w:t>
      </w:r>
    </w:p>
    <w:p w14:paraId="34D60688" w14:textId="5DDE06B3" w:rsidR="00DE4199"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Formulation of Restructuring Plan – assisting with the development of a plan that works.</w:t>
      </w:r>
    </w:p>
    <w:p w14:paraId="29B3D77F" w14:textId="1622D51C" w:rsidR="00DE4199"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Compliance – ensuring adherence to legal requirements.</w:t>
      </w:r>
    </w:p>
    <w:p w14:paraId="515648AC" w14:textId="5464261A" w:rsidR="00DE4199"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 xml:space="preserve">Transparency </w:t>
      </w:r>
      <w:proofErr w:type="gramStart"/>
      <w:r>
        <w:rPr>
          <w:rFonts w:ascii="Avenir Next" w:hAnsi="Avenir Next"/>
          <w:color w:val="808080" w:themeColor="background1" w:themeShade="80"/>
        </w:rPr>
        <w:t>-  ensuring</w:t>
      </w:r>
      <w:proofErr w:type="gramEnd"/>
      <w:r>
        <w:rPr>
          <w:rFonts w:ascii="Avenir Next" w:hAnsi="Avenir Next"/>
          <w:color w:val="808080" w:themeColor="background1" w:themeShade="80"/>
        </w:rPr>
        <w:t xml:space="preserve"> clear communication with stakeholders</w:t>
      </w:r>
    </w:p>
    <w:p w14:paraId="21168C03" w14:textId="7AD10C12" w:rsidR="00DE4199" w:rsidRPr="00DE4199" w:rsidRDefault="00DE4199" w:rsidP="00DE4199">
      <w:pPr>
        <w:pStyle w:val="BodyText"/>
        <w:numPr>
          <w:ilvl w:val="0"/>
          <w:numId w:val="46"/>
        </w:numPr>
        <w:rPr>
          <w:rFonts w:ascii="Avenir Next" w:hAnsi="Avenir Next"/>
          <w:color w:val="808080" w:themeColor="background1" w:themeShade="80"/>
        </w:rPr>
      </w:pPr>
      <w:r>
        <w:rPr>
          <w:rFonts w:ascii="Avenir Next" w:hAnsi="Avenir Next"/>
          <w:color w:val="808080" w:themeColor="background1" w:themeShade="80"/>
        </w:rPr>
        <w:t>Financial assessment – evaluating the financial status of the company.</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6A325CD8" w:rsidR="00662A8E" w:rsidRPr="007D4146" w:rsidRDefault="00DE4199" w:rsidP="00662A8E">
      <w:pPr>
        <w:pStyle w:val="BodyText"/>
        <w:ind w:firstLine="0"/>
        <w:rPr>
          <w:rFonts w:ascii="Avenir Next" w:hAnsi="Avenir Next"/>
          <w:b/>
          <w:bCs/>
        </w:rPr>
      </w:pPr>
      <w:r>
        <w:rPr>
          <w:rFonts w:ascii="Avenir Next" w:hAnsi="Avenir Next"/>
          <w:color w:val="808080" w:themeColor="background1" w:themeShade="80"/>
        </w:rPr>
        <w:t>Appointing a restructuring officer and staying the proceedings.</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193AD221" w:rsidR="006D7C44" w:rsidRPr="00486A0B" w:rsidRDefault="00FE3AF2" w:rsidP="00F3705F">
      <w:pPr>
        <w:pStyle w:val="BodyText"/>
        <w:ind w:firstLine="0"/>
        <w:rPr>
          <w:rFonts w:ascii="Avenir Next" w:hAnsi="Avenir Next"/>
          <w:b/>
          <w:bCs/>
        </w:rPr>
      </w:pPr>
      <w:r>
        <w:rPr>
          <w:rFonts w:ascii="Avenir Next" w:hAnsi="Avenir Next"/>
          <w:color w:val="808080" w:themeColor="background1" w:themeShade="80"/>
        </w:rPr>
        <w:t>The Exempted Limited Partnership Act (2021 Revision) and relevant sections of the Companies Act, dealing with dissolution, although the ELP Act will prevail where there are any inconsistencies.</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629F242D" w14:textId="40D4B887" w:rsidR="00592372" w:rsidRDefault="0059237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w:t>
      </w:r>
      <w:r w:rsidR="00925032">
        <w:rPr>
          <w:rFonts w:ascii="Avenir Next" w:hAnsi="Avenir Next"/>
          <w:color w:val="808080" w:themeColor="background1" w:themeShade="80"/>
        </w:rPr>
        <w:t>1</w:t>
      </w:r>
      <w:r>
        <w:rPr>
          <w:rFonts w:ascii="Avenir Next" w:hAnsi="Avenir Next"/>
          <w:color w:val="808080" w:themeColor="background1" w:themeShade="80"/>
        </w:rPr>
        <w:t xml:space="preserve">(d) of the Companies Act provides the Cayman Islands court with jurisdiction to make a winding up order in respect </w:t>
      </w:r>
      <w:r w:rsidR="00925032">
        <w:rPr>
          <w:rFonts w:ascii="Avenir Next" w:hAnsi="Avenir Next"/>
          <w:color w:val="808080" w:themeColor="background1" w:themeShade="80"/>
        </w:rPr>
        <w:t xml:space="preserve">of </w:t>
      </w:r>
      <w:r>
        <w:rPr>
          <w:rFonts w:ascii="Avenir Next" w:hAnsi="Avenir Next"/>
          <w:color w:val="808080" w:themeColor="background1" w:themeShade="80"/>
        </w:rPr>
        <w:t>a foreign company</w:t>
      </w:r>
      <w:r w:rsidR="00925032">
        <w:rPr>
          <w:rFonts w:ascii="Avenir Next" w:hAnsi="Avenir Next"/>
          <w:color w:val="808080" w:themeColor="background1" w:themeShade="80"/>
        </w:rPr>
        <w:t xml:space="preserve"> (as defined by s.183)</w:t>
      </w:r>
      <w:r>
        <w:rPr>
          <w:rFonts w:ascii="Avenir Next" w:hAnsi="Avenir Next"/>
          <w:color w:val="808080" w:themeColor="background1" w:themeShade="80"/>
        </w:rPr>
        <w:t xml:space="preserve"> in circumstances where the foreign company:</w:t>
      </w:r>
    </w:p>
    <w:p w14:paraId="18498715" w14:textId="57CFE155" w:rsidR="00592372" w:rsidRDefault="00592372" w:rsidP="00F3705F">
      <w:pPr>
        <w:pStyle w:val="BodyText"/>
        <w:ind w:firstLine="0"/>
        <w:rPr>
          <w:rFonts w:ascii="Avenir Next" w:hAnsi="Avenir Next"/>
          <w:color w:val="808080" w:themeColor="background1" w:themeShade="80"/>
        </w:rPr>
      </w:pPr>
    </w:p>
    <w:p w14:paraId="01906623" w14:textId="4F2D831E" w:rsidR="00925032" w:rsidRDefault="00925032" w:rsidP="00925032">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has property</w:t>
      </w:r>
      <w:r w:rsidR="00983459" w:rsidRPr="00925032">
        <w:rPr>
          <w:rFonts w:ascii="Avenir Next" w:hAnsi="Avenir Next"/>
          <w:color w:val="808080" w:themeColor="background1" w:themeShade="80"/>
        </w:rPr>
        <w:t xml:space="preserve"> located in the Cayman Islands; </w:t>
      </w:r>
    </w:p>
    <w:p w14:paraId="7EDC9334" w14:textId="77777777" w:rsidR="00925032" w:rsidRDefault="00983459" w:rsidP="00925032">
      <w:pPr>
        <w:pStyle w:val="BodyText"/>
        <w:numPr>
          <w:ilvl w:val="0"/>
          <w:numId w:val="40"/>
        </w:numPr>
        <w:rPr>
          <w:rFonts w:ascii="Avenir Next" w:hAnsi="Avenir Next"/>
          <w:color w:val="808080" w:themeColor="background1" w:themeShade="80"/>
        </w:rPr>
      </w:pPr>
      <w:r w:rsidRPr="00925032">
        <w:rPr>
          <w:rFonts w:ascii="Avenir Next" w:hAnsi="Avenir Next"/>
          <w:color w:val="808080" w:themeColor="background1" w:themeShade="80"/>
        </w:rPr>
        <w:t xml:space="preserve">is carrying on business in Cayman; </w:t>
      </w:r>
    </w:p>
    <w:p w14:paraId="5370BBD3" w14:textId="62C16E33" w:rsidR="00925032" w:rsidRDefault="00983459" w:rsidP="00925032">
      <w:pPr>
        <w:pStyle w:val="BodyText"/>
        <w:numPr>
          <w:ilvl w:val="0"/>
          <w:numId w:val="40"/>
        </w:numPr>
        <w:rPr>
          <w:rFonts w:ascii="Avenir Next" w:hAnsi="Avenir Next"/>
          <w:color w:val="808080" w:themeColor="background1" w:themeShade="80"/>
        </w:rPr>
      </w:pPr>
      <w:r w:rsidRPr="00925032">
        <w:rPr>
          <w:rFonts w:ascii="Avenir Next" w:hAnsi="Avenir Next"/>
          <w:color w:val="808080" w:themeColor="background1" w:themeShade="80"/>
        </w:rPr>
        <w:t>is the general partner of a Cayman limited partnership</w:t>
      </w:r>
      <w:r w:rsidR="00925032">
        <w:rPr>
          <w:rFonts w:ascii="Avenir Next" w:hAnsi="Avenir Next"/>
          <w:color w:val="808080" w:themeColor="background1" w:themeShade="80"/>
        </w:rPr>
        <w:t xml:space="preserve"> (or an ELP)</w:t>
      </w:r>
      <w:r w:rsidRPr="00925032">
        <w:rPr>
          <w:rFonts w:ascii="Avenir Next" w:hAnsi="Avenir Next"/>
          <w:color w:val="808080" w:themeColor="background1" w:themeShade="80"/>
        </w:rPr>
        <w:t xml:space="preserve">; or </w:t>
      </w:r>
    </w:p>
    <w:p w14:paraId="1DF53DDC" w14:textId="278C8A28" w:rsidR="00712982" w:rsidRPr="00D34CED" w:rsidRDefault="00983459" w:rsidP="00F3705F">
      <w:pPr>
        <w:pStyle w:val="BodyText"/>
        <w:numPr>
          <w:ilvl w:val="0"/>
          <w:numId w:val="40"/>
        </w:numPr>
        <w:rPr>
          <w:rFonts w:ascii="Avenir Next" w:hAnsi="Avenir Next"/>
          <w:color w:val="808080" w:themeColor="background1" w:themeShade="80"/>
        </w:rPr>
      </w:pPr>
      <w:r w:rsidRPr="00925032">
        <w:rPr>
          <w:rFonts w:ascii="Avenir Next" w:hAnsi="Avenir Next"/>
          <w:color w:val="808080" w:themeColor="background1" w:themeShade="80"/>
        </w:rPr>
        <w:t xml:space="preserve">is registered as a foreign company </w:t>
      </w:r>
      <w:r w:rsidR="00925032">
        <w:rPr>
          <w:rFonts w:ascii="Avenir Next" w:hAnsi="Avenir Next"/>
          <w:color w:val="808080" w:themeColor="background1" w:themeShade="80"/>
        </w:rPr>
        <w:t>under Part IX of the Companies Act</w:t>
      </w:r>
      <w:r w:rsidR="00D26F1B">
        <w:rPr>
          <w:rFonts w:ascii="Avenir Next" w:hAnsi="Avenir Next"/>
          <w:color w:val="808080" w:themeColor="background1" w:themeShade="80"/>
        </w:rPr>
        <w:t xml:space="preserve"> (and in particular, s. 186)</w:t>
      </w:r>
      <w:r w:rsidRPr="00925032">
        <w:rPr>
          <w:rFonts w:ascii="Avenir Next" w:hAnsi="Avenir Next"/>
          <w:color w:val="808080" w:themeColor="background1" w:themeShade="80"/>
        </w:rPr>
        <w:t>.</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62653FD2" w14:textId="77777777" w:rsidR="00FE3AF2" w:rsidRPr="00FE3AF2" w:rsidRDefault="00712982" w:rsidP="00FE3AF2">
      <w:pPr>
        <w:pStyle w:val="BodyText"/>
        <w:rPr>
          <w:rFonts w:ascii="Avenir Next" w:hAnsi="Avenir Next"/>
          <w:color w:val="808080" w:themeColor="background1" w:themeShade="80"/>
        </w:rPr>
      </w:pPr>
      <w:r w:rsidRPr="00486A0B">
        <w:rPr>
          <w:rFonts w:ascii="Avenir Next" w:hAnsi="Avenir Next"/>
          <w:color w:val="808080" w:themeColor="background1" w:themeShade="80"/>
        </w:rPr>
        <w:t>[</w:t>
      </w:r>
      <w:r w:rsidR="00FE3AF2" w:rsidRPr="00FE3AF2">
        <w:rPr>
          <w:rFonts w:ascii="Avenir Next" w:hAnsi="Avenir Next"/>
          <w:color w:val="808080" w:themeColor="background1" w:themeShade="80"/>
        </w:rPr>
        <w:t>The Foreign Judgments Reciprocal Enforcement Act (1996 Revision) provides that foreign</w:t>
      </w:r>
    </w:p>
    <w:p w14:paraId="614E4F0D" w14:textId="77777777" w:rsidR="00FE3AF2" w:rsidRPr="00FE3AF2" w:rsidRDefault="00FE3AF2" w:rsidP="00FE3AF2">
      <w:pPr>
        <w:pStyle w:val="BodyText"/>
        <w:rPr>
          <w:rFonts w:ascii="Avenir Next" w:hAnsi="Avenir Next"/>
          <w:color w:val="808080" w:themeColor="background1" w:themeShade="80"/>
        </w:rPr>
      </w:pPr>
      <w:r w:rsidRPr="00FE3AF2">
        <w:rPr>
          <w:rFonts w:ascii="Avenir Next" w:hAnsi="Avenir Next"/>
          <w:color w:val="808080" w:themeColor="background1" w:themeShade="80"/>
        </w:rPr>
        <w:t>judgments given in specified foreign courts may be registered in the Cayman Islands and</w:t>
      </w:r>
    </w:p>
    <w:p w14:paraId="143B97EB" w14:textId="5F861FA4" w:rsidR="00FE3AF2" w:rsidRPr="00FE3AF2" w:rsidRDefault="00FE3AF2" w:rsidP="00FE3AF2">
      <w:pPr>
        <w:pStyle w:val="BodyText"/>
        <w:rPr>
          <w:rFonts w:ascii="Avenir Next" w:hAnsi="Avenir Next"/>
          <w:color w:val="808080" w:themeColor="background1" w:themeShade="80"/>
        </w:rPr>
      </w:pPr>
      <w:r w:rsidRPr="00FE3AF2">
        <w:rPr>
          <w:rFonts w:ascii="Avenir Next" w:hAnsi="Avenir Next"/>
          <w:color w:val="808080" w:themeColor="background1" w:themeShade="80"/>
        </w:rPr>
        <w:t>enforced in the same manner as a domestic judgment of the Cayman</w:t>
      </w:r>
    </w:p>
    <w:p w14:paraId="396BCE2F" w14:textId="7DEAC4F9" w:rsidR="00FE3AF2" w:rsidRPr="00FE3AF2" w:rsidRDefault="00FE3AF2" w:rsidP="00FE3AF2">
      <w:pPr>
        <w:pStyle w:val="BodyText"/>
        <w:rPr>
          <w:rFonts w:ascii="Avenir Next" w:hAnsi="Avenir Next"/>
          <w:color w:val="808080" w:themeColor="background1" w:themeShade="80"/>
        </w:rPr>
      </w:pPr>
      <w:r w:rsidRPr="00FE3AF2">
        <w:rPr>
          <w:rFonts w:ascii="Avenir Next" w:hAnsi="Avenir Next"/>
          <w:color w:val="808080" w:themeColor="background1" w:themeShade="80"/>
        </w:rPr>
        <w:t>Islands Court.</w:t>
      </w:r>
      <w:r>
        <w:rPr>
          <w:rFonts w:ascii="Avenir Next" w:hAnsi="Avenir Next"/>
          <w:color w:val="808080" w:themeColor="background1" w:themeShade="80"/>
        </w:rPr>
        <w:t xml:space="preserve"> </w:t>
      </w:r>
      <w:r w:rsidRPr="00FE3AF2">
        <w:rPr>
          <w:rFonts w:ascii="Avenir Next" w:hAnsi="Avenir Next"/>
          <w:color w:val="808080" w:themeColor="background1" w:themeShade="80"/>
        </w:rPr>
        <w:t xml:space="preserve">However, </w:t>
      </w:r>
      <w:r>
        <w:rPr>
          <w:rFonts w:ascii="Avenir Next" w:hAnsi="Avenir Next"/>
          <w:color w:val="808080" w:themeColor="background1" w:themeShade="80"/>
        </w:rPr>
        <w:t>the legislation</w:t>
      </w:r>
      <w:r w:rsidRPr="00FE3AF2">
        <w:rPr>
          <w:rFonts w:ascii="Avenir Next" w:hAnsi="Avenir Next"/>
          <w:color w:val="808080" w:themeColor="background1" w:themeShade="80"/>
        </w:rPr>
        <w:t xml:space="preserve"> applies </w:t>
      </w:r>
      <w:r>
        <w:rPr>
          <w:rFonts w:ascii="Avenir Next" w:hAnsi="Avenir Next"/>
          <w:color w:val="808080" w:themeColor="background1" w:themeShade="80"/>
        </w:rPr>
        <w:t xml:space="preserve">only to </w:t>
      </w:r>
      <w:proofErr w:type="spellStart"/>
      <w:r w:rsidRPr="00FE3AF2">
        <w:rPr>
          <w:rFonts w:ascii="Avenir Next" w:hAnsi="Avenir Next"/>
          <w:color w:val="808080" w:themeColor="background1" w:themeShade="80"/>
        </w:rPr>
        <w:t>to</w:t>
      </w:r>
      <w:proofErr w:type="spellEnd"/>
      <w:r w:rsidRPr="00FE3AF2">
        <w:rPr>
          <w:rFonts w:ascii="Avenir Next" w:hAnsi="Avenir Next"/>
          <w:color w:val="808080" w:themeColor="background1" w:themeShade="80"/>
        </w:rPr>
        <w:t xml:space="preserve"> certain courts of Australia and its external territories</w:t>
      </w:r>
      <w:r>
        <w:rPr>
          <w:rFonts w:ascii="Avenir Next" w:hAnsi="Avenir Next"/>
          <w:color w:val="808080" w:themeColor="background1" w:themeShade="80"/>
        </w:rPr>
        <w:t xml:space="preserve"> </w:t>
      </w:r>
      <w:r w:rsidRPr="00FE3AF2">
        <w:rPr>
          <w:rFonts w:ascii="Avenir Next" w:hAnsi="Avenir Next"/>
          <w:color w:val="808080" w:themeColor="background1" w:themeShade="80"/>
        </w:rPr>
        <w:t xml:space="preserve">as </w:t>
      </w:r>
      <w:r>
        <w:rPr>
          <w:rFonts w:ascii="Avenir Next" w:hAnsi="Avenir Next"/>
          <w:color w:val="808080" w:themeColor="background1" w:themeShade="80"/>
        </w:rPr>
        <w:t xml:space="preserve">stipulated </w:t>
      </w:r>
      <w:r w:rsidRPr="00FE3AF2">
        <w:rPr>
          <w:rFonts w:ascii="Avenir Next" w:hAnsi="Avenir Next"/>
          <w:color w:val="808080" w:themeColor="background1" w:themeShade="80"/>
        </w:rPr>
        <w:t>in the Foreign Judgments Reciprocal Enforcement (Australia and its External Territories Order</w:t>
      </w:r>
      <w:r>
        <w:rPr>
          <w:rFonts w:ascii="Avenir Next" w:hAnsi="Avenir Next"/>
          <w:color w:val="808080" w:themeColor="background1" w:themeShade="80"/>
        </w:rPr>
        <w:t xml:space="preserve">) </w:t>
      </w:r>
      <w:r w:rsidRPr="00FE3AF2">
        <w:rPr>
          <w:rFonts w:ascii="Avenir Next" w:hAnsi="Avenir Next"/>
          <w:color w:val="808080" w:themeColor="background1" w:themeShade="80"/>
        </w:rPr>
        <w:t>1993.</w:t>
      </w:r>
    </w:p>
    <w:p w14:paraId="5F46E54C" w14:textId="77777777" w:rsidR="00FE3AF2" w:rsidRDefault="00FE3AF2" w:rsidP="00FE3AF2">
      <w:pPr>
        <w:pStyle w:val="BodyText"/>
        <w:rPr>
          <w:rFonts w:ascii="Avenir Next" w:hAnsi="Avenir Next"/>
          <w:color w:val="808080" w:themeColor="background1" w:themeShade="80"/>
        </w:rPr>
      </w:pPr>
    </w:p>
    <w:p w14:paraId="446F6F82" w14:textId="38F02CE6" w:rsidR="00FE3AF2" w:rsidRDefault="00FE3AF2" w:rsidP="00FE3AF2">
      <w:pPr>
        <w:pStyle w:val="BodyText"/>
        <w:rPr>
          <w:rFonts w:ascii="Avenir Next" w:hAnsi="Avenir Next"/>
          <w:color w:val="808080" w:themeColor="background1" w:themeShade="80"/>
        </w:rPr>
      </w:pPr>
      <w:r>
        <w:rPr>
          <w:rFonts w:ascii="Avenir Next" w:hAnsi="Avenir Next"/>
          <w:color w:val="808080" w:themeColor="background1" w:themeShade="80"/>
        </w:rPr>
        <w:t>Order 71 of the Grand Court Rules provides the relevant procedure i</w:t>
      </w:r>
      <w:r w:rsidRPr="00FE3AF2">
        <w:rPr>
          <w:rFonts w:ascii="Avenir Next" w:hAnsi="Avenir Next"/>
          <w:color w:val="808080" w:themeColor="background1" w:themeShade="80"/>
        </w:rPr>
        <w:t>n circumstances where the Act applies</w:t>
      </w:r>
    </w:p>
    <w:p w14:paraId="70F75436" w14:textId="77777777" w:rsidR="00FE3AF2" w:rsidRPr="00FE3AF2" w:rsidRDefault="00FE3AF2" w:rsidP="00FE3AF2">
      <w:pPr>
        <w:pStyle w:val="BodyText"/>
        <w:rPr>
          <w:rFonts w:ascii="Avenir Next" w:hAnsi="Avenir Next"/>
          <w:color w:val="808080" w:themeColor="background1" w:themeShade="80"/>
        </w:rPr>
      </w:pPr>
    </w:p>
    <w:p w14:paraId="4C5DDBE9" w14:textId="2BF4DCF0" w:rsidR="000F27B2" w:rsidRPr="000F27B2" w:rsidRDefault="00FE3AF2" w:rsidP="00FE3AF2">
      <w:pPr>
        <w:pStyle w:val="BodyText"/>
        <w:rPr>
          <w:rFonts w:ascii="Avenir Next" w:hAnsi="Avenir Next"/>
          <w:color w:val="808080" w:themeColor="background1" w:themeShade="80"/>
        </w:rPr>
      </w:pPr>
      <w:r>
        <w:rPr>
          <w:rFonts w:ascii="Avenir Next" w:hAnsi="Avenir Next"/>
          <w:color w:val="808080" w:themeColor="background1" w:themeShade="80"/>
        </w:rPr>
        <w:t xml:space="preserve">A </w:t>
      </w:r>
      <w:r w:rsidRPr="00FE3AF2">
        <w:rPr>
          <w:rFonts w:ascii="Avenir Next" w:hAnsi="Avenir Next"/>
          <w:color w:val="808080" w:themeColor="background1" w:themeShade="80"/>
        </w:rPr>
        <w:t xml:space="preserve">foreign judgment registered under the </w:t>
      </w:r>
      <w:proofErr w:type="spellStart"/>
      <w:r>
        <w:rPr>
          <w:rFonts w:ascii="Avenir Next" w:hAnsi="Avenir Next"/>
          <w:color w:val="808080" w:themeColor="background1" w:themeShade="80"/>
        </w:rPr>
        <w:t>abovemnetioned</w:t>
      </w:r>
      <w:proofErr w:type="spellEnd"/>
      <w:r w:rsidRPr="00FE3AF2">
        <w:rPr>
          <w:rFonts w:ascii="Avenir Next" w:hAnsi="Avenir Next"/>
          <w:color w:val="808080" w:themeColor="background1" w:themeShade="80"/>
        </w:rPr>
        <w:t xml:space="preserve"> Act can be set aside on an application of any party against whom a registered judgment</w:t>
      </w:r>
      <w:r>
        <w:rPr>
          <w:rFonts w:ascii="Avenir Next" w:hAnsi="Avenir Next"/>
          <w:color w:val="808080" w:themeColor="background1" w:themeShade="80"/>
        </w:rPr>
        <w:t xml:space="preserve"> </w:t>
      </w:r>
      <w:r w:rsidRPr="00FE3AF2">
        <w:rPr>
          <w:rFonts w:ascii="Avenir Next" w:hAnsi="Avenir Next"/>
          <w:color w:val="808080" w:themeColor="background1" w:themeShade="80"/>
        </w:rPr>
        <w:t xml:space="preserve">may be enforced. </w:t>
      </w:r>
    </w:p>
    <w:p w14:paraId="47CA5D99" w14:textId="77777777" w:rsidR="000F27B2" w:rsidRPr="000F27B2" w:rsidRDefault="000F27B2" w:rsidP="000F27B2">
      <w:pPr>
        <w:pStyle w:val="BodyText"/>
        <w:rPr>
          <w:rFonts w:ascii="Avenir Next" w:hAnsi="Avenir Next"/>
          <w:color w:val="808080" w:themeColor="background1" w:themeShade="80"/>
        </w:rPr>
      </w:pPr>
    </w:p>
    <w:p w14:paraId="1E1BC559" w14:textId="643A7B8B" w:rsidR="00712982" w:rsidRPr="00FE3AF2" w:rsidRDefault="000F27B2" w:rsidP="00FE3AF2">
      <w:pPr>
        <w:pStyle w:val="BodyText"/>
        <w:rPr>
          <w:rFonts w:ascii="Avenir Next" w:hAnsi="Avenir Next"/>
          <w:color w:val="808080" w:themeColor="background1" w:themeShade="80"/>
        </w:rPr>
      </w:pPr>
      <w:r w:rsidRPr="000F27B2">
        <w:rPr>
          <w:rFonts w:ascii="Avenir Next" w:hAnsi="Avenir Next"/>
          <w:color w:val="808080" w:themeColor="background1" w:themeShade="80"/>
        </w:rPr>
        <w:t xml:space="preserve">Practice Direction No.1 of 2018 deals with court-to-court communications and co-operation in cross border insolvency and restructuring cases.  Specifically, the PD states that Cayman office holders should </w:t>
      </w:r>
      <w:proofErr w:type="spellStart"/>
      <w:r w:rsidR="00FE3AF2">
        <w:rPr>
          <w:rFonts w:ascii="Avenir Next" w:hAnsi="Avenir Next"/>
          <w:color w:val="808080" w:themeColor="background1" w:themeShade="80"/>
        </w:rPr>
        <w:t>promotpy</w:t>
      </w:r>
      <w:proofErr w:type="spellEnd"/>
      <w:r w:rsidR="00FE3AF2">
        <w:rPr>
          <w:rFonts w:ascii="Avenir Next" w:hAnsi="Avenir Next"/>
          <w:color w:val="808080" w:themeColor="background1" w:themeShade="80"/>
        </w:rPr>
        <w:t xml:space="preserve"> </w:t>
      </w:r>
      <w:r w:rsidRPr="000F27B2">
        <w:rPr>
          <w:rFonts w:ascii="Avenir Next" w:hAnsi="Avenir Next"/>
          <w:color w:val="808080" w:themeColor="background1" w:themeShade="80"/>
        </w:rPr>
        <w:t xml:space="preserve">consider whether to incorporate some or all of the Guidelines defined as (1) the American Law Institute/International Insolvency Institute Guidelines applicable to Court-to-Court Communications in Cross-Border Insolvency Matters and (2) the Judicial Insolvency Network Guidelines for Communication and Co-operation between Courts in Cross-Border Insolvency Matters </w:t>
      </w:r>
      <w:r w:rsidRPr="000F27B2">
        <w:rPr>
          <w:rFonts w:ascii="Avenir Next" w:hAnsi="Avenir Next"/>
          <w:color w:val="808080" w:themeColor="background1" w:themeShade="80"/>
        </w:rPr>
        <w:lastRenderedPageBreak/>
        <w:t>into an international protocol to be approved by the Court.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6D51E090" w14:textId="0F9E35F1" w:rsidR="0074335D" w:rsidRDefault="00DB12E8" w:rsidP="00DB12E8">
      <w:pPr>
        <w:pStyle w:val="BodyText"/>
        <w:rPr>
          <w:rFonts w:ascii="Avenir Next" w:hAnsi="Avenir Next"/>
          <w:color w:val="808080" w:themeColor="background1" w:themeShade="80"/>
        </w:rPr>
      </w:pPr>
      <w:r>
        <w:rPr>
          <w:rFonts w:ascii="Avenir Next" w:hAnsi="Avenir Next"/>
          <w:color w:val="808080" w:themeColor="background1" w:themeShade="80"/>
        </w:rPr>
        <w:t xml:space="preserve">Power to hold </w:t>
      </w:r>
      <w:r w:rsidR="0074335D" w:rsidRPr="0074335D">
        <w:rPr>
          <w:rFonts w:ascii="Avenir Next" w:hAnsi="Avenir Next"/>
          <w:color w:val="808080" w:themeColor="background1" w:themeShade="80"/>
        </w:rPr>
        <w:t xml:space="preserve">Property </w:t>
      </w:r>
      <w:r>
        <w:rPr>
          <w:rFonts w:ascii="Avenir Next" w:hAnsi="Avenir Next"/>
          <w:color w:val="808080" w:themeColor="background1" w:themeShade="80"/>
        </w:rPr>
        <w:t>u</w:t>
      </w:r>
      <w:r w:rsidR="0074335D" w:rsidRPr="0074335D">
        <w:rPr>
          <w:rFonts w:ascii="Avenir Next" w:hAnsi="Avenir Next"/>
          <w:color w:val="808080" w:themeColor="background1" w:themeShade="80"/>
        </w:rPr>
        <w:t>pon a provisional or absolute order being made</w:t>
      </w:r>
      <w:r>
        <w:rPr>
          <w:rFonts w:ascii="Avenir Next" w:hAnsi="Avenir Next"/>
          <w:color w:val="808080" w:themeColor="background1" w:themeShade="80"/>
        </w:rPr>
        <w:t xml:space="preserve"> (s.37) and </w:t>
      </w:r>
      <w:r w:rsidR="0074335D" w:rsidRPr="0074335D">
        <w:rPr>
          <w:rFonts w:ascii="Avenir Next" w:hAnsi="Avenir Next"/>
          <w:color w:val="808080" w:themeColor="background1" w:themeShade="80"/>
        </w:rPr>
        <w:t>administer the estates of debtors in bankruptcy subjec</w:t>
      </w:r>
      <w:r>
        <w:rPr>
          <w:rFonts w:ascii="Avenir Next" w:hAnsi="Avenir Next"/>
          <w:color w:val="808080" w:themeColor="background1" w:themeShade="80"/>
        </w:rPr>
        <w:t xml:space="preserve">t </w:t>
      </w:r>
      <w:r w:rsidR="0074335D" w:rsidRPr="0074335D">
        <w:rPr>
          <w:rFonts w:ascii="Avenir Next" w:hAnsi="Avenir Next"/>
          <w:color w:val="808080" w:themeColor="background1" w:themeShade="80"/>
        </w:rPr>
        <w:t>to the Bankruptcy Act.</w:t>
      </w:r>
    </w:p>
    <w:p w14:paraId="00E0F73D" w14:textId="77777777" w:rsidR="0074335D" w:rsidRDefault="0074335D" w:rsidP="0074335D">
      <w:pPr>
        <w:pStyle w:val="BodyText"/>
        <w:ind w:firstLine="0"/>
        <w:rPr>
          <w:rFonts w:ascii="Avenir Next" w:hAnsi="Avenir Next"/>
          <w:color w:val="808080" w:themeColor="background1" w:themeShade="80"/>
        </w:rPr>
      </w:pPr>
    </w:p>
    <w:p w14:paraId="67ECA107" w14:textId="75FB3F7D" w:rsidR="0074335D" w:rsidRDefault="00DB12E8" w:rsidP="00DB12E8">
      <w:pPr>
        <w:pStyle w:val="BodyText"/>
        <w:rPr>
          <w:rFonts w:ascii="Avenir Next" w:hAnsi="Avenir Next"/>
          <w:color w:val="808080" w:themeColor="background1" w:themeShade="80"/>
        </w:rPr>
      </w:pPr>
      <w:r>
        <w:rPr>
          <w:rFonts w:ascii="Avenir Next" w:hAnsi="Avenir Next"/>
          <w:color w:val="808080" w:themeColor="background1" w:themeShade="80"/>
        </w:rPr>
        <w:t>P</w:t>
      </w:r>
      <w:r w:rsidR="0074335D" w:rsidRPr="0074335D">
        <w:rPr>
          <w:rFonts w:ascii="Avenir Next" w:hAnsi="Avenir Next"/>
          <w:color w:val="808080" w:themeColor="background1" w:themeShade="80"/>
        </w:rPr>
        <w:t>reserve the property</w:t>
      </w:r>
      <w:r>
        <w:rPr>
          <w:rFonts w:ascii="Avenir Next" w:hAnsi="Avenir Next"/>
          <w:color w:val="808080" w:themeColor="background1" w:themeShade="80"/>
        </w:rPr>
        <w:t xml:space="preserve"> </w:t>
      </w:r>
      <w:r w:rsidR="0074335D" w:rsidRPr="0074335D">
        <w:rPr>
          <w:rFonts w:ascii="Avenir Next" w:hAnsi="Avenir Next"/>
          <w:color w:val="808080" w:themeColor="background1" w:themeShade="80"/>
        </w:rPr>
        <w:t>such that it may be returned to the debtor in the event the provisional order is revoked.</w:t>
      </w:r>
    </w:p>
    <w:p w14:paraId="42BF8609" w14:textId="4885E933" w:rsidR="00DB12E8" w:rsidRDefault="00DB12E8" w:rsidP="00DB12E8">
      <w:pPr>
        <w:pStyle w:val="BodyText"/>
        <w:rPr>
          <w:rFonts w:ascii="Avenir Next" w:hAnsi="Avenir Next"/>
          <w:color w:val="808080" w:themeColor="background1" w:themeShade="80"/>
        </w:rPr>
      </w:pPr>
    </w:p>
    <w:p w14:paraId="26A04C11" w14:textId="25D088F0" w:rsidR="0074335D" w:rsidRPr="0074335D" w:rsidRDefault="00DB12E8" w:rsidP="00DB12E8">
      <w:pPr>
        <w:pStyle w:val="BodyText"/>
        <w:rPr>
          <w:rFonts w:ascii="Avenir Next" w:hAnsi="Avenir Next"/>
          <w:color w:val="808080" w:themeColor="background1" w:themeShade="80"/>
        </w:rPr>
      </w:pPr>
      <w:r>
        <w:rPr>
          <w:rFonts w:ascii="Avenir Next" w:hAnsi="Avenir Next"/>
          <w:color w:val="808080" w:themeColor="background1" w:themeShade="80"/>
        </w:rPr>
        <w:t xml:space="preserve">And see </w:t>
      </w:r>
      <w:proofErr w:type="spellStart"/>
      <w:r>
        <w:rPr>
          <w:rFonts w:ascii="Avenir Next" w:hAnsi="Avenir Next"/>
          <w:color w:val="808080" w:themeColor="background1" w:themeShade="80"/>
        </w:rPr>
        <w:t>sctions</w:t>
      </w:r>
      <w:proofErr w:type="spellEnd"/>
      <w:r>
        <w:rPr>
          <w:rFonts w:ascii="Avenir Next" w:hAnsi="Avenir Next"/>
          <w:color w:val="808080" w:themeColor="background1" w:themeShade="80"/>
        </w:rPr>
        <w:t xml:space="preserve"> 79, 80, 87, 65.</w:t>
      </w:r>
    </w:p>
    <w:p w14:paraId="568B4361" w14:textId="77777777" w:rsidR="00DB12E8" w:rsidRDefault="00DB12E8" w:rsidP="0074335D">
      <w:pPr>
        <w:pStyle w:val="BodyText"/>
        <w:rPr>
          <w:rFonts w:ascii="Avenir Next" w:hAnsi="Avenir Next"/>
          <w:color w:val="808080" w:themeColor="background1" w:themeShade="80"/>
        </w:rPr>
      </w:pPr>
    </w:p>
    <w:p w14:paraId="6E92E264" w14:textId="1E91DA92" w:rsidR="0074335D" w:rsidRPr="0074335D" w:rsidRDefault="00DB12E8" w:rsidP="0074335D">
      <w:pPr>
        <w:pStyle w:val="BodyText"/>
        <w:rPr>
          <w:rFonts w:ascii="Avenir Next" w:hAnsi="Avenir Next"/>
          <w:color w:val="808080" w:themeColor="background1" w:themeShade="80"/>
        </w:rPr>
      </w:pPr>
      <w:r>
        <w:rPr>
          <w:rFonts w:ascii="Avenir Next" w:hAnsi="Avenir Next"/>
          <w:color w:val="808080" w:themeColor="background1" w:themeShade="80"/>
        </w:rPr>
        <w:t xml:space="preserve">They must also report </w:t>
      </w:r>
      <w:r w:rsidR="0074335D" w:rsidRPr="0074335D">
        <w:rPr>
          <w:rFonts w:ascii="Avenir Next" w:hAnsi="Avenir Next"/>
          <w:color w:val="808080" w:themeColor="background1" w:themeShade="80"/>
        </w:rPr>
        <w:t>as soon as possible after the close of the public examination of the</w:t>
      </w:r>
    </w:p>
    <w:p w14:paraId="14041BB4" w14:textId="5C7AE2B0" w:rsidR="0074335D" w:rsidRPr="0074335D" w:rsidRDefault="0074335D" w:rsidP="0074335D">
      <w:pPr>
        <w:pStyle w:val="BodyText"/>
        <w:rPr>
          <w:rFonts w:ascii="Avenir Next" w:hAnsi="Avenir Next"/>
          <w:color w:val="808080" w:themeColor="background1" w:themeShade="80"/>
        </w:rPr>
      </w:pPr>
      <w:r w:rsidRPr="0074335D">
        <w:rPr>
          <w:rFonts w:ascii="Avenir Next" w:hAnsi="Avenir Next"/>
          <w:color w:val="808080" w:themeColor="background1" w:themeShade="80"/>
        </w:rPr>
        <w:t>debtor, as to the state of the debtor’s affairs and as to the conduct of the debtor</w:t>
      </w:r>
    </w:p>
    <w:p w14:paraId="7BC0868B" w14:textId="715756FF" w:rsidR="00F3705F" w:rsidRPr="00486A0B" w:rsidRDefault="0074335D" w:rsidP="00DB12E8">
      <w:pPr>
        <w:pStyle w:val="BodyText"/>
        <w:rPr>
          <w:rFonts w:ascii="Avenir Next" w:hAnsi="Avenir Next"/>
          <w:b/>
          <w:bCs/>
        </w:rPr>
      </w:pPr>
      <w:r w:rsidRPr="0074335D">
        <w:rPr>
          <w:rFonts w:ascii="Avenir Next" w:hAnsi="Avenir Next"/>
          <w:color w:val="808080" w:themeColor="background1" w:themeShade="80"/>
        </w:rPr>
        <w:t>before and during the bankruptcy.</w:t>
      </w:r>
      <w:bookmarkStart w:id="0" w:name="_GoBack"/>
      <w:bookmarkEnd w:id="0"/>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60E" w14:textId="77777777" w:rsidR="006F097B" w:rsidRDefault="006F097B" w:rsidP="001016B0">
      <w:r>
        <w:separator/>
      </w:r>
    </w:p>
  </w:endnote>
  <w:endnote w:type="continuationSeparator" w:id="0">
    <w:p w14:paraId="2B406D41" w14:textId="77777777" w:rsidR="006F097B" w:rsidRDefault="006F097B" w:rsidP="001016B0">
      <w:r>
        <w:continuationSeparator/>
      </w:r>
    </w:p>
  </w:endnote>
  <w:endnote w:type="continuationNotice" w:id="1">
    <w:p w14:paraId="260DC0D7" w14:textId="77777777" w:rsidR="006F097B" w:rsidRDefault="006F0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6F097B" w:rsidRDefault="006F097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6F097B" w:rsidRPr="001016B0" w:rsidRDefault="006F097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6F097B" w:rsidRDefault="006F097B"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6F097B" w:rsidRDefault="006F097B" w:rsidP="00CF79F9">
    <w:pPr>
      <w:pStyle w:val="Footer"/>
      <w:framePr w:w="911" w:h="331" w:hRule="exact" w:wrap="none" w:vAnchor="text" w:hAnchor="margin" w:xAlign="right" w:y="5"/>
      <w:ind w:right="360"/>
      <w:rPr>
        <w:rStyle w:val="PageNumber"/>
      </w:rPr>
    </w:pPr>
  </w:p>
  <w:p w14:paraId="77332963" w14:textId="36124AB0" w:rsidR="006F097B" w:rsidRDefault="006F097B" w:rsidP="008A20AC">
    <w:pPr>
      <w:pStyle w:val="Footer"/>
      <w:ind w:right="360"/>
    </w:pPr>
    <w:r>
      <w:t>202324-1083.SummativeAssessment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6F097B" w:rsidRDefault="006F097B"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FC48" w14:textId="77777777" w:rsidR="006F097B" w:rsidRDefault="006F097B" w:rsidP="001016B0">
      <w:r>
        <w:separator/>
      </w:r>
    </w:p>
  </w:footnote>
  <w:footnote w:type="continuationSeparator" w:id="0">
    <w:p w14:paraId="048DBB0E" w14:textId="77777777" w:rsidR="006F097B" w:rsidRDefault="006F097B" w:rsidP="001016B0">
      <w:r>
        <w:continuationSeparator/>
      </w:r>
    </w:p>
  </w:footnote>
  <w:footnote w:type="continuationNotice" w:id="1">
    <w:p w14:paraId="5EF02029" w14:textId="77777777" w:rsidR="006F097B" w:rsidRDefault="006F0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B611E5"/>
    <w:multiLevelType w:val="hybridMultilevel"/>
    <w:tmpl w:val="40160FB6"/>
    <w:lvl w:ilvl="0" w:tplc="25CA1C2E">
      <w:start w:val="1"/>
      <w:numFmt w:val="lowerRoman"/>
      <w:lvlText w:val="(%1)"/>
      <w:lvlJc w:val="right"/>
      <w:pPr>
        <w:ind w:left="720" w:hanging="360"/>
      </w:pPr>
      <w:rPr>
        <w:rFonts w:ascii="Avenir Next" w:eastAsia="Arial" w:hAnsi="Avenir Nex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2E9A"/>
    <w:multiLevelType w:val="hybridMultilevel"/>
    <w:tmpl w:val="B2CE4074"/>
    <w:lvl w:ilvl="0" w:tplc="27426C8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D25C6"/>
    <w:multiLevelType w:val="hybridMultilevel"/>
    <w:tmpl w:val="CDE67FF0"/>
    <w:lvl w:ilvl="0" w:tplc="6F0224E6">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4350A"/>
    <w:multiLevelType w:val="hybridMultilevel"/>
    <w:tmpl w:val="B3B48CA4"/>
    <w:lvl w:ilvl="0" w:tplc="DB746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175D1"/>
    <w:multiLevelType w:val="hybridMultilevel"/>
    <w:tmpl w:val="0BF2A9CE"/>
    <w:lvl w:ilvl="0" w:tplc="BB228E6C">
      <w:start w:val="1"/>
      <w:numFmt w:val="lowerRoman"/>
      <w:lvlText w:val="(%1)"/>
      <w:lvlJc w:val="left"/>
      <w:pPr>
        <w:ind w:left="2" w:hanging="360"/>
      </w:pPr>
      <w:rPr>
        <w:rFonts w:ascii="Avenir Next" w:eastAsia="Arial" w:hAnsi="Avenir Next" w:cs="Arial"/>
      </w:r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16"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9D1D35"/>
    <w:multiLevelType w:val="hybridMultilevel"/>
    <w:tmpl w:val="74F0A9D2"/>
    <w:lvl w:ilvl="0" w:tplc="21E4B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F8D227B"/>
    <w:multiLevelType w:val="hybridMultilevel"/>
    <w:tmpl w:val="B568C4B2"/>
    <w:lvl w:ilvl="0" w:tplc="B998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D0DB7"/>
    <w:multiLevelType w:val="hybridMultilevel"/>
    <w:tmpl w:val="D7B27D6E"/>
    <w:lvl w:ilvl="0" w:tplc="602499D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25"/>
  </w:num>
  <w:num w:numId="4">
    <w:abstractNumId w:val="31"/>
  </w:num>
  <w:num w:numId="5">
    <w:abstractNumId w:val="0"/>
  </w:num>
  <w:num w:numId="6">
    <w:abstractNumId w:val="1"/>
  </w:num>
  <w:num w:numId="7">
    <w:abstractNumId w:val="34"/>
  </w:num>
  <w:num w:numId="8">
    <w:abstractNumId w:val="2"/>
  </w:num>
  <w:num w:numId="9">
    <w:abstractNumId w:val="42"/>
  </w:num>
  <w:num w:numId="10">
    <w:abstractNumId w:val="43"/>
  </w:num>
  <w:num w:numId="11">
    <w:abstractNumId w:val="7"/>
  </w:num>
  <w:num w:numId="12">
    <w:abstractNumId w:val="44"/>
  </w:num>
  <w:num w:numId="13">
    <w:abstractNumId w:val="36"/>
  </w:num>
  <w:num w:numId="14">
    <w:abstractNumId w:val="21"/>
  </w:num>
  <w:num w:numId="15">
    <w:abstractNumId w:val="20"/>
  </w:num>
  <w:num w:numId="16">
    <w:abstractNumId w:val="41"/>
  </w:num>
  <w:num w:numId="17">
    <w:abstractNumId w:val="18"/>
  </w:num>
  <w:num w:numId="18">
    <w:abstractNumId w:val="14"/>
  </w:num>
  <w:num w:numId="19">
    <w:abstractNumId w:val="26"/>
  </w:num>
  <w:num w:numId="20">
    <w:abstractNumId w:val="9"/>
  </w:num>
  <w:num w:numId="21">
    <w:abstractNumId w:val="12"/>
  </w:num>
  <w:num w:numId="22">
    <w:abstractNumId w:val="38"/>
  </w:num>
  <w:num w:numId="23">
    <w:abstractNumId w:val="23"/>
  </w:num>
  <w:num w:numId="24">
    <w:abstractNumId w:val="19"/>
  </w:num>
  <w:num w:numId="25">
    <w:abstractNumId w:val="45"/>
  </w:num>
  <w:num w:numId="26">
    <w:abstractNumId w:val="39"/>
  </w:num>
  <w:num w:numId="27">
    <w:abstractNumId w:val="28"/>
  </w:num>
  <w:num w:numId="28">
    <w:abstractNumId w:val="40"/>
  </w:num>
  <w:num w:numId="29">
    <w:abstractNumId w:val="17"/>
  </w:num>
  <w:num w:numId="30">
    <w:abstractNumId w:val="3"/>
  </w:num>
  <w:num w:numId="31">
    <w:abstractNumId w:val="37"/>
  </w:num>
  <w:num w:numId="32">
    <w:abstractNumId w:val="27"/>
  </w:num>
  <w:num w:numId="33">
    <w:abstractNumId w:val="13"/>
  </w:num>
  <w:num w:numId="34">
    <w:abstractNumId w:val="24"/>
  </w:num>
  <w:num w:numId="35">
    <w:abstractNumId w:val="30"/>
  </w:num>
  <w:num w:numId="36">
    <w:abstractNumId w:val="10"/>
  </w:num>
  <w:num w:numId="37">
    <w:abstractNumId w:val="16"/>
  </w:num>
  <w:num w:numId="38">
    <w:abstractNumId w:val="5"/>
  </w:num>
  <w:num w:numId="39">
    <w:abstractNumId w:val="22"/>
  </w:num>
  <w:num w:numId="40">
    <w:abstractNumId w:val="4"/>
  </w:num>
  <w:num w:numId="41">
    <w:abstractNumId w:val="15"/>
  </w:num>
  <w:num w:numId="42">
    <w:abstractNumId w:val="6"/>
  </w:num>
  <w:num w:numId="43">
    <w:abstractNumId w:val="32"/>
  </w:num>
  <w:num w:numId="44">
    <w:abstractNumId w:val="8"/>
  </w:num>
  <w:num w:numId="45">
    <w:abstractNumId w:val="33"/>
  </w:num>
  <w:num w:numId="4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7079"/>
    <w:rsid w:val="0001142A"/>
    <w:rsid w:val="00013834"/>
    <w:rsid w:val="000138DE"/>
    <w:rsid w:val="00015092"/>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5310C"/>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A6E08"/>
    <w:rsid w:val="000C0827"/>
    <w:rsid w:val="000C2104"/>
    <w:rsid w:val="000D340C"/>
    <w:rsid w:val="000D5B7A"/>
    <w:rsid w:val="000E4C6C"/>
    <w:rsid w:val="000E772E"/>
    <w:rsid w:val="000F09F6"/>
    <w:rsid w:val="000F1349"/>
    <w:rsid w:val="000F15D4"/>
    <w:rsid w:val="000F1620"/>
    <w:rsid w:val="000F1B04"/>
    <w:rsid w:val="000F27B2"/>
    <w:rsid w:val="000F3627"/>
    <w:rsid w:val="000F58A5"/>
    <w:rsid w:val="000F7E2C"/>
    <w:rsid w:val="0010016E"/>
    <w:rsid w:val="001001B2"/>
    <w:rsid w:val="0010065E"/>
    <w:rsid w:val="0010128D"/>
    <w:rsid w:val="001016B0"/>
    <w:rsid w:val="00101AEF"/>
    <w:rsid w:val="00105315"/>
    <w:rsid w:val="00112905"/>
    <w:rsid w:val="001165C7"/>
    <w:rsid w:val="001168CA"/>
    <w:rsid w:val="00117579"/>
    <w:rsid w:val="00120495"/>
    <w:rsid w:val="00124ECF"/>
    <w:rsid w:val="00132E0E"/>
    <w:rsid w:val="001336C3"/>
    <w:rsid w:val="001525EB"/>
    <w:rsid w:val="00152954"/>
    <w:rsid w:val="00154A4B"/>
    <w:rsid w:val="00155357"/>
    <w:rsid w:val="00157455"/>
    <w:rsid w:val="0016385D"/>
    <w:rsid w:val="0016475E"/>
    <w:rsid w:val="0016596F"/>
    <w:rsid w:val="00166CC9"/>
    <w:rsid w:val="00171BCA"/>
    <w:rsid w:val="00172668"/>
    <w:rsid w:val="00175F03"/>
    <w:rsid w:val="00177E01"/>
    <w:rsid w:val="00192D14"/>
    <w:rsid w:val="00192FD4"/>
    <w:rsid w:val="00193626"/>
    <w:rsid w:val="00194D76"/>
    <w:rsid w:val="001954DE"/>
    <w:rsid w:val="00196A05"/>
    <w:rsid w:val="001A1043"/>
    <w:rsid w:val="001A135D"/>
    <w:rsid w:val="001A20D0"/>
    <w:rsid w:val="001A370C"/>
    <w:rsid w:val="001A7553"/>
    <w:rsid w:val="001B11DA"/>
    <w:rsid w:val="001B4CC3"/>
    <w:rsid w:val="001B6BA2"/>
    <w:rsid w:val="001C14BF"/>
    <w:rsid w:val="001C1BB4"/>
    <w:rsid w:val="001C667C"/>
    <w:rsid w:val="001C6B3B"/>
    <w:rsid w:val="001C7A25"/>
    <w:rsid w:val="001D2111"/>
    <w:rsid w:val="001D3512"/>
    <w:rsid w:val="001E2D89"/>
    <w:rsid w:val="001E34E2"/>
    <w:rsid w:val="001E5BE7"/>
    <w:rsid w:val="001E6FD1"/>
    <w:rsid w:val="001E72C8"/>
    <w:rsid w:val="001F1E22"/>
    <w:rsid w:val="001F2690"/>
    <w:rsid w:val="001F65C0"/>
    <w:rsid w:val="001F6DFC"/>
    <w:rsid w:val="00200F4C"/>
    <w:rsid w:val="002044FB"/>
    <w:rsid w:val="00207497"/>
    <w:rsid w:val="002116A3"/>
    <w:rsid w:val="00211EE8"/>
    <w:rsid w:val="00213DA5"/>
    <w:rsid w:val="0021508C"/>
    <w:rsid w:val="00216818"/>
    <w:rsid w:val="002168D9"/>
    <w:rsid w:val="00217A56"/>
    <w:rsid w:val="00221041"/>
    <w:rsid w:val="0022169F"/>
    <w:rsid w:val="00222127"/>
    <w:rsid w:val="00226490"/>
    <w:rsid w:val="002264AD"/>
    <w:rsid w:val="0023101C"/>
    <w:rsid w:val="00232EB7"/>
    <w:rsid w:val="00233FA5"/>
    <w:rsid w:val="00234313"/>
    <w:rsid w:val="00234BCA"/>
    <w:rsid w:val="002410A1"/>
    <w:rsid w:val="00244935"/>
    <w:rsid w:val="0025049F"/>
    <w:rsid w:val="00251FE9"/>
    <w:rsid w:val="00252A4F"/>
    <w:rsid w:val="002532D9"/>
    <w:rsid w:val="00255630"/>
    <w:rsid w:val="00257792"/>
    <w:rsid w:val="00260E4A"/>
    <w:rsid w:val="00263733"/>
    <w:rsid w:val="002665D8"/>
    <w:rsid w:val="00267E08"/>
    <w:rsid w:val="00270263"/>
    <w:rsid w:val="00270334"/>
    <w:rsid w:val="00271721"/>
    <w:rsid w:val="00274A8A"/>
    <w:rsid w:val="00282844"/>
    <w:rsid w:val="0028349F"/>
    <w:rsid w:val="00283584"/>
    <w:rsid w:val="00283C9E"/>
    <w:rsid w:val="00293095"/>
    <w:rsid w:val="002A082B"/>
    <w:rsid w:val="002A0F8E"/>
    <w:rsid w:val="002A2B0D"/>
    <w:rsid w:val="002A2C16"/>
    <w:rsid w:val="002B15BA"/>
    <w:rsid w:val="002B6609"/>
    <w:rsid w:val="002B6B18"/>
    <w:rsid w:val="002B7150"/>
    <w:rsid w:val="002C3614"/>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3E42"/>
    <w:rsid w:val="003047C8"/>
    <w:rsid w:val="00315FB1"/>
    <w:rsid w:val="00320A18"/>
    <w:rsid w:val="0032119E"/>
    <w:rsid w:val="0033007B"/>
    <w:rsid w:val="003374AC"/>
    <w:rsid w:val="00337E93"/>
    <w:rsid w:val="00342DDB"/>
    <w:rsid w:val="00343065"/>
    <w:rsid w:val="003448FF"/>
    <w:rsid w:val="00345A22"/>
    <w:rsid w:val="00346E45"/>
    <w:rsid w:val="00347063"/>
    <w:rsid w:val="00347074"/>
    <w:rsid w:val="00356D5C"/>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8664A"/>
    <w:rsid w:val="003931B0"/>
    <w:rsid w:val="00393EB5"/>
    <w:rsid w:val="00393EC9"/>
    <w:rsid w:val="00393F1C"/>
    <w:rsid w:val="003A06A0"/>
    <w:rsid w:val="003A2F2C"/>
    <w:rsid w:val="003A40DF"/>
    <w:rsid w:val="003A6683"/>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18EE"/>
    <w:rsid w:val="00422D04"/>
    <w:rsid w:val="004232E1"/>
    <w:rsid w:val="00423375"/>
    <w:rsid w:val="00426327"/>
    <w:rsid w:val="0043167D"/>
    <w:rsid w:val="00432143"/>
    <w:rsid w:val="004323A2"/>
    <w:rsid w:val="0043343C"/>
    <w:rsid w:val="00435F87"/>
    <w:rsid w:val="00437B5E"/>
    <w:rsid w:val="0044207D"/>
    <w:rsid w:val="0044493B"/>
    <w:rsid w:val="0044543C"/>
    <w:rsid w:val="00446A9D"/>
    <w:rsid w:val="00446DA2"/>
    <w:rsid w:val="00447FBC"/>
    <w:rsid w:val="004522BB"/>
    <w:rsid w:val="0045444B"/>
    <w:rsid w:val="00454E81"/>
    <w:rsid w:val="00457AC8"/>
    <w:rsid w:val="00463E70"/>
    <w:rsid w:val="0046441F"/>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B5433"/>
    <w:rsid w:val="004C206D"/>
    <w:rsid w:val="004C28D8"/>
    <w:rsid w:val="004C3689"/>
    <w:rsid w:val="004C68E4"/>
    <w:rsid w:val="004C741B"/>
    <w:rsid w:val="004C7945"/>
    <w:rsid w:val="004C79C4"/>
    <w:rsid w:val="004D1602"/>
    <w:rsid w:val="004D6B14"/>
    <w:rsid w:val="004F4F26"/>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136F"/>
    <w:rsid w:val="005524EC"/>
    <w:rsid w:val="005538FB"/>
    <w:rsid w:val="00553D3F"/>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372"/>
    <w:rsid w:val="00592A8D"/>
    <w:rsid w:val="00595D22"/>
    <w:rsid w:val="005A0E4B"/>
    <w:rsid w:val="005A4D23"/>
    <w:rsid w:val="005A640E"/>
    <w:rsid w:val="005A7724"/>
    <w:rsid w:val="005B4569"/>
    <w:rsid w:val="005C0FF6"/>
    <w:rsid w:val="005C3DA9"/>
    <w:rsid w:val="005C6146"/>
    <w:rsid w:val="005C7EB6"/>
    <w:rsid w:val="005D171C"/>
    <w:rsid w:val="005D54CF"/>
    <w:rsid w:val="005D6817"/>
    <w:rsid w:val="005D6D67"/>
    <w:rsid w:val="005E20A3"/>
    <w:rsid w:val="005E2C7E"/>
    <w:rsid w:val="005E45BD"/>
    <w:rsid w:val="005E62D2"/>
    <w:rsid w:val="005F4D50"/>
    <w:rsid w:val="005F5BDF"/>
    <w:rsid w:val="0060275A"/>
    <w:rsid w:val="006027A2"/>
    <w:rsid w:val="00604564"/>
    <w:rsid w:val="0060661E"/>
    <w:rsid w:val="00612137"/>
    <w:rsid w:val="00614528"/>
    <w:rsid w:val="00614A98"/>
    <w:rsid w:val="0062355C"/>
    <w:rsid w:val="006278B5"/>
    <w:rsid w:val="0063766F"/>
    <w:rsid w:val="00640076"/>
    <w:rsid w:val="00640BC9"/>
    <w:rsid w:val="006424E1"/>
    <w:rsid w:val="00643725"/>
    <w:rsid w:val="00644DCE"/>
    <w:rsid w:val="00647006"/>
    <w:rsid w:val="00647055"/>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097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8DC"/>
    <w:rsid w:val="00726CA6"/>
    <w:rsid w:val="00727D5B"/>
    <w:rsid w:val="00733415"/>
    <w:rsid w:val="00733777"/>
    <w:rsid w:val="00733B70"/>
    <w:rsid w:val="00734547"/>
    <w:rsid w:val="00737CFC"/>
    <w:rsid w:val="007410BD"/>
    <w:rsid w:val="00741AA9"/>
    <w:rsid w:val="0074335D"/>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31E1"/>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345B"/>
    <w:rsid w:val="007C5F0B"/>
    <w:rsid w:val="007D0061"/>
    <w:rsid w:val="007D215F"/>
    <w:rsid w:val="007D2E1F"/>
    <w:rsid w:val="007F02EC"/>
    <w:rsid w:val="007F085D"/>
    <w:rsid w:val="007F5739"/>
    <w:rsid w:val="007F67A0"/>
    <w:rsid w:val="00801379"/>
    <w:rsid w:val="0080349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46F68"/>
    <w:rsid w:val="00850236"/>
    <w:rsid w:val="00865778"/>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0573"/>
    <w:rsid w:val="008B18AE"/>
    <w:rsid w:val="008B2794"/>
    <w:rsid w:val="008B74A9"/>
    <w:rsid w:val="008B7C0A"/>
    <w:rsid w:val="008C202B"/>
    <w:rsid w:val="008C52C5"/>
    <w:rsid w:val="008C7E0A"/>
    <w:rsid w:val="008D0D58"/>
    <w:rsid w:val="008D2586"/>
    <w:rsid w:val="008D289A"/>
    <w:rsid w:val="008D68E2"/>
    <w:rsid w:val="008D7189"/>
    <w:rsid w:val="008E3552"/>
    <w:rsid w:val="008E394D"/>
    <w:rsid w:val="008E3D06"/>
    <w:rsid w:val="008E623E"/>
    <w:rsid w:val="008E6B76"/>
    <w:rsid w:val="008F2622"/>
    <w:rsid w:val="008F2BE2"/>
    <w:rsid w:val="009004D4"/>
    <w:rsid w:val="00902434"/>
    <w:rsid w:val="0090300F"/>
    <w:rsid w:val="0090576D"/>
    <w:rsid w:val="00912F92"/>
    <w:rsid w:val="00913123"/>
    <w:rsid w:val="009143EA"/>
    <w:rsid w:val="00917205"/>
    <w:rsid w:val="00925032"/>
    <w:rsid w:val="00925F4C"/>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3459"/>
    <w:rsid w:val="009857FC"/>
    <w:rsid w:val="00987044"/>
    <w:rsid w:val="00987B82"/>
    <w:rsid w:val="009928E9"/>
    <w:rsid w:val="009B0913"/>
    <w:rsid w:val="009B5CFD"/>
    <w:rsid w:val="009B6ADA"/>
    <w:rsid w:val="009B7305"/>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66E9C"/>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4B7F"/>
    <w:rsid w:val="00AE7DA6"/>
    <w:rsid w:val="00AF146A"/>
    <w:rsid w:val="00AF6388"/>
    <w:rsid w:val="00AF6E50"/>
    <w:rsid w:val="00AF73F1"/>
    <w:rsid w:val="00B00CF9"/>
    <w:rsid w:val="00B010D8"/>
    <w:rsid w:val="00B01521"/>
    <w:rsid w:val="00B036A1"/>
    <w:rsid w:val="00B04824"/>
    <w:rsid w:val="00B0737C"/>
    <w:rsid w:val="00B10876"/>
    <w:rsid w:val="00B10DD9"/>
    <w:rsid w:val="00B11277"/>
    <w:rsid w:val="00B11980"/>
    <w:rsid w:val="00B154D5"/>
    <w:rsid w:val="00B17707"/>
    <w:rsid w:val="00B20098"/>
    <w:rsid w:val="00B20DBE"/>
    <w:rsid w:val="00B22A54"/>
    <w:rsid w:val="00B23068"/>
    <w:rsid w:val="00B3197C"/>
    <w:rsid w:val="00B321C1"/>
    <w:rsid w:val="00B341CA"/>
    <w:rsid w:val="00B35594"/>
    <w:rsid w:val="00B376BC"/>
    <w:rsid w:val="00B40A75"/>
    <w:rsid w:val="00B44647"/>
    <w:rsid w:val="00B457ED"/>
    <w:rsid w:val="00B45E06"/>
    <w:rsid w:val="00B465D6"/>
    <w:rsid w:val="00B475CA"/>
    <w:rsid w:val="00B518BA"/>
    <w:rsid w:val="00B52599"/>
    <w:rsid w:val="00B5332F"/>
    <w:rsid w:val="00B54095"/>
    <w:rsid w:val="00B546E9"/>
    <w:rsid w:val="00B56420"/>
    <w:rsid w:val="00B566BD"/>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59D3"/>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4D0"/>
    <w:rsid w:val="00C7098F"/>
    <w:rsid w:val="00C735DC"/>
    <w:rsid w:val="00C75BA5"/>
    <w:rsid w:val="00C77709"/>
    <w:rsid w:val="00C777B1"/>
    <w:rsid w:val="00C86426"/>
    <w:rsid w:val="00C9018E"/>
    <w:rsid w:val="00C92E9B"/>
    <w:rsid w:val="00CA1016"/>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26F1B"/>
    <w:rsid w:val="00D31451"/>
    <w:rsid w:val="00D31F0C"/>
    <w:rsid w:val="00D34CED"/>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9248F"/>
    <w:rsid w:val="00DA386F"/>
    <w:rsid w:val="00DA38FF"/>
    <w:rsid w:val="00DB12E8"/>
    <w:rsid w:val="00DB22B1"/>
    <w:rsid w:val="00DB5BF9"/>
    <w:rsid w:val="00DC024D"/>
    <w:rsid w:val="00DC07C1"/>
    <w:rsid w:val="00DC0E33"/>
    <w:rsid w:val="00DC1566"/>
    <w:rsid w:val="00DC1D77"/>
    <w:rsid w:val="00DC20CF"/>
    <w:rsid w:val="00DC2585"/>
    <w:rsid w:val="00DC3358"/>
    <w:rsid w:val="00DD2778"/>
    <w:rsid w:val="00DD5BD4"/>
    <w:rsid w:val="00DE0233"/>
    <w:rsid w:val="00DE23CF"/>
    <w:rsid w:val="00DE4199"/>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5691"/>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23D"/>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373E4"/>
    <w:rsid w:val="00F4166B"/>
    <w:rsid w:val="00F42400"/>
    <w:rsid w:val="00F42930"/>
    <w:rsid w:val="00F438F1"/>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3AF2"/>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dac9a443-8d88-4550-8b1d-ec98a50d73a1"/>
    <ds:schemaRef ds:uri="http://schemas.microsoft.com/office/infopath/2007/PartnerControls"/>
    <ds:schemaRef ds:uri="612f66ad-72bb-4b79-b69e-c3800ca531fd"/>
    <ds:schemaRef ds:uri="http://purl.org/dc/terms/"/>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23</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Shari Walton-Rankin</cp:lastModifiedBy>
  <cp:revision>32</cp:revision>
  <cp:lastPrinted>2022-09-29T12:20:00Z</cp:lastPrinted>
  <dcterms:created xsi:type="dcterms:W3CDTF">2023-11-23T18:20:00Z</dcterms:created>
  <dcterms:modified xsi:type="dcterms:W3CDTF">2023-11-24T18:00:00Z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