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3"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4"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5"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170540">
      <w:pPr>
        <w:pStyle w:val="BodyText"/>
        <w:widowControl/>
        <w:numPr>
          <w:ilvl w:val="0"/>
          <w:numId w:val="15"/>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170540">
      <w:pPr>
        <w:pStyle w:val="BodyText"/>
        <w:widowControl/>
        <w:numPr>
          <w:ilvl w:val="0"/>
          <w:numId w:val="15"/>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AF4B22" w:rsidRDefault="00C3318F" w:rsidP="00170540">
      <w:pPr>
        <w:pStyle w:val="BodyText"/>
        <w:widowControl/>
        <w:numPr>
          <w:ilvl w:val="0"/>
          <w:numId w:val="15"/>
        </w:numPr>
        <w:autoSpaceDE/>
        <w:autoSpaceDN/>
        <w:rPr>
          <w:rFonts w:ascii="Avenir Next" w:hAnsi="Avenir Next"/>
          <w:highlight w:val="yellow"/>
        </w:rPr>
      </w:pPr>
      <w:r w:rsidRPr="00AF4B22">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170540">
      <w:pPr>
        <w:pStyle w:val="BodyText"/>
        <w:widowControl/>
        <w:numPr>
          <w:ilvl w:val="0"/>
          <w:numId w:val="15"/>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170540">
      <w:pPr>
        <w:pStyle w:val="BodyText"/>
        <w:widowControl/>
        <w:numPr>
          <w:ilvl w:val="0"/>
          <w:numId w:val="16"/>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170540">
      <w:pPr>
        <w:pStyle w:val="BodyText"/>
        <w:widowControl/>
        <w:numPr>
          <w:ilvl w:val="0"/>
          <w:numId w:val="16"/>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170540">
      <w:pPr>
        <w:pStyle w:val="BodyText"/>
        <w:widowControl/>
        <w:numPr>
          <w:ilvl w:val="0"/>
          <w:numId w:val="16"/>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1A4F13" w:rsidRDefault="00957995" w:rsidP="00170540">
      <w:pPr>
        <w:pStyle w:val="BodyText"/>
        <w:widowControl/>
        <w:numPr>
          <w:ilvl w:val="0"/>
          <w:numId w:val="16"/>
        </w:numPr>
        <w:autoSpaceDE/>
        <w:autoSpaceDN/>
        <w:rPr>
          <w:rFonts w:ascii="Avenir Next" w:hAnsi="Avenir Next"/>
          <w:highlight w:val="yellow"/>
        </w:rPr>
      </w:pPr>
      <w:r w:rsidRPr="001A4F13">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170540">
      <w:pPr>
        <w:pStyle w:val="BodyText"/>
        <w:widowControl/>
        <w:numPr>
          <w:ilvl w:val="0"/>
          <w:numId w:val="5"/>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940E26" w:rsidRDefault="001F2690" w:rsidP="00170540">
      <w:pPr>
        <w:pStyle w:val="BodyText"/>
        <w:widowControl/>
        <w:numPr>
          <w:ilvl w:val="0"/>
          <w:numId w:val="5"/>
        </w:numPr>
        <w:autoSpaceDE/>
        <w:autoSpaceDN/>
        <w:ind w:left="709" w:hanging="709"/>
        <w:rPr>
          <w:rFonts w:ascii="Avenir Next" w:hAnsi="Avenir Next"/>
          <w:highlight w:val="yellow"/>
        </w:rPr>
      </w:pPr>
      <w:r w:rsidRPr="00940E26">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170540">
      <w:pPr>
        <w:pStyle w:val="BodyText"/>
        <w:widowControl/>
        <w:numPr>
          <w:ilvl w:val="0"/>
          <w:numId w:val="5"/>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170540">
      <w:pPr>
        <w:pStyle w:val="BodyText"/>
        <w:widowControl/>
        <w:numPr>
          <w:ilvl w:val="0"/>
          <w:numId w:val="5"/>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17054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17054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17054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170540">
      <w:pPr>
        <w:pStyle w:val="ListParagraph"/>
        <w:numPr>
          <w:ilvl w:val="0"/>
          <w:numId w:val="6"/>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395FFD" w:rsidRDefault="00785937" w:rsidP="00170540">
      <w:pPr>
        <w:pStyle w:val="ListParagraph"/>
        <w:numPr>
          <w:ilvl w:val="0"/>
          <w:numId w:val="6"/>
        </w:numPr>
        <w:spacing w:after="0" w:line="240" w:lineRule="auto"/>
        <w:ind w:left="709" w:hanging="709"/>
        <w:rPr>
          <w:rFonts w:ascii="Avenir Next" w:hAnsi="Avenir Next" w:cs="Arial"/>
          <w:highlight w:val="yellow"/>
          <w:lang w:val="en-GB"/>
        </w:rPr>
      </w:pPr>
      <w:r w:rsidRPr="00395FFD">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170540">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AF4B22" w:rsidRDefault="00785937" w:rsidP="00170540">
      <w:pPr>
        <w:pStyle w:val="ListParagraph"/>
        <w:numPr>
          <w:ilvl w:val="0"/>
          <w:numId w:val="7"/>
        </w:numPr>
        <w:spacing w:after="0" w:line="240" w:lineRule="auto"/>
        <w:ind w:left="709" w:hanging="709"/>
        <w:rPr>
          <w:rFonts w:ascii="Avenir Next" w:hAnsi="Avenir Next" w:cs="Arial"/>
          <w:highlight w:val="yellow"/>
          <w:lang w:val="en-GB"/>
        </w:rPr>
      </w:pPr>
      <w:r w:rsidRPr="00AF4B22">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170540">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170540">
      <w:pPr>
        <w:pStyle w:val="ListParagraph"/>
        <w:numPr>
          <w:ilvl w:val="0"/>
          <w:numId w:val="7"/>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17054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AF4B22" w:rsidRDefault="00F42400" w:rsidP="00170540">
      <w:pPr>
        <w:pStyle w:val="ListParagraph"/>
        <w:numPr>
          <w:ilvl w:val="0"/>
          <w:numId w:val="9"/>
        </w:numPr>
        <w:spacing w:after="0" w:line="240" w:lineRule="auto"/>
        <w:ind w:left="709" w:hanging="709"/>
        <w:rPr>
          <w:rFonts w:ascii="Avenir Next" w:hAnsi="Avenir Next"/>
          <w:highlight w:val="yellow"/>
          <w:lang w:val="en-GB"/>
        </w:rPr>
      </w:pPr>
      <w:r w:rsidRPr="00AF4B22">
        <w:rPr>
          <w:rFonts w:ascii="Avenir Next" w:hAnsi="Avenir Next"/>
          <w:highlight w:val="yellow"/>
          <w:lang w:val="en-GB"/>
        </w:rPr>
        <w:t>W</w:t>
      </w:r>
      <w:r w:rsidR="004A11A1" w:rsidRPr="00AF4B22">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17054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170540">
      <w:pPr>
        <w:pStyle w:val="ListParagraph"/>
        <w:numPr>
          <w:ilvl w:val="0"/>
          <w:numId w:val="9"/>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170540">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FF6389" w:rsidRDefault="004A11A1" w:rsidP="00170540">
      <w:pPr>
        <w:pStyle w:val="ListParagraph"/>
        <w:numPr>
          <w:ilvl w:val="0"/>
          <w:numId w:val="10"/>
        </w:numPr>
        <w:spacing w:after="0" w:line="240" w:lineRule="auto"/>
        <w:ind w:left="709" w:hanging="709"/>
        <w:rPr>
          <w:rFonts w:ascii="Avenir Next" w:hAnsi="Avenir Next"/>
          <w:lang w:val="en-GB"/>
        </w:rPr>
      </w:pPr>
      <w:r w:rsidRPr="00FF6389">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170540">
      <w:pPr>
        <w:pStyle w:val="ListParagraph"/>
        <w:numPr>
          <w:ilvl w:val="0"/>
          <w:numId w:val="10"/>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FF6389" w:rsidRDefault="004A11A1" w:rsidP="00170540">
      <w:pPr>
        <w:pStyle w:val="ListParagraph"/>
        <w:numPr>
          <w:ilvl w:val="0"/>
          <w:numId w:val="10"/>
        </w:numPr>
        <w:spacing w:after="0" w:line="240" w:lineRule="auto"/>
        <w:ind w:left="709" w:hanging="709"/>
        <w:rPr>
          <w:rFonts w:ascii="Avenir Next" w:hAnsi="Avenir Next"/>
          <w:highlight w:val="yellow"/>
          <w:lang w:val="en-GB"/>
        </w:rPr>
      </w:pPr>
      <w:r w:rsidRPr="00FF6389">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FF6389" w:rsidRDefault="004A11A1" w:rsidP="00170540">
      <w:pPr>
        <w:pStyle w:val="ListParagraph"/>
        <w:numPr>
          <w:ilvl w:val="0"/>
          <w:numId w:val="12"/>
        </w:numPr>
        <w:spacing w:after="0" w:line="240" w:lineRule="auto"/>
        <w:ind w:left="709" w:hanging="709"/>
        <w:rPr>
          <w:rFonts w:ascii="Avenir Next" w:hAnsi="Avenir Next"/>
          <w:highlight w:val="yellow"/>
          <w:lang w:val="en-GB"/>
        </w:rPr>
      </w:pPr>
      <w:r w:rsidRPr="00FF6389">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170540">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170540">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170540">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170540">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FF6389" w:rsidRDefault="004A11A1" w:rsidP="00170540">
      <w:pPr>
        <w:pStyle w:val="ListParagraph"/>
        <w:numPr>
          <w:ilvl w:val="0"/>
          <w:numId w:val="11"/>
        </w:numPr>
        <w:spacing w:after="0" w:line="240" w:lineRule="auto"/>
        <w:ind w:left="709" w:hanging="709"/>
        <w:rPr>
          <w:rFonts w:ascii="Avenir Next" w:hAnsi="Avenir Next"/>
          <w:highlight w:val="yellow"/>
          <w:lang w:val="en-GB"/>
        </w:rPr>
      </w:pPr>
      <w:r w:rsidRPr="00FF6389">
        <w:rPr>
          <w:rFonts w:ascii="Avenir Next" w:hAnsi="Avenir Next"/>
          <w:highlight w:val="yellow"/>
          <w:lang w:val="en-GB"/>
        </w:rPr>
        <w:t>within 21 days of the petition being filed</w:t>
      </w:r>
      <w:r w:rsidR="003721B7" w:rsidRPr="00FF6389">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170540">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170540">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170540">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170540">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086235" w:rsidRDefault="003721B7" w:rsidP="00170540">
      <w:pPr>
        <w:pStyle w:val="ListParagraph"/>
        <w:numPr>
          <w:ilvl w:val="1"/>
          <w:numId w:val="8"/>
        </w:numPr>
        <w:spacing w:after="0" w:line="240" w:lineRule="auto"/>
        <w:ind w:left="709" w:hanging="709"/>
        <w:jc w:val="left"/>
        <w:rPr>
          <w:rFonts w:ascii="Avenir Next" w:hAnsi="Avenir Next"/>
          <w:color w:val="00B0F0"/>
          <w:highlight w:val="yellow"/>
          <w:lang w:val="en-GB"/>
        </w:rPr>
      </w:pPr>
      <w:r w:rsidRPr="00086235">
        <w:rPr>
          <w:rFonts w:ascii="Avenir Next" w:hAnsi="Avenir Next"/>
          <w:highlight w:val="yellow"/>
          <w:lang w:val="en-GB"/>
        </w:rPr>
        <w:t>c</w:t>
      </w:r>
      <w:r w:rsidR="004A11A1" w:rsidRPr="00086235">
        <w:rPr>
          <w:rFonts w:ascii="Avenir Next" w:hAnsi="Avenir Next"/>
          <w:highlight w:val="yellow"/>
          <w:lang w:val="en-GB"/>
        </w:rPr>
        <w:t>an only proceed if there are shareholders / creditors who may not agree with it</w:t>
      </w:r>
      <w:r w:rsidR="004A11A1" w:rsidRPr="00086235">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170540">
      <w:pPr>
        <w:pStyle w:val="ListParagraph"/>
        <w:numPr>
          <w:ilvl w:val="1"/>
          <w:numId w:val="8"/>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170540">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170540">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A26A7C" w:rsidRDefault="00B341CA" w:rsidP="00170540">
      <w:pPr>
        <w:pStyle w:val="ListParagraph"/>
        <w:numPr>
          <w:ilvl w:val="0"/>
          <w:numId w:val="13"/>
        </w:numPr>
        <w:spacing w:after="0" w:line="240" w:lineRule="auto"/>
        <w:ind w:left="709" w:hanging="709"/>
        <w:rPr>
          <w:rFonts w:ascii="Avenir Next" w:hAnsi="Avenir Next"/>
          <w:highlight w:val="yellow"/>
          <w:lang w:val="en-GB"/>
        </w:rPr>
      </w:pPr>
      <w:r w:rsidRPr="00A26A7C">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170540">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170540">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170540">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170540">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A26A7C" w:rsidRDefault="00B341CA" w:rsidP="00170540">
      <w:pPr>
        <w:pStyle w:val="ListParagraph"/>
        <w:numPr>
          <w:ilvl w:val="0"/>
          <w:numId w:val="14"/>
        </w:numPr>
        <w:spacing w:after="0" w:line="240" w:lineRule="auto"/>
        <w:ind w:left="709" w:hanging="709"/>
        <w:rPr>
          <w:rFonts w:ascii="Avenir Next" w:hAnsi="Avenir Next"/>
          <w:highlight w:val="yellow"/>
          <w:lang w:val="en-GB"/>
        </w:rPr>
      </w:pPr>
      <w:r w:rsidRPr="00A26A7C">
        <w:rPr>
          <w:rFonts w:ascii="Avenir Next" w:hAnsi="Avenir Next"/>
          <w:highlight w:val="yellow"/>
          <w:lang w:val="en-GB"/>
        </w:rPr>
        <w:t xml:space="preserve">The Cayman Islands </w:t>
      </w:r>
      <w:r w:rsidR="00512319" w:rsidRPr="00A26A7C">
        <w:rPr>
          <w:rFonts w:ascii="Avenir Next" w:hAnsi="Avenir Next"/>
          <w:highlight w:val="yellow"/>
          <w:lang w:val="en-GB"/>
        </w:rPr>
        <w:t>C</w:t>
      </w:r>
      <w:r w:rsidRPr="00A26A7C">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170540">
      <w:pPr>
        <w:numPr>
          <w:ilvl w:val="0"/>
          <w:numId w:val="1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AE6671" w:rsidRDefault="00BD0DC2" w:rsidP="00170540">
      <w:pPr>
        <w:numPr>
          <w:ilvl w:val="0"/>
          <w:numId w:val="17"/>
        </w:numPr>
        <w:ind w:left="709" w:hanging="709"/>
        <w:rPr>
          <w:rFonts w:cs="Calibri"/>
          <w:color w:val="000000"/>
          <w:highlight w:val="yellow"/>
          <w:lang w:val="en-ZA" w:eastAsia="en-GB"/>
        </w:rPr>
      </w:pPr>
      <w:r w:rsidRPr="00AE6671">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AE6671">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170540">
      <w:pPr>
        <w:numPr>
          <w:ilvl w:val="0"/>
          <w:numId w:val="1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8D09AB" w:rsidRDefault="00BD0DC2" w:rsidP="00170540">
      <w:pPr>
        <w:numPr>
          <w:ilvl w:val="0"/>
          <w:numId w:val="17"/>
        </w:numPr>
        <w:ind w:left="709" w:hanging="709"/>
        <w:rPr>
          <w:rFonts w:cs="Calibri"/>
          <w:color w:val="000000"/>
          <w:lang w:val="en-ZA" w:eastAsia="en-GB"/>
        </w:rPr>
      </w:pPr>
      <w:r w:rsidRPr="008D09AB">
        <w:rPr>
          <w:rFonts w:cs="Calibri"/>
          <w:color w:val="000000"/>
          <w:lang w:val="en-ZA" w:eastAsia="en-GB"/>
        </w:rPr>
        <w:t>A voluntary liquidator can be removed by the company’s creditors</w:t>
      </w:r>
      <w:r w:rsidR="000F15D4" w:rsidRPr="008D09AB">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170540">
      <w:pPr>
        <w:numPr>
          <w:ilvl w:val="0"/>
          <w:numId w:val="1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170540">
      <w:pPr>
        <w:numPr>
          <w:ilvl w:val="0"/>
          <w:numId w:val="1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170540">
      <w:pPr>
        <w:numPr>
          <w:ilvl w:val="0"/>
          <w:numId w:val="1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7F15A9" w:rsidRDefault="00BD0DC2" w:rsidP="00170540">
      <w:pPr>
        <w:numPr>
          <w:ilvl w:val="0"/>
          <w:numId w:val="18"/>
        </w:numPr>
        <w:ind w:left="709" w:hanging="709"/>
        <w:rPr>
          <w:rFonts w:cs="Calibri"/>
          <w:color w:val="000000"/>
          <w:highlight w:val="yellow"/>
          <w:lang w:val="en-ZA" w:eastAsia="en-GB"/>
        </w:rPr>
      </w:pPr>
      <w:r w:rsidRPr="007F15A9">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AE6671" w:rsidRDefault="00BD0DC2" w:rsidP="00170540">
      <w:pPr>
        <w:numPr>
          <w:ilvl w:val="0"/>
          <w:numId w:val="19"/>
        </w:numPr>
        <w:ind w:left="709" w:hanging="709"/>
        <w:rPr>
          <w:rFonts w:cs="Calibri"/>
          <w:color w:val="000000"/>
          <w:highlight w:val="yellow"/>
          <w:lang w:val="en-ZA" w:eastAsia="en-GB"/>
        </w:rPr>
      </w:pPr>
      <w:r w:rsidRPr="00AE6671">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170540">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170540">
      <w:pPr>
        <w:numPr>
          <w:ilvl w:val="0"/>
          <w:numId w:val="1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170540">
      <w:pPr>
        <w:numPr>
          <w:ilvl w:val="0"/>
          <w:numId w:val="1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170540">
      <w:pPr>
        <w:numPr>
          <w:ilvl w:val="0"/>
          <w:numId w:val="2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2F7CB0" w:rsidRDefault="00BD0DC2" w:rsidP="00170540">
      <w:pPr>
        <w:numPr>
          <w:ilvl w:val="0"/>
          <w:numId w:val="20"/>
        </w:numPr>
        <w:ind w:left="709" w:hanging="709"/>
        <w:rPr>
          <w:rFonts w:cs="Calibri"/>
          <w:color w:val="000000"/>
          <w:highlight w:val="yellow"/>
          <w:lang w:val="en-ZA" w:eastAsia="en-GB"/>
        </w:rPr>
      </w:pPr>
      <w:r w:rsidRPr="002F7CB0">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170540">
      <w:pPr>
        <w:numPr>
          <w:ilvl w:val="0"/>
          <w:numId w:val="2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170540">
      <w:pPr>
        <w:numPr>
          <w:ilvl w:val="0"/>
          <w:numId w:val="2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170540">
      <w:pPr>
        <w:numPr>
          <w:ilvl w:val="0"/>
          <w:numId w:val="2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2F7CB0" w:rsidRDefault="00BD0DC2" w:rsidP="00170540">
      <w:pPr>
        <w:numPr>
          <w:ilvl w:val="0"/>
          <w:numId w:val="21"/>
        </w:numPr>
        <w:ind w:left="709" w:hanging="709"/>
        <w:rPr>
          <w:rFonts w:cs="Calibri"/>
          <w:color w:val="000000"/>
          <w:highlight w:val="yellow"/>
          <w:lang w:val="en-ZA" w:eastAsia="en-GB"/>
        </w:rPr>
      </w:pPr>
      <w:r w:rsidRPr="002F7CB0">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170540">
      <w:pPr>
        <w:numPr>
          <w:ilvl w:val="0"/>
          <w:numId w:val="2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170540">
      <w:pPr>
        <w:numPr>
          <w:ilvl w:val="0"/>
          <w:numId w:val="2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F55466" w:rsidRDefault="00BD0DC2" w:rsidP="00BD2F4B">
      <w:pPr>
        <w:jc w:val="left"/>
        <w:rPr>
          <w:rFonts w:cs="Calibri"/>
          <w:color w:val="212121"/>
          <w:lang w:val="en-ZA" w:eastAsia="en-GB"/>
        </w:rPr>
      </w:pPr>
      <w:r w:rsidRPr="00F55466">
        <w:rPr>
          <w:rFonts w:cs="Calibri"/>
          <w:color w:val="000000"/>
          <w:lang w:val="en-ZA" w:eastAsia="en-GB"/>
        </w:rPr>
        <w:t xml:space="preserve">Which of the following </w:t>
      </w:r>
      <w:r w:rsidR="00F444B9" w:rsidRPr="00F55466">
        <w:rPr>
          <w:rFonts w:cs="Calibri"/>
          <w:color w:val="000000"/>
          <w:lang w:val="en-ZA" w:eastAsia="en-GB"/>
        </w:rPr>
        <w:t xml:space="preserve">statements </w:t>
      </w:r>
      <w:r w:rsidRPr="00F55466">
        <w:rPr>
          <w:rFonts w:cs="Calibri"/>
          <w:color w:val="000000"/>
          <w:lang w:val="en-ZA" w:eastAsia="en-GB"/>
        </w:rPr>
        <w:t xml:space="preserve">is true </w:t>
      </w:r>
      <w:r w:rsidR="00F444B9" w:rsidRPr="00F55466">
        <w:rPr>
          <w:rFonts w:cs="Calibri"/>
          <w:color w:val="000000"/>
          <w:lang w:val="en-ZA" w:eastAsia="en-GB"/>
        </w:rPr>
        <w:t>regarding</w:t>
      </w:r>
      <w:r w:rsidRPr="00F55466">
        <w:rPr>
          <w:rFonts w:cs="Calibri"/>
          <w:color w:val="000000"/>
          <w:lang w:val="en-ZA" w:eastAsia="en-GB"/>
        </w:rPr>
        <w:t xml:space="preserve"> a provisional liquidation application</w:t>
      </w:r>
      <w:r w:rsidR="00F444B9" w:rsidRPr="00F55466">
        <w:rPr>
          <w:rFonts w:cs="Calibri"/>
          <w:color w:val="000000"/>
          <w:lang w:val="en-ZA" w:eastAsia="en-GB"/>
        </w:rPr>
        <w:t>?</w:t>
      </w:r>
    </w:p>
    <w:p w14:paraId="034DA799" w14:textId="77777777" w:rsidR="00BD0DC2" w:rsidRPr="00F55466" w:rsidRDefault="00BD0DC2" w:rsidP="00BD2F4B">
      <w:pPr>
        <w:jc w:val="left"/>
        <w:rPr>
          <w:rFonts w:cs="Calibri"/>
          <w:color w:val="212121"/>
          <w:lang w:val="en-ZA" w:eastAsia="en-GB"/>
        </w:rPr>
      </w:pPr>
      <w:r w:rsidRPr="00F55466">
        <w:rPr>
          <w:rFonts w:cs="Calibri"/>
          <w:b/>
          <w:bCs/>
          <w:color w:val="000000"/>
          <w:lang w:val="en-ZA" w:eastAsia="en-GB"/>
        </w:rPr>
        <w:t> </w:t>
      </w:r>
    </w:p>
    <w:p w14:paraId="552341A5" w14:textId="37BD7C61" w:rsidR="00BD0DC2" w:rsidRPr="00F55466" w:rsidRDefault="00BD0DC2" w:rsidP="00170540">
      <w:pPr>
        <w:numPr>
          <w:ilvl w:val="0"/>
          <w:numId w:val="22"/>
        </w:numPr>
        <w:ind w:left="709" w:hanging="709"/>
        <w:rPr>
          <w:rFonts w:cs="Calibri"/>
          <w:color w:val="000000"/>
          <w:lang w:val="en-ZA" w:eastAsia="en-GB"/>
        </w:rPr>
      </w:pPr>
      <w:r w:rsidRPr="00F55466">
        <w:rPr>
          <w:rFonts w:cs="Calibri"/>
          <w:color w:val="000000"/>
          <w:lang w:val="en-ZA" w:eastAsia="en-GB"/>
        </w:rPr>
        <w:t>The company has the statutory power to commence the proceedings</w:t>
      </w:r>
      <w:r w:rsidR="00BD2F4B" w:rsidRPr="00F55466">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170540">
      <w:pPr>
        <w:numPr>
          <w:ilvl w:val="0"/>
          <w:numId w:val="2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F55466" w:rsidRDefault="00BD0DC2" w:rsidP="00170540">
      <w:pPr>
        <w:numPr>
          <w:ilvl w:val="0"/>
          <w:numId w:val="22"/>
        </w:numPr>
        <w:ind w:left="709" w:hanging="709"/>
        <w:rPr>
          <w:rFonts w:cs="Calibri"/>
          <w:color w:val="000000"/>
          <w:highlight w:val="yellow"/>
          <w:lang w:val="en-ZA" w:eastAsia="en-GB"/>
        </w:rPr>
      </w:pPr>
      <w:r w:rsidRPr="00F55466">
        <w:rPr>
          <w:rFonts w:cs="Calibri"/>
          <w:color w:val="000000"/>
          <w:highlight w:val="yellow"/>
          <w:lang w:val="en-ZA" w:eastAsia="en-GB"/>
        </w:rPr>
        <w:t>A winding up petition must be presented as a precursor to the application for the provisional liquidation</w:t>
      </w:r>
      <w:r w:rsidR="00BD2F4B" w:rsidRPr="00F55466">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170540">
      <w:pPr>
        <w:numPr>
          <w:ilvl w:val="0"/>
          <w:numId w:val="2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170540">
      <w:pPr>
        <w:numPr>
          <w:ilvl w:val="0"/>
          <w:numId w:val="2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C06EAF" w:rsidRDefault="00BD0DC2" w:rsidP="00170540">
      <w:pPr>
        <w:numPr>
          <w:ilvl w:val="0"/>
          <w:numId w:val="24"/>
        </w:numPr>
        <w:ind w:left="709" w:hanging="709"/>
        <w:jc w:val="left"/>
        <w:rPr>
          <w:rFonts w:cs="Calibri"/>
          <w:color w:val="000000"/>
          <w:highlight w:val="yellow"/>
          <w:lang w:val="en-ZA" w:eastAsia="en-GB"/>
        </w:rPr>
      </w:pPr>
      <w:r w:rsidRPr="00C06EAF">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170540">
      <w:pPr>
        <w:numPr>
          <w:ilvl w:val="0"/>
          <w:numId w:val="2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170540">
      <w:pPr>
        <w:numPr>
          <w:ilvl w:val="0"/>
          <w:numId w:val="2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EE5B4E" w:rsidRDefault="00BD0DC2" w:rsidP="00170540">
      <w:pPr>
        <w:numPr>
          <w:ilvl w:val="0"/>
          <w:numId w:val="23"/>
        </w:numPr>
        <w:ind w:left="709" w:hanging="709"/>
        <w:jc w:val="left"/>
        <w:rPr>
          <w:rFonts w:cs="Calibri"/>
          <w:color w:val="000000"/>
          <w:highlight w:val="yellow"/>
          <w:lang w:val="en-ZA" w:eastAsia="en-GB"/>
        </w:rPr>
      </w:pPr>
      <w:r w:rsidRPr="00EE5B4E">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170540">
      <w:pPr>
        <w:numPr>
          <w:ilvl w:val="0"/>
          <w:numId w:val="2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170540">
      <w:pPr>
        <w:numPr>
          <w:ilvl w:val="0"/>
          <w:numId w:val="2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170540">
      <w:pPr>
        <w:numPr>
          <w:ilvl w:val="0"/>
          <w:numId w:val="2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D4E68DB" w14:textId="77777777" w:rsidR="001D574E" w:rsidRDefault="00CD7EDC" w:rsidP="00C5020B">
      <w:pPr>
        <w:pStyle w:val="BodyText"/>
        <w:ind w:firstLine="0"/>
        <w:jc w:val="both"/>
        <w:rPr>
          <w:rFonts w:ascii="Avenir Next" w:hAnsi="Avenir Next"/>
          <w:bCs/>
        </w:rPr>
      </w:pPr>
      <w:r w:rsidRPr="00CD7EDC">
        <w:rPr>
          <w:rFonts w:ascii="Avenir Next" w:hAnsi="Avenir Next"/>
          <w:bCs/>
          <w:u w:val="single"/>
        </w:rPr>
        <w:t>Answer:</w:t>
      </w:r>
      <w:r>
        <w:rPr>
          <w:rFonts w:ascii="Avenir Next" w:hAnsi="Avenir Next"/>
          <w:bCs/>
        </w:rPr>
        <w:t xml:space="preserve"> </w:t>
      </w:r>
    </w:p>
    <w:p w14:paraId="4C39A695" w14:textId="77777777" w:rsidR="001D574E" w:rsidRDefault="001D574E" w:rsidP="00C5020B">
      <w:pPr>
        <w:pStyle w:val="BodyText"/>
        <w:ind w:firstLine="0"/>
        <w:jc w:val="both"/>
        <w:rPr>
          <w:rFonts w:ascii="Avenir Next" w:hAnsi="Avenir Next"/>
          <w:bCs/>
        </w:rPr>
      </w:pPr>
    </w:p>
    <w:p w14:paraId="75FE0193" w14:textId="34195E0B" w:rsidR="00A51058" w:rsidRDefault="00CD7EDC" w:rsidP="00C5020B">
      <w:pPr>
        <w:pStyle w:val="BodyText"/>
        <w:ind w:firstLine="0"/>
        <w:jc w:val="both"/>
        <w:rPr>
          <w:rFonts w:ascii="Avenir Next" w:hAnsi="Avenir Next"/>
          <w:bCs/>
        </w:rPr>
      </w:pPr>
      <w:r>
        <w:rPr>
          <w:rFonts w:ascii="Avenir Next" w:hAnsi="Avenir Next"/>
          <w:bCs/>
        </w:rPr>
        <w:t>The require</w:t>
      </w:r>
      <w:r w:rsidR="00405AD4">
        <w:rPr>
          <w:rFonts w:ascii="Avenir Next" w:hAnsi="Avenir Next"/>
          <w:bCs/>
        </w:rPr>
        <w:t>d content</w:t>
      </w:r>
      <w:r>
        <w:rPr>
          <w:rFonts w:ascii="Avenir Next" w:hAnsi="Avenir Next"/>
          <w:bCs/>
        </w:rPr>
        <w:t xml:space="preserve"> for a nominated official liquidator’s consent to act are set out in C</w:t>
      </w:r>
      <w:r w:rsidR="00405AD4">
        <w:rPr>
          <w:rFonts w:ascii="Avenir Next" w:hAnsi="Avenir Next"/>
          <w:bCs/>
        </w:rPr>
        <w:t xml:space="preserve">ompanies </w:t>
      </w:r>
      <w:r>
        <w:rPr>
          <w:rFonts w:ascii="Avenir Next" w:hAnsi="Avenir Next"/>
          <w:bCs/>
        </w:rPr>
        <w:t>W</w:t>
      </w:r>
      <w:r w:rsidR="00405AD4">
        <w:rPr>
          <w:rFonts w:ascii="Avenir Next" w:hAnsi="Avenir Next"/>
          <w:bCs/>
        </w:rPr>
        <w:t xml:space="preserve">inding Up </w:t>
      </w:r>
      <w:r>
        <w:rPr>
          <w:rFonts w:ascii="Avenir Next" w:hAnsi="Avenir Next"/>
          <w:bCs/>
        </w:rPr>
        <w:t>R</w:t>
      </w:r>
      <w:r w:rsidR="00405AD4">
        <w:rPr>
          <w:rFonts w:ascii="Avenir Next" w:hAnsi="Avenir Next"/>
          <w:bCs/>
        </w:rPr>
        <w:t>ules (</w:t>
      </w:r>
      <w:r w:rsidR="00405AD4" w:rsidRPr="00405AD4">
        <w:rPr>
          <w:rFonts w:ascii="Avenir Next" w:hAnsi="Avenir Next"/>
          <w:b/>
          <w:bCs/>
        </w:rPr>
        <w:t>CWR</w:t>
      </w:r>
      <w:r w:rsidR="00405AD4">
        <w:rPr>
          <w:rFonts w:ascii="Avenir Next" w:hAnsi="Avenir Next"/>
          <w:bCs/>
        </w:rPr>
        <w:t>)</w:t>
      </w:r>
      <w:r>
        <w:rPr>
          <w:rFonts w:ascii="Avenir Next" w:hAnsi="Avenir Next"/>
          <w:bCs/>
        </w:rPr>
        <w:t xml:space="preserve"> O.3, r.4. </w:t>
      </w:r>
      <w:r w:rsidR="008B010D">
        <w:rPr>
          <w:rFonts w:ascii="Avenir Next" w:hAnsi="Avenir Next"/>
          <w:bCs/>
        </w:rPr>
        <w:t>The consent is in the form of a sworn affidavit which supports the petition application. In the affidavit, the person nominated for appointment must state as follows</w:t>
      </w:r>
      <w:r w:rsidR="009E15C9">
        <w:rPr>
          <w:rFonts w:ascii="Avenir Next" w:hAnsi="Avenir Next"/>
          <w:bCs/>
        </w:rPr>
        <w:t xml:space="preserve"> (CWR, O.3, r.4(1))</w:t>
      </w:r>
      <w:r w:rsidR="008B010D">
        <w:rPr>
          <w:rFonts w:ascii="Avenir Next" w:hAnsi="Avenir Next"/>
          <w:bCs/>
        </w:rPr>
        <w:t xml:space="preserve">: </w:t>
      </w:r>
    </w:p>
    <w:p w14:paraId="2CA8796E" w14:textId="75DB586A" w:rsidR="008B010D" w:rsidRPr="00327E13" w:rsidRDefault="009E15C9" w:rsidP="00170540">
      <w:pPr>
        <w:pStyle w:val="BodyText"/>
        <w:numPr>
          <w:ilvl w:val="0"/>
          <w:numId w:val="25"/>
        </w:numPr>
        <w:jc w:val="both"/>
        <w:rPr>
          <w:rFonts w:ascii="Avenir Next" w:hAnsi="Avenir Next"/>
          <w:bCs/>
        </w:rPr>
      </w:pPr>
      <w:r>
        <w:rPr>
          <w:rFonts w:ascii="Avenir Next" w:hAnsi="Avenir Next"/>
          <w:bCs/>
        </w:rPr>
        <w:t>they are</w:t>
      </w:r>
      <w:r w:rsidR="008B010D" w:rsidRPr="00327E13">
        <w:rPr>
          <w:rFonts w:ascii="Avenir Next" w:hAnsi="Avenir Next"/>
          <w:bCs/>
        </w:rPr>
        <w:t xml:space="preserve"> a qualified insolvency practitioner and meets the residency requirement set out in regulation 5 of the Insolvency Practitioners’ Regulations (as amended) </w:t>
      </w:r>
      <w:r w:rsidR="00327E13">
        <w:rPr>
          <w:rFonts w:ascii="Avenir Next" w:hAnsi="Avenir Next"/>
          <w:bCs/>
        </w:rPr>
        <w:t>(</w:t>
      </w:r>
      <w:r w:rsidR="00327E13" w:rsidRPr="00327E13">
        <w:rPr>
          <w:rFonts w:ascii="Avenir Next" w:hAnsi="Avenir Next"/>
          <w:b/>
          <w:bCs/>
        </w:rPr>
        <w:t>IPR</w:t>
      </w:r>
      <w:r w:rsidR="00327E13">
        <w:rPr>
          <w:rFonts w:ascii="Avenir Next" w:hAnsi="Avenir Next"/>
          <w:bCs/>
        </w:rPr>
        <w:t xml:space="preserve">) </w:t>
      </w:r>
      <w:r w:rsidR="008B010D" w:rsidRPr="00327E13">
        <w:rPr>
          <w:rFonts w:ascii="Avenir Next" w:hAnsi="Avenir Next"/>
          <w:bCs/>
        </w:rPr>
        <w:t xml:space="preserve">– namely, that they are </w:t>
      </w:r>
      <w:r w:rsidR="00C5020B" w:rsidRPr="00327E13">
        <w:rPr>
          <w:rFonts w:ascii="Avenir Next" w:hAnsi="Avenir Next"/>
          <w:bCs/>
        </w:rPr>
        <w:t>a Cayman Islands resident and that they, or the firm/company at which they are employed, holds a trade and business licence authorizing them to carry on business as professional insolvency practitioners;</w:t>
      </w:r>
    </w:p>
    <w:p w14:paraId="403C828E" w14:textId="7ADBDA8F" w:rsidR="00C5020B" w:rsidRDefault="00C5020B" w:rsidP="00170540">
      <w:pPr>
        <w:pStyle w:val="BodyText"/>
        <w:numPr>
          <w:ilvl w:val="0"/>
          <w:numId w:val="25"/>
        </w:numPr>
        <w:jc w:val="both"/>
        <w:rPr>
          <w:rFonts w:ascii="Avenir Next" w:hAnsi="Avenir Next"/>
          <w:bCs/>
        </w:rPr>
      </w:pPr>
      <w:r w:rsidRPr="00C5020B">
        <w:rPr>
          <w:rFonts w:ascii="Avenir Next" w:hAnsi="Avenir Next"/>
          <w:bCs/>
        </w:rPr>
        <w:t xml:space="preserve">having made due enquiry, </w:t>
      </w:r>
      <w:r w:rsidR="009E15C9">
        <w:rPr>
          <w:rFonts w:ascii="Avenir Next" w:hAnsi="Avenir Next"/>
          <w:bCs/>
        </w:rPr>
        <w:t xml:space="preserve">they </w:t>
      </w:r>
      <w:r w:rsidRPr="00C5020B">
        <w:rPr>
          <w:rFonts w:ascii="Avenir Next" w:hAnsi="Avenir Next"/>
          <w:bCs/>
        </w:rPr>
        <w:t xml:space="preserve">believe that </w:t>
      </w:r>
      <w:r>
        <w:rPr>
          <w:rFonts w:ascii="Avenir Next" w:hAnsi="Avenir Next"/>
          <w:bCs/>
        </w:rPr>
        <w:t xml:space="preserve">they and their firm/company </w:t>
      </w:r>
      <w:r w:rsidRPr="00C5020B">
        <w:rPr>
          <w:rFonts w:ascii="Avenir Next" w:hAnsi="Avenir Next"/>
          <w:bCs/>
        </w:rPr>
        <w:t xml:space="preserve">meet the independence requirement contained in </w:t>
      </w:r>
      <w:r w:rsidR="00327E13">
        <w:rPr>
          <w:rFonts w:ascii="Avenir Next" w:hAnsi="Avenir Next"/>
          <w:bCs/>
        </w:rPr>
        <w:t>r</w:t>
      </w:r>
      <w:r w:rsidRPr="00C5020B">
        <w:rPr>
          <w:rFonts w:ascii="Avenir Next" w:hAnsi="Avenir Next"/>
          <w:bCs/>
        </w:rPr>
        <w:t>egulation 6</w:t>
      </w:r>
      <w:r w:rsidR="00327E13">
        <w:rPr>
          <w:rFonts w:ascii="Avenir Next" w:hAnsi="Avenir Next"/>
          <w:bCs/>
        </w:rPr>
        <w:t xml:space="preserve"> of the IPR</w:t>
      </w:r>
      <w:r>
        <w:rPr>
          <w:rFonts w:ascii="Avenir Next" w:hAnsi="Avenir Next"/>
          <w:bCs/>
        </w:rPr>
        <w:t xml:space="preserve"> (</w:t>
      </w:r>
      <w:r w:rsidR="00327E13">
        <w:rPr>
          <w:rFonts w:ascii="Avenir Next" w:hAnsi="Avenir Next"/>
          <w:bCs/>
        </w:rPr>
        <w:t>namely</w:t>
      </w:r>
      <w:r>
        <w:rPr>
          <w:rFonts w:ascii="Avenir Next" w:hAnsi="Avenir Next"/>
          <w:bCs/>
        </w:rPr>
        <w:t xml:space="preserve">, that they can be properly regarded as independent </w:t>
      </w:r>
      <w:r w:rsidR="00327E13">
        <w:rPr>
          <w:rFonts w:ascii="Avenir Next" w:hAnsi="Avenir Next"/>
          <w:bCs/>
        </w:rPr>
        <w:t>of Bluesea)</w:t>
      </w:r>
      <w:r w:rsidRPr="00C5020B">
        <w:rPr>
          <w:rFonts w:ascii="Avenir Next" w:hAnsi="Avenir Next"/>
          <w:bCs/>
        </w:rPr>
        <w:t>;</w:t>
      </w:r>
    </w:p>
    <w:p w14:paraId="0ECAFE11" w14:textId="0E78C5E6" w:rsidR="00327E13" w:rsidRDefault="009E15C9" w:rsidP="00170540">
      <w:pPr>
        <w:pStyle w:val="BodyText"/>
        <w:numPr>
          <w:ilvl w:val="0"/>
          <w:numId w:val="25"/>
        </w:numPr>
        <w:jc w:val="both"/>
        <w:rPr>
          <w:rFonts w:ascii="Avenir Next" w:hAnsi="Avenir Next"/>
          <w:bCs/>
        </w:rPr>
      </w:pPr>
      <w:r>
        <w:rPr>
          <w:rFonts w:ascii="Avenir Next" w:hAnsi="Avenir Next"/>
          <w:bCs/>
        </w:rPr>
        <w:t>they</w:t>
      </w:r>
      <w:r w:rsidR="00327E13">
        <w:rPr>
          <w:rFonts w:ascii="Avenir Next" w:hAnsi="Avenir Next"/>
          <w:bCs/>
        </w:rPr>
        <w:t xml:space="preserve"> and their firm have complied with the insurance requirement in regulation 7 of the IPR (namely, professional indemnity insurance applicable to the negligent performance or non-performance of duties as an official liquidator generally up to a limit of at least US$10 million in respect of each and every claim and at least US$20 million in aggregate, with a deductible of not more than US$1 million; </w:t>
      </w:r>
      <w:r>
        <w:rPr>
          <w:rFonts w:ascii="Avenir Next" w:hAnsi="Avenir Next"/>
          <w:bCs/>
        </w:rPr>
        <w:t>and</w:t>
      </w:r>
    </w:p>
    <w:p w14:paraId="4D7F8488" w14:textId="6657B941" w:rsidR="00327E13" w:rsidRPr="00C5020B" w:rsidRDefault="009E15C9" w:rsidP="00170540">
      <w:pPr>
        <w:pStyle w:val="BodyText"/>
        <w:numPr>
          <w:ilvl w:val="0"/>
          <w:numId w:val="25"/>
        </w:numPr>
        <w:jc w:val="both"/>
        <w:rPr>
          <w:rFonts w:ascii="Avenir Next" w:hAnsi="Avenir Next"/>
          <w:bCs/>
        </w:rPr>
      </w:pPr>
      <w:r>
        <w:rPr>
          <w:rFonts w:ascii="Avenir Next" w:hAnsi="Avenir Next"/>
          <w:bCs/>
        </w:rPr>
        <w:t>they</w:t>
      </w:r>
      <w:r w:rsidR="00327E13">
        <w:rPr>
          <w:rFonts w:ascii="Avenir Next" w:hAnsi="Avenir Next"/>
          <w:bCs/>
        </w:rPr>
        <w:t xml:space="preserve"> </w:t>
      </w:r>
      <w:r>
        <w:rPr>
          <w:rFonts w:ascii="Avenir Next" w:hAnsi="Avenir Next"/>
          <w:bCs/>
        </w:rPr>
        <w:t>are</w:t>
      </w:r>
      <w:r w:rsidR="00327E13">
        <w:rPr>
          <w:rFonts w:ascii="Avenir Next" w:hAnsi="Avenir Next"/>
          <w:bCs/>
        </w:rPr>
        <w:t xml:space="preserve"> willing to act as an official liquidator if appointed by the Court. </w:t>
      </w:r>
    </w:p>
    <w:p w14:paraId="4D03B38D" w14:textId="764DF371" w:rsidR="00C5020B" w:rsidRDefault="00C5020B" w:rsidP="00327E13">
      <w:pPr>
        <w:pStyle w:val="BodyText"/>
        <w:ind w:firstLine="0"/>
        <w:rPr>
          <w:rFonts w:ascii="Avenir Next" w:hAnsi="Avenir Next"/>
          <w:bCs/>
        </w:rPr>
      </w:pPr>
    </w:p>
    <w:p w14:paraId="433FDA04" w14:textId="6796846B" w:rsidR="009E15C9" w:rsidRDefault="00327E13" w:rsidP="00327E13">
      <w:pPr>
        <w:pStyle w:val="BodyText"/>
        <w:ind w:firstLine="0"/>
        <w:rPr>
          <w:rFonts w:ascii="Avenir Next" w:hAnsi="Avenir Next"/>
          <w:bCs/>
        </w:rPr>
      </w:pPr>
      <w:r>
        <w:rPr>
          <w:rFonts w:ascii="Avenir Next" w:hAnsi="Avenir Next"/>
          <w:bCs/>
        </w:rPr>
        <w:t xml:space="preserve">If Whitesand also sought a joint appointment with a foreign practitioner, the application would need to include an affidavit from the latter </w:t>
      </w:r>
      <w:r w:rsidR="009E15C9">
        <w:rPr>
          <w:rFonts w:ascii="Avenir Next" w:hAnsi="Avenir Next"/>
          <w:bCs/>
        </w:rPr>
        <w:t xml:space="preserve">stating (CWR, O.3, r.4(2)): </w:t>
      </w:r>
    </w:p>
    <w:p w14:paraId="12746D79" w14:textId="46E733EB" w:rsidR="009E15C9" w:rsidRDefault="009E15C9" w:rsidP="00170540">
      <w:pPr>
        <w:pStyle w:val="BodyText"/>
        <w:numPr>
          <w:ilvl w:val="0"/>
          <w:numId w:val="26"/>
        </w:numPr>
        <w:jc w:val="both"/>
        <w:rPr>
          <w:rFonts w:ascii="Avenir Next" w:hAnsi="Avenir Next"/>
          <w:bCs/>
        </w:rPr>
      </w:pPr>
      <w:r>
        <w:rPr>
          <w:rFonts w:ascii="Avenir Next" w:hAnsi="Avenir Next"/>
          <w:bCs/>
        </w:rPr>
        <w:t xml:space="preserve">their professional qualifications and experience; </w:t>
      </w:r>
    </w:p>
    <w:p w14:paraId="1BB168C6" w14:textId="5870FD9D" w:rsidR="009E15C9" w:rsidRDefault="009E15C9" w:rsidP="00170540">
      <w:pPr>
        <w:pStyle w:val="BodyText"/>
        <w:numPr>
          <w:ilvl w:val="0"/>
          <w:numId w:val="26"/>
        </w:numPr>
        <w:jc w:val="both"/>
        <w:rPr>
          <w:rFonts w:ascii="Avenir Next" w:hAnsi="Avenir Next"/>
          <w:bCs/>
        </w:rPr>
      </w:pPr>
      <w:r>
        <w:rPr>
          <w:rFonts w:ascii="Avenir Next" w:hAnsi="Avenir Next"/>
          <w:bCs/>
        </w:rPr>
        <w:t xml:space="preserve">the country in which they are qualified to perform functions equivalent to those performed by official liquidators under the </w:t>
      </w:r>
      <w:r>
        <w:rPr>
          <w:rFonts w:ascii="Avenir Next" w:hAnsi="Avenir Next"/>
          <w:bCs/>
          <w:i/>
        </w:rPr>
        <w:t xml:space="preserve">Companies Act (as amended) </w:t>
      </w:r>
      <w:r>
        <w:rPr>
          <w:rFonts w:ascii="Avenir Next" w:hAnsi="Avenir Next"/>
          <w:bCs/>
        </w:rPr>
        <w:t xml:space="preserve">(the </w:t>
      </w:r>
      <w:r w:rsidRPr="009E15C9">
        <w:rPr>
          <w:rFonts w:ascii="Avenir Next" w:hAnsi="Avenir Next"/>
          <w:b/>
          <w:bCs/>
        </w:rPr>
        <w:t>Act</w:t>
      </w:r>
      <w:r>
        <w:rPr>
          <w:rFonts w:ascii="Avenir Next" w:hAnsi="Avenir Next"/>
          <w:bCs/>
        </w:rPr>
        <w:t xml:space="preserve">); </w:t>
      </w:r>
    </w:p>
    <w:p w14:paraId="01BE62D4" w14:textId="334BD7EC" w:rsidR="009E15C9" w:rsidRDefault="007F6B14" w:rsidP="00170540">
      <w:pPr>
        <w:pStyle w:val="BodyText"/>
        <w:numPr>
          <w:ilvl w:val="0"/>
          <w:numId w:val="26"/>
        </w:numPr>
        <w:jc w:val="both"/>
        <w:rPr>
          <w:rFonts w:ascii="Avenir Next" w:hAnsi="Avenir Next"/>
          <w:bCs/>
        </w:rPr>
      </w:pPr>
      <w:r>
        <w:rPr>
          <w:rFonts w:ascii="Avenir Next" w:hAnsi="Avenir Next"/>
          <w:bCs/>
        </w:rPr>
        <w:t xml:space="preserve">they have the requisite professional indemnity insurance in respect of acts and omissions done in their capacity as official liquidator, in accordance with regulation 7 as described above; </w:t>
      </w:r>
    </w:p>
    <w:p w14:paraId="7FA74EF9" w14:textId="04A6FBF0" w:rsidR="007F6B14" w:rsidRDefault="007F6B14" w:rsidP="00170540">
      <w:pPr>
        <w:pStyle w:val="BodyText"/>
        <w:numPr>
          <w:ilvl w:val="0"/>
          <w:numId w:val="26"/>
        </w:numPr>
        <w:jc w:val="both"/>
        <w:rPr>
          <w:rFonts w:ascii="Avenir Next" w:hAnsi="Avenir Next"/>
          <w:bCs/>
        </w:rPr>
      </w:pPr>
      <w:r w:rsidRPr="00C5020B">
        <w:rPr>
          <w:rFonts w:ascii="Avenir Next" w:hAnsi="Avenir Next"/>
          <w:bCs/>
        </w:rPr>
        <w:t xml:space="preserve">having made due enquiry, </w:t>
      </w:r>
      <w:r>
        <w:rPr>
          <w:rFonts w:ascii="Avenir Next" w:hAnsi="Avenir Next"/>
          <w:bCs/>
        </w:rPr>
        <w:t xml:space="preserve">they </w:t>
      </w:r>
      <w:r w:rsidRPr="00C5020B">
        <w:rPr>
          <w:rFonts w:ascii="Avenir Next" w:hAnsi="Avenir Next"/>
          <w:bCs/>
        </w:rPr>
        <w:t xml:space="preserve">believe that </w:t>
      </w:r>
      <w:r>
        <w:rPr>
          <w:rFonts w:ascii="Avenir Next" w:hAnsi="Avenir Next"/>
          <w:bCs/>
        </w:rPr>
        <w:t xml:space="preserve">they and their firm/company </w:t>
      </w:r>
      <w:r w:rsidRPr="00C5020B">
        <w:rPr>
          <w:rFonts w:ascii="Avenir Next" w:hAnsi="Avenir Next"/>
          <w:bCs/>
        </w:rPr>
        <w:t xml:space="preserve">meet the independence requirement contained in </w:t>
      </w:r>
      <w:r>
        <w:rPr>
          <w:rFonts w:ascii="Avenir Next" w:hAnsi="Avenir Next"/>
          <w:bCs/>
        </w:rPr>
        <w:t>r</w:t>
      </w:r>
      <w:r w:rsidRPr="00C5020B">
        <w:rPr>
          <w:rFonts w:ascii="Avenir Next" w:hAnsi="Avenir Next"/>
          <w:bCs/>
        </w:rPr>
        <w:t>egulation 6</w:t>
      </w:r>
      <w:r>
        <w:rPr>
          <w:rFonts w:ascii="Avenir Next" w:hAnsi="Avenir Next"/>
          <w:bCs/>
        </w:rPr>
        <w:t xml:space="preserve"> as described above; and</w:t>
      </w:r>
    </w:p>
    <w:p w14:paraId="2C7D34C4" w14:textId="777CFFC5" w:rsidR="007F6B14" w:rsidRPr="007F6B14" w:rsidRDefault="007F6B14" w:rsidP="00170540">
      <w:pPr>
        <w:pStyle w:val="BodyText"/>
        <w:numPr>
          <w:ilvl w:val="0"/>
          <w:numId w:val="26"/>
        </w:numPr>
        <w:jc w:val="both"/>
        <w:rPr>
          <w:rFonts w:ascii="Avenir Next" w:hAnsi="Avenir Next"/>
          <w:bCs/>
        </w:rPr>
      </w:pPr>
      <w:r w:rsidRPr="007F6B14">
        <w:rPr>
          <w:rFonts w:ascii="Avenir Next" w:hAnsi="Avenir Next"/>
          <w:bCs/>
        </w:rPr>
        <w:t xml:space="preserve">if they have been appointed by a foreign court or authority as a liquidator, trustee, receiver or administrator of </w:t>
      </w:r>
      <w:r>
        <w:rPr>
          <w:rFonts w:ascii="Avenir Next" w:hAnsi="Avenir Next"/>
          <w:bCs/>
        </w:rPr>
        <w:t>Bluesea</w:t>
      </w:r>
      <w:r w:rsidRPr="007F6B14">
        <w:rPr>
          <w:rFonts w:ascii="Avenir Next" w:hAnsi="Avenir Next"/>
          <w:bCs/>
        </w:rPr>
        <w:t xml:space="preserve"> or a related party of </w:t>
      </w:r>
      <w:r>
        <w:rPr>
          <w:rFonts w:ascii="Avenir Next" w:hAnsi="Avenir Next"/>
          <w:bCs/>
        </w:rPr>
        <w:t>Bluesea</w:t>
      </w:r>
      <w:r w:rsidRPr="007F6B14">
        <w:rPr>
          <w:rFonts w:ascii="Avenir Next" w:hAnsi="Avenir Next"/>
          <w:bCs/>
        </w:rPr>
        <w:t>, full particulars of such appointment</w:t>
      </w:r>
      <w:r>
        <w:rPr>
          <w:rFonts w:ascii="Avenir Next" w:hAnsi="Avenir Next"/>
          <w:bCs/>
        </w:rPr>
        <w:t xml:space="preserve">. </w:t>
      </w:r>
    </w:p>
    <w:p w14:paraId="46B7CE15" w14:textId="77777777" w:rsidR="009E15C9" w:rsidRPr="00CD7EDC" w:rsidRDefault="009E15C9" w:rsidP="00327E13">
      <w:pPr>
        <w:pStyle w:val="BodyText"/>
        <w:ind w:firstLine="0"/>
        <w:rPr>
          <w:rFonts w:ascii="Avenir Next" w:hAnsi="Avenir Next"/>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485AA19" w14:textId="77777777" w:rsidR="002F04F0" w:rsidRDefault="007F6B14" w:rsidP="00A51058">
      <w:pPr>
        <w:pStyle w:val="BodyText"/>
        <w:ind w:firstLine="0"/>
        <w:rPr>
          <w:rFonts w:ascii="Avenir Next" w:hAnsi="Avenir Next"/>
        </w:rPr>
      </w:pPr>
      <w:r w:rsidRPr="007F6B14">
        <w:rPr>
          <w:rFonts w:ascii="Avenir Next" w:hAnsi="Avenir Next"/>
          <w:u w:val="single"/>
        </w:rPr>
        <w:t>Answer:</w:t>
      </w:r>
      <w:r>
        <w:rPr>
          <w:rFonts w:ascii="Avenir Next" w:hAnsi="Avenir Next"/>
        </w:rPr>
        <w:t xml:space="preserve"> </w:t>
      </w:r>
    </w:p>
    <w:p w14:paraId="37CEA652" w14:textId="77777777" w:rsidR="002F04F0" w:rsidRDefault="002F04F0" w:rsidP="00A51058">
      <w:pPr>
        <w:pStyle w:val="BodyText"/>
        <w:ind w:firstLine="0"/>
        <w:rPr>
          <w:rFonts w:ascii="Avenir Next" w:hAnsi="Avenir Next"/>
          <w:highlight w:val="green"/>
        </w:rPr>
      </w:pPr>
    </w:p>
    <w:p w14:paraId="05E25C0B" w14:textId="77777777" w:rsidR="00933482" w:rsidRDefault="008F40BA" w:rsidP="00933482">
      <w:pPr>
        <w:pStyle w:val="BodyText"/>
        <w:tabs>
          <w:tab w:val="right" w:pos="9021"/>
        </w:tabs>
        <w:ind w:firstLine="0"/>
        <w:jc w:val="both"/>
        <w:rPr>
          <w:rFonts w:ascii="Avenir Next" w:hAnsi="Avenir Next"/>
        </w:rPr>
      </w:pPr>
      <w:r w:rsidRPr="008F40BA">
        <w:rPr>
          <w:rFonts w:ascii="Avenir Next" w:hAnsi="Avenir Next"/>
        </w:rPr>
        <w:t xml:space="preserve">The proposed liquidators will not be able to act in relation to Bluesea. </w:t>
      </w:r>
    </w:p>
    <w:p w14:paraId="7400244B" w14:textId="77777777" w:rsidR="00933482" w:rsidRDefault="00933482" w:rsidP="00933482">
      <w:pPr>
        <w:pStyle w:val="BodyText"/>
        <w:tabs>
          <w:tab w:val="right" w:pos="9021"/>
        </w:tabs>
        <w:ind w:firstLine="0"/>
        <w:jc w:val="both"/>
        <w:rPr>
          <w:rFonts w:ascii="Avenir Next" w:hAnsi="Avenir Next"/>
        </w:rPr>
      </w:pPr>
    </w:p>
    <w:p w14:paraId="4C4835AD" w14:textId="27FBF4B9" w:rsidR="00933482" w:rsidRDefault="008F40BA" w:rsidP="00933482">
      <w:pPr>
        <w:pStyle w:val="BodyText"/>
        <w:tabs>
          <w:tab w:val="right" w:pos="9021"/>
        </w:tabs>
        <w:ind w:firstLine="0"/>
        <w:jc w:val="both"/>
        <w:rPr>
          <w:rFonts w:ascii="Avenir Next" w:hAnsi="Avenir Next"/>
        </w:rPr>
      </w:pPr>
      <w:r>
        <w:rPr>
          <w:rFonts w:ascii="Avenir Next" w:hAnsi="Avenir Next"/>
        </w:rPr>
        <w:t xml:space="preserve">The Court will not appoint any person as official liquidator unless and until they have sworn a consent to act (CWR, O.5, r.5(1)). </w:t>
      </w:r>
      <w:r w:rsidR="00933482">
        <w:rPr>
          <w:rFonts w:ascii="Avenir Next" w:hAnsi="Avenir Next"/>
        </w:rPr>
        <w:t>I</w:t>
      </w:r>
      <w:r>
        <w:rPr>
          <w:rFonts w:ascii="Avenir Next" w:hAnsi="Avenir Next"/>
        </w:rPr>
        <w:t>n the consent to act, the proposed liquidators must state that</w:t>
      </w:r>
      <w:r w:rsidR="00933482">
        <w:rPr>
          <w:rFonts w:ascii="Avenir Next" w:hAnsi="Avenir Next"/>
        </w:rPr>
        <w:t xml:space="preserve">, having made due inquiry, that they and their firm meet the independence requirement – that is, they will not be </w:t>
      </w:r>
      <w:r w:rsidR="00933482" w:rsidRPr="00933482">
        <w:rPr>
          <w:rFonts w:ascii="Avenir Next" w:hAnsi="Avenir Next"/>
        </w:rPr>
        <w:t xml:space="preserve">appointed unless </w:t>
      </w:r>
      <w:r w:rsidR="00933482">
        <w:rPr>
          <w:rFonts w:ascii="Avenir Next" w:hAnsi="Avenir Next"/>
        </w:rPr>
        <w:t xml:space="preserve">they can be </w:t>
      </w:r>
      <w:r w:rsidR="00933482" w:rsidRPr="00933482">
        <w:rPr>
          <w:rFonts w:ascii="Avenir Next" w:hAnsi="Avenir Next"/>
        </w:rPr>
        <w:t xml:space="preserve">properly regarded as </w:t>
      </w:r>
      <w:r w:rsidR="00933482">
        <w:rPr>
          <w:rFonts w:ascii="Avenir Next" w:hAnsi="Avenir Next"/>
        </w:rPr>
        <w:t xml:space="preserve">independent of Bluesea (IPR, reg, 6(1)). The IPR also deems that a </w:t>
      </w:r>
      <w:r w:rsidR="00933482" w:rsidRPr="00933482">
        <w:rPr>
          <w:rFonts w:ascii="Avenir Next" w:hAnsi="Avenir Next"/>
        </w:rPr>
        <w:t xml:space="preserve">practitioner </w:t>
      </w:r>
      <w:r w:rsidR="00933482">
        <w:rPr>
          <w:rFonts w:ascii="Avenir Next" w:hAnsi="Avenir Next"/>
        </w:rPr>
        <w:t xml:space="preserve">is </w:t>
      </w:r>
      <w:r w:rsidR="00933482" w:rsidRPr="00933482">
        <w:rPr>
          <w:rFonts w:ascii="Avenir Next" w:hAnsi="Avenir Next"/>
        </w:rPr>
        <w:t xml:space="preserve">not </w:t>
      </w:r>
      <w:r w:rsidR="00933482">
        <w:rPr>
          <w:rFonts w:ascii="Avenir Next" w:hAnsi="Avenir Next"/>
        </w:rPr>
        <w:t xml:space="preserve">to </w:t>
      </w:r>
      <w:r w:rsidR="00933482" w:rsidRPr="00933482">
        <w:rPr>
          <w:rFonts w:ascii="Avenir Next" w:hAnsi="Avenir Next"/>
        </w:rPr>
        <w:t xml:space="preserve">be regarded as independent if, within a period of 3 years immediately preceding the </w:t>
      </w:r>
      <w:r w:rsidR="00933482">
        <w:rPr>
          <w:rFonts w:ascii="Avenir Next" w:hAnsi="Avenir Next"/>
        </w:rPr>
        <w:t>c</w:t>
      </w:r>
      <w:r w:rsidR="00933482" w:rsidRPr="00933482">
        <w:rPr>
          <w:rFonts w:ascii="Avenir Next" w:hAnsi="Avenir Next"/>
        </w:rPr>
        <w:t>ommencement of the liquidation, that person, or the</w:t>
      </w:r>
      <w:r w:rsidR="00933482">
        <w:rPr>
          <w:rFonts w:ascii="Avenir Next" w:hAnsi="Avenir Next"/>
        </w:rPr>
        <w:t xml:space="preserve">ir </w:t>
      </w:r>
      <w:r w:rsidR="00933482" w:rsidRPr="00933482">
        <w:rPr>
          <w:rFonts w:ascii="Avenir Next" w:hAnsi="Avenir Next"/>
        </w:rPr>
        <w:t xml:space="preserve">firm has </w:t>
      </w:r>
      <w:r w:rsidR="00933482">
        <w:rPr>
          <w:rFonts w:ascii="Avenir Next" w:hAnsi="Avenir Next"/>
        </w:rPr>
        <w:t xml:space="preserve">acted in relation to the company as its auditor. </w:t>
      </w:r>
    </w:p>
    <w:p w14:paraId="07E834CD" w14:textId="723E5CE9" w:rsidR="00933482" w:rsidRDefault="00933482" w:rsidP="00933482">
      <w:pPr>
        <w:pStyle w:val="BodyText"/>
        <w:tabs>
          <w:tab w:val="right" w:pos="9021"/>
        </w:tabs>
        <w:ind w:firstLine="0"/>
        <w:jc w:val="both"/>
        <w:rPr>
          <w:rFonts w:ascii="Avenir Next" w:hAnsi="Avenir Next"/>
        </w:rPr>
      </w:pPr>
    </w:p>
    <w:p w14:paraId="5D7F3893" w14:textId="64F23353" w:rsidR="00933482" w:rsidRDefault="00933482" w:rsidP="00933482">
      <w:pPr>
        <w:pStyle w:val="BodyText"/>
        <w:tabs>
          <w:tab w:val="right" w:pos="9021"/>
        </w:tabs>
        <w:ind w:firstLine="0"/>
        <w:jc w:val="both"/>
        <w:rPr>
          <w:rFonts w:ascii="Avenir Next" w:hAnsi="Avenir Next"/>
        </w:rPr>
      </w:pPr>
      <w:r>
        <w:rPr>
          <w:rFonts w:ascii="Avenir Next" w:hAnsi="Avenir Next"/>
        </w:rPr>
        <w:t xml:space="preserve">As </w:t>
      </w:r>
      <w:r w:rsidRPr="002A2B0D">
        <w:rPr>
          <w:rFonts w:ascii="Avenir Next" w:hAnsi="Avenir Next"/>
        </w:rPr>
        <w:t>Bodden &amp; Ebanks Limited</w:t>
      </w:r>
      <w:r>
        <w:rPr>
          <w:rFonts w:ascii="Avenir Next" w:hAnsi="Avenir Next"/>
        </w:rPr>
        <w:t xml:space="preserve"> acted as auditor in 2021, the proposed liquidators cannot be regarded as independent of Bluesea because the winding up would commence within three years of that engagement (in May 2023). </w:t>
      </w:r>
      <w:r w:rsidR="006B3BF7">
        <w:rPr>
          <w:rFonts w:ascii="Avenir Next" w:hAnsi="Avenir Next"/>
        </w:rPr>
        <w:t>Therefore, the proposed liquidators cannot satisfy the independence requirements and should not proceed with their appointment.</w:t>
      </w:r>
    </w:p>
    <w:p w14:paraId="3E02C740" w14:textId="0BA2A4B7" w:rsidR="006B3BF7" w:rsidRDefault="006B3BF7" w:rsidP="00933482">
      <w:pPr>
        <w:pStyle w:val="BodyText"/>
        <w:tabs>
          <w:tab w:val="right" w:pos="9021"/>
        </w:tabs>
        <w:ind w:firstLine="0"/>
        <w:jc w:val="both"/>
        <w:rPr>
          <w:rFonts w:ascii="Avenir Next" w:hAnsi="Avenir Next"/>
        </w:rPr>
      </w:pPr>
    </w:p>
    <w:p w14:paraId="36527FFD" w14:textId="14B96908" w:rsidR="006B3BF7" w:rsidRDefault="006B3BF7" w:rsidP="00933482">
      <w:pPr>
        <w:pStyle w:val="BodyText"/>
        <w:tabs>
          <w:tab w:val="right" w:pos="9021"/>
        </w:tabs>
        <w:ind w:firstLine="0"/>
        <w:jc w:val="both"/>
        <w:rPr>
          <w:rFonts w:ascii="Avenir Next" w:hAnsi="Avenir Next"/>
        </w:rPr>
      </w:pPr>
      <w:r>
        <w:rPr>
          <w:rFonts w:ascii="Avenir Next" w:hAnsi="Avenir Next"/>
        </w:rPr>
        <w:t xml:space="preserve">It is assumed that the petition, along with the relevant supporting documentation, including the consent to act, has already been filed and served in May 2023; and that the proposed liquidators discovered their firm’s conflict shortly prior to the hearing in August 2023. As above, the proposed liquidators should not proceed with their appointment. </w:t>
      </w:r>
      <w:r w:rsidR="00F769E1">
        <w:rPr>
          <w:rFonts w:ascii="Avenir Next" w:hAnsi="Avenir Next"/>
        </w:rPr>
        <w:t>They should also consider the following steps:</w:t>
      </w:r>
    </w:p>
    <w:p w14:paraId="27FF266F" w14:textId="02723197" w:rsidR="00F769E1" w:rsidRDefault="00F769E1" w:rsidP="00933482">
      <w:pPr>
        <w:pStyle w:val="BodyText"/>
        <w:tabs>
          <w:tab w:val="right" w:pos="9021"/>
        </w:tabs>
        <w:ind w:firstLine="0"/>
        <w:jc w:val="both"/>
        <w:rPr>
          <w:rFonts w:ascii="Avenir Next" w:hAnsi="Avenir Next"/>
        </w:rPr>
      </w:pPr>
    </w:p>
    <w:p w14:paraId="5FBA2F85" w14:textId="04BDDC95" w:rsidR="00F769E1" w:rsidRDefault="00F769E1" w:rsidP="00170540">
      <w:pPr>
        <w:pStyle w:val="BodyText"/>
        <w:numPr>
          <w:ilvl w:val="0"/>
          <w:numId w:val="30"/>
        </w:numPr>
        <w:tabs>
          <w:tab w:val="right" w:pos="9021"/>
        </w:tabs>
        <w:jc w:val="both"/>
        <w:rPr>
          <w:rFonts w:ascii="Avenir Next" w:hAnsi="Avenir Next"/>
        </w:rPr>
      </w:pPr>
      <w:r>
        <w:rPr>
          <w:rFonts w:ascii="Avenir Next" w:hAnsi="Avenir Next"/>
        </w:rPr>
        <w:t xml:space="preserve">The petition application will have to be amended. Assuming it has already been served, Whitesand will require the leave of the Court (CWR O.3, r.2(3)). In the leave application: </w:t>
      </w:r>
    </w:p>
    <w:p w14:paraId="02C3FCC0" w14:textId="6117CA3F" w:rsidR="00F769E1" w:rsidRDefault="00F769E1" w:rsidP="00170540">
      <w:pPr>
        <w:pStyle w:val="BodyText"/>
        <w:numPr>
          <w:ilvl w:val="1"/>
          <w:numId w:val="30"/>
        </w:numPr>
        <w:tabs>
          <w:tab w:val="right" w:pos="9021"/>
        </w:tabs>
        <w:jc w:val="both"/>
        <w:rPr>
          <w:rFonts w:ascii="Avenir Next" w:hAnsi="Avenir Next"/>
        </w:rPr>
      </w:pPr>
      <w:r>
        <w:rPr>
          <w:rFonts w:ascii="Avenir Next" w:hAnsi="Avenir Next"/>
        </w:rPr>
        <w:t>Whitesand would seek to amend its prior nominated liquidators</w:t>
      </w:r>
      <w:r w:rsidR="00656BEF">
        <w:rPr>
          <w:rFonts w:ascii="Avenir Next" w:hAnsi="Avenir Next"/>
        </w:rPr>
        <w:t xml:space="preserve"> and substitute with newly proposed liquidators (CWR O.3, r.2(2)(e)) - assuming they can be found in time, and in which case, they would need to provide separate consents to act</w:t>
      </w:r>
      <w:r>
        <w:rPr>
          <w:rFonts w:ascii="Avenir Next" w:hAnsi="Avenir Next"/>
        </w:rPr>
        <w:t>;</w:t>
      </w:r>
    </w:p>
    <w:p w14:paraId="764CBF12" w14:textId="571B98BD" w:rsidR="00656BEF" w:rsidRDefault="00F769E1" w:rsidP="00170540">
      <w:pPr>
        <w:pStyle w:val="BodyText"/>
        <w:numPr>
          <w:ilvl w:val="1"/>
          <w:numId w:val="30"/>
        </w:numPr>
        <w:tabs>
          <w:tab w:val="right" w:pos="9021"/>
        </w:tabs>
        <w:jc w:val="both"/>
        <w:rPr>
          <w:rFonts w:ascii="Avenir Next" w:hAnsi="Avenir Next"/>
        </w:rPr>
      </w:pPr>
      <w:r>
        <w:rPr>
          <w:rFonts w:ascii="Avenir Next" w:hAnsi="Avenir Next"/>
        </w:rPr>
        <w:t xml:space="preserve">an </w:t>
      </w:r>
      <w:r w:rsidR="00656BEF">
        <w:rPr>
          <w:rFonts w:ascii="Avenir Next" w:hAnsi="Avenir Next"/>
        </w:rPr>
        <w:t xml:space="preserve">affidavit from the petitioner should be included explaining the reason for the amendments (by reference to a further affidavit from the proposed liquidators, as explained below); </w:t>
      </w:r>
    </w:p>
    <w:p w14:paraId="1F08DFED" w14:textId="1095320C" w:rsidR="00656BEF" w:rsidRDefault="00656BEF" w:rsidP="00170540">
      <w:pPr>
        <w:pStyle w:val="BodyText"/>
        <w:numPr>
          <w:ilvl w:val="1"/>
          <w:numId w:val="30"/>
        </w:numPr>
        <w:tabs>
          <w:tab w:val="right" w:pos="9021"/>
        </w:tabs>
        <w:jc w:val="both"/>
        <w:rPr>
          <w:rFonts w:ascii="Avenir Next" w:hAnsi="Avenir Next"/>
        </w:rPr>
      </w:pPr>
      <w:r>
        <w:rPr>
          <w:rFonts w:ascii="Avenir Next" w:hAnsi="Avenir Next"/>
        </w:rPr>
        <w:t xml:space="preserve">an affidavit from the proposed liquidators should also be included. This should be very carefully drafted and should explain that there was an inadvertent error in the previously sworn consent to act, that the information only came to light shortly before the hearing of the petition, and most importantly, the reason why the error was made. Naturally, the affidavit would also confirm that they no longer pursue appointment.  </w:t>
      </w:r>
    </w:p>
    <w:p w14:paraId="72C1DBBD" w14:textId="3FDAC968" w:rsidR="00F769E1" w:rsidRDefault="00656BEF" w:rsidP="00170540">
      <w:pPr>
        <w:pStyle w:val="BodyText"/>
        <w:numPr>
          <w:ilvl w:val="0"/>
          <w:numId w:val="30"/>
        </w:numPr>
        <w:tabs>
          <w:tab w:val="right" w:pos="9021"/>
        </w:tabs>
        <w:jc w:val="both"/>
        <w:rPr>
          <w:rFonts w:ascii="Avenir Next" w:hAnsi="Avenir Next"/>
        </w:rPr>
      </w:pPr>
      <w:r>
        <w:rPr>
          <w:rFonts w:ascii="Avenir Next" w:hAnsi="Avenir Next"/>
        </w:rPr>
        <w:t xml:space="preserve">If leave is granted, it is most likely that the petition will have to be re-served and the petition hearing be adjourned until stakeholders have been given proper notice of the newly proposed liquidators. </w:t>
      </w:r>
    </w:p>
    <w:p w14:paraId="476D5F6A" w14:textId="49F24E08" w:rsidR="00656BEF" w:rsidRDefault="00656BEF" w:rsidP="00656BEF">
      <w:pPr>
        <w:pStyle w:val="BodyText"/>
        <w:tabs>
          <w:tab w:val="right" w:pos="9021"/>
        </w:tabs>
        <w:ind w:firstLine="0"/>
        <w:jc w:val="both"/>
        <w:rPr>
          <w:rFonts w:ascii="Avenir Next" w:hAnsi="Avenir Next"/>
        </w:rPr>
      </w:pPr>
    </w:p>
    <w:p w14:paraId="6FA871A7" w14:textId="4D226EB5" w:rsidR="00656BEF" w:rsidRDefault="00656BEF" w:rsidP="00656BEF">
      <w:pPr>
        <w:pStyle w:val="BodyText"/>
        <w:tabs>
          <w:tab w:val="right" w:pos="9021"/>
        </w:tabs>
        <w:ind w:firstLine="0"/>
        <w:jc w:val="both"/>
        <w:rPr>
          <w:rFonts w:ascii="Avenir Next" w:hAnsi="Avenir Next"/>
        </w:rPr>
      </w:pPr>
      <w:r>
        <w:rPr>
          <w:rFonts w:ascii="Avenir Next" w:hAnsi="Avenir Next"/>
        </w:rPr>
        <w:t>Assuming there is some sensible reason for the proposed liquidators’ error, it is not likely that they will face any penalty or sanction from the court</w:t>
      </w:r>
      <w:r w:rsidR="0059364B">
        <w:rPr>
          <w:rFonts w:ascii="Avenir Next" w:hAnsi="Avenir Next"/>
        </w:rPr>
        <w:t xml:space="preserve">, particularly given that they have not yet been appointed and are thus not yet treated as an officer of the court </w:t>
      </w:r>
      <w:r w:rsidR="0059364B" w:rsidRPr="0059364B">
        <w:rPr>
          <w:rFonts w:ascii="Avenir Next" w:hAnsi="Avenir Next"/>
        </w:rPr>
        <w:t>(CWR O.5, r.1(1))</w:t>
      </w:r>
      <w:r>
        <w:rPr>
          <w:rFonts w:ascii="Avenir Next" w:hAnsi="Avenir Next"/>
        </w:rPr>
        <w:t>. However, they may be the subject of adverse judicial comment in any written reasons, which could impact the</w:t>
      </w:r>
      <w:r w:rsidR="0059364B">
        <w:rPr>
          <w:rFonts w:ascii="Avenir Next" w:hAnsi="Avenir Next"/>
        </w:rPr>
        <w:t xml:space="preserve">ir </w:t>
      </w:r>
      <w:r>
        <w:rPr>
          <w:rFonts w:ascii="Avenir Next" w:hAnsi="Avenir Next"/>
        </w:rPr>
        <w:t>reputation</w:t>
      </w:r>
      <w:r w:rsidR="0059364B">
        <w:rPr>
          <w:rFonts w:ascii="Avenir Next" w:hAnsi="Avenir Next"/>
        </w:rPr>
        <w:t xml:space="preserve">, and the reputation of </w:t>
      </w:r>
      <w:r w:rsidR="0059364B" w:rsidRPr="002A2B0D">
        <w:rPr>
          <w:rFonts w:ascii="Avenir Next" w:hAnsi="Avenir Next"/>
        </w:rPr>
        <w:t>Bodden &amp; Ebanks Limited</w:t>
      </w:r>
      <w:r w:rsidR="0059364B">
        <w:rPr>
          <w:rFonts w:ascii="Avenir Next" w:hAnsi="Avenir Next"/>
        </w:rPr>
        <w:t xml:space="preserve">. </w:t>
      </w:r>
    </w:p>
    <w:p w14:paraId="5496B693" w14:textId="77777777" w:rsidR="006B3BF7" w:rsidRDefault="006B3BF7" w:rsidP="00933482">
      <w:pPr>
        <w:pStyle w:val="BodyText"/>
        <w:tabs>
          <w:tab w:val="right" w:pos="9021"/>
        </w:tabs>
        <w:ind w:firstLine="0"/>
        <w:jc w:val="both"/>
        <w:rPr>
          <w:rFonts w:ascii="Avenir Next" w:hAnsi="Avenir Next"/>
        </w:rPr>
      </w:pP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75F0E2CD" w14:textId="77777777" w:rsidR="001D574E" w:rsidRDefault="007F6B14" w:rsidP="008E0271">
      <w:pPr>
        <w:pStyle w:val="BodyText"/>
        <w:ind w:firstLine="0"/>
        <w:jc w:val="both"/>
        <w:rPr>
          <w:rFonts w:ascii="Avenir Next" w:hAnsi="Avenir Next"/>
        </w:rPr>
      </w:pPr>
      <w:r w:rsidRPr="007F6B14">
        <w:rPr>
          <w:rFonts w:ascii="Avenir Next" w:hAnsi="Avenir Next"/>
          <w:u w:val="single"/>
        </w:rPr>
        <w:t>Answer:</w:t>
      </w:r>
      <w:r>
        <w:rPr>
          <w:rFonts w:ascii="Avenir Next" w:hAnsi="Avenir Next"/>
        </w:rPr>
        <w:t xml:space="preserve"> </w:t>
      </w:r>
    </w:p>
    <w:p w14:paraId="05263641" w14:textId="77777777" w:rsidR="001D574E" w:rsidRDefault="001D574E" w:rsidP="008E0271">
      <w:pPr>
        <w:pStyle w:val="BodyText"/>
        <w:ind w:firstLine="0"/>
        <w:jc w:val="both"/>
        <w:rPr>
          <w:rFonts w:ascii="Avenir Next" w:hAnsi="Avenir Next"/>
        </w:rPr>
      </w:pPr>
    </w:p>
    <w:p w14:paraId="155E6BDA" w14:textId="3539CACF" w:rsidR="00586B0F" w:rsidRPr="007F6B14" w:rsidRDefault="007F6B14" w:rsidP="008E0271">
      <w:pPr>
        <w:pStyle w:val="BodyText"/>
        <w:ind w:firstLine="0"/>
        <w:jc w:val="both"/>
        <w:rPr>
          <w:rFonts w:ascii="Avenir Next" w:hAnsi="Avenir Next"/>
          <w:b/>
          <w:bCs/>
        </w:rPr>
      </w:pPr>
      <w:r w:rsidRPr="007F6B14">
        <w:rPr>
          <w:rFonts w:ascii="Avenir Next" w:hAnsi="Avenir Next"/>
        </w:rPr>
        <w:t xml:space="preserve">Section 120 of the Act </w:t>
      </w:r>
      <w:r w:rsidR="008E0271">
        <w:rPr>
          <w:rFonts w:ascii="Avenir Next" w:hAnsi="Avenir Next"/>
        </w:rPr>
        <w:t xml:space="preserve">provides that any person, </w:t>
      </w:r>
      <w:r w:rsidR="008E0271" w:rsidRPr="008E0271">
        <w:rPr>
          <w:rFonts w:ascii="Avenir Next" w:hAnsi="Avenir Next"/>
        </w:rPr>
        <w:t xml:space="preserve">including a director or officer of the company, may be appointed as </w:t>
      </w:r>
      <w:r w:rsidR="008E0271">
        <w:rPr>
          <w:rFonts w:ascii="Avenir Next" w:hAnsi="Avenir Next"/>
        </w:rPr>
        <w:t>a</w:t>
      </w:r>
      <w:r w:rsidR="008E0271" w:rsidRPr="008E0271">
        <w:rPr>
          <w:rFonts w:ascii="Avenir Next" w:hAnsi="Avenir Next"/>
        </w:rPr>
        <w:t xml:space="preserve"> voluntary liquidator.</w:t>
      </w:r>
      <w:r w:rsidR="008E0271">
        <w:rPr>
          <w:rFonts w:ascii="Avenir Next" w:hAnsi="Avenir Next"/>
        </w:rPr>
        <w:t xml:space="preserve"> Accordingly, Tom and Jerry do not need any qualifications to be appointed as joint voluntary liquidators of Cheese Limited. </w:t>
      </w:r>
    </w:p>
    <w:p w14:paraId="625C5040" w14:textId="77777777" w:rsidR="00586B0F" w:rsidRPr="00393290"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4FBC6F78" w14:textId="77777777" w:rsidR="001D574E" w:rsidRDefault="008E0271" w:rsidP="00586B0F">
      <w:pPr>
        <w:pStyle w:val="BodyText"/>
        <w:ind w:firstLine="0"/>
        <w:rPr>
          <w:rFonts w:ascii="Avenir Next" w:hAnsi="Avenir Next"/>
        </w:rPr>
      </w:pPr>
      <w:r w:rsidRPr="008E0271">
        <w:rPr>
          <w:rFonts w:ascii="Avenir Next" w:hAnsi="Avenir Next"/>
          <w:u w:val="single"/>
        </w:rPr>
        <w:t>Answer:</w:t>
      </w:r>
      <w:r>
        <w:rPr>
          <w:rFonts w:ascii="Avenir Next" w:hAnsi="Avenir Next"/>
        </w:rPr>
        <w:t xml:space="preserve"> </w:t>
      </w:r>
    </w:p>
    <w:p w14:paraId="148148BB" w14:textId="77777777" w:rsidR="001D574E" w:rsidRDefault="001D574E" w:rsidP="00586B0F">
      <w:pPr>
        <w:pStyle w:val="BodyText"/>
        <w:ind w:firstLine="0"/>
        <w:rPr>
          <w:rFonts w:ascii="Avenir Next" w:hAnsi="Avenir Next"/>
        </w:rPr>
      </w:pPr>
    </w:p>
    <w:p w14:paraId="3C312D2F" w14:textId="0B0D339A" w:rsidR="008E0271" w:rsidRDefault="008E0271" w:rsidP="00586B0F">
      <w:pPr>
        <w:pStyle w:val="BodyText"/>
        <w:ind w:firstLine="0"/>
        <w:rPr>
          <w:rFonts w:ascii="Avenir Next" w:hAnsi="Avenir Next"/>
        </w:rPr>
      </w:pPr>
      <w:r w:rsidRPr="008E0271">
        <w:rPr>
          <w:rFonts w:ascii="Avenir Next" w:hAnsi="Avenir Next"/>
        </w:rPr>
        <w:t>Tom and Jerry are required to</w:t>
      </w:r>
      <w:r>
        <w:rPr>
          <w:rFonts w:ascii="Avenir Next" w:hAnsi="Avenir Next"/>
        </w:rPr>
        <w:t xml:space="preserve"> (section 123 of the Act; CWR, O.13, r.2): </w:t>
      </w:r>
    </w:p>
    <w:p w14:paraId="45E85908" w14:textId="1E30D29F" w:rsidR="008E0271" w:rsidRPr="008E0271" w:rsidRDefault="008E0271" w:rsidP="00170540">
      <w:pPr>
        <w:pStyle w:val="BodyText"/>
        <w:numPr>
          <w:ilvl w:val="0"/>
          <w:numId w:val="27"/>
        </w:numPr>
        <w:rPr>
          <w:rFonts w:ascii="Avenir Next" w:hAnsi="Avenir Next"/>
        </w:rPr>
      </w:pPr>
      <w:r w:rsidRPr="008E0271">
        <w:rPr>
          <w:rFonts w:ascii="Avenir Next" w:hAnsi="Avenir Next"/>
        </w:rPr>
        <w:t>file notice of the winding up with the Registrar</w:t>
      </w:r>
      <w:r>
        <w:rPr>
          <w:rFonts w:ascii="Avenir Next" w:hAnsi="Avenir Next"/>
        </w:rPr>
        <w:t xml:space="preserve"> of Companies (</w:t>
      </w:r>
      <w:r w:rsidRPr="008E0271">
        <w:rPr>
          <w:rFonts w:ascii="Avenir Next" w:hAnsi="Avenir Next"/>
          <w:b/>
        </w:rPr>
        <w:t>Registrar</w:t>
      </w:r>
      <w:r>
        <w:rPr>
          <w:rFonts w:ascii="Avenir Next" w:hAnsi="Avenir Next"/>
        </w:rPr>
        <w:t>)</w:t>
      </w:r>
      <w:r w:rsidR="00AF735A">
        <w:rPr>
          <w:rFonts w:ascii="Avenir Next" w:hAnsi="Avenir Next"/>
        </w:rPr>
        <w:t xml:space="preserve"> (CWR Form 19)</w:t>
      </w:r>
      <w:r w:rsidRPr="008E0271">
        <w:rPr>
          <w:rFonts w:ascii="Avenir Next" w:hAnsi="Avenir Next"/>
        </w:rPr>
        <w:t>;</w:t>
      </w:r>
    </w:p>
    <w:p w14:paraId="7DAC65DD" w14:textId="147B2A88" w:rsidR="008E0271" w:rsidRPr="008E0271" w:rsidRDefault="008E0271" w:rsidP="00170540">
      <w:pPr>
        <w:pStyle w:val="BodyText"/>
        <w:numPr>
          <w:ilvl w:val="0"/>
          <w:numId w:val="27"/>
        </w:numPr>
        <w:rPr>
          <w:rFonts w:ascii="Avenir Next" w:hAnsi="Avenir Next"/>
        </w:rPr>
      </w:pPr>
      <w:r w:rsidRPr="008E0271">
        <w:rPr>
          <w:rFonts w:ascii="Avenir Next" w:hAnsi="Avenir Next"/>
        </w:rPr>
        <w:t>file the liquidator’s consent to act with the Registrar</w:t>
      </w:r>
      <w:r>
        <w:rPr>
          <w:rFonts w:ascii="Avenir Next" w:hAnsi="Avenir Next"/>
        </w:rPr>
        <w:t xml:space="preserve"> (CWR Form 20)</w:t>
      </w:r>
      <w:r w:rsidRPr="008E0271">
        <w:rPr>
          <w:rFonts w:ascii="Avenir Next" w:hAnsi="Avenir Next"/>
        </w:rPr>
        <w:t>;</w:t>
      </w:r>
    </w:p>
    <w:p w14:paraId="6F98A3D0" w14:textId="4FD04BB5" w:rsidR="008E0271" w:rsidRDefault="008E0271" w:rsidP="00170540">
      <w:pPr>
        <w:pStyle w:val="BodyText"/>
        <w:numPr>
          <w:ilvl w:val="0"/>
          <w:numId w:val="27"/>
        </w:numPr>
        <w:rPr>
          <w:rFonts w:ascii="Avenir Next" w:hAnsi="Avenir Next"/>
        </w:rPr>
      </w:pPr>
      <w:r w:rsidRPr="008E0271">
        <w:rPr>
          <w:rFonts w:ascii="Avenir Next" w:hAnsi="Avenir Next"/>
        </w:rPr>
        <w:t xml:space="preserve">in </w:t>
      </w:r>
      <w:r w:rsidR="00AF735A">
        <w:rPr>
          <w:rFonts w:ascii="Avenir Next" w:hAnsi="Avenir Next"/>
        </w:rPr>
        <w:t xml:space="preserve">Cheese Limited was a business required to be licensed under the applicable Cayman regulatory laws, </w:t>
      </w:r>
      <w:r w:rsidRPr="008E0271">
        <w:rPr>
          <w:rFonts w:ascii="Avenir Next" w:hAnsi="Avenir Next"/>
        </w:rPr>
        <w:t xml:space="preserve">serve notice of the </w:t>
      </w:r>
      <w:r w:rsidR="00AF735A">
        <w:rPr>
          <w:rFonts w:ascii="Avenir Next" w:hAnsi="Avenir Next"/>
        </w:rPr>
        <w:t>above documents to the Cayman Islands Monetary Authority (</w:t>
      </w:r>
      <w:r w:rsidR="00AF735A" w:rsidRPr="00AF735A">
        <w:rPr>
          <w:rFonts w:ascii="Avenir Next" w:hAnsi="Avenir Next"/>
          <w:b/>
        </w:rPr>
        <w:t>CIMA</w:t>
      </w:r>
      <w:r w:rsidR="00AF735A">
        <w:rPr>
          <w:rFonts w:ascii="Avenir Next" w:hAnsi="Avenir Next"/>
        </w:rPr>
        <w:t xml:space="preserve">) </w:t>
      </w:r>
      <w:r w:rsidRPr="008E0271">
        <w:rPr>
          <w:rFonts w:ascii="Avenir Next" w:hAnsi="Avenir Next"/>
        </w:rPr>
        <w:t xml:space="preserve">winding up upon the Authority; </w:t>
      </w:r>
    </w:p>
    <w:p w14:paraId="5040BD1A" w14:textId="5D7CF75F" w:rsidR="00AF735A" w:rsidRPr="008E0271" w:rsidRDefault="00AF735A" w:rsidP="00170540">
      <w:pPr>
        <w:pStyle w:val="BodyText"/>
        <w:numPr>
          <w:ilvl w:val="0"/>
          <w:numId w:val="27"/>
        </w:numPr>
        <w:rPr>
          <w:rFonts w:ascii="Avenir Next" w:hAnsi="Avenir Next"/>
        </w:rPr>
      </w:pPr>
      <w:r w:rsidRPr="008E0271">
        <w:rPr>
          <w:rFonts w:ascii="Avenir Next" w:hAnsi="Avenir Next"/>
        </w:rPr>
        <w:t xml:space="preserve">file the director’s declaration of solvency with the Registrar (if </w:t>
      </w:r>
      <w:r>
        <w:rPr>
          <w:rFonts w:ascii="Avenir Next" w:hAnsi="Avenir Next"/>
        </w:rPr>
        <w:t xml:space="preserve">court </w:t>
      </w:r>
      <w:r w:rsidRPr="008E0271">
        <w:rPr>
          <w:rFonts w:ascii="Avenir Next" w:hAnsi="Avenir Next"/>
        </w:rPr>
        <w:t>supervision is not sought);</w:t>
      </w:r>
      <w:r>
        <w:rPr>
          <w:rFonts w:ascii="Avenir Next" w:hAnsi="Avenir Next"/>
        </w:rPr>
        <w:t xml:space="preserve"> and</w:t>
      </w:r>
    </w:p>
    <w:p w14:paraId="6A18A7A2" w14:textId="310711A6" w:rsidR="00586B0F" w:rsidRPr="00AF735A" w:rsidRDefault="008E0271" w:rsidP="00170540">
      <w:pPr>
        <w:pStyle w:val="BodyText"/>
        <w:numPr>
          <w:ilvl w:val="0"/>
          <w:numId w:val="27"/>
        </w:numPr>
        <w:jc w:val="both"/>
        <w:rPr>
          <w:rFonts w:ascii="Avenir Next" w:hAnsi="Avenir Next"/>
          <w:b/>
          <w:bCs/>
        </w:rPr>
      </w:pPr>
      <w:r w:rsidRPr="008E0271">
        <w:rPr>
          <w:rFonts w:ascii="Avenir Next" w:hAnsi="Avenir Next"/>
        </w:rPr>
        <w:t>publish notice of the winding up in the Gazette</w:t>
      </w:r>
      <w:r w:rsidR="00AF735A">
        <w:rPr>
          <w:rFonts w:ascii="Avenir Next" w:hAnsi="Avenir Next"/>
        </w:rPr>
        <w:t xml:space="preserve"> (in CWR Form 19). </w:t>
      </w:r>
    </w:p>
    <w:p w14:paraId="41120598" w14:textId="77777777" w:rsidR="00AF735A" w:rsidRPr="008E0271" w:rsidRDefault="00AF735A" w:rsidP="00AF735A">
      <w:pPr>
        <w:pStyle w:val="BodyText"/>
        <w:ind w:left="360" w:firstLine="0"/>
        <w:jc w:val="both"/>
        <w:rPr>
          <w:rFonts w:ascii="Avenir Next" w:hAnsi="Avenir Next"/>
          <w:b/>
          <w:bCs/>
        </w:rPr>
      </w:pP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47ED6BFB" w14:textId="77777777" w:rsidR="001D574E" w:rsidRDefault="00AF735A" w:rsidP="00F57C19">
      <w:pPr>
        <w:rPr>
          <w:lang w:val="en-GB"/>
        </w:rPr>
      </w:pPr>
      <w:r w:rsidRPr="00AF735A">
        <w:rPr>
          <w:u w:val="single"/>
          <w:lang w:val="en-GB"/>
        </w:rPr>
        <w:t>Answer:</w:t>
      </w:r>
      <w:r w:rsidRPr="00AF735A">
        <w:rPr>
          <w:lang w:val="en-GB"/>
        </w:rPr>
        <w:t xml:space="preserve"> </w:t>
      </w:r>
    </w:p>
    <w:p w14:paraId="1032D8D4" w14:textId="77777777" w:rsidR="001D574E" w:rsidRDefault="001D574E" w:rsidP="00F57C19">
      <w:pPr>
        <w:rPr>
          <w:lang w:val="en-GB"/>
        </w:rPr>
      </w:pPr>
    </w:p>
    <w:p w14:paraId="484695F9" w14:textId="7A54544C" w:rsidR="00586B0F" w:rsidRPr="00AF735A" w:rsidRDefault="00AF735A" w:rsidP="00F57C19">
      <w:pPr>
        <w:rPr>
          <w:lang w:val="en-GB"/>
        </w:rPr>
      </w:pPr>
      <w:r w:rsidRPr="00AF735A">
        <w:rPr>
          <w:lang w:val="en-GB"/>
        </w:rPr>
        <w:t>The basis</w:t>
      </w:r>
      <w:r w:rsidR="00F57C19">
        <w:rPr>
          <w:lang w:val="en-GB"/>
        </w:rPr>
        <w:t xml:space="preserve"> </w:t>
      </w:r>
      <w:r w:rsidR="00917911">
        <w:rPr>
          <w:lang w:val="en-GB"/>
        </w:rPr>
        <w:t>of</w:t>
      </w:r>
      <w:r w:rsidRPr="00AF735A">
        <w:rPr>
          <w:lang w:val="en-GB"/>
        </w:rPr>
        <w:t xml:space="preserve"> </w:t>
      </w:r>
      <w:r>
        <w:rPr>
          <w:lang w:val="en-GB"/>
        </w:rPr>
        <w:t xml:space="preserve">Tom and Jerry’s </w:t>
      </w:r>
      <w:r w:rsidRPr="00AF735A">
        <w:rPr>
          <w:lang w:val="en-GB"/>
        </w:rPr>
        <w:t xml:space="preserve">remuneration must be authorised by resolution of </w:t>
      </w:r>
      <w:r w:rsidR="00F57C19">
        <w:rPr>
          <w:lang w:val="en-GB"/>
        </w:rPr>
        <w:t>Cheese Limited (CWR O.13, r.9(1))</w:t>
      </w:r>
      <w:r w:rsidR="00917911">
        <w:rPr>
          <w:lang w:val="en-GB"/>
        </w:rPr>
        <w:t xml:space="preserve">, </w:t>
      </w:r>
      <w:r w:rsidR="00F57C19">
        <w:rPr>
          <w:lang w:val="en-GB"/>
        </w:rPr>
        <w:t xml:space="preserve">on the basis of </w:t>
      </w:r>
      <w:r w:rsidR="00F57C19" w:rsidRPr="00F57C19">
        <w:rPr>
          <w:lang w:val="en-GB"/>
        </w:rPr>
        <w:t>(</w:t>
      </w:r>
      <w:r w:rsidR="00F57C19">
        <w:rPr>
          <w:lang w:val="en-GB"/>
        </w:rPr>
        <w:t>i</w:t>
      </w:r>
      <w:r w:rsidR="00F57C19" w:rsidRPr="00F57C19">
        <w:rPr>
          <w:lang w:val="en-GB"/>
        </w:rPr>
        <w:t>) an hourly rate (or scale of rates) for the time reasonably and properly devoted to the liquidation;</w:t>
      </w:r>
      <w:r w:rsidR="00F57C19">
        <w:rPr>
          <w:lang w:val="en-GB"/>
        </w:rPr>
        <w:t xml:space="preserve"> </w:t>
      </w:r>
      <w:r w:rsidR="00F57C19" w:rsidRPr="00F57C19">
        <w:rPr>
          <w:lang w:val="en-GB"/>
        </w:rPr>
        <w:t>(</w:t>
      </w:r>
      <w:r w:rsidR="00F57C19">
        <w:rPr>
          <w:lang w:val="en-GB"/>
        </w:rPr>
        <w:t>ii</w:t>
      </w:r>
      <w:r w:rsidR="00F57C19" w:rsidRPr="00F57C19">
        <w:rPr>
          <w:lang w:val="en-GB"/>
        </w:rPr>
        <w:t>) a fixed sum;</w:t>
      </w:r>
      <w:r w:rsidR="00F57C19">
        <w:rPr>
          <w:lang w:val="en-GB"/>
        </w:rPr>
        <w:t xml:space="preserve"> </w:t>
      </w:r>
      <w:r w:rsidR="00F57C19" w:rsidRPr="00F57C19">
        <w:rPr>
          <w:lang w:val="en-GB"/>
        </w:rPr>
        <w:t>(</w:t>
      </w:r>
      <w:r w:rsidR="00F57C19">
        <w:rPr>
          <w:lang w:val="en-GB"/>
        </w:rPr>
        <w:t>iii</w:t>
      </w:r>
      <w:r w:rsidR="00F57C19" w:rsidRPr="00F57C19">
        <w:rPr>
          <w:lang w:val="en-GB"/>
        </w:rPr>
        <w:t>) a commission or percentage of the assets distributed or realised; or</w:t>
      </w:r>
      <w:r w:rsidR="00F57C19">
        <w:rPr>
          <w:lang w:val="en-GB"/>
        </w:rPr>
        <w:t xml:space="preserve"> </w:t>
      </w:r>
      <w:r w:rsidR="00F57C19" w:rsidRPr="00F57C19">
        <w:rPr>
          <w:lang w:val="en-GB"/>
        </w:rPr>
        <w:t>(</w:t>
      </w:r>
      <w:r w:rsidR="00F57C19">
        <w:rPr>
          <w:lang w:val="en-GB"/>
        </w:rPr>
        <w:t>iv</w:t>
      </w:r>
      <w:r w:rsidR="00F57C19" w:rsidRPr="00F57C19">
        <w:rPr>
          <w:lang w:val="en-GB"/>
        </w:rPr>
        <w:t>) a combination of these methods</w:t>
      </w:r>
      <w:r w:rsidR="00F57C19">
        <w:rPr>
          <w:lang w:val="en-GB"/>
        </w:rPr>
        <w:t xml:space="preserve"> (CWR O.13, r.9(2)). </w:t>
      </w:r>
      <w:r w:rsidR="00917911">
        <w:rPr>
          <w:lang w:val="en-GB"/>
        </w:rPr>
        <w:t xml:space="preserve">The rate and amount of remuneration shall also be fixed, and payment authorised, by resolution (s.130(2) of the Act).  </w:t>
      </w:r>
      <w:r w:rsidR="00F57C19">
        <w:rPr>
          <w:lang w:val="en-GB"/>
        </w:rPr>
        <w:t xml:space="preserve">Tom and Jerry will not be entitled to receive their remuneration out of the company’s assets without the prior approval by way of resolution at a general meeting </w:t>
      </w:r>
      <w:r w:rsidR="00917911">
        <w:rPr>
          <w:lang w:val="en-GB"/>
        </w:rPr>
        <w:t xml:space="preserve">except that (i) any remuneration may be paid with Court approval and (ii) they may be paid the amount specified in their final report if the general meeting is duly convened but no member attends and votes (CWR, O.13, r.9(3)). </w:t>
      </w:r>
    </w:p>
    <w:p w14:paraId="2F148F28" w14:textId="4C4B268C" w:rsidR="00586B0F" w:rsidRDefault="00586B0F" w:rsidP="00D44BFA">
      <w:pPr>
        <w:jc w:val="left"/>
        <w:rPr>
          <w:rFonts w:ascii="Avenir Next Demi Bold" w:hAnsi="Avenir Next Demi Bold"/>
          <w:b/>
          <w:bCs/>
        </w:rPr>
      </w:pPr>
    </w:p>
    <w:p w14:paraId="7A1296C8" w14:textId="77777777" w:rsidR="00917911" w:rsidRDefault="00917911"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05B82758" w:rsidR="00586B0F" w:rsidRDefault="00917911" w:rsidP="00586B0F">
      <w:pPr>
        <w:pStyle w:val="BodyText"/>
        <w:ind w:firstLine="0"/>
        <w:rPr>
          <w:rFonts w:ascii="Avenir Next" w:hAnsi="Avenir Next"/>
          <w:highlight w:val="green"/>
        </w:rPr>
      </w:pPr>
      <w:r w:rsidRPr="00917911">
        <w:rPr>
          <w:rFonts w:ascii="Avenir Next" w:hAnsi="Avenir Next"/>
          <w:u w:val="single"/>
        </w:rPr>
        <w:t>Answer:</w:t>
      </w:r>
      <w:r>
        <w:rPr>
          <w:rFonts w:ascii="Avenir Next" w:hAnsi="Avenir Next"/>
          <w:color w:val="808080" w:themeColor="background1" w:themeShade="80"/>
        </w:rPr>
        <w:t xml:space="preserve">  </w:t>
      </w:r>
    </w:p>
    <w:p w14:paraId="04CA0BFA" w14:textId="563A215A" w:rsidR="0059364B" w:rsidRDefault="0059364B" w:rsidP="00586B0F">
      <w:pPr>
        <w:pStyle w:val="BodyText"/>
        <w:ind w:firstLine="0"/>
        <w:rPr>
          <w:rFonts w:ascii="Avenir Next" w:hAnsi="Avenir Next"/>
          <w:b/>
          <w:bCs/>
        </w:rPr>
      </w:pPr>
    </w:p>
    <w:p w14:paraId="0F1E67FE" w14:textId="5FF64E61" w:rsidR="0059364B" w:rsidRDefault="009E439D" w:rsidP="009E439D">
      <w:pPr>
        <w:pStyle w:val="BodyText"/>
        <w:ind w:firstLine="0"/>
        <w:jc w:val="both"/>
        <w:rPr>
          <w:rFonts w:ascii="Avenir Next" w:eastAsia="Times New Roman" w:hAnsi="Avenir Next"/>
          <w:color w:val="000000"/>
        </w:rPr>
      </w:pPr>
      <w:r>
        <w:rPr>
          <w:rFonts w:ascii="Avenir Next" w:eastAsia="Times New Roman" w:hAnsi="Avenir Next"/>
          <w:color w:val="000000"/>
        </w:rPr>
        <w:t xml:space="preserve">Once a winding up petition has been presented, a contributory can apply for the appointment of a provisional liquidator before the making of the winding up order (s. 104 of the Act). </w:t>
      </w:r>
      <w:r w:rsidRPr="009E439D">
        <w:rPr>
          <w:rFonts w:ascii="Avenir Next" w:eastAsia="Times New Roman" w:hAnsi="Avenir Next"/>
          <w:color w:val="000000"/>
        </w:rPr>
        <w:t xml:space="preserve"> </w:t>
      </w:r>
      <w:r>
        <w:rPr>
          <w:rFonts w:ascii="Avenir Next" w:eastAsia="Times New Roman" w:hAnsi="Avenir Next"/>
          <w:color w:val="000000"/>
        </w:rPr>
        <w:t xml:space="preserve">Broadly, the contributory must establish that there is a prima facie case for the making of a winding up order, and that the appointment is necessary (per the grounds set out under s.104(2)(b) of the Act). </w:t>
      </w:r>
    </w:p>
    <w:p w14:paraId="0729CCDD" w14:textId="69A4E3CB" w:rsidR="009E439D" w:rsidRDefault="009E439D" w:rsidP="009E439D">
      <w:pPr>
        <w:pStyle w:val="BodyText"/>
        <w:ind w:firstLine="0"/>
        <w:jc w:val="both"/>
        <w:rPr>
          <w:rFonts w:ascii="Avenir Next" w:eastAsia="Times New Roman" w:hAnsi="Avenir Next"/>
          <w:color w:val="000000"/>
        </w:rPr>
      </w:pPr>
    </w:p>
    <w:p w14:paraId="27450EA9" w14:textId="71FD4F35" w:rsidR="00DA52DD" w:rsidRDefault="009E439D" w:rsidP="009D7691">
      <w:pPr>
        <w:pStyle w:val="BodyText"/>
        <w:ind w:firstLine="0"/>
        <w:jc w:val="both"/>
        <w:rPr>
          <w:rFonts w:ascii="Avenir Next" w:eastAsia="Times New Roman" w:hAnsi="Avenir Next"/>
          <w:color w:val="000000"/>
        </w:rPr>
      </w:pPr>
      <w:r>
        <w:rPr>
          <w:rFonts w:ascii="Avenir Next" w:eastAsia="Times New Roman" w:hAnsi="Avenir Next"/>
          <w:color w:val="000000"/>
        </w:rPr>
        <w:t>It should be noted that the Court’s regard the appointment of provisional liquidator as a “serious step” (</w:t>
      </w:r>
      <w:r w:rsidRPr="009E439D">
        <w:rPr>
          <w:rFonts w:ascii="Avenir Next" w:eastAsia="Times New Roman" w:hAnsi="Avenir Next"/>
          <w:i/>
          <w:color w:val="000000"/>
        </w:rPr>
        <w:t>Najah</w:t>
      </w:r>
      <w:r>
        <w:rPr>
          <w:rFonts w:ascii="Avenir Next" w:eastAsia="Times New Roman" w:hAnsi="Avenir Next"/>
          <w:color w:val="000000"/>
        </w:rPr>
        <w:t>) and it is not an order to be made lightly (</w:t>
      </w:r>
      <w:r w:rsidRPr="009E439D">
        <w:rPr>
          <w:rFonts w:ascii="Avenir Next" w:eastAsia="Times New Roman" w:hAnsi="Avenir Next"/>
          <w:i/>
          <w:color w:val="000000"/>
        </w:rPr>
        <w:t>ICG</w:t>
      </w:r>
      <w:r>
        <w:rPr>
          <w:rFonts w:ascii="Avenir Next" w:eastAsia="Times New Roman" w:hAnsi="Avenir Next"/>
          <w:i/>
          <w:color w:val="000000"/>
        </w:rPr>
        <w:t xml:space="preserve"> I</w:t>
      </w:r>
      <w:r>
        <w:rPr>
          <w:rFonts w:ascii="Avenir Next" w:eastAsia="Times New Roman" w:hAnsi="Avenir Next"/>
          <w:color w:val="000000"/>
        </w:rPr>
        <w:t xml:space="preserve">). If the petitioner can overcome these hurdles, the Court </w:t>
      </w:r>
      <w:r w:rsidR="009D7691">
        <w:rPr>
          <w:rFonts w:ascii="Avenir Next" w:eastAsia="Times New Roman" w:hAnsi="Avenir Next"/>
          <w:color w:val="000000"/>
        </w:rPr>
        <w:t>has</w:t>
      </w:r>
      <w:r w:rsidR="009D7691" w:rsidRPr="009D7691">
        <w:rPr>
          <w:rFonts w:ascii="Avenir Next" w:eastAsia="Times New Roman" w:hAnsi="Avenir Next"/>
          <w:color w:val="000000"/>
        </w:rPr>
        <w:t xml:space="preserve"> a discretion to grant </w:t>
      </w:r>
      <w:r w:rsidR="009D7691">
        <w:rPr>
          <w:rFonts w:ascii="Avenir Next" w:eastAsia="Times New Roman" w:hAnsi="Avenir Next"/>
          <w:color w:val="000000"/>
        </w:rPr>
        <w:t xml:space="preserve">application and give </w:t>
      </w:r>
      <w:r w:rsidR="009D7691" w:rsidRPr="009D7691">
        <w:rPr>
          <w:rFonts w:ascii="Avenir Next" w:eastAsia="Times New Roman" w:hAnsi="Avenir Next"/>
          <w:color w:val="000000"/>
        </w:rPr>
        <w:t>the provisional liquidators such powers as the Court considers necessary and appropriate to prevent such dissipation, misuse, mismanagement and misconduct</w:t>
      </w:r>
      <w:r w:rsidR="009D7691">
        <w:rPr>
          <w:rFonts w:ascii="Avenir Next" w:eastAsia="Times New Roman" w:hAnsi="Avenir Next"/>
          <w:color w:val="000000"/>
        </w:rPr>
        <w:t xml:space="preserve">, </w:t>
      </w:r>
      <w:r w:rsidR="009D7691" w:rsidRPr="009D7691">
        <w:rPr>
          <w:rFonts w:ascii="Avenir Next" w:eastAsia="Times New Roman" w:hAnsi="Avenir Next"/>
          <w:color w:val="000000"/>
        </w:rPr>
        <w:t>and to ensure the Company's assets are properly protected pending the hearing of the winding up petition</w:t>
      </w:r>
      <w:r w:rsidR="009D7691">
        <w:rPr>
          <w:rFonts w:ascii="Avenir Next" w:eastAsia="Times New Roman" w:hAnsi="Avenir Next"/>
          <w:color w:val="000000"/>
        </w:rPr>
        <w:t xml:space="preserve">. </w:t>
      </w:r>
      <w:r w:rsidR="00DA52DD">
        <w:rPr>
          <w:rFonts w:ascii="Avenir Next" w:eastAsia="Times New Roman" w:hAnsi="Avenir Next"/>
          <w:color w:val="000000"/>
        </w:rPr>
        <w:t xml:space="preserve">The terms of the appointment order </w:t>
      </w:r>
      <w:r w:rsidR="009D7691">
        <w:rPr>
          <w:rFonts w:ascii="Avenir Next" w:eastAsia="Times New Roman" w:hAnsi="Avenir Next"/>
          <w:color w:val="000000"/>
        </w:rPr>
        <w:t xml:space="preserve">(in the prescribed CWR Form 7) </w:t>
      </w:r>
      <w:r w:rsidR="00DA52DD">
        <w:rPr>
          <w:rFonts w:ascii="Avenir Next" w:eastAsia="Times New Roman" w:hAnsi="Avenir Next"/>
          <w:color w:val="000000"/>
        </w:rPr>
        <w:t>will specify the functions of the PL, and the PL’s powers will be limited by the order (s.104(4) of the Act)</w:t>
      </w:r>
      <w:r w:rsidR="009D7691">
        <w:rPr>
          <w:rFonts w:ascii="Avenir Next" w:eastAsia="Times New Roman" w:hAnsi="Avenir Next"/>
          <w:color w:val="000000"/>
        </w:rPr>
        <w:t xml:space="preserve">. </w:t>
      </w:r>
    </w:p>
    <w:p w14:paraId="1DD4A103" w14:textId="0131B434" w:rsidR="009D7691" w:rsidRDefault="009D7691" w:rsidP="009D7691">
      <w:pPr>
        <w:pStyle w:val="BodyText"/>
        <w:ind w:firstLine="0"/>
        <w:jc w:val="both"/>
        <w:rPr>
          <w:rFonts w:ascii="Avenir Next" w:eastAsia="Times New Roman" w:hAnsi="Avenir Next"/>
          <w:color w:val="000000"/>
        </w:rPr>
      </w:pPr>
    </w:p>
    <w:p w14:paraId="5EF73E94" w14:textId="5585DD22" w:rsidR="009D7691" w:rsidRPr="009D7691" w:rsidRDefault="009D7691" w:rsidP="009D7691">
      <w:pPr>
        <w:pStyle w:val="BodyText"/>
        <w:ind w:firstLine="0"/>
        <w:jc w:val="both"/>
        <w:rPr>
          <w:rFonts w:ascii="Avenir Next" w:eastAsia="Times New Roman" w:hAnsi="Avenir Next"/>
          <w:color w:val="000000"/>
        </w:rPr>
      </w:pPr>
      <w:r>
        <w:rPr>
          <w:rFonts w:ascii="Avenir Next" w:eastAsia="Times New Roman" w:hAnsi="Avenir Next"/>
          <w:color w:val="000000"/>
        </w:rPr>
        <w:t>As t</w:t>
      </w:r>
      <w:r w:rsidRPr="009D7691">
        <w:rPr>
          <w:rFonts w:ascii="Avenir Next" w:eastAsia="Times New Roman" w:hAnsi="Avenir Next"/>
          <w:color w:val="000000"/>
        </w:rPr>
        <w:t>he Companies Act does not prescribe the scope of authority and powers which will be granted</w:t>
      </w:r>
    </w:p>
    <w:p w14:paraId="6ADAE6A3" w14:textId="7BEC2998" w:rsidR="009D7691" w:rsidRDefault="009D7691" w:rsidP="009D7691">
      <w:pPr>
        <w:pStyle w:val="BodyText"/>
        <w:ind w:firstLine="0"/>
        <w:jc w:val="both"/>
        <w:rPr>
          <w:rFonts w:ascii="Avenir Next" w:eastAsia="Times New Roman" w:hAnsi="Avenir Next"/>
          <w:color w:val="000000"/>
        </w:rPr>
      </w:pPr>
      <w:r w:rsidRPr="009D7691">
        <w:rPr>
          <w:rFonts w:ascii="Avenir Next" w:eastAsia="Times New Roman" w:hAnsi="Avenir Next"/>
          <w:color w:val="000000"/>
        </w:rPr>
        <w:t>to provisional liquidators</w:t>
      </w:r>
      <w:r>
        <w:rPr>
          <w:rFonts w:ascii="Avenir Next" w:eastAsia="Times New Roman" w:hAnsi="Avenir Next"/>
          <w:color w:val="000000"/>
        </w:rPr>
        <w:t xml:space="preserve">, the contributory petitioner has the </w:t>
      </w:r>
      <w:r w:rsidRPr="009D7691">
        <w:rPr>
          <w:rFonts w:ascii="Avenir Next" w:eastAsia="Times New Roman" w:hAnsi="Avenir Next"/>
          <w:color w:val="000000"/>
        </w:rPr>
        <w:t xml:space="preserve">ability to draft the terms and scope of the </w:t>
      </w:r>
      <w:r>
        <w:rPr>
          <w:rFonts w:ascii="Avenir Next" w:eastAsia="Times New Roman" w:hAnsi="Avenir Next"/>
          <w:color w:val="000000"/>
        </w:rPr>
        <w:t xml:space="preserve">order – which makes the process </w:t>
      </w:r>
      <w:r w:rsidRPr="009D7691">
        <w:rPr>
          <w:rFonts w:ascii="Avenir Next" w:eastAsia="Times New Roman" w:hAnsi="Avenir Next"/>
          <w:color w:val="000000"/>
        </w:rPr>
        <w:t>inherently flexible and, when used</w:t>
      </w:r>
      <w:r>
        <w:rPr>
          <w:rFonts w:ascii="Avenir Next" w:eastAsia="Times New Roman" w:hAnsi="Avenir Next"/>
          <w:color w:val="000000"/>
        </w:rPr>
        <w:t xml:space="preserve"> </w:t>
      </w:r>
      <w:r w:rsidRPr="009D7691">
        <w:rPr>
          <w:rFonts w:ascii="Avenir Next" w:eastAsia="Times New Roman" w:hAnsi="Avenir Next"/>
          <w:color w:val="000000"/>
        </w:rPr>
        <w:t xml:space="preserve">appropriately, </w:t>
      </w:r>
      <w:r>
        <w:rPr>
          <w:rFonts w:ascii="Avenir Next" w:eastAsia="Times New Roman" w:hAnsi="Avenir Next"/>
          <w:color w:val="000000"/>
        </w:rPr>
        <w:t>can be significant in preserving value</w:t>
      </w:r>
      <w:r w:rsidRPr="009D7691">
        <w:rPr>
          <w:rFonts w:ascii="Avenir Next" w:eastAsia="Times New Roman" w:hAnsi="Avenir Next"/>
          <w:color w:val="000000"/>
        </w:rPr>
        <w:t>.</w:t>
      </w:r>
      <w:r>
        <w:rPr>
          <w:rFonts w:ascii="Avenir Next" w:eastAsia="Times New Roman" w:hAnsi="Avenir Next"/>
          <w:color w:val="000000"/>
        </w:rPr>
        <w:t xml:space="preserve"> The Court will need to be persuaded that the terms of the order are appropriate. Importantly, PLs can be conferred the power to conduct investigations and commence proceedings (although the need to conduct an investigation is not necessarily a ground for the making of an order); however, the powers to bring actions in respect of antecedent transactions are exclusively reserved for official liquidators (ss. 146-147 of the Act).</w:t>
      </w:r>
    </w:p>
    <w:p w14:paraId="54398E72" w14:textId="77777777" w:rsidR="009D7691" w:rsidRPr="009E439D" w:rsidRDefault="009D7691" w:rsidP="009D7691">
      <w:pPr>
        <w:pStyle w:val="BodyText"/>
        <w:ind w:firstLine="0"/>
        <w:jc w:val="both"/>
        <w:rPr>
          <w:rFonts w:ascii="Avenir Next" w:eastAsia="Times New Roman" w:hAnsi="Avenir Next"/>
          <w:color w:val="000000"/>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40B0C13C" w14:textId="550D2217" w:rsidR="00586B0F" w:rsidRPr="00AD202D" w:rsidRDefault="00AD202D" w:rsidP="00586B0F">
      <w:pPr>
        <w:pStyle w:val="BodyText"/>
        <w:ind w:firstLine="0"/>
        <w:rPr>
          <w:rFonts w:ascii="Avenir Next" w:hAnsi="Avenir Next"/>
          <w:b/>
          <w:bCs/>
        </w:rPr>
      </w:pPr>
      <w:r w:rsidRPr="00AD202D">
        <w:rPr>
          <w:rFonts w:ascii="Avenir Next" w:hAnsi="Avenir Next"/>
          <w:u w:val="single"/>
        </w:rPr>
        <w:t>Answer:</w:t>
      </w:r>
      <w:r>
        <w:rPr>
          <w:rFonts w:ascii="Avenir Next" w:hAnsi="Avenir Next"/>
        </w:rPr>
        <w:t xml:space="preserve"> </w:t>
      </w:r>
    </w:p>
    <w:p w14:paraId="57F1FE27" w14:textId="748F73E7" w:rsidR="00586B0F" w:rsidRDefault="00586B0F" w:rsidP="00586B0F">
      <w:pPr>
        <w:rPr>
          <w:lang w:val="en-GB"/>
        </w:rPr>
      </w:pPr>
    </w:p>
    <w:p w14:paraId="3E5E681E" w14:textId="27262D52" w:rsidR="00F74C57" w:rsidRDefault="009D7691" w:rsidP="00586B0F">
      <w:r w:rsidRPr="009D7691">
        <w:rPr>
          <w:lang w:val="en-GB"/>
        </w:rPr>
        <w:t>S</w:t>
      </w:r>
      <w:r w:rsidR="00F74C57" w:rsidRPr="009D7691">
        <w:rPr>
          <w:lang w:val="en-GB"/>
        </w:rPr>
        <w:t xml:space="preserve">ection 107 of </w:t>
      </w:r>
      <w:r w:rsidRPr="009D7691">
        <w:rPr>
          <w:lang w:val="en-GB"/>
        </w:rPr>
        <w:t xml:space="preserve">the Act provides that </w:t>
      </w:r>
      <w:r>
        <w:rPr>
          <w:lang w:val="en-GB"/>
        </w:rPr>
        <w:t>for the removal of an</w:t>
      </w:r>
      <w:r w:rsidRPr="009D7691">
        <w:t xml:space="preserve"> official liquidator </w:t>
      </w:r>
      <w:r>
        <w:t xml:space="preserve">by Court order made </w:t>
      </w:r>
      <w:r w:rsidRPr="009D7691">
        <w:t>on the application of a creditor or contributory</w:t>
      </w:r>
      <w:r>
        <w:t xml:space="preserve">. </w:t>
      </w:r>
    </w:p>
    <w:p w14:paraId="77C9CB1E" w14:textId="138223A7" w:rsidR="004F60D6" w:rsidRDefault="004F60D6" w:rsidP="00586B0F">
      <w:pPr>
        <w:rPr>
          <w:lang w:val="en-GB"/>
        </w:rPr>
      </w:pPr>
    </w:p>
    <w:p w14:paraId="40EDB0FE" w14:textId="5ADC28AE" w:rsidR="004F60D6" w:rsidRDefault="004F60D6" w:rsidP="004F60D6">
      <w:r>
        <w:rPr>
          <w:lang w:val="en-GB"/>
        </w:rPr>
        <w:t>The Court has a broad discretion to remove official liquidators, however good reasons must be demonstrated (</w:t>
      </w:r>
      <w:r w:rsidRPr="004F60D6">
        <w:rPr>
          <w:i/>
          <w:lang w:val="en-GB"/>
        </w:rPr>
        <w:t>BTU Power Company</w:t>
      </w:r>
      <w:r w:rsidRPr="004F60D6">
        <w:rPr>
          <w:lang w:val="en-GB"/>
        </w:rPr>
        <w:t xml:space="preserve"> 2019 (1) CILR Note 7 </w:t>
      </w:r>
      <w:r>
        <w:rPr>
          <w:lang w:val="en-GB"/>
        </w:rPr>
        <w:t xml:space="preserve">citing </w:t>
      </w:r>
      <w:r w:rsidRPr="004F60D6">
        <w:rPr>
          <w:i/>
          <w:lang w:val="en-GB"/>
        </w:rPr>
        <w:t>AMP Enterprises Ltd (t/a Total Home Entertainment) v Hoffinan</w:t>
      </w:r>
      <w:r>
        <w:rPr>
          <w:i/>
          <w:lang w:val="en-GB"/>
        </w:rPr>
        <w:t xml:space="preserve"> </w:t>
      </w:r>
      <w:r w:rsidRPr="004F60D6">
        <w:rPr>
          <w:lang w:val="en-GB"/>
        </w:rPr>
        <w:t>[2002] BCC 996</w:t>
      </w:r>
      <w:r>
        <w:rPr>
          <w:lang w:val="en-GB"/>
        </w:rPr>
        <w:t>). The Courts have held that c</w:t>
      </w:r>
      <w:r w:rsidRPr="004F60D6">
        <w:t>are need</w:t>
      </w:r>
      <w:r>
        <w:t>s</w:t>
      </w:r>
      <w:r w:rsidRPr="004F60D6">
        <w:t xml:space="preserve"> to be exercised when removing generally effective and honest liquidators</w:t>
      </w:r>
      <w:r>
        <w:t xml:space="preserve">, and removal applications </w:t>
      </w:r>
      <w:r w:rsidRPr="004F60D6">
        <w:t xml:space="preserve">by creditors who had not had their preferred liquidators appointed </w:t>
      </w:r>
      <w:r>
        <w:t>should be discouraged</w:t>
      </w:r>
      <w:r w:rsidRPr="004F60D6">
        <w:t xml:space="preserve">. </w:t>
      </w:r>
    </w:p>
    <w:p w14:paraId="4B117EA4" w14:textId="77777777" w:rsidR="004F60D6" w:rsidRDefault="004F60D6" w:rsidP="004F60D6"/>
    <w:p w14:paraId="1FE5804A" w14:textId="77777777" w:rsidR="004F60D6" w:rsidRDefault="004F60D6" w:rsidP="004F60D6">
      <w:r>
        <w:t xml:space="preserve">In the absence of impropriety, the Court should be satisfied that removal is to the </w:t>
      </w:r>
      <w:r w:rsidRPr="004F60D6">
        <w:t xml:space="preserve">general advantage of the majority of </w:t>
      </w:r>
      <w:r>
        <w:t xml:space="preserve">stakeholders and is consistent with their wishes. Where there is </w:t>
      </w:r>
      <w:r w:rsidRPr="004F60D6">
        <w:t xml:space="preserve">impropriety, the court </w:t>
      </w:r>
      <w:r>
        <w:t>might override the stakeholders’ interests and consider the nature and extent of the impropriety.</w:t>
      </w:r>
    </w:p>
    <w:p w14:paraId="7A60240F" w14:textId="77777777" w:rsidR="004F60D6" w:rsidRDefault="004F60D6" w:rsidP="004F60D6"/>
    <w:p w14:paraId="28F98811" w14:textId="79C5D18B" w:rsidR="004F60D6" w:rsidRPr="007A2299" w:rsidRDefault="00AD1F6E" w:rsidP="004F60D6">
      <w:pPr>
        <w:rPr>
          <w:lang w:val="en-GB"/>
        </w:rPr>
      </w:pPr>
      <w:r>
        <w:t xml:space="preserve">The removal summons application must be served upon the official liquidator, each member of the liquidation committee or their appointed counsel, and such other creditors and contributories as the Court may direct (CWR O.5, r.6(2)). The official liquidator is entitled to at least 14 days’ notice of the removal summons (CWR O.5, r.6(5)). </w:t>
      </w: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1E307E1B" w14:textId="1682CA6F" w:rsidR="00301E2D" w:rsidRPr="00301E2D" w:rsidRDefault="00301E2D" w:rsidP="00586B0F">
      <w:pPr>
        <w:tabs>
          <w:tab w:val="right" w:pos="9021"/>
        </w:tabs>
        <w:rPr>
          <w:u w:val="single"/>
        </w:rPr>
      </w:pPr>
      <w:r w:rsidRPr="00301E2D">
        <w:rPr>
          <w:u w:val="single"/>
        </w:rPr>
        <w:t>Answer:</w:t>
      </w:r>
    </w:p>
    <w:p w14:paraId="6F1EB902" w14:textId="77777777" w:rsidR="00301E2D" w:rsidRDefault="00301E2D" w:rsidP="00586B0F">
      <w:pPr>
        <w:tabs>
          <w:tab w:val="right" w:pos="9021"/>
        </w:tabs>
      </w:pPr>
    </w:p>
    <w:p w14:paraId="5F8E9411" w14:textId="456281EA" w:rsidR="00586B0F" w:rsidRDefault="00AD1F6E" w:rsidP="00586B0F">
      <w:pPr>
        <w:tabs>
          <w:tab w:val="right" w:pos="9021"/>
        </w:tabs>
      </w:pPr>
      <w:r>
        <w:t>The only parties who may apply for removal are creditors, in the context of an insolvent liquidation, and contributories, in the context of an solvent liquidation. This is on the basis that those parties, in those respective contexts, are the stakeholders with an ultimate interest in the distribution of the company’s assets (</w:t>
      </w:r>
      <w:r w:rsidRPr="004F60D6">
        <w:rPr>
          <w:i/>
        </w:rPr>
        <w:t>Johnson and Deloitte &amp; Touche AG</w:t>
      </w:r>
      <w:r>
        <w:t xml:space="preserve"> [1997 CILR 120]; </w:t>
      </w:r>
      <w:r w:rsidRPr="004F60D6">
        <w:rPr>
          <w:i/>
        </w:rPr>
        <w:t>BTU Power Company</w:t>
      </w:r>
      <w:r w:rsidRPr="004F60D6">
        <w:t xml:space="preserve"> 2019 (1) CILR Note 7</w:t>
      </w:r>
      <w:r>
        <w:t>).</w:t>
      </w:r>
    </w:p>
    <w:p w14:paraId="03F9AB80" w14:textId="1C34F0DE" w:rsidR="00AD1F6E" w:rsidRDefault="00AD1F6E" w:rsidP="00586B0F">
      <w:pPr>
        <w:tabs>
          <w:tab w:val="right" w:pos="9021"/>
        </w:tabs>
      </w:pPr>
    </w:p>
    <w:p w14:paraId="3609444C" w14:textId="1B84CF2B" w:rsidR="00AD1F6E" w:rsidRDefault="00AD1F6E" w:rsidP="00586B0F">
      <w:pPr>
        <w:tabs>
          <w:tab w:val="right" w:pos="9021"/>
        </w:tabs>
      </w:pPr>
      <w:r>
        <w:t xml:space="preserve">The reasoning is as follows: </w:t>
      </w:r>
    </w:p>
    <w:p w14:paraId="510C6B81" w14:textId="64850742" w:rsidR="00AD1F6E" w:rsidRDefault="00AD1F6E" w:rsidP="00586B0F">
      <w:pPr>
        <w:tabs>
          <w:tab w:val="right" w:pos="9021"/>
        </w:tabs>
      </w:pPr>
    </w:p>
    <w:p w14:paraId="1DDBC2D5" w14:textId="7A7A6C67" w:rsidR="003A7B8C" w:rsidRDefault="003A7B8C" w:rsidP="00170540">
      <w:pPr>
        <w:pStyle w:val="ListParagraph"/>
        <w:numPr>
          <w:ilvl w:val="0"/>
          <w:numId w:val="31"/>
        </w:numPr>
        <w:tabs>
          <w:tab w:val="right" w:pos="9021"/>
        </w:tabs>
      </w:pPr>
      <w:r>
        <w:t>A</w:t>
      </w:r>
      <w:r w:rsidR="00AD1F6E">
        <w:t>n insolvent company is a company that is unable to pay its debts (wi</w:t>
      </w:r>
      <w:r>
        <w:t xml:space="preserve">thin </w:t>
      </w:r>
      <w:r w:rsidR="00AD1F6E">
        <w:t>the meaning of section 93 of the Act)</w:t>
      </w:r>
      <w:r>
        <w:t xml:space="preserve"> and therefore has a shortfall in its assets (although a cash flow test is applied at law for the purpose of determining insolvency).</w:t>
      </w:r>
    </w:p>
    <w:p w14:paraId="5458DF1E" w14:textId="68BA75A0" w:rsidR="003A7B8C" w:rsidRPr="003A7B8C" w:rsidRDefault="003A7B8C" w:rsidP="00170540">
      <w:pPr>
        <w:pStyle w:val="ListParagraph"/>
        <w:numPr>
          <w:ilvl w:val="0"/>
          <w:numId w:val="31"/>
        </w:numPr>
        <w:tabs>
          <w:tab w:val="right" w:pos="9021"/>
        </w:tabs>
        <w:rPr>
          <w:lang w:val="en-US"/>
        </w:rPr>
      </w:pPr>
      <w:r>
        <w:t xml:space="preserve">The </w:t>
      </w:r>
      <w:r w:rsidRPr="003A7B8C">
        <w:rPr>
          <w:i/>
        </w:rPr>
        <w:t>pari passu</w:t>
      </w:r>
      <w:r>
        <w:t xml:space="preserve"> principle applies under the Act.  Under this principle, all unsecured creditors of an insolvent company will share equally and rateably in the distirbution of the company’s assets (not subject to a secured interest), once any preferential claims and the liquidation expenses are satisfied (s.140 of the Act). </w:t>
      </w:r>
    </w:p>
    <w:p w14:paraId="39C66BBC" w14:textId="74FFA989" w:rsidR="00301E2D" w:rsidRPr="00301E2D" w:rsidRDefault="003A7B8C" w:rsidP="00170540">
      <w:pPr>
        <w:pStyle w:val="ListParagraph"/>
        <w:numPr>
          <w:ilvl w:val="0"/>
          <w:numId w:val="31"/>
        </w:numPr>
        <w:tabs>
          <w:tab w:val="right" w:pos="9021"/>
        </w:tabs>
        <w:rPr>
          <w:lang w:val="en-US"/>
        </w:rPr>
      </w:pPr>
      <w:r>
        <w:t xml:space="preserve">The assets will be </w:t>
      </w:r>
      <w:r w:rsidR="00301E2D">
        <w:t>distributed in a particular order with, relevantly, creditors paid ahead of contirbutories (s.140(1) of the Act).  This is important because if there is a shortfall of assets, the contributories will not receive a distirbution in the winding up of a company (subject to certain specific exceptions, such as if they have completed a redemption process such that they have a claim for un</w:t>
      </w:r>
      <w:r w:rsidR="00FF49A7">
        <w:t xml:space="preserve">paid </w:t>
      </w:r>
      <w:r w:rsidR="00301E2D">
        <w:t xml:space="preserve">redemption proceeds). </w:t>
      </w:r>
    </w:p>
    <w:p w14:paraId="680C9B36" w14:textId="55FF37AE" w:rsidR="00AD1F6E" w:rsidRPr="00AD1F6E" w:rsidRDefault="00301E2D" w:rsidP="00170540">
      <w:pPr>
        <w:pStyle w:val="ListParagraph"/>
        <w:numPr>
          <w:ilvl w:val="0"/>
          <w:numId w:val="31"/>
        </w:numPr>
        <w:tabs>
          <w:tab w:val="right" w:pos="9021"/>
        </w:tabs>
        <w:rPr>
          <w:lang w:val="en-US"/>
        </w:rPr>
      </w:pPr>
      <w:r>
        <w:t>Therefore, given that the contributories will not reci</w:t>
      </w:r>
      <w:r w:rsidR="00FF49A7">
        <w:t>e</w:t>
      </w:r>
      <w:r>
        <w:t>ve a distribution, it would be unfair to have their actions, including applications for the removal of an OL, prejudice the rights and amount of recovery av</w:t>
      </w:r>
      <w:r w:rsidR="00FF49A7">
        <w:t>a</w:t>
      </w:r>
      <w:r>
        <w:t xml:space="preserve">ilable to the creditors on distribution. For example, applications for removal, even if successfully defended, will incur costs to the </w:t>
      </w:r>
      <w:r w:rsidR="00FA5004">
        <w:t>liquidation</w:t>
      </w:r>
      <w:r>
        <w:t xml:space="preserve"> estate and will disrupt the liquidation, as the OLs will be distracted from their main purpose in defending the application. This would serve to delay the distribution receivable to any creditor.   </w:t>
      </w:r>
    </w:p>
    <w:p w14:paraId="06814539" w14:textId="77777777" w:rsidR="00301E2D" w:rsidRDefault="00301E2D" w:rsidP="00B20DBE">
      <w:pPr>
        <w:jc w:val="left"/>
        <w:rPr>
          <w:rFonts w:ascii="Avenir Next Demi Bold" w:hAnsi="Avenir Next Demi Bold"/>
          <w:b/>
          <w:bCs/>
        </w:rPr>
      </w:pPr>
    </w:p>
    <w:p w14:paraId="7C8F84A2" w14:textId="640A9EF7"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3690E015" w:rsidR="00B20DBE" w:rsidRDefault="001702C8" w:rsidP="00B20DBE">
      <w:pPr>
        <w:pStyle w:val="BodyText"/>
        <w:ind w:firstLine="0"/>
        <w:rPr>
          <w:rFonts w:ascii="Avenir Next" w:hAnsi="Avenir Next"/>
          <w:u w:val="single"/>
        </w:rPr>
      </w:pPr>
      <w:r w:rsidRPr="001702C8">
        <w:rPr>
          <w:rFonts w:ascii="Avenir Next" w:hAnsi="Avenir Next"/>
          <w:u w:val="single"/>
        </w:rPr>
        <w:t>Answer:</w:t>
      </w:r>
    </w:p>
    <w:p w14:paraId="617D367E" w14:textId="77777777" w:rsidR="00FA5004" w:rsidRDefault="00FA5004" w:rsidP="00B20DBE">
      <w:pPr>
        <w:pStyle w:val="BodyText"/>
        <w:ind w:firstLine="0"/>
        <w:rPr>
          <w:rFonts w:ascii="Avenir Next" w:hAnsi="Avenir Next"/>
          <w:bCs/>
        </w:rPr>
      </w:pPr>
    </w:p>
    <w:p w14:paraId="75B99E3E" w14:textId="43BC8332" w:rsidR="00FA5004" w:rsidRDefault="00FA5004" w:rsidP="00B20DBE">
      <w:pPr>
        <w:pStyle w:val="BodyText"/>
        <w:ind w:firstLine="0"/>
        <w:rPr>
          <w:rFonts w:ascii="Avenir Next" w:hAnsi="Avenir Next"/>
          <w:bCs/>
        </w:rPr>
      </w:pPr>
      <w:r>
        <w:rPr>
          <w:rFonts w:ascii="Avenir Next" w:hAnsi="Avenir Next"/>
          <w:bCs/>
        </w:rPr>
        <w:t xml:space="preserve">The relevant provisions regarding reconstitution </w:t>
      </w:r>
      <w:bookmarkStart w:id="0" w:name="_GoBack"/>
      <w:bookmarkEnd w:id="0"/>
      <w:r>
        <w:rPr>
          <w:rFonts w:ascii="Avenir Next" w:hAnsi="Avenir Next"/>
          <w:bCs/>
        </w:rPr>
        <w:t>of the liquidation committee (</w:t>
      </w:r>
      <w:r w:rsidRPr="00FA5004">
        <w:rPr>
          <w:rFonts w:ascii="Avenir Next" w:hAnsi="Avenir Next"/>
          <w:b/>
          <w:bCs/>
        </w:rPr>
        <w:t>LC</w:t>
      </w:r>
      <w:r>
        <w:rPr>
          <w:rFonts w:ascii="Avenir Next" w:hAnsi="Avenir Next"/>
          <w:bCs/>
        </w:rPr>
        <w:t xml:space="preserve">) are set out under CWR O.9, r.3. The OL should be aware of the following: </w:t>
      </w:r>
    </w:p>
    <w:p w14:paraId="744D3D27" w14:textId="4ED3CD36" w:rsidR="00FA5004" w:rsidRDefault="00FA5004" w:rsidP="00B20DBE">
      <w:pPr>
        <w:pStyle w:val="BodyText"/>
        <w:ind w:firstLine="0"/>
        <w:rPr>
          <w:rFonts w:ascii="Avenir Next" w:hAnsi="Avenir Next"/>
          <w:bCs/>
        </w:rPr>
      </w:pPr>
    </w:p>
    <w:p w14:paraId="0A1172ED" w14:textId="77777777" w:rsidR="00FA5004" w:rsidRDefault="00FA5004" w:rsidP="00170540">
      <w:pPr>
        <w:pStyle w:val="BodyText"/>
        <w:numPr>
          <w:ilvl w:val="0"/>
          <w:numId w:val="32"/>
        </w:numPr>
        <w:rPr>
          <w:rFonts w:ascii="Avenir Next" w:hAnsi="Avenir Next"/>
          <w:bCs/>
        </w:rPr>
      </w:pPr>
      <w:r>
        <w:rPr>
          <w:rFonts w:ascii="Avenir Next" w:hAnsi="Avenir Next"/>
          <w:bCs/>
        </w:rPr>
        <w:t xml:space="preserve">Following the filing of the revised certificate, </w:t>
      </w:r>
      <w:r w:rsidRPr="00FA5004">
        <w:rPr>
          <w:rFonts w:ascii="Avenir Next" w:hAnsi="Avenir Next"/>
          <w:bCs/>
        </w:rPr>
        <w:t xml:space="preserve">any creditor members of </w:t>
      </w:r>
      <w:r>
        <w:rPr>
          <w:rFonts w:ascii="Avenir Next" w:hAnsi="Avenir Next"/>
          <w:bCs/>
        </w:rPr>
        <w:t xml:space="preserve">the LC will </w:t>
      </w:r>
      <w:r w:rsidRPr="00FA5004">
        <w:rPr>
          <w:rFonts w:ascii="Avenir Next" w:hAnsi="Avenir Next"/>
          <w:bCs/>
        </w:rPr>
        <w:t xml:space="preserve">automatically cease to be members and the </w:t>
      </w:r>
      <w:r>
        <w:rPr>
          <w:rFonts w:ascii="Avenir Next" w:hAnsi="Avenir Next"/>
          <w:bCs/>
        </w:rPr>
        <w:t xml:space="preserve">OL </w:t>
      </w:r>
      <w:r w:rsidRPr="00FA5004">
        <w:rPr>
          <w:rFonts w:ascii="Avenir Next" w:hAnsi="Avenir Next"/>
          <w:bCs/>
        </w:rPr>
        <w:t>shall convene a meeting of contributories for the purpose of electing new members from amongst the company’s contributories</w:t>
      </w:r>
      <w:r>
        <w:rPr>
          <w:rFonts w:ascii="Avenir Next" w:hAnsi="Avenir Next"/>
          <w:bCs/>
        </w:rPr>
        <w:t xml:space="preserve"> (the OL also has the power to convene a meeting in anticipation of the change of solvency status under rule 3(4)).</w:t>
      </w:r>
    </w:p>
    <w:p w14:paraId="76498B07" w14:textId="641240BA" w:rsidR="001702C8" w:rsidRDefault="00FA5004" w:rsidP="00170540">
      <w:pPr>
        <w:pStyle w:val="BodyText"/>
        <w:numPr>
          <w:ilvl w:val="0"/>
          <w:numId w:val="32"/>
        </w:numPr>
        <w:rPr>
          <w:rFonts w:ascii="Avenir Next" w:hAnsi="Avenir Next"/>
          <w:bCs/>
        </w:rPr>
      </w:pPr>
      <w:r w:rsidRPr="00FA5004">
        <w:rPr>
          <w:rFonts w:ascii="Avenir Next" w:hAnsi="Avenir Next"/>
          <w:bCs/>
        </w:rPr>
        <w:t xml:space="preserve">The new LC will consist of not less than three but </w:t>
      </w:r>
      <w:r>
        <w:rPr>
          <w:rFonts w:ascii="Avenir Next" w:hAnsi="Avenir Next"/>
          <w:bCs/>
        </w:rPr>
        <w:t xml:space="preserve">no </w:t>
      </w:r>
      <w:r w:rsidRPr="00FA5004">
        <w:rPr>
          <w:rFonts w:ascii="Avenir Next" w:hAnsi="Avenir Next"/>
          <w:bCs/>
        </w:rPr>
        <w:t xml:space="preserve">more than five </w:t>
      </w:r>
      <w:r>
        <w:rPr>
          <w:rFonts w:ascii="Avenir Next" w:hAnsi="Avenir Next"/>
          <w:bCs/>
        </w:rPr>
        <w:t>contributories</w:t>
      </w:r>
      <w:r w:rsidRPr="00FA5004">
        <w:rPr>
          <w:rFonts w:ascii="Avenir Next" w:hAnsi="Avenir Next"/>
          <w:bCs/>
        </w:rPr>
        <w:t xml:space="preserve"> (r</w:t>
      </w:r>
      <w:r>
        <w:rPr>
          <w:rFonts w:ascii="Avenir Next" w:hAnsi="Avenir Next"/>
          <w:bCs/>
        </w:rPr>
        <w:t xml:space="preserve">ule </w:t>
      </w:r>
      <w:r w:rsidRPr="00FA5004">
        <w:rPr>
          <w:rFonts w:ascii="Avenir Next" w:hAnsi="Avenir Next"/>
          <w:bCs/>
        </w:rPr>
        <w:t xml:space="preserve">1(3)).  </w:t>
      </w:r>
    </w:p>
    <w:p w14:paraId="2B49F9C9" w14:textId="00CBC703" w:rsidR="00FA5004" w:rsidRDefault="00FA5004" w:rsidP="00170540">
      <w:pPr>
        <w:pStyle w:val="BodyText"/>
        <w:numPr>
          <w:ilvl w:val="0"/>
          <w:numId w:val="32"/>
        </w:numPr>
        <w:rPr>
          <w:rFonts w:ascii="Avenir Next" w:hAnsi="Avenir Next"/>
          <w:bCs/>
        </w:rPr>
      </w:pPr>
      <w:r>
        <w:rPr>
          <w:rFonts w:ascii="Avenir Next" w:hAnsi="Avenir Next"/>
          <w:bCs/>
        </w:rPr>
        <w:t xml:space="preserve">The voting process </w:t>
      </w:r>
      <w:r w:rsidR="006844C9">
        <w:rPr>
          <w:rFonts w:ascii="Avenir Next" w:hAnsi="Avenir Next"/>
          <w:bCs/>
        </w:rPr>
        <w:t xml:space="preserve">will be in accordance with CWR O.8, r.2 (rule 1(5)). This provides that the meeting should be convened within 28 days of the winding up order (while this is not applicable, the OL should seek to convene with 28 days of the filing of the certificate), and the election should be conducted. </w:t>
      </w:r>
    </w:p>
    <w:p w14:paraId="249E72C4" w14:textId="1E8B89C4" w:rsidR="006844C9" w:rsidRPr="00FA5004" w:rsidRDefault="006844C9" w:rsidP="00170540">
      <w:pPr>
        <w:pStyle w:val="BodyText"/>
        <w:numPr>
          <w:ilvl w:val="0"/>
          <w:numId w:val="32"/>
        </w:numPr>
        <w:rPr>
          <w:rFonts w:ascii="Avenir Next" w:hAnsi="Avenir Next"/>
          <w:bCs/>
        </w:rPr>
      </w:pPr>
      <w:r>
        <w:rPr>
          <w:rFonts w:ascii="Avenir Next" w:hAnsi="Avenir Next"/>
          <w:bCs/>
        </w:rPr>
        <w:t xml:space="preserve">Thereafter, the meeting can be convened whenever the OL considers it appropriate to do so; by order of the Court, by receipt of a requisition, and in any event, not less than once a year.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65EA8B40" w:rsidR="00B20DBE" w:rsidRDefault="006844C9" w:rsidP="00B20DBE">
      <w:pPr>
        <w:pStyle w:val="BodyText"/>
        <w:ind w:firstLine="0"/>
        <w:rPr>
          <w:rFonts w:ascii="Avenir Next" w:hAnsi="Avenir Next"/>
          <w:u w:val="single"/>
        </w:rPr>
      </w:pPr>
      <w:r w:rsidRPr="001A3DD4">
        <w:rPr>
          <w:rFonts w:ascii="Avenir Next" w:hAnsi="Avenir Next"/>
          <w:u w:val="single"/>
        </w:rPr>
        <w:t>Answer:</w:t>
      </w:r>
    </w:p>
    <w:p w14:paraId="71ECF6D4" w14:textId="2AC62864" w:rsidR="000A6FD8" w:rsidRDefault="000A6FD8" w:rsidP="00B20DBE">
      <w:pPr>
        <w:pStyle w:val="BodyText"/>
        <w:ind w:firstLine="0"/>
        <w:rPr>
          <w:rFonts w:ascii="Avenir Next" w:hAnsi="Avenir Next"/>
          <w:b/>
          <w:bCs/>
          <w:u w:val="single"/>
        </w:rPr>
      </w:pPr>
    </w:p>
    <w:p w14:paraId="2F74BB83" w14:textId="2F447BD0" w:rsidR="001A3DD4" w:rsidRDefault="001A3DD4" w:rsidP="001A3DD4">
      <w:pPr>
        <w:tabs>
          <w:tab w:val="right" w:pos="9021"/>
        </w:tabs>
      </w:pPr>
      <w:r>
        <w:t xml:space="preserve">The content of the dissolution order is set out under CWR O.22, r.2 (Form 36). </w:t>
      </w:r>
    </w:p>
    <w:p w14:paraId="75614296" w14:textId="77777777" w:rsidR="001A3DD4" w:rsidRPr="001A3DD4" w:rsidRDefault="001A3DD4" w:rsidP="001A3DD4">
      <w:pPr>
        <w:tabs>
          <w:tab w:val="right" w:pos="9021"/>
        </w:tabs>
      </w:pPr>
    </w:p>
    <w:p w14:paraId="0F084418" w14:textId="46330C89" w:rsidR="000A6FD8" w:rsidRPr="001A3DD4" w:rsidRDefault="00755C82" w:rsidP="00224D25">
      <w:pPr>
        <w:pStyle w:val="ListParagraph"/>
        <w:numPr>
          <w:ilvl w:val="0"/>
          <w:numId w:val="34"/>
        </w:numPr>
        <w:tabs>
          <w:tab w:val="right" w:pos="9021"/>
        </w:tabs>
        <w:rPr>
          <w:rFonts w:ascii="Avenir Next" w:hAnsi="Avenir Next"/>
        </w:rPr>
      </w:pPr>
      <w:r w:rsidRPr="00755C82">
        <w:t>Following the dissolution of a company, the liquidator must retain the liquidation files in safe</w:t>
      </w:r>
      <w:r>
        <w:t xml:space="preserve"> </w:t>
      </w:r>
      <w:r w:rsidRPr="00755C82">
        <w:rPr>
          <w:rFonts w:ascii="Avenir Next" w:hAnsi="Avenir Next"/>
        </w:rPr>
        <w:t>custody for at least three years (CWR O.26, r.2(3))</w:t>
      </w:r>
      <w:r>
        <w:rPr>
          <w:rFonts w:ascii="Avenir Next" w:hAnsi="Avenir Next"/>
        </w:rPr>
        <w:t xml:space="preserve">. Those files must include: </w:t>
      </w:r>
      <w:r w:rsidR="001A3DD4" w:rsidRPr="001A3DD4">
        <w:rPr>
          <w:rFonts w:ascii="Avenir Next" w:hAnsi="Avenir Next"/>
          <w:lang w:val="en-US"/>
        </w:rPr>
        <w:t>(a) a duplicate of the Court file; (b) minutes of the meetings of creditors and/or contributories; (c) minutes of the meetings of the liquidation committee; (d) liquidator's reports; (e) liquidator's accounts; (f) proofs of debt and records relating to their adjudication; (g) records relating to the collection and realisation of the assets; (h) records relating to the liquidation bank accounts; (i) liquidator's correspondence; and (j) notices sent or published by the liquidator</w:t>
      </w:r>
      <w:r w:rsidR="001A3DD4">
        <w:rPr>
          <w:rFonts w:ascii="Avenir Next" w:hAnsi="Avenir Next"/>
          <w:lang w:val="en-US"/>
        </w:rPr>
        <w:t xml:space="preserve"> </w:t>
      </w:r>
      <w:r w:rsidR="001A3DD4" w:rsidRPr="00755C82">
        <w:rPr>
          <w:rFonts w:ascii="Avenir Next" w:hAnsi="Avenir Next"/>
        </w:rPr>
        <w:t>(CWR O.26, r.2(</w:t>
      </w:r>
      <w:r w:rsidR="001A3DD4">
        <w:rPr>
          <w:rFonts w:ascii="Avenir Next" w:hAnsi="Avenir Next"/>
        </w:rPr>
        <w:t>2</w:t>
      </w:r>
      <w:r w:rsidR="001A3DD4" w:rsidRPr="00755C82">
        <w:rPr>
          <w:rFonts w:ascii="Avenir Next" w:hAnsi="Avenir Next"/>
        </w:rPr>
        <w:t>))</w:t>
      </w:r>
      <w:r w:rsidR="001A3DD4" w:rsidRPr="001A3DD4">
        <w:rPr>
          <w:rFonts w:ascii="Avenir Next" w:hAnsi="Avenir Next"/>
          <w:lang w:val="en-US"/>
        </w:rPr>
        <w:t>.</w:t>
      </w:r>
    </w:p>
    <w:p w14:paraId="211E8CE8" w14:textId="1035AE30" w:rsidR="001A3DD4" w:rsidRPr="001A3DD4" w:rsidRDefault="001A3DD4" w:rsidP="001A3DD4">
      <w:pPr>
        <w:pStyle w:val="ListParagraph"/>
        <w:numPr>
          <w:ilvl w:val="0"/>
          <w:numId w:val="34"/>
        </w:numPr>
        <w:tabs>
          <w:tab w:val="right" w:pos="9021"/>
        </w:tabs>
        <w:rPr>
          <w:rFonts w:ascii="Avenir Next" w:hAnsi="Avenir Next"/>
        </w:rPr>
      </w:pPr>
      <w:r w:rsidRPr="001A3DD4">
        <w:rPr>
          <w:lang w:val="en-US"/>
        </w:rPr>
        <w:t xml:space="preserve">Upon the making of </w:t>
      </w:r>
      <w:r w:rsidRPr="001A3DD4">
        <w:rPr>
          <w:rFonts w:ascii="Avenir Next" w:hAnsi="Avenir Next"/>
          <w:lang w:val="en-US"/>
        </w:rPr>
        <w:t xml:space="preserve">an order dissolving a company, the official liquidator’s duties as officeholder cease save for any </w:t>
      </w:r>
      <w:r w:rsidRPr="001A3DD4">
        <w:t>residual duties preserved by the order for dissolution, including for the preservation, storage and destruction of the company’s remaining books and records</w:t>
      </w:r>
      <w:r>
        <w:t xml:space="preserve"> (CWR O.25, r.2)</w:t>
      </w:r>
      <w:r w:rsidRPr="001A3DD4">
        <w:t xml:space="preserve">, and dealings with unclaimed </w:t>
      </w:r>
      <w:r w:rsidRPr="001A3DD4">
        <w:rPr>
          <w:rFonts w:ascii="Avenir Next" w:hAnsi="Avenir Next"/>
          <w:lang w:val="en-US"/>
        </w:rPr>
        <w:t>dividends.</w:t>
      </w:r>
    </w:p>
    <w:p w14:paraId="156E33C6" w14:textId="07BC1FCE" w:rsidR="001A3DD4" w:rsidRPr="001A3DD4" w:rsidRDefault="001A3DD4" w:rsidP="00224D25">
      <w:pPr>
        <w:pStyle w:val="ListParagraph"/>
        <w:numPr>
          <w:ilvl w:val="0"/>
          <w:numId w:val="34"/>
        </w:numPr>
        <w:tabs>
          <w:tab w:val="right" w:pos="9021"/>
        </w:tabs>
        <w:rPr>
          <w:lang w:val="en-US"/>
        </w:rPr>
      </w:pPr>
      <w:r w:rsidRPr="001A3DD4">
        <w:rPr>
          <w:rFonts w:ascii="Avenir Next" w:hAnsi="Avenir Next"/>
        </w:rPr>
        <w:t xml:space="preserve">As to unclaimed dividends and undistirbuted assets, these are </w:t>
      </w:r>
      <w:r w:rsidRPr="001A3DD4">
        <w:rPr>
          <w:lang w:val="en-US"/>
        </w:rPr>
        <w:t>to be dealt with in accordance with section 153 of the Act and CWR O. 23. These provide as follows:</w:t>
      </w:r>
    </w:p>
    <w:p w14:paraId="7EDF1FED" w14:textId="660790B4" w:rsidR="001A3DD4" w:rsidRPr="001A3DD4" w:rsidRDefault="001A3DD4" w:rsidP="001A3DD4">
      <w:pPr>
        <w:pStyle w:val="ListParagraph"/>
        <w:numPr>
          <w:ilvl w:val="0"/>
          <w:numId w:val="37"/>
        </w:numPr>
        <w:tabs>
          <w:tab w:val="right" w:pos="9021"/>
        </w:tabs>
        <w:rPr>
          <w:lang w:val="en-US"/>
        </w:rPr>
      </w:pPr>
      <w:r w:rsidRPr="001A3DD4">
        <w:rPr>
          <w:lang w:val="en-US"/>
        </w:rPr>
        <w:t>establishment of a trust account for the receipt of any unclaimed dividends or uncleared dividend cheques;</w:t>
      </w:r>
    </w:p>
    <w:p w14:paraId="1A2E77DE" w14:textId="74486263" w:rsidR="001A3DD4" w:rsidRPr="001A3DD4" w:rsidRDefault="001A3DD4" w:rsidP="00224D25">
      <w:pPr>
        <w:pStyle w:val="ListParagraph"/>
        <w:numPr>
          <w:ilvl w:val="0"/>
          <w:numId w:val="37"/>
        </w:numPr>
        <w:tabs>
          <w:tab w:val="right" w:pos="9021"/>
        </w:tabs>
        <w:rPr>
          <w:lang w:val="en-US"/>
        </w:rPr>
      </w:pPr>
      <w:r w:rsidRPr="001A3DD4">
        <w:rPr>
          <w:lang w:val="en-US"/>
        </w:rPr>
        <w:t xml:space="preserve">transfer of title to the liquidator of any undistributed assets which ought to have been distributed </w:t>
      </w:r>
      <w:r w:rsidRPr="001A3DD4">
        <w:rPr>
          <w:i/>
          <w:iCs/>
          <w:lang w:val="en-US"/>
        </w:rPr>
        <w:t xml:space="preserve">in specie </w:t>
      </w:r>
      <w:r w:rsidRPr="001A3DD4">
        <w:rPr>
          <w:lang w:val="en-US"/>
        </w:rPr>
        <w:t>but remain in the possession or control of the liquidator, to be held on trust and administered by the official liquidator for the benefit of the creditors /</w:t>
      </w:r>
      <w:r>
        <w:rPr>
          <w:lang w:val="en-US"/>
        </w:rPr>
        <w:t xml:space="preserve"> </w:t>
      </w:r>
      <w:r w:rsidRPr="001A3DD4">
        <w:rPr>
          <w:lang w:val="en-US"/>
        </w:rPr>
        <w:t>contributories who are entitled to receive such assets;</w:t>
      </w:r>
    </w:p>
    <w:p w14:paraId="743B752A" w14:textId="091E5874" w:rsidR="001A3DD4" w:rsidRPr="001A3DD4" w:rsidRDefault="001A3DD4" w:rsidP="001A3DD4">
      <w:pPr>
        <w:pStyle w:val="ListParagraph"/>
        <w:numPr>
          <w:ilvl w:val="0"/>
          <w:numId w:val="37"/>
        </w:numPr>
        <w:tabs>
          <w:tab w:val="right" w:pos="9021"/>
        </w:tabs>
        <w:rPr>
          <w:lang w:val="en-US"/>
        </w:rPr>
      </w:pPr>
      <w:r w:rsidRPr="001A3DD4">
        <w:rPr>
          <w:lang w:val="en-US"/>
        </w:rPr>
        <w:t>payment out of the trust account and transfer of any undistributed assets once beneficiaries are located and believed to be entitled to the funds / assets;</w:t>
      </w:r>
    </w:p>
    <w:p w14:paraId="280AB635" w14:textId="6FD73837" w:rsidR="001A3DD4" w:rsidRPr="001A3DD4" w:rsidRDefault="001A3DD4" w:rsidP="001A3DD4">
      <w:pPr>
        <w:pStyle w:val="ListParagraph"/>
        <w:numPr>
          <w:ilvl w:val="0"/>
          <w:numId w:val="37"/>
        </w:numPr>
        <w:tabs>
          <w:tab w:val="right" w:pos="9021"/>
        </w:tabs>
        <w:rPr>
          <w:lang w:val="en-US"/>
        </w:rPr>
      </w:pPr>
      <w:r w:rsidRPr="001A3DD4">
        <w:rPr>
          <w:lang w:val="en-US"/>
        </w:rPr>
        <w:t>former liquidator’s trustee fees and expenses; and</w:t>
      </w:r>
    </w:p>
    <w:p w14:paraId="14E2BD67" w14:textId="7A3D0163" w:rsidR="001A3DD4" w:rsidRPr="001A3DD4" w:rsidRDefault="001A3DD4" w:rsidP="001A3DD4">
      <w:pPr>
        <w:pStyle w:val="ListParagraph"/>
        <w:numPr>
          <w:ilvl w:val="0"/>
          <w:numId w:val="37"/>
        </w:numPr>
        <w:tabs>
          <w:tab w:val="right" w:pos="9021"/>
        </w:tabs>
        <w:rPr>
          <w:rFonts w:ascii="Avenir Next" w:hAnsi="Avenir Next"/>
        </w:rPr>
      </w:pPr>
      <w:r w:rsidRPr="001A3DD4">
        <w:rPr>
          <w:lang w:val="en-US"/>
        </w:rPr>
        <w:t xml:space="preserve">transfer to the Financial Secretary any money or assets remaining in the hands of the former liquidator as trustee at the end of one year from the date upon which the company was </w:t>
      </w:r>
      <w:r w:rsidRPr="001A3DD4">
        <w:rPr>
          <w:rFonts w:ascii="Avenir Next" w:hAnsi="Avenir Next"/>
          <w:lang w:val="en-US"/>
        </w:rPr>
        <w:t>dissolved.</w:t>
      </w:r>
    </w:p>
    <w:p w14:paraId="169220D7" w14:textId="76682866" w:rsidR="001A3DD4" w:rsidRPr="001A3DD4" w:rsidRDefault="001A3DD4" w:rsidP="001A3DD4">
      <w:pPr>
        <w:pStyle w:val="ListParagraph"/>
        <w:numPr>
          <w:ilvl w:val="0"/>
          <w:numId w:val="36"/>
        </w:numPr>
        <w:tabs>
          <w:tab w:val="right" w:pos="9021"/>
        </w:tabs>
        <w:rPr>
          <w:rFonts w:ascii="Avenir Next" w:hAnsi="Avenir Next"/>
        </w:rPr>
      </w:pPr>
      <w:r w:rsidRPr="001A3DD4">
        <w:rPr>
          <w:rFonts w:ascii="Avenir Next" w:hAnsi="Avenir Next"/>
        </w:rPr>
        <w:t xml:space="preserve">If not included in the dissolution order, the OL should separately apply for a discharge of their appointment. </w:t>
      </w:r>
    </w:p>
    <w:p w14:paraId="7A8B6149" w14:textId="17F36934" w:rsidR="001F1E22" w:rsidRDefault="001F1E22" w:rsidP="00D44BFA">
      <w:pPr>
        <w:jc w:val="left"/>
        <w:rPr>
          <w:rFonts w:ascii="Avenir Next Demi Bold" w:hAnsi="Avenir Next Demi Bold"/>
          <w:b/>
          <w:bCs/>
        </w:rPr>
      </w:pPr>
    </w:p>
    <w:p w14:paraId="70179F78" w14:textId="77777777" w:rsidR="001A3DD4" w:rsidRDefault="001A3DD4"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48B88793" w14:textId="7161F0D9" w:rsidR="00D44BFA" w:rsidRPr="006844C9" w:rsidRDefault="006844C9" w:rsidP="006844C9">
      <w:pPr>
        <w:pStyle w:val="BodyText"/>
        <w:ind w:firstLine="0"/>
        <w:rPr>
          <w:rFonts w:ascii="Avenir Next" w:hAnsi="Avenir Next"/>
          <w:u w:val="single"/>
        </w:rPr>
      </w:pPr>
      <w:r w:rsidRPr="006844C9">
        <w:rPr>
          <w:rFonts w:ascii="Avenir Next" w:hAnsi="Avenir Next"/>
          <w:u w:val="single"/>
        </w:rPr>
        <w:t>Answer:</w:t>
      </w:r>
    </w:p>
    <w:p w14:paraId="1B88CF57" w14:textId="556199AF" w:rsidR="00D44BFA" w:rsidRDefault="00D44BFA" w:rsidP="00D44BFA">
      <w:pPr>
        <w:rPr>
          <w:rFonts w:ascii="Avenir Next LT Pro" w:hAnsi="Avenir Next LT Pro"/>
        </w:rPr>
      </w:pPr>
    </w:p>
    <w:p w14:paraId="2E7831E8" w14:textId="77777777" w:rsidR="006844C9" w:rsidRDefault="006844C9" w:rsidP="00D44BFA">
      <w:r>
        <w:t xml:space="preserve">Under section 102(1) of the Act, an OL has powers to investigate if the company failed and if so, the causes of the failure; and generally, to investigate the promotion, business, dealings and affairs of the company, and to make such report, if any, to the court as the liquidator thinks fit. </w:t>
      </w:r>
    </w:p>
    <w:p w14:paraId="54ED2678" w14:textId="77777777" w:rsidR="006844C9" w:rsidRDefault="006844C9" w:rsidP="00D44BFA"/>
    <w:p w14:paraId="286031C7" w14:textId="65ED53C1" w:rsidR="006844C9" w:rsidRDefault="006844C9" w:rsidP="00D44BFA">
      <w:r>
        <w:t xml:space="preserve">There are also specific powers under the Act which an OL can use to gather information and facilitate investigations. </w:t>
      </w:r>
      <w:r w:rsidR="00170540">
        <w:t xml:space="preserve">These include: </w:t>
      </w:r>
    </w:p>
    <w:p w14:paraId="7507E5A2" w14:textId="4B017342" w:rsidR="00170540" w:rsidRDefault="00170540" w:rsidP="00D44BFA"/>
    <w:p w14:paraId="76FFE910" w14:textId="396BEE41" w:rsidR="00170540" w:rsidRDefault="00170540" w:rsidP="00170540">
      <w:pPr>
        <w:pStyle w:val="ListParagraph"/>
        <w:numPr>
          <w:ilvl w:val="0"/>
          <w:numId w:val="33"/>
        </w:numPr>
      </w:pPr>
      <w:r w:rsidRPr="00170540">
        <w:rPr>
          <w:u w:val="single"/>
        </w:rPr>
        <w:t>Examination (s.103(3)):</w:t>
      </w:r>
      <w:r>
        <w:t xml:space="preserve"> the OL may apply to court for an order for the examination of a “relevant person”, or that  a relevant person transfer or deliver up to the liquidator any company property or documents.</w:t>
      </w:r>
      <w:r w:rsidRPr="00170540">
        <w:t xml:space="preserve"> </w:t>
      </w:r>
      <w:r>
        <w:t xml:space="preserve">This provision is broad because a “relevant person” includes any person who, whether resident or elsewhere: (a) has made or concurred with the statement of affairs; (b) is or has been a company director / officer; (c) is or was a professional service provider to the company; (d) has acted as a controller, advisor or liquidator of the company or receiver or manager of its property; (e) not being a person falling within paragraphs (a) to (c), is or has been concerned or has taken part in the promotion or management of the company. </w:t>
      </w:r>
    </w:p>
    <w:p w14:paraId="11AF8B1D" w14:textId="59F2DE3B" w:rsidR="00170540" w:rsidRPr="00170540" w:rsidRDefault="00170540" w:rsidP="00170540">
      <w:pPr>
        <w:pStyle w:val="ListParagraph"/>
        <w:numPr>
          <w:ilvl w:val="0"/>
          <w:numId w:val="33"/>
        </w:numPr>
        <w:rPr>
          <w:u w:val="single"/>
        </w:rPr>
      </w:pPr>
      <w:r w:rsidRPr="00170540">
        <w:rPr>
          <w:u w:val="single"/>
        </w:rPr>
        <w:t>Transfer of property (s.138):</w:t>
      </w:r>
      <w:r w:rsidR="002A0D5B">
        <w:t xml:space="preserve"> the court may require any person, who has in their possession any property or documents to which the company appears entitled, to pay, transfer or deliver same to the OL (the OL’s right to take possession of, collect and get in company property is in Schedule 3 Part II at paragraph 1).</w:t>
      </w:r>
    </w:p>
    <w:p w14:paraId="1C51BB4C" w14:textId="6F26682B" w:rsidR="006844C9" w:rsidRPr="00170540" w:rsidRDefault="002A0D5B" w:rsidP="00170540">
      <w:pPr>
        <w:pStyle w:val="ListParagraph"/>
        <w:numPr>
          <w:ilvl w:val="0"/>
          <w:numId w:val="33"/>
        </w:numPr>
        <w:rPr>
          <w:rFonts w:ascii="Avenir Next LT Pro" w:hAnsi="Avenir Next LT Pro"/>
        </w:rPr>
      </w:pPr>
      <w:r w:rsidRPr="002A0D5B">
        <w:rPr>
          <w:u w:val="single"/>
        </w:rPr>
        <w:t>Statement of affairs (s.101):</w:t>
      </w:r>
      <w:r>
        <w:t xml:space="preserve"> </w:t>
      </w:r>
      <w:r w:rsidR="006844C9">
        <w:t>where a winding up order has been made, a</w:t>
      </w:r>
      <w:r>
        <w:t xml:space="preserve">n OL can </w:t>
      </w:r>
      <w:r w:rsidR="006844C9">
        <w:t xml:space="preserve">serve notice requiring that </w:t>
      </w:r>
      <w:r>
        <w:t xml:space="preserve">certain </w:t>
      </w:r>
      <w:r w:rsidR="006844C9">
        <w:t xml:space="preserve">persons </w:t>
      </w:r>
      <w:r>
        <w:t>(</w:t>
      </w:r>
      <w:r w:rsidR="006844C9">
        <w:t>s</w:t>
      </w:r>
      <w:r>
        <w:t>.</w:t>
      </w:r>
      <w:r w:rsidR="006844C9">
        <w:t>101(3)</w:t>
      </w:r>
      <w:r>
        <w:t xml:space="preserve"> – eg directors and professional service providers but excluding auditors) </w:t>
      </w:r>
      <w:r w:rsidR="006844C9">
        <w:t xml:space="preserve">prepare and submit a statement as to the </w:t>
      </w:r>
      <w:r>
        <w:t xml:space="preserve">company’s </w:t>
      </w:r>
      <w:r w:rsidR="006844C9">
        <w:t>affairs.</w:t>
      </w:r>
      <w:r>
        <w:t xml:space="preserve"> </w:t>
      </w:r>
      <w:r w:rsidR="006844C9">
        <w:t>The content of a statement of affairs should include: (a) particulars of the company’s assets and liabilities, including contingent and prospective liabilities; (b) the names and addresses of persons having possession of the company’s assets;</w:t>
      </w:r>
      <w:r w:rsidR="006844C9" w:rsidRPr="006844C9">
        <w:t xml:space="preserve"> </w:t>
      </w:r>
      <w:r w:rsidR="006844C9">
        <w:t>c) the assets of the company held by those persons; (d) the names and addresses of the company’s creditors; (e) the securities held by those creditors; (f) the dates when the securities were respectively given; and (g) such further or other information that the liquidator may require.</w:t>
      </w:r>
    </w:p>
    <w:p w14:paraId="545B798D" w14:textId="77777777" w:rsidR="002A0D5B" w:rsidRDefault="002A0D5B" w:rsidP="00D44BFA">
      <w:pPr>
        <w:rPr>
          <w:rFonts w:ascii="Avenir Next Demi Bold" w:hAnsi="Avenir Next Demi Bold"/>
          <w:b/>
          <w:bCs/>
        </w:rPr>
      </w:pPr>
    </w:p>
    <w:p w14:paraId="6A86F76C" w14:textId="0C6D3373"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5635B841" w:rsidR="00D44BFA" w:rsidRPr="000A6FD8" w:rsidRDefault="000A6FD8" w:rsidP="00D44BFA">
      <w:pPr>
        <w:pStyle w:val="BodyText"/>
        <w:ind w:firstLine="0"/>
        <w:rPr>
          <w:rFonts w:ascii="Avenir Next" w:hAnsi="Avenir Next"/>
          <w:bCs/>
          <w:u w:val="single"/>
        </w:rPr>
      </w:pPr>
      <w:r w:rsidRPr="000A6FD8">
        <w:rPr>
          <w:rFonts w:ascii="Avenir Next" w:hAnsi="Avenir Next"/>
          <w:u w:val="single"/>
        </w:rPr>
        <w:t xml:space="preserve">Answer: </w:t>
      </w:r>
    </w:p>
    <w:p w14:paraId="4F03415A" w14:textId="6E79DA5F" w:rsidR="00D44BFA" w:rsidRDefault="00D44BFA" w:rsidP="00D44BFA">
      <w:pPr>
        <w:rPr>
          <w:rFonts w:ascii="Avenir Next LT Pro" w:hAnsi="Avenir Next LT Pro"/>
        </w:rPr>
      </w:pPr>
    </w:p>
    <w:p w14:paraId="29843877" w14:textId="77777777" w:rsidR="000A6FD8" w:rsidRPr="000A6FD8" w:rsidRDefault="000A6FD8" w:rsidP="009C7CAA">
      <w:pPr>
        <w:tabs>
          <w:tab w:val="right" w:pos="9021"/>
        </w:tabs>
      </w:pPr>
      <w:r w:rsidRPr="000A6FD8">
        <w:t xml:space="preserve">The relevant date means (a) in a case where a provisional liquidator is appointed, the date of that </w:t>
      </w:r>
    </w:p>
    <w:p w14:paraId="53BB6CFD" w14:textId="4EC88670" w:rsidR="000A6FD8" w:rsidRDefault="000A6FD8" w:rsidP="009C7CAA">
      <w:pPr>
        <w:tabs>
          <w:tab w:val="right" w:pos="9021"/>
        </w:tabs>
      </w:pPr>
      <w:r w:rsidRPr="000A6FD8">
        <w:t>person’s appointment; and</w:t>
      </w:r>
      <w:r>
        <w:t xml:space="preserve"> </w:t>
      </w:r>
      <w:r w:rsidRPr="000A6FD8">
        <w:t>(b) in any other case, the commencement of the winding up.</w:t>
      </w:r>
    </w:p>
    <w:p w14:paraId="688E78CF" w14:textId="77777777" w:rsidR="00755C82" w:rsidRDefault="00755C82" w:rsidP="009C7CAA">
      <w:pPr>
        <w:tabs>
          <w:tab w:val="right" w:pos="9021"/>
        </w:tabs>
      </w:pPr>
    </w:p>
    <w:p w14:paraId="3CBD886C" w14:textId="0DF88251" w:rsidR="00755C82" w:rsidRPr="00755C82" w:rsidRDefault="00755C82" w:rsidP="00755C82">
      <w:pPr>
        <w:tabs>
          <w:tab w:val="right" w:pos="9021"/>
        </w:tabs>
      </w:pPr>
      <w:r w:rsidRPr="00755C82">
        <w:t>In many cases,</w:t>
      </w:r>
      <w:r>
        <w:t xml:space="preserve"> the latter will be upon the </w:t>
      </w:r>
      <w:r w:rsidRPr="00755C82">
        <w:t>presentation of the winding up petition</w:t>
      </w:r>
      <w:r>
        <w:t xml:space="preserve"> (s.100(2))</w:t>
      </w:r>
      <w:r w:rsidRPr="00755C82">
        <w:t>. However, this may be earlier</w:t>
      </w:r>
      <w:r>
        <w:t xml:space="preserve"> </w:t>
      </w:r>
      <w:r w:rsidRPr="00755C82">
        <w:t>if, before the presentation of a petition, (i) a</w:t>
      </w:r>
      <w:r>
        <w:t xml:space="preserve"> </w:t>
      </w:r>
      <w:r w:rsidRPr="00755C82">
        <w:t>resolution was passed by the company for voluntary winding up, (ii) any period fixed for the</w:t>
      </w:r>
      <w:r>
        <w:t xml:space="preserve"> </w:t>
      </w:r>
      <w:r w:rsidRPr="00755C82">
        <w:t>duration of the company by the articles of association has expired, (iii) an event giving rise to a</w:t>
      </w:r>
      <w:r>
        <w:t xml:space="preserve"> </w:t>
      </w:r>
      <w:r w:rsidRPr="00755C82">
        <w:t>requirement to wind up the company in the articles of association has occurred, or (iv) a</w:t>
      </w:r>
      <w:r>
        <w:t xml:space="preserve"> </w:t>
      </w:r>
      <w:r w:rsidRPr="00755C82">
        <w:t>restructuring officer has been appointed</w:t>
      </w:r>
      <w:r>
        <w:t>. In any of the latter instances</w:t>
      </w:r>
      <w:r w:rsidRPr="00755C82">
        <w:t>, the winding up is deemed to have commenced</w:t>
      </w:r>
      <w:r>
        <w:t xml:space="preserve"> </w:t>
      </w:r>
      <w:r w:rsidRPr="00755C82">
        <w:t>at the time of the relevant aforementioned event.</w:t>
      </w:r>
    </w:p>
    <w:p w14:paraId="4E276E4D" w14:textId="77777777" w:rsidR="00755C82" w:rsidRDefault="00755C82">
      <w:pPr>
        <w:tabs>
          <w:tab w:val="right" w:pos="9021"/>
        </w:tabs>
      </w:pPr>
    </w:p>
    <w:p w14:paraId="65D22785" w14:textId="47C2076F" w:rsidR="009C7CAA" w:rsidRDefault="009C7CAA" w:rsidP="009C7CAA">
      <w:pPr>
        <w:tabs>
          <w:tab w:val="right" w:pos="9021"/>
        </w:tabs>
      </w:pPr>
      <w:r>
        <w:t>This</w:t>
      </w:r>
      <w:r w:rsidR="00755C82">
        <w:t xml:space="preserve"> “relevant date” also can have </w:t>
      </w:r>
      <w:r>
        <w:t xml:space="preserve">significance where an OL seeks an employee of the company to produce a statement of affairs, because an employee can only be required to do so where they were employed during the period of one year immediately preceding the relevant date (s.101(3)(c)). </w:t>
      </w:r>
    </w:p>
    <w:p w14:paraId="015E7063" w14:textId="1F0A2656" w:rsidR="000A6FD8" w:rsidRDefault="000A6FD8" w:rsidP="000A6FD8">
      <w:pPr>
        <w:tabs>
          <w:tab w:val="right" w:pos="9021"/>
        </w:tabs>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02A25148" w:rsidR="00080EDC" w:rsidRPr="00FF49A7" w:rsidRDefault="00FF49A7" w:rsidP="00080EDC">
      <w:pPr>
        <w:pStyle w:val="BodyText"/>
        <w:ind w:firstLine="0"/>
        <w:rPr>
          <w:rFonts w:ascii="Avenir Next" w:hAnsi="Avenir Next"/>
          <w:b/>
          <w:bCs/>
          <w:u w:val="single"/>
        </w:rPr>
      </w:pPr>
      <w:r w:rsidRPr="00FF49A7">
        <w:rPr>
          <w:rFonts w:ascii="Avenir Next" w:hAnsi="Avenir Next"/>
          <w:u w:val="single"/>
        </w:rPr>
        <w:t>Answer:</w:t>
      </w:r>
    </w:p>
    <w:p w14:paraId="26BB8208" w14:textId="77777777" w:rsidR="00080EDC" w:rsidRPr="00080EDC" w:rsidRDefault="00080EDC" w:rsidP="00080EDC">
      <w:pPr>
        <w:pStyle w:val="BodyText"/>
        <w:rPr>
          <w:rFonts w:ascii="Avenir Next" w:hAnsi="Avenir Next"/>
        </w:rPr>
      </w:pPr>
    </w:p>
    <w:p w14:paraId="4167C614" w14:textId="602B62FE" w:rsidR="00DF3A0B" w:rsidRDefault="00DF3A0B" w:rsidP="00DF3A0B">
      <w:pPr>
        <w:pStyle w:val="BodyText"/>
        <w:tabs>
          <w:tab w:val="right" w:pos="9021"/>
        </w:tabs>
        <w:ind w:firstLine="0"/>
        <w:jc w:val="both"/>
        <w:rPr>
          <w:rFonts w:ascii="Avenir Next" w:hAnsi="Avenir Next"/>
        </w:rPr>
      </w:pPr>
      <w:r>
        <w:rPr>
          <w:rFonts w:ascii="Avenir Next" w:hAnsi="Avenir Next"/>
        </w:rPr>
        <w:t xml:space="preserve">To be appointed, the PL must file a sworn consent to act, which complies with Order 3, rule 4, This provides relevant that the consent must comply with the insurance requirements (as set out in above answer 2.1, which are repeated here). </w:t>
      </w:r>
    </w:p>
    <w:p w14:paraId="26219BBC" w14:textId="72603344" w:rsidR="00DF3A0B" w:rsidRDefault="00DF3A0B" w:rsidP="00DF3A0B">
      <w:pPr>
        <w:pStyle w:val="BodyText"/>
        <w:tabs>
          <w:tab w:val="right" w:pos="9021"/>
        </w:tabs>
        <w:ind w:firstLine="0"/>
        <w:jc w:val="both"/>
        <w:rPr>
          <w:rFonts w:ascii="Avenir Next" w:hAnsi="Avenir Next"/>
        </w:rPr>
      </w:pPr>
    </w:p>
    <w:p w14:paraId="6F9BABD7" w14:textId="4002FADD" w:rsidR="00DF3A0B" w:rsidRDefault="00DF3A0B" w:rsidP="00DF3A0B">
      <w:pPr>
        <w:pStyle w:val="BodyText"/>
        <w:tabs>
          <w:tab w:val="right" w:pos="9021"/>
        </w:tabs>
        <w:ind w:firstLine="0"/>
        <w:jc w:val="both"/>
        <w:rPr>
          <w:rFonts w:ascii="Avenir Next" w:hAnsi="Avenir Next"/>
        </w:rPr>
      </w:pPr>
      <w:r>
        <w:rPr>
          <w:rFonts w:ascii="Avenir Next" w:hAnsi="Avenir Next"/>
        </w:rPr>
        <w:t xml:space="preserve">The court will not have jurisdiction to appoint the PL if he does not comply with the insurance requirement. The requirement relevantly is that </w:t>
      </w:r>
      <w:r w:rsidRPr="00DF3A0B">
        <w:rPr>
          <w:rFonts w:ascii="Avenir Next" w:hAnsi="Avenir Next"/>
        </w:rPr>
        <w:t>professional indemnity insurance</w:t>
      </w:r>
      <w:r>
        <w:rPr>
          <w:rFonts w:ascii="Avenir Next" w:hAnsi="Avenir Next"/>
        </w:rPr>
        <w:t xml:space="preserve"> must be </w:t>
      </w:r>
      <w:r w:rsidRPr="00DF3A0B">
        <w:rPr>
          <w:rFonts w:ascii="Avenir Next" w:hAnsi="Avenir Next"/>
        </w:rPr>
        <w:t>up to a limit of at least US$10 million in</w:t>
      </w:r>
      <w:r>
        <w:rPr>
          <w:rFonts w:ascii="Avenir Next" w:hAnsi="Avenir Next"/>
        </w:rPr>
        <w:t xml:space="preserve"> </w:t>
      </w:r>
      <w:r w:rsidRPr="00DF3A0B">
        <w:rPr>
          <w:rFonts w:ascii="Avenir Next" w:hAnsi="Avenir Next"/>
        </w:rPr>
        <w:t>respect of each and every claim</w:t>
      </w:r>
      <w:r>
        <w:rPr>
          <w:rFonts w:ascii="Avenir Next" w:hAnsi="Avenir Next"/>
        </w:rPr>
        <w:t xml:space="preserve"> (Reg 7 IPR). Therefore the proposed PL would not be compliant with this requirement (as they only have a limit of up to 5 mill) and will not be able to swear a consent to act. </w:t>
      </w:r>
    </w:p>
    <w:p w14:paraId="2795E122" w14:textId="77777777" w:rsidR="00DF3A0B" w:rsidRDefault="00DF3A0B" w:rsidP="00DF3A0B">
      <w:pPr>
        <w:pStyle w:val="BodyText"/>
        <w:tabs>
          <w:tab w:val="right" w:pos="9021"/>
        </w:tabs>
        <w:ind w:firstLine="0"/>
        <w:jc w:val="both"/>
        <w:rPr>
          <w:rFonts w:ascii="Avenir Next" w:hAnsi="Avenir Next"/>
        </w:rPr>
      </w:pPr>
    </w:p>
    <w:p w14:paraId="719FC1FE" w14:textId="7FB1C3B3" w:rsidR="00FF49A7" w:rsidRPr="00DF3A0B" w:rsidRDefault="00DF3A0B" w:rsidP="00DF3A0B">
      <w:pPr>
        <w:pStyle w:val="BodyText"/>
        <w:tabs>
          <w:tab w:val="right" w:pos="9021"/>
        </w:tabs>
        <w:ind w:firstLine="0"/>
        <w:jc w:val="both"/>
        <w:rPr>
          <w:rFonts w:ascii="Avenir Next" w:hAnsi="Avenir Next"/>
        </w:rPr>
      </w:pPr>
      <w:r w:rsidRPr="00DF3A0B">
        <w:rPr>
          <w:rFonts w:ascii="Avenir Next" w:hAnsi="Avenir Next"/>
        </w:rPr>
        <w:t>The PL accordingly could not be appointed by the Court until the insurance requirement is met.</w:t>
      </w:r>
    </w:p>
    <w:p w14:paraId="63489A12" w14:textId="734B9EBF" w:rsidR="00DF3A0B" w:rsidRDefault="00DF3A0B" w:rsidP="008E6B76">
      <w:pPr>
        <w:tabs>
          <w:tab w:val="right" w:pos="9021"/>
        </w:tabs>
        <w:rPr>
          <w:rFonts w:ascii="Avenir Next Demi Bold" w:hAnsi="Avenir Next Demi Bold"/>
          <w:b/>
          <w:bCs/>
          <w:lang w:val="en-GB"/>
        </w:rPr>
      </w:pPr>
    </w:p>
    <w:p w14:paraId="3715E90B" w14:textId="77777777" w:rsidR="00DF3A0B" w:rsidRDefault="00DF3A0B"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3220A1EB" w14:textId="36122F91" w:rsidR="00662A8E" w:rsidRDefault="002447AE" w:rsidP="002447AE">
      <w:pPr>
        <w:tabs>
          <w:tab w:val="right" w:pos="9021"/>
        </w:tabs>
        <w:rPr>
          <w:u w:val="single"/>
        </w:rPr>
      </w:pPr>
      <w:r w:rsidRPr="002447AE">
        <w:rPr>
          <w:u w:val="single"/>
        </w:rPr>
        <w:t xml:space="preserve">Answer: </w:t>
      </w:r>
    </w:p>
    <w:p w14:paraId="72B790A9" w14:textId="07358C13" w:rsidR="002447AE" w:rsidRPr="002447AE" w:rsidRDefault="002447AE" w:rsidP="002447AE">
      <w:pPr>
        <w:tabs>
          <w:tab w:val="right" w:pos="9021"/>
        </w:tabs>
      </w:pPr>
    </w:p>
    <w:p w14:paraId="2C4B5EF0" w14:textId="01907625" w:rsidR="002447AE" w:rsidRDefault="002447AE" w:rsidP="002447AE">
      <w:pPr>
        <w:tabs>
          <w:tab w:val="right" w:pos="9021"/>
        </w:tabs>
      </w:pPr>
      <w:r>
        <w:t xml:space="preserve">Under section 91B(1) of the Companies Act, a company must demonstrate that (i) it is or is likely to become unable to pay its debts within the meaning of section 93 (that is, to pay its debts as and when they fall due); and (ii) the company intends to present a compromise or arrangement to its creditors (or classes of creditors) either in accordance with the Companies Act, a foreign law, or through a consensual restructuring. </w:t>
      </w:r>
    </w:p>
    <w:p w14:paraId="1E11247D" w14:textId="12B187FC" w:rsidR="002447AE" w:rsidRDefault="002447AE" w:rsidP="002447AE">
      <w:pPr>
        <w:tabs>
          <w:tab w:val="right" w:pos="9021"/>
        </w:tabs>
      </w:pPr>
    </w:p>
    <w:p w14:paraId="3FBA92D8" w14:textId="2F2FB14D" w:rsidR="002447AE" w:rsidRPr="00005D17" w:rsidRDefault="002447AE" w:rsidP="002447AE">
      <w:pPr>
        <w:tabs>
          <w:tab w:val="right" w:pos="9021"/>
        </w:tabs>
      </w:pPr>
      <w:r>
        <w:t xml:space="preserve">Although the case law is limited as the new regime only came into force on 1 August 2022, the recent decision of </w:t>
      </w:r>
      <w:r w:rsidRPr="002447AE">
        <w:rPr>
          <w:i/>
        </w:rPr>
        <w:t>Aubit International</w:t>
      </w:r>
      <w:r>
        <w:t xml:space="preserve"> (4 October 2023) very helpfully summarises the relevant law and procedure</w:t>
      </w:r>
      <w:r w:rsidR="00005D17">
        <w:t xml:space="preserve"> at [126]. In particular, it confirms that the previous authorities in respect of restructuring or “light touch” provisional liquidators are relevant and persuasive under the new regime (see also </w:t>
      </w:r>
      <w:r w:rsidR="00005D17" w:rsidRPr="00005D17">
        <w:rPr>
          <w:i/>
        </w:rPr>
        <w:t>Oriente</w:t>
      </w:r>
      <w:r w:rsidR="00005D17">
        <w:t xml:space="preserve"> at [8]), that the intention to present a restructuring plan must be a realistic and genuine intention</w:t>
      </w:r>
      <w:r w:rsidR="003D1EF3">
        <w:t xml:space="preserve">, and that there needs to be a real prospect of a plan being effected for the benefit of the general body of creditors. </w:t>
      </w:r>
    </w:p>
    <w:p w14:paraId="3D027152" w14:textId="77777777" w:rsidR="002447AE" w:rsidRPr="002447AE" w:rsidRDefault="002447AE" w:rsidP="00662A8E">
      <w:pPr>
        <w:rPr>
          <w:rFonts w:ascii="Avenir Next LT Pro" w:hAnsi="Avenir Next LT Pro"/>
          <w:u w:val="single"/>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76C65C83" w:rsidR="00662A8E" w:rsidRDefault="003D1EF3" w:rsidP="00662A8E">
      <w:pPr>
        <w:pStyle w:val="BodyText"/>
        <w:ind w:firstLine="0"/>
        <w:rPr>
          <w:rFonts w:ascii="Avenir Next" w:hAnsi="Avenir Next"/>
          <w:u w:val="single"/>
        </w:rPr>
      </w:pPr>
      <w:r w:rsidRPr="003D1EF3">
        <w:rPr>
          <w:rFonts w:ascii="Avenir Next" w:hAnsi="Avenir Next"/>
          <w:u w:val="single"/>
        </w:rPr>
        <w:t>Answer:</w:t>
      </w:r>
    </w:p>
    <w:p w14:paraId="32D815E3" w14:textId="26CC6887" w:rsidR="003D1EF3" w:rsidRDefault="003D1EF3" w:rsidP="00662A8E">
      <w:pPr>
        <w:pStyle w:val="BodyText"/>
        <w:ind w:firstLine="0"/>
        <w:rPr>
          <w:rFonts w:ascii="Avenir Next" w:hAnsi="Avenir Next"/>
          <w:b/>
          <w:bCs/>
          <w:u w:val="single"/>
        </w:rPr>
      </w:pPr>
    </w:p>
    <w:p w14:paraId="450B8CFB" w14:textId="3AA3119D" w:rsidR="00122C88" w:rsidRDefault="00122C88" w:rsidP="003D1EF3">
      <w:pPr>
        <w:tabs>
          <w:tab w:val="right" w:pos="9021"/>
        </w:tabs>
      </w:pPr>
      <w:r>
        <w:t xml:space="preserve">Every petition </w:t>
      </w:r>
      <w:r w:rsidR="00BD3B97">
        <w:t xml:space="preserve">for the appointment of a restructuring officer </w:t>
      </w:r>
      <w:r>
        <w:t xml:space="preserve">must be advertised once in a </w:t>
      </w:r>
      <w:r w:rsidRPr="003D1EF3">
        <w:t xml:space="preserve">newspaper </w:t>
      </w:r>
      <w:r>
        <w:t xml:space="preserve">in </w:t>
      </w:r>
      <w:r w:rsidRPr="003D1EF3">
        <w:t>circulation in the Cayman Islands</w:t>
      </w:r>
      <w:r>
        <w:t xml:space="preserve"> (published in accordance with CWR Form 3A) unless the Court directs otherwise (CWR O.1A, r.1(3)). </w:t>
      </w:r>
    </w:p>
    <w:p w14:paraId="05054565" w14:textId="3643E705" w:rsidR="00122C88" w:rsidRDefault="00122C88" w:rsidP="003D1EF3">
      <w:pPr>
        <w:tabs>
          <w:tab w:val="right" w:pos="9021"/>
        </w:tabs>
      </w:pPr>
    </w:p>
    <w:p w14:paraId="66026E8D" w14:textId="2DDEAAA9" w:rsidR="00122C88" w:rsidRDefault="00122C88" w:rsidP="00122C88">
      <w:pPr>
        <w:tabs>
          <w:tab w:val="right" w:pos="9021"/>
        </w:tabs>
      </w:pPr>
      <w:r>
        <w:t xml:space="preserve">If the company carries on business outside the Islands, every petition must also be advertised once in a newspaper having circulation in a country (or countries) in which it is most likely to come to the attention of the company's creditors (including any contingent or prospective creditors) and contributories (in which case the advertisement must be published in the official language of such country or countries), unless the Court directs otherwise ((CWR O.1A, r.1(4))). </w:t>
      </w:r>
    </w:p>
    <w:p w14:paraId="5245CF8A" w14:textId="5B37B92C" w:rsidR="00122C88" w:rsidRDefault="00122C88" w:rsidP="00122C88">
      <w:pPr>
        <w:tabs>
          <w:tab w:val="right" w:pos="9021"/>
        </w:tabs>
      </w:pPr>
    </w:p>
    <w:p w14:paraId="0FD675DD" w14:textId="62EF2E73" w:rsidR="00122C88" w:rsidRDefault="00122C88" w:rsidP="00122C88">
      <w:pPr>
        <w:tabs>
          <w:tab w:val="right" w:pos="9021"/>
        </w:tabs>
      </w:pPr>
      <w:r>
        <w:t xml:space="preserve">The advertisements above must be made to appear not more than 7 business days after the filing of the petition and not less than 7 business days before the hearing date (CWR O.1A, r.1(5)). </w:t>
      </w:r>
    </w:p>
    <w:p w14:paraId="0CD5D955" w14:textId="02FF4668" w:rsidR="00BD3B97" w:rsidRDefault="00BD3B97" w:rsidP="00122C88">
      <w:pPr>
        <w:tabs>
          <w:tab w:val="right" w:pos="9021"/>
        </w:tabs>
      </w:pPr>
    </w:p>
    <w:p w14:paraId="163CC3EC" w14:textId="2F262717" w:rsidR="00BD3B97" w:rsidRPr="00BD3B97" w:rsidRDefault="00BD3B97" w:rsidP="00122C88">
      <w:pPr>
        <w:tabs>
          <w:tab w:val="right" w:pos="9021"/>
        </w:tabs>
      </w:pPr>
      <w:r>
        <w:t xml:space="preserve">Separately, a company may, where it is in the interest of the company to do so, make an </w:t>
      </w:r>
      <w:r>
        <w:rPr>
          <w:i/>
        </w:rPr>
        <w:t xml:space="preserve">ex parte </w:t>
      </w:r>
      <w:r>
        <w:t xml:space="preserve">application for the appointment of an interim restructuring officer pending the hearing of the petition (section 91C of the Act). The advertising requirements do not apply for this application – rather the application is made by summons supported by affidavit (CWR O.1A, r.4).  </w:t>
      </w:r>
    </w:p>
    <w:p w14:paraId="60881935" w14:textId="77777777" w:rsidR="00662A8E" w:rsidRPr="00122C88" w:rsidRDefault="00662A8E" w:rsidP="00662A8E">
      <w:pPr>
        <w:rPr>
          <w:rFonts w:ascii="Avenir Next LT Pro" w:hAnsi="Avenir Next LT Pro"/>
          <w:bCs/>
          <w:iCs/>
        </w:rPr>
      </w:pPr>
    </w:p>
    <w:p w14:paraId="73B4CE87" w14:textId="77777777" w:rsidR="00662A8E" w:rsidRPr="00122C88" w:rsidRDefault="00662A8E" w:rsidP="00662A8E">
      <w:pPr>
        <w:rPr>
          <w:rFonts w:ascii="Avenir Next LT Pro" w:hAnsi="Avenir Next LT Pro"/>
          <w:bCs/>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73FF3861" w14:textId="77777777" w:rsidR="00224D25" w:rsidRDefault="00662A8E" w:rsidP="00662A8E">
      <w:pPr>
        <w:tabs>
          <w:tab w:val="right" w:pos="9021"/>
        </w:tabs>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p>
    <w:p w14:paraId="50C26E25" w14:textId="77777777" w:rsidR="00224D25" w:rsidRDefault="00224D25" w:rsidP="00662A8E">
      <w:pPr>
        <w:tabs>
          <w:tab w:val="right" w:pos="9021"/>
        </w:tabs>
        <w:rPr>
          <w:rFonts w:ascii="Avenir Next LT Pro" w:hAnsi="Avenir Next LT Pro"/>
        </w:rPr>
      </w:pPr>
    </w:p>
    <w:p w14:paraId="4347DE6E" w14:textId="5D4E6F6F" w:rsidR="00662A8E" w:rsidRPr="00224D25" w:rsidRDefault="00662A8E" w:rsidP="00224D25">
      <w:pPr>
        <w:tabs>
          <w:tab w:val="right" w:pos="9021"/>
        </w:tabs>
        <w:rPr>
          <w:rFonts w:ascii="Avenir Next LT Pro" w:hAnsi="Avenir Next LT Pro"/>
        </w:rPr>
      </w:pPr>
      <w:r w:rsidRPr="00224D25">
        <w:rPr>
          <w:rFonts w:ascii="Avenir Next LT Pro" w:hAnsi="Avenir Next LT Pro"/>
        </w:rPr>
        <w:tab/>
      </w:r>
      <w:r w:rsidRPr="00224D25">
        <w:rPr>
          <w:rFonts w:ascii="Avenir Next Demi Bold" w:hAnsi="Avenir Next Demi Bold"/>
          <w:b/>
          <w:bCs/>
        </w:rPr>
        <w:t>(</w:t>
      </w:r>
      <w:r w:rsidR="008913A7" w:rsidRPr="00224D25">
        <w:rPr>
          <w:rFonts w:ascii="Avenir Next Demi Bold" w:hAnsi="Avenir Next Demi Bold"/>
          <w:b/>
          <w:bCs/>
        </w:rPr>
        <w:t>6</w:t>
      </w:r>
      <w:r w:rsidR="005E20A3" w:rsidRPr="00224D25">
        <w:rPr>
          <w:rFonts w:ascii="Avenir Next Demi Bold" w:hAnsi="Avenir Next Demi Bold"/>
          <w:b/>
          <w:bCs/>
        </w:rPr>
        <w:t>)</w:t>
      </w:r>
    </w:p>
    <w:p w14:paraId="372CF7FB" w14:textId="77777777" w:rsidR="00662A8E" w:rsidRDefault="00662A8E" w:rsidP="00662A8E">
      <w:pPr>
        <w:rPr>
          <w:rFonts w:ascii="Avenir Next LT Pro" w:hAnsi="Avenir Next LT Pro"/>
        </w:rPr>
      </w:pPr>
    </w:p>
    <w:p w14:paraId="086B63F8" w14:textId="4890C396" w:rsidR="00224D25" w:rsidRDefault="00224D25" w:rsidP="008A5ED9">
      <w:pPr>
        <w:rPr>
          <w:rFonts w:ascii="Avenir Next LT Pro" w:hAnsi="Avenir Next LT Pro"/>
          <w:u w:val="single"/>
        </w:rPr>
      </w:pPr>
      <w:r w:rsidRPr="00224D25">
        <w:rPr>
          <w:rFonts w:ascii="Avenir Next LT Pro" w:hAnsi="Avenir Next LT Pro"/>
          <w:u w:val="single"/>
        </w:rPr>
        <w:t>Answer:</w:t>
      </w:r>
    </w:p>
    <w:p w14:paraId="74AC26FC" w14:textId="0B60750E" w:rsidR="00224D25" w:rsidRDefault="00224D25" w:rsidP="008A5ED9">
      <w:pPr>
        <w:rPr>
          <w:rFonts w:ascii="Avenir Next LT Pro" w:hAnsi="Avenir Next LT Pro"/>
          <w:u w:val="single"/>
        </w:rPr>
      </w:pPr>
    </w:p>
    <w:p w14:paraId="0E7755F5" w14:textId="5C099DA5" w:rsidR="00224D25" w:rsidRDefault="00224D25" w:rsidP="00224D25">
      <w:pPr>
        <w:pStyle w:val="ListParagraph"/>
        <w:numPr>
          <w:ilvl w:val="0"/>
          <w:numId w:val="41"/>
        </w:numPr>
        <w:tabs>
          <w:tab w:val="right" w:pos="9021"/>
        </w:tabs>
      </w:pPr>
      <w:r w:rsidRPr="00224D25">
        <w:t>Section 91G of t</w:t>
      </w:r>
      <w:r>
        <w:t>he</w:t>
      </w:r>
      <w:r w:rsidRPr="00224D25">
        <w:t xml:space="preserve"> Act provides that a statutory moratorium will come into effect</w:t>
      </w:r>
      <w:r>
        <w:t xml:space="preserve"> upon the filing of the petition. This is valuable tool for stakeholders and the company as it will give each some breathing space from inward claims from aggreieved parties. The breathing space will give the relevant stakeholders time and space to work on the restructuring plan for the company for the duration of the restructirng petition life. </w:t>
      </w:r>
    </w:p>
    <w:p w14:paraId="5FAD62F0" w14:textId="77777777" w:rsidR="00224D25" w:rsidRDefault="00224D25" w:rsidP="00224D25">
      <w:pPr>
        <w:pStyle w:val="ListParagraph"/>
        <w:numPr>
          <w:ilvl w:val="0"/>
          <w:numId w:val="41"/>
        </w:numPr>
        <w:tabs>
          <w:tab w:val="right" w:pos="9021"/>
        </w:tabs>
      </w:pPr>
      <w:r>
        <w:t xml:space="preserve">The orders that cam be made by the Court under the new regime are very fliexible (provbided that the court has jurisdiciton in the first place: see </w:t>
      </w:r>
      <w:r w:rsidRPr="00224D25">
        <w:rPr>
          <w:i/>
        </w:rPr>
        <w:t>Aubit</w:t>
      </w:r>
      <w:r>
        <w:t xml:space="preserve">). This gives the parties a high degree of flexibilty to confer on the restructuring officer the various powers that are required in the circumstances of the case to have the appropriate powers. </w:t>
      </w:r>
    </w:p>
    <w:p w14:paraId="77F1A013" w14:textId="1FF0A509" w:rsidR="00224D25" w:rsidRDefault="00224D25" w:rsidP="00224D25">
      <w:pPr>
        <w:pStyle w:val="ListParagraph"/>
        <w:numPr>
          <w:ilvl w:val="0"/>
          <w:numId w:val="41"/>
        </w:numPr>
        <w:tabs>
          <w:tab w:val="right" w:pos="9021"/>
        </w:tabs>
      </w:pPr>
      <w:r>
        <w:t>Much of the work in relation to the filing of the restructuring petition should be done before (</w:t>
      </w:r>
      <w:r w:rsidRPr="00224D25">
        <w:rPr>
          <w:i/>
        </w:rPr>
        <w:t>Aubit</w:t>
      </w:r>
      <w:r>
        <w:t xml:space="preserve">). Having a unified focal point for the parties, with an agreed timeline, may encourage the parties to engage swiftly (rather than delay) in understanding the issues with the company, discussing possible restructuring proposals and agree on the terms of the proposed petition and order. In an informal workout, the parties may not be inclined to engage as meaningfully because they will not necessarily be bound by an order of the court. </w:t>
      </w:r>
    </w:p>
    <w:p w14:paraId="6DF804DC" w14:textId="32973FF1" w:rsidR="00224D25" w:rsidRDefault="00224D25" w:rsidP="00224D25">
      <w:pPr>
        <w:pStyle w:val="ListParagraph"/>
        <w:numPr>
          <w:ilvl w:val="0"/>
          <w:numId w:val="41"/>
        </w:numPr>
        <w:tabs>
          <w:tab w:val="right" w:pos="9021"/>
        </w:tabs>
      </w:pPr>
      <w:r>
        <w:t>The company can use the restructuring officer as a means to survive, and in fact, increase company value if the restructuring proposal is successfully implemented. In the former regime, a winding up petition would have to be filed prior to the appointment of any light touch PL, and that could have significantly damaging reputational consequences for the company. While the new regime also has relatively strict notice requirements (e.g. a local newspaper and any relevant foreign newspapers), it is arguable that the impact of an RO is less severe than a winding up petition, which can indicate significant company distress and turmoil.</w:t>
      </w:r>
    </w:p>
    <w:p w14:paraId="17C942B2" w14:textId="77777777" w:rsidR="00FF49A7" w:rsidRDefault="00224D25" w:rsidP="00224D25">
      <w:pPr>
        <w:pStyle w:val="ListParagraph"/>
        <w:numPr>
          <w:ilvl w:val="0"/>
          <w:numId w:val="41"/>
        </w:numPr>
        <w:tabs>
          <w:tab w:val="right" w:pos="9021"/>
        </w:tabs>
      </w:pPr>
      <w:r>
        <w:t>The fact that the appointment order can be tailored means that the directors power can subsist during the appointment, or in fact, if appropriate, be ursurped to an extent. This is a useful tool for creditors, who may have lost faith in certain aspects of the management</w:t>
      </w:r>
      <w:r w:rsidR="00FF49A7">
        <w:t xml:space="preserve">. </w:t>
      </w:r>
    </w:p>
    <w:p w14:paraId="6F7CD298" w14:textId="53C138DC" w:rsidR="00224D25" w:rsidRDefault="00FF49A7" w:rsidP="00224D25">
      <w:pPr>
        <w:pStyle w:val="ListParagraph"/>
        <w:numPr>
          <w:ilvl w:val="0"/>
          <w:numId w:val="41"/>
        </w:numPr>
        <w:tabs>
          <w:tab w:val="right" w:pos="9021"/>
        </w:tabs>
      </w:pPr>
      <w:r>
        <w:t xml:space="preserve">The restructuirng officer can also be used as a useful prior tool to have a scheme organised and implemented. The restructuring officer, with the relevant experience of a qualified insolvency practitioner, may be highly persuasive in propsing a credible scheme for the stakeholders. </w:t>
      </w: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3886E882" w:rsidR="00662A8E" w:rsidRDefault="00654AE9" w:rsidP="00662A8E">
      <w:pPr>
        <w:pStyle w:val="BodyText"/>
        <w:ind w:firstLine="0"/>
        <w:rPr>
          <w:rFonts w:ascii="Avenir Next" w:hAnsi="Avenir Next"/>
          <w:u w:val="single"/>
        </w:rPr>
      </w:pPr>
      <w:r w:rsidRPr="00654AE9">
        <w:rPr>
          <w:rFonts w:ascii="Avenir Next" w:hAnsi="Avenir Next"/>
          <w:u w:val="single"/>
        </w:rPr>
        <w:t>Answer:</w:t>
      </w:r>
    </w:p>
    <w:p w14:paraId="2A929C65" w14:textId="55868803" w:rsidR="00654AE9" w:rsidRDefault="00654AE9" w:rsidP="00662A8E">
      <w:pPr>
        <w:pStyle w:val="BodyText"/>
        <w:ind w:firstLine="0"/>
        <w:rPr>
          <w:rFonts w:ascii="Avenir Next" w:hAnsi="Avenir Next"/>
          <w:b/>
          <w:bCs/>
          <w:u w:val="single"/>
        </w:rPr>
      </w:pPr>
    </w:p>
    <w:p w14:paraId="07FAF021" w14:textId="61CF7ECD" w:rsidR="008A5ED9" w:rsidRDefault="008A5ED9" w:rsidP="008A5ED9">
      <w:pPr>
        <w:pStyle w:val="BodyText"/>
        <w:ind w:firstLine="0"/>
        <w:jc w:val="both"/>
        <w:rPr>
          <w:rFonts w:ascii="Avenir Next" w:hAnsi="Avenir Next"/>
          <w:bCs/>
        </w:rPr>
      </w:pPr>
      <w:r w:rsidRPr="008A5ED9">
        <w:rPr>
          <w:rFonts w:ascii="Avenir Next" w:hAnsi="Avenir Next"/>
          <w:bCs/>
        </w:rPr>
        <w:t>Upon hearing a petition, the Court may (a) make an order appointing a restructuring officer; (b)</w:t>
      </w:r>
      <w:r>
        <w:rPr>
          <w:rFonts w:ascii="Avenir Next" w:hAnsi="Avenir Next"/>
          <w:bCs/>
        </w:rPr>
        <w:t> </w:t>
      </w:r>
      <w:r w:rsidRPr="008A5ED9">
        <w:rPr>
          <w:rFonts w:ascii="Avenir Next" w:hAnsi="Avenir Next"/>
          <w:bCs/>
        </w:rPr>
        <w:t xml:space="preserve">adjourn the hearing conditionally or unconditionally; (c) dismiss the petition; or (d) make any other order as the Court thinks fit, </w:t>
      </w:r>
      <w:r>
        <w:rPr>
          <w:rFonts w:ascii="Avenir Next" w:hAnsi="Avenir Next"/>
          <w:bCs/>
        </w:rPr>
        <w:t xml:space="preserve">subject to the below (s.91B(3) of the Act). </w:t>
      </w:r>
    </w:p>
    <w:p w14:paraId="27EB3481" w14:textId="77777777" w:rsidR="008A5ED9" w:rsidRDefault="008A5ED9" w:rsidP="008A5ED9">
      <w:pPr>
        <w:pStyle w:val="BodyText"/>
        <w:ind w:firstLine="0"/>
        <w:jc w:val="both"/>
        <w:rPr>
          <w:rFonts w:ascii="Avenir Next" w:hAnsi="Avenir Next"/>
          <w:bCs/>
        </w:rPr>
      </w:pPr>
    </w:p>
    <w:p w14:paraId="251CB335" w14:textId="0FDED523" w:rsidR="00654AE9" w:rsidRDefault="008A5ED9" w:rsidP="008A5ED9">
      <w:pPr>
        <w:pStyle w:val="BodyText"/>
        <w:ind w:firstLine="0"/>
        <w:jc w:val="both"/>
        <w:rPr>
          <w:rFonts w:ascii="Avenir Next" w:hAnsi="Avenir Next"/>
          <w:bCs/>
        </w:rPr>
      </w:pPr>
      <w:r>
        <w:rPr>
          <w:rFonts w:ascii="Avenir Next" w:hAnsi="Avenir Next"/>
          <w:bCs/>
        </w:rPr>
        <w:t xml:space="preserve">The main exception is that the Court cannot make </w:t>
      </w:r>
      <w:r w:rsidRPr="008A5ED9">
        <w:rPr>
          <w:rFonts w:ascii="Avenir Next" w:hAnsi="Avenir Next"/>
          <w:bCs/>
        </w:rPr>
        <w:t>an order placing the company into official liquidation, which the Court may only make in accordance with sections 92</w:t>
      </w:r>
      <w:r>
        <w:rPr>
          <w:rFonts w:ascii="Avenir Next" w:hAnsi="Avenir Next"/>
          <w:bCs/>
        </w:rPr>
        <w:t xml:space="preserve"> </w:t>
      </w:r>
      <w:r w:rsidRPr="008A5ED9">
        <w:rPr>
          <w:rFonts w:ascii="Avenir Next" w:hAnsi="Avenir Next"/>
          <w:bCs/>
        </w:rPr>
        <w:t xml:space="preserve">and 95 </w:t>
      </w:r>
      <w:r>
        <w:rPr>
          <w:rFonts w:ascii="Avenir Next" w:hAnsi="Avenir Next"/>
          <w:bCs/>
        </w:rPr>
        <w:t xml:space="preserve">(i.e. per the powers of the court on a winding up petition) </w:t>
      </w:r>
      <w:r w:rsidRPr="008A5ED9">
        <w:rPr>
          <w:rFonts w:ascii="Avenir Next" w:hAnsi="Avenir Next"/>
          <w:bCs/>
        </w:rPr>
        <w:t xml:space="preserve">if a winding up petition has been presented in accordance with sections 91G </w:t>
      </w:r>
      <w:r w:rsidR="002A6DE0">
        <w:rPr>
          <w:rFonts w:ascii="Avenir Next" w:hAnsi="Avenir Next"/>
          <w:bCs/>
        </w:rPr>
        <w:t xml:space="preserve">(stay of proceedings) </w:t>
      </w:r>
      <w:r w:rsidRPr="008A5ED9">
        <w:rPr>
          <w:rFonts w:ascii="Avenir Next" w:hAnsi="Avenir Next"/>
          <w:bCs/>
        </w:rPr>
        <w:t>and 94</w:t>
      </w:r>
      <w:r w:rsidR="002A6DE0">
        <w:rPr>
          <w:rFonts w:ascii="Avenir Next" w:hAnsi="Avenir Next"/>
          <w:bCs/>
        </w:rPr>
        <w:t xml:space="preserve"> (application for winding up)</w:t>
      </w:r>
      <w:r w:rsidRPr="008A5ED9">
        <w:rPr>
          <w:rFonts w:ascii="Avenir Next" w:hAnsi="Avenir Next"/>
          <w:bCs/>
        </w:rPr>
        <w:t>.</w:t>
      </w:r>
    </w:p>
    <w:p w14:paraId="710FB525" w14:textId="02A534F8" w:rsidR="008A5ED9" w:rsidRDefault="008A5ED9" w:rsidP="008A5ED9">
      <w:pPr>
        <w:pStyle w:val="BodyText"/>
        <w:ind w:firstLine="0"/>
        <w:jc w:val="both"/>
        <w:rPr>
          <w:rFonts w:ascii="Avenir Next" w:hAnsi="Avenir Next"/>
          <w:bCs/>
        </w:rPr>
      </w:pPr>
    </w:p>
    <w:p w14:paraId="17B106AB" w14:textId="72A35BBB" w:rsidR="008A5ED9" w:rsidRDefault="008A5ED9" w:rsidP="008A5ED9">
      <w:pPr>
        <w:pStyle w:val="BodyText"/>
        <w:ind w:firstLine="0"/>
        <w:jc w:val="both"/>
        <w:rPr>
          <w:rFonts w:ascii="Avenir Next" w:hAnsi="Avenir Next"/>
          <w:bCs/>
        </w:rPr>
      </w:pPr>
      <w:r>
        <w:rPr>
          <w:rFonts w:ascii="Avenir Next" w:hAnsi="Avenir Next"/>
          <w:bCs/>
        </w:rPr>
        <w:t xml:space="preserve">Under section 91B(5), where an order is made, the Court shall set out in the order: </w:t>
      </w:r>
      <w:r w:rsidRPr="008A5ED9">
        <w:rPr>
          <w:rFonts w:ascii="Avenir Next" w:hAnsi="Avenir Next"/>
          <w:bCs/>
        </w:rPr>
        <w:t>(a) the manner and time within which the restructuring officer shall give notice of appointment to creditors</w:t>
      </w:r>
      <w:r>
        <w:rPr>
          <w:rFonts w:ascii="Avenir Next" w:hAnsi="Avenir Next"/>
          <w:bCs/>
        </w:rPr>
        <w:t>,</w:t>
      </w:r>
      <w:r w:rsidRPr="008A5ED9">
        <w:rPr>
          <w:rFonts w:ascii="Avenir Next" w:hAnsi="Avenir Next"/>
          <w:bCs/>
        </w:rPr>
        <w:t xml:space="preserve"> contributories</w:t>
      </w:r>
      <w:r>
        <w:rPr>
          <w:rFonts w:ascii="Avenir Next" w:hAnsi="Avenir Next"/>
          <w:bCs/>
        </w:rPr>
        <w:t xml:space="preserve"> and CIMA (</w:t>
      </w:r>
      <w:r w:rsidRPr="008A5ED9">
        <w:rPr>
          <w:rFonts w:ascii="Avenir Next" w:hAnsi="Avenir Next"/>
          <w:bCs/>
        </w:rPr>
        <w:t>in respect of any company which is carrying on regulated business</w:t>
      </w:r>
      <w:r>
        <w:rPr>
          <w:rFonts w:ascii="Avenir Next" w:hAnsi="Avenir Next"/>
          <w:bCs/>
        </w:rPr>
        <w:t>)</w:t>
      </w:r>
      <w:r w:rsidRPr="008A5ED9">
        <w:rPr>
          <w:rFonts w:ascii="Avenir Next" w:hAnsi="Avenir Next"/>
          <w:bCs/>
        </w:rPr>
        <w:t>;</w:t>
      </w:r>
      <w:r>
        <w:rPr>
          <w:rFonts w:ascii="Avenir Next" w:hAnsi="Avenir Next"/>
          <w:bCs/>
        </w:rPr>
        <w:t xml:space="preserve"> </w:t>
      </w:r>
      <w:r w:rsidRPr="008A5ED9">
        <w:rPr>
          <w:rFonts w:ascii="Avenir Next" w:hAnsi="Avenir Next"/>
          <w:bCs/>
        </w:rPr>
        <w:t>(b) the manner and extent to which the powers and functions of the restructuring officer shall affect and modify the powers and functions of the board of directors; and (c) any other conditions to be imposed on the board of directors that the Court considers appropriate, in relation to the exercise by the board of directors of its powers and functions.</w:t>
      </w:r>
    </w:p>
    <w:p w14:paraId="000301BC" w14:textId="0E6632E3" w:rsidR="002A6DE0" w:rsidRDefault="002A6DE0" w:rsidP="008A5ED9">
      <w:pPr>
        <w:pStyle w:val="BodyText"/>
        <w:ind w:firstLine="0"/>
        <w:jc w:val="both"/>
        <w:rPr>
          <w:rFonts w:ascii="Avenir Next" w:hAnsi="Avenir Next"/>
          <w:bCs/>
        </w:rPr>
      </w:pPr>
    </w:p>
    <w:p w14:paraId="01BADAAE" w14:textId="09F14791" w:rsidR="002A6DE0" w:rsidRPr="002A6DE0" w:rsidRDefault="002A6DE0" w:rsidP="008A5ED9">
      <w:pPr>
        <w:pStyle w:val="BodyText"/>
        <w:ind w:firstLine="0"/>
        <w:jc w:val="both"/>
        <w:rPr>
          <w:rFonts w:ascii="Avenir Next" w:hAnsi="Avenir Next"/>
          <w:bCs/>
        </w:rPr>
      </w:pPr>
      <w:r>
        <w:rPr>
          <w:rFonts w:ascii="Avenir Next" w:hAnsi="Avenir Next"/>
          <w:bCs/>
        </w:rPr>
        <w:t xml:space="preserve">In the case of </w:t>
      </w:r>
      <w:r w:rsidRPr="002A6DE0">
        <w:rPr>
          <w:rFonts w:ascii="Avenir Next" w:hAnsi="Avenir Next"/>
          <w:bCs/>
          <w:i/>
        </w:rPr>
        <w:t>Aubit</w:t>
      </w:r>
      <w:r>
        <w:rPr>
          <w:rFonts w:ascii="Avenir Next" w:hAnsi="Avenir Next"/>
          <w:bCs/>
          <w:i/>
        </w:rPr>
        <w:t xml:space="preserve">, </w:t>
      </w:r>
      <w:r>
        <w:rPr>
          <w:rFonts w:ascii="Avenir Next" w:hAnsi="Avenir Next"/>
          <w:bCs/>
        </w:rPr>
        <w:t xml:space="preserve">Doyle J also held that if the relief sought is primarily, as a first step, investigatory powers, </w:t>
      </w:r>
      <w:r w:rsidRPr="002A6DE0">
        <w:rPr>
          <w:rFonts w:ascii="Avenir Next" w:hAnsi="Avenir Next"/>
          <w:bCs/>
          <w:u w:val="single"/>
        </w:rPr>
        <w:t>followed by</w:t>
      </w:r>
      <w:r>
        <w:rPr>
          <w:rFonts w:ascii="Avenir Next" w:hAnsi="Avenir Next"/>
          <w:bCs/>
        </w:rPr>
        <w:t xml:space="preserve"> the presentation of a restructuring proposal, this would not be sufficient to grant the order. Therefore, it can be deduced from the decision that if the only relief sought is investigatory powers, that will not be available upon a restricting petition under the new regime.  </w:t>
      </w:r>
    </w:p>
    <w:p w14:paraId="377E5DC9" w14:textId="77777777" w:rsidR="008A5ED9" w:rsidRPr="008A5ED9" w:rsidRDefault="008A5ED9" w:rsidP="008A5ED9">
      <w:pPr>
        <w:pStyle w:val="BodyText"/>
        <w:ind w:firstLine="0"/>
        <w:jc w:val="both"/>
        <w:rPr>
          <w:rFonts w:ascii="Avenir Next" w:hAnsi="Avenir Next"/>
          <w:bCs/>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144F869E" w14:textId="77777777" w:rsidR="001D574E" w:rsidRDefault="00AD202D" w:rsidP="00F3705F">
      <w:pPr>
        <w:pStyle w:val="BodyText"/>
        <w:ind w:firstLine="0"/>
        <w:rPr>
          <w:rFonts w:ascii="Avenir Next" w:hAnsi="Avenir Next"/>
        </w:rPr>
      </w:pPr>
      <w:r w:rsidRPr="00AD202D">
        <w:rPr>
          <w:rFonts w:ascii="Avenir Next" w:hAnsi="Avenir Next"/>
          <w:u w:val="single"/>
        </w:rPr>
        <w:t>Answer:</w:t>
      </w:r>
      <w:r>
        <w:rPr>
          <w:rFonts w:ascii="Avenir Next" w:hAnsi="Avenir Next"/>
        </w:rPr>
        <w:t xml:space="preserve"> </w:t>
      </w:r>
    </w:p>
    <w:p w14:paraId="01F1E2CF" w14:textId="77777777" w:rsidR="001D574E" w:rsidRDefault="001D574E" w:rsidP="00F3705F">
      <w:pPr>
        <w:pStyle w:val="BodyText"/>
        <w:ind w:firstLine="0"/>
        <w:rPr>
          <w:rFonts w:ascii="Avenir Next" w:hAnsi="Avenir Next"/>
        </w:rPr>
      </w:pPr>
    </w:p>
    <w:p w14:paraId="079E4CCD" w14:textId="49EC1BC3" w:rsidR="00122C95" w:rsidRDefault="00AD202D" w:rsidP="00F3705F">
      <w:pPr>
        <w:pStyle w:val="BodyText"/>
        <w:ind w:firstLine="0"/>
        <w:rPr>
          <w:rFonts w:ascii="Avenir Next" w:hAnsi="Avenir Next"/>
        </w:rPr>
      </w:pPr>
      <w:r>
        <w:rPr>
          <w:rFonts w:ascii="Avenir Next" w:hAnsi="Avenir Next"/>
        </w:rPr>
        <w:t xml:space="preserve">ELPs are </w:t>
      </w:r>
      <w:r w:rsidR="00122C95">
        <w:rPr>
          <w:rFonts w:ascii="Avenir Next" w:hAnsi="Avenir Next"/>
        </w:rPr>
        <w:t xml:space="preserve">also </w:t>
      </w:r>
      <w:r>
        <w:rPr>
          <w:rFonts w:ascii="Avenir Next" w:hAnsi="Avenir Next"/>
        </w:rPr>
        <w:t>governed by the Partnership Act (2013 Revision) and the Exempted Limited Partnership Act (2021 Revision) (</w:t>
      </w:r>
      <w:r w:rsidRPr="00AD202D">
        <w:rPr>
          <w:rFonts w:ascii="Avenir Next" w:hAnsi="Avenir Next"/>
          <w:b/>
        </w:rPr>
        <w:t>ELP Act</w:t>
      </w:r>
      <w:r>
        <w:rPr>
          <w:rFonts w:ascii="Avenir Next" w:hAnsi="Avenir Next"/>
        </w:rPr>
        <w:t xml:space="preserve">). </w:t>
      </w:r>
      <w:r w:rsidR="00122C95">
        <w:rPr>
          <w:rFonts w:ascii="Avenir Next" w:hAnsi="Avenir Next"/>
        </w:rPr>
        <w:t xml:space="preserve">With respect to the ELP Act, there are certain nuances to note: </w:t>
      </w:r>
    </w:p>
    <w:p w14:paraId="15A306CB" w14:textId="2D09CBD9" w:rsidR="00122C95" w:rsidRPr="00122C95" w:rsidRDefault="00AD202D" w:rsidP="00DF3A0B">
      <w:pPr>
        <w:pStyle w:val="BodyText"/>
        <w:numPr>
          <w:ilvl w:val="0"/>
          <w:numId w:val="28"/>
        </w:numPr>
        <w:jc w:val="both"/>
        <w:rPr>
          <w:rFonts w:ascii="Avenir Next" w:hAnsi="Avenir Next"/>
          <w:b/>
          <w:bCs/>
        </w:rPr>
      </w:pPr>
      <w:r>
        <w:rPr>
          <w:rFonts w:ascii="Avenir Next" w:hAnsi="Avenir Next"/>
        </w:rPr>
        <w:t xml:space="preserve">Section 3 provides that the rules </w:t>
      </w:r>
      <w:r w:rsidR="00122C95">
        <w:rPr>
          <w:rFonts w:ascii="Avenir Next" w:hAnsi="Avenir Next"/>
        </w:rPr>
        <w:t>of equity and common law applicable to partnerships, as modified by the Partnership Act (but excluding certain sections), shall apply to ELPs, except where they are inconsistent with the express provisions of the ELP Act.</w:t>
      </w:r>
    </w:p>
    <w:p w14:paraId="5C3CD7B3" w14:textId="69BE84FA" w:rsidR="006D7C44" w:rsidRPr="00122C95" w:rsidRDefault="00122C95" w:rsidP="00DF3A0B">
      <w:pPr>
        <w:pStyle w:val="BodyText"/>
        <w:numPr>
          <w:ilvl w:val="0"/>
          <w:numId w:val="28"/>
        </w:numPr>
        <w:jc w:val="both"/>
        <w:rPr>
          <w:rFonts w:ascii="Avenir Next" w:hAnsi="Avenir Next"/>
          <w:b/>
          <w:bCs/>
        </w:rPr>
      </w:pPr>
      <w:r>
        <w:rPr>
          <w:rFonts w:ascii="Avenir Next" w:hAnsi="Avenir Next"/>
        </w:rPr>
        <w:t>The ELP Act also provides that certain of its provisions are subject to any express or implied term of the partnership agreement.</w:t>
      </w:r>
    </w:p>
    <w:p w14:paraId="4D005A63" w14:textId="11E4639A" w:rsidR="00122C95" w:rsidRPr="00122C95" w:rsidRDefault="00122C95" w:rsidP="00DF3A0B">
      <w:pPr>
        <w:pStyle w:val="BodyText"/>
        <w:numPr>
          <w:ilvl w:val="0"/>
          <w:numId w:val="28"/>
        </w:numPr>
        <w:jc w:val="both"/>
        <w:rPr>
          <w:rFonts w:ascii="Avenir Next" w:hAnsi="Avenir Next"/>
          <w:bCs/>
        </w:rPr>
      </w:pPr>
      <w:r w:rsidRPr="00122C95">
        <w:rPr>
          <w:rFonts w:ascii="Avenir Next" w:hAnsi="Avenir Next"/>
          <w:bCs/>
        </w:rPr>
        <w:t xml:space="preserve">Section 36(3) </w:t>
      </w:r>
      <w:r>
        <w:rPr>
          <w:rFonts w:ascii="Avenir Next" w:hAnsi="Avenir Next"/>
          <w:bCs/>
        </w:rPr>
        <w:t xml:space="preserve">provides that Part V of the Companies Act and the Companies Winding Up Rules apply to the winding up of ELPs (subject to any express provision to the contrary), except that ELP Act will prevail in the event of any inconsistency. </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7E30195C" w14:textId="77777777" w:rsidR="001D574E" w:rsidRDefault="00122C95" w:rsidP="008A24F7">
      <w:pPr>
        <w:pStyle w:val="BodyText"/>
        <w:ind w:firstLine="0"/>
        <w:jc w:val="both"/>
        <w:rPr>
          <w:rFonts w:ascii="Avenir Next" w:hAnsi="Avenir Next"/>
        </w:rPr>
      </w:pPr>
      <w:r w:rsidRPr="00122C95">
        <w:rPr>
          <w:rFonts w:ascii="Avenir Next" w:hAnsi="Avenir Next"/>
          <w:u w:val="single"/>
        </w:rPr>
        <w:t>Answer:</w:t>
      </w:r>
      <w:r w:rsidRPr="008A24F7">
        <w:rPr>
          <w:rFonts w:ascii="Avenir Next" w:hAnsi="Avenir Next"/>
        </w:rPr>
        <w:t xml:space="preserve"> </w:t>
      </w:r>
    </w:p>
    <w:p w14:paraId="2AC633AF" w14:textId="77777777" w:rsidR="001D574E" w:rsidRDefault="001D574E" w:rsidP="008A24F7">
      <w:pPr>
        <w:pStyle w:val="BodyText"/>
        <w:ind w:firstLine="0"/>
        <w:jc w:val="both"/>
        <w:rPr>
          <w:rFonts w:ascii="Avenir Next" w:hAnsi="Avenir Next"/>
        </w:rPr>
      </w:pPr>
    </w:p>
    <w:p w14:paraId="5BF9EC90" w14:textId="1649DD94" w:rsidR="00712982" w:rsidRDefault="008A24F7" w:rsidP="008A24F7">
      <w:pPr>
        <w:pStyle w:val="BodyText"/>
        <w:ind w:firstLine="0"/>
        <w:jc w:val="both"/>
        <w:rPr>
          <w:rFonts w:ascii="Avenir Next" w:hAnsi="Avenir Next"/>
        </w:rPr>
      </w:pPr>
      <w:r>
        <w:rPr>
          <w:rFonts w:ascii="Avenir Next" w:hAnsi="Avenir Next"/>
        </w:rPr>
        <w:t>Under section 91(d) of the Companies Act, t</w:t>
      </w:r>
      <w:r w:rsidR="00122C95" w:rsidRPr="008A24F7">
        <w:rPr>
          <w:rFonts w:ascii="Avenir Next" w:hAnsi="Avenir Next"/>
        </w:rPr>
        <w:t xml:space="preserve">he Court has jurisdiction to </w:t>
      </w:r>
      <w:r w:rsidRPr="008A24F7">
        <w:rPr>
          <w:rFonts w:ascii="Avenir Next" w:hAnsi="Avenir Next"/>
        </w:rPr>
        <w:t xml:space="preserve">make a winding up order in respect of a foreign company which (i) has property located in the </w:t>
      </w:r>
      <w:r>
        <w:rPr>
          <w:rFonts w:ascii="Avenir Next" w:hAnsi="Avenir Next"/>
        </w:rPr>
        <w:t xml:space="preserve">Cayman </w:t>
      </w:r>
      <w:r w:rsidRPr="008A24F7">
        <w:rPr>
          <w:rFonts w:ascii="Avenir Next" w:hAnsi="Avenir Next"/>
        </w:rPr>
        <w:t xml:space="preserve">Islands; (ii) is carrying on business in the </w:t>
      </w:r>
      <w:r>
        <w:rPr>
          <w:rFonts w:ascii="Avenir Next" w:hAnsi="Avenir Next"/>
        </w:rPr>
        <w:t xml:space="preserve">Cayman </w:t>
      </w:r>
      <w:r w:rsidRPr="008A24F7">
        <w:rPr>
          <w:rFonts w:ascii="Avenir Next" w:hAnsi="Avenir Next"/>
        </w:rPr>
        <w:t>Islands; (iii) is the general partner of a limited partnership</w:t>
      </w:r>
      <w:r>
        <w:rPr>
          <w:rFonts w:ascii="Avenir Next" w:hAnsi="Avenir Next"/>
        </w:rPr>
        <w:t xml:space="preserve"> </w:t>
      </w:r>
      <w:r w:rsidRPr="008A24F7">
        <w:rPr>
          <w:rFonts w:ascii="Avenir Next" w:hAnsi="Avenir Next"/>
        </w:rPr>
        <w:t>registered in accordance with section 49 of the Partnership Act (</w:t>
      </w:r>
      <w:r w:rsidRPr="008A24F7">
        <w:rPr>
          <w:rFonts w:ascii="Avenir Next" w:hAnsi="Avenir Next"/>
          <w:i/>
        </w:rPr>
        <w:t>2013 Revision</w:t>
      </w:r>
      <w:r w:rsidRPr="008A24F7">
        <w:rPr>
          <w:rFonts w:ascii="Avenir Next" w:hAnsi="Avenir Next"/>
        </w:rPr>
        <w:t xml:space="preserve">) or an </w:t>
      </w:r>
      <w:r>
        <w:rPr>
          <w:rFonts w:ascii="Avenir Next" w:hAnsi="Avenir Next"/>
        </w:rPr>
        <w:t xml:space="preserve">ELP </w:t>
      </w:r>
      <w:r w:rsidRPr="008A24F7">
        <w:rPr>
          <w:rFonts w:ascii="Avenir Next" w:hAnsi="Avenir Next"/>
        </w:rPr>
        <w:t xml:space="preserve">registered in accordance with section 9 of the </w:t>
      </w:r>
      <w:r>
        <w:rPr>
          <w:rFonts w:ascii="Avenir Next" w:hAnsi="Avenir Next"/>
        </w:rPr>
        <w:t>ELP Act</w:t>
      </w:r>
      <w:r w:rsidRPr="008A24F7">
        <w:rPr>
          <w:rFonts w:ascii="Avenir Next" w:hAnsi="Avenir Next"/>
        </w:rPr>
        <w:t>; or</w:t>
      </w:r>
      <w:r w:rsidR="00122C95" w:rsidRPr="008A24F7">
        <w:rPr>
          <w:rFonts w:ascii="Avenir Next" w:hAnsi="Avenir Next"/>
        </w:rPr>
        <w:t xml:space="preserve"> </w:t>
      </w:r>
      <w:r>
        <w:rPr>
          <w:rFonts w:ascii="Avenir Next" w:hAnsi="Avenir Next"/>
        </w:rPr>
        <w:t xml:space="preserve">(iv) is </w:t>
      </w:r>
      <w:r w:rsidR="008B5F38">
        <w:rPr>
          <w:rFonts w:ascii="Avenir Next" w:hAnsi="Avenir Next"/>
        </w:rPr>
        <w:t xml:space="preserve">an “overseas company” </w:t>
      </w:r>
      <w:r>
        <w:rPr>
          <w:rFonts w:ascii="Avenir Next" w:hAnsi="Avenir Next"/>
        </w:rPr>
        <w:t xml:space="preserve">registered under Part IX of the Companies Act (namely, </w:t>
      </w:r>
      <w:r w:rsidR="008B5F38">
        <w:rPr>
          <w:rFonts w:ascii="Avenir Next" w:hAnsi="Avenir Next"/>
        </w:rPr>
        <w:t xml:space="preserve">a company </w:t>
      </w:r>
      <w:r w:rsidR="00E90A18">
        <w:rPr>
          <w:rFonts w:ascii="Avenir Next" w:hAnsi="Avenir Next"/>
        </w:rPr>
        <w:t xml:space="preserve">incorporated outside the Cayman Islands, which establishes a place of business or commences carrying on a business within the Islands; the Companies Act sets out a non-exhaustive list of these under section 183). </w:t>
      </w:r>
    </w:p>
    <w:p w14:paraId="29695CA8" w14:textId="4A147232" w:rsidR="00E90A18" w:rsidRDefault="00E90A18" w:rsidP="008A24F7">
      <w:pPr>
        <w:pStyle w:val="BodyText"/>
        <w:ind w:firstLine="0"/>
        <w:jc w:val="both"/>
        <w:rPr>
          <w:rFonts w:ascii="Avenir Next" w:hAnsi="Avenir Next"/>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749DCB88" w14:textId="77777777" w:rsidR="00A1732E" w:rsidRDefault="00E90A18" w:rsidP="00F3705F">
      <w:pPr>
        <w:pStyle w:val="BodyText"/>
        <w:ind w:firstLine="0"/>
        <w:rPr>
          <w:rFonts w:ascii="Avenir Next" w:hAnsi="Avenir Next"/>
        </w:rPr>
      </w:pPr>
      <w:r w:rsidRPr="00E90A18">
        <w:rPr>
          <w:rFonts w:ascii="Avenir Next" w:hAnsi="Avenir Next"/>
          <w:u w:val="single"/>
        </w:rPr>
        <w:t>Answer:</w:t>
      </w:r>
      <w:r>
        <w:rPr>
          <w:rFonts w:ascii="Avenir Next" w:hAnsi="Avenir Next"/>
        </w:rPr>
        <w:t xml:space="preserve"> </w:t>
      </w:r>
    </w:p>
    <w:p w14:paraId="6E14B65A" w14:textId="77777777" w:rsidR="00A1732E" w:rsidRDefault="00A1732E" w:rsidP="00F3705F">
      <w:pPr>
        <w:pStyle w:val="BodyText"/>
        <w:ind w:firstLine="0"/>
        <w:rPr>
          <w:rFonts w:ascii="Avenir Next" w:hAnsi="Avenir Next"/>
          <w:highlight w:val="green"/>
        </w:rPr>
      </w:pPr>
    </w:p>
    <w:p w14:paraId="1E1BC559" w14:textId="551778D7" w:rsidR="00712982" w:rsidRPr="00FF49A7" w:rsidRDefault="00FF49A7" w:rsidP="00FF49A7">
      <w:pPr>
        <w:pStyle w:val="BodyText"/>
        <w:ind w:firstLine="0"/>
        <w:jc w:val="both"/>
        <w:rPr>
          <w:rFonts w:ascii="Avenir Next" w:hAnsi="Avenir Next"/>
        </w:rPr>
      </w:pPr>
      <w:r w:rsidRPr="00FF49A7">
        <w:rPr>
          <w:rFonts w:ascii="Avenir Next" w:hAnsi="Avenir Next"/>
        </w:rPr>
        <w:t>While a</w:t>
      </w:r>
      <w:r w:rsidR="00E90A18" w:rsidRPr="00FF49A7">
        <w:rPr>
          <w:rFonts w:ascii="Avenir Next" w:hAnsi="Avenir Next"/>
        </w:rPr>
        <w:t xml:space="preserve"> </w:t>
      </w:r>
      <w:r w:rsidR="00620291" w:rsidRPr="00FF49A7">
        <w:rPr>
          <w:rFonts w:ascii="Avenir Next" w:hAnsi="Avenir Next"/>
        </w:rPr>
        <w:t xml:space="preserve">foreign judgment does not have direct legal effect in the Cayman Islands, </w:t>
      </w:r>
      <w:r w:rsidRPr="00FF49A7">
        <w:rPr>
          <w:rFonts w:ascii="Avenir Next" w:hAnsi="Avenir Next"/>
        </w:rPr>
        <w:t xml:space="preserve">until </w:t>
      </w:r>
      <w:r w:rsidR="00620291" w:rsidRPr="00FF49A7">
        <w:rPr>
          <w:rFonts w:ascii="Avenir Next" w:hAnsi="Avenir Next"/>
        </w:rPr>
        <w:t xml:space="preserve">steps </w:t>
      </w:r>
      <w:r w:rsidRPr="00FF49A7">
        <w:rPr>
          <w:rFonts w:ascii="Avenir Next" w:hAnsi="Avenir Next"/>
        </w:rPr>
        <w:t xml:space="preserve">are taken </w:t>
      </w:r>
      <w:r w:rsidR="00620291" w:rsidRPr="00FF49A7">
        <w:rPr>
          <w:rFonts w:ascii="Avenir Next" w:hAnsi="Avenir Next"/>
        </w:rPr>
        <w:t>for it to become legally enforceable in the Islands</w:t>
      </w:r>
      <w:r w:rsidRPr="00FF49A7">
        <w:rPr>
          <w:rFonts w:ascii="Avenir Next" w:hAnsi="Avenir Next"/>
        </w:rPr>
        <w:t>, in the decision of Guoan, Justice Kawaley said that a creditor may rely upon a foreign judgment as the basis for seeking a winding</w:t>
      </w:r>
      <w:r>
        <w:rPr>
          <w:rFonts w:ascii="Avenir Next" w:hAnsi="Avenir Next"/>
        </w:rPr>
        <w:t xml:space="preserve"> </w:t>
      </w:r>
      <w:r w:rsidRPr="00FF49A7">
        <w:rPr>
          <w:rFonts w:ascii="Avenir Next" w:hAnsi="Avenir Next"/>
        </w:rPr>
        <w:t>up order without first obtaining recognition and / or enforcement orders in respect of such foreign judgment from</w:t>
      </w:r>
      <w:r>
        <w:rPr>
          <w:rFonts w:ascii="Avenir Next" w:hAnsi="Avenir Next"/>
        </w:rPr>
        <w:t xml:space="preserve"> </w:t>
      </w:r>
      <w:r w:rsidRPr="00FF49A7">
        <w:rPr>
          <w:rFonts w:ascii="Avenir Next" w:hAnsi="Avenir Next"/>
        </w:rPr>
        <w:t xml:space="preserve">the Cayman Islands Court.  </w:t>
      </w:r>
      <w:r>
        <w:rPr>
          <w:rFonts w:ascii="Avenir Next" w:hAnsi="Avenir Next"/>
        </w:rPr>
        <w:t xml:space="preserve">This is a significant development in the case law, because ordinarily a judgment would either need to be recognised under </w:t>
      </w:r>
      <w:r w:rsidRPr="00FF49A7">
        <w:rPr>
          <w:rFonts w:ascii="Avenir Next" w:hAnsi="Avenir Next"/>
        </w:rPr>
        <w:t>Foreign Judgments Reciprocal Enforcement Act (1996 Revision)</w:t>
      </w:r>
      <w:r>
        <w:rPr>
          <w:rFonts w:ascii="Avenir Next" w:hAnsi="Avenir Next"/>
        </w:rPr>
        <w:t xml:space="preserve"> (if from certain states in Australia) or otherwise pursuant to the common law, in which various hurdles must be satisfied, including that </w:t>
      </w:r>
      <w:r w:rsidRPr="00FF49A7">
        <w:rPr>
          <w:rFonts w:ascii="Avenir Next" w:hAnsi="Avenir Next"/>
        </w:rPr>
        <w:t>(a) such judgment is final and conclusive in the foreign court;</w:t>
      </w:r>
      <w:r>
        <w:rPr>
          <w:rFonts w:ascii="Avenir Next" w:hAnsi="Avenir Next"/>
        </w:rPr>
        <w:t xml:space="preserve"> </w:t>
      </w:r>
      <w:r w:rsidRPr="00FF49A7">
        <w:rPr>
          <w:rFonts w:ascii="Avenir Next" w:hAnsi="Avenir Next"/>
        </w:rPr>
        <w:t>(b) the judgment was obtained in a court of law which had jurisdiction over the judgment</w:t>
      </w:r>
      <w:r>
        <w:rPr>
          <w:rFonts w:ascii="Avenir Next" w:hAnsi="Avenir Next"/>
        </w:rPr>
        <w:t xml:space="preserve"> </w:t>
      </w:r>
      <w:r w:rsidRPr="00FF49A7">
        <w:rPr>
          <w:rFonts w:ascii="Avenir Next" w:hAnsi="Avenir Next"/>
        </w:rPr>
        <w:t>debtor;</w:t>
      </w:r>
      <w:r w:rsidRPr="00FF49A7">
        <w:rPr>
          <w:rFonts w:ascii="Avenir Next" w:hAnsi="Avenir Next"/>
        </w:rPr>
        <w:t xml:space="preserve"> </w:t>
      </w:r>
      <w:r w:rsidRPr="00FF49A7">
        <w:rPr>
          <w:rFonts w:ascii="Avenir Next" w:hAnsi="Avenir Next"/>
        </w:rPr>
        <w:t>(c) the judgment was not obtained by fraud;</w:t>
      </w:r>
      <w:r>
        <w:rPr>
          <w:rFonts w:ascii="Avenir Next" w:hAnsi="Avenir Next"/>
        </w:rPr>
        <w:t xml:space="preserve"> </w:t>
      </w:r>
      <w:r w:rsidRPr="00FF49A7">
        <w:rPr>
          <w:rFonts w:ascii="Avenir Next" w:hAnsi="Avenir Next"/>
        </w:rPr>
        <w:t>(d) the judgment was not in respect of taxes, fines or penalties;</w:t>
      </w:r>
      <w:r>
        <w:rPr>
          <w:rFonts w:ascii="Avenir Next" w:hAnsi="Avenir Next"/>
        </w:rPr>
        <w:t xml:space="preserve"> </w:t>
      </w:r>
      <w:r w:rsidRPr="00FF49A7">
        <w:rPr>
          <w:rFonts w:ascii="Avenir Next" w:hAnsi="Avenir Next"/>
        </w:rPr>
        <w:t>(e) the enforcement of the judgment would not contravene the public policy of the Cayman</w:t>
      </w:r>
      <w:r>
        <w:rPr>
          <w:rFonts w:ascii="Avenir Next" w:hAnsi="Avenir Next"/>
        </w:rPr>
        <w:t xml:space="preserve"> </w:t>
      </w:r>
      <w:r w:rsidRPr="00FF49A7">
        <w:rPr>
          <w:rFonts w:ascii="Avenir Next" w:hAnsi="Avenir Next"/>
        </w:rPr>
        <w:t>Islands; and</w:t>
      </w:r>
      <w:r>
        <w:rPr>
          <w:rFonts w:ascii="Avenir Next" w:hAnsi="Avenir Next"/>
        </w:rPr>
        <w:t xml:space="preserve"> </w:t>
      </w:r>
      <w:r w:rsidRPr="00FF49A7">
        <w:rPr>
          <w:rFonts w:ascii="Avenir Next" w:hAnsi="Avenir Next"/>
        </w:rPr>
        <w:t>(f) the rules of natural justice were observed in the foreign proceedings</w:t>
      </w:r>
      <w:r>
        <w:rPr>
          <w:rFonts w:ascii="Avenir Next" w:hAnsi="Avenir Next"/>
        </w:rPr>
        <w:t xml:space="preserve">. </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7C1AFE36" w:rsidR="00F3705F" w:rsidRPr="001D574E" w:rsidRDefault="00A1732E" w:rsidP="001D574E">
      <w:pPr>
        <w:pStyle w:val="BodyText"/>
        <w:ind w:firstLine="0"/>
        <w:jc w:val="both"/>
        <w:rPr>
          <w:rFonts w:ascii="Avenir Next" w:hAnsi="Avenir Next"/>
          <w:u w:val="single"/>
        </w:rPr>
      </w:pPr>
      <w:r w:rsidRPr="001D574E">
        <w:rPr>
          <w:rFonts w:ascii="Avenir Next" w:hAnsi="Avenir Next"/>
          <w:u w:val="single"/>
        </w:rPr>
        <w:t xml:space="preserve">Answer: </w:t>
      </w:r>
    </w:p>
    <w:p w14:paraId="23F66C4C" w14:textId="77777777" w:rsidR="00F3705F" w:rsidRPr="001D574E" w:rsidRDefault="00F3705F" w:rsidP="001D574E">
      <w:pPr>
        <w:pStyle w:val="BodyText"/>
        <w:ind w:firstLine="0"/>
        <w:jc w:val="both"/>
        <w:rPr>
          <w:rFonts w:ascii="Avenir Next" w:hAnsi="Avenir Next"/>
        </w:rPr>
      </w:pPr>
    </w:p>
    <w:p w14:paraId="2B96F6D8" w14:textId="2045452F" w:rsidR="00CB52CB" w:rsidRDefault="001D574E" w:rsidP="00170540">
      <w:pPr>
        <w:pStyle w:val="BodyText"/>
        <w:numPr>
          <w:ilvl w:val="0"/>
          <w:numId w:val="29"/>
        </w:numPr>
        <w:jc w:val="both"/>
        <w:rPr>
          <w:rFonts w:ascii="Avenir Next" w:hAnsi="Avenir Next"/>
        </w:rPr>
      </w:pPr>
      <w:r w:rsidRPr="001D574E">
        <w:rPr>
          <w:rFonts w:ascii="Avenir Next" w:hAnsi="Avenir Next"/>
        </w:rPr>
        <w:t xml:space="preserve">When a provisional order </w:t>
      </w:r>
      <w:r>
        <w:rPr>
          <w:rFonts w:ascii="Avenir Next" w:hAnsi="Avenir Next"/>
        </w:rPr>
        <w:t xml:space="preserve">is made </w:t>
      </w:r>
      <w:r w:rsidRPr="001D574E">
        <w:rPr>
          <w:rFonts w:ascii="Avenir Next" w:hAnsi="Avenir Next"/>
        </w:rPr>
        <w:t>against a debtor, the</w:t>
      </w:r>
      <w:r>
        <w:rPr>
          <w:rFonts w:ascii="Avenir Next" w:hAnsi="Avenir Next"/>
        </w:rPr>
        <w:t xml:space="preserve">ir </w:t>
      </w:r>
      <w:r w:rsidRPr="001D574E">
        <w:rPr>
          <w:rFonts w:ascii="Avenir Next" w:hAnsi="Avenir Next"/>
        </w:rPr>
        <w:t>property immediately pass</w:t>
      </w:r>
      <w:r>
        <w:rPr>
          <w:rFonts w:ascii="Avenir Next" w:hAnsi="Avenir Next"/>
        </w:rPr>
        <w:t>es</w:t>
      </w:r>
      <w:r w:rsidRPr="001D574E">
        <w:rPr>
          <w:rFonts w:ascii="Avenir Next" w:hAnsi="Avenir Next"/>
        </w:rPr>
        <w:t xml:space="preserve"> to and vest</w:t>
      </w:r>
      <w:r>
        <w:rPr>
          <w:rFonts w:ascii="Avenir Next" w:hAnsi="Avenir Next"/>
        </w:rPr>
        <w:t>s</w:t>
      </w:r>
      <w:r w:rsidRPr="001D574E">
        <w:rPr>
          <w:rFonts w:ascii="Avenir Next" w:hAnsi="Avenir Next"/>
        </w:rPr>
        <w:t xml:space="preserve"> in the Trustee</w:t>
      </w:r>
      <w:r w:rsidR="007B7200">
        <w:rPr>
          <w:rFonts w:ascii="Avenir Next" w:hAnsi="Avenir Next"/>
        </w:rPr>
        <w:t xml:space="preserve"> (s.37).</w:t>
      </w:r>
      <w:r w:rsidR="00CB52CB">
        <w:rPr>
          <w:rFonts w:ascii="Avenir Next" w:hAnsi="Avenir Next"/>
        </w:rPr>
        <w:t xml:space="preserve"> As soon as </w:t>
      </w:r>
      <w:r w:rsidR="005C6149">
        <w:rPr>
          <w:rFonts w:ascii="Avenir Next" w:hAnsi="Avenir Next"/>
        </w:rPr>
        <w:t xml:space="preserve">possible </w:t>
      </w:r>
      <w:r w:rsidR="00CB52CB">
        <w:rPr>
          <w:rFonts w:ascii="Avenir Next" w:hAnsi="Avenir Next"/>
        </w:rPr>
        <w:t xml:space="preserve">after the making of the order </w:t>
      </w:r>
      <w:r w:rsidR="005C6149">
        <w:rPr>
          <w:rFonts w:ascii="Avenir Next" w:hAnsi="Avenir Next"/>
        </w:rPr>
        <w:t xml:space="preserve">and </w:t>
      </w:r>
      <w:r w:rsidR="00CB52CB">
        <w:rPr>
          <w:rFonts w:ascii="Avenir Next" w:hAnsi="Avenir Next"/>
        </w:rPr>
        <w:t xml:space="preserve">subject to any Court directions, the Trustee shall take possession of all the debtor’s property, books and documents (s.75). </w:t>
      </w:r>
    </w:p>
    <w:p w14:paraId="162FE8FD" w14:textId="7E8576DE" w:rsidR="00BF6474" w:rsidRDefault="00BF6474" w:rsidP="00170540">
      <w:pPr>
        <w:pStyle w:val="BodyText"/>
        <w:numPr>
          <w:ilvl w:val="0"/>
          <w:numId w:val="29"/>
        </w:numPr>
        <w:jc w:val="both"/>
        <w:rPr>
          <w:rFonts w:ascii="Avenir Next" w:hAnsi="Avenir Next"/>
        </w:rPr>
      </w:pPr>
      <w:r w:rsidRPr="00CB52CB">
        <w:rPr>
          <w:rFonts w:ascii="Avenir Next" w:hAnsi="Avenir Next"/>
        </w:rPr>
        <w:t xml:space="preserve">Until the provisional order is made absolute, the Trustee’s duty is to preserve the property such that it can be returned to the debtor should the order be revoked (s.38). However, if an absolute order is made, the Trustee must proceed to administer the debtor’s estate for the benefit of the creditors (s.65; s.74). </w:t>
      </w:r>
      <w:r w:rsidR="00E04C9D">
        <w:rPr>
          <w:rFonts w:ascii="Avenir Next" w:hAnsi="Avenir Next"/>
        </w:rPr>
        <w:t>The Trustee shall discover and recover all debts due to the debtor’s estate (s.76), and examine and verify the debtor’s books (s.77)</w:t>
      </w:r>
    </w:p>
    <w:p w14:paraId="72BDC337" w14:textId="4096F5E4" w:rsidR="005C6149" w:rsidRDefault="005C6149" w:rsidP="00170540">
      <w:pPr>
        <w:pStyle w:val="BodyText"/>
        <w:numPr>
          <w:ilvl w:val="0"/>
          <w:numId w:val="29"/>
        </w:numPr>
        <w:jc w:val="both"/>
        <w:rPr>
          <w:rFonts w:ascii="Avenir Next" w:hAnsi="Avenir Next"/>
        </w:rPr>
      </w:pPr>
      <w:r>
        <w:rPr>
          <w:rFonts w:ascii="Avenir Next" w:hAnsi="Avenir Next"/>
        </w:rPr>
        <w:t>The Trustee may disclaim any onerous or unprofitable property in certain prescribed circumstances</w:t>
      </w:r>
      <w:r w:rsidR="00E04C9D">
        <w:rPr>
          <w:rFonts w:ascii="Avenir Next" w:hAnsi="Avenir Next"/>
        </w:rPr>
        <w:t xml:space="preserve"> (s.105). This is a significant power available to the Trustee, as it enables them to disclaim a contractual obligation, the effect of which renders the counter-party a creditor of the bankrupt estate with a provable debt (s.103(3)). </w:t>
      </w:r>
    </w:p>
    <w:p w14:paraId="231D7D0C" w14:textId="52817AC1" w:rsidR="007B7200" w:rsidRPr="007B7200" w:rsidRDefault="007B7200" w:rsidP="00170540">
      <w:pPr>
        <w:pStyle w:val="BodyText"/>
        <w:numPr>
          <w:ilvl w:val="0"/>
          <w:numId w:val="29"/>
        </w:numPr>
        <w:jc w:val="both"/>
        <w:rPr>
          <w:rFonts w:ascii="Avenir Next" w:hAnsi="Avenir Next"/>
        </w:rPr>
      </w:pPr>
      <w:r w:rsidRPr="007B7200">
        <w:rPr>
          <w:rFonts w:ascii="Avenir Next" w:hAnsi="Avenir Next"/>
        </w:rPr>
        <w:t>The Trustee may carry on the trade of the debtor so far as may be necessary or</w:t>
      </w:r>
      <w:r>
        <w:rPr>
          <w:rFonts w:ascii="Avenir Next" w:hAnsi="Avenir Next"/>
        </w:rPr>
        <w:t xml:space="preserve"> </w:t>
      </w:r>
      <w:r w:rsidRPr="007B7200">
        <w:rPr>
          <w:rFonts w:ascii="Avenir Next" w:hAnsi="Avenir Next"/>
        </w:rPr>
        <w:t>expedient for</w:t>
      </w:r>
      <w:r>
        <w:rPr>
          <w:rFonts w:ascii="Avenir Next" w:hAnsi="Avenir Next"/>
        </w:rPr>
        <w:t xml:space="preserve"> </w:t>
      </w:r>
      <w:r w:rsidRPr="007B7200">
        <w:rPr>
          <w:rFonts w:ascii="Avenir Next" w:hAnsi="Avenir Next"/>
        </w:rPr>
        <w:t>the beneficial winding up or sale of the business</w:t>
      </w:r>
      <w:r>
        <w:rPr>
          <w:rFonts w:ascii="Avenir Next" w:hAnsi="Avenir Next"/>
        </w:rPr>
        <w:t xml:space="preserve">, including by employing the debtor, or any other person, for that purpose (s.79). </w:t>
      </w:r>
    </w:p>
    <w:p w14:paraId="6EC09826" w14:textId="59CDAEC0" w:rsidR="00CB52CB" w:rsidRPr="00E04C9D" w:rsidRDefault="007B7200" w:rsidP="00170540">
      <w:pPr>
        <w:pStyle w:val="BodyText"/>
        <w:numPr>
          <w:ilvl w:val="0"/>
          <w:numId w:val="29"/>
        </w:numPr>
        <w:jc w:val="both"/>
        <w:rPr>
          <w:rFonts w:ascii="Avenir Next" w:hAnsi="Avenir Next"/>
        </w:rPr>
      </w:pPr>
      <w:r w:rsidRPr="00E04C9D">
        <w:rPr>
          <w:rFonts w:ascii="Avenir Next" w:hAnsi="Avenir Next"/>
        </w:rPr>
        <w:t>The Trustee may bring or defend any legal proceedings relating to the property of the debtor</w:t>
      </w:r>
      <w:r w:rsidR="00CB52CB" w:rsidRPr="00E04C9D">
        <w:rPr>
          <w:rFonts w:ascii="Avenir Next" w:hAnsi="Avenir Next"/>
        </w:rPr>
        <w:t xml:space="preserve"> (s.80)</w:t>
      </w:r>
      <w:r w:rsidRPr="00E04C9D">
        <w:rPr>
          <w:rFonts w:ascii="Avenir Next" w:hAnsi="Avenir Next"/>
        </w:rPr>
        <w:t>.</w:t>
      </w:r>
      <w:r w:rsidR="00E04C9D">
        <w:rPr>
          <w:rFonts w:ascii="Avenir Next" w:hAnsi="Avenir Next"/>
        </w:rPr>
        <w:t xml:space="preserve"> </w:t>
      </w:r>
      <w:r w:rsidRPr="00E04C9D">
        <w:rPr>
          <w:rFonts w:ascii="Avenir Next" w:hAnsi="Avenir Next"/>
        </w:rPr>
        <w:t xml:space="preserve">The Trustee must </w:t>
      </w:r>
      <w:r w:rsidR="00E04C9D">
        <w:rPr>
          <w:rFonts w:ascii="Avenir Next" w:hAnsi="Avenir Next"/>
        </w:rPr>
        <w:t xml:space="preserve">also </w:t>
      </w:r>
      <w:r w:rsidRPr="00E04C9D">
        <w:rPr>
          <w:rFonts w:ascii="Avenir Next" w:hAnsi="Avenir Next"/>
        </w:rPr>
        <w:t>receive and adjudicate the proof of debts</w:t>
      </w:r>
      <w:r w:rsidR="00CB52CB" w:rsidRPr="00E04C9D">
        <w:rPr>
          <w:rFonts w:ascii="Avenir Next" w:hAnsi="Avenir Next"/>
        </w:rPr>
        <w:t xml:space="preserve"> (s.8</w:t>
      </w:r>
      <w:r w:rsidRPr="00E04C9D">
        <w:rPr>
          <w:rFonts w:ascii="Avenir Next" w:hAnsi="Avenir Next"/>
        </w:rPr>
        <w:t>7</w:t>
      </w:r>
      <w:r w:rsidR="00CB52CB" w:rsidRPr="00E04C9D">
        <w:rPr>
          <w:rFonts w:ascii="Avenir Next" w:hAnsi="Avenir Next"/>
        </w:rPr>
        <w:t xml:space="preserve">). </w:t>
      </w:r>
    </w:p>
    <w:p w14:paraId="5227B300" w14:textId="7AC8CD78" w:rsidR="00E04C9D" w:rsidRDefault="00E04C9D" w:rsidP="00170540">
      <w:pPr>
        <w:pStyle w:val="BodyText"/>
        <w:numPr>
          <w:ilvl w:val="0"/>
          <w:numId w:val="29"/>
        </w:numPr>
        <w:jc w:val="both"/>
        <w:rPr>
          <w:rFonts w:ascii="Avenir Next" w:hAnsi="Avenir Next"/>
        </w:rPr>
      </w:pPr>
      <w:r w:rsidRPr="00E04C9D">
        <w:rPr>
          <w:rFonts w:ascii="Avenir Next" w:hAnsi="Avenir Next"/>
        </w:rPr>
        <w:t>The Trustee, as soon as possible after the public examination of the debtor, must make a report as to the state of the debtor’s affairs and as to the</w:t>
      </w:r>
      <w:r>
        <w:rPr>
          <w:rFonts w:ascii="Avenir Next" w:hAnsi="Avenir Next"/>
        </w:rPr>
        <w:t xml:space="preserve"> debtor’s </w:t>
      </w:r>
      <w:r w:rsidRPr="00E04C9D">
        <w:rPr>
          <w:rFonts w:ascii="Avenir Next" w:hAnsi="Avenir Next"/>
        </w:rPr>
        <w:t>conduct before and during the bankruptcy</w:t>
      </w:r>
      <w:r>
        <w:rPr>
          <w:rFonts w:ascii="Avenir Next" w:hAnsi="Avenir Next"/>
        </w:rPr>
        <w:t xml:space="preserve"> (s.67). </w:t>
      </w:r>
    </w:p>
    <w:p w14:paraId="353EEDA2" w14:textId="4A2F34F8" w:rsidR="005348DD" w:rsidRDefault="005348DD" w:rsidP="005348DD">
      <w:pPr>
        <w:pStyle w:val="BodyText"/>
        <w:ind w:firstLine="0"/>
        <w:jc w:val="both"/>
        <w:rPr>
          <w:rFonts w:ascii="Avenir Next" w:hAnsi="Avenir Next"/>
        </w:rPr>
      </w:pPr>
    </w:p>
    <w:p w14:paraId="644B155E" w14:textId="4EFC68FF" w:rsidR="00D96137" w:rsidRDefault="005348DD" w:rsidP="00D96137">
      <w:pPr>
        <w:pStyle w:val="BodyText"/>
        <w:ind w:firstLine="0"/>
        <w:jc w:val="both"/>
        <w:rPr>
          <w:rFonts w:ascii="Avenir Next" w:hAnsi="Avenir Next"/>
        </w:rPr>
      </w:pPr>
      <w:r>
        <w:rPr>
          <w:rFonts w:ascii="Avenir Next" w:hAnsi="Avenir Next"/>
        </w:rPr>
        <w:t xml:space="preserve">Although it may not seem important at first blush, in practice, </w:t>
      </w:r>
      <w:r w:rsidR="00932122">
        <w:rPr>
          <w:rFonts w:ascii="Avenir Next" w:hAnsi="Avenir Next"/>
        </w:rPr>
        <w:t xml:space="preserve">an </w:t>
      </w:r>
      <w:r>
        <w:rPr>
          <w:rFonts w:ascii="Avenir Next" w:hAnsi="Avenir Next"/>
        </w:rPr>
        <w:t xml:space="preserve">important power of the Trustee in Bankruptcy is their power </w:t>
      </w:r>
      <w:r w:rsidR="00D96137">
        <w:rPr>
          <w:rFonts w:ascii="Avenir Next" w:hAnsi="Avenir Next"/>
        </w:rPr>
        <w:t xml:space="preserve">under section 13(1) of the Bankruptcy Act </w:t>
      </w:r>
      <w:r>
        <w:rPr>
          <w:rFonts w:ascii="Avenir Next" w:hAnsi="Avenir Next"/>
        </w:rPr>
        <w:t>to appoint a proper person as their agent in respect of any bankrupt estate</w:t>
      </w:r>
      <w:r w:rsidR="00D96137">
        <w:rPr>
          <w:rFonts w:ascii="Avenir Next" w:hAnsi="Avenir Next"/>
        </w:rPr>
        <w:t xml:space="preserve">. </w:t>
      </w:r>
      <w:r>
        <w:rPr>
          <w:rFonts w:ascii="Avenir Next" w:hAnsi="Avenir Next"/>
        </w:rPr>
        <w:t xml:space="preserve"> </w:t>
      </w:r>
      <w:r w:rsidR="00D96137">
        <w:rPr>
          <w:rFonts w:ascii="Avenir Next" w:hAnsi="Avenir Next"/>
        </w:rPr>
        <w:t xml:space="preserve">Under section 12 of the Act, the Clerk of the Court </w:t>
      </w:r>
      <w:r w:rsidR="00932122">
        <w:rPr>
          <w:rFonts w:ascii="Avenir Next" w:hAnsi="Avenir Next"/>
        </w:rPr>
        <w:t>has been</w:t>
      </w:r>
      <w:r w:rsidR="00D96137">
        <w:rPr>
          <w:rFonts w:ascii="Avenir Next" w:hAnsi="Avenir Next"/>
        </w:rPr>
        <w:t xml:space="preserve"> appointed</w:t>
      </w:r>
      <w:r w:rsidR="00932122">
        <w:rPr>
          <w:rFonts w:ascii="Avenir Next" w:hAnsi="Avenir Next"/>
        </w:rPr>
        <w:t xml:space="preserve"> by the Governor</w:t>
      </w:r>
      <w:r w:rsidR="00D96137">
        <w:rPr>
          <w:rFonts w:ascii="Avenir Next" w:hAnsi="Avenir Next"/>
        </w:rPr>
        <w:t xml:space="preserve">, </w:t>
      </w:r>
      <w:r w:rsidR="00D96137" w:rsidRPr="00D96137">
        <w:rPr>
          <w:rFonts w:ascii="Avenir Next" w:hAnsi="Avenir Next"/>
          <w:i/>
        </w:rPr>
        <w:t>ex officio</w:t>
      </w:r>
      <w:r w:rsidR="00D96137">
        <w:rPr>
          <w:rFonts w:ascii="Avenir Next" w:hAnsi="Avenir Next"/>
        </w:rPr>
        <w:t xml:space="preserve">, as the Trustee in Bankruptcy. However, </w:t>
      </w:r>
      <w:r w:rsidR="00D96137" w:rsidRPr="00D96137">
        <w:rPr>
          <w:rFonts w:ascii="Avenir Next" w:hAnsi="Avenir Next"/>
        </w:rPr>
        <w:t xml:space="preserve">those appointed to the office of Clerk are not required to be qualified insolvency practitioners and the Court Office does not have the resources necessary to perform the functions of a </w:t>
      </w:r>
      <w:r w:rsidR="00D96137">
        <w:rPr>
          <w:rFonts w:ascii="Avenir Next" w:hAnsi="Avenir Next"/>
        </w:rPr>
        <w:t>T</w:t>
      </w:r>
      <w:r w:rsidR="00D96137" w:rsidRPr="00D96137">
        <w:rPr>
          <w:rFonts w:ascii="Avenir Next" w:hAnsi="Avenir Next"/>
        </w:rPr>
        <w:t xml:space="preserve">rustee in </w:t>
      </w:r>
      <w:r w:rsidR="00D96137">
        <w:rPr>
          <w:rFonts w:ascii="Avenir Next" w:hAnsi="Avenir Next"/>
        </w:rPr>
        <w:t>B</w:t>
      </w:r>
      <w:r w:rsidR="00D96137" w:rsidRPr="00D96137">
        <w:rPr>
          <w:rFonts w:ascii="Avenir Next" w:hAnsi="Avenir Next"/>
        </w:rPr>
        <w:t>ankruptcy.</w:t>
      </w:r>
      <w:r w:rsidR="00D96137">
        <w:rPr>
          <w:rFonts w:ascii="Avenir Next" w:hAnsi="Avenir Next"/>
        </w:rPr>
        <w:t xml:space="preserve"> For those reasons, in almost all bankruptcy cases (see, eg,</w:t>
      </w:r>
      <w:r w:rsidR="00932122">
        <w:rPr>
          <w:rFonts w:ascii="Avenir Next" w:hAnsi="Avenir Next"/>
        </w:rPr>
        <w:t xml:space="preserve"> cases of</w:t>
      </w:r>
      <w:r w:rsidR="00D96137">
        <w:rPr>
          <w:rFonts w:ascii="Avenir Next" w:hAnsi="Avenir Next"/>
        </w:rPr>
        <w:t xml:space="preserve"> </w:t>
      </w:r>
      <w:r w:rsidR="00932122">
        <w:rPr>
          <w:rFonts w:ascii="Avenir Next" w:hAnsi="Avenir Next"/>
          <w:i/>
        </w:rPr>
        <w:t xml:space="preserve">Otu; </w:t>
      </w:r>
      <w:r w:rsidR="00932122" w:rsidRPr="00932122">
        <w:rPr>
          <w:rFonts w:ascii="Avenir Next" w:hAnsi="Avenir Next"/>
          <w:i/>
        </w:rPr>
        <w:t>Kruger</w:t>
      </w:r>
      <w:r w:rsidR="00932122">
        <w:rPr>
          <w:rFonts w:ascii="Avenir Next" w:hAnsi="Avenir Next"/>
        </w:rPr>
        <w:t xml:space="preserve">; </w:t>
      </w:r>
      <w:r w:rsidR="00932122" w:rsidRPr="00932122">
        <w:rPr>
          <w:rFonts w:ascii="Avenir Next" w:hAnsi="Avenir Next"/>
          <w:i/>
        </w:rPr>
        <w:t>Foster</w:t>
      </w:r>
      <w:r w:rsidR="00932122">
        <w:rPr>
          <w:rFonts w:ascii="Avenir Next" w:hAnsi="Avenir Next"/>
        </w:rPr>
        <w:t>)</w:t>
      </w:r>
      <w:r w:rsidR="00D96137">
        <w:rPr>
          <w:rFonts w:ascii="Avenir Next" w:hAnsi="Avenir Next"/>
        </w:rPr>
        <w:t xml:space="preserve">, the Clerk will appoint a </w:t>
      </w:r>
      <w:r w:rsidR="00932122">
        <w:rPr>
          <w:rFonts w:ascii="Avenir Next" w:hAnsi="Avenir Next"/>
        </w:rPr>
        <w:t xml:space="preserve">suitably </w:t>
      </w:r>
      <w:r w:rsidR="00D96137">
        <w:rPr>
          <w:rFonts w:ascii="Avenir Next" w:hAnsi="Avenir Next"/>
        </w:rPr>
        <w:t>qualified person, more often than not, an insolvency practitioner</w:t>
      </w:r>
      <w:r w:rsidR="00932122">
        <w:rPr>
          <w:rFonts w:ascii="Avenir Next" w:hAnsi="Avenir Next"/>
        </w:rPr>
        <w:t xml:space="preserve"> to administer the estate</w:t>
      </w:r>
      <w:r w:rsidR="00D96137">
        <w:rPr>
          <w:rFonts w:ascii="Avenir Next" w:hAnsi="Avenir Next"/>
        </w:rPr>
        <w:t>.</w:t>
      </w:r>
      <w:r w:rsidR="00932122">
        <w:rPr>
          <w:rFonts w:ascii="Avenir Next" w:hAnsi="Avenir Next"/>
        </w:rPr>
        <w:t xml:space="preserve"> This furthers the pursuit of the Overriding Objective in that it </w:t>
      </w:r>
      <w:r w:rsidR="00D96137">
        <w:rPr>
          <w:rFonts w:ascii="Avenir Next" w:hAnsi="Avenir Next"/>
        </w:rPr>
        <w:t xml:space="preserve">saves costs, time and resources in the administration of </w:t>
      </w:r>
      <w:r w:rsidR="00AF1147">
        <w:rPr>
          <w:rFonts w:ascii="Avenir Next" w:hAnsi="Avenir Next"/>
        </w:rPr>
        <w:t xml:space="preserve">the </w:t>
      </w:r>
      <w:r w:rsidR="00D96137">
        <w:rPr>
          <w:rFonts w:ascii="Avenir Next" w:hAnsi="Avenir Next"/>
        </w:rPr>
        <w:t xml:space="preserve">estate. </w:t>
      </w:r>
    </w:p>
    <w:p w14:paraId="4F3B76BC" w14:textId="39872EE2" w:rsidR="005348DD" w:rsidRDefault="005348DD" w:rsidP="005348DD">
      <w:pPr>
        <w:pStyle w:val="BodyText"/>
        <w:ind w:firstLine="0"/>
        <w:jc w:val="both"/>
        <w:rPr>
          <w:rFonts w:ascii="Avenir Next" w:hAnsi="Avenir Next"/>
        </w:rPr>
      </w:pPr>
    </w:p>
    <w:p w14:paraId="100FF520" w14:textId="77777777" w:rsidR="005348DD" w:rsidRDefault="005348DD" w:rsidP="005348DD">
      <w:pPr>
        <w:pStyle w:val="BodyText"/>
        <w:ind w:firstLine="0"/>
        <w:jc w:val="both"/>
        <w:rPr>
          <w:rFonts w:ascii="Avenir Next" w:hAnsi="Avenir Next"/>
        </w:rPr>
      </w:pPr>
    </w:p>
    <w:p w14:paraId="7A8ACF57" w14:textId="1A617CDA" w:rsidR="00201E1B" w:rsidRDefault="00201E1B" w:rsidP="00E04C9D">
      <w:pPr>
        <w:pStyle w:val="BodyText"/>
        <w:ind w:left="1080" w:firstLine="0"/>
        <w:jc w:val="both"/>
        <w:rPr>
          <w:rFonts w:ascii="Avenir Next" w:hAnsi="Avenir Next"/>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6"/>
      <w:footerReference w:type="default" r:id="rId17"/>
      <w:footerReference w:type="first" r:id="rId18"/>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D60E" w14:textId="77777777" w:rsidR="00224D25" w:rsidRDefault="00224D25" w:rsidP="001016B0">
      <w:r>
        <w:separator/>
      </w:r>
    </w:p>
  </w:endnote>
  <w:endnote w:type="continuationSeparator" w:id="0">
    <w:p w14:paraId="2B406D41" w14:textId="77777777" w:rsidR="00224D25" w:rsidRDefault="00224D25" w:rsidP="001016B0">
      <w:r>
        <w:continuationSeparator/>
      </w:r>
    </w:p>
  </w:endnote>
  <w:endnote w:type="continuationNotice" w:id="1">
    <w:p w14:paraId="260DC0D7" w14:textId="77777777" w:rsidR="00224D25" w:rsidRDefault="0022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altName w:val="Calibri"/>
    <w:charset w:val="00"/>
    <w:family w:val="swiss"/>
    <w:pitch w:val="variable"/>
    <w:sig w:usb0="600002FF"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461508"/>
      <w:docPartObj>
        <w:docPartGallery w:val="Page Numbers (Bottom of Page)"/>
        <w:docPartUnique/>
      </w:docPartObj>
    </w:sdtPr>
    <w:sdtContent>
      <w:p w14:paraId="005C3BDA" w14:textId="3FBB77DD" w:rsidR="00224D25" w:rsidRDefault="00224D25"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224D25" w:rsidRPr="001016B0" w:rsidRDefault="00224D25"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224D25" w:rsidRDefault="00224D25"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224D25" w:rsidRDefault="00224D25" w:rsidP="00CF79F9">
    <w:pPr>
      <w:pStyle w:val="Footer"/>
      <w:framePr w:w="911" w:h="331" w:hRule="exact" w:wrap="none" w:vAnchor="text" w:hAnchor="margin" w:xAlign="right" w:y="5"/>
      <w:ind w:right="360"/>
      <w:rPr>
        <w:rStyle w:val="PageNumber"/>
      </w:rPr>
    </w:pPr>
  </w:p>
  <w:p w14:paraId="77332963" w14:textId="500FD911" w:rsidR="00224D25" w:rsidRDefault="00224D25" w:rsidP="008A20AC">
    <w:pPr>
      <w:pStyle w:val="Footer"/>
      <w:ind w:right="360"/>
    </w:pPr>
    <w:r w:rsidRPr="00967A09">
      <w:t>202223-1070</w:t>
    </w:r>
    <w:r>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8568" w14:textId="77777777" w:rsidR="00224D25" w:rsidRDefault="00224D25"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FC48" w14:textId="77777777" w:rsidR="00224D25" w:rsidRDefault="00224D25" w:rsidP="001016B0">
      <w:r>
        <w:separator/>
      </w:r>
    </w:p>
  </w:footnote>
  <w:footnote w:type="continuationSeparator" w:id="0">
    <w:p w14:paraId="048DBB0E" w14:textId="77777777" w:rsidR="00224D25" w:rsidRDefault="00224D25" w:rsidP="001016B0">
      <w:r>
        <w:continuationSeparator/>
      </w:r>
    </w:p>
  </w:footnote>
  <w:footnote w:type="continuationNotice" w:id="1">
    <w:p w14:paraId="5EF02029" w14:textId="77777777" w:rsidR="00224D25" w:rsidRDefault="00224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D0DD0"/>
    <w:multiLevelType w:val="hybridMultilevel"/>
    <w:tmpl w:val="9322FE82"/>
    <w:lvl w:ilvl="0" w:tplc="3E2682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F7DEF"/>
    <w:multiLevelType w:val="hybridMultilevel"/>
    <w:tmpl w:val="DD1E6854"/>
    <w:lvl w:ilvl="0" w:tplc="7A824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07AEC"/>
    <w:multiLevelType w:val="hybridMultilevel"/>
    <w:tmpl w:val="45621C60"/>
    <w:lvl w:ilvl="0" w:tplc="7A824B5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779F9"/>
    <w:multiLevelType w:val="hybridMultilevel"/>
    <w:tmpl w:val="9600154C"/>
    <w:lvl w:ilvl="0" w:tplc="53463954">
      <w:start w:val="1"/>
      <w:numFmt w:val="lowerRoman"/>
      <w:lvlText w:val="%1)"/>
      <w:lvlJc w:val="left"/>
      <w:pPr>
        <w:ind w:left="1080" w:hanging="720"/>
      </w:pPr>
      <w:rPr>
        <w:rFonts w:ascii="Avenir Next" w:hAnsi="Avenir N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2A2C"/>
    <w:multiLevelType w:val="hybridMultilevel"/>
    <w:tmpl w:val="949EDA98"/>
    <w:lvl w:ilvl="0" w:tplc="3E8ABAE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8F6FBF"/>
    <w:multiLevelType w:val="hybridMultilevel"/>
    <w:tmpl w:val="DD1E6854"/>
    <w:lvl w:ilvl="0" w:tplc="7A824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16D99"/>
    <w:multiLevelType w:val="hybridMultilevel"/>
    <w:tmpl w:val="C62E7D04"/>
    <w:lvl w:ilvl="0" w:tplc="B8CCE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9CC7E25"/>
    <w:multiLevelType w:val="hybridMultilevel"/>
    <w:tmpl w:val="442A7DD8"/>
    <w:lvl w:ilvl="0" w:tplc="8422B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554F68"/>
    <w:multiLevelType w:val="hybridMultilevel"/>
    <w:tmpl w:val="2A789040"/>
    <w:lvl w:ilvl="0" w:tplc="7A824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14950D1"/>
    <w:multiLevelType w:val="hybridMultilevel"/>
    <w:tmpl w:val="96CC89A2"/>
    <w:lvl w:ilvl="0" w:tplc="E1168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B5C05"/>
    <w:multiLevelType w:val="hybridMultilevel"/>
    <w:tmpl w:val="3E60595E"/>
    <w:lvl w:ilvl="0" w:tplc="3E268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D7E1ED0"/>
    <w:multiLevelType w:val="hybridMultilevel"/>
    <w:tmpl w:val="800CD2EE"/>
    <w:lvl w:ilvl="0" w:tplc="0DAE4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15:restartNumberingAfterBreak="0">
    <w:nsid w:val="53616964"/>
    <w:multiLevelType w:val="hybridMultilevel"/>
    <w:tmpl w:val="CD8AADCE"/>
    <w:lvl w:ilvl="0" w:tplc="B8CCE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9" w15:restartNumberingAfterBreak="0">
    <w:nsid w:val="58822A5D"/>
    <w:multiLevelType w:val="hybridMultilevel"/>
    <w:tmpl w:val="EDEC2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265A53"/>
    <w:multiLevelType w:val="hybridMultilevel"/>
    <w:tmpl w:val="9322FE82"/>
    <w:lvl w:ilvl="0" w:tplc="3E2682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CF6A19"/>
    <w:multiLevelType w:val="hybridMultilevel"/>
    <w:tmpl w:val="D0A6FCDC"/>
    <w:lvl w:ilvl="0" w:tplc="8C5E5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FED5FC8"/>
    <w:multiLevelType w:val="hybridMultilevel"/>
    <w:tmpl w:val="6D60655E"/>
    <w:lvl w:ilvl="0" w:tplc="2BE696C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3"/>
  </w:num>
  <w:num w:numId="3">
    <w:abstractNumId w:val="19"/>
  </w:num>
  <w:num w:numId="4">
    <w:abstractNumId w:val="25"/>
  </w:num>
  <w:num w:numId="5">
    <w:abstractNumId w:val="27"/>
  </w:num>
  <w:num w:numId="6">
    <w:abstractNumId w:val="0"/>
  </w:num>
  <w:num w:numId="7">
    <w:abstractNumId w:val="37"/>
  </w:num>
  <w:num w:numId="8">
    <w:abstractNumId w:val="38"/>
  </w:num>
  <w:num w:numId="9">
    <w:abstractNumId w:val="4"/>
  </w:num>
  <w:num w:numId="10">
    <w:abstractNumId w:val="39"/>
  </w:num>
  <w:num w:numId="11">
    <w:abstractNumId w:val="31"/>
  </w:num>
  <w:num w:numId="12">
    <w:abstractNumId w:val="15"/>
  </w:num>
  <w:num w:numId="13">
    <w:abstractNumId w:val="14"/>
  </w:num>
  <w:num w:numId="14">
    <w:abstractNumId w:val="36"/>
  </w:num>
  <w:num w:numId="15">
    <w:abstractNumId w:val="13"/>
  </w:num>
  <w:num w:numId="16">
    <w:abstractNumId w:val="40"/>
  </w:num>
  <w:num w:numId="17">
    <w:abstractNumId w:val="22"/>
  </w:num>
  <w:num w:numId="18">
    <w:abstractNumId w:val="35"/>
  </w:num>
  <w:num w:numId="19">
    <w:abstractNumId w:val="11"/>
  </w:num>
  <w:num w:numId="20">
    <w:abstractNumId w:val="3"/>
  </w:num>
  <w:num w:numId="21">
    <w:abstractNumId w:val="33"/>
  </w:num>
  <w:num w:numId="22">
    <w:abstractNumId w:val="21"/>
  </w:num>
  <w:num w:numId="23">
    <w:abstractNumId w:val="8"/>
  </w:num>
  <w:num w:numId="24">
    <w:abstractNumId w:val="17"/>
  </w:num>
  <w:num w:numId="25">
    <w:abstractNumId w:val="2"/>
  </w:num>
  <w:num w:numId="26">
    <w:abstractNumId w:val="9"/>
  </w:num>
  <w:num w:numId="27">
    <w:abstractNumId w:val="34"/>
  </w:num>
  <w:num w:numId="28">
    <w:abstractNumId w:val="5"/>
  </w:num>
  <w:num w:numId="29">
    <w:abstractNumId w:val="16"/>
  </w:num>
  <w:num w:numId="30">
    <w:abstractNumId w:val="7"/>
  </w:num>
  <w:num w:numId="31">
    <w:abstractNumId w:val="24"/>
  </w:num>
  <w:num w:numId="32">
    <w:abstractNumId w:val="12"/>
  </w:num>
  <w:num w:numId="33">
    <w:abstractNumId w:val="6"/>
  </w:num>
  <w:num w:numId="34">
    <w:abstractNumId w:val="1"/>
  </w:num>
  <w:num w:numId="35">
    <w:abstractNumId w:val="20"/>
  </w:num>
  <w:num w:numId="36">
    <w:abstractNumId w:val="30"/>
  </w:num>
  <w:num w:numId="37">
    <w:abstractNumId w:val="29"/>
  </w:num>
  <w:num w:numId="38">
    <w:abstractNumId w:val="18"/>
  </w:num>
  <w:num w:numId="39">
    <w:abstractNumId w:val="32"/>
  </w:num>
  <w:num w:numId="40">
    <w:abstractNumId w:val="26"/>
  </w:num>
  <w:num w:numId="41">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05D17"/>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6235"/>
    <w:rsid w:val="000875DC"/>
    <w:rsid w:val="00087A4E"/>
    <w:rsid w:val="00091667"/>
    <w:rsid w:val="000922D6"/>
    <w:rsid w:val="000943C5"/>
    <w:rsid w:val="00094C09"/>
    <w:rsid w:val="00097A42"/>
    <w:rsid w:val="000A6FD8"/>
    <w:rsid w:val="000C0827"/>
    <w:rsid w:val="000D340C"/>
    <w:rsid w:val="000D5B7A"/>
    <w:rsid w:val="000E320F"/>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2C88"/>
    <w:rsid w:val="00122C95"/>
    <w:rsid w:val="00124ECF"/>
    <w:rsid w:val="00132E0E"/>
    <w:rsid w:val="001336C3"/>
    <w:rsid w:val="001525EB"/>
    <w:rsid w:val="00152954"/>
    <w:rsid w:val="00154A4B"/>
    <w:rsid w:val="00155357"/>
    <w:rsid w:val="001571F1"/>
    <w:rsid w:val="00157455"/>
    <w:rsid w:val="0016475E"/>
    <w:rsid w:val="0016596F"/>
    <w:rsid w:val="00166CC9"/>
    <w:rsid w:val="001702C8"/>
    <w:rsid w:val="00170540"/>
    <w:rsid w:val="00171BCA"/>
    <w:rsid w:val="00175F03"/>
    <w:rsid w:val="00177E01"/>
    <w:rsid w:val="00192D14"/>
    <w:rsid w:val="00192FD4"/>
    <w:rsid w:val="00193626"/>
    <w:rsid w:val="00194D76"/>
    <w:rsid w:val="001954DE"/>
    <w:rsid w:val="00196A05"/>
    <w:rsid w:val="001A1043"/>
    <w:rsid w:val="001A20D0"/>
    <w:rsid w:val="001A370C"/>
    <w:rsid w:val="001A3DD4"/>
    <w:rsid w:val="001A4F13"/>
    <w:rsid w:val="001A7553"/>
    <w:rsid w:val="001B11DA"/>
    <w:rsid w:val="001B4CC3"/>
    <w:rsid w:val="001B6BA2"/>
    <w:rsid w:val="001C14BF"/>
    <w:rsid w:val="001C667C"/>
    <w:rsid w:val="001C6B3B"/>
    <w:rsid w:val="001C7A25"/>
    <w:rsid w:val="001D2111"/>
    <w:rsid w:val="001D574E"/>
    <w:rsid w:val="001E2D89"/>
    <w:rsid w:val="001E34E2"/>
    <w:rsid w:val="001E5BE7"/>
    <w:rsid w:val="001E6FD1"/>
    <w:rsid w:val="001E72C8"/>
    <w:rsid w:val="001F1E22"/>
    <w:rsid w:val="001F2690"/>
    <w:rsid w:val="001F65C0"/>
    <w:rsid w:val="00200F4C"/>
    <w:rsid w:val="00201E1B"/>
    <w:rsid w:val="002044FB"/>
    <w:rsid w:val="00207497"/>
    <w:rsid w:val="002116A3"/>
    <w:rsid w:val="00211EE8"/>
    <w:rsid w:val="00212AE2"/>
    <w:rsid w:val="00213DA5"/>
    <w:rsid w:val="0021508C"/>
    <w:rsid w:val="00216818"/>
    <w:rsid w:val="002168D9"/>
    <w:rsid w:val="00217A56"/>
    <w:rsid w:val="00221041"/>
    <w:rsid w:val="00222127"/>
    <w:rsid w:val="00224D25"/>
    <w:rsid w:val="00226490"/>
    <w:rsid w:val="002264AD"/>
    <w:rsid w:val="00234313"/>
    <w:rsid w:val="002410A1"/>
    <w:rsid w:val="002447AE"/>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3095"/>
    <w:rsid w:val="002A082B"/>
    <w:rsid w:val="002A0D5B"/>
    <w:rsid w:val="002A0F8E"/>
    <w:rsid w:val="002A2B0D"/>
    <w:rsid w:val="002A2C16"/>
    <w:rsid w:val="002A6DE0"/>
    <w:rsid w:val="002B15BA"/>
    <w:rsid w:val="002B6609"/>
    <w:rsid w:val="002B6B18"/>
    <w:rsid w:val="002B7150"/>
    <w:rsid w:val="002D006E"/>
    <w:rsid w:val="002D2D8F"/>
    <w:rsid w:val="002D3211"/>
    <w:rsid w:val="002E0235"/>
    <w:rsid w:val="002E125B"/>
    <w:rsid w:val="002E60D1"/>
    <w:rsid w:val="002F04F0"/>
    <w:rsid w:val="002F2E23"/>
    <w:rsid w:val="002F49CF"/>
    <w:rsid w:val="002F7820"/>
    <w:rsid w:val="002F7CB0"/>
    <w:rsid w:val="00300343"/>
    <w:rsid w:val="00300368"/>
    <w:rsid w:val="003005A4"/>
    <w:rsid w:val="00300A1C"/>
    <w:rsid w:val="0030119E"/>
    <w:rsid w:val="00301E2D"/>
    <w:rsid w:val="00303C2F"/>
    <w:rsid w:val="003047C8"/>
    <w:rsid w:val="00315FB1"/>
    <w:rsid w:val="00320A18"/>
    <w:rsid w:val="0032119E"/>
    <w:rsid w:val="00327E13"/>
    <w:rsid w:val="0033007B"/>
    <w:rsid w:val="003374AC"/>
    <w:rsid w:val="00337E93"/>
    <w:rsid w:val="00342DDB"/>
    <w:rsid w:val="00343065"/>
    <w:rsid w:val="003448FF"/>
    <w:rsid w:val="00345A22"/>
    <w:rsid w:val="00345CAB"/>
    <w:rsid w:val="00347063"/>
    <w:rsid w:val="00347074"/>
    <w:rsid w:val="003604C8"/>
    <w:rsid w:val="00361ECF"/>
    <w:rsid w:val="00362020"/>
    <w:rsid w:val="003620FE"/>
    <w:rsid w:val="00362135"/>
    <w:rsid w:val="00362356"/>
    <w:rsid w:val="00364438"/>
    <w:rsid w:val="00364A61"/>
    <w:rsid w:val="00366194"/>
    <w:rsid w:val="003721B7"/>
    <w:rsid w:val="00373930"/>
    <w:rsid w:val="00375DE0"/>
    <w:rsid w:val="003845E5"/>
    <w:rsid w:val="003864CC"/>
    <w:rsid w:val="003931B0"/>
    <w:rsid w:val="00393EC9"/>
    <w:rsid w:val="00393F1C"/>
    <w:rsid w:val="00395FFD"/>
    <w:rsid w:val="003A06A0"/>
    <w:rsid w:val="003A2F2C"/>
    <w:rsid w:val="003A40DF"/>
    <w:rsid w:val="003A70E6"/>
    <w:rsid w:val="003A7B8C"/>
    <w:rsid w:val="003B06BB"/>
    <w:rsid w:val="003B1A90"/>
    <w:rsid w:val="003B3DEE"/>
    <w:rsid w:val="003B4199"/>
    <w:rsid w:val="003B54BE"/>
    <w:rsid w:val="003C02C7"/>
    <w:rsid w:val="003C5D82"/>
    <w:rsid w:val="003C6E0A"/>
    <w:rsid w:val="003D0550"/>
    <w:rsid w:val="003D15EA"/>
    <w:rsid w:val="003D1EF3"/>
    <w:rsid w:val="003D2C0D"/>
    <w:rsid w:val="003D6FCF"/>
    <w:rsid w:val="003D7B8D"/>
    <w:rsid w:val="003E0049"/>
    <w:rsid w:val="003E2B2B"/>
    <w:rsid w:val="003F5CB9"/>
    <w:rsid w:val="003F62D2"/>
    <w:rsid w:val="004031E2"/>
    <w:rsid w:val="00405310"/>
    <w:rsid w:val="00405AD4"/>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76CF2"/>
    <w:rsid w:val="00481019"/>
    <w:rsid w:val="0048719D"/>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0D6"/>
    <w:rsid w:val="004F67CE"/>
    <w:rsid w:val="00504A64"/>
    <w:rsid w:val="005055F9"/>
    <w:rsid w:val="0050751B"/>
    <w:rsid w:val="0051101B"/>
    <w:rsid w:val="00512319"/>
    <w:rsid w:val="00513012"/>
    <w:rsid w:val="00514A53"/>
    <w:rsid w:val="005200BF"/>
    <w:rsid w:val="00520EFB"/>
    <w:rsid w:val="0052140A"/>
    <w:rsid w:val="00525CD4"/>
    <w:rsid w:val="00525EBB"/>
    <w:rsid w:val="00531586"/>
    <w:rsid w:val="005348DD"/>
    <w:rsid w:val="0053572E"/>
    <w:rsid w:val="005416EC"/>
    <w:rsid w:val="0054257F"/>
    <w:rsid w:val="00542B4C"/>
    <w:rsid w:val="005524EC"/>
    <w:rsid w:val="005538FB"/>
    <w:rsid w:val="00555BC3"/>
    <w:rsid w:val="00556116"/>
    <w:rsid w:val="00557949"/>
    <w:rsid w:val="00563BD8"/>
    <w:rsid w:val="00563F78"/>
    <w:rsid w:val="0056458D"/>
    <w:rsid w:val="00565492"/>
    <w:rsid w:val="00574AA7"/>
    <w:rsid w:val="005750D6"/>
    <w:rsid w:val="00576BA2"/>
    <w:rsid w:val="00582076"/>
    <w:rsid w:val="005823CF"/>
    <w:rsid w:val="0058441E"/>
    <w:rsid w:val="00585164"/>
    <w:rsid w:val="00586B0F"/>
    <w:rsid w:val="00591D1D"/>
    <w:rsid w:val="00592A8D"/>
    <w:rsid w:val="0059364B"/>
    <w:rsid w:val="00595D22"/>
    <w:rsid w:val="005A0E4B"/>
    <w:rsid w:val="005A640E"/>
    <w:rsid w:val="005A7724"/>
    <w:rsid w:val="005C0FF6"/>
    <w:rsid w:val="005C3DA9"/>
    <w:rsid w:val="005C6146"/>
    <w:rsid w:val="005C6149"/>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0291"/>
    <w:rsid w:val="006278B5"/>
    <w:rsid w:val="0063766F"/>
    <w:rsid w:val="00640BC9"/>
    <w:rsid w:val="006424E1"/>
    <w:rsid w:val="00643725"/>
    <w:rsid w:val="00644DCE"/>
    <w:rsid w:val="00647006"/>
    <w:rsid w:val="006471BC"/>
    <w:rsid w:val="006478BE"/>
    <w:rsid w:val="00654AE9"/>
    <w:rsid w:val="00656BEF"/>
    <w:rsid w:val="00657222"/>
    <w:rsid w:val="0066147F"/>
    <w:rsid w:val="00662A8E"/>
    <w:rsid w:val="006638D6"/>
    <w:rsid w:val="006659FD"/>
    <w:rsid w:val="006674D6"/>
    <w:rsid w:val="00671ADC"/>
    <w:rsid w:val="006731C8"/>
    <w:rsid w:val="00674C6B"/>
    <w:rsid w:val="00680169"/>
    <w:rsid w:val="006844C9"/>
    <w:rsid w:val="00684B6B"/>
    <w:rsid w:val="006902DF"/>
    <w:rsid w:val="006907D9"/>
    <w:rsid w:val="0069113C"/>
    <w:rsid w:val="0069468A"/>
    <w:rsid w:val="0069671C"/>
    <w:rsid w:val="006A1B37"/>
    <w:rsid w:val="006A2381"/>
    <w:rsid w:val="006A75FE"/>
    <w:rsid w:val="006B3BF7"/>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5108"/>
    <w:rsid w:val="00710451"/>
    <w:rsid w:val="00710A26"/>
    <w:rsid w:val="00710E3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C82"/>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200"/>
    <w:rsid w:val="007B7692"/>
    <w:rsid w:val="007C04CB"/>
    <w:rsid w:val="007C1BDB"/>
    <w:rsid w:val="007C5F0B"/>
    <w:rsid w:val="007D0061"/>
    <w:rsid w:val="007D215F"/>
    <w:rsid w:val="007F02EC"/>
    <w:rsid w:val="007F085D"/>
    <w:rsid w:val="007F15A9"/>
    <w:rsid w:val="007F5739"/>
    <w:rsid w:val="007F67A0"/>
    <w:rsid w:val="007F6B14"/>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4F7"/>
    <w:rsid w:val="008A2BE4"/>
    <w:rsid w:val="008A3781"/>
    <w:rsid w:val="008A5ED9"/>
    <w:rsid w:val="008A5F6D"/>
    <w:rsid w:val="008A78B2"/>
    <w:rsid w:val="008A7BA0"/>
    <w:rsid w:val="008B010D"/>
    <w:rsid w:val="008B18AE"/>
    <w:rsid w:val="008B2794"/>
    <w:rsid w:val="008B5F38"/>
    <w:rsid w:val="008B74A9"/>
    <w:rsid w:val="008B7C0A"/>
    <w:rsid w:val="008C202B"/>
    <w:rsid w:val="008C52C5"/>
    <w:rsid w:val="008D09AB"/>
    <w:rsid w:val="008D0D58"/>
    <w:rsid w:val="008D2586"/>
    <w:rsid w:val="008D289A"/>
    <w:rsid w:val="008D68E2"/>
    <w:rsid w:val="008D7189"/>
    <w:rsid w:val="008E0271"/>
    <w:rsid w:val="008E3552"/>
    <w:rsid w:val="008E394D"/>
    <w:rsid w:val="008E3D06"/>
    <w:rsid w:val="008E623E"/>
    <w:rsid w:val="008E6B76"/>
    <w:rsid w:val="008F2118"/>
    <w:rsid w:val="008F2BE2"/>
    <w:rsid w:val="008F40BA"/>
    <w:rsid w:val="009004D4"/>
    <w:rsid w:val="0090300F"/>
    <w:rsid w:val="0090576D"/>
    <w:rsid w:val="00912F92"/>
    <w:rsid w:val="00913123"/>
    <w:rsid w:val="009143EA"/>
    <w:rsid w:val="00917205"/>
    <w:rsid w:val="00917911"/>
    <w:rsid w:val="0092725A"/>
    <w:rsid w:val="00930A74"/>
    <w:rsid w:val="00932122"/>
    <w:rsid w:val="00933482"/>
    <w:rsid w:val="00934980"/>
    <w:rsid w:val="0094079B"/>
    <w:rsid w:val="00940E26"/>
    <w:rsid w:val="00941F3D"/>
    <w:rsid w:val="00944436"/>
    <w:rsid w:val="00944A47"/>
    <w:rsid w:val="00954CBE"/>
    <w:rsid w:val="00957995"/>
    <w:rsid w:val="00957A2E"/>
    <w:rsid w:val="00960066"/>
    <w:rsid w:val="00960617"/>
    <w:rsid w:val="00960B8D"/>
    <w:rsid w:val="009621D7"/>
    <w:rsid w:val="00967A09"/>
    <w:rsid w:val="00972B13"/>
    <w:rsid w:val="009733E8"/>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C7CAA"/>
    <w:rsid w:val="009D0718"/>
    <w:rsid w:val="009D1F99"/>
    <w:rsid w:val="009D27B4"/>
    <w:rsid w:val="009D6CB8"/>
    <w:rsid w:val="009D7691"/>
    <w:rsid w:val="009E15C9"/>
    <w:rsid w:val="009E2AEB"/>
    <w:rsid w:val="009E439D"/>
    <w:rsid w:val="009E549B"/>
    <w:rsid w:val="009F3508"/>
    <w:rsid w:val="009F45C7"/>
    <w:rsid w:val="009F49C2"/>
    <w:rsid w:val="009F4C3A"/>
    <w:rsid w:val="009F6007"/>
    <w:rsid w:val="00A06708"/>
    <w:rsid w:val="00A07356"/>
    <w:rsid w:val="00A1712D"/>
    <w:rsid w:val="00A1732E"/>
    <w:rsid w:val="00A225FD"/>
    <w:rsid w:val="00A22F78"/>
    <w:rsid w:val="00A2519A"/>
    <w:rsid w:val="00A26A7C"/>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02A6"/>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1F6E"/>
    <w:rsid w:val="00AD202D"/>
    <w:rsid w:val="00AD221D"/>
    <w:rsid w:val="00AD2D09"/>
    <w:rsid w:val="00AD38F7"/>
    <w:rsid w:val="00AD5EFB"/>
    <w:rsid w:val="00AD7507"/>
    <w:rsid w:val="00AE0ADA"/>
    <w:rsid w:val="00AE5DF8"/>
    <w:rsid w:val="00AE6671"/>
    <w:rsid w:val="00AE7DA6"/>
    <w:rsid w:val="00AF1147"/>
    <w:rsid w:val="00AF146A"/>
    <w:rsid w:val="00AF4B22"/>
    <w:rsid w:val="00AF6388"/>
    <w:rsid w:val="00AF6E50"/>
    <w:rsid w:val="00AF735A"/>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D3B97"/>
    <w:rsid w:val="00BE35A9"/>
    <w:rsid w:val="00BE669E"/>
    <w:rsid w:val="00BE6A24"/>
    <w:rsid w:val="00BF243A"/>
    <w:rsid w:val="00BF3B08"/>
    <w:rsid w:val="00BF4C0F"/>
    <w:rsid w:val="00BF6474"/>
    <w:rsid w:val="00C003D7"/>
    <w:rsid w:val="00C00B66"/>
    <w:rsid w:val="00C03A2E"/>
    <w:rsid w:val="00C040F7"/>
    <w:rsid w:val="00C04963"/>
    <w:rsid w:val="00C06EAF"/>
    <w:rsid w:val="00C11D6C"/>
    <w:rsid w:val="00C12DB9"/>
    <w:rsid w:val="00C165B5"/>
    <w:rsid w:val="00C23096"/>
    <w:rsid w:val="00C30838"/>
    <w:rsid w:val="00C30AE9"/>
    <w:rsid w:val="00C3318F"/>
    <w:rsid w:val="00C33FE0"/>
    <w:rsid w:val="00C37EE1"/>
    <w:rsid w:val="00C45C67"/>
    <w:rsid w:val="00C5020B"/>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61A0"/>
    <w:rsid w:val="00CA7069"/>
    <w:rsid w:val="00CB1069"/>
    <w:rsid w:val="00CB4F67"/>
    <w:rsid w:val="00CB52CB"/>
    <w:rsid w:val="00CC2141"/>
    <w:rsid w:val="00CC434F"/>
    <w:rsid w:val="00CC527B"/>
    <w:rsid w:val="00CC5734"/>
    <w:rsid w:val="00CC72EF"/>
    <w:rsid w:val="00CC7331"/>
    <w:rsid w:val="00CD06C3"/>
    <w:rsid w:val="00CD0EA6"/>
    <w:rsid w:val="00CD1349"/>
    <w:rsid w:val="00CD25B1"/>
    <w:rsid w:val="00CD5EC7"/>
    <w:rsid w:val="00CD618E"/>
    <w:rsid w:val="00CD6ADC"/>
    <w:rsid w:val="00CD7EDC"/>
    <w:rsid w:val="00CE2B93"/>
    <w:rsid w:val="00CE3F26"/>
    <w:rsid w:val="00CF3421"/>
    <w:rsid w:val="00CF4EEF"/>
    <w:rsid w:val="00CF5F19"/>
    <w:rsid w:val="00CF6645"/>
    <w:rsid w:val="00CF79F9"/>
    <w:rsid w:val="00D00885"/>
    <w:rsid w:val="00D0089A"/>
    <w:rsid w:val="00D106DD"/>
    <w:rsid w:val="00D203DA"/>
    <w:rsid w:val="00D20C81"/>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96137"/>
    <w:rsid w:val="00DA386F"/>
    <w:rsid w:val="00DA38FF"/>
    <w:rsid w:val="00DA52DD"/>
    <w:rsid w:val="00DC024D"/>
    <w:rsid w:val="00DC07C1"/>
    <w:rsid w:val="00DC0E33"/>
    <w:rsid w:val="00DC1566"/>
    <w:rsid w:val="00DC1D77"/>
    <w:rsid w:val="00DC20CF"/>
    <w:rsid w:val="00DC2585"/>
    <w:rsid w:val="00DD5BD4"/>
    <w:rsid w:val="00DE0233"/>
    <w:rsid w:val="00DE23CF"/>
    <w:rsid w:val="00DE6FDB"/>
    <w:rsid w:val="00DE7898"/>
    <w:rsid w:val="00DF3A0B"/>
    <w:rsid w:val="00DF4D25"/>
    <w:rsid w:val="00DF64E1"/>
    <w:rsid w:val="00E024A7"/>
    <w:rsid w:val="00E03AD1"/>
    <w:rsid w:val="00E04C9D"/>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7109B"/>
    <w:rsid w:val="00E755CA"/>
    <w:rsid w:val="00E83556"/>
    <w:rsid w:val="00E87F7D"/>
    <w:rsid w:val="00E90A18"/>
    <w:rsid w:val="00E9506C"/>
    <w:rsid w:val="00E97FCF"/>
    <w:rsid w:val="00EA2A8C"/>
    <w:rsid w:val="00EA2B57"/>
    <w:rsid w:val="00EA390C"/>
    <w:rsid w:val="00EA6193"/>
    <w:rsid w:val="00EB3E2A"/>
    <w:rsid w:val="00EB6910"/>
    <w:rsid w:val="00EB6DA5"/>
    <w:rsid w:val="00EB7B1A"/>
    <w:rsid w:val="00ED248F"/>
    <w:rsid w:val="00ED335A"/>
    <w:rsid w:val="00ED76B9"/>
    <w:rsid w:val="00EE4A27"/>
    <w:rsid w:val="00EE5B4E"/>
    <w:rsid w:val="00EE6AE2"/>
    <w:rsid w:val="00EE7CB4"/>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5466"/>
    <w:rsid w:val="00F57033"/>
    <w:rsid w:val="00F57481"/>
    <w:rsid w:val="00F57C19"/>
    <w:rsid w:val="00F6436A"/>
    <w:rsid w:val="00F6582B"/>
    <w:rsid w:val="00F6622D"/>
    <w:rsid w:val="00F74C57"/>
    <w:rsid w:val="00F769E1"/>
    <w:rsid w:val="00F95A8E"/>
    <w:rsid w:val="00F97F9E"/>
    <w:rsid w:val="00FA5004"/>
    <w:rsid w:val="00FA596D"/>
    <w:rsid w:val="00FA602E"/>
    <w:rsid w:val="00FA63F5"/>
    <w:rsid w:val="00FB07CE"/>
    <w:rsid w:val="00FB2F3F"/>
    <w:rsid w:val="00FB7F81"/>
    <w:rsid w:val="00FC074E"/>
    <w:rsid w:val="00FC34CD"/>
    <w:rsid w:val="00FC43F9"/>
    <w:rsid w:val="00FC4B3C"/>
    <w:rsid w:val="00FC5217"/>
    <w:rsid w:val="00FD5421"/>
    <w:rsid w:val="00FD5834"/>
    <w:rsid w:val="00FD7454"/>
    <w:rsid w:val="00FE04D5"/>
    <w:rsid w:val="00FE5D09"/>
    <w:rsid w:val="00FE6BB9"/>
    <w:rsid w:val="00FF18A4"/>
    <w:rsid w:val="00FF18BA"/>
    <w:rsid w:val="00FF236F"/>
    <w:rsid w:val="00FF39F8"/>
    <w:rsid w:val="00FF41AF"/>
    <w:rsid w:val="00FF44ED"/>
    <w:rsid w:val="00FF49A7"/>
    <w:rsid w:val="00FF62D0"/>
    <w:rsid w:val="00FF6389"/>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enda.bennett@inso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burdette@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dac9a443-8d88-4550-8b1d-ec98a50d73a1"/>
    <ds:schemaRef ds:uri="http://purl.org/dc/elements/1.1/"/>
    <ds:schemaRef ds:uri="612f66ad-72bb-4b79-b69e-c3800ca531f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65397B6-F078-4068-B772-F580F88E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26</Pages>
  <Words>8505</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Daniel Coelho</cp:lastModifiedBy>
  <cp:revision>17</cp:revision>
  <cp:lastPrinted>2022-09-29T12:20:00Z</cp:lastPrinted>
  <dcterms:created xsi:type="dcterms:W3CDTF">2023-11-23T10:18:00Z</dcterms:created>
  <dcterms:modified xsi:type="dcterms:W3CDTF">2023-11-24T17:55:00Z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