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186C97" w:rsidRDefault="00C3318F" w:rsidP="00BD0DC2">
      <w:pPr>
        <w:pStyle w:val="BodyText"/>
        <w:widowControl/>
        <w:numPr>
          <w:ilvl w:val="0"/>
          <w:numId w:val="24"/>
        </w:numPr>
        <w:autoSpaceDE/>
        <w:autoSpaceDN/>
        <w:rPr>
          <w:rFonts w:ascii="Avenir Next" w:hAnsi="Avenir Next"/>
          <w:highlight w:val="yellow"/>
        </w:rPr>
      </w:pPr>
      <w:r w:rsidRPr="00186C97">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186C97" w:rsidRDefault="00957995" w:rsidP="00BD0DC2">
      <w:pPr>
        <w:pStyle w:val="BodyText"/>
        <w:widowControl/>
        <w:numPr>
          <w:ilvl w:val="0"/>
          <w:numId w:val="25"/>
        </w:numPr>
        <w:autoSpaceDE/>
        <w:autoSpaceDN/>
        <w:rPr>
          <w:rFonts w:ascii="Avenir Next" w:hAnsi="Avenir Next"/>
          <w:highlight w:val="yellow"/>
        </w:rPr>
      </w:pPr>
      <w:r w:rsidRPr="00186C97">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 xml:space="preserve">How many forms of security interests are </w:t>
      </w:r>
      <w:proofErr w:type="spellStart"/>
      <w:r w:rsidRPr="006E060C">
        <w:rPr>
          <w:rFonts w:ascii="Avenir Next" w:hAnsi="Avenir Next"/>
        </w:rPr>
        <w:t>recogni</w:t>
      </w:r>
      <w:r w:rsidR="00C37EE1" w:rsidRPr="006E060C">
        <w:rPr>
          <w:rFonts w:ascii="Avenir Next" w:hAnsi="Avenir Next"/>
        </w:rPr>
        <w:t>s</w:t>
      </w:r>
      <w:r w:rsidRPr="006E060C">
        <w:rPr>
          <w:rFonts w:ascii="Avenir Next" w:hAnsi="Avenir Next"/>
        </w:rPr>
        <w:t>ed</w:t>
      </w:r>
      <w:proofErr w:type="spellEnd"/>
      <w:r w:rsidRPr="006E060C">
        <w:rPr>
          <w:rFonts w:ascii="Avenir Next" w:hAnsi="Avenir Next"/>
        </w:rPr>
        <w:t xml:space="preserve">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186C97" w:rsidRDefault="001F2690" w:rsidP="00BD0DC2">
      <w:pPr>
        <w:pStyle w:val="BodyText"/>
        <w:widowControl/>
        <w:numPr>
          <w:ilvl w:val="0"/>
          <w:numId w:val="7"/>
        </w:numPr>
        <w:autoSpaceDE/>
        <w:autoSpaceDN/>
        <w:ind w:left="709" w:hanging="709"/>
        <w:rPr>
          <w:rFonts w:ascii="Avenir Next" w:hAnsi="Avenir Next"/>
          <w:highlight w:val="yellow"/>
        </w:rPr>
      </w:pPr>
      <w:r w:rsidRPr="00186C97">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186C97"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186C97">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186C97"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186C97">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186C97"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186C97">
        <w:rPr>
          <w:rFonts w:ascii="Avenir Next" w:hAnsi="Avenir Next"/>
          <w:highlight w:val="yellow"/>
          <w:lang w:val="en-GB"/>
        </w:rPr>
        <w:t>W</w:t>
      </w:r>
      <w:r w:rsidR="004A11A1" w:rsidRPr="00186C97">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186C97"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186C9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093C0B"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093C0B">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823E26"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823E26">
        <w:rPr>
          <w:rFonts w:ascii="Avenir Next" w:hAnsi="Avenir Next"/>
          <w:highlight w:val="yellow"/>
          <w:lang w:val="en-GB"/>
        </w:rPr>
        <w:t>within 21 days of the petition being filed</w:t>
      </w:r>
      <w:r w:rsidR="003721B7" w:rsidRPr="00823E26">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093C0B"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093C0B">
        <w:rPr>
          <w:rFonts w:ascii="Avenir Next" w:hAnsi="Avenir Next"/>
          <w:highlight w:val="yellow"/>
          <w:lang w:val="en-GB"/>
        </w:rPr>
        <w:t>c</w:t>
      </w:r>
      <w:r w:rsidR="004A11A1" w:rsidRPr="00093C0B">
        <w:rPr>
          <w:rFonts w:ascii="Avenir Next" w:hAnsi="Avenir Next"/>
          <w:highlight w:val="yellow"/>
          <w:lang w:val="en-GB"/>
        </w:rPr>
        <w:t>an only proceed if there are shareholders / creditors who may not agree with it</w:t>
      </w:r>
      <w:r w:rsidR="004A11A1" w:rsidRPr="00093C0B">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093C0B"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093C0B">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EE2C00"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EE2C00">
        <w:rPr>
          <w:rFonts w:ascii="Avenir Next" w:hAnsi="Avenir Next"/>
          <w:highlight w:val="yellow"/>
          <w:lang w:val="en-GB"/>
        </w:rPr>
        <w:t xml:space="preserve">The Cayman Islands </w:t>
      </w:r>
      <w:r w:rsidR="00512319" w:rsidRPr="00EE2C00">
        <w:rPr>
          <w:rFonts w:ascii="Avenir Next" w:hAnsi="Avenir Next"/>
          <w:highlight w:val="yellow"/>
          <w:lang w:val="en-GB"/>
        </w:rPr>
        <w:t>C</w:t>
      </w:r>
      <w:r w:rsidRPr="00EE2C00">
        <w:rPr>
          <w:rFonts w:ascii="Avenir Next" w:hAnsi="Avenir Next"/>
          <w:highlight w:val="yellow"/>
          <w:lang w:val="en-GB"/>
        </w:rPr>
        <w:t xml:space="preserve">ourt </w:t>
      </w:r>
      <w:proofErr w:type="gramStart"/>
      <w:r w:rsidRPr="00EE2C00">
        <w:rPr>
          <w:rFonts w:ascii="Avenir Next" w:hAnsi="Avenir Next"/>
          <w:highlight w:val="yellow"/>
          <w:lang w:val="en-GB"/>
        </w:rPr>
        <w:t>takes into account</w:t>
      </w:r>
      <w:proofErr w:type="gramEnd"/>
      <w:r w:rsidRPr="00EE2C00">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EE2C00" w:rsidRDefault="00BD0DC2" w:rsidP="00BD2F4B">
      <w:pPr>
        <w:numPr>
          <w:ilvl w:val="0"/>
          <w:numId w:val="27"/>
        </w:numPr>
        <w:ind w:left="709" w:hanging="709"/>
        <w:rPr>
          <w:rFonts w:cs="Calibri"/>
          <w:color w:val="000000"/>
          <w:highlight w:val="yellow"/>
          <w:lang w:val="en-ZA" w:eastAsia="en-GB"/>
        </w:rPr>
      </w:pPr>
      <w:r w:rsidRPr="00EE2C00">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EE2C00">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 xml:space="preserve">A voluntary liquidator can </w:t>
      </w:r>
      <w:proofErr w:type="gramStart"/>
      <w:r w:rsidRPr="006E060C">
        <w:rPr>
          <w:rFonts w:cs="Calibri"/>
          <w:color w:val="000000"/>
          <w:lang w:val="en-ZA" w:eastAsia="en-GB"/>
        </w:rPr>
        <w:t>be removed</w:t>
      </w:r>
      <w:proofErr w:type="gramEnd"/>
      <w:r w:rsidRPr="006E060C">
        <w:rPr>
          <w:rFonts w:cs="Calibri"/>
          <w:color w:val="000000"/>
          <w:lang w:val="en-ZA" w:eastAsia="en-GB"/>
        </w:rPr>
        <w:t xml:space="preserve">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EE2C00" w:rsidRDefault="00BD0DC2" w:rsidP="00BD2F4B">
      <w:pPr>
        <w:numPr>
          <w:ilvl w:val="0"/>
          <w:numId w:val="28"/>
        </w:numPr>
        <w:ind w:left="709" w:hanging="709"/>
        <w:rPr>
          <w:rFonts w:cs="Calibri"/>
          <w:color w:val="000000"/>
          <w:highlight w:val="yellow"/>
          <w:lang w:val="en-ZA" w:eastAsia="en-GB"/>
        </w:rPr>
      </w:pPr>
      <w:r w:rsidRPr="00EE2C00">
        <w:rPr>
          <w:rFonts w:cs="Calibri"/>
          <w:color w:val="000000"/>
          <w:highlight w:val="yellow"/>
          <w:lang w:val="en-ZA" w:eastAsia="en-GB"/>
        </w:rPr>
        <w:t xml:space="preserve">A valid contract (agreed between the company and the creditor) can have the effect of changing the otherwise statutory ranking of that creditors’ claim, such that the claim </w:t>
      </w:r>
      <w:proofErr w:type="gramStart"/>
      <w:r w:rsidRPr="00EE2C00">
        <w:rPr>
          <w:rFonts w:cs="Calibri"/>
          <w:color w:val="000000"/>
          <w:highlight w:val="yellow"/>
          <w:lang w:val="en-ZA" w:eastAsia="en-GB"/>
        </w:rPr>
        <w:t>is subordinated</w:t>
      </w:r>
      <w:proofErr w:type="gramEnd"/>
      <w:r w:rsidRPr="00EE2C00">
        <w:rPr>
          <w:rFonts w:cs="Calibri"/>
          <w:color w:val="000000"/>
          <w:highlight w:val="yellow"/>
          <w:lang w:val="en-ZA" w:eastAsia="en-GB"/>
        </w:rPr>
        <w:t>.</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F70E8B" w:rsidRDefault="00BD0DC2" w:rsidP="00BD2F4B">
      <w:pPr>
        <w:numPr>
          <w:ilvl w:val="0"/>
          <w:numId w:val="29"/>
        </w:numPr>
        <w:ind w:left="709" w:hanging="709"/>
        <w:rPr>
          <w:rFonts w:cs="Calibri"/>
          <w:color w:val="000000"/>
          <w:highlight w:val="yellow"/>
          <w:lang w:val="en-ZA" w:eastAsia="en-GB"/>
        </w:rPr>
      </w:pPr>
      <w:r w:rsidRPr="00F70E8B">
        <w:rPr>
          <w:rFonts w:cs="Calibri"/>
          <w:color w:val="000000"/>
          <w:highlight w:val="yellow"/>
          <w:lang w:val="en-ZA" w:eastAsia="en-GB"/>
        </w:rPr>
        <w:t xml:space="preserve">The report of an inspector can </w:t>
      </w:r>
      <w:proofErr w:type="gramStart"/>
      <w:r w:rsidRPr="00F70E8B">
        <w:rPr>
          <w:rFonts w:cs="Calibri"/>
          <w:color w:val="000000"/>
          <w:highlight w:val="yellow"/>
          <w:lang w:val="en-ZA" w:eastAsia="en-GB"/>
        </w:rPr>
        <w:t>be used</w:t>
      </w:r>
      <w:proofErr w:type="gramEnd"/>
      <w:r w:rsidRPr="00F70E8B">
        <w:rPr>
          <w:rFonts w:cs="Calibri"/>
          <w:color w:val="000000"/>
          <w:highlight w:val="yellow"/>
          <w:lang w:val="en-ZA" w:eastAsia="en-GB"/>
        </w:rPr>
        <w:t xml:space="preserve">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 xml:space="preserve">Upon the appointment of an inspector there is a stay of proceedings such that a winding up application cannot </w:t>
      </w:r>
      <w:proofErr w:type="gramStart"/>
      <w:r w:rsidRPr="006E060C">
        <w:rPr>
          <w:rFonts w:cs="Calibri"/>
          <w:color w:val="000000"/>
          <w:lang w:val="en-ZA" w:eastAsia="en-GB"/>
        </w:rPr>
        <w:t>be brought</w:t>
      </w:r>
      <w:proofErr w:type="gramEnd"/>
      <w:r w:rsidRPr="006E060C">
        <w:rPr>
          <w:rFonts w:cs="Calibri"/>
          <w:color w:val="000000"/>
          <w:lang w:val="en-ZA" w:eastAsia="en-GB"/>
        </w:rPr>
        <w: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F90D01" w:rsidRDefault="00BD0DC2" w:rsidP="00BD2F4B">
      <w:pPr>
        <w:numPr>
          <w:ilvl w:val="0"/>
          <w:numId w:val="30"/>
        </w:numPr>
        <w:ind w:left="709" w:hanging="709"/>
        <w:rPr>
          <w:rFonts w:cs="Calibri"/>
          <w:color w:val="000000"/>
          <w:highlight w:val="yellow"/>
          <w:lang w:val="en-ZA" w:eastAsia="en-GB"/>
        </w:rPr>
      </w:pPr>
      <w:r w:rsidRPr="00F90D01">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 xml:space="preserve">An ELP </w:t>
      </w:r>
      <w:proofErr w:type="gramStart"/>
      <w:r w:rsidRPr="006E060C">
        <w:rPr>
          <w:rFonts w:cs="Calibri"/>
          <w:color w:val="000000"/>
          <w:lang w:val="en-ZA" w:eastAsia="en-GB"/>
        </w:rPr>
        <w:t>is required</w:t>
      </w:r>
      <w:proofErr w:type="gramEnd"/>
      <w:r w:rsidRPr="006E060C">
        <w:rPr>
          <w:rFonts w:cs="Calibri"/>
          <w:color w:val="000000"/>
          <w:lang w:val="en-ZA" w:eastAsia="en-GB"/>
        </w:rPr>
        <w:t xml:space="preserve">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F70E8B" w:rsidRDefault="00BD0DC2" w:rsidP="00BD2F4B">
      <w:pPr>
        <w:numPr>
          <w:ilvl w:val="0"/>
          <w:numId w:val="31"/>
        </w:numPr>
        <w:ind w:left="709" w:hanging="709"/>
        <w:rPr>
          <w:rFonts w:cs="Calibri"/>
          <w:color w:val="000000"/>
          <w:highlight w:val="yellow"/>
          <w:lang w:val="en-ZA" w:eastAsia="en-GB"/>
        </w:rPr>
      </w:pPr>
      <w:r w:rsidRPr="00F70E8B">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 xml:space="preserve">A qualified insolvency practitioner </w:t>
      </w:r>
      <w:proofErr w:type="gramStart"/>
      <w:r w:rsidRPr="006E060C">
        <w:rPr>
          <w:rFonts w:cs="Calibri"/>
          <w:color w:val="000000"/>
          <w:lang w:val="en-ZA" w:eastAsia="en-GB"/>
        </w:rPr>
        <w:t>is required</w:t>
      </w:r>
      <w:proofErr w:type="gramEnd"/>
      <w:r w:rsidRPr="006E060C">
        <w:rPr>
          <w:rFonts w:cs="Calibri"/>
          <w:color w:val="000000"/>
          <w:lang w:val="en-ZA" w:eastAsia="en-GB"/>
        </w:rPr>
        <w:t xml:space="preserve">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 xml:space="preserve">Under Cayman Islands law, any new financing advanced during an informal creditor workout will </w:t>
      </w:r>
      <w:proofErr w:type="gramStart"/>
      <w:r w:rsidRPr="006E060C">
        <w:rPr>
          <w:rFonts w:cs="Calibri"/>
          <w:color w:val="000000"/>
          <w:lang w:val="en-ZA" w:eastAsia="en-GB"/>
        </w:rPr>
        <w:t>be provided</w:t>
      </w:r>
      <w:proofErr w:type="gramEnd"/>
      <w:r w:rsidRPr="006E060C">
        <w:rPr>
          <w:rFonts w:cs="Calibri"/>
          <w:color w:val="000000"/>
          <w:lang w:val="en-ZA" w:eastAsia="en-GB"/>
        </w:rPr>
        <w:t xml:space="preserve">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F90D01" w:rsidRDefault="00BD0DC2" w:rsidP="00BD2F4B">
      <w:pPr>
        <w:numPr>
          <w:ilvl w:val="0"/>
          <w:numId w:val="32"/>
        </w:numPr>
        <w:ind w:left="709" w:hanging="709"/>
        <w:rPr>
          <w:rFonts w:cs="Calibri"/>
          <w:color w:val="000000"/>
          <w:highlight w:val="yellow"/>
          <w:lang w:val="en-ZA" w:eastAsia="en-GB"/>
        </w:rPr>
      </w:pPr>
      <w:r w:rsidRPr="00F90D01">
        <w:rPr>
          <w:rFonts w:cs="Calibri"/>
          <w:color w:val="000000"/>
          <w:highlight w:val="yellow"/>
          <w:lang w:val="en-ZA" w:eastAsia="en-GB"/>
        </w:rPr>
        <w:t xml:space="preserve">A winding up petition must </w:t>
      </w:r>
      <w:proofErr w:type="gramStart"/>
      <w:r w:rsidRPr="00F90D01">
        <w:rPr>
          <w:rFonts w:cs="Calibri"/>
          <w:color w:val="000000"/>
          <w:highlight w:val="yellow"/>
          <w:lang w:val="en-ZA" w:eastAsia="en-GB"/>
        </w:rPr>
        <w:t>be presented</w:t>
      </w:r>
      <w:proofErr w:type="gramEnd"/>
      <w:r w:rsidRPr="00F90D01">
        <w:rPr>
          <w:rFonts w:cs="Calibri"/>
          <w:color w:val="000000"/>
          <w:highlight w:val="yellow"/>
          <w:lang w:val="en-ZA" w:eastAsia="en-GB"/>
        </w:rPr>
        <w:t xml:space="preserve"> as a precursor to the application for the provisional liquidation</w:t>
      </w:r>
      <w:r w:rsidR="00BD2F4B" w:rsidRPr="00F90D01">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 xml:space="preserve">An official liquidator can set aside dispositions that seek to prefer one creditor over other creditors within how </w:t>
      </w:r>
      <w:proofErr w:type="gramStart"/>
      <w:r w:rsidRPr="006E060C">
        <w:rPr>
          <w:rFonts w:cs="Calibri"/>
          <w:color w:val="000000"/>
          <w:lang w:val="en-ZA" w:eastAsia="en-GB"/>
        </w:rPr>
        <w:t>many</w:t>
      </w:r>
      <w:proofErr w:type="gramEnd"/>
      <w:r w:rsidRPr="006E060C">
        <w:rPr>
          <w:rFonts w:cs="Calibri"/>
          <w:color w:val="000000"/>
          <w:lang w:val="en-ZA" w:eastAsia="en-GB"/>
        </w:rPr>
        <w:t xml:space="preserve">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F90D01" w:rsidRDefault="00BD0DC2" w:rsidP="00BD2F4B">
      <w:pPr>
        <w:numPr>
          <w:ilvl w:val="0"/>
          <w:numId w:val="34"/>
        </w:numPr>
        <w:ind w:left="709" w:hanging="709"/>
        <w:jc w:val="left"/>
        <w:rPr>
          <w:rFonts w:cs="Calibri"/>
          <w:color w:val="000000"/>
          <w:highlight w:val="yellow"/>
          <w:lang w:val="en-ZA" w:eastAsia="en-GB"/>
        </w:rPr>
      </w:pPr>
      <w:r w:rsidRPr="00F90D01">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F90D01" w:rsidRDefault="00BD0DC2" w:rsidP="00BD2F4B">
      <w:pPr>
        <w:numPr>
          <w:ilvl w:val="0"/>
          <w:numId w:val="33"/>
        </w:numPr>
        <w:ind w:left="709" w:hanging="709"/>
        <w:jc w:val="left"/>
        <w:rPr>
          <w:rFonts w:cs="Calibri"/>
          <w:color w:val="000000"/>
          <w:highlight w:val="yellow"/>
          <w:lang w:val="en-ZA" w:eastAsia="en-GB"/>
        </w:rPr>
      </w:pPr>
      <w:r w:rsidRPr="00F90D01">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Bluesea,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75E40D97" w14:textId="77777777" w:rsidR="003520C3" w:rsidRDefault="003520C3" w:rsidP="004815C2">
      <w:pPr>
        <w:pStyle w:val="BodyText"/>
        <w:ind w:firstLine="0"/>
        <w:rPr>
          <w:rFonts w:ascii="Avenir Next" w:hAnsi="Avenir Next"/>
          <w:b/>
          <w:bCs/>
        </w:rPr>
      </w:pPr>
    </w:p>
    <w:p w14:paraId="2A85B4D9" w14:textId="2F94AE00" w:rsidR="003520C3" w:rsidRPr="00342258" w:rsidRDefault="003520C3" w:rsidP="00B00C4E">
      <w:pPr>
        <w:pStyle w:val="BodyText"/>
        <w:spacing w:after="120"/>
        <w:ind w:left="706" w:hanging="706"/>
        <w:jc w:val="both"/>
        <w:rPr>
          <w:rFonts w:ascii="Avenir Next" w:hAnsi="Avenir Next"/>
          <w:b/>
          <w:bCs/>
          <w:i/>
          <w:iCs/>
        </w:rPr>
      </w:pPr>
      <w:r w:rsidRPr="00342258">
        <w:rPr>
          <w:rFonts w:ascii="Avenir Next" w:hAnsi="Avenir Next"/>
          <w:b/>
          <w:bCs/>
          <w:i/>
          <w:iCs/>
        </w:rPr>
        <w:t>Answer:</w:t>
      </w:r>
    </w:p>
    <w:p w14:paraId="31224B0A" w14:textId="5F6C3655" w:rsidR="003520C3" w:rsidRPr="00DB5891" w:rsidRDefault="003520C3" w:rsidP="00922A76">
      <w:pPr>
        <w:pStyle w:val="BodyText"/>
        <w:spacing w:after="120"/>
        <w:ind w:left="709" w:hanging="709"/>
        <w:contextualSpacing/>
        <w:jc w:val="both"/>
        <w:rPr>
          <w:rFonts w:ascii="Avenir Next" w:hAnsi="Avenir Next"/>
        </w:rPr>
      </w:pPr>
      <w:r w:rsidRPr="00DB5891">
        <w:rPr>
          <w:rFonts w:ascii="Avenir Next" w:hAnsi="Avenir Next"/>
        </w:rPr>
        <w:t>As set out in O</w:t>
      </w:r>
      <w:r w:rsidR="00FB4379">
        <w:rPr>
          <w:rFonts w:ascii="Avenir Next" w:hAnsi="Avenir Next"/>
        </w:rPr>
        <w:t xml:space="preserve">.3, </w:t>
      </w:r>
      <w:r w:rsidRPr="00DB5891">
        <w:rPr>
          <w:rFonts w:ascii="Avenir Next" w:hAnsi="Avenir Next"/>
        </w:rPr>
        <w:t>r</w:t>
      </w:r>
      <w:r w:rsidR="00FB4379">
        <w:rPr>
          <w:rFonts w:ascii="Avenir Next" w:hAnsi="Avenir Next"/>
        </w:rPr>
        <w:t>.</w:t>
      </w:r>
      <w:r w:rsidRPr="00DB5891">
        <w:rPr>
          <w:rFonts w:ascii="Avenir Next" w:hAnsi="Avenir Next"/>
        </w:rPr>
        <w:t xml:space="preserve"> 4 (1) of the Cayman Islands Companies Winding Up Rules </w:t>
      </w:r>
    </w:p>
    <w:p w14:paraId="282D42DC" w14:textId="1859A791" w:rsidR="003520C3" w:rsidRPr="00DB5891" w:rsidRDefault="003520C3" w:rsidP="00922A76">
      <w:pPr>
        <w:pStyle w:val="BodyText"/>
        <w:spacing w:after="120"/>
        <w:ind w:firstLine="0"/>
        <w:contextualSpacing/>
        <w:jc w:val="both"/>
        <w:rPr>
          <w:rFonts w:ascii="Avenir Next" w:hAnsi="Avenir Next"/>
        </w:rPr>
      </w:pPr>
      <w:r w:rsidRPr="00DB5891">
        <w:rPr>
          <w:rFonts w:ascii="Avenir Next" w:hAnsi="Avenir Next"/>
        </w:rPr>
        <w:t>(2023 Consolidation)</w:t>
      </w:r>
      <w:r w:rsidR="00DB5891" w:rsidRPr="00DB5891">
        <w:rPr>
          <w:rFonts w:ascii="Avenir Next" w:hAnsi="Avenir Next"/>
        </w:rPr>
        <w:t xml:space="preserve">, </w:t>
      </w:r>
      <w:r w:rsidRPr="00DB5891">
        <w:rPr>
          <w:rFonts w:ascii="Avenir Next" w:hAnsi="Avenir Next"/>
        </w:rPr>
        <w:t xml:space="preserve">every winding up petition shall be supported by an </w:t>
      </w:r>
    </w:p>
    <w:p w14:paraId="770EBEE7" w14:textId="1CC1516B" w:rsidR="003520C3" w:rsidRPr="00DB5891" w:rsidRDefault="003520C3" w:rsidP="00922A76">
      <w:pPr>
        <w:pStyle w:val="BodyText"/>
        <w:spacing w:after="120"/>
        <w:ind w:left="706" w:hanging="706"/>
        <w:jc w:val="both"/>
        <w:rPr>
          <w:rFonts w:ascii="Avenir Next" w:hAnsi="Avenir Next"/>
        </w:rPr>
      </w:pPr>
      <w:r w:rsidRPr="00DB5891">
        <w:rPr>
          <w:rFonts w:ascii="Avenir Next" w:hAnsi="Avenir Next"/>
        </w:rPr>
        <w:t xml:space="preserve">affidavit sworn by the person or persons nominated for appointment as official liquidator. </w:t>
      </w:r>
    </w:p>
    <w:p w14:paraId="7355D505" w14:textId="2E6395ED" w:rsidR="003520C3" w:rsidRPr="00DB5891" w:rsidRDefault="003520C3" w:rsidP="00922A76">
      <w:pPr>
        <w:pStyle w:val="BodyText"/>
        <w:spacing w:after="120"/>
        <w:ind w:left="706" w:hanging="706"/>
        <w:jc w:val="both"/>
        <w:rPr>
          <w:rFonts w:ascii="Avenir Next" w:hAnsi="Avenir Next"/>
        </w:rPr>
      </w:pPr>
      <w:r w:rsidRPr="00DB5891">
        <w:rPr>
          <w:rFonts w:ascii="Avenir Next" w:hAnsi="Avenir Next"/>
        </w:rPr>
        <w:t>The affidavit must contain the following information:</w:t>
      </w:r>
    </w:p>
    <w:p w14:paraId="42F8AEEF" w14:textId="0787D7C0" w:rsidR="003520C3" w:rsidRPr="00DB5891" w:rsidRDefault="00DF4D71" w:rsidP="00922A76">
      <w:pPr>
        <w:pStyle w:val="BodyText"/>
        <w:numPr>
          <w:ilvl w:val="0"/>
          <w:numId w:val="39"/>
        </w:numPr>
        <w:spacing w:after="120"/>
        <w:contextualSpacing/>
        <w:jc w:val="both"/>
        <w:rPr>
          <w:rFonts w:ascii="Avenir Next" w:hAnsi="Avenir Next"/>
        </w:rPr>
      </w:pPr>
      <w:r w:rsidRPr="00DB5891">
        <w:rPr>
          <w:rFonts w:ascii="Avenir Next" w:hAnsi="Avenir Next"/>
        </w:rPr>
        <w:t>A statement that he/she is a qualified insolvency practitioner (“IP”) within the meaning of the Insolvency Practitioners’ Regulations (“IPR”</w:t>
      </w:r>
      <w:proofErr w:type="gramStart"/>
      <w:r w:rsidRPr="00DB5891">
        <w:rPr>
          <w:rFonts w:ascii="Avenir Next" w:hAnsi="Avenir Next"/>
        </w:rPr>
        <w:t>);</w:t>
      </w:r>
      <w:proofErr w:type="gramEnd"/>
      <w:r w:rsidRPr="00DB5891">
        <w:rPr>
          <w:rFonts w:ascii="Avenir Next" w:hAnsi="Avenir Next"/>
        </w:rPr>
        <w:t xml:space="preserve"> </w:t>
      </w:r>
    </w:p>
    <w:p w14:paraId="3AFB63B6" w14:textId="3013159F" w:rsidR="00DF4D71" w:rsidRPr="00DB5891" w:rsidRDefault="00DF4D71" w:rsidP="00922A76">
      <w:pPr>
        <w:pStyle w:val="BodyText"/>
        <w:numPr>
          <w:ilvl w:val="0"/>
          <w:numId w:val="39"/>
        </w:numPr>
        <w:spacing w:after="120"/>
        <w:contextualSpacing/>
        <w:jc w:val="both"/>
        <w:rPr>
          <w:rFonts w:ascii="Avenir Next" w:hAnsi="Avenir Next"/>
        </w:rPr>
      </w:pPr>
      <w:r w:rsidRPr="00DB5891">
        <w:rPr>
          <w:rFonts w:ascii="Avenir Next" w:hAnsi="Avenir Next"/>
        </w:rPr>
        <w:t xml:space="preserve">A statement that he/she meets the residency requirement contained in Regulation 5 of the </w:t>
      </w:r>
      <w:proofErr w:type="gramStart"/>
      <w:r w:rsidRPr="00DB5891">
        <w:rPr>
          <w:rFonts w:ascii="Avenir Next" w:hAnsi="Avenir Next"/>
        </w:rPr>
        <w:t>IPR;</w:t>
      </w:r>
      <w:proofErr w:type="gramEnd"/>
    </w:p>
    <w:p w14:paraId="65B8E89F" w14:textId="454D1964" w:rsidR="00DF4D71" w:rsidRPr="00DB5891" w:rsidRDefault="00DF4D71" w:rsidP="00922A76">
      <w:pPr>
        <w:pStyle w:val="BodyText"/>
        <w:numPr>
          <w:ilvl w:val="0"/>
          <w:numId w:val="39"/>
        </w:numPr>
        <w:spacing w:after="120"/>
        <w:contextualSpacing/>
        <w:jc w:val="both"/>
        <w:rPr>
          <w:rFonts w:ascii="Avenir Next" w:hAnsi="Avenir Next"/>
        </w:rPr>
      </w:pPr>
      <w:r w:rsidRPr="00DB5891">
        <w:rPr>
          <w:rFonts w:ascii="Avenir Next" w:hAnsi="Avenir Next"/>
        </w:rPr>
        <w:t xml:space="preserve">A confirmation that the person has </w:t>
      </w:r>
      <w:proofErr w:type="gramStart"/>
      <w:r w:rsidRPr="00DB5891">
        <w:rPr>
          <w:rFonts w:ascii="Avenir Next" w:hAnsi="Avenir Next"/>
        </w:rPr>
        <w:t>made due</w:t>
      </w:r>
      <w:proofErr w:type="gramEnd"/>
      <w:r w:rsidRPr="00DB5891">
        <w:rPr>
          <w:rFonts w:ascii="Avenir Next" w:hAnsi="Avenir Next"/>
        </w:rPr>
        <w:t xml:space="preserve"> enquiry and believes that he/she and their firm meet the independence requirement in Regulation 6 of the IPR;</w:t>
      </w:r>
    </w:p>
    <w:p w14:paraId="12D519DF" w14:textId="35D5BC31" w:rsidR="00DF4D71" w:rsidRPr="00DB5891" w:rsidRDefault="00DF4D71" w:rsidP="00922A76">
      <w:pPr>
        <w:pStyle w:val="BodyText"/>
        <w:numPr>
          <w:ilvl w:val="0"/>
          <w:numId w:val="39"/>
        </w:numPr>
        <w:spacing w:after="120"/>
        <w:contextualSpacing/>
        <w:jc w:val="both"/>
        <w:rPr>
          <w:rFonts w:ascii="Avenir Next" w:hAnsi="Avenir Next"/>
        </w:rPr>
      </w:pPr>
      <w:r w:rsidRPr="00DB5891">
        <w:rPr>
          <w:rFonts w:ascii="Avenir Next" w:hAnsi="Avenir Next"/>
        </w:rPr>
        <w:t xml:space="preserve">A confirmation that he/she and/or their firm </w:t>
      </w:r>
      <w:r w:rsidR="00823E26">
        <w:rPr>
          <w:rFonts w:ascii="Avenir Next" w:hAnsi="Avenir Next"/>
        </w:rPr>
        <w:t xml:space="preserve">comply </w:t>
      </w:r>
      <w:r w:rsidRPr="00DB5891">
        <w:rPr>
          <w:rFonts w:ascii="Avenir Next" w:hAnsi="Avenir Next"/>
        </w:rPr>
        <w:t xml:space="preserve">with the insurance requirement contained in Regulation 7 of the IPR; and </w:t>
      </w:r>
    </w:p>
    <w:p w14:paraId="5C6C3BCB" w14:textId="427E1A47" w:rsidR="00DF4D71" w:rsidRPr="00DB5891" w:rsidRDefault="00DF4D71" w:rsidP="00922A76">
      <w:pPr>
        <w:pStyle w:val="BodyText"/>
        <w:numPr>
          <w:ilvl w:val="0"/>
          <w:numId w:val="39"/>
        </w:numPr>
        <w:spacing w:after="120"/>
        <w:contextualSpacing/>
        <w:jc w:val="both"/>
        <w:rPr>
          <w:rFonts w:ascii="Avenir Next" w:hAnsi="Avenir Next"/>
        </w:rPr>
      </w:pPr>
      <w:r w:rsidRPr="00DB5891">
        <w:rPr>
          <w:rFonts w:ascii="Avenir Next" w:hAnsi="Avenir Next"/>
        </w:rPr>
        <w:t xml:space="preserve">A statement that the person is willing to act as official liquidator if appointed. </w:t>
      </w:r>
    </w:p>
    <w:p w14:paraId="3CF6764C" w14:textId="77777777" w:rsidR="002A2B0D" w:rsidRPr="002A2B0D" w:rsidRDefault="002A2B0D" w:rsidP="004815C2">
      <w:pPr>
        <w:pStyle w:val="BodyText"/>
        <w:ind w:firstLine="0"/>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AA12516" w14:textId="77777777" w:rsidR="00A51058" w:rsidRDefault="00A51058" w:rsidP="004815C2">
      <w:pPr>
        <w:pStyle w:val="BodyText"/>
        <w:ind w:firstLine="0"/>
        <w:rPr>
          <w:rFonts w:ascii="Avenir Next" w:hAnsi="Avenir Next"/>
          <w:b/>
          <w:bCs/>
        </w:rPr>
      </w:pPr>
    </w:p>
    <w:p w14:paraId="0D0105DF" w14:textId="2BAD7E97" w:rsidR="00BD18B0" w:rsidRPr="00D44DF8" w:rsidRDefault="00BD18B0" w:rsidP="00B00C4E">
      <w:pPr>
        <w:pStyle w:val="BodyText"/>
        <w:spacing w:after="120"/>
        <w:ind w:left="706" w:hanging="706"/>
        <w:rPr>
          <w:rFonts w:ascii="Avenir Next" w:hAnsi="Avenir Next"/>
          <w:b/>
          <w:bCs/>
          <w:i/>
          <w:iCs/>
        </w:rPr>
      </w:pPr>
      <w:r w:rsidRPr="00D44DF8">
        <w:rPr>
          <w:rFonts w:ascii="Avenir Next" w:hAnsi="Avenir Next"/>
          <w:b/>
          <w:bCs/>
          <w:i/>
          <w:iCs/>
        </w:rPr>
        <w:t>Answer:</w:t>
      </w:r>
    </w:p>
    <w:p w14:paraId="4ED63748" w14:textId="77777777" w:rsidR="004815C2" w:rsidRPr="003F3986" w:rsidRDefault="00B00C4E" w:rsidP="004815C2">
      <w:pPr>
        <w:pStyle w:val="BodyText"/>
        <w:numPr>
          <w:ilvl w:val="0"/>
          <w:numId w:val="66"/>
        </w:numPr>
        <w:spacing w:after="120"/>
        <w:jc w:val="both"/>
        <w:rPr>
          <w:rFonts w:ascii="Avenir Next" w:hAnsi="Avenir Next"/>
        </w:rPr>
      </w:pPr>
      <w:r w:rsidRPr="003F3986">
        <w:rPr>
          <w:rFonts w:ascii="Avenir Next" w:hAnsi="Avenir Next"/>
        </w:rPr>
        <w:t xml:space="preserve">The proposed liquidators will </w:t>
      </w:r>
      <w:r w:rsidRPr="003F3986">
        <w:rPr>
          <w:rFonts w:ascii="Avenir Next" w:hAnsi="Avenir Next"/>
          <w:i/>
          <w:iCs/>
        </w:rPr>
        <w:t xml:space="preserve">not </w:t>
      </w:r>
      <w:r w:rsidRPr="003F3986">
        <w:rPr>
          <w:rFonts w:ascii="Avenir Next" w:hAnsi="Avenir Next"/>
        </w:rPr>
        <w:t>be able to act in relation to Bluesea. Explanations are detailed below.</w:t>
      </w:r>
    </w:p>
    <w:p w14:paraId="1B3D02AE" w14:textId="76188E6B" w:rsidR="00BD18B0" w:rsidRPr="003F3986" w:rsidRDefault="00BD18B0" w:rsidP="004815C2">
      <w:pPr>
        <w:pStyle w:val="BodyText"/>
        <w:numPr>
          <w:ilvl w:val="0"/>
          <w:numId w:val="66"/>
        </w:numPr>
        <w:spacing w:after="120"/>
        <w:jc w:val="both"/>
        <w:rPr>
          <w:rFonts w:ascii="Avenir Next" w:hAnsi="Avenir Next"/>
        </w:rPr>
      </w:pPr>
      <w:r w:rsidRPr="003F3986">
        <w:rPr>
          <w:rFonts w:ascii="Avenir Next" w:hAnsi="Avenir Next"/>
        </w:rPr>
        <w:t xml:space="preserve">The Insolvency Practitioners’ Regulations set out </w:t>
      </w:r>
      <w:r w:rsidR="00823E26" w:rsidRPr="003F3986">
        <w:rPr>
          <w:rFonts w:ascii="Avenir Next" w:hAnsi="Avenir Next"/>
        </w:rPr>
        <w:t xml:space="preserve">several </w:t>
      </w:r>
      <w:r w:rsidR="004815C2" w:rsidRPr="003F3986">
        <w:rPr>
          <w:rFonts w:ascii="Avenir Next" w:hAnsi="Avenir Next"/>
        </w:rPr>
        <w:t>prerequisites</w:t>
      </w:r>
      <w:r w:rsidRPr="003F3986">
        <w:rPr>
          <w:rFonts w:ascii="Avenir Next" w:hAnsi="Avenir Next"/>
        </w:rPr>
        <w:t xml:space="preserve"> that </w:t>
      </w:r>
      <w:r w:rsidR="00823E26" w:rsidRPr="003F3986">
        <w:rPr>
          <w:rFonts w:ascii="Avenir Next" w:hAnsi="Avenir Next"/>
        </w:rPr>
        <w:t>must be satisfied</w:t>
      </w:r>
      <w:r w:rsidRPr="003F3986">
        <w:rPr>
          <w:rFonts w:ascii="Avenir Next" w:hAnsi="Avenir Next"/>
        </w:rPr>
        <w:t xml:space="preserve"> for </w:t>
      </w:r>
      <w:r w:rsidR="00823E26" w:rsidRPr="003F3986">
        <w:rPr>
          <w:rFonts w:ascii="Avenir Next" w:hAnsi="Avenir Next"/>
        </w:rPr>
        <w:t>an individual</w:t>
      </w:r>
      <w:r w:rsidRPr="003F3986">
        <w:rPr>
          <w:rFonts w:ascii="Avenir Next" w:hAnsi="Avenir Next"/>
        </w:rPr>
        <w:t xml:space="preserve"> to be eligible to act as an official liquidator. Regulation 6 states that:</w:t>
      </w:r>
    </w:p>
    <w:p w14:paraId="2F0454B3" w14:textId="073CDDFF" w:rsidR="00B00C4E" w:rsidRPr="003F3986" w:rsidRDefault="00B00C4E" w:rsidP="004815C2">
      <w:pPr>
        <w:pStyle w:val="ListParagraph"/>
        <w:numPr>
          <w:ilvl w:val="0"/>
          <w:numId w:val="67"/>
        </w:numPr>
        <w:spacing w:after="120" w:line="240" w:lineRule="auto"/>
        <w:rPr>
          <w:rFonts w:ascii="Avenir Next" w:eastAsia="Arial" w:hAnsi="Avenir Next"/>
        </w:rPr>
      </w:pPr>
      <w:r w:rsidRPr="003F3986">
        <w:rPr>
          <w:rFonts w:ascii="Avenir Next" w:eastAsia="Arial" w:hAnsi="Avenir Next"/>
        </w:rPr>
        <w:t>A qualified insolvency practitioner shall not be appointed by the Court as official liquidator of a company unless that person can be properly regarded as independent as regards that company.</w:t>
      </w:r>
    </w:p>
    <w:p w14:paraId="790507BC" w14:textId="7FAAB390" w:rsidR="00B00C4E" w:rsidRPr="003F3986" w:rsidRDefault="00B00C4E" w:rsidP="004815C2">
      <w:pPr>
        <w:pStyle w:val="ListParagraph"/>
        <w:numPr>
          <w:ilvl w:val="0"/>
          <w:numId w:val="67"/>
        </w:numPr>
        <w:spacing w:after="120" w:line="240" w:lineRule="auto"/>
        <w:contextualSpacing w:val="0"/>
        <w:rPr>
          <w:rFonts w:ascii="Avenir Next" w:eastAsia="Arial" w:hAnsi="Avenir Next"/>
        </w:rPr>
      </w:pPr>
      <w:r w:rsidRPr="003F3986">
        <w:rPr>
          <w:rFonts w:ascii="Avenir Next" w:eastAsia="Arial" w:hAnsi="Avenir Next"/>
        </w:rPr>
        <w:t xml:space="preserve"> A qualified insolvency practitioner shall not be regarded as independent if,within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29C61F70" w14:textId="6B1EC5EB" w:rsidR="00342258" w:rsidRPr="003F3986" w:rsidRDefault="00B00C4E" w:rsidP="004815C2">
      <w:pPr>
        <w:pStyle w:val="BodyText"/>
        <w:numPr>
          <w:ilvl w:val="0"/>
          <w:numId w:val="66"/>
        </w:numPr>
        <w:spacing w:after="120"/>
        <w:jc w:val="both"/>
        <w:rPr>
          <w:rFonts w:ascii="Avenir Next" w:hAnsi="Avenir Next"/>
        </w:rPr>
      </w:pPr>
      <w:proofErr w:type="gramStart"/>
      <w:r w:rsidRPr="003F3986">
        <w:rPr>
          <w:rFonts w:ascii="Avenir Next" w:hAnsi="Avenir Next"/>
        </w:rPr>
        <w:t>Due to the fact that</w:t>
      </w:r>
      <w:proofErr w:type="gramEnd"/>
      <w:r w:rsidRPr="003F3986">
        <w:rPr>
          <w:rFonts w:ascii="Avenir Next" w:hAnsi="Avenir Next"/>
        </w:rPr>
        <w:t xml:space="preserve"> that Bodden &amp; Ebanks Limited previously acted as auditors of Bluesea in 2021, which is within 3 years immediately preceding the commencement of the liquidation, the proposed liquidators cannot be regarded as independent. Thus, they will not </w:t>
      </w:r>
      <w:r w:rsidR="00342258" w:rsidRPr="003F3986">
        <w:rPr>
          <w:rFonts w:ascii="Avenir Next" w:hAnsi="Avenir Next"/>
        </w:rPr>
        <w:t>be permitted to</w:t>
      </w:r>
      <w:r w:rsidRPr="003F3986">
        <w:rPr>
          <w:rFonts w:ascii="Avenir Next" w:hAnsi="Avenir Next"/>
        </w:rPr>
        <w:t xml:space="preserve"> act as official liquidators. </w:t>
      </w:r>
    </w:p>
    <w:p w14:paraId="17B1C9B4" w14:textId="55A93255" w:rsidR="00823E26" w:rsidRPr="003F3986" w:rsidRDefault="00342258" w:rsidP="004815C2">
      <w:pPr>
        <w:pStyle w:val="ListParagraph"/>
        <w:numPr>
          <w:ilvl w:val="0"/>
          <w:numId w:val="66"/>
        </w:numPr>
        <w:rPr>
          <w:rFonts w:ascii="Avenir Next" w:eastAsia="Arial" w:hAnsi="Avenir Next"/>
        </w:rPr>
      </w:pPr>
      <w:r w:rsidRPr="003F3986">
        <w:rPr>
          <w:rFonts w:ascii="Avenir Next" w:eastAsia="Arial" w:hAnsi="Avenir Next"/>
        </w:rPr>
        <w:t xml:space="preserve">The proposed liquidators should withdraw their consents to act and resign immediately. </w:t>
      </w:r>
    </w:p>
    <w:p w14:paraId="32238067" w14:textId="77777777" w:rsidR="00823E26" w:rsidRDefault="00823E26" w:rsidP="00586B0F">
      <w:pPr>
        <w:tabs>
          <w:tab w:val="right" w:pos="9021"/>
        </w:tabs>
        <w:rPr>
          <w:rFonts w:ascii="Avenir Next Demi Bold" w:hAnsi="Avenir Next Demi Bold"/>
          <w:b/>
          <w:bCs/>
          <w:color w:val="000000" w:themeColor="text1"/>
          <w:lang w:val="en-GB"/>
        </w:rPr>
      </w:pPr>
    </w:p>
    <w:p w14:paraId="103A57B9" w14:textId="1A93C61A"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155E6BDA" w14:textId="3D45B8CE" w:rsidR="00586B0F" w:rsidRPr="004815C2" w:rsidRDefault="00586B0F" w:rsidP="004815C2">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625C5040" w14:textId="77777777" w:rsidR="00586B0F" w:rsidRDefault="00586B0F" w:rsidP="00586B0F"/>
    <w:p w14:paraId="30070286" w14:textId="54F74736" w:rsidR="00342258" w:rsidRDefault="00342258" w:rsidP="00342258">
      <w:pPr>
        <w:spacing w:after="120"/>
        <w:rPr>
          <w:b/>
          <w:bCs/>
          <w:i/>
          <w:iCs/>
        </w:rPr>
      </w:pPr>
      <w:r w:rsidRPr="00342258">
        <w:rPr>
          <w:b/>
          <w:bCs/>
          <w:i/>
          <w:iCs/>
        </w:rPr>
        <w:t>Answer:</w:t>
      </w:r>
    </w:p>
    <w:p w14:paraId="4AB8B5B2" w14:textId="239868A7" w:rsidR="00342258" w:rsidRPr="00712CAA" w:rsidRDefault="00342258" w:rsidP="00586B0F">
      <w:r w:rsidRPr="00712CAA">
        <w:t xml:space="preserve">Tom and Jerry do not need any qualifications to act as voluntary liquidators. Any person can be appointed as a voluntary liquidator.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6A18A7A2" w14:textId="5216A3BA" w:rsidR="00586B0F" w:rsidRPr="004815C2" w:rsidRDefault="00586B0F" w:rsidP="004815C2">
      <w:pPr>
        <w:tabs>
          <w:tab w:val="right" w:pos="9021"/>
        </w:tabs>
      </w:pPr>
      <w:r w:rsidRPr="00712CAA">
        <w:t>List the statutory steps Tom and Jerry must take within 28 days of their appointment, as set out in the Companies Act.</w:t>
      </w:r>
      <w:r>
        <w:tab/>
        <w:t xml:space="preserve"> </w:t>
      </w:r>
      <w:r w:rsidRPr="0040178F">
        <w:rPr>
          <w:rFonts w:ascii="Avenir Next Demi Bold" w:hAnsi="Avenir Next Demi Bold"/>
          <w:b/>
          <w:bCs/>
        </w:rPr>
        <w:t>(2)</w:t>
      </w:r>
    </w:p>
    <w:p w14:paraId="3A898394" w14:textId="77777777" w:rsidR="00FB4379" w:rsidRDefault="00FB4379" w:rsidP="00586B0F">
      <w:pPr>
        <w:pStyle w:val="BodyText"/>
        <w:ind w:firstLine="0"/>
        <w:rPr>
          <w:rFonts w:ascii="Avenir Next" w:hAnsi="Avenir Next"/>
          <w:color w:val="808080" w:themeColor="background1" w:themeShade="80"/>
        </w:rPr>
      </w:pPr>
    </w:p>
    <w:p w14:paraId="61F2995A" w14:textId="30D90675" w:rsidR="00FB4379" w:rsidRPr="00D44DF8" w:rsidRDefault="00FB4379" w:rsidP="00FB4379">
      <w:pPr>
        <w:spacing w:after="120"/>
        <w:rPr>
          <w:b/>
          <w:bCs/>
          <w:i/>
          <w:iCs/>
        </w:rPr>
      </w:pPr>
      <w:r w:rsidRPr="00D44DF8">
        <w:rPr>
          <w:b/>
          <w:bCs/>
          <w:i/>
          <w:iCs/>
        </w:rPr>
        <w:t>Answer</w:t>
      </w:r>
      <w:r w:rsidR="00D44DF8" w:rsidRPr="00D44DF8">
        <w:rPr>
          <w:b/>
          <w:bCs/>
          <w:i/>
          <w:iCs/>
        </w:rPr>
        <w:t>:</w:t>
      </w:r>
      <w:r w:rsidRPr="00D44DF8">
        <w:rPr>
          <w:b/>
          <w:bCs/>
          <w:i/>
          <w:iCs/>
        </w:rPr>
        <w:t xml:space="preserve"> </w:t>
      </w:r>
    </w:p>
    <w:p w14:paraId="254E2A1D" w14:textId="754C6C83" w:rsidR="00FB4379" w:rsidRPr="003F3986" w:rsidRDefault="00922A76" w:rsidP="00FB4379">
      <w:pPr>
        <w:spacing w:after="120"/>
      </w:pPr>
      <w:r w:rsidRPr="003F3986">
        <w:t xml:space="preserve">Section 123 of the Companies Act </w:t>
      </w:r>
      <w:r w:rsidR="00FB4379" w:rsidRPr="003F3986">
        <w:t xml:space="preserve">specifies that within 28 days of the appointment of the voluntary liquidators, the voluntary liquidators </w:t>
      </w:r>
      <w:proofErr w:type="gramStart"/>
      <w:r w:rsidR="00FB4379" w:rsidRPr="003F3986">
        <w:t>shall</w:t>
      </w:r>
      <w:proofErr w:type="gramEnd"/>
      <w:r w:rsidR="003F3986">
        <w:t xml:space="preserve"> </w:t>
      </w:r>
      <w:r w:rsidRPr="003F3986">
        <w:t xml:space="preserve"> </w:t>
      </w:r>
    </w:p>
    <w:p w14:paraId="3C80F1A9" w14:textId="64302C83" w:rsidR="00922A76" w:rsidRPr="003F3986" w:rsidRDefault="00922A76" w:rsidP="00922A76">
      <w:pPr>
        <w:pStyle w:val="ListParagraph"/>
        <w:numPr>
          <w:ilvl w:val="0"/>
          <w:numId w:val="63"/>
        </w:numPr>
        <w:rPr>
          <w:rFonts w:ascii="Avenir Next" w:hAnsi="Avenir Next"/>
        </w:rPr>
      </w:pPr>
      <w:r w:rsidRPr="003F3986">
        <w:rPr>
          <w:rFonts w:ascii="Avenir Next" w:hAnsi="Avenir Next"/>
        </w:rPr>
        <w:t>file notice of the winding up with the Registrar;</w:t>
      </w:r>
    </w:p>
    <w:p w14:paraId="39C3A75A" w14:textId="568D1B89" w:rsidR="00922A76" w:rsidRPr="003F3986" w:rsidRDefault="00922A76" w:rsidP="00922A76">
      <w:pPr>
        <w:pStyle w:val="ListParagraph"/>
        <w:numPr>
          <w:ilvl w:val="0"/>
          <w:numId w:val="63"/>
        </w:numPr>
        <w:rPr>
          <w:rFonts w:ascii="Avenir Next" w:hAnsi="Avenir Next"/>
        </w:rPr>
      </w:pPr>
      <w:r w:rsidRPr="003F3986">
        <w:rPr>
          <w:rFonts w:ascii="Avenir Next" w:hAnsi="Avenir Next"/>
        </w:rPr>
        <w:t>file the liquidator’s consent to act with the Registrar;</w:t>
      </w:r>
    </w:p>
    <w:p w14:paraId="4273D589" w14:textId="06D915D6" w:rsidR="00922A76" w:rsidRPr="003F3986" w:rsidRDefault="00922A76" w:rsidP="00922A76">
      <w:pPr>
        <w:pStyle w:val="ListParagraph"/>
        <w:numPr>
          <w:ilvl w:val="0"/>
          <w:numId w:val="63"/>
        </w:numPr>
        <w:rPr>
          <w:rFonts w:ascii="Avenir Next" w:hAnsi="Avenir Next"/>
        </w:rPr>
      </w:pPr>
      <w:r w:rsidRPr="003F3986">
        <w:rPr>
          <w:rFonts w:ascii="Avenir Next" w:hAnsi="Avenir Next"/>
        </w:rPr>
        <w:t>file the director’s declaration of solvency with the Registrar (if the</w:t>
      </w:r>
      <w:r w:rsidRPr="003F3986">
        <w:rPr>
          <w:rFonts w:ascii="Avenir Next" w:hAnsi="Avenir Next"/>
        </w:rPr>
        <w:t xml:space="preserve"> </w:t>
      </w:r>
      <w:r w:rsidRPr="003F3986">
        <w:rPr>
          <w:rFonts w:ascii="Avenir Next" w:hAnsi="Avenir Next"/>
        </w:rPr>
        <w:t>supervision of the court is not sought);</w:t>
      </w:r>
    </w:p>
    <w:p w14:paraId="08397CB3" w14:textId="46E955FD" w:rsidR="00922A76" w:rsidRPr="003F3986" w:rsidRDefault="00922A76" w:rsidP="00922A76">
      <w:pPr>
        <w:pStyle w:val="ListParagraph"/>
        <w:numPr>
          <w:ilvl w:val="0"/>
          <w:numId w:val="63"/>
        </w:numPr>
        <w:rPr>
          <w:rFonts w:ascii="Avenir Next" w:hAnsi="Avenir Next"/>
        </w:rPr>
      </w:pPr>
      <w:r w:rsidRPr="003F3986">
        <w:rPr>
          <w:rFonts w:ascii="Avenir Next" w:hAnsi="Avenir Next"/>
        </w:rPr>
        <w:t>in the case of a company carrying on a regulated business, serve notice of</w:t>
      </w:r>
      <w:r w:rsidRPr="003F3986">
        <w:rPr>
          <w:rFonts w:ascii="Avenir Next" w:hAnsi="Avenir Next"/>
        </w:rPr>
        <w:t xml:space="preserve"> </w:t>
      </w:r>
      <w:r w:rsidRPr="003F3986">
        <w:rPr>
          <w:rFonts w:ascii="Avenir Next" w:hAnsi="Avenir Next"/>
        </w:rPr>
        <w:t>the winding up upon the Authority; and</w:t>
      </w:r>
    </w:p>
    <w:p w14:paraId="573A69EB" w14:textId="1490E3DE" w:rsidR="00FB4379" w:rsidRPr="003F3986" w:rsidRDefault="00922A76" w:rsidP="00586B0F">
      <w:pPr>
        <w:pStyle w:val="ListParagraph"/>
        <w:numPr>
          <w:ilvl w:val="0"/>
          <w:numId w:val="63"/>
        </w:numPr>
        <w:rPr>
          <w:rFonts w:ascii="Avenir Next" w:hAnsi="Avenir Next"/>
        </w:rPr>
      </w:pPr>
      <w:r w:rsidRPr="003F3986">
        <w:rPr>
          <w:rFonts w:ascii="Avenir Next" w:hAnsi="Avenir Next"/>
        </w:rPr>
        <w:t>publish notice of the winding up in the Gazette.</w:t>
      </w:r>
    </w:p>
    <w:p w14:paraId="3949B383" w14:textId="77777777" w:rsidR="00FB4379" w:rsidRDefault="00FB4379" w:rsidP="00586B0F">
      <w:pPr>
        <w:rPr>
          <w:rFonts w:ascii="Avenir Next Demi Bold" w:hAnsi="Avenir Next Demi Bold"/>
          <w:b/>
          <w:bCs/>
        </w:rPr>
      </w:pPr>
    </w:p>
    <w:p w14:paraId="00C6287F" w14:textId="00D65363"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D821F3">
        <w:t>Describe the basis upon which the company may resolve to remunerate Tom and Jerry in their capacity as the voluntary liquidators.</w:t>
      </w:r>
      <w:r>
        <w:tab/>
      </w:r>
      <w:r w:rsidRPr="0040178F">
        <w:rPr>
          <w:rFonts w:ascii="Avenir Next Demi Bold" w:hAnsi="Avenir Next Demi Bold"/>
          <w:b/>
          <w:bCs/>
        </w:rPr>
        <w:t>(2)</w:t>
      </w:r>
    </w:p>
    <w:p w14:paraId="283C5DC8" w14:textId="77777777" w:rsidR="00927027" w:rsidRPr="00486A0B" w:rsidRDefault="00927027" w:rsidP="00586B0F">
      <w:pPr>
        <w:pStyle w:val="BodyText"/>
        <w:ind w:firstLine="0"/>
        <w:rPr>
          <w:rFonts w:ascii="Avenir Next" w:hAnsi="Avenir Next"/>
          <w:b/>
          <w:bCs/>
        </w:rPr>
      </w:pPr>
    </w:p>
    <w:p w14:paraId="484695F9" w14:textId="123444C1" w:rsidR="00586B0F" w:rsidRPr="00D44DF8" w:rsidRDefault="00D821F3" w:rsidP="00927027">
      <w:pPr>
        <w:spacing w:after="120"/>
        <w:rPr>
          <w:b/>
          <w:bCs/>
          <w:i/>
          <w:iCs/>
        </w:rPr>
      </w:pPr>
      <w:r w:rsidRPr="00D44DF8">
        <w:rPr>
          <w:b/>
          <w:bCs/>
          <w:i/>
          <w:iCs/>
        </w:rPr>
        <w:t>Answer:</w:t>
      </w:r>
    </w:p>
    <w:p w14:paraId="222B0569" w14:textId="77777777" w:rsidR="00927027" w:rsidRPr="00D44DF8" w:rsidRDefault="00FB4379" w:rsidP="00922A76">
      <w:pPr>
        <w:pStyle w:val="ListParagraph"/>
        <w:numPr>
          <w:ilvl w:val="0"/>
          <w:numId w:val="58"/>
        </w:numPr>
        <w:spacing w:after="120"/>
        <w:ind w:left="360"/>
        <w:contextualSpacing w:val="0"/>
        <w:rPr>
          <w:rFonts w:ascii="Avenir Next" w:hAnsi="Avenir Next"/>
          <w:lang w:val="en-GB"/>
        </w:rPr>
      </w:pPr>
      <w:r w:rsidRPr="00D44DF8">
        <w:rPr>
          <w:rFonts w:ascii="Avenir Next" w:hAnsi="Avenir Next"/>
          <w:lang w:val="en-GB"/>
        </w:rPr>
        <w:t>As set out in the</w:t>
      </w:r>
      <w:r w:rsidRPr="00D44DF8">
        <w:rPr>
          <w:rFonts w:ascii="Avenir Next" w:hAnsi="Avenir Next"/>
          <w:lang w:val="en-GB"/>
        </w:rPr>
        <w:t xml:space="preserve"> Cayman Islands Companies Winding Up Rules (2023 Consolidation</w:t>
      </w:r>
      <w:r w:rsidRPr="00D44DF8">
        <w:rPr>
          <w:rFonts w:ascii="Avenir Next" w:hAnsi="Avenir Next"/>
          <w:lang w:val="en-GB"/>
        </w:rPr>
        <w:t xml:space="preserve">) </w:t>
      </w:r>
      <w:r w:rsidR="00D821F3" w:rsidRPr="00D44DF8">
        <w:rPr>
          <w:rFonts w:ascii="Avenir Next" w:hAnsi="Avenir Next"/>
          <w:lang w:val="en-GB"/>
        </w:rPr>
        <w:t>O.13, r.9</w:t>
      </w:r>
      <w:r w:rsidRPr="00D44DF8">
        <w:rPr>
          <w:rFonts w:ascii="Avenir Next" w:hAnsi="Avenir Next"/>
          <w:lang w:val="en-GB"/>
        </w:rPr>
        <w:t>, “t</w:t>
      </w:r>
      <w:r w:rsidR="00D821F3" w:rsidRPr="00D44DF8">
        <w:rPr>
          <w:rFonts w:ascii="Avenir Next" w:hAnsi="Avenir Next"/>
          <w:lang w:val="en-GB"/>
        </w:rPr>
        <w:t>he basis of the voluntary liquidator's remuneration and the amount of the</w:t>
      </w:r>
      <w:r w:rsidRPr="00D44DF8">
        <w:rPr>
          <w:rFonts w:ascii="Avenir Next" w:hAnsi="Avenir Next"/>
          <w:lang w:val="en-GB"/>
        </w:rPr>
        <w:t xml:space="preserve"> </w:t>
      </w:r>
      <w:r w:rsidR="00D821F3" w:rsidRPr="00D44DF8">
        <w:rPr>
          <w:rFonts w:ascii="Avenir Next" w:hAnsi="Avenir Next"/>
          <w:lang w:val="en-GB"/>
        </w:rPr>
        <w:t>voluntary liquidator’s remuneration shall be authorised by resolution of the</w:t>
      </w:r>
      <w:r w:rsidRPr="00D44DF8">
        <w:rPr>
          <w:rFonts w:ascii="Avenir Next" w:hAnsi="Avenir Next"/>
          <w:lang w:val="en-GB"/>
        </w:rPr>
        <w:t xml:space="preserve"> </w:t>
      </w:r>
      <w:r w:rsidR="00D821F3" w:rsidRPr="00D44DF8">
        <w:rPr>
          <w:rFonts w:ascii="Avenir Next" w:hAnsi="Avenir Next"/>
          <w:lang w:val="en-GB"/>
        </w:rPr>
        <w:t>company.</w:t>
      </w:r>
      <w:r w:rsidR="00927027" w:rsidRPr="00D44DF8">
        <w:rPr>
          <w:rFonts w:ascii="Avenir Next" w:hAnsi="Avenir Next"/>
          <w:lang w:val="en-GB"/>
        </w:rPr>
        <w:t>”</w:t>
      </w:r>
    </w:p>
    <w:p w14:paraId="160E791F" w14:textId="6B35C719" w:rsidR="00D821F3" w:rsidRPr="00D44DF8" w:rsidRDefault="00927027" w:rsidP="00922A76">
      <w:pPr>
        <w:pStyle w:val="ListParagraph"/>
        <w:numPr>
          <w:ilvl w:val="0"/>
          <w:numId w:val="58"/>
        </w:numPr>
        <w:ind w:left="360"/>
        <w:rPr>
          <w:rFonts w:ascii="Avenir Next" w:hAnsi="Avenir Next"/>
          <w:lang w:val="en-GB"/>
        </w:rPr>
      </w:pPr>
      <w:r w:rsidRPr="00D44DF8">
        <w:rPr>
          <w:rFonts w:ascii="Avenir Next" w:hAnsi="Avenir Next"/>
          <w:lang w:val="en-GB"/>
        </w:rPr>
        <w:t>The basis of the voluntary liquidator's remuneration can be any of the following:</w:t>
      </w:r>
    </w:p>
    <w:p w14:paraId="070EE501" w14:textId="58A22249" w:rsidR="00D821F3" w:rsidRPr="00D44DF8" w:rsidRDefault="00D821F3" w:rsidP="004815C2">
      <w:pPr>
        <w:pStyle w:val="ListParagraph"/>
        <w:numPr>
          <w:ilvl w:val="0"/>
          <w:numId w:val="68"/>
        </w:numPr>
        <w:rPr>
          <w:rFonts w:ascii="Avenir Next" w:hAnsi="Avenir Next"/>
          <w:lang w:val="en-GB"/>
        </w:rPr>
      </w:pPr>
      <w:r w:rsidRPr="00D44DF8">
        <w:rPr>
          <w:rFonts w:ascii="Avenir Next" w:hAnsi="Avenir Next"/>
          <w:lang w:val="en-GB"/>
        </w:rPr>
        <w:t>an hourly rate (or scale of rates) for the time reasonably and properly</w:t>
      </w:r>
      <w:r w:rsidR="00927027" w:rsidRPr="00D44DF8">
        <w:rPr>
          <w:rFonts w:ascii="Avenir Next" w:hAnsi="Avenir Next"/>
          <w:lang w:val="en-GB"/>
        </w:rPr>
        <w:t xml:space="preserve"> </w:t>
      </w:r>
      <w:r w:rsidRPr="00D44DF8">
        <w:rPr>
          <w:rFonts w:ascii="Avenir Next" w:hAnsi="Avenir Next"/>
          <w:lang w:val="en-GB"/>
        </w:rPr>
        <w:t>devoted to the liquidation;</w:t>
      </w:r>
    </w:p>
    <w:p w14:paraId="61740F42" w14:textId="5F878CD5" w:rsidR="00D821F3" w:rsidRPr="00D44DF8" w:rsidRDefault="00D821F3" w:rsidP="004815C2">
      <w:pPr>
        <w:pStyle w:val="ListParagraph"/>
        <w:numPr>
          <w:ilvl w:val="0"/>
          <w:numId w:val="68"/>
        </w:numPr>
        <w:rPr>
          <w:rFonts w:ascii="Avenir Next" w:hAnsi="Avenir Next"/>
          <w:lang w:val="en-GB"/>
        </w:rPr>
      </w:pPr>
      <w:r w:rsidRPr="00D44DF8">
        <w:rPr>
          <w:rFonts w:ascii="Avenir Next" w:hAnsi="Avenir Next"/>
          <w:lang w:val="en-GB"/>
        </w:rPr>
        <w:t>a fixed sum;</w:t>
      </w:r>
    </w:p>
    <w:p w14:paraId="3C7A4426" w14:textId="6E32A064" w:rsidR="00D821F3" w:rsidRPr="00D44DF8" w:rsidRDefault="00D821F3" w:rsidP="004815C2">
      <w:pPr>
        <w:pStyle w:val="ListParagraph"/>
        <w:numPr>
          <w:ilvl w:val="0"/>
          <w:numId w:val="68"/>
        </w:numPr>
        <w:rPr>
          <w:rFonts w:ascii="Avenir Next" w:hAnsi="Avenir Next"/>
          <w:lang w:val="en-GB"/>
        </w:rPr>
      </w:pPr>
      <w:r w:rsidRPr="00D44DF8">
        <w:rPr>
          <w:rFonts w:ascii="Avenir Next" w:hAnsi="Avenir Next"/>
          <w:lang w:val="en-GB"/>
        </w:rPr>
        <w:t>a commission or percentage of the assets distributed or realised; or</w:t>
      </w:r>
    </w:p>
    <w:p w14:paraId="42D4C824" w14:textId="605CED1E" w:rsidR="00D821F3" w:rsidRPr="00927027" w:rsidRDefault="00D821F3" w:rsidP="004815C2">
      <w:pPr>
        <w:pStyle w:val="ListParagraph"/>
        <w:numPr>
          <w:ilvl w:val="0"/>
          <w:numId w:val="68"/>
        </w:numPr>
        <w:rPr>
          <w:lang w:val="en-GB"/>
        </w:rPr>
      </w:pPr>
      <w:r w:rsidRPr="00D44DF8">
        <w:rPr>
          <w:rFonts w:ascii="Avenir Next" w:hAnsi="Avenir Next"/>
          <w:lang w:val="en-GB"/>
        </w:rPr>
        <w:t>a combination of these methods</w:t>
      </w:r>
    </w:p>
    <w:p w14:paraId="2F148F28" w14:textId="640E11F7" w:rsidR="00586B0F" w:rsidRDefault="00586B0F" w:rsidP="00927027">
      <w:pPr>
        <w:ind w:left="360"/>
        <w:jc w:val="left"/>
        <w:rPr>
          <w:rFonts w:ascii="Avenir Next Demi Bold" w:hAnsi="Avenir Next Demi Bold"/>
          <w:b/>
          <w:bCs/>
        </w:rPr>
      </w:pPr>
    </w:p>
    <w:p w14:paraId="41D07FC2" w14:textId="77777777" w:rsidR="004815C2" w:rsidRDefault="004815C2" w:rsidP="00586B0F">
      <w:pPr>
        <w:rPr>
          <w:rFonts w:ascii="Avenir Next Demi Bold" w:hAnsi="Avenir Next Demi Bold"/>
          <w:b/>
          <w:bCs/>
          <w:lang w:val="en-GB"/>
        </w:rPr>
      </w:pPr>
    </w:p>
    <w:p w14:paraId="289E8EFE" w14:textId="6094A6D1"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3F3986">
        <w:rPr>
          <w:color w:val="000000"/>
        </w:rPr>
        <w:t>Assuming that</w:t>
      </w:r>
      <w:proofErr w:type="gramEnd"/>
      <w:r w:rsidRPr="003F3986">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798EBD9F" w14:textId="209B114B" w:rsidR="003F3986" w:rsidRDefault="003F3986" w:rsidP="00586B0F">
      <w:pPr>
        <w:pStyle w:val="BodyText"/>
        <w:ind w:firstLine="0"/>
        <w:rPr>
          <w:rFonts w:ascii="Avenir Next" w:hAnsi="Avenir Next"/>
          <w:b/>
          <w:bCs/>
        </w:rPr>
      </w:pPr>
      <w:r>
        <w:rPr>
          <w:rFonts w:ascii="Avenir Next" w:hAnsi="Avenir Next"/>
          <w:b/>
          <w:bCs/>
        </w:rPr>
        <w:t>Answer:</w:t>
      </w:r>
    </w:p>
    <w:p w14:paraId="47549686" w14:textId="3982B1D6" w:rsidR="003F3986" w:rsidRPr="00A43179" w:rsidRDefault="003F3986" w:rsidP="00A43179">
      <w:pPr>
        <w:pStyle w:val="BodyText"/>
        <w:numPr>
          <w:ilvl w:val="0"/>
          <w:numId w:val="80"/>
        </w:numPr>
        <w:spacing w:after="120"/>
        <w:rPr>
          <w:rFonts w:ascii="Avenir Next" w:hAnsi="Avenir Next"/>
        </w:rPr>
      </w:pPr>
      <w:r w:rsidRPr="00A43179">
        <w:rPr>
          <w:rFonts w:ascii="Avenir Next" w:hAnsi="Avenir Next"/>
        </w:rPr>
        <w:t xml:space="preserve">The Court can </w:t>
      </w:r>
      <w:r w:rsidR="00A43179">
        <w:rPr>
          <w:rFonts w:ascii="Avenir Next" w:hAnsi="Avenir Next"/>
        </w:rPr>
        <w:t xml:space="preserve">grant </w:t>
      </w:r>
      <w:r w:rsidRPr="00A43179">
        <w:rPr>
          <w:rFonts w:ascii="Avenir Next" w:hAnsi="Avenir Next"/>
        </w:rPr>
        <w:t xml:space="preserve">an order to </w:t>
      </w:r>
      <w:r w:rsidR="00A43179" w:rsidRPr="00A43179">
        <w:rPr>
          <w:rFonts w:ascii="Avenir Next" w:hAnsi="Avenir Next"/>
        </w:rPr>
        <w:t>appoint</w:t>
      </w:r>
      <w:r w:rsidRPr="00A43179">
        <w:rPr>
          <w:rFonts w:ascii="Avenir Next" w:hAnsi="Avenir Next"/>
        </w:rPr>
        <w:t xml:space="preserve"> a provisional </w:t>
      </w:r>
      <w:proofErr w:type="gramStart"/>
      <w:r w:rsidRPr="00A43179">
        <w:rPr>
          <w:rFonts w:ascii="Avenir Next" w:hAnsi="Avenir Next"/>
        </w:rPr>
        <w:t>liquidator;</w:t>
      </w:r>
      <w:proofErr w:type="gramEnd"/>
    </w:p>
    <w:p w14:paraId="38D29A3B" w14:textId="3640662E" w:rsidR="003F3986" w:rsidRPr="00A43179" w:rsidRDefault="003F3986" w:rsidP="003F3986">
      <w:pPr>
        <w:pStyle w:val="BodyText"/>
        <w:numPr>
          <w:ilvl w:val="0"/>
          <w:numId w:val="80"/>
        </w:numPr>
        <w:rPr>
          <w:rFonts w:ascii="Avenir Next" w:hAnsi="Avenir Next"/>
        </w:rPr>
      </w:pPr>
      <w:r w:rsidRPr="00A43179">
        <w:rPr>
          <w:rFonts w:ascii="Avenir Next" w:hAnsi="Avenir Next"/>
        </w:rPr>
        <w:t xml:space="preserve">Under section 95(1)(d) of the Companies Act, the Court can also make “any other order that it thinks fit” upon hearing a winding up petition. </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22A054EA" w14:textId="77777777" w:rsidR="00927027" w:rsidRPr="00486A0B" w:rsidRDefault="00927027" w:rsidP="00586B0F">
      <w:pPr>
        <w:pStyle w:val="BodyText"/>
        <w:ind w:firstLine="0"/>
        <w:rPr>
          <w:rFonts w:ascii="Avenir Next" w:hAnsi="Avenir Next"/>
          <w:b/>
          <w:bCs/>
        </w:rPr>
      </w:pPr>
    </w:p>
    <w:p w14:paraId="57F1FE27" w14:textId="6C6430CE" w:rsidR="00586B0F" w:rsidRDefault="00745AE5" w:rsidP="00745AE5">
      <w:pPr>
        <w:spacing w:after="120"/>
        <w:rPr>
          <w:b/>
          <w:bCs/>
          <w:i/>
          <w:iCs/>
          <w:lang w:val="en-GB"/>
        </w:rPr>
      </w:pPr>
      <w:r w:rsidRPr="00745AE5">
        <w:rPr>
          <w:b/>
          <w:bCs/>
          <w:i/>
          <w:iCs/>
          <w:lang w:val="en-GB"/>
        </w:rPr>
        <w:t>Answer:</w:t>
      </w:r>
    </w:p>
    <w:p w14:paraId="367D9797" w14:textId="028E375C" w:rsidR="008245B7" w:rsidRPr="00927027" w:rsidRDefault="00745AE5" w:rsidP="008245B7">
      <w:pPr>
        <w:rPr>
          <w:lang w:val="en-GB"/>
        </w:rPr>
      </w:pPr>
      <w:r w:rsidRPr="00927027">
        <w:rPr>
          <w:lang w:val="en-GB"/>
        </w:rPr>
        <w:t>Section 107 of The Cayman Islands Companies Act (2023 Revision) states that “An official liquidator may be removed from the office by order of the Court made on the application of a creditor or contributory of the company.”</w:t>
      </w:r>
      <w:r w:rsidR="008245B7" w:rsidRPr="00927027">
        <w:rPr>
          <w:lang w:val="en-GB"/>
        </w:rPr>
        <w:t xml:space="preserve"> </w:t>
      </w:r>
      <w:r w:rsidRPr="00927027">
        <w:rPr>
          <w:lang w:val="en-GB"/>
        </w:rPr>
        <w:t>In a solvent liquidation, contributories are the only parties that have ultimate interest in the distribution of the company’s assets. Hence, only contributories can apply to remove an official liquidator.</w:t>
      </w:r>
      <w:r w:rsidR="008245B7" w:rsidRPr="00927027">
        <w:rPr>
          <w:lang w:val="en-GB"/>
        </w:rPr>
        <w:t xml:space="preserve"> </w:t>
      </w:r>
      <w:r w:rsidRPr="00927027">
        <w:rPr>
          <w:lang w:val="en-GB"/>
        </w:rPr>
        <w:t xml:space="preserve">On the other hand, in an insolvent liquidation, creditors are the only parties that have </w:t>
      </w:r>
      <w:r w:rsidR="008245B7" w:rsidRPr="00927027">
        <w:rPr>
          <w:lang w:val="en-GB"/>
        </w:rPr>
        <w:t xml:space="preserve">ultimate interest in the distribution of the company’s assets. Therefore, only creditors can apply to remove an official liquidator. The application by a contributory or a creditor must be made by way of a summons (a </w:t>
      </w:r>
      <w:r w:rsidR="00927027">
        <w:rPr>
          <w:lang w:val="en-GB"/>
        </w:rPr>
        <w:t>“</w:t>
      </w:r>
      <w:r w:rsidR="008245B7" w:rsidRPr="00927027">
        <w:rPr>
          <w:lang w:val="en-GB"/>
        </w:rPr>
        <w:t>Removal Summons</w:t>
      </w:r>
      <w:r w:rsidR="00927027">
        <w:rPr>
          <w:lang w:val="en-GB"/>
        </w:rPr>
        <w:t>”</w:t>
      </w:r>
      <w:r w:rsidR="008245B7" w:rsidRPr="00927027">
        <w:rPr>
          <w:lang w:val="en-GB"/>
        </w:rPr>
        <w:t xml:space="preserve">). The Removal Summons must be served on the official liquidator, each member of the liquidation committee, counsel of the liquidation committee (if applicable), and any other creditors or contributories as directed by the Court. </w:t>
      </w:r>
    </w:p>
    <w:p w14:paraId="6DF8A784" w14:textId="77777777" w:rsidR="00927027" w:rsidRDefault="00927027" w:rsidP="00586B0F">
      <w:pPr>
        <w:tabs>
          <w:tab w:val="right" w:pos="9021"/>
        </w:tabs>
        <w:rPr>
          <w:rFonts w:ascii="Avenir Next Demi Bold" w:hAnsi="Avenir Next Demi Bold"/>
          <w:b/>
          <w:bCs/>
          <w:lang w:val="en-GB"/>
        </w:rPr>
      </w:pPr>
    </w:p>
    <w:p w14:paraId="0FA10FF8" w14:textId="24EE8889"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sidRPr="004263D4">
        <w:rPr>
          <w:lang w:val="en-GB"/>
        </w:rPr>
        <w:t>Briefly explain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5F8E9411" w14:textId="77777777" w:rsidR="00586B0F" w:rsidRDefault="00586B0F" w:rsidP="00586B0F">
      <w:pPr>
        <w:tabs>
          <w:tab w:val="right" w:pos="9021"/>
        </w:tabs>
        <w:rPr>
          <w:lang w:val="en-GB"/>
        </w:rPr>
      </w:pPr>
    </w:p>
    <w:p w14:paraId="10E24BC7" w14:textId="762C74B3" w:rsidR="00166DAA" w:rsidRPr="00166DAA" w:rsidRDefault="00166DAA" w:rsidP="00166DAA">
      <w:pPr>
        <w:tabs>
          <w:tab w:val="right" w:pos="9021"/>
        </w:tabs>
        <w:spacing w:after="120"/>
        <w:rPr>
          <w:b/>
          <w:bCs/>
          <w:i/>
          <w:iCs/>
          <w:lang w:val="en-GB"/>
        </w:rPr>
      </w:pPr>
      <w:r w:rsidRPr="00166DAA">
        <w:rPr>
          <w:b/>
          <w:bCs/>
          <w:i/>
          <w:iCs/>
          <w:lang w:val="en-GB"/>
        </w:rPr>
        <w:t>Answer:</w:t>
      </w:r>
    </w:p>
    <w:p w14:paraId="5860F7A5" w14:textId="61BC5745" w:rsidR="004263D4" w:rsidRPr="004263D4" w:rsidRDefault="004263D4" w:rsidP="00166DAA">
      <w:pPr>
        <w:pStyle w:val="ListParagraph"/>
        <w:numPr>
          <w:ilvl w:val="0"/>
          <w:numId w:val="64"/>
        </w:numPr>
        <w:spacing w:after="120" w:line="240" w:lineRule="auto"/>
        <w:jc w:val="left"/>
        <w:rPr>
          <w:rFonts w:ascii="Avenir Next" w:hAnsi="Avenir Next"/>
        </w:rPr>
      </w:pPr>
      <w:r w:rsidRPr="004263D4">
        <w:rPr>
          <w:rFonts w:ascii="Avenir Next" w:hAnsi="Avenir Next"/>
        </w:rPr>
        <w:t xml:space="preserve">Certain order of payment priority from the liquidation estate shall be followed in an official liquidation. </w:t>
      </w:r>
      <w:r>
        <w:rPr>
          <w:rFonts w:ascii="Avenir Next" w:hAnsi="Avenir Next"/>
        </w:rPr>
        <w:t>The</w:t>
      </w:r>
      <w:r w:rsidRPr="004263D4">
        <w:rPr>
          <w:rFonts w:ascii="Avenir Next" w:hAnsi="Avenir Next"/>
        </w:rPr>
        <w:t xml:space="preserve"> priority</w:t>
      </w:r>
      <w:r>
        <w:rPr>
          <w:rFonts w:ascii="Avenir Next" w:hAnsi="Avenir Next"/>
        </w:rPr>
        <w:t xml:space="preserve"> of distribution relevant to this question</w:t>
      </w:r>
      <w:r w:rsidRPr="004263D4">
        <w:rPr>
          <w:rFonts w:ascii="Avenir Next" w:hAnsi="Avenir Next"/>
        </w:rPr>
        <w:t xml:space="preserve"> is detailed below:</w:t>
      </w:r>
    </w:p>
    <w:p w14:paraId="5ACCFA3E" w14:textId="17EDFCE7" w:rsidR="004263D4" w:rsidRPr="004263D4" w:rsidRDefault="004263D4" w:rsidP="00166DAA">
      <w:pPr>
        <w:pStyle w:val="ListParagraph"/>
        <w:numPr>
          <w:ilvl w:val="1"/>
          <w:numId w:val="64"/>
        </w:numPr>
        <w:spacing w:after="120" w:line="240" w:lineRule="auto"/>
        <w:jc w:val="left"/>
        <w:rPr>
          <w:rFonts w:ascii="Avenir Next" w:hAnsi="Avenir Next"/>
        </w:rPr>
      </w:pPr>
      <w:r w:rsidRPr="004263D4">
        <w:rPr>
          <w:rFonts w:ascii="Avenir Next" w:hAnsi="Avenir Next"/>
        </w:rPr>
        <w:t>fixed charge creditors</w:t>
      </w:r>
      <w:r>
        <w:rPr>
          <w:rFonts w:ascii="Avenir Next" w:hAnsi="Avenir Next"/>
        </w:rPr>
        <w:t>;</w:t>
      </w:r>
    </w:p>
    <w:p w14:paraId="157B9C18" w14:textId="0244BCDA" w:rsidR="004263D4" w:rsidRPr="004263D4" w:rsidRDefault="004263D4" w:rsidP="00166DAA">
      <w:pPr>
        <w:pStyle w:val="ListParagraph"/>
        <w:numPr>
          <w:ilvl w:val="1"/>
          <w:numId w:val="64"/>
        </w:numPr>
        <w:spacing w:after="120" w:line="240" w:lineRule="auto"/>
        <w:jc w:val="left"/>
        <w:rPr>
          <w:rFonts w:ascii="Avenir Next" w:hAnsi="Avenir Next"/>
        </w:rPr>
      </w:pPr>
      <w:r w:rsidRPr="004263D4">
        <w:rPr>
          <w:rFonts w:ascii="Avenir Next" w:hAnsi="Avenir Next"/>
        </w:rPr>
        <w:t>claims of perferred creditors</w:t>
      </w:r>
      <w:r>
        <w:rPr>
          <w:rFonts w:ascii="Avenir Next" w:hAnsi="Avenir Next"/>
        </w:rPr>
        <w:t>;</w:t>
      </w:r>
    </w:p>
    <w:p w14:paraId="0001F58B" w14:textId="7ECFB762" w:rsidR="004263D4" w:rsidRPr="004263D4" w:rsidRDefault="004263D4" w:rsidP="00166DAA">
      <w:pPr>
        <w:pStyle w:val="ListParagraph"/>
        <w:numPr>
          <w:ilvl w:val="1"/>
          <w:numId w:val="64"/>
        </w:numPr>
        <w:spacing w:after="120" w:line="240" w:lineRule="auto"/>
        <w:jc w:val="left"/>
        <w:rPr>
          <w:rFonts w:ascii="Avenir Next" w:hAnsi="Avenir Next"/>
        </w:rPr>
      </w:pPr>
      <w:r w:rsidRPr="004263D4">
        <w:rPr>
          <w:rFonts w:ascii="Avenir Next" w:hAnsi="Avenir Next"/>
        </w:rPr>
        <w:t>expenses of the liquidation</w:t>
      </w:r>
      <w:r>
        <w:rPr>
          <w:rFonts w:ascii="Avenir Next" w:hAnsi="Avenir Next"/>
        </w:rPr>
        <w:t>;</w:t>
      </w:r>
    </w:p>
    <w:p w14:paraId="5F16DE83" w14:textId="0B700F18" w:rsidR="004263D4" w:rsidRPr="004263D4" w:rsidRDefault="004263D4" w:rsidP="00166DAA">
      <w:pPr>
        <w:pStyle w:val="ListParagraph"/>
        <w:numPr>
          <w:ilvl w:val="1"/>
          <w:numId w:val="64"/>
        </w:numPr>
        <w:spacing w:after="120" w:line="240" w:lineRule="auto"/>
        <w:jc w:val="left"/>
        <w:rPr>
          <w:rFonts w:ascii="Avenir Next" w:hAnsi="Avenir Next"/>
        </w:rPr>
      </w:pPr>
      <w:r w:rsidRPr="004263D4">
        <w:rPr>
          <w:rFonts w:ascii="Avenir Next" w:hAnsi="Avenir Next"/>
        </w:rPr>
        <w:t>ordinary unsecured creditors</w:t>
      </w:r>
      <w:r>
        <w:rPr>
          <w:rFonts w:ascii="Avenir Next" w:hAnsi="Avenir Next"/>
        </w:rPr>
        <w:t>; and</w:t>
      </w:r>
      <w:r w:rsidRPr="004263D4">
        <w:rPr>
          <w:rFonts w:ascii="Avenir Next" w:hAnsi="Avenir Next"/>
        </w:rPr>
        <w:t xml:space="preserve"> </w:t>
      </w:r>
    </w:p>
    <w:p w14:paraId="27322B94" w14:textId="48AC6D83" w:rsidR="004263D4" w:rsidRDefault="004263D4" w:rsidP="00166DAA">
      <w:pPr>
        <w:pStyle w:val="ListParagraph"/>
        <w:numPr>
          <w:ilvl w:val="1"/>
          <w:numId w:val="64"/>
        </w:numPr>
        <w:spacing w:after="120" w:line="240" w:lineRule="auto"/>
        <w:contextualSpacing w:val="0"/>
        <w:jc w:val="left"/>
        <w:rPr>
          <w:rFonts w:ascii="Avenir Next" w:hAnsi="Avenir Next"/>
        </w:rPr>
      </w:pPr>
      <w:r w:rsidRPr="004263D4">
        <w:rPr>
          <w:rFonts w:ascii="Avenir Next" w:hAnsi="Avenir Next"/>
        </w:rPr>
        <w:t xml:space="preserve">returing capital to shareholders </w:t>
      </w:r>
    </w:p>
    <w:p w14:paraId="44A11874" w14:textId="0D7D63A6" w:rsidR="004263D4" w:rsidRDefault="004263D4" w:rsidP="00166DAA">
      <w:pPr>
        <w:pStyle w:val="ListParagraph"/>
        <w:numPr>
          <w:ilvl w:val="0"/>
          <w:numId w:val="64"/>
        </w:numPr>
        <w:spacing w:after="120" w:line="240" w:lineRule="auto"/>
        <w:contextualSpacing w:val="0"/>
        <w:jc w:val="left"/>
        <w:rPr>
          <w:rFonts w:ascii="Avenir Next" w:hAnsi="Avenir Next"/>
        </w:rPr>
      </w:pPr>
      <w:r>
        <w:rPr>
          <w:rFonts w:ascii="Avenir Next" w:hAnsi="Avenir Next"/>
        </w:rPr>
        <w:t>In an insolvent liquidation, the company is not able to pay its debts when they become due</w:t>
      </w:r>
      <w:r w:rsidR="00166DAA">
        <w:rPr>
          <w:rFonts w:ascii="Avenir Next" w:hAnsi="Avenir Next"/>
        </w:rPr>
        <w:t xml:space="preserve"> and there will not be any assets to be distributed to contributories. Therefore, only the creditors of the company will have ultimate interest in the company’s assets. </w:t>
      </w:r>
    </w:p>
    <w:p w14:paraId="1204AE24" w14:textId="0EE58C92" w:rsidR="00166DAA" w:rsidRPr="004263D4" w:rsidRDefault="00166DAA" w:rsidP="00166DAA">
      <w:pPr>
        <w:pStyle w:val="ListParagraph"/>
        <w:numPr>
          <w:ilvl w:val="0"/>
          <w:numId w:val="64"/>
        </w:numPr>
        <w:spacing w:after="120" w:line="240" w:lineRule="auto"/>
        <w:jc w:val="left"/>
        <w:rPr>
          <w:rFonts w:ascii="Avenir Next" w:hAnsi="Avenir Next"/>
        </w:rPr>
      </w:pPr>
      <w:r>
        <w:rPr>
          <w:rFonts w:ascii="Avenir Next" w:hAnsi="Avenir Next"/>
        </w:rPr>
        <w:t xml:space="preserve">However, in a solvent liquidation, creditors will be paid in full and the contributories will have ultimate interest in the company’s assets, thus the contributories can apply to remove an official liquidator.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092C37A3" w14:textId="0FA6F305" w:rsidR="00B20DBE" w:rsidRPr="004815C2" w:rsidRDefault="00B20DBE" w:rsidP="004815C2">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56B3488D" w14:textId="77777777" w:rsidR="00927027" w:rsidRDefault="00927027" w:rsidP="00B20DBE">
      <w:pPr>
        <w:pStyle w:val="BodyText"/>
        <w:ind w:firstLine="0"/>
        <w:rPr>
          <w:rFonts w:ascii="Avenir Next" w:hAnsi="Avenir Next"/>
          <w:color w:val="808080" w:themeColor="background1" w:themeShade="80"/>
        </w:rPr>
      </w:pPr>
    </w:p>
    <w:p w14:paraId="2C43C411" w14:textId="1D3C5951" w:rsidR="00927027" w:rsidRPr="00D44DF8" w:rsidRDefault="00927027" w:rsidP="00927027">
      <w:pPr>
        <w:spacing w:after="120"/>
        <w:rPr>
          <w:b/>
          <w:bCs/>
          <w:i/>
          <w:iCs/>
          <w:lang w:val="en-GB"/>
        </w:rPr>
      </w:pPr>
      <w:r w:rsidRPr="00D44DF8">
        <w:rPr>
          <w:b/>
          <w:bCs/>
          <w:i/>
          <w:iCs/>
          <w:lang w:val="en-GB"/>
        </w:rPr>
        <w:t xml:space="preserve">Answer: </w:t>
      </w:r>
    </w:p>
    <w:p w14:paraId="1570056B" w14:textId="6D5598C8" w:rsidR="00927027" w:rsidRPr="00D44DF8" w:rsidRDefault="007F51D4" w:rsidP="00690487">
      <w:pPr>
        <w:pStyle w:val="ListParagraph"/>
        <w:numPr>
          <w:ilvl w:val="0"/>
          <w:numId w:val="60"/>
        </w:numPr>
        <w:spacing w:after="120" w:line="240" w:lineRule="auto"/>
        <w:contextualSpacing w:val="0"/>
        <w:rPr>
          <w:rFonts w:ascii="Avenir Next" w:hAnsi="Avenir Next"/>
        </w:rPr>
      </w:pPr>
      <w:r w:rsidRPr="00D44DF8">
        <w:rPr>
          <w:rFonts w:ascii="Avenir Next" w:hAnsi="Avenir Next"/>
        </w:rPr>
        <w:t xml:space="preserve">As set out in the </w:t>
      </w:r>
      <w:r w:rsidR="00927027" w:rsidRPr="00D44DF8">
        <w:rPr>
          <w:rFonts w:ascii="Avenir Next" w:hAnsi="Avenir Next"/>
        </w:rPr>
        <w:t>Cayman Islands Companies Winding Up Rules (2023 Consolidation)</w:t>
      </w:r>
      <w:r w:rsidRPr="00D44DF8">
        <w:rPr>
          <w:rFonts w:ascii="Avenir Next" w:hAnsi="Avenir Next"/>
        </w:rPr>
        <w:t xml:space="preserve"> O.9</w:t>
      </w:r>
      <w:r w:rsidR="00927027" w:rsidRPr="00D44DF8">
        <w:rPr>
          <w:rFonts w:ascii="Avenir Next" w:hAnsi="Avenir Next"/>
        </w:rPr>
        <w:t>,</w:t>
      </w:r>
      <w:r w:rsidRPr="00D44DF8">
        <w:rPr>
          <w:rFonts w:ascii="Avenir Next" w:hAnsi="Avenir Next"/>
        </w:rPr>
        <w:t xml:space="preserve"> r.3</w:t>
      </w:r>
      <w:r w:rsidR="00927027" w:rsidRPr="00D44DF8">
        <w:rPr>
          <w:rFonts w:ascii="Avenir Next" w:hAnsi="Avenir Next"/>
        </w:rPr>
        <w:t>, “i</w:t>
      </w:r>
      <w:r w:rsidRPr="00D44DF8">
        <w:rPr>
          <w:rFonts w:ascii="Avenir Next" w:hAnsi="Avenir Next"/>
        </w:rPr>
        <w:t>f, during the course of the liquidation, the official liquidator changes the official</w:t>
      </w:r>
      <w:r w:rsidR="00927027" w:rsidRPr="00D44DF8">
        <w:rPr>
          <w:rFonts w:ascii="Avenir Next" w:hAnsi="Avenir Next"/>
        </w:rPr>
        <w:t xml:space="preserve"> </w:t>
      </w:r>
      <w:r w:rsidRPr="00D44DF8">
        <w:rPr>
          <w:rFonts w:ascii="Avenir Next" w:hAnsi="Avenir Next"/>
        </w:rPr>
        <w:t>liquidator’s certification of the company’s solvency or insolvency (as the case</w:t>
      </w:r>
      <w:r w:rsidR="00927027" w:rsidRPr="00D44DF8">
        <w:rPr>
          <w:rFonts w:ascii="Avenir Next" w:hAnsi="Avenir Next"/>
        </w:rPr>
        <w:t xml:space="preserve"> </w:t>
      </w:r>
      <w:r w:rsidRPr="00D44DF8">
        <w:rPr>
          <w:rFonts w:ascii="Avenir Next" w:hAnsi="Avenir Next"/>
        </w:rPr>
        <w:t>may be), the official liquidator shall take the following steps to reconstitute the</w:t>
      </w:r>
      <w:r w:rsidR="00927027" w:rsidRPr="00D44DF8">
        <w:rPr>
          <w:rFonts w:ascii="Avenir Next" w:hAnsi="Avenir Next"/>
        </w:rPr>
        <w:t xml:space="preserve"> </w:t>
      </w:r>
      <w:r w:rsidRPr="00D44DF8">
        <w:rPr>
          <w:rFonts w:ascii="Avenir Next" w:hAnsi="Avenir Next"/>
        </w:rPr>
        <w:t>liquidation committee.</w:t>
      </w:r>
      <w:r w:rsidR="00927027" w:rsidRPr="00D44DF8">
        <w:rPr>
          <w:rFonts w:ascii="Avenir Next" w:hAnsi="Avenir Next"/>
        </w:rPr>
        <w:t>”</w:t>
      </w:r>
    </w:p>
    <w:p w14:paraId="76E5FA9F" w14:textId="34503516" w:rsidR="00927027" w:rsidRPr="00D44DF8" w:rsidRDefault="00927027" w:rsidP="00690487">
      <w:pPr>
        <w:pStyle w:val="ListParagraph"/>
        <w:numPr>
          <w:ilvl w:val="0"/>
          <w:numId w:val="60"/>
        </w:numPr>
        <w:spacing w:after="120" w:line="240" w:lineRule="auto"/>
        <w:contextualSpacing w:val="0"/>
        <w:rPr>
          <w:rFonts w:ascii="Avenir Next" w:hAnsi="Avenir Next"/>
        </w:rPr>
      </w:pPr>
      <w:r w:rsidRPr="00D44DF8">
        <w:rPr>
          <w:rFonts w:ascii="Avenir Next" w:hAnsi="Avenir Next"/>
        </w:rPr>
        <w:t>For a company that is certified to be solvent,</w:t>
      </w:r>
      <w:r w:rsidR="007F51D4" w:rsidRPr="00D44DF8">
        <w:rPr>
          <w:rFonts w:ascii="Avenir Next" w:hAnsi="Avenir Next"/>
        </w:rPr>
        <w:t xml:space="preserve"> any creditor members of </w:t>
      </w:r>
      <w:r w:rsidRPr="00D44DF8">
        <w:rPr>
          <w:rFonts w:ascii="Avenir Next" w:hAnsi="Avenir Next"/>
        </w:rPr>
        <w:t>the company’s</w:t>
      </w:r>
      <w:r w:rsidR="007F51D4" w:rsidRPr="00D44DF8">
        <w:rPr>
          <w:rFonts w:ascii="Avenir Next" w:hAnsi="Avenir Next"/>
        </w:rPr>
        <w:t xml:space="preserve"> liquidatio</w:t>
      </w:r>
      <w:r w:rsidRPr="00D44DF8">
        <w:rPr>
          <w:rFonts w:ascii="Avenir Next" w:hAnsi="Avenir Next"/>
        </w:rPr>
        <w:t xml:space="preserve">n </w:t>
      </w:r>
      <w:r w:rsidR="007F51D4" w:rsidRPr="00D44DF8">
        <w:rPr>
          <w:rFonts w:ascii="Avenir Next" w:hAnsi="Avenir Next"/>
        </w:rPr>
        <w:t>committee shall automatically cease to be members</w:t>
      </w:r>
      <w:r w:rsidRPr="00D44DF8">
        <w:rPr>
          <w:rFonts w:ascii="Avenir Next" w:hAnsi="Avenir Next"/>
        </w:rPr>
        <w:t xml:space="preserve">. </w:t>
      </w:r>
    </w:p>
    <w:p w14:paraId="06F80FCA" w14:textId="4E4C7BD3" w:rsidR="007F51D4" w:rsidRPr="00D44DF8" w:rsidRDefault="00927027" w:rsidP="00690487">
      <w:pPr>
        <w:pStyle w:val="ListParagraph"/>
        <w:numPr>
          <w:ilvl w:val="0"/>
          <w:numId w:val="60"/>
        </w:numPr>
        <w:spacing w:after="120" w:line="240" w:lineRule="auto"/>
        <w:contextualSpacing w:val="0"/>
        <w:rPr>
          <w:rFonts w:ascii="Avenir Next" w:hAnsi="Avenir Next"/>
        </w:rPr>
      </w:pPr>
      <w:r w:rsidRPr="00D44DF8">
        <w:rPr>
          <w:rFonts w:ascii="Avenir Next" w:hAnsi="Avenir Next"/>
        </w:rPr>
        <w:t xml:space="preserve">A meeting of contributories should be </w:t>
      </w:r>
      <w:r w:rsidR="007F51D4" w:rsidRPr="00D44DF8">
        <w:rPr>
          <w:rFonts w:ascii="Avenir Next" w:hAnsi="Avenir Next"/>
        </w:rPr>
        <w:t>convene</w:t>
      </w:r>
      <w:r w:rsidRPr="00D44DF8">
        <w:rPr>
          <w:rFonts w:ascii="Avenir Next" w:hAnsi="Avenir Next"/>
        </w:rPr>
        <w:t xml:space="preserve">d by the official liqudator </w:t>
      </w:r>
      <w:r w:rsidR="007F51D4" w:rsidRPr="00D44DF8">
        <w:rPr>
          <w:rFonts w:ascii="Avenir Next" w:hAnsi="Avenir Next"/>
        </w:rPr>
        <w:t>for the purpose of electing new</w:t>
      </w:r>
      <w:r w:rsidRPr="00D44DF8">
        <w:rPr>
          <w:rFonts w:ascii="Avenir Next" w:hAnsi="Avenir Next"/>
        </w:rPr>
        <w:t xml:space="preserve"> </w:t>
      </w:r>
      <w:r w:rsidR="007F51D4" w:rsidRPr="00D44DF8">
        <w:rPr>
          <w:rFonts w:ascii="Avenir Next" w:hAnsi="Avenir Next"/>
        </w:rPr>
        <w:t>members from amongst the company’s contributories</w:t>
      </w:r>
      <w:r w:rsidRPr="00D44DF8">
        <w:rPr>
          <w:rFonts w:ascii="Avenir Next" w:hAnsi="Avenir Next"/>
        </w:rPr>
        <w:t xml:space="preserve"> </w:t>
      </w:r>
      <w:r w:rsidR="00D44DF8" w:rsidRPr="00D44DF8">
        <w:rPr>
          <w:rFonts w:ascii="Avenir Next" w:hAnsi="Avenir Next"/>
        </w:rPr>
        <w:t xml:space="preserve">for the </w:t>
      </w:r>
      <w:r w:rsidRPr="00D44DF8">
        <w:rPr>
          <w:rFonts w:ascii="Avenir Next" w:hAnsi="Avenir Next"/>
        </w:rPr>
        <w:t xml:space="preserve">liquidation committee. </w:t>
      </w:r>
    </w:p>
    <w:p w14:paraId="47EB9D9B" w14:textId="77777777" w:rsidR="00D44DF8" w:rsidRPr="00D44DF8" w:rsidRDefault="00927027" w:rsidP="00690487">
      <w:pPr>
        <w:pStyle w:val="ListParagraph"/>
        <w:numPr>
          <w:ilvl w:val="0"/>
          <w:numId w:val="60"/>
        </w:numPr>
        <w:spacing w:after="120" w:line="240" w:lineRule="auto"/>
        <w:contextualSpacing w:val="0"/>
        <w:rPr>
          <w:rFonts w:ascii="Avenir Next" w:hAnsi="Avenir Next"/>
        </w:rPr>
      </w:pPr>
      <w:r w:rsidRPr="00D44DF8">
        <w:rPr>
          <w:rFonts w:ascii="Avenir Next" w:hAnsi="Avenir Next"/>
        </w:rPr>
        <w:t xml:space="preserve">As the company is solvent, the liquidation committee </w:t>
      </w:r>
      <w:r w:rsidR="007F51D4" w:rsidRPr="00D44DF8">
        <w:rPr>
          <w:rFonts w:ascii="Avenir Next" w:hAnsi="Avenir Next"/>
        </w:rPr>
        <w:t>shall comprise not less than three nor more than five contributories.</w:t>
      </w:r>
    </w:p>
    <w:p w14:paraId="66279E20" w14:textId="6263928D" w:rsidR="007F51D4" w:rsidRPr="00D44DF8" w:rsidRDefault="00D44DF8" w:rsidP="00690487">
      <w:pPr>
        <w:pStyle w:val="ListParagraph"/>
        <w:numPr>
          <w:ilvl w:val="0"/>
          <w:numId w:val="60"/>
        </w:numPr>
        <w:spacing w:after="120" w:line="240" w:lineRule="auto"/>
        <w:contextualSpacing w:val="0"/>
        <w:rPr>
          <w:rFonts w:ascii="Avenir Next" w:hAnsi="Avenir Next"/>
        </w:rPr>
      </w:pPr>
      <w:r w:rsidRPr="00D44DF8">
        <w:rPr>
          <w:rFonts w:ascii="Avenir Next" w:hAnsi="Avenir Next"/>
        </w:rPr>
        <w:t>A certificate in</w:t>
      </w:r>
      <w:r w:rsidR="007F51D4" w:rsidRPr="00D44DF8">
        <w:rPr>
          <w:rFonts w:ascii="Avenir Next" w:hAnsi="Avenir Next"/>
        </w:rPr>
        <w:t xml:space="preserve"> CWR form 15</w:t>
      </w:r>
      <w:r w:rsidRPr="00D44DF8">
        <w:rPr>
          <w:rFonts w:ascii="Avenir Next" w:hAnsi="Avenir Next"/>
        </w:rPr>
        <w:t xml:space="preserve"> stating the name, adress and contact details of each member of the new liquidation committee shall be filed</w:t>
      </w:r>
      <w:r w:rsidR="007F51D4" w:rsidRPr="00D44DF8">
        <w:rPr>
          <w:rFonts w:ascii="Avenir Next" w:hAnsi="Avenir Next"/>
        </w:rPr>
        <w:t xml:space="preserve"> with the </w:t>
      </w:r>
      <w:r w:rsidRPr="00D44DF8">
        <w:rPr>
          <w:rFonts w:ascii="Avenir Next" w:hAnsi="Avenir Next"/>
        </w:rPr>
        <w:t>Co</w:t>
      </w:r>
      <w:r w:rsidR="007F51D4" w:rsidRPr="00D44DF8">
        <w:rPr>
          <w:rFonts w:ascii="Avenir Next" w:hAnsi="Avenir Next"/>
        </w:rPr>
        <w:t xml:space="preserve">urt.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7A8B6149" w14:textId="494BC11B" w:rsidR="001F1E22" w:rsidRPr="004815C2" w:rsidRDefault="00B20DBE" w:rsidP="004815C2">
      <w:pPr>
        <w:tabs>
          <w:tab w:val="right" w:pos="9021"/>
        </w:tabs>
        <w:rPr>
          <w:rFonts w:ascii="Avenir Next LT Pro" w:hAnsi="Avenir Next LT Pro"/>
        </w:rPr>
      </w:pPr>
      <w:r w:rsidRPr="00166DAA">
        <w:t>Discuss the steps that a liquidator will need to take following the making of an order for dissolution.</w:t>
      </w:r>
      <w:r>
        <w:tab/>
      </w:r>
      <w:r w:rsidRPr="00853A06">
        <w:rPr>
          <w:rFonts w:ascii="Avenir Next Demi Bold" w:hAnsi="Avenir Next Demi Bold"/>
          <w:b/>
          <w:bCs/>
        </w:rPr>
        <w:t>(5)</w:t>
      </w:r>
    </w:p>
    <w:p w14:paraId="4B1AF120" w14:textId="6131DFF9" w:rsidR="00D44DF8" w:rsidRPr="00166DAA" w:rsidRDefault="00166DAA" w:rsidP="00D44BFA">
      <w:pPr>
        <w:jc w:val="left"/>
        <w:rPr>
          <w:rFonts w:ascii="Avenir Next Demi Bold" w:hAnsi="Avenir Next Demi Bold"/>
          <w:b/>
          <w:bCs/>
          <w:i/>
          <w:iCs/>
        </w:rPr>
      </w:pPr>
      <w:r w:rsidRPr="00166DAA">
        <w:rPr>
          <w:rFonts w:ascii="Avenir Next Demi Bold" w:hAnsi="Avenir Next Demi Bold"/>
          <w:b/>
          <w:bCs/>
          <w:i/>
          <w:iCs/>
        </w:rPr>
        <w:t>Answer:</w:t>
      </w:r>
    </w:p>
    <w:p w14:paraId="72C93AC6" w14:textId="572487DA" w:rsidR="00166DAA" w:rsidRPr="003F3986" w:rsidRDefault="00166DAA" w:rsidP="0008446A">
      <w:pPr>
        <w:pStyle w:val="ListParagraph"/>
        <w:numPr>
          <w:ilvl w:val="0"/>
          <w:numId w:val="65"/>
        </w:numPr>
        <w:spacing w:after="120" w:line="240" w:lineRule="auto"/>
        <w:contextualSpacing w:val="0"/>
        <w:jc w:val="left"/>
        <w:rPr>
          <w:rFonts w:ascii="Avenir Next" w:hAnsi="Avenir Next"/>
        </w:rPr>
      </w:pPr>
      <w:r w:rsidRPr="003F3986">
        <w:rPr>
          <w:rFonts w:ascii="Avenir Next" w:hAnsi="Avenir Next"/>
        </w:rPr>
        <w:t>According to the Cayman Islands Companies Winding Up Rules (2023 Consolidation) O.</w:t>
      </w:r>
      <w:r w:rsidRPr="003F3986">
        <w:rPr>
          <w:rFonts w:ascii="Avenir Next" w:hAnsi="Avenir Next"/>
        </w:rPr>
        <w:t>22</w:t>
      </w:r>
      <w:r w:rsidRPr="003F3986">
        <w:rPr>
          <w:rFonts w:ascii="Avenir Next" w:hAnsi="Avenir Next"/>
        </w:rPr>
        <w:t>, r.</w:t>
      </w:r>
      <w:r w:rsidRPr="003F3986">
        <w:rPr>
          <w:rFonts w:ascii="Avenir Next" w:hAnsi="Avenir Next"/>
        </w:rPr>
        <w:t>2, the official liquidator shall file the order for dissolution with the Registrar of Companies within 14 days from the date t</w:t>
      </w:r>
      <w:r w:rsidR="004815C2" w:rsidRPr="003F3986">
        <w:rPr>
          <w:rFonts w:ascii="Avenir Next" w:hAnsi="Avenir Next"/>
        </w:rPr>
        <w:t>he</w:t>
      </w:r>
      <w:r w:rsidRPr="003F3986">
        <w:rPr>
          <w:rFonts w:ascii="Avenir Next" w:hAnsi="Avenir Next"/>
        </w:rPr>
        <w:t xml:space="preserve"> order is perfected. </w:t>
      </w:r>
    </w:p>
    <w:p w14:paraId="39A9B5F2" w14:textId="45D16249" w:rsidR="00D44DF8" w:rsidRPr="003F3986" w:rsidRDefault="00166DAA" w:rsidP="0008446A">
      <w:pPr>
        <w:pStyle w:val="ListParagraph"/>
        <w:numPr>
          <w:ilvl w:val="0"/>
          <w:numId w:val="65"/>
        </w:numPr>
        <w:spacing w:after="120" w:line="240" w:lineRule="auto"/>
        <w:jc w:val="left"/>
        <w:rPr>
          <w:rFonts w:ascii="Avenir Next" w:hAnsi="Avenir Next"/>
        </w:rPr>
      </w:pPr>
      <w:r w:rsidRPr="003F3986">
        <w:rPr>
          <w:rFonts w:ascii="Avenir Next" w:hAnsi="Avenir Next"/>
        </w:rPr>
        <w:t xml:space="preserve"> T</w:t>
      </w:r>
      <w:r w:rsidRPr="003F3986">
        <w:rPr>
          <w:rFonts w:ascii="Avenir Next" w:hAnsi="Avenir Next"/>
        </w:rPr>
        <w:t>he Cayman Islands Companies Winding Up Rules (2023 Consolidation) O</w:t>
      </w:r>
      <w:r w:rsidRPr="003F3986">
        <w:rPr>
          <w:rFonts w:ascii="Avenir Next" w:hAnsi="Avenir Next"/>
        </w:rPr>
        <w:t xml:space="preserve">rder </w:t>
      </w:r>
      <w:r w:rsidRPr="003F3986">
        <w:rPr>
          <w:rFonts w:ascii="Avenir Next" w:hAnsi="Avenir Next"/>
        </w:rPr>
        <w:t>2</w:t>
      </w:r>
      <w:r w:rsidRPr="003F3986">
        <w:rPr>
          <w:rFonts w:ascii="Avenir Next" w:hAnsi="Avenir Next"/>
        </w:rPr>
        <w:t>3 further sets out that “f</w:t>
      </w:r>
      <w:r w:rsidRPr="003F3986">
        <w:rPr>
          <w:rFonts w:ascii="Avenir Next" w:hAnsi="Avenir Next"/>
        </w:rPr>
        <w:t>ollowing the dissolution of a company, whether pursuant to section 151 or an order</w:t>
      </w:r>
      <w:r w:rsidRPr="003F3986">
        <w:rPr>
          <w:rFonts w:ascii="Avenir Next" w:hAnsi="Avenir Next"/>
        </w:rPr>
        <w:t xml:space="preserve"> </w:t>
      </w:r>
      <w:r w:rsidRPr="003F3986">
        <w:rPr>
          <w:rFonts w:ascii="Avenir Next" w:hAnsi="Avenir Next"/>
        </w:rPr>
        <w:t>for dissolution made under section 152, the former liquidator shall be trustee of an</w:t>
      </w:r>
      <w:r w:rsidRPr="003F3986">
        <w:rPr>
          <w:rFonts w:ascii="Avenir Next" w:hAnsi="Avenir Next"/>
        </w:rPr>
        <w:t xml:space="preserve">y </w:t>
      </w:r>
      <w:r w:rsidRPr="003F3986">
        <w:rPr>
          <w:rFonts w:ascii="Avenir Next" w:hAnsi="Avenir Next"/>
        </w:rPr>
        <w:t>unclaimed dividends or undistributed assets of the company which remain in the</w:t>
      </w:r>
      <w:r w:rsidRPr="003F3986">
        <w:rPr>
          <w:rFonts w:ascii="Avenir Next" w:hAnsi="Avenir Next"/>
        </w:rPr>
        <w:t xml:space="preserve"> </w:t>
      </w:r>
      <w:r w:rsidRPr="003F3986">
        <w:rPr>
          <w:rFonts w:ascii="Avenir Next" w:hAnsi="Avenir Next"/>
        </w:rPr>
        <w:t>former liquidator’s possession or control for the benefit of the contributories or</w:t>
      </w:r>
      <w:r w:rsidRPr="003F3986">
        <w:rPr>
          <w:rFonts w:ascii="Avenir Next" w:hAnsi="Avenir Next"/>
        </w:rPr>
        <w:t xml:space="preserve"> </w:t>
      </w:r>
      <w:r w:rsidRPr="003F3986">
        <w:rPr>
          <w:rFonts w:ascii="Avenir Next" w:hAnsi="Avenir Next"/>
        </w:rPr>
        <w:t>creditors to whom such funds are owed.</w:t>
      </w:r>
      <w:r w:rsidRPr="003F3986">
        <w:rPr>
          <w:rFonts w:ascii="Avenir Next" w:hAnsi="Avenir Next"/>
        </w:rPr>
        <w:t>”</w:t>
      </w:r>
      <w:r w:rsidR="0008446A" w:rsidRPr="003F3986">
        <w:rPr>
          <w:rFonts w:ascii="Avenir Next" w:hAnsi="Avenir Next"/>
        </w:rPr>
        <w:t xml:space="preserve"> Below steps should be taken by the former liquidator:</w:t>
      </w:r>
    </w:p>
    <w:p w14:paraId="7DDA21D8" w14:textId="1F30B8C3" w:rsidR="0008446A" w:rsidRPr="003F3986" w:rsidRDefault="0008446A" w:rsidP="0008446A">
      <w:pPr>
        <w:pStyle w:val="ListParagraph"/>
        <w:numPr>
          <w:ilvl w:val="1"/>
          <w:numId w:val="65"/>
        </w:numPr>
        <w:spacing w:after="120" w:line="240" w:lineRule="auto"/>
        <w:jc w:val="left"/>
        <w:rPr>
          <w:rFonts w:ascii="Avenir Next" w:hAnsi="Avenir Next"/>
        </w:rPr>
      </w:pPr>
      <w:r w:rsidRPr="003F3986">
        <w:rPr>
          <w:rFonts w:ascii="Avenir Next" w:hAnsi="Avenir Next"/>
        </w:rPr>
        <w:t>establish trust account;</w:t>
      </w:r>
    </w:p>
    <w:p w14:paraId="6FAEF59D" w14:textId="0402E5CF" w:rsidR="0008446A" w:rsidRPr="003F3986" w:rsidRDefault="0008446A" w:rsidP="0008446A">
      <w:pPr>
        <w:pStyle w:val="ListParagraph"/>
        <w:numPr>
          <w:ilvl w:val="1"/>
          <w:numId w:val="65"/>
        </w:numPr>
        <w:spacing w:after="120" w:line="240" w:lineRule="auto"/>
        <w:jc w:val="left"/>
        <w:rPr>
          <w:rFonts w:ascii="Avenir Next" w:hAnsi="Avenir Next"/>
        </w:rPr>
      </w:pPr>
      <w:r w:rsidRPr="003F3986">
        <w:rPr>
          <w:rFonts w:ascii="Avenir Next" w:hAnsi="Avenir Next"/>
        </w:rPr>
        <w:t xml:space="preserve">transfer undistributed assets </w:t>
      </w:r>
      <w:r w:rsidRPr="003F3986">
        <w:rPr>
          <w:rFonts w:ascii="Avenir Next" w:hAnsi="Avenir Next"/>
        </w:rPr>
        <w:t>into the liquidator's own name "as trustee of</w:t>
      </w:r>
      <w:r w:rsidRPr="003F3986">
        <w:rPr>
          <w:rFonts w:ascii="Avenir Next" w:hAnsi="Avenir Next"/>
        </w:rPr>
        <w:t xml:space="preserve"> </w:t>
      </w:r>
      <w:r w:rsidRPr="003F3986">
        <w:rPr>
          <w:rFonts w:ascii="Avenir Next" w:hAnsi="Avenir Next"/>
        </w:rPr>
        <w:t>the creditors or members of [name of company], dissolved</w:t>
      </w:r>
      <w:r w:rsidRPr="003F3986">
        <w:rPr>
          <w:rFonts w:ascii="Avenir Next" w:hAnsi="Avenir Next"/>
        </w:rPr>
        <w:t>”;</w:t>
      </w:r>
    </w:p>
    <w:p w14:paraId="1FC77F24" w14:textId="20246A51" w:rsidR="0008446A" w:rsidRPr="003F3986" w:rsidRDefault="0008446A" w:rsidP="0008446A">
      <w:pPr>
        <w:pStyle w:val="ListParagraph"/>
        <w:numPr>
          <w:ilvl w:val="1"/>
          <w:numId w:val="65"/>
        </w:numPr>
        <w:spacing w:after="120" w:line="240" w:lineRule="auto"/>
        <w:jc w:val="left"/>
        <w:rPr>
          <w:rFonts w:ascii="Avenir Next" w:hAnsi="Avenir Next"/>
        </w:rPr>
      </w:pPr>
      <w:r w:rsidRPr="003F3986">
        <w:rPr>
          <w:rFonts w:ascii="Avenir Next" w:hAnsi="Avenir Next"/>
        </w:rPr>
        <w:t xml:space="preserve">make payments out of the trust account and transfer of undistributed assets; </w:t>
      </w:r>
    </w:p>
    <w:p w14:paraId="76F4DFD2" w14:textId="6276D5F5" w:rsidR="00D44DF8" w:rsidRPr="003F3986" w:rsidRDefault="0008446A" w:rsidP="0008446A">
      <w:pPr>
        <w:pStyle w:val="ListParagraph"/>
        <w:numPr>
          <w:ilvl w:val="1"/>
          <w:numId w:val="65"/>
        </w:numPr>
        <w:rPr>
          <w:rFonts w:ascii="Avenir Next" w:hAnsi="Avenir Next"/>
        </w:rPr>
      </w:pPr>
      <w:r w:rsidRPr="003F3986">
        <w:rPr>
          <w:rFonts w:ascii="Avenir Next" w:hAnsi="Avenir Next"/>
        </w:rPr>
        <w:t>at the end of one year from the date upon which the company was dissolved</w:t>
      </w:r>
      <w:r w:rsidRPr="003F3986">
        <w:rPr>
          <w:rFonts w:ascii="Avenir Next" w:hAnsi="Avenir Next"/>
        </w:rPr>
        <w:t xml:space="preserve"> transfer a</w:t>
      </w:r>
      <w:r w:rsidRPr="003F3986">
        <w:rPr>
          <w:rFonts w:ascii="Avenir Next" w:hAnsi="Avenir Next"/>
        </w:rPr>
        <w:t>ny money or assets remaining in the hands of the former liquidator as trustee</w:t>
      </w:r>
      <w:r w:rsidRPr="003F3986">
        <w:rPr>
          <w:rFonts w:ascii="Avenir Next" w:hAnsi="Avenir Next"/>
        </w:rPr>
        <w:t xml:space="preserve"> </w:t>
      </w:r>
      <w:r w:rsidRPr="003F3986">
        <w:rPr>
          <w:rFonts w:ascii="Avenir Next" w:hAnsi="Avenir Next"/>
        </w:rPr>
        <w:t>to the Financial Secretary</w:t>
      </w:r>
      <w:r w:rsidRPr="003F3986">
        <w:rPr>
          <w:rFonts w:ascii="Avenir Next" w:hAnsi="Avenir Next"/>
        </w:rPr>
        <w:t xml:space="preserve">. </w:t>
      </w:r>
    </w:p>
    <w:p w14:paraId="1FD8C93F" w14:textId="77777777" w:rsidR="00D44DF8" w:rsidRDefault="00D44DF8" w:rsidP="00D44BFA">
      <w:pPr>
        <w:jc w:val="left"/>
        <w:rPr>
          <w:rFonts w:ascii="Avenir Next Demi Bold" w:hAnsi="Avenir Next Demi Bold"/>
          <w:b/>
          <w:bCs/>
        </w:rPr>
      </w:pPr>
    </w:p>
    <w:p w14:paraId="2B71AA70" w14:textId="2B3B5FD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08446A">
        <w:t>Describe the general investigative powers and duties of a liquidator.</w:t>
      </w:r>
      <w:r>
        <w:tab/>
      </w:r>
      <w:r w:rsidRPr="00853A06">
        <w:rPr>
          <w:rFonts w:ascii="Avenir Next Demi Bold" w:hAnsi="Avenir Next Demi Bold"/>
          <w:b/>
          <w:bCs/>
        </w:rPr>
        <w:t>(5)</w:t>
      </w:r>
    </w:p>
    <w:p w14:paraId="4362E091" w14:textId="114C1FB1" w:rsidR="00D44DF8" w:rsidRPr="00486A0B" w:rsidRDefault="00D44DF8" w:rsidP="00ED248F">
      <w:pPr>
        <w:pStyle w:val="BodyText"/>
        <w:ind w:firstLine="0"/>
        <w:rPr>
          <w:rFonts w:ascii="Avenir Next" w:hAnsi="Avenir Next"/>
          <w:b/>
          <w:bCs/>
        </w:rPr>
      </w:pPr>
    </w:p>
    <w:p w14:paraId="48B88793" w14:textId="52A2BCAA" w:rsidR="00D44BFA" w:rsidRPr="00D44DF8" w:rsidRDefault="008245B7" w:rsidP="00D44DF8">
      <w:pPr>
        <w:spacing w:after="120"/>
        <w:rPr>
          <w:b/>
          <w:bCs/>
          <w:i/>
          <w:iCs/>
          <w:lang w:val="en-GB"/>
        </w:rPr>
      </w:pPr>
      <w:r w:rsidRPr="00D44DF8">
        <w:rPr>
          <w:b/>
          <w:bCs/>
          <w:i/>
          <w:iCs/>
          <w:lang w:val="en-GB"/>
        </w:rPr>
        <w:t>Answer:</w:t>
      </w:r>
    </w:p>
    <w:p w14:paraId="7878BB0A" w14:textId="284C8F73" w:rsidR="008245B7" w:rsidRPr="003F3986" w:rsidRDefault="008245B7" w:rsidP="00690487">
      <w:pPr>
        <w:pStyle w:val="ListParagraph"/>
        <w:numPr>
          <w:ilvl w:val="0"/>
          <w:numId w:val="69"/>
        </w:numPr>
        <w:spacing w:after="120" w:line="240" w:lineRule="auto"/>
        <w:contextualSpacing w:val="0"/>
        <w:rPr>
          <w:rFonts w:ascii="Avenir Next" w:hAnsi="Avenir Next"/>
        </w:rPr>
      </w:pPr>
      <w:r w:rsidRPr="003F3986">
        <w:rPr>
          <w:rFonts w:ascii="Avenir Next" w:hAnsi="Avenir Next"/>
        </w:rPr>
        <w:t xml:space="preserve">Section 102 of the Companies Act provides the official liquidators with certain investigative powers. </w:t>
      </w:r>
    </w:p>
    <w:p w14:paraId="53F9BB5A" w14:textId="1313A592" w:rsidR="008245B7" w:rsidRPr="003F3986" w:rsidRDefault="008245B7" w:rsidP="00690487">
      <w:pPr>
        <w:pStyle w:val="ListParagraph"/>
        <w:numPr>
          <w:ilvl w:val="0"/>
          <w:numId w:val="69"/>
        </w:numPr>
        <w:spacing w:after="120" w:line="240" w:lineRule="auto"/>
        <w:rPr>
          <w:rFonts w:ascii="Avenir Next" w:hAnsi="Avenir Next"/>
        </w:rPr>
      </w:pPr>
      <w:r w:rsidRPr="003F3986">
        <w:rPr>
          <w:rFonts w:ascii="Avenir Next" w:hAnsi="Avenir Next"/>
        </w:rPr>
        <w:t>Section 102(</w:t>
      </w:r>
      <w:r w:rsidR="0008446A" w:rsidRPr="003F3986">
        <w:rPr>
          <w:rFonts w:ascii="Avenir Next" w:hAnsi="Avenir Next"/>
        </w:rPr>
        <w:t>1</w:t>
      </w:r>
      <w:r w:rsidRPr="003F3986">
        <w:rPr>
          <w:rFonts w:ascii="Avenir Next" w:hAnsi="Avenir Next"/>
        </w:rPr>
        <w:t>) empowers the liquidator to investigate</w:t>
      </w:r>
      <w:r w:rsidR="004815C2" w:rsidRPr="003F3986">
        <w:rPr>
          <w:rFonts w:ascii="Avenir Next" w:hAnsi="Avenir Next"/>
        </w:rPr>
        <w:t xml:space="preserve"> below and make report on such to the Court if the liquidator thinks fit:</w:t>
      </w:r>
    </w:p>
    <w:p w14:paraId="202B212B" w14:textId="6BD3171E" w:rsidR="008245B7" w:rsidRPr="003F3986" w:rsidRDefault="00303356" w:rsidP="00690487">
      <w:pPr>
        <w:pStyle w:val="ListParagraph"/>
        <w:numPr>
          <w:ilvl w:val="0"/>
          <w:numId w:val="70"/>
        </w:numPr>
        <w:spacing w:after="120" w:line="240" w:lineRule="auto"/>
        <w:rPr>
          <w:rFonts w:ascii="Avenir Next" w:hAnsi="Avenir Next"/>
        </w:rPr>
      </w:pPr>
      <w:r w:rsidRPr="003F3986">
        <w:rPr>
          <w:rFonts w:ascii="Avenir Next" w:hAnsi="Avenir Next"/>
        </w:rPr>
        <w:t xml:space="preserve">If the company has failed, the cause of the failure; and </w:t>
      </w:r>
    </w:p>
    <w:p w14:paraId="0D522E50" w14:textId="4284FDC1" w:rsidR="0008446A" w:rsidRPr="003F3986" w:rsidRDefault="00303356" w:rsidP="00690487">
      <w:pPr>
        <w:pStyle w:val="ListParagraph"/>
        <w:numPr>
          <w:ilvl w:val="0"/>
          <w:numId w:val="70"/>
        </w:numPr>
        <w:spacing w:after="120" w:line="240" w:lineRule="auto"/>
        <w:contextualSpacing w:val="0"/>
        <w:rPr>
          <w:rFonts w:ascii="Avenir Next" w:hAnsi="Avenir Next"/>
        </w:rPr>
      </w:pPr>
      <w:r w:rsidRPr="003F3986">
        <w:rPr>
          <w:rFonts w:ascii="Avenir Next" w:hAnsi="Avenir Next"/>
        </w:rPr>
        <w:t xml:space="preserve">Generally, the promotion, businesss, dealings and the affairs of the company, </w:t>
      </w:r>
    </w:p>
    <w:p w14:paraId="4743DC7E" w14:textId="5105D923" w:rsidR="0008446A" w:rsidRPr="003F3986" w:rsidRDefault="0008446A" w:rsidP="00690487">
      <w:pPr>
        <w:pStyle w:val="ListParagraph"/>
        <w:numPr>
          <w:ilvl w:val="0"/>
          <w:numId w:val="69"/>
        </w:numPr>
        <w:spacing w:after="120" w:line="240" w:lineRule="auto"/>
        <w:rPr>
          <w:rFonts w:ascii="Avenir Next" w:hAnsi="Avenir Next"/>
        </w:rPr>
      </w:pPr>
      <w:r w:rsidRPr="003F3986">
        <w:rPr>
          <w:rFonts w:ascii="Avenir Next" w:hAnsi="Avenir Next"/>
        </w:rPr>
        <w:t>Section 102(2) further explains that</w:t>
      </w:r>
      <w:r w:rsidR="004815C2" w:rsidRPr="003F3986">
        <w:rPr>
          <w:rFonts w:ascii="Avenir Next" w:hAnsi="Avenir Next"/>
        </w:rPr>
        <w:t xml:space="preserve"> subject to obtaining directions from the Court</w:t>
      </w:r>
      <w:r w:rsidRPr="003F3986">
        <w:rPr>
          <w:rFonts w:ascii="Avenir Next" w:hAnsi="Avenir Next"/>
        </w:rPr>
        <w:t>, the liquidator shall have power</w:t>
      </w:r>
      <w:r w:rsidR="004815C2" w:rsidRPr="003F3986">
        <w:rPr>
          <w:rFonts w:ascii="Avenir Next" w:hAnsi="Avenir Next"/>
        </w:rPr>
        <w:t xml:space="preserve"> </w:t>
      </w:r>
      <w:r w:rsidRPr="003F3986">
        <w:rPr>
          <w:rFonts w:ascii="Avenir Next" w:hAnsi="Avenir Next"/>
        </w:rPr>
        <w:t>to —</w:t>
      </w:r>
    </w:p>
    <w:p w14:paraId="5BDC3252" w14:textId="381B1B36" w:rsidR="0008446A" w:rsidRPr="003F3986" w:rsidRDefault="0008446A" w:rsidP="00690487">
      <w:pPr>
        <w:pStyle w:val="ListParagraph"/>
        <w:numPr>
          <w:ilvl w:val="0"/>
          <w:numId w:val="71"/>
        </w:numPr>
        <w:spacing w:after="120" w:line="240" w:lineRule="auto"/>
        <w:rPr>
          <w:rFonts w:ascii="Avenir Next" w:hAnsi="Avenir Next"/>
        </w:rPr>
      </w:pPr>
      <w:r w:rsidRPr="003F3986">
        <w:rPr>
          <w:rFonts w:ascii="Avenir Next" w:hAnsi="Avenir Next"/>
        </w:rPr>
        <w:t>assist the Authority and the Royal Cayman Islands Police Service to</w:t>
      </w:r>
      <w:r w:rsidR="00F06439" w:rsidRPr="003F3986">
        <w:rPr>
          <w:rFonts w:ascii="Avenir Next" w:hAnsi="Avenir Next"/>
        </w:rPr>
        <w:t xml:space="preserve"> </w:t>
      </w:r>
      <w:r w:rsidRPr="003F3986">
        <w:rPr>
          <w:rFonts w:ascii="Avenir Next" w:hAnsi="Avenir Next"/>
        </w:rPr>
        <w:t>investigate the conduct of persons referred to in section 101(3); and</w:t>
      </w:r>
    </w:p>
    <w:p w14:paraId="33AA629C" w14:textId="6EF6386F" w:rsidR="0008446A" w:rsidRPr="003F3986" w:rsidRDefault="0008446A" w:rsidP="00690487">
      <w:pPr>
        <w:pStyle w:val="ListParagraph"/>
        <w:numPr>
          <w:ilvl w:val="0"/>
          <w:numId w:val="71"/>
        </w:numPr>
        <w:spacing w:after="120" w:line="240" w:lineRule="auto"/>
        <w:rPr>
          <w:rFonts w:ascii="Avenir Next" w:hAnsi="Avenir Next"/>
        </w:rPr>
      </w:pPr>
      <w:r w:rsidRPr="003F3986">
        <w:rPr>
          <w:rFonts w:ascii="Avenir Next" w:hAnsi="Avenir Next"/>
        </w:rPr>
        <w:t>institute and conduct a criminal prosecution of persons referred to in</w:t>
      </w:r>
      <w:r w:rsidR="00F06439" w:rsidRPr="003F3986">
        <w:rPr>
          <w:rFonts w:ascii="Avenir Next" w:hAnsi="Avenir Next"/>
        </w:rPr>
        <w:t xml:space="preserve"> </w:t>
      </w:r>
      <w:r w:rsidRPr="003F3986">
        <w:rPr>
          <w:rFonts w:ascii="Avenir Next" w:hAnsi="Avenir Next"/>
        </w:rPr>
        <w:t>section 101(3).</w:t>
      </w:r>
    </w:p>
    <w:p w14:paraId="1B88CF57" w14:textId="77777777" w:rsidR="00D44BFA" w:rsidRPr="00D44DF8" w:rsidRDefault="00D44BFA" w:rsidP="00D44BFA"/>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25A45E7D"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w:t>
      </w:r>
      <w:r>
        <w:tab/>
      </w:r>
      <w:r w:rsidRPr="00853A06">
        <w:rPr>
          <w:rFonts w:ascii="Avenir Next Demi Bold" w:hAnsi="Avenir Next Demi Bold"/>
          <w:b/>
          <w:bCs/>
        </w:rPr>
        <w:t>(5)</w:t>
      </w:r>
    </w:p>
    <w:p w14:paraId="68DC6E4F" w14:textId="77777777" w:rsidR="00D44DF8" w:rsidRPr="00486A0B" w:rsidRDefault="00D44DF8" w:rsidP="00D44BFA">
      <w:pPr>
        <w:pStyle w:val="BodyText"/>
        <w:ind w:firstLine="0"/>
        <w:rPr>
          <w:rFonts w:ascii="Avenir Next" w:hAnsi="Avenir Next"/>
          <w:b/>
          <w:bCs/>
        </w:rPr>
      </w:pPr>
    </w:p>
    <w:p w14:paraId="0702DC30" w14:textId="58F5AB83" w:rsidR="008910C4" w:rsidRPr="00D44DF8" w:rsidRDefault="008910C4" w:rsidP="00D44DF8">
      <w:pPr>
        <w:spacing w:after="120"/>
        <w:rPr>
          <w:b/>
          <w:bCs/>
          <w:i/>
          <w:iCs/>
        </w:rPr>
      </w:pPr>
      <w:r w:rsidRPr="00D44DF8">
        <w:rPr>
          <w:b/>
          <w:bCs/>
          <w:i/>
          <w:iCs/>
        </w:rPr>
        <w:t>Answer:</w:t>
      </w:r>
    </w:p>
    <w:p w14:paraId="5D9E67A4" w14:textId="0EC0513D" w:rsidR="008910C4" w:rsidRPr="00F06439" w:rsidRDefault="008910C4" w:rsidP="00F06439">
      <w:pPr>
        <w:pStyle w:val="ListParagraph"/>
        <w:numPr>
          <w:ilvl w:val="0"/>
          <w:numId w:val="72"/>
        </w:numPr>
        <w:spacing w:after="120" w:line="240" w:lineRule="auto"/>
        <w:ind w:left="360"/>
        <w:contextualSpacing w:val="0"/>
        <w:rPr>
          <w:rFonts w:ascii="Avenir Next" w:hAnsi="Avenir Next"/>
        </w:rPr>
      </w:pPr>
      <w:r w:rsidRPr="00F06439">
        <w:rPr>
          <w:rFonts w:ascii="Avenir Next" w:hAnsi="Avenir Next"/>
        </w:rPr>
        <w:t xml:space="preserve">Pursuant to Section 101(1) of the Companies Act, a liquidator can require some or all of the persons identifies in section 101(3) of the Act to prepare and submit a Statement of Affairs (SOA). </w:t>
      </w:r>
    </w:p>
    <w:p w14:paraId="547539B6" w14:textId="45F1D64F" w:rsidR="008910C4" w:rsidRPr="00F06439" w:rsidRDefault="008910C4" w:rsidP="00F06439">
      <w:pPr>
        <w:pStyle w:val="ListParagraph"/>
        <w:numPr>
          <w:ilvl w:val="0"/>
          <w:numId w:val="72"/>
        </w:numPr>
        <w:spacing w:after="120" w:line="240" w:lineRule="auto"/>
        <w:ind w:left="360"/>
        <w:contextualSpacing w:val="0"/>
        <w:rPr>
          <w:rFonts w:ascii="Avenir Next" w:hAnsi="Avenir Next"/>
        </w:rPr>
      </w:pPr>
      <w:r w:rsidRPr="00F06439">
        <w:rPr>
          <w:rFonts w:ascii="Avenir Next" w:hAnsi="Avenir Next"/>
        </w:rPr>
        <w:t>The persons listed in Section 101(3) are:</w:t>
      </w:r>
    </w:p>
    <w:p w14:paraId="5030B10A" w14:textId="77777777" w:rsidR="008910C4" w:rsidRPr="00F06439" w:rsidRDefault="008910C4" w:rsidP="00F06439">
      <w:pPr>
        <w:pStyle w:val="ListParagraph"/>
        <w:numPr>
          <w:ilvl w:val="0"/>
          <w:numId w:val="73"/>
        </w:numPr>
        <w:spacing w:after="120" w:line="240" w:lineRule="auto"/>
        <w:ind w:left="720"/>
        <w:rPr>
          <w:rFonts w:ascii="Avenir Next" w:hAnsi="Avenir Next"/>
        </w:rPr>
      </w:pPr>
      <w:r w:rsidRPr="00F06439">
        <w:rPr>
          <w:rFonts w:ascii="Avenir Next" w:hAnsi="Avenir Next"/>
        </w:rPr>
        <w:t>persons who are or have been directors or officers of the company;</w:t>
      </w:r>
    </w:p>
    <w:p w14:paraId="0919FA22" w14:textId="62B9D0E5" w:rsidR="008910C4" w:rsidRPr="00F06439" w:rsidRDefault="008910C4" w:rsidP="00F06439">
      <w:pPr>
        <w:pStyle w:val="ListParagraph"/>
        <w:numPr>
          <w:ilvl w:val="0"/>
          <w:numId w:val="73"/>
        </w:numPr>
        <w:spacing w:after="120" w:line="240" w:lineRule="auto"/>
        <w:ind w:left="720"/>
        <w:rPr>
          <w:rFonts w:ascii="Avenir Next" w:hAnsi="Avenir Next"/>
        </w:rPr>
      </w:pPr>
      <w:r w:rsidRPr="00F06439">
        <w:rPr>
          <w:rFonts w:ascii="Avenir Next" w:hAnsi="Avenir Next"/>
        </w:rPr>
        <w:t>persons who are or have been professional service providers to the company; and</w:t>
      </w:r>
    </w:p>
    <w:p w14:paraId="03C07B55" w14:textId="508D4CEA" w:rsidR="008910C4" w:rsidRPr="00F06439" w:rsidRDefault="008910C4" w:rsidP="00F06439">
      <w:pPr>
        <w:pStyle w:val="ListParagraph"/>
        <w:numPr>
          <w:ilvl w:val="0"/>
          <w:numId w:val="73"/>
        </w:numPr>
        <w:spacing w:after="120" w:line="240" w:lineRule="auto"/>
        <w:ind w:left="720"/>
        <w:contextualSpacing w:val="0"/>
        <w:rPr>
          <w:rFonts w:ascii="Avenir Next" w:hAnsi="Avenir Next"/>
        </w:rPr>
      </w:pPr>
      <w:r w:rsidRPr="00F06439">
        <w:rPr>
          <w:rFonts w:ascii="Avenir Next" w:hAnsi="Avenir Next"/>
        </w:rPr>
        <w:t>(persons who are or have been employees of the company, during the period of one year immediately preceding the relevant date.</w:t>
      </w:r>
    </w:p>
    <w:p w14:paraId="589BAA16" w14:textId="735EA9AD" w:rsidR="008910C4" w:rsidRPr="00F06439" w:rsidRDefault="008910C4" w:rsidP="00F06439">
      <w:pPr>
        <w:pStyle w:val="ListParagraph"/>
        <w:numPr>
          <w:ilvl w:val="0"/>
          <w:numId w:val="72"/>
        </w:numPr>
        <w:spacing w:after="120" w:line="240" w:lineRule="auto"/>
        <w:ind w:left="360"/>
        <w:contextualSpacing w:val="0"/>
        <w:rPr>
          <w:rFonts w:ascii="Avenir Next" w:hAnsi="Avenir Next"/>
        </w:rPr>
      </w:pPr>
      <w:r w:rsidRPr="00F06439">
        <w:rPr>
          <w:rFonts w:ascii="Avenir Next" w:hAnsi="Avenir Next"/>
        </w:rPr>
        <w:t>Section 101(6) further explains that in this section relevant date means:</w:t>
      </w:r>
    </w:p>
    <w:p w14:paraId="4D48F5B6" w14:textId="784F79A2" w:rsidR="00465E31" w:rsidRPr="00F06439" w:rsidRDefault="00465E31" w:rsidP="00F06439">
      <w:pPr>
        <w:pStyle w:val="ListParagraph"/>
        <w:numPr>
          <w:ilvl w:val="0"/>
          <w:numId w:val="74"/>
        </w:numPr>
        <w:spacing w:after="120" w:line="240" w:lineRule="auto"/>
        <w:ind w:left="720"/>
        <w:rPr>
          <w:rFonts w:ascii="Avenir Next" w:hAnsi="Avenir Next"/>
        </w:rPr>
      </w:pPr>
      <w:r w:rsidRPr="00F06439">
        <w:rPr>
          <w:rFonts w:ascii="Avenir Next" w:hAnsi="Avenir Next"/>
        </w:rPr>
        <w:t xml:space="preserve">in a case where a provisional liquidator is appointed, the date of that person’s appointment; </w:t>
      </w:r>
    </w:p>
    <w:p w14:paraId="75F3EB47" w14:textId="69DBD709" w:rsidR="00465E31" w:rsidRPr="00F06439" w:rsidRDefault="00465E31" w:rsidP="00F06439">
      <w:pPr>
        <w:pStyle w:val="ListParagraph"/>
        <w:numPr>
          <w:ilvl w:val="0"/>
          <w:numId w:val="74"/>
        </w:numPr>
        <w:spacing w:after="120" w:line="240" w:lineRule="auto"/>
        <w:ind w:left="720"/>
        <w:contextualSpacing w:val="0"/>
        <w:rPr>
          <w:rFonts w:ascii="Avenir Next" w:hAnsi="Avenir Next"/>
        </w:rPr>
      </w:pPr>
      <w:r w:rsidRPr="00F06439">
        <w:rPr>
          <w:rFonts w:ascii="Avenir Next" w:hAnsi="Avenir Next"/>
        </w:rPr>
        <w:t>in any other case, the commencement of the winding up</w:t>
      </w:r>
      <w:r w:rsidR="00F06439">
        <w:rPr>
          <w:rFonts w:ascii="Avenir Next" w:hAnsi="Avenir Next"/>
        </w:rPr>
        <w:t xml:space="preserve">. </w:t>
      </w:r>
    </w:p>
    <w:p w14:paraId="2BB1E6EF" w14:textId="6E2BCC1B" w:rsidR="00465E31" w:rsidRPr="00F06439" w:rsidRDefault="00465E31" w:rsidP="00F06439">
      <w:pPr>
        <w:pStyle w:val="ListParagraph"/>
        <w:numPr>
          <w:ilvl w:val="0"/>
          <w:numId w:val="72"/>
        </w:numPr>
        <w:spacing w:after="120" w:line="240" w:lineRule="auto"/>
        <w:ind w:left="360"/>
        <w:contextualSpacing w:val="0"/>
        <w:rPr>
          <w:rFonts w:ascii="Avenir Next" w:hAnsi="Avenir Next"/>
        </w:rPr>
      </w:pPr>
      <w:r w:rsidRPr="00F06439">
        <w:rPr>
          <w:rFonts w:ascii="Avenir Next" w:hAnsi="Avenir Next"/>
        </w:rPr>
        <w:t>The commencement of the winding up generally refers to the presentation of the winding up petition, with below exceptions:</w:t>
      </w:r>
    </w:p>
    <w:p w14:paraId="4A12FB32" w14:textId="2EBD8952" w:rsidR="00465E31" w:rsidRPr="00F06439" w:rsidRDefault="00465E31" w:rsidP="00F06439">
      <w:pPr>
        <w:pStyle w:val="ListParagraph"/>
        <w:numPr>
          <w:ilvl w:val="0"/>
          <w:numId w:val="75"/>
        </w:numPr>
        <w:spacing w:after="120" w:line="240" w:lineRule="auto"/>
        <w:ind w:left="720"/>
        <w:rPr>
          <w:rFonts w:ascii="Avenir Next" w:hAnsi="Avenir Next"/>
        </w:rPr>
      </w:pPr>
      <w:r w:rsidRPr="00F06439">
        <w:rPr>
          <w:rFonts w:ascii="Avenir Next" w:hAnsi="Avenir Next"/>
        </w:rPr>
        <w:t>when a resolution was passed by the company for voluntary winding up</w:t>
      </w:r>
      <w:r w:rsidR="00F06439">
        <w:rPr>
          <w:rFonts w:ascii="Avenir Next" w:hAnsi="Avenir Next"/>
        </w:rPr>
        <w:t>;</w:t>
      </w:r>
    </w:p>
    <w:p w14:paraId="463A9129" w14:textId="28A1FBB9" w:rsidR="00465E31" w:rsidRPr="00F06439" w:rsidRDefault="00465E31" w:rsidP="00F06439">
      <w:pPr>
        <w:pStyle w:val="ListParagraph"/>
        <w:numPr>
          <w:ilvl w:val="0"/>
          <w:numId w:val="75"/>
        </w:numPr>
        <w:spacing w:after="120" w:line="240" w:lineRule="auto"/>
        <w:ind w:left="720"/>
        <w:rPr>
          <w:rFonts w:ascii="Avenir Next" w:hAnsi="Avenir Next"/>
        </w:rPr>
      </w:pPr>
      <w:r w:rsidRPr="00F06439">
        <w:rPr>
          <w:rFonts w:ascii="Avenir Next" w:hAnsi="Avenir Next"/>
        </w:rPr>
        <w:t>an</w:t>
      </w:r>
      <w:r w:rsidR="00707064" w:rsidRPr="00F06439">
        <w:rPr>
          <w:rFonts w:ascii="Avenir Next" w:hAnsi="Avenir Next"/>
        </w:rPr>
        <w:t xml:space="preserve">y </w:t>
      </w:r>
      <w:r w:rsidRPr="00F06439">
        <w:rPr>
          <w:rFonts w:ascii="Avenir Next" w:hAnsi="Avenir Next"/>
        </w:rPr>
        <w:t>fixed period for the duration of the company by the articles of association;</w:t>
      </w:r>
    </w:p>
    <w:p w14:paraId="7EB089BA" w14:textId="63FFA811" w:rsidR="00707064" w:rsidRPr="00F06439" w:rsidRDefault="00F06439" w:rsidP="00F06439">
      <w:pPr>
        <w:pStyle w:val="ListParagraph"/>
        <w:numPr>
          <w:ilvl w:val="0"/>
          <w:numId w:val="75"/>
        </w:numPr>
        <w:spacing w:after="120" w:line="240" w:lineRule="auto"/>
        <w:ind w:left="720"/>
        <w:rPr>
          <w:rFonts w:ascii="Avenir Next" w:hAnsi="Avenir Next"/>
        </w:rPr>
      </w:pPr>
      <w:r w:rsidRPr="00F06439">
        <w:rPr>
          <w:rFonts w:ascii="Avenir Next" w:hAnsi="Avenir Next"/>
        </w:rPr>
        <w:t xml:space="preserve">the occurance of </w:t>
      </w:r>
      <w:r w:rsidR="00707064" w:rsidRPr="00F06439">
        <w:rPr>
          <w:rFonts w:ascii="Avenir Next" w:hAnsi="Avenir Next"/>
        </w:rPr>
        <w:t>the event</w:t>
      </w:r>
      <w:r w:rsidRPr="00F06439">
        <w:rPr>
          <w:rFonts w:ascii="Avenir Next" w:hAnsi="Avenir Next"/>
        </w:rPr>
        <w:t xml:space="preserve"> as specified in</w:t>
      </w:r>
      <w:r w:rsidR="00707064" w:rsidRPr="00F06439">
        <w:rPr>
          <w:rFonts w:ascii="Avenir Next" w:hAnsi="Avenir Next"/>
        </w:rPr>
        <w:t xml:space="preserve"> the memorandum</w:t>
      </w:r>
      <w:r w:rsidR="00707064" w:rsidRPr="00F06439">
        <w:rPr>
          <w:rFonts w:ascii="Avenir Next" w:hAnsi="Avenir Next"/>
        </w:rPr>
        <w:t xml:space="preserve"> </w:t>
      </w:r>
      <w:r w:rsidR="00707064" w:rsidRPr="00F06439">
        <w:rPr>
          <w:rFonts w:ascii="Avenir Next" w:hAnsi="Avenir Next"/>
        </w:rPr>
        <w:t>or articles of association provide that the company is to be wound up</w:t>
      </w:r>
      <w:r>
        <w:rPr>
          <w:rFonts w:ascii="Avenir Next" w:hAnsi="Avenir Next"/>
        </w:rPr>
        <w:t>; and</w:t>
      </w:r>
    </w:p>
    <w:p w14:paraId="1B32AD02" w14:textId="32ACDCB8" w:rsidR="00EB3E2A" w:rsidRDefault="00465E31" w:rsidP="00F06439">
      <w:pPr>
        <w:pStyle w:val="ListParagraph"/>
        <w:numPr>
          <w:ilvl w:val="0"/>
          <w:numId w:val="75"/>
        </w:numPr>
        <w:spacing w:after="120" w:line="240" w:lineRule="auto"/>
        <w:ind w:left="720"/>
        <w:rPr>
          <w:rFonts w:ascii="Avenir Next" w:hAnsi="Avenir Next"/>
        </w:rPr>
      </w:pPr>
      <w:r w:rsidRPr="00F06439">
        <w:rPr>
          <w:rFonts w:ascii="Avenir Next" w:hAnsi="Avenir Next"/>
        </w:rPr>
        <w:t xml:space="preserve">in the case of a </w:t>
      </w:r>
      <w:r w:rsidR="00707064" w:rsidRPr="00F06439">
        <w:rPr>
          <w:rFonts w:ascii="Avenir Next" w:hAnsi="Avenir Next"/>
        </w:rPr>
        <w:t>restructuring officer</w:t>
      </w:r>
      <w:r w:rsidRPr="00F06439">
        <w:rPr>
          <w:rFonts w:ascii="Avenir Next" w:hAnsi="Avenir Next"/>
        </w:rPr>
        <w:t xml:space="preserve"> being appointed </w:t>
      </w:r>
      <w:r w:rsidR="00707064" w:rsidRPr="00F06439">
        <w:rPr>
          <w:rFonts w:ascii="Avenir Next" w:hAnsi="Avenir Next"/>
        </w:rPr>
        <w:t>but</w:t>
      </w:r>
      <w:r w:rsidRPr="00F06439">
        <w:rPr>
          <w:rFonts w:ascii="Avenir Next" w:hAnsi="Avenir Next"/>
        </w:rPr>
        <w:t xml:space="preserve"> a </w:t>
      </w:r>
      <w:r w:rsidR="00707064" w:rsidRPr="00F06439">
        <w:rPr>
          <w:rFonts w:ascii="Avenir Next" w:hAnsi="Avenir Next"/>
        </w:rPr>
        <w:t>restructur</w:t>
      </w:r>
      <w:r w:rsidR="00707064" w:rsidRPr="00F06439">
        <w:rPr>
          <w:rFonts w:ascii="Avenir Next" w:hAnsi="Avenir Next"/>
        </w:rPr>
        <w:t>e</w:t>
      </w:r>
      <w:r w:rsidRPr="00F06439">
        <w:rPr>
          <w:rFonts w:ascii="Avenir Next" w:hAnsi="Avenir Next"/>
        </w:rPr>
        <w:t xml:space="preserve"> plan was f</w:t>
      </w:r>
      <w:r w:rsidR="00707064" w:rsidRPr="00F06439">
        <w:rPr>
          <w:rFonts w:ascii="Avenir Next" w:hAnsi="Avenir Next"/>
        </w:rPr>
        <w:t>ailed</w:t>
      </w:r>
      <w:r w:rsidRPr="00F06439">
        <w:rPr>
          <w:rFonts w:ascii="Avenir Next" w:hAnsi="Avenir Next"/>
        </w:rPr>
        <w:t xml:space="preserve"> to be </w:t>
      </w:r>
      <w:r w:rsidR="00707064" w:rsidRPr="00F06439">
        <w:rPr>
          <w:rFonts w:ascii="Avenir Next" w:hAnsi="Avenir Next"/>
        </w:rPr>
        <w:t>implemented</w:t>
      </w:r>
      <w:r w:rsidRPr="00F06439">
        <w:rPr>
          <w:rFonts w:ascii="Avenir Next" w:hAnsi="Avenir Next"/>
        </w:rPr>
        <w:t xml:space="preserve">, the winding </w:t>
      </w:r>
      <w:r w:rsidR="00707064" w:rsidRPr="00F06439">
        <w:rPr>
          <w:rFonts w:ascii="Avenir Next" w:hAnsi="Avenir Next"/>
        </w:rPr>
        <w:t>u</w:t>
      </w:r>
      <w:r w:rsidRPr="00F06439">
        <w:rPr>
          <w:rFonts w:ascii="Avenir Next" w:hAnsi="Avenir Next"/>
        </w:rPr>
        <w:t xml:space="preserve">p will be deemed to have commenced on the date of the presentation of the </w:t>
      </w:r>
      <w:r w:rsidR="00707064" w:rsidRPr="00F06439">
        <w:rPr>
          <w:rFonts w:ascii="Avenir Next" w:hAnsi="Avenir Next"/>
        </w:rPr>
        <w:t>restructuring</w:t>
      </w:r>
      <w:r w:rsidR="00707064" w:rsidRPr="00F06439">
        <w:rPr>
          <w:rFonts w:ascii="Avenir Next" w:hAnsi="Avenir Next"/>
        </w:rPr>
        <w:t xml:space="preserve"> petition</w:t>
      </w:r>
      <w:r w:rsidRPr="00F06439">
        <w:rPr>
          <w:rFonts w:ascii="Avenir Next" w:hAnsi="Avenir Next"/>
        </w:rPr>
        <w:t xml:space="preserve">. </w:t>
      </w:r>
    </w:p>
    <w:p w14:paraId="7A7EB53C" w14:textId="77777777" w:rsidR="00F06439" w:rsidRPr="00F06439" w:rsidRDefault="00F06439" w:rsidP="00F06439">
      <w:pPr>
        <w:pStyle w:val="ListParagraph"/>
        <w:spacing w:after="120" w:line="240" w:lineRule="auto"/>
        <w:rPr>
          <w:rFonts w:ascii="Avenir Next" w:hAnsi="Avenir Next"/>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0B72B179" w14:textId="5CB7D77D" w:rsidR="00F66425" w:rsidRDefault="00F66425" w:rsidP="00080EDC">
      <w:pPr>
        <w:pStyle w:val="BodyText"/>
        <w:ind w:firstLine="0"/>
        <w:rPr>
          <w:rFonts w:ascii="Avenir Next" w:hAnsi="Avenir Next"/>
          <w:color w:val="808080" w:themeColor="background1" w:themeShade="80"/>
        </w:rPr>
      </w:pPr>
    </w:p>
    <w:p w14:paraId="15AEEE31" w14:textId="1D43D523" w:rsidR="00F66425" w:rsidRPr="00707064" w:rsidRDefault="00F66425" w:rsidP="00707064">
      <w:pPr>
        <w:spacing w:after="120"/>
        <w:rPr>
          <w:color w:val="808080" w:themeColor="background1" w:themeShade="80"/>
        </w:rPr>
      </w:pPr>
      <w:r w:rsidRPr="00707064">
        <w:rPr>
          <w:b/>
          <w:bCs/>
          <w:i/>
          <w:iCs/>
        </w:rPr>
        <w:t>Answer:</w:t>
      </w:r>
    </w:p>
    <w:p w14:paraId="27F9BBE4" w14:textId="4B8DD708" w:rsidR="00F66425" w:rsidRPr="00707064" w:rsidRDefault="00F66425" w:rsidP="00707064">
      <w:pPr>
        <w:pStyle w:val="BodyText"/>
        <w:spacing w:after="120"/>
        <w:ind w:firstLine="0"/>
        <w:rPr>
          <w:rFonts w:ascii="Avenir Next" w:hAnsi="Avenir Next"/>
        </w:rPr>
      </w:pPr>
      <w:r w:rsidRPr="00707064">
        <w:rPr>
          <w:rFonts w:ascii="Avenir Next" w:hAnsi="Avenir Next"/>
        </w:rPr>
        <w:t>The chosen provisional liquidators will</w:t>
      </w:r>
      <w:r w:rsidRPr="00707064">
        <w:rPr>
          <w:rFonts w:ascii="Avenir Next" w:hAnsi="Avenir Next"/>
          <w:i/>
          <w:iCs/>
        </w:rPr>
        <w:t xml:space="preserve"> not</w:t>
      </w:r>
      <w:r w:rsidRPr="00707064">
        <w:rPr>
          <w:rFonts w:ascii="Avenir Next" w:hAnsi="Avenir Next"/>
        </w:rPr>
        <w:t xml:space="preserve"> be appointed by the Grand Court of the Cayman Islands fo</w:t>
      </w:r>
      <w:r w:rsidR="00707064">
        <w:rPr>
          <w:rFonts w:ascii="Avenir Next" w:hAnsi="Avenir Next"/>
        </w:rPr>
        <w:t>r</w:t>
      </w:r>
      <w:r w:rsidRPr="00707064">
        <w:rPr>
          <w:rFonts w:ascii="Avenir Next" w:hAnsi="Avenir Next"/>
        </w:rPr>
        <w:t xml:space="preserve"> the reasons listed below:</w:t>
      </w:r>
    </w:p>
    <w:p w14:paraId="6E7BE8A6" w14:textId="39210706" w:rsidR="00437E98" w:rsidRPr="00707064" w:rsidRDefault="00F66425" w:rsidP="00707064">
      <w:pPr>
        <w:pStyle w:val="BodyText"/>
        <w:numPr>
          <w:ilvl w:val="0"/>
          <w:numId w:val="54"/>
        </w:numPr>
        <w:spacing w:after="120"/>
        <w:jc w:val="both"/>
        <w:rPr>
          <w:rFonts w:ascii="Avenir Next" w:hAnsi="Avenir Next"/>
        </w:rPr>
      </w:pPr>
      <w:proofErr w:type="gramStart"/>
      <w:r w:rsidRPr="00707064">
        <w:rPr>
          <w:rFonts w:ascii="Avenir Next" w:hAnsi="Avenir Next"/>
        </w:rPr>
        <w:t>Based on the fact that</w:t>
      </w:r>
      <w:proofErr w:type="gramEnd"/>
      <w:r w:rsidRPr="00707064">
        <w:rPr>
          <w:rFonts w:ascii="Avenir Next" w:hAnsi="Avenir Next"/>
        </w:rPr>
        <w:t xml:space="preserve"> the </w:t>
      </w:r>
      <w:r w:rsidRPr="00707064">
        <w:rPr>
          <w:rFonts w:ascii="Avenir Next" w:hAnsi="Avenir Next"/>
        </w:rPr>
        <w:t>chosen provisional liquidator is based in Hong Kong</w:t>
      </w:r>
      <w:r w:rsidRPr="00707064">
        <w:rPr>
          <w:rFonts w:ascii="Avenir Next" w:hAnsi="Avenir Next"/>
        </w:rPr>
        <w:t>, it is likely that the person is a foreign practitioner, who</w:t>
      </w:r>
      <w:r w:rsidR="00437E98" w:rsidRPr="00707064">
        <w:rPr>
          <w:rFonts w:ascii="Avenir Next" w:hAnsi="Avenir Next"/>
        </w:rPr>
        <w:t>,</w:t>
      </w:r>
      <w:r w:rsidRPr="00707064">
        <w:rPr>
          <w:rFonts w:ascii="Avenir Next" w:hAnsi="Avenir Next"/>
        </w:rPr>
        <w:t xml:space="preserve"> according to section 89 of the Companies Act</w:t>
      </w:r>
      <w:r w:rsidR="00437E98" w:rsidRPr="00707064">
        <w:rPr>
          <w:rFonts w:ascii="Avenir Next" w:hAnsi="Avenir Next"/>
        </w:rPr>
        <w:t xml:space="preserve"> (2023 Revision)</w:t>
      </w:r>
      <w:r w:rsidRPr="00707064">
        <w:rPr>
          <w:rFonts w:ascii="Avenir Next" w:hAnsi="Avenir Next"/>
        </w:rPr>
        <w:t xml:space="preserve"> is</w:t>
      </w:r>
      <w:r w:rsidR="00437E98" w:rsidRPr="00707064">
        <w:rPr>
          <w:rFonts w:ascii="Avenir Next" w:hAnsi="Avenir Next"/>
        </w:rPr>
        <w:t xml:space="preserve"> “</w:t>
      </w:r>
      <w:r w:rsidR="00437E98" w:rsidRPr="00707064">
        <w:rPr>
          <w:rFonts w:ascii="Avenir Next" w:hAnsi="Avenir Next"/>
        </w:rPr>
        <w:t>a person who is qualified under the law of a</w:t>
      </w:r>
      <w:r w:rsidR="00437E98" w:rsidRPr="00707064">
        <w:rPr>
          <w:rFonts w:ascii="Avenir Next" w:hAnsi="Avenir Next"/>
        </w:rPr>
        <w:t xml:space="preserve"> </w:t>
      </w:r>
      <w:r w:rsidR="00437E98" w:rsidRPr="00707064">
        <w:rPr>
          <w:rFonts w:ascii="Avenir Next" w:hAnsi="Avenir Next"/>
        </w:rPr>
        <w:t>foreign country to perform functions equivalent to those performed by official</w:t>
      </w:r>
      <w:r w:rsidR="00437E98" w:rsidRPr="00707064">
        <w:rPr>
          <w:rFonts w:ascii="Avenir Next" w:hAnsi="Avenir Next"/>
        </w:rPr>
        <w:t xml:space="preserve"> </w:t>
      </w:r>
      <w:r w:rsidR="00437E98" w:rsidRPr="00707064">
        <w:rPr>
          <w:rFonts w:ascii="Avenir Next" w:hAnsi="Avenir Next"/>
        </w:rPr>
        <w:t>liquidators under this Ac</w:t>
      </w:r>
      <w:r w:rsidR="00437E98" w:rsidRPr="00707064">
        <w:rPr>
          <w:rFonts w:ascii="Avenir Next" w:hAnsi="Avenir Next"/>
        </w:rPr>
        <w:t xml:space="preserve">t.” A foreign practitioner may not be appointed as sole liquidator of a company as specified in Regulation 8 of the </w:t>
      </w:r>
      <w:r w:rsidR="00437E98" w:rsidRPr="00707064">
        <w:rPr>
          <w:rFonts w:ascii="Avenir Next" w:hAnsi="Avenir Next"/>
        </w:rPr>
        <w:t>Insolvency Practitioners’ Regulations (the “IPR”).</w:t>
      </w:r>
    </w:p>
    <w:p w14:paraId="46EE251A" w14:textId="57F3A359" w:rsidR="00707064" w:rsidRPr="00707064" w:rsidRDefault="00437E98" w:rsidP="00707064">
      <w:pPr>
        <w:pStyle w:val="BodyText"/>
        <w:numPr>
          <w:ilvl w:val="0"/>
          <w:numId w:val="54"/>
        </w:numPr>
        <w:spacing w:after="120"/>
        <w:jc w:val="both"/>
        <w:rPr>
          <w:rFonts w:ascii="Avenir Next" w:hAnsi="Avenir Next"/>
        </w:rPr>
      </w:pPr>
      <w:r w:rsidRPr="00707064">
        <w:rPr>
          <w:rFonts w:ascii="Avenir Next" w:hAnsi="Avenir Next"/>
        </w:rPr>
        <w:t>If the Hong Kong based practitioner meets the professional qualification requirements in Regulation 4 of the IPR, he or she will still fail</w:t>
      </w:r>
      <w:r w:rsidR="00F66425" w:rsidRPr="00707064">
        <w:rPr>
          <w:rFonts w:ascii="Avenir Next" w:hAnsi="Avenir Next"/>
        </w:rPr>
        <w:t xml:space="preserve"> the residency requirement in Regulation 5 of the </w:t>
      </w:r>
      <w:r w:rsidRPr="00707064">
        <w:rPr>
          <w:rFonts w:ascii="Avenir Next" w:hAnsi="Avenir Next"/>
        </w:rPr>
        <w:t>IPR</w:t>
      </w:r>
      <w:r w:rsidR="00712CAA" w:rsidRPr="00707064">
        <w:rPr>
          <w:rFonts w:ascii="Avenir Next" w:hAnsi="Avenir Next"/>
        </w:rPr>
        <w:t xml:space="preserve">, which requires the qualified insolvency practitioner to be a resident of the Cayman Islands and the person or the person’s firm/company </w:t>
      </w:r>
      <w:r w:rsidR="00712CAA" w:rsidRPr="00707064">
        <w:rPr>
          <w:rFonts w:ascii="Avenir Next" w:hAnsi="Avenir Next"/>
        </w:rPr>
        <w:t xml:space="preserve">holds a trade and business </w:t>
      </w:r>
      <w:r w:rsidR="00712CAA" w:rsidRPr="00707064">
        <w:rPr>
          <w:rFonts w:ascii="Avenir Next" w:hAnsi="Avenir Next"/>
        </w:rPr>
        <w:t xml:space="preserve">license </w:t>
      </w:r>
      <w:r w:rsidR="00712CAA" w:rsidRPr="00707064">
        <w:rPr>
          <w:rFonts w:ascii="Avenir Next" w:hAnsi="Avenir Next"/>
        </w:rPr>
        <w:t xml:space="preserve">which </w:t>
      </w:r>
      <w:r w:rsidR="004815C2" w:rsidRPr="00707064">
        <w:rPr>
          <w:rFonts w:ascii="Avenir Next" w:hAnsi="Avenir Next"/>
        </w:rPr>
        <w:t>authorizes</w:t>
      </w:r>
      <w:r w:rsidR="00712CAA" w:rsidRPr="00707064">
        <w:rPr>
          <w:rFonts w:ascii="Avenir Next" w:hAnsi="Avenir Next"/>
        </w:rPr>
        <w:t xml:space="preserve"> him or his firm to carry on business as professional</w:t>
      </w:r>
      <w:r w:rsidR="00712CAA" w:rsidRPr="00707064">
        <w:rPr>
          <w:rFonts w:ascii="Avenir Next" w:hAnsi="Avenir Next"/>
        </w:rPr>
        <w:t xml:space="preserve"> </w:t>
      </w:r>
      <w:r w:rsidR="00712CAA" w:rsidRPr="00707064">
        <w:rPr>
          <w:rFonts w:ascii="Avenir Next" w:hAnsi="Avenir Next"/>
        </w:rPr>
        <w:t>insolvency practitioners.</w:t>
      </w:r>
    </w:p>
    <w:p w14:paraId="7FD666DA" w14:textId="1FF3002F" w:rsidR="00F66425" w:rsidRPr="00707064" w:rsidRDefault="00437E98" w:rsidP="00712CAA">
      <w:pPr>
        <w:pStyle w:val="BodyText"/>
        <w:numPr>
          <w:ilvl w:val="0"/>
          <w:numId w:val="54"/>
        </w:numPr>
        <w:jc w:val="both"/>
        <w:rPr>
          <w:rFonts w:ascii="Avenir Next" w:hAnsi="Avenir Next"/>
        </w:rPr>
      </w:pPr>
      <w:r w:rsidRPr="00707064">
        <w:rPr>
          <w:rFonts w:ascii="Avenir Next" w:hAnsi="Avenir Next"/>
        </w:rPr>
        <w:t>In addition, i</w:t>
      </w:r>
      <w:r w:rsidR="00F66425" w:rsidRPr="00707064">
        <w:rPr>
          <w:rFonts w:ascii="Avenir Next" w:hAnsi="Avenir Next"/>
        </w:rPr>
        <w:t xml:space="preserve">nsurance requirement in Regulation 7 of the IPR </w:t>
      </w:r>
      <w:r w:rsidR="00712CAA" w:rsidRPr="00707064">
        <w:rPr>
          <w:rFonts w:ascii="Avenir Next" w:hAnsi="Avenir Next"/>
        </w:rPr>
        <w:t xml:space="preserve">that applies to both local and foreign insolvency practitioners is not met. Regulation 7 specifies that a qualified insolvency practitioner shall not be appointed by the Court unless the person and the person’s firm/company </w:t>
      </w:r>
      <w:r w:rsidR="00707064" w:rsidRPr="00707064">
        <w:rPr>
          <w:rFonts w:ascii="Avenir Next" w:hAnsi="Avenir Next"/>
        </w:rPr>
        <w:t>have</w:t>
      </w:r>
      <w:r w:rsidR="00712CAA" w:rsidRPr="00707064">
        <w:rPr>
          <w:rFonts w:ascii="Avenir Next" w:hAnsi="Avenir Next"/>
        </w:rPr>
        <w:t xml:space="preserve"> professional indemnity insurance “</w:t>
      </w:r>
      <w:r w:rsidR="00712CAA" w:rsidRPr="00707064">
        <w:rPr>
          <w:rFonts w:ascii="Avenir Next" w:hAnsi="Avenir Next"/>
        </w:rPr>
        <w:t>up to a limit of at least US$10 million in</w:t>
      </w:r>
      <w:r w:rsidR="00712CAA" w:rsidRPr="00707064">
        <w:rPr>
          <w:rFonts w:ascii="Avenir Next" w:hAnsi="Avenir Next"/>
        </w:rPr>
        <w:t xml:space="preserve"> </w:t>
      </w:r>
      <w:r w:rsidR="00712CAA" w:rsidRPr="00707064">
        <w:rPr>
          <w:rFonts w:ascii="Avenir Next" w:hAnsi="Avenir Next"/>
        </w:rPr>
        <w:t>respect of each and every claim and at least US$20 million in the aggregate, with</w:t>
      </w:r>
      <w:r w:rsidR="00712CAA" w:rsidRPr="00707064">
        <w:rPr>
          <w:rFonts w:ascii="Avenir Next" w:hAnsi="Avenir Next"/>
        </w:rPr>
        <w:t xml:space="preserve"> </w:t>
      </w:r>
      <w:r w:rsidR="00712CAA" w:rsidRPr="00707064">
        <w:rPr>
          <w:rFonts w:ascii="Avenir Next" w:hAnsi="Avenir Next"/>
        </w:rPr>
        <w:t>a deductible of not more than US$1 million</w:t>
      </w:r>
      <w:r w:rsidR="00712CAA" w:rsidRPr="00707064">
        <w:rPr>
          <w:rFonts w:ascii="Avenir Next" w:hAnsi="Avenir Next"/>
        </w:rPr>
        <w:t>.”</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3C383907" w14:textId="77777777" w:rsidR="00A25982" w:rsidRDefault="00662A8E" w:rsidP="00662A8E">
      <w:pPr>
        <w:tabs>
          <w:tab w:val="right" w:pos="9021"/>
        </w:tabs>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p>
    <w:p w14:paraId="37EEF0AA" w14:textId="79E99406" w:rsidR="00707064" w:rsidRPr="00F06439" w:rsidRDefault="00662A8E" w:rsidP="00F06439">
      <w:pPr>
        <w:tabs>
          <w:tab w:val="right" w:pos="9021"/>
        </w:tabs>
        <w:rPr>
          <w:rFonts w:ascii="Avenir Next Demi Bold" w:hAnsi="Avenir Next Demi Bold"/>
          <w:b/>
          <w:bCs/>
        </w:rPr>
      </w:pPr>
      <w:r w:rsidRPr="00A25982">
        <w:rPr>
          <w:rFonts w:ascii="Avenir Next Demi Bold" w:hAnsi="Avenir Next Demi Bold"/>
          <w:b/>
          <w:bCs/>
        </w:rPr>
        <w:tab/>
        <w:t>(2)</w:t>
      </w:r>
    </w:p>
    <w:p w14:paraId="0E596EBD" w14:textId="64936972" w:rsidR="00A25982" w:rsidRPr="00707064" w:rsidRDefault="00A25982" w:rsidP="00707064">
      <w:pPr>
        <w:spacing w:after="120"/>
        <w:rPr>
          <w:b/>
          <w:bCs/>
          <w:i/>
          <w:iCs/>
        </w:rPr>
      </w:pPr>
      <w:r w:rsidRPr="00707064">
        <w:rPr>
          <w:b/>
          <w:bCs/>
          <w:i/>
          <w:iCs/>
        </w:rPr>
        <w:t>Answer:</w:t>
      </w:r>
    </w:p>
    <w:p w14:paraId="17F9F03A" w14:textId="1E1EC7C0" w:rsidR="00A25982" w:rsidRPr="00707064" w:rsidRDefault="00A25982" w:rsidP="003F3986">
      <w:pPr>
        <w:tabs>
          <w:tab w:val="right" w:pos="9021"/>
        </w:tabs>
        <w:spacing w:after="120"/>
      </w:pPr>
      <w:r w:rsidRPr="00707064">
        <w:t>According to Section 91B</w:t>
      </w:r>
      <w:r w:rsidR="003F3986">
        <w:t xml:space="preserve"> </w:t>
      </w:r>
      <w:r w:rsidRPr="00707064">
        <w:t>(1) of the Companies (Amendment) Act, the petition presented by the company to the Court for the appointment of restructuring offices must demonstrate that:</w:t>
      </w:r>
    </w:p>
    <w:p w14:paraId="703A8748" w14:textId="672396E4" w:rsidR="00A25982" w:rsidRPr="00707064" w:rsidRDefault="00A25982" w:rsidP="003F3986">
      <w:pPr>
        <w:pStyle w:val="ListParagraph"/>
        <w:numPr>
          <w:ilvl w:val="0"/>
          <w:numId w:val="49"/>
        </w:numPr>
        <w:tabs>
          <w:tab w:val="right" w:pos="9021"/>
        </w:tabs>
        <w:spacing w:after="120" w:line="240" w:lineRule="auto"/>
        <w:rPr>
          <w:rFonts w:ascii="Avenir Next" w:hAnsi="Avenir Next"/>
        </w:rPr>
      </w:pPr>
      <w:r w:rsidRPr="00707064">
        <w:rPr>
          <w:rFonts w:ascii="Avenir Next" w:hAnsi="Avenir Next"/>
          <w:lang w:val="en-US"/>
        </w:rPr>
        <w:t xml:space="preserve">The board of the company believes that the company is or is likely </w:t>
      </w:r>
      <w:r w:rsidR="008910C4" w:rsidRPr="00707064">
        <w:rPr>
          <w:rFonts w:ascii="Avenir Next" w:hAnsi="Avenir Next"/>
          <w:lang w:val="en-US"/>
        </w:rPr>
        <w:t>to become unable to pay its debts; and</w:t>
      </w:r>
    </w:p>
    <w:p w14:paraId="3220A1EB" w14:textId="585A3C48" w:rsidR="00662A8E" w:rsidRPr="00707064" w:rsidRDefault="008910C4" w:rsidP="003F3986">
      <w:pPr>
        <w:pStyle w:val="ListParagraph"/>
        <w:numPr>
          <w:ilvl w:val="0"/>
          <w:numId w:val="49"/>
        </w:numPr>
        <w:tabs>
          <w:tab w:val="right" w:pos="9021"/>
        </w:tabs>
        <w:spacing w:after="120" w:line="240" w:lineRule="auto"/>
        <w:rPr>
          <w:rFonts w:ascii="Avenir Next" w:hAnsi="Avenir Next"/>
        </w:rPr>
      </w:pPr>
      <w:r w:rsidRPr="00707064">
        <w:rPr>
          <w:rFonts w:ascii="Avenir Next" w:hAnsi="Avenir Next"/>
          <w:lang w:val="en-US"/>
        </w:rPr>
        <w:t xml:space="preserve">The company intends to present a comprise or arrangement to its creditors. </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1CD6EBBC"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CDB5B9F" w14:textId="77777777" w:rsidR="00707064" w:rsidRPr="00486A0B" w:rsidRDefault="00707064" w:rsidP="00662A8E">
      <w:pPr>
        <w:pStyle w:val="BodyText"/>
        <w:ind w:firstLine="0"/>
        <w:rPr>
          <w:rFonts w:ascii="Avenir Next" w:hAnsi="Avenir Next"/>
          <w:b/>
          <w:bCs/>
        </w:rPr>
      </w:pPr>
    </w:p>
    <w:p w14:paraId="0B80EE97" w14:textId="2656AE24" w:rsidR="00A25982" w:rsidRPr="00707064" w:rsidRDefault="00A25982" w:rsidP="00707064">
      <w:pPr>
        <w:spacing w:after="120"/>
        <w:rPr>
          <w:b/>
          <w:bCs/>
          <w:i/>
          <w:iCs/>
        </w:rPr>
      </w:pPr>
      <w:r w:rsidRPr="00707064">
        <w:rPr>
          <w:b/>
          <w:bCs/>
          <w:i/>
          <w:iCs/>
        </w:rPr>
        <w:t>Answer:</w:t>
      </w:r>
    </w:p>
    <w:p w14:paraId="7F32923A" w14:textId="20F286BC" w:rsidR="00A25982" w:rsidRPr="003F3986" w:rsidRDefault="00A25982" w:rsidP="00662A8E">
      <w:r w:rsidRPr="003F3986">
        <w:t xml:space="preserve">According to the </w:t>
      </w:r>
      <w:r w:rsidR="00707064" w:rsidRPr="003F3986">
        <w:t xml:space="preserve">Cayman Islands Companies Winding Up Rules (2023 Consolidation) </w:t>
      </w:r>
      <w:r w:rsidRPr="003F3986">
        <w:t>O.1A, r.1</w:t>
      </w:r>
      <w:r w:rsidR="00707064" w:rsidRPr="003F3986">
        <w:t>,</w:t>
      </w:r>
    </w:p>
    <w:p w14:paraId="6FE89575" w14:textId="3889E0A8" w:rsidR="00A25982" w:rsidRPr="003F3986" w:rsidRDefault="00A25982" w:rsidP="003F3986">
      <w:pPr>
        <w:pStyle w:val="ListParagraph"/>
        <w:numPr>
          <w:ilvl w:val="0"/>
          <w:numId w:val="79"/>
        </w:numPr>
        <w:spacing w:after="120" w:line="240" w:lineRule="auto"/>
        <w:contextualSpacing w:val="0"/>
        <w:rPr>
          <w:rFonts w:ascii="Avenir Next" w:hAnsi="Avenir Next"/>
        </w:rPr>
      </w:pPr>
      <w:r w:rsidRPr="003F3986">
        <w:rPr>
          <w:rFonts w:ascii="Avenir Next" w:hAnsi="Avenir Next"/>
        </w:rPr>
        <w:t>Unless the Court otherwise directs, every petition for the appointment of a restructuring officer shall be advertised once in a newspaper having a circulatio</w:t>
      </w:r>
      <w:r w:rsidR="00F06439" w:rsidRPr="003F3986">
        <w:rPr>
          <w:rFonts w:ascii="Avenir Next" w:hAnsi="Avenir Next"/>
        </w:rPr>
        <w:t>n</w:t>
      </w:r>
      <w:r w:rsidRPr="003F3986">
        <w:rPr>
          <w:rFonts w:ascii="Avenir Next" w:hAnsi="Avenir Next"/>
        </w:rPr>
        <w:t xml:space="preserve"> in the Islands. </w:t>
      </w:r>
    </w:p>
    <w:p w14:paraId="316A7452" w14:textId="77777777" w:rsidR="001E2758" w:rsidRPr="003F3986" w:rsidRDefault="00A25982" w:rsidP="003F3986">
      <w:pPr>
        <w:pStyle w:val="ListParagraph"/>
        <w:numPr>
          <w:ilvl w:val="0"/>
          <w:numId w:val="79"/>
        </w:numPr>
        <w:snapToGrid w:val="0"/>
        <w:spacing w:after="120" w:line="240" w:lineRule="auto"/>
        <w:contextualSpacing w:val="0"/>
        <w:rPr>
          <w:rFonts w:ascii="Avenir Next" w:hAnsi="Avenir Next"/>
        </w:rPr>
      </w:pPr>
      <w:r w:rsidRPr="003F3986">
        <w:rPr>
          <w:rFonts w:ascii="Avenir Next" w:hAnsi="Avenir Next"/>
        </w:rPr>
        <w:t>In addition, unless the Court otherwise directs, if the company is carrying on business outside the Islands, every petition for the appointment of a restructuring officer shall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p>
    <w:p w14:paraId="34E69C82" w14:textId="41068007" w:rsidR="00A25982" w:rsidRPr="003F3986" w:rsidRDefault="001E2758" w:rsidP="003F3986">
      <w:pPr>
        <w:pStyle w:val="ListParagraph"/>
        <w:numPr>
          <w:ilvl w:val="0"/>
          <w:numId w:val="79"/>
        </w:numPr>
        <w:snapToGrid w:val="0"/>
        <w:spacing w:after="120" w:line="240" w:lineRule="auto"/>
        <w:contextualSpacing w:val="0"/>
        <w:rPr>
          <w:rFonts w:ascii="Avenir Next" w:hAnsi="Avenir Next"/>
        </w:rPr>
      </w:pPr>
      <w:r w:rsidRPr="003F3986">
        <w:rPr>
          <w:rFonts w:ascii="Avenir Next" w:hAnsi="Avenir Next"/>
        </w:rPr>
        <w:t>The advertisements shall be made to appear not more than 7 business days after</w:t>
      </w:r>
      <w:r w:rsidRPr="003F3986">
        <w:rPr>
          <w:rFonts w:ascii="Avenir Next" w:hAnsi="Avenir Next"/>
        </w:rPr>
        <w:t xml:space="preserve"> </w:t>
      </w:r>
      <w:r w:rsidRPr="003F3986">
        <w:rPr>
          <w:rFonts w:ascii="Avenir Next" w:hAnsi="Avenir Next"/>
        </w:rPr>
        <w:t>the petition for the appointment of a restructuring officer is filed in Court and</w:t>
      </w:r>
      <w:r w:rsidRPr="003F3986">
        <w:rPr>
          <w:rFonts w:ascii="Avenir Next" w:hAnsi="Avenir Next"/>
        </w:rPr>
        <w:t xml:space="preserve"> </w:t>
      </w:r>
      <w:r w:rsidRPr="003F3986">
        <w:rPr>
          <w:rFonts w:ascii="Avenir Next" w:hAnsi="Avenir Next"/>
        </w:rPr>
        <w:t>not less than 7 business days before the hearing date.</w:t>
      </w:r>
    </w:p>
    <w:p w14:paraId="73B4CE87" w14:textId="77777777" w:rsidR="00662A8E" w:rsidRDefault="00662A8E" w:rsidP="00662A8E">
      <w:pPr>
        <w:rPr>
          <w:rFonts w:ascii="Avenir Next LT Pro" w:hAnsi="Avenir Next LT Pro"/>
          <w:b/>
          <w:bCs/>
          <w:i/>
          <w:iCs/>
        </w:rPr>
      </w:pPr>
    </w:p>
    <w:p w14:paraId="73FB49E2" w14:textId="77777777" w:rsidR="00F06439" w:rsidRDefault="00F06439" w:rsidP="00662A8E">
      <w:pPr>
        <w:rPr>
          <w:rFonts w:ascii="Avenir Next LT Pro" w:hAnsi="Avenir Next LT Pro"/>
          <w:b/>
          <w:bCs/>
          <w:i/>
          <w:iCs/>
        </w:rPr>
      </w:pPr>
    </w:p>
    <w:p w14:paraId="7D1C0F74" w14:textId="77777777" w:rsidR="00F06439" w:rsidRPr="004C5625" w:rsidRDefault="00F06439"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C81816">
        <w:t xml:space="preserve">Describe </w:t>
      </w:r>
      <w:r w:rsidR="008913A7" w:rsidRPr="00C81816">
        <w:t xml:space="preserve">at least six (6) </w:t>
      </w:r>
      <w:r w:rsidRPr="00C81816">
        <w:t xml:space="preserve">elements of the new restructuring officer regime </w:t>
      </w:r>
      <w:r w:rsidR="00FC4B3C" w:rsidRPr="00C81816">
        <w:t>that</w:t>
      </w:r>
      <w:r w:rsidRPr="00C81816">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1FAEB1C8" w14:textId="77777777" w:rsidR="001E2758" w:rsidRPr="00486A0B" w:rsidRDefault="001E2758" w:rsidP="00662A8E">
      <w:pPr>
        <w:pStyle w:val="BodyText"/>
        <w:ind w:firstLine="0"/>
        <w:rPr>
          <w:rFonts w:ascii="Avenir Next" w:hAnsi="Avenir Next"/>
          <w:b/>
          <w:bCs/>
        </w:rPr>
      </w:pPr>
    </w:p>
    <w:p w14:paraId="44F88168" w14:textId="20FBA515" w:rsidR="00662A8E" w:rsidRPr="001E2758" w:rsidRDefault="000A1C1B" w:rsidP="001E2758">
      <w:pPr>
        <w:spacing w:after="120"/>
        <w:rPr>
          <w:b/>
          <w:bCs/>
          <w:i/>
          <w:iCs/>
        </w:rPr>
      </w:pPr>
      <w:r w:rsidRPr="001E2758">
        <w:rPr>
          <w:b/>
          <w:bCs/>
          <w:i/>
          <w:iCs/>
        </w:rPr>
        <w:t>Answer:</w:t>
      </w:r>
    </w:p>
    <w:p w14:paraId="17CF4D0C" w14:textId="13F6794A" w:rsidR="000A1C1B" w:rsidRPr="001E2758" w:rsidRDefault="000A1C1B" w:rsidP="001E2758">
      <w:pPr>
        <w:pStyle w:val="ListParagraph"/>
        <w:numPr>
          <w:ilvl w:val="0"/>
          <w:numId w:val="55"/>
        </w:numPr>
        <w:spacing w:after="120" w:line="240" w:lineRule="auto"/>
        <w:contextualSpacing w:val="0"/>
        <w:rPr>
          <w:rFonts w:ascii="Avenir Next" w:hAnsi="Avenir Next"/>
        </w:rPr>
      </w:pPr>
      <w:r w:rsidRPr="001E2758">
        <w:rPr>
          <w:rFonts w:ascii="Avenir Next" w:hAnsi="Avenir Next"/>
        </w:rPr>
        <w:t xml:space="preserve">It is set out in the </w:t>
      </w:r>
      <w:r w:rsidR="001E2758" w:rsidRPr="001E2758">
        <w:rPr>
          <w:rFonts w:ascii="Avenir Next" w:hAnsi="Avenir Next"/>
        </w:rPr>
        <w:t>Cayman Islands Companies Winding Up Rules (2023 Consolidation)</w:t>
      </w:r>
      <w:r w:rsidRPr="001E2758">
        <w:rPr>
          <w:rFonts w:ascii="Avenir Next" w:hAnsi="Avenir Next"/>
        </w:rPr>
        <w:t xml:space="preserve"> O.1A, r1 that  “</w:t>
      </w:r>
      <w:r w:rsidRPr="001E2758">
        <w:rPr>
          <w:rFonts w:ascii="Avenir Next" w:hAnsi="Avenir Next"/>
        </w:rPr>
        <w:t>every petition for the appointment of a</w:t>
      </w:r>
      <w:r w:rsidR="001E2758">
        <w:rPr>
          <w:rFonts w:ascii="Avenir Next" w:hAnsi="Avenir Next"/>
        </w:rPr>
        <w:t xml:space="preserve"> </w:t>
      </w:r>
      <w:r w:rsidRPr="001E2758">
        <w:rPr>
          <w:rFonts w:ascii="Avenir Next" w:hAnsi="Avenir Next"/>
        </w:rPr>
        <w:t>restructuring officer shall be advertised once in a newspaper having a circulation</w:t>
      </w:r>
      <w:r w:rsidRPr="001E2758">
        <w:rPr>
          <w:rFonts w:ascii="Avenir Next" w:hAnsi="Avenir Next"/>
        </w:rPr>
        <w:t xml:space="preserve"> </w:t>
      </w:r>
      <w:r w:rsidRPr="001E2758">
        <w:rPr>
          <w:rFonts w:ascii="Avenir Next" w:hAnsi="Avenir Next"/>
        </w:rPr>
        <w:t>in the Islands</w:t>
      </w:r>
      <w:r w:rsidRPr="001E2758">
        <w:rPr>
          <w:rFonts w:ascii="Avenir Next" w:hAnsi="Avenir Next"/>
        </w:rPr>
        <w:t>” and “</w:t>
      </w:r>
      <w:r w:rsidRPr="001E2758">
        <w:rPr>
          <w:rFonts w:ascii="Avenir Next" w:hAnsi="Avenir Next"/>
        </w:rPr>
        <w:t>advertised once in a newspaper having circulation</w:t>
      </w:r>
      <w:r w:rsidRPr="001E2758">
        <w:rPr>
          <w:rFonts w:ascii="Avenir Next" w:hAnsi="Avenir Next"/>
        </w:rPr>
        <w:t xml:space="preserve"> </w:t>
      </w:r>
      <w:r w:rsidRPr="001E2758">
        <w:rPr>
          <w:rFonts w:ascii="Avenir Next" w:hAnsi="Avenir Next"/>
        </w:rPr>
        <w:t>in a country (or countries) in which it is most likely to come to the attention ofthe company's creditors (including any contingent or prospective creditors)</w:t>
      </w:r>
      <w:r w:rsidRPr="001E2758">
        <w:rPr>
          <w:rFonts w:ascii="Avenir Next" w:hAnsi="Avenir Next"/>
        </w:rPr>
        <w:t xml:space="preserve">.” Thus, creditors have the opportunity to appear and be heard on the hearing of a restruturing petition. </w:t>
      </w:r>
    </w:p>
    <w:p w14:paraId="067778CC" w14:textId="58770BF6" w:rsidR="000A1C1B" w:rsidRPr="001E2758" w:rsidRDefault="000A1C1B" w:rsidP="001E2758">
      <w:pPr>
        <w:pStyle w:val="ListParagraph"/>
        <w:numPr>
          <w:ilvl w:val="0"/>
          <w:numId w:val="55"/>
        </w:numPr>
        <w:spacing w:after="120" w:line="240" w:lineRule="auto"/>
        <w:contextualSpacing w:val="0"/>
        <w:rPr>
          <w:rFonts w:ascii="Avenir Next" w:hAnsi="Avenir Next"/>
        </w:rPr>
      </w:pPr>
      <w:r w:rsidRPr="001E2758">
        <w:rPr>
          <w:rFonts w:ascii="Avenir Next" w:hAnsi="Avenir Next"/>
        </w:rPr>
        <w:t xml:space="preserve">A creditor may apply to the Court for a variation or a discharge of an order appointing the restructuring officers. </w:t>
      </w:r>
    </w:p>
    <w:p w14:paraId="1956E6BE" w14:textId="74146F0C" w:rsidR="000A1C1B" w:rsidRPr="001E2758" w:rsidRDefault="000A1C1B" w:rsidP="001E2758">
      <w:pPr>
        <w:pStyle w:val="ListParagraph"/>
        <w:numPr>
          <w:ilvl w:val="0"/>
          <w:numId w:val="55"/>
        </w:numPr>
        <w:spacing w:after="120" w:line="240" w:lineRule="auto"/>
        <w:contextualSpacing w:val="0"/>
        <w:rPr>
          <w:rFonts w:ascii="Avenir Next" w:hAnsi="Avenir Next"/>
        </w:rPr>
      </w:pPr>
      <w:r w:rsidRPr="001E2758">
        <w:rPr>
          <w:rFonts w:ascii="Avenir Next" w:hAnsi="Avenir Next"/>
        </w:rPr>
        <w:t>A creditor may</w:t>
      </w:r>
      <w:r w:rsidRPr="001E2758">
        <w:rPr>
          <w:rFonts w:ascii="Avenir Next" w:hAnsi="Avenir Next"/>
        </w:rPr>
        <w:t xml:space="preserve"> also</w:t>
      </w:r>
      <w:r w:rsidRPr="001E2758">
        <w:rPr>
          <w:rFonts w:ascii="Avenir Next" w:hAnsi="Avenir Next"/>
        </w:rPr>
        <w:t xml:space="preserve"> apply to the Court </w:t>
      </w:r>
      <w:r w:rsidRPr="001E2758">
        <w:rPr>
          <w:rFonts w:ascii="Avenir Next" w:hAnsi="Avenir Next"/>
        </w:rPr>
        <w:t>for th</w:t>
      </w:r>
      <w:r w:rsidRPr="001E2758">
        <w:rPr>
          <w:rFonts w:ascii="Avenir Next" w:hAnsi="Avenir Next"/>
        </w:rPr>
        <w:t xml:space="preserve">e </w:t>
      </w:r>
      <w:r w:rsidRPr="001E2758">
        <w:rPr>
          <w:rFonts w:ascii="Avenir Next" w:hAnsi="Avenir Next"/>
        </w:rPr>
        <w:t xml:space="preserve">removal and replacement </w:t>
      </w:r>
      <w:r w:rsidRPr="001E2758">
        <w:rPr>
          <w:rFonts w:ascii="Avenir Next" w:hAnsi="Avenir Next"/>
        </w:rPr>
        <w:t xml:space="preserve">of restructuring officers. </w:t>
      </w:r>
    </w:p>
    <w:p w14:paraId="70DCCF3F" w14:textId="6CC53C32" w:rsidR="000A1C1B" w:rsidRPr="001E2758" w:rsidRDefault="000A1C1B" w:rsidP="001E2758">
      <w:pPr>
        <w:pStyle w:val="ListParagraph"/>
        <w:numPr>
          <w:ilvl w:val="0"/>
          <w:numId w:val="55"/>
        </w:numPr>
        <w:spacing w:after="120" w:line="240" w:lineRule="auto"/>
        <w:contextualSpacing w:val="0"/>
        <w:rPr>
          <w:rFonts w:ascii="Avenir Next" w:hAnsi="Avenir Next"/>
        </w:rPr>
      </w:pPr>
      <w:r w:rsidRPr="001E2758">
        <w:rPr>
          <w:rFonts w:ascii="Avenir Next" w:hAnsi="Avenir Next"/>
        </w:rPr>
        <w:t>Creditors with secruity over assets of the company will remain entitle</w:t>
      </w:r>
      <w:r w:rsidR="00F06439">
        <w:rPr>
          <w:rFonts w:ascii="Avenir Next" w:hAnsi="Avenir Next"/>
        </w:rPr>
        <w:t>d</w:t>
      </w:r>
      <w:r w:rsidRPr="001E2758">
        <w:rPr>
          <w:rFonts w:ascii="Avenir Next" w:hAnsi="Avenir Next"/>
        </w:rPr>
        <w:t xml:space="preserve"> to the enforcement of the secruity </w:t>
      </w:r>
      <w:r w:rsidR="00687706" w:rsidRPr="001E2758">
        <w:rPr>
          <w:rFonts w:ascii="Avenir Next" w:hAnsi="Avenir Next"/>
        </w:rPr>
        <w:t xml:space="preserve">without the leave of the Court or reference to the restruturing officers. </w:t>
      </w:r>
    </w:p>
    <w:p w14:paraId="351BD3F0" w14:textId="4B880B89" w:rsidR="000A1C1B" w:rsidRPr="001E2758" w:rsidRDefault="00687706" w:rsidP="001E2758">
      <w:pPr>
        <w:pStyle w:val="ListParagraph"/>
        <w:numPr>
          <w:ilvl w:val="0"/>
          <w:numId w:val="55"/>
        </w:numPr>
        <w:spacing w:after="120" w:line="240" w:lineRule="auto"/>
        <w:contextualSpacing w:val="0"/>
        <w:rPr>
          <w:rFonts w:ascii="Avenir Next" w:hAnsi="Avenir Next"/>
        </w:rPr>
      </w:pPr>
      <w:r w:rsidRPr="001E2758">
        <w:rPr>
          <w:rFonts w:ascii="Avenir Next" w:hAnsi="Avenir Next"/>
        </w:rPr>
        <w:t xml:space="preserve">Creditors can still present a winding up petition in respect of the company following presentation of a restructuring petition with leave of the Court. </w:t>
      </w:r>
    </w:p>
    <w:p w14:paraId="47717535" w14:textId="77777777" w:rsidR="000A1C1B" w:rsidRPr="000A1C1B" w:rsidRDefault="000A1C1B" w:rsidP="00662A8E">
      <w:pPr>
        <w:rPr>
          <w:rFonts w:ascii="Avenir Next LT Pro" w:hAnsi="Avenir Next LT Pro"/>
          <w:lang w:val="af-ZA"/>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4254ABCD" w14:textId="0B88E751" w:rsidR="00662A8E" w:rsidRPr="003F3986" w:rsidRDefault="00662A8E" w:rsidP="003F3986">
      <w:pPr>
        <w:tabs>
          <w:tab w:val="right" w:pos="9021"/>
        </w:tabs>
      </w:pPr>
      <w:r w:rsidRPr="00C81816">
        <w:t xml:space="preserve">Outline the relief </w:t>
      </w:r>
      <w:r w:rsidRPr="00C81816">
        <w:rPr>
          <w:rFonts w:ascii="Avenir Next Demi Bold" w:hAnsi="Avenir Next Demi Bold"/>
          <w:b/>
          <w:bCs/>
        </w:rPr>
        <w:t>that is and is not</w:t>
      </w:r>
      <w:r w:rsidRPr="00C81816">
        <w:t xml:space="preserve"> available to the Court upon a restructuring petition.</w:t>
      </w:r>
      <w:r w:rsidRPr="00C81816">
        <w:tab/>
      </w:r>
      <w:r w:rsidRPr="00C81816">
        <w:rPr>
          <w:rFonts w:ascii="Avenir Next Demi Bold" w:hAnsi="Avenir Next Demi Bold"/>
          <w:b/>
          <w:bCs/>
        </w:rPr>
        <w:t>(5)</w:t>
      </w:r>
    </w:p>
    <w:p w14:paraId="00DC1349" w14:textId="77777777" w:rsidR="001E2758" w:rsidRPr="007D4146" w:rsidRDefault="001E2758" w:rsidP="00662A8E">
      <w:pPr>
        <w:pStyle w:val="BodyText"/>
        <w:ind w:firstLine="0"/>
        <w:rPr>
          <w:rFonts w:ascii="Avenir Next" w:hAnsi="Avenir Next"/>
          <w:b/>
          <w:bCs/>
        </w:rPr>
      </w:pPr>
    </w:p>
    <w:p w14:paraId="670F6D53" w14:textId="15DC915E" w:rsidR="00687706" w:rsidRPr="001E2758" w:rsidRDefault="00687706" w:rsidP="001E2758">
      <w:pPr>
        <w:spacing w:after="120"/>
        <w:rPr>
          <w:b/>
          <w:bCs/>
          <w:i/>
          <w:iCs/>
        </w:rPr>
      </w:pPr>
      <w:r w:rsidRPr="001E2758">
        <w:rPr>
          <w:b/>
          <w:bCs/>
          <w:i/>
          <w:iCs/>
        </w:rPr>
        <w:t>Answer:</w:t>
      </w:r>
    </w:p>
    <w:p w14:paraId="472D07FA" w14:textId="19095076" w:rsidR="00C81816" w:rsidRPr="00F06439" w:rsidRDefault="00687706" w:rsidP="00F06439">
      <w:pPr>
        <w:pStyle w:val="ListParagraph"/>
        <w:numPr>
          <w:ilvl w:val="0"/>
          <w:numId w:val="76"/>
        </w:numPr>
        <w:spacing w:after="120" w:line="240" w:lineRule="auto"/>
        <w:contextualSpacing w:val="0"/>
        <w:rPr>
          <w:rFonts w:ascii="Avenir Next" w:hAnsi="Avenir Next"/>
        </w:rPr>
      </w:pPr>
      <w:r w:rsidRPr="00F06439">
        <w:rPr>
          <w:rFonts w:ascii="Avenir Next" w:hAnsi="Avenir Next"/>
        </w:rPr>
        <w:t>As provided in section 91G of the Companies Act, “a</w:t>
      </w:r>
      <w:r w:rsidRPr="00F06439">
        <w:rPr>
          <w:rFonts w:ascii="Avenir Next" w:hAnsi="Avenir Next"/>
        </w:rPr>
        <w:t>t any time after the presentation of a petition for the appointment of a restructuring</w:t>
      </w:r>
      <w:r w:rsidRPr="00F06439">
        <w:rPr>
          <w:rFonts w:ascii="Avenir Next" w:hAnsi="Avenir Next"/>
        </w:rPr>
        <w:t xml:space="preserve"> </w:t>
      </w:r>
      <w:r w:rsidRPr="00F06439">
        <w:rPr>
          <w:rFonts w:ascii="Avenir Next" w:hAnsi="Avenir Next"/>
        </w:rPr>
        <w:t>officer under section 91B, but before an order for the appointment of a</w:t>
      </w:r>
      <w:r w:rsidRPr="00F06439">
        <w:rPr>
          <w:rFonts w:ascii="Avenir Next" w:hAnsi="Avenir Next"/>
        </w:rPr>
        <w:t xml:space="preserve"> </w:t>
      </w:r>
      <w:r w:rsidRPr="00F06439">
        <w:rPr>
          <w:rFonts w:ascii="Avenir Next" w:hAnsi="Avenir Next"/>
        </w:rPr>
        <w:t>restructuring officer is made, and when the petition has not been</w:t>
      </w:r>
      <w:r w:rsidRPr="00F06439">
        <w:rPr>
          <w:rFonts w:ascii="Avenir Next" w:hAnsi="Avenir Next"/>
        </w:rPr>
        <w:t xml:space="preserve"> </w:t>
      </w:r>
      <w:r w:rsidRPr="00F06439">
        <w:rPr>
          <w:rFonts w:ascii="Avenir Next" w:hAnsi="Avenir Next"/>
        </w:rPr>
        <w:t>withdrawn or dismissed</w:t>
      </w:r>
      <w:r w:rsidRPr="00F06439">
        <w:rPr>
          <w:rFonts w:ascii="Avenir Next" w:hAnsi="Avenir Next"/>
        </w:rPr>
        <w:t xml:space="preserve">, </w:t>
      </w:r>
      <w:r w:rsidRPr="00F06439">
        <w:rPr>
          <w:rFonts w:ascii="Avenir Next" w:hAnsi="Avenir Next"/>
        </w:rPr>
        <w:t>no suit, action or other proceedings, other than criminal proceedings, shall be</w:t>
      </w:r>
      <w:r w:rsidR="00C81816" w:rsidRPr="00F06439">
        <w:rPr>
          <w:rFonts w:ascii="Avenir Next" w:hAnsi="Avenir Next"/>
        </w:rPr>
        <w:t xml:space="preserve"> </w:t>
      </w:r>
      <w:r w:rsidRPr="00F06439">
        <w:rPr>
          <w:rFonts w:ascii="Avenir Next" w:hAnsi="Avenir Next"/>
        </w:rPr>
        <w:t>proceeded with or commenced against the company, no resolution shall be</w:t>
      </w:r>
      <w:r w:rsidR="00C81816" w:rsidRPr="00F06439">
        <w:rPr>
          <w:rFonts w:ascii="Avenir Next" w:hAnsi="Avenir Next"/>
        </w:rPr>
        <w:t xml:space="preserve"> </w:t>
      </w:r>
      <w:r w:rsidRPr="00F06439">
        <w:rPr>
          <w:rFonts w:ascii="Avenir Next" w:hAnsi="Avenir Next"/>
        </w:rPr>
        <w:t>passed for the company to be wound up and no winding up petition may be</w:t>
      </w:r>
      <w:r w:rsidR="00C81816" w:rsidRPr="00F06439">
        <w:rPr>
          <w:rFonts w:ascii="Avenir Next" w:hAnsi="Avenir Next"/>
        </w:rPr>
        <w:t xml:space="preserve"> </w:t>
      </w:r>
      <w:r w:rsidRPr="00F06439">
        <w:rPr>
          <w:rFonts w:ascii="Avenir Next" w:hAnsi="Avenir Next"/>
        </w:rPr>
        <w:t xml:space="preserve">presented against the company, except </w:t>
      </w:r>
      <w:r w:rsidR="00C81816" w:rsidRPr="00F06439">
        <w:rPr>
          <w:rFonts w:ascii="Avenir Next" w:hAnsi="Avenir Next"/>
        </w:rPr>
        <w:t>with the leave of the Court and subject</w:t>
      </w:r>
      <w:r w:rsidR="00C81816" w:rsidRPr="00F06439">
        <w:rPr>
          <w:rFonts w:ascii="Avenir Next" w:hAnsi="Avenir Next"/>
        </w:rPr>
        <w:t xml:space="preserve"> </w:t>
      </w:r>
      <w:r w:rsidR="00C81816" w:rsidRPr="00F06439">
        <w:rPr>
          <w:rFonts w:ascii="Avenir Next" w:hAnsi="Avenir Next"/>
        </w:rPr>
        <w:t>to such terms as the Court may impose</w:t>
      </w:r>
      <w:r w:rsidR="00C81816" w:rsidRPr="00F06439">
        <w:rPr>
          <w:rFonts w:ascii="Avenir Next" w:hAnsi="Avenir Next"/>
        </w:rPr>
        <w:t>.”</w:t>
      </w:r>
    </w:p>
    <w:p w14:paraId="4F6521F6" w14:textId="11BD0BED" w:rsidR="00C81816" w:rsidRDefault="00C81816" w:rsidP="00F06439">
      <w:pPr>
        <w:pStyle w:val="ListParagraph"/>
        <w:numPr>
          <w:ilvl w:val="0"/>
          <w:numId w:val="76"/>
        </w:numPr>
        <w:spacing w:after="120" w:line="240" w:lineRule="auto"/>
        <w:contextualSpacing w:val="0"/>
        <w:rPr>
          <w:rFonts w:ascii="Avenir Next" w:hAnsi="Avenir Next"/>
        </w:rPr>
      </w:pPr>
      <w:r w:rsidRPr="00F06439">
        <w:rPr>
          <w:rFonts w:ascii="Avenir Next" w:hAnsi="Avenir Next"/>
        </w:rPr>
        <w:t>Section 91H of the Companies Act provides that “</w:t>
      </w:r>
      <w:r w:rsidR="001E2758" w:rsidRPr="00F06439">
        <w:rPr>
          <w:rFonts w:ascii="Avenir Next" w:hAnsi="Avenir Next"/>
        </w:rPr>
        <w:t>n</w:t>
      </w:r>
      <w:r w:rsidRPr="00F06439">
        <w:rPr>
          <w:rFonts w:ascii="Avenir Next" w:hAnsi="Avenir Next"/>
        </w:rPr>
        <w:t>otwithstanding the presentation of a petition for the appointment of a restructuring officer or the appointment of a restructuring officer by the Court under section 91B or 91C, a creditor who has security over the whole or part of the assets of the company is entitled to enforce the creditor’s security without the leave of the Court and without reference to the restructuring officer appointed under section 91B or 91C</w:t>
      </w:r>
      <w:r w:rsidR="001E2758" w:rsidRPr="00F06439">
        <w:rPr>
          <w:rFonts w:ascii="Avenir Next" w:hAnsi="Avenir Next"/>
        </w:rPr>
        <w:t>.”</w:t>
      </w:r>
    </w:p>
    <w:p w14:paraId="528B32EF" w14:textId="62D291AA" w:rsidR="00F06439" w:rsidRDefault="00F06439" w:rsidP="00F06439">
      <w:pPr>
        <w:pStyle w:val="ListParagraph"/>
        <w:numPr>
          <w:ilvl w:val="0"/>
          <w:numId w:val="76"/>
        </w:numPr>
        <w:spacing w:line="240" w:lineRule="auto"/>
        <w:rPr>
          <w:rFonts w:ascii="Avenir Next" w:hAnsi="Avenir Next"/>
        </w:rPr>
      </w:pPr>
      <w:r>
        <w:rPr>
          <w:rFonts w:ascii="Avenir Next" w:hAnsi="Avenir Next"/>
        </w:rPr>
        <w:t>Thus, the relief</w:t>
      </w:r>
      <w:r w:rsidR="00CF08B3">
        <w:rPr>
          <w:rFonts w:ascii="Avenir Next" w:hAnsi="Avenir Next"/>
        </w:rPr>
        <w:t xml:space="preserve"> </w:t>
      </w:r>
      <w:r>
        <w:rPr>
          <w:rFonts w:ascii="Avenir Next" w:hAnsi="Avenir Next"/>
        </w:rPr>
        <w:t>available</w:t>
      </w:r>
      <w:r w:rsidR="00CF08B3">
        <w:rPr>
          <w:rFonts w:ascii="Avenir Next" w:hAnsi="Avenir Next"/>
        </w:rPr>
        <w:t xml:space="preserve"> and unavailable are</w:t>
      </w:r>
    </w:p>
    <w:p w14:paraId="01C3DCF5" w14:textId="4615A589" w:rsidR="00F06439" w:rsidRDefault="00F06439" w:rsidP="00F06439">
      <w:pPr>
        <w:pStyle w:val="ListParagraph"/>
        <w:numPr>
          <w:ilvl w:val="1"/>
          <w:numId w:val="76"/>
        </w:numPr>
        <w:spacing w:line="240" w:lineRule="auto"/>
        <w:rPr>
          <w:rFonts w:ascii="Avenir Next" w:hAnsi="Avenir Next"/>
        </w:rPr>
      </w:pPr>
      <w:r>
        <w:rPr>
          <w:rFonts w:ascii="Avenir Next" w:hAnsi="Avenir Next"/>
        </w:rPr>
        <w:t>stay on all exsiting proceedings and commencement of new proceeding</w:t>
      </w:r>
      <w:r w:rsidR="00CF08B3">
        <w:rPr>
          <w:rFonts w:ascii="Avenir Next" w:hAnsi="Avenir Next"/>
        </w:rPr>
        <w:t xml:space="preserve">s against the company, with the exception of </w:t>
      </w:r>
      <w:r>
        <w:rPr>
          <w:rFonts w:ascii="Avenir Next" w:hAnsi="Avenir Next"/>
        </w:rPr>
        <w:t xml:space="preserve">criminal </w:t>
      </w:r>
      <w:r w:rsidR="00CF08B3">
        <w:rPr>
          <w:rFonts w:ascii="Avenir Next" w:hAnsi="Avenir Next"/>
        </w:rPr>
        <w:t xml:space="preserve">proceedings; </w:t>
      </w:r>
    </w:p>
    <w:p w14:paraId="0871313A" w14:textId="1FD026C3" w:rsidR="00CF08B3" w:rsidRPr="00F06439" w:rsidRDefault="00CF08B3" w:rsidP="00F06439">
      <w:pPr>
        <w:pStyle w:val="ListParagraph"/>
        <w:numPr>
          <w:ilvl w:val="1"/>
          <w:numId w:val="76"/>
        </w:numPr>
        <w:spacing w:line="240" w:lineRule="auto"/>
        <w:rPr>
          <w:rFonts w:ascii="Avenir Next" w:hAnsi="Avenir Next"/>
        </w:rPr>
      </w:pPr>
      <w:r>
        <w:rPr>
          <w:rFonts w:ascii="Avenir Next" w:hAnsi="Avenir Next"/>
        </w:rPr>
        <w:t xml:space="preserve">however, the secured creditiors are still entitled to enforece their secruity. </w:t>
      </w:r>
    </w:p>
    <w:p w14:paraId="134FD9EE" w14:textId="77777777" w:rsidR="009733E8" w:rsidRPr="00F06439" w:rsidRDefault="009733E8" w:rsidP="008E6B76">
      <w:pPr>
        <w:tabs>
          <w:tab w:val="right" w:pos="9021"/>
        </w:tabs>
        <w:rPr>
          <w:rFonts w:ascii="Avenir Next Demi Bold" w:hAnsi="Avenir Next Demi Bold"/>
          <w:b/>
          <w:bCs/>
          <w:lang w:val="af-ZA"/>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3642B9DE" w14:textId="77777777" w:rsidR="001E2758" w:rsidRDefault="001E2758" w:rsidP="00F3705F">
      <w:pPr>
        <w:pStyle w:val="BodyText"/>
        <w:ind w:firstLine="0"/>
        <w:rPr>
          <w:rFonts w:ascii="Avenir Next" w:hAnsi="Avenir Next"/>
          <w:b/>
          <w:bCs/>
        </w:rPr>
      </w:pPr>
    </w:p>
    <w:p w14:paraId="724A0DAA" w14:textId="38E14F38" w:rsidR="00F303B8" w:rsidRPr="001E2758" w:rsidRDefault="00F303B8" w:rsidP="001E2758">
      <w:pPr>
        <w:pStyle w:val="BodyText"/>
        <w:spacing w:after="120"/>
        <w:ind w:firstLine="0"/>
        <w:rPr>
          <w:rFonts w:ascii="Avenir Next" w:hAnsi="Avenir Next"/>
          <w:b/>
          <w:bCs/>
          <w:i/>
          <w:iCs/>
        </w:rPr>
      </w:pPr>
      <w:r w:rsidRPr="001E2758">
        <w:rPr>
          <w:rFonts w:ascii="Avenir Next" w:hAnsi="Avenir Next"/>
          <w:b/>
          <w:bCs/>
          <w:i/>
          <w:iCs/>
        </w:rPr>
        <w:t>Answer:</w:t>
      </w:r>
    </w:p>
    <w:p w14:paraId="58D063A5" w14:textId="77777777" w:rsidR="001E2758" w:rsidRDefault="00F303B8" w:rsidP="001E2758">
      <w:pPr>
        <w:pStyle w:val="BodyText"/>
        <w:numPr>
          <w:ilvl w:val="0"/>
          <w:numId w:val="61"/>
        </w:numPr>
        <w:spacing w:after="120"/>
        <w:jc w:val="both"/>
        <w:rPr>
          <w:rFonts w:ascii="Avenir Next" w:hAnsi="Avenir Next"/>
        </w:rPr>
      </w:pPr>
      <w:r w:rsidRPr="001E2758">
        <w:rPr>
          <w:rFonts w:ascii="Avenir Next" w:hAnsi="Avenir Next"/>
        </w:rPr>
        <w:t>2 principal statutes that govern the formation and operation of the Cayman Islands’ ELPs are the Partnership Act (2013 Revision) and the Exempted Limited Partnership Act (2021 Revision)</w:t>
      </w:r>
      <w:r w:rsidR="00EA4C44" w:rsidRPr="001E2758">
        <w:rPr>
          <w:rFonts w:ascii="Avenir Next" w:hAnsi="Avenir Next"/>
        </w:rPr>
        <w:t xml:space="preserve"> (the ELP Act).</w:t>
      </w:r>
      <w:r w:rsidRPr="001E2758">
        <w:rPr>
          <w:rFonts w:ascii="Avenir Next" w:hAnsi="Avenir Next"/>
        </w:rPr>
        <w:t xml:space="preserve"> </w:t>
      </w:r>
    </w:p>
    <w:p w14:paraId="77E77211" w14:textId="29019E19" w:rsidR="00F303B8" w:rsidRPr="001E2758" w:rsidRDefault="00F303B8" w:rsidP="001E2758">
      <w:pPr>
        <w:pStyle w:val="BodyText"/>
        <w:numPr>
          <w:ilvl w:val="0"/>
          <w:numId w:val="61"/>
        </w:numPr>
        <w:jc w:val="both"/>
        <w:rPr>
          <w:rFonts w:ascii="Avenir Next" w:hAnsi="Avenir Next"/>
        </w:rPr>
      </w:pPr>
      <w:r w:rsidRPr="001E2758">
        <w:rPr>
          <w:rFonts w:ascii="Avenir Next" w:hAnsi="Avenir Next"/>
        </w:rPr>
        <w:t xml:space="preserve">In the context of winding up, Part V of the Companies Act and the </w:t>
      </w:r>
      <w:r w:rsidR="001E2758" w:rsidRPr="001E2758">
        <w:rPr>
          <w:rFonts w:ascii="Avenir Next" w:hAnsi="Avenir Next"/>
        </w:rPr>
        <w:t>Cayman Islands</w:t>
      </w:r>
      <w:r w:rsidR="001E2758">
        <w:rPr>
          <w:rFonts w:ascii="Avenir Next" w:hAnsi="Avenir Next"/>
        </w:rPr>
        <w:t xml:space="preserve"> </w:t>
      </w:r>
      <w:r w:rsidR="001E2758" w:rsidRPr="001E2758">
        <w:rPr>
          <w:rFonts w:ascii="Avenir Next" w:hAnsi="Avenir Next"/>
        </w:rPr>
        <w:t>Companies Winding Up Rules (2023 Consolidation)</w:t>
      </w:r>
      <w:r w:rsidRPr="001E2758">
        <w:rPr>
          <w:rFonts w:ascii="Avenir Next" w:hAnsi="Avenir Next"/>
        </w:rPr>
        <w:t xml:space="preserve">, with modifications, also apply to ELPs. </w:t>
      </w:r>
      <w:r w:rsidR="00EA4C44" w:rsidRPr="001E2758">
        <w:rPr>
          <w:rFonts w:ascii="Avenir Next" w:hAnsi="Avenir Next"/>
        </w:rPr>
        <w:t xml:space="preserve">It is worth noting that where there are inconsistencies, the ELP Act will take priority over the Companies Act. </w:t>
      </w:r>
    </w:p>
    <w:p w14:paraId="252BDA73" w14:textId="77777777" w:rsidR="006D7C44" w:rsidRDefault="006D7C44" w:rsidP="00F3705F">
      <w:pPr>
        <w:rPr>
          <w:color w:val="A6A6A6" w:themeColor="background1" w:themeShade="A6"/>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7237D425"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11608104" w14:textId="77777777" w:rsidR="001E2758" w:rsidRPr="00486A0B" w:rsidRDefault="001E2758" w:rsidP="00F3705F">
      <w:pPr>
        <w:pStyle w:val="BodyText"/>
        <w:ind w:firstLine="0"/>
        <w:rPr>
          <w:rFonts w:ascii="Avenir Next" w:hAnsi="Avenir Next"/>
          <w:b/>
          <w:bCs/>
        </w:rPr>
      </w:pPr>
    </w:p>
    <w:p w14:paraId="5BD86485" w14:textId="46FC1C15" w:rsidR="00F303B8" w:rsidRPr="001E2758" w:rsidRDefault="00F303B8" w:rsidP="001E2758">
      <w:pPr>
        <w:spacing w:after="120"/>
        <w:rPr>
          <w:b/>
          <w:bCs/>
          <w:i/>
          <w:iCs/>
          <w:lang w:val="en-GB"/>
        </w:rPr>
      </w:pPr>
      <w:r w:rsidRPr="001E2758">
        <w:rPr>
          <w:b/>
          <w:bCs/>
          <w:i/>
          <w:iCs/>
          <w:lang w:val="en-GB"/>
        </w:rPr>
        <w:t>Answer:</w:t>
      </w:r>
    </w:p>
    <w:p w14:paraId="4E9F799E" w14:textId="7631D92E" w:rsidR="00F303B8" w:rsidRPr="001E2758" w:rsidRDefault="00F303B8" w:rsidP="00F3705F">
      <w:pPr>
        <w:rPr>
          <w:lang w:val="en-GB"/>
        </w:rPr>
      </w:pPr>
      <w:r w:rsidRPr="001E2758">
        <w:rPr>
          <w:lang w:val="en-GB"/>
        </w:rPr>
        <w:t>Section 91(d) of the Companies Act specifies that the Cayman Islands court has jurisdiction to make winding up orders in respect of a foreign company which:</w:t>
      </w:r>
    </w:p>
    <w:p w14:paraId="52C516B3" w14:textId="137C1D30" w:rsidR="00F303B8" w:rsidRPr="001E2758" w:rsidRDefault="00F303B8" w:rsidP="003F3986">
      <w:pPr>
        <w:pStyle w:val="ListParagraph"/>
        <w:numPr>
          <w:ilvl w:val="0"/>
          <w:numId w:val="78"/>
        </w:numPr>
        <w:rPr>
          <w:rFonts w:ascii="Avenir Next" w:hAnsi="Avenir Next"/>
          <w:lang w:val="en-GB"/>
        </w:rPr>
      </w:pPr>
      <w:r w:rsidRPr="001E2758">
        <w:rPr>
          <w:rFonts w:ascii="Avenir Next" w:hAnsi="Avenir Next"/>
          <w:lang w:val="en-GB"/>
        </w:rPr>
        <w:t>has property located in the Islands;</w:t>
      </w:r>
    </w:p>
    <w:p w14:paraId="6E04C3E4" w14:textId="1B787748" w:rsidR="00F303B8" w:rsidRPr="001E2758" w:rsidRDefault="00F303B8" w:rsidP="003F3986">
      <w:pPr>
        <w:pStyle w:val="ListParagraph"/>
        <w:numPr>
          <w:ilvl w:val="0"/>
          <w:numId w:val="78"/>
        </w:numPr>
        <w:rPr>
          <w:rFonts w:ascii="Avenir Next" w:hAnsi="Avenir Next"/>
          <w:lang w:val="en-GB"/>
        </w:rPr>
      </w:pPr>
      <w:r w:rsidRPr="001E2758">
        <w:rPr>
          <w:rFonts w:ascii="Avenir Next" w:hAnsi="Avenir Next"/>
          <w:lang w:val="en-GB"/>
        </w:rPr>
        <w:t>is carrying on business in the Islands;</w:t>
      </w:r>
    </w:p>
    <w:p w14:paraId="47DBED20" w14:textId="7784CB83" w:rsidR="00F303B8" w:rsidRPr="001E2758" w:rsidRDefault="00F303B8" w:rsidP="003F3986">
      <w:pPr>
        <w:pStyle w:val="ListParagraph"/>
        <w:numPr>
          <w:ilvl w:val="0"/>
          <w:numId w:val="78"/>
        </w:numPr>
        <w:rPr>
          <w:rFonts w:ascii="Avenir Next" w:hAnsi="Avenir Next"/>
          <w:lang w:val="en-GB"/>
        </w:rPr>
      </w:pPr>
      <w:r w:rsidRPr="001E2758">
        <w:rPr>
          <w:rFonts w:ascii="Avenir Next" w:hAnsi="Avenir Next"/>
          <w:lang w:val="en-GB"/>
        </w:rPr>
        <w:t>is the general partner of a limited partnership; or</w:t>
      </w:r>
    </w:p>
    <w:p w14:paraId="7426AA6D" w14:textId="69F0187B" w:rsidR="00712982" w:rsidRDefault="00F303B8" w:rsidP="003F3986">
      <w:pPr>
        <w:pStyle w:val="ListParagraph"/>
        <w:numPr>
          <w:ilvl w:val="0"/>
          <w:numId w:val="78"/>
        </w:numPr>
        <w:rPr>
          <w:rFonts w:ascii="Avenir Next" w:hAnsi="Avenir Next"/>
          <w:lang w:val="en-GB"/>
        </w:rPr>
      </w:pPr>
      <w:r w:rsidRPr="001E2758">
        <w:rPr>
          <w:rFonts w:ascii="Avenir Next" w:hAnsi="Avenir Next"/>
          <w:lang w:val="en-GB"/>
        </w:rPr>
        <w:t>is registered under Part IX.</w:t>
      </w:r>
    </w:p>
    <w:p w14:paraId="1799BF8E" w14:textId="77777777" w:rsidR="003F3986" w:rsidRPr="00CF08B3" w:rsidRDefault="003F3986" w:rsidP="003F3986">
      <w:pPr>
        <w:pStyle w:val="ListParagraph"/>
        <w:rPr>
          <w:rFonts w:ascii="Avenir Next" w:hAnsi="Avenir Next"/>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823E26">
        <w:rPr>
          <w:rFonts w:ascii="Avenir Next" w:hAnsi="Avenir Next"/>
        </w:rPr>
        <w:t>Does a judgment of a foreign court need to be registered and / or enforced within the Cayman Islands before it is relied upon as the basis for seeking a winding up order?  Provide reasons.</w:t>
      </w:r>
      <w:r w:rsidRPr="00823E26">
        <w:rPr>
          <w:rFonts w:ascii="Avenir Next" w:hAnsi="Avenir Next"/>
        </w:rPr>
        <w:tab/>
        <w:t xml:space="preserve"> </w:t>
      </w:r>
      <w:r w:rsidRPr="00823E26">
        <w:rPr>
          <w:rFonts w:ascii="Avenir Next Demi Bold" w:hAnsi="Avenir Next Demi Bold"/>
          <w:b/>
          <w:bCs/>
        </w:rPr>
        <w:t>(3)</w:t>
      </w:r>
    </w:p>
    <w:p w14:paraId="41AB6724" w14:textId="77777777" w:rsidR="001E2758" w:rsidRPr="00486A0B" w:rsidRDefault="001E2758" w:rsidP="00F3705F">
      <w:pPr>
        <w:pStyle w:val="BodyText"/>
        <w:ind w:firstLine="0"/>
        <w:rPr>
          <w:rFonts w:ascii="Avenir Next" w:hAnsi="Avenir Next"/>
          <w:b/>
          <w:bCs/>
        </w:rPr>
      </w:pPr>
    </w:p>
    <w:p w14:paraId="3A0F61BD" w14:textId="67A099A8" w:rsidR="00C81816" w:rsidRPr="001E2758" w:rsidRDefault="00C81816" w:rsidP="001E2758">
      <w:pPr>
        <w:spacing w:after="120"/>
        <w:rPr>
          <w:b/>
          <w:bCs/>
          <w:i/>
          <w:iCs/>
          <w:lang w:val="en-GB"/>
        </w:rPr>
      </w:pPr>
      <w:r w:rsidRPr="001E2758">
        <w:rPr>
          <w:b/>
          <w:bCs/>
          <w:i/>
          <w:iCs/>
          <w:lang w:val="en-GB"/>
        </w:rPr>
        <w:t>Answer:</w:t>
      </w:r>
    </w:p>
    <w:p w14:paraId="19C22468" w14:textId="1733AA1C" w:rsidR="00F37EF5" w:rsidRPr="001E2758" w:rsidRDefault="00F37EF5" w:rsidP="001E2758">
      <w:pPr>
        <w:pStyle w:val="BodyText"/>
        <w:numPr>
          <w:ilvl w:val="0"/>
          <w:numId w:val="62"/>
        </w:numPr>
        <w:spacing w:after="120"/>
        <w:jc w:val="both"/>
        <w:rPr>
          <w:rFonts w:ascii="Avenir Next" w:hAnsi="Avenir Next"/>
        </w:rPr>
      </w:pPr>
      <w:r w:rsidRPr="001E2758">
        <w:rPr>
          <w:rFonts w:ascii="Avenir Next" w:hAnsi="Avenir Next"/>
        </w:rPr>
        <w:t>In general, a</w:t>
      </w:r>
      <w:r w:rsidR="00C81816" w:rsidRPr="001E2758">
        <w:rPr>
          <w:rFonts w:ascii="Avenir Next" w:hAnsi="Avenir Next"/>
        </w:rPr>
        <w:t xml:space="preserve"> </w:t>
      </w:r>
      <w:r w:rsidRPr="001E2758">
        <w:rPr>
          <w:rFonts w:ascii="Avenir Next" w:hAnsi="Avenir Next"/>
        </w:rPr>
        <w:t>judge</w:t>
      </w:r>
      <w:r w:rsidR="00C81816" w:rsidRPr="001E2758">
        <w:rPr>
          <w:rFonts w:ascii="Avenir Next" w:hAnsi="Avenir Next"/>
        </w:rPr>
        <w:t>ment or order of a foreign court has no</w:t>
      </w:r>
      <w:r w:rsidRPr="001E2758">
        <w:rPr>
          <w:rFonts w:ascii="Avenir Next" w:hAnsi="Avenir Next"/>
        </w:rPr>
        <w:t xml:space="preserve"> </w:t>
      </w:r>
      <w:r w:rsidR="00C81816" w:rsidRPr="001E2758">
        <w:rPr>
          <w:rFonts w:ascii="Avenir Next" w:hAnsi="Avenir Next"/>
        </w:rPr>
        <w:t>direct legal effect in the Cayman I</w:t>
      </w:r>
      <w:r w:rsidRPr="001E2758">
        <w:rPr>
          <w:rFonts w:ascii="Avenir Next" w:hAnsi="Avenir Next"/>
        </w:rPr>
        <w:t xml:space="preserve">slands, thus is not enforceable in the Cayman Islands in or of itself. </w:t>
      </w:r>
    </w:p>
    <w:p w14:paraId="227F7511" w14:textId="39AD6CB0" w:rsidR="00F37EF5" w:rsidRPr="001E2758" w:rsidRDefault="00F37EF5" w:rsidP="001E2758">
      <w:pPr>
        <w:pStyle w:val="BodyText"/>
        <w:numPr>
          <w:ilvl w:val="0"/>
          <w:numId w:val="62"/>
        </w:numPr>
        <w:spacing w:after="120"/>
        <w:jc w:val="both"/>
        <w:rPr>
          <w:rFonts w:ascii="Avenir Next" w:hAnsi="Avenir Next"/>
        </w:rPr>
      </w:pPr>
      <w:r w:rsidRPr="001E2758">
        <w:rPr>
          <w:rFonts w:ascii="Avenir Next" w:hAnsi="Avenir Next"/>
        </w:rPr>
        <w:t xml:space="preserve">The Foreign Judgments Reciprocal Enforcement Act (1996 Revision) provides that foreign judgments in specified foreign courts (certain courts of Australia) may be registered in the Cayman Islands and enforced in the same manner as a domestic judgement. </w:t>
      </w:r>
    </w:p>
    <w:p w14:paraId="4B3CC646" w14:textId="36A7585E" w:rsidR="00F37EF5" w:rsidRPr="001E2758" w:rsidRDefault="00922A76" w:rsidP="001E2758">
      <w:pPr>
        <w:pStyle w:val="BodyText"/>
        <w:numPr>
          <w:ilvl w:val="0"/>
          <w:numId w:val="62"/>
        </w:numPr>
        <w:spacing w:after="120"/>
        <w:jc w:val="both"/>
        <w:rPr>
          <w:rFonts w:ascii="Avenir Next" w:hAnsi="Avenir Next"/>
        </w:rPr>
      </w:pPr>
      <w:r>
        <w:rPr>
          <w:rFonts w:ascii="Avenir Next" w:hAnsi="Avenir Next"/>
        </w:rPr>
        <w:t>According to common law, f</w:t>
      </w:r>
      <w:r w:rsidR="00F37EF5" w:rsidRPr="001E2758">
        <w:rPr>
          <w:rFonts w:ascii="Avenir Next" w:hAnsi="Avenir Next"/>
        </w:rPr>
        <w:t xml:space="preserve">oreign </w:t>
      </w:r>
      <w:r w:rsidR="001E2758" w:rsidRPr="001E2758">
        <w:rPr>
          <w:rFonts w:ascii="Avenir Next" w:hAnsi="Avenir Next"/>
        </w:rPr>
        <w:t>judgments</w:t>
      </w:r>
      <w:r w:rsidR="00F37EF5" w:rsidRPr="001E2758">
        <w:rPr>
          <w:rFonts w:ascii="Avenir Next" w:hAnsi="Avenir Next"/>
        </w:rPr>
        <w:t xml:space="preserve"> that cannot </w:t>
      </w:r>
      <w:r w:rsidR="001E2758">
        <w:rPr>
          <w:rFonts w:ascii="Avenir Next" w:hAnsi="Avenir Next"/>
        </w:rPr>
        <w:t>be</w:t>
      </w:r>
      <w:r w:rsidR="00F37EF5" w:rsidRPr="001E2758">
        <w:rPr>
          <w:rFonts w:ascii="Avenir Next" w:hAnsi="Avenir Next"/>
        </w:rPr>
        <w:t xml:space="preserve"> registered under the </w:t>
      </w:r>
      <w:r w:rsidR="00F37EF5" w:rsidRPr="001E2758">
        <w:rPr>
          <w:rFonts w:ascii="Avenir Next" w:hAnsi="Avenir Next"/>
        </w:rPr>
        <w:t>Foreign Judgments Reciprocal Enforcement Act (1996 Revision)</w:t>
      </w:r>
      <w:r w:rsidR="00F37EF5" w:rsidRPr="001E2758">
        <w:rPr>
          <w:rFonts w:ascii="Avenir Next" w:hAnsi="Avenir Next"/>
        </w:rPr>
        <w:t xml:space="preserve"> must be enforced by commencing a new </w:t>
      </w:r>
      <w:r w:rsidR="001E2758" w:rsidRPr="001E2758">
        <w:rPr>
          <w:rFonts w:ascii="Avenir Next" w:hAnsi="Avenir Next"/>
        </w:rPr>
        <w:t>action</w:t>
      </w:r>
      <w:r w:rsidR="00F37EF5" w:rsidRPr="001E2758">
        <w:rPr>
          <w:rFonts w:ascii="Avenir Next" w:hAnsi="Avenir Next"/>
        </w:rPr>
        <w:t xml:space="preserve"> in the Cayman Islands, where the foreign judgment can be used as evidence. </w:t>
      </w:r>
    </w:p>
    <w:p w14:paraId="174C981E" w14:textId="6747A3C3" w:rsidR="00F37EF5" w:rsidRPr="001E2758" w:rsidRDefault="00F37EF5" w:rsidP="001E2758">
      <w:pPr>
        <w:pStyle w:val="BodyText"/>
        <w:numPr>
          <w:ilvl w:val="0"/>
          <w:numId w:val="62"/>
        </w:numPr>
        <w:spacing w:after="120"/>
        <w:jc w:val="both"/>
        <w:rPr>
          <w:rFonts w:ascii="Avenir Next" w:hAnsi="Avenir Next"/>
        </w:rPr>
      </w:pPr>
      <w:r w:rsidRPr="001E2758">
        <w:rPr>
          <w:rFonts w:ascii="Avenir Next" w:hAnsi="Avenir Next"/>
        </w:rPr>
        <w:t xml:space="preserve">However, it is worth noting that in </w:t>
      </w:r>
      <w:proofErr w:type="gramStart"/>
      <w:r w:rsidRPr="00CF08B3">
        <w:rPr>
          <w:rFonts w:ascii="Avenir Next" w:hAnsi="Avenir Next"/>
          <w:i/>
          <w:iCs/>
        </w:rPr>
        <w:t>In</w:t>
      </w:r>
      <w:proofErr w:type="gramEnd"/>
      <w:r w:rsidRPr="00CF08B3">
        <w:rPr>
          <w:rFonts w:ascii="Avenir Next" w:hAnsi="Avenir Next"/>
          <w:i/>
          <w:iCs/>
        </w:rPr>
        <w:t xml:space="preserve"> the matter of Guoan International Limited (unreported, 29 October 2021)</w:t>
      </w:r>
      <w:r w:rsidRPr="001E2758">
        <w:rPr>
          <w:rFonts w:ascii="Avenir Next" w:hAnsi="Avenir Next"/>
        </w:rPr>
        <w:t xml:space="preserve"> Kawaley J’s first-instance judgment confirms that </w:t>
      </w:r>
      <w:r w:rsidR="001E2758" w:rsidRPr="001E2758">
        <w:rPr>
          <w:rFonts w:ascii="Avenir Next" w:hAnsi="Avenir Next"/>
        </w:rPr>
        <w:t>a foreign</w:t>
      </w:r>
      <w:r w:rsidRPr="001E2758">
        <w:rPr>
          <w:rFonts w:ascii="Avenir Next" w:hAnsi="Avenir Next"/>
        </w:rPr>
        <w:t xml:space="preserve"> judgment may be relied upon by a creditor</w:t>
      </w:r>
      <w:r w:rsidRPr="001E2758">
        <w:rPr>
          <w:rFonts w:ascii="Avenir Next" w:hAnsi="Avenir Next"/>
        </w:rPr>
        <w:t xml:space="preserve"> as the basis for seeking a winding up order</w:t>
      </w:r>
      <w:r w:rsidRPr="001E2758">
        <w:rPr>
          <w:rFonts w:ascii="Avenir Next" w:hAnsi="Avenir Next"/>
        </w:rPr>
        <w:t xml:space="preserve"> without first obtaining recognition or enforcement orders </w:t>
      </w:r>
      <w:r w:rsidR="00823E26" w:rsidRPr="001E2758">
        <w:rPr>
          <w:rFonts w:ascii="Avenir Next" w:hAnsi="Avenir Next"/>
        </w:rPr>
        <w:t xml:space="preserve">from the Court of the Cayman Islands.  </w:t>
      </w:r>
    </w:p>
    <w:p w14:paraId="2E2AFF5A" w14:textId="77777777" w:rsidR="00F37EF5" w:rsidRPr="001E2758" w:rsidRDefault="00F37EF5" w:rsidP="00F3705F">
      <w:pPr>
        <w:pStyle w:val="BodyText"/>
        <w:ind w:firstLine="0"/>
        <w:jc w:val="both"/>
        <w:rPr>
          <w:rFonts w:ascii="Avenir Next" w:hAnsi="Avenir Next"/>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5048F7D3"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23F66C4C" w14:textId="7348F0C0" w:rsidR="00F3705F" w:rsidRPr="00CF08B3" w:rsidRDefault="00F3705F" w:rsidP="00F3705F">
      <w:pPr>
        <w:rPr>
          <w:color w:val="000000"/>
          <w:lang w:eastAsia="en-GB"/>
        </w:rPr>
      </w:pPr>
    </w:p>
    <w:p w14:paraId="05ACBCBB" w14:textId="712958E2" w:rsidR="00EA4C44" w:rsidRPr="00922A76" w:rsidRDefault="00EA4C44" w:rsidP="00922A76">
      <w:pPr>
        <w:spacing w:after="120"/>
        <w:rPr>
          <w:b/>
          <w:bCs/>
          <w:i/>
          <w:iCs/>
          <w:lang w:val="en-GB"/>
        </w:rPr>
      </w:pPr>
      <w:r w:rsidRPr="00922A76">
        <w:rPr>
          <w:b/>
          <w:bCs/>
          <w:i/>
          <w:iCs/>
          <w:lang w:val="en-GB"/>
        </w:rPr>
        <w:t xml:space="preserve">Answer: </w:t>
      </w:r>
    </w:p>
    <w:p w14:paraId="113FC74E" w14:textId="63F44AEF" w:rsidR="00EA4C44" w:rsidRPr="00CF08B3" w:rsidRDefault="00EA4C44" w:rsidP="00CF08B3">
      <w:pPr>
        <w:pStyle w:val="ListParagraph"/>
        <w:numPr>
          <w:ilvl w:val="0"/>
          <w:numId w:val="46"/>
        </w:numPr>
        <w:spacing w:after="120" w:line="240" w:lineRule="auto"/>
        <w:contextualSpacing w:val="0"/>
        <w:jc w:val="left"/>
        <w:rPr>
          <w:rFonts w:ascii="Avenir Next" w:hAnsi="Avenir Next"/>
        </w:rPr>
      </w:pPr>
      <w:r w:rsidRPr="00CF08B3">
        <w:rPr>
          <w:rFonts w:ascii="Avenir Next" w:hAnsi="Avenir Next"/>
        </w:rPr>
        <w:t xml:space="preserve">Until the provisional order is made absolute, the trustee has duty to preserve the property. If the provision order is revoked, the property shall be returned to the debtor. </w:t>
      </w:r>
    </w:p>
    <w:p w14:paraId="67C80C11" w14:textId="771E4B4E" w:rsidR="00EA4C44" w:rsidRPr="00CF08B3" w:rsidRDefault="00EA4C44" w:rsidP="00CF08B3">
      <w:pPr>
        <w:pStyle w:val="ListParagraph"/>
        <w:numPr>
          <w:ilvl w:val="0"/>
          <w:numId w:val="46"/>
        </w:numPr>
        <w:spacing w:after="120" w:line="240" w:lineRule="auto"/>
        <w:contextualSpacing w:val="0"/>
        <w:jc w:val="left"/>
        <w:rPr>
          <w:rFonts w:ascii="Avenir Next" w:hAnsi="Avenir Next"/>
        </w:rPr>
      </w:pPr>
      <w:r w:rsidRPr="00CF08B3">
        <w:rPr>
          <w:rFonts w:ascii="Avenir Next" w:hAnsi="Avenir Next"/>
        </w:rPr>
        <w:t xml:space="preserve">If it is necessary or expedient for the winding up or sale of the business, the trustee can carry on the trade of the debtor. </w:t>
      </w:r>
    </w:p>
    <w:p w14:paraId="7797C4E9" w14:textId="24DFBA71" w:rsidR="00EA4C44" w:rsidRPr="00CF08B3" w:rsidRDefault="00EA4C44" w:rsidP="00CF08B3">
      <w:pPr>
        <w:pStyle w:val="ListParagraph"/>
        <w:numPr>
          <w:ilvl w:val="0"/>
          <w:numId w:val="46"/>
        </w:numPr>
        <w:spacing w:after="120" w:line="240" w:lineRule="auto"/>
        <w:contextualSpacing w:val="0"/>
        <w:jc w:val="left"/>
        <w:rPr>
          <w:rFonts w:ascii="Avenir Next" w:hAnsi="Avenir Next"/>
        </w:rPr>
      </w:pPr>
      <w:r w:rsidRPr="00CF08B3">
        <w:rPr>
          <w:rFonts w:ascii="Avenir Next" w:hAnsi="Avenir Next"/>
        </w:rPr>
        <w:t>The trustee also has the and duty to bring or defend any legal proceedings re</w:t>
      </w:r>
      <w:r w:rsidR="003F3986">
        <w:rPr>
          <w:rFonts w:ascii="Avenir Next" w:hAnsi="Avenir Next"/>
        </w:rPr>
        <w:t>lated</w:t>
      </w:r>
      <w:r w:rsidRPr="00CF08B3">
        <w:rPr>
          <w:rFonts w:ascii="Avenir Next" w:hAnsi="Avenir Next"/>
        </w:rPr>
        <w:t xml:space="preserve"> to the debtor’s property. </w:t>
      </w:r>
    </w:p>
    <w:p w14:paraId="7F4F0B86" w14:textId="556C4902" w:rsidR="00CF08B3" w:rsidRPr="00CF08B3" w:rsidRDefault="00CF08B3" w:rsidP="00CF08B3">
      <w:pPr>
        <w:pStyle w:val="ListParagraph"/>
        <w:numPr>
          <w:ilvl w:val="0"/>
          <w:numId w:val="46"/>
        </w:numPr>
        <w:spacing w:after="120"/>
        <w:jc w:val="left"/>
        <w:rPr>
          <w:rFonts w:ascii="Avenir Next" w:hAnsi="Avenir Next"/>
        </w:rPr>
      </w:pPr>
      <w:r w:rsidRPr="00CF08B3">
        <w:rPr>
          <w:rFonts w:ascii="Avenir Next" w:hAnsi="Avenir Next"/>
        </w:rPr>
        <w:t>As set out in Rule 26 of the Cayman Islands (Bankriptcy) Rules, t</w:t>
      </w:r>
      <w:r w:rsidR="00EA4C44" w:rsidRPr="00CF08B3">
        <w:rPr>
          <w:rFonts w:ascii="Avenir Next" w:hAnsi="Avenir Next"/>
        </w:rPr>
        <w:t>he trust</w:t>
      </w:r>
      <w:r w:rsidRPr="00CF08B3">
        <w:rPr>
          <w:rFonts w:ascii="Avenir Next" w:hAnsi="Avenir Next"/>
        </w:rPr>
        <w:t>ee may “</w:t>
      </w:r>
      <w:r w:rsidRPr="00CF08B3">
        <w:rPr>
          <w:rFonts w:ascii="Avenir Next" w:hAnsi="Avenir Next"/>
        </w:rPr>
        <w:t xml:space="preserve">in that </w:t>
      </w:r>
      <w:r w:rsidRPr="00CF08B3">
        <w:rPr>
          <w:rFonts w:ascii="Avenir Next" w:hAnsi="Avenir Next"/>
        </w:rPr>
        <w:t>t</w:t>
      </w:r>
      <w:r w:rsidRPr="00CF08B3">
        <w:rPr>
          <w:rFonts w:ascii="Avenir Next" w:hAnsi="Avenir Next"/>
        </w:rPr>
        <w:t>rustee’s discretion, accept proofs of debt after th</w:t>
      </w:r>
      <w:r w:rsidRPr="00CF08B3">
        <w:rPr>
          <w:rFonts w:ascii="Avenir Next" w:hAnsi="Avenir Next"/>
        </w:rPr>
        <w:t xml:space="preserve">e </w:t>
      </w:r>
      <w:r w:rsidRPr="00CF08B3">
        <w:rPr>
          <w:rFonts w:ascii="Avenir Next" w:hAnsi="Avenir Next"/>
        </w:rPr>
        <w:t xml:space="preserve">prescribed time limit and shall examine every proof filed with that </w:t>
      </w:r>
      <w:r>
        <w:rPr>
          <w:rFonts w:ascii="Avenir Next" w:hAnsi="Avenir Next"/>
        </w:rPr>
        <w:t>t</w:t>
      </w:r>
      <w:r w:rsidRPr="00CF08B3">
        <w:rPr>
          <w:rFonts w:ascii="Avenir Next" w:hAnsi="Avenir Next"/>
        </w:rPr>
        <w:t>rustee and the</w:t>
      </w:r>
      <w:r w:rsidRPr="00CF08B3">
        <w:rPr>
          <w:rFonts w:ascii="Avenir Next" w:hAnsi="Avenir Next"/>
        </w:rPr>
        <w:t xml:space="preserve"> </w:t>
      </w:r>
      <w:r w:rsidRPr="00CF08B3">
        <w:rPr>
          <w:rFonts w:ascii="Avenir Next" w:hAnsi="Avenir Next"/>
        </w:rPr>
        <w:t xml:space="preserve">grounds thereof and may in writing </w:t>
      </w:r>
    </w:p>
    <w:p w14:paraId="167A1529" w14:textId="4CBAF04E" w:rsidR="00CF08B3" w:rsidRPr="00CF08B3" w:rsidRDefault="00CF08B3" w:rsidP="00CF08B3">
      <w:pPr>
        <w:pStyle w:val="ListParagraph"/>
        <w:numPr>
          <w:ilvl w:val="0"/>
          <w:numId w:val="77"/>
        </w:numPr>
        <w:spacing w:after="120"/>
        <w:jc w:val="left"/>
        <w:rPr>
          <w:rFonts w:ascii="Avenir Next" w:hAnsi="Avenir Next"/>
        </w:rPr>
      </w:pPr>
      <w:r w:rsidRPr="00CF08B3">
        <w:rPr>
          <w:rFonts w:ascii="Avenir Next" w:hAnsi="Avenir Next"/>
        </w:rPr>
        <w:t>admit it in whole or in part;</w:t>
      </w:r>
    </w:p>
    <w:p w14:paraId="648A7493" w14:textId="3AA1CD5B" w:rsidR="00CF08B3" w:rsidRPr="00CF08B3" w:rsidRDefault="00CF08B3" w:rsidP="00CF08B3">
      <w:pPr>
        <w:pStyle w:val="ListParagraph"/>
        <w:numPr>
          <w:ilvl w:val="0"/>
          <w:numId w:val="77"/>
        </w:numPr>
        <w:spacing w:after="120"/>
        <w:jc w:val="left"/>
        <w:rPr>
          <w:rFonts w:ascii="Avenir Next" w:hAnsi="Avenir Next"/>
        </w:rPr>
      </w:pPr>
      <w:r w:rsidRPr="00CF08B3">
        <w:rPr>
          <w:rFonts w:ascii="Avenir Next" w:hAnsi="Avenir Next"/>
        </w:rPr>
        <w:t>reject it, giving reasons for such rejection; or</w:t>
      </w:r>
    </w:p>
    <w:p w14:paraId="44EE91A0" w14:textId="6C5000E9" w:rsidR="00EA4C44" w:rsidRPr="00CF08B3" w:rsidRDefault="00CF08B3" w:rsidP="00CF08B3">
      <w:pPr>
        <w:pStyle w:val="ListParagraph"/>
        <w:numPr>
          <w:ilvl w:val="0"/>
          <w:numId w:val="77"/>
        </w:numPr>
        <w:spacing w:after="120" w:line="240" w:lineRule="auto"/>
        <w:jc w:val="left"/>
        <w:rPr>
          <w:rFonts w:ascii="Avenir Next" w:hAnsi="Avenir Next"/>
          <w:b/>
          <w:bCs/>
          <w:color w:val="808080" w:themeColor="background1" w:themeShade="80"/>
        </w:rPr>
      </w:pPr>
      <w:r w:rsidRPr="00CF08B3">
        <w:rPr>
          <w:rFonts w:ascii="Avenir Next" w:hAnsi="Avenir Next"/>
        </w:rPr>
        <w:t>require further evidence in support thereof.</w:t>
      </w: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Pr="00CF08B3" w:rsidRDefault="008C202B" w:rsidP="008E6B76">
      <w:pPr>
        <w:tabs>
          <w:tab w:val="right" w:pos="9021"/>
        </w:tabs>
        <w:rPr>
          <w:rFonts w:ascii="Avenir Next Demi Bold" w:hAnsi="Avenir Next Demi Bold"/>
          <w:b/>
          <w:bCs/>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E9B5" w14:textId="77777777" w:rsidR="00A14F28" w:rsidRDefault="00A14F28" w:rsidP="001016B0">
      <w:r>
        <w:separator/>
      </w:r>
    </w:p>
  </w:endnote>
  <w:endnote w:type="continuationSeparator" w:id="0">
    <w:p w14:paraId="2E14F7DB" w14:textId="77777777" w:rsidR="00A14F28" w:rsidRDefault="00A14F28" w:rsidP="001016B0">
      <w:r>
        <w:continuationSeparator/>
      </w:r>
    </w:p>
  </w:endnote>
  <w:endnote w:type="continuationNotice" w:id="1">
    <w:p w14:paraId="32C6B5A9" w14:textId="77777777" w:rsidR="00A14F28" w:rsidRDefault="00A14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0D008814" w:rsidR="003D2C0D" w:rsidRDefault="0008446A" w:rsidP="008A20AC">
    <w:pPr>
      <w:pStyle w:val="Footer"/>
      <w:ind w:right="360"/>
    </w:pPr>
    <w:r w:rsidRPr="0008446A">
      <w:t>202223-1068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3469" w14:textId="77777777" w:rsidR="00A14F28" w:rsidRDefault="00A14F28" w:rsidP="001016B0">
      <w:r>
        <w:separator/>
      </w:r>
    </w:p>
  </w:footnote>
  <w:footnote w:type="continuationSeparator" w:id="0">
    <w:p w14:paraId="1D5D76C5" w14:textId="77777777" w:rsidR="00A14F28" w:rsidRDefault="00A14F28" w:rsidP="001016B0">
      <w:r>
        <w:continuationSeparator/>
      </w:r>
    </w:p>
  </w:footnote>
  <w:footnote w:type="continuationNotice" w:id="1">
    <w:p w14:paraId="592C5235" w14:textId="77777777" w:rsidR="00A14F28" w:rsidRDefault="00A14F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E7543E"/>
    <w:multiLevelType w:val="hybridMultilevel"/>
    <w:tmpl w:val="19681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FA1EB4"/>
    <w:multiLevelType w:val="hybridMultilevel"/>
    <w:tmpl w:val="5A4EF0D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BBC5767"/>
    <w:multiLevelType w:val="hybridMultilevel"/>
    <w:tmpl w:val="72FEF6E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C52850"/>
    <w:multiLevelType w:val="hybridMultilevel"/>
    <w:tmpl w:val="F0D4A2B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3E41F0"/>
    <w:multiLevelType w:val="hybridMultilevel"/>
    <w:tmpl w:val="A4EED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B4203"/>
    <w:multiLevelType w:val="hybridMultilevel"/>
    <w:tmpl w:val="F0D4A2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11C55"/>
    <w:multiLevelType w:val="hybridMultilevel"/>
    <w:tmpl w:val="1BB439F4"/>
    <w:lvl w:ilvl="0" w:tplc="8B664A20">
      <w:start w:val="1"/>
      <w:numFmt w:val="decimal"/>
      <w:lvlText w:val="%1."/>
      <w:lvlJc w:val="left"/>
      <w:pPr>
        <w:ind w:left="720" w:hanging="360"/>
      </w:pPr>
      <w:rPr>
        <w:rFonts w:ascii="Avenir Next" w:hAnsi="Avenir Nex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E63DB"/>
    <w:multiLevelType w:val="hybridMultilevel"/>
    <w:tmpl w:val="B7802B4A"/>
    <w:lvl w:ilvl="0" w:tplc="C69AA8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3A6DC8"/>
    <w:multiLevelType w:val="hybridMultilevel"/>
    <w:tmpl w:val="D8A6F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4993A7D"/>
    <w:multiLevelType w:val="hybridMultilevel"/>
    <w:tmpl w:val="AB6A785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837EAD"/>
    <w:multiLevelType w:val="hybridMultilevel"/>
    <w:tmpl w:val="15A2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78680A"/>
    <w:multiLevelType w:val="hybridMultilevel"/>
    <w:tmpl w:val="113C742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E73EEC"/>
    <w:multiLevelType w:val="hybridMultilevel"/>
    <w:tmpl w:val="74207E6E"/>
    <w:lvl w:ilvl="0" w:tplc="B60448B4">
      <w:start w:val="1"/>
      <w:numFmt w:val="lowerLetter"/>
      <w:lvlText w:val="(%1)"/>
      <w:lvlJc w:val="left"/>
      <w:pPr>
        <w:ind w:left="261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D076EBA"/>
    <w:multiLevelType w:val="hybridMultilevel"/>
    <w:tmpl w:val="4F9C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3A1D76"/>
    <w:multiLevelType w:val="hybridMultilevel"/>
    <w:tmpl w:val="66B81D8C"/>
    <w:lvl w:ilvl="0" w:tplc="08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DEC49B1"/>
    <w:multiLevelType w:val="hybridMultilevel"/>
    <w:tmpl w:val="955A00E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2A8778B"/>
    <w:multiLevelType w:val="hybridMultilevel"/>
    <w:tmpl w:val="B85653A8"/>
    <w:lvl w:ilvl="0" w:tplc="F312C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246EC8"/>
    <w:multiLevelType w:val="hybridMultilevel"/>
    <w:tmpl w:val="68108E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3501EBB"/>
    <w:multiLevelType w:val="hybridMultilevel"/>
    <w:tmpl w:val="8AEE692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C675EE"/>
    <w:multiLevelType w:val="hybridMultilevel"/>
    <w:tmpl w:val="1DAA81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66428B2"/>
    <w:multiLevelType w:val="hybridMultilevel"/>
    <w:tmpl w:val="EE421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845498"/>
    <w:multiLevelType w:val="hybridMultilevel"/>
    <w:tmpl w:val="F358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5"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7545A7"/>
    <w:multiLevelType w:val="hybridMultilevel"/>
    <w:tmpl w:val="D4FC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8" w15:restartNumberingAfterBreak="0">
    <w:nsid w:val="505467AE"/>
    <w:multiLevelType w:val="hybridMultilevel"/>
    <w:tmpl w:val="AAD88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51" w15:restartNumberingAfterBreak="0">
    <w:nsid w:val="55501F05"/>
    <w:multiLevelType w:val="hybridMultilevel"/>
    <w:tmpl w:val="07F0EA4C"/>
    <w:lvl w:ilvl="0" w:tplc="CC5ED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7E6AF7"/>
    <w:multiLevelType w:val="hybridMultilevel"/>
    <w:tmpl w:val="2662E9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46583A"/>
    <w:multiLevelType w:val="hybridMultilevel"/>
    <w:tmpl w:val="ED5C6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8FC099E"/>
    <w:multiLevelType w:val="hybridMultilevel"/>
    <w:tmpl w:val="D6A8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A314D8C"/>
    <w:multiLevelType w:val="hybridMultilevel"/>
    <w:tmpl w:val="A4C484DA"/>
    <w:lvl w:ilvl="0" w:tplc="FFFFFFFF">
      <w:start w:val="1"/>
      <w:numFmt w:val="lowerLetter"/>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5CAD2705"/>
    <w:multiLevelType w:val="hybridMultilevel"/>
    <w:tmpl w:val="40E06718"/>
    <w:lvl w:ilvl="0" w:tplc="08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EC320F8"/>
    <w:multiLevelType w:val="hybridMultilevel"/>
    <w:tmpl w:val="3DA2E306"/>
    <w:lvl w:ilvl="0" w:tplc="A1AA6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4909E5"/>
    <w:multiLevelType w:val="hybridMultilevel"/>
    <w:tmpl w:val="793A3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4990C33"/>
    <w:multiLevelType w:val="hybridMultilevel"/>
    <w:tmpl w:val="EB305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67091B15"/>
    <w:multiLevelType w:val="hybridMultilevel"/>
    <w:tmpl w:val="71367E36"/>
    <w:lvl w:ilvl="0" w:tplc="569025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7DF3275"/>
    <w:multiLevelType w:val="hybridMultilevel"/>
    <w:tmpl w:val="6F1865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8985A56"/>
    <w:multiLevelType w:val="hybridMultilevel"/>
    <w:tmpl w:val="D3EEF6EA"/>
    <w:lvl w:ilvl="0" w:tplc="2C32FD5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884772"/>
    <w:multiLevelType w:val="hybridMultilevel"/>
    <w:tmpl w:val="A6B2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C6F3B1B"/>
    <w:multiLevelType w:val="hybridMultilevel"/>
    <w:tmpl w:val="F648B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BE5A2B"/>
    <w:multiLevelType w:val="hybridMultilevel"/>
    <w:tmpl w:val="A28A06C4"/>
    <w:lvl w:ilvl="0" w:tplc="08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DE52E29"/>
    <w:multiLevelType w:val="hybridMultilevel"/>
    <w:tmpl w:val="BAF25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F0D1E0B"/>
    <w:multiLevelType w:val="hybridMultilevel"/>
    <w:tmpl w:val="ED2C7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08C0BC1"/>
    <w:multiLevelType w:val="hybridMultilevel"/>
    <w:tmpl w:val="43FC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C7608F0"/>
    <w:multiLevelType w:val="hybridMultilevel"/>
    <w:tmpl w:val="D95AEB98"/>
    <w:lvl w:ilvl="0" w:tplc="55F4F99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EF0352"/>
    <w:multiLevelType w:val="hybridMultilevel"/>
    <w:tmpl w:val="63726596"/>
    <w:lvl w:ilvl="0" w:tplc="1A5E04E6">
      <w:start w:val="1"/>
      <w:numFmt w:val="decimal"/>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863561">
    <w:abstractNumId w:val="50"/>
  </w:num>
  <w:num w:numId="2" w16cid:durableId="1640576312">
    <w:abstractNumId w:val="44"/>
  </w:num>
  <w:num w:numId="3" w16cid:durableId="786658971">
    <w:abstractNumId w:val="35"/>
  </w:num>
  <w:num w:numId="4" w16cid:durableId="1595821406">
    <w:abstractNumId w:val="47"/>
  </w:num>
  <w:num w:numId="5" w16cid:durableId="1075395378">
    <w:abstractNumId w:val="0"/>
  </w:num>
  <w:num w:numId="6" w16cid:durableId="913322995">
    <w:abstractNumId w:val="1"/>
  </w:num>
  <w:num w:numId="7" w16cid:durableId="638072861">
    <w:abstractNumId w:val="49"/>
  </w:num>
  <w:num w:numId="8" w16cid:durableId="2061443380">
    <w:abstractNumId w:val="2"/>
  </w:num>
  <w:num w:numId="9" w16cid:durableId="1789615509">
    <w:abstractNumId w:val="70"/>
  </w:num>
  <w:num w:numId="10" w16cid:durableId="2013222162">
    <w:abstractNumId w:val="75"/>
  </w:num>
  <w:num w:numId="11" w16cid:durableId="2028481579">
    <w:abstractNumId w:val="13"/>
  </w:num>
  <w:num w:numId="12" w16cid:durableId="1117142948">
    <w:abstractNumId w:val="76"/>
  </w:num>
  <w:num w:numId="13" w16cid:durableId="1701929818">
    <w:abstractNumId w:val="55"/>
  </w:num>
  <w:num w:numId="14" w16cid:durableId="1962107773">
    <w:abstractNumId w:val="28"/>
  </w:num>
  <w:num w:numId="15" w16cid:durableId="202600653">
    <w:abstractNumId w:val="27"/>
  </w:num>
  <w:num w:numId="16" w16cid:durableId="228082724">
    <w:abstractNumId w:val="68"/>
  </w:num>
  <w:num w:numId="17" w16cid:durableId="167988147">
    <w:abstractNumId w:val="25"/>
  </w:num>
  <w:num w:numId="18" w16cid:durableId="339696679">
    <w:abstractNumId w:val="21"/>
  </w:num>
  <w:num w:numId="19" w16cid:durableId="1312828833">
    <w:abstractNumId w:val="41"/>
  </w:num>
  <w:num w:numId="20" w16cid:durableId="1886676121">
    <w:abstractNumId w:val="14"/>
  </w:num>
  <w:num w:numId="21" w16cid:durableId="1638949751">
    <w:abstractNumId w:val="16"/>
  </w:num>
  <w:num w:numId="22" w16cid:durableId="190800115">
    <w:abstractNumId w:val="59"/>
  </w:num>
  <w:num w:numId="23" w16cid:durableId="729035354">
    <w:abstractNumId w:val="29"/>
  </w:num>
  <w:num w:numId="24" w16cid:durableId="1442265670">
    <w:abstractNumId w:val="26"/>
  </w:num>
  <w:num w:numId="25" w16cid:durableId="1908802923">
    <w:abstractNumId w:val="78"/>
  </w:num>
  <w:num w:numId="26" w16cid:durableId="1817603099">
    <w:abstractNumId w:val="61"/>
  </w:num>
  <w:num w:numId="27" w16cid:durableId="448209436">
    <w:abstractNumId w:val="43"/>
  </w:num>
  <w:num w:numId="28" w16cid:durableId="1911839542">
    <w:abstractNumId w:val="63"/>
  </w:num>
  <w:num w:numId="29" w16cid:durableId="762799774">
    <w:abstractNumId w:val="24"/>
  </w:num>
  <w:num w:numId="30" w16cid:durableId="1771855355">
    <w:abstractNumId w:val="5"/>
  </w:num>
  <w:num w:numId="31" w16cid:durableId="141504024">
    <w:abstractNumId w:val="56"/>
  </w:num>
  <w:num w:numId="32" w16cid:durableId="1674605260">
    <w:abstractNumId w:val="42"/>
  </w:num>
  <w:num w:numId="33" w16cid:durableId="855465053">
    <w:abstractNumId w:val="18"/>
  </w:num>
  <w:num w:numId="34" w16cid:durableId="198786301">
    <w:abstractNumId w:val="33"/>
  </w:num>
  <w:num w:numId="35" w16cid:durableId="412240316">
    <w:abstractNumId w:val="45"/>
  </w:num>
  <w:num w:numId="36" w16cid:durableId="495151011">
    <w:abstractNumId w:val="15"/>
  </w:num>
  <w:num w:numId="37" w16cid:durableId="1228566291">
    <w:abstractNumId w:val="23"/>
  </w:num>
  <w:num w:numId="38" w16cid:durableId="1652758795">
    <w:abstractNumId w:val="11"/>
  </w:num>
  <w:num w:numId="39" w16cid:durableId="193227404">
    <w:abstractNumId w:val="67"/>
  </w:num>
  <w:num w:numId="40" w16cid:durableId="597636305">
    <w:abstractNumId w:val="46"/>
  </w:num>
  <w:num w:numId="41" w16cid:durableId="890385503">
    <w:abstractNumId w:val="8"/>
  </w:num>
  <w:num w:numId="42" w16cid:durableId="873812602">
    <w:abstractNumId w:val="51"/>
  </w:num>
  <w:num w:numId="43" w16cid:durableId="651760598">
    <w:abstractNumId w:val="74"/>
  </w:num>
  <w:num w:numId="44" w16cid:durableId="477191116">
    <w:abstractNumId w:val="54"/>
  </w:num>
  <w:num w:numId="45" w16cid:durableId="1454209789">
    <w:abstractNumId w:val="79"/>
  </w:num>
  <w:num w:numId="46" w16cid:durableId="514417824">
    <w:abstractNumId w:val="30"/>
  </w:num>
  <w:num w:numId="47" w16cid:durableId="1551385080">
    <w:abstractNumId w:val="39"/>
  </w:num>
  <w:num w:numId="48" w16cid:durableId="1695838600">
    <w:abstractNumId w:val="10"/>
  </w:num>
  <w:num w:numId="49" w16cid:durableId="5400741">
    <w:abstractNumId w:val="72"/>
  </w:num>
  <w:num w:numId="50" w16cid:durableId="1804423118">
    <w:abstractNumId w:val="32"/>
  </w:num>
  <w:num w:numId="51" w16cid:durableId="920992679">
    <w:abstractNumId w:val="77"/>
  </w:num>
  <w:num w:numId="52" w16cid:durableId="802848716">
    <w:abstractNumId w:val="73"/>
  </w:num>
  <w:num w:numId="53" w16cid:durableId="36900183">
    <w:abstractNumId w:val="62"/>
  </w:num>
  <w:num w:numId="54" w16cid:durableId="2014187296">
    <w:abstractNumId w:val="17"/>
  </w:num>
  <w:num w:numId="55" w16cid:durableId="1044020632">
    <w:abstractNumId w:val="53"/>
  </w:num>
  <w:num w:numId="56" w16cid:durableId="1751345208">
    <w:abstractNumId w:val="40"/>
  </w:num>
  <w:num w:numId="57" w16cid:durableId="1384601528">
    <w:abstractNumId w:val="66"/>
  </w:num>
  <w:num w:numId="58" w16cid:durableId="275723750">
    <w:abstractNumId w:val="34"/>
  </w:num>
  <w:num w:numId="59" w16cid:durableId="754665674">
    <w:abstractNumId w:val="22"/>
  </w:num>
  <w:num w:numId="60" w16cid:durableId="1813673740">
    <w:abstractNumId w:val="69"/>
  </w:num>
  <w:num w:numId="61" w16cid:durableId="871191839">
    <w:abstractNumId w:val="48"/>
  </w:num>
  <w:num w:numId="62" w16cid:durableId="1062757499">
    <w:abstractNumId w:val="3"/>
  </w:num>
  <w:num w:numId="63" w16cid:durableId="853878807">
    <w:abstractNumId w:val="20"/>
  </w:num>
  <w:num w:numId="64" w16cid:durableId="586427294">
    <w:abstractNumId w:val="52"/>
  </w:num>
  <w:num w:numId="65" w16cid:durableId="1164661949">
    <w:abstractNumId w:val="38"/>
  </w:num>
  <w:num w:numId="66" w16cid:durableId="1457794689">
    <w:abstractNumId w:val="65"/>
  </w:num>
  <w:num w:numId="67" w16cid:durableId="100152071">
    <w:abstractNumId w:val="19"/>
  </w:num>
  <w:num w:numId="68" w16cid:durableId="1503349215">
    <w:abstractNumId w:val="6"/>
  </w:num>
  <w:num w:numId="69" w16cid:durableId="589854326">
    <w:abstractNumId w:val="12"/>
  </w:num>
  <w:num w:numId="70" w16cid:durableId="1375736378">
    <w:abstractNumId w:val="7"/>
  </w:num>
  <w:num w:numId="71" w16cid:durableId="568730958">
    <w:abstractNumId w:val="9"/>
  </w:num>
  <w:num w:numId="72" w16cid:durableId="1312637110">
    <w:abstractNumId w:val="58"/>
  </w:num>
  <w:num w:numId="73" w16cid:durableId="1704164231">
    <w:abstractNumId w:val="31"/>
  </w:num>
  <w:num w:numId="74" w16cid:durableId="591010007">
    <w:abstractNumId w:val="57"/>
  </w:num>
  <w:num w:numId="75" w16cid:durableId="2060397685">
    <w:abstractNumId w:val="71"/>
  </w:num>
  <w:num w:numId="76" w16cid:durableId="668799468">
    <w:abstractNumId w:val="64"/>
  </w:num>
  <w:num w:numId="77" w16cid:durableId="1458177145">
    <w:abstractNumId w:val="36"/>
  </w:num>
  <w:num w:numId="78" w16cid:durableId="73286824">
    <w:abstractNumId w:val="4"/>
  </w:num>
  <w:num w:numId="79" w16cid:durableId="445807479">
    <w:abstractNumId w:val="37"/>
  </w:num>
  <w:num w:numId="80" w16cid:durableId="187106508">
    <w:abstractNumId w:val="6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75D70"/>
    <w:rsid w:val="000807FB"/>
    <w:rsid w:val="00080EDC"/>
    <w:rsid w:val="00083AF3"/>
    <w:rsid w:val="0008446A"/>
    <w:rsid w:val="000875DC"/>
    <w:rsid w:val="00087A4E"/>
    <w:rsid w:val="00091667"/>
    <w:rsid w:val="000922D6"/>
    <w:rsid w:val="00093C0B"/>
    <w:rsid w:val="000943C5"/>
    <w:rsid w:val="00094C09"/>
    <w:rsid w:val="00097A42"/>
    <w:rsid w:val="000A1C1B"/>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66DAA"/>
    <w:rsid w:val="00171BCA"/>
    <w:rsid w:val="00175F03"/>
    <w:rsid w:val="00177E01"/>
    <w:rsid w:val="00186C97"/>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D34C2"/>
    <w:rsid w:val="001E2758"/>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356"/>
    <w:rsid w:val="00303C2F"/>
    <w:rsid w:val="003047C8"/>
    <w:rsid w:val="00315FB1"/>
    <w:rsid w:val="00320A18"/>
    <w:rsid w:val="0032119E"/>
    <w:rsid w:val="0033007B"/>
    <w:rsid w:val="003374AC"/>
    <w:rsid w:val="00337E93"/>
    <w:rsid w:val="00342258"/>
    <w:rsid w:val="00342DDB"/>
    <w:rsid w:val="00343065"/>
    <w:rsid w:val="003448FF"/>
    <w:rsid w:val="00345A22"/>
    <w:rsid w:val="00347063"/>
    <w:rsid w:val="00347074"/>
    <w:rsid w:val="003520C3"/>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09B4"/>
    <w:rsid w:val="003D15EA"/>
    <w:rsid w:val="003D2C0D"/>
    <w:rsid w:val="003D6FCF"/>
    <w:rsid w:val="003D7B8D"/>
    <w:rsid w:val="003E0049"/>
    <w:rsid w:val="003E2B2B"/>
    <w:rsid w:val="003F3986"/>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263D4"/>
    <w:rsid w:val="0043167D"/>
    <w:rsid w:val="00432143"/>
    <w:rsid w:val="004323A2"/>
    <w:rsid w:val="00435F87"/>
    <w:rsid w:val="00437B5E"/>
    <w:rsid w:val="00437E98"/>
    <w:rsid w:val="0044207D"/>
    <w:rsid w:val="0044493B"/>
    <w:rsid w:val="0044543C"/>
    <w:rsid w:val="00446A9D"/>
    <w:rsid w:val="00446DA2"/>
    <w:rsid w:val="00447FBC"/>
    <w:rsid w:val="004522BB"/>
    <w:rsid w:val="0045444B"/>
    <w:rsid w:val="00454E81"/>
    <w:rsid w:val="00457AC8"/>
    <w:rsid w:val="00463E70"/>
    <w:rsid w:val="00465E31"/>
    <w:rsid w:val="00466C16"/>
    <w:rsid w:val="00466CA0"/>
    <w:rsid w:val="004708C4"/>
    <w:rsid w:val="00470B76"/>
    <w:rsid w:val="004724A1"/>
    <w:rsid w:val="00472555"/>
    <w:rsid w:val="00472927"/>
    <w:rsid w:val="00473869"/>
    <w:rsid w:val="004743E7"/>
    <w:rsid w:val="00474723"/>
    <w:rsid w:val="00481019"/>
    <w:rsid w:val="004815C2"/>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87706"/>
    <w:rsid w:val="006902DF"/>
    <w:rsid w:val="00690487"/>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07064"/>
    <w:rsid w:val="00710451"/>
    <w:rsid w:val="00710A26"/>
    <w:rsid w:val="00710E3F"/>
    <w:rsid w:val="007120A0"/>
    <w:rsid w:val="00712982"/>
    <w:rsid w:val="00712CAA"/>
    <w:rsid w:val="007130E9"/>
    <w:rsid w:val="00715982"/>
    <w:rsid w:val="00721E7F"/>
    <w:rsid w:val="00723334"/>
    <w:rsid w:val="00726CA6"/>
    <w:rsid w:val="00727D5B"/>
    <w:rsid w:val="00733777"/>
    <w:rsid w:val="00733B70"/>
    <w:rsid w:val="00734547"/>
    <w:rsid w:val="00737CFC"/>
    <w:rsid w:val="007410BD"/>
    <w:rsid w:val="00741AA9"/>
    <w:rsid w:val="00745AE5"/>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1D4"/>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23E26"/>
    <w:rsid w:val="008245B7"/>
    <w:rsid w:val="00831A22"/>
    <w:rsid w:val="00831F21"/>
    <w:rsid w:val="008431D7"/>
    <w:rsid w:val="0084350B"/>
    <w:rsid w:val="00844DEE"/>
    <w:rsid w:val="00850236"/>
    <w:rsid w:val="008664DC"/>
    <w:rsid w:val="00867EF8"/>
    <w:rsid w:val="008735A4"/>
    <w:rsid w:val="008753CD"/>
    <w:rsid w:val="0087601E"/>
    <w:rsid w:val="00877583"/>
    <w:rsid w:val="008865F3"/>
    <w:rsid w:val="008910C4"/>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2A76"/>
    <w:rsid w:val="00927027"/>
    <w:rsid w:val="0092725A"/>
    <w:rsid w:val="00930A74"/>
    <w:rsid w:val="00934980"/>
    <w:rsid w:val="00941F3D"/>
    <w:rsid w:val="00944436"/>
    <w:rsid w:val="00944A47"/>
    <w:rsid w:val="00945266"/>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14F28"/>
    <w:rsid w:val="00A225FD"/>
    <w:rsid w:val="00A22F78"/>
    <w:rsid w:val="00A2519A"/>
    <w:rsid w:val="00A25982"/>
    <w:rsid w:val="00A27554"/>
    <w:rsid w:val="00A27D7D"/>
    <w:rsid w:val="00A322BC"/>
    <w:rsid w:val="00A3289A"/>
    <w:rsid w:val="00A32AB4"/>
    <w:rsid w:val="00A34167"/>
    <w:rsid w:val="00A3508F"/>
    <w:rsid w:val="00A3669B"/>
    <w:rsid w:val="00A42C60"/>
    <w:rsid w:val="00A43179"/>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4E"/>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51A"/>
    <w:rsid w:val="00BB6FE0"/>
    <w:rsid w:val="00BC163A"/>
    <w:rsid w:val="00BC2902"/>
    <w:rsid w:val="00BD0975"/>
    <w:rsid w:val="00BD0DC2"/>
    <w:rsid w:val="00BD18B0"/>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1816"/>
    <w:rsid w:val="00C86426"/>
    <w:rsid w:val="00C9018E"/>
    <w:rsid w:val="00C92E9B"/>
    <w:rsid w:val="00CA1F74"/>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08B3"/>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4DF8"/>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1F3"/>
    <w:rsid w:val="00D82BC8"/>
    <w:rsid w:val="00D82D88"/>
    <w:rsid w:val="00D85DAC"/>
    <w:rsid w:val="00D87451"/>
    <w:rsid w:val="00D90E69"/>
    <w:rsid w:val="00D90F3D"/>
    <w:rsid w:val="00DA386F"/>
    <w:rsid w:val="00DA38FF"/>
    <w:rsid w:val="00DB5891"/>
    <w:rsid w:val="00DC024D"/>
    <w:rsid w:val="00DC07C1"/>
    <w:rsid w:val="00DC0E33"/>
    <w:rsid w:val="00DC1566"/>
    <w:rsid w:val="00DC1D77"/>
    <w:rsid w:val="00DC20CF"/>
    <w:rsid w:val="00DC2585"/>
    <w:rsid w:val="00DD5BD4"/>
    <w:rsid w:val="00DE0233"/>
    <w:rsid w:val="00DE23CF"/>
    <w:rsid w:val="00DE6FDB"/>
    <w:rsid w:val="00DE7898"/>
    <w:rsid w:val="00DF4D25"/>
    <w:rsid w:val="00DF4D71"/>
    <w:rsid w:val="00DF64E1"/>
    <w:rsid w:val="00E024A7"/>
    <w:rsid w:val="00E02B9B"/>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4C44"/>
    <w:rsid w:val="00EA6193"/>
    <w:rsid w:val="00EB3E2A"/>
    <w:rsid w:val="00EB6910"/>
    <w:rsid w:val="00EB6DA5"/>
    <w:rsid w:val="00EB7B1A"/>
    <w:rsid w:val="00ED248F"/>
    <w:rsid w:val="00ED335A"/>
    <w:rsid w:val="00ED76B9"/>
    <w:rsid w:val="00EE2C00"/>
    <w:rsid w:val="00EE4A27"/>
    <w:rsid w:val="00EE6AE2"/>
    <w:rsid w:val="00EE7CB4"/>
    <w:rsid w:val="00EF285F"/>
    <w:rsid w:val="00EF3871"/>
    <w:rsid w:val="00EF3A51"/>
    <w:rsid w:val="00EF4967"/>
    <w:rsid w:val="00EF5AB0"/>
    <w:rsid w:val="00F01D9B"/>
    <w:rsid w:val="00F03F8B"/>
    <w:rsid w:val="00F043B2"/>
    <w:rsid w:val="00F04B34"/>
    <w:rsid w:val="00F04EC5"/>
    <w:rsid w:val="00F06439"/>
    <w:rsid w:val="00F11319"/>
    <w:rsid w:val="00F11598"/>
    <w:rsid w:val="00F1188A"/>
    <w:rsid w:val="00F123F6"/>
    <w:rsid w:val="00F166FF"/>
    <w:rsid w:val="00F2138F"/>
    <w:rsid w:val="00F224C3"/>
    <w:rsid w:val="00F2406A"/>
    <w:rsid w:val="00F254AF"/>
    <w:rsid w:val="00F302DD"/>
    <w:rsid w:val="00F303B8"/>
    <w:rsid w:val="00F31D20"/>
    <w:rsid w:val="00F3356E"/>
    <w:rsid w:val="00F3705F"/>
    <w:rsid w:val="00F37EF5"/>
    <w:rsid w:val="00F4166B"/>
    <w:rsid w:val="00F42400"/>
    <w:rsid w:val="00F42930"/>
    <w:rsid w:val="00F444B9"/>
    <w:rsid w:val="00F45661"/>
    <w:rsid w:val="00F512FE"/>
    <w:rsid w:val="00F52CE6"/>
    <w:rsid w:val="00F5465E"/>
    <w:rsid w:val="00F57033"/>
    <w:rsid w:val="00F57481"/>
    <w:rsid w:val="00F6436A"/>
    <w:rsid w:val="00F6582B"/>
    <w:rsid w:val="00F6622D"/>
    <w:rsid w:val="00F66425"/>
    <w:rsid w:val="00F70E8B"/>
    <w:rsid w:val="00F90D01"/>
    <w:rsid w:val="00F95A8E"/>
    <w:rsid w:val="00FA596D"/>
    <w:rsid w:val="00FA602E"/>
    <w:rsid w:val="00FA63F5"/>
    <w:rsid w:val="00FB07CE"/>
    <w:rsid w:val="00FB2F3F"/>
    <w:rsid w:val="00FB4379"/>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Yichen Yue</cp:lastModifiedBy>
  <cp:revision>4</cp:revision>
  <cp:lastPrinted>2022-09-29T12:20:00Z</cp:lastPrinted>
  <dcterms:created xsi:type="dcterms:W3CDTF">2023-11-24T17:02:00Z</dcterms:created>
  <dcterms:modified xsi:type="dcterms:W3CDTF">2023-11-24T17:49:00Z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382c7767-394a-4995-b7c0-7bd2ea44b208_Enabled">
    <vt:lpwstr>true</vt:lpwstr>
  </property>
  <property fmtid="{D5CDD505-2E9C-101B-9397-08002B2CF9AE}" pid="4" name="MSIP_Label_382c7767-394a-4995-b7c0-7bd2ea44b208_SetDate">
    <vt:lpwstr>2023-11-24T01:31:25Z</vt:lpwstr>
  </property>
  <property fmtid="{D5CDD505-2E9C-101B-9397-08002B2CF9AE}" pid="5" name="MSIP_Label_382c7767-394a-4995-b7c0-7bd2ea44b208_Method">
    <vt:lpwstr>Standard</vt:lpwstr>
  </property>
  <property fmtid="{D5CDD505-2E9C-101B-9397-08002B2CF9AE}" pid="6" name="MSIP_Label_382c7767-394a-4995-b7c0-7bd2ea44b208_Name">
    <vt:lpwstr>Commercial in Confidence</vt:lpwstr>
  </property>
  <property fmtid="{D5CDD505-2E9C-101B-9397-08002B2CF9AE}" pid="7" name="MSIP_Label_382c7767-394a-4995-b7c0-7bd2ea44b208_SiteId">
    <vt:lpwstr>b723253f-7281-4adc-bc1c-fc9ef3674d78</vt:lpwstr>
  </property>
  <property fmtid="{D5CDD505-2E9C-101B-9397-08002B2CF9AE}" pid="8" name="MSIP_Label_382c7767-394a-4995-b7c0-7bd2ea44b208_ActionId">
    <vt:lpwstr>aaadfc31-822c-422d-bc91-e4b9233beb81</vt:lpwstr>
  </property>
  <property fmtid="{D5CDD505-2E9C-101B-9397-08002B2CF9AE}" pid="9" name="MSIP_Label_382c7767-394a-4995-b7c0-7bd2ea44b208_ContentBits">
    <vt:lpwstr>0</vt:lpwstr>
  </property>
</Properties>
</file>