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D62A31" w:rsidRDefault="00C3318F" w:rsidP="00BD0DC2">
      <w:pPr>
        <w:pStyle w:val="BodyText"/>
        <w:widowControl/>
        <w:numPr>
          <w:ilvl w:val="0"/>
          <w:numId w:val="24"/>
        </w:numPr>
        <w:autoSpaceDE/>
        <w:autoSpaceDN/>
        <w:rPr>
          <w:rFonts w:ascii="Avenir Next" w:hAnsi="Avenir Next"/>
          <w:highlight w:val="yellow"/>
        </w:rPr>
      </w:pPr>
      <w:r w:rsidRPr="00D62A31">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D62A31" w:rsidRDefault="00957995" w:rsidP="00BD0DC2">
      <w:pPr>
        <w:pStyle w:val="BodyText"/>
        <w:widowControl/>
        <w:numPr>
          <w:ilvl w:val="0"/>
          <w:numId w:val="25"/>
        </w:numPr>
        <w:autoSpaceDE/>
        <w:autoSpaceDN/>
        <w:rPr>
          <w:rFonts w:ascii="Avenir Next" w:hAnsi="Avenir Next"/>
          <w:highlight w:val="yellow"/>
        </w:rPr>
      </w:pPr>
      <w:r w:rsidRPr="00D62A31">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8061DD" w:rsidRDefault="001F2690" w:rsidP="00BD0DC2">
      <w:pPr>
        <w:pStyle w:val="BodyText"/>
        <w:widowControl/>
        <w:numPr>
          <w:ilvl w:val="0"/>
          <w:numId w:val="7"/>
        </w:numPr>
        <w:autoSpaceDE/>
        <w:autoSpaceDN/>
        <w:ind w:left="709" w:hanging="709"/>
        <w:rPr>
          <w:rFonts w:ascii="Avenir Next" w:hAnsi="Avenir Next"/>
          <w:highlight w:val="yellow"/>
        </w:rPr>
      </w:pPr>
      <w:r w:rsidRPr="008061DD">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8061DD">
        <w:rPr>
          <w:rFonts w:ascii="Avenir Next" w:hAnsi="Avenir Next" w:cs="Arial"/>
          <w:highlight w:val="yellow"/>
          <w:lang w:val="en-GB"/>
        </w:rPr>
        <w:t>Any prospective contributory</w:t>
      </w:r>
      <w:r w:rsidRPr="006E060C">
        <w:rPr>
          <w:rFonts w:ascii="Avenir Next" w:hAnsi="Avenir Next" w:cs="Arial"/>
          <w:lang w:val="en-GB"/>
        </w:rPr>
        <w:t>.</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8061DD"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8061DD">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20202B"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20202B">
        <w:rPr>
          <w:rFonts w:ascii="Avenir Next" w:hAnsi="Avenir Next"/>
          <w:highlight w:val="yellow"/>
          <w:lang w:val="en-GB"/>
        </w:rPr>
        <w:t>A</w:t>
      </w:r>
      <w:r w:rsidR="004A11A1" w:rsidRPr="0020202B">
        <w:rPr>
          <w:rFonts w:ascii="Avenir Next" w:hAnsi="Avenir Next"/>
          <w:highlight w:val="yellow"/>
          <w:lang w:val="en-GB"/>
        </w:rPr>
        <w:t xml:space="preserve">t such intervals as the </w:t>
      </w:r>
      <w:r w:rsidR="00F5465E" w:rsidRPr="0020202B">
        <w:rPr>
          <w:rFonts w:ascii="Avenir Next" w:hAnsi="Avenir Next"/>
          <w:highlight w:val="yellow"/>
          <w:lang w:val="en-GB"/>
        </w:rPr>
        <w:t>Restructuring Officer</w:t>
      </w:r>
      <w:r w:rsidR="004A11A1" w:rsidRPr="0020202B">
        <w:rPr>
          <w:rFonts w:ascii="Avenir Next" w:hAnsi="Avenir Next"/>
          <w:highlight w:val="yellow"/>
          <w:lang w:val="en-GB"/>
        </w:rPr>
        <w:t xml:space="preserve"> consider</w:t>
      </w:r>
      <w:r w:rsidR="007F5739" w:rsidRPr="0020202B">
        <w:rPr>
          <w:rFonts w:ascii="Avenir Next" w:hAnsi="Avenir Next"/>
          <w:highlight w:val="yellow"/>
          <w:lang w:val="en-GB"/>
        </w:rPr>
        <w:t>s</w:t>
      </w:r>
      <w:r w:rsidR="004A11A1" w:rsidRPr="0020202B">
        <w:rPr>
          <w:rFonts w:ascii="Avenir Next" w:hAnsi="Avenir Next"/>
          <w:highlight w:val="yellow"/>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20202B"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20202B">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1D4173"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1D4173">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1D4173"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1D4173">
        <w:rPr>
          <w:rFonts w:ascii="Avenir Next" w:hAnsi="Avenir Next"/>
          <w:highlight w:val="yellow"/>
          <w:lang w:val="en-GB"/>
        </w:rPr>
        <w:t>within 21 days of the petition being filed</w:t>
      </w:r>
      <w:r w:rsidR="003721B7" w:rsidRPr="001D4173">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1D4173">
        <w:rPr>
          <w:rFonts w:ascii="Avenir Next" w:hAnsi="Avenir Next"/>
          <w:highlight w:val="yellow"/>
          <w:lang w:val="en-GB"/>
        </w:rPr>
        <w:t>Only needs to be approved by a majority in value.</w:t>
      </w:r>
      <w:r w:rsidRPr="006E060C">
        <w:rPr>
          <w:rFonts w:ascii="Avenir Next" w:hAnsi="Avenir Next"/>
          <w:lang w:val="en-GB"/>
        </w:rPr>
        <w:t xml:space="preserv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D965C7"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D965C7">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D965C7"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D965C7">
        <w:rPr>
          <w:rFonts w:ascii="Avenir Next" w:hAnsi="Avenir Next"/>
          <w:highlight w:val="yellow"/>
          <w:lang w:val="en-GB"/>
        </w:rPr>
        <w:t xml:space="preserve">The Cayman Islands </w:t>
      </w:r>
      <w:r w:rsidR="00052CB9" w:rsidRPr="00D965C7">
        <w:rPr>
          <w:rFonts w:ascii="Avenir Next" w:hAnsi="Avenir Next"/>
          <w:highlight w:val="yellow"/>
          <w:lang w:val="en-GB"/>
        </w:rPr>
        <w:t>C</w:t>
      </w:r>
      <w:r w:rsidRPr="00D965C7">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 xml:space="preserve">ourt </w:t>
      </w:r>
      <w:proofErr w:type="gramStart"/>
      <w:r w:rsidRPr="006E060C">
        <w:rPr>
          <w:rFonts w:ascii="Avenir Next" w:hAnsi="Avenir Next"/>
          <w:lang w:val="en-GB"/>
        </w:rPr>
        <w:t>takes into account</w:t>
      </w:r>
      <w:proofErr w:type="gramEnd"/>
      <w:r w:rsidRPr="006E060C">
        <w:rPr>
          <w:rFonts w:ascii="Avenir Next" w:hAnsi="Avenir Next"/>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D965C7" w:rsidRDefault="00BD0DC2" w:rsidP="00BD2F4B">
      <w:pPr>
        <w:numPr>
          <w:ilvl w:val="0"/>
          <w:numId w:val="27"/>
        </w:numPr>
        <w:ind w:left="709" w:hanging="709"/>
        <w:rPr>
          <w:rFonts w:cs="Calibri"/>
          <w:color w:val="000000"/>
          <w:highlight w:val="yellow"/>
          <w:lang w:val="en-ZA" w:eastAsia="en-GB"/>
        </w:rPr>
      </w:pPr>
      <w:r w:rsidRPr="00D965C7">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D965C7">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D965C7" w:rsidRDefault="00BD0DC2" w:rsidP="00BD2F4B">
      <w:pPr>
        <w:numPr>
          <w:ilvl w:val="0"/>
          <w:numId w:val="28"/>
        </w:numPr>
        <w:ind w:left="709" w:hanging="709"/>
        <w:rPr>
          <w:rFonts w:cs="Calibri"/>
          <w:color w:val="000000"/>
          <w:highlight w:val="yellow"/>
          <w:lang w:val="en-ZA" w:eastAsia="en-GB"/>
        </w:rPr>
      </w:pPr>
      <w:r w:rsidRPr="00D965C7">
        <w:rPr>
          <w:rFonts w:cs="Calibri"/>
          <w:color w:val="000000"/>
          <w:highlight w:val="yellow"/>
          <w:lang w:val="en-ZA" w:eastAsia="en-GB"/>
        </w:rPr>
        <w:t xml:space="preserve">A proof of debt is always required </w:t>
      </w:r>
      <w:proofErr w:type="gramStart"/>
      <w:r w:rsidRPr="00D965C7">
        <w:rPr>
          <w:rFonts w:cs="Calibri"/>
          <w:color w:val="000000"/>
          <w:highlight w:val="yellow"/>
          <w:lang w:val="en-ZA" w:eastAsia="en-GB"/>
        </w:rPr>
        <w:t>in order for</w:t>
      </w:r>
      <w:proofErr w:type="gramEnd"/>
      <w:r w:rsidRPr="00D965C7">
        <w:rPr>
          <w:rFonts w:cs="Calibri"/>
          <w:color w:val="000000"/>
          <w:highlight w:val="yellow"/>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6E060C" w:rsidRDefault="00BD0DC2" w:rsidP="00BD2F4B">
      <w:pPr>
        <w:numPr>
          <w:ilvl w:val="0"/>
          <w:numId w:val="29"/>
        </w:numPr>
        <w:ind w:left="709" w:hanging="709"/>
        <w:rPr>
          <w:rFonts w:cs="Calibri"/>
          <w:color w:val="000000"/>
          <w:lang w:val="en-ZA" w:eastAsia="en-GB"/>
        </w:rPr>
      </w:pPr>
      <w:r w:rsidRPr="00D965C7">
        <w:rPr>
          <w:rFonts w:cs="Calibri"/>
          <w:color w:val="000000"/>
          <w:highlight w:val="yellow"/>
          <w:lang w:val="en-ZA" w:eastAsia="en-GB"/>
        </w:rPr>
        <w:t>The report of an inspector can be used in any legal proceeding as evidence of the opinion of the inspectors</w:t>
      </w:r>
      <w:r w:rsidRPr="006E060C">
        <w:rPr>
          <w:rFonts w:cs="Calibri"/>
          <w:color w:val="000000"/>
          <w:lang w:val="en-ZA" w:eastAsia="en-GB"/>
        </w:rPr>
        <w:t>.</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D965C7" w:rsidRDefault="00BD0DC2" w:rsidP="00BD2F4B">
      <w:pPr>
        <w:numPr>
          <w:ilvl w:val="0"/>
          <w:numId w:val="30"/>
        </w:numPr>
        <w:ind w:left="709" w:hanging="709"/>
        <w:rPr>
          <w:rFonts w:cs="Calibri"/>
          <w:color w:val="000000"/>
          <w:highlight w:val="yellow"/>
          <w:lang w:val="en-ZA" w:eastAsia="en-GB"/>
        </w:rPr>
      </w:pPr>
      <w:r w:rsidRPr="00D965C7">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4F6667" w:rsidRDefault="00BD0DC2" w:rsidP="00BD2F4B">
      <w:pPr>
        <w:numPr>
          <w:ilvl w:val="0"/>
          <w:numId w:val="31"/>
        </w:numPr>
        <w:ind w:left="709" w:hanging="709"/>
        <w:rPr>
          <w:rFonts w:cs="Calibri"/>
          <w:color w:val="000000"/>
          <w:highlight w:val="yellow"/>
          <w:lang w:val="en-ZA" w:eastAsia="en-GB"/>
        </w:rPr>
      </w:pPr>
      <w:r w:rsidRPr="004F6667">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4F6667" w:rsidRDefault="00BD0DC2" w:rsidP="00BD2F4B">
      <w:pPr>
        <w:numPr>
          <w:ilvl w:val="0"/>
          <w:numId w:val="32"/>
        </w:numPr>
        <w:ind w:left="709" w:hanging="709"/>
        <w:rPr>
          <w:rFonts w:cs="Calibri"/>
          <w:color w:val="000000"/>
          <w:highlight w:val="yellow"/>
          <w:lang w:val="en-ZA" w:eastAsia="en-GB"/>
        </w:rPr>
      </w:pPr>
      <w:r w:rsidRPr="004F6667">
        <w:rPr>
          <w:rFonts w:cs="Calibri"/>
          <w:color w:val="000000"/>
          <w:highlight w:val="yellow"/>
          <w:lang w:val="en-ZA" w:eastAsia="en-GB"/>
        </w:rPr>
        <w:t>A winding up petition must be presented as a precursor to the application for the provisional liquidation</w:t>
      </w:r>
      <w:r w:rsidR="00BD2F4B" w:rsidRPr="004F6667">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4F6667" w:rsidRDefault="00BD0DC2" w:rsidP="00BD2F4B">
      <w:pPr>
        <w:numPr>
          <w:ilvl w:val="0"/>
          <w:numId w:val="34"/>
        </w:numPr>
        <w:ind w:left="709" w:hanging="709"/>
        <w:jc w:val="left"/>
        <w:rPr>
          <w:rFonts w:cs="Calibri"/>
          <w:color w:val="000000"/>
          <w:highlight w:val="yellow"/>
          <w:lang w:val="en-ZA" w:eastAsia="en-GB"/>
        </w:rPr>
      </w:pPr>
      <w:r w:rsidRPr="004F6667">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4F6667" w:rsidRDefault="00BD0DC2" w:rsidP="00BD2F4B">
      <w:pPr>
        <w:numPr>
          <w:ilvl w:val="0"/>
          <w:numId w:val="33"/>
        </w:numPr>
        <w:ind w:left="709" w:hanging="709"/>
        <w:jc w:val="left"/>
        <w:rPr>
          <w:rFonts w:cs="Calibri"/>
          <w:color w:val="000000"/>
          <w:highlight w:val="yellow"/>
          <w:lang w:val="en-ZA" w:eastAsia="en-GB"/>
        </w:rPr>
      </w:pPr>
      <w:r w:rsidRPr="004F6667">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4CC732A" w14:textId="0CCE9DE8" w:rsidR="00AC79E7" w:rsidRDefault="00D439C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requirement to obtain a sworn consent to act from an official liquidator is provide for under order 3, rule 4 of the Companies Winding Up Rules, 2023 (the “CWR”). The consent is required to support the petition and is in the form of an affidavit s</w:t>
      </w:r>
      <w:r w:rsidR="00AC79E7">
        <w:rPr>
          <w:rFonts w:ascii="Avenir Next" w:hAnsi="Avenir Next"/>
          <w:color w:val="808080" w:themeColor="background1" w:themeShade="80"/>
        </w:rPr>
        <w:t>w</w:t>
      </w:r>
      <w:r>
        <w:rPr>
          <w:rFonts w:ascii="Avenir Next" w:hAnsi="Avenir Next"/>
          <w:color w:val="808080" w:themeColor="background1" w:themeShade="80"/>
        </w:rPr>
        <w:t>orn by the nominated official liquidator(s) (the “OL”).</w:t>
      </w:r>
      <w:r w:rsidR="00AC79E7">
        <w:rPr>
          <w:rFonts w:ascii="Avenir Next" w:hAnsi="Avenir Next"/>
          <w:color w:val="808080" w:themeColor="background1" w:themeShade="80"/>
        </w:rPr>
        <w:t xml:space="preserve"> </w:t>
      </w:r>
    </w:p>
    <w:p w14:paraId="6A1E7631" w14:textId="77777777" w:rsidR="00AC79E7" w:rsidRDefault="00AC79E7" w:rsidP="00A51058">
      <w:pPr>
        <w:pStyle w:val="BodyText"/>
        <w:ind w:firstLine="0"/>
        <w:rPr>
          <w:rFonts w:ascii="Avenir Next" w:hAnsi="Avenir Next"/>
          <w:color w:val="808080" w:themeColor="background1" w:themeShade="80"/>
        </w:rPr>
      </w:pPr>
    </w:p>
    <w:p w14:paraId="2C8F5386" w14:textId="7098C7DB" w:rsidR="00A51058" w:rsidRDefault="00D439C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 The CWR state that the affidavit must include the following:</w:t>
      </w:r>
    </w:p>
    <w:p w14:paraId="3037FF17" w14:textId="77777777" w:rsidR="00AC79E7" w:rsidRDefault="00AC79E7" w:rsidP="00A51058">
      <w:pPr>
        <w:pStyle w:val="BodyText"/>
        <w:ind w:firstLine="0"/>
        <w:rPr>
          <w:rFonts w:ascii="Avenir Next" w:hAnsi="Avenir Next"/>
          <w:color w:val="808080" w:themeColor="background1" w:themeShade="80"/>
        </w:rPr>
      </w:pPr>
    </w:p>
    <w:p w14:paraId="7987A160" w14:textId="285A529E" w:rsidR="00D439C8" w:rsidRPr="00D439C8" w:rsidRDefault="00D439C8" w:rsidP="00D439C8">
      <w:pPr>
        <w:pStyle w:val="BodyText"/>
        <w:numPr>
          <w:ilvl w:val="0"/>
          <w:numId w:val="39"/>
        </w:numPr>
        <w:rPr>
          <w:rFonts w:ascii="Avenir Next" w:hAnsi="Avenir Next"/>
          <w:b/>
          <w:bCs/>
        </w:rPr>
      </w:pPr>
      <w:r>
        <w:rPr>
          <w:rFonts w:ascii="Avenir Next" w:hAnsi="Avenir Next"/>
          <w:color w:val="808080" w:themeColor="background1" w:themeShade="80"/>
        </w:rPr>
        <w:t>That the nominated OL is a qualified insolvency practitioner</w:t>
      </w:r>
      <w:r w:rsidR="00993315">
        <w:rPr>
          <w:rFonts w:ascii="Avenir Next" w:hAnsi="Avenir Next"/>
          <w:color w:val="808080" w:themeColor="background1" w:themeShade="80"/>
        </w:rPr>
        <w:t xml:space="preserve"> (“IP”)</w:t>
      </w:r>
      <w:r>
        <w:rPr>
          <w:rFonts w:ascii="Avenir Next" w:hAnsi="Avenir Next"/>
          <w:color w:val="808080" w:themeColor="background1" w:themeShade="80"/>
        </w:rPr>
        <w:t xml:space="preserve"> and meets the residency requirements, as </w:t>
      </w:r>
      <w:r w:rsidR="00993315">
        <w:rPr>
          <w:rFonts w:ascii="Avenir Next" w:hAnsi="Avenir Next"/>
          <w:color w:val="808080" w:themeColor="background1" w:themeShade="80"/>
        </w:rPr>
        <w:t>set out in regulation 5 of the Insolvency Practitioners Regulations, 2023 (the “Regulations”). Regulation 5 requires that the IP can only be appointed as an OL if they are resident in the Cayman Islands or they, or their firm, holds a trade and business license authorizing them or their firm to carry on the business of professional insolvency practitioners.</w:t>
      </w:r>
    </w:p>
    <w:p w14:paraId="4320198B" w14:textId="77777777" w:rsidR="00AC79E7" w:rsidRPr="00AC79E7" w:rsidRDefault="00AC79E7" w:rsidP="00AC79E7">
      <w:pPr>
        <w:pStyle w:val="BodyText"/>
        <w:ind w:left="720" w:firstLine="0"/>
        <w:rPr>
          <w:rFonts w:ascii="Avenir Next" w:hAnsi="Avenir Next"/>
          <w:b/>
          <w:bCs/>
          <w:highlight w:val="yellow"/>
        </w:rPr>
      </w:pPr>
    </w:p>
    <w:p w14:paraId="3E655A95" w14:textId="039508BA" w:rsidR="00D439C8" w:rsidRPr="00993315" w:rsidRDefault="00D439C8" w:rsidP="00D439C8">
      <w:pPr>
        <w:pStyle w:val="BodyText"/>
        <w:numPr>
          <w:ilvl w:val="0"/>
          <w:numId w:val="39"/>
        </w:numPr>
        <w:rPr>
          <w:rFonts w:ascii="Avenir Next" w:hAnsi="Avenir Next"/>
          <w:b/>
          <w:bCs/>
          <w:highlight w:val="yellow"/>
        </w:rPr>
      </w:pPr>
      <w:r>
        <w:rPr>
          <w:rFonts w:ascii="Avenir Next" w:hAnsi="Avenir Next"/>
          <w:color w:val="808080" w:themeColor="background1" w:themeShade="80"/>
        </w:rPr>
        <w:t xml:space="preserve">That following due enquiry, the nominated OL and their firm </w:t>
      </w:r>
      <w:r w:rsidR="00F538E0">
        <w:rPr>
          <w:rFonts w:ascii="Avenir Next" w:hAnsi="Avenir Next"/>
          <w:color w:val="808080" w:themeColor="background1" w:themeShade="80"/>
        </w:rPr>
        <w:t>fulfill</w:t>
      </w:r>
      <w:r>
        <w:rPr>
          <w:rFonts w:ascii="Avenir Next" w:hAnsi="Avenir Next"/>
          <w:color w:val="808080" w:themeColor="background1" w:themeShade="80"/>
        </w:rPr>
        <w:t xml:space="preserve"> the independence requirements as set out in</w:t>
      </w:r>
      <w:r w:rsidR="00993315">
        <w:rPr>
          <w:rFonts w:ascii="Avenir Next" w:hAnsi="Avenir Next"/>
          <w:color w:val="808080" w:themeColor="background1" w:themeShade="80"/>
        </w:rPr>
        <w:t xml:space="preserve"> regulation 6 of the Regulations. Th</w:t>
      </w:r>
      <w:r w:rsidR="00051514">
        <w:rPr>
          <w:rFonts w:ascii="Avenir Next" w:hAnsi="Avenir Next"/>
          <w:color w:val="808080" w:themeColor="background1" w:themeShade="80"/>
        </w:rPr>
        <w:t xml:space="preserve">e independence requirements state that </w:t>
      </w:r>
      <w:proofErr w:type="gramStart"/>
      <w:r w:rsidR="00051514">
        <w:rPr>
          <w:rFonts w:ascii="Avenir Next" w:hAnsi="Avenir Next"/>
          <w:color w:val="808080" w:themeColor="background1" w:themeShade="80"/>
        </w:rPr>
        <w:t>in order to</w:t>
      </w:r>
      <w:proofErr w:type="gramEnd"/>
      <w:r w:rsidR="00051514">
        <w:rPr>
          <w:rFonts w:ascii="Avenir Next" w:hAnsi="Avenir Next"/>
          <w:color w:val="808080" w:themeColor="background1" w:themeShade="80"/>
        </w:rPr>
        <w:t xml:space="preserve"> be regarded as independent, the IP, or their firm, or any company of which the IP is </w:t>
      </w:r>
      <w:r w:rsidR="00AC79E7">
        <w:rPr>
          <w:rFonts w:ascii="Avenir Next" w:hAnsi="Avenir Next"/>
          <w:color w:val="808080" w:themeColor="background1" w:themeShade="80"/>
        </w:rPr>
        <w:t xml:space="preserve">a director or employee, </w:t>
      </w:r>
      <w:r w:rsidR="00051514">
        <w:rPr>
          <w:rFonts w:ascii="Avenir Next" w:hAnsi="Avenir Next"/>
          <w:color w:val="808080" w:themeColor="background1" w:themeShade="80"/>
        </w:rPr>
        <w:t>must not have, in the 3 years immediately prior to the liquidation</w:t>
      </w:r>
      <w:r w:rsidR="00AC79E7">
        <w:rPr>
          <w:rFonts w:ascii="Avenir Next" w:hAnsi="Avenir Next"/>
          <w:color w:val="808080" w:themeColor="background1" w:themeShade="80"/>
        </w:rPr>
        <w:t xml:space="preserve">, acting in relation to the company as its auditor. </w:t>
      </w:r>
    </w:p>
    <w:p w14:paraId="04DB0005" w14:textId="77777777" w:rsidR="00AC79E7" w:rsidRPr="00AC79E7" w:rsidRDefault="00AC79E7" w:rsidP="00AC79E7">
      <w:pPr>
        <w:pStyle w:val="BodyText"/>
        <w:ind w:left="720" w:firstLine="0"/>
        <w:rPr>
          <w:rFonts w:ascii="Avenir Next" w:hAnsi="Avenir Next"/>
          <w:b/>
          <w:bCs/>
        </w:rPr>
      </w:pPr>
    </w:p>
    <w:p w14:paraId="19C41106" w14:textId="4180CA3B" w:rsidR="00D439C8" w:rsidRPr="00D439C8" w:rsidRDefault="00D439C8" w:rsidP="00D439C8">
      <w:pPr>
        <w:pStyle w:val="BodyText"/>
        <w:numPr>
          <w:ilvl w:val="0"/>
          <w:numId w:val="39"/>
        </w:numPr>
        <w:rPr>
          <w:rFonts w:ascii="Avenir Next" w:hAnsi="Avenir Next"/>
          <w:b/>
          <w:bCs/>
        </w:rPr>
      </w:pPr>
      <w:r>
        <w:rPr>
          <w:rFonts w:ascii="Avenir Next" w:hAnsi="Avenir Next"/>
          <w:color w:val="808080" w:themeColor="background1" w:themeShade="80"/>
        </w:rPr>
        <w:t xml:space="preserve">That the nominated OL and their firm </w:t>
      </w:r>
      <w:proofErr w:type="gramStart"/>
      <w:r>
        <w:rPr>
          <w:rFonts w:ascii="Avenir Next" w:hAnsi="Avenir Next"/>
          <w:color w:val="808080" w:themeColor="background1" w:themeShade="80"/>
        </w:rPr>
        <w:t>are in compliance with</w:t>
      </w:r>
      <w:proofErr w:type="gramEnd"/>
      <w:r>
        <w:rPr>
          <w:rFonts w:ascii="Avenir Next" w:hAnsi="Avenir Next"/>
          <w:color w:val="808080" w:themeColor="background1" w:themeShade="80"/>
        </w:rPr>
        <w:t xml:space="preserve"> the insurance requirements contained in </w:t>
      </w:r>
      <w:r w:rsidR="00AC79E7">
        <w:rPr>
          <w:rFonts w:ascii="Avenir Next" w:hAnsi="Avenir Next"/>
          <w:color w:val="808080" w:themeColor="background1" w:themeShade="80"/>
        </w:rPr>
        <w:t>regulation 7 of the Regulations. Regulation 7 requires that the IP, or its firm, or any company of which the IP is a director or employee, has suitable professional indemnity insurance (as set out in the regulation), applicable to negligent performance or non-performance of the IP’s duties as an OL.</w:t>
      </w:r>
    </w:p>
    <w:p w14:paraId="6D9B0EEF" w14:textId="77777777" w:rsidR="00AC79E7" w:rsidRPr="00AC79E7" w:rsidRDefault="00AC79E7" w:rsidP="00AC79E7">
      <w:pPr>
        <w:pStyle w:val="BodyText"/>
        <w:ind w:left="720" w:firstLine="0"/>
        <w:rPr>
          <w:rFonts w:ascii="Avenir Next" w:hAnsi="Avenir Next"/>
          <w:b/>
          <w:bCs/>
        </w:rPr>
      </w:pPr>
    </w:p>
    <w:p w14:paraId="1F820A85" w14:textId="609C7756" w:rsidR="00D439C8" w:rsidRPr="00486A0B" w:rsidRDefault="00D439C8" w:rsidP="00D439C8">
      <w:pPr>
        <w:pStyle w:val="BodyText"/>
        <w:numPr>
          <w:ilvl w:val="0"/>
          <w:numId w:val="39"/>
        </w:numPr>
        <w:rPr>
          <w:rFonts w:ascii="Avenir Next" w:hAnsi="Avenir Next"/>
          <w:b/>
          <w:bCs/>
        </w:rPr>
      </w:pPr>
      <w:r>
        <w:rPr>
          <w:rFonts w:ascii="Avenir Next" w:hAnsi="Avenir Next"/>
          <w:color w:val="808080" w:themeColor="background1" w:themeShade="80"/>
        </w:rPr>
        <w:t>Confirmation that the nom</w:t>
      </w:r>
      <w:r w:rsidR="00993315">
        <w:rPr>
          <w:rFonts w:ascii="Avenir Next" w:hAnsi="Avenir Next"/>
          <w:color w:val="808080" w:themeColor="background1" w:themeShade="80"/>
        </w:rPr>
        <w:t xml:space="preserve">inated OL is willing to act as the OL, if appointed by the Court. </w:t>
      </w:r>
    </w:p>
    <w:p w14:paraId="75FE0193" w14:textId="408385F1"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AC7F3A3" w14:textId="769785C5" w:rsidR="009302B9" w:rsidRPr="004B7384" w:rsidRDefault="009302B9" w:rsidP="009302B9">
      <w:pPr>
        <w:rPr>
          <w:color w:val="7F7F7F" w:themeColor="text1" w:themeTint="80"/>
        </w:rPr>
      </w:pPr>
      <w:r w:rsidRPr="004B7384">
        <w:rPr>
          <w:color w:val="7F7F7F" w:themeColor="text1" w:themeTint="80"/>
        </w:rPr>
        <w:t xml:space="preserve">Under both the Regulations and the CWR, IP is under a duty </w:t>
      </w:r>
      <w:r w:rsidR="006335FF" w:rsidRPr="004B7384">
        <w:rPr>
          <w:color w:val="7F7F7F" w:themeColor="text1" w:themeTint="80"/>
        </w:rPr>
        <w:t>of i</w:t>
      </w:r>
      <w:r w:rsidRPr="004B7384">
        <w:rPr>
          <w:color w:val="7F7F7F" w:themeColor="text1" w:themeTint="80"/>
        </w:rPr>
        <w:t xml:space="preserve">ndependence. While the failure to disclose involvement as auditor appears to have been a genuine oversight, the duty to maintain independence is an ongoing obligation, which the IP as an officer of the court has a duty to disclose. </w:t>
      </w:r>
    </w:p>
    <w:p w14:paraId="13DAB445" w14:textId="77777777" w:rsidR="009302B9" w:rsidRPr="004B7384" w:rsidRDefault="009302B9" w:rsidP="009302B9">
      <w:pPr>
        <w:rPr>
          <w:color w:val="7F7F7F" w:themeColor="text1" w:themeTint="80"/>
        </w:rPr>
      </w:pPr>
    </w:p>
    <w:p w14:paraId="7EA30480" w14:textId="4E2619A4" w:rsidR="004E68D3" w:rsidRPr="004B7384" w:rsidRDefault="009302B9" w:rsidP="009302B9">
      <w:pPr>
        <w:rPr>
          <w:color w:val="7F7F7F" w:themeColor="text1" w:themeTint="80"/>
        </w:rPr>
      </w:pPr>
      <w:r w:rsidRPr="004B7384">
        <w:rPr>
          <w:color w:val="7F7F7F" w:themeColor="text1" w:themeTint="80"/>
        </w:rPr>
        <w:t>If the liquidator fails to resign the position</w:t>
      </w:r>
      <w:r w:rsidR="004E68D3" w:rsidRPr="004B7384">
        <w:rPr>
          <w:color w:val="7F7F7F" w:themeColor="text1" w:themeTint="80"/>
        </w:rPr>
        <w:t xml:space="preserve"> is in breach of this duty. Regulation 7</w:t>
      </w:r>
      <w:r w:rsidR="00EC7E4C" w:rsidRPr="004B7384">
        <w:rPr>
          <w:color w:val="7F7F7F" w:themeColor="text1" w:themeTint="80"/>
        </w:rPr>
        <w:t xml:space="preserve"> of the Regulations </w:t>
      </w:r>
      <w:r w:rsidR="00EF796B" w:rsidRPr="004B7384">
        <w:rPr>
          <w:color w:val="7F7F7F" w:themeColor="text1" w:themeTint="80"/>
        </w:rPr>
        <w:t xml:space="preserve">specifically state that the IP </w:t>
      </w:r>
      <w:r w:rsidR="00EF796B" w:rsidRPr="004B7384">
        <w:rPr>
          <w:i/>
          <w:iCs/>
          <w:color w:val="7F7F7F" w:themeColor="text1" w:themeTint="80"/>
        </w:rPr>
        <w:t>“shall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r w:rsidR="00EF796B" w:rsidRPr="004B7384">
        <w:rPr>
          <w:color w:val="7F7F7F" w:themeColor="text1" w:themeTint="80"/>
        </w:rPr>
        <w:t>. Clearly, Bodden &amp; Ebanks</w:t>
      </w:r>
      <w:r w:rsidR="009C2895" w:rsidRPr="004B7384">
        <w:rPr>
          <w:color w:val="7F7F7F" w:themeColor="text1" w:themeTint="80"/>
        </w:rPr>
        <w:t xml:space="preserve"> do not satisfy the independence requirements. </w:t>
      </w:r>
    </w:p>
    <w:p w14:paraId="014B1D62" w14:textId="77777777" w:rsidR="004E68D3" w:rsidRDefault="004E68D3" w:rsidP="009302B9">
      <w:pPr>
        <w:rPr>
          <w:color w:val="FF0000"/>
        </w:rPr>
      </w:pPr>
    </w:p>
    <w:p w14:paraId="2E9CD59D" w14:textId="08581086" w:rsidR="009A673F" w:rsidRDefault="009A673F" w:rsidP="009302B9">
      <w:pPr>
        <w:rPr>
          <w:color w:val="7F7F7F" w:themeColor="text1" w:themeTint="80"/>
        </w:rPr>
      </w:pPr>
      <w:r>
        <w:rPr>
          <w:color w:val="7F7F7F" w:themeColor="text1" w:themeTint="80"/>
        </w:rPr>
        <w:t xml:space="preserve">In the case of </w:t>
      </w:r>
      <w:r>
        <w:rPr>
          <w:i/>
          <w:iCs/>
          <w:color w:val="7F7F7F" w:themeColor="text1" w:themeTint="80"/>
        </w:rPr>
        <w:t xml:space="preserve">in the Matter of Alpha Re Limited (in Voluntary Liquidation) </w:t>
      </w:r>
      <w:r>
        <w:rPr>
          <w:color w:val="7F7F7F" w:themeColor="text1" w:themeTint="80"/>
        </w:rPr>
        <w:t>(Unreported</w:t>
      </w:r>
      <w:r w:rsidR="00861A27">
        <w:rPr>
          <w:color w:val="7F7F7F" w:themeColor="text1" w:themeTint="80"/>
        </w:rPr>
        <w:t xml:space="preserve">, FSD 15 of 2018 (ASCJ), dated 2 March 2018), the Court considered the appropriate test for </w:t>
      </w:r>
      <w:r w:rsidR="00607BA0">
        <w:rPr>
          <w:color w:val="7F7F7F" w:themeColor="text1" w:themeTint="80"/>
        </w:rPr>
        <w:t xml:space="preserve">independence and held it to be an objective one. </w:t>
      </w:r>
      <w:proofErr w:type="gramStart"/>
      <w:r w:rsidR="00607BA0">
        <w:rPr>
          <w:color w:val="7F7F7F" w:themeColor="text1" w:themeTint="80"/>
        </w:rPr>
        <w:t>In light of</w:t>
      </w:r>
      <w:proofErr w:type="gramEnd"/>
      <w:r w:rsidR="00607BA0">
        <w:rPr>
          <w:color w:val="7F7F7F" w:themeColor="text1" w:themeTint="80"/>
        </w:rPr>
        <w:t xml:space="preserve"> the involvement of Bodden &amp; Ebanks in </w:t>
      </w:r>
      <w:proofErr w:type="spellStart"/>
      <w:r w:rsidR="00607BA0">
        <w:rPr>
          <w:color w:val="7F7F7F" w:themeColor="text1" w:themeTint="80"/>
        </w:rPr>
        <w:t>Bluesea</w:t>
      </w:r>
      <w:proofErr w:type="spellEnd"/>
      <w:r w:rsidR="00607BA0">
        <w:rPr>
          <w:color w:val="7F7F7F" w:themeColor="text1" w:themeTint="80"/>
        </w:rPr>
        <w:t xml:space="preserve"> as </w:t>
      </w:r>
      <w:r w:rsidR="00774637">
        <w:rPr>
          <w:color w:val="7F7F7F" w:themeColor="text1" w:themeTint="80"/>
        </w:rPr>
        <w:t xml:space="preserve">auditor, notwithstanding the </w:t>
      </w:r>
      <w:r w:rsidR="00B51E66">
        <w:rPr>
          <w:color w:val="7F7F7F" w:themeColor="text1" w:themeTint="80"/>
        </w:rPr>
        <w:t xml:space="preserve">specific regulation against their acting, it cannot be said on an objective basis that there in no conflict. </w:t>
      </w:r>
    </w:p>
    <w:p w14:paraId="5799C5EE" w14:textId="7FAF0F5A" w:rsidR="00B51E66" w:rsidRPr="009A673F" w:rsidRDefault="00B51E66" w:rsidP="009302B9">
      <w:pPr>
        <w:rPr>
          <w:color w:val="7F7F7F" w:themeColor="text1" w:themeTint="80"/>
        </w:rPr>
      </w:pPr>
      <w:r>
        <w:rPr>
          <w:color w:val="7F7F7F" w:themeColor="text1" w:themeTint="80"/>
        </w:rPr>
        <w:t xml:space="preserve">In the circumstances, the liquidators should inform the </w:t>
      </w:r>
      <w:r w:rsidR="00146A36">
        <w:rPr>
          <w:color w:val="7F7F7F" w:themeColor="text1" w:themeTint="80"/>
        </w:rPr>
        <w:t xml:space="preserve">Court and </w:t>
      </w:r>
      <w:proofErr w:type="spellStart"/>
      <w:r w:rsidR="00146A36">
        <w:rPr>
          <w:color w:val="7F7F7F" w:themeColor="text1" w:themeTint="80"/>
        </w:rPr>
        <w:t>Whitesand</w:t>
      </w:r>
      <w:proofErr w:type="spellEnd"/>
      <w:r w:rsidR="00146A36">
        <w:rPr>
          <w:color w:val="7F7F7F" w:themeColor="text1" w:themeTint="80"/>
        </w:rPr>
        <w:t xml:space="preserve"> of their conflict and withdraw from the role as OL. </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6AD2757D" w:rsidR="00586B0F" w:rsidRPr="00486A0B" w:rsidRDefault="00A72C47" w:rsidP="00586B0F">
      <w:pPr>
        <w:pStyle w:val="BodyText"/>
        <w:ind w:firstLine="0"/>
        <w:rPr>
          <w:rFonts w:ascii="Avenir Next" w:hAnsi="Avenir Next"/>
          <w:b/>
          <w:bCs/>
        </w:rPr>
      </w:pPr>
      <w:r>
        <w:rPr>
          <w:rFonts w:ascii="Avenir Next" w:hAnsi="Avenir Next"/>
          <w:color w:val="808080" w:themeColor="background1" w:themeShade="80"/>
        </w:rPr>
        <w:t xml:space="preserve">There are no qualification requirements to appoint Tom and Jerry as liquidators. Under section 120 of the Companies Act, 2023 (the “Companies Act”), any person, including a director or officer of the company, may be appointed.  </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4EF2768F" w:rsidR="00586B0F" w:rsidRDefault="00A72C4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123 of the Companies Act, Tom and Jerry must attend to the following:</w:t>
      </w:r>
    </w:p>
    <w:p w14:paraId="46BB2FFA" w14:textId="7DF4D9A8" w:rsidR="00A72C47" w:rsidRPr="00A72C47" w:rsidRDefault="00A72C47" w:rsidP="00A72C47">
      <w:pPr>
        <w:pStyle w:val="BodyText"/>
        <w:numPr>
          <w:ilvl w:val="0"/>
          <w:numId w:val="40"/>
        </w:numPr>
        <w:rPr>
          <w:rFonts w:ascii="Avenir Next" w:hAnsi="Avenir Next"/>
          <w:b/>
          <w:bCs/>
        </w:rPr>
      </w:pPr>
      <w:r>
        <w:rPr>
          <w:rFonts w:ascii="Avenir Next" w:hAnsi="Avenir Next"/>
          <w:color w:val="808080" w:themeColor="background1" w:themeShade="80"/>
        </w:rPr>
        <w:t>File a notice of the winding up with the Registrar of Companies</w:t>
      </w:r>
    </w:p>
    <w:p w14:paraId="354EFECA" w14:textId="3FF24831" w:rsidR="00A72C47" w:rsidRPr="00A72C47" w:rsidRDefault="00A72C47" w:rsidP="00A72C47">
      <w:pPr>
        <w:pStyle w:val="BodyText"/>
        <w:numPr>
          <w:ilvl w:val="0"/>
          <w:numId w:val="40"/>
        </w:numPr>
        <w:rPr>
          <w:rFonts w:ascii="Avenir Next" w:hAnsi="Avenir Next"/>
          <w:b/>
          <w:bCs/>
        </w:rPr>
      </w:pPr>
      <w:r>
        <w:rPr>
          <w:rFonts w:ascii="Avenir Next" w:hAnsi="Avenir Next"/>
          <w:color w:val="808080" w:themeColor="background1" w:themeShade="80"/>
        </w:rPr>
        <w:t>Each file a consent to act, as liquidators, with the Registrar</w:t>
      </w:r>
    </w:p>
    <w:p w14:paraId="4CC85452" w14:textId="6DBF4110" w:rsidR="00A72C47" w:rsidRPr="00A72C47" w:rsidRDefault="00A72C47" w:rsidP="00A72C47">
      <w:pPr>
        <w:pStyle w:val="BodyText"/>
        <w:numPr>
          <w:ilvl w:val="0"/>
          <w:numId w:val="40"/>
        </w:numPr>
        <w:rPr>
          <w:rFonts w:ascii="Avenir Next" w:hAnsi="Avenir Next"/>
          <w:b/>
          <w:bCs/>
        </w:rPr>
      </w:pPr>
      <w:r>
        <w:rPr>
          <w:rFonts w:ascii="Avenir Next" w:hAnsi="Avenir Next"/>
          <w:color w:val="808080" w:themeColor="background1" w:themeShade="80"/>
        </w:rPr>
        <w:t xml:space="preserve">File a </w:t>
      </w:r>
      <w:proofErr w:type="gramStart"/>
      <w:r>
        <w:rPr>
          <w:rFonts w:ascii="Avenir Next" w:hAnsi="Avenir Next"/>
          <w:color w:val="808080" w:themeColor="background1" w:themeShade="80"/>
        </w:rPr>
        <w:t>directors</w:t>
      </w:r>
      <w:proofErr w:type="gramEnd"/>
      <w:r>
        <w:rPr>
          <w:rFonts w:ascii="Avenir Next" w:hAnsi="Avenir Next"/>
          <w:color w:val="808080" w:themeColor="background1" w:themeShade="80"/>
        </w:rPr>
        <w:t xml:space="preserve"> declaration of solvency with the Registrar (if court supervision has not been requested)</w:t>
      </w:r>
    </w:p>
    <w:p w14:paraId="5D2FF71A" w14:textId="0279DDE9" w:rsidR="00A72C47" w:rsidRPr="00A72C47" w:rsidRDefault="00A72C47" w:rsidP="00A72C47">
      <w:pPr>
        <w:pStyle w:val="BodyText"/>
        <w:numPr>
          <w:ilvl w:val="0"/>
          <w:numId w:val="40"/>
        </w:numPr>
        <w:rPr>
          <w:rFonts w:ascii="Avenir Next" w:hAnsi="Avenir Next"/>
          <w:b/>
          <w:bCs/>
        </w:rPr>
      </w:pPr>
      <w:r>
        <w:rPr>
          <w:rFonts w:ascii="Avenir Next" w:hAnsi="Avenir Next"/>
          <w:color w:val="808080" w:themeColor="background1" w:themeShade="80"/>
        </w:rPr>
        <w:t>If carrying on regulated business, service notice of winding up on CIMA</w:t>
      </w:r>
    </w:p>
    <w:p w14:paraId="1842DA16" w14:textId="7786B343" w:rsidR="00A72C47" w:rsidRPr="00486A0B" w:rsidRDefault="00A72C47" w:rsidP="00A72C47">
      <w:pPr>
        <w:pStyle w:val="BodyText"/>
        <w:numPr>
          <w:ilvl w:val="0"/>
          <w:numId w:val="40"/>
        </w:numPr>
        <w:rPr>
          <w:rFonts w:ascii="Avenir Next" w:hAnsi="Avenir Next"/>
          <w:b/>
          <w:bCs/>
        </w:rPr>
      </w:pPr>
      <w:r>
        <w:rPr>
          <w:rFonts w:ascii="Avenir Next" w:hAnsi="Avenir Next"/>
          <w:color w:val="808080" w:themeColor="background1" w:themeShade="80"/>
        </w:rPr>
        <w:t>Publish notice of the winding up in the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053FB453" w:rsidR="00586B0F" w:rsidRDefault="00A72C4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order 13, rule 9 of the CWR, the company must pass a resolution authorizing the remuneration of the liquidators. The r</w:t>
      </w:r>
      <w:r w:rsidR="00485B07">
        <w:rPr>
          <w:rFonts w:ascii="Avenir Next" w:hAnsi="Avenir Next"/>
          <w:color w:val="808080" w:themeColor="background1" w:themeShade="80"/>
        </w:rPr>
        <w:t xml:space="preserve">esolution must approve the remuneration </w:t>
      </w:r>
      <w:proofErr w:type="gramStart"/>
      <w:r w:rsidR="00485B07">
        <w:rPr>
          <w:rFonts w:ascii="Avenir Next" w:hAnsi="Avenir Next"/>
          <w:color w:val="808080" w:themeColor="background1" w:themeShade="80"/>
        </w:rPr>
        <w:t>on the basis of</w:t>
      </w:r>
      <w:proofErr w:type="gramEnd"/>
      <w:r w:rsidR="00485B07">
        <w:rPr>
          <w:rFonts w:ascii="Avenir Next" w:hAnsi="Avenir Next"/>
          <w:color w:val="808080" w:themeColor="background1" w:themeShade="80"/>
        </w:rPr>
        <w:t xml:space="preserve"> one of the following:</w:t>
      </w:r>
    </w:p>
    <w:p w14:paraId="77F593EA" w14:textId="329CFE55" w:rsidR="00485B07" w:rsidRPr="00485B07" w:rsidRDefault="00485B07" w:rsidP="00485B07">
      <w:pPr>
        <w:pStyle w:val="BodyText"/>
        <w:numPr>
          <w:ilvl w:val="0"/>
          <w:numId w:val="41"/>
        </w:numPr>
        <w:rPr>
          <w:rFonts w:ascii="Avenir Next" w:hAnsi="Avenir Next"/>
          <w:b/>
          <w:bCs/>
        </w:rPr>
      </w:pPr>
      <w:r>
        <w:rPr>
          <w:rFonts w:ascii="Avenir Next" w:hAnsi="Avenir Next"/>
          <w:color w:val="808080" w:themeColor="background1" w:themeShade="80"/>
        </w:rPr>
        <w:t>An hourly rate</w:t>
      </w:r>
    </w:p>
    <w:p w14:paraId="4BD5D2E7" w14:textId="728C883F" w:rsidR="00485B07" w:rsidRPr="00485B07" w:rsidRDefault="00485B07" w:rsidP="00485B07">
      <w:pPr>
        <w:pStyle w:val="BodyText"/>
        <w:numPr>
          <w:ilvl w:val="0"/>
          <w:numId w:val="41"/>
        </w:numPr>
        <w:rPr>
          <w:rFonts w:ascii="Avenir Next" w:hAnsi="Avenir Next"/>
          <w:b/>
          <w:bCs/>
        </w:rPr>
      </w:pPr>
      <w:r>
        <w:rPr>
          <w:rFonts w:ascii="Avenir Next" w:hAnsi="Avenir Next"/>
          <w:color w:val="808080" w:themeColor="background1" w:themeShade="80"/>
        </w:rPr>
        <w:t>A fixed sum</w:t>
      </w:r>
    </w:p>
    <w:p w14:paraId="1453D99E" w14:textId="475A82A6" w:rsidR="00485B07" w:rsidRPr="00485B07" w:rsidRDefault="00485B07" w:rsidP="00485B07">
      <w:pPr>
        <w:pStyle w:val="BodyText"/>
        <w:numPr>
          <w:ilvl w:val="0"/>
          <w:numId w:val="41"/>
        </w:numPr>
        <w:rPr>
          <w:rFonts w:ascii="Avenir Next" w:hAnsi="Avenir Next"/>
          <w:b/>
          <w:bCs/>
        </w:rPr>
      </w:pPr>
      <w:r>
        <w:rPr>
          <w:rFonts w:ascii="Avenir Next" w:hAnsi="Avenir Next"/>
          <w:color w:val="808080" w:themeColor="background1" w:themeShade="80"/>
        </w:rPr>
        <w:t xml:space="preserve">Commission or percentage of the assets distributed or </w:t>
      </w:r>
      <w:proofErr w:type="gramStart"/>
      <w:r>
        <w:rPr>
          <w:rFonts w:ascii="Avenir Next" w:hAnsi="Avenir Next"/>
          <w:color w:val="808080" w:themeColor="background1" w:themeShade="80"/>
        </w:rPr>
        <w:t>realized</w:t>
      </w:r>
      <w:proofErr w:type="gramEnd"/>
    </w:p>
    <w:p w14:paraId="573837DB" w14:textId="5DE8ADD9" w:rsidR="00485B07" w:rsidRPr="00485B07" w:rsidRDefault="00485B07" w:rsidP="00485B07">
      <w:pPr>
        <w:pStyle w:val="BodyText"/>
        <w:numPr>
          <w:ilvl w:val="0"/>
          <w:numId w:val="41"/>
        </w:numPr>
        <w:rPr>
          <w:rFonts w:ascii="Avenir Next" w:hAnsi="Avenir Next"/>
          <w:b/>
          <w:bCs/>
        </w:rPr>
      </w:pPr>
      <w:r>
        <w:rPr>
          <w:rFonts w:ascii="Avenir Next" w:hAnsi="Avenir Next"/>
          <w:color w:val="808080" w:themeColor="background1" w:themeShade="80"/>
        </w:rPr>
        <w:t xml:space="preserve">Or combination of the above. </w:t>
      </w:r>
    </w:p>
    <w:p w14:paraId="426234E6" w14:textId="4C9437F1" w:rsidR="00485B07" w:rsidRDefault="00485B07" w:rsidP="00485B07">
      <w:pPr>
        <w:pStyle w:val="BodyText"/>
        <w:ind w:firstLine="0"/>
        <w:rPr>
          <w:rFonts w:ascii="Avenir Next" w:hAnsi="Avenir Next"/>
          <w:color w:val="808080" w:themeColor="background1" w:themeShade="80"/>
        </w:rPr>
      </w:pPr>
    </w:p>
    <w:p w14:paraId="6D32F0F7" w14:textId="5DC7560D" w:rsidR="00485B07" w:rsidRPr="00486A0B" w:rsidRDefault="00485B07" w:rsidP="00485B07">
      <w:pPr>
        <w:pStyle w:val="BodyText"/>
        <w:ind w:firstLine="0"/>
        <w:rPr>
          <w:rFonts w:ascii="Avenir Next" w:hAnsi="Avenir Next"/>
          <w:b/>
          <w:bCs/>
        </w:rPr>
      </w:pPr>
      <w:r>
        <w:rPr>
          <w:rFonts w:ascii="Avenir Next" w:hAnsi="Avenir Next"/>
          <w:color w:val="808080" w:themeColor="background1" w:themeShade="80"/>
        </w:rPr>
        <w:t xml:space="preserve">If the liquidation continues for more than one year, at the end of each year the liquidators must summon a general meeting to consider and approve their remuneration for the relevant period. </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lastRenderedPageBreak/>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79650EE9" w:rsidR="00586B0F" w:rsidRDefault="00485B0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Courts powers are provided for under section 95 of the Companies Act. Thereunder, the Court has the power to do following:</w:t>
      </w:r>
    </w:p>
    <w:p w14:paraId="34F9EA4B" w14:textId="20CCE98D" w:rsidR="00485B07" w:rsidRPr="00485B07" w:rsidRDefault="00485B07" w:rsidP="00485B07">
      <w:pPr>
        <w:pStyle w:val="BodyText"/>
        <w:numPr>
          <w:ilvl w:val="0"/>
          <w:numId w:val="42"/>
        </w:numPr>
        <w:rPr>
          <w:rFonts w:ascii="Avenir Next" w:hAnsi="Avenir Next"/>
          <w:b/>
          <w:bCs/>
        </w:rPr>
      </w:pPr>
      <w:r>
        <w:rPr>
          <w:rFonts w:ascii="Avenir Next" w:hAnsi="Avenir Next"/>
          <w:color w:val="808080" w:themeColor="background1" w:themeShade="80"/>
        </w:rPr>
        <w:t xml:space="preserve">Dismiss the </w:t>
      </w:r>
      <w:proofErr w:type="gramStart"/>
      <w:r>
        <w:rPr>
          <w:rFonts w:ascii="Avenir Next" w:hAnsi="Avenir Next"/>
          <w:color w:val="808080" w:themeColor="background1" w:themeShade="80"/>
        </w:rPr>
        <w:t>petition</w:t>
      </w:r>
      <w:r w:rsidR="00A66587">
        <w:rPr>
          <w:rFonts w:ascii="Avenir Next" w:hAnsi="Avenir Next"/>
          <w:color w:val="808080" w:themeColor="background1" w:themeShade="80"/>
        </w:rPr>
        <w:t>;</w:t>
      </w:r>
      <w:proofErr w:type="gramEnd"/>
    </w:p>
    <w:p w14:paraId="563F81D7" w14:textId="70287CC5" w:rsidR="00485B07" w:rsidRPr="00485B07" w:rsidRDefault="00485B07" w:rsidP="00485B07">
      <w:pPr>
        <w:pStyle w:val="BodyText"/>
        <w:numPr>
          <w:ilvl w:val="0"/>
          <w:numId w:val="42"/>
        </w:numPr>
        <w:rPr>
          <w:rFonts w:ascii="Avenir Next" w:hAnsi="Avenir Next"/>
          <w:b/>
          <w:bCs/>
        </w:rPr>
      </w:pPr>
      <w:r>
        <w:rPr>
          <w:rFonts w:ascii="Avenir Next" w:hAnsi="Avenir Next"/>
          <w:color w:val="808080" w:themeColor="background1" w:themeShade="80"/>
        </w:rPr>
        <w:t xml:space="preserve">Adjourn the hearing conditionally or </w:t>
      </w:r>
      <w:proofErr w:type="gramStart"/>
      <w:r>
        <w:rPr>
          <w:rFonts w:ascii="Avenir Next" w:hAnsi="Avenir Next"/>
          <w:color w:val="808080" w:themeColor="background1" w:themeShade="80"/>
        </w:rPr>
        <w:t>unconditionally</w:t>
      </w:r>
      <w:r w:rsidR="00A66587">
        <w:rPr>
          <w:rFonts w:ascii="Avenir Next" w:hAnsi="Avenir Next"/>
          <w:color w:val="808080" w:themeColor="background1" w:themeShade="80"/>
        </w:rPr>
        <w:t>;</w:t>
      </w:r>
      <w:proofErr w:type="gramEnd"/>
    </w:p>
    <w:p w14:paraId="571309E3" w14:textId="503F96DA" w:rsidR="00485B07" w:rsidRPr="00485B07" w:rsidRDefault="00485B07" w:rsidP="00485B07">
      <w:pPr>
        <w:pStyle w:val="BodyText"/>
        <w:numPr>
          <w:ilvl w:val="0"/>
          <w:numId w:val="42"/>
        </w:numPr>
        <w:rPr>
          <w:rFonts w:ascii="Avenir Next" w:hAnsi="Avenir Next"/>
          <w:b/>
          <w:bCs/>
        </w:rPr>
      </w:pPr>
      <w:r>
        <w:rPr>
          <w:rFonts w:ascii="Avenir Next" w:hAnsi="Avenir Next"/>
          <w:color w:val="808080" w:themeColor="background1" w:themeShade="80"/>
        </w:rPr>
        <w:t>Make a provisional order</w:t>
      </w:r>
      <w:r w:rsidR="00A66587">
        <w:rPr>
          <w:rFonts w:ascii="Avenir Next" w:hAnsi="Avenir Next"/>
          <w:color w:val="808080" w:themeColor="background1" w:themeShade="80"/>
        </w:rPr>
        <w:t>; or</w:t>
      </w:r>
    </w:p>
    <w:p w14:paraId="127A30C7" w14:textId="5F58757E" w:rsidR="00485B07" w:rsidRPr="00485B07" w:rsidRDefault="00A66587" w:rsidP="00485B07">
      <w:pPr>
        <w:pStyle w:val="BodyText"/>
        <w:numPr>
          <w:ilvl w:val="0"/>
          <w:numId w:val="42"/>
        </w:numPr>
        <w:rPr>
          <w:rFonts w:ascii="Avenir Next" w:hAnsi="Avenir Next"/>
          <w:b/>
          <w:bCs/>
        </w:rPr>
      </w:pPr>
      <w:r>
        <w:rPr>
          <w:rFonts w:ascii="Avenir Next" w:hAnsi="Avenir Next"/>
          <w:color w:val="808080" w:themeColor="background1" w:themeShade="80"/>
        </w:rPr>
        <w:t>A</w:t>
      </w:r>
      <w:r w:rsidR="00485B07">
        <w:rPr>
          <w:rFonts w:ascii="Avenir Next" w:hAnsi="Avenir Next"/>
          <w:color w:val="808080" w:themeColor="background1" w:themeShade="80"/>
        </w:rPr>
        <w:t xml:space="preserve">ny other order that it deems fit. </w:t>
      </w:r>
    </w:p>
    <w:p w14:paraId="7065B7E3" w14:textId="094C7DCC" w:rsidR="00485B07" w:rsidRDefault="00485B07" w:rsidP="00485B07">
      <w:pPr>
        <w:pStyle w:val="BodyText"/>
        <w:ind w:firstLine="0"/>
        <w:rPr>
          <w:rFonts w:ascii="Avenir Next" w:hAnsi="Avenir Next"/>
          <w:color w:val="808080" w:themeColor="background1" w:themeShade="80"/>
        </w:rPr>
      </w:pPr>
    </w:p>
    <w:p w14:paraId="5682B82D" w14:textId="0B837A67" w:rsidR="00485B07" w:rsidRDefault="00485B07" w:rsidP="00485B0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exception to the above is that the Court cannot refuse a winding up order solely on the grounds that the company’s assets have been mortgaged or charged to an amount equal to or </w:t>
      </w:r>
      <w:proofErr w:type="gramStart"/>
      <w:r>
        <w:rPr>
          <w:rFonts w:ascii="Avenir Next" w:hAnsi="Avenir Next"/>
          <w:color w:val="808080" w:themeColor="background1" w:themeShade="80"/>
        </w:rPr>
        <w:t>in excess of</w:t>
      </w:r>
      <w:proofErr w:type="gramEnd"/>
      <w:r>
        <w:rPr>
          <w:rFonts w:ascii="Avenir Next" w:hAnsi="Avenir Next"/>
          <w:color w:val="808080" w:themeColor="background1" w:themeShade="80"/>
        </w:rPr>
        <w:t xml:space="preserve"> those assets or on the grounds that the company has no assets. </w:t>
      </w:r>
    </w:p>
    <w:p w14:paraId="19C75AB2" w14:textId="0FEF13F1" w:rsidR="00485B07" w:rsidRDefault="00485B07" w:rsidP="00485B07">
      <w:pPr>
        <w:pStyle w:val="BodyText"/>
        <w:ind w:firstLine="0"/>
        <w:rPr>
          <w:rFonts w:ascii="Avenir Next" w:hAnsi="Avenir Next"/>
          <w:color w:val="808080" w:themeColor="background1" w:themeShade="80"/>
        </w:rPr>
      </w:pPr>
    </w:p>
    <w:p w14:paraId="61DCBDA5" w14:textId="4DFB8201" w:rsidR="00485B07" w:rsidRDefault="00485B07" w:rsidP="00485B07">
      <w:pPr>
        <w:pStyle w:val="BodyText"/>
        <w:ind w:firstLine="0"/>
        <w:rPr>
          <w:rFonts w:ascii="Avenir Next" w:hAnsi="Avenir Next"/>
          <w:color w:val="808080" w:themeColor="background1" w:themeShade="80"/>
        </w:rPr>
      </w:pPr>
      <w:r>
        <w:rPr>
          <w:rFonts w:ascii="Avenir Next" w:hAnsi="Avenir Next"/>
          <w:color w:val="808080" w:themeColor="background1" w:themeShade="80"/>
        </w:rPr>
        <w:t>Additionally, under section 95(3), if the petition by the contributories is on the basis that it is just and equitable to wind up the company</w:t>
      </w:r>
      <w:r w:rsidR="009A3BA9">
        <w:rPr>
          <w:rFonts w:ascii="Avenir Next" w:hAnsi="Avenir Next"/>
          <w:color w:val="808080" w:themeColor="background1" w:themeShade="80"/>
        </w:rPr>
        <w:t>,</w:t>
      </w:r>
      <w:r>
        <w:rPr>
          <w:rFonts w:ascii="Avenir Next" w:hAnsi="Avenir Next"/>
          <w:color w:val="808080" w:themeColor="background1" w:themeShade="80"/>
        </w:rPr>
        <w:t xml:space="preserve"> the court has additional power to make alternative order</w:t>
      </w:r>
      <w:r w:rsidR="00944C3A">
        <w:rPr>
          <w:rFonts w:ascii="Avenir Next" w:hAnsi="Avenir Next"/>
          <w:color w:val="808080" w:themeColor="background1" w:themeShade="80"/>
        </w:rPr>
        <w:t>s, as follows:</w:t>
      </w:r>
    </w:p>
    <w:p w14:paraId="111E74A8" w14:textId="14E80E70" w:rsidR="00944C3A" w:rsidRPr="00944C3A" w:rsidRDefault="00944C3A" w:rsidP="00944C3A">
      <w:pPr>
        <w:pStyle w:val="BodyText"/>
        <w:numPr>
          <w:ilvl w:val="0"/>
          <w:numId w:val="43"/>
        </w:numPr>
        <w:rPr>
          <w:rFonts w:ascii="Avenir Next" w:hAnsi="Avenir Next"/>
          <w:b/>
          <w:bCs/>
        </w:rPr>
      </w:pPr>
      <w:r>
        <w:rPr>
          <w:rFonts w:ascii="Avenir Next" w:hAnsi="Avenir Next"/>
          <w:color w:val="808080" w:themeColor="background1" w:themeShade="80"/>
        </w:rPr>
        <w:t xml:space="preserve">An order regulating the conduct of the company’s affairs in </w:t>
      </w:r>
      <w:proofErr w:type="gramStart"/>
      <w:r>
        <w:rPr>
          <w:rFonts w:ascii="Avenir Next" w:hAnsi="Avenir Next"/>
          <w:color w:val="808080" w:themeColor="background1" w:themeShade="80"/>
        </w:rPr>
        <w:t>future</w:t>
      </w:r>
      <w:proofErr w:type="gramEnd"/>
    </w:p>
    <w:p w14:paraId="257E98D5" w14:textId="2EA76DF8" w:rsidR="00944C3A" w:rsidRPr="00944C3A" w:rsidRDefault="00944C3A" w:rsidP="00944C3A">
      <w:pPr>
        <w:pStyle w:val="BodyText"/>
        <w:numPr>
          <w:ilvl w:val="0"/>
          <w:numId w:val="43"/>
        </w:numPr>
        <w:rPr>
          <w:rFonts w:ascii="Avenir Next" w:hAnsi="Avenir Next"/>
          <w:b/>
          <w:bCs/>
        </w:rPr>
      </w:pPr>
      <w:r>
        <w:rPr>
          <w:rFonts w:ascii="Avenir Next" w:hAnsi="Avenir Next"/>
          <w:color w:val="808080" w:themeColor="background1" w:themeShade="80"/>
        </w:rPr>
        <w:t xml:space="preserve">An order requiring the company to refrain from doing or continuing to act, or not doing something, as complained of by the </w:t>
      </w:r>
      <w:proofErr w:type="gramStart"/>
      <w:r>
        <w:rPr>
          <w:rFonts w:ascii="Avenir Next" w:hAnsi="Avenir Next"/>
          <w:color w:val="808080" w:themeColor="background1" w:themeShade="80"/>
        </w:rPr>
        <w:t>petitioner</w:t>
      </w:r>
      <w:proofErr w:type="gramEnd"/>
    </w:p>
    <w:p w14:paraId="68329E0E" w14:textId="798E281D" w:rsidR="00944C3A" w:rsidRPr="00944C3A" w:rsidRDefault="00944C3A" w:rsidP="00944C3A">
      <w:pPr>
        <w:pStyle w:val="BodyText"/>
        <w:numPr>
          <w:ilvl w:val="0"/>
          <w:numId w:val="43"/>
        </w:numPr>
        <w:rPr>
          <w:rFonts w:ascii="Avenir Next" w:hAnsi="Avenir Next"/>
          <w:b/>
          <w:bCs/>
        </w:rPr>
      </w:pPr>
      <w:r>
        <w:rPr>
          <w:rFonts w:ascii="Avenir Next" w:hAnsi="Avenir Next"/>
          <w:color w:val="808080" w:themeColor="background1" w:themeShade="80"/>
        </w:rPr>
        <w:t xml:space="preserve">An order authorizing civil proceedings to be brought in the name and on behalf of the company by the petitioner on such terms as the Court may </w:t>
      </w:r>
      <w:proofErr w:type="gramStart"/>
      <w:r>
        <w:rPr>
          <w:rFonts w:ascii="Avenir Next" w:hAnsi="Avenir Next"/>
          <w:color w:val="808080" w:themeColor="background1" w:themeShade="80"/>
        </w:rPr>
        <w:t>direct</w:t>
      </w:r>
      <w:proofErr w:type="gramEnd"/>
    </w:p>
    <w:p w14:paraId="5DA5CD8E" w14:textId="309CB260" w:rsidR="00944C3A" w:rsidRPr="00486A0B" w:rsidRDefault="00944C3A" w:rsidP="00944C3A">
      <w:pPr>
        <w:pStyle w:val="BodyText"/>
        <w:numPr>
          <w:ilvl w:val="0"/>
          <w:numId w:val="43"/>
        </w:numPr>
        <w:rPr>
          <w:rFonts w:ascii="Avenir Next" w:hAnsi="Avenir Next"/>
          <w:b/>
          <w:bCs/>
        </w:rPr>
      </w:pPr>
      <w:r>
        <w:rPr>
          <w:rFonts w:ascii="Avenir Next" w:hAnsi="Avenir Next"/>
          <w:color w:val="808080" w:themeColor="background1" w:themeShade="80"/>
        </w:rPr>
        <w:t xml:space="preserve">An order providing for the purchase of the shares of any members of the company by other members or by the company, and in the case of the later, a reduction in the company’s capital. </w:t>
      </w:r>
    </w:p>
    <w:p w14:paraId="5878EF20" w14:textId="77777777" w:rsidR="00586B0F" w:rsidRPr="00C63919" w:rsidRDefault="00586B0F" w:rsidP="00586B0F">
      <w:pPr>
        <w:rPr>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422D9551" w:rsidR="00586B0F" w:rsidRDefault="00F8248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107 of the Companies Act, an application can be brought to remove an OL from their role.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do so, either a creditor (where the company is insolvent) or contributory (where the company is solvent) can make an application for an order for the removal of the OL (the “Removal Summons”), the process for which is set out in order 5, rule 6 of the CWR. </w:t>
      </w:r>
    </w:p>
    <w:p w14:paraId="69C62681" w14:textId="71C01A25" w:rsidR="00F82485" w:rsidRDefault="00F82485" w:rsidP="00586B0F">
      <w:pPr>
        <w:pStyle w:val="BodyText"/>
        <w:ind w:firstLine="0"/>
        <w:rPr>
          <w:rFonts w:ascii="Avenir Next" w:hAnsi="Avenir Next"/>
          <w:color w:val="808080" w:themeColor="background1" w:themeShade="80"/>
        </w:rPr>
      </w:pPr>
    </w:p>
    <w:p w14:paraId="3425CC9E" w14:textId="2A593BF0" w:rsidR="00F82485" w:rsidRDefault="00F82485" w:rsidP="00064D0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Removal Summons must be supported by an affidavit of the creditor or contributory setting out the reasons for the application. </w:t>
      </w:r>
      <w:r w:rsidR="00064D0B">
        <w:rPr>
          <w:rFonts w:ascii="Avenir Next" w:hAnsi="Avenir Next"/>
          <w:color w:val="808080" w:themeColor="background1" w:themeShade="80"/>
        </w:rPr>
        <w:t xml:space="preserve">Case law shows that the objector seeking the removal of the OL must have a legitimate interest in the liquidation and show good reason. </w:t>
      </w:r>
      <w:proofErr w:type="gramStart"/>
      <w:r w:rsidR="00064D0B" w:rsidRPr="006F24A8">
        <w:rPr>
          <w:rFonts w:ascii="Avenir Next LT Pro" w:hAnsi="Avenir Next LT Pro"/>
          <w:color w:val="7F7F7F" w:themeColor="text1" w:themeTint="80"/>
          <w:sz w:val="20"/>
          <w:szCs w:val="20"/>
        </w:rPr>
        <w:t>(</w:t>
      </w:r>
      <w:proofErr w:type="gramEnd"/>
      <w:r w:rsidR="00064D0B" w:rsidRPr="006F24A8">
        <w:rPr>
          <w:rFonts w:ascii="Avenir Next LT Pro" w:hAnsi="Avenir Next LT Pro"/>
          <w:color w:val="7F7F7F" w:themeColor="text1" w:themeTint="80"/>
          <w:sz w:val="20"/>
          <w:szCs w:val="20"/>
        </w:rPr>
        <w:t xml:space="preserve">See cases of </w:t>
      </w:r>
      <w:r w:rsidR="00064D0B" w:rsidRPr="006F24A8">
        <w:rPr>
          <w:rFonts w:ascii="Avenir Next LT Pro" w:hAnsi="Avenir Next LT Pro"/>
          <w:i/>
          <w:iCs/>
          <w:color w:val="7F7F7F" w:themeColor="text1" w:themeTint="80"/>
          <w:sz w:val="20"/>
          <w:szCs w:val="20"/>
        </w:rPr>
        <w:t xml:space="preserve">BTU Power Company </w:t>
      </w:r>
      <w:r w:rsidR="00064D0B" w:rsidRPr="006F24A8">
        <w:rPr>
          <w:rFonts w:ascii="Avenir Next LT Pro" w:hAnsi="Avenir Next LT Pro"/>
          <w:color w:val="7F7F7F" w:themeColor="text1" w:themeTint="80"/>
          <w:sz w:val="20"/>
          <w:szCs w:val="20"/>
        </w:rPr>
        <w:t>[2019 (1) CILR Note 7</w:t>
      </w:r>
      <w:r w:rsidR="00064D0B" w:rsidRPr="006F24A8">
        <w:rPr>
          <w:rFonts w:ascii="Avenir Next LT Pro" w:hAnsi="Avenir Next LT Pro"/>
          <w:color w:val="7F7F7F" w:themeColor="text1" w:themeTint="80"/>
          <w:sz w:val="20"/>
          <w:szCs w:val="20"/>
        </w:rPr>
        <w:t>]</w:t>
      </w:r>
      <w:r w:rsidR="00064D0B" w:rsidRPr="006F24A8">
        <w:rPr>
          <w:rFonts w:ascii="Avenir Next LT Pro" w:hAnsi="Avenir Next LT Pro"/>
          <w:color w:val="7F7F7F" w:themeColor="text1" w:themeTint="80"/>
          <w:sz w:val="20"/>
          <w:szCs w:val="20"/>
        </w:rPr>
        <w:t xml:space="preserve"> and (AMP Enterprises Ltd. v Hoffman [2002] BCC 996.) </w:t>
      </w:r>
      <w:r w:rsidR="00064D0B" w:rsidRPr="006F24A8">
        <w:rPr>
          <w:rFonts w:ascii="Avenir Next LT Pro" w:hAnsi="Avenir Next LT Pro"/>
          <w:color w:val="7F7F7F" w:themeColor="text1" w:themeTint="80"/>
          <w:sz w:val="20"/>
          <w:szCs w:val="20"/>
        </w:rPr>
        <w:t xml:space="preserve">In </w:t>
      </w:r>
      <w:r w:rsidR="00064D0B" w:rsidRPr="006F24A8">
        <w:rPr>
          <w:rFonts w:ascii="Avenir Next LT Pro" w:hAnsi="Avenir Next LT Pro"/>
          <w:i/>
          <w:iCs/>
          <w:color w:val="7F7F7F" w:themeColor="text1" w:themeTint="80"/>
          <w:sz w:val="20"/>
          <w:szCs w:val="20"/>
        </w:rPr>
        <w:t xml:space="preserve">BTU Power </w:t>
      </w:r>
      <w:r w:rsidR="00064D0B" w:rsidRPr="006F24A8">
        <w:rPr>
          <w:rFonts w:ascii="Avenir Next LT Pro" w:hAnsi="Avenir Next LT Pro"/>
          <w:color w:val="7F7F7F" w:themeColor="text1" w:themeTint="80"/>
          <w:sz w:val="20"/>
          <w:szCs w:val="20"/>
        </w:rPr>
        <w:t xml:space="preserve">Company, a director was found not to have sufficient interest to object to the OL. </w:t>
      </w:r>
      <w:r w:rsidR="006F24A8" w:rsidRPr="006F24A8">
        <w:rPr>
          <w:rFonts w:ascii="Avenir Next LT Pro" w:hAnsi="Avenir Next LT Pro"/>
          <w:color w:val="7F7F7F" w:themeColor="text1" w:themeTint="80"/>
          <w:sz w:val="20"/>
          <w:szCs w:val="20"/>
        </w:rPr>
        <w:t xml:space="preserve">In determining whether an objector has good reason, the Court will consider the wishes of </w:t>
      </w:r>
      <w:proofErr w:type="gramStart"/>
      <w:r w:rsidR="006F24A8" w:rsidRPr="006F24A8">
        <w:rPr>
          <w:rFonts w:ascii="Avenir Next LT Pro" w:hAnsi="Avenir Next LT Pro"/>
          <w:color w:val="7F7F7F" w:themeColor="text1" w:themeTint="80"/>
          <w:sz w:val="20"/>
          <w:szCs w:val="20"/>
        </w:rPr>
        <w:t>the majority of</w:t>
      </w:r>
      <w:proofErr w:type="gramEnd"/>
      <w:r w:rsidR="006F24A8" w:rsidRPr="006F24A8">
        <w:rPr>
          <w:rFonts w:ascii="Avenir Next LT Pro" w:hAnsi="Avenir Next LT Pro"/>
          <w:color w:val="7F7F7F" w:themeColor="text1" w:themeTint="80"/>
          <w:sz w:val="20"/>
          <w:szCs w:val="20"/>
        </w:rPr>
        <w:t xml:space="preserve"> the interested parties and any impropriety on behalf of the OL</w:t>
      </w:r>
      <w:r w:rsidR="006F24A8" w:rsidRPr="006F24A8">
        <w:rPr>
          <w:rFonts w:ascii="Avenir Next LT Pro" w:hAnsi="Avenir Next LT Pro"/>
          <w:color w:val="7F7F7F" w:themeColor="text1" w:themeTint="80"/>
          <w:sz w:val="20"/>
          <w:szCs w:val="20"/>
        </w:rPr>
        <w:t xml:space="preserve"> </w:t>
      </w:r>
      <w:r w:rsidR="00064D0B" w:rsidRPr="006F24A8">
        <w:rPr>
          <w:rFonts w:ascii="Avenir Next LT Pro" w:hAnsi="Avenir Next LT Pro"/>
          <w:color w:val="7F7F7F" w:themeColor="text1" w:themeTint="80"/>
          <w:sz w:val="20"/>
          <w:szCs w:val="20"/>
        </w:rPr>
        <w:t xml:space="preserve">(See </w:t>
      </w:r>
      <w:r w:rsidR="00064D0B" w:rsidRPr="006F24A8">
        <w:rPr>
          <w:rFonts w:ascii="Avenir Next LT Pro" w:hAnsi="Avenir Next LT Pro"/>
          <w:i/>
          <w:iCs/>
          <w:color w:val="7F7F7F" w:themeColor="text1" w:themeTint="80"/>
          <w:sz w:val="20"/>
          <w:szCs w:val="20"/>
        </w:rPr>
        <w:t xml:space="preserve">Johnsons v. Deloitte &amp; </w:t>
      </w:r>
      <w:proofErr w:type="spellStart"/>
      <w:r w:rsidR="00064D0B" w:rsidRPr="006F24A8">
        <w:rPr>
          <w:rFonts w:ascii="Avenir Next LT Pro" w:hAnsi="Avenir Next LT Pro"/>
          <w:i/>
          <w:iCs/>
          <w:color w:val="7F7F7F" w:themeColor="text1" w:themeTint="80"/>
          <w:sz w:val="20"/>
          <w:szCs w:val="20"/>
        </w:rPr>
        <w:t>Touche</w:t>
      </w:r>
      <w:proofErr w:type="spellEnd"/>
      <w:r w:rsidR="00064D0B" w:rsidRPr="006F24A8">
        <w:rPr>
          <w:rFonts w:ascii="Avenir Next LT Pro" w:hAnsi="Avenir Next LT Pro"/>
          <w:i/>
          <w:iCs/>
          <w:color w:val="7F7F7F" w:themeColor="text1" w:themeTint="80"/>
          <w:sz w:val="20"/>
          <w:szCs w:val="20"/>
        </w:rPr>
        <w:t xml:space="preserve"> A.G. </w:t>
      </w:r>
      <w:r w:rsidR="00064D0B" w:rsidRPr="006F24A8">
        <w:rPr>
          <w:rFonts w:ascii="Avenir Next LT Pro" w:hAnsi="Avenir Next LT Pro"/>
          <w:color w:val="7F7F7F" w:themeColor="text1" w:themeTint="80"/>
          <w:sz w:val="20"/>
          <w:szCs w:val="20"/>
        </w:rPr>
        <w:t>1999 CILR 297).</w:t>
      </w:r>
    </w:p>
    <w:p w14:paraId="2698E476" w14:textId="52815789" w:rsidR="00064D0B" w:rsidRDefault="00064D0B" w:rsidP="00586B0F">
      <w:pPr>
        <w:pStyle w:val="BodyText"/>
        <w:ind w:firstLine="0"/>
        <w:rPr>
          <w:rFonts w:ascii="Avenir Next" w:hAnsi="Avenir Next"/>
          <w:color w:val="808080" w:themeColor="background1" w:themeShade="80"/>
        </w:rPr>
      </w:pPr>
    </w:p>
    <w:p w14:paraId="71AE0152" w14:textId="41E1C393" w:rsidR="00F82485" w:rsidRPr="00486A0B" w:rsidRDefault="00F82485" w:rsidP="00586B0F">
      <w:pPr>
        <w:pStyle w:val="BodyText"/>
        <w:ind w:firstLine="0"/>
        <w:rPr>
          <w:rFonts w:ascii="Avenir Next" w:hAnsi="Avenir Next"/>
          <w:b/>
          <w:bCs/>
        </w:rPr>
      </w:pPr>
      <w:r>
        <w:rPr>
          <w:rFonts w:ascii="Avenir Next" w:hAnsi="Avenir Next"/>
          <w:color w:val="808080" w:themeColor="background1" w:themeShade="80"/>
        </w:rPr>
        <w:t xml:space="preserve">The Removal Summons must be served on the OL and either </w:t>
      </w:r>
      <w:r w:rsidR="00D25C5E">
        <w:rPr>
          <w:rFonts w:ascii="Avenir Next" w:hAnsi="Avenir Next"/>
          <w:color w:val="808080" w:themeColor="background1" w:themeShade="80"/>
        </w:rPr>
        <w:t>the</w:t>
      </w:r>
      <w:r>
        <w:rPr>
          <w:rFonts w:ascii="Avenir Next" w:hAnsi="Avenir Next"/>
          <w:color w:val="808080" w:themeColor="background1" w:themeShade="80"/>
        </w:rPr>
        <w:t xml:space="preserve"> member</w:t>
      </w:r>
      <w:r w:rsidR="00D25C5E">
        <w:rPr>
          <w:rFonts w:ascii="Avenir Next" w:hAnsi="Avenir Next"/>
          <w:color w:val="808080" w:themeColor="background1" w:themeShade="80"/>
        </w:rPr>
        <w:t>s</w:t>
      </w:r>
      <w:r>
        <w:rPr>
          <w:rFonts w:ascii="Avenir Next" w:hAnsi="Avenir Next"/>
          <w:color w:val="808080" w:themeColor="background1" w:themeShade="80"/>
        </w:rPr>
        <w:t xml:space="preserve"> of the liquidation committee or the counsel for the liquidation committee (if appointed); and any other creditors or contributories as directed by the Court. </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0030786A" w14:textId="3E710C95" w:rsidR="00B11CFD" w:rsidRDefault="00B11CFD" w:rsidP="00586B0F">
      <w:pPr>
        <w:pStyle w:val="BodyText"/>
        <w:ind w:firstLine="0"/>
        <w:rPr>
          <w:rFonts w:ascii="Avenir Next" w:hAnsi="Avenir Next"/>
          <w:color w:val="808080" w:themeColor="background1" w:themeShade="80"/>
        </w:rPr>
      </w:pPr>
      <w:proofErr w:type="gramStart"/>
      <w:r>
        <w:rPr>
          <w:rFonts w:ascii="Avenir Next" w:hAnsi="Avenir Next"/>
          <w:color w:val="808080" w:themeColor="background1" w:themeShade="80"/>
        </w:rPr>
        <w:t>For the purpose</w:t>
      </w:r>
      <w:r w:rsidR="00042BC1">
        <w:rPr>
          <w:rFonts w:ascii="Avenir Next" w:hAnsi="Avenir Next"/>
          <w:color w:val="808080" w:themeColor="background1" w:themeShade="80"/>
        </w:rPr>
        <w:t xml:space="preserve"> of</w:t>
      </w:r>
      <w:proofErr w:type="gramEnd"/>
      <w:r w:rsidR="00042BC1">
        <w:rPr>
          <w:rFonts w:ascii="Avenir Next" w:hAnsi="Avenir Next"/>
          <w:color w:val="808080" w:themeColor="background1" w:themeShade="80"/>
        </w:rPr>
        <w:t xml:space="preserve"> </w:t>
      </w:r>
      <w:r w:rsidR="00145E32">
        <w:rPr>
          <w:rFonts w:ascii="Avenir Next" w:hAnsi="Avenir Next"/>
          <w:color w:val="808080" w:themeColor="background1" w:themeShade="80"/>
        </w:rPr>
        <w:t xml:space="preserve">this question, it assumed that the term “applicant” refers to </w:t>
      </w:r>
      <w:r w:rsidR="0040087C">
        <w:rPr>
          <w:rFonts w:ascii="Avenir Next" w:hAnsi="Avenir Next"/>
          <w:color w:val="808080" w:themeColor="background1" w:themeShade="80"/>
        </w:rPr>
        <w:t xml:space="preserve">the party applying to the Court to remove the OL. </w:t>
      </w:r>
    </w:p>
    <w:p w14:paraId="462A589A" w14:textId="77777777" w:rsidR="006717A4" w:rsidRDefault="006717A4" w:rsidP="00586B0F">
      <w:pPr>
        <w:pStyle w:val="BodyText"/>
        <w:ind w:firstLine="0"/>
        <w:rPr>
          <w:rFonts w:ascii="Avenir Next" w:hAnsi="Avenir Next"/>
          <w:color w:val="808080" w:themeColor="background1" w:themeShade="80"/>
        </w:rPr>
      </w:pPr>
    </w:p>
    <w:p w14:paraId="4CB7578C" w14:textId="3AF3FF53" w:rsidR="006717A4" w:rsidRDefault="006717A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only parties who can apply to have an OL removed</w:t>
      </w:r>
      <w:r w:rsidR="000B0F36">
        <w:rPr>
          <w:rFonts w:ascii="Avenir Next" w:hAnsi="Avenir Next"/>
          <w:color w:val="808080" w:themeColor="background1" w:themeShade="80"/>
        </w:rPr>
        <w:t xml:space="preserve"> are creditors and contributories, dependent on the solvency of the </w:t>
      </w:r>
      <w:r w:rsidR="00B742B9">
        <w:rPr>
          <w:rFonts w:ascii="Avenir Next" w:hAnsi="Avenir Next"/>
          <w:color w:val="808080" w:themeColor="background1" w:themeShade="80"/>
        </w:rPr>
        <w:t xml:space="preserve">company. </w:t>
      </w:r>
    </w:p>
    <w:p w14:paraId="634ACFB8" w14:textId="77777777" w:rsidR="00B742B9" w:rsidRDefault="00B742B9" w:rsidP="00586B0F">
      <w:pPr>
        <w:pStyle w:val="BodyText"/>
        <w:ind w:firstLine="0"/>
        <w:rPr>
          <w:rFonts w:ascii="Avenir Next" w:hAnsi="Avenir Next"/>
          <w:color w:val="808080" w:themeColor="background1" w:themeShade="80"/>
        </w:rPr>
      </w:pPr>
    </w:p>
    <w:p w14:paraId="1B6AC2DE" w14:textId="779A662E" w:rsidR="00B742B9" w:rsidRDefault="00B742B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an insolvent company, only the creditors can apply for removal and in a solvent company, only the contributories can apply. This is due to the competing interests of creditors and contributories. For example, creditors will be</w:t>
      </w:r>
      <w:r w:rsidR="004366D6">
        <w:rPr>
          <w:rFonts w:ascii="Avenir Next" w:hAnsi="Avenir Next"/>
          <w:color w:val="808080" w:themeColor="background1" w:themeShade="80"/>
        </w:rPr>
        <w:t xml:space="preserve"> concerned with the realization of the company’s assets to </w:t>
      </w:r>
      <w:r w:rsidR="007C7E78">
        <w:rPr>
          <w:rFonts w:ascii="Avenir Next" w:hAnsi="Avenir Next"/>
          <w:color w:val="808080" w:themeColor="background1" w:themeShade="80"/>
        </w:rPr>
        <w:t>recover the money due to them. In contrast, contributories may wish to continue the business of the company</w:t>
      </w:r>
      <w:r w:rsidR="00E26D6F">
        <w:rPr>
          <w:rFonts w:ascii="Avenir Next" w:hAnsi="Avenir Next"/>
          <w:color w:val="808080" w:themeColor="background1" w:themeShade="80"/>
        </w:rPr>
        <w:t xml:space="preserve">. To allow a creditor </w:t>
      </w:r>
      <w:proofErr w:type="gramStart"/>
      <w:r w:rsidR="00E26D6F">
        <w:rPr>
          <w:rFonts w:ascii="Avenir Next" w:hAnsi="Avenir Next"/>
          <w:color w:val="808080" w:themeColor="background1" w:themeShade="80"/>
        </w:rPr>
        <w:t>apply</w:t>
      </w:r>
      <w:proofErr w:type="gramEnd"/>
      <w:r w:rsidR="00E26D6F">
        <w:rPr>
          <w:rFonts w:ascii="Avenir Next" w:hAnsi="Avenir Next"/>
          <w:color w:val="808080" w:themeColor="background1" w:themeShade="80"/>
        </w:rPr>
        <w:t xml:space="preserve"> for the removal of an OL </w:t>
      </w:r>
      <w:r w:rsidR="00B63DE0">
        <w:rPr>
          <w:rFonts w:ascii="Avenir Next" w:hAnsi="Avenir Next"/>
          <w:color w:val="808080" w:themeColor="background1" w:themeShade="80"/>
        </w:rPr>
        <w:t xml:space="preserve">may jeopardize the future of the company in circumstances where the company is solvent but </w:t>
      </w:r>
      <w:r w:rsidR="00F344E6">
        <w:rPr>
          <w:rFonts w:ascii="Avenir Next" w:hAnsi="Avenir Next"/>
          <w:color w:val="808080" w:themeColor="background1" w:themeShade="80"/>
        </w:rPr>
        <w:t xml:space="preserve">may need to restructure the business to continue as a going concern. </w:t>
      </w:r>
    </w:p>
    <w:p w14:paraId="60A8519F" w14:textId="77777777" w:rsidR="00D62A31" w:rsidRDefault="00D62A31" w:rsidP="00586B0F">
      <w:pPr>
        <w:pStyle w:val="BodyText"/>
        <w:ind w:firstLine="0"/>
        <w:rPr>
          <w:rFonts w:ascii="Avenir Next" w:hAnsi="Avenir Next"/>
          <w:color w:val="808080" w:themeColor="background1" w:themeShade="80"/>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00E2A51C" w:rsidR="00B20DBE" w:rsidRDefault="006F24A8"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circumstances where the </w:t>
      </w:r>
      <w:r w:rsidR="00A77679">
        <w:rPr>
          <w:rFonts w:ascii="Avenir Next" w:hAnsi="Avenir Next"/>
          <w:color w:val="808080" w:themeColor="background1" w:themeShade="80"/>
        </w:rPr>
        <w:t xml:space="preserve">status of the changes from insolvent to solvent, the </w:t>
      </w:r>
      <w:r>
        <w:rPr>
          <w:rFonts w:ascii="Avenir Next" w:hAnsi="Avenir Next"/>
          <w:color w:val="808080" w:themeColor="background1" w:themeShade="80"/>
        </w:rPr>
        <w:t xml:space="preserve">OL </w:t>
      </w:r>
      <w:r w:rsidR="00A77679">
        <w:rPr>
          <w:rFonts w:ascii="Avenir Next" w:hAnsi="Avenir Next"/>
          <w:color w:val="808080" w:themeColor="background1" w:themeShade="80"/>
        </w:rPr>
        <w:t xml:space="preserve">is required to </w:t>
      </w:r>
      <w:proofErr w:type="gramStart"/>
      <w:r w:rsidR="00A77679">
        <w:rPr>
          <w:rFonts w:ascii="Avenir Next" w:hAnsi="Avenir Next"/>
          <w:color w:val="808080" w:themeColor="background1" w:themeShade="80"/>
        </w:rPr>
        <w:t xml:space="preserve">file </w:t>
      </w:r>
      <w:r>
        <w:rPr>
          <w:rFonts w:ascii="Avenir Next" w:hAnsi="Avenir Next"/>
          <w:color w:val="808080" w:themeColor="background1" w:themeShade="80"/>
        </w:rPr>
        <w:t xml:space="preserve"> a</w:t>
      </w:r>
      <w:proofErr w:type="gramEnd"/>
      <w:r>
        <w:rPr>
          <w:rFonts w:ascii="Avenir Next" w:hAnsi="Avenir Next"/>
          <w:color w:val="808080" w:themeColor="background1" w:themeShade="80"/>
        </w:rPr>
        <w:t xml:space="preserve"> Form No 14</w:t>
      </w:r>
      <w:r w:rsidR="00A77679">
        <w:rPr>
          <w:rFonts w:ascii="Avenir Next" w:hAnsi="Avenir Next"/>
          <w:color w:val="808080" w:themeColor="background1" w:themeShade="80"/>
        </w:rPr>
        <w:t xml:space="preserve"> declaring the company to be solvent. In such case, </w:t>
      </w:r>
      <w:r>
        <w:rPr>
          <w:rFonts w:ascii="Avenir Next" w:hAnsi="Avenir Next"/>
          <w:color w:val="808080" w:themeColor="background1" w:themeShade="80"/>
        </w:rPr>
        <w:t>the OL is</w:t>
      </w:r>
      <w:r w:rsidR="00A77679">
        <w:rPr>
          <w:rFonts w:ascii="Avenir Next" w:hAnsi="Avenir Next"/>
          <w:color w:val="808080" w:themeColor="background1" w:themeShade="80"/>
        </w:rPr>
        <w:t xml:space="preserve"> then only</w:t>
      </w:r>
      <w:r>
        <w:rPr>
          <w:rFonts w:ascii="Avenir Next" w:hAnsi="Avenir Next"/>
          <w:color w:val="808080" w:themeColor="background1" w:themeShade="80"/>
        </w:rPr>
        <w:t xml:space="preserve"> required to </w:t>
      </w:r>
      <w:r w:rsidR="00567D71">
        <w:rPr>
          <w:rFonts w:ascii="Avenir Next" w:hAnsi="Avenir Next"/>
          <w:color w:val="808080" w:themeColor="background1" w:themeShade="80"/>
        </w:rPr>
        <w:t xml:space="preserve">convene meetings of contributories, in accordance with order 8, rule 1(5). </w:t>
      </w:r>
    </w:p>
    <w:p w14:paraId="11E4E32A" w14:textId="14EB7A62" w:rsidR="00A77679" w:rsidRDefault="00A77679" w:rsidP="00B20DBE">
      <w:pPr>
        <w:pStyle w:val="BodyText"/>
        <w:ind w:firstLine="0"/>
        <w:rPr>
          <w:rFonts w:ascii="Avenir Next" w:hAnsi="Avenir Next"/>
          <w:color w:val="808080" w:themeColor="background1" w:themeShade="80"/>
        </w:rPr>
      </w:pPr>
    </w:p>
    <w:p w14:paraId="28C2C274" w14:textId="1B0FB8D0" w:rsidR="00A77679" w:rsidRPr="00486A0B" w:rsidRDefault="00A77679" w:rsidP="00B20DBE">
      <w:pPr>
        <w:pStyle w:val="BodyText"/>
        <w:ind w:firstLine="0"/>
        <w:rPr>
          <w:rFonts w:ascii="Avenir Next" w:hAnsi="Avenir Next"/>
          <w:b/>
          <w:bCs/>
        </w:rPr>
      </w:pPr>
      <w:r>
        <w:rPr>
          <w:rFonts w:ascii="Avenir Next" w:hAnsi="Avenir Next"/>
          <w:color w:val="808080" w:themeColor="background1" w:themeShade="80"/>
        </w:rPr>
        <w:t xml:space="preserve">Pursuant to order 9, rule 3 of the CWR, once the company is declared solvent, the creditor members of the liquidation committee (the “LC”) automatically cease to be members and the OL must convene a meeting of contributories to elect a new LC. Under order 9, rule 1(3), the LC must be comprised of not less than three or more than five contributories.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06E02C2E" w:rsidR="00B20DBE" w:rsidRDefault="00A77679"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order 22, rule 2(3), once the order for dissolution is perfected the liquidator must file the order with the Registrar of Companies within 14 days. </w:t>
      </w:r>
    </w:p>
    <w:p w14:paraId="610B947C" w14:textId="144C4698" w:rsidR="00A77679" w:rsidRDefault="00A77679" w:rsidP="00B20DBE">
      <w:pPr>
        <w:pStyle w:val="BodyText"/>
        <w:ind w:firstLine="0"/>
        <w:rPr>
          <w:rFonts w:ascii="Avenir Next" w:hAnsi="Avenir Next"/>
          <w:color w:val="808080" w:themeColor="background1" w:themeShade="80"/>
        </w:rPr>
      </w:pPr>
    </w:p>
    <w:p w14:paraId="4D3CFE20" w14:textId="71FAA515" w:rsidR="00A77679" w:rsidRDefault="00A77679"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order for dissolution will set out any additional steps that the liquidator is required to take, to include </w:t>
      </w:r>
      <w:r>
        <w:rPr>
          <w:rFonts w:ascii="Avenir Next" w:hAnsi="Avenir Next"/>
          <w:i/>
          <w:iCs/>
          <w:color w:val="808080" w:themeColor="background1" w:themeShade="80"/>
        </w:rPr>
        <w:t>inter alia</w:t>
      </w:r>
      <w:r>
        <w:rPr>
          <w:rFonts w:ascii="Avenir Next" w:hAnsi="Avenir Next"/>
          <w:color w:val="808080" w:themeColor="background1" w:themeShade="80"/>
        </w:rPr>
        <w:t xml:space="preserve"> the following:</w:t>
      </w:r>
    </w:p>
    <w:p w14:paraId="379C1AC4" w14:textId="1C824A4E" w:rsidR="00A77679" w:rsidRPr="00A77679" w:rsidRDefault="00A77679" w:rsidP="00A77679">
      <w:pPr>
        <w:pStyle w:val="BodyText"/>
        <w:numPr>
          <w:ilvl w:val="0"/>
          <w:numId w:val="44"/>
        </w:numPr>
        <w:rPr>
          <w:rFonts w:ascii="Avenir Next" w:hAnsi="Avenir Next"/>
          <w:b/>
          <w:bCs/>
        </w:rPr>
      </w:pPr>
      <w:r>
        <w:rPr>
          <w:rFonts w:ascii="Avenir Next" w:hAnsi="Avenir Next"/>
          <w:color w:val="808080" w:themeColor="background1" w:themeShade="80"/>
        </w:rPr>
        <w:t>Retention of the whole or part of the liquidation files for a minimum of 3 years, as per order 25, rule 1</w:t>
      </w:r>
    </w:p>
    <w:p w14:paraId="4D695A1E" w14:textId="161961CB" w:rsidR="00A77679" w:rsidRPr="00A77679" w:rsidRDefault="00A77679" w:rsidP="00A77679">
      <w:pPr>
        <w:pStyle w:val="BodyText"/>
        <w:numPr>
          <w:ilvl w:val="0"/>
          <w:numId w:val="44"/>
        </w:numPr>
        <w:rPr>
          <w:rFonts w:ascii="Avenir Next" w:hAnsi="Avenir Next"/>
          <w:b/>
          <w:bCs/>
        </w:rPr>
      </w:pPr>
      <w:r>
        <w:rPr>
          <w:rFonts w:ascii="Avenir Next" w:hAnsi="Avenir Next"/>
          <w:color w:val="808080" w:themeColor="background1" w:themeShade="80"/>
        </w:rPr>
        <w:t>Retention, storage and destruction of the company’s books and records, as per order 25, rule 2</w:t>
      </w:r>
    </w:p>
    <w:p w14:paraId="66C954E0" w14:textId="444F1B26" w:rsidR="00A77679" w:rsidRPr="00A77679" w:rsidRDefault="00170816" w:rsidP="00170816">
      <w:pPr>
        <w:pStyle w:val="BodyText"/>
        <w:ind w:firstLine="0"/>
        <w:rPr>
          <w:rFonts w:ascii="Avenir Next" w:hAnsi="Avenir Next"/>
          <w:b/>
          <w:bCs/>
        </w:rPr>
      </w:pPr>
      <w:r>
        <w:rPr>
          <w:rFonts w:ascii="Avenir Next" w:hAnsi="Avenir Next"/>
          <w:color w:val="808080" w:themeColor="background1" w:themeShade="80"/>
        </w:rPr>
        <w:t xml:space="preserve">The liquidator also becomes trustee of any unclaimed dividends or undistributed assets – pursuant to section 153 of the Companies Act. Under order 23 of the CWR the liquidator must set up a trust account for any unclaimed dividends. Further, they must transfer title of the undistributed assets to be held on trust for the beneficiaries. </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lastRenderedPageBreak/>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2042D467" w14:textId="29C1924B" w:rsidR="007B5466" w:rsidRDefault="007B5466"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w:t>
      </w:r>
      <w:r w:rsidR="00B04AB2">
        <w:rPr>
          <w:rFonts w:ascii="Avenir Next" w:hAnsi="Avenir Next"/>
          <w:color w:val="808080" w:themeColor="background1" w:themeShade="80"/>
        </w:rPr>
        <w:t xml:space="preserve"> liquidator</w:t>
      </w:r>
      <w:r>
        <w:rPr>
          <w:rFonts w:ascii="Avenir Next" w:hAnsi="Avenir Next"/>
          <w:color w:val="808080" w:themeColor="background1" w:themeShade="80"/>
        </w:rPr>
        <w:t xml:space="preserve"> is granted power, under section 102 of the Companies Act, to carry out investigations into the company. Where a winding up order is made, the </w:t>
      </w:r>
      <w:r w:rsidR="00B04AB2">
        <w:rPr>
          <w:rFonts w:ascii="Avenir Next" w:hAnsi="Avenir Next"/>
          <w:color w:val="808080" w:themeColor="background1" w:themeShade="80"/>
        </w:rPr>
        <w:t>liquidator</w:t>
      </w:r>
      <w:r>
        <w:rPr>
          <w:rFonts w:ascii="Avenir Next" w:hAnsi="Avenir Next"/>
          <w:color w:val="808080" w:themeColor="background1" w:themeShade="80"/>
        </w:rPr>
        <w:t xml:space="preserve"> has the power to investigate:</w:t>
      </w:r>
    </w:p>
    <w:p w14:paraId="0C137CE6" w14:textId="4DF8CDBC" w:rsidR="007B5466" w:rsidRDefault="007B5466" w:rsidP="007B5466">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If the company has failed, the causes of the failure; and</w:t>
      </w:r>
    </w:p>
    <w:p w14:paraId="5CF971DF" w14:textId="61427624" w:rsidR="007B5466" w:rsidRDefault="007B5466" w:rsidP="007B5466">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 xml:space="preserve">Generally, the promotion, business, </w:t>
      </w:r>
      <w:proofErr w:type="gramStart"/>
      <w:r>
        <w:rPr>
          <w:rFonts w:ascii="Avenir Next" w:hAnsi="Avenir Next"/>
          <w:color w:val="808080" w:themeColor="background1" w:themeShade="80"/>
        </w:rPr>
        <w:t>dealings</w:t>
      </w:r>
      <w:proofErr w:type="gramEnd"/>
      <w:r>
        <w:rPr>
          <w:rFonts w:ascii="Avenir Next" w:hAnsi="Avenir Next"/>
          <w:color w:val="808080" w:themeColor="background1" w:themeShade="80"/>
        </w:rPr>
        <w:t xml:space="preserve"> and affairs of the company</w:t>
      </w:r>
    </w:p>
    <w:p w14:paraId="1E239B16" w14:textId="549D9E27" w:rsidR="007B5466" w:rsidRDefault="007B5466" w:rsidP="007B546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and thereafter, to make such report, if any, to the Court as </w:t>
      </w:r>
      <w:r w:rsidR="00B04AB2">
        <w:rPr>
          <w:rFonts w:ascii="Avenir Next" w:hAnsi="Avenir Next"/>
          <w:color w:val="808080" w:themeColor="background1" w:themeShade="80"/>
        </w:rPr>
        <w:t>the liquidator</w:t>
      </w:r>
      <w:r>
        <w:rPr>
          <w:rFonts w:ascii="Avenir Next" w:hAnsi="Avenir Next"/>
          <w:color w:val="808080" w:themeColor="background1" w:themeShade="80"/>
        </w:rPr>
        <w:t xml:space="preserve"> thinks fits. </w:t>
      </w:r>
    </w:p>
    <w:p w14:paraId="7BDA531B" w14:textId="01B335CA" w:rsidR="007B5466" w:rsidRDefault="007B5466" w:rsidP="007B5466">
      <w:pPr>
        <w:pStyle w:val="BodyText"/>
        <w:ind w:firstLine="0"/>
        <w:rPr>
          <w:rFonts w:ascii="Avenir Next" w:hAnsi="Avenir Next"/>
          <w:color w:val="808080" w:themeColor="background1" w:themeShade="80"/>
        </w:rPr>
      </w:pPr>
    </w:p>
    <w:p w14:paraId="0131C52A" w14:textId="73AAF542" w:rsidR="00B04AB2" w:rsidRDefault="007B5466" w:rsidP="007B546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Additionally, the </w:t>
      </w:r>
      <w:r w:rsidR="00B04AB2">
        <w:rPr>
          <w:rFonts w:ascii="Avenir Next" w:hAnsi="Avenir Next"/>
          <w:color w:val="808080" w:themeColor="background1" w:themeShade="80"/>
        </w:rPr>
        <w:t>liquidator</w:t>
      </w:r>
      <w:r>
        <w:rPr>
          <w:rFonts w:ascii="Avenir Next" w:hAnsi="Avenir Next"/>
          <w:color w:val="808080" w:themeColor="background1" w:themeShade="80"/>
        </w:rPr>
        <w:t xml:space="preserve"> has the power, subject to obtaining powers from the Court, to assist CIMA and the RCIPS to investigate the conduct of</w:t>
      </w:r>
      <w:r w:rsidR="00B04AB2">
        <w:rPr>
          <w:rFonts w:ascii="Avenir Next" w:hAnsi="Avenir Next"/>
          <w:color w:val="808080" w:themeColor="background1" w:themeShade="80"/>
        </w:rPr>
        <w:t xml:space="preserve"> either:</w:t>
      </w:r>
    </w:p>
    <w:p w14:paraId="36BA2793" w14:textId="77777777" w:rsidR="00B04AB2" w:rsidRDefault="00B04AB2" w:rsidP="00B04AB2">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current or former directors of the company</w:t>
      </w:r>
    </w:p>
    <w:p w14:paraId="220A8FFE" w14:textId="77777777" w:rsidR="00B04AB2" w:rsidRDefault="00B04AB2" w:rsidP="00B04AB2">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 xml:space="preserve">current or former professional service providers to the company or </w:t>
      </w:r>
    </w:p>
    <w:p w14:paraId="532326FA" w14:textId="6EFC5EDF" w:rsidR="007B5466" w:rsidRDefault="00B04AB2" w:rsidP="00B04AB2">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current or former employees of the company during the year immediately proceedings the date of appointment of a provisional liquidator or the date of commencement of the winding up (as per section 101(3) of the Companies Act)</w:t>
      </w:r>
    </w:p>
    <w:p w14:paraId="40BF4381" w14:textId="46C92AFF" w:rsidR="00B04AB2" w:rsidRPr="007B5466" w:rsidRDefault="00B04AB2" w:rsidP="00B04AB2">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and to institute and conduct a criminal prosecution of any of the persons referred to above. </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562F0B4F" w14:textId="67B51655" w:rsidR="00B04AB2" w:rsidRPr="00B04AB2" w:rsidRDefault="00B04AB2" w:rsidP="00D44BFA">
      <w:pPr>
        <w:rPr>
          <w:rFonts w:ascii="Avenir Next LT Pro" w:hAnsi="Avenir Next LT Pro"/>
          <w:color w:val="7F7F7F" w:themeColor="text1" w:themeTint="80"/>
          <w:sz w:val="20"/>
          <w:szCs w:val="20"/>
        </w:rPr>
      </w:pPr>
      <w:r w:rsidRPr="00B04AB2">
        <w:rPr>
          <w:rFonts w:ascii="Avenir Next LT Pro" w:hAnsi="Avenir Next LT Pro"/>
          <w:color w:val="7F7F7F" w:themeColor="text1" w:themeTint="80"/>
          <w:sz w:val="20"/>
          <w:szCs w:val="20"/>
        </w:rPr>
        <w:t>Under</w:t>
      </w:r>
      <w:r>
        <w:rPr>
          <w:rFonts w:ascii="Avenir Next LT Pro" w:hAnsi="Avenir Next LT Pro"/>
          <w:color w:val="7F7F7F" w:themeColor="text1" w:themeTint="80"/>
          <w:sz w:val="20"/>
          <w:szCs w:val="20"/>
        </w:rPr>
        <w:t xml:space="preserve"> section 101(6) of the Companies Act, “relevant date” is defined as either, in the case of the appointment of a provisional liquidator, the date that the provisional liquidator was appointed or otherwise, the date of commencement of the winding up. </w:t>
      </w: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521F3413" w14:textId="77777777" w:rsidR="005700FE" w:rsidRPr="005700FE" w:rsidRDefault="005700FE" w:rsidP="005700FE">
      <w:pPr>
        <w:rPr>
          <w:color w:val="7F7F7F" w:themeColor="text1" w:themeTint="80"/>
        </w:rPr>
      </w:pPr>
      <w:r w:rsidRPr="005700FE">
        <w:rPr>
          <w:color w:val="7F7F7F" w:themeColor="text1" w:themeTint="80"/>
        </w:rPr>
        <w:t xml:space="preserve">The insurance requirements for insolvency practitioners seeking to be appointed by the Court as official liquidators are set out Regulation 7 or the Insolvency Practitioners’ Regulations (2023 Consolidation). </w:t>
      </w:r>
    </w:p>
    <w:p w14:paraId="79770293" w14:textId="77777777" w:rsidR="005700FE" w:rsidRPr="005700FE" w:rsidRDefault="005700FE" w:rsidP="005700FE">
      <w:pPr>
        <w:rPr>
          <w:color w:val="7F7F7F" w:themeColor="text1" w:themeTint="80"/>
        </w:rPr>
      </w:pPr>
    </w:p>
    <w:p w14:paraId="121DACD9" w14:textId="77777777" w:rsidR="005700FE" w:rsidRPr="005700FE" w:rsidRDefault="005700FE" w:rsidP="005700FE">
      <w:pPr>
        <w:rPr>
          <w:color w:val="7F7F7F" w:themeColor="text1" w:themeTint="80"/>
        </w:rPr>
      </w:pPr>
      <w:r w:rsidRPr="005700FE">
        <w:rPr>
          <w:color w:val="7F7F7F" w:themeColor="text1" w:themeTint="80"/>
        </w:rPr>
        <w:t xml:space="preserve">The Regulation sates that the insolvency practitioner, or their firm, must have professional indemnity insurance applicable to the negligent performance or non-performance of the qualified insolvency practitioner’s duties as an official liquidator. The limit of the insurance must be at least US$10 million in respect of </w:t>
      </w:r>
      <w:proofErr w:type="gramStart"/>
      <w:r w:rsidRPr="005700FE">
        <w:rPr>
          <w:color w:val="7F7F7F" w:themeColor="text1" w:themeTint="80"/>
        </w:rPr>
        <w:t>each and every</w:t>
      </w:r>
      <w:proofErr w:type="gramEnd"/>
      <w:r w:rsidRPr="005700FE">
        <w:rPr>
          <w:color w:val="7F7F7F" w:themeColor="text1" w:themeTint="80"/>
        </w:rPr>
        <w:t xml:space="preserve"> claim and at least US$20 million in aggregate, with a deductible of not more than US$1 million. </w:t>
      </w:r>
      <w:proofErr w:type="gramStart"/>
      <w:r w:rsidRPr="005700FE">
        <w:rPr>
          <w:color w:val="7F7F7F" w:themeColor="text1" w:themeTint="80"/>
        </w:rPr>
        <w:t>In particular circumstances</w:t>
      </w:r>
      <w:proofErr w:type="gramEnd"/>
      <w:r w:rsidRPr="005700FE">
        <w:rPr>
          <w:color w:val="7F7F7F" w:themeColor="text1" w:themeTint="80"/>
        </w:rPr>
        <w:t xml:space="preserve">, the Court can order that the official liquidator shall obtain insurance with a higher limit or alternatively, to obtain a security bond. </w:t>
      </w:r>
    </w:p>
    <w:p w14:paraId="5F515167" w14:textId="77777777" w:rsidR="005700FE" w:rsidRPr="005700FE" w:rsidRDefault="005700FE" w:rsidP="005700FE">
      <w:pPr>
        <w:rPr>
          <w:color w:val="7F7F7F" w:themeColor="text1" w:themeTint="80"/>
        </w:rPr>
      </w:pPr>
    </w:p>
    <w:p w14:paraId="177CC28C" w14:textId="77777777" w:rsidR="005700FE" w:rsidRPr="005700FE" w:rsidRDefault="005700FE" w:rsidP="005700FE">
      <w:pPr>
        <w:rPr>
          <w:color w:val="7F7F7F" w:themeColor="text1" w:themeTint="80"/>
        </w:rPr>
      </w:pPr>
      <w:r w:rsidRPr="005700FE">
        <w:rPr>
          <w:color w:val="7F7F7F" w:themeColor="text1" w:themeTint="80"/>
        </w:rPr>
        <w:t xml:space="preserve">In this instance, unless the provisional liquidator is prepared to increase the limit of his policy, he will not be appointed as official liquidator.  </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18A8486D" w:rsidR="00662A8E" w:rsidRPr="00951B04" w:rsidRDefault="00951B04" w:rsidP="00662A8E">
      <w:pPr>
        <w:pStyle w:val="BodyText"/>
        <w:ind w:firstLine="0"/>
        <w:rPr>
          <w:rFonts w:ascii="Avenir Next" w:hAnsi="Avenir Next"/>
          <w:b/>
          <w:bCs/>
        </w:rPr>
      </w:pPr>
      <w:r>
        <w:rPr>
          <w:rFonts w:ascii="Avenir Next" w:hAnsi="Avenir Next"/>
          <w:color w:val="808080" w:themeColor="background1" w:themeShade="80"/>
        </w:rPr>
        <w:t>Pursuant to 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 xml:space="preserve">1) of the Companies Act sets out the test for appointment of a restructuring officer. Firstly, the company is or likely to become unable to pay its debts. Secondly, the company intends to present a compromise or arrangement to its creditors. This test was confirmed in the case of </w:t>
      </w:r>
      <w:r>
        <w:rPr>
          <w:rFonts w:ascii="Avenir Next" w:hAnsi="Avenir Next"/>
          <w:i/>
          <w:iCs/>
          <w:color w:val="808080" w:themeColor="background1" w:themeShade="80"/>
        </w:rPr>
        <w:t xml:space="preserve">Re </w:t>
      </w:r>
      <w:proofErr w:type="spellStart"/>
      <w:r>
        <w:rPr>
          <w:rFonts w:ascii="Avenir Next" w:hAnsi="Avenir Next"/>
          <w:i/>
          <w:iCs/>
          <w:color w:val="808080" w:themeColor="background1" w:themeShade="80"/>
        </w:rPr>
        <w:t>Oriente</w:t>
      </w:r>
      <w:proofErr w:type="spellEnd"/>
      <w:r>
        <w:rPr>
          <w:rFonts w:ascii="Avenir Next" w:hAnsi="Avenir Next"/>
          <w:i/>
          <w:iCs/>
          <w:color w:val="808080" w:themeColor="background1" w:themeShade="80"/>
        </w:rPr>
        <w:t xml:space="preserve"> Group </w:t>
      </w:r>
      <w:proofErr w:type="spellStart"/>
      <w:r>
        <w:rPr>
          <w:rFonts w:ascii="Avenir Next" w:hAnsi="Avenir Next"/>
          <w:i/>
          <w:iCs/>
          <w:color w:val="808080" w:themeColor="background1" w:themeShade="80"/>
        </w:rPr>
        <w:t>Limite</w:t>
      </w:r>
      <w:proofErr w:type="spellEnd"/>
      <w:r>
        <w:rPr>
          <w:rFonts w:ascii="Avenir Next" w:hAnsi="Avenir Next"/>
          <w:i/>
          <w:iCs/>
          <w:color w:val="808080" w:themeColor="background1" w:themeShade="80"/>
        </w:rPr>
        <w:t xml:space="preserve"> </w:t>
      </w:r>
      <w:r>
        <w:rPr>
          <w:rFonts w:ascii="Avenir Next" w:hAnsi="Avenir Next"/>
          <w:color w:val="808080" w:themeColor="background1" w:themeShade="80"/>
        </w:rPr>
        <w:t xml:space="preserve">(FSD 231 of </w:t>
      </w:r>
      <w:proofErr w:type="gramStart"/>
      <w:r>
        <w:rPr>
          <w:rFonts w:ascii="Avenir Next" w:hAnsi="Avenir Next"/>
          <w:color w:val="808080" w:themeColor="background1" w:themeShade="80"/>
        </w:rPr>
        <w:t>2022,  unreported</w:t>
      </w:r>
      <w:proofErr w:type="gram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J, 8 December 2022). </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243C8C5" w14:textId="77777777" w:rsidR="00951B04" w:rsidRDefault="005E76A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order 1A, rule 1(3) of the CWR, notice of the restructuring petition for appointment of a restructuring officer shall be advertised once in a newspaper circulated in the Cayman Islands, in the CWR form No 3A. </w:t>
      </w:r>
    </w:p>
    <w:p w14:paraId="692E03FC" w14:textId="77777777" w:rsidR="00951B04" w:rsidRDefault="00951B04" w:rsidP="00662A8E">
      <w:pPr>
        <w:pStyle w:val="BodyText"/>
        <w:ind w:firstLine="0"/>
        <w:rPr>
          <w:rFonts w:ascii="Avenir Next" w:hAnsi="Avenir Next"/>
          <w:color w:val="808080" w:themeColor="background1" w:themeShade="80"/>
        </w:rPr>
      </w:pPr>
    </w:p>
    <w:p w14:paraId="23E342D8" w14:textId="60A5E324" w:rsidR="00662A8E" w:rsidRDefault="005E76A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Additionally, if the company carries on business outside of the Cayman Islands, unless the Court directs otherwise, an advertisement should also be placed in a newspaper </w:t>
      </w:r>
      <w:r w:rsidR="00951B04">
        <w:rPr>
          <w:rFonts w:ascii="Avenir Next" w:hAnsi="Avenir Next"/>
          <w:color w:val="808080" w:themeColor="background1" w:themeShade="80"/>
        </w:rPr>
        <w:t>having circulation in a country or countries most likely to come to the attention of the company’s creditors (including contingent or prospective creditors) and contributories. The advertisement should also be published in the official language of such countries.</w:t>
      </w:r>
    </w:p>
    <w:p w14:paraId="5707B4DE" w14:textId="5DB28BDA" w:rsidR="00951B04" w:rsidRDefault="00951B04" w:rsidP="00662A8E">
      <w:pPr>
        <w:pStyle w:val="BodyText"/>
        <w:ind w:firstLine="0"/>
        <w:rPr>
          <w:rFonts w:ascii="Avenir Next" w:hAnsi="Avenir Next"/>
          <w:color w:val="808080" w:themeColor="background1" w:themeShade="80"/>
        </w:rPr>
      </w:pPr>
    </w:p>
    <w:p w14:paraId="25AC16EB" w14:textId="3DF98C77" w:rsidR="00951B04" w:rsidRPr="00486A0B" w:rsidRDefault="00951B04" w:rsidP="00662A8E">
      <w:pPr>
        <w:pStyle w:val="BodyText"/>
        <w:ind w:firstLine="0"/>
        <w:rPr>
          <w:rFonts w:ascii="Avenir Next" w:hAnsi="Avenir Next"/>
          <w:b/>
          <w:bCs/>
        </w:rPr>
      </w:pPr>
      <w:r>
        <w:rPr>
          <w:rFonts w:ascii="Avenir Next" w:hAnsi="Avenir Next"/>
          <w:color w:val="808080" w:themeColor="background1" w:themeShade="80"/>
        </w:rPr>
        <w:t xml:space="preserve">The advertisements should be published not more than 7 days after the petition for appointment of the restructuring officer is filed in court and not less than 7 days before the hearing date. </w:t>
      </w:r>
    </w:p>
    <w:p w14:paraId="4AE4A2F9" w14:textId="68BAC85F" w:rsidR="00951B04" w:rsidRPr="00951B04" w:rsidRDefault="00951B04" w:rsidP="00662A8E">
      <w:pPr>
        <w:rPr>
          <w:rFonts w:ascii="Avenir Next LT Pro" w:hAnsi="Avenir Next LT Pro"/>
          <w:b/>
          <w:b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04C67105" w14:textId="002B76DA" w:rsidR="00E47C23" w:rsidRPr="00E47C23" w:rsidRDefault="00440482" w:rsidP="005E76AE">
      <w:pPr>
        <w:pStyle w:val="BodyText"/>
        <w:numPr>
          <w:ilvl w:val="0"/>
          <w:numId w:val="48"/>
        </w:numPr>
        <w:rPr>
          <w:rFonts w:ascii="Avenir Next" w:hAnsi="Avenir Next"/>
          <w:b/>
          <w:bCs/>
          <w:color w:val="7F7F7F" w:themeColor="text1" w:themeTint="80"/>
        </w:rPr>
      </w:pPr>
      <w:r w:rsidRPr="00440482">
        <w:rPr>
          <w:rFonts w:ascii="Avenir Next" w:hAnsi="Avenir Next"/>
          <w:color w:val="7F7F7F" w:themeColor="text1" w:themeTint="80"/>
        </w:rPr>
        <w:t xml:space="preserve">The </w:t>
      </w:r>
      <w:r>
        <w:rPr>
          <w:rFonts w:ascii="Avenir Next" w:hAnsi="Avenir Next"/>
          <w:color w:val="7F7F7F" w:themeColor="text1" w:themeTint="80"/>
        </w:rPr>
        <w:t xml:space="preserve">overall purpose of the </w:t>
      </w:r>
      <w:r w:rsidR="00864EA4">
        <w:rPr>
          <w:rFonts w:ascii="Avenir Next" w:hAnsi="Avenir Next"/>
          <w:color w:val="7F7F7F" w:themeColor="text1" w:themeTint="80"/>
        </w:rPr>
        <w:t xml:space="preserve">regime is to put in a place a scheme of arrangement to assist both the company and its creditors. </w:t>
      </w:r>
      <w:r w:rsidR="00E47C23">
        <w:rPr>
          <w:rFonts w:ascii="Avenir Next" w:hAnsi="Avenir Next"/>
          <w:color w:val="7F7F7F" w:themeColor="text1" w:themeTint="80"/>
        </w:rPr>
        <w:t xml:space="preserve">The restructuring officer is subject </w:t>
      </w:r>
      <w:r w:rsidR="00B041A8">
        <w:rPr>
          <w:rFonts w:ascii="Avenir Next" w:hAnsi="Avenir Next"/>
          <w:color w:val="7F7F7F" w:themeColor="text1" w:themeTint="80"/>
        </w:rPr>
        <w:t>to court oversight and is held to be an officer of the court, ensuring tra</w:t>
      </w:r>
      <w:r w:rsidR="0092000D">
        <w:rPr>
          <w:rFonts w:ascii="Avenir Next" w:hAnsi="Avenir Next"/>
          <w:color w:val="7F7F7F" w:themeColor="text1" w:themeTint="80"/>
        </w:rPr>
        <w:t xml:space="preserve">nsparency in the process. </w:t>
      </w:r>
    </w:p>
    <w:p w14:paraId="53321FBD" w14:textId="11304B53" w:rsidR="00662A8E" w:rsidRPr="001A19A6" w:rsidRDefault="00D6582B" w:rsidP="005E76AE">
      <w:pPr>
        <w:pStyle w:val="BodyText"/>
        <w:numPr>
          <w:ilvl w:val="0"/>
          <w:numId w:val="48"/>
        </w:numPr>
        <w:rPr>
          <w:rFonts w:ascii="Avenir Next" w:hAnsi="Avenir Next"/>
          <w:b/>
          <w:bCs/>
          <w:color w:val="7F7F7F" w:themeColor="text1" w:themeTint="80"/>
        </w:rPr>
      </w:pPr>
      <w:r>
        <w:rPr>
          <w:rFonts w:ascii="Avenir Next" w:hAnsi="Avenir Next"/>
          <w:color w:val="7F7F7F" w:themeColor="text1" w:themeTint="80"/>
        </w:rPr>
        <w:t>Creditors are divided into classes of similar</w:t>
      </w:r>
      <w:r w:rsidR="00441DB0">
        <w:rPr>
          <w:rFonts w:ascii="Avenir Next" w:hAnsi="Avenir Next"/>
          <w:color w:val="7F7F7F" w:themeColor="text1" w:themeTint="80"/>
        </w:rPr>
        <w:t xml:space="preserve"> creditors and given an opportunity to </w:t>
      </w:r>
      <w:r w:rsidR="009F3B5D">
        <w:rPr>
          <w:rFonts w:ascii="Avenir Next" w:hAnsi="Avenir Next"/>
          <w:color w:val="7F7F7F" w:themeColor="text1" w:themeTint="80"/>
        </w:rPr>
        <w:t>vote on the proposed scheme</w:t>
      </w:r>
      <w:r w:rsidR="00596968">
        <w:rPr>
          <w:rFonts w:ascii="Avenir Next" w:hAnsi="Avenir Next"/>
          <w:color w:val="7F7F7F" w:themeColor="text1" w:themeTint="80"/>
        </w:rPr>
        <w:t xml:space="preserve"> at a scheme meeting.</w:t>
      </w:r>
      <w:r w:rsidR="009F3B5D">
        <w:rPr>
          <w:rFonts w:ascii="Avenir Next" w:hAnsi="Avenir Next"/>
          <w:color w:val="7F7F7F" w:themeColor="text1" w:themeTint="80"/>
        </w:rPr>
        <w:t xml:space="preserve"> The Court then </w:t>
      </w:r>
      <w:proofErr w:type="gramStart"/>
      <w:r w:rsidR="009F3B5D">
        <w:rPr>
          <w:rFonts w:ascii="Avenir Next" w:hAnsi="Avenir Next"/>
          <w:color w:val="7F7F7F" w:themeColor="text1" w:themeTint="80"/>
        </w:rPr>
        <w:t>has to</w:t>
      </w:r>
      <w:proofErr w:type="gramEnd"/>
      <w:r w:rsidR="009F3B5D">
        <w:rPr>
          <w:rFonts w:ascii="Avenir Next" w:hAnsi="Avenir Next"/>
          <w:color w:val="7F7F7F" w:themeColor="text1" w:themeTint="80"/>
        </w:rPr>
        <w:t xml:space="preserve"> sanction the proposed scheme </w:t>
      </w:r>
      <w:r w:rsidR="001A19A6">
        <w:rPr>
          <w:rFonts w:ascii="Avenir Next" w:hAnsi="Avenir Next"/>
          <w:color w:val="7F7F7F" w:themeColor="text1" w:themeTint="80"/>
        </w:rPr>
        <w:t>and will take into account the following considerations:</w:t>
      </w:r>
    </w:p>
    <w:p w14:paraId="15F8216D" w14:textId="3D001ABA" w:rsidR="001A19A6" w:rsidRPr="00596968" w:rsidRDefault="001A19A6" w:rsidP="001A19A6">
      <w:pPr>
        <w:pStyle w:val="BodyText"/>
        <w:numPr>
          <w:ilvl w:val="1"/>
          <w:numId w:val="48"/>
        </w:numPr>
        <w:rPr>
          <w:rFonts w:ascii="Avenir Next" w:hAnsi="Avenir Next"/>
          <w:b/>
          <w:bCs/>
          <w:color w:val="7F7F7F" w:themeColor="text1" w:themeTint="80"/>
        </w:rPr>
      </w:pPr>
      <w:r>
        <w:rPr>
          <w:rFonts w:ascii="Avenir Next" w:hAnsi="Avenir Next"/>
          <w:color w:val="7F7F7F" w:themeColor="text1" w:themeTint="80"/>
        </w:rPr>
        <w:t xml:space="preserve">The </w:t>
      </w:r>
      <w:r w:rsidR="00596968">
        <w:rPr>
          <w:rFonts w:ascii="Avenir Next" w:hAnsi="Avenir Next"/>
          <w:color w:val="7F7F7F" w:themeColor="text1" w:themeTint="80"/>
        </w:rPr>
        <w:t xml:space="preserve">approval of the scheme was </w:t>
      </w:r>
      <w:proofErr w:type="gramStart"/>
      <w:r w:rsidR="00596968">
        <w:rPr>
          <w:rFonts w:ascii="Avenir Next" w:hAnsi="Avenir Next"/>
          <w:color w:val="7F7F7F" w:themeColor="text1" w:themeTint="80"/>
        </w:rPr>
        <w:t>reasonable</w:t>
      </w:r>
      <w:proofErr w:type="gramEnd"/>
    </w:p>
    <w:p w14:paraId="60D84182" w14:textId="33B8A6C2" w:rsidR="00596968" w:rsidRPr="00596968" w:rsidRDefault="00596968" w:rsidP="001A19A6">
      <w:pPr>
        <w:pStyle w:val="BodyText"/>
        <w:numPr>
          <w:ilvl w:val="1"/>
          <w:numId w:val="48"/>
        </w:numPr>
        <w:rPr>
          <w:rFonts w:ascii="Avenir Next" w:hAnsi="Avenir Next"/>
          <w:b/>
          <w:bCs/>
          <w:color w:val="7F7F7F" w:themeColor="text1" w:themeTint="80"/>
        </w:rPr>
      </w:pPr>
      <w:r>
        <w:rPr>
          <w:rFonts w:ascii="Avenir Next" w:hAnsi="Avenir Next"/>
          <w:color w:val="7F7F7F" w:themeColor="text1" w:themeTint="80"/>
        </w:rPr>
        <w:t>That each class of creditors was fairly represented at the scheme meeting</w:t>
      </w:r>
    </w:p>
    <w:p w14:paraId="7B87DFB9" w14:textId="52BD9EC5" w:rsidR="00596968" w:rsidRPr="00CE2021" w:rsidRDefault="00596968" w:rsidP="001A19A6">
      <w:pPr>
        <w:pStyle w:val="BodyText"/>
        <w:numPr>
          <w:ilvl w:val="1"/>
          <w:numId w:val="48"/>
        </w:numPr>
        <w:rPr>
          <w:rFonts w:ascii="Avenir Next" w:hAnsi="Avenir Next"/>
          <w:b/>
          <w:bCs/>
          <w:color w:val="7F7F7F" w:themeColor="text1" w:themeTint="80"/>
        </w:rPr>
      </w:pPr>
      <w:r>
        <w:rPr>
          <w:rFonts w:ascii="Avenir Next" w:hAnsi="Avenir Next"/>
          <w:color w:val="7F7F7F" w:themeColor="text1" w:themeTint="80"/>
        </w:rPr>
        <w:t xml:space="preserve">That </w:t>
      </w:r>
      <w:r w:rsidR="00CE2021">
        <w:rPr>
          <w:rFonts w:ascii="Avenir Next" w:hAnsi="Avenir Next"/>
          <w:color w:val="7F7F7F" w:themeColor="text1" w:themeTint="80"/>
        </w:rPr>
        <w:t>the majority acted bona fide</w:t>
      </w:r>
    </w:p>
    <w:p w14:paraId="1DFBEC19" w14:textId="45EB2A77" w:rsidR="00CE2021" w:rsidRPr="00CE2021" w:rsidRDefault="00CE2021" w:rsidP="001A19A6">
      <w:pPr>
        <w:pStyle w:val="BodyText"/>
        <w:numPr>
          <w:ilvl w:val="1"/>
          <w:numId w:val="48"/>
        </w:numPr>
        <w:rPr>
          <w:rFonts w:ascii="Avenir Next" w:hAnsi="Avenir Next"/>
          <w:b/>
          <w:bCs/>
          <w:color w:val="7F7F7F" w:themeColor="text1" w:themeTint="80"/>
        </w:rPr>
      </w:pPr>
      <w:r>
        <w:rPr>
          <w:rFonts w:ascii="Avenir Next" w:hAnsi="Avenir Next"/>
          <w:color w:val="7F7F7F" w:themeColor="text1" w:themeTint="80"/>
        </w:rPr>
        <w:t xml:space="preserve">That all notice periods were met, and </w:t>
      </w:r>
    </w:p>
    <w:p w14:paraId="5DFD23E4" w14:textId="78724E15" w:rsidR="00CE2021" w:rsidRPr="0092000D" w:rsidRDefault="00CE2021" w:rsidP="001A19A6">
      <w:pPr>
        <w:pStyle w:val="BodyText"/>
        <w:numPr>
          <w:ilvl w:val="1"/>
          <w:numId w:val="48"/>
        </w:numPr>
        <w:rPr>
          <w:rFonts w:ascii="Avenir Next" w:hAnsi="Avenir Next"/>
          <w:b/>
          <w:bCs/>
          <w:color w:val="7F7F7F" w:themeColor="text1" w:themeTint="80"/>
        </w:rPr>
      </w:pPr>
      <w:r>
        <w:rPr>
          <w:rFonts w:ascii="Avenir Next" w:hAnsi="Avenir Next"/>
          <w:color w:val="7F7F7F" w:themeColor="text1" w:themeTint="80"/>
        </w:rPr>
        <w:t xml:space="preserve">The resolutions of the classes were carried by the requisite </w:t>
      </w:r>
      <w:proofErr w:type="gramStart"/>
      <w:r>
        <w:rPr>
          <w:rFonts w:ascii="Avenir Next" w:hAnsi="Avenir Next"/>
          <w:color w:val="7F7F7F" w:themeColor="text1" w:themeTint="80"/>
        </w:rPr>
        <w:t>majority</w:t>
      </w:r>
      <w:proofErr w:type="gramEnd"/>
    </w:p>
    <w:p w14:paraId="795D5DF2" w14:textId="5D01F82C" w:rsidR="0092000D" w:rsidRPr="00E11CF3" w:rsidRDefault="00E3797A" w:rsidP="0092000D">
      <w:pPr>
        <w:pStyle w:val="BodyText"/>
        <w:numPr>
          <w:ilvl w:val="0"/>
          <w:numId w:val="48"/>
        </w:numPr>
        <w:rPr>
          <w:rFonts w:ascii="Avenir Next" w:hAnsi="Avenir Next"/>
          <w:b/>
          <w:bCs/>
          <w:color w:val="7F7F7F" w:themeColor="text1" w:themeTint="80"/>
        </w:rPr>
      </w:pPr>
      <w:r>
        <w:rPr>
          <w:rFonts w:ascii="Avenir Next" w:hAnsi="Avenir Next"/>
          <w:color w:val="7F7F7F" w:themeColor="text1" w:themeTint="80"/>
        </w:rPr>
        <w:t>While an automatic worldwide moratorium is put in place against</w:t>
      </w:r>
      <w:r w:rsidR="00386C15">
        <w:rPr>
          <w:rFonts w:ascii="Avenir Next" w:hAnsi="Avenir Next"/>
          <w:color w:val="7F7F7F" w:themeColor="text1" w:themeTint="80"/>
        </w:rPr>
        <w:t xml:space="preserve"> unsecured creditors filing a winding up petition, secured creditors can still </w:t>
      </w:r>
      <w:r w:rsidR="00E11CF3">
        <w:rPr>
          <w:rFonts w:ascii="Avenir Next" w:hAnsi="Avenir Next"/>
          <w:color w:val="7F7F7F" w:themeColor="text1" w:themeTint="80"/>
        </w:rPr>
        <w:t xml:space="preserve">pursue enforcement actions in respect of their debts. </w:t>
      </w:r>
    </w:p>
    <w:p w14:paraId="5C4E5C85" w14:textId="2DBC876A" w:rsidR="00E11CF3" w:rsidRPr="00342A91" w:rsidRDefault="00426134" w:rsidP="0092000D">
      <w:pPr>
        <w:pStyle w:val="BodyText"/>
        <w:numPr>
          <w:ilvl w:val="0"/>
          <w:numId w:val="48"/>
        </w:numPr>
        <w:rPr>
          <w:rFonts w:ascii="Avenir Next" w:hAnsi="Avenir Next"/>
          <w:b/>
          <w:bCs/>
          <w:color w:val="7F7F7F" w:themeColor="text1" w:themeTint="80"/>
        </w:rPr>
      </w:pPr>
      <w:r>
        <w:rPr>
          <w:rFonts w:ascii="Avenir Next" w:hAnsi="Avenir Next"/>
          <w:color w:val="7F7F7F" w:themeColor="text1" w:themeTint="80"/>
        </w:rPr>
        <w:t xml:space="preserve">Once the moratorium is in place, the company has time to consider an appropriate </w:t>
      </w:r>
      <w:r w:rsidR="0085088D">
        <w:rPr>
          <w:rFonts w:ascii="Avenir Next" w:hAnsi="Avenir Next"/>
          <w:color w:val="7F7F7F" w:themeColor="text1" w:themeTint="80"/>
        </w:rPr>
        <w:t xml:space="preserve">restructuring proposal. As creditor approval is required to </w:t>
      </w:r>
      <w:r w:rsidR="00342A91">
        <w:rPr>
          <w:rFonts w:ascii="Avenir Next" w:hAnsi="Avenir Next"/>
          <w:color w:val="7F7F7F" w:themeColor="text1" w:themeTint="80"/>
        </w:rPr>
        <w:t xml:space="preserve">approve the proposal, this opportunity is usually in the </w:t>
      </w:r>
      <w:proofErr w:type="gramStart"/>
      <w:r w:rsidR="00342A91">
        <w:rPr>
          <w:rFonts w:ascii="Avenir Next" w:hAnsi="Avenir Next"/>
          <w:color w:val="7F7F7F" w:themeColor="text1" w:themeTint="80"/>
        </w:rPr>
        <w:t>creditors</w:t>
      </w:r>
      <w:proofErr w:type="gramEnd"/>
      <w:r w:rsidR="00342A91">
        <w:rPr>
          <w:rFonts w:ascii="Avenir Next" w:hAnsi="Avenir Next"/>
          <w:color w:val="7F7F7F" w:themeColor="text1" w:themeTint="80"/>
        </w:rPr>
        <w:t xml:space="preserve"> best interests. </w:t>
      </w:r>
    </w:p>
    <w:p w14:paraId="0771920C" w14:textId="20F42FB4" w:rsidR="00342A91" w:rsidRPr="00440482" w:rsidRDefault="00342A91" w:rsidP="0092000D">
      <w:pPr>
        <w:pStyle w:val="BodyText"/>
        <w:numPr>
          <w:ilvl w:val="0"/>
          <w:numId w:val="48"/>
        </w:numPr>
        <w:rPr>
          <w:rFonts w:ascii="Avenir Next" w:hAnsi="Avenir Next"/>
          <w:b/>
          <w:bCs/>
          <w:color w:val="7F7F7F" w:themeColor="text1" w:themeTint="80"/>
        </w:rPr>
      </w:pPr>
      <w:r>
        <w:rPr>
          <w:rFonts w:ascii="Avenir Next" w:hAnsi="Avenir Next"/>
          <w:color w:val="7F7F7F" w:themeColor="text1" w:themeTint="80"/>
        </w:rPr>
        <w:t>Creditors are given an opportunity to be represent</w:t>
      </w:r>
      <w:r w:rsidR="003B638D">
        <w:rPr>
          <w:rFonts w:ascii="Avenir Next" w:hAnsi="Avenir Next"/>
          <w:color w:val="7F7F7F" w:themeColor="text1" w:themeTint="80"/>
        </w:rPr>
        <w:t>ed at the hearing of a restructuring officer petition</w:t>
      </w:r>
      <w:r w:rsidR="00871089">
        <w:rPr>
          <w:rFonts w:ascii="Avenir Next" w:hAnsi="Avenir Next"/>
          <w:color w:val="7F7F7F" w:themeColor="text1" w:themeTint="80"/>
        </w:rPr>
        <w:t xml:space="preserve">. </w:t>
      </w:r>
      <w:r w:rsidR="00BD2597">
        <w:rPr>
          <w:rFonts w:ascii="Avenir Next" w:hAnsi="Avenir Next"/>
          <w:color w:val="7F7F7F" w:themeColor="text1" w:themeTint="80"/>
        </w:rPr>
        <w:t xml:space="preserve">Additionally, the creditor can still file a winding up petition in advance of the restructuring petition, provided the first seek leave of the court to do so. </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214662CB" w:rsidR="00662A8E" w:rsidRDefault="0046354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Upon hearing a restructuring petition, the Court has the power, under section 91B of the Companies Act to do the following:</w:t>
      </w:r>
    </w:p>
    <w:p w14:paraId="2448C07E" w14:textId="0CED287C" w:rsidR="0046354E" w:rsidRPr="0046354E" w:rsidRDefault="0046354E" w:rsidP="0046354E">
      <w:pPr>
        <w:pStyle w:val="BodyText"/>
        <w:numPr>
          <w:ilvl w:val="0"/>
          <w:numId w:val="47"/>
        </w:numPr>
        <w:rPr>
          <w:rFonts w:ascii="Avenir Next" w:hAnsi="Avenir Next"/>
          <w:b/>
          <w:bCs/>
        </w:rPr>
      </w:pPr>
      <w:r>
        <w:rPr>
          <w:rFonts w:ascii="Avenir Next" w:hAnsi="Avenir Next"/>
          <w:color w:val="808080" w:themeColor="background1" w:themeShade="80"/>
        </w:rPr>
        <w:t xml:space="preserve">make an order appointing the restructuring </w:t>
      </w:r>
      <w:proofErr w:type="gramStart"/>
      <w:r>
        <w:rPr>
          <w:rFonts w:ascii="Avenir Next" w:hAnsi="Avenir Next"/>
          <w:color w:val="808080" w:themeColor="background1" w:themeShade="80"/>
        </w:rPr>
        <w:t>officer</w:t>
      </w:r>
      <w:proofErr w:type="gramEnd"/>
    </w:p>
    <w:p w14:paraId="0136DB2B" w14:textId="059AEC2B" w:rsidR="0046354E" w:rsidRPr="0046354E" w:rsidRDefault="0046354E" w:rsidP="0046354E">
      <w:pPr>
        <w:pStyle w:val="BodyText"/>
        <w:numPr>
          <w:ilvl w:val="0"/>
          <w:numId w:val="47"/>
        </w:numPr>
        <w:rPr>
          <w:rFonts w:ascii="Avenir Next" w:hAnsi="Avenir Next"/>
          <w:b/>
          <w:bCs/>
        </w:rPr>
      </w:pPr>
      <w:r>
        <w:rPr>
          <w:rFonts w:ascii="Avenir Next" w:hAnsi="Avenir Next"/>
          <w:color w:val="808080" w:themeColor="background1" w:themeShade="80"/>
        </w:rPr>
        <w:t xml:space="preserve">adjourn the hearing conditionally or </w:t>
      </w:r>
      <w:proofErr w:type="gramStart"/>
      <w:r>
        <w:rPr>
          <w:rFonts w:ascii="Avenir Next" w:hAnsi="Avenir Next"/>
          <w:color w:val="808080" w:themeColor="background1" w:themeShade="80"/>
        </w:rPr>
        <w:t>unconditionally</w:t>
      </w:r>
      <w:proofErr w:type="gramEnd"/>
    </w:p>
    <w:p w14:paraId="2362E3CC" w14:textId="5CFCDE25" w:rsidR="0046354E" w:rsidRPr="0046354E" w:rsidRDefault="0046354E" w:rsidP="0046354E">
      <w:pPr>
        <w:pStyle w:val="BodyText"/>
        <w:numPr>
          <w:ilvl w:val="0"/>
          <w:numId w:val="47"/>
        </w:numPr>
        <w:rPr>
          <w:rFonts w:ascii="Avenir Next" w:hAnsi="Avenir Next"/>
          <w:b/>
          <w:bCs/>
        </w:rPr>
      </w:pPr>
      <w:r>
        <w:rPr>
          <w:rFonts w:ascii="Avenir Next" w:hAnsi="Avenir Next"/>
          <w:color w:val="808080" w:themeColor="background1" w:themeShade="80"/>
        </w:rPr>
        <w:t>dismiss the petition or</w:t>
      </w:r>
    </w:p>
    <w:p w14:paraId="6BE3274D" w14:textId="3B8B093C" w:rsidR="0046354E" w:rsidRPr="0046354E" w:rsidRDefault="0046354E" w:rsidP="0046354E">
      <w:pPr>
        <w:pStyle w:val="BodyText"/>
        <w:numPr>
          <w:ilvl w:val="0"/>
          <w:numId w:val="47"/>
        </w:numPr>
        <w:rPr>
          <w:rFonts w:ascii="Avenir Next" w:hAnsi="Avenir Next"/>
          <w:b/>
          <w:bCs/>
        </w:rPr>
      </w:pPr>
      <w:r>
        <w:rPr>
          <w:rFonts w:ascii="Avenir Next" w:hAnsi="Avenir Next"/>
          <w:color w:val="808080" w:themeColor="background1" w:themeShade="80"/>
        </w:rPr>
        <w:t>make any other order as deemed fit.</w:t>
      </w:r>
    </w:p>
    <w:p w14:paraId="5FEE0EEC" w14:textId="4ABF628E" w:rsidR="0046354E" w:rsidRDefault="0046354E" w:rsidP="0046354E">
      <w:pPr>
        <w:pStyle w:val="BodyText"/>
        <w:ind w:firstLine="0"/>
        <w:rPr>
          <w:rFonts w:ascii="Avenir Next" w:hAnsi="Avenir Next"/>
          <w:color w:val="808080" w:themeColor="background1" w:themeShade="80"/>
        </w:rPr>
      </w:pPr>
    </w:p>
    <w:p w14:paraId="2B34ADDD" w14:textId="48E1D542" w:rsidR="0046354E" w:rsidRPr="007D4146" w:rsidRDefault="0046354E" w:rsidP="0046354E">
      <w:pPr>
        <w:pStyle w:val="BodyText"/>
        <w:ind w:firstLine="0"/>
        <w:rPr>
          <w:rFonts w:ascii="Avenir Next" w:hAnsi="Avenir Next"/>
          <w:b/>
          <w:bCs/>
        </w:rPr>
      </w:pPr>
      <w:r>
        <w:rPr>
          <w:rFonts w:ascii="Avenir Next" w:hAnsi="Avenir Next"/>
          <w:color w:val="808080" w:themeColor="background1" w:themeShade="80"/>
        </w:rPr>
        <w:t xml:space="preserve">The </w:t>
      </w:r>
      <w:proofErr w:type="gramStart"/>
      <w:r>
        <w:rPr>
          <w:rFonts w:ascii="Avenir Next" w:hAnsi="Avenir Next"/>
          <w:color w:val="808080" w:themeColor="background1" w:themeShade="80"/>
        </w:rPr>
        <w:t>Court</w:t>
      </w:r>
      <w:proofErr w:type="gramEnd"/>
      <w:r>
        <w:rPr>
          <w:rFonts w:ascii="Avenir Next" w:hAnsi="Avenir Next"/>
          <w:color w:val="808080" w:themeColor="background1" w:themeShade="80"/>
        </w:rPr>
        <w:t xml:space="preserve"> however, does not have the power to make an order placing the company into official liquidation which can only be done on the presentation of a winding up petition. </w:t>
      </w:r>
      <w:r w:rsidR="005E76AE">
        <w:rPr>
          <w:rFonts w:ascii="Avenir Next" w:hAnsi="Avenir Next"/>
          <w:color w:val="808080" w:themeColor="background1" w:themeShade="80"/>
        </w:rPr>
        <w:t>A creditor can present a winding up petition following a restructuring petition but t</w:t>
      </w:r>
      <w:r>
        <w:rPr>
          <w:rFonts w:ascii="Avenir Next" w:hAnsi="Avenir Next"/>
          <w:color w:val="808080" w:themeColor="background1" w:themeShade="80"/>
        </w:rPr>
        <w:t xml:space="preserve">o do this, </w:t>
      </w:r>
      <w:r w:rsidR="005E76AE">
        <w:rPr>
          <w:rFonts w:ascii="Avenir Next" w:hAnsi="Avenir Next"/>
          <w:color w:val="808080" w:themeColor="background1" w:themeShade="80"/>
        </w:rPr>
        <w:t>the</w:t>
      </w:r>
      <w:r>
        <w:rPr>
          <w:rFonts w:ascii="Avenir Next" w:hAnsi="Avenir Next"/>
          <w:color w:val="808080" w:themeColor="background1" w:themeShade="80"/>
        </w:rPr>
        <w:t xml:space="preserve"> creditor must apply for leave</w:t>
      </w:r>
      <w:r w:rsidR="005E76AE">
        <w:rPr>
          <w:rFonts w:ascii="Avenir Next" w:hAnsi="Avenir Next"/>
          <w:color w:val="808080" w:themeColor="background1" w:themeShade="80"/>
        </w:rPr>
        <w:t>. If granted, the court can hear both petitions at the same time.</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56C84A87" w:rsidR="006D7C44" w:rsidRPr="00486A0B" w:rsidRDefault="009237C8" w:rsidP="00F3705F">
      <w:pPr>
        <w:pStyle w:val="BodyText"/>
        <w:ind w:firstLine="0"/>
        <w:rPr>
          <w:rFonts w:ascii="Avenir Next" w:hAnsi="Avenir Next"/>
          <w:b/>
          <w:bCs/>
        </w:rPr>
      </w:pPr>
      <w:r>
        <w:rPr>
          <w:rFonts w:ascii="Avenir Next" w:hAnsi="Avenir Next"/>
          <w:color w:val="808080" w:themeColor="background1" w:themeShade="80"/>
        </w:rPr>
        <w:t xml:space="preserve">The </w:t>
      </w:r>
      <w:proofErr w:type="gramStart"/>
      <w:r>
        <w:rPr>
          <w:rFonts w:ascii="Avenir Next" w:hAnsi="Avenir Next"/>
          <w:color w:val="808080" w:themeColor="background1" w:themeShade="80"/>
        </w:rPr>
        <w:t>principle</w:t>
      </w:r>
      <w:proofErr w:type="gramEnd"/>
      <w:r>
        <w:rPr>
          <w:rFonts w:ascii="Avenir Next" w:hAnsi="Avenir Next"/>
          <w:color w:val="808080" w:themeColor="background1" w:themeShade="80"/>
        </w:rPr>
        <w:t xml:space="preserve"> </w:t>
      </w:r>
      <w:r w:rsidR="009C5B2A">
        <w:rPr>
          <w:rFonts w:ascii="Avenir Next" w:hAnsi="Avenir Next"/>
          <w:color w:val="808080" w:themeColor="background1" w:themeShade="80"/>
        </w:rPr>
        <w:t>laws governing ELPS, in addition to the Limited Partnership Agreement, are the Partnership Act (2013 Revision)</w:t>
      </w:r>
      <w:r w:rsidR="00352D83">
        <w:rPr>
          <w:rFonts w:ascii="Avenir Next" w:hAnsi="Avenir Next"/>
          <w:color w:val="808080" w:themeColor="background1" w:themeShade="80"/>
        </w:rPr>
        <w:t xml:space="preserve"> and the Exempted Limited Partnership Act (2021 Revision). </w:t>
      </w:r>
      <w:r w:rsidR="00566E4A">
        <w:rPr>
          <w:rFonts w:ascii="Avenir Next" w:hAnsi="Avenir Next"/>
          <w:color w:val="808080" w:themeColor="background1" w:themeShade="80"/>
        </w:rPr>
        <w:t xml:space="preserve">While the Companies Act and the CWR also apply to ELPs, where there is any conflict </w:t>
      </w:r>
      <w:r w:rsidR="00C91A00">
        <w:rPr>
          <w:rFonts w:ascii="Avenir Next" w:hAnsi="Avenir Next"/>
          <w:color w:val="808080" w:themeColor="background1" w:themeShade="80"/>
        </w:rPr>
        <w:t xml:space="preserve">or inconsistencies </w:t>
      </w:r>
      <w:r w:rsidR="00566E4A">
        <w:rPr>
          <w:rFonts w:ascii="Avenir Next" w:hAnsi="Avenir Next"/>
          <w:color w:val="808080" w:themeColor="background1" w:themeShade="80"/>
        </w:rPr>
        <w:t xml:space="preserve">between the Companies Act and the Exempted Limited Partnership Act, the Exempted Limited Partnership Act takes priority.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3F8BDD0C" w:rsidR="00712982" w:rsidRDefault="00081963"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Cayman Islands Court has jurisdiction to wind up a foreign company, in limited circumstances, as provided for under section 91(d) of the Companies Act</w:t>
      </w:r>
      <w:r w:rsidR="00D944D1">
        <w:rPr>
          <w:rFonts w:ascii="Avenir Next" w:hAnsi="Avenir Next"/>
          <w:color w:val="808080" w:themeColor="background1" w:themeShade="80"/>
        </w:rPr>
        <w:t xml:space="preserve">, as follows: </w:t>
      </w:r>
    </w:p>
    <w:p w14:paraId="2823A7C3" w14:textId="477B2B50" w:rsidR="00D944D1" w:rsidRPr="00D944D1" w:rsidRDefault="00D944D1" w:rsidP="00097BA6">
      <w:pPr>
        <w:pStyle w:val="BodyText"/>
        <w:numPr>
          <w:ilvl w:val="0"/>
          <w:numId w:val="49"/>
        </w:numPr>
        <w:rPr>
          <w:rFonts w:ascii="Avenir Next" w:hAnsi="Avenir Next"/>
          <w:b/>
          <w:bCs/>
        </w:rPr>
      </w:pPr>
      <w:r>
        <w:rPr>
          <w:rFonts w:ascii="Avenir Next" w:hAnsi="Avenir Next"/>
          <w:color w:val="808080" w:themeColor="background1" w:themeShade="80"/>
        </w:rPr>
        <w:t>where the foreign company has property located in the Cayman Islands</w:t>
      </w:r>
    </w:p>
    <w:p w14:paraId="18614800" w14:textId="2A3A11FE" w:rsidR="00D944D1" w:rsidRPr="00D944D1" w:rsidRDefault="00D944D1" w:rsidP="00D944D1">
      <w:pPr>
        <w:pStyle w:val="BodyText"/>
        <w:numPr>
          <w:ilvl w:val="0"/>
          <w:numId w:val="49"/>
        </w:numPr>
        <w:rPr>
          <w:rFonts w:ascii="Avenir Next" w:hAnsi="Avenir Next"/>
          <w:b/>
          <w:bCs/>
        </w:rPr>
      </w:pPr>
      <w:r>
        <w:rPr>
          <w:rFonts w:ascii="Avenir Next" w:hAnsi="Avenir Next"/>
          <w:color w:val="808080" w:themeColor="background1" w:themeShade="80"/>
        </w:rPr>
        <w:t>When the foreign company is carrying on business in the Cayman Islands</w:t>
      </w:r>
    </w:p>
    <w:p w14:paraId="3B32219A" w14:textId="3CD52BB0" w:rsidR="00D944D1" w:rsidRPr="00155594" w:rsidRDefault="00D944D1" w:rsidP="00D944D1">
      <w:pPr>
        <w:pStyle w:val="BodyText"/>
        <w:numPr>
          <w:ilvl w:val="0"/>
          <w:numId w:val="49"/>
        </w:numPr>
        <w:rPr>
          <w:rFonts w:ascii="Avenir Next" w:hAnsi="Avenir Next"/>
          <w:b/>
          <w:bCs/>
        </w:rPr>
      </w:pPr>
      <w:r>
        <w:rPr>
          <w:rFonts w:ascii="Avenir Next" w:hAnsi="Avenir Next"/>
          <w:color w:val="808080" w:themeColor="background1" w:themeShade="80"/>
        </w:rPr>
        <w:t xml:space="preserve">When the foreign company is the general partner of an ordinary limited partnership </w:t>
      </w:r>
      <w:r w:rsidR="00155594">
        <w:rPr>
          <w:rFonts w:ascii="Avenir Next" w:hAnsi="Avenir Next"/>
          <w:color w:val="808080" w:themeColor="background1" w:themeShade="80"/>
        </w:rPr>
        <w:t>or an exempted limited partnership</w:t>
      </w:r>
    </w:p>
    <w:p w14:paraId="05798AE6" w14:textId="058DFA01" w:rsidR="00155594" w:rsidRPr="00486A0B" w:rsidRDefault="00155594" w:rsidP="00D944D1">
      <w:pPr>
        <w:pStyle w:val="BodyText"/>
        <w:numPr>
          <w:ilvl w:val="0"/>
          <w:numId w:val="49"/>
        </w:numPr>
        <w:rPr>
          <w:rFonts w:ascii="Avenir Next" w:hAnsi="Avenir Next"/>
          <w:b/>
          <w:bCs/>
        </w:rPr>
      </w:pPr>
      <w:r>
        <w:rPr>
          <w:rFonts w:ascii="Avenir Next" w:hAnsi="Avenir Next"/>
          <w:color w:val="808080" w:themeColor="background1" w:themeShade="80"/>
        </w:rPr>
        <w:t>Where the foreign company is registered under Part IX of the Companies Act</w:t>
      </w:r>
      <w:r w:rsidR="007164CD">
        <w:rPr>
          <w:rFonts w:ascii="Avenir Next" w:hAnsi="Avenir Next"/>
          <w:color w:val="808080" w:themeColor="background1" w:themeShade="80"/>
        </w:rPr>
        <w:t>. Part IX requires a foreign company to register in the Cayman Islands details as to where is establishes its place of business, or commences carrying on business in the Cayman Islands</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2A6E9C28" w14:textId="79D0AEBB" w:rsidR="00712982" w:rsidRPr="00A507B3" w:rsidRDefault="00215D2E" w:rsidP="00F3705F">
      <w:pPr>
        <w:pStyle w:val="BodyText"/>
        <w:ind w:firstLine="0"/>
        <w:jc w:val="both"/>
        <w:rPr>
          <w:rFonts w:ascii="Avenir Next" w:hAnsi="Avenir Next"/>
        </w:rPr>
      </w:pPr>
      <w:r>
        <w:rPr>
          <w:rFonts w:ascii="Avenir Next" w:hAnsi="Avenir Next"/>
          <w:color w:val="808080" w:themeColor="background1" w:themeShade="80"/>
        </w:rPr>
        <w:t xml:space="preserve">It is not necessary for a judgment of a foreign court to be registered or enforced in the Cayman Islands, before it can be relied upon as the basis for seeking a winding up order. This matter was </w:t>
      </w:r>
      <w:r w:rsidR="000B7E7C">
        <w:rPr>
          <w:rFonts w:ascii="Avenir Next" w:hAnsi="Avenir Next"/>
          <w:color w:val="808080" w:themeColor="background1" w:themeShade="80"/>
        </w:rPr>
        <w:t xml:space="preserve">considered </w:t>
      </w:r>
      <w:r>
        <w:rPr>
          <w:rFonts w:ascii="Avenir Next" w:hAnsi="Avenir Next"/>
          <w:color w:val="808080" w:themeColor="background1" w:themeShade="80"/>
        </w:rPr>
        <w:t xml:space="preserve">at length by Mr. Justice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in his </w:t>
      </w:r>
      <w:r w:rsidR="00A507B3">
        <w:rPr>
          <w:rFonts w:ascii="Avenir Next" w:hAnsi="Avenir Next"/>
          <w:color w:val="808080" w:themeColor="background1" w:themeShade="80"/>
        </w:rPr>
        <w:t xml:space="preserve">judgment in </w:t>
      </w:r>
      <w:r w:rsidR="002A7302">
        <w:rPr>
          <w:rFonts w:ascii="Avenir Next" w:hAnsi="Avenir Next"/>
          <w:i/>
          <w:iCs/>
          <w:color w:val="808080" w:themeColor="background1" w:themeShade="80"/>
        </w:rPr>
        <w:t xml:space="preserve">Re China Hospitals </w:t>
      </w:r>
      <w:r w:rsidR="002A7302">
        <w:rPr>
          <w:rFonts w:ascii="Avenir Next" w:hAnsi="Avenir Next"/>
          <w:color w:val="808080" w:themeColor="background1" w:themeShade="80"/>
        </w:rPr>
        <w:t>[2018 (2) CILR 335]</w:t>
      </w:r>
      <w:r w:rsidR="006771D2">
        <w:rPr>
          <w:rFonts w:ascii="Avenir Next" w:hAnsi="Avenir Next"/>
          <w:color w:val="808080" w:themeColor="background1" w:themeShade="80"/>
        </w:rPr>
        <w:t xml:space="preserve"> and held that registration and/or enforcement as not necessary to for seeking a winding up order. This was re-affirmed in </w:t>
      </w:r>
      <w:r w:rsidR="00A507B3">
        <w:rPr>
          <w:rFonts w:ascii="Avenir Next" w:hAnsi="Avenir Next"/>
          <w:i/>
          <w:iCs/>
          <w:color w:val="808080" w:themeColor="background1" w:themeShade="80"/>
        </w:rPr>
        <w:t xml:space="preserve">In the matter of </w:t>
      </w:r>
      <w:proofErr w:type="spellStart"/>
      <w:r w:rsidR="00A507B3">
        <w:rPr>
          <w:rFonts w:ascii="Avenir Next" w:hAnsi="Avenir Next"/>
          <w:i/>
          <w:iCs/>
          <w:color w:val="808080" w:themeColor="background1" w:themeShade="80"/>
        </w:rPr>
        <w:t>Guoan</w:t>
      </w:r>
      <w:proofErr w:type="spellEnd"/>
      <w:r w:rsidR="00A507B3">
        <w:rPr>
          <w:rFonts w:ascii="Avenir Next" w:hAnsi="Avenir Next"/>
          <w:i/>
          <w:iCs/>
          <w:color w:val="808080" w:themeColor="background1" w:themeShade="80"/>
        </w:rPr>
        <w:t xml:space="preserve"> International Limited </w:t>
      </w:r>
      <w:r w:rsidR="00A507B3">
        <w:rPr>
          <w:rFonts w:ascii="Avenir Next" w:hAnsi="Avenir Next"/>
          <w:color w:val="808080" w:themeColor="background1" w:themeShade="80"/>
        </w:rPr>
        <w:t>(unreported, 29 October 2021)</w:t>
      </w:r>
      <w:r w:rsidR="001C4A57">
        <w:rPr>
          <w:rFonts w:ascii="Avenir Next" w:hAnsi="Avenir Next"/>
          <w:color w:val="808080" w:themeColor="background1" w:themeShade="80"/>
        </w:rPr>
        <w:t>. In this decision,</w:t>
      </w:r>
      <w:r w:rsidR="00485A27">
        <w:rPr>
          <w:rFonts w:ascii="Avenir Next" w:hAnsi="Avenir Next"/>
          <w:color w:val="808080" w:themeColor="background1" w:themeShade="80"/>
        </w:rPr>
        <w:t xml:space="preserve"> notwithstanding that</w:t>
      </w:r>
      <w:r w:rsidR="001C4A57">
        <w:rPr>
          <w:rFonts w:ascii="Avenir Next" w:hAnsi="Avenir Next"/>
          <w:color w:val="808080" w:themeColor="background1" w:themeShade="80"/>
        </w:rPr>
        <w:t xml:space="preserve"> </w:t>
      </w:r>
      <w:r w:rsidR="002F013D">
        <w:rPr>
          <w:rFonts w:ascii="Avenir Next" w:hAnsi="Avenir Next"/>
          <w:color w:val="808080" w:themeColor="background1" w:themeShade="80"/>
        </w:rPr>
        <w:t xml:space="preserve">the </w:t>
      </w:r>
      <w:r w:rsidR="008469DF">
        <w:rPr>
          <w:rFonts w:ascii="Avenir Next" w:hAnsi="Avenir Next"/>
          <w:color w:val="808080" w:themeColor="background1" w:themeShade="80"/>
        </w:rPr>
        <w:t>judgment was under appeal in the foreign court</w:t>
      </w:r>
      <w:r w:rsidR="00485A27">
        <w:rPr>
          <w:rFonts w:ascii="Avenir Next" w:hAnsi="Avenir Next"/>
          <w:color w:val="808080" w:themeColor="background1" w:themeShade="80"/>
        </w:rPr>
        <w:t xml:space="preserve">, </w:t>
      </w:r>
      <w:r w:rsidR="00ED06B2">
        <w:rPr>
          <w:rFonts w:ascii="Avenir Next" w:hAnsi="Avenir Next"/>
          <w:color w:val="808080" w:themeColor="background1" w:themeShade="80"/>
        </w:rPr>
        <w:t xml:space="preserve">the judgment </w:t>
      </w:r>
      <w:r w:rsidR="001214AC">
        <w:rPr>
          <w:rFonts w:ascii="Avenir Next" w:hAnsi="Avenir Next"/>
          <w:color w:val="808080" w:themeColor="background1" w:themeShade="80"/>
        </w:rPr>
        <w:t xml:space="preserve">could be relied upon </w:t>
      </w:r>
      <w:r w:rsidR="003B64AC">
        <w:rPr>
          <w:rFonts w:ascii="Avenir Next" w:hAnsi="Avenir Next"/>
          <w:color w:val="808080" w:themeColor="background1" w:themeShade="80"/>
        </w:rPr>
        <w:t>as final and conclusive</w:t>
      </w:r>
      <w:r w:rsidR="00722399">
        <w:rPr>
          <w:rFonts w:ascii="Avenir Next" w:hAnsi="Avenir Next"/>
          <w:color w:val="808080" w:themeColor="background1" w:themeShade="80"/>
        </w:rPr>
        <w:t xml:space="preserve">, </w:t>
      </w:r>
      <w:proofErr w:type="gramStart"/>
      <w:r w:rsidR="00722399">
        <w:rPr>
          <w:rFonts w:ascii="Avenir Next" w:hAnsi="Avenir Next"/>
          <w:color w:val="808080" w:themeColor="background1" w:themeShade="80"/>
        </w:rPr>
        <w:t>in order to</w:t>
      </w:r>
      <w:proofErr w:type="gramEnd"/>
      <w:r w:rsidR="00722399">
        <w:rPr>
          <w:rFonts w:ascii="Avenir Next" w:hAnsi="Avenir Next"/>
          <w:color w:val="808080" w:themeColor="background1" w:themeShade="80"/>
        </w:rPr>
        <w:t xml:space="preserve"> form the basis of the winding up petition</w:t>
      </w:r>
      <w:r w:rsidR="003B64AC">
        <w:rPr>
          <w:rFonts w:ascii="Avenir Next" w:hAnsi="Avenir Next"/>
          <w:color w:val="808080" w:themeColor="background1" w:themeShade="80"/>
        </w:rPr>
        <w:t xml:space="preserve">. </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5158B92D" w:rsidR="00F3705F" w:rsidRPr="00C2126B" w:rsidRDefault="001871B7" w:rsidP="008A11E8">
      <w:pPr>
        <w:pStyle w:val="BodyText"/>
        <w:numPr>
          <w:ilvl w:val="0"/>
          <w:numId w:val="50"/>
        </w:numPr>
        <w:rPr>
          <w:rFonts w:ascii="Avenir Next" w:hAnsi="Avenir Next"/>
          <w:b/>
          <w:bCs/>
        </w:rPr>
      </w:pPr>
      <w:r>
        <w:rPr>
          <w:rFonts w:ascii="Avenir Next" w:hAnsi="Avenir Next"/>
          <w:color w:val="808080" w:themeColor="background1" w:themeShade="80"/>
        </w:rPr>
        <w:t>Until the provisional order for bankruptcy is made</w:t>
      </w:r>
      <w:r w:rsidR="00C2126B">
        <w:rPr>
          <w:rFonts w:ascii="Avenir Next" w:hAnsi="Avenir Next"/>
          <w:color w:val="808080" w:themeColor="background1" w:themeShade="80"/>
        </w:rPr>
        <w:t xml:space="preserve"> absolute</w:t>
      </w:r>
      <w:r>
        <w:rPr>
          <w:rFonts w:ascii="Avenir Next" w:hAnsi="Avenir Next"/>
          <w:color w:val="808080" w:themeColor="background1" w:themeShade="80"/>
        </w:rPr>
        <w:t>, un</w:t>
      </w:r>
      <w:r w:rsidR="008F0191">
        <w:rPr>
          <w:rFonts w:ascii="Avenir Next" w:hAnsi="Avenir Next"/>
          <w:color w:val="808080" w:themeColor="background1" w:themeShade="80"/>
        </w:rPr>
        <w:t>der</w:t>
      </w:r>
      <w:r>
        <w:rPr>
          <w:rFonts w:ascii="Avenir Next" w:hAnsi="Avenir Next"/>
          <w:color w:val="808080" w:themeColor="background1" w:themeShade="80"/>
        </w:rPr>
        <w:t xml:space="preserve"> section 38 of the Bankruptcy Act</w:t>
      </w:r>
      <w:r w:rsidR="008F0191">
        <w:rPr>
          <w:rFonts w:ascii="Avenir Next" w:hAnsi="Avenir Next"/>
          <w:color w:val="808080" w:themeColor="background1" w:themeShade="80"/>
        </w:rPr>
        <w:t xml:space="preserve"> (1997 Revision), the trustee </w:t>
      </w:r>
      <w:r w:rsidR="00ED0D5E">
        <w:rPr>
          <w:rFonts w:ascii="Avenir Next" w:hAnsi="Avenir Next"/>
          <w:color w:val="808080" w:themeColor="background1" w:themeShade="80"/>
        </w:rPr>
        <w:t>is under a duty to preserve all property</w:t>
      </w:r>
      <w:r w:rsidR="00BF0DBC">
        <w:rPr>
          <w:rFonts w:ascii="Avenir Next" w:hAnsi="Avenir Next"/>
          <w:color w:val="808080" w:themeColor="background1" w:themeShade="80"/>
        </w:rPr>
        <w:t xml:space="preserve">, so far as is possible, </w:t>
      </w:r>
      <w:r w:rsidR="00D47BC1">
        <w:rPr>
          <w:rFonts w:ascii="Avenir Next" w:hAnsi="Avenir Next"/>
          <w:color w:val="808080" w:themeColor="background1" w:themeShade="80"/>
        </w:rPr>
        <w:t xml:space="preserve">so that it can be returned to the debtor in the same condition, </w:t>
      </w:r>
      <w:proofErr w:type="gramStart"/>
      <w:r w:rsidR="00D47BC1">
        <w:rPr>
          <w:rFonts w:ascii="Avenir Next" w:hAnsi="Avenir Next"/>
          <w:color w:val="808080" w:themeColor="background1" w:themeShade="80"/>
        </w:rPr>
        <w:t>in the eve</w:t>
      </w:r>
      <w:r w:rsidR="00C2126B">
        <w:rPr>
          <w:rFonts w:ascii="Avenir Next" w:hAnsi="Avenir Next"/>
          <w:color w:val="808080" w:themeColor="background1" w:themeShade="80"/>
        </w:rPr>
        <w:t>nt that</w:t>
      </w:r>
      <w:proofErr w:type="gramEnd"/>
      <w:r w:rsidR="00C2126B">
        <w:rPr>
          <w:rFonts w:ascii="Avenir Next" w:hAnsi="Avenir Next"/>
          <w:color w:val="808080" w:themeColor="background1" w:themeShade="80"/>
        </w:rPr>
        <w:t xml:space="preserve"> the provisional order is revoked. </w:t>
      </w:r>
    </w:p>
    <w:p w14:paraId="43BDB10B" w14:textId="7526738D" w:rsidR="00C2126B" w:rsidRPr="008F5124" w:rsidRDefault="00D14B88" w:rsidP="008A11E8">
      <w:pPr>
        <w:pStyle w:val="BodyText"/>
        <w:numPr>
          <w:ilvl w:val="0"/>
          <w:numId w:val="50"/>
        </w:numPr>
        <w:rPr>
          <w:rFonts w:ascii="Avenir Next" w:hAnsi="Avenir Next"/>
          <w:b/>
          <w:bCs/>
        </w:rPr>
      </w:pPr>
      <w:r>
        <w:rPr>
          <w:rFonts w:ascii="Avenir Next" w:hAnsi="Avenir Next"/>
          <w:color w:val="808080" w:themeColor="background1" w:themeShade="80"/>
        </w:rPr>
        <w:t xml:space="preserve">When an </w:t>
      </w:r>
      <w:r w:rsidR="0095781D">
        <w:rPr>
          <w:rFonts w:ascii="Avenir Next" w:hAnsi="Avenir Next"/>
          <w:color w:val="808080" w:themeColor="background1" w:themeShade="80"/>
        </w:rPr>
        <w:t>absolute order for bankruptcy is made against the debtor, under section 65 of the Bankruptcy Act, the trustee</w:t>
      </w:r>
      <w:r w:rsidR="008F5124">
        <w:rPr>
          <w:rFonts w:ascii="Avenir Next" w:hAnsi="Avenir Next"/>
          <w:color w:val="808080" w:themeColor="background1" w:themeShade="80"/>
        </w:rPr>
        <w:t xml:space="preserve"> shall proceed to administer the estate of the debtor for the benefit of the creditors. </w:t>
      </w:r>
    </w:p>
    <w:p w14:paraId="31BA1858" w14:textId="794B1B55" w:rsidR="008F5124" w:rsidRPr="004A6B20" w:rsidRDefault="004B55AE" w:rsidP="008A11E8">
      <w:pPr>
        <w:pStyle w:val="BodyText"/>
        <w:numPr>
          <w:ilvl w:val="0"/>
          <w:numId w:val="50"/>
        </w:numPr>
        <w:rPr>
          <w:rFonts w:ascii="Avenir Next" w:hAnsi="Avenir Next"/>
          <w:b/>
          <w:bCs/>
        </w:rPr>
      </w:pPr>
      <w:r>
        <w:rPr>
          <w:rFonts w:ascii="Avenir Next" w:hAnsi="Avenir Next"/>
          <w:color w:val="808080" w:themeColor="background1" w:themeShade="80"/>
        </w:rPr>
        <w:t>In administering the estate, the trust has the power to sell the property of the debtor</w:t>
      </w:r>
      <w:r w:rsidR="00E71810">
        <w:rPr>
          <w:rFonts w:ascii="Avenir Next" w:hAnsi="Avenir Next"/>
          <w:color w:val="808080" w:themeColor="background1" w:themeShade="80"/>
        </w:rPr>
        <w:t>, as the trustee sees fit (as per section 78 of the Bankruptcy Act)</w:t>
      </w:r>
      <w:r w:rsidR="001204D7">
        <w:rPr>
          <w:rFonts w:ascii="Avenir Next" w:hAnsi="Avenir Next"/>
          <w:color w:val="808080" w:themeColor="background1" w:themeShade="80"/>
        </w:rPr>
        <w:t>. Additionally, the trustee may also carry on the trade of the debtor, as is necessary or expedient, for the winding up or sal</w:t>
      </w:r>
      <w:r w:rsidR="004A6B20">
        <w:rPr>
          <w:rFonts w:ascii="Avenir Next" w:hAnsi="Avenir Next"/>
          <w:color w:val="808080" w:themeColor="background1" w:themeShade="80"/>
        </w:rPr>
        <w:t xml:space="preserve">e of the business (as per section 79 of the Bankruptcy Act). </w:t>
      </w:r>
    </w:p>
    <w:p w14:paraId="169BB331" w14:textId="5358978E" w:rsidR="004A6B20" w:rsidRPr="003049A3" w:rsidRDefault="00255923" w:rsidP="008A11E8">
      <w:pPr>
        <w:pStyle w:val="BodyText"/>
        <w:numPr>
          <w:ilvl w:val="0"/>
          <w:numId w:val="50"/>
        </w:numPr>
        <w:rPr>
          <w:rFonts w:ascii="Avenir Next" w:hAnsi="Avenir Next"/>
          <w:b/>
          <w:bCs/>
        </w:rPr>
      </w:pPr>
      <w:r>
        <w:rPr>
          <w:rFonts w:ascii="Avenir Next" w:hAnsi="Avenir Next"/>
          <w:color w:val="808080" w:themeColor="background1" w:themeShade="80"/>
        </w:rPr>
        <w:t xml:space="preserve">The trustee may bring or defend any legal proceedings or action relating to the property of the </w:t>
      </w:r>
      <w:r w:rsidR="008F6C1C">
        <w:rPr>
          <w:rFonts w:ascii="Avenir Next" w:hAnsi="Avenir Next"/>
          <w:color w:val="808080" w:themeColor="background1" w:themeShade="80"/>
        </w:rPr>
        <w:t xml:space="preserve">debtor, as per section 80 of the Bankruptcy Act. </w:t>
      </w:r>
      <w:proofErr w:type="gramStart"/>
      <w:r w:rsidR="008F6C1C">
        <w:rPr>
          <w:rFonts w:ascii="Avenir Next" w:hAnsi="Avenir Next"/>
          <w:color w:val="808080" w:themeColor="background1" w:themeShade="80"/>
        </w:rPr>
        <w:t>Additionally</w:t>
      </w:r>
      <w:proofErr w:type="gramEnd"/>
      <w:r w:rsidR="008F6C1C">
        <w:rPr>
          <w:rFonts w:ascii="Avenir Next" w:hAnsi="Avenir Next"/>
          <w:color w:val="808080" w:themeColor="background1" w:themeShade="80"/>
        </w:rPr>
        <w:t xml:space="preserve"> the trustee has power to </w:t>
      </w:r>
      <w:r w:rsidR="00D00441">
        <w:rPr>
          <w:rFonts w:ascii="Avenir Next" w:hAnsi="Avenir Next"/>
          <w:color w:val="808080" w:themeColor="background1" w:themeShade="80"/>
        </w:rPr>
        <w:t xml:space="preserve">compromise claims, either for or against the debtor, under sections 82 and 83 of the Bankruptcy Act. </w:t>
      </w:r>
    </w:p>
    <w:p w14:paraId="03D2F53B" w14:textId="4459EF81" w:rsidR="003049A3" w:rsidRPr="00486A0B" w:rsidRDefault="003049A3" w:rsidP="008A11E8">
      <w:pPr>
        <w:pStyle w:val="BodyText"/>
        <w:numPr>
          <w:ilvl w:val="0"/>
          <w:numId w:val="50"/>
        </w:numPr>
        <w:rPr>
          <w:rFonts w:ascii="Avenir Next" w:hAnsi="Avenir Next"/>
          <w:b/>
          <w:bCs/>
        </w:rPr>
      </w:pPr>
      <w:r>
        <w:rPr>
          <w:rFonts w:ascii="Avenir Next" w:hAnsi="Avenir Next"/>
          <w:color w:val="808080" w:themeColor="background1" w:themeShade="80"/>
        </w:rPr>
        <w:t xml:space="preserve">Under section 87 of the </w:t>
      </w:r>
      <w:r w:rsidR="009E4992">
        <w:rPr>
          <w:rFonts w:ascii="Avenir Next" w:hAnsi="Avenir Next"/>
          <w:color w:val="808080" w:themeColor="background1" w:themeShade="80"/>
        </w:rPr>
        <w:t xml:space="preserve">Bankruptcy Act, the trustee has a duty to received and decide upon proof of debts.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379A21B0" w:rsidR="003D2C0D" w:rsidRDefault="00804503" w:rsidP="008A20AC">
    <w:pPr>
      <w:pStyle w:val="Footer"/>
      <w:ind w:right="360"/>
    </w:pPr>
    <w:r>
      <w:t>202223-1067.</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36F19"/>
    <w:multiLevelType w:val="hybridMultilevel"/>
    <w:tmpl w:val="247C0C06"/>
    <w:lvl w:ilvl="0" w:tplc="9AFC39D6">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A2A9D"/>
    <w:multiLevelType w:val="hybridMultilevel"/>
    <w:tmpl w:val="8534B40A"/>
    <w:lvl w:ilvl="0" w:tplc="9CCA8BE6">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756C23"/>
    <w:multiLevelType w:val="hybridMultilevel"/>
    <w:tmpl w:val="0BFC14B2"/>
    <w:lvl w:ilvl="0" w:tplc="30DA93F4">
      <w:start w:val="1"/>
      <w:numFmt w:val="lowerRoman"/>
      <w:lvlText w:val="%1."/>
      <w:lvlJc w:val="left"/>
      <w:pPr>
        <w:ind w:left="720" w:hanging="360"/>
      </w:pPr>
      <w:rPr>
        <w:rFonts w:ascii="Avenir Next" w:eastAsia="Arial" w:hAnsi="Avenir Next" w:cs="Arial"/>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520B8"/>
    <w:multiLevelType w:val="hybridMultilevel"/>
    <w:tmpl w:val="8054832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56267C"/>
    <w:multiLevelType w:val="hybridMultilevel"/>
    <w:tmpl w:val="54E41EE8"/>
    <w:lvl w:ilvl="0" w:tplc="004E0CCC">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11C709B"/>
    <w:multiLevelType w:val="hybridMultilevel"/>
    <w:tmpl w:val="AE0EDBB2"/>
    <w:lvl w:ilvl="0" w:tplc="4C24646A">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EA139A"/>
    <w:multiLevelType w:val="hybridMultilevel"/>
    <w:tmpl w:val="444EFB6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D2C3A13"/>
    <w:multiLevelType w:val="hybridMultilevel"/>
    <w:tmpl w:val="FD3468B8"/>
    <w:lvl w:ilvl="0" w:tplc="1FF8F964">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DB2B39"/>
    <w:multiLevelType w:val="hybridMultilevel"/>
    <w:tmpl w:val="99FCF1AA"/>
    <w:lvl w:ilvl="0" w:tplc="FF7852BE">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766019B"/>
    <w:multiLevelType w:val="hybridMultilevel"/>
    <w:tmpl w:val="7E12F3CE"/>
    <w:lvl w:ilvl="0" w:tplc="5B4268DE">
      <w:start w:val="1"/>
      <w:numFmt w:val="decimal"/>
      <w:lvlText w:val="%1."/>
      <w:lvlJc w:val="left"/>
      <w:pPr>
        <w:ind w:left="720" w:hanging="360"/>
      </w:pPr>
      <w:rPr>
        <w:rFonts w:hint="default"/>
        <w:b w:val="0"/>
        <w:color w:val="808080" w:themeColor="background1" w:themeShade="8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D34565"/>
    <w:multiLevelType w:val="hybridMultilevel"/>
    <w:tmpl w:val="0792B070"/>
    <w:lvl w:ilvl="0" w:tplc="038EA9D0">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7F55725"/>
    <w:multiLevelType w:val="hybridMultilevel"/>
    <w:tmpl w:val="F468F1DA"/>
    <w:lvl w:ilvl="0" w:tplc="BF5EFDCA">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049894">
    <w:abstractNumId w:val="33"/>
  </w:num>
  <w:num w:numId="2" w16cid:durableId="314452386">
    <w:abstractNumId w:val="28"/>
  </w:num>
  <w:num w:numId="3" w16cid:durableId="1846748631">
    <w:abstractNumId w:val="24"/>
  </w:num>
  <w:num w:numId="4" w16cid:durableId="533078572">
    <w:abstractNumId w:val="30"/>
  </w:num>
  <w:num w:numId="5" w16cid:durableId="1393427187">
    <w:abstractNumId w:val="0"/>
  </w:num>
  <w:num w:numId="6" w16cid:durableId="2118793971">
    <w:abstractNumId w:val="1"/>
  </w:num>
  <w:num w:numId="7" w16cid:durableId="1815904115">
    <w:abstractNumId w:val="32"/>
  </w:num>
  <w:num w:numId="8" w16cid:durableId="1650787800">
    <w:abstractNumId w:val="2"/>
  </w:num>
  <w:num w:numId="9" w16cid:durableId="910892532">
    <w:abstractNumId w:val="44"/>
  </w:num>
  <w:num w:numId="10" w16cid:durableId="340812403">
    <w:abstractNumId w:val="46"/>
  </w:num>
  <w:num w:numId="11" w16cid:durableId="1919707878">
    <w:abstractNumId w:val="5"/>
  </w:num>
  <w:num w:numId="12" w16cid:durableId="1673096610">
    <w:abstractNumId w:val="47"/>
  </w:num>
  <w:num w:numId="13" w16cid:durableId="139536832">
    <w:abstractNumId w:val="34"/>
  </w:num>
  <w:num w:numId="14" w16cid:durableId="686980566">
    <w:abstractNumId w:val="21"/>
  </w:num>
  <w:num w:numId="15" w16cid:durableId="19625836">
    <w:abstractNumId w:val="20"/>
  </w:num>
  <w:num w:numId="16" w16cid:durableId="234170258">
    <w:abstractNumId w:val="43"/>
  </w:num>
  <w:num w:numId="17" w16cid:durableId="606083870">
    <w:abstractNumId w:val="18"/>
  </w:num>
  <w:num w:numId="18" w16cid:durableId="718020967">
    <w:abstractNumId w:val="11"/>
  </w:num>
  <w:num w:numId="19" w16cid:durableId="1381322052">
    <w:abstractNumId w:val="25"/>
  </w:num>
  <w:num w:numId="20" w16cid:durableId="1665623622">
    <w:abstractNumId w:val="6"/>
  </w:num>
  <w:num w:numId="21" w16cid:durableId="652103162">
    <w:abstractNumId w:val="8"/>
  </w:num>
  <w:num w:numId="22" w16cid:durableId="2125080162">
    <w:abstractNumId w:val="38"/>
  </w:num>
  <w:num w:numId="23" w16cid:durableId="62801596">
    <w:abstractNumId w:val="22"/>
  </w:num>
  <w:num w:numId="24" w16cid:durableId="1647785451">
    <w:abstractNumId w:val="19"/>
  </w:num>
  <w:num w:numId="25" w16cid:durableId="1786459959">
    <w:abstractNumId w:val="49"/>
  </w:num>
  <w:num w:numId="26" w16cid:durableId="1334798686">
    <w:abstractNumId w:val="39"/>
  </w:num>
  <w:num w:numId="27" w16cid:durableId="1359310862">
    <w:abstractNumId w:val="27"/>
  </w:num>
  <w:num w:numId="28" w16cid:durableId="1978803195">
    <w:abstractNumId w:val="41"/>
  </w:num>
  <w:num w:numId="29" w16cid:durableId="863592041">
    <w:abstractNumId w:val="17"/>
  </w:num>
  <w:num w:numId="30" w16cid:durableId="175853835">
    <w:abstractNumId w:val="3"/>
  </w:num>
  <w:num w:numId="31" w16cid:durableId="463620163">
    <w:abstractNumId w:val="36"/>
  </w:num>
  <w:num w:numId="32" w16cid:durableId="1162699078">
    <w:abstractNumId w:val="26"/>
  </w:num>
  <w:num w:numId="33" w16cid:durableId="372387033">
    <w:abstractNumId w:val="10"/>
  </w:num>
  <w:num w:numId="34" w16cid:durableId="1523667279">
    <w:abstractNumId w:val="23"/>
  </w:num>
  <w:num w:numId="35" w16cid:durableId="1381592326">
    <w:abstractNumId w:val="29"/>
  </w:num>
  <w:num w:numId="36" w16cid:durableId="1633124227">
    <w:abstractNumId w:val="7"/>
  </w:num>
  <w:num w:numId="37" w16cid:durableId="453449936">
    <w:abstractNumId w:val="14"/>
  </w:num>
  <w:num w:numId="38" w16cid:durableId="962224372">
    <w:abstractNumId w:val="4"/>
  </w:num>
  <w:num w:numId="39" w16cid:durableId="318652315">
    <w:abstractNumId w:val="48"/>
  </w:num>
  <w:num w:numId="40" w16cid:durableId="187377434">
    <w:abstractNumId w:val="9"/>
  </w:num>
  <w:num w:numId="41" w16cid:durableId="1527283190">
    <w:abstractNumId w:val="31"/>
  </w:num>
  <w:num w:numId="42" w16cid:durableId="1664235713">
    <w:abstractNumId w:val="40"/>
  </w:num>
  <w:num w:numId="43" w16cid:durableId="1831868517">
    <w:abstractNumId w:val="45"/>
  </w:num>
  <w:num w:numId="44" w16cid:durableId="2089036695">
    <w:abstractNumId w:val="16"/>
  </w:num>
  <w:num w:numId="45" w16cid:durableId="779839169">
    <w:abstractNumId w:val="15"/>
  </w:num>
  <w:num w:numId="46" w16cid:durableId="266163276">
    <w:abstractNumId w:val="35"/>
  </w:num>
  <w:num w:numId="47" w16cid:durableId="1396125764">
    <w:abstractNumId w:val="12"/>
  </w:num>
  <w:num w:numId="48" w16cid:durableId="2030641398">
    <w:abstractNumId w:val="42"/>
  </w:num>
  <w:num w:numId="49" w16cid:durableId="1228110975">
    <w:abstractNumId w:val="13"/>
  </w:num>
  <w:num w:numId="50" w16cid:durableId="1791632025">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2BC1"/>
    <w:rsid w:val="0004325C"/>
    <w:rsid w:val="000451AA"/>
    <w:rsid w:val="00045503"/>
    <w:rsid w:val="00050E2F"/>
    <w:rsid w:val="00051514"/>
    <w:rsid w:val="00051862"/>
    <w:rsid w:val="00052CB9"/>
    <w:rsid w:val="00060348"/>
    <w:rsid w:val="0006065B"/>
    <w:rsid w:val="00061E4F"/>
    <w:rsid w:val="00062B27"/>
    <w:rsid w:val="0006405E"/>
    <w:rsid w:val="00064D0B"/>
    <w:rsid w:val="000672ED"/>
    <w:rsid w:val="00071EFD"/>
    <w:rsid w:val="00073623"/>
    <w:rsid w:val="00073862"/>
    <w:rsid w:val="000807FB"/>
    <w:rsid w:val="00080EDC"/>
    <w:rsid w:val="00081963"/>
    <w:rsid w:val="00083AF3"/>
    <w:rsid w:val="000875DC"/>
    <w:rsid w:val="00087A4E"/>
    <w:rsid w:val="00091667"/>
    <w:rsid w:val="000922D6"/>
    <w:rsid w:val="000943C5"/>
    <w:rsid w:val="00094C09"/>
    <w:rsid w:val="00097A42"/>
    <w:rsid w:val="00097BA6"/>
    <w:rsid w:val="000B0F36"/>
    <w:rsid w:val="000B7E7C"/>
    <w:rsid w:val="000C0827"/>
    <w:rsid w:val="000D2EA8"/>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04D7"/>
    <w:rsid w:val="001214AC"/>
    <w:rsid w:val="00124ECF"/>
    <w:rsid w:val="00132E0E"/>
    <w:rsid w:val="001336C3"/>
    <w:rsid w:val="00145E32"/>
    <w:rsid w:val="00146A36"/>
    <w:rsid w:val="001525EB"/>
    <w:rsid w:val="00152954"/>
    <w:rsid w:val="00154A4B"/>
    <w:rsid w:val="00155357"/>
    <w:rsid w:val="00155594"/>
    <w:rsid w:val="00157455"/>
    <w:rsid w:val="0016475E"/>
    <w:rsid w:val="0016596F"/>
    <w:rsid w:val="00166CC9"/>
    <w:rsid w:val="00170816"/>
    <w:rsid w:val="00171BCA"/>
    <w:rsid w:val="00175F03"/>
    <w:rsid w:val="00177E01"/>
    <w:rsid w:val="001871B7"/>
    <w:rsid w:val="00192D14"/>
    <w:rsid w:val="00192FD4"/>
    <w:rsid w:val="00193626"/>
    <w:rsid w:val="00194D76"/>
    <w:rsid w:val="001954DE"/>
    <w:rsid w:val="00196A05"/>
    <w:rsid w:val="001A1043"/>
    <w:rsid w:val="001A19A6"/>
    <w:rsid w:val="001A20D0"/>
    <w:rsid w:val="001A370C"/>
    <w:rsid w:val="001A7553"/>
    <w:rsid w:val="001B11DA"/>
    <w:rsid w:val="001B4CC3"/>
    <w:rsid w:val="001B6BA2"/>
    <w:rsid w:val="001C14BF"/>
    <w:rsid w:val="001C4A57"/>
    <w:rsid w:val="001C667C"/>
    <w:rsid w:val="001C6B3B"/>
    <w:rsid w:val="001C7A25"/>
    <w:rsid w:val="001D2111"/>
    <w:rsid w:val="001D4173"/>
    <w:rsid w:val="001D52E0"/>
    <w:rsid w:val="001E2D89"/>
    <w:rsid w:val="001E34E2"/>
    <w:rsid w:val="001E5BE7"/>
    <w:rsid w:val="001E6FD1"/>
    <w:rsid w:val="001E72C8"/>
    <w:rsid w:val="001F1E22"/>
    <w:rsid w:val="001F2690"/>
    <w:rsid w:val="001F65C0"/>
    <w:rsid w:val="00200F4C"/>
    <w:rsid w:val="0020202B"/>
    <w:rsid w:val="002044FB"/>
    <w:rsid w:val="00207497"/>
    <w:rsid w:val="002116A3"/>
    <w:rsid w:val="00211EE8"/>
    <w:rsid w:val="00213DA5"/>
    <w:rsid w:val="0021508C"/>
    <w:rsid w:val="00215D2E"/>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5923"/>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A7302"/>
    <w:rsid w:val="002B15BA"/>
    <w:rsid w:val="002B6609"/>
    <w:rsid w:val="002B6B18"/>
    <w:rsid w:val="002B7150"/>
    <w:rsid w:val="002D006E"/>
    <w:rsid w:val="002D2D8F"/>
    <w:rsid w:val="002D3211"/>
    <w:rsid w:val="002E0235"/>
    <w:rsid w:val="002E125B"/>
    <w:rsid w:val="002E60D1"/>
    <w:rsid w:val="002F013D"/>
    <w:rsid w:val="002F2E23"/>
    <w:rsid w:val="002F49CF"/>
    <w:rsid w:val="002F7820"/>
    <w:rsid w:val="00300343"/>
    <w:rsid w:val="00300368"/>
    <w:rsid w:val="003005A4"/>
    <w:rsid w:val="00300A1C"/>
    <w:rsid w:val="0030119E"/>
    <w:rsid w:val="00303C2F"/>
    <w:rsid w:val="003047C8"/>
    <w:rsid w:val="003049A3"/>
    <w:rsid w:val="00315FB1"/>
    <w:rsid w:val="00320A18"/>
    <w:rsid w:val="0032119E"/>
    <w:rsid w:val="0033007B"/>
    <w:rsid w:val="003374AC"/>
    <w:rsid w:val="00337E93"/>
    <w:rsid w:val="00342A91"/>
    <w:rsid w:val="00342DDB"/>
    <w:rsid w:val="00343065"/>
    <w:rsid w:val="003448FF"/>
    <w:rsid w:val="00345A22"/>
    <w:rsid w:val="00347063"/>
    <w:rsid w:val="00347074"/>
    <w:rsid w:val="00352D83"/>
    <w:rsid w:val="003604C8"/>
    <w:rsid w:val="00361ECF"/>
    <w:rsid w:val="00362020"/>
    <w:rsid w:val="003620FE"/>
    <w:rsid w:val="00362135"/>
    <w:rsid w:val="00362356"/>
    <w:rsid w:val="00364438"/>
    <w:rsid w:val="00364A61"/>
    <w:rsid w:val="00365FEF"/>
    <w:rsid w:val="00366194"/>
    <w:rsid w:val="003721B7"/>
    <w:rsid w:val="00373930"/>
    <w:rsid w:val="00375DE0"/>
    <w:rsid w:val="003845E5"/>
    <w:rsid w:val="003864CC"/>
    <w:rsid w:val="00386C15"/>
    <w:rsid w:val="003931B0"/>
    <w:rsid w:val="00393EC9"/>
    <w:rsid w:val="00393F1C"/>
    <w:rsid w:val="003A06A0"/>
    <w:rsid w:val="003A2F2C"/>
    <w:rsid w:val="003A40DF"/>
    <w:rsid w:val="003A70E6"/>
    <w:rsid w:val="003B06BB"/>
    <w:rsid w:val="003B1A90"/>
    <w:rsid w:val="003B3DEE"/>
    <w:rsid w:val="003B4199"/>
    <w:rsid w:val="003B54BE"/>
    <w:rsid w:val="003B638D"/>
    <w:rsid w:val="003B64AC"/>
    <w:rsid w:val="003C02C7"/>
    <w:rsid w:val="003C5D82"/>
    <w:rsid w:val="003C6E0A"/>
    <w:rsid w:val="003D0550"/>
    <w:rsid w:val="003D15EA"/>
    <w:rsid w:val="003D2C0D"/>
    <w:rsid w:val="003D6FCF"/>
    <w:rsid w:val="003D7B8D"/>
    <w:rsid w:val="003E0049"/>
    <w:rsid w:val="003E2B2B"/>
    <w:rsid w:val="003F5CB9"/>
    <w:rsid w:val="003F62D2"/>
    <w:rsid w:val="0040087C"/>
    <w:rsid w:val="004031E2"/>
    <w:rsid w:val="00405310"/>
    <w:rsid w:val="00406425"/>
    <w:rsid w:val="0041025E"/>
    <w:rsid w:val="004140B5"/>
    <w:rsid w:val="004165ED"/>
    <w:rsid w:val="00416B97"/>
    <w:rsid w:val="0042151D"/>
    <w:rsid w:val="00422D04"/>
    <w:rsid w:val="004232E1"/>
    <w:rsid w:val="00423375"/>
    <w:rsid w:val="00426134"/>
    <w:rsid w:val="00426327"/>
    <w:rsid w:val="0043167D"/>
    <w:rsid w:val="00432143"/>
    <w:rsid w:val="004323A2"/>
    <w:rsid w:val="00435F87"/>
    <w:rsid w:val="004366D6"/>
    <w:rsid w:val="00437B5E"/>
    <w:rsid w:val="00440482"/>
    <w:rsid w:val="00441DB0"/>
    <w:rsid w:val="0044207D"/>
    <w:rsid w:val="0044493B"/>
    <w:rsid w:val="0044543C"/>
    <w:rsid w:val="00446A9D"/>
    <w:rsid w:val="00446DA2"/>
    <w:rsid w:val="00447D37"/>
    <w:rsid w:val="00447FBC"/>
    <w:rsid w:val="004522BB"/>
    <w:rsid w:val="0045444B"/>
    <w:rsid w:val="00454E81"/>
    <w:rsid w:val="00457AC8"/>
    <w:rsid w:val="0046354E"/>
    <w:rsid w:val="00463E70"/>
    <w:rsid w:val="00466C16"/>
    <w:rsid w:val="00466CA0"/>
    <w:rsid w:val="004708C4"/>
    <w:rsid w:val="00470B76"/>
    <w:rsid w:val="004724A1"/>
    <w:rsid w:val="00472555"/>
    <w:rsid w:val="00472927"/>
    <w:rsid w:val="00473869"/>
    <w:rsid w:val="004743E7"/>
    <w:rsid w:val="00474723"/>
    <w:rsid w:val="00481019"/>
    <w:rsid w:val="00485A27"/>
    <w:rsid w:val="00485B07"/>
    <w:rsid w:val="0048719D"/>
    <w:rsid w:val="00487EFF"/>
    <w:rsid w:val="0049287D"/>
    <w:rsid w:val="00497732"/>
    <w:rsid w:val="00497863"/>
    <w:rsid w:val="004A11A1"/>
    <w:rsid w:val="004A37DA"/>
    <w:rsid w:val="004A6B20"/>
    <w:rsid w:val="004A6C29"/>
    <w:rsid w:val="004B2B93"/>
    <w:rsid w:val="004B2D12"/>
    <w:rsid w:val="004B491D"/>
    <w:rsid w:val="004B55AE"/>
    <w:rsid w:val="004B7384"/>
    <w:rsid w:val="004C206D"/>
    <w:rsid w:val="004C28D8"/>
    <w:rsid w:val="004C68E4"/>
    <w:rsid w:val="004C741B"/>
    <w:rsid w:val="004C7945"/>
    <w:rsid w:val="004C79C4"/>
    <w:rsid w:val="004D1602"/>
    <w:rsid w:val="004D6B14"/>
    <w:rsid w:val="004E68D3"/>
    <w:rsid w:val="004F54FD"/>
    <w:rsid w:val="004F5D43"/>
    <w:rsid w:val="004F6667"/>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66E4A"/>
    <w:rsid w:val="00567D71"/>
    <w:rsid w:val="005700FE"/>
    <w:rsid w:val="00574AA7"/>
    <w:rsid w:val="005750D6"/>
    <w:rsid w:val="00576BA2"/>
    <w:rsid w:val="00582076"/>
    <w:rsid w:val="005823CF"/>
    <w:rsid w:val="0058441E"/>
    <w:rsid w:val="00585164"/>
    <w:rsid w:val="00586B0F"/>
    <w:rsid w:val="00591D1D"/>
    <w:rsid w:val="00592A8D"/>
    <w:rsid w:val="00595D22"/>
    <w:rsid w:val="00596968"/>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E76AE"/>
    <w:rsid w:val="005F5BDF"/>
    <w:rsid w:val="0060275A"/>
    <w:rsid w:val="006027A2"/>
    <w:rsid w:val="00604564"/>
    <w:rsid w:val="0060661E"/>
    <w:rsid w:val="00607BA0"/>
    <w:rsid w:val="00612137"/>
    <w:rsid w:val="00614528"/>
    <w:rsid w:val="006278B5"/>
    <w:rsid w:val="006335FF"/>
    <w:rsid w:val="0063766F"/>
    <w:rsid w:val="00640BC9"/>
    <w:rsid w:val="006424E1"/>
    <w:rsid w:val="006425C7"/>
    <w:rsid w:val="00643725"/>
    <w:rsid w:val="00644DCE"/>
    <w:rsid w:val="00647006"/>
    <w:rsid w:val="006471BC"/>
    <w:rsid w:val="006478BE"/>
    <w:rsid w:val="00657222"/>
    <w:rsid w:val="0066147F"/>
    <w:rsid w:val="00662A8E"/>
    <w:rsid w:val="006638D6"/>
    <w:rsid w:val="006659FD"/>
    <w:rsid w:val="006674D6"/>
    <w:rsid w:val="006717A4"/>
    <w:rsid w:val="00671ADC"/>
    <w:rsid w:val="006731C8"/>
    <w:rsid w:val="00674C6B"/>
    <w:rsid w:val="006771D2"/>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24A8"/>
    <w:rsid w:val="006F4065"/>
    <w:rsid w:val="006F55B4"/>
    <w:rsid w:val="006F7EC1"/>
    <w:rsid w:val="007018D1"/>
    <w:rsid w:val="00705108"/>
    <w:rsid w:val="00710451"/>
    <w:rsid w:val="00710A26"/>
    <w:rsid w:val="00710E3F"/>
    <w:rsid w:val="007120A0"/>
    <w:rsid w:val="00712982"/>
    <w:rsid w:val="007130E9"/>
    <w:rsid w:val="00715982"/>
    <w:rsid w:val="007164CD"/>
    <w:rsid w:val="00721E7F"/>
    <w:rsid w:val="00722399"/>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637"/>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5466"/>
    <w:rsid w:val="007B607D"/>
    <w:rsid w:val="007B6DD3"/>
    <w:rsid w:val="007B7692"/>
    <w:rsid w:val="007C04CB"/>
    <w:rsid w:val="007C1BDB"/>
    <w:rsid w:val="007C5F0B"/>
    <w:rsid w:val="007C7E78"/>
    <w:rsid w:val="007D0061"/>
    <w:rsid w:val="007D215F"/>
    <w:rsid w:val="007F02EC"/>
    <w:rsid w:val="007F085D"/>
    <w:rsid w:val="007F5739"/>
    <w:rsid w:val="007F67A0"/>
    <w:rsid w:val="00801379"/>
    <w:rsid w:val="00803983"/>
    <w:rsid w:val="00804503"/>
    <w:rsid w:val="00804FC8"/>
    <w:rsid w:val="00805A2D"/>
    <w:rsid w:val="008061DD"/>
    <w:rsid w:val="00812BFB"/>
    <w:rsid w:val="00813CB4"/>
    <w:rsid w:val="00815D39"/>
    <w:rsid w:val="00816B32"/>
    <w:rsid w:val="00817EB4"/>
    <w:rsid w:val="008201D7"/>
    <w:rsid w:val="00820BFA"/>
    <w:rsid w:val="00822A4C"/>
    <w:rsid w:val="00831A22"/>
    <w:rsid w:val="00831F21"/>
    <w:rsid w:val="008431D7"/>
    <w:rsid w:val="0084350B"/>
    <w:rsid w:val="00844DEE"/>
    <w:rsid w:val="008469DF"/>
    <w:rsid w:val="00850236"/>
    <w:rsid w:val="0085088D"/>
    <w:rsid w:val="00861A27"/>
    <w:rsid w:val="00864EA4"/>
    <w:rsid w:val="008664DC"/>
    <w:rsid w:val="00867EF8"/>
    <w:rsid w:val="00871089"/>
    <w:rsid w:val="008735A4"/>
    <w:rsid w:val="008753CD"/>
    <w:rsid w:val="0087601E"/>
    <w:rsid w:val="00877583"/>
    <w:rsid w:val="008865F3"/>
    <w:rsid w:val="008913A7"/>
    <w:rsid w:val="00895CDF"/>
    <w:rsid w:val="00897EA7"/>
    <w:rsid w:val="008A11E8"/>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0191"/>
    <w:rsid w:val="008F2BE2"/>
    <w:rsid w:val="008F5124"/>
    <w:rsid w:val="008F6C1C"/>
    <w:rsid w:val="009004D4"/>
    <w:rsid w:val="0090300F"/>
    <w:rsid w:val="0090576D"/>
    <w:rsid w:val="00912F92"/>
    <w:rsid w:val="00913123"/>
    <w:rsid w:val="009143EA"/>
    <w:rsid w:val="00917205"/>
    <w:rsid w:val="0092000D"/>
    <w:rsid w:val="009237C8"/>
    <w:rsid w:val="0092725A"/>
    <w:rsid w:val="009302B9"/>
    <w:rsid w:val="00930A74"/>
    <w:rsid w:val="00934980"/>
    <w:rsid w:val="00941F3D"/>
    <w:rsid w:val="00944436"/>
    <w:rsid w:val="00944A47"/>
    <w:rsid w:val="00944C3A"/>
    <w:rsid w:val="00951B04"/>
    <w:rsid w:val="00954CBE"/>
    <w:rsid w:val="0095781D"/>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93315"/>
    <w:rsid w:val="009A3BA9"/>
    <w:rsid w:val="009A673F"/>
    <w:rsid w:val="009B0913"/>
    <w:rsid w:val="009B5CFD"/>
    <w:rsid w:val="009B6ADA"/>
    <w:rsid w:val="009B7D40"/>
    <w:rsid w:val="009C1EC6"/>
    <w:rsid w:val="009C2895"/>
    <w:rsid w:val="009C5B2A"/>
    <w:rsid w:val="009C6019"/>
    <w:rsid w:val="009C7A87"/>
    <w:rsid w:val="009C7BB4"/>
    <w:rsid w:val="009D0718"/>
    <w:rsid w:val="009D1F99"/>
    <w:rsid w:val="009D27B4"/>
    <w:rsid w:val="009D6CB8"/>
    <w:rsid w:val="009E2AEB"/>
    <w:rsid w:val="009E4992"/>
    <w:rsid w:val="009E549B"/>
    <w:rsid w:val="009F3508"/>
    <w:rsid w:val="009F3B5D"/>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7B3"/>
    <w:rsid w:val="00A50BE2"/>
    <w:rsid w:val="00A51058"/>
    <w:rsid w:val="00A514C8"/>
    <w:rsid w:val="00A515A5"/>
    <w:rsid w:val="00A52660"/>
    <w:rsid w:val="00A53A45"/>
    <w:rsid w:val="00A54890"/>
    <w:rsid w:val="00A55B7D"/>
    <w:rsid w:val="00A653DB"/>
    <w:rsid w:val="00A66587"/>
    <w:rsid w:val="00A70406"/>
    <w:rsid w:val="00A71C38"/>
    <w:rsid w:val="00A72C47"/>
    <w:rsid w:val="00A7630B"/>
    <w:rsid w:val="00A77679"/>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3BE9"/>
    <w:rsid w:val="00AB75B1"/>
    <w:rsid w:val="00AC0066"/>
    <w:rsid w:val="00AC16E2"/>
    <w:rsid w:val="00AC37E2"/>
    <w:rsid w:val="00AC39C3"/>
    <w:rsid w:val="00AC3A2B"/>
    <w:rsid w:val="00AC48C3"/>
    <w:rsid w:val="00AC79E7"/>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1A8"/>
    <w:rsid w:val="00B04824"/>
    <w:rsid w:val="00B04AB2"/>
    <w:rsid w:val="00B0737C"/>
    <w:rsid w:val="00B10876"/>
    <w:rsid w:val="00B10DD9"/>
    <w:rsid w:val="00B11277"/>
    <w:rsid w:val="00B11CFD"/>
    <w:rsid w:val="00B154D5"/>
    <w:rsid w:val="00B17707"/>
    <w:rsid w:val="00B20098"/>
    <w:rsid w:val="00B20DBE"/>
    <w:rsid w:val="00B22A54"/>
    <w:rsid w:val="00B23068"/>
    <w:rsid w:val="00B321C1"/>
    <w:rsid w:val="00B341CA"/>
    <w:rsid w:val="00B35594"/>
    <w:rsid w:val="00B376BC"/>
    <w:rsid w:val="00B40A75"/>
    <w:rsid w:val="00B43A8C"/>
    <w:rsid w:val="00B44647"/>
    <w:rsid w:val="00B457ED"/>
    <w:rsid w:val="00B45E06"/>
    <w:rsid w:val="00B465D6"/>
    <w:rsid w:val="00B475CA"/>
    <w:rsid w:val="00B50332"/>
    <w:rsid w:val="00B518BA"/>
    <w:rsid w:val="00B51E66"/>
    <w:rsid w:val="00B5332F"/>
    <w:rsid w:val="00B54095"/>
    <w:rsid w:val="00B546E9"/>
    <w:rsid w:val="00B56420"/>
    <w:rsid w:val="00B61964"/>
    <w:rsid w:val="00B62FFC"/>
    <w:rsid w:val="00B63DE0"/>
    <w:rsid w:val="00B742B9"/>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597"/>
    <w:rsid w:val="00BD2BCF"/>
    <w:rsid w:val="00BD2DF8"/>
    <w:rsid w:val="00BD2F4B"/>
    <w:rsid w:val="00BE35A9"/>
    <w:rsid w:val="00BE669E"/>
    <w:rsid w:val="00BE6A24"/>
    <w:rsid w:val="00BF0DBC"/>
    <w:rsid w:val="00BF243A"/>
    <w:rsid w:val="00BF3B08"/>
    <w:rsid w:val="00BF4C0F"/>
    <w:rsid w:val="00C003D7"/>
    <w:rsid w:val="00C00B66"/>
    <w:rsid w:val="00C03A2E"/>
    <w:rsid w:val="00C040F7"/>
    <w:rsid w:val="00C04963"/>
    <w:rsid w:val="00C11D6C"/>
    <w:rsid w:val="00C12DB9"/>
    <w:rsid w:val="00C165B5"/>
    <w:rsid w:val="00C2126B"/>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4830"/>
    <w:rsid w:val="00C75BA5"/>
    <w:rsid w:val="00C77709"/>
    <w:rsid w:val="00C777B1"/>
    <w:rsid w:val="00C86426"/>
    <w:rsid w:val="00C9018E"/>
    <w:rsid w:val="00C91A00"/>
    <w:rsid w:val="00C92E9B"/>
    <w:rsid w:val="00CA61A0"/>
    <w:rsid w:val="00CA7069"/>
    <w:rsid w:val="00CB1069"/>
    <w:rsid w:val="00CB4F67"/>
    <w:rsid w:val="00CC17D6"/>
    <w:rsid w:val="00CC2141"/>
    <w:rsid w:val="00CC434F"/>
    <w:rsid w:val="00CC527B"/>
    <w:rsid w:val="00CC5734"/>
    <w:rsid w:val="00CC72EF"/>
    <w:rsid w:val="00CC7331"/>
    <w:rsid w:val="00CD06C3"/>
    <w:rsid w:val="00CD0EA6"/>
    <w:rsid w:val="00CD1349"/>
    <w:rsid w:val="00CD25B1"/>
    <w:rsid w:val="00CD5EC7"/>
    <w:rsid w:val="00CD618E"/>
    <w:rsid w:val="00CD6ADC"/>
    <w:rsid w:val="00CE2021"/>
    <w:rsid w:val="00CE3F26"/>
    <w:rsid w:val="00CF3421"/>
    <w:rsid w:val="00CF4EEF"/>
    <w:rsid w:val="00CF5F19"/>
    <w:rsid w:val="00CF6645"/>
    <w:rsid w:val="00CF79F9"/>
    <w:rsid w:val="00D00441"/>
    <w:rsid w:val="00D00885"/>
    <w:rsid w:val="00D0089A"/>
    <w:rsid w:val="00D106DD"/>
    <w:rsid w:val="00D14B88"/>
    <w:rsid w:val="00D203DA"/>
    <w:rsid w:val="00D20C81"/>
    <w:rsid w:val="00D23D4C"/>
    <w:rsid w:val="00D25C5E"/>
    <w:rsid w:val="00D31451"/>
    <w:rsid w:val="00D31F0C"/>
    <w:rsid w:val="00D35C64"/>
    <w:rsid w:val="00D439C8"/>
    <w:rsid w:val="00D44BFA"/>
    <w:rsid w:val="00D47BC1"/>
    <w:rsid w:val="00D47E91"/>
    <w:rsid w:val="00D5060B"/>
    <w:rsid w:val="00D60CCA"/>
    <w:rsid w:val="00D61824"/>
    <w:rsid w:val="00D61C26"/>
    <w:rsid w:val="00D62745"/>
    <w:rsid w:val="00D62A31"/>
    <w:rsid w:val="00D640B7"/>
    <w:rsid w:val="00D6582B"/>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944D1"/>
    <w:rsid w:val="00D965C7"/>
    <w:rsid w:val="00D974C4"/>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1CF3"/>
    <w:rsid w:val="00E12660"/>
    <w:rsid w:val="00E17027"/>
    <w:rsid w:val="00E20604"/>
    <w:rsid w:val="00E2315E"/>
    <w:rsid w:val="00E23AAE"/>
    <w:rsid w:val="00E2466A"/>
    <w:rsid w:val="00E26D6F"/>
    <w:rsid w:val="00E30785"/>
    <w:rsid w:val="00E30F43"/>
    <w:rsid w:val="00E36270"/>
    <w:rsid w:val="00E3797A"/>
    <w:rsid w:val="00E40A16"/>
    <w:rsid w:val="00E44FA9"/>
    <w:rsid w:val="00E47C23"/>
    <w:rsid w:val="00E5074A"/>
    <w:rsid w:val="00E5236A"/>
    <w:rsid w:val="00E56F95"/>
    <w:rsid w:val="00E6022A"/>
    <w:rsid w:val="00E62F1E"/>
    <w:rsid w:val="00E63A8F"/>
    <w:rsid w:val="00E64F45"/>
    <w:rsid w:val="00E7109B"/>
    <w:rsid w:val="00E71810"/>
    <w:rsid w:val="00E755CA"/>
    <w:rsid w:val="00E83556"/>
    <w:rsid w:val="00E87F7D"/>
    <w:rsid w:val="00E9506C"/>
    <w:rsid w:val="00E97FCF"/>
    <w:rsid w:val="00EA2A8C"/>
    <w:rsid w:val="00EA2B57"/>
    <w:rsid w:val="00EA390C"/>
    <w:rsid w:val="00EA6193"/>
    <w:rsid w:val="00EB3E2A"/>
    <w:rsid w:val="00EB6910"/>
    <w:rsid w:val="00EB6DA5"/>
    <w:rsid w:val="00EB7B1A"/>
    <w:rsid w:val="00EC7E4C"/>
    <w:rsid w:val="00ED06B2"/>
    <w:rsid w:val="00ED0D5E"/>
    <w:rsid w:val="00ED248F"/>
    <w:rsid w:val="00ED335A"/>
    <w:rsid w:val="00ED76B9"/>
    <w:rsid w:val="00EE4A27"/>
    <w:rsid w:val="00EE6AE2"/>
    <w:rsid w:val="00EE7CB4"/>
    <w:rsid w:val="00EF285F"/>
    <w:rsid w:val="00EF3871"/>
    <w:rsid w:val="00EF3A51"/>
    <w:rsid w:val="00EF4967"/>
    <w:rsid w:val="00EF5AB0"/>
    <w:rsid w:val="00EF796B"/>
    <w:rsid w:val="00F01D9B"/>
    <w:rsid w:val="00F03F8B"/>
    <w:rsid w:val="00F043B2"/>
    <w:rsid w:val="00F04B34"/>
    <w:rsid w:val="00F04EC5"/>
    <w:rsid w:val="00F11319"/>
    <w:rsid w:val="00F11598"/>
    <w:rsid w:val="00F1188A"/>
    <w:rsid w:val="00F123F6"/>
    <w:rsid w:val="00F166FF"/>
    <w:rsid w:val="00F1790F"/>
    <w:rsid w:val="00F2138F"/>
    <w:rsid w:val="00F224C3"/>
    <w:rsid w:val="00F2406A"/>
    <w:rsid w:val="00F254AF"/>
    <w:rsid w:val="00F302DD"/>
    <w:rsid w:val="00F31D20"/>
    <w:rsid w:val="00F3356E"/>
    <w:rsid w:val="00F344E6"/>
    <w:rsid w:val="00F3705F"/>
    <w:rsid w:val="00F4166B"/>
    <w:rsid w:val="00F42400"/>
    <w:rsid w:val="00F42930"/>
    <w:rsid w:val="00F444B9"/>
    <w:rsid w:val="00F45661"/>
    <w:rsid w:val="00F512FE"/>
    <w:rsid w:val="00F52CE6"/>
    <w:rsid w:val="00F538E0"/>
    <w:rsid w:val="00F5465E"/>
    <w:rsid w:val="00F57033"/>
    <w:rsid w:val="00F57481"/>
    <w:rsid w:val="00F6436A"/>
    <w:rsid w:val="00F6582B"/>
    <w:rsid w:val="00F6622D"/>
    <w:rsid w:val="00F82485"/>
    <w:rsid w:val="00F95A8E"/>
    <w:rsid w:val="00FA596D"/>
    <w:rsid w:val="00FA602E"/>
    <w:rsid w:val="00FA63F5"/>
    <w:rsid w:val="00FB07CE"/>
    <w:rsid w:val="00FB2F3F"/>
    <w:rsid w:val="00FB7F81"/>
    <w:rsid w:val="00FC06EE"/>
    <w:rsid w:val="00FC074E"/>
    <w:rsid w:val="00FC34CD"/>
    <w:rsid w:val="00FC43F9"/>
    <w:rsid w:val="00FC4B3C"/>
    <w:rsid w:val="00FC5217"/>
    <w:rsid w:val="00FD5834"/>
    <w:rsid w:val="00FD7454"/>
    <w:rsid w:val="00FE04D5"/>
    <w:rsid w:val="00FE4ACC"/>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purl.org/dc/elements/1.1/"/>
    <ds:schemaRef ds:uri="dac9a443-8d88-4550-8b1d-ec98a50d73a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12f66ad-72bb-4b79-b69e-c3800ca531fd"/>
    <ds:schemaRef ds:uri="http://purl.org/dc/terms/"/>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6B198F78-79D5-44B4-8775-12633257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Niamh McMahon</cp:lastModifiedBy>
  <cp:revision>2</cp:revision>
  <cp:lastPrinted>2023-11-23T18:41:00Z</cp:lastPrinted>
  <dcterms:created xsi:type="dcterms:W3CDTF">2023-11-24T17:48:00Z</dcterms:created>
  <dcterms:modified xsi:type="dcterms:W3CDTF">2023-11-24T17:48:00Z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