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3"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4"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5"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pPr>
        <w:pStyle w:val="BodyText"/>
        <w:widowControl/>
        <w:numPr>
          <w:ilvl w:val="0"/>
          <w:numId w:val="15"/>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pPr>
        <w:pStyle w:val="BodyText"/>
        <w:widowControl/>
        <w:numPr>
          <w:ilvl w:val="0"/>
          <w:numId w:val="15"/>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CB2CA6" w:rsidRDefault="00C3318F">
      <w:pPr>
        <w:pStyle w:val="BodyText"/>
        <w:widowControl/>
        <w:numPr>
          <w:ilvl w:val="0"/>
          <w:numId w:val="15"/>
        </w:numPr>
        <w:autoSpaceDE/>
        <w:autoSpaceDN/>
        <w:rPr>
          <w:rFonts w:ascii="Avenir Next" w:hAnsi="Avenir Next"/>
          <w:highlight w:val="yellow"/>
        </w:rPr>
      </w:pPr>
      <w:r w:rsidRPr="00CB2CA6">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pPr>
        <w:pStyle w:val="BodyText"/>
        <w:widowControl/>
        <w:numPr>
          <w:ilvl w:val="0"/>
          <w:numId w:val="15"/>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pPr>
        <w:pStyle w:val="BodyText"/>
        <w:widowControl/>
        <w:numPr>
          <w:ilvl w:val="0"/>
          <w:numId w:val="16"/>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pPr>
        <w:pStyle w:val="BodyText"/>
        <w:widowControl/>
        <w:numPr>
          <w:ilvl w:val="0"/>
          <w:numId w:val="16"/>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pPr>
        <w:pStyle w:val="BodyText"/>
        <w:widowControl/>
        <w:numPr>
          <w:ilvl w:val="0"/>
          <w:numId w:val="16"/>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A71A6F" w:rsidRDefault="00957995">
      <w:pPr>
        <w:pStyle w:val="BodyText"/>
        <w:widowControl/>
        <w:numPr>
          <w:ilvl w:val="0"/>
          <w:numId w:val="16"/>
        </w:numPr>
        <w:autoSpaceDE/>
        <w:autoSpaceDN/>
        <w:rPr>
          <w:rFonts w:ascii="Avenir Next" w:hAnsi="Avenir Next"/>
          <w:highlight w:val="yellow"/>
        </w:rPr>
      </w:pPr>
      <w:r w:rsidRPr="00A71A6F">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pPr>
        <w:pStyle w:val="BodyText"/>
        <w:widowControl/>
        <w:numPr>
          <w:ilvl w:val="0"/>
          <w:numId w:val="5"/>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A71A6F" w:rsidRDefault="001F2690">
      <w:pPr>
        <w:pStyle w:val="BodyText"/>
        <w:widowControl/>
        <w:numPr>
          <w:ilvl w:val="0"/>
          <w:numId w:val="5"/>
        </w:numPr>
        <w:autoSpaceDE/>
        <w:autoSpaceDN/>
        <w:ind w:left="709" w:hanging="709"/>
        <w:rPr>
          <w:rFonts w:ascii="Avenir Next" w:hAnsi="Avenir Next"/>
          <w:highlight w:val="yellow"/>
        </w:rPr>
      </w:pPr>
      <w:r w:rsidRPr="00A71A6F">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pPr>
        <w:pStyle w:val="BodyText"/>
        <w:widowControl/>
        <w:numPr>
          <w:ilvl w:val="0"/>
          <w:numId w:val="5"/>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pPr>
        <w:pStyle w:val="BodyText"/>
        <w:widowControl/>
        <w:numPr>
          <w:ilvl w:val="0"/>
          <w:numId w:val="5"/>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A71A6F" w:rsidRDefault="00785937">
      <w:pPr>
        <w:pStyle w:val="ListParagraph"/>
        <w:numPr>
          <w:ilvl w:val="0"/>
          <w:numId w:val="6"/>
        </w:numPr>
        <w:spacing w:after="0" w:line="240" w:lineRule="auto"/>
        <w:ind w:left="709" w:hanging="709"/>
        <w:rPr>
          <w:rFonts w:ascii="Avenir Next" w:hAnsi="Avenir Next" w:cs="Arial"/>
          <w:highlight w:val="yellow"/>
          <w:lang w:val="en-GB"/>
        </w:rPr>
      </w:pPr>
      <w:r w:rsidRPr="00A71A6F">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6E060C" w:rsidRDefault="00785937">
      <w:pPr>
        <w:pStyle w:val="ListParagraph"/>
        <w:numPr>
          <w:ilvl w:val="0"/>
          <w:numId w:val="7"/>
        </w:numPr>
        <w:spacing w:after="0" w:line="240" w:lineRule="auto"/>
        <w:ind w:left="709" w:hanging="709"/>
        <w:rPr>
          <w:rFonts w:ascii="Avenir Next" w:hAnsi="Avenir Next" w:cs="Arial"/>
          <w:lang w:val="en-GB"/>
        </w:rPr>
      </w:pPr>
      <w:r w:rsidRPr="00A90BF1">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6E060C" w:rsidRDefault="00F42400">
      <w:pPr>
        <w:pStyle w:val="ListParagraph"/>
        <w:numPr>
          <w:ilvl w:val="0"/>
          <w:numId w:val="9"/>
        </w:numPr>
        <w:spacing w:after="0" w:line="240" w:lineRule="auto"/>
        <w:ind w:left="709" w:hanging="709"/>
        <w:rPr>
          <w:rFonts w:ascii="Avenir Next" w:hAnsi="Avenir Next"/>
          <w:lang w:val="en-GB"/>
        </w:rPr>
      </w:pPr>
      <w:r w:rsidRPr="00A90BF1">
        <w:rPr>
          <w:rFonts w:ascii="Avenir Next" w:hAnsi="Avenir Next"/>
          <w:highlight w:val="yellow"/>
          <w:lang w:val="en-GB"/>
        </w:rPr>
        <w:t>W</w:t>
      </w:r>
      <w:r w:rsidR="004A11A1" w:rsidRPr="00A90BF1">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2A3EC7" w:rsidRDefault="004A11A1">
      <w:pPr>
        <w:pStyle w:val="ListParagraph"/>
        <w:numPr>
          <w:ilvl w:val="0"/>
          <w:numId w:val="10"/>
        </w:numPr>
        <w:spacing w:after="0" w:line="240" w:lineRule="auto"/>
        <w:ind w:left="709" w:hanging="709"/>
        <w:rPr>
          <w:rFonts w:ascii="Avenir Next" w:hAnsi="Avenir Next"/>
          <w:highlight w:val="yellow"/>
          <w:lang w:val="en-GB"/>
        </w:rPr>
      </w:pPr>
      <w:r w:rsidRPr="002A3EC7">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2A3EC7" w:rsidRDefault="004A11A1">
      <w:pPr>
        <w:pStyle w:val="ListParagraph"/>
        <w:numPr>
          <w:ilvl w:val="0"/>
          <w:numId w:val="12"/>
        </w:numPr>
        <w:spacing w:after="0" w:line="240" w:lineRule="auto"/>
        <w:ind w:left="709" w:hanging="709"/>
        <w:rPr>
          <w:rFonts w:ascii="Avenir Next" w:hAnsi="Avenir Next"/>
          <w:highlight w:val="yellow"/>
          <w:lang w:val="en-GB"/>
        </w:rPr>
      </w:pPr>
      <w:r w:rsidRPr="002A3EC7">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8E7D35" w:rsidRDefault="004A11A1">
      <w:pPr>
        <w:pStyle w:val="ListParagraph"/>
        <w:numPr>
          <w:ilvl w:val="0"/>
          <w:numId w:val="11"/>
        </w:numPr>
        <w:spacing w:after="0" w:line="240" w:lineRule="auto"/>
        <w:ind w:left="709" w:hanging="709"/>
        <w:rPr>
          <w:rFonts w:ascii="Avenir Next" w:hAnsi="Avenir Next"/>
          <w:highlight w:val="yellow"/>
          <w:lang w:val="en-GB"/>
        </w:rPr>
      </w:pPr>
      <w:r w:rsidRPr="008E7D35">
        <w:rPr>
          <w:rFonts w:ascii="Avenir Next" w:hAnsi="Avenir Next"/>
          <w:highlight w:val="yellow"/>
          <w:lang w:val="en-GB"/>
        </w:rPr>
        <w:t>within 21 days of the petition being filed</w:t>
      </w:r>
      <w:r w:rsidR="003721B7" w:rsidRPr="008E7D35">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6E060C" w:rsidRDefault="003721B7">
      <w:pPr>
        <w:pStyle w:val="ListParagraph"/>
        <w:numPr>
          <w:ilvl w:val="1"/>
          <w:numId w:val="8"/>
        </w:numPr>
        <w:spacing w:after="0" w:line="240" w:lineRule="auto"/>
        <w:ind w:left="709" w:hanging="709"/>
        <w:jc w:val="left"/>
        <w:rPr>
          <w:rFonts w:ascii="Avenir Next" w:hAnsi="Avenir Next"/>
          <w:color w:val="00B0F0"/>
          <w:lang w:val="en-GB"/>
        </w:rPr>
      </w:pPr>
      <w:r w:rsidRPr="008E7D35">
        <w:rPr>
          <w:rFonts w:ascii="Avenir Next" w:hAnsi="Avenir Next"/>
          <w:highlight w:val="yellow"/>
          <w:lang w:val="en-GB"/>
        </w:rPr>
        <w:t>c</w:t>
      </w:r>
      <w:r w:rsidR="004A11A1" w:rsidRPr="008E7D35">
        <w:rPr>
          <w:rFonts w:ascii="Avenir Next" w:hAnsi="Avenir Next"/>
          <w:highlight w:val="yellow"/>
          <w:lang w:val="en-GB"/>
        </w:rPr>
        <w:t>an only proceed if there are shareholders / creditors who may not agree with it</w:t>
      </w:r>
      <w:r w:rsidR="004A11A1" w:rsidRPr="008E7D35">
        <w:rPr>
          <w:rFonts w:ascii="Avenir Next" w:hAnsi="Avenir Next"/>
          <w:color w:val="00B0F0"/>
          <w:highlight w:val="yellow"/>
          <w:lang w:val="en-GB"/>
        </w:rPr>
        <w:t>.</w:t>
      </w:r>
      <w:r w:rsidR="004A11A1" w:rsidRPr="006E060C">
        <w:rPr>
          <w:rFonts w:ascii="Avenir Next" w:hAnsi="Avenir Next"/>
          <w:color w:val="00B0F0"/>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D84852" w:rsidRDefault="00B341CA">
      <w:pPr>
        <w:pStyle w:val="ListParagraph"/>
        <w:numPr>
          <w:ilvl w:val="0"/>
          <w:numId w:val="13"/>
        </w:numPr>
        <w:spacing w:after="0" w:line="240" w:lineRule="auto"/>
        <w:ind w:left="709" w:hanging="709"/>
        <w:rPr>
          <w:rFonts w:ascii="Avenir Next" w:hAnsi="Avenir Next"/>
          <w:highlight w:val="yellow"/>
          <w:lang w:val="en-GB"/>
        </w:rPr>
      </w:pPr>
      <w:r w:rsidRPr="00D84852">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8E0EB5" w:rsidRDefault="00B341CA">
      <w:pPr>
        <w:pStyle w:val="ListParagraph"/>
        <w:numPr>
          <w:ilvl w:val="0"/>
          <w:numId w:val="14"/>
        </w:numPr>
        <w:spacing w:after="0" w:line="240" w:lineRule="auto"/>
        <w:ind w:left="709" w:hanging="709"/>
        <w:rPr>
          <w:rFonts w:ascii="Avenir Next" w:hAnsi="Avenir Next"/>
          <w:highlight w:val="yellow"/>
          <w:lang w:val="en-GB"/>
        </w:rPr>
      </w:pPr>
      <w:r w:rsidRPr="008E0EB5">
        <w:rPr>
          <w:rFonts w:ascii="Avenir Next" w:hAnsi="Avenir Next"/>
          <w:highlight w:val="yellow"/>
          <w:lang w:val="en-GB"/>
        </w:rPr>
        <w:t xml:space="preserve">The Cayman Islands </w:t>
      </w:r>
      <w:r w:rsidR="00512319" w:rsidRPr="008E0EB5">
        <w:rPr>
          <w:rFonts w:ascii="Avenir Next" w:hAnsi="Avenir Next"/>
          <w:highlight w:val="yellow"/>
          <w:lang w:val="en-GB"/>
        </w:rPr>
        <w:t>C</w:t>
      </w:r>
      <w:r w:rsidRPr="008E0EB5">
        <w:rPr>
          <w:rFonts w:ascii="Avenir Next" w:hAnsi="Avenir Next"/>
          <w:highlight w:val="yellow"/>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pPr>
        <w:numPr>
          <w:ilvl w:val="0"/>
          <w:numId w:val="1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8E0EB5" w:rsidRDefault="00BD0DC2">
      <w:pPr>
        <w:numPr>
          <w:ilvl w:val="0"/>
          <w:numId w:val="17"/>
        </w:numPr>
        <w:ind w:left="709" w:hanging="709"/>
        <w:rPr>
          <w:rFonts w:cs="Calibri"/>
          <w:color w:val="000000"/>
          <w:highlight w:val="yellow"/>
          <w:lang w:val="en-ZA" w:eastAsia="en-GB"/>
        </w:rPr>
      </w:pPr>
      <w:r w:rsidRPr="008E0EB5">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8E0EB5">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pPr>
        <w:numPr>
          <w:ilvl w:val="0"/>
          <w:numId w:val="1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pPr>
        <w:numPr>
          <w:ilvl w:val="0"/>
          <w:numId w:val="1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pPr>
        <w:numPr>
          <w:ilvl w:val="0"/>
          <w:numId w:val="1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pPr>
        <w:numPr>
          <w:ilvl w:val="0"/>
          <w:numId w:val="1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pPr>
        <w:numPr>
          <w:ilvl w:val="0"/>
          <w:numId w:val="1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6738AE" w:rsidRDefault="00BD0DC2">
      <w:pPr>
        <w:numPr>
          <w:ilvl w:val="0"/>
          <w:numId w:val="18"/>
        </w:numPr>
        <w:ind w:left="709" w:hanging="709"/>
        <w:rPr>
          <w:rFonts w:cs="Calibri"/>
          <w:color w:val="000000"/>
          <w:highlight w:val="yellow"/>
          <w:lang w:val="en-ZA" w:eastAsia="en-GB"/>
        </w:rPr>
      </w:pPr>
      <w:r w:rsidRPr="006738AE">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6738AE" w:rsidRDefault="00BD0DC2">
      <w:pPr>
        <w:numPr>
          <w:ilvl w:val="0"/>
          <w:numId w:val="19"/>
        </w:numPr>
        <w:ind w:left="709" w:hanging="709"/>
        <w:rPr>
          <w:rFonts w:cs="Calibri"/>
          <w:color w:val="000000"/>
          <w:highlight w:val="yellow"/>
          <w:lang w:val="en-ZA" w:eastAsia="en-GB"/>
        </w:rPr>
      </w:pPr>
      <w:r w:rsidRPr="006738AE">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pPr>
        <w:numPr>
          <w:ilvl w:val="0"/>
          <w:numId w:val="1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pPr>
        <w:numPr>
          <w:ilvl w:val="0"/>
          <w:numId w:val="2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6738AE" w:rsidRDefault="00BD0DC2">
      <w:pPr>
        <w:numPr>
          <w:ilvl w:val="0"/>
          <w:numId w:val="20"/>
        </w:numPr>
        <w:ind w:left="709" w:hanging="709"/>
        <w:rPr>
          <w:rFonts w:cs="Calibri"/>
          <w:color w:val="000000"/>
          <w:highlight w:val="yellow"/>
          <w:lang w:val="en-ZA" w:eastAsia="en-GB"/>
        </w:rPr>
      </w:pPr>
      <w:r w:rsidRPr="006738AE">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pPr>
        <w:numPr>
          <w:ilvl w:val="0"/>
          <w:numId w:val="2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pPr>
        <w:numPr>
          <w:ilvl w:val="0"/>
          <w:numId w:val="2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pPr>
        <w:numPr>
          <w:ilvl w:val="0"/>
          <w:numId w:val="2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6E060C" w:rsidRDefault="00BD0DC2">
      <w:pPr>
        <w:numPr>
          <w:ilvl w:val="0"/>
          <w:numId w:val="21"/>
        </w:numPr>
        <w:ind w:left="709" w:hanging="709"/>
        <w:rPr>
          <w:rFonts w:cs="Calibri"/>
          <w:color w:val="000000"/>
          <w:lang w:val="en-ZA" w:eastAsia="en-GB"/>
        </w:rPr>
      </w:pPr>
      <w:r w:rsidRPr="00F00BBE">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pPr>
        <w:numPr>
          <w:ilvl w:val="0"/>
          <w:numId w:val="2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pPr>
        <w:numPr>
          <w:ilvl w:val="0"/>
          <w:numId w:val="2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C55C1B" w:rsidRDefault="00BD0DC2">
      <w:pPr>
        <w:numPr>
          <w:ilvl w:val="0"/>
          <w:numId w:val="22"/>
        </w:numPr>
        <w:ind w:left="709" w:hanging="709"/>
        <w:rPr>
          <w:rFonts w:cs="Calibri"/>
          <w:color w:val="000000"/>
          <w:highlight w:val="yellow"/>
          <w:lang w:val="en-ZA" w:eastAsia="en-GB"/>
        </w:rPr>
      </w:pPr>
      <w:r w:rsidRPr="00C55C1B">
        <w:rPr>
          <w:rFonts w:cs="Calibri"/>
          <w:color w:val="000000"/>
          <w:highlight w:val="yellow"/>
          <w:lang w:val="en-ZA" w:eastAsia="en-GB"/>
        </w:rPr>
        <w:t>The company has the statutory power to commence the proceedings</w:t>
      </w:r>
      <w:r w:rsidR="00BD2F4B" w:rsidRPr="00C55C1B">
        <w:rPr>
          <w:rFonts w:cs="Calibri"/>
          <w:color w:val="000000"/>
          <w:highlight w:val="yellow"/>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pPr>
        <w:numPr>
          <w:ilvl w:val="0"/>
          <w:numId w:val="2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6E060C" w:rsidRDefault="00BD0DC2">
      <w:pPr>
        <w:numPr>
          <w:ilvl w:val="0"/>
          <w:numId w:val="22"/>
        </w:numPr>
        <w:ind w:left="709" w:hanging="709"/>
        <w:rPr>
          <w:rFonts w:cs="Calibri"/>
          <w:color w:val="000000"/>
          <w:lang w:val="en-ZA" w:eastAsia="en-GB"/>
        </w:rPr>
      </w:pPr>
      <w:r w:rsidRPr="006E060C">
        <w:rPr>
          <w:rFonts w:cs="Calibri"/>
          <w:color w:val="000000"/>
          <w:lang w:val="en-ZA" w:eastAsia="en-GB"/>
        </w:rPr>
        <w:t>A winding up petition must be presented as a precursor to the application for the provisional liquidation</w:t>
      </w:r>
      <w:r w:rsidR="00BD2F4B" w:rsidRPr="006E060C">
        <w:rPr>
          <w:rFonts w:cs="Calibri"/>
          <w:color w:val="000000"/>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pPr>
        <w:numPr>
          <w:ilvl w:val="0"/>
          <w:numId w:val="2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pPr>
        <w:numPr>
          <w:ilvl w:val="0"/>
          <w:numId w:val="2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C55C1B" w:rsidRDefault="00BD0DC2">
      <w:pPr>
        <w:numPr>
          <w:ilvl w:val="0"/>
          <w:numId w:val="24"/>
        </w:numPr>
        <w:ind w:left="709" w:hanging="709"/>
        <w:jc w:val="left"/>
        <w:rPr>
          <w:rFonts w:cs="Calibri"/>
          <w:color w:val="000000"/>
          <w:highlight w:val="yellow"/>
          <w:lang w:val="en-ZA" w:eastAsia="en-GB"/>
        </w:rPr>
      </w:pPr>
      <w:r w:rsidRPr="00C55C1B">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pPr>
        <w:numPr>
          <w:ilvl w:val="0"/>
          <w:numId w:val="2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pPr>
        <w:numPr>
          <w:ilvl w:val="0"/>
          <w:numId w:val="2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C55C1B" w:rsidRDefault="00BD0DC2">
      <w:pPr>
        <w:numPr>
          <w:ilvl w:val="0"/>
          <w:numId w:val="23"/>
        </w:numPr>
        <w:ind w:left="709" w:hanging="709"/>
        <w:jc w:val="left"/>
        <w:rPr>
          <w:rFonts w:cs="Calibri"/>
          <w:color w:val="000000"/>
          <w:highlight w:val="yellow"/>
          <w:lang w:val="en-ZA" w:eastAsia="en-GB"/>
        </w:rPr>
      </w:pPr>
      <w:r w:rsidRPr="00C55C1B">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pPr>
        <w:numPr>
          <w:ilvl w:val="0"/>
          <w:numId w:val="2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pPr>
        <w:numPr>
          <w:ilvl w:val="0"/>
          <w:numId w:val="2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pPr>
        <w:numPr>
          <w:ilvl w:val="0"/>
          <w:numId w:val="2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340E4B81" w14:textId="07A99AB0" w:rsidR="00775AA6" w:rsidRDefault="00775AA6"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The content of the proposed official liquidators’ consent to act is set out at Order 3, rule 4 of the Companies Winding Up Rules (2023 Consolidation)</w:t>
      </w:r>
      <w:r w:rsidR="0029347B">
        <w:rPr>
          <w:rFonts w:ascii="Avenir Next" w:hAnsi="Avenir Next"/>
          <w:color w:val="808080" w:themeColor="background1" w:themeShade="80"/>
        </w:rPr>
        <w:t>(“CWR”)</w:t>
      </w:r>
      <w:r>
        <w:rPr>
          <w:rFonts w:ascii="Avenir Next" w:hAnsi="Avenir Next"/>
          <w:color w:val="808080" w:themeColor="background1" w:themeShade="80"/>
        </w:rPr>
        <w:t xml:space="preserve"> and requires a sworn affidavit by the proposed liquidators stating:</w:t>
      </w:r>
    </w:p>
    <w:p w14:paraId="1B11BE5F" w14:textId="2627FCF5" w:rsidR="00775AA6" w:rsidRDefault="00775AA6">
      <w:pPr>
        <w:pStyle w:val="BodyText"/>
        <w:numPr>
          <w:ilvl w:val="0"/>
          <w:numId w:val="27"/>
        </w:numPr>
        <w:rPr>
          <w:rFonts w:ascii="Avenir Next" w:hAnsi="Avenir Next"/>
          <w:color w:val="808080" w:themeColor="background1" w:themeShade="80"/>
        </w:rPr>
      </w:pPr>
      <w:r>
        <w:rPr>
          <w:rFonts w:ascii="Avenir Next" w:hAnsi="Avenir Next"/>
          <w:color w:val="808080" w:themeColor="background1" w:themeShade="80"/>
        </w:rPr>
        <w:lastRenderedPageBreak/>
        <w:t>They are a qualified insolvency practitioner and meet the residency requirement contained in Regulation 5;</w:t>
      </w:r>
    </w:p>
    <w:p w14:paraId="671FFD99" w14:textId="4B8A8A3B" w:rsidR="00775AA6" w:rsidRDefault="00775AA6">
      <w:pPr>
        <w:pStyle w:val="BodyText"/>
        <w:numPr>
          <w:ilvl w:val="0"/>
          <w:numId w:val="27"/>
        </w:numPr>
        <w:rPr>
          <w:rFonts w:ascii="Avenir Next" w:hAnsi="Avenir Next"/>
          <w:color w:val="808080" w:themeColor="background1" w:themeShade="80"/>
        </w:rPr>
      </w:pPr>
      <w:r>
        <w:rPr>
          <w:rFonts w:ascii="Avenir Next" w:hAnsi="Avenir Next"/>
          <w:color w:val="808080" w:themeColor="background1" w:themeShade="80"/>
        </w:rPr>
        <w:t>Having made due enquiry, that person believes that that person and that person’s firm meeting the independence requirement contained in Regulation 6;</w:t>
      </w:r>
    </w:p>
    <w:p w14:paraId="1CE5D4EC" w14:textId="70B7752D" w:rsidR="00775AA6" w:rsidRDefault="00775AA6">
      <w:pPr>
        <w:pStyle w:val="BodyText"/>
        <w:numPr>
          <w:ilvl w:val="0"/>
          <w:numId w:val="27"/>
        </w:numPr>
        <w:rPr>
          <w:rFonts w:ascii="Avenir Next" w:hAnsi="Avenir Next"/>
          <w:color w:val="808080" w:themeColor="background1" w:themeShade="80"/>
        </w:rPr>
      </w:pPr>
      <w:r>
        <w:rPr>
          <w:rFonts w:ascii="Avenir Next" w:hAnsi="Avenir Next"/>
          <w:color w:val="808080" w:themeColor="background1" w:themeShade="80"/>
        </w:rPr>
        <w:t>That person and/or that person’s firm are in compliance with the insurance requirement contained in Regulation 7; and</w:t>
      </w:r>
    </w:p>
    <w:p w14:paraId="491725B3" w14:textId="23BB208F" w:rsidR="00775AA6" w:rsidRDefault="00775AA6">
      <w:pPr>
        <w:pStyle w:val="BodyText"/>
        <w:numPr>
          <w:ilvl w:val="0"/>
          <w:numId w:val="27"/>
        </w:numPr>
        <w:rPr>
          <w:rFonts w:ascii="Avenir Next" w:hAnsi="Avenir Next"/>
          <w:color w:val="808080" w:themeColor="background1" w:themeShade="80"/>
        </w:rPr>
      </w:pPr>
      <w:r>
        <w:rPr>
          <w:rFonts w:ascii="Avenir Next" w:hAnsi="Avenir Next"/>
          <w:color w:val="808080" w:themeColor="background1" w:themeShade="80"/>
        </w:rPr>
        <w:t xml:space="preserve">that person is willing to act as an official liquidator if so appointed. </w:t>
      </w:r>
    </w:p>
    <w:p w14:paraId="5CDCD3A2" w14:textId="1EAFC4D8" w:rsidR="00775AA6" w:rsidRDefault="00775AA6" w:rsidP="00775AA6">
      <w:pPr>
        <w:pStyle w:val="BodyText"/>
        <w:ind w:firstLine="0"/>
        <w:rPr>
          <w:rFonts w:ascii="Avenir Next" w:hAnsi="Avenir Next"/>
          <w:color w:val="808080" w:themeColor="background1" w:themeShade="80"/>
        </w:rPr>
      </w:pPr>
    </w:p>
    <w:p w14:paraId="581F67E3" w14:textId="5967702B" w:rsidR="00775AA6" w:rsidRPr="00775AA6" w:rsidRDefault="00775AA6" w:rsidP="00775AA6">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a sworn consent must be provided for each proposed liquidator. Should one of the proposed liquidators be a foreign practitioner, the foreign practitioner shall provide additional information </w:t>
      </w:r>
      <w:r w:rsidR="00E75B7B">
        <w:rPr>
          <w:rFonts w:ascii="Avenir Next" w:hAnsi="Avenir Next"/>
          <w:color w:val="808080" w:themeColor="background1" w:themeShade="80"/>
        </w:rPr>
        <w:t xml:space="preserve">related to </w:t>
      </w:r>
      <w:proofErr w:type="spellStart"/>
      <w:r w:rsidR="00E75B7B">
        <w:rPr>
          <w:rFonts w:ascii="Avenir Next" w:hAnsi="Avenir Next"/>
          <w:color w:val="808080" w:themeColor="background1" w:themeShade="80"/>
        </w:rPr>
        <w:t>interalia</w:t>
      </w:r>
      <w:proofErr w:type="spellEnd"/>
      <w:r w:rsidR="00E75B7B">
        <w:rPr>
          <w:rFonts w:ascii="Avenir Next" w:hAnsi="Avenir Next"/>
          <w:color w:val="808080" w:themeColor="background1" w:themeShade="80"/>
        </w:rPr>
        <w:t xml:space="preserve"> professional competency and experience as set out at Order 4, rule 3 (2)</w:t>
      </w:r>
      <w:r w:rsidR="0029347B">
        <w:rPr>
          <w:rFonts w:ascii="Avenir Next" w:hAnsi="Avenir Next"/>
          <w:color w:val="808080" w:themeColor="background1" w:themeShade="80"/>
        </w:rPr>
        <w:t xml:space="preserve"> of the CWR</w:t>
      </w:r>
      <w:r w:rsidR="00E75B7B">
        <w:rPr>
          <w:rFonts w:ascii="Avenir Next" w:hAnsi="Avenir Next"/>
          <w:color w:val="808080" w:themeColor="background1" w:themeShade="80"/>
        </w:rPr>
        <w:t xml:space="preserve">. </w:t>
      </w:r>
    </w:p>
    <w:p w14:paraId="75FE0193" w14:textId="77777777" w:rsidR="00A51058" w:rsidRPr="002A2B0D" w:rsidRDefault="00A51058" w:rsidP="002A2B0D">
      <w:pPr>
        <w:pStyle w:val="BodyText"/>
        <w:ind w:left="709" w:hanging="709"/>
        <w:rPr>
          <w:rFonts w:ascii="Avenir Next" w:hAnsi="Avenir Next"/>
          <w:b/>
          <w:bCs/>
        </w:rPr>
      </w:pP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4318ACEF" w14:textId="07888F72" w:rsidR="00A51058" w:rsidRDefault="00134432"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proposed liquidators are subject to the IESBA Code of Ethics (the “Code”) as dictated by the Cayman Islands Institute or Professional Accountants (“CIIPA”). These standards provide the fundamental principles for proposed liquidators and their conduct. The Code seeks to provide guidance on business relationships which could potentially </w:t>
      </w:r>
      <w:r w:rsidR="004727D2">
        <w:rPr>
          <w:rFonts w:ascii="Avenir Next" w:hAnsi="Avenir Next"/>
          <w:color w:val="808080" w:themeColor="background1" w:themeShade="80"/>
        </w:rPr>
        <w:t>impair</w:t>
      </w:r>
      <w:r>
        <w:rPr>
          <w:rFonts w:ascii="Avenir Next" w:hAnsi="Avenir Next"/>
          <w:color w:val="808080" w:themeColor="background1" w:themeShade="80"/>
        </w:rPr>
        <w:t xml:space="preserve"> </w:t>
      </w:r>
      <w:r w:rsidR="004727D2">
        <w:rPr>
          <w:rFonts w:ascii="Avenir Next" w:hAnsi="Avenir Next"/>
          <w:color w:val="808080" w:themeColor="background1" w:themeShade="80"/>
        </w:rPr>
        <w:t xml:space="preserve">a liquidator’s ability to comply with the fundamental principles. In this instance, the auditing relationship was within the last three years and the potential appointment is official rather than voluntary. In this instance, the proposed liquidators are prohibited from accepting the appointment as official liquidators of </w:t>
      </w:r>
      <w:proofErr w:type="spellStart"/>
      <w:r w:rsidR="004727D2">
        <w:rPr>
          <w:rFonts w:ascii="Avenir Next" w:hAnsi="Avenir Next"/>
          <w:color w:val="808080" w:themeColor="background1" w:themeShade="80"/>
        </w:rPr>
        <w:t>Bluesea</w:t>
      </w:r>
      <w:proofErr w:type="spellEnd"/>
      <w:r w:rsidR="004727D2">
        <w:rPr>
          <w:rFonts w:ascii="Avenir Next" w:hAnsi="Avenir Next"/>
          <w:color w:val="808080" w:themeColor="background1" w:themeShade="80"/>
        </w:rPr>
        <w:t xml:space="preserve">. </w:t>
      </w:r>
    </w:p>
    <w:p w14:paraId="1CF3B18D" w14:textId="4BEF3D59" w:rsidR="004727D2" w:rsidRDefault="004727D2" w:rsidP="00A51058">
      <w:pPr>
        <w:pStyle w:val="BodyText"/>
        <w:ind w:firstLine="0"/>
        <w:rPr>
          <w:rFonts w:ascii="Avenir Next" w:hAnsi="Avenir Next"/>
          <w:color w:val="808080" w:themeColor="background1" w:themeShade="80"/>
        </w:rPr>
      </w:pPr>
    </w:p>
    <w:p w14:paraId="341151FB" w14:textId="27FF4320" w:rsidR="004727D2" w:rsidRPr="00486A0B" w:rsidRDefault="004727D2" w:rsidP="00A51058">
      <w:pPr>
        <w:pStyle w:val="BodyText"/>
        <w:ind w:firstLine="0"/>
        <w:rPr>
          <w:rFonts w:ascii="Avenir Next" w:hAnsi="Avenir Next"/>
          <w:b/>
          <w:bCs/>
        </w:rPr>
      </w:pPr>
      <w:r>
        <w:rPr>
          <w:rFonts w:ascii="Avenir Next" w:hAnsi="Avenir Next"/>
          <w:color w:val="808080" w:themeColor="background1" w:themeShade="80"/>
        </w:rPr>
        <w:t>Dependent on the current stage of the process, the proposed liquidators should with</w:t>
      </w:r>
      <w:r w:rsidR="0029347B">
        <w:rPr>
          <w:rFonts w:ascii="Avenir Next" w:hAnsi="Avenir Next"/>
          <w:color w:val="808080" w:themeColor="background1" w:themeShade="80"/>
        </w:rPr>
        <w:t>drawal their consents, refuse the appointment or resign the appointment in accordance with the provisions of Order 5 of Companies Winding Up Rules (2023 Consolidation).</w:t>
      </w:r>
    </w:p>
    <w:p w14:paraId="6AA12516" w14:textId="77777777" w:rsidR="00A51058" w:rsidRPr="002A2B0D" w:rsidRDefault="00A51058" w:rsidP="002A2B0D">
      <w:pPr>
        <w:pStyle w:val="BodyText"/>
        <w:ind w:left="709" w:hanging="709"/>
        <w:rPr>
          <w:rFonts w:ascii="Avenir Next" w:hAnsi="Avenir Next"/>
          <w:b/>
          <w:bCs/>
        </w:rPr>
      </w:pP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lastRenderedPageBreak/>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155E6BDA" w14:textId="494B28CC" w:rsidR="00586B0F" w:rsidRPr="00486A0B" w:rsidRDefault="00D217F6" w:rsidP="00586B0F">
      <w:pPr>
        <w:pStyle w:val="BodyText"/>
        <w:ind w:firstLine="0"/>
        <w:rPr>
          <w:rFonts w:ascii="Avenir Next" w:hAnsi="Avenir Next"/>
          <w:b/>
          <w:bCs/>
        </w:rPr>
      </w:pPr>
      <w:r>
        <w:rPr>
          <w:rFonts w:ascii="Avenir Next" w:hAnsi="Avenir Next"/>
          <w:color w:val="808080" w:themeColor="background1" w:themeShade="80"/>
        </w:rPr>
        <w:t>Section 120 of the Companies Act (2023 Revision) states that any person may be appointed as the voluntary liquidator of a company.</w:t>
      </w:r>
    </w:p>
    <w:p w14:paraId="625C5040" w14:textId="77777777" w:rsidR="00586B0F" w:rsidRPr="00393290" w:rsidRDefault="00586B0F" w:rsidP="00586B0F"/>
    <w:p w14:paraId="21C37FA2" w14:textId="33BA782F" w:rsidR="00586B0F" w:rsidRDefault="00586B0F" w:rsidP="00586B0F"/>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4EE3F3DA" w14:textId="79693ACF" w:rsidR="00586B0F" w:rsidRDefault="00D217F6" w:rsidP="00586B0F">
      <w:pPr>
        <w:rPr>
          <w:color w:val="808080" w:themeColor="background1" w:themeShade="80"/>
        </w:rPr>
      </w:pPr>
      <w:r>
        <w:rPr>
          <w:color w:val="808080" w:themeColor="background1" w:themeShade="80"/>
        </w:rPr>
        <w:t>Section 123 of the Companies Act (2023 Revision) states that within 28 days of appointment a voluntary liquidator must:</w:t>
      </w:r>
    </w:p>
    <w:p w14:paraId="16CDACCD" w14:textId="279C1FB9" w:rsidR="00D217F6" w:rsidRPr="009D65F5" w:rsidRDefault="00D217F6">
      <w:pPr>
        <w:pStyle w:val="ListParagraph"/>
        <w:numPr>
          <w:ilvl w:val="0"/>
          <w:numId w:val="28"/>
        </w:numPr>
        <w:rPr>
          <w:color w:val="808080" w:themeColor="background1" w:themeShade="80"/>
        </w:rPr>
      </w:pPr>
      <w:r w:rsidRPr="009D65F5">
        <w:rPr>
          <w:color w:val="808080" w:themeColor="background1" w:themeShade="80"/>
        </w:rPr>
        <w:t>File notice of the winding up with the Registrar;</w:t>
      </w:r>
    </w:p>
    <w:p w14:paraId="05387115" w14:textId="11A8318B" w:rsidR="00D217F6" w:rsidRPr="009D65F5" w:rsidRDefault="00D217F6">
      <w:pPr>
        <w:pStyle w:val="ListParagraph"/>
        <w:numPr>
          <w:ilvl w:val="0"/>
          <w:numId w:val="28"/>
        </w:numPr>
        <w:rPr>
          <w:color w:val="808080" w:themeColor="background1" w:themeShade="80"/>
        </w:rPr>
      </w:pPr>
      <w:r w:rsidRPr="009D65F5">
        <w:rPr>
          <w:color w:val="808080" w:themeColor="background1" w:themeShade="80"/>
        </w:rPr>
        <w:t>File the liquidator’s consent to act with the registrar;</w:t>
      </w:r>
    </w:p>
    <w:p w14:paraId="7C816261" w14:textId="15DC6899" w:rsidR="00D217F6" w:rsidRPr="009D65F5" w:rsidRDefault="00D217F6">
      <w:pPr>
        <w:pStyle w:val="ListParagraph"/>
        <w:numPr>
          <w:ilvl w:val="0"/>
          <w:numId w:val="28"/>
        </w:numPr>
        <w:rPr>
          <w:color w:val="808080" w:themeColor="background1" w:themeShade="80"/>
        </w:rPr>
      </w:pPr>
      <w:r w:rsidRPr="009D65F5">
        <w:rPr>
          <w:color w:val="808080" w:themeColor="background1" w:themeShade="80"/>
          <w:lang w:val="en-US"/>
        </w:rPr>
        <w:t>File the director’s declaration o</w:t>
      </w:r>
      <w:r w:rsidRPr="009D65F5">
        <w:rPr>
          <w:color w:val="808080" w:themeColor="background1" w:themeShade="80"/>
        </w:rPr>
        <w:t xml:space="preserve">f solvency (if the </w:t>
      </w:r>
      <w:r w:rsidR="009D65F5" w:rsidRPr="009D65F5">
        <w:rPr>
          <w:color w:val="808080" w:themeColor="background1" w:themeShade="80"/>
        </w:rPr>
        <w:t>supervision of the court is not being sought)</w:t>
      </w:r>
    </w:p>
    <w:p w14:paraId="43A57891" w14:textId="01611935" w:rsidR="009D65F5" w:rsidRPr="009D65F5" w:rsidRDefault="009D65F5">
      <w:pPr>
        <w:pStyle w:val="ListParagraph"/>
        <w:numPr>
          <w:ilvl w:val="0"/>
          <w:numId w:val="28"/>
        </w:numPr>
        <w:rPr>
          <w:color w:val="808080" w:themeColor="background1" w:themeShade="80"/>
        </w:rPr>
      </w:pPr>
      <w:r w:rsidRPr="009D65F5">
        <w:rPr>
          <w:color w:val="808080" w:themeColor="background1" w:themeShade="80"/>
        </w:rPr>
        <w:t xml:space="preserve">In the case of a company carrying on regulated business, serve notice of the winding up on the Cayman Islands Monetary Authority; and </w:t>
      </w:r>
    </w:p>
    <w:p w14:paraId="72C81478" w14:textId="6FE782C9" w:rsidR="00586B0F" w:rsidRPr="009D65F5" w:rsidRDefault="009D65F5">
      <w:pPr>
        <w:pStyle w:val="ListParagraph"/>
        <w:numPr>
          <w:ilvl w:val="0"/>
          <w:numId w:val="28"/>
        </w:numPr>
        <w:rPr>
          <w:lang w:val="en-US"/>
        </w:rPr>
      </w:pPr>
      <w:r w:rsidRPr="009D65F5">
        <w:rPr>
          <w:color w:val="808080" w:themeColor="background1" w:themeShade="80"/>
        </w:rPr>
        <w:t>Publish notice of the winding up in the Gazette.</w:t>
      </w:r>
      <w:r>
        <w:rPr>
          <w:color w:val="808080" w:themeColor="background1" w:themeShade="80"/>
        </w:rPr>
        <w:t xml:space="preserve"> </w:t>
      </w:r>
    </w:p>
    <w:p w14:paraId="00C6287F" w14:textId="254A5B8D" w:rsidR="00586B0F" w:rsidRPr="005255C9" w:rsidRDefault="00586B0F" w:rsidP="00586B0F">
      <w:pPr>
        <w:rPr>
          <w:rFonts w:ascii="Avenir Next Demi Bold" w:hAnsi="Avenir Next Demi Bold"/>
          <w:b/>
          <w:bCs/>
        </w:rPr>
      </w:pPr>
      <w:r w:rsidRPr="005255C9">
        <w:rPr>
          <w:rFonts w:ascii="Avenir Next Demi Bold" w:hAnsi="Avenir Next Demi Bold"/>
          <w:b/>
          <w:bCs/>
        </w:rPr>
        <w:t xml:space="preserve">Question </w:t>
      </w:r>
      <w:r w:rsidR="00B20DBE" w:rsidRPr="005255C9">
        <w:rPr>
          <w:rFonts w:ascii="Avenir Next Demi Bold" w:hAnsi="Avenir Next Demi Bold"/>
          <w:b/>
          <w:bCs/>
        </w:rPr>
        <w:t>2.3.3</w:t>
      </w:r>
    </w:p>
    <w:p w14:paraId="4D0C4F00" w14:textId="77777777" w:rsidR="00586B0F" w:rsidRPr="005255C9"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5C7A6D28" w14:textId="47A7A94E" w:rsidR="009C1D92" w:rsidRDefault="009C1D92" w:rsidP="009C1D92">
      <w:pPr>
        <w:pStyle w:val="BodyText"/>
        <w:ind w:firstLine="0"/>
        <w:rPr>
          <w:rFonts w:ascii="Avenir Next" w:hAnsi="Avenir Next"/>
          <w:color w:val="808080" w:themeColor="background1" w:themeShade="80"/>
        </w:rPr>
      </w:pPr>
      <w:r>
        <w:rPr>
          <w:rFonts w:ascii="Avenir Next" w:hAnsi="Avenir Next"/>
          <w:color w:val="808080" w:themeColor="background1" w:themeShade="80"/>
        </w:rPr>
        <w:t>The basis of the voluntary liquidator’s remuneration is set out at Order 13, rule 9 (2)of the Companies Winding Up Rules (2023 Consolidation)(“CWR”) which states</w:t>
      </w:r>
      <w:r w:rsidR="00B85043">
        <w:rPr>
          <w:rFonts w:ascii="Avenir Next" w:hAnsi="Avenir Next"/>
          <w:color w:val="808080" w:themeColor="background1" w:themeShade="80"/>
        </w:rPr>
        <w:t xml:space="preserve"> that t</w:t>
      </w:r>
      <w:r>
        <w:rPr>
          <w:rFonts w:ascii="Avenir Next" w:hAnsi="Avenir Next"/>
          <w:color w:val="808080" w:themeColor="background1" w:themeShade="80"/>
        </w:rPr>
        <w:t xml:space="preserve">he company may resolve to remunerate the </w:t>
      </w:r>
      <w:r w:rsidR="00B85043">
        <w:rPr>
          <w:rFonts w:ascii="Avenir Next" w:hAnsi="Avenir Next"/>
          <w:color w:val="808080" w:themeColor="background1" w:themeShade="80"/>
        </w:rPr>
        <w:t>voluntary liquidator on the basis of:</w:t>
      </w:r>
    </w:p>
    <w:p w14:paraId="71F56087" w14:textId="69BC1FCE" w:rsidR="00B85043" w:rsidRDefault="00B85043">
      <w:pPr>
        <w:pStyle w:val="BodyText"/>
        <w:numPr>
          <w:ilvl w:val="0"/>
          <w:numId w:val="29"/>
        </w:numPr>
        <w:rPr>
          <w:rFonts w:ascii="Avenir Next" w:hAnsi="Avenir Next"/>
          <w:color w:val="808080" w:themeColor="background1" w:themeShade="80"/>
        </w:rPr>
      </w:pPr>
      <w:r>
        <w:rPr>
          <w:rFonts w:ascii="Avenir Next" w:hAnsi="Avenir Next"/>
          <w:color w:val="808080" w:themeColor="background1" w:themeShade="80"/>
        </w:rPr>
        <w:t>Hourly rates for time reasonably incurred on the liquidation;</w:t>
      </w:r>
    </w:p>
    <w:p w14:paraId="711D0424" w14:textId="3E9B3FE2" w:rsidR="00B85043" w:rsidRDefault="00B85043">
      <w:pPr>
        <w:pStyle w:val="BodyText"/>
        <w:numPr>
          <w:ilvl w:val="0"/>
          <w:numId w:val="29"/>
        </w:numPr>
        <w:rPr>
          <w:rFonts w:ascii="Avenir Next" w:hAnsi="Avenir Next"/>
          <w:color w:val="808080" w:themeColor="background1" w:themeShade="80"/>
        </w:rPr>
      </w:pPr>
      <w:r>
        <w:rPr>
          <w:rFonts w:ascii="Avenir Next" w:hAnsi="Avenir Next"/>
          <w:color w:val="808080" w:themeColor="background1" w:themeShade="80"/>
        </w:rPr>
        <w:t>A fixed sum;</w:t>
      </w:r>
    </w:p>
    <w:p w14:paraId="64EEA4AE" w14:textId="110DED06" w:rsidR="00B85043" w:rsidRDefault="00B85043">
      <w:pPr>
        <w:pStyle w:val="BodyText"/>
        <w:numPr>
          <w:ilvl w:val="0"/>
          <w:numId w:val="29"/>
        </w:numPr>
        <w:rPr>
          <w:rFonts w:ascii="Avenir Next" w:hAnsi="Avenir Next"/>
          <w:color w:val="808080" w:themeColor="background1" w:themeShade="80"/>
        </w:rPr>
      </w:pPr>
      <w:r>
        <w:rPr>
          <w:rFonts w:ascii="Avenir Next" w:hAnsi="Avenir Next"/>
          <w:color w:val="808080" w:themeColor="background1" w:themeShade="80"/>
        </w:rPr>
        <w:t xml:space="preserve">A percentage of the assets distributed or realized; or </w:t>
      </w:r>
    </w:p>
    <w:p w14:paraId="5E4AC47D" w14:textId="216588DB" w:rsidR="00B85043" w:rsidRPr="00B85043" w:rsidRDefault="00B85043">
      <w:pPr>
        <w:pStyle w:val="BodyText"/>
        <w:numPr>
          <w:ilvl w:val="0"/>
          <w:numId w:val="29"/>
        </w:numPr>
        <w:rPr>
          <w:rFonts w:ascii="Avenir Next" w:hAnsi="Avenir Next"/>
          <w:color w:val="808080" w:themeColor="background1" w:themeShade="80"/>
        </w:rPr>
      </w:pPr>
      <w:r>
        <w:rPr>
          <w:rFonts w:ascii="Avenir Next" w:hAnsi="Avenir Next"/>
          <w:color w:val="808080" w:themeColor="background1" w:themeShade="80"/>
        </w:rPr>
        <w:t>A combination of the above methods.</w:t>
      </w: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77777777" w:rsidR="00586B0F" w:rsidRDefault="00586B0F" w:rsidP="00586B0F">
      <w:pPr>
        <w:rPr>
          <w:lang w:val="en-GB"/>
        </w:rPr>
      </w:pPr>
    </w:p>
    <w:p w14:paraId="62FE7FC7" w14:textId="0F12C5A1" w:rsidR="00586B0F" w:rsidRDefault="009F4518"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According to Section 95 of the Companies Act (2023 Revision) the court may do the following upon the hearing of the winding up petition:</w:t>
      </w:r>
    </w:p>
    <w:p w14:paraId="5E347D17" w14:textId="1EAFBFC3" w:rsidR="009F4518" w:rsidRDefault="009F4518" w:rsidP="00586B0F">
      <w:pPr>
        <w:pStyle w:val="BodyText"/>
        <w:ind w:firstLine="0"/>
        <w:rPr>
          <w:rFonts w:ascii="Avenir Next" w:hAnsi="Avenir Next"/>
          <w:color w:val="808080" w:themeColor="background1" w:themeShade="80"/>
        </w:rPr>
      </w:pPr>
    </w:p>
    <w:p w14:paraId="575C5E9A" w14:textId="5B02E9FC" w:rsidR="009F4518" w:rsidRDefault="009F4518"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Dismiss the petition;</w:t>
      </w:r>
    </w:p>
    <w:p w14:paraId="19D73F9E" w14:textId="5EA44FF6" w:rsidR="009F4518" w:rsidRDefault="009F4518"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Adjourn the hearing (conditionally or unconditionally);</w:t>
      </w:r>
    </w:p>
    <w:p w14:paraId="609C6DA7" w14:textId="20FF9D39" w:rsidR="009F4518" w:rsidRDefault="009F4518"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Make a provisional order;</w:t>
      </w:r>
    </w:p>
    <w:p w14:paraId="093F53ED" w14:textId="06FFBBD9" w:rsidR="009F4518" w:rsidRDefault="009F4518"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Make any other order it sees fit.</w:t>
      </w:r>
    </w:p>
    <w:p w14:paraId="5C6DD435" w14:textId="7C72DBC1" w:rsidR="009F4518" w:rsidRDefault="009F4518" w:rsidP="00586B0F">
      <w:pPr>
        <w:pStyle w:val="BodyText"/>
        <w:ind w:firstLine="0"/>
        <w:rPr>
          <w:rFonts w:ascii="Avenir Next" w:hAnsi="Avenir Next"/>
          <w:color w:val="808080" w:themeColor="background1" w:themeShade="80"/>
        </w:rPr>
      </w:pPr>
    </w:p>
    <w:p w14:paraId="5D6575EB" w14:textId="446A97E4" w:rsidR="009F4518" w:rsidRPr="00486A0B" w:rsidRDefault="009F4518" w:rsidP="00586B0F">
      <w:pPr>
        <w:pStyle w:val="BodyText"/>
        <w:ind w:firstLine="0"/>
        <w:rPr>
          <w:rFonts w:ascii="Avenir Next" w:hAnsi="Avenir Next"/>
          <w:b/>
          <w:bCs/>
        </w:rPr>
      </w:pPr>
      <w:r>
        <w:rPr>
          <w:rFonts w:ascii="Avenir Next" w:hAnsi="Avenir Next"/>
          <w:color w:val="808080" w:themeColor="background1" w:themeShade="80"/>
        </w:rPr>
        <w:t xml:space="preserve">It is noted that the court may not refuse a winding up order on the sole ground that </w:t>
      </w:r>
      <w:r w:rsidR="009F6F01">
        <w:rPr>
          <w:rFonts w:ascii="Avenir Next" w:hAnsi="Avenir Next"/>
          <w:color w:val="808080" w:themeColor="background1" w:themeShade="80"/>
        </w:rPr>
        <w:t xml:space="preserve">the assets of the </w:t>
      </w:r>
      <w:r w:rsidR="009F6F01">
        <w:rPr>
          <w:rFonts w:ascii="Avenir Next" w:hAnsi="Avenir Next"/>
          <w:color w:val="808080" w:themeColor="background1" w:themeShade="80"/>
        </w:rPr>
        <w:lastRenderedPageBreak/>
        <w:t xml:space="preserve">company (i) have been mortgaged or (ii) charged to an amount equal to or in excess of the assets or (iii) the company has no assets. </w:t>
      </w:r>
    </w:p>
    <w:p w14:paraId="5878EF20" w14:textId="77777777" w:rsidR="00586B0F" w:rsidRPr="00C63919" w:rsidRDefault="00586B0F" w:rsidP="00586B0F">
      <w:pPr>
        <w:rPr>
          <w:lang w:val="en-GB"/>
        </w:rPr>
      </w:pP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62BEC1CB" w14:textId="7C6AC0F7" w:rsidR="005255C9" w:rsidRDefault="005255C9"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Two pieces of statutory legislation are applicable to the removal of an official liquidator, being </w:t>
      </w:r>
      <w:r>
        <w:rPr>
          <w:rFonts w:ascii="Avenir Next" w:hAnsi="Avenir Next"/>
          <w:color w:val="808080" w:themeColor="background1" w:themeShade="80"/>
        </w:rPr>
        <w:t xml:space="preserve">Section </w:t>
      </w:r>
      <w:r>
        <w:rPr>
          <w:rFonts w:ascii="Avenir Next" w:hAnsi="Avenir Next"/>
          <w:color w:val="808080" w:themeColor="background1" w:themeShade="80"/>
        </w:rPr>
        <w:t>107</w:t>
      </w:r>
      <w:r>
        <w:rPr>
          <w:rFonts w:ascii="Avenir Next" w:hAnsi="Avenir Next"/>
          <w:color w:val="808080" w:themeColor="background1" w:themeShade="80"/>
        </w:rPr>
        <w:t xml:space="preserve"> of the Companies Act (2023 Revision)</w:t>
      </w:r>
      <w:r>
        <w:rPr>
          <w:rFonts w:ascii="Avenir Next" w:hAnsi="Avenir Next"/>
          <w:color w:val="808080" w:themeColor="background1" w:themeShade="80"/>
        </w:rPr>
        <w:t xml:space="preserve"> and </w:t>
      </w:r>
      <w:r>
        <w:rPr>
          <w:rFonts w:ascii="Avenir Next" w:hAnsi="Avenir Next"/>
          <w:color w:val="808080" w:themeColor="background1" w:themeShade="80"/>
        </w:rPr>
        <w:t xml:space="preserve">Order </w:t>
      </w:r>
      <w:r>
        <w:rPr>
          <w:rFonts w:ascii="Avenir Next" w:hAnsi="Avenir Next"/>
          <w:color w:val="808080" w:themeColor="background1" w:themeShade="80"/>
        </w:rPr>
        <w:t xml:space="preserve">5 </w:t>
      </w:r>
      <w:r>
        <w:rPr>
          <w:rFonts w:ascii="Avenir Next" w:hAnsi="Avenir Next"/>
          <w:color w:val="808080" w:themeColor="background1" w:themeShade="80"/>
        </w:rPr>
        <w:t>of the Companies Winding Up Rules (2023 Consolidation)</w:t>
      </w:r>
      <w:r w:rsidR="00455BDD">
        <w:rPr>
          <w:rFonts w:ascii="Avenir Next" w:hAnsi="Avenir Next"/>
          <w:color w:val="808080" w:themeColor="background1" w:themeShade="80"/>
        </w:rPr>
        <w:t>(“CWR”)</w:t>
      </w:r>
      <w:r>
        <w:rPr>
          <w:rFonts w:ascii="Avenir Next" w:hAnsi="Avenir Next"/>
          <w:color w:val="808080" w:themeColor="background1" w:themeShade="80"/>
        </w:rPr>
        <w:t>.</w:t>
      </w:r>
    </w:p>
    <w:p w14:paraId="45B1743F" w14:textId="77777777" w:rsidR="005255C9" w:rsidRDefault="005255C9" w:rsidP="00586B0F">
      <w:pPr>
        <w:pStyle w:val="BodyText"/>
        <w:ind w:firstLine="0"/>
        <w:rPr>
          <w:rFonts w:ascii="Avenir Next" w:hAnsi="Avenir Next"/>
          <w:color w:val="808080" w:themeColor="background1" w:themeShade="80"/>
        </w:rPr>
      </w:pPr>
    </w:p>
    <w:p w14:paraId="40B0C13C" w14:textId="5D02A0D0" w:rsidR="00586B0F" w:rsidRDefault="005255C9"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Case law has established that the only either a creditor or contributory may apply to the court to remove an official liquidator</w:t>
      </w:r>
      <w:r w:rsidR="00455BDD">
        <w:rPr>
          <w:rFonts w:ascii="Avenir Next" w:hAnsi="Avenir Next"/>
          <w:color w:val="808080" w:themeColor="background1" w:themeShade="80"/>
        </w:rPr>
        <w:t xml:space="preserve"> by way of a removal summons</w:t>
      </w:r>
      <w:r>
        <w:rPr>
          <w:rFonts w:ascii="Avenir Next" w:hAnsi="Avenir Next"/>
          <w:color w:val="808080" w:themeColor="background1" w:themeShade="80"/>
        </w:rPr>
        <w:t>.</w:t>
      </w:r>
      <w:r w:rsidR="00455BDD">
        <w:rPr>
          <w:rStyle w:val="FootnoteReference"/>
          <w:rFonts w:ascii="Avenir Next" w:hAnsi="Avenir Next"/>
          <w:color w:val="808080" w:themeColor="background1" w:themeShade="80"/>
        </w:rPr>
        <w:footnoteReference w:id="2"/>
      </w:r>
      <w:r>
        <w:rPr>
          <w:rFonts w:ascii="Avenir Next" w:hAnsi="Avenir Next"/>
          <w:color w:val="808080" w:themeColor="background1" w:themeShade="80"/>
        </w:rPr>
        <w:t xml:space="preserve"> Which party has standing to apply to the </w:t>
      </w:r>
      <w:r w:rsidR="00455BDD">
        <w:rPr>
          <w:rFonts w:ascii="Avenir Next" w:hAnsi="Avenir Next"/>
          <w:color w:val="808080" w:themeColor="background1" w:themeShade="80"/>
        </w:rPr>
        <w:t>C</w:t>
      </w:r>
      <w:r>
        <w:rPr>
          <w:rFonts w:ascii="Avenir Next" w:hAnsi="Avenir Next"/>
          <w:color w:val="808080" w:themeColor="background1" w:themeShade="80"/>
        </w:rPr>
        <w:t xml:space="preserve">ourt turns on </w:t>
      </w:r>
      <w:r w:rsidR="00455BDD">
        <w:rPr>
          <w:rFonts w:ascii="Avenir Next" w:hAnsi="Avenir Next"/>
          <w:color w:val="808080" w:themeColor="background1" w:themeShade="80"/>
        </w:rPr>
        <w:t xml:space="preserve">which group is </w:t>
      </w:r>
      <w:r>
        <w:rPr>
          <w:rFonts w:ascii="Avenir Next" w:hAnsi="Avenir Next"/>
          <w:color w:val="808080" w:themeColor="background1" w:themeShade="80"/>
        </w:rPr>
        <w:t xml:space="preserve">the relevant stakeholder to in the liquidation i.e. in a solvent liquidation the contributories and in an insolvent liquidation the creditors. </w:t>
      </w:r>
      <w:r w:rsidR="00455BDD">
        <w:rPr>
          <w:rFonts w:ascii="Avenir Next" w:hAnsi="Avenir Next"/>
          <w:color w:val="808080" w:themeColor="background1" w:themeShade="80"/>
        </w:rPr>
        <w:t>In addition to an application to the Court, Order 5 rule 6 (5) of the CWR dictates that the removal summons is required to be served on the following parties:</w:t>
      </w:r>
    </w:p>
    <w:p w14:paraId="59F2A786" w14:textId="4D11B16C" w:rsidR="00455BDD" w:rsidRDefault="00455BDD" w:rsidP="00586B0F">
      <w:pPr>
        <w:pStyle w:val="BodyText"/>
        <w:ind w:firstLine="0"/>
        <w:rPr>
          <w:rFonts w:ascii="Avenir Next" w:hAnsi="Avenir Next"/>
          <w:color w:val="808080" w:themeColor="background1" w:themeShade="80"/>
        </w:rPr>
      </w:pPr>
    </w:p>
    <w:p w14:paraId="3AD04BBC" w14:textId="66993228" w:rsidR="00455BDD" w:rsidRDefault="00455BDD">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The official liquidator;</w:t>
      </w:r>
    </w:p>
    <w:p w14:paraId="1E260D64" w14:textId="0FED5A24" w:rsidR="00455BDD" w:rsidRDefault="00455BDD">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Each member of the liquidation committee;</w:t>
      </w:r>
    </w:p>
    <w:p w14:paraId="3065B3E6" w14:textId="4E75AB31" w:rsidR="00455BDD" w:rsidRDefault="00455BDD">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Legal counsel for the liquidation committee; and</w:t>
      </w:r>
    </w:p>
    <w:p w14:paraId="555806AC" w14:textId="77777777" w:rsidR="00455BDD" w:rsidRDefault="00455BDD">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 xml:space="preserve">Any other creditors or contributories as directed by the court. </w:t>
      </w:r>
    </w:p>
    <w:p w14:paraId="2F3217E2" w14:textId="77777777" w:rsidR="00455BDD" w:rsidRDefault="00455BDD" w:rsidP="00455BDD">
      <w:pPr>
        <w:pStyle w:val="BodyText"/>
        <w:ind w:firstLine="0"/>
        <w:rPr>
          <w:rFonts w:ascii="Avenir Next" w:hAnsi="Avenir Next"/>
          <w:color w:val="808080" w:themeColor="background1" w:themeShade="80"/>
        </w:rPr>
      </w:pPr>
    </w:p>
    <w:p w14:paraId="13354A0D" w14:textId="304A4D69" w:rsidR="00455BDD" w:rsidRDefault="00455BDD" w:rsidP="00455BDD">
      <w:pPr>
        <w:pStyle w:val="BodyText"/>
        <w:ind w:firstLine="0"/>
        <w:rPr>
          <w:rFonts w:ascii="Avenir Next" w:hAnsi="Avenir Next"/>
          <w:color w:val="808080" w:themeColor="background1" w:themeShade="80"/>
        </w:rPr>
      </w:pPr>
      <w:r>
        <w:rPr>
          <w:rFonts w:ascii="Avenir Next" w:hAnsi="Avenir Next"/>
          <w:color w:val="808080" w:themeColor="background1" w:themeShade="80"/>
        </w:rPr>
        <w:t>Generally, the Court will consider the removal of an official liquidator if it is determined to be for the advantage of a majority of the relevant stakeholders of the liquidation.</w:t>
      </w:r>
      <w:r>
        <w:rPr>
          <w:rStyle w:val="FootnoteReference"/>
          <w:rFonts w:ascii="Avenir Next" w:hAnsi="Avenir Next"/>
          <w:color w:val="808080" w:themeColor="background1" w:themeShade="80"/>
        </w:rPr>
        <w:footnoteReference w:id="3"/>
      </w:r>
      <w:r>
        <w:rPr>
          <w:rFonts w:ascii="Avenir Next" w:hAnsi="Avenir Next"/>
          <w:color w:val="808080" w:themeColor="background1" w:themeShade="80"/>
        </w:rPr>
        <w:t xml:space="preserve"> </w:t>
      </w:r>
      <w:r w:rsidR="00CA65EE">
        <w:rPr>
          <w:rFonts w:ascii="Avenir Next" w:hAnsi="Avenir Next"/>
          <w:color w:val="808080" w:themeColor="background1" w:themeShade="80"/>
        </w:rPr>
        <w:t>The Court has broad purview to remove an official liquidator and may grant the remove order for a number of reasons, including but not limited to:</w:t>
      </w:r>
      <w:r w:rsidR="00CA65EE">
        <w:rPr>
          <w:rStyle w:val="FootnoteReference"/>
          <w:rFonts w:ascii="Avenir Next" w:hAnsi="Avenir Next"/>
          <w:color w:val="808080" w:themeColor="background1" w:themeShade="80"/>
        </w:rPr>
        <w:footnoteReference w:id="4"/>
      </w:r>
    </w:p>
    <w:p w14:paraId="1DA8CC9D" w14:textId="6FBE6D70" w:rsidR="00CA65EE" w:rsidRDefault="00CA65EE" w:rsidP="00455BDD">
      <w:pPr>
        <w:pStyle w:val="BodyText"/>
        <w:ind w:firstLine="0"/>
        <w:rPr>
          <w:rFonts w:ascii="Avenir Next" w:hAnsi="Avenir Next"/>
          <w:color w:val="808080" w:themeColor="background1" w:themeShade="80"/>
        </w:rPr>
      </w:pPr>
    </w:p>
    <w:p w14:paraId="777949AF" w14:textId="629C7F06" w:rsidR="00CA65EE" w:rsidRDefault="00CA65EE">
      <w:pPr>
        <w:pStyle w:val="BodyText"/>
        <w:numPr>
          <w:ilvl w:val="0"/>
          <w:numId w:val="32"/>
        </w:numPr>
        <w:rPr>
          <w:rFonts w:ascii="Avenir Next" w:hAnsi="Avenir Next"/>
          <w:color w:val="808080" w:themeColor="background1" w:themeShade="80"/>
        </w:rPr>
      </w:pPr>
      <w:r>
        <w:rPr>
          <w:rFonts w:ascii="Avenir Next" w:hAnsi="Avenir Next"/>
          <w:color w:val="808080" w:themeColor="background1" w:themeShade="80"/>
        </w:rPr>
        <w:t>If the official liquidator has a conflict of interest;</w:t>
      </w:r>
    </w:p>
    <w:p w14:paraId="28C1F7ED" w14:textId="476CF1B7" w:rsidR="00CA65EE" w:rsidRDefault="00CA65EE">
      <w:pPr>
        <w:pStyle w:val="BodyText"/>
        <w:numPr>
          <w:ilvl w:val="0"/>
          <w:numId w:val="32"/>
        </w:numPr>
        <w:rPr>
          <w:rFonts w:ascii="Avenir Next" w:hAnsi="Avenir Next"/>
          <w:color w:val="808080" w:themeColor="background1" w:themeShade="80"/>
        </w:rPr>
      </w:pPr>
      <w:r>
        <w:rPr>
          <w:rFonts w:ascii="Avenir Next" w:hAnsi="Avenir Next"/>
          <w:color w:val="808080" w:themeColor="background1" w:themeShade="80"/>
        </w:rPr>
        <w:t>If the official liquidator pursues litigation against the wishes of a creditor;</w:t>
      </w:r>
    </w:p>
    <w:p w14:paraId="3981C8FB" w14:textId="399ABBFC" w:rsidR="00CA65EE" w:rsidRDefault="00CA65EE">
      <w:pPr>
        <w:pStyle w:val="BodyText"/>
        <w:numPr>
          <w:ilvl w:val="0"/>
          <w:numId w:val="32"/>
        </w:numPr>
        <w:rPr>
          <w:rFonts w:ascii="Avenir Next" w:hAnsi="Avenir Next"/>
          <w:color w:val="808080" w:themeColor="background1" w:themeShade="80"/>
        </w:rPr>
      </w:pPr>
      <w:r>
        <w:rPr>
          <w:rFonts w:ascii="Avenir Next" w:hAnsi="Avenir Next"/>
          <w:color w:val="808080" w:themeColor="background1" w:themeShade="80"/>
        </w:rPr>
        <w:t>Impropriety;</w:t>
      </w:r>
    </w:p>
    <w:p w14:paraId="002A8A24" w14:textId="27C79022" w:rsidR="00CA65EE" w:rsidRDefault="00CA65EE">
      <w:pPr>
        <w:pStyle w:val="BodyText"/>
        <w:numPr>
          <w:ilvl w:val="0"/>
          <w:numId w:val="32"/>
        </w:numPr>
        <w:rPr>
          <w:rFonts w:ascii="Avenir Next" w:hAnsi="Avenir Next"/>
          <w:color w:val="808080" w:themeColor="background1" w:themeShade="80"/>
        </w:rPr>
      </w:pPr>
      <w:r>
        <w:rPr>
          <w:rFonts w:ascii="Avenir Next" w:hAnsi="Avenir Next"/>
          <w:color w:val="808080" w:themeColor="background1" w:themeShade="80"/>
        </w:rPr>
        <w:t>Misconduct; or</w:t>
      </w:r>
    </w:p>
    <w:p w14:paraId="4AA8DBC5" w14:textId="7A28BA33" w:rsidR="00CA65EE" w:rsidRDefault="00CA65EE">
      <w:pPr>
        <w:pStyle w:val="BodyText"/>
        <w:numPr>
          <w:ilvl w:val="0"/>
          <w:numId w:val="32"/>
        </w:numPr>
        <w:rPr>
          <w:rFonts w:ascii="Avenir Next" w:hAnsi="Avenir Next"/>
          <w:color w:val="808080" w:themeColor="background1" w:themeShade="80"/>
        </w:rPr>
      </w:pPr>
      <w:r>
        <w:rPr>
          <w:rFonts w:ascii="Avenir Next" w:hAnsi="Avenir Next"/>
          <w:color w:val="808080" w:themeColor="background1" w:themeShade="80"/>
        </w:rPr>
        <w:t>Failing to investigate relevant matters.</w:t>
      </w:r>
    </w:p>
    <w:p w14:paraId="1590B1F2" w14:textId="51DDB8B8" w:rsidR="00586B0F" w:rsidRPr="00CA65EE" w:rsidRDefault="00586B0F" w:rsidP="00CA65EE">
      <w:pPr>
        <w:rPr>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24BC1C18" w14:textId="3D4E96C4" w:rsidR="00586B0F" w:rsidRPr="00486A0B" w:rsidRDefault="00CA65EE" w:rsidP="00586B0F">
      <w:pPr>
        <w:pStyle w:val="BodyText"/>
        <w:ind w:firstLine="0"/>
        <w:rPr>
          <w:rFonts w:ascii="Avenir Next" w:hAnsi="Avenir Next"/>
          <w:b/>
          <w:bCs/>
        </w:rPr>
      </w:pPr>
      <w:r>
        <w:rPr>
          <w:rFonts w:ascii="Avenir Next" w:hAnsi="Avenir Next"/>
          <w:color w:val="808080" w:themeColor="background1" w:themeShade="80"/>
        </w:rPr>
        <w:t>It makes sense that the standing to apply to remove an official liquidator is varies is accordance with the solvency of the company a</w:t>
      </w:r>
      <w:r w:rsidR="00231B1D">
        <w:rPr>
          <w:rFonts w:ascii="Avenir Next" w:hAnsi="Avenir Next"/>
          <w:color w:val="808080" w:themeColor="background1" w:themeShade="80"/>
        </w:rPr>
        <w:t>ligns</w:t>
      </w:r>
      <w:r>
        <w:rPr>
          <w:rFonts w:ascii="Avenir Next" w:hAnsi="Avenir Next"/>
          <w:color w:val="808080" w:themeColor="background1" w:themeShade="80"/>
        </w:rPr>
        <w:t xml:space="preserve"> with</w:t>
      </w:r>
      <w:r w:rsidR="00231B1D">
        <w:rPr>
          <w:rFonts w:ascii="Avenir Next" w:hAnsi="Avenir Next"/>
          <w:color w:val="808080" w:themeColor="background1" w:themeShade="80"/>
        </w:rPr>
        <w:t xml:space="preserve"> the principle established in Order 8, rule 1 of the </w:t>
      </w:r>
      <w:r w:rsidR="004A3164">
        <w:rPr>
          <w:rFonts w:ascii="Avenir Next" w:hAnsi="Avenir Next"/>
          <w:color w:val="808080" w:themeColor="background1" w:themeShade="80"/>
        </w:rPr>
        <w:t>Companies Winding Up Rules (2023 Consolidation)</w:t>
      </w:r>
      <w:r w:rsidR="00231B1D">
        <w:rPr>
          <w:rFonts w:ascii="Avenir Next" w:hAnsi="Avenir Next"/>
          <w:color w:val="808080" w:themeColor="background1" w:themeShade="80"/>
        </w:rPr>
        <w:t xml:space="preserve"> to identify the relevant stakeholders in the liquidation and thus those persons who are impacted by the decisions and actions of the official liquidator. </w:t>
      </w:r>
      <w:r w:rsidR="00231B1D">
        <w:rPr>
          <w:rFonts w:ascii="Avenir Next" w:hAnsi="Avenir Next"/>
          <w:color w:val="808080" w:themeColor="background1" w:themeShade="80"/>
        </w:rPr>
        <w:lastRenderedPageBreak/>
        <w:t>Furthermore, this also aligns with the composition of any liquidation committee in the liquidation which has been established to provide guidance in the liquidation and represent the interests the entire body of relevant stakeholders (</w:t>
      </w:r>
      <w:proofErr w:type="spellStart"/>
      <w:r w:rsidR="00231B1D">
        <w:rPr>
          <w:rFonts w:ascii="Avenir Next" w:hAnsi="Avenir Next"/>
          <w:color w:val="808080" w:themeColor="background1" w:themeShade="80"/>
        </w:rPr>
        <w:t>i.e</w:t>
      </w:r>
      <w:proofErr w:type="spellEnd"/>
      <w:r w:rsidR="00231B1D">
        <w:rPr>
          <w:rFonts w:ascii="Avenir Next" w:hAnsi="Avenir Next"/>
          <w:color w:val="808080" w:themeColor="background1" w:themeShade="80"/>
        </w:rPr>
        <w:t xml:space="preserve"> creditors or contributories. </w:t>
      </w:r>
    </w:p>
    <w:p w14:paraId="5F8E9411" w14:textId="77777777" w:rsidR="00586B0F" w:rsidRDefault="00586B0F" w:rsidP="00586B0F">
      <w:pPr>
        <w:tabs>
          <w:tab w:val="right" w:pos="9021"/>
        </w:tabs>
        <w:rPr>
          <w:lang w:val="en-GB"/>
        </w:rPr>
      </w:pPr>
    </w:p>
    <w:p w14:paraId="0D65A9E3" w14:textId="32B69B9B" w:rsidR="00586B0F" w:rsidRDefault="00586B0F" w:rsidP="00D44BFA">
      <w:pPr>
        <w:jc w:val="left"/>
        <w:rPr>
          <w:rFonts w:ascii="Avenir Next Demi Bold" w:hAnsi="Avenir Next Demi Bold"/>
          <w:b/>
          <w:bCs/>
        </w:rPr>
      </w:pP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092C37A3" w14:textId="4962556E" w:rsidR="00B20DBE" w:rsidRDefault="00500AB1"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 detailed in </w:t>
      </w:r>
      <w:r w:rsidR="004A3164">
        <w:rPr>
          <w:rFonts w:ascii="Avenir Next" w:hAnsi="Avenir Next"/>
          <w:color w:val="808080" w:themeColor="background1" w:themeShade="80"/>
        </w:rPr>
        <w:t xml:space="preserve">Order 9, rule 3 (2) of the </w:t>
      </w:r>
      <w:r w:rsidR="004A3164">
        <w:rPr>
          <w:rFonts w:ascii="Avenir Next" w:hAnsi="Avenir Next"/>
          <w:color w:val="808080" w:themeColor="background1" w:themeShade="80"/>
        </w:rPr>
        <w:t>Companies Winding Up Rules (2023 Consolidation)</w:t>
      </w:r>
      <w:r w:rsidR="004A3164">
        <w:rPr>
          <w:rFonts w:ascii="Avenir Next" w:hAnsi="Avenir Next"/>
          <w:color w:val="808080" w:themeColor="background1" w:themeShade="80"/>
        </w:rPr>
        <w:t>(“CWR”) the liquidator will do the following to reconstitute the liquidation committee to align with the facts and circumstances of the liquidation:</w:t>
      </w:r>
    </w:p>
    <w:p w14:paraId="4AABFBBD" w14:textId="42E5611E" w:rsidR="004A3164" w:rsidRDefault="004A3164" w:rsidP="00B20DBE">
      <w:pPr>
        <w:pStyle w:val="BodyText"/>
        <w:ind w:firstLine="0"/>
        <w:rPr>
          <w:rFonts w:ascii="Avenir Next" w:hAnsi="Avenir Next"/>
          <w:color w:val="808080" w:themeColor="background1" w:themeShade="80"/>
        </w:rPr>
      </w:pPr>
    </w:p>
    <w:p w14:paraId="74CBA578" w14:textId="2BE52082" w:rsidR="004A3164" w:rsidRDefault="004A3164">
      <w:pPr>
        <w:pStyle w:val="BodyText"/>
        <w:numPr>
          <w:ilvl w:val="0"/>
          <w:numId w:val="33"/>
        </w:numPr>
        <w:rPr>
          <w:rFonts w:ascii="Avenir Next" w:hAnsi="Avenir Next"/>
          <w:color w:val="808080" w:themeColor="background1" w:themeShade="80"/>
        </w:rPr>
      </w:pPr>
      <w:r>
        <w:rPr>
          <w:rFonts w:ascii="Avenir Next" w:hAnsi="Avenir Next"/>
          <w:color w:val="808080" w:themeColor="background1" w:themeShade="80"/>
        </w:rPr>
        <w:t>Any creditor members of the liquidation committee will automatically cease to members; and</w:t>
      </w:r>
    </w:p>
    <w:p w14:paraId="47B11428" w14:textId="15968A8B" w:rsidR="004A3164" w:rsidRDefault="004A3164">
      <w:pPr>
        <w:pStyle w:val="BodyText"/>
        <w:numPr>
          <w:ilvl w:val="0"/>
          <w:numId w:val="33"/>
        </w:numPr>
        <w:rPr>
          <w:rFonts w:ascii="Avenir Next" w:hAnsi="Avenir Next"/>
          <w:b/>
          <w:bCs/>
        </w:rPr>
      </w:pPr>
      <w:r>
        <w:rPr>
          <w:rFonts w:ascii="Avenir Next" w:hAnsi="Avenir Next"/>
          <w:color w:val="808080" w:themeColor="background1" w:themeShade="80"/>
        </w:rPr>
        <w:t xml:space="preserve">Convene a meeting of the contributories for the purpose of electing new members from the contributories. </w:t>
      </w:r>
    </w:p>
    <w:p w14:paraId="4B4DBD27" w14:textId="77777777" w:rsidR="004A3164" w:rsidRPr="004A3164" w:rsidRDefault="004A3164" w:rsidP="004A3164">
      <w:pPr>
        <w:pStyle w:val="BodyText"/>
        <w:ind w:left="360" w:firstLine="0"/>
        <w:rPr>
          <w:rFonts w:ascii="Avenir Next" w:hAnsi="Avenir Next"/>
          <w:b/>
          <w:bCs/>
        </w:rPr>
      </w:pPr>
    </w:p>
    <w:p w14:paraId="101CD334" w14:textId="1A0563D5" w:rsidR="004A3164" w:rsidRPr="00486A0B" w:rsidRDefault="004A3164" w:rsidP="004A3164">
      <w:pPr>
        <w:pStyle w:val="BodyText"/>
        <w:ind w:firstLine="0"/>
        <w:rPr>
          <w:rFonts w:ascii="Avenir Next" w:hAnsi="Avenir Next"/>
          <w:b/>
          <w:bCs/>
        </w:rPr>
      </w:pPr>
      <w:r>
        <w:rPr>
          <w:rFonts w:ascii="Avenir Next" w:hAnsi="Avenir Next"/>
          <w:color w:val="808080" w:themeColor="background1" w:themeShade="80"/>
        </w:rPr>
        <w:t>Order 9, rule 3 (</w:t>
      </w:r>
      <w:r>
        <w:rPr>
          <w:rFonts w:ascii="Avenir Next" w:hAnsi="Avenir Next"/>
          <w:color w:val="808080" w:themeColor="background1" w:themeShade="80"/>
        </w:rPr>
        <w:t>4</w:t>
      </w:r>
      <w:r>
        <w:rPr>
          <w:rFonts w:ascii="Avenir Next" w:hAnsi="Avenir Next"/>
          <w:color w:val="808080" w:themeColor="background1" w:themeShade="80"/>
        </w:rPr>
        <w:t>)</w:t>
      </w:r>
      <w:r>
        <w:rPr>
          <w:rFonts w:ascii="Avenir Next" w:hAnsi="Avenir Next"/>
          <w:color w:val="808080" w:themeColor="background1" w:themeShade="80"/>
        </w:rPr>
        <w:t xml:space="preserve"> of the CWR states indicates that the above meeting may be convened in anticipate of the change in solvency i.e. in respect of an expected but not realized recovery. </w:t>
      </w:r>
    </w:p>
    <w:p w14:paraId="150B029D" w14:textId="6256E88E" w:rsidR="004A3164" w:rsidRDefault="004A3164" w:rsidP="00B20DBE"/>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7D2443F0" w14:textId="0485F20D" w:rsidR="00B20DBE" w:rsidRDefault="00C82D7E" w:rsidP="00B20DBE">
      <w:pPr>
        <w:rPr>
          <w:color w:val="808080" w:themeColor="background1" w:themeShade="80"/>
        </w:rPr>
      </w:pPr>
      <w:r>
        <w:rPr>
          <w:color w:val="808080" w:themeColor="background1" w:themeShade="80"/>
        </w:rPr>
        <w:t>Order 23 of the Companies Winding Up Rules (2023 Consolidation) following the making of a dissolution order the liquidator must:</w:t>
      </w:r>
    </w:p>
    <w:p w14:paraId="21A37E84" w14:textId="6C67900E" w:rsidR="00C82D7E" w:rsidRDefault="00C82D7E" w:rsidP="00B20DBE">
      <w:pPr>
        <w:rPr>
          <w:color w:val="808080" w:themeColor="background1" w:themeShade="80"/>
        </w:rPr>
      </w:pPr>
    </w:p>
    <w:p w14:paraId="5C0E67CA" w14:textId="44C0202A" w:rsidR="00CA4D34" w:rsidRPr="00CA4D34" w:rsidRDefault="00CA4D34">
      <w:pPr>
        <w:pStyle w:val="ListParagraph"/>
        <w:numPr>
          <w:ilvl w:val="0"/>
          <w:numId w:val="30"/>
        </w:numPr>
        <w:rPr>
          <w:color w:val="808080" w:themeColor="background1" w:themeShade="80"/>
        </w:rPr>
      </w:pPr>
      <w:r w:rsidRPr="00CA4D34">
        <w:rPr>
          <w:color w:val="808080" w:themeColor="background1" w:themeShade="80"/>
        </w:rPr>
        <w:t>Become the trustee of any unclaimed assets for the benefit of creditors or contributories, as applicable (O 23, r 1);</w:t>
      </w:r>
    </w:p>
    <w:p w14:paraId="6CD9CDB8" w14:textId="199EB78A" w:rsidR="00C82D7E" w:rsidRPr="00CA4D34" w:rsidRDefault="00C82D7E">
      <w:pPr>
        <w:pStyle w:val="ListParagraph"/>
        <w:numPr>
          <w:ilvl w:val="0"/>
          <w:numId w:val="30"/>
        </w:numPr>
        <w:rPr>
          <w:color w:val="808080" w:themeColor="background1" w:themeShade="80"/>
        </w:rPr>
      </w:pPr>
      <w:r w:rsidRPr="00CA4D34">
        <w:rPr>
          <w:color w:val="808080" w:themeColor="background1" w:themeShade="80"/>
        </w:rPr>
        <w:t>Establish a trust account in an interest baring account representing unclaimed dividends or unclears checks.</w:t>
      </w:r>
      <w:r w:rsidR="00CA4D34" w:rsidRPr="00CA4D34">
        <w:rPr>
          <w:color w:val="808080" w:themeColor="background1" w:themeShade="80"/>
        </w:rPr>
        <w:t xml:space="preserve"> (O 23, r 2);</w:t>
      </w:r>
    </w:p>
    <w:p w14:paraId="287DE38F" w14:textId="78F3E49F" w:rsidR="00C82D7E" w:rsidRPr="00CA4D34" w:rsidRDefault="00C82D7E">
      <w:pPr>
        <w:pStyle w:val="ListParagraph"/>
        <w:numPr>
          <w:ilvl w:val="0"/>
          <w:numId w:val="30"/>
        </w:numPr>
        <w:rPr>
          <w:color w:val="808080" w:themeColor="background1" w:themeShade="80"/>
        </w:rPr>
      </w:pPr>
      <w:r w:rsidRPr="00CA4D34">
        <w:rPr>
          <w:color w:val="808080" w:themeColor="background1" w:themeShade="80"/>
        </w:rPr>
        <w:t>Trans</w:t>
      </w:r>
      <w:r w:rsidR="00CA4D34" w:rsidRPr="00CA4D34">
        <w:rPr>
          <w:color w:val="808080" w:themeColor="background1" w:themeShade="80"/>
        </w:rPr>
        <w:t>fer any remaining assets of the company to the liquidators as trustee of the creditors or members, as applicable. (O 23, r 3);</w:t>
      </w:r>
    </w:p>
    <w:p w14:paraId="2F3BD8A8" w14:textId="78F8F3E1" w:rsidR="00CA4D34" w:rsidRPr="00CA4D34" w:rsidRDefault="00CA4D34">
      <w:pPr>
        <w:pStyle w:val="ListParagraph"/>
        <w:numPr>
          <w:ilvl w:val="0"/>
          <w:numId w:val="30"/>
        </w:numPr>
        <w:rPr>
          <w:color w:val="808080" w:themeColor="background1" w:themeShade="80"/>
        </w:rPr>
      </w:pPr>
      <w:r w:rsidRPr="00CA4D34">
        <w:rPr>
          <w:color w:val="808080" w:themeColor="background1" w:themeShade="80"/>
        </w:rPr>
        <w:t>Attempt to payout the assets within the trust accounts to the appropriate party. (O 23, r 4);</w:t>
      </w:r>
    </w:p>
    <w:p w14:paraId="01B0EF0F" w14:textId="0A28C7D3" w:rsidR="00CA4D34" w:rsidRPr="00CA4D34" w:rsidRDefault="00CA4D34">
      <w:pPr>
        <w:pStyle w:val="ListParagraph"/>
        <w:numPr>
          <w:ilvl w:val="0"/>
          <w:numId w:val="30"/>
        </w:numPr>
        <w:rPr>
          <w:color w:val="808080" w:themeColor="background1" w:themeShade="80"/>
        </w:rPr>
      </w:pPr>
      <w:r w:rsidRPr="00CA4D34">
        <w:rPr>
          <w:color w:val="808080" w:themeColor="background1" w:themeShade="80"/>
        </w:rPr>
        <w:t>Settle a reasonable fee out of the assets held in trust for the services provided and fees incurred</w:t>
      </w:r>
      <w:r w:rsidR="00DC1ABA">
        <w:rPr>
          <w:color w:val="808080" w:themeColor="background1" w:themeShade="80"/>
        </w:rPr>
        <w:t xml:space="preserve"> in administering the trust</w:t>
      </w:r>
      <w:r w:rsidRPr="00CA4D34">
        <w:rPr>
          <w:color w:val="808080" w:themeColor="background1" w:themeShade="80"/>
        </w:rPr>
        <w:t xml:space="preserve"> (O 23, r 5); and</w:t>
      </w:r>
    </w:p>
    <w:p w14:paraId="668AADBB" w14:textId="028464F8" w:rsidR="00CA4D34" w:rsidRPr="00CA4D34" w:rsidRDefault="00CA4D34">
      <w:pPr>
        <w:pStyle w:val="ListParagraph"/>
        <w:numPr>
          <w:ilvl w:val="0"/>
          <w:numId w:val="30"/>
        </w:numPr>
        <w:rPr>
          <w:color w:val="808080" w:themeColor="background1" w:themeShade="80"/>
        </w:rPr>
      </w:pPr>
      <w:r w:rsidRPr="00CA4D34">
        <w:rPr>
          <w:color w:val="808080" w:themeColor="background1" w:themeShade="80"/>
        </w:rPr>
        <w:t>Following a period of one year from dissolution transfer any remaining assets to the financial secretary and prepare a report (O 23, r 6)</w:t>
      </w:r>
      <w:r>
        <w:rPr>
          <w:color w:val="808080" w:themeColor="background1" w:themeShade="80"/>
        </w:rPr>
        <w:t>.</w:t>
      </w: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7F57071B" w14:textId="1A066708" w:rsidR="00D44BFA" w:rsidRDefault="00BE6BEF"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Section 10</w:t>
      </w:r>
      <w:r>
        <w:rPr>
          <w:rFonts w:ascii="Avenir Next" w:hAnsi="Avenir Next"/>
          <w:color w:val="808080" w:themeColor="background1" w:themeShade="80"/>
        </w:rPr>
        <w:t>2</w:t>
      </w:r>
      <w:r>
        <w:rPr>
          <w:rFonts w:ascii="Avenir Next" w:hAnsi="Avenir Next"/>
          <w:color w:val="808080" w:themeColor="background1" w:themeShade="80"/>
        </w:rPr>
        <w:t xml:space="preserve"> of the Companies Act (2023 Revision) </w:t>
      </w:r>
      <w:r>
        <w:rPr>
          <w:rFonts w:ascii="Avenir Next" w:hAnsi="Avenir Next"/>
          <w:color w:val="808080" w:themeColor="background1" w:themeShade="80"/>
        </w:rPr>
        <w:t xml:space="preserve">provided the liquidator with the powers of general investigation. </w:t>
      </w:r>
      <w:r w:rsidR="008C7455">
        <w:rPr>
          <w:rFonts w:ascii="Avenir Next" w:hAnsi="Avenir Next"/>
          <w:color w:val="808080" w:themeColor="background1" w:themeShade="80"/>
        </w:rPr>
        <w:t xml:space="preserve">As an officer of the court the liquidator is required to be “thoroughly acquainted with the affairs of the company; and to suppress nothing, and to conceal nothing, which has come to his knowledge in the course of his investigation, which is material to ascertain the exact truth in every case” </w:t>
      </w:r>
      <w:r w:rsidR="008C7455">
        <w:rPr>
          <w:rStyle w:val="FootnoteReference"/>
          <w:rFonts w:ascii="Avenir Next" w:hAnsi="Avenir Next"/>
          <w:color w:val="808080" w:themeColor="background1" w:themeShade="80"/>
        </w:rPr>
        <w:footnoteReference w:id="5"/>
      </w:r>
      <w:r w:rsidR="008C7455">
        <w:rPr>
          <w:rFonts w:ascii="Avenir Next" w:hAnsi="Avenir Next"/>
          <w:color w:val="808080" w:themeColor="background1" w:themeShade="80"/>
        </w:rPr>
        <w:t xml:space="preserve"> From Section 102 the liquidator is empowered to investigate:</w:t>
      </w:r>
    </w:p>
    <w:p w14:paraId="02AB63AB" w14:textId="041B4EB9" w:rsidR="008C7455" w:rsidRDefault="008C7455" w:rsidP="00ED248F">
      <w:pPr>
        <w:pStyle w:val="BodyText"/>
        <w:ind w:firstLine="0"/>
        <w:rPr>
          <w:rFonts w:ascii="Avenir Next" w:hAnsi="Avenir Next"/>
          <w:color w:val="808080" w:themeColor="background1" w:themeShade="80"/>
        </w:rPr>
      </w:pPr>
    </w:p>
    <w:p w14:paraId="26A7BA25" w14:textId="234B36B5" w:rsidR="008C7455" w:rsidRDefault="008C7455">
      <w:pPr>
        <w:pStyle w:val="BodyText"/>
        <w:numPr>
          <w:ilvl w:val="0"/>
          <w:numId w:val="34"/>
        </w:numPr>
        <w:rPr>
          <w:rFonts w:ascii="Avenir Next" w:hAnsi="Avenir Next"/>
          <w:color w:val="808080" w:themeColor="background1" w:themeShade="80"/>
        </w:rPr>
      </w:pPr>
      <w:r>
        <w:rPr>
          <w:rFonts w:ascii="Avenir Next" w:hAnsi="Avenir Next"/>
          <w:color w:val="808080" w:themeColor="background1" w:themeShade="80"/>
        </w:rPr>
        <w:t xml:space="preserve">If the company has failed, the causes of the failure; and </w:t>
      </w:r>
    </w:p>
    <w:p w14:paraId="5F774D26" w14:textId="77777777" w:rsidR="008C7455" w:rsidRDefault="008C7455">
      <w:pPr>
        <w:pStyle w:val="BodyText"/>
        <w:numPr>
          <w:ilvl w:val="0"/>
          <w:numId w:val="34"/>
        </w:numPr>
        <w:rPr>
          <w:rFonts w:ascii="Avenir Next" w:hAnsi="Avenir Next"/>
          <w:color w:val="808080" w:themeColor="background1" w:themeShade="80"/>
        </w:rPr>
      </w:pPr>
      <w:r>
        <w:rPr>
          <w:rFonts w:ascii="Avenir Next" w:hAnsi="Avenir Next"/>
          <w:color w:val="808080" w:themeColor="background1" w:themeShade="80"/>
        </w:rPr>
        <w:t>Generally, the promotion, business dealings and affairs of the company.</w:t>
      </w:r>
      <w:r w:rsidRPr="008C7455">
        <w:rPr>
          <w:rFonts w:ascii="Avenir Next" w:hAnsi="Avenir Next"/>
          <w:color w:val="808080" w:themeColor="background1" w:themeShade="80"/>
        </w:rPr>
        <w:t xml:space="preserve"> </w:t>
      </w:r>
    </w:p>
    <w:p w14:paraId="30611913" w14:textId="77777777" w:rsidR="008C7455" w:rsidRDefault="008C7455" w:rsidP="008C7455">
      <w:pPr>
        <w:pStyle w:val="BodyText"/>
        <w:ind w:left="720" w:firstLine="0"/>
        <w:rPr>
          <w:rFonts w:ascii="Avenir Next" w:hAnsi="Avenir Next"/>
          <w:color w:val="808080" w:themeColor="background1" w:themeShade="80"/>
        </w:rPr>
      </w:pPr>
    </w:p>
    <w:p w14:paraId="177E7700" w14:textId="279351FB" w:rsidR="008C7455" w:rsidRDefault="008C7455" w:rsidP="008C7455">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102 of the Companies Act (2023 Revision)</w:t>
      </w:r>
      <w:r>
        <w:rPr>
          <w:rFonts w:ascii="Avenir Next" w:hAnsi="Avenir Next"/>
          <w:color w:val="808080" w:themeColor="background1" w:themeShade="80"/>
        </w:rPr>
        <w:t xml:space="preserve"> provides for the liquidator to seek directions of the court to:</w:t>
      </w:r>
    </w:p>
    <w:p w14:paraId="59BCC560" w14:textId="39ECE0BF" w:rsidR="008C7455" w:rsidRDefault="008C7455" w:rsidP="008C7455">
      <w:pPr>
        <w:pStyle w:val="BodyText"/>
        <w:ind w:firstLine="0"/>
        <w:rPr>
          <w:rFonts w:ascii="Avenir Next" w:hAnsi="Avenir Next"/>
          <w:color w:val="808080" w:themeColor="background1" w:themeShade="80"/>
        </w:rPr>
      </w:pPr>
    </w:p>
    <w:p w14:paraId="4F76D64E" w14:textId="7B4ACD19" w:rsidR="008C7455" w:rsidRDefault="008C7455">
      <w:pPr>
        <w:pStyle w:val="BodyText"/>
        <w:numPr>
          <w:ilvl w:val="0"/>
          <w:numId w:val="35"/>
        </w:numPr>
        <w:rPr>
          <w:rFonts w:ascii="Avenir Next" w:hAnsi="Avenir Next"/>
          <w:color w:val="808080" w:themeColor="background1" w:themeShade="80"/>
        </w:rPr>
      </w:pPr>
      <w:r>
        <w:rPr>
          <w:rFonts w:ascii="Avenir Next" w:hAnsi="Avenir Next"/>
          <w:color w:val="808080" w:themeColor="background1" w:themeShade="80"/>
        </w:rPr>
        <w:t xml:space="preserve">Assist the Cayman Islands Monetary Authority and the Cayman Islands Police Service to investigate the actions of any relevant person (as defined in section 101 (3)); and </w:t>
      </w:r>
    </w:p>
    <w:p w14:paraId="7FAB2181" w14:textId="47E11BCE" w:rsidR="008C7455" w:rsidRDefault="008C7455">
      <w:pPr>
        <w:pStyle w:val="BodyText"/>
        <w:numPr>
          <w:ilvl w:val="0"/>
          <w:numId w:val="35"/>
        </w:numPr>
        <w:rPr>
          <w:rFonts w:ascii="Avenir Next" w:hAnsi="Avenir Next"/>
          <w:color w:val="808080" w:themeColor="background1" w:themeShade="80"/>
        </w:rPr>
      </w:pPr>
      <w:r>
        <w:rPr>
          <w:rFonts w:ascii="Avenir Next" w:hAnsi="Avenir Next"/>
          <w:color w:val="808080" w:themeColor="background1" w:themeShade="80"/>
        </w:rPr>
        <w:t>Conducted a criminal prosecution of</w:t>
      </w:r>
      <w:r w:rsidR="00923198">
        <w:rPr>
          <w:rFonts w:ascii="Avenir Next" w:hAnsi="Avenir Next"/>
          <w:color w:val="808080" w:themeColor="background1" w:themeShade="80"/>
        </w:rPr>
        <w:t xml:space="preserve"> relevant</w:t>
      </w:r>
      <w:r>
        <w:rPr>
          <w:rFonts w:ascii="Avenir Next" w:hAnsi="Avenir Next"/>
          <w:color w:val="808080" w:themeColor="background1" w:themeShade="80"/>
        </w:rPr>
        <w:t xml:space="preserve"> persons</w:t>
      </w:r>
      <w:r w:rsidR="00923198">
        <w:rPr>
          <w:rFonts w:ascii="Avenir Next" w:hAnsi="Avenir Next"/>
          <w:color w:val="808080" w:themeColor="background1" w:themeShade="80"/>
        </w:rPr>
        <w:t>.</w:t>
      </w:r>
    </w:p>
    <w:p w14:paraId="0924FD30" w14:textId="47E1FC26" w:rsidR="008C7455" w:rsidRDefault="008C7455" w:rsidP="00ED248F">
      <w:pPr>
        <w:pStyle w:val="BodyText"/>
        <w:ind w:firstLine="0"/>
        <w:rPr>
          <w:rFonts w:ascii="Avenir Next" w:hAnsi="Avenir Next"/>
          <w:b/>
          <w:bCs/>
        </w:rPr>
      </w:pPr>
    </w:p>
    <w:p w14:paraId="43932368" w14:textId="18B95403" w:rsidR="008C7455" w:rsidRPr="00486A0B" w:rsidRDefault="008C7455" w:rsidP="00ED248F">
      <w:pPr>
        <w:pStyle w:val="BodyText"/>
        <w:ind w:firstLine="0"/>
        <w:rPr>
          <w:rFonts w:ascii="Avenir Next" w:hAnsi="Avenir Next"/>
          <w:b/>
          <w:bCs/>
        </w:rPr>
      </w:pPr>
    </w:p>
    <w:p w14:paraId="48B88793" w14:textId="77777777" w:rsidR="00D44BFA" w:rsidRPr="004C5625"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24A557F7" w14:textId="1F65503C" w:rsidR="00EB0CDB" w:rsidRDefault="00923198"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Following the making of a winding up order or the appointment of a provisional liquidator section 101 of the Companies Act (2023 Revision) deals with obtaining a statement of affairs, as required by the liquidator. </w:t>
      </w:r>
    </w:p>
    <w:p w14:paraId="7685B198" w14:textId="77777777" w:rsidR="00923198" w:rsidRDefault="00923198" w:rsidP="00D44BFA">
      <w:pPr>
        <w:pStyle w:val="BodyText"/>
        <w:ind w:firstLine="0"/>
        <w:rPr>
          <w:rFonts w:ascii="Avenir Next" w:hAnsi="Avenir Next"/>
          <w:color w:val="808080" w:themeColor="background1" w:themeShade="80"/>
        </w:rPr>
      </w:pPr>
    </w:p>
    <w:p w14:paraId="71C93500" w14:textId="3ACC7BBF" w:rsidR="00D44BFA" w:rsidRDefault="00923198"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Section 101 (3) details the persons </w:t>
      </w:r>
      <w:r w:rsidR="00EB0CDB">
        <w:rPr>
          <w:rFonts w:ascii="Avenir Next" w:hAnsi="Avenir Next"/>
          <w:color w:val="808080" w:themeColor="background1" w:themeShade="80"/>
        </w:rPr>
        <w:t>described in section 101(1) as:</w:t>
      </w:r>
    </w:p>
    <w:p w14:paraId="51B422D5" w14:textId="06A9140F" w:rsidR="00EB0CDB" w:rsidRDefault="00EB0CDB" w:rsidP="00D44BFA">
      <w:pPr>
        <w:pStyle w:val="BodyText"/>
        <w:ind w:firstLine="0"/>
        <w:rPr>
          <w:rFonts w:ascii="Avenir Next" w:hAnsi="Avenir Next"/>
          <w:color w:val="808080" w:themeColor="background1" w:themeShade="80"/>
        </w:rPr>
      </w:pPr>
    </w:p>
    <w:p w14:paraId="1F732C4A" w14:textId="6E5D5921" w:rsidR="00EB0CDB" w:rsidRDefault="00EB0CDB">
      <w:pPr>
        <w:pStyle w:val="BodyText"/>
        <w:numPr>
          <w:ilvl w:val="0"/>
          <w:numId w:val="36"/>
        </w:numPr>
        <w:rPr>
          <w:rFonts w:ascii="Avenir Next" w:hAnsi="Avenir Next"/>
          <w:color w:val="808080" w:themeColor="background1" w:themeShade="80"/>
        </w:rPr>
      </w:pPr>
      <w:r>
        <w:rPr>
          <w:rFonts w:ascii="Avenir Next" w:hAnsi="Avenir Next"/>
          <w:color w:val="808080" w:themeColor="background1" w:themeShade="80"/>
        </w:rPr>
        <w:t>Persons or are or have been directors of the company;</w:t>
      </w:r>
    </w:p>
    <w:p w14:paraId="0E313D61" w14:textId="3DF4B5B4" w:rsidR="00EB0CDB" w:rsidRDefault="00EB0CDB">
      <w:pPr>
        <w:pStyle w:val="BodyText"/>
        <w:numPr>
          <w:ilvl w:val="0"/>
          <w:numId w:val="36"/>
        </w:numPr>
        <w:rPr>
          <w:rFonts w:ascii="Avenir Next" w:hAnsi="Avenir Next"/>
          <w:color w:val="808080" w:themeColor="background1" w:themeShade="80"/>
        </w:rPr>
      </w:pPr>
      <w:r>
        <w:rPr>
          <w:rFonts w:ascii="Avenir Next" w:hAnsi="Avenir Next"/>
          <w:color w:val="808080" w:themeColor="background1" w:themeShade="80"/>
        </w:rPr>
        <w:t>Persons who are or have been professional services providers to the company; and</w:t>
      </w:r>
    </w:p>
    <w:p w14:paraId="399E7606" w14:textId="77777777" w:rsidR="00EB0CDB" w:rsidRPr="00EB0CDB" w:rsidRDefault="00EB0CDB">
      <w:pPr>
        <w:pStyle w:val="BodyText"/>
        <w:numPr>
          <w:ilvl w:val="0"/>
          <w:numId w:val="36"/>
        </w:numPr>
        <w:rPr>
          <w:rFonts w:ascii="Avenir Next" w:hAnsi="Avenir Next"/>
          <w:b/>
          <w:bCs/>
        </w:rPr>
      </w:pPr>
      <w:r>
        <w:rPr>
          <w:rFonts w:ascii="Avenir Next" w:hAnsi="Avenir Next"/>
          <w:color w:val="808080" w:themeColor="background1" w:themeShade="80"/>
        </w:rPr>
        <w:t xml:space="preserve">Persons who are or have been employees of the company, during the period one year preceding the relevant date. </w:t>
      </w:r>
    </w:p>
    <w:p w14:paraId="3D09A384" w14:textId="77777777" w:rsidR="00EB0CDB" w:rsidRPr="00EB0CDB" w:rsidRDefault="00EB0CDB" w:rsidP="00EB0CDB">
      <w:pPr>
        <w:pStyle w:val="BodyText"/>
        <w:ind w:firstLine="0"/>
        <w:rPr>
          <w:rFonts w:ascii="Avenir Next" w:hAnsi="Avenir Next"/>
          <w:b/>
          <w:bCs/>
        </w:rPr>
      </w:pPr>
    </w:p>
    <w:p w14:paraId="6FEB9221" w14:textId="36E1F64C" w:rsidR="00EB0CDB" w:rsidRDefault="00EB0CDB" w:rsidP="00EB0CDB">
      <w:pPr>
        <w:pStyle w:val="BodyText"/>
        <w:ind w:firstLine="0"/>
        <w:rPr>
          <w:rFonts w:ascii="Avenir Next" w:hAnsi="Avenir Next"/>
          <w:color w:val="808080" w:themeColor="background1" w:themeShade="80"/>
        </w:rPr>
      </w:pPr>
      <w:r>
        <w:rPr>
          <w:rFonts w:ascii="Avenir Next" w:hAnsi="Avenir Next"/>
          <w:color w:val="808080" w:themeColor="background1" w:themeShade="80"/>
        </w:rPr>
        <w:t>The relevant date above is defined in section 101(6) as:</w:t>
      </w:r>
    </w:p>
    <w:p w14:paraId="15B282BA" w14:textId="7C4DC720" w:rsidR="00EB0CDB" w:rsidRDefault="00EB0CDB" w:rsidP="00EB0CDB">
      <w:pPr>
        <w:pStyle w:val="BodyText"/>
        <w:ind w:firstLine="0"/>
        <w:rPr>
          <w:rFonts w:ascii="Avenir Next" w:hAnsi="Avenir Next"/>
          <w:color w:val="808080" w:themeColor="background1" w:themeShade="80"/>
        </w:rPr>
      </w:pPr>
    </w:p>
    <w:p w14:paraId="1A4D69D5" w14:textId="534B3DEC" w:rsidR="00EB0CDB" w:rsidRDefault="00EB0CDB">
      <w:pPr>
        <w:pStyle w:val="BodyText"/>
        <w:numPr>
          <w:ilvl w:val="0"/>
          <w:numId w:val="37"/>
        </w:numPr>
        <w:rPr>
          <w:rFonts w:ascii="Avenir Next" w:hAnsi="Avenir Next"/>
          <w:color w:val="808080" w:themeColor="background1" w:themeShade="80"/>
        </w:rPr>
      </w:pPr>
      <w:r w:rsidRPr="00EB0CDB">
        <w:rPr>
          <w:rFonts w:ascii="Avenir Next" w:hAnsi="Avenir Next"/>
          <w:color w:val="808080" w:themeColor="background1" w:themeShade="80"/>
        </w:rPr>
        <w:t xml:space="preserve">Where a provisional liquidator has </w:t>
      </w:r>
      <w:r>
        <w:rPr>
          <w:rFonts w:ascii="Avenir Next" w:hAnsi="Avenir Next"/>
          <w:color w:val="808080" w:themeColor="background1" w:themeShade="80"/>
        </w:rPr>
        <w:t>been amounted, the date of appointment; or</w:t>
      </w:r>
    </w:p>
    <w:p w14:paraId="4F03415A" w14:textId="5BEEC079" w:rsidR="00D44BFA" w:rsidRPr="00EB0CDB" w:rsidRDefault="00EB0CDB">
      <w:pPr>
        <w:pStyle w:val="BodyText"/>
        <w:numPr>
          <w:ilvl w:val="0"/>
          <w:numId w:val="37"/>
        </w:numPr>
        <w:rPr>
          <w:rFonts w:ascii="Avenir Next" w:hAnsi="Avenir Next"/>
          <w:color w:val="808080" w:themeColor="background1" w:themeShade="80"/>
        </w:rPr>
      </w:pPr>
      <w:r>
        <w:rPr>
          <w:rFonts w:ascii="Avenir Next" w:hAnsi="Avenir Next"/>
          <w:color w:val="808080" w:themeColor="background1" w:themeShade="80"/>
        </w:rPr>
        <w:t>In any other case, the commencement of the winding up.</w:t>
      </w:r>
    </w:p>
    <w:p w14:paraId="524F028F" w14:textId="77777777" w:rsidR="006E7B1B" w:rsidRPr="00EB0CDB" w:rsidRDefault="006E7B1B" w:rsidP="008E6B76">
      <w:pPr>
        <w:tabs>
          <w:tab w:val="right" w:pos="9021"/>
        </w:tabs>
        <w:rPr>
          <w:rFonts w:ascii="Avenir Next Demi Bold" w:hAnsi="Avenir Next Demi Bold"/>
          <w:b/>
          <w:bCs/>
        </w:rPr>
      </w:pPr>
    </w:p>
    <w:p w14:paraId="1B32AD02" w14:textId="77777777" w:rsidR="00EB3E2A" w:rsidRPr="00EB0CDB" w:rsidRDefault="00EB3E2A" w:rsidP="008E6B76">
      <w:pPr>
        <w:tabs>
          <w:tab w:val="right" w:pos="9021"/>
        </w:tabs>
        <w:rPr>
          <w:rFonts w:ascii="Avenir Next Demi Bold" w:hAnsi="Avenir Next Demi Bold"/>
          <w:b/>
          <w:bCs/>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0278307F" w14:textId="00FD74F9" w:rsidR="00080EDC" w:rsidRPr="00486A0B" w:rsidRDefault="002E2CB9" w:rsidP="00080EDC">
      <w:pPr>
        <w:pStyle w:val="BodyText"/>
        <w:ind w:firstLine="0"/>
        <w:rPr>
          <w:rFonts w:ascii="Avenir Next" w:hAnsi="Avenir Next"/>
          <w:b/>
          <w:bCs/>
        </w:rPr>
      </w:pPr>
      <w:r>
        <w:rPr>
          <w:rFonts w:ascii="Avenir Next" w:hAnsi="Avenir Next"/>
          <w:color w:val="808080" w:themeColor="background1" w:themeShade="80"/>
        </w:rPr>
        <w:t xml:space="preserve"> S</w:t>
      </w:r>
      <w:r>
        <w:rPr>
          <w:rFonts w:ascii="Avenir Next" w:hAnsi="Avenir Next"/>
          <w:color w:val="808080" w:themeColor="background1" w:themeShade="80"/>
        </w:rPr>
        <w:t>ection 10</w:t>
      </w:r>
      <w:r>
        <w:rPr>
          <w:rFonts w:ascii="Avenir Next" w:hAnsi="Avenir Next"/>
          <w:color w:val="808080" w:themeColor="background1" w:themeShade="80"/>
        </w:rPr>
        <w:t>8 (1)</w:t>
      </w:r>
      <w:r>
        <w:rPr>
          <w:rFonts w:ascii="Avenir Next" w:hAnsi="Avenir Next"/>
          <w:color w:val="808080" w:themeColor="background1" w:themeShade="80"/>
        </w:rPr>
        <w:t xml:space="preserve"> of the Companies Act (2023 Revision)</w:t>
      </w:r>
      <w:r>
        <w:rPr>
          <w:rFonts w:ascii="Avenir Next" w:hAnsi="Avenir Next"/>
          <w:color w:val="808080" w:themeColor="background1" w:themeShade="80"/>
        </w:rPr>
        <w:t xml:space="preserve"> and </w:t>
      </w:r>
      <w:r>
        <w:rPr>
          <w:rFonts w:ascii="Avenir Next" w:hAnsi="Avenir Next"/>
          <w:color w:val="808080" w:themeColor="background1" w:themeShade="80"/>
        </w:rPr>
        <w:t>Insolvency Practitioner Regulations</w:t>
      </w:r>
      <w:r>
        <w:rPr>
          <w:rFonts w:ascii="Avenir Next" w:hAnsi="Avenir Next"/>
          <w:color w:val="808080" w:themeColor="background1" w:themeShade="80"/>
        </w:rPr>
        <w:t xml:space="preserve"> (2023 Revision)</w:t>
      </w:r>
      <w:r w:rsidR="000D2450">
        <w:rPr>
          <w:rFonts w:ascii="Avenir Next" w:hAnsi="Avenir Next"/>
          <w:color w:val="808080" w:themeColor="background1" w:themeShade="80"/>
        </w:rPr>
        <w:t>(“IPR”)</w:t>
      </w:r>
      <w:r>
        <w:rPr>
          <w:rFonts w:ascii="Avenir Next" w:hAnsi="Avenir Next"/>
          <w:color w:val="808080" w:themeColor="background1" w:themeShade="80"/>
        </w:rPr>
        <w:t xml:space="preserve"> regulation 8 notes that a foreign official liquidator may only be appointed to act jointly with a qualified insolvency practitioner. As such, the chosen provisional liquidator must meet the eligibility requirements, including the residency requirement, as set out in the I</w:t>
      </w:r>
      <w:r w:rsidR="000D2450">
        <w:rPr>
          <w:rFonts w:ascii="Avenir Next" w:hAnsi="Avenir Next"/>
          <w:color w:val="808080" w:themeColor="background1" w:themeShade="80"/>
        </w:rPr>
        <w:t>PR</w:t>
      </w:r>
      <w:r>
        <w:rPr>
          <w:rFonts w:ascii="Avenir Next" w:hAnsi="Avenir Next"/>
          <w:color w:val="808080" w:themeColor="background1" w:themeShade="80"/>
        </w:rPr>
        <w:t xml:space="preserve">, regulations 4 -7. </w:t>
      </w:r>
      <w:r w:rsidR="000D2450">
        <w:rPr>
          <w:rFonts w:ascii="Avenir Next" w:hAnsi="Avenir Next"/>
          <w:color w:val="808080" w:themeColor="background1" w:themeShade="80"/>
        </w:rPr>
        <w:t>Assuming that the preceding requirements are satisfied, the proposed liquidator may not be appointed unless r</w:t>
      </w:r>
      <w:r>
        <w:rPr>
          <w:rFonts w:ascii="Avenir Next" w:hAnsi="Avenir Next"/>
          <w:color w:val="808080" w:themeColor="background1" w:themeShade="80"/>
        </w:rPr>
        <w:t xml:space="preserve">egulation 7 </w:t>
      </w:r>
      <w:r w:rsidR="000D2450">
        <w:rPr>
          <w:rFonts w:ascii="Avenir Next" w:hAnsi="Avenir Next"/>
          <w:color w:val="808080" w:themeColor="background1" w:themeShade="80"/>
        </w:rPr>
        <w:t xml:space="preserve">of the IPR </w:t>
      </w:r>
      <w:r>
        <w:rPr>
          <w:rFonts w:ascii="Avenir Next" w:hAnsi="Avenir Next"/>
          <w:color w:val="808080" w:themeColor="background1" w:themeShade="80"/>
        </w:rPr>
        <w:t xml:space="preserve">establishes that </w:t>
      </w:r>
      <w:r w:rsidR="000D2450">
        <w:rPr>
          <w:rFonts w:ascii="Avenir Next" w:hAnsi="Avenir Next"/>
          <w:color w:val="808080" w:themeColor="background1" w:themeShade="80"/>
        </w:rPr>
        <w:t xml:space="preserve">a qualified insolvency practitioner must maintain insurance of up to USD 10 million for each claim and USD 20 million in the aggregate is </w:t>
      </w:r>
      <w:r w:rsidR="000D2450">
        <w:rPr>
          <w:rFonts w:ascii="Avenir Next" w:hAnsi="Avenir Next"/>
          <w:color w:val="808080" w:themeColor="background1" w:themeShade="80"/>
        </w:rPr>
        <w:lastRenderedPageBreak/>
        <w:t xml:space="preserve">complied with. </w:t>
      </w:r>
    </w:p>
    <w:p w14:paraId="26BB8208" w14:textId="77777777" w:rsidR="00080EDC" w:rsidRPr="00080EDC" w:rsidRDefault="00080EDC" w:rsidP="00080EDC">
      <w:pPr>
        <w:pStyle w:val="BodyText"/>
        <w:rPr>
          <w:rFonts w:ascii="Avenir Next" w:hAnsi="Avenir Next"/>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1FAFB0DC" w14:textId="54FC2BF0" w:rsidR="00662A8E" w:rsidRDefault="00236D7D"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In order to appoint a restructuring officer the company must demonstrate that it:</w:t>
      </w:r>
    </w:p>
    <w:p w14:paraId="024CAD3E" w14:textId="692E8814" w:rsidR="00236D7D" w:rsidRDefault="00236D7D" w:rsidP="00662A8E">
      <w:pPr>
        <w:pStyle w:val="BodyText"/>
        <w:ind w:firstLine="0"/>
        <w:rPr>
          <w:rFonts w:ascii="Avenir Next" w:hAnsi="Avenir Next"/>
          <w:color w:val="808080" w:themeColor="background1" w:themeShade="80"/>
        </w:rPr>
      </w:pPr>
    </w:p>
    <w:p w14:paraId="392744B4" w14:textId="48BD944D" w:rsidR="00236D7D" w:rsidRDefault="00236D7D">
      <w:pPr>
        <w:pStyle w:val="BodyText"/>
        <w:numPr>
          <w:ilvl w:val="0"/>
          <w:numId w:val="38"/>
        </w:numPr>
        <w:rPr>
          <w:rFonts w:ascii="Avenir Next" w:hAnsi="Avenir Next"/>
          <w:color w:val="808080" w:themeColor="background1" w:themeShade="80"/>
        </w:rPr>
      </w:pPr>
      <w:r>
        <w:rPr>
          <w:rFonts w:ascii="Avenir Next" w:hAnsi="Avenir Next"/>
          <w:color w:val="808080" w:themeColor="background1" w:themeShade="80"/>
        </w:rPr>
        <w:t>Is or is likely to become unable to pay its debts; and</w:t>
      </w:r>
    </w:p>
    <w:p w14:paraId="2BEF1E26" w14:textId="2BFADD52" w:rsidR="00236D7D" w:rsidRDefault="00236D7D">
      <w:pPr>
        <w:pStyle w:val="BodyText"/>
        <w:numPr>
          <w:ilvl w:val="0"/>
          <w:numId w:val="38"/>
        </w:numPr>
        <w:rPr>
          <w:rFonts w:ascii="Avenir Next" w:hAnsi="Avenir Next"/>
          <w:color w:val="808080" w:themeColor="background1" w:themeShade="80"/>
        </w:rPr>
      </w:pPr>
      <w:r>
        <w:rPr>
          <w:rFonts w:ascii="Avenir Next" w:hAnsi="Avenir Next"/>
          <w:color w:val="808080" w:themeColor="background1" w:themeShade="80"/>
        </w:rPr>
        <w:t>Intended to present a compromise or arrangement to its creditor or classes there</w:t>
      </w:r>
      <w:r w:rsidR="00D97856">
        <w:rPr>
          <w:rFonts w:ascii="Avenir Next" w:hAnsi="Avenir Next"/>
          <w:color w:val="808080" w:themeColor="background1" w:themeShade="80"/>
        </w:rPr>
        <w:t>of.</w:t>
      </w:r>
    </w:p>
    <w:p w14:paraId="24F91BFD" w14:textId="03B36E7D" w:rsidR="00236D7D" w:rsidRDefault="00236D7D" w:rsidP="00662A8E">
      <w:pPr>
        <w:pStyle w:val="BodyText"/>
        <w:ind w:firstLine="0"/>
        <w:rPr>
          <w:rFonts w:ascii="Avenir Next" w:hAnsi="Avenir Next"/>
          <w:color w:val="808080" w:themeColor="background1" w:themeShade="80"/>
        </w:rPr>
      </w:pPr>
    </w:p>
    <w:p w14:paraId="15A26005" w14:textId="1FA816AD" w:rsidR="00236D7D" w:rsidRPr="00486A0B" w:rsidRDefault="00236D7D" w:rsidP="00662A8E">
      <w:pPr>
        <w:pStyle w:val="BodyText"/>
        <w:ind w:firstLine="0"/>
        <w:rPr>
          <w:rFonts w:ascii="Avenir Next" w:hAnsi="Avenir Next"/>
          <w:b/>
          <w:bCs/>
        </w:rPr>
      </w:pPr>
      <w:r>
        <w:rPr>
          <w:rFonts w:ascii="Avenir Next" w:hAnsi="Avenir Next"/>
          <w:color w:val="808080" w:themeColor="background1" w:themeShade="80"/>
        </w:rPr>
        <w:t xml:space="preserve">As defined at </w:t>
      </w:r>
      <w:r w:rsidR="00996EA4">
        <w:rPr>
          <w:rFonts w:ascii="Avenir Next" w:hAnsi="Avenir Next"/>
          <w:color w:val="808080" w:themeColor="background1" w:themeShade="80"/>
        </w:rPr>
        <w:t>s</w:t>
      </w:r>
      <w:r>
        <w:rPr>
          <w:rFonts w:ascii="Avenir Next" w:hAnsi="Avenir Next"/>
          <w:color w:val="808080" w:themeColor="background1" w:themeShade="80"/>
        </w:rPr>
        <w:t xml:space="preserve">ection </w:t>
      </w:r>
      <w:r>
        <w:rPr>
          <w:rFonts w:ascii="Avenir Next" w:hAnsi="Avenir Next"/>
          <w:color w:val="808080" w:themeColor="background1" w:themeShade="80"/>
        </w:rPr>
        <w:t>91B</w:t>
      </w:r>
      <w:r>
        <w:rPr>
          <w:rFonts w:ascii="Avenir Next" w:hAnsi="Avenir Next"/>
          <w:color w:val="808080" w:themeColor="background1" w:themeShade="80"/>
        </w:rPr>
        <w:t xml:space="preserve"> (1) of the Companies Act (2023 Revision)</w:t>
      </w: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60881935" w14:textId="53212942" w:rsidR="00662A8E" w:rsidRDefault="00604DFC" w:rsidP="00604DFC">
      <w:pPr>
        <w:pStyle w:val="BodyText"/>
        <w:ind w:firstLine="0"/>
        <w:rPr>
          <w:rFonts w:ascii="Avenir Next" w:hAnsi="Avenir Next"/>
          <w:color w:val="808080" w:themeColor="background1" w:themeShade="80"/>
        </w:rPr>
      </w:pPr>
      <w:r w:rsidRPr="00604DFC">
        <w:rPr>
          <w:rFonts w:ascii="Avenir Next" w:hAnsi="Avenir Next"/>
          <w:color w:val="808080" w:themeColor="background1" w:themeShade="80"/>
        </w:rPr>
        <w:t xml:space="preserve">Order </w:t>
      </w:r>
      <w:r>
        <w:rPr>
          <w:rFonts w:ascii="Avenir Next" w:hAnsi="Avenir Next"/>
          <w:color w:val="808080" w:themeColor="background1" w:themeShade="80"/>
        </w:rPr>
        <w:t>1A, rule , (2)-(3) of</w:t>
      </w:r>
      <w:r w:rsidRPr="00604DFC">
        <w:rPr>
          <w:rFonts w:ascii="Avenir Next" w:hAnsi="Avenir Next"/>
          <w:color w:val="808080" w:themeColor="background1" w:themeShade="80"/>
        </w:rPr>
        <w:t xml:space="preserve"> the Companies Winding Up Rules (2023 Consolidation) </w:t>
      </w:r>
      <w:r>
        <w:rPr>
          <w:rFonts w:ascii="Avenir Next" w:hAnsi="Avenir Next"/>
          <w:color w:val="808080" w:themeColor="background1" w:themeShade="80"/>
        </w:rPr>
        <w:t>defines two requirements for advertising a restructuring petition:</w:t>
      </w:r>
    </w:p>
    <w:p w14:paraId="3A38A6DD" w14:textId="2A66369E" w:rsidR="00604DFC" w:rsidRDefault="00604DFC" w:rsidP="00604DFC">
      <w:pPr>
        <w:pStyle w:val="BodyText"/>
        <w:ind w:firstLine="0"/>
        <w:rPr>
          <w:rFonts w:ascii="Avenir Next" w:hAnsi="Avenir Next"/>
          <w:color w:val="808080" w:themeColor="background1" w:themeShade="80"/>
        </w:rPr>
      </w:pPr>
    </w:p>
    <w:p w14:paraId="2E4A0612" w14:textId="5ACEC320" w:rsidR="00604DFC" w:rsidRDefault="00604DFC">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Advertising the Cayman Islands Gazette within business days of the ordering being made; and </w:t>
      </w:r>
    </w:p>
    <w:p w14:paraId="008D79E4" w14:textId="03D4520C" w:rsidR="00604DFC" w:rsidRPr="00280A28" w:rsidRDefault="00604DFC">
      <w:pPr>
        <w:pStyle w:val="BodyText"/>
        <w:numPr>
          <w:ilvl w:val="0"/>
          <w:numId w:val="39"/>
        </w:numPr>
        <w:rPr>
          <w:rFonts w:ascii="Avenir Next" w:hAnsi="Avenir Next"/>
          <w:b/>
          <w:bCs/>
        </w:rPr>
      </w:pPr>
      <w:r>
        <w:rPr>
          <w:rFonts w:ascii="Avenir Next" w:hAnsi="Avenir Next"/>
          <w:color w:val="808080" w:themeColor="background1" w:themeShade="80"/>
        </w:rPr>
        <w:t>Notice shall be provided to the company’s creditors (including contingent and prospective), contributories and the Cayman Islands Monetary Authority, if the company is  as directed by the court</w:t>
      </w:r>
      <w:r w:rsidR="00280A28">
        <w:rPr>
          <w:rFonts w:ascii="Avenir Next" w:hAnsi="Avenir Next"/>
          <w:color w:val="808080" w:themeColor="background1" w:themeShade="80"/>
        </w:rPr>
        <w:t>.</w:t>
      </w:r>
    </w:p>
    <w:p w14:paraId="15BEC891" w14:textId="77777777" w:rsidR="00604DFC" w:rsidRPr="004C5625" w:rsidRDefault="00604DFC"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53321FBD" w14:textId="3F95A1EB" w:rsidR="00662A8E" w:rsidRDefault="004B71AD"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There are numerous provisions of the restructuring officer regime as detailed in Section 91 of the Companies Act (2023 Revision) which seek to protect the interest of creditors, including but not limited to:</w:t>
      </w:r>
    </w:p>
    <w:p w14:paraId="78B61251" w14:textId="7BE9B471" w:rsidR="004B71AD" w:rsidRDefault="004B71AD" w:rsidP="00662A8E">
      <w:pPr>
        <w:pStyle w:val="BodyText"/>
        <w:ind w:firstLine="0"/>
        <w:rPr>
          <w:rFonts w:ascii="Avenir Next" w:hAnsi="Avenir Next"/>
          <w:color w:val="808080" w:themeColor="background1" w:themeShade="80"/>
        </w:rPr>
      </w:pPr>
    </w:p>
    <w:p w14:paraId="03E46C94" w14:textId="04E5A802" w:rsidR="004B71AD" w:rsidRDefault="004B71AD">
      <w:pPr>
        <w:pStyle w:val="BodyText"/>
        <w:numPr>
          <w:ilvl w:val="0"/>
          <w:numId w:val="41"/>
        </w:numPr>
        <w:rPr>
          <w:rFonts w:ascii="Avenir Next" w:hAnsi="Avenir Next"/>
          <w:color w:val="808080" w:themeColor="background1" w:themeShade="80"/>
        </w:rPr>
      </w:pPr>
      <w:r>
        <w:rPr>
          <w:rFonts w:ascii="Avenir Next" w:hAnsi="Avenir Next"/>
          <w:color w:val="808080" w:themeColor="background1" w:themeShade="80"/>
        </w:rPr>
        <w:t>Restructuring petitions should be heard within 21 days of presentation to prevent abuse of the moratorium period</w:t>
      </w:r>
      <w:r w:rsidR="00856E28">
        <w:rPr>
          <w:rFonts w:ascii="Avenir Next" w:hAnsi="Avenir Next"/>
          <w:color w:val="808080" w:themeColor="background1" w:themeShade="80"/>
        </w:rPr>
        <w:t xml:space="preserve"> (CWR O 1A, r 1)</w:t>
      </w:r>
      <w:r>
        <w:rPr>
          <w:rFonts w:ascii="Avenir Next" w:hAnsi="Avenir Next"/>
          <w:color w:val="808080" w:themeColor="background1" w:themeShade="80"/>
        </w:rPr>
        <w:t>;</w:t>
      </w:r>
    </w:p>
    <w:p w14:paraId="7EDD312C" w14:textId="77777777" w:rsidR="004B71AD" w:rsidRDefault="004B71AD">
      <w:pPr>
        <w:pStyle w:val="BodyText"/>
        <w:numPr>
          <w:ilvl w:val="0"/>
          <w:numId w:val="41"/>
        </w:numPr>
        <w:rPr>
          <w:rFonts w:ascii="Avenir Next" w:hAnsi="Avenir Next"/>
          <w:color w:val="808080" w:themeColor="background1" w:themeShade="80"/>
        </w:rPr>
      </w:pPr>
      <w:r>
        <w:rPr>
          <w:rFonts w:ascii="Avenir Next" w:hAnsi="Avenir Next"/>
          <w:color w:val="808080" w:themeColor="background1" w:themeShade="80"/>
        </w:rPr>
        <w:t>A qualified IP must properly independent of the company in order to be appointed;</w:t>
      </w:r>
    </w:p>
    <w:p w14:paraId="4FBC5F8A" w14:textId="4C0DE983" w:rsidR="004B71AD" w:rsidRDefault="004B71AD">
      <w:pPr>
        <w:pStyle w:val="BodyText"/>
        <w:numPr>
          <w:ilvl w:val="0"/>
          <w:numId w:val="41"/>
        </w:numPr>
        <w:rPr>
          <w:rFonts w:ascii="Avenir Next" w:hAnsi="Avenir Next"/>
          <w:color w:val="808080" w:themeColor="background1" w:themeShade="80"/>
        </w:rPr>
      </w:pPr>
      <w:r>
        <w:rPr>
          <w:rFonts w:ascii="Avenir Next" w:hAnsi="Avenir Next"/>
          <w:color w:val="808080" w:themeColor="background1" w:themeShade="80"/>
        </w:rPr>
        <w:t>The restructuring officers must report to the court within 28 days of appointment</w:t>
      </w:r>
      <w:r w:rsidR="00856E28">
        <w:rPr>
          <w:rFonts w:ascii="Avenir Next" w:hAnsi="Avenir Next"/>
          <w:color w:val="808080" w:themeColor="background1" w:themeShade="80"/>
        </w:rPr>
        <w:t xml:space="preserve"> </w:t>
      </w:r>
      <w:r w:rsidR="00856E28">
        <w:rPr>
          <w:rFonts w:ascii="Avenir Next" w:hAnsi="Avenir Next"/>
          <w:color w:val="808080" w:themeColor="background1" w:themeShade="80"/>
        </w:rPr>
        <w:t>(CWR O 1A, r</w:t>
      </w:r>
      <w:r w:rsidR="00856E28">
        <w:rPr>
          <w:rFonts w:ascii="Avenir Next" w:hAnsi="Avenir Next"/>
          <w:color w:val="808080" w:themeColor="background1" w:themeShade="80"/>
        </w:rPr>
        <w:t xml:space="preserve"> 7</w:t>
      </w:r>
      <w:r w:rsidR="00856E28">
        <w:rPr>
          <w:rFonts w:ascii="Avenir Next" w:hAnsi="Avenir Next"/>
          <w:color w:val="808080" w:themeColor="background1" w:themeShade="80"/>
        </w:rPr>
        <w:t>)</w:t>
      </w:r>
      <w:r>
        <w:rPr>
          <w:rFonts w:ascii="Avenir Next" w:hAnsi="Avenir Next"/>
          <w:color w:val="808080" w:themeColor="background1" w:themeShade="80"/>
        </w:rPr>
        <w:t>;</w:t>
      </w:r>
    </w:p>
    <w:p w14:paraId="7ECE7402" w14:textId="0B4C5381" w:rsidR="004B71AD" w:rsidRDefault="004B71AD">
      <w:pPr>
        <w:pStyle w:val="BodyText"/>
        <w:numPr>
          <w:ilvl w:val="0"/>
          <w:numId w:val="41"/>
        </w:numPr>
        <w:rPr>
          <w:rFonts w:ascii="Avenir Next" w:hAnsi="Avenir Next"/>
          <w:color w:val="808080" w:themeColor="background1" w:themeShade="80"/>
        </w:rPr>
      </w:pPr>
      <w:r>
        <w:rPr>
          <w:rFonts w:ascii="Avenir Next" w:hAnsi="Avenir Next"/>
          <w:color w:val="808080" w:themeColor="background1" w:themeShade="80"/>
        </w:rPr>
        <w:t>A creditor may appear at the hearing of the restructuring petition to oppose or support the petition provided the prescribed criteria are met</w:t>
      </w:r>
      <w:r w:rsidR="00856E28">
        <w:rPr>
          <w:rFonts w:ascii="Avenir Next" w:hAnsi="Avenir Next"/>
          <w:color w:val="808080" w:themeColor="background1" w:themeShade="80"/>
        </w:rPr>
        <w:t xml:space="preserve"> </w:t>
      </w:r>
      <w:r w:rsidR="00856E28">
        <w:rPr>
          <w:rFonts w:ascii="Avenir Next" w:hAnsi="Avenir Next"/>
          <w:color w:val="808080" w:themeColor="background1" w:themeShade="80"/>
        </w:rPr>
        <w:t>(CWR O 1A, r</w:t>
      </w:r>
      <w:r w:rsidR="00856E28">
        <w:rPr>
          <w:rFonts w:ascii="Avenir Next" w:hAnsi="Avenir Next"/>
          <w:color w:val="808080" w:themeColor="background1" w:themeShade="80"/>
        </w:rPr>
        <w:t xml:space="preserve"> 3</w:t>
      </w:r>
      <w:r w:rsidR="00856E28">
        <w:rPr>
          <w:rFonts w:ascii="Avenir Next" w:hAnsi="Avenir Next"/>
          <w:color w:val="808080" w:themeColor="background1" w:themeShade="80"/>
        </w:rPr>
        <w:t>)</w:t>
      </w:r>
      <w:r>
        <w:rPr>
          <w:rFonts w:ascii="Avenir Next" w:hAnsi="Avenir Next"/>
          <w:color w:val="808080" w:themeColor="background1" w:themeShade="80"/>
        </w:rPr>
        <w:t>;</w:t>
      </w:r>
    </w:p>
    <w:p w14:paraId="181DE8CF" w14:textId="1CCAE766" w:rsidR="004B71AD" w:rsidRDefault="004B71AD">
      <w:pPr>
        <w:pStyle w:val="BodyText"/>
        <w:numPr>
          <w:ilvl w:val="0"/>
          <w:numId w:val="41"/>
        </w:numPr>
        <w:rPr>
          <w:rFonts w:ascii="Avenir Next" w:hAnsi="Avenir Next"/>
          <w:color w:val="808080" w:themeColor="background1" w:themeShade="80"/>
        </w:rPr>
      </w:pPr>
      <w:r>
        <w:rPr>
          <w:rFonts w:ascii="Avenir Next" w:hAnsi="Avenir Next"/>
          <w:color w:val="808080" w:themeColor="background1" w:themeShade="80"/>
        </w:rPr>
        <w:t>A creditor may apply to the court to vary or discharge the appointment of restructuring officer</w:t>
      </w:r>
      <w:r w:rsidR="00072442">
        <w:rPr>
          <w:rFonts w:ascii="Avenir Next" w:hAnsi="Avenir Next"/>
          <w:color w:val="808080" w:themeColor="background1" w:themeShade="80"/>
        </w:rPr>
        <w:t xml:space="preserve"> (91 E and 91 F)</w:t>
      </w:r>
      <w:r>
        <w:rPr>
          <w:rFonts w:ascii="Avenir Next" w:hAnsi="Avenir Next"/>
          <w:color w:val="808080" w:themeColor="background1" w:themeShade="80"/>
        </w:rPr>
        <w:t>; and</w:t>
      </w:r>
    </w:p>
    <w:p w14:paraId="0B9162D0" w14:textId="6EA02F71" w:rsidR="004B71AD" w:rsidRDefault="00072442">
      <w:pPr>
        <w:pStyle w:val="BodyText"/>
        <w:numPr>
          <w:ilvl w:val="0"/>
          <w:numId w:val="41"/>
        </w:numPr>
        <w:rPr>
          <w:rFonts w:ascii="Avenir Next" w:hAnsi="Avenir Next"/>
          <w:color w:val="808080" w:themeColor="background1" w:themeShade="80"/>
        </w:rPr>
      </w:pPr>
      <w:r>
        <w:rPr>
          <w:rFonts w:ascii="Avenir Next" w:hAnsi="Avenir Next"/>
          <w:color w:val="808080" w:themeColor="background1" w:themeShade="80"/>
        </w:rPr>
        <w:t>A creditor’s security will remain intact, without leave of the court, following the appointment of a restructuring officer. (91 H)</w:t>
      </w:r>
    </w:p>
    <w:p w14:paraId="5F7F72DE" w14:textId="77777777" w:rsidR="004B71AD" w:rsidRPr="00486A0B" w:rsidRDefault="004B71AD" w:rsidP="00662A8E">
      <w:pPr>
        <w:pStyle w:val="BodyText"/>
        <w:ind w:firstLine="0"/>
        <w:rPr>
          <w:rFonts w:ascii="Avenir Next" w:hAnsi="Avenir Next"/>
          <w:b/>
          <w:bCs/>
        </w:rPr>
      </w:pPr>
    </w:p>
    <w:p w14:paraId="44F88168" w14:textId="77777777" w:rsidR="00662A8E" w:rsidRDefault="00662A8E" w:rsidP="00662A8E">
      <w:pPr>
        <w:rPr>
          <w:rFonts w:ascii="Avenir Next LT Pro" w:hAnsi="Avenir Next LT Pro"/>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54FAD44" w14:textId="41CFD7BF" w:rsidR="00662A8E" w:rsidRDefault="00996EA4" w:rsidP="00996EA4">
      <w:pPr>
        <w:pStyle w:val="BodyText"/>
        <w:ind w:firstLine="0"/>
        <w:rPr>
          <w:rFonts w:ascii="Avenir Next" w:hAnsi="Avenir Next"/>
          <w:color w:val="808080" w:themeColor="background1" w:themeShade="80"/>
        </w:rPr>
      </w:pPr>
      <w:r>
        <w:rPr>
          <w:rFonts w:ascii="Avenir Next" w:hAnsi="Avenir Next"/>
          <w:color w:val="808080" w:themeColor="background1" w:themeShade="80"/>
        </w:rPr>
        <w:t>The relief available to the court is detailed at s</w:t>
      </w:r>
      <w:r>
        <w:rPr>
          <w:rFonts w:ascii="Avenir Next" w:hAnsi="Avenir Next"/>
          <w:color w:val="808080" w:themeColor="background1" w:themeShade="80"/>
        </w:rPr>
        <w:t>ection 91</w:t>
      </w:r>
      <w:r>
        <w:rPr>
          <w:rFonts w:ascii="Avenir Next" w:hAnsi="Avenir Next"/>
          <w:color w:val="808080" w:themeColor="background1" w:themeShade="80"/>
        </w:rPr>
        <w:t>E</w:t>
      </w:r>
      <w:r>
        <w:rPr>
          <w:rFonts w:ascii="Avenir Next" w:hAnsi="Avenir Next"/>
          <w:color w:val="808080" w:themeColor="background1" w:themeShade="80"/>
        </w:rPr>
        <w:t xml:space="preserve"> </w:t>
      </w:r>
      <w:r>
        <w:rPr>
          <w:rFonts w:ascii="Avenir Next" w:hAnsi="Avenir Next"/>
          <w:color w:val="808080" w:themeColor="background1" w:themeShade="80"/>
        </w:rPr>
        <w:t xml:space="preserve">(3) </w:t>
      </w:r>
      <w:r>
        <w:rPr>
          <w:rFonts w:ascii="Avenir Next" w:hAnsi="Avenir Next"/>
          <w:color w:val="808080" w:themeColor="background1" w:themeShade="80"/>
        </w:rPr>
        <w:t>(</w:t>
      </w:r>
      <w:r>
        <w:rPr>
          <w:rFonts w:ascii="Avenir Next" w:hAnsi="Avenir Next"/>
          <w:color w:val="808080" w:themeColor="background1" w:themeShade="80"/>
        </w:rPr>
        <w:t>a</w:t>
      </w:r>
      <w:r>
        <w:rPr>
          <w:rFonts w:ascii="Avenir Next" w:hAnsi="Avenir Next"/>
          <w:color w:val="808080" w:themeColor="background1" w:themeShade="80"/>
        </w:rPr>
        <w:t>)</w:t>
      </w:r>
      <w:r>
        <w:rPr>
          <w:rFonts w:ascii="Avenir Next" w:hAnsi="Avenir Next"/>
          <w:color w:val="808080" w:themeColor="background1" w:themeShade="80"/>
        </w:rPr>
        <w:t>-(e)</w:t>
      </w:r>
      <w:r>
        <w:rPr>
          <w:rFonts w:ascii="Avenir Next" w:hAnsi="Avenir Next"/>
          <w:color w:val="808080" w:themeColor="background1" w:themeShade="80"/>
        </w:rPr>
        <w:t xml:space="preserve"> of the Companies Act (2023 Revision)</w:t>
      </w:r>
      <w:r>
        <w:rPr>
          <w:rFonts w:ascii="Avenir Next" w:hAnsi="Avenir Next"/>
          <w:color w:val="808080" w:themeColor="background1" w:themeShade="80"/>
        </w:rPr>
        <w:t xml:space="preserve"> and states the court may:</w:t>
      </w:r>
    </w:p>
    <w:p w14:paraId="5D948C48" w14:textId="26D69474" w:rsidR="00996EA4" w:rsidRDefault="00996EA4" w:rsidP="00996EA4">
      <w:pPr>
        <w:pStyle w:val="BodyText"/>
        <w:ind w:firstLine="0"/>
        <w:rPr>
          <w:rFonts w:ascii="Avenir Next" w:hAnsi="Avenir Next"/>
          <w:color w:val="808080" w:themeColor="background1" w:themeShade="80"/>
        </w:rPr>
      </w:pPr>
    </w:p>
    <w:p w14:paraId="1109E801" w14:textId="06C1E535" w:rsidR="00996EA4" w:rsidRDefault="00996EA4">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Vary the order appointing the restructuring officer;</w:t>
      </w:r>
    </w:p>
    <w:p w14:paraId="5782E816" w14:textId="3EC9D91B" w:rsidR="00996EA4" w:rsidRDefault="00996EA4">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Discharge or continue the order appointing the restructuring officer;</w:t>
      </w:r>
    </w:p>
    <w:p w14:paraId="609ABE64" w14:textId="4B3FB566" w:rsidR="00996EA4" w:rsidRDefault="00996EA4">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Adjourn the hearing conditionally or unconditionally</w:t>
      </w:r>
      <w:r w:rsidR="00C4629A">
        <w:rPr>
          <w:rFonts w:ascii="Avenir Next" w:hAnsi="Avenir Next"/>
          <w:color w:val="808080" w:themeColor="background1" w:themeShade="80"/>
        </w:rPr>
        <w:t xml:space="preserve">; </w:t>
      </w:r>
    </w:p>
    <w:p w14:paraId="661EE910" w14:textId="5DDC46D8" w:rsidR="00C4629A" w:rsidRDefault="00C4629A">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Dismiss the application or</w:t>
      </w:r>
    </w:p>
    <w:p w14:paraId="6696A302" w14:textId="3E4D2BB4" w:rsidR="00C4629A" w:rsidRDefault="00C4629A">
      <w:pPr>
        <w:pStyle w:val="BodyText"/>
        <w:numPr>
          <w:ilvl w:val="0"/>
          <w:numId w:val="40"/>
        </w:numPr>
        <w:rPr>
          <w:rFonts w:ascii="Avenir Next LT Pro" w:hAnsi="Avenir Next LT Pro"/>
        </w:rPr>
      </w:pPr>
      <w:r>
        <w:rPr>
          <w:rFonts w:ascii="Avenir Next" w:hAnsi="Avenir Next"/>
          <w:color w:val="808080" w:themeColor="background1" w:themeShade="80"/>
        </w:rPr>
        <w:t xml:space="preserve">Make any other order as the court thinks fit, except placing the company into official liquidation. </w:t>
      </w: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4 FOLLOWS ON NEXT PAGE  /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insolvency, </w:t>
      </w:r>
      <w:r w:rsidRPr="00C04963">
        <w:rPr>
          <w:rFonts w:ascii="Avenir Next Demi Bold" w:hAnsi="Avenir Next Demi Bold"/>
          <w:b/>
          <w:bCs/>
          <w:lang w:val="en-GB"/>
        </w:rPr>
        <w:t xml:space="preserve"> </w:t>
      </w:r>
      <w:r w:rsidR="00362135">
        <w:rPr>
          <w:rFonts w:ascii="Avenir Next Demi Bold" w:hAnsi="Avenir Next Demi Bold"/>
          <w:b/>
          <w:bCs/>
          <w:lang w:val="en-GB"/>
        </w:rPr>
        <w:t xml:space="preserve">the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5C3CD7B3" w14:textId="7355C44F" w:rsidR="006D7C44" w:rsidRPr="00486A0B" w:rsidRDefault="006701D0" w:rsidP="00F3705F">
      <w:pPr>
        <w:pStyle w:val="BodyText"/>
        <w:ind w:firstLine="0"/>
        <w:rPr>
          <w:rFonts w:ascii="Avenir Next" w:hAnsi="Avenir Next"/>
          <w:b/>
          <w:bCs/>
        </w:rPr>
      </w:pPr>
      <w:r>
        <w:rPr>
          <w:rFonts w:ascii="Avenir Next" w:hAnsi="Avenir Next"/>
          <w:color w:val="808080" w:themeColor="background1" w:themeShade="80"/>
        </w:rPr>
        <w:t xml:space="preserve">In addition to the </w:t>
      </w:r>
      <w:r w:rsidR="00727594">
        <w:rPr>
          <w:rFonts w:ascii="Avenir Next" w:hAnsi="Avenir Next"/>
          <w:color w:val="808080" w:themeColor="background1" w:themeShade="80"/>
        </w:rPr>
        <w:t>Limited Partnership Agreement (“LPA”), Cayman Islands’ exempted limited Partnerships (“ELPs”) are governed by the Partnership Act (2013 Revision) and the Exempted Limited  Partnership Act (2021 Revision) (“ELP Act”). As per the ELP Act the principles of common law and equity are applicable to ELPs.</w:t>
      </w:r>
    </w:p>
    <w:p w14:paraId="252BDA73" w14:textId="77777777" w:rsidR="006D7C44" w:rsidRDefault="006D7C44" w:rsidP="00F3705F">
      <w:pPr>
        <w:rPr>
          <w:color w:val="A6A6A6" w:themeColor="background1" w:themeShade="A6"/>
        </w:rPr>
      </w:pP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2038767F" w14:textId="4E78B51C" w:rsidR="002D5C9C" w:rsidRDefault="002D5C9C"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91(d) of the Compan</w:t>
      </w:r>
      <w:r w:rsidR="00381B63">
        <w:rPr>
          <w:rFonts w:ascii="Avenir Next" w:hAnsi="Avenir Next"/>
          <w:color w:val="808080" w:themeColor="background1" w:themeShade="80"/>
        </w:rPr>
        <w:t>ies A</w:t>
      </w:r>
      <w:r>
        <w:rPr>
          <w:rFonts w:ascii="Avenir Next" w:hAnsi="Avenir Next"/>
          <w:color w:val="808080" w:themeColor="background1" w:themeShade="80"/>
        </w:rPr>
        <w:t>ct</w:t>
      </w:r>
      <w:r w:rsidR="00381B63">
        <w:rPr>
          <w:rFonts w:ascii="Avenir Next" w:hAnsi="Avenir Next"/>
          <w:color w:val="808080" w:themeColor="background1" w:themeShade="80"/>
        </w:rPr>
        <w:t xml:space="preserve"> (2023 Revision)</w:t>
      </w:r>
      <w:r>
        <w:rPr>
          <w:rFonts w:ascii="Avenir Next" w:hAnsi="Avenir Next"/>
          <w:color w:val="808080" w:themeColor="background1" w:themeShade="80"/>
        </w:rPr>
        <w:t xml:space="preserve"> notes the Cayman Islands court has jurisdiction to wind up a foreign company if the foreign company:</w:t>
      </w:r>
    </w:p>
    <w:p w14:paraId="59859317" w14:textId="7468C7CC" w:rsidR="002D5C9C" w:rsidRDefault="002D5C9C" w:rsidP="00F3705F">
      <w:pPr>
        <w:pStyle w:val="BodyText"/>
        <w:ind w:firstLine="0"/>
        <w:rPr>
          <w:rFonts w:ascii="Avenir Next" w:hAnsi="Avenir Next"/>
          <w:color w:val="808080" w:themeColor="background1" w:themeShade="80"/>
        </w:rPr>
      </w:pPr>
    </w:p>
    <w:p w14:paraId="72C5D345" w14:textId="501B42A6" w:rsidR="002D5C9C" w:rsidRDefault="002D5C9C">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t>Has property located in the Cayman Islands;</w:t>
      </w:r>
    </w:p>
    <w:p w14:paraId="40D8A8D4" w14:textId="1C9B7FAD" w:rsidR="002D5C9C" w:rsidRDefault="002D5C9C">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t>Is carrying on business in the Cayman Islands;</w:t>
      </w:r>
    </w:p>
    <w:p w14:paraId="147DC739" w14:textId="70543363" w:rsidR="002D5C9C" w:rsidRDefault="002D5C9C">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t>Is the general partner or ordinary limited partnership or an exempted limited partnership; or</w:t>
      </w:r>
    </w:p>
    <w:p w14:paraId="69445320" w14:textId="1E83B8B6" w:rsidR="002D5C9C" w:rsidRPr="002D5C9C" w:rsidRDefault="00381B63">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t>Is registered under Part IX of the Companies Act (2023 Revision).</w:t>
      </w:r>
    </w:p>
    <w:p w14:paraId="1DF53DDC" w14:textId="77777777" w:rsidR="00712982" w:rsidRPr="00490D01" w:rsidRDefault="00712982" w:rsidP="00F3705F">
      <w:pPr>
        <w:rPr>
          <w:lang w:val="en-GB"/>
        </w:rPr>
      </w:pP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1E1BC559" w14:textId="42AB32C3" w:rsidR="00712982" w:rsidRPr="00486A0B" w:rsidRDefault="007F5D95" w:rsidP="00F3705F">
      <w:pPr>
        <w:pStyle w:val="BodyText"/>
        <w:ind w:firstLine="0"/>
        <w:rPr>
          <w:rFonts w:ascii="Avenir Next" w:hAnsi="Avenir Next"/>
          <w:b/>
          <w:bCs/>
        </w:rPr>
      </w:pPr>
      <w:r>
        <w:rPr>
          <w:rFonts w:ascii="Avenir Next" w:hAnsi="Avenir Next"/>
          <w:color w:val="808080" w:themeColor="background1" w:themeShade="80"/>
        </w:rPr>
        <w:t>A foreign judgement does not need to be registered  and or enforced within the Cayman Islands before it is relied upon as the basis for seeking a winding up</w:t>
      </w:r>
      <w:r w:rsidR="001024C7">
        <w:rPr>
          <w:rFonts w:ascii="Avenir Next" w:hAnsi="Avenir Next"/>
          <w:color w:val="808080" w:themeColor="background1" w:themeShade="80"/>
        </w:rPr>
        <w:t xml:space="preserve"> order. Under common law a foreign judgement can establish a debt against the judgement debtor and therefore serve as the basis of a creditor’s winding up petition. That judgement need not be enforced nor registered so along as the common law rules outlining the recognition of foreign judgements are satisfied. </w:t>
      </w:r>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7BC0868B" w14:textId="04489233" w:rsidR="00F3705F" w:rsidRDefault="00095342"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duties and powers of the trustee in </w:t>
      </w:r>
      <w:r w:rsidR="00780634">
        <w:rPr>
          <w:rFonts w:ascii="Avenir Next" w:hAnsi="Avenir Next"/>
          <w:color w:val="808080" w:themeColor="background1" w:themeShade="80"/>
        </w:rPr>
        <w:t>b</w:t>
      </w:r>
      <w:r>
        <w:rPr>
          <w:rFonts w:ascii="Avenir Next" w:hAnsi="Avenir Next"/>
          <w:color w:val="808080" w:themeColor="background1" w:themeShade="80"/>
        </w:rPr>
        <w:t>ankrupt</w:t>
      </w:r>
      <w:r w:rsidR="00780634">
        <w:rPr>
          <w:rFonts w:ascii="Avenir Next" w:hAnsi="Avenir Next"/>
          <w:color w:val="808080" w:themeColor="background1" w:themeShade="80"/>
        </w:rPr>
        <w:t>cy are detailed in the Bankruptcy Act (1997 Revision)(the “Bankruptcy Act”) and can be broadly categorized by (i) duties and powers prior to the provisional order being made absolute and (ii) duties and powers subsequent to the provisional order being made absolute.</w:t>
      </w:r>
    </w:p>
    <w:p w14:paraId="6F1D6778" w14:textId="56176898" w:rsidR="00780634" w:rsidRDefault="00780634" w:rsidP="00F3705F">
      <w:pPr>
        <w:pStyle w:val="BodyText"/>
        <w:ind w:firstLine="0"/>
        <w:rPr>
          <w:rFonts w:ascii="Avenir Next" w:hAnsi="Avenir Next"/>
          <w:color w:val="808080" w:themeColor="background1" w:themeShade="80"/>
        </w:rPr>
      </w:pPr>
    </w:p>
    <w:p w14:paraId="5B146EC0" w14:textId="3257BC51" w:rsidR="00780634" w:rsidRDefault="00780634"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Prior to the provisional order being made absolute the Trustee must preserve the property of the </w:t>
      </w:r>
      <w:r>
        <w:rPr>
          <w:rFonts w:ascii="Avenir Next" w:hAnsi="Avenir Next"/>
          <w:color w:val="808080" w:themeColor="background1" w:themeShade="80"/>
        </w:rPr>
        <w:lastRenderedPageBreak/>
        <w:t xml:space="preserve">debtor such that if the provisional order is rejected the debtor’s property may be returned. This </w:t>
      </w:r>
    </w:p>
    <w:p w14:paraId="44D43F7E" w14:textId="747F8DD7" w:rsidR="00780634" w:rsidRDefault="00780634"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can be done by the trustee:</w:t>
      </w:r>
    </w:p>
    <w:p w14:paraId="5C7157C1" w14:textId="034081A0" w:rsidR="00780634" w:rsidRDefault="00780634" w:rsidP="00F3705F">
      <w:pPr>
        <w:pStyle w:val="BodyText"/>
        <w:ind w:firstLine="0"/>
        <w:rPr>
          <w:rFonts w:ascii="Avenir Next" w:hAnsi="Avenir Next"/>
          <w:color w:val="808080" w:themeColor="background1" w:themeShade="80"/>
        </w:rPr>
      </w:pPr>
    </w:p>
    <w:p w14:paraId="0734C380" w14:textId="77777777" w:rsidR="008218D9" w:rsidRDefault="00780634">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Carrying on the trade and business of the debtor so far as may be necessary or expedient for the beneficial winding up or sale of the business;</w:t>
      </w:r>
    </w:p>
    <w:p w14:paraId="635203E2" w14:textId="3A3D39C4" w:rsidR="00780634" w:rsidRDefault="00780634">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bring</w:t>
      </w:r>
      <w:r w:rsidR="008218D9">
        <w:rPr>
          <w:rFonts w:ascii="Avenir Next" w:hAnsi="Avenir Next"/>
          <w:color w:val="808080" w:themeColor="background1" w:themeShade="80"/>
        </w:rPr>
        <w:t>ing</w:t>
      </w:r>
      <w:r>
        <w:rPr>
          <w:rFonts w:ascii="Avenir Next" w:hAnsi="Avenir Next"/>
          <w:color w:val="808080" w:themeColor="background1" w:themeShade="80"/>
        </w:rPr>
        <w:t xml:space="preserve"> or defend</w:t>
      </w:r>
      <w:r w:rsidR="008218D9">
        <w:rPr>
          <w:rFonts w:ascii="Avenir Next" w:hAnsi="Avenir Next"/>
          <w:color w:val="808080" w:themeColor="background1" w:themeShade="80"/>
        </w:rPr>
        <w:t>ing</w:t>
      </w:r>
      <w:r>
        <w:rPr>
          <w:rFonts w:ascii="Avenir Next" w:hAnsi="Avenir Next"/>
          <w:color w:val="808080" w:themeColor="background1" w:themeShade="80"/>
        </w:rPr>
        <w:t xml:space="preserve"> legal proceedings with respect to the property of the debtor;</w:t>
      </w:r>
    </w:p>
    <w:p w14:paraId="1238B098" w14:textId="501C24B5" w:rsidR="00780634" w:rsidRPr="008218D9" w:rsidRDefault="008218D9">
      <w:pPr>
        <w:pStyle w:val="BodyText"/>
        <w:numPr>
          <w:ilvl w:val="0"/>
          <w:numId w:val="26"/>
        </w:numPr>
        <w:rPr>
          <w:rFonts w:ascii="Avenir Next" w:hAnsi="Avenir Next"/>
          <w:b/>
          <w:bCs/>
        </w:rPr>
      </w:pPr>
      <w:r>
        <w:rPr>
          <w:rFonts w:ascii="Avenir Next" w:hAnsi="Avenir Next"/>
          <w:color w:val="808080" w:themeColor="background1" w:themeShade="80"/>
        </w:rPr>
        <w:t>receiving and adjudicating proof of debts in accordance with the provision of the Grand Court (Bankruptcy) Rules 2021.</w:t>
      </w:r>
    </w:p>
    <w:p w14:paraId="62B916A8" w14:textId="71A7223D" w:rsidR="008218D9" w:rsidRDefault="008218D9" w:rsidP="008218D9">
      <w:pPr>
        <w:pStyle w:val="BodyText"/>
        <w:ind w:firstLine="0"/>
        <w:rPr>
          <w:rFonts w:ascii="Avenir Next" w:hAnsi="Avenir Next"/>
          <w:color w:val="808080" w:themeColor="background1" w:themeShade="80"/>
        </w:rPr>
      </w:pPr>
    </w:p>
    <w:p w14:paraId="33D97DFD" w14:textId="711E82DE" w:rsidR="008218D9" w:rsidRPr="00486A0B" w:rsidRDefault="008218D9" w:rsidP="008218D9">
      <w:pPr>
        <w:pStyle w:val="BodyText"/>
        <w:ind w:firstLine="0"/>
        <w:rPr>
          <w:rFonts w:ascii="Avenir Next" w:hAnsi="Avenir Next"/>
          <w:b/>
          <w:bCs/>
        </w:rPr>
      </w:pPr>
      <w:r>
        <w:rPr>
          <w:rFonts w:ascii="Avenir Next" w:hAnsi="Avenir Next"/>
          <w:color w:val="808080" w:themeColor="background1" w:themeShade="80"/>
        </w:rPr>
        <w:t>Following the absolute order being made, it is then the trustee’s duty to administer the debtor’s estate for the benefit of the creditors.</w:t>
      </w: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6"/>
      <w:footerReference w:type="default" r:id="rId17"/>
      <w:footerReference w:type="first" r:id="rId18"/>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7C001" w14:textId="77777777" w:rsidR="005A1C91" w:rsidRDefault="005A1C91" w:rsidP="001016B0">
      <w:r>
        <w:separator/>
      </w:r>
    </w:p>
  </w:endnote>
  <w:endnote w:type="continuationSeparator" w:id="0">
    <w:p w14:paraId="439284EA" w14:textId="77777777" w:rsidR="005A1C91" w:rsidRDefault="005A1C91" w:rsidP="001016B0">
      <w:r>
        <w:continuationSeparator/>
      </w:r>
    </w:p>
  </w:endnote>
  <w:endnote w:type="continuationNotice" w:id="1">
    <w:p w14:paraId="4AF4DD5A" w14:textId="77777777" w:rsidR="005A1C91" w:rsidRDefault="005A1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1CA11DDE" w:rsidR="003D2C0D" w:rsidRDefault="001557F9" w:rsidP="008A20AC">
    <w:pPr>
      <w:pStyle w:val="Footer"/>
      <w:ind w:right="360"/>
    </w:pPr>
    <w:r>
      <w:t>202324-1086</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24A3" w14:textId="77777777" w:rsidR="005A1C91" w:rsidRDefault="005A1C91" w:rsidP="001016B0">
      <w:r>
        <w:separator/>
      </w:r>
    </w:p>
  </w:footnote>
  <w:footnote w:type="continuationSeparator" w:id="0">
    <w:p w14:paraId="5B4C0B4A" w14:textId="77777777" w:rsidR="005A1C91" w:rsidRDefault="005A1C91" w:rsidP="001016B0">
      <w:r>
        <w:continuationSeparator/>
      </w:r>
    </w:p>
  </w:footnote>
  <w:footnote w:type="continuationNotice" w:id="1">
    <w:p w14:paraId="0911D517" w14:textId="77777777" w:rsidR="005A1C91" w:rsidRDefault="005A1C91"/>
  </w:footnote>
  <w:footnote w:id="2">
    <w:p w14:paraId="1FE19755" w14:textId="1C632E20" w:rsidR="00455BDD" w:rsidRPr="00455BDD" w:rsidRDefault="00455BDD">
      <w:pPr>
        <w:pStyle w:val="FootnoteText"/>
        <w:rPr>
          <w:lang w:val="en-US"/>
        </w:rPr>
      </w:pPr>
      <w:r>
        <w:rPr>
          <w:rStyle w:val="FootnoteReference"/>
        </w:rPr>
        <w:footnoteRef/>
      </w:r>
      <w:r>
        <w:t xml:space="preserve"> </w:t>
      </w:r>
      <w:r>
        <w:rPr>
          <w:lang w:val="en-US"/>
        </w:rPr>
        <w:t xml:space="preserve">Johnson and Deloitte &amp; </w:t>
      </w:r>
      <w:proofErr w:type="spellStart"/>
      <w:r>
        <w:rPr>
          <w:lang w:val="en-US"/>
        </w:rPr>
        <w:t>Touche</w:t>
      </w:r>
      <w:proofErr w:type="spellEnd"/>
      <w:r>
        <w:rPr>
          <w:lang w:val="en-US"/>
        </w:rPr>
        <w:t xml:space="preserve"> AG [1997 CILR] and BTU Power Company 2019 (1) CILR Note 7</w:t>
      </w:r>
    </w:p>
  </w:footnote>
  <w:footnote w:id="3">
    <w:p w14:paraId="7AA31F94" w14:textId="6C40BD88" w:rsidR="00455BDD" w:rsidRPr="00455BDD" w:rsidRDefault="00455BDD">
      <w:pPr>
        <w:pStyle w:val="FootnoteText"/>
        <w:rPr>
          <w:lang w:val="en-US"/>
        </w:rPr>
      </w:pPr>
      <w:r>
        <w:rPr>
          <w:rStyle w:val="FootnoteReference"/>
        </w:rPr>
        <w:footnoteRef/>
      </w:r>
      <w:r>
        <w:t xml:space="preserve"> </w:t>
      </w:r>
      <w:r>
        <w:rPr>
          <w:lang w:val="en-US"/>
        </w:rPr>
        <w:t xml:space="preserve">Johnson and Deloitte &amp; </w:t>
      </w:r>
      <w:proofErr w:type="spellStart"/>
      <w:r>
        <w:rPr>
          <w:lang w:val="en-US"/>
        </w:rPr>
        <w:t>Touche</w:t>
      </w:r>
      <w:proofErr w:type="spellEnd"/>
      <w:r>
        <w:rPr>
          <w:lang w:val="en-US"/>
        </w:rPr>
        <w:t xml:space="preserve"> AG [1997 CILR]</w:t>
      </w:r>
    </w:p>
  </w:footnote>
  <w:footnote w:id="4">
    <w:p w14:paraId="6DE2D176" w14:textId="38BA80CE" w:rsidR="00CA65EE" w:rsidRPr="00CA65EE" w:rsidRDefault="00CA65EE">
      <w:pPr>
        <w:pStyle w:val="FootnoteText"/>
        <w:rPr>
          <w:lang w:val="en-US"/>
        </w:rPr>
      </w:pPr>
      <w:r>
        <w:rPr>
          <w:rStyle w:val="FootnoteReference"/>
        </w:rPr>
        <w:footnoteRef/>
      </w:r>
      <w:r>
        <w:t xml:space="preserve"> </w:t>
      </w:r>
      <w:r>
        <w:rPr>
          <w:lang w:val="en-US"/>
        </w:rPr>
        <w:t>BTU Power Company 2019 (1) CILR Note 7</w:t>
      </w:r>
    </w:p>
  </w:footnote>
  <w:footnote w:id="5">
    <w:p w14:paraId="036888F4" w14:textId="70EF4F71" w:rsidR="008C7455" w:rsidRPr="008C7455" w:rsidRDefault="008C7455">
      <w:pPr>
        <w:pStyle w:val="FootnoteText"/>
        <w:rPr>
          <w:lang w:val="en-US"/>
        </w:rPr>
      </w:pPr>
      <w:r>
        <w:rPr>
          <w:rStyle w:val="FootnoteReference"/>
        </w:rPr>
        <w:footnoteRef/>
      </w:r>
      <w:r>
        <w:t xml:space="preserve"> </w:t>
      </w:r>
      <w:r>
        <w:rPr>
          <w:lang w:val="en-US"/>
        </w:rPr>
        <w:t xml:space="preserve">Gooch’s Case 1872, 7 Ch App 207, applied in the Cayman Islands in the Matter of </w:t>
      </w:r>
      <w:proofErr w:type="spellStart"/>
      <w:r w:rsidRPr="008C7455">
        <w:rPr>
          <w:i/>
          <w:iCs/>
          <w:lang w:val="en-US"/>
        </w:rPr>
        <w:t>Citrico</w:t>
      </w:r>
      <w:proofErr w:type="spellEnd"/>
      <w:r w:rsidRPr="008C7455">
        <w:rPr>
          <w:i/>
          <w:iCs/>
          <w:lang w:val="en-US"/>
        </w:rPr>
        <w:t xml:space="preserve"> International Limited</w:t>
      </w:r>
      <w:r>
        <w:rPr>
          <w:lang w:val="en-US"/>
        </w:rPr>
        <w:t xml:space="preserve"> [2004-05 CILR 435].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0037D0"/>
    <w:multiLevelType w:val="hybridMultilevel"/>
    <w:tmpl w:val="D59E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D4704"/>
    <w:multiLevelType w:val="hybridMultilevel"/>
    <w:tmpl w:val="3772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7059DD"/>
    <w:multiLevelType w:val="hybridMultilevel"/>
    <w:tmpl w:val="78F4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20C91"/>
    <w:multiLevelType w:val="hybridMultilevel"/>
    <w:tmpl w:val="A50A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00267"/>
    <w:multiLevelType w:val="multilevel"/>
    <w:tmpl w:val="1A4048A8"/>
    <w:lvl w:ilvl="0">
      <w:start w:val="1"/>
      <w:numFmt w:val="lowerLetter"/>
      <w:lvlText w:val="(%1)"/>
      <w:lvlJc w:val="left"/>
      <w:pPr>
        <w:ind w:left="1789" w:hanging="360"/>
      </w:pPr>
      <w:rPr>
        <w:rFonts w:hint="default"/>
      </w:rPr>
    </w:lvl>
    <w:lvl w:ilvl="1" w:tentative="1">
      <w:start w:val="1"/>
      <w:numFmt w:val="upperLetter"/>
      <w:lvlText w:val="%2."/>
      <w:lvlJc w:val="left"/>
      <w:pPr>
        <w:tabs>
          <w:tab w:val="num" w:pos="2149"/>
        </w:tabs>
        <w:ind w:left="2149" w:hanging="360"/>
      </w:pPr>
    </w:lvl>
    <w:lvl w:ilvl="2" w:tentative="1">
      <w:start w:val="1"/>
      <w:numFmt w:val="upperLetter"/>
      <w:lvlText w:val="%3."/>
      <w:lvlJc w:val="left"/>
      <w:pPr>
        <w:tabs>
          <w:tab w:val="num" w:pos="2869"/>
        </w:tabs>
        <w:ind w:left="2869" w:hanging="360"/>
      </w:pPr>
    </w:lvl>
    <w:lvl w:ilvl="3" w:tentative="1">
      <w:start w:val="1"/>
      <w:numFmt w:val="upperLetter"/>
      <w:lvlText w:val="%4."/>
      <w:lvlJc w:val="left"/>
      <w:pPr>
        <w:tabs>
          <w:tab w:val="num" w:pos="3589"/>
        </w:tabs>
        <w:ind w:left="3589" w:hanging="360"/>
      </w:pPr>
    </w:lvl>
    <w:lvl w:ilvl="4" w:tentative="1">
      <w:start w:val="1"/>
      <w:numFmt w:val="upperLetter"/>
      <w:lvlText w:val="%5."/>
      <w:lvlJc w:val="left"/>
      <w:pPr>
        <w:tabs>
          <w:tab w:val="num" w:pos="4309"/>
        </w:tabs>
        <w:ind w:left="4309" w:hanging="360"/>
      </w:pPr>
    </w:lvl>
    <w:lvl w:ilvl="5" w:tentative="1">
      <w:start w:val="1"/>
      <w:numFmt w:val="upperLetter"/>
      <w:lvlText w:val="%6."/>
      <w:lvlJc w:val="left"/>
      <w:pPr>
        <w:tabs>
          <w:tab w:val="num" w:pos="5029"/>
        </w:tabs>
        <w:ind w:left="5029" w:hanging="360"/>
      </w:pPr>
    </w:lvl>
    <w:lvl w:ilvl="6" w:tentative="1">
      <w:start w:val="1"/>
      <w:numFmt w:val="upperLetter"/>
      <w:lvlText w:val="%7."/>
      <w:lvlJc w:val="left"/>
      <w:pPr>
        <w:tabs>
          <w:tab w:val="num" w:pos="5749"/>
        </w:tabs>
        <w:ind w:left="5749" w:hanging="360"/>
      </w:pPr>
    </w:lvl>
    <w:lvl w:ilvl="7" w:tentative="1">
      <w:start w:val="1"/>
      <w:numFmt w:val="upperLetter"/>
      <w:lvlText w:val="%8."/>
      <w:lvlJc w:val="left"/>
      <w:pPr>
        <w:tabs>
          <w:tab w:val="num" w:pos="6469"/>
        </w:tabs>
        <w:ind w:left="6469" w:hanging="360"/>
      </w:pPr>
    </w:lvl>
    <w:lvl w:ilvl="8" w:tentative="1">
      <w:start w:val="1"/>
      <w:numFmt w:val="upperLetter"/>
      <w:lvlText w:val="%9."/>
      <w:lvlJc w:val="left"/>
      <w:pPr>
        <w:tabs>
          <w:tab w:val="num" w:pos="7189"/>
        </w:tabs>
        <w:ind w:left="7189" w:hanging="360"/>
      </w:pPr>
    </w:lvl>
  </w:abstractNum>
  <w:abstractNum w:abstractNumId="8" w15:restartNumberingAfterBreak="0">
    <w:nsid w:val="232C0D08"/>
    <w:multiLevelType w:val="hybridMultilevel"/>
    <w:tmpl w:val="2CBA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416238"/>
    <w:multiLevelType w:val="hybridMultilevel"/>
    <w:tmpl w:val="A75A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9"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0"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2" w15:restartNumberingAfterBreak="0">
    <w:nsid w:val="58C848DC"/>
    <w:multiLevelType w:val="hybridMultilevel"/>
    <w:tmpl w:val="D11E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36EF1"/>
    <w:multiLevelType w:val="hybridMultilevel"/>
    <w:tmpl w:val="E31A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63155BC1"/>
    <w:multiLevelType w:val="hybridMultilevel"/>
    <w:tmpl w:val="A634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B72FB"/>
    <w:multiLevelType w:val="hybridMultilevel"/>
    <w:tmpl w:val="8E7E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267B2D"/>
    <w:multiLevelType w:val="hybridMultilevel"/>
    <w:tmpl w:val="9DB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9B925BD"/>
    <w:multiLevelType w:val="hybridMultilevel"/>
    <w:tmpl w:val="E96A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305E26"/>
    <w:multiLevelType w:val="hybridMultilevel"/>
    <w:tmpl w:val="51E0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018F1"/>
    <w:multiLevelType w:val="hybridMultilevel"/>
    <w:tmpl w:val="3908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D6B63B9"/>
    <w:multiLevelType w:val="hybridMultilevel"/>
    <w:tmpl w:val="105A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53528"/>
    <w:multiLevelType w:val="hybridMultilevel"/>
    <w:tmpl w:val="092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A41F81"/>
    <w:multiLevelType w:val="hybridMultilevel"/>
    <w:tmpl w:val="81F6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709594">
    <w:abstractNumId w:val="21"/>
  </w:num>
  <w:num w:numId="2" w16cid:durableId="1145463817">
    <w:abstractNumId w:val="18"/>
  </w:num>
  <w:num w:numId="3" w16cid:durableId="5447559">
    <w:abstractNumId w:val="14"/>
  </w:num>
  <w:num w:numId="4" w16cid:durableId="23749982">
    <w:abstractNumId w:val="19"/>
  </w:num>
  <w:num w:numId="5" w16cid:durableId="962808153">
    <w:abstractNumId w:val="20"/>
  </w:num>
  <w:num w:numId="6" w16cid:durableId="979847314">
    <w:abstractNumId w:val="0"/>
  </w:num>
  <w:num w:numId="7" w16cid:durableId="1898784325">
    <w:abstractNumId w:val="34"/>
  </w:num>
  <w:num w:numId="8" w16cid:durableId="1375929775">
    <w:abstractNumId w:val="37"/>
  </w:num>
  <w:num w:numId="9" w16cid:durableId="1126579156">
    <w:abstractNumId w:val="4"/>
  </w:num>
  <w:num w:numId="10" w16cid:durableId="1791242514">
    <w:abstractNumId w:val="38"/>
  </w:num>
  <w:num w:numId="11" w16cid:durableId="1698189516">
    <w:abstractNumId w:val="24"/>
  </w:num>
  <w:num w:numId="12" w16cid:durableId="2058116462">
    <w:abstractNumId w:val="12"/>
  </w:num>
  <w:num w:numId="13" w16cid:durableId="1333752885">
    <w:abstractNumId w:val="11"/>
  </w:num>
  <w:num w:numId="14" w16cid:durableId="145702808">
    <w:abstractNumId w:val="31"/>
  </w:num>
  <w:num w:numId="15" w16cid:durableId="1960185409">
    <w:abstractNumId w:val="10"/>
  </w:num>
  <w:num w:numId="16" w16cid:durableId="1097366468">
    <w:abstractNumId w:val="39"/>
  </w:num>
  <w:num w:numId="17" w16cid:durableId="533346615">
    <w:abstractNumId w:val="17"/>
  </w:num>
  <w:num w:numId="18" w16cid:durableId="136992801">
    <w:abstractNumId w:val="29"/>
  </w:num>
  <w:num w:numId="19" w16cid:durableId="2044670632">
    <w:abstractNumId w:val="9"/>
  </w:num>
  <w:num w:numId="20" w16cid:durableId="298415146">
    <w:abstractNumId w:val="3"/>
  </w:num>
  <w:num w:numId="21" w16cid:durableId="2079161785">
    <w:abstractNumId w:val="25"/>
  </w:num>
  <w:num w:numId="22" w16cid:durableId="789520050">
    <w:abstractNumId w:val="16"/>
  </w:num>
  <w:num w:numId="23" w16cid:durableId="2078018332">
    <w:abstractNumId w:val="7"/>
  </w:num>
  <w:num w:numId="24" w16cid:durableId="26760903">
    <w:abstractNumId w:val="13"/>
  </w:num>
  <w:num w:numId="25" w16cid:durableId="1401908771">
    <w:abstractNumId w:val="1"/>
  </w:num>
  <w:num w:numId="26" w16cid:durableId="362679619">
    <w:abstractNumId w:val="35"/>
  </w:num>
  <w:num w:numId="27" w16cid:durableId="836916515">
    <w:abstractNumId w:val="22"/>
  </w:num>
  <w:num w:numId="28" w16cid:durableId="930550747">
    <w:abstractNumId w:val="36"/>
  </w:num>
  <w:num w:numId="29" w16cid:durableId="910190187">
    <w:abstractNumId w:val="26"/>
  </w:num>
  <w:num w:numId="30" w16cid:durableId="1195577028">
    <w:abstractNumId w:val="5"/>
  </w:num>
  <w:num w:numId="31" w16cid:durableId="1779132912">
    <w:abstractNumId w:val="23"/>
  </w:num>
  <w:num w:numId="32" w16cid:durableId="1697120257">
    <w:abstractNumId w:val="15"/>
  </w:num>
  <w:num w:numId="33" w16cid:durableId="2140030042">
    <w:abstractNumId w:val="30"/>
  </w:num>
  <w:num w:numId="34" w16cid:durableId="301010831">
    <w:abstractNumId w:val="6"/>
  </w:num>
  <w:num w:numId="35" w16cid:durableId="672101980">
    <w:abstractNumId w:val="32"/>
  </w:num>
  <w:num w:numId="36" w16cid:durableId="1981230895">
    <w:abstractNumId w:val="28"/>
  </w:num>
  <w:num w:numId="37" w16cid:durableId="1794321339">
    <w:abstractNumId w:val="27"/>
  </w:num>
  <w:num w:numId="38" w16cid:durableId="1195925472">
    <w:abstractNumId w:val="33"/>
  </w:num>
  <w:num w:numId="39" w16cid:durableId="76439087">
    <w:abstractNumId w:val="2"/>
  </w:num>
  <w:num w:numId="40" w16cid:durableId="1758554131">
    <w:abstractNumId w:val="40"/>
  </w:num>
  <w:num w:numId="41" w16cid:durableId="1676692709">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2442"/>
    <w:rsid w:val="00073623"/>
    <w:rsid w:val="00073862"/>
    <w:rsid w:val="000807FB"/>
    <w:rsid w:val="00080EDC"/>
    <w:rsid w:val="00083AF3"/>
    <w:rsid w:val="000875DC"/>
    <w:rsid w:val="00087A4E"/>
    <w:rsid w:val="00091667"/>
    <w:rsid w:val="000922D6"/>
    <w:rsid w:val="000943C5"/>
    <w:rsid w:val="00094C09"/>
    <w:rsid w:val="00095342"/>
    <w:rsid w:val="00097A42"/>
    <w:rsid w:val="000C0827"/>
    <w:rsid w:val="000C62B5"/>
    <w:rsid w:val="000D2450"/>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24C7"/>
    <w:rsid w:val="00105315"/>
    <w:rsid w:val="00112905"/>
    <w:rsid w:val="001165C7"/>
    <w:rsid w:val="00117579"/>
    <w:rsid w:val="00120495"/>
    <w:rsid w:val="00124ECF"/>
    <w:rsid w:val="00132E0E"/>
    <w:rsid w:val="001336C3"/>
    <w:rsid w:val="00134432"/>
    <w:rsid w:val="001525EB"/>
    <w:rsid w:val="00152954"/>
    <w:rsid w:val="00154A4B"/>
    <w:rsid w:val="00155357"/>
    <w:rsid w:val="001557F9"/>
    <w:rsid w:val="00157455"/>
    <w:rsid w:val="0016475E"/>
    <w:rsid w:val="0016596F"/>
    <w:rsid w:val="00166CC9"/>
    <w:rsid w:val="00171BCA"/>
    <w:rsid w:val="00175F03"/>
    <w:rsid w:val="00177E01"/>
    <w:rsid w:val="00192D14"/>
    <w:rsid w:val="00192FD4"/>
    <w:rsid w:val="00193626"/>
    <w:rsid w:val="00194D76"/>
    <w:rsid w:val="001954DE"/>
    <w:rsid w:val="00196A05"/>
    <w:rsid w:val="001A1043"/>
    <w:rsid w:val="001A20D0"/>
    <w:rsid w:val="001A370C"/>
    <w:rsid w:val="001A7553"/>
    <w:rsid w:val="001B11DA"/>
    <w:rsid w:val="001B4CC3"/>
    <w:rsid w:val="001B6BA2"/>
    <w:rsid w:val="001C14BF"/>
    <w:rsid w:val="001C667C"/>
    <w:rsid w:val="001C6B3B"/>
    <w:rsid w:val="001C7A25"/>
    <w:rsid w:val="001D2111"/>
    <w:rsid w:val="001E2D89"/>
    <w:rsid w:val="001E34E2"/>
    <w:rsid w:val="001E5BE7"/>
    <w:rsid w:val="001E6FD1"/>
    <w:rsid w:val="001E72C8"/>
    <w:rsid w:val="001F1E22"/>
    <w:rsid w:val="001F2690"/>
    <w:rsid w:val="001F65C0"/>
    <w:rsid w:val="00200F4C"/>
    <w:rsid w:val="002044FB"/>
    <w:rsid w:val="00207497"/>
    <w:rsid w:val="002116A3"/>
    <w:rsid w:val="00211EE8"/>
    <w:rsid w:val="00213DA5"/>
    <w:rsid w:val="0021508C"/>
    <w:rsid w:val="00216818"/>
    <w:rsid w:val="002168D9"/>
    <w:rsid w:val="00217A56"/>
    <w:rsid w:val="00221041"/>
    <w:rsid w:val="00222127"/>
    <w:rsid w:val="00226490"/>
    <w:rsid w:val="002264AD"/>
    <w:rsid w:val="00231B1D"/>
    <w:rsid w:val="00234313"/>
    <w:rsid w:val="00236D7D"/>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80A28"/>
    <w:rsid w:val="00282844"/>
    <w:rsid w:val="00283584"/>
    <w:rsid w:val="00293095"/>
    <w:rsid w:val="0029347B"/>
    <w:rsid w:val="002A082B"/>
    <w:rsid w:val="002A0F8E"/>
    <w:rsid w:val="002A2B0D"/>
    <w:rsid w:val="002A2C16"/>
    <w:rsid w:val="002A3EC7"/>
    <w:rsid w:val="002B15BA"/>
    <w:rsid w:val="002B6609"/>
    <w:rsid w:val="002B6B18"/>
    <w:rsid w:val="002B7150"/>
    <w:rsid w:val="002D006E"/>
    <w:rsid w:val="002D2D8F"/>
    <w:rsid w:val="002D3211"/>
    <w:rsid w:val="002D5C9C"/>
    <w:rsid w:val="002E0235"/>
    <w:rsid w:val="002E125B"/>
    <w:rsid w:val="002E2CB9"/>
    <w:rsid w:val="002E60D1"/>
    <w:rsid w:val="002F2E23"/>
    <w:rsid w:val="002F49CF"/>
    <w:rsid w:val="002F7820"/>
    <w:rsid w:val="00300343"/>
    <w:rsid w:val="00300368"/>
    <w:rsid w:val="003005A4"/>
    <w:rsid w:val="00300A1C"/>
    <w:rsid w:val="0030119E"/>
    <w:rsid w:val="00303C2F"/>
    <w:rsid w:val="003047C8"/>
    <w:rsid w:val="00315FB1"/>
    <w:rsid w:val="00320A18"/>
    <w:rsid w:val="0032119E"/>
    <w:rsid w:val="0033007B"/>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6194"/>
    <w:rsid w:val="003721B7"/>
    <w:rsid w:val="00373930"/>
    <w:rsid w:val="00375DE0"/>
    <w:rsid w:val="00381B63"/>
    <w:rsid w:val="003845E5"/>
    <w:rsid w:val="003864CC"/>
    <w:rsid w:val="003931B0"/>
    <w:rsid w:val="00393EC9"/>
    <w:rsid w:val="00393F1C"/>
    <w:rsid w:val="003A06A0"/>
    <w:rsid w:val="003A2F2C"/>
    <w:rsid w:val="003A40DF"/>
    <w:rsid w:val="003A70E6"/>
    <w:rsid w:val="003B06BB"/>
    <w:rsid w:val="003B1A90"/>
    <w:rsid w:val="003B3DEE"/>
    <w:rsid w:val="003B4199"/>
    <w:rsid w:val="003B54BE"/>
    <w:rsid w:val="003C02C7"/>
    <w:rsid w:val="003C5D82"/>
    <w:rsid w:val="003C6E0A"/>
    <w:rsid w:val="003D0550"/>
    <w:rsid w:val="003D15EA"/>
    <w:rsid w:val="003D2C0D"/>
    <w:rsid w:val="003D6FCF"/>
    <w:rsid w:val="003D7B8D"/>
    <w:rsid w:val="003E0049"/>
    <w:rsid w:val="003E2B2B"/>
    <w:rsid w:val="003F402C"/>
    <w:rsid w:val="003F5CB9"/>
    <w:rsid w:val="003F62D2"/>
    <w:rsid w:val="004031E2"/>
    <w:rsid w:val="00405310"/>
    <w:rsid w:val="00406425"/>
    <w:rsid w:val="0041025E"/>
    <w:rsid w:val="004140B5"/>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5BDD"/>
    <w:rsid w:val="00457AC8"/>
    <w:rsid w:val="00463E70"/>
    <w:rsid w:val="00466C16"/>
    <w:rsid w:val="00466CA0"/>
    <w:rsid w:val="004708C4"/>
    <w:rsid w:val="00470B76"/>
    <w:rsid w:val="004724A1"/>
    <w:rsid w:val="00472555"/>
    <w:rsid w:val="004727D2"/>
    <w:rsid w:val="00472927"/>
    <w:rsid w:val="00473869"/>
    <w:rsid w:val="004743E7"/>
    <w:rsid w:val="00474723"/>
    <w:rsid w:val="00481019"/>
    <w:rsid w:val="0048719D"/>
    <w:rsid w:val="0049287D"/>
    <w:rsid w:val="00497732"/>
    <w:rsid w:val="00497863"/>
    <w:rsid w:val="004A11A1"/>
    <w:rsid w:val="004A3164"/>
    <w:rsid w:val="004A6C29"/>
    <w:rsid w:val="004B2B93"/>
    <w:rsid w:val="004B2D12"/>
    <w:rsid w:val="004B491D"/>
    <w:rsid w:val="004B71AD"/>
    <w:rsid w:val="004C206D"/>
    <w:rsid w:val="004C28D8"/>
    <w:rsid w:val="004C68E4"/>
    <w:rsid w:val="004C741B"/>
    <w:rsid w:val="004C7945"/>
    <w:rsid w:val="004C79C4"/>
    <w:rsid w:val="004D1602"/>
    <w:rsid w:val="004D6B14"/>
    <w:rsid w:val="004F54FD"/>
    <w:rsid w:val="004F5D43"/>
    <w:rsid w:val="004F67CE"/>
    <w:rsid w:val="00500AB1"/>
    <w:rsid w:val="00504A64"/>
    <w:rsid w:val="005055F9"/>
    <w:rsid w:val="0050751B"/>
    <w:rsid w:val="00512319"/>
    <w:rsid w:val="00513012"/>
    <w:rsid w:val="00514A53"/>
    <w:rsid w:val="005200BF"/>
    <w:rsid w:val="00520EFB"/>
    <w:rsid w:val="0052140A"/>
    <w:rsid w:val="005255C9"/>
    <w:rsid w:val="00525CD4"/>
    <w:rsid w:val="00525EBB"/>
    <w:rsid w:val="00531586"/>
    <w:rsid w:val="0053572E"/>
    <w:rsid w:val="005416EC"/>
    <w:rsid w:val="0054257F"/>
    <w:rsid w:val="00542B4C"/>
    <w:rsid w:val="005524EC"/>
    <w:rsid w:val="005538FB"/>
    <w:rsid w:val="00555BC3"/>
    <w:rsid w:val="00556116"/>
    <w:rsid w:val="00557949"/>
    <w:rsid w:val="00563BD8"/>
    <w:rsid w:val="00563F78"/>
    <w:rsid w:val="0056458D"/>
    <w:rsid w:val="00574AA7"/>
    <w:rsid w:val="005750D6"/>
    <w:rsid w:val="00576BA2"/>
    <w:rsid w:val="00582076"/>
    <w:rsid w:val="005823CF"/>
    <w:rsid w:val="0058441E"/>
    <w:rsid w:val="00585164"/>
    <w:rsid w:val="00586B0F"/>
    <w:rsid w:val="00591D1D"/>
    <w:rsid w:val="00592A8D"/>
    <w:rsid w:val="00595D22"/>
    <w:rsid w:val="005A0E4B"/>
    <w:rsid w:val="005A1C91"/>
    <w:rsid w:val="005A640E"/>
    <w:rsid w:val="005A7724"/>
    <w:rsid w:val="005C0FF6"/>
    <w:rsid w:val="005C3DA9"/>
    <w:rsid w:val="005C5E7F"/>
    <w:rsid w:val="005C6146"/>
    <w:rsid w:val="005C7EB6"/>
    <w:rsid w:val="005D171C"/>
    <w:rsid w:val="005D54CF"/>
    <w:rsid w:val="005D6817"/>
    <w:rsid w:val="005E20A3"/>
    <w:rsid w:val="005E2C7E"/>
    <w:rsid w:val="005E45BD"/>
    <w:rsid w:val="005E62D2"/>
    <w:rsid w:val="005F5BDF"/>
    <w:rsid w:val="0060275A"/>
    <w:rsid w:val="006027A2"/>
    <w:rsid w:val="00604564"/>
    <w:rsid w:val="00604DFC"/>
    <w:rsid w:val="0060661E"/>
    <w:rsid w:val="00612137"/>
    <w:rsid w:val="00614528"/>
    <w:rsid w:val="006278B5"/>
    <w:rsid w:val="0063766F"/>
    <w:rsid w:val="00640BC9"/>
    <w:rsid w:val="006424E1"/>
    <w:rsid w:val="00643725"/>
    <w:rsid w:val="00644DCE"/>
    <w:rsid w:val="00647006"/>
    <w:rsid w:val="006471BC"/>
    <w:rsid w:val="006478BE"/>
    <w:rsid w:val="00657222"/>
    <w:rsid w:val="0066147F"/>
    <w:rsid w:val="00662A8E"/>
    <w:rsid w:val="006638D6"/>
    <w:rsid w:val="006659FD"/>
    <w:rsid w:val="006674D6"/>
    <w:rsid w:val="006701D0"/>
    <w:rsid w:val="00671ADC"/>
    <w:rsid w:val="006731C8"/>
    <w:rsid w:val="006738AE"/>
    <w:rsid w:val="00674C6B"/>
    <w:rsid w:val="00680169"/>
    <w:rsid w:val="00684B6B"/>
    <w:rsid w:val="006902DF"/>
    <w:rsid w:val="006907D9"/>
    <w:rsid w:val="0069113C"/>
    <w:rsid w:val="0069468A"/>
    <w:rsid w:val="0069671C"/>
    <w:rsid w:val="006A1B37"/>
    <w:rsid w:val="006A2381"/>
    <w:rsid w:val="006A75FE"/>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5108"/>
    <w:rsid w:val="00710451"/>
    <w:rsid w:val="00710A26"/>
    <w:rsid w:val="00710E3F"/>
    <w:rsid w:val="007120A0"/>
    <w:rsid w:val="00712982"/>
    <w:rsid w:val="007130E9"/>
    <w:rsid w:val="00715982"/>
    <w:rsid w:val="00721E7F"/>
    <w:rsid w:val="00723334"/>
    <w:rsid w:val="00726CA6"/>
    <w:rsid w:val="00727594"/>
    <w:rsid w:val="00727D5B"/>
    <w:rsid w:val="00733777"/>
    <w:rsid w:val="00733B70"/>
    <w:rsid w:val="00734547"/>
    <w:rsid w:val="00737CFC"/>
    <w:rsid w:val="007410BD"/>
    <w:rsid w:val="00741AA9"/>
    <w:rsid w:val="007474DA"/>
    <w:rsid w:val="00747A99"/>
    <w:rsid w:val="007557B3"/>
    <w:rsid w:val="00755F63"/>
    <w:rsid w:val="00757F63"/>
    <w:rsid w:val="00760D1F"/>
    <w:rsid w:val="00761B0C"/>
    <w:rsid w:val="0077169C"/>
    <w:rsid w:val="007747E8"/>
    <w:rsid w:val="00775AA6"/>
    <w:rsid w:val="00780634"/>
    <w:rsid w:val="007818BA"/>
    <w:rsid w:val="0078450B"/>
    <w:rsid w:val="00785836"/>
    <w:rsid w:val="00785937"/>
    <w:rsid w:val="0078723E"/>
    <w:rsid w:val="00790583"/>
    <w:rsid w:val="0079130C"/>
    <w:rsid w:val="00791CF2"/>
    <w:rsid w:val="00792FB4"/>
    <w:rsid w:val="00794E5B"/>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5F0B"/>
    <w:rsid w:val="007D0061"/>
    <w:rsid w:val="007D215F"/>
    <w:rsid w:val="007F02EC"/>
    <w:rsid w:val="007F085D"/>
    <w:rsid w:val="007F5739"/>
    <w:rsid w:val="007F5D95"/>
    <w:rsid w:val="007F67A0"/>
    <w:rsid w:val="00801379"/>
    <w:rsid w:val="00803983"/>
    <w:rsid w:val="00804FC8"/>
    <w:rsid w:val="00805A2D"/>
    <w:rsid w:val="00812BFB"/>
    <w:rsid w:val="00813CB4"/>
    <w:rsid w:val="00815D39"/>
    <w:rsid w:val="00816B32"/>
    <w:rsid w:val="00817EB4"/>
    <w:rsid w:val="008201D7"/>
    <w:rsid w:val="00820BFA"/>
    <w:rsid w:val="008218D9"/>
    <w:rsid w:val="00822A4C"/>
    <w:rsid w:val="00831A22"/>
    <w:rsid w:val="00831F21"/>
    <w:rsid w:val="008431D7"/>
    <w:rsid w:val="0084350B"/>
    <w:rsid w:val="00844DEE"/>
    <w:rsid w:val="00850236"/>
    <w:rsid w:val="00856E28"/>
    <w:rsid w:val="008664DC"/>
    <w:rsid w:val="00867EF8"/>
    <w:rsid w:val="008735A4"/>
    <w:rsid w:val="008753CD"/>
    <w:rsid w:val="0087601E"/>
    <w:rsid w:val="00877583"/>
    <w:rsid w:val="008865F3"/>
    <w:rsid w:val="008913A7"/>
    <w:rsid w:val="00895CDF"/>
    <w:rsid w:val="00897EA7"/>
    <w:rsid w:val="008A1E6D"/>
    <w:rsid w:val="008A20AC"/>
    <w:rsid w:val="008A2BE4"/>
    <w:rsid w:val="008A3781"/>
    <w:rsid w:val="008A5F6D"/>
    <w:rsid w:val="008A78B2"/>
    <w:rsid w:val="008A7BA0"/>
    <w:rsid w:val="008B18AE"/>
    <w:rsid w:val="008B2794"/>
    <w:rsid w:val="008B74A9"/>
    <w:rsid w:val="008B7C0A"/>
    <w:rsid w:val="008C202B"/>
    <w:rsid w:val="008C52C5"/>
    <w:rsid w:val="008C7455"/>
    <w:rsid w:val="008D0D58"/>
    <w:rsid w:val="008D2586"/>
    <w:rsid w:val="008D289A"/>
    <w:rsid w:val="008D68E2"/>
    <w:rsid w:val="008D7189"/>
    <w:rsid w:val="008E0EB5"/>
    <w:rsid w:val="008E3552"/>
    <w:rsid w:val="008E394D"/>
    <w:rsid w:val="008E3D06"/>
    <w:rsid w:val="008E623E"/>
    <w:rsid w:val="008E6B76"/>
    <w:rsid w:val="008E7D35"/>
    <w:rsid w:val="008F2BE2"/>
    <w:rsid w:val="009004D4"/>
    <w:rsid w:val="0090300F"/>
    <w:rsid w:val="0090576D"/>
    <w:rsid w:val="00912F92"/>
    <w:rsid w:val="00913123"/>
    <w:rsid w:val="009143EA"/>
    <w:rsid w:val="00917205"/>
    <w:rsid w:val="009204C8"/>
    <w:rsid w:val="00923198"/>
    <w:rsid w:val="0092725A"/>
    <w:rsid w:val="00930A74"/>
    <w:rsid w:val="00934980"/>
    <w:rsid w:val="00941F3D"/>
    <w:rsid w:val="00944436"/>
    <w:rsid w:val="00944A47"/>
    <w:rsid w:val="00954CBE"/>
    <w:rsid w:val="00957995"/>
    <w:rsid w:val="00957A2E"/>
    <w:rsid w:val="00960066"/>
    <w:rsid w:val="00960617"/>
    <w:rsid w:val="00960B8D"/>
    <w:rsid w:val="009621D7"/>
    <w:rsid w:val="00972B13"/>
    <w:rsid w:val="009733E8"/>
    <w:rsid w:val="00973B2E"/>
    <w:rsid w:val="009803AC"/>
    <w:rsid w:val="00982CE2"/>
    <w:rsid w:val="0098311F"/>
    <w:rsid w:val="009857FC"/>
    <w:rsid w:val="00987044"/>
    <w:rsid w:val="00987B82"/>
    <w:rsid w:val="009928E9"/>
    <w:rsid w:val="00996EA4"/>
    <w:rsid w:val="009B0913"/>
    <w:rsid w:val="009B5CFD"/>
    <w:rsid w:val="009B6ADA"/>
    <w:rsid w:val="009B7D40"/>
    <w:rsid w:val="009C1D92"/>
    <w:rsid w:val="009C1EC6"/>
    <w:rsid w:val="009C6019"/>
    <w:rsid w:val="009C7A87"/>
    <w:rsid w:val="009C7BB4"/>
    <w:rsid w:val="009D0718"/>
    <w:rsid w:val="009D1F99"/>
    <w:rsid w:val="009D27B4"/>
    <w:rsid w:val="009D65F5"/>
    <w:rsid w:val="009D6CB8"/>
    <w:rsid w:val="009E2AEB"/>
    <w:rsid w:val="009E549B"/>
    <w:rsid w:val="009F3508"/>
    <w:rsid w:val="009F4518"/>
    <w:rsid w:val="009F45C7"/>
    <w:rsid w:val="009F49C2"/>
    <w:rsid w:val="009F4C3A"/>
    <w:rsid w:val="009F6007"/>
    <w:rsid w:val="009F6F01"/>
    <w:rsid w:val="00A06708"/>
    <w:rsid w:val="00A07356"/>
    <w:rsid w:val="00A225FD"/>
    <w:rsid w:val="00A22F78"/>
    <w:rsid w:val="00A2519A"/>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653DB"/>
    <w:rsid w:val="00A70406"/>
    <w:rsid w:val="00A71A6F"/>
    <w:rsid w:val="00A71C38"/>
    <w:rsid w:val="00A7630B"/>
    <w:rsid w:val="00A81BF9"/>
    <w:rsid w:val="00A82E83"/>
    <w:rsid w:val="00A86A52"/>
    <w:rsid w:val="00A87868"/>
    <w:rsid w:val="00A879AC"/>
    <w:rsid w:val="00A90BF1"/>
    <w:rsid w:val="00A91D16"/>
    <w:rsid w:val="00A9204E"/>
    <w:rsid w:val="00A9217C"/>
    <w:rsid w:val="00A92CBC"/>
    <w:rsid w:val="00A95393"/>
    <w:rsid w:val="00A97787"/>
    <w:rsid w:val="00A9791E"/>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7DA6"/>
    <w:rsid w:val="00AF146A"/>
    <w:rsid w:val="00AF6388"/>
    <w:rsid w:val="00AF6E50"/>
    <w:rsid w:val="00AF73F1"/>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6420"/>
    <w:rsid w:val="00B61964"/>
    <w:rsid w:val="00B62FFC"/>
    <w:rsid w:val="00B7612E"/>
    <w:rsid w:val="00B827C6"/>
    <w:rsid w:val="00B85043"/>
    <w:rsid w:val="00B856C0"/>
    <w:rsid w:val="00B857E6"/>
    <w:rsid w:val="00B93ECA"/>
    <w:rsid w:val="00BA24B1"/>
    <w:rsid w:val="00BA451C"/>
    <w:rsid w:val="00BA53E7"/>
    <w:rsid w:val="00BA6F72"/>
    <w:rsid w:val="00BB0F71"/>
    <w:rsid w:val="00BB1EBB"/>
    <w:rsid w:val="00BB6FE0"/>
    <w:rsid w:val="00BC163A"/>
    <w:rsid w:val="00BC2902"/>
    <w:rsid w:val="00BC402A"/>
    <w:rsid w:val="00BD0975"/>
    <w:rsid w:val="00BD0DC2"/>
    <w:rsid w:val="00BD1E8D"/>
    <w:rsid w:val="00BD2DF8"/>
    <w:rsid w:val="00BD2F4B"/>
    <w:rsid w:val="00BE35A9"/>
    <w:rsid w:val="00BE669E"/>
    <w:rsid w:val="00BE6A24"/>
    <w:rsid w:val="00BE6BEF"/>
    <w:rsid w:val="00BF243A"/>
    <w:rsid w:val="00BF3B08"/>
    <w:rsid w:val="00BF4C0F"/>
    <w:rsid w:val="00C003D7"/>
    <w:rsid w:val="00C00B66"/>
    <w:rsid w:val="00C03A2E"/>
    <w:rsid w:val="00C040F7"/>
    <w:rsid w:val="00C04963"/>
    <w:rsid w:val="00C11D6C"/>
    <w:rsid w:val="00C12DB9"/>
    <w:rsid w:val="00C165B5"/>
    <w:rsid w:val="00C23096"/>
    <w:rsid w:val="00C30838"/>
    <w:rsid w:val="00C30AE9"/>
    <w:rsid w:val="00C3318F"/>
    <w:rsid w:val="00C33FE0"/>
    <w:rsid w:val="00C37EE1"/>
    <w:rsid w:val="00C45C67"/>
    <w:rsid w:val="00C4629A"/>
    <w:rsid w:val="00C546F7"/>
    <w:rsid w:val="00C55C1B"/>
    <w:rsid w:val="00C56E18"/>
    <w:rsid w:val="00C615A1"/>
    <w:rsid w:val="00C63919"/>
    <w:rsid w:val="00C63AAA"/>
    <w:rsid w:val="00C6466A"/>
    <w:rsid w:val="00C672FE"/>
    <w:rsid w:val="00C7098F"/>
    <w:rsid w:val="00C735DC"/>
    <w:rsid w:val="00C75BA5"/>
    <w:rsid w:val="00C77709"/>
    <w:rsid w:val="00C777B1"/>
    <w:rsid w:val="00C82D7E"/>
    <w:rsid w:val="00C86426"/>
    <w:rsid w:val="00C9018E"/>
    <w:rsid w:val="00C92E9B"/>
    <w:rsid w:val="00CA4D34"/>
    <w:rsid w:val="00CA61A0"/>
    <w:rsid w:val="00CA65EE"/>
    <w:rsid w:val="00CA7069"/>
    <w:rsid w:val="00CB1069"/>
    <w:rsid w:val="00CB2CA6"/>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E3F26"/>
    <w:rsid w:val="00CF3421"/>
    <w:rsid w:val="00CF4EEF"/>
    <w:rsid w:val="00CF5F19"/>
    <w:rsid w:val="00CF6645"/>
    <w:rsid w:val="00CF79F9"/>
    <w:rsid w:val="00D00885"/>
    <w:rsid w:val="00D0089A"/>
    <w:rsid w:val="00D106DD"/>
    <w:rsid w:val="00D203DA"/>
    <w:rsid w:val="00D20C81"/>
    <w:rsid w:val="00D217F6"/>
    <w:rsid w:val="00D23D4C"/>
    <w:rsid w:val="00D31451"/>
    <w:rsid w:val="00D31F0C"/>
    <w:rsid w:val="00D35C64"/>
    <w:rsid w:val="00D44BFA"/>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4852"/>
    <w:rsid w:val="00D85DAC"/>
    <w:rsid w:val="00D87451"/>
    <w:rsid w:val="00D90E69"/>
    <w:rsid w:val="00D90F3D"/>
    <w:rsid w:val="00D97856"/>
    <w:rsid w:val="00DA386F"/>
    <w:rsid w:val="00DA38FF"/>
    <w:rsid w:val="00DC024D"/>
    <w:rsid w:val="00DC07C1"/>
    <w:rsid w:val="00DC0E33"/>
    <w:rsid w:val="00DC1566"/>
    <w:rsid w:val="00DC1ABA"/>
    <w:rsid w:val="00DC1D77"/>
    <w:rsid w:val="00DC20CF"/>
    <w:rsid w:val="00DC2585"/>
    <w:rsid w:val="00DD5BD4"/>
    <w:rsid w:val="00DE0233"/>
    <w:rsid w:val="00DE23CF"/>
    <w:rsid w:val="00DE6FDB"/>
    <w:rsid w:val="00DE7898"/>
    <w:rsid w:val="00DF4D25"/>
    <w:rsid w:val="00DF64E1"/>
    <w:rsid w:val="00E024A7"/>
    <w:rsid w:val="00E03AD1"/>
    <w:rsid w:val="00E04EAD"/>
    <w:rsid w:val="00E1059F"/>
    <w:rsid w:val="00E1098F"/>
    <w:rsid w:val="00E10BE3"/>
    <w:rsid w:val="00E12660"/>
    <w:rsid w:val="00E17027"/>
    <w:rsid w:val="00E20604"/>
    <w:rsid w:val="00E2315E"/>
    <w:rsid w:val="00E23AAE"/>
    <w:rsid w:val="00E2466A"/>
    <w:rsid w:val="00E30785"/>
    <w:rsid w:val="00E36270"/>
    <w:rsid w:val="00E40A16"/>
    <w:rsid w:val="00E44FA9"/>
    <w:rsid w:val="00E5074A"/>
    <w:rsid w:val="00E5236A"/>
    <w:rsid w:val="00E56F95"/>
    <w:rsid w:val="00E6022A"/>
    <w:rsid w:val="00E62F1E"/>
    <w:rsid w:val="00E63A8F"/>
    <w:rsid w:val="00E64F45"/>
    <w:rsid w:val="00E7109B"/>
    <w:rsid w:val="00E755CA"/>
    <w:rsid w:val="00E75B7B"/>
    <w:rsid w:val="00E83556"/>
    <w:rsid w:val="00E87F7D"/>
    <w:rsid w:val="00E9506C"/>
    <w:rsid w:val="00E97FCF"/>
    <w:rsid w:val="00EA2A8C"/>
    <w:rsid w:val="00EA2B57"/>
    <w:rsid w:val="00EA390C"/>
    <w:rsid w:val="00EA6193"/>
    <w:rsid w:val="00EB0CDB"/>
    <w:rsid w:val="00EB3E2A"/>
    <w:rsid w:val="00EB6910"/>
    <w:rsid w:val="00EB6DA5"/>
    <w:rsid w:val="00EB7B1A"/>
    <w:rsid w:val="00ED248F"/>
    <w:rsid w:val="00ED335A"/>
    <w:rsid w:val="00ED76B9"/>
    <w:rsid w:val="00EE4A27"/>
    <w:rsid w:val="00EE6AE2"/>
    <w:rsid w:val="00EE7CB4"/>
    <w:rsid w:val="00EF285F"/>
    <w:rsid w:val="00EF3871"/>
    <w:rsid w:val="00EF3A51"/>
    <w:rsid w:val="00EF4967"/>
    <w:rsid w:val="00EF5AB0"/>
    <w:rsid w:val="00F00BBE"/>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4166B"/>
    <w:rsid w:val="00F42400"/>
    <w:rsid w:val="00F42930"/>
    <w:rsid w:val="00F444B9"/>
    <w:rsid w:val="00F45661"/>
    <w:rsid w:val="00F512FE"/>
    <w:rsid w:val="00F52CE6"/>
    <w:rsid w:val="00F5465E"/>
    <w:rsid w:val="00F57033"/>
    <w:rsid w:val="00F57481"/>
    <w:rsid w:val="00F6436A"/>
    <w:rsid w:val="00F6582B"/>
    <w:rsid w:val="00F6622D"/>
    <w:rsid w:val="00F95A8E"/>
    <w:rsid w:val="00FA596D"/>
    <w:rsid w:val="00FA602E"/>
    <w:rsid w:val="00FA63F5"/>
    <w:rsid w:val="00FB07CE"/>
    <w:rsid w:val="00FB2F3F"/>
    <w:rsid w:val="00FB7F81"/>
    <w:rsid w:val="00FC074E"/>
    <w:rsid w:val="00FC34CD"/>
    <w:rsid w:val="00FC43F9"/>
    <w:rsid w:val="00FC4B3C"/>
    <w:rsid w:val="00FC5217"/>
    <w:rsid w:val="00FD5834"/>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 w:type="character" w:styleId="FootnoteReference">
    <w:name w:val="footnote reference"/>
    <w:basedOn w:val="DefaultParagraphFont"/>
    <w:uiPriority w:val="99"/>
    <w:semiHidden/>
    <w:unhideWhenUsed/>
    <w:rsid w:val="00455B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renda.bennett@inso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burdette@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4.xml><?xml version="1.0" encoding="utf-8"?>
<ds:datastoreItem xmlns:ds="http://schemas.openxmlformats.org/officeDocument/2006/customXml" ds:itemID="{0F870B95-FFFD-4083-81BB-053F0424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5785</Words>
  <Characters>32975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Timoney, Thomas</cp:lastModifiedBy>
  <cp:revision>30</cp:revision>
  <cp:lastPrinted>2022-09-29T12:20:00Z</cp:lastPrinted>
  <dcterms:created xsi:type="dcterms:W3CDTF">2023-11-24T02:28:00Z</dcterms:created>
  <dcterms:modified xsi:type="dcterms:W3CDTF">2023-11-24T17:29:00Z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