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4272B8">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4272B8">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095BBE" w:rsidRDefault="00C3318F" w:rsidP="004272B8">
      <w:pPr>
        <w:pStyle w:val="BodyText"/>
        <w:widowControl/>
        <w:numPr>
          <w:ilvl w:val="0"/>
          <w:numId w:val="15"/>
        </w:numPr>
        <w:autoSpaceDE/>
        <w:autoSpaceDN/>
        <w:rPr>
          <w:rFonts w:ascii="Avenir Next" w:hAnsi="Avenir Next"/>
          <w:highlight w:val="yellow"/>
        </w:rPr>
      </w:pPr>
      <w:r w:rsidRPr="00095BBE">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4272B8">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4272B8">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4272B8">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4272B8">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68FEE1FB" w:rsidR="00957995" w:rsidRPr="005E086C" w:rsidRDefault="00957995" w:rsidP="004272B8">
      <w:pPr>
        <w:pStyle w:val="BodyText"/>
        <w:widowControl/>
        <w:numPr>
          <w:ilvl w:val="0"/>
          <w:numId w:val="16"/>
        </w:numPr>
        <w:autoSpaceDE/>
        <w:autoSpaceDN/>
        <w:rPr>
          <w:rFonts w:ascii="Avenir Next" w:hAnsi="Avenir Next"/>
          <w:highlight w:val="yellow"/>
        </w:rPr>
      </w:pPr>
      <w:r w:rsidRPr="005E086C">
        <w:rPr>
          <w:rFonts w:ascii="Avenir Next" w:hAnsi="Avenir Next"/>
          <w:highlight w:val="yellow"/>
        </w:rPr>
        <w:t>100%</w:t>
      </w:r>
      <w:r w:rsidR="005E086C">
        <w:rPr>
          <w:rFonts w:ascii="Avenir Next" w:hAnsi="Avenir Next"/>
          <w:highlight w:val="yellow"/>
        </w:rPr>
        <w:t xml:space="preserve"> </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4272B8">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5E086C" w:rsidRDefault="001F2690" w:rsidP="004272B8">
      <w:pPr>
        <w:pStyle w:val="BodyText"/>
        <w:widowControl/>
        <w:numPr>
          <w:ilvl w:val="0"/>
          <w:numId w:val="5"/>
        </w:numPr>
        <w:autoSpaceDE/>
        <w:autoSpaceDN/>
        <w:ind w:left="709" w:hanging="709"/>
        <w:rPr>
          <w:rFonts w:ascii="Avenir Next" w:hAnsi="Avenir Next"/>
          <w:highlight w:val="yellow"/>
        </w:rPr>
      </w:pPr>
      <w:r w:rsidRPr="005E086C">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4272B8">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4272B8">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4272B8">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4272B8">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4272B8">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4272B8">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5E086C" w:rsidRDefault="00785937" w:rsidP="004272B8">
      <w:pPr>
        <w:pStyle w:val="ListParagraph"/>
        <w:numPr>
          <w:ilvl w:val="0"/>
          <w:numId w:val="6"/>
        </w:numPr>
        <w:spacing w:after="0" w:line="240" w:lineRule="auto"/>
        <w:ind w:left="709" w:hanging="709"/>
        <w:rPr>
          <w:rFonts w:ascii="Avenir Next" w:hAnsi="Avenir Next" w:cs="Arial"/>
          <w:highlight w:val="yellow"/>
          <w:lang w:val="en-GB"/>
        </w:rPr>
      </w:pPr>
      <w:r w:rsidRPr="005E086C">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4272B8">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5E086C" w:rsidRDefault="00785937" w:rsidP="004272B8">
      <w:pPr>
        <w:pStyle w:val="ListParagraph"/>
        <w:numPr>
          <w:ilvl w:val="0"/>
          <w:numId w:val="7"/>
        </w:numPr>
        <w:spacing w:after="0" w:line="240" w:lineRule="auto"/>
        <w:ind w:left="709" w:hanging="709"/>
        <w:rPr>
          <w:rFonts w:ascii="Avenir Next" w:hAnsi="Avenir Next" w:cs="Arial"/>
          <w:highlight w:val="yellow"/>
          <w:lang w:val="en-GB"/>
        </w:rPr>
      </w:pPr>
      <w:r w:rsidRPr="005E086C">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4272B8">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4272B8">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4272B8">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4272B8">
      <w:pPr>
        <w:pStyle w:val="ListParagraph"/>
        <w:numPr>
          <w:ilvl w:val="0"/>
          <w:numId w:val="9"/>
        </w:numPr>
        <w:spacing w:after="0" w:line="240" w:lineRule="auto"/>
        <w:ind w:left="709" w:hanging="709"/>
        <w:rPr>
          <w:rFonts w:ascii="Avenir Next" w:hAnsi="Avenir Next"/>
          <w:lang w:val="en-GB"/>
        </w:rPr>
      </w:pPr>
      <w:r w:rsidRPr="005E086C">
        <w:rPr>
          <w:rFonts w:ascii="Avenir Next" w:hAnsi="Avenir Next"/>
          <w:highlight w:val="yellow"/>
          <w:lang w:val="en-GB"/>
        </w:rPr>
        <w:t>W</w:t>
      </w:r>
      <w:r w:rsidR="004A11A1" w:rsidRPr="005E086C">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4272B8">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4272B8">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 xml:space="preserve">required to be included in an affidavit filed in support of a restructuring </w:t>
      </w:r>
      <w:proofErr w:type="gramStart"/>
      <w:r w:rsidRPr="006E060C">
        <w:rPr>
          <w:lang w:val="en-GB"/>
        </w:rPr>
        <w:t>petition:</w:t>
      </w:r>
      <w:proofErr w:type="gramEnd"/>
    </w:p>
    <w:p w14:paraId="46878ED5" w14:textId="77777777" w:rsidR="004A11A1" w:rsidRPr="006E060C" w:rsidRDefault="004A11A1" w:rsidP="00BD2F4B">
      <w:pPr>
        <w:ind w:left="709" w:hanging="709"/>
        <w:rPr>
          <w:lang w:val="en-GB"/>
        </w:rPr>
      </w:pPr>
    </w:p>
    <w:p w14:paraId="597F676E" w14:textId="77777777" w:rsidR="004A11A1" w:rsidRPr="006E060C" w:rsidRDefault="004A11A1" w:rsidP="004272B8">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4272B8">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4272B8">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33687D" w:rsidRDefault="004A11A1" w:rsidP="004272B8">
      <w:pPr>
        <w:pStyle w:val="ListParagraph"/>
        <w:numPr>
          <w:ilvl w:val="0"/>
          <w:numId w:val="10"/>
        </w:numPr>
        <w:spacing w:after="0" w:line="240" w:lineRule="auto"/>
        <w:ind w:left="709" w:hanging="709"/>
        <w:rPr>
          <w:rFonts w:ascii="Avenir Next" w:hAnsi="Avenir Next"/>
          <w:highlight w:val="yellow"/>
          <w:lang w:val="en-GB"/>
        </w:rPr>
      </w:pPr>
      <w:r w:rsidRPr="0033687D">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E060C" w:rsidRDefault="004A11A1" w:rsidP="004272B8">
      <w:pPr>
        <w:pStyle w:val="ListParagraph"/>
        <w:numPr>
          <w:ilvl w:val="0"/>
          <w:numId w:val="12"/>
        </w:numPr>
        <w:spacing w:after="0" w:line="240" w:lineRule="auto"/>
        <w:ind w:left="709" w:hanging="709"/>
        <w:rPr>
          <w:rFonts w:ascii="Avenir Next" w:hAnsi="Avenir Next"/>
          <w:lang w:val="en-GB"/>
        </w:rPr>
      </w:pPr>
      <w:r w:rsidRPr="0033687D">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4272B8">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4272B8">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4272B8">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4272B8">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33687D" w:rsidRDefault="004A11A1" w:rsidP="004272B8">
      <w:pPr>
        <w:pStyle w:val="ListParagraph"/>
        <w:numPr>
          <w:ilvl w:val="0"/>
          <w:numId w:val="11"/>
        </w:numPr>
        <w:spacing w:after="0" w:line="240" w:lineRule="auto"/>
        <w:ind w:left="709" w:hanging="709"/>
        <w:rPr>
          <w:rFonts w:ascii="Avenir Next" w:hAnsi="Avenir Next"/>
          <w:highlight w:val="yellow"/>
          <w:lang w:val="en-GB"/>
        </w:rPr>
      </w:pPr>
      <w:r w:rsidRPr="0033687D">
        <w:rPr>
          <w:rFonts w:ascii="Avenir Next" w:hAnsi="Avenir Next"/>
          <w:highlight w:val="yellow"/>
          <w:lang w:val="en-GB"/>
        </w:rPr>
        <w:t>within 21 days of the petition being filed</w:t>
      </w:r>
      <w:r w:rsidR="003721B7" w:rsidRPr="0033687D">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4272B8">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4272B8">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4272B8">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4272B8">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33687D" w:rsidRDefault="003721B7" w:rsidP="004272B8">
      <w:pPr>
        <w:pStyle w:val="ListParagraph"/>
        <w:numPr>
          <w:ilvl w:val="1"/>
          <w:numId w:val="8"/>
        </w:numPr>
        <w:spacing w:after="0" w:line="240" w:lineRule="auto"/>
        <w:ind w:left="709" w:hanging="709"/>
        <w:jc w:val="left"/>
        <w:rPr>
          <w:rFonts w:ascii="Avenir Next" w:hAnsi="Avenir Next"/>
          <w:color w:val="00B0F0"/>
          <w:highlight w:val="yellow"/>
          <w:lang w:val="en-GB"/>
        </w:rPr>
      </w:pPr>
      <w:r w:rsidRPr="0033687D">
        <w:rPr>
          <w:rFonts w:ascii="Avenir Next" w:hAnsi="Avenir Next"/>
          <w:highlight w:val="yellow"/>
          <w:lang w:val="en-GB"/>
        </w:rPr>
        <w:t>c</w:t>
      </w:r>
      <w:r w:rsidR="004A11A1" w:rsidRPr="0033687D">
        <w:rPr>
          <w:rFonts w:ascii="Avenir Next" w:hAnsi="Avenir Next"/>
          <w:highlight w:val="yellow"/>
          <w:lang w:val="en-GB"/>
        </w:rPr>
        <w:t>an only proceed if there are shareholders / creditors who may not agree with it</w:t>
      </w:r>
      <w:r w:rsidR="004A11A1" w:rsidRPr="0033687D">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4272B8">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08F685C" w14:textId="77777777" w:rsidR="007544CF" w:rsidRDefault="007544CF" w:rsidP="00BD2F4B">
      <w:pPr>
        <w:rPr>
          <w:rFonts w:ascii="Avenir Next Demi Bold" w:hAnsi="Avenir Next Demi Bold"/>
          <w:b/>
          <w:bCs/>
          <w:color w:val="000000" w:themeColor="text1"/>
          <w:lang w:val="en-GB"/>
        </w:rPr>
      </w:pPr>
    </w:p>
    <w:p w14:paraId="342DCEC9" w14:textId="77777777" w:rsidR="007544CF" w:rsidRDefault="007544CF" w:rsidP="00BD2F4B">
      <w:pPr>
        <w:rPr>
          <w:rFonts w:ascii="Avenir Next Demi Bold" w:hAnsi="Avenir Next Demi Bold"/>
          <w:b/>
          <w:bCs/>
          <w:color w:val="000000" w:themeColor="text1"/>
          <w:lang w:val="en-GB"/>
        </w:rPr>
      </w:pPr>
    </w:p>
    <w:p w14:paraId="6DDA6D7E" w14:textId="78A384E2"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4272B8">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4272B8">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33687D" w:rsidRDefault="00B341CA" w:rsidP="004272B8">
      <w:pPr>
        <w:pStyle w:val="ListParagraph"/>
        <w:numPr>
          <w:ilvl w:val="0"/>
          <w:numId w:val="13"/>
        </w:numPr>
        <w:spacing w:after="0" w:line="240" w:lineRule="auto"/>
        <w:ind w:left="709" w:hanging="709"/>
        <w:rPr>
          <w:rFonts w:ascii="Avenir Next" w:hAnsi="Avenir Next"/>
          <w:highlight w:val="yellow"/>
          <w:lang w:val="en-GB"/>
        </w:rPr>
      </w:pPr>
      <w:r w:rsidRPr="0033687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4272B8">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4272B8">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4272B8">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4272B8">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B2FFF" w:rsidRDefault="00B341CA" w:rsidP="004272B8">
      <w:pPr>
        <w:pStyle w:val="ListParagraph"/>
        <w:numPr>
          <w:ilvl w:val="0"/>
          <w:numId w:val="14"/>
        </w:numPr>
        <w:spacing w:after="0" w:line="240" w:lineRule="auto"/>
        <w:ind w:left="709" w:hanging="709"/>
        <w:rPr>
          <w:rFonts w:ascii="Avenir Next" w:hAnsi="Avenir Next"/>
          <w:highlight w:val="yellow"/>
          <w:lang w:val="en-GB"/>
        </w:rPr>
      </w:pPr>
      <w:r w:rsidRPr="006B2FFF">
        <w:rPr>
          <w:rFonts w:ascii="Avenir Next" w:hAnsi="Avenir Next"/>
          <w:highlight w:val="yellow"/>
          <w:lang w:val="en-GB"/>
        </w:rPr>
        <w:t xml:space="preserve">The Cayman Islands </w:t>
      </w:r>
      <w:r w:rsidR="00512319" w:rsidRPr="006B2FFF">
        <w:rPr>
          <w:rFonts w:ascii="Avenir Next" w:hAnsi="Avenir Next"/>
          <w:highlight w:val="yellow"/>
          <w:lang w:val="en-GB"/>
        </w:rPr>
        <w:t>C</w:t>
      </w:r>
      <w:r w:rsidRPr="006B2FFF">
        <w:rPr>
          <w:rFonts w:ascii="Avenir Next" w:hAnsi="Avenir Next"/>
          <w:highlight w:val="yellow"/>
          <w:lang w:val="en-GB"/>
        </w:rPr>
        <w:t xml:space="preserve">ourt </w:t>
      </w:r>
      <w:proofErr w:type="gramStart"/>
      <w:r w:rsidRPr="006B2FFF">
        <w:rPr>
          <w:rFonts w:ascii="Avenir Next" w:hAnsi="Avenir Next"/>
          <w:highlight w:val="yellow"/>
          <w:lang w:val="en-GB"/>
        </w:rPr>
        <w:t>takes into account</w:t>
      </w:r>
      <w:proofErr w:type="gramEnd"/>
      <w:r w:rsidRPr="006B2FFF">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4272B8">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B46844" w:rsidRDefault="00BD0DC2" w:rsidP="004272B8">
      <w:pPr>
        <w:numPr>
          <w:ilvl w:val="0"/>
          <w:numId w:val="17"/>
        </w:numPr>
        <w:ind w:left="709" w:hanging="709"/>
        <w:rPr>
          <w:rFonts w:cs="Calibri"/>
          <w:color w:val="000000"/>
          <w:highlight w:val="yellow"/>
          <w:lang w:val="en-ZA" w:eastAsia="en-GB"/>
        </w:rPr>
      </w:pPr>
      <w:r w:rsidRPr="00B46844">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B46844">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4272B8">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4272B8">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5156D141" w14:textId="77777777" w:rsidR="007544CF" w:rsidRDefault="007544CF" w:rsidP="00BD2F4B">
      <w:pPr>
        <w:ind w:left="709" w:hanging="709"/>
        <w:rPr>
          <w:rFonts w:ascii="Avenir Next Demi Bold" w:hAnsi="Avenir Next Demi Bold"/>
          <w:b/>
          <w:bCs/>
          <w:color w:val="000000" w:themeColor="text1"/>
          <w:lang w:val="en-GB"/>
        </w:rPr>
      </w:pPr>
    </w:p>
    <w:p w14:paraId="3292D809" w14:textId="77777777" w:rsidR="007544CF" w:rsidRDefault="007544CF" w:rsidP="00BD2F4B">
      <w:pPr>
        <w:ind w:left="709" w:hanging="709"/>
        <w:rPr>
          <w:rFonts w:ascii="Avenir Next Demi Bold" w:hAnsi="Avenir Next Demi Bold"/>
          <w:b/>
          <w:bCs/>
          <w:color w:val="000000" w:themeColor="text1"/>
          <w:lang w:val="en-GB"/>
        </w:rPr>
      </w:pPr>
    </w:p>
    <w:p w14:paraId="6505C62F" w14:textId="0AA68D99"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lastRenderedPageBreak/>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4272B8">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4272B8">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4272B8">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292AA5" w:rsidRDefault="00BD0DC2" w:rsidP="004272B8">
      <w:pPr>
        <w:numPr>
          <w:ilvl w:val="0"/>
          <w:numId w:val="18"/>
        </w:numPr>
        <w:ind w:left="709" w:hanging="709"/>
        <w:rPr>
          <w:rFonts w:cs="Calibri"/>
          <w:color w:val="000000"/>
          <w:highlight w:val="yellow"/>
          <w:lang w:val="en-ZA" w:eastAsia="en-GB"/>
        </w:rPr>
      </w:pPr>
      <w:r w:rsidRPr="00292AA5">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292AA5" w:rsidRDefault="00BD0DC2" w:rsidP="004272B8">
      <w:pPr>
        <w:numPr>
          <w:ilvl w:val="0"/>
          <w:numId w:val="19"/>
        </w:numPr>
        <w:ind w:left="709" w:hanging="709"/>
        <w:rPr>
          <w:rFonts w:cs="Calibri"/>
          <w:color w:val="000000"/>
          <w:highlight w:val="yellow"/>
          <w:lang w:val="en-ZA" w:eastAsia="en-GB"/>
        </w:rPr>
      </w:pPr>
      <w:r w:rsidRPr="00292AA5">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4272B8">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4272B8">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4272B8">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4272B8">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59389E" w:rsidRDefault="00BD0DC2" w:rsidP="004272B8">
      <w:pPr>
        <w:numPr>
          <w:ilvl w:val="0"/>
          <w:numId w:val="20"/>
        </w:numPr>
        <w:ind w:left="709" w:hanging="709"/>
        <w:rPr>
          <w:rFonts w:cs="Calibri"/>
          <w:color w:val="000000"/>
          <w:highlight w:val="yellow"/>
          <w:lang w:val="en-ZA" w:eastAsia="en-GB"/>
        </w:rPr>
      </w:pPr>
      <w:r w:rsidRPr="0059389E">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4272B8">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4272B8">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lastRenderedPageBreak/>
        <w:t> </w:t>
      </w:r>
    </w:p>
    <w:p w14:paraId="2D02DAB3" w14:textId="21C533CD" w:rsidR="00BD0DC2" w:rsidRPr="006E060C" w:rsidRDefault="00BD0DC2" w:rsidP="004272B8">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59389E" w:rsidRDefault="00BD0DC2" w:rsidP="004272B8">
      <w:pPr>
        <w:numPr>
          <w:ilvl w:val="0"/>
          <w:numId w:val="21"/>
        </w:numPr>
        <w:ind w:left="709" w:hanging="709"/>
        <w:rPr>
          <w:rFonts w:cs="Calibri"/>
          <w:color w:val="000000"/>
          <w:highlight w:val="yellow"/>
          <w:lang w:val="en-ZA" w:eastAsia="en-GB"/>
        </w:rPr>
      </w:pPr>
      <w:r w:rsidRPr="0059389E">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4272B8">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4272B8">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7F03B9" w:rsidRDefault="00BD0DC2" w:rsidP="004272B8">
      <w:pPr>
        <w:numPr>
          <w:ilvl w:val="0"/>
          <w:numId w:val="22"/>
        </w:numPr>
        <w:ind w:left="709" w:hanging="709"/>
        <w:rPr>
          <w:rFonts w:cs="Calibri"/>
          <w:color w:val="000000"/>
          <w:highlight w:val="yellow"/>
          <w:lang w:val="en-ZA" w:eastAsia="en-GB"/>
        </w:rPr>
      </w:pPr>
      <w:r w:rsidRPr="007F03B9">
        <w:rPr>
          <w:rFonts w:cs="Calibri"/>
          <w:color w:val="000000"/>
          <w:highlight w:val="yellow"/>
          <w:lang w:val="en-ZA" w:eastAsia="en-GB"/>
        </w:rPr>
        <w:t>The company has the statutory power to commence the proceedings</w:t>
      </w:r>
      <w:r w:rsidR="00BD2F4B" w:rsidRPr="007F03B9">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4272B8">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rsidP="004272B8">
      <w:pPr>
        <w:numPr>
          <w:ilvl w:val="0"/>
          <w:numId w:val="2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4272B8">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4272B8">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D53C7D" w:rsidRDefault="00BD0DC2" w:rsidP="004272B8">
      <w:pPr>
        <w:numPr>
          <w:ilvl w:val="0"/>
          <w:numId w:val="24"/>
        </w:numPr>
        <w:ind w:left="709" w:hanging="709"/>
        <w:jc w:val="left"/>
        <w:rPr>
          <w:rFonts w:cs="Calibri"/>
          <w:color w:val="000000"/>
          <w:highlight w:val="yellow"/>
          <w:lang w:val="en-ZA" w:eastAsia="en-GB"/>
        </w:rPr>
      </w:pPr>
      <w:r w:rsidRPr="00D53C7D">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4272B8">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4272B8">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807903" w:rsidRDefault="00BD0DC2" w:rsidP="004272B8">
      <w:pPr>
        <w:numPr>
          <w:ilvl w:val="0"/>
          <w:numId w:val="23"/>
        </w:numPr>
        <w:ind w:left="709" w:hanging="709"/>
        <w:jc w:val="left"/>
        <w:rPr>
          <w:rFonts w:cs="Calibri"/>
          <w:color w:val="000000"/>
          <w:highlight w:val="yellow"/>
          <w:lang w:val="en-ZA" w:eastAsia="en-GB"/>
        </w:rPr>
      </w:pPr>
      <w:r w:rsidRPr="00807903">
        <w:rPr>
          <w:rFonts w:cs="Calibri"/>
          <w:color w:val="000000"/>
          <w:highlight w:val="yellow"/>
          <w:lang w:val="en-ZA" w:eastAsia="en-GB"/>
        </w:rPr>
        <w:lastRenderedPageBreak/>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4272B8">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4272B8">
      <w:pPr>
        <w:numPr>
          <w:ilvl w:val="0"/>
          <w:numId w:val="2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4272B8">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1FADBC37" w14:textId="0CF0C60E" w:rsidR="004752FA" w:rsidRDefault="00E813C1" w:rsidP="004752F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Cayman Islands Companies Winding Up Rules, 2018 (as amended) (the </w:t>
      </w:r>
      <w:r>
        <w:rPr>
          <w:rFonts w:ascii="Avenir Next" w:hAnsi="Avenir Next"/>
          <w:b/>
          <w:color w:val="808080" w:themeColor="background1" w:themeShade="80"/>
        </w:rPr>
        <w:t>CWR</w:t>
      </w:r>
      <w:r>
        <w:rPr>
          <w:rFonts w:ascii="Avenir Next" w:hAnsi="Avenir Next"/>
          <w:color w:val="808080" w:themeColor="background1" w:themeShade="80"/>
        </w:rPr>
        <w:t xml:space="preserve">) </w:t>
      </w:r>
      <w:r w:rsidR="004752FA">
        <w:rPr>
          <w:rFonts w:ascii="Avenir Next" w:hAnsi="Avenir Next"/>
          <w:color w:val="808080" w:themeColor="background1" w:themeShade="80"/>
        </w:rPr>
        <w:t>set out the required content of the consent to act to be signed by the proposed official liquidator(s) at Order 3, rule 4</w:t>
      </w:r>
      <w:r w:rsidR="00857083">
        <w:rPr>
          <w:rFonts w:ascii="Avenir Next" w:hAnsi="Avenir Next"/>
          <w:color w:val="808080" w:themeColor="background1" w:themeShade="80"/>
        </w:rPr>
        <w:t>(1)</w:t>
      </w:r>
      <w:r w:rsidR="004752FA">
        <w:rPr>
          <w:rFonts w:ascii="Avenir Next" w:hAnsi="Avenir Next"/>
          <w:color w:val="808080" w:themeColor="background1" w:themeShade="80"/>
        </w:rPr>
        <w:t xml:space="preserve">. Under that rule, each person nominated for appointment as official liquidator must swear an affidavit </w:t>
      </w:r>
      <w:r w:rsidR="004752FA">
        <w:rPr>
          <w:rFonts w:ascii="Avenir Next" w:hAnsi="Avenir Next"/>
          <w:color w:val="808080" w:themeColor="background1" w:themeShade="80"/>
        </w:rPr>
        <w:lastRenderedPageBreak/>
        <w:t>stating that:</w:t>
      </w:r>
    </w:p>
    <w:p w14:paraId="74A44904" w14:textId="77777777" w:rsidR="004752FA" w:rsidRDefault="004752FA" w:rsidP="00A51058">
      <w:pPr>
        <w:pStyle w:val="BodyText"/>
        <w:ind w:firstLine="0"/>
        <w:rPr>
          <w:rFonts w:ascii="Avenir Next" w:hAnsi="Avenir Next"/>
          <w:color w:val="808080" w:themeColor="background1" w:themeShade="80"/>
        </w:rPr>
      </w:pPr>
    </w:p>
    <w:p w14:paraId="14D92AFF" w14:textId="47712363" w:rsidR="004752FA" w:rsidRDefault="004752FA" w:rsidP="004272B8">
      <w:pPr>
        <w:pStyle w:val="BodyText"/>
        <w:numPr>
          <w:ilvl w:val="0"/>
          <w:numId w:val="25"/>
        </w:numPr>
        <w:jc w:val="both"/>
        <w:rPr>
          <w:rFonts w:ascii="Avenir Next" w:hAnsi="Avenir Next"/>
          <w:color w:val="808080" w:themeColor="background1" w:themeShade="80"/>
        </w:rPr>
      </w:pPr>
      <w:r>
        <w:rPr>
          <w:rFonts w:ascii="Avenir Next" w:hAnsi="Avenir Next"/>
          <w:color w:val="808080" w:themeColor="background1" w:themeShade="80"/>
        </w:rPr>
        <w:t xml:space="preserve">That person is a qualified insolvency practitioner and meets the residency requirement provided for by Regulation 5 of the Insolvency Practitioners’ Regulations (2023 Consolidation) (the </w:t>
      </w:r>
      <w:r>
        <w:rPr>
          <w:rFonts w:ascii="Avenir Next" w:hAnsi="Avenir Next"/>
          <w:b/>
          <w:color w:val="808080" w:themeColor="background1" w:themeShade="80"/>
        </w:rPr>
        <w:t>IPRs</w:t>
      </w:r>
      <w:r>
        <w:rPr>
          <w:rFonts w:ascii="Avenir Next" w:hAnsi="Avenir Next"/>
          <w:color w:val="808080" w:themeColor="background1" w:themeShade="80"/>
        </w:rPr>
        <w:t>)</w:t>
      </w:r>
      <w:r w:rsidR="00BB32C4">
        <w:rPr>
          <w:rFonts w:ascii="Avenir Next" w:hAnsi="Avenir Next"/>
          <w:color w:val="808080" w:themeColor="background1" w:themeShade="80"/>
        </w:rPr>
        <w:t xml:space="preserve"> (O.3, r.4(1)(a))</w:t>
      </w:r>
      <w:r>
        <w:rPr>
          <w:rFonts w:ascii="Avenir Next" w:hAnsi="Avenir Next"/>
          <w:color w:val="808080" w:themeColor="background1" w:themeShade="80"/>
        </w:rPr>
        <w:t xml:space="preserve">. </w:t>
      </w:r>
    </w:p>
    <w:p w14:paraId="1537760B" w14:textId="77777777" w:rsidR="004752FA" w:rsidRDefault="004752FA" w:rsidP="004752FA">
      <w:pPr>
        <w:pStyle w:val="BodyText"/>
        <w:ind w:left="720" w:firstLine="0"/>
        <w:jc w:val="both"/>
        <w:rPr>
          <w:rFonts w:ascii="Avenir Next" w:hAnsi="Avenir Next"/>
          <w:color w:val="808080" w:themeColor="background1" w:themeShade="80"/>
        </w:rPr>
      </w:pPr>
    </w:p>
    <w:p w14:paraId="45E525F3" w14:textId="3F60CAB0" w:rsidR="004752FA" w:rsidRDefault="004752FA" w:rsidP="004752FA">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t xml:space="preserve">Under Regulation 5, that person must be resident in the Cayman Islands and hold a trade and business </w:t>
      </w:r>
      <w:proofErr w:type="spellStart"/>
      <w:r>
        <w:rPr>
          <w:rFonts w:ascii="Avenir Next" w:hAnsi="Avenir Next"/>
          <w:color w:val="808080" w:themeColor="background1" w:themeShade="80"/>
        </w:rPr>
        <w:t>licence</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authori</w:t>
      </w:r>
      <w:r w:rsidR="00FB7AAB">
        <w:rPr>
          <w:rFonts w:ascii="Avenir Next" w:hAnsi="Avenir Next"/>
          <w:color w:val="808080" w:themeColor="background1" w:themeShade="80"/>
        </w:rPr>
        <w:t>s</w:t>
      </w:r>
      <w:r>
        <w:rPr>
          <w:rFonts w:ascii="Avenir Next" w:hAnsi="Avenir Next"/>
          <w:color w:val="808080" w:themeColor="background1" w:themeShade="80"/>
        </w:rPr>
        <w:t>ing</w:t>
      </w:r>
      <w:proofErr w:type="spellEnd"/>
      <w:r>
        <w:rPr>
          <w:rFonts w:ascii="Avenir Next" w:hAnsi="Avenir Next"/>
          <w:color w:val="808080" w:themeColor="background1" w:themeShade="80"/>
        </w:rPr>
        <w:t xml:space="preserve"> them or their firm to carry on business as professional insolvency practitioners in the Cayman Islands. </w:t>
      </w:r>
    </w:p>
    <w:p w14:paraId="386DE983" w14:textId="77777777" w:rsidR="004752FA" w:rsidRDefault="004752FA" w:rsidP="004752FA">
      <w:pPr>
        <w:pStyle w:val="BodyText"/>
        <w:ind w:left="720" w:firstLine="0"/>
        <w:jc w:val="both"/>
        <w:rPr>
          <w:rFonts w:ascii="Avenir Next" w:hAnsi="Avenir Next"/>
          <w:color w:val="808080" w:themeColor="background1" w:themeShade="80"/>
        </w:rPr>
      </w:pPr>
    </w:p>
    <w:p w14:paraId="623AAC81" w14:textId="63D1C6F7" w:rsidR="00BB32C4" w:rsidRDefault="004752FA" w:rsidP="004272B8">
      <w:pPr>
        <w:pStyle w:val="BodyText"/>
        <w:numPr>
          <w:ilvl w:val="0"/>
          <w:numId w:val="25"/>
        </w:numPr>
        <w:jc w:val="both"/>
        <w:rPr>
          <w:rFonts w:ascii="Avenir Next" w:hAnsi="Avenir Next"/>
          <w:color w:val="808080" w:themeColor="background1" w:themeShade="80"/>
        </w:rPr>
      </w:pPr>
      <w:r>
        <w:rPr>
          <w:rFonts w:ascii="Avenir Next" w:hAnsi="Avenir Next"/>
          <w:color w:val="808080" w:themeColor="background1" w:themeShade="80"/>
        </w:rPr>
        <w:t>That person believes that they and their firm meet the independence requirement contained in Regulation 6 of the IPRs</w:t>
      </w:r>
      <w:r w:rsidR="00BB32C4">
        <w:rPr>
          <w:rFonts w:ascii="Avenir Next" w:hAnsi="Avenir Next"/>
          <w:color w:val="808080" w:themeColor="background1" w:themeShade="80"/>
        </w:rPr>
        <w:t xml:space="preserve"> (O.3, r.4(1)(b))</w:t>
      </w:r>
      <w:r>
        <w:rPr>
          <w:rFonts w:ascii="Avenir Next" w:hAnsi="Avenir Next"/>
          <w:color w:val="808080" w:themeColor="background1" w:themeShade="80"/>
        </w:rPr>
        <w:t>.</w:t>
      </w:r>
    </w:p>
    <w:p w14:paraId="3138846F" w14:textId="55C9855A" w:rsidR="004752FA" w:rsidRDefault="004752FA" w:rsidP="00BB32C4">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br/>
        <w:t xml:space="preserve">Under Regulation 6, </w:t>
      </w:r>
      <w:r w:rsidR="00BB32C4">
        <w:rPr>
          <w:rFonts w:ascii="Avenir Next" w:hAnsi="Avenir Next"/>
          <w:color w:val="808080" w:themeColor="background1" w:themeShade="80"/>
        </w:rPr>
        <w:t xml:space="preserve">a qualified insolvency practitioner must be capable of being properly regarded as independent of the company in question. That person will not be regarded as independent if, within 3 years prior to the commencement of the liquidation, that person, or their firm / company, has acted as the company’s auditor. </w:t>
      </w:r>
    </w:p>
    <w:p w14:paraId="03A516F4" w14:textId="6F6E3394" w:rsidR="00BB32C4" w:rsidRDefault="00BB32C4" w:rsidP="00BB32C4">
      <w:pPr>
        <w:pStyle w:val="BodyText"/>
        <w:ind w:left="720" w:firstLine="0"/>
        <w:jc w:val="both"/>
        <w:rPr>
          <w:rFonts w:ascii="Avenir Next" w:hAnsi="Avenir Next"/>
          <w:color w:val="808080" w:themeColor="background1" w:themeShade="80"/>
        </w:rPr>
      </w:pPr>
    </w:p>
    <w:p w14:paraId="71BDA3A8" w14:textId="2F0DAA02" w:rsidR="00BB32C4" w:rsidRDefault="00BB32C4" w:rsidP="004272B8">
      <w:pPr>
        <w:pStyle w:val="BodyText"/>
        <w:numPr>
          <w:ilvl w:val="0"/>
          <w:numId w:val="25"/>
        </w:numPr>
        <w:jc w:val="both"/>
        <w:rPr>
          <w:rFonts w:ascii="Avenir Next" w:hAnsi="Avenir Next"/>
          <w:color w:val="808080" w:themeColor="background1" w:themeShade="80"/>
        </w:rPr>
      </w:pPr>
      <w:r>
        <w:rPr>
          <w:rFonts w:ascii="Avenir Next" w:hAnsi="Avenir Next"/>
          <w:color w:val="808080" w:themeColor="background1" w:themeShade="80"/>
        </w:rPr>
        <w:t>That person and/or their firm comply with the insurance requirement provided by Regulation 7 of the IPRs (O.3, r.4(1)(c)).</w:t>
      </w:r>
    </w:p>
    <w:p w14:paraId="3A3FE02D" w14:textId="3F87E2D5" w:rsidR="00BB32C4" w:rsidRDefault="00BB32C4" w:rsidP="00BB32C4">
      <w:pPr>
        <w:pStyle w:val="BodyText"/>
        <w:ind w:left="720" w:firstLine="0"/>
        <w:jc w:val="both"/>
        <w:rPr>
          <w:rFonts w:ascii="Avenir Next" w:hAnsi="Avenir Next"/>
          <w:color w:val="808080" w:themeColor="background1" w:themeShade="80"/>
        </w:rPr>
      </w:pPr>
    </w:p>
    <w:p w14:paraId="5B15DFF7" w14:textId="2FB9991E" w:rsidR="00BB32C4" w:rsidRDefault="00BB32C4" w:rsidP="00BB32C4">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t>Under Regulation 7, a qualified insolvency practitioner will not be appointed as an official liquidator unless that person and their firm/company has professional indemnity insurance</w:t>
      </w:r>
      <w:r w:rsidR="00857083">
        <w:rPr>
          <w:rFonts w:ascii="Avenir Next" w:hAnsi="Avenir Next"/>
          <w:color w:val="808080" w:themeColor="background1" w:themeShade="80"/>
        </w:rPr>
        <w:t xml:space="preserve"> covering their negligence or non-performance as an official liquidator up to a limit of at least US$10 million in respect of each and every claim and at least US$20 million in aggregate, with a maximum deductible of US$1 million. </w:t>
      </w:r>
    </w:p>
    <w:p w14:paraId="7E33DBD3" w14:textId="26853C3E" w:rsidR="00857083" w:rsidRDefault="00857083" w:rsidP="00BB32C4">
      <w:pPr>
        <w:pStyle w:val="BodyText"/>
        <w:ind w:left="720" w:firstLine="0"/>
        <w:jc w:val="both"/>
        <w:rPr>
          <w:rFonts w:ascii="Avenir Next" w:hAnsi="Avenir Next"/>
          <w:color w:val="808080" w:themeColor="background1" w:themeShade="80"/>
        </w:rPr>
      </w:pPr>
    </w:p>
    <w:p w14:paraId="6064E379" w14:textId="2888BCA5" w:rsidR="00857083" w:rsidRDefault="00857083" w:rsidP="004272B8">
      <w:pPr>
        <w:pStyle w:val="BodyText"/>
        <w:numPr>
          <w:ilvl w:val="0"/>
          <w:numId w:val="25"/>
        </w:numPr>
        <w:jc w:val="both"/>
        <w:rPr>
          <w:rFonts w:ascii="Avenir Next" w:hAnsi="Avenir Next"/>
          <w:color w:val="808080" w:themeColor="background1" w:themeShade="80"/>
        </w:rPr>
      </w:pPr>
      <w:r>
        <w:rPr>
          <w:rFonts w:ascii="Avenir Next" w:hAnsi="Avenir Next"/>
          <w:color w:val="808080" w:themeColor="background1" w:themeShade="80"/>
        </w:rPr>
        <w:t>That person’s willingness to act as official liquidator if appointed by the Court (O.3, r.4(1)(d)).</w:t>
      </w:r>
    </w:p>
    <w:p w14:paraId="51D48AA1" w14:textId="61D724DE" w:rsidR="00BB32C4" w:rsidRDefault="00BB32C4" w:rsidP="00BB32C4">
      <w:pPr>
        <w:pStyle w:val="BodyText"/>
        <w:ind w:left="720" w:firstLine="0"/>
        <w:jc w:val="both"/>
        <w:rPr>
          <w:rFonts w:ascii="Avenir Next" w:hAnsi="Avenir Next"/>
          <w:color w:val="808080" w:themeColor="background1" w:themeShade="80"/>
        </w:rPr>
      </w:pPr>
    </w:p>
    <w:p w14:paraId="2C8F5386" w14:textId="233114E8" w:rsidR="00A51058" w:rsidRPr="00486A0B" w:rsidRDefault="00857083" w:rsidP="00857083">
      <w:pPr>
        <w:pStyle w:val="BodyText"/>
        <w:ind w:firstLine="0"/>
        <w:jc w:val="both"/>
        <w:rPr>
          <w:rFonts w:ascii="Avenir Next" w:hAnsi="Avenir Next"/>
          <w:b/>
          <w:bCs/>
        </w:rPr>
      </w:pPr>
      <w:r>
        <w:rPr>
          <w:rFonts w:ascii="Avenir Next" w:hAnsi="Avenir Next"/>
          <w:color w:val="808080" w:themeColor="background1" w:themeShade="80"/>
        </w:rPr>
        <w:t xml:space="preserve">Order 3, rule 4(2) of the CWR sets out the required consent of the consent to act to be signed by any jointly appointed foreign qualified insolvency practitioner, including that person’s professional qualifications (O.3, r.4(2)(a)) and professional experience (O.3, r.4(1)(c)), in addition to the independence and insurance requirements contained in Regulations 6 and 7 of the IPRs described above. </w:t>
      </w:r>
    </w:p>
    <w:p w14:paraId="75FE0193" w14:textId="77777777" w:rsidR="00A51058" w:rsidRPr="002A2B0D" w:rsidRDefault="00A51058"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06B2891" w14:textId="278CCB98" w:rsidR="0028705E" w:rsidRDefault="006A5A0D" w:rsidP="006310A8">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As </w:t>
      </w:r>
      <w:r w:rsidR="00857083">
        <w:rPr>
          <w:rFonts w:ascii="Avenir Next" w:hAnsi="Avenir Next"/>
          <w:color w:val="808080" w:themeColor="background1" w:themeShade="80"/>
        </w:rPr>
        <w:t>Bodden &amp; Ebanks Limited (</w:t>
      </w:r>
      <w:r w:rsidR="00857083">
        <w:rPr>
          <w:rFonts w:ascii="Avenir Next" w:hAnsi="Avenir Next"/>
          <w:b/>
          <w:color w:val="808080" w:themeColor="background1" w:themeShade="80"/>
        </w:rPr>
        <w:t>B&amp;E</w:t>
      </w:r>
      <w:r w:rsidR="00857083">
        <w:rPr>
          <w:rFonts w:ascii="Avenir Next" w:hAnsi="Avenir Next"/>
          <w:color w:val="808080" w:themeColor="background1" w:themeShade="80"/>
        </w:rPr>
        <w:t xml:space="preserve">) previously acted as auditors of </w:t>
      </w:r>
      <w:proofErr w:type="spellStart"/>
      <w:r w:rsidR="00857083">
        <w:rPr>
          <w:rFonts w:ascii="Avenir Next" w:hAnsi="Avenir Next"/>
          <w:color w:val="808080" w:themeColor="background1" w:themeShade="80"/>
        </w:rPr>
        <w:t>Bluesea</w:t>
      </w:r>
      <w:proofErr w:type="spellEnd"/>
      <w:r w:rsidR="00857083">
        <w:rPr>
          <w:rFonts w:ascii="Avenir Next" w:hAnsi="Avenir Next"/>
          <w:color w:val="808080" w:themeColor="background1" w:themeShade="80"/>
        </w:rPr>
        <w:t xml:space="preserve"> in 2021,</w:t>
      </w:r>
      <w:r>
        <w:rPr>
          <w:rFonts w:ascii="Avenir Next" w:hAnsi="Avenir Next"/>
          <w:color w:val="808080" w:themeColor="background1" w:themeShade="80"/>
        </w:rPr>
        <w:t xml:space="preserve"> and the liquidation</w:t>
      </w:r>
      <w:r w:rsidR="006310A8">
        <w:rPr>
          <w:rFonts w:ascii="Avenir Next" w:hAnsi="Avenir Next"/>
          <w:color w:val="808080" w:themeColor="background1" w:themeShade="80"/>
        </w:rPr>
        <w:t xml:space="preserve"> was</w:t>
      </w:r>
      <w:r>
        <w:rPr>
          <w:rFonts w:ascii="Avenir Next" w:hAnsi="Avenir Next"/>
          <w:color w:val="808080" w:themeColor="background1" w:themeShade="80"/>
        </w:rPr>
        <w:t xml:space="preserve"> commenced</w:t>
      </w:r>
      <w:r w:rsidR="006310A8">
        <w:rPr>
          <w:rFonts w:ascii="Avenir Next" w:hAnsi="Avenir Next"/>
          <w:color w:val="808080" w:themeColor="background1" w:themeShade="80"/>
        </w:rPr>
        <w:t xml:space="preserve"> by </w:t>
      </w:r>
      <w:proofErr w:type="spellStart"/>
      <w:r w:rsidR="006310A8">
        <w:rPr>
          <w:rFonts w:ascii="Avenir Next" w:hAnsi="Avenir Next"/>
          <w:color w:val="808080" w:themeColor="background1" w:themeShade="80"/>
        </w:rPr>
        <w:t>Whitesand</w:t>
      </w:r>
      <w:proofErr w:type="spellEnd"/>
      <w:r w:rsidR="006310A8">
        <w:rPr>
          <w:rFonts w:ascii="Avenir Next" w:hAnsi="Avenir Next"/>
          <w:color w:val="808080" w:themeColor="background1" w:themeShade="80"/>
        </w:rPr>
        <w:t xml:space="preserve"> in 2023</w:t>
      </w:r>
      <w:r w:rsidR="00FB7AAB">
        <w:rPr>
          <w:rFonts w:ascii="Avenir Next" w:hAnsi="Avenir Next"/>
          <w:color w:val="808080" w:themeColor="background1" w:themeShade="80"/>
        </w:rPr>
        <w:t xml:space="preserve">, </w:t>
      </w:r>
      <w:r w:rsidR="006310A8">
        <w:rPr>
          <w:rFonts w:ascii="Avenir Next" w:hAnsi="Avenir Next"/>
          <w:color w:val="808080" w:themeColor="background1" w:themeShade="80"/>
        </w:rPr>
        <w:t xml:space="preserve">less than 3 years later, B&amp;E </w:t>
      </w:r>
      <w:r w:rsidR="0028705E">
        <w:rPr>
          <w:rFonts w:ascii="Avenir Next" w:hAnsi="Avenir Next"/>
          <w:color w:val="808080" w:themeColor="background1" w:themeShade="80"/>
        </w:rPr>
        <w:t xml:space="preserve">now </w:t>
      </w:r>
      <w:r>
        <w:rPr>
          <w:rFonts w:ascii="Avenir Next" w:hAnsi="Avenir Next"/>
          <w:color w:val="808080" w:themeColor="background1" w:themeShade="80"/>
        </w:rPr>
        <w:t>cannot s</w:t>
      </w:r>
      <w:r w:rsidR="00857083">
        <w:rPr>
          <w:rFonts w:ascii="Avenir Next" w:hAnsi="Avenir Next"/>
          <w:color w:val="808080" w:themeColor="background1" w:themeShade="80"/>
        </w:rPr>
        <w:t xml:space="preserve">atisfy the independence requirement provided by </w:t>
      </w:r>
      <w:r w:rsidR="0028705E">
        <w:rPr>
          <w:rFonts w:ascii="Avenir Next" w:hAnsi="Avenir Next"/>
          <w:color w:val="808080" w:themeColor="background1" w:themeShade="80"/>
        </w:rPr>
        <w:t>the CWRs (</w:t>
      </w:r>
      <w:r w:rsidR="00857083">
        <w:rPr>
          <w:rFonts w:ascii="Avenir Next" w:hAnsi="Avenir Next"/>
          <w:color w:val="808080" w:themeColor="background1" w:themeShade="80"/>
        </w:rPr>
        <w:t>Order 3, rule 4(1)(b)</w:t>
      </w:r>
      <w:r w:rsidR="0028705E">
        <w:rPr>
          <w:rFonts w:ascii="Avenir Next" w:hAnsi="Avenir Next"/>
          <w:color w:val="808080" w:themeColor="background1" w:themeShade="80"/>
        </w:rPr>
        <w:t>) and IPRs (</w:t>
      </w:r>
      <w:r w:rsidR="006310A8">
        <w:rPr>
          <w:rFonts w:ascii="Avenir Next" w:hAnsi="Avenir Next"/>
          <w:color w:val="808080" w:themeColor="background1" w:themeShade="80"/>
        </w:rPr>
        <w:t>Regulation 6(2)</w:t>
      </w:r>
      <w:r w:rsidR="0028705E">
        <w:rPr>
          <w:rFonts w:ascii="Avenir Next" w:hAnsi="Avenir Next"/>
          <w:color w:val="808080" w:themeColor="background1" w:themeShade="80"/>
        </w:rPr>
        <w:t>) w</w:t>
      </w:r>
      <w:r w:rsidR="006310A8">
        <w:rPr>
          <w:rFonts w:ascii="Avenir Next" w:hAnsi="Avenir Next"/>
          <w:color w:val="808080" w:themeColor="background1" w:themeShade="80"/>
        </w:rPr>
        <w:t>hich provide that</w:t>
      </w:r>
      <w:r>
        <w:rPr>
          <w:rFonts w:ascii="Avenir Next" w:hAnsi="Avenir Next"/>
          <w:color w:val="808080" w:themeColor="background1" w:themeShade="80"/>
        </w:rPr>
        <w:t xml:space="preserve"> </w:t>
      </w:r>
      <w:r w:rsidR="00857083">
        <w:rPr>
          <w:rFonts w:ascii="Avenir Next" w:hAnsi="Avenir Next"/>
          <w:color w:val="808080" w:themeColor="background1" w:themeShade="80"/>
        </w:rPr>
        <w:t>a</w:t>
      </w:r>
      <w:r>
        <w:rPr>
          <w:rFonts w:ascii="Avenir Next" w:hAnsi="Avenir Next"/>
          <w:color w:val="808080" w:themeColor="background1" w:themeShade="80"/>
        </w:rPr>
        <w:t>n insolvency practitioner will not be regarded as independent if, within 3 years prior to the commencement of the liquidation, that person, or their firm / company, has acted as the company’s auditor</w:t>
      </w:r>
      <w:r w:rsidR="0028705E">
        <w:rPr>
          <w:rFonts w:ascii="Avenir Next" w:hAnsi="Avenir Next"/>
          <w:color w:val="808080" w:themeColor="background1" w:themeShade="80"/>
        </w:rPr>
        <w:t xml:space="preserve"> (the </w:t>
      </w:r>
      <w:r w:rsidR="0028705E">
        <w:rPr>
          <w:rFonts w:ascii="Avenir Next" w:hAnsi="Avenir Next"/>
          <w:b/>
          <w:color w:val="808080" w:themeColor="background1" w:themeShade="80"/>
        </w:rPr>
        <w:t>Independence Issue</w:t>
      </w:r>
      <w:r w:rsidR="0028705E">
        <w:rPr>
          <w:rFonts w:ascii="Avenir Next" w:hAnsi="Avenir Next"/>
          <w:color w:val="808080" w:themeColor="background1" w:themeShade="80"/>
        </w:rPr>
        <w:t>)</w:t>
      </w:r>
      <w:r>
        <w:rPr>
          <w:rFonts w:ascii="Avenir Next" w:hAnsi="Avenir Next"/>
          <w:color w:val="808080" w:themeColor="background1" w:themeShade="80"/>
        </w:rPr>
        <w:t>.</w:t>
      </w:r>
    </w:p>
    <w:p w14:paraId="41A621E0" w14:textId="77777777" w:rsidR="0028705E" w:rsidRDefault="0028705E" w:rsidP="006310A8">
      <w:pPr>
        <w:pStyle w:val="BodyText"/>
        <w:ind w:firstLine="0"/>
        <w:jc w:val="both"/>
        <w:rPr>
          <w:rFonts w:ascii="Avenir Next" w:hAnsi="Avenir Next"/>
          <w:color w:val="808080" w:themeColor="background1" w:themeShade="80"/>
        </w:rPr>
      </w:pPr>
    </w:p>
    <w:p w14:paraId="4318ACEF" w14:textId="2C2CC724" w:rsidR="00A51058" w:rsidRPr="00486A0B" w:rsidRDefault="0028705E" w:rsidP="006310A8">
      <w:pPr>
        <w:pStyle w:val="BodyText"/>
        <w:ind w:firstLine="0"/>
        <w:jc w:val="both"/>
        <w:rPr>
          <w:rFonts w:ascii="Avenir Next" w:hAnsi="Avenir Next"/>
          <w:b/>
          <w:bCs/>
        </w:rPr>
      </w:pPr>
      <w:r>
        <w:rPr>
          <w:rFonts w:ascii="Avenir Next" w:hAnsi="Avenir Next"/>
          <w:color w:val="808080" w:themeColor="background1" w:themeShade="80"/>
        </w:rPr>
        <w:lastRenderedPageBreak/>
        <w:t>Whilst t</w:t>
      </w:r>
      <w:r w:rsidR="006310A8">
        <w:rPr>
          <w:rFonts w:ascii="Avenir Next" w:hAnsi="Avenir Next"/>
          <w:color w:val="808080" w:themeColor="background1" w:themeShade="80"/>
        </w:rPr>
        <w:t xml:space="preserve">he </w:t>
      </w:r>
      <w:r>
        <w:rPr>
          <w:rFonts w:ascii="Avenir Next" w:hAnsi="Avenir Next"/>
          <w:color w:val="808080" w:themeColor="background1" w:themeShade="80"/>
        </w:rPr>
        <w:t xml:space="preserve">Independence Issue </w:t>
      </w:r>
      <w:r w:rsidR="006310A8">
        <w:rPr>
          <w:rFonts w:ascii="Avenir Next" w:hAnsi="Avenir Next"/>
          <w:color w:val="808080" w:themeColor="background1" w:themeShade="80"/>
        </w:rPr>
        <w:t xml:space="preserve">came to light after </w:t>
      </w:r>
      <w:r>
        <w:rPr>
          <w:rFonts w:ascii="Avenir Next" w:hAnsi="Avenir Next"/>
          <w:color w:val="808080" w:themeColor="background1" w:themeShade="80"/>
        </w:rPr>
        <w:t xml:space="preserve">B&amp;E </w:t>
      </w:r>
      <w:r w:rsidR="006310A8">
        <w:rPr>
          <w:rFonts w:ascii="Avenir Next" w:hAnsi="Avenir Next"/>
          <w:color w:val="808080" w:themeColor="background1" w:themeShade="80"/>
        </w:rPr>
        <w:t>had already provided their consents to act</w:t>
      </w:r>
      <w:r w:rsidR="00020658">
        <w:rPr>
          <w:rFonts w:ascii="Avenir Next" w:hAnsi="Avenir Next"/>
          <w:color w:val="808080" w:themeColor="background1" w:themeShade="80"/>
        </w:rPr>
        <w:t xml:space="preserve"> and there is no industry regulator of insolvency professionals in the Cayman Islands, </w:t>
      </w:r>
      <w:r w:rsidR="006310A8">
        <w:rPr>
          <w:rFonts w:ascii="Avenir Next" w:hAnsi="Avenir Next"/>
          <w:color w:val="808080" w:themeColor="background1" w:themeShade="80"/>
        </w:rPr>
        <w:t>as</w:t>
      </w:r>
      <w:r w:rsidR="00020658">
        <w:rPr>
          <w:rFonts w:ascii="Avenir Next" w:hAnsi="Avenir Next"/>
          <w:color w:val="808080" w:themeColor="background1" w:themeShade="80"/>
        </w:rPr>
        <w:t xml:space="preserve"> a matter of professionalism, ethics and as would-be</w:t>
      </w:r>
      <w:r w:rsidR="006310A8">
        <w:rPr>
          <w:rFonts w:ascii="Avenir Next" w:hAnsi="Avenir Next"/>
          <w:color w:val="808080" w:themeColor="background1" w:themeShade="80"/>
        </w:rPr>
        <w:t xml:space="preserve"> </w:t>
      </w:r>
      <w:r>
        <w:rPr>
          <w:rFonts w:ascii="Avenir Next" w:hAnsi="Avenir Next"/>
          <w:color w:val="808080" w:themeColor="background1" w:themeShade="80"/>
        </w:rPr>
        <w:t>O</w:t>
      </w:r>
      <w:r w:rsidR="006310A8">
        <w:rPr>
          <w:rFonts w:ascii="Avenir Next" w:hAnsi="Avenir Next"/>
          <w:color w:val="808080" w:themeColor="background1" w:themeShade="80"/>
        </w:rPr>
        <w:t xml:space="preserve">fficers of the </w:t>
      </w:r>
      <w:r>
        <w:rPr>
          <w:rFonts w:ascii="Avenir Next" w:hAnsi="Avenir Next"/>
          <w:color w:val="808080" w:themeColor="background1" w:themeShade="80"/>
        </w:rPr>
        <w:t>C</w:t>
      </w:r>
      <w:r w:rsidR="006310A8">
        <w:rPr>
          <w:rFonts w:ascii="Avenir Next" w:hAnsi="Avenir Next"/>
          <w:color w:val="808080" w:themeColor="background1" w:themeShade="80"/>
        </w:rPr>
        <w:t>ourt</w:t>
      </w:r>
      <w:r>
        <w:rPr>
          <w:rFonts w:ascii="Avenir Next" w:hAnsi="Avenir Next"/>
          <w:color w:val="808080" w:themeColor="background1" w:themeShade="80"/>
        </w:rPr>
        <w:t xml:space="preserve"> </w:t>
      </w:r>
      <w:r w:rsidR="00020658">
        <w:rPr>
          <w:rFonts w:ascii="Avenir Next" w:hAnsi="Avenir Next"/>
          <w:color w:val="808080" w:themeColor="background1" w:themeShade="80"/>
        </w:rPr>
        <w:t xml:space="preserve">once appointed </w:t>
      </w:r>
      <w:r>
        <w:rPr>
          <w:rFonts w:ascii="Avenir Next" w:hAnsi="Avenir Next"/>
          <w:color w:val="808080" w:themeColor="background1" w:themeShade="80"/>
        </w:rPr>
        <w:t xml:space="preserve">(of which the highest standard of conduct is expected (see the English case of </w:t>
      </w:r>
      <w:r>
        <w:rPr>
          <w:rFonts w:ascii="Avenir Next" w:hAnsi="Avenir Next"/>
          <w:i/>
          <w:color w:val="808080" w:themeColor="background1" w:themeShade="80"/>
        </w:rPr>
        <w:t xml:space="preserve">Re Condon; ex </w:t>
      </w:r>
      <w:proofErr w:type="spellStart"/>
      <w:r>
        <w:rPr>
          <w:rFonts w:ascii="Avenir Next" w:hAnsi="Avenir Next"/>
          <w:i/>
          <w:color w:val="808080" w:themeColor="background1" w:themeShade="80"/>
        </w:rPr>
        <w:t>parte</w:t>
      </w:r>
      <w:proofErr w:type="spellEnd"/>
      <w:r>
        <w:rPr>
          <w:rFonts w:ascii="Avenir Next" w:hAnsi="Avenir Next"/>
          <w:i/>
          <w:color w:val="808080" w:themeColor="background1" w:themeShade="80"/>
        </w:rPr>
        <w:t xml:space="preserve"> James </w:t>
      </w:r>
      <w:r>
        <w:rPr>
          <w:rFonts w:ascii="Avenir Next" w:hAnsi="Avenir Next"/>
          <w:color w:val="808080" w:themeColor="background1" w:themeShade="80"/>
        </w:rPr>
        <w:t>(1873-74) LR Ch App 609 at 614)</w:t>
      </w:r>
      <w:r w:rsidR="00FB7AAB">
        <w:rPr>
          <w:rFonts w:ascii="Avenir Next" w:hAnsi="Avenir Next"/>
          <w:color w:val="808080" w:themeColor="background1" w:themeShade="80"/>
        </w:rPr>
        <w:t>,</w:t>
      </w:r>
      <w:r>
        <w:rPr>
          <w:rFonts w:ascii="Avenir Next" w:hAnsi="Avenir Next"/>
          <w:color w:val="808080" w:themeColor="background1" w:themeShade="80"/>
        </w:rPr>
        <w:t xml:space="preserve"> the proposed liquidators should file updated affidavits with the Court without delay explaining the </w:t>
      </w:r>
      <w:r w:rsidR="00FB7AAB">
        <w:rPr>
          <w:rFonts w:ascii="Avenir Next" w:hAnsi="Avenir Next"/>
          <w:color w:val="808080" w:themeColor="background1" w:themeShade="80"/>
        </w:rPr>
        <w:t xml:space="preserve">Independence Issue and how it has come to light, </w:t>
      </w:r>
      <w:r>
        <w:rPr>
          <w:rFonts w:ascii="Avenir Next" w:hAnsi="Avenir Next"/>
          <w:color w:val="808080" w:themeColor="background1" w:themeShade="80"/>
        </w:rPr>
        <w:t>withdrawing their consents to act and declin</w:t>
      </w:r>
      <w:r w:rsidR="00FB7AAB">
        <w:rPr>
          <w:rFonts w:ascii="Avenir Next" w:hAnsi="Avenir Next"/>
          <w:color w:val="808080" w:themeColor="background1" w:themeShade="80"/>
        </w:rPr>
        <w:t>e</w:t>
      </w:r>
      <w:r>
        <w:rPr>
          <w:rFonts w:ascii="Avenir Next" w:hAnsi="Avenir Next"/>
          <w:color w:val="808080" w:themeColor="background1" w:themeShade="80"/>
        </w:rPr>
        <w:t xml:space="preserve"> the appointment</w:t>
      </w:r>
      <w:r w:rsidR="00FB7AAB">
        <w:rPr>
          <w:rFonts w:ascii="Avenir Next" w:hAnsi="Avenir Next"/>
          <w:color w:val="808080" w:themeColor="background1" w:themeShade="80"/>
        </w:rPr>
        <w:t xml:space="preserve"> to act as liquidators of </w:t>
      </w:r>
      <w:proofErr w:type="spellStart"/>
      <w:r w:rsidR="00FB7AAB">
        <w:rPr>
          <w:rFonts w:ascii="Avenir Next" w:hAnsi="Avenir Next"/>
          <w:color w:val="808080" w:themeColor="background1" w:themeShade="80"/>
        </w:rPr>
        <w:t>Bluesea</w:t>
      </w:r>
      <w:proofErr w:type="spellEnd"/>
      <w:r>
        <w:rPr>
          <w:rFonts w:ascii="Avenir Next" w:hAnsi="Avenir Next"/>
          <w:color w:val="808080" w:themeColor="background1" w:themeShade="80"/>
        </w:rPr>
        <w:t>.</w:t>
      </w:r>
      <w:r w:rsidR="006E1BC2">
        <w:rPr>
          <w:rFonts w:ascii="Avenir Next" w:hAnsi="Avenir Next"/>
          <w:color w:val="808080" w:themeColor="background1" w:themeShade="80"/>
        </w:rPr>
        <w:t xml:space="preserve"> There is no need </w:t>
      </w:r>
      <w:r w:rsidR="00FB7AAB">
        <w:rPr>
          <w:rFonts w:ascii="Avenir Next" w:hAnsi="Avenir Next"/>
          <w:color w:val="808080" w:themeColor="background1" w:themeShade="80"/>
        </w:rPr>
        <w:t xml:space="preserve">for B&amp;E </w:t>
      </w:r>
      <w:r w:rsidR="006E1BC2">
        <w:rPr>
          <w:rFonts w:ascii="Avenir Next" w:hAnsi="Avenir Next"/>
          <w:color w:val="808080" w:themeColor="background1" w:themeShade="80"/>
        </w:rPr>
        <w:t xml:space="preserve">to follow the formal resignation procedure provided for </w:t>
      </w:r>
      <w:r w:rsidR="00DD64A7">
        <w:rPr>
          <w:rFonts w:ascii="Avenir Next" w:hAnsi="Avenir Next"/>
          <w:color w:val="808080" w:themeColor="background1" w:themeShade="80"/>
        </w:rPr>
        <w:t>official liquidators under the CWRs (O.5, r.4), as B&amp;E had not yet been appointed</w:t>
      </w:r>
      <w:r w:rsidR="00FB7AAB">
        <w:rPr>
          <w:rFonts w:ascii="Avenir Next" w:hAnsi="Avenir Next"/>
          <w:color w:val="808080" w:themeColor="background1" w:themeShade="80"/>
        </w:rPr>
        <w:t xml:space="preserve">, but </w:t>
      </w:r>
      <w:r>
        <w:rPr>
          <w:rFonts w:ascii="Avenir Next" w:hAnsi="Avenir Next"/>
          <w:color w:val="808080" w:themeColor="background1" w:themeShade="80"/>
        </w:rPr>
        <w:t xml:space="preserve">B&amp;E should also review their internal systems and procedures to try to </w:t>
      </w:r>
      <w:proofErr w:type="spellStart"/>
      <w:r>
        <w:rPr>
          <w:rFonts w:ascii="Avenir Next" w:hAnsi="Avenir Next"/>
          <w:color w:val="808080" w:themeColor="background1" w:themeShade="80"/>
        </w:rPr>
        <w:t>minimise</w:t>
      </w:r>
      <w:proofErr w:type="spellEnd"/>
      <w:r>
        <w:rPr>
          <w:rFonts w:ascii="Avenir Next" w:hAnsi="Avenir Next"/>
          <w:color w:val="808080" w:themeColor="background1" w:themeShade="80"/>
        </w:rPr>
        <w:t xml:space="preserve"> the risk of the </w:t>
      </w:r>
      <w:r w:rsidR="00020658">
        <w:rPr>
          <w:rFonts w:ascii="Avenir Next" w:hAnsi="Avenir Next"/>
          <w:color w:val="808080" w:themeColor="background1" w:themeShade="80"/>
        </w:rPr>
        <w:t>Impendence</w:t>
      </w:r>
      <w:r>
        <w:rPr>
          <w:rFonts w:ascii="Avenir Next" w:hAnsi="Avenir Next"/>
          <w:color w:val="808080" w:themeColor="background1" w:themeShade="80"/>
        </w:rPr>
        <w:t xml:space="preserve"> Issue, or similar, arising in future. </w:t>
      </w:r>
    </w:p>
    <w:p w14:paraId="6AA12516" w14:textId="77777777" w:rsidR="00A51058" w:rsidRPr="002A2B0D" w:rsidRDefault="00A51058" w:rsidP="002A2B0D">
      <w:pPr>
        <w:pStyle w:val="BodyText"/>
        <w:ind w:left="709" w:hanging="709"/>
        <w:rPr>
          <w:rFonts w:ascii="Avenir Next" w:hAnsi="Avenir Next"/>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61FAF4C6" w:rsidR="00586B0F" w:rsidRPr="00486A0B" w:rsidRDefault="00020658" w:rsidP="00020658">
      <w:pPr>
        <w:pStyle w:val="BodyText"/>
        <w:ind w:firstLine="0"/>
        <w:jc w:val="both"/>
        <w:rPr>
          <w:rFonts w:ascii="Avenir Next" w:hAnsi="Avenir Next"/>
          <w:b/>
          <w:bCs/>
        </w:rPr>
      </w:pPr>
      <w:r>
        <w:rPr>
          <w:rFonts w:ascii="Avenir Next" w:hAnsi="Avenir Next"/>
          <w:color w:val="808080" w:themeColor="background1" w:themeShade="80"/>
        </w:rPr>
        <w:t xml:space="preserve">There is no formal requirement for Tom and Jerry to have any specific qualifications as section 120 of the Cayman Islands Companies Act (2023 Revision) (the </w:t>
      </w:r>
      <w:r>
        <w:rPr>
          <w:rFonts w:ascii="Avenir Next" w:hAnsi="Avenir Next"/>
          <w:b/>
          <w:color w:val="808080" w:themeColor="background1" w:themeShade="80"/>
        </w:rPr>
        <w:t>Companies Act</w:t>
      </w:r>
      <w:r>
        <w:rPr>
          <w:rFonts w:ascii="Avenir Next" w:hAnsi="Avenir Next"/>
          <w:color w:val="808080" w:themeColor="background1" w:themeShade="80"/>
        </w:rPr>
        <w:t>) provides that any person, including a director or officer of the company, may be appointed as its voluntary liquidator.</w:t>
      </w:r>
      <w:r w:rsidR="00FB7AAB">
        <w:rPr>
          <w:rFonts w:ascii="Avenir Next" w:hAnsi="Avenir Next"/>
          <w:color w:val="808080" w:themeColor="background1" w:themeShade="80"/>
        </w:rPr>
        <w:t xml:space="preserve"> In practice, however, qualified insolvency practitioners do tend to be appointed as voluntary liquidators in the Cayman Islands. </w:t>
      </w:r>
    </w:p>
    <w:p w14:paraId="625C5040" w14:textId="77777777" w:rsidR="00586B0F" w:rsidRPr="00393290" w:rsidRDefault="00586B0F"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329BAAA6" w14:textId="77777777" w:rsidR="00020658" w:rsidRDefault="0002065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123 of the Companies Act provides that within 28 days of the commencement of a voluntary winding up, Tom and Jerry as liquidators must:</w:t>
      </w:r>
    </w:p>
    <w:p w14:paraId="0BE499BE" w14:textId="77777777" w:rsidR="00020658" w:rsidRDefault="00020658" w:rsidP="00586B0F">
      <w:pPr>
        <w:pStyle w:val="BodyText"/>
        <w:ind w:firstLine="0"/>
        <w:rPr>
          <w:rFonts w:ascii="Avenir Next" w:hAnsi="Avenir Next"/>
          <w:color w:val="808080" w:themeColor="background1" w:themeShade="80"/>
        </w:rPr>
      </w:pPr>
    </w:p>
    <w:p w14:paraId="132AFA69" w14:textId="2F144688" w:rsidR="00E63717" w:rsidRDefault="00020658" w:rsidP="004272B8">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File notice of the winding up with the </w:t>
      </w:r>
      <w:r w:rsidR="00E63717">
        <w:rPr>
          <w:rFonts w:ascii="Avenir Next" w:hAnsi="Avenir Next"/>
          <w:color w:val="808080" w:themeColor="background1" w:themeShade="80"/>
        </w:rPr>
        <w:t xml:space="preserve">Registrar of Companies (the </w:t>
      </w:r>
      <w:r w:rsidR="00E63717">
        <w:rPr>
          <w:rFonts w:ascii="Avenir Next" w:hAnsi="Avenir Next"/>
          <w:b/>
          <w:color w:val="808080" w:themeColor="background1" w:themeShade="80"/>
        </w:rPr>
        <w:t>Registrar</w:t>
      </w:r>
      <w:r w:rsidR="00E63717">
        <w:rPr>
          <w:rFonts w:ascii="Avenir Next" w:hAnsi="Avenir Next"/>
          <w:color w:val="808080" w:themeColor="background1" w:themeShade="80"/>
        </w:rPr>
        <w:t>) (s.123(1)(a)), in the form of CWR Form No.19;</w:t>
      </w:r>
    </w:p>
    <w:p w14:paraId="37BFB275" w14:textId="7DE3D553" w:rsidR="00E63717" w:rsidRDefault="00E63717" w:rsidP="004272B8">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File their respective </w:t>
      </w:r>
      <w:r w:rsidR="002C7612">
        <w:rPr>
          <w:rFonts w:ascii="Avenir Next" w:hAnsi="Avenir Next"/>
          <w:color w:val="808080" w:themeColor="background1" w:themeShade="80"/>
        </w:rPr>
        <w:t xml:space="preserve">voluntary liquidators’ </w:t>
      </w:r>
      <w:r>
        <w:rPr>
          <w:rFonts w:ascii="Avenir Next" w:hAnsi="Avenir Next"/>
          <w:color w:val="808080" w:themeColor="background1" w:themeShade="80"/>
        </w:rPr>
        <w:t xml:space="preserve">consents to act with the Registrar (s.123(1)(b)), in the form CWR Form No. 20; </w:t>
      </w:r>
    </w:p>
    <w:p w14:paraId="04648F22" w14:textId="67D9E030" w:rsidR="00E63717" w:rsidRDefault="00E63717" w:rsidP="004272B8">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File the director’s declaration of solvency with the Registrar, if applicable (s.123(1)(c)), in the form CWR Form No. 21;</w:t>
      </w:r>
    </w:p>
    <w:p w14:paraId="715DB5C3" w14:textId="337317FB" w:rsidR="00E63717" w:rsidRDefault="00E63717" w:rsidP="004272B8">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If the company is a regulated business, serve notice of the </w:t>
      </w:r>
      <w:r w:rsidR="002C7612">
        <w:rPr>
          <w:rFonts w:ascii="Avenir Next" w:hAnsi="Avenir Next"/>
          <w:color w:val="808080" w:themeColor="background1" w:themeShade="80"/>
        </w:rPr>
        <w:t xml:space="preserve">voluntary </w:t>
      </w:r>
      <w:r>
        <w:rPr>
          <w:rFonts w:ascii="Avenir Next" w:hAnsi="Avenir Next"/>
          <w:color w:val="808080" w:themeColor="background1" w:themeShade="80"/>
        </w:rPr>
        <w:t xml:space="preserve">winding on the Cayman </w:t>
      </w:r>
      <w:r>
        <w:rPr>
          <w:rFonts w:ascii="Avenir Next" w:hAnsi="Avenir Next"/>
          <w:color w:val="808080" w:themeColor="background1" w:themeShade="80"/>
        </w:rPr>
        <w:lastRenderedPageBreak/>
        <w:t>Islands Monetary Authority (</w:t>
      </w:r>
      <w:r>
        <w:rPr>
          <w:rFonts w:ascii="Avenir Next" w:hAnsi="Avenir Next"/>
          <w:b/>
          <w:color w:val="808080" w:themeColor="background1" w:themeShade="80"/>
        </w:rPr>
        <w:t>CIMA</w:t>
      </w:r>
      <w:r>
        <w:rPr>
          <w:rFonts w:ascii="Avenir Next" w:hAnsi="Avenir Next"/>
          <w:color w:val="808080" w:themeColor="background1" w:themeShade="80"/>
        </w:rPr>
        <w:t>) (s.123(1)(d)); and</w:t>
      </w:r>
    </w:p>
    <w:p w14:paraId="2281634C" w14:textId="53636F13" w:rsidR="00207A0E" w:rsidRDefault="00E63717" w:rsidP="004272B8">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 xml:space="preserve">Publish notice of the winding up in the Gazette (s.123(1)(e)). </w:t>
      </w:r>
      <w:r w:rsidR="00207A0E">
        <w:rPr>
          <w:rFonts w:ascii="Avenir Next" w:hAnsi="Avenir Next"/>
          <w:color w:val="808080" w:themeColor="background1" w:themeShade="80"/>
        </w:rPr>
        <w:t xml:space="preserve"> </w:t>
      </w:r>
    </w:p>
    <w:p w14:paraId="4EE3F3DA" w14:textId="77777777" w:rsidR="00586B0F" w:rsidRPr="00393290" w:rsidRDefault="00586B0F" w:rsidP="00586B0F"/>
    <w:p w14:paraId="00C6287F" w14:textId="2C7A814F"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3F4BD35E" w14:textId="3B55D879" w:rsidR="00B06370" w:rsidRDefault="00B06370" w:rsidP="00FB7AA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company may resolve to remunerate Tom and Jerry as voluntary liquidators on the following bases, as provided by O.13, r.9(2) of the CWRs:</w:t>
      </w:r>
    </w:p>
    <w:p w14:paraId="0D7D5CD2" w14:textId="77777777" w:rsidR="00B06370" w:rsidRDefault="00B06370" w:rsidP="00FB7AAB">
      <w:pPr>
        <w:pStyle w:val="BodyText"/>
        <w:ind w:firstLine="0"/>
        <w:jc w:val="both"/>
        <w:rPr>
          <w:rFonts w:ascii="Avenir Next" w:hAnsi="Avenir Next"/>
          <w:color w:val="808080" w:themeColor="background1" w:themeShade="80"/>
        </w:rPr>
      </w:pPr>
    </w:p>
    <w:p w14:paraId="4F110179" w14:textId="25F6A0CC" w:rsidR="00B06370" w:rsidRDefault="00B06370" w:rsidP="00FB7AAB">
      <w:pPr>
        <w:pStyle w:val="BodyText"/>
        <w:numPr>
          <w:ilvl w:val="0"/>
          <w:numId w:val="27"/>
        </w:numPr>
        <w:jc w:val="both"/>
        <w:rPr>
          <w:rFonts w:ascii="Avenir Next" w:hAnsi="Avenir Next"/>
          <w:color w:val="808080" w:themeColor="background1" w:themeShade="80"/>
        </w:rPr>
      </w:pPr>
      <w:r>
        <w:rPr>
          <w:rFonts w:ascii="Avenir Next" w:hAnsi="Avenir Next"/>
          <w:color w:val="808080" w:themeColor="background1" w:themeShade="80"/>
        </w:rPr>
        <w:t>An hourly rate (or scale of rates) for time reasonably and properly spent on the liquidation;</w:t>
      </w:r>
    </w:p>
    <w:p w14:paraId="0183739A" w14:textId="738D4304" w:rsidR="00B06370" w:rsidRDefault="00B06370" w:rsidP="00FB7AAB">
      <w:pPr>
        <w:pStyle w:val="BodyText"/>
        <w:numPr>
          <w:ilvl w:val="0"/>
          <w:numId w:val="27"/>
        </w:numPr>
        <w:jc w:val="both"/>
        <w:rPr>
          <w:rFonts w:ascii="Avenir Next" w:hAnsi="Avenir Next"/>
          <w:color w:val="808080" w:themeColor="background1" w:themeShade="80"/>
        </w:rPr>
      </w:pPr>
      <w:r>
        <w:rPr>
          <w:rFonts w:ascii="Avenir Next" w:hAnsi="Avenir Next"/>
          <w:color w:val="808080" w:themeColor="background1" w:themeShade="80"/>
        </w:rPr>
        <w:t>A fixed sum</w:t>
      </w:r>
      <w:r w:rsidR="00FB7AAB">
        <w:rPr>
          <w:rFonts w:ascii="Avenir Next" w:hAnsi="Avenir Next"/>
          <w:color w:val="808080" w:themeColor="background1" w:themeShade="80"/>
        </w:rPr>
        <w:t>;</w:t>
      </w:r>
    </w:p>
    <w:p w14:paraId="000F7F00" w14:textId="6E424F4F" w:rsidR="00B06370" w:rsidRDefault="00B06370" w:rsidP="00FB7AAB">
      <w:pPr>
        <w:pStyle w:val="BodyText"/>
        <w:numPr>
          <w:ilvl w:val="0"/>
          <w:numId w:val="27"/>
        </w:numPr>
        <w:jc w:val="both"/>
        <w:rPr>
          <w:rFonts w:ascii="Avenir Next" w:hAnsi="Avenir Next"/>
          <w:color w:val="808080" w:themeColor="background1" w:themeShade="80"/>
        </w:rPr>
      </w:pPr>
      <w:r>
        <w:rPr>
          <w:rFonts w:ascii="Avenir Next" w:hAnsi="Avenir Next"/>
          <w:color w:val="808080" w:themeColor="background1" w:themeShade="80"/>
        </w:rPr>
        <w:t xml:space="preserve">A commission or percentage of the assets distributed or </w:t>
      </w:r>
      <w:proofErr w:type="spellStart"/>
      <w:r>
        <w:rPr>
          <w:rFonts w:ascii="Avenir Next" w:hAnsi="Avenir Next"/>
          <w:color w:val="808080" w:themeColor="background1" w:themeShade="80"/>
        </w:rPr>
        <w:t>realised</w:t>
      </w:r>
      <w:proofErr w:type="spellEnd"/>
      <w:r>
        <w:rPr>
          <w:rFonts w:ascii="Avenir Next" w:hAnsi="Avenir Next"/>
          <w:color w:val="808080" w:themeColor="background1" w:themeShade="80"/>
        </w:rPr>
        <w:t>; or</w:t>
      </w:r>
    </w:p>
    <w:p w14:paraId="00E96B43" w14:textId="76824791" w:rsidR="00B06370" w:rsidRDefault="00B06370" w:rsidP="00FB7AAB">
      <w:pPr>
        <w:pStyle w:val="BodyText"/>
        <w:numPr>
          <w:ilvl w:val="0"/>
          <w:numId w:val="27"/>
        </w:numPr>
        <w:jc w:val="both"/>
        <w:rPr>
          <w:rFonts w:ascii="Avenir Next" w:hAnsi="Avenir Next"/>
          <w:color w:val="808080" w:themeColor="background1" w:themeShade="80"/>
        </w:rPr>
      </w:pPr>
      <w:r>
        <w:rPr>
          <w:rFonts w:ascii="Avenir Next" w:hAnsi="Avenir Next"/>
          <w:color w:val="808080" w:themeColor="background1" w:themeShade="80"/>
        </w:rPr>
        <w:t xml:space="preserve">A combination of the above. </w:t>
      </w:r>
    </w:p>
    <w:p w14:paraId="7F00856D" w14:textId="77777777" w:rsidR="00B06370" w:rsidRDefault="00B06370" w:rsidP="00B06370">
      <w:pPr>
        <w:pStyle w:val="BodyText"/>
        <w:ind w:left="720" w:firstLine="0"/>
        <w:rPr>
          <w:rFonts w:ascii="Avenir Next" w:hAnsi="Avenir Next"/>
          <w:color w:val="808080" w:themeColor="background1" w:themeShade="80"/>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122EAD5F" w14:textId="77777777" w:rsidR="008779E9" w:rsidRDefault="008779E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following powers are available to the Court on hearing a winding up petition, as provided for by section 95 of the Companies Act:</w:t>
      </w:r>
    </w:p>
    <w:p w14:paraId="44A8EE80" w14:textId="77777777" w:rsidR="008779E9" w:rsidRDefault="008779E9" w:rsidP="00586B0F">
      <w:pPr>
        <w:pStyle w:val="BodyText"/>
        <w:ind w:firstLine="0"/>
        <w:rPr>
          <w:rFonts w:ascii="Avenir Next" w:hAnsi="Avenir Next"/>
          <w:color w:val="808080" w:themeColor="background1" w:themeShade="80"/>
        </w:rPr>
      </w:pPr>
    </w:p>
    <w:p w14:paraId="6A8B00CD" w14:textId="77777777" w:rsidR="008779E9" w:rsidRPr="008779E9" w:rsidRDefault="008779E9" w:rsidP="004272B8">
      <w:pPr>
        <w:pStyle w:val="BodyText"/>
        <w:numPr>
          <w:ilvl w:val="0"/>
          <w:numId w:val="28"/>
        </w:numPr>
        <w:rPr>
          <w:rFonts w:ascii="Avenir Next" w:hAnsi="Avenir Next"/>
          <w:i/>
          <w:color w:val="808080" w:themeColor="background1" w:themeShade="80"/>
        </w:rPr>
      </w:pPr>
      <w:r>
        <w:rPr>
          <w:rFonts w:ascii="Avenir Next" w:hAnsi="Avenir Next"/>
          <w:color w:val="808080" w:themeColor="background1" w:themeShade="80"/>
        </w:rPr>
        <w:t>The petition may be dismissed;</w:t>
      </w:r>
    </w:p>
    <w:p w14:paraId="506AEDDB" w14:textId="7468A956" w:rsidR="008779E9" w:rsidRPr="008779E9" w:rsidRDefault="008779E9" w:rsidP="004272B8">
      <w:pPr>
        <w:pStyle w:val="BodyText"/>
        <w:numPr>
          <w:ilvl w:val="0"/>
          <w:numId w:val="28"/>
        </w:numPr>
        <w:rPr>
          <w:rFonts w:ascii="Avenir Next" w:hAnsi="Avenir Next"/>
          <w:i/>
          <w:color w:val="808080" w:themeColor="background1" w:themeShade="80"/>
        </w:rPr>
      </w:pPr>
      <w:r>
        <w:rPr>
          <w:rFonts w:ascii="Avenir Next" w:hAnsi="Avenir Next"/>
          <w:color w:val="808080" w:themeColor="background1" w:themeShade="80"/>
        </w:rPr>
        <w:t>The hearing may be adjourned (conditionally or unconditionally);</w:t>
      </w:r>
    </w:p>
    <w:p w14:paraId="09CB6C66" w14:textId="0E27DC0F" w:rsidR="008779E9" w:rsidRPr="008779E9" w:rsidRDefault="008779E9" w:rsidP="004272B8">
      <w:pPr>
        <w:pStyle w:val="BodyText"/>
        <w:numPr>
          <w:ilvl w:val="0"/>
          <w:numId w:val="28"/>
        </w:numPr>
        <w:rPr>
          <w:rFonts w:ascii="Avenir Next" w:hAnsi="Avenir Next"/>
          <w:i/>
          <w:color w:val="808080" w:themeColor="background1" w:themeShade="80"/>
        </w:rPr>
      </w:pPr>
      <w:r>
        <w:rPr>
          <w:rFonts w:ascii="Avenir Next" w:hAnsi="Avenir Next"/>
          <w:color w:val="808080" w:themeColor="background1" w:themeShade="80"/>
        </w:rPr>
        <w:t>The Court may stay the petition, allowing the provisional liquidator to remain in office for the time being; or</w:t>
      </w:r>
    </w:p>
    <w:p w14:paraId="2D868F87" w14:textId="2DD32D70" w:rsidR="00BA69C6" w:rsidRDefault="008779E9" w:rsidP="004272B8">
      <w:pPr>
        <w:pStyle w:val="BodyText"/>
        <w:numPr>
          <w:ilvl w:val="0"/>
          <w:numId w:val="28"/>
        </w:numPr>
        <w:rPr>
          <w:rFonts w:ascii="Avenir Next" w:hAnsi="Avenir Next"/>
          <w:i/>
          <w:color w:val="808080" w:themeColor="background1" w:themeShade="80"/>
        </w:rPr>
      </w:pPr>
      <w:r>
        <w:rPr>
          <w:rFonts w:ascii="Avenir Next" w:hAnsi="Avenir Next"/>
          <w:color w:val="808080" w:themeColor="background1" w:themeShade="80"/>
        </w:rPr>
        <w:t>Any other order that it thinks fit.</w:t>
      </w:r>
    </w:p>
    <w:p w14:paraId="26A657CD" w14:textId="77777777" w:rsidR="00BA69C6" w:rsidRDefault="00BA69C6" w:rsidP="00586B0F">
      <w:pPr>
        <w:pStyle w:val="BodyText"/>
        <w:ind w:firstLine="0"/>
        <w:rPr>
          <w:rFonts w:ascii="Avenir Next" w:hAnsi="Avenir Next"/>
          <w:color w:val="808080" w:themeColor="background1" w:themeShade="80"/>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2862CFFE" w14:textId="673D1B33" w:rsidR="008779E9" w:rsidRDefault="008779E9" w:rsidP="0056278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w:t>
      </w:r>
      <w:r w:rsidR="00FB7AAB">
        <w:rPr>
          <w:rFonts w:ascii="Avenir Next" w:hAnsi="Avenir Next"/>
          <w:color w:val="808080" w:themeColor="background1" w:themeShade="80"/>
        </w:rPr>
        <w:t xml:space="preserve">ability to </w:t>
      </w:r>
      <w:r>
        <w:rPr>
          <w:rFonts w:ascii="Avenir Next" w:hAnsi="Avenir Next"/>
          <w:color w:val="808080" w:themeColor="background1" w:themeShade="80"/>
        </w:rPr>
        <w:t>remov</w:t>
      </w:r>
      <w:r w:rsidR="00FB7AAB">
        <w:rPr>
          <w:rFonts w:ascii="Avenir Next" w:hAnsi="Avenir Next"/>
          <w:color w:val="808080" w:themeColor="background1" w:themeShade="80"/>
        </w:rPr>
        <w:t>e</w:t>
      </w:r>
      <w:r>
        <w:rPr>
          <w:rFonts w:ascii="Avenir Next" w:hAnsi="Avenir Next"/>
          <w:color w:val="808080" w:themeColor="background1" w:themeShade="80"/>
        </w:rPr>
        <w:t xml:space="preserve"> official liquidators </w:t>
      </w:r>
      <w:r w:rsidR="00FB7AAB">
        <w:rPr>
          <w:rFonts w:ascii="Avenir Next" w:hAnsi="Avenir Next"/>
          <w:color w:val="808080" w:themeColor="background1" w:themeShade="80"/>
        </w:rPr>
        <w:t xml:space="preserve">from office </w:t>
      </w:r>
      <w:r>
        <w:rPr>
          <w:rFonts w:ascii="Avenir Next" w:hAnsi="Avenir Next"/>
          <w:color w:val="808080" w:themeColor="background1" w:themeShade="80"/>
        </w:rPr>
        <w:t xml:space="preserve">is provided for by section 107 of the Companies Act, which states that creditors or contributories of the company can do so by application to the Court (often referred to as a “removal summons”). </w:t>
      </w:r>
    </w:p>
    <w:p w14:paraId="2468F692" w14:textId="77777777" w:rsidR="008779E9" w:rsidRDefault="008779E9" w:rsidP="0056278B">
      <w:pPr>
        <w:pStyle w:val="BodyText"/>
        <w:ind w:firstLine="0"/>
        <w:jc w:val="both"/>
        <w:rPr>
          <w:rFonts w:ascii="Avenir Next" w:hAnsi="Avenir Next"/>
          <w:color w:val="808080" w:themeColor="background1" w:themeShade="80"/>
        </w:rPr>
      </w:pPr>
    </w:p>
    <w:p w14:paraId="40B0C13C" w14:textId="3FADF81A" w:rsidR="00586B0F" w:rsidRDefault="008779E9" w:rsidP="0056278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removal summons must be served on the official liquidator, each member of the liquidation committee</w:t>
      </w:r>
      <w:r w:rsidR="0056278B">
        <w:rPr>
          <w:rFonts w:ascii="Avenir Next" w:hAnsi="Avenir Next"/>
          <w:color w:val="808080" w:themeColor="background1" w:themeShade="80"/>
        </w:rPr>
        <w:t xml:space="preserve"> (the </w:t>
      </w:r>
      <w:r w:rsidR="0056278B">
        <w:rPr>
          <w:rFonts w:ascii="Avenir Next" w:hAnsi="Avenir Next"/>
          <w:b/>
          <w:color w:val="808080" w:themeColor="background1" w:themeShade="80"/>
        </w:rPr>
        <w:t>LC</w:t>
      </w:r>
      <w:r w:rsidR="0056278B">
        <w:rPr>
          <w:rFonts w:ascii="Avenir Next" w:hAnsi="Avenir Next"/>
          <w:color w:val="808080" w:themeColor="background1" w:themeShade="80"/>
        </w:rPr>
        <w:t>), or counsel for t</w:t>
      </w:r>
      <w:r>
        <w:rPr>
          <w:rFonts w:ascii="Avenir Next" w:hAnsi="Avenir Next"/>
          <w:color w:val="808080" w:themeColor="background1" w:themeShade="80"/>
        </w:rPr>
        <w:t>he</w:t>
      </w:r>
      <w:r w:rsidR="0056278B">
        <w:rPr>
          <w:rFonts w:ascii="Avenir Next" w:hAnsi="Avenir Next"/>
          <w:color w:val="808080" w:themeColor="background1" w:themeShade="80"/>
        </w:rPr>
        <w:t xml:space="preserve"> LC (</w:t>
      </w:r>
      <w:r>
        <w:rPr>
          <w:rFonts w:ascii="Avenir Next" w:hAnsi="Avenir Next"/>
          <w:color w:val="808080" w:themeColor="background1" w:themeShade="80"/>
        </w:rPr>
        <w:t xml:space="preserve">if appointed to act </w:t>
      </w:r>
      <w:r w:rsidR="0056278B">
        <w:rPr>
          <w:rFonts w:ascii="Avenir Next" w:hAnsi="Avenir Next"/>
          <w:color w:val="808080" w:themeColor="background1" w:themeShade="80"/>
        </w:rPr>
        <w:t xml:space="preserve">for the LC </w:t>
      </w:r>
      <w:r>
        <w:rPr>
          <w:rFonts w:ascii="Avenir Next" w:hAnsi="Avenir Next"/>
          <w:color w:val="808080" w:themeColor="background1" w:themeShade="80"/>
        </w:rPr>
        <w:t>generally) and other creditors as the Court might direct</w:t>
      </w:r>
      <w:r w:rsidR="0056278B">
        <w:rPr>
          <w:rFonts w:ascii="Avenir Next" w:hAnsi="Avenir Next"/>
          <w:color w:val="808080" w:themeColor="background1" w:themeShade="80"/>
        </w:rPr>
        <w:t xml:space="preserve"> (CWRs, Order 5, r.6).</w:t>
      </w:r>
    </w:p>
    <w:p w14:paraId="1013C65B" w14:textId="61AD3A6B" w:rsidR="0056278B" w:rsidRDefault="0056278B" w:rsidP="0056278B">
      <w:pPr>
        <w:pStyle w:val="BodyText"/>
        <w:ind w:firstLine="0"/>
        <w:jc w:val="both"/>
        <w:rPr>
          <w:rFonts w:ascii="Avenir Next" w:hAnsi="Avenir Next"/>
          <w:color w:val="808080" w:themeColor="background1" w:themeShade="80"/>
        </w:rPr>
      </w:pPr>
    </w:p>
    <w:p w14:paraId="4DA6FEE6" w14:textId="48ABC4A4" w:rsidR="0056278B" w:rsidRDefault="0056278B" w:rsidP="0056278B">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Companies Act provides the Court with a broad discretion to remove official liquidators, but </w:t>
      </w:r>
      <w:r w:rsidR="00FB7AAB">
        <w:rPr>
          <w:rFonts w:ascii="Avenir Next" w:hAnsi="Avenir Next"/>
          <w:color w:val="808080" w:themeColor="background1" w:themeShade="80"/>
        </w:rPr>
        <w:t xml:space="preserve">it </w:t>
      </w:r>
      <w:proofErr w:type="gramStart"/>
      <w:r w:rsidR="00FB7AAB">
        <w:rPr>
          <w:rFonts w:ascii="Avenir Next" w:hAnsi="Avenir Next"/>
          <w:color w:val="808080" w:themeColor="background1" w:themeShade="80"/>
        </w:rPr>
        <w:t xml:space="preserve">will </w:t>
      </w:r>
      <w:r>
        <w:rPr>
          <w:rFonts w:ascii="Avenir Next" w:hAnsi="Avenir Next"/>
          <w:color w:val="808080" w:themeColor="background1" w:themeShade="80"/>
        </w:rPr>
        <w:t xml:space="preserve"> only</w:t>
      </w:r>
      <w:proofErr w:type="gramEnd"/>
      <w:r>
        <w:rPr>
          <w:rFonts w:ascii="Avenir Next" w:hAnsi="Avenir Next"/>
          <w:color w:val="808080" w:themeColor="background1" w:themeShade="80"/>
        </w:rPr>
        <w:t xml:space="preserve"> do so for good reason </w:t>
      </w:r>
      <w:r w:rsidR="007B60BB">
        <w:rPr>
          <w:rFonts w:ascii="Avenir Next" w:hAnsi="Avenir Next"/>
          <w:color w:val="808080" w:themeColor="background1" w:themeShade="80"/>
        </w:rPr>
        <w:t>(</w:t>
      </w:r>
      <w:r w:rsidR="00FB7AAB">
        <w:rPr>
          <w:rFonts w:ascii="Avenir Next" w:hAnsi="Avenir Next"/>
          <w:color w:val="808080" w:themeColor="background1" w:themeShade="80"/>
        </w:rPr>
        <w:t xml:space="preserve">see </w:t>
      </w:r>
      <w:r w:rsidR="007B60BB">
        <w:rPr>
          <w:rFonts w:ascii="Avenir Next" w:hAnsi="Avenir Next"/>
          <w:i/>
          <w:color w:val="808080" w:themeColor="background1" w:themeShade="80"/>
        </w:rPr>
        <w:t xml:space="preserve">AMP Enterprises Ltd. (t/a Total Home Entertainment) v Hoffman </w:t>
      </w:r>
      <w:r w:rsidR="007B60BB">
        <w:rPr>
          <w:rFonts w:ascii="Avenir Next" w:hAnsi="Avenir Next"/>
          <w:color w:val="808080" w:themeColor="background1" w:themeShade="80"/>
        </w:rPr>
        <w:t>[2002] BCC 996). In the absence of any impropriety by the liquidators, the Court will grant the removal if it would be for the general advantage of the majority of persons interested in the liquidation (</w:t>
      </w:r>
      <w:r w:rsidR="007B60BB">
        <w:rPr>
          <w:rFonts w:ascii="Avenir Next" w:hAnsi="Avenir Next"/>
          <w:i/>
          <w:color w:val="808080" w:themeColor="background1" w:themeShade="80"/>
        </w:rPr>
        <w:t xml:space="preserve">In the Matter of BTU Power Company (in Official Liquidation) </w:t>
      </w:r>
      <w:r w:rsidR="007B60BB">
        <w:rPr>
          <w:rFonts w:ascii="Avenir Next" w:hAnsi="Avenir Next"/>
          <w:color w:val="808080" w:themeColor="background1" w:themeShade="80"/>
        </w:rPr>
        <w:t>2019 1 CILR Note 7). However, the Court might override those interests in cases where impropriety is shown (</w:t>
      </w:r>
      <w:r w:rsidR="007B60BB">
        <w:rPr>
          <w:rFonts w:ascii="Avenir Next" w:hAnsi="Avenir Next"/>
          <w:i/>
          <w:color w:val="808080" w:themeColor="background1" w:themeShade="80"/>
        </w:rPr>
        <w:t>ibid</w:t>
      </w:r>
      <w:r w:rsidR="007B60BB">
        <w:rPr>
          <w:rFonts w:ascii="Avenir Next" w:hAnsi="Avenir Next"/>
          <w:color w:val="808080" w:themeColor="background1" w:themeShade="80"/>
        </w:rPr>
        <w:t>).</w:t>
      </w:r>
      <w:r w:rsidR="006E1BC2">
        <w:rPr>
          <w:rFonts w:ascii="Avenir Next" w:hAnsi="Avenir Next"/>
          <w:color w:val="808080" w:themeColor="background1" w:themeShade="80"/>
        </w:rPr>
        <w:t xml:space="preserve"> </w:t>
      </w:r>
      <w:r w:rsidR="005B6546">
        <w:rPr>
          <w:rFonts w:ascii="Avenir Next" w:hAnsi="Avenir Next"/>
          <w:color w:val="808080" w:themeColor="background1" w:themeShade="80"/>
        </w:rPr>
        <w:t xml:space="preserve">There is also authority for </w:t>
      </w:r>
      <w:r w:rsidR="005B6546">
        <w:rPr>
          <w:rFonts w:ascii="Avenir Next" w:hAnsi="Avenir Next"/>
          <w:color w:val="808080" w:themeColor="background1" w:themeShade="80"/>
        </w:rPr>
        <w:lastRenderedPageBreak/>
        <w:t>l</w:t>
      </w:r>
      <w:r w:rsidR="006E1BC2">
        <w:rPr>
          <w:rFonts w:ascii="Avenir Next" w:hAnsi="Avenir Next"/>
          <w:color w:val="808080" w:themeColor="background1" w:themeShade="80"/>
        </w:rPr>
        <w:t xml:space="preserve">iquidators </w:t>
      </w:r>
      <w:r w:rsidR="005B6546">
        <w:rPr>
          <w:rFonts w:ascii="Avenir Next" w:hAnsi="Avenir Next"/>
          <w:color w:val="808080" w:themeColor="background1" w:themeShade="80"/>
        </w:rPr>
        <w:t>to be removed</w:t>
      </w:r>
      <w:r w:rsidR="006E1BC2">
        <w:rPr>
          <w:rFonts w:ascii="Avenir Next" w:hAnsi="Avenir Next"/>
          <w:color w:val="808080" w:themeColor="background1" w:themeShade="80"/>
        </w:rPr>
        <w:t xml:space="preserve"> for impropriety, misconduct or unfitness as explained in McPherson, </w:t>
      </w:r>
      <w:r w:rsidR="006E1BC2">
        <w:rPr>
          <w:rFonts w:ascii="Avenir Next" w:hAnsi="Avenir Next"/>
          <w:i/>
          <w:color w:val="808080" w:themeColor="background1" w:themeShade="80"/>
        </w:rPr>
        <w:t xml:space="preserve">The Law of Company Liquidation: </w:t>
      </w:r>
      <w:r w:rsidR="006E1BC2">
        <w:rPr>
          <w:rFonts w:ascii="Avenir Next" w:hAnsi="Avenir Next"/>
          <w:color w:val="808080" w:themeColor="background1" w:themeShade="80"/>
        </w:rPr>
        <w:t>“</w:t>
      </w:r>
      <w:r w:rsidR="006E1BC2">
        <w:rPr>
          <w:rFonts w:ascii="Avenir Next" w:hAnsi="Avenir Next"/>
          <w:i/>
          <w:color w:val="808080" w:themeColor="background1" w:themeShade="80"/>
        </w:rPr>
        <w:t xml:space="preserve">This requirement may be satisfied by proof of some breach of duty or want of efficiency or appearance of partiality of conflict of duty…” </w:t>
      </w:r>
      <w:r w:rsidR="006E1BC2">
        <w:rPr>
          <w:rFonts w:ascii="Avenir Next" w:hAnsi="Avenir Next"/>
          <w:color w:val="808080" w:themeColor="background1" w:themeShade="80"/>
        </w:rPr>
        <w:t>(at pages 228-229).</w:t>
      </w:r>
    </w:p>
    <w:p w14:paraId="00A39FA0" w14:textId="77777777" w:rsidR="005B6546" w:rsidRDefault="005B6546" w:rsidP="0056278B">
      <w:pPr>
        <w:pStyle w:val="BodyText"/>
        <w:ind w:firstLine="0"/>
        <w:jc w:val="both"/>
        <w:rPr>
          <w:rFonts w:ascii="Avenir Next" w:hAnsi="Avenir Next"/>
          <w:color w:val="808080" w:themeColor="background1" w:themeShade="80"/>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199CD152" w:rsidR="00586B0F" w:rsidRPr="00486A0B" w:rsidRDefault="006E1BC2" w:rsidP="006E1BC2">
      <w:pPr>
        <w:pStyle w:val="BodyText"/>
        <w:ind w:firstLine="0"/>
        <w:jc w:val="both"/>
        <w:rPr>
          <w:rFonts w:ascii="Avenir Next" w:hAnsi="Avenir Next"/>
          <w:b/>
          <w:bCs/>
        </w:rPr>
      </w:pPr>
      <w:r>
        <w:rPr>
          <w:rFonts w:ascii="Avenir Next" w:hAnsi="Avenir Next"/>
          <w:color w:val="808080" w:themeColor="background1" w:themeShade="80"/>
        </w:rPr>
        <w:t>The class of potential applicant varies in accordance with the solvency of the company because the interests requiring protection differ in each case. In an insolvent liquidation, it is a given that the shareholders will not be paid, and so the interests of creditors come into focus</w:t>
      </w:r>
      <w:r w:rsidR="005B6546">
        <w:rPr>
          <w:rFonts w:ascii="Avenir Next" w:hAnsi="Avenir Next"/>
          <w:color w:val="808080" w:themeColor="background1" w:themeShade="80"/>
        </w:rPr>
        <w:t xml:space="preserve"> and creditors will be the applicants</w:t>
      </w:r>
      <w:r>
        <w:rPr>
          <w:rFonts w:ascii="Avenir Next" w:hAnsi="Avenir Next"/>
          <w:color w:val="808080" w:themeColor="background1" w:themeShade="80"/>
        </w:rPr>
        <w:t>. In the case of a solvent liquidation, the creditors will be paid in full, and so the interests of shareholders come to the fore</w:t>
      </w:r>
      <w:r w:rsidR="005B6546">
        <w:rPr>
          <w:rFonts w:ascii="Avenir Next" w:hAnsi="Avenir Next"/>
          <w:color w:val="808080" w:themeColor="background1" w:themeShade="80"/>
        </w:rPr>
        <w:t xml:space="preserve">, and the applicants will be contributories. </w:t>
      </w:r>
    </w:p>
    <w:p w14:paraId="5F8E9411" w14:textId="77777777" w:rsidR="00586B0F" w:rsidRDefault="00586B0F" w:rsidP="00586B0F">
      <w:pPr>
        <w:tabs>
          <w:tab w:val="right" w:pos="9021"/>
        </w:tabs>
        <w:rPr>
          <w:lang w:val="en-GB"/>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50B11CC5" w:rsidR="00B20DBE" w:rsidRDefault="00B20DBE" w:rsidP="00B20DBE"/>
    <w:p w14:paraId="7DD7B9D3" w14:textId="77777777" w:rsidR="005B6546" w:rsidRDefault="00DD64A7" w:rsidP="009E1B00">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official liquidators’ determination of solvency has an impact </w:t>
      </w:r>
      <w:r w:rsidR="009E1B00">
        <w:rPr>
          <w:rFonts w:ascii="Avenir Next" w:hAnsi="Avenir Next"/>
          <w:color w:val="808080" w:themeColor="background1" w:themeShade="80"/>
        </w:rPr>
        <w:t>on the constitution of the liquidation committee (</w:t>
      </w:r>
      <w:r w:rsidR="009E1B00">
        <w:rPr>
          <w:rFonts w:ascii="Avenir Next" w:hAnsi="Avenir Next"/>
          <w:b/>
          <w:color w:val="808080" w:themeColor="background1" w:themeShade="80"/>
        </w:rPr>
        <w:t>LC</w:t>
      </w:r>
      <w:r w:rsidR="009E1B00">
        <w:rPr>
          <w:rFonts w:ascii="Avenir Next" w:hAnsi="Avenir Next"/>
          <w:color w:val="808080" w:themeColor="background1" w:themeShade="80"/>
        </w:rPr>
        <w:t xml:space="preserve">). </w:t>
      </w:r>
    </w:p>
    <w:p w14:paraId="30C401CA" w14:textId="77777777" w:rsidR="005B6546" w:rsidRDefault="005B6546" w:rsidP="009E1B00">
      <w:pPr>
        <w:pStyle w:val="BodyText"/>
        <w:ind w:firstLine="0"/>
        <w:jc w:val="both"/>
        <w:rPr>
          <w:rFonts w:ascii="Avenir Next" w:hAnsi="Avenir Next"/>
          <w:color w:val="808080" w:themeColor="background1" w:themeShade="80"/>
        </w:rPr>
      </w:pPr>
    </w:p>
    <w:p w14:paraId="005F1015" w14:textId="326CD4C9" w:rsidR="00B20DBE" w:rsidRDefault="009E1B00" w:rsidP="009E1B00">
      <w:pPr>
        <w:pStyle w:val="BodyText"/>
        <w:ind w:firstLine="0"/>
        <w:jc w:val="both"/>
      </w:pPr>
      <w:r>
        <w:rPr>
          <w:rFonts w:ascii="Avenir Next" w:hAnsi="Avenir Next"/>
          <w:color w:val="808080" w:themeColor="background1" w:themeShade="80"/>
        </w:rPr>
        <w:t>Under CWR Order 9, rule 3, the liquidator is required to take steps to reconstitute the LC i</w:t>
      </w:r>
      <w:r w:rsidR="005B6546">
        <w:rPr>
          <w:rFonts w:ascii="Avenir Next" w:hAnsi="Avenir Next"/>
          <w:color w:val="808080" w:themeColor="background1" w:themeShade="80"/>
        </w:rPr>
        <w:t>f</w:t>
      </w:r>
      <w:r>
        <w:rPr>
          <w:rFonts w:ascii="Avenir Next" w:hAnsi="Avenir Next"/>
          <w:color w:val="808080" w:themeColor="background1" w:themeShade="80"/>
        </w:rPr>
        <w:t xml:space="preserve"> the certification of the company changes from insolvent to solvent (or vice versa). In this case, where the company is now solvent, CWR O.9, r.3(2) provides that any </w:t>
      </w:r>
      <w:r>
        <w:rPr>
          <w:rFonts w:ascii="Avenir Next" w:hAnsi="Avenir Next"/>
          <w:color w:val="808080" w:themeColor="background1" w:themeShade="80"/>
          <w:u w:val="single"/>
        </w:rPr>
        <w:t>creditor</w:t>
      </w:r>
      <w:r>
        <w:rPr>
          <w:rFonts w:ascii="Avenir Next" w:hAnsi="Avenir Next"/>
          <w:color w:val="808080" w:themeColor="background1" w:themeShade="80"/>
        </w:rPr>
        <w:t xml:space="preserve"> members of the LC will automatically cease to be members, and the official liquidator must convene a meeting of </w:t>
      </w:r>
      <w:r w:rsidRPr="005B6546">
        <w:rPr>
          <w:rFonts w:ascii="Avenir Next" w:hAnsi="Avenir Next"/>
          <w:color w:val="808080" w:themeColor="background1" w:themeShade="80"/>
          <w:u w:val="single"/>
        </w:rPr>
        <w:t>contributories only</w:t>
      </w:r>
      <w:r>
        <w:rPr>
          <w:rFonts w:ascii="Avenir Next" w:hAnsi="Avenir Next"/>
          <w:color w:val="808080" w:themeColor="background1" w:themeShade="80"/>
        </w:rPr>
        <w:t xml:space="preserve"> for the purposes of electing new members</w:t>
      </w:r>
      <w:r w:rsidR="005B6546">
        <w:rPr>
          <w:rFonts w:ascii="Avenir Next" w:hAnsi="Avenir Next"/>
          <w:color w:val="808080" w:themeColor="background1" w:themeShade="80"/>
        </w:rPr>
        <w:t xml:space="preserve"> to the LC</w:t>
      </w:r>
      <w:r>
        <w:rPr>
          <w:rFonts w:ascii="Avenir Next" w:hAnsi="Avenir Next"/>
          <w:color w:val="808080" w:themeColor="background1" w:themeShade="80"/>
        </w:rPr>
        <w:t xml:space="preserve"> from amongst those contributories.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7D2443F0" w14:textId="63C633F5" w:rsidR="00B20DBE" w:rsidRDefault="005B6546" w:rsidP="005B6546">
      <w:pPr>
        <w:pStyle w:val="BodyText"/>
        <w:ind w:firstLine="0"/>
        <w:jc w:val="both"/>
        <w:rPr>
          <w:rFonts w:ascii="Avenir Next LT Pro" w:hAnsi="Avenir Next LT Pro"/>
          <w:i/>
          <w:iCs/>
        </w:rPr>
      </w:pPr>
      <w:r>
        <w:rPr>
          <w:rFonts w:ascii="Avenir Next" w:hAnsi="Avenir Next"/>
          <w:color w:val="808080" w:themeColor="background1" w:themeShade="80"/>
        </w:rPr>
        <w:t xml:space="preserve">The liquidator will apply to dissolve a company once its affairs have been fully wound up (Companies Act, section 152). The official liquidator must file the order for dissolution with the Registrar of Companies (Companies Act, section 152(3). Any failure by the official liquidator to do so within 14 days from the date which the dissolution order was perfected will be guilty of an offence (Companies Act, section 152(4)). The liquidator must hold any unclaimed dividends or undistributed assets on trust for the benefit of the relevant contributories or creditors (section 153(1)). If any unclaimed dividends or undistributed assets remain at the end of one year after the dissolution, the former liquidator must transfer the funds or assets to the Cayman Islands Minister of Finance, who must manage them in accordance with Part VIII of the Public Management and Finance Act (2020 Revision) (Companies Act, </w:t>
      </w:r>
      <w:proofErr w:type="gramStart"/>
      <w:r>
        <w:rPr>
          <w:rFonts w:ascii="Avenir Next" w:hAnsi="Avenir Next"/>
          <w:color w:val="808080" w:themeColor="background1" w:themeShade="80"/>
        </w:rPr>
        <w:t>section  153</w:t>
      </w:r>
      <w:proofErr w:type="gramEnd"/>
      <w:r>
        <w:rPr>
          <w:rFonts w:ascii="Avenir Next" w:hAnsi="Avenir Next"/>
          <w:color w:val="808080" w:themeColor="background1" w:themeShade="80"/>
        </w:rPr>
        <w:t xml:space="preserve">(2)). </w:t>
      </w: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2AEB77AF" w14:textId="0EC7E051" w:rsidR="00831159" w:rsidRDefault="00831159" w:rsidP="006203D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Under the Companies Act, o</w:t>
      </w:r>
      <w:r w:rsidR="009E1B00">
        <w:rPr>
          <w:rFonts w:ascii="Avenir Next" w:hAnsi="Avenir Next"/>
          <w:color w:val="808080" w:themeColor="background1" w:themeShade="80"/>
        </w:rPr>
        <w:t>fficial liquidators (</w:t>
      </w:r>
      <w:r w:rsidR="009E1B00">
        <w:rPr>
          <w:rFonts w:ascii="Avenir Next" w:hAnsi="Avenir Next"/>
          <w:b/>
          <w:color w:val="808080" w:themeColor="background1" w:themeShade="80"/>
        </w:rPr>
        <w:t>OLs</w:t>
      </w:r>
      <w:r w:rsidR="009E1B00">
        <w:rPr>
          <w:rFonts w:ascii="Avenir Next" w:hAnsi="Avenir Next"/>
          <w:color w:val="808080" w:themeColor="background1" w:themeShade="80"/>
        </w:rPr>
        <w:t xml:space="preserve">) have </w:t>
      </w:r>
      <w:r w:rsidR="006203D3">
        <w:rPr>
          <w:rFonts w:ascii="Avenir Next" w:hAnsi="Avenir Next"/>
          <w:color w:val="808080" w:themeColor="background1" w:themeShade="80"/>
        </w:rPr>
        <w:t>broad investigatory powers not available to the company itself</w:t>
      </w:r>
      <w:r>
        <w:rPr>
          <w:rFonts w:ascii="Avenir Next" w:hAnsi="Avenir Next"/>
          <w:color w:val="808080" w:themeColor="background1" w:themeShade="80"/>
        </w:rPr>
        <w:t>:</w:t>
      </w:r>
    </w:p>
    <w:p w14:paraId="13417F35" w14:textId="77777777" w:rsidR="00831159" w:rsidRDefault="00831159" w:rsidP="006203D3">
      <w:pPr>
        <w:pStyle w:val="BodyText"/>
        <w:ind w:firstLine="0"/>
        <w:jc w:val="both"/>
        <w:rPr>
          <w:rFonts w:ascii="Avenir Next" w:hAnsi="Avenir Next"/>
          <w:color w:val="808080" w:themeColor="background1" w:themeShade="80"/>
        </w:rPr>
      </w:pPr>
    </w:p>
    <w:p w14:paraId="0A9542FC" w14:textId="16653B5D" w:rsidR="00831159" w:rsidRDefault="00831159" w:rsidP="004272B8">
      <w:pPr>
        <w:pStyle w:val="BodyText"/>
        <w:numPr>
          <w:ilvl w:val="0"/>
          <w:numId w:val="29"/>
        </w:numPr>
        <w:jc w:val="both"/>
        <w:rPr>
          <w:rFonts w:ascii="Avenir Next" w:hAnsi="Avenir Next"/>
          <w:color w:val="808080" w:themeColor="background1" w:themeShade="80"/>
        </w:rPr>
      </w:pPr>
      <w:r>
        <w:rPr>
          <w:rFonts w:ascii="Avenir Next" w:hAnsi="Avenir Next"/>
          <w:color w:val="808080" w:themeColor="background1" w:themeShade="80"/>
        </w:rPr>
        <w:t xml:space="preserve">OLs can require relevant individuals to provide statements of the company’s affairs, verified by a sworn affidavit (section 101); </w:t>
      </w:r>
    </w:p>
    <w:p w14:paraId="2D844FA7" w14:textId="3B9C7146" w:rsidR="00831159" w:rsidRDefault="00831159" w:rsidP="004272B8">
      <w:pPr>
        <w:pStyle w:val="BodyText"/>
        <w:numPr>
          <w:ilvl w:val="0"/>
          <w:numId w:val="29"/>
        </w:numPr>
        <w:jc w:val="both"/>
        <w:rPr>
          <w:rFonts w:ascii="Avenir Next" w:hAnsi="Avenir Next"/>
          <w:color w:val="808080" w:themeColor="background1" w:themeShade="80"/>
        </w:rPr>
      </w:pPr>
      <w:r>
        <w:rPr>
          <w:rFonts w:ascii="Avenir Next" w:hAnsi="Avenir Next"/>
          <w:color w:val="808080" w:themeColor="background1" w:themeShade="80"/>
        </w:rPr>
        <w:t>OLs can investigate the causes of the failure of the company, as appropriate, as well as its general promotion, business, dealings and affairs (section 102(1));</w:t>
      </w:r>
    </w:p>
    <w:p w14:paraId="7BB251AF" w14:textId="79B68D26" w:rsidR="00831159" w:rsidRDefault="00831159" w:rsidP="004272B8">
      <w:pPr>
        <w:pStyle w:val="BodyText"/>
        <w:numPr>
          <w:ilvl w:val="0"/>
          <w:numId w:val="29"/>
        </w:numPr>
        <w:jc w:val="both"/>
        <w:rPr>
          <w:rFonts w:ascii="Avenir Next" w:hAnsi="Avenir Next"/>
          <w:color w:val="808080" w:themeColor="background1" w:themeShade="80"/>
        </w:rPr>
      </w:pPr>
      <w:r>
        <w:rPr>
          <w:rFonts w:ascii="Avenir Next" w:hAnsi="Avenir Next"/>
          <w:color w:val="808080" w:themeColor="background1" w:themeShade="80"/>
        </w:rPr>
        <w:t>With the direction of the Court, the OLs can assist the Cayman Islands Monetary Authority (</w:t>
      </w:r>
      <w:r>
        <w:rPr>
          <w:rFonts w:ascii="Avenir Next" w:hAnsi="Avenir Next"/>
          <w:b/>
          <w:color w:val="808080" w:themeColor="background1" w:themeShade="80"/>
        </w:rPr>
        <w:t>CIMA</w:t>
      </w:r>
      <w:r>
        <w:rPr>
          <w:rFonts w:ascii="Avenir Next" w:hAnsi="Avenir Next"/>
          <w:color w:val="808080" w:themeColor="background1" w:themeShade="80"/>
        </w:rPr>
        <w:t xml:space="preserve">) and the Royal Cayman Islands Police Service to investigate the conduct of certain individuals related to the company (section 102(2)); </w:t>
      </w:r>
    </w:p>
    <w:p w14:paraId="45F92C1B" w14:textId="6657B6FC" w:rsidR="006203D3" w:rsidRDefault="00831159" w:rsidP="004272B8">
      <w:pPr>
        <w:pStyle w:val="BodyText"/>
        <w:numPr>
          <w:ilvl w:val="0"/>
          <w:numId w:val="29"/>
        </w:numPr>
        <w:jc w:val="both"/>
        <w:rPr>
          <w:rFonts w:ascii="Avenir Next" w:hAnsi="Avenir Next"/>
          <w:color w:val="808080" w:themeColor="background1" w:themeShade="80"/>
        </w:rPr>
      </w:pPr>
      <w:r>
        <w:rPr>
          <w:rFonts w:ascii="Avenir Next" w:hAnsi="Avenir Next"/>
          <w:color w:val="808080" w:themeColor="background1" w:themeShade="80"/>
        </w:rPr>
        <w:t xml:space="preserve">OLs can seek permission from the Court to examine certain individuals, and to demand delivery of property or documents belonging to the company (section 103); </w:t>
      </w:r>
      <w:r w:rsidR="006203D3">
        <w:rPr>
          <w:rFonts w:ascii="Avenir Next" w:hAnsi="Avenir Next"/>
          <w:color w:val="808080" w:themeColor="background1" w:themeShade="80"/>
        </w:rPr>
        <w:t xml:space="preserve"> </w:t>
      </w:r>
    </w:p>
    <w:p w14:paraId="0AE86B99" w14:textId="77777777" w:rsidR="00831159" w:rsidRDefault="00831159" w:rsidP="006203D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br/>
        <w:t>The results of OLs’ investigations can be reported to the Court as the OLs see fit.</w:t>
      </w:r>
    </w:p>
    <w:p w14:paraId="11E167F8" w14:textId="77777777" w:rsidR="005B6546" w:rsidRDefault="005B6546" w:rsidP="00831159">
      <w:pPr>
        <w:pStyle w:val="BodyText"/>
        <w:ind w:firstLine="0"/>
        <w:jc w:val="both"/>
        <w:rPr>
          <w:rFonts w:ascii="Avenir Next" w:hAnsi="Avenir Next"/>
          <w:color w:val="808080" w:themeColor="background1" w:themeShade="80"/>
        </w:rPr>
      </w:pPr>
    </w:p>
    <w:p w14:paraId="48B88793" w14:textId="45C42C39" w:rsidR="00D44BFA" w:rsidRPr="004C5625" w:rsidRDefault="006203D3" w:rsidP="00831159">
      <w:pPr>
        <w:pStyle w:val="BodyText"/>
        <w:ind w:firstLine="0"/>
        <w:jc w:val="both"/>
        <w:rPr>
          <w:rFonts w:ascii="Avenir Next LT Pro" w:hAnsi="Avenir Next LT Pro"/>
        </w:rPr>
      </w:pPr>
      <w:r>
        <w:rPr>
          <w:rFonts w:ascii="Avenir Next" w:hAnsi="Avenir Next"/>
          <w:color w:val="808080" w:themeColor="background1" w:themeShade="80"/>
        </w:rPr>
        <w:t>The investigatory powers of provisional liquidators (</w:t>
      </w:r>
      <w:r>
        <w:rPr>
          <w:rFonts w:ascii="Avenir Next" w:hAnsi="Avenir Next"/>
          <w:b/>
          <w:color w:val="808080" w:themeColor="background1" w:themeShade="80"/>
        </w:rPr>
        <w:t>PLs</w:t>
      </w:r>
      <w:r>
        <w:rPr>
          <w:rFonts w:ascii="Avenir Next" w:hAnsi="Avenir Next"/>
          <w:color w:val="808080" w:themeColor="background1" w:themeShade="80"/>
        </w:rPr>
        <w:t xml:space="preserve">) are limited to </w:t>
      </w:r>
      <w:r w:rsidR="00831159">
        <w:rPr>
          <w:rFonts w:ascii="Avenir Next" w:hAnsi="Avenir Next"/>
          <w:color w:val="808080" w:themeColor="background1" w:themeShade="80"/>
        </w:rPr>
        <w:t>(</w:t>
      </w:r>
      <w:r>
        <w:rPr>
          <w:rFonts w:ascii="Avenir Next" w:hAnsi="Avenir Next"/>
          <w:color w:val="808080" w:themeColor="background1" w:themeShade="80"/>
        </w:rPr>
        <w:t>requiring certain persons to provide statements of affairs relevant to the company, as</w:t>
      </w:r>
      <w:r w:rsidR="00831159">
        <w:rPr>
          <w:rFonts w:ascii="Avenir Next" w:hAnsi="Avenir Next"/>
          <w:color w:val="808080" w:themeColor="background1" w:themeShade="80"/>
        </w:rPr>
        <w:t xml:space="preserve"> per (a) above. </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04EE54D8" w14:textId="77777777" w:rsidR="00514369" w:rsidRDefault="00514369" w:rsidP="0051436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Liquidators can require certain individuals to provide statements of the company’s affairs, verified by a sworn affidavit under section 101 of the Companies Act. Section 101(3) provides that those individuals include employees of the company, during the period of one year immediately preceding the “relevant date”. Section 101(6) provides that, in section 101, “relevant date” means:</w:t>
      </w:r>
    </w:p>
    <w:p w14:paraId="2B11CCE3" w14:textId="77777777" w:rsidR="00514369" w:rsidRDefault="00514369" w:rsidP="00514369">
      <w:pPr>
        <w:pStyle w:val="BodyText"/>
        <w:ind w:firstLine="0"/>
        <w:jc w:val="both"/>
        <w:rPr>
          <w:rFonts w:ascii="Avenir Next" w:hAnsi="Avenir Next"/>
          <w:color w:val="808080" w:themeColor="background1" w:themeShade="80"/>
        </w:rPr>
      </w:pPr>
    </w:p>
    <w:p w14:paraId="0FCFE493" w14:textId="65263A5A" w:rsidR="00514369" w:rsidRDefault="00514369" w:rsidP="004272B8">
      <w:pPr>
        <w:pStyle w:val="BodyText"/>
        <w:numPr>
          <w:ilvl w:val="0"/>
          <w:numId w:val="30"/>
        </w:numPr>
        <w:jc w:val="both"/>
        <w:rPr>
          <w:rFonts w:ascii="Avenir Next" w:hAnsi="Avenir Next"/>
          <w:color w:val="808080" w:themeColor="background1" w:themeShade="80"/>
        </w:rPr>
      </w:pPr>
      <w:r>
        <w:rPr>
          <w:rFonts w:ascii="Avenir Next" w:hAnsi="Avenir Next"/>
          <w:color w:val="808080" w:themeColor="background1" w:themeShade="80"/>
        </w:rPr>
        <w:t>In the context of a provisional liquidation, the date of the provisional liquidator’s appointment; and</w:t>
      </w:r>
    </w:p>
    <w:p w14:paraId="0699780C" w14:textId="5BEE4F45" w:rsidR="00514369" w:rsidRDefault="00514369" w:rsidP="004272B8">
      <w:pPr>
        <w:pStyle w:val="BodyText"/>
        <w:numPr>
          <w:ilvl w:val="0"/>
          <w:numId w:val="30"/>
        </w:numPr>
        <w:jc w:val="both"/>
        <w:rPr>
          <w:rFonts w:ascii="Avenir Next" w:hAnsi="Avenir Next"/>
          <w:color w:val="808080" w:themeColor="background1" w:themeShade="80"/>
        </w:rPr>
      </w:pPr>
      <w:r>
        <w:rPr>
          <w:rFonts w:ascii="Avenir Next" w:hAnsi="Avenir Next"/>
          <w:color w:val="808080" w:themeColor="background1" w:themeShade="80"/>
        </w:rPr>
        <w:t xml:space="preserve">In any other case, the commencement of the winding up. </w:t>
      </w:r>
    </w:p>
    <w:p w14:paraId="224924A4" w14:textId="77777777" w:rsidR="00514369" w:rsidRDefault="00514369" w:rsidP="00514369">
      <w:pPr>
        <w:pStyle w:val="BodyText"/>
        <w:ind w:firstLine="0"/>
        <w:jc w:val="both"/>
        <w:rPr>
          <w:rFonts w:ascii="Avenir Next" w:hAnsi="Avenir Next"/>
          <w:color w:val="808080" w:themeColor="background1" w:themeShade="80"/>
        </w:rPr>
      </w:pPr>
    </w:p>
    <w:p w14:paraId="324DD600" w14:textId="486B21AF" w:rsidR="00514369" w:rsidRDefault="00514369" w:rsidP="00514369">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many cases, the date of commencement of the winding up will be the date that the winding up p</w:t>
      </w:r>
      <w:r w:rsidR="005B6546">
        <w:rPr>
          <w:rFonts w:ascii="Avenir Next" w:hAnsi="Avenir Next"/>
          <w:color w:val="808080" w:themeColor="background1" w:themeShade="80"/>
        </w:rPr>
        <w:t xml:space="preserve">etition </w:t>
      </w:r>
      <w:r>
        <w:rPr>
          <w:rFonts w:ascii="Avenir Next" w:hAnsi="Avenir Next"/>
          <w:color w:val="808080" w:themeColor="background1" w:themeShade="80"/>
        </w:rPr>
        <w:t>is presented</w:t>
      </w:r>
      <w:r w:rsidR="00E008CD">
        <w:rPr>
          <w:rFonts w:ascii="Avenir Next" w:hAnsi="Avenir Next"/>
          <w:color w:val="808080" w:themeColor="background1" w:themeShade="80"/>
        </w:rPr>
        <w:t xml:space="preserve">, as per section 100(2) of the Companies Act. </w:t>
      </w:r>
      <w:r>
        <w:rPr>
          <w:rFonts w:ascii="Avenir Next" w:hAnsi="Avenir Next"/>
          <w:color w:val="808080" w:themeColor="background1" w:themeShade="80"/>
        </w:rPr>
        <w:t>However, section 100(1) of the Companies Act does provide for an earlier commencement date in the following circumstances:</w:t>
      </w:r>
    </w:p>
    <w:p w14:paraId="1FB1F44C" w14:textId="08F5D4B7" w:rsidR="00514369" w:rsidRDefault="00514369" w:rsidP="00514369">
      <w:pPr>
        <w:pStyle w:val="BodyText"/>
        <w:ind w:firstLine="0"/>
        <w:jc w:val="both"/>
        <w:rPr>
          <w:rFonts w:ascii="Avenir Next" w:hAnsi="Avenir Next"/>
          <w:color w:val="808080" w:themeColor="background1" w:themeShade="80"/>
        </w:rPr>
      </w:pPr>
    </w:p>
    <w:p w14:paraId="59EE206F" w14:textId="4DFB000E" w:rsidR="00514369" w:rsidRDefault="00514369" w:rsidP="004272B8">
      <w:pPr>
        <w:pStyle w:val="BodyText"/>
        <w:numPr>
          <w:ilvl w:val="0"/>
          <w:numId w:val="31"/>
        </w:numPr>
        <w:jc w:val="both"/>
        <w:rPr>
          <w:rFonts w:ascii="Avenir Next" w:hAnsi="Avenir Next"/>
          <w:color w:val="808080" w:themeColor="background1" w:themeShade="80"/>
        </w:rPr>
      </w:pPr>
      <w:r>
        <w:rPr>
          <w:rFonts w:ascii="Avenir Next" w:hAnsi="Avenir Next"/>
          <w:color w:val="808080" w:themeColor="background1" w:themeShade="80"/>
        </w:rPr>
        <w:t xml:space="preserve">Where the company has been placed into voluntary </w:t>
      </w:r>
      <w:r w:rsidR="00E008CD">
        <w:rPr>
          <w:rFonts w:ascii="Avenir Next" w:hAnsi="Avenir Next"/>
          <w:color w:val="808080" w:themeColor="background1" w:themeShade="80"/>
        </w:rPr>
        <w:t>liquation</w:t>
      </w:r>
      <w:r>
        <w:rPr>
          <w:rFonts w:ascii="Avenir Next" w:hAnsi="Avenir Next"/>
          <w:color w:val="808080" w:themeColor="background1" w:themeShade="80"/>
        </w:rPr>
        <w:t>;</w:t>
      </w:r>
    </w:p>
    <w:p w14:paraId="242480E1" w14:textId="23E87275" w:rsidR="00514369" w:rsidRDefault="00514369" w:rsidP="004272B8">
      <w:pPr>
        <w:pStyle w:val="BodyText"/>
        <w:numPr>
          <w:ilvl w:val="0"/>
          <w:numId w:val="31"/>
        </w:numPr>
        <w:jc w:val="both"/>
        <w:rPr>
          <w:rFonts w:ascii="Avenir Next" w:hAnsi="Avenir Next"/>
          <w:color w:val="808080" w:themeColor="background1" w:themeShade="80"/>
        </w:rPr>
      </w:pPr>
      <w:r>
        <w:rPr>
          <w:rFonts w:ascii="Avenir Next" w:hAnsi="Avenir Next"/>
          <w:color w:val="808080" w:themeColor="background1" w:themeShade="80"/>
        </w:rPr>
        <w:t xml:space="preserve">Where the fixed duration of a company has expired in accordance with its articles of association (the </w:t>
      </w:r>
      <w:r>
        <w:rPr>
          <w:rFonts w:ascii="Avenir Next" w:hAnsi="Avenir Next"/>
          <w:b/>
          <w:color w:val="808080" w:themeColor="background1" w:themeShade="80"/>
        </w:rPr>
        <w:t>Articles</w:t>
      </w:r>
      <w:r>
        <w:rPr>
          <w:rFonts w:ascii="Avenir Next" w:hAnsi="Avenir Next"/>
          <w:color w:val="808080" w:themeColor="background1" w:themeShade="80"/>
        </w:rPr>
        <w:t>);</w:t>
      </w:r>
    </w:p>
    <w:p w14:paraId="0C7E4A59" w14:textId="3F74AB20" w:rsidR="00514369" w:rsidRDefault="00514369" w:rsidP="004272B8">
      <w:pPr>
        <w:pStyle w:val="BodyText"/>
        <w:numPr>
          <w:ilvl w:val="0"/>
          <w:numId w:val="31"/>
        </w:numPr>
        <w:jc w:val="both"/>
        <w:rPr>
          <w:rFonts w:ascii="Avenir Next" w:hAnsi="Avenir Next"/>
          <w:color w:val="808080" w:themeColor="background1" w:themeShade="80"/>
        </w:rPr>
      </w:pPr>
      <w:r>
        <w:rPr>
          <w:rFonts w:ascii="Avenir Next" w:hAnsi="Avenir Next"/>
          <w:color w:val="808080" w:themeColor="background1" w:themeShade="80"/>
        </w:rPr>
        <w:t>Where the Articles provide for a winding up</w:t>
      </w:r>
      <w:r w:rsidR="004272B8">
        <w:rPr>
          <w:rFonts w:ascii="Avenir Next" w:hAnsi="Avenir Next"/>
          <w:color w:val="808080" w:themeColor="background1" w:themeShade="80"/>
        </w:rPr>
        <w:t xml:space="preserve"> event which has occurred; and</w:t>
      </w:r>
    </w:p>
    <w:p w14:paraId="54BF2950" w14:textId="1966004A" w:rsidR="004272B8" w:rsidRDefault="004272B8" w:rsidP="004272B8">
      <w:pPr>
        <w:pStyle w:val="BodyText"/>
        <w:numPr>
          <w:ilvl w:val="0"/>
          <w:numId w:val="31"/>
        </w:numPr>
        <w:jc w:val="both"/>
        <w:rPr>
          <w:rFonts w:ascii="Avenir Next" w:hAnsi="Avenir Next"/>
          <w:color w:val="808080" w:themeColor="background1" w:themeShade="80"/>
        </w:rPr>
      </w:pPr>
      <w:r>
        <w:rPr>
          <w:rFonts w:ascii="Avenir Next" w:hAnsi="Avenir Next"/>
          <w:color w:val="808080" w:themeColor="background1" w:themeShade="80"/>
        </w:rPr>
        <w:t xml:space="preserve">A restructuring officer has been appointed and remains in office. </w:t>
      </w:r>
    </w:p>
    <w:p w14:paraId="7642EF1F" w14:textId="77777777" w:rsidR="00514369" w:rsidRDefault="00514369" w:rsidP="00514369">
      <w:pPr>
        <w:pStyle w:val="BodyText"/>
        <w:ind w:firstLine="0"/>
        <w:jc w:val="both"/>
        <w:rPr>
          <w:rFonts w:ascii="Avenir Next" w:hAnsi="Avenir Next"/>
          <w:color w:val="808080" w:themeColor="background1" w:themeShade="80"/>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5B577C4F" w14:textId="2897B88D" w:rsidR="00C145B3" w:rsidRDefault="002C7612" w:rsidP="00C145B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Cayman Islands Companies Winding Up Rules, 2018 (as amended) (the </w:t>
      </w:r>
      <w:r>
        <w:rPr>
          <w:rFonts w:ascii="Avenir Next" w:hAnsi="Avenir Next"/>
          <w:b/>
          <w:color w:val="808080" w:themeColor="background1" w:themeShade="80"/>
        </w:rPr>
        <w:t>CWR</w:t>
      </w:r>
      <w:r>
        <w:rPr>
          <w:rFonts w:ascii="Avenir Next" w:hAnsi="Avenir Next"/>
          <w:color w:val="808080" w:themeColor="background1" w:themeShade="80"/>
        </w:rPr>
        <w:t xml:space="preserve">) provide that </w:t>
      </w:r>
      <w:r w:rsidR="00C145B3">
        <w:rPr>
          <w:rFonts w:ascii="Avenir Next" w:hAnsi="Avenir Next"/>
          <w:color w:val="808080" w:themeColor="background1" w:themeShade="80"/>
        </w:rPr>
        <w:t>every winding up petition will be supported by an affidavit sworn by the person(s) nominated for appointment as official liquidators, referred to as a “consent to act”</w:t>
      </w:r>
      <w:r w:rsidR="003F4671">
        <w:rPr>
          <w:rFonts w:ascii="Avenir Next" w:hAnsi="Avenir Next"/>
          <w:color w:val="808080" w:themeColor="background1" w:themeShade="80"/>
        </w:rPr>
        <w:t xml:space="preserve"> (</w:t>
      </w:r>
      <w:r w:rsidR="003F4671">
        <w:rPr>
          <w:rFonts w:ascii="Avenir Next" w:hAnsi="Avenir Next"/>
          <w:color w:val="808080" w:themeColor="background1" w:themeShade="80"/>
        </w:rPr>
        <w:t>CWR Order. 3, rule 4</w:t>
      </w:r>
      <w:r w:rsidR="003F4671">
        <w:rPr>
          <w:rFonts w:ascii="Avenir Next" w:hAnsi="Avenir Next"/>
          <w:color w:val="808080" w:themeColor="background1" w:themeShade="80"/>
        </w:rPr>
        <w:t>)</w:t>
      </w:r>
      <w:r w:rsidR="00C145B3">
        <w:rPr>
          <w:rFonts w:ascii="Avenir Next" w:hAnsi="Avenir Next"/>
          <w:color w:val="808080" w:themeColor="background1" w:themeShade="80"/>
        </w:rPr>
        <w:t>.</w:t>
      </w:r>
    </w:p>
    <w:p w14:paraId="0F5CBE0B" w14:textId="24A14EC4" w:rsidR="00C145B3" w:rsidRDefault="00C145B3" w:rsidP="00C145B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 </w:t>
      </w:r>
    </w:p>
    <w:p w14:paraId="42E3B68B" w14:textId="06B9CB75" w:rsidR="002C7612" w:rsidRDefault="00C145B3" w:rsidP="00C145B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CWR Order. 3, rule 4 sets out the required content of a consent to act</w:t>
      </w:r>
      <w:r w:rsidR="00CB68CD">
        <w:rPr>
          <w:rFonts w:ascii="Avenir Next" w:hAnsi="Avenir Next"/>
          <w:color w:val="808080" w:themeColor="background1" w:themeShade="80"/>
        </w:rPr>
        <w:t xml:space="preserve"> from both persons nominated for appointment as official liquidator (rule 4(1)) and foreign </w:t>
      </w:r>
      <w:r w:rsidR="00664E72">
        <w:rPr>
          <w:rFonts w:ascii="Avenir Next" w:hAnsi="Avenir Next"/>
          <w:color w:val="808080" w:themeColor="background1" w:themeShade="80"/>
        </w:rPr>
        <w:t>practitioners</w:t>
      </w:r>
      <w:r w:rsidR="00CB68CD">
        <w:rPr>
          <w:rFonts w:ascii="Avenir Next" w:hAnsi="Avenir Next"/>
          <w:color w:val="808080" w:themeColor="background1" w:themeShade="80"/>
        </w:rPr>
        <w:t xml:space="preserve"> to be appointed jointly</w:t>
      </w:r>
      <w:r>
        <w:rPr>
          <w:rFonts w:ascii="Avenir Next" w:hAnsi="Avenir Next"/>
          <w:color w:val="808080" w:themeColor="background1" w:themeShade="80"/>
        </w:rPr>
        <w:t xml:space="preserve">. </w:t>
      </w:r>
      <w:r>
        <w:rPr>
          <w:rFonts w:ascii="Avenir Next" w:hAnsi="Avenir Next"/>
          <w:color w:val="808080" w:themeColor="background1" w:themeShade="80"/>
        </w:rPr>
        <w:t xml:space="preserve">Although the wording of this section expressly refers to “official liquidators”, that term is defined by </w:t>
      </w:r>
      <w:r>
        <w:rPr>
          <w:rFonts w:ascii="Avenir Next" w:hAnsi="Avenir Next"/>
          <w:color w:val="808080" w:themeColor="background1" w:themeShade="80"/>
        </w:rPr>
        <w:lastRenderedPageBreak/>
        <w:t>section 89 of the Companies Act to expressly include provisional liquidators.</w:t>
      </w:r>
      <w:r w:rsidR="00CB68CD">
        <w:rPr>
          <w:rFonts w:ascii="Avenir Next" w:hAnsi="Avenir Next"/>
          <w:color w:val="808080" w:themeColor="background1" w:themeShade="80"/>
        </w:rPr>
        <w:t xml:space="preserve"> Under </w:t>
      </w:r>
      <w:r w:rsidR="00CB68CD">
        <w:rPr>
          <w:rFonts w:ascii="Avenir Next" w:hAnsi="Avenir Next"/>
          <w:color w:val="808080" w:themeColor="background1" w:themeShade="80"/>
        </w:rPr>
        <w:t>CWR Order. 3, rule 4</w:t>
      </w:r>
      <w:r w:rsidR="00CB68CD">
        <w:rPr>
          <w:rFonts w:ascii="Avenir Next" w:hAnsi="Avenir Next"/>
          <w:color w:val="808080" w:themeColor="background1" w:themeShade="80"/>
        </w:rPr>
        <w:t xml:space="preserve">, persons nominated to act as official and/or provisional liquidators </w:t>
      </w:r>
      <w:r>
        <w:rPr>
          <w:rFonts w:ascii="Avenir Next" w:hAnsi="Avenir Next"/>
          <w:color w:val="808080" w:themeColor="background1" w:themeShade="80"/>
        </w:rPr>
        <w:t>a</w:t>
      </w:r>
      <w:r w:rsidR="002C7612">
        <w:rPr>
          <w:rFonts w:ascii="Avenir Next" w:hAnsi="Avenir Next"/>
          <w:color w:val="808080" w:themeColor="background1" w:themeShade="80"/>
        </w:rPr>
        <w:t xml:space="preserve">nd/or their firm </w:t>
      </w:r>
      <w:r w:rsidR="00CB68CD">
        <w:rPr>
          <w:rFonts w:ascii="Avenir Next" w:hAnsi="Avenir Next"/>
          <w:color w:val="808080" w:themeColor="background1" w:themeShade="80"/>
        </w:rPr>
        <w:t xml:space="preserve">must </w:t>
      </w:r>
      <w:r w:rsidR="002C7612">
        <w:rPr>
          <w:rFonts w:ascii="Avenir Next" w:hAnsi="Avenir Next"/>
          <w:color w:val="808080" w:themeColor="background1" w:themeShade="80"/>
        </w:rPr>
        <w:t>comply with the insurance requirement provided by Regulation 7 of the I</w:t>
      </w:r>
      <w:r w:rsidR="001F3561">
        <w:rPr>
          <w:rFonts w:ascii="Avenir Next" w:hAnsi="Avenir Next"/>
          <w:color w:val="808080" w:themeColor="background1" w:themeShade="80"/>
        </w:rPr>
        <w:t xml:space="preserve">nsolvency </w:t>
      </w:r>
      <w:r w:rsidR="002C7612">
        <w:rPr>
          <w:rFonts w:ascii="Avenir Next" w:hAnsi="Avenir Next"/>
          <w:color w:val="808080" w:themeColor="background1" w:themeShade="80"/>
        </w:rPr>
        <w:t>P</w:t>
      </w:r>
      <w:r w:rsidR="001F3561">
        <w:rPr>
          <w:rFonts w:ascii="Avenir Next" w:hAnsi="Avenir Next"/>
          <w:color w:val="808080" w:themeColor="background1" w:themeShade="80"/>
        </w:rPr>
        <w:t xml:space="preserve">ractitioners </w:t>
      </w:r>
      <w:r w:rsidR="002C7612">
        <w:rPr>
          <w:rFonts w:ascii="Avenir Next" w:hAnsi="Avenir Next"/>
          <w:color w:val="808080" w:themeColor="background1" w:themeShade="80"/>
        </w:rPr>
        <w:t>R</w:t>
      </w:r>
      <w:r w:rsidR="001F3561">
        <w:rPr>
          <w:rFonts w:ascii="Avenir Next" w:hAnsi="Avenir Next"/>
          <w:color w:val="808080" w:themeColor="background1" w:themeShade="80"/>
        </w:rPr>
        <w:t>egulation</w:t>
      </w:r>
      <w:r w:rsidR="002C7612">
        <w:rPr>
          <w:rFonts w:ascii="Avenir Next" w:hAnsi="Avenir Next"/>
          <w:color w:val="808080" w:themeColor="background1" w:themeShade="80"/>
        </w:rPr>
        <w:t>s</w:t>
      </w:r>
      <w:r w:rsidR="001F3561">
        <w:rPr>
          <w:rFonts w:ascii="Avenir Next" w:hAnsi="Avenir Next"/>
          <w:color w:val="808080" w:themeColor="background1" w:themeShade="80"/>
        </w:rPr>
        <w:t xml:space="preserve"> (</w:t>
      </w:r>
      <w:r w:rsidR="001F3561">
        <w:rPr>
          <w:rFonts w:ascii="Avenir Next" w:hAnsi="Avenir Next"/>
          <w:b/>
          <w:color w:val="808080" w:themeColor="background1" w:themeShade="80"/>
        </w:rPr>
        <w:t>IPRs</w:t>
      </w:r>
      <w:r w:rsidR="001F3561">
        <w:rPr>
          <w:rFonts w:ascii="Avenir Next" w:hAnsi="Avenir Next"/>
          <w:color w:val="808080" w:themeColor="background1" w:themeShade="80"/>
        </w:rPr>
        <w:t>)</w:t>
      </w:r>
      <w:r w:rsidR="002C7612">
        <w:rPr>
          <w:rFonts w:ascii="Avenir Next" w:hAnsi="Avenir Next"/>
          <w:color w:val="808080" w:themeColor="background1" w:themeShade="80"/>
        </w:rPr>
        <w:t xml:space="preserve"> (O.3, r.4(1)(c)).</w:t>
      </w:r>
      <w:r w:rsidR="001F3561">
        <w:rPr>
          <w:rFonts w:ascii="Avenir Next" w:hAnsi="Avenir Next"/>
          <w:color w:val="808080" w:themeColor="background1" w:themeShade="80"/>
        </w:rPr>
        <w:t xml:space="preserve"> The same requirement provided by Regulation 7 also applies to foreign practitioners, such as the chosen provisional liquidator based in Hong Kong (O.3, r.4(2)(d))</w:t>
      </w:r>
    </w:p>
    <w:p w14:paraId="71EC5AB6" w14:textId="77777777" w:rsidR="00CB68CD" w:rsidRDefault="00CB68CD" w:rsidP="00CB68CD">
      <w:pPr>
        <w:pStyle w:val="BodyText"/>
        <w:ind w:firstLine="0"/>
        <w:jc w:val="both"/>
        <w:rPr>
          <w:rFonts w:ascii="Avenir Next" w:hAnsi="Avenir Next"/>
          <w:color w:val="808080" w:themeColor="background1" w:themeShade="80"/>
        </w:rPr>
      </w:pPr>
    </w:p>
    <w:p w14:paraId="62B66C63" w14:textId="7D9DB08A" w:rsidR="002C7612" w:rsidRDefault="002C7612" w:rsidP="00CB68CD">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Under Regulation 7</w:t>
      </w:r>
      <w:r w:rsidR="00E008CD">
        <w:rPr>
          <w:rFonts w:ascii="Avenir Next" w:hAnsi="Avenir Next"/>
          <w:color w:val="808080" w:themeColor="background1" w:themeShade="80"/>
        </w:rPr>
        <w:t>(1)</w:t>
      </w:r>
      <w:r>
        <w:rPr>
          <w:rFonts w:ascii="Avenir Next" w:hAnsi="Avenir Next"/>
          <w:color w:val="808080" w:themeColor="background1" w:themeShade="80"/>
        </w:rPr>
        <w:t>, a qualified insolvency practitioner will not be appointed as an official</w:t>
      </w:r>
      <w:r w:rsidR="00CB68CD">
        <w:rPr>
          <w:rFonts w:ascii="Avenir Next" w:hAnsi="Avenir Next"/>
          <w:color w:val="808080" w:themeColor="background1" w:themeShade="80"/>
        </w:rPr>
        <w:t xml:space="preserve"> or provisional</w:t>
      </w:r>
      <w:r>
        <w:rPr>
          <w:rFonts w:ascii="Avenir Next" w:hAnsi="Avenir Next"/>
          <w:color w:val="808080" w:themeColor="background1" w:themeShade="80"/>
        </w:rPr>
        <w:t xml:space="preserve"> liquidator unless that person and their firm/company has professional indemnity insurance covering their negligence or non-performance as an official liquidator up to a limit of at least US$10 million in respect of each and every claim and at least US$20 million in aggregate, with a maximum deductible of US$1 million</w:t>
      </w:r>
      <w:r w:rsidR="001F3561">
        <w:rPr>
          <w:rFonts w:ascii="Avenir Next" w:hAnsi="Avenir Next"/>
          <w:color w:val="808080" w:themeColor="background1" w:themeShade="80"/>
        </w:rPr>
        <w:t xml:space="preserve"> (the </w:t>
      </w:r>
      <w:r w:rsidR="001F3561">
        <w:rPr>
          <w:rFonts w:ascii="Avenir Next" w:hAnsi="Avenir Next"/>
          <w:b/>
          <w:color w:val="808080" w:themeColor="background1" w:themeShade="80"/>
        </w:rPr>
        <w:t>Insurance Requirement</w:t>
      </w:r>
      <w:r w:rsidR="001F3561">
        <w:rPr>
          <w:rFonts w:ascii="Avenir Next" w:hAnsi="Avenir Next"/>
          <w:color w:val="808080" w:themeColor="background1" w:themeShade="80"/>
        </w:rPr>
        <w:t>)</w:t>
      </w:r>
      <w:r>
        <w:rPr>
          <w:rFonts w:ascii="Avenir Next" w:hAnsi="Avenir Next"/>
          <w:color w:val="808080" w:themeColor="background1" w:themeShade="80"/>
        </w:rPr>
        <w:t>.</w:t>
      </w:r>
      <w:r w:rsidR="00E008CD">
        <w:rPr>
          <w:rFonts w:ascii="Avenir Next" w:hAnsi="Avenir Next"/>
          <w:color w:val="808080" w:themeColor="background1" w:themeShade="80"/>
        </w:rPr>
        <w:t xml:space="preserve"> Under Regulation 7(2), the Court can order an official liquidator to procure the relevant level of cover, in which case the premium </w:t>
      </w:r>
      <w:proofErr w:type="spellStart"/>
      <w:r w:rsidR="00E008CD">
        <w:rPr>
          <w:rFonts w:ascii="Avenir Next" w:hAnsi="Avenir Next"/>
          <w:color w:val="808080" w:themeColor="background1" w:themeShade="80"/>
        </w:rPr>
        <w:t>wil</w:t>
      </w:r>
      <w:proofErr w:type="spellEnd"/>
      <w:r w:rsidR="00E008CD">
        <w:rPr>
          <w:rFonts w:ascii="Avenir Next" w:hAnsi="Avenir Next"/>
          <w:color w:val="808080" w:themeColor="background1" w:themeShade="80"/>
        </w:rPr>
        <w:t xml:space="preserve"> be paid out of the assets of the company as an expense of the liquidation.</w:t>
      </w:r>
    </w:p>
    <w:p w14:paraId="293DE9A2" w14:textId="4738B5F5" w:rsidR="00CB68CD" w:rsidRDefault="00CB68CD" w:rsidP="00CB68CD">
      <w:pPr>
        <w:pStyle w:val="BodyText"/>
        <w:ind w:firstLine="0"/>
        <w:jc w:val="both"/>
        <w:rPr>
          <w:rFonts w:ascii="Avenir Next" w:hAnsi="Avenir Next"/>
          <w:color w:val="808080" w:themeColor="background1" w:themeShade="80"/>
        </w:rPr>
      </w:pPr>
    </w:p>
    <w:p w14:paraId="1659E250" w14:textId="5E34AD4B" w:rsidR="00E008CD" w:rsidRDefault="00CB68CD" w:rsidP="001F356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chosen provisional liquidator</w:t>
      </w:r>
      <w:r w:rsidR="00E008CD">
        <w:rPr>
          <w:rFonts w:ascii="Avenir Next" w:hAnsi="Avenir Next"/>
          <w:color w:val="808080" w:themeColor="background1" w:themeShade="80"/>
        </w:rPr>
        <w:t xml:space="preserve"> therefore does not currently comply with the Insurance Requirement, having only US$5 million of cover in place in respect of each and every claim. The chosen provisional liquidator must therefore either increase his cover to </w:t>
      </w:r>
      <w:r w:rsidR="001F3561">
        <w:rPr>
          <w:rFonts w:ascii="Avenir Next" w:hAnsi="Avenir Next"/>
          <w:color w:val="808080" w:themeColor="background1" w:themeShade="80"/>
        </w:rPr>
        <w:t>comply with the Insurance Requirement</w:t>
      </w:r>
      <w:r w:rsidR="00E008CD">
        <w:rPr>
          <w:rFonts w:ascii="Avenir Next" w:hAnsi="Avenir Next"/>
          <w:color w:val="808080" w:themeColor="background1" w:themeShade="80"/>
        </w:rPr>
        <w:t xml:space="preserve">, although in that case he would have to pay the premium, or he could seek an order from the Court to increase his cover, with the premium to be paid out of the assets of the company (under Regulation 7(2)). </w:t>
      </w:r>
      <w:r w:rsidR="001F3561">
        <w:rPr>
          <w:rFonts w:ascii="Avenir Next" w:hAnsi="Avenir Next"/>
          <w:color w:val="808080" w:themeColor="background1" w:themeShade="80"/>
        </w:rPr>
        <w:t xml:space="preserve"> </w:t>
      </w:r>
    </w:p>
    <w:p w14:paraId="260D0621" w14:textId="77777777" w:rsidR="00E008CD" w:rsidRDefault="00E008CD" w:rsidP="001F3561">
      <w:pPr>
        <w:pStyle w:val="BodyText"/>
        <w:ind w:firstLine="0"/>
        <w:jc w:val="both"/>
        <w:rPr>
          <w:rFonts w:ascii="Avenir Next" w:hAnsi="Avenir Next"/>
          <w:color w:val="808080" w:themeColor="background1" w:themeShade="80"/>
        </w:rPr>
      </w:pPr>
    </w:p>
    <w:p w14:paraId="0B68F493" w14:textId="319BBEAE" w:rsidR="002C7612" w:rsidRDefault="001F3561" w:rsidP="001F356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There is also</w:t>
      </w:r>
      <w:r w:rsidR="00E008CD">
        <w:rPr>
          <w:rFonts w:ascii="Avenir Next" w:hAnsi="Avenir Next"/>
          <w:color w:val="808080" w:themeColor="background1" w:themeShade="80"/>
        </w:rPr>
        <w:t>, however,</w:t>
      </w:r>
      <w:r>
        <w:rPr>
          <w:rFonts w:ascii="Avenir Next" w:hAnsi="Avenir Next"/>
          <w:color w:val="808080" w:themeColor="background1" w:themeShade="80"/>
        </w:rPr>
        <w:t xml:space="preserve"> a further, perhaps even more significant, issue regarding the proposed appointment of </w:t>
      </w:r>
      <w:r w:rsidR="00E008CD">
        <w:rPr>
          <w:rFonts w:ascii="Avenir Next" w:hAnsi="Avenir Next"/>
          <w:color w:val="808080" w:themeColor="background1" w:themeShade="80"/>
        </w:rPr>
        <w:t>the</w:t>
      </w:r>
      <w:r>
        <w:rPr>
          <w:rFonts w:ascii="Avenir Next" w:hAnsi="Avenir Next"/>
          <w:color w:val="808080" w:themeColor="background1" w:themeShade="80"/>
        </w:rPr>
        <w:t xml:space="preserve"> single provisional liquidator based in Hong Kong</w:t>
      </w:r>
      <w:r w:rsidR="00E008CD">
        <w:rPr>
          <w:rFonts w:ascii="Avenir Next" w:hAnsi="Avenir Next"/>
          <w:color w:val="808080" w:themeColor="background1" w:themeShade="80"/>
        </w:rPr>
        <w:t xml:space="preserve">. </w:t>
      </w:r>
      <w:r>
        <w:rPr>
          <w:rFonts w:ascii="Avenir Next" w:hAnsi="Avenir Next"/>
          <w:color w:val="808080" w:themeColor="background1" w:themeShade="80"/>
        </w:rPr>
        <w:t xml:space="preserve">Regulation 8 of the IPRs specifically states that a foreign practitioner that otherwise meets the requirements of the winding up regime (including the Insurance Requirement) may be appointed by the Court as an official/provisional liquidator of a company jointly with a Cayman Islands based qualified insolvency practitioner, </w:t>
      </w:r>
      <w:r>
        <w:rPr>
          <w:rFonts w:ascii="Avenir Next" w:hAnsi="Avenir Next"/>
          <w:color w:val="808080" w:themeColor="background1" w:themeShade="80"/>
          <w:u w:val="single"/>
        </w:rPr>
        <w:t>but not as sole official or provisional liquidator</w:t>
      </w:r>
      <w:r>
        <w:rPr>
          <w:rFonts w:ascii="Avenir Next" w:hAnsi="Avenir Next"/>
          <w:color w:val="808080" w:themeColor="background1" w:themeShade="80"/>
        </w:rPr>
        <w:t>. The chosen provisional liquidator therefore cannot act as a sole provisional liquidator of SMB Tech as a Cayman Islands based company, and would instead need to be appointed jointly with a Cayman Islands based practitioner who can satisfy the requirements of O.3, r4(1), in addition to having to meet the other requirements provided in relation to foreign practitioners at O.3, r4(2)</w:t>
      </w:r>
      <w:r w:rsidR="00E008CD">
        <w:rPr>
          <w:rFonts w:ascii="Avenir Next" w:hAnsi="Avenir Next"/>
          <w:color w:val="808080" w:themeColor="background1" w:themeShade="80"/>
        </w:rPr>
        <w:t xml:space="preserve"> (including the Insurance Requirement)</w:t>
      </w:r>
      <w:r>
        <w:rPr>
          <w:rFonts w:ascii="Avenir Next" w:hAnsi="Avenir Next"/>
          <w:color w:val="808080" w:themeColor="background1" w:themeShade="80"/>
        </w:rPr>
        <w:t xml:space="preserve">. </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2AFDBAC9" w14:textId="77777777" w:rsidR="00F32C05" w:rsidRDefault="00664E72" w:rsidP="003F467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color w:val="808080" w:themeColor="background1" w:themeShade="80"/>
        </w:rPr>
        <w:t xml:space="preserve">Cayman Islands Companies Act (2023 Revision) (the </w:t>
      </w:r>
      <w:r>
        <w:rPr>
          <w:rFonts w:ascii="Avenir Next" w:hAnsi="Avenir Next"/>
          <w:b/>
          <w:color w:val="808080" w:themeColor="background1" w:themeShade="80"/>
        </w:rPr>
        <w:t>Companies Act</w:t>
      </w:r>
      <w:r>
        <w:rPr>
          <w:rFonts w:ascii="Avenir Next" w:hAnsi="Avenir Next"/>
          <w:color w:val="808080" w:themeColor="background1" w:themeShade="80"/>
        </w:rPr>
        <w:t>)</w:t>
      </w:r>
      <w:r>
        <w:rPr>
          <w:rFonts w:ascii="Avenir Next" w:hAnsi="Avenir Next"/>
          <w:color w:val="808080" w:themeColor="background1" w:themeShade="80"/>
        </w:rPr>
        <w:t xml:space="preserve"> provides that </w:t>
      </w:r>
      <w:r w:rsidR="00F32C05">
        <w:rPr>
          <w:rFonts w:ascii="Avenir Next" w:hAnsi="Avenir Next"/>
          <w:color w:val="808080" w:themeColor="background1" w:themeShade="80"/>
        </w:rPr>
        <w:t>a company petition the Court for the appointment of a restructuring officer on the grounds that the company:</w:t>
      </w:r>
    </w:p>
    <w:p w14:paraId="327995BD" w14:textId="77777777" w:rsidR="00F32C05" w:rsidRDefault="00F32C05" w:rsidP="003F4671">
      <w:pPr>
        <w:pStyle w:val="BodyText"/>
        <w:ind w:firstLine="0"/>
        <w:jc w:val="both"/>
        <w:rPr>
          <w:rFonts w:ascii="Avenir Next" w:hAnsi="Avenir Next"/>
          <w:color w:val="808080" w:themeColor="background1" w:themeShade="80"/>
        </w:rPr>
      </w:pPr>
    </w:p>
    <w:p w14:paraId="51D79482" w14:textId="43A3E730" w:rsidR="003F4671" w:rsidRDefault="003F4671" w:rsidP="003F467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(a) is likely to become unable to pay its debts within the meaning of section 93; and</w:t>
      </w:r>
    </w:p>
    <w:p w14:paraId="1FAFB0DC" w14:textId="7D4402FB" w:rsidR="00662A8E" w:rsidRPr="00486A0B" w:rsidRDefault="003F4671" w:rsidP="003F4671">
      <w:pPr>
        <w:pStyle w:val="BodyText"/>
        <w:ind w:firstLine="0"/>
        <w:jc w:val="both"/>
        <w:rPr>
          <w:rFonts w:ascii="Avenir Next" w:hAnsi="Avenir Next"/>
          <w:b/>
          <w:bCs/>
        </w:rPr>
      </w:pPr>
      <w:r>
        <w:rPr>
          <w:rFonts w:ascii="Avenir Next" w:hAnsi="Avenir Next"/>
          <w:color w:val="808080" w:themeColor="background1" w:themeShade="80"/>
        </w:rPr>
        <w:t xml:space="preserve">(b) intends to present a compromise or arrangements to creditors, or any class of creditors under the Companies Act, the law of a foreign country or via a consensual restructuring. </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43976D99" w14:textId="495ABCB9" w:rsidR="00664E72" w:rsidRDefault="00664E72" w:rsidP="00664E72">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w:t>
      </w:r>
      <w:r w:rsidR="00F32C05">
        <w:rPr>
          <w:rFonts w:ascii="Avenir Next" w:hAnsi="Avenir Next"/>
          <w:color w:val="808080" w:themeColor="background1" w:themeShade="80"/>
        </w:rPr>
        <w:t xml:space="preserve">WR </w:t>
      </w:r>
      <w:r>
        <w:rPr>
          <w:rFonts w:ascii="Avenir Next" w:hAnsi="Avenir Next"/>
          <w:color w:val="808080" w:themeColor="background1" w:themeShade="80"/>
        </w:rPr>
        <w:t>provide that, unless otherwise directed by the Court, every petition seeking to appoint a restructuring officer (</w:t>
      </w:r>
      <w:r w:rsidR="00F32C05">
        <w:rPr>
          <w:rFonts w:ascii="Avenir Next" w:hAnsi="Avenir Next"/>
          <w:b/>
          <w:color w:val="808080" w:themeColor="background1" w:themeShade="80"/>
        </w:rPr>
        <w:t>Restructuring P</w:t>
      </w:r>
      <w:r>
        <w:rPr>
          <w:rFonts w:ascii="Avenir Next" w:hAnsi="Avenir Next"/>
          <w:b/>
          <w:color w:val="808080" w:themeColor="background1" w:themeShade="80"/>
        </w:rPr>
        <w:t>etition</w:t>
      </w:r>
      <w:r>
        <w:rPr>
          <w:rFonts w:ascii="Avenir Next" w:hAnsi="Avenir Next"/>
          <w:color w:val="808080" w:themeColor="background1" w:themeShade="80"/>
        </w:rPr>
        <w:t xml:space="preserve">) must be advertised in a Cayman Islands newspaper (CWR Order 1A, rule 1(3)). The form of the advertisement required is provided by CWR Form No. 3A. </w:t>
      </w:r>
    </w:p>
    <w:p w14:paraId="23545A34" w14:textId="77777777" w:rsidR="00664E72" w:rsidRDefault="00664E72" w:rsidP="00664E72">
      <w:pPr>
        <w:pStyle w:val="BodyText"/>
        <w:ind w:firstLine="0"/>
        <w:jc w:val="both"/>
        <w:rPr>
          <w:rFonts w:ascii="Avenir Next" w:hAnsi="Avenir Next"/>
          <w:color w:val="808080" w:themeColor="background1" w:themeShade="80"/>
        </w:rPr>
      </w:pPr>
    </w:p>
    <w:p w14:paraId="76154BA3" w14:textId="32085979" w:rsidR="00664E72" w:rsidRDefault="00664E72" w:rsidP="00664E72">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Unless the Court directs otherwise, companies operating outside of the Cayman Islands are also required to advertise once in countries in which the existence of the R</w:t>
      </w:r>
      <w:r w:rsidR="00F148D6">
        <w:rPr>
          <w:rFonts w:ascii="Avenir Next" w:hAnsi="Avenir Next"/>
          <w:color w:val="808080" w:themeColor="background1" w:themeShade="80"/>
        </w:rPr>
        <w:t xml:space="preserve">estructuring </w:t>
      </w:r>
      <w:r>
        <w:rPr>
          <w:rFonts w:ascii="Avenir Next" w:hAnsi="Avenir Next"/>
          <w:color w:val="808080" w:themeColor="background1" w:themeShade="80"/>
        </w:rPr>
        <w:t>Petition is most likely to come to the attention of creditors (including contingent or prospective creditors) and contributories, using the official language of those countries as necessary, unless otherwise directed by the Court (CWR Order 1A, rule 1(4)).</w:t>
      </w:r>
    </w:p>
    <w:p w14:paraId="2A03A8BF" w14:textId="77777777" w:rsidR="00664E72" w:rsidRDefault="00664E72" w:rsidP="00664E72">
      <w:pPr>
        <w:pStyle w:val="BodyText"/>
        <w:ind w:firstLine="0"/>
        <w:jc w:val="both"/>
        <w:rPr>
          <w:rFonts w:ascii="Avenir Next" w:hAnsi="Avenir Next"/>
          <w:color w:val="808080" w:themeColor="background1" w:themeShade="80"/>
        </w:rPr>
      </w:pPr>
    </w:p>
    <w:p w14:paraId="696D7D07" w14:textId="77777777" w:rsidR="00664E72" w:rsidRDefault="00664E72" w:rsidP="00664E72">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above advertisements must appear within 7 business days after the RO Petition is filed in Court, and not less than 7 business days before the hearing date (CWR Order 1A, rule 1(5)).</w:t>
      </w:r>
    </w:p>
    <w:p w14:paraId="286266FC" w14:textId="77777777" w:rsidR="00664E72" w:rsidRDefault="00664E72" w:rsidP="00664E72">
      <w:pPr>
        <w:pStyle w:val="BodyText"/>
        <w:ind w:firstLine="0"/>
        <w:jc w:val="both"/>
        <w:rPr>
          <w:rFonts w:ascii="Avenir Next" w:hAnsi="Avenir Next"/>
          <w:color w:val="808080" w:themeColor="background1" w:themeShade="80"/>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21A94D5E" w14:textId="22F54531" w:rsidR="00F32C05" w:rsidRDefault="00F32C05" w:rsidP="0094224E">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Creditor interests </w:t>
      </w:r>
      <w:r w:rsidR="0094224E">
        <w:rPr>
          <w:rFonts w:ascii="Avenir Next" w:hAnsi="Avenir Next"/>
          <w:color w:val="808080" w:themeColor="background1" w:themeShade="80"/>
        </w:rPr>
        <w:t xml:space="preserve">can be </w:t>
      </w:r>
      <w:r>
        <w:rPr>
          <w:rFonts w:ascii="Avenir Next" w:hAnsi="Avenir Next"/>
          <w:color w:val="808080" w:themeColor="background1" w:themeShade="80"/>
        </w:rPr>
        <w:t>protected by the new restructuring officer regime in a number of ways, including:</w:t>
      </w:r>
    </w:p>
    <w:p w14:paraId="07097427" w14:textId="77777777" w:rsidR="00F32C05" w:rsidRDefault="00F32C05" w:rsidP="00662A8E">
      <w:pPr>
        <w:pStyle w:val="BodyText"/>
        <w:ind w:firstLine="0"/>
        <w:rPr>
          <w:rFonts w:ascii="Avenir Next" w:hAnsi="Avenir Next"/>
          <w:color w:val="808080" w:themeColor="background1" w:themeShade="80"/>
        </w:rPr>
      </w:pPr>
    </w:p>
    <w:p w14:paraId="5E85FEA9" w14:textId="2347EF81" w:rsidR="00F32C05" w:rsidRDefault="00F32C05" w:rsidP="00F32C05">
      <w:pPr>
        <w:pStyle w:val="BodyText"/>
        <w:numPr>
          <w:ilvl w:val="0"/>
          <w:numId w:val="33"/>
        </w:numPr>
        <w:rPr>
          <w:rFonts w:ascii="Avenir Next" w:hAnsi="Avenir Next"/>
          <w:color w:val="808080" w:themeColor="background1" w:themeShade="80"/>
        </w:rPr>
      </w:pPr>
      <w:r>
        <w:rPr>
          <w:rFonts w:ascii="Avenir Next" w:hAnsi="Avenir Next"/>
          <w:color w:val="808080" w:themeColor="background1" w:themeShade="80"/>
        </w:rPr>
        <w:t>All Restructuring Petitions are usually heard within 21 days of presentation (</w:t>
      </w:r>
      <w:r w:rsidR="00F148D6">
        <w:rPr>
          <w:rFonts w:ascii="Avenir Next" w:hAnsi="Avenir Next"/>
          <w:color w:val="808080" w:themeColor="background1" w:themeShade="80"/>
        </w:rPr>
        <w:t>CWR, Order 1A, rule 1) meaning that companies can seek quick and efficient relief while protecting creditors from debtor companies that might try to delay matters</w:t>
      </w:r>
      <w:r w:rsidR="00520808">
        <w:rPr>
          <w:rFonts w:ascii="Avenir Next" w:hAnsi="Avenir Next"/>
          <w:color w:val="808080" w:themeColor="background1" w:themeShade="80"/>
        </w:rPr>
        <w:t>.</w:t>
      </w:r>
    </w:p>
    <w:p w14:paraId="30666AF9" w14:textId="77777777" w:rsidR="00F148D6" w:rsidRDefault="00F148D6" w:rsidP="00F148D6">
      <w:pPr>
        <w:pStyle w:val="BodyText"/>
        <w:ind w:left="720" w:firstLine="0"/>
        <w:rPr>
          <w:rFonts w:ascii="Avenir Next" w:hAnsi="Avenir Next"/>
          <w:color w:val="808080" w:themeColor="background1" w:themeShade="80"/>
        </w:rPr>
      </w:pPr>
    </w:p>
    <w:p w14:paraId="36B52179" w14:textId="5BD990BA" w:rsidR="00F148D6" w:rsidRDefault="00F148D6" w:rsidP="00F148D6">
      <w:pPr>
        <w:pStyle w:val="BodyText"/>
        <w:numPr>
          <w:ilvl w:val="0"/>
          <w:numId w:val="33"/>
        </w:numPr>
        <w:jc w:val="both"/>
        <w:rPr>
          <w:rFonts w:ascii="Avenir Next" w:hAnsi="Avenir Next"/>
          <w:color w:val="808080" w:themeColor="background1" w:themeShade="80"/>
        </w:rPr>
      </w:pPr>
      <w:r>
        <w:rPr>
          <w:rFonts w:ascii="Avenir Next" w:hAnsi="Avenir Next"/>
          <w:color w:val="808080" w:themeColor="background1" w:themeShade="80"/>
        </w:rPr>
        <w:t xml:space="preserve">Once appointed, Restructuring Officers must usually report to the Court within 28 days of their appointment </w:t>
      </w:r>
      <w:r>
        <w:rPr>
          <w:rFonts w:ascii="Avenir Next" w:hAnsi="Avenir Next"/>
          <w:color w:val="808080" w:themeColor="background1" w:themeShade="80"/>
        </w:rPr>
        <w:t xml:space="preserve">(CWR, Order 1A, rule </w:t>
      </w:r>
      <w:r>
        <w:rPr>
          <w:rFonts w:ascii="Avenir Next" w:hAnsi="Avenir Next"/>
          <w:color w:val="808080" w:themeColor="background1" w:themeShade="80"/>
        </w:rPr>
        <w:t>8</w:t>
      </w:r>
      <w:r>
        <w:rPr>
          <w:rFonts w:ascii="Avenir Next" w:hAnsi="Avenir Next"/>
          <w:color w:val="808080" w:themeColor="background1" w:themeShade="80"/>
        </w:rPr>
        <w:t>)</w:t>
      </w:r>
      <w:r>
        <w:rPr>
          <w:rFonts w:ascii="Avenir Next" w:hAnsi="Avenir Next"/>
          <w:color w:val="808080" w:themeColor="background1" w:themeShade="80"/>
        </w:rPr>
        <w:t xml:space="preserve"> which is an example of the Court’s close supervision in these matters in order to try to protect stakeholders, including creditors, from long, costly and/or failed restructuring efforts</w:t>
      </w:r>
      <w:r w:rsidR="00520808">
        <w:rPr>
          <w:rFonts w:ascii="Avenir Next" w:hAnsi="Avenir Next"/>
          <w:color w:val="808080" w:themeColor="background1" w:themeShade="80"/>
        </w:rPr>
        <w:t>.</w:t>
      </w:r>
    </w:p>
    <w:p w14:paraId="08CD743E" w14:textId="77777777" w:rsidR="00EA1199" w:rsidRDefault="00EA1199" w:rsidP="00EA1199">
      <w:pPr>
        <w:pStyle w:val="ListParagraph"/>
        <w:rPr>
          <w:rFonts w:ascii="Avenir Next" w:hAnsi="Avenir Next"/>
          <w:color w:val="808080" w:themeColor="background1" w:themeShade="80"/>
        </w:rPr>
      </w:pPr>
    </w:p>
    <w:p w14:paraId="092C2B40" w14:textId="3290E688" w:rsidR="00EA1199" w:rsidRDefault="00F148D6" w:rsidP="00871F4B">
      <w:pPr>
        <w:pStyle w:val="BodyText"/>
        <w:numPr>
          <w:ilvl w:val="0"/>
          <w:numId w:val="33"/>
        </w:numPr>
        <w:jc w:val="both"/>
        <w:rPr>
          <w:rFonts w:ascii="Avenir Next" w:hAnsi="Avenir Next"/>
          <w:color w:val="808080" w:themeColor="background1" w:themeShade="80"/>
        </w:rPr>
      </w:pPr>
      <w:r w:rsidRPr="00EA1199">
        <w:rPr>
          <w:rFonts w:ascii="Avenir Next" w:hAnsi="Avenir Next"/>
          <w:color w:val="808080" w:themeColor="background1" w:themeShade="80"/>
        </w:rPr>
        <w:t>Creditors (including contingent and prospective creditors) can apply to vary or discharge the order appointing the Restructuring Officer under the Companies Act, section 91E(1)(c)</w:t>
      </w:r>
      <w:r w:rsidR="00EA1199" w:rsidRPr="00EA1199">
        <w:rPr>
          <w:rFonts w:ascii="Avenir Next" w:hAnsi="Avenir Next"/>
          <w:color w:val="808080" w:themeColor="background1" w:themeShade="80"/>
        </w:rPr>
        <w:t>, by summons</w:t>
      </w:r>
      <w:r w:rsidR="00EA1199">
        <w:rPr>
          <w:rFonts w:ascii="Avenir Next" w:hAnsi="Avenir Next"/>
          <w:color w:val="808080" w:themeColor="background1" w:themeShade="80"/>
        </w:rPr>
        <w:t xml:space="preserve"> </w:t>
      </w:r>
      <w:r w:rsidR="00EA1199" w:rsidRPr="00EA1199">
        <w:rPr>
          <w:rFonts w:ascii="Avenir Next" w:hAnsi="Avenir Next"/>
          <w:color w:val="808080" w:themeColor="background1" w:themeShade="80"/>
        </w:rPr>
        <w:t xml:space="preserve">(CWR, Order 1A, rule </w:t>
      </w:r>
      <w:r w:rsidR="00EA1199" w:rsidRPr="00EA1199">
        <w:rPr>
          <w:rFonts w:ascii="Avenir Next" w:hAnsi="Avenir Next"/>
          <w:color w:val="808080" w:themeColor="background1" w:themeShade="80"/>
        </w:rPr>
        <w:t>9</w:t>
      </w:r>
      <w:r w:rsidR="00EA1199" w:rsidRPr="00EA1199">
        <w:rPr>
          <w:rFonts w:ascii="Avenir Next" w:hAnsi="Avenir Next"/>
          <w:color w:val="808080" w:themeColor="background1" w:themeShade="80"/>
        </w:rPr>
        <w:t>)</w:t>
      </w:r>
      <w:r w:rsidR="00EA1199" w:rsidRPr="00EA1199">
        <w:rPr>
          <w:rFonts w:ascii="Avenir Next" w:hAnsi="Avenir Next"/>
          <w:color w:val="808080" w:themeColor="background1" w:themeShade="80"/>
        </w:rPr>
        <w:t>. The order appointing the Restructuring Officer is key in terms of defining the Restructuring Officers</w:t>
      </w:r>
      <w:r w:rsidR="00EA1199">
        <w:rPr>
          <w:rFonts w:ascii="Avenir Next" w:hAnsi="Avenir Next"/>
          <w:color w:val="808080" w:themeColor="background1" w:themeShade="80"/>
        </w:rPr>
        <w:t>’</w:t>
      </w:r>
      <w:r w:rsidR="00EA1199" w:rsidRPr="00EA1199">
        <w:rPr>
          <w:rFonts w:ascii="Avenir Next" w:hAnsi="Avenir Next"/>
          <w:color w:val="808080" w:themeColor="background1" w:themeShade="80"/>
        </w:rPr>
        <w:t xml:space="preserve"> powers,</w:t>
      </w:r>
      <w:r w:rsidR="0094224E">
        <w:rPr>
          <w:rFonts w:ascii="Avenir Next" w:hAnsi="Avenir Next"/>
          <w:color w:val="808080" w:themeColor="background1" w:themeShade="80"/>
        </w:rPr>
        <w:t xml:space="preserve"> including the manner and extent to which such powers will modify the board of directors (Companies Act, section 91</w:t>
      </w:r>
      <w:proofErr w:type="gramStart"/>
      <w:r w:rsidR="0094224E">
        <w:rPr>
          <w:rFonts w:ascii="Avenir Next" w:hAnsi="Avenir Next"/>
          <w:color w:val="808080" w:themeColor="background1" w:themeShade="80"/>
        </w:rPr>
        <w:t>B(</w:t>
      </w:r>
      <w:proofErr w:type="gramEnd"/>
      <w:r w:rsidR="0094224E">
        <w:rPr>
          <w:rFonts w:ascii="Avenir Next" w:hAnsi="Avenir Next"/>
          <w:color w:val="808080" w:themeColor="background1" w:themeShade="80"/>
        </w:rPr>
        <w:t>4) and (5). H</w:t>
      </w:r>
      <w:r w:rsidR="00EA1199">
        <w:rPr>
          <w:rFonts w:ascii="Avenir Next" w:hAnsi="Avenir Next"/>
          <w:color w:val="808080" w:themeColor="background1" w:themeShade="80"/>
        </w:rPr>
        <w:t xml:space="preserve">aving an ongoing ability to potentially shape the form of the order is </w:t>
      </w:r>
      <w:r w:rsidR="0094224E">
        <w:rPr>
          <w:rFonts w:ascii="Avenir Next" w:hAnsi="Avenir Next"/>
          <w:color w:val="808080" w:themeColor="background1" w:themeShade="80"/>
        </w:rPr>
        <w:t xml:space="preserve">therefore </w:t>
      </w:r>
      <w:r w:rsidR="00EA1199">
        <w:rPr>
          <w:rFonts w:ascii="Avenir Next" w:hAnsi="Avenir Next"/>
          <w:color w:val="808080" w:themeColor="background1" w:themeShade="80"/>
        </w:rPr>
        <w:t>an important tool available to creditors</w:t>
      </w:r>
      <w:r w:rsidR="0094224E">
        <w:rPr>
          <w:rFonts w:ascii="Avenir Next" w:hAnsi="Avenir Next"/>
          <w:color w:val="808080" w:themeColor="background1" w:themeShade="80"/>
        </w:rPr>
        <w:t>, such as in circumstances where wish to seek further limitations to the powers of directors in whom faith may have been lost as a result of the need to restructure</w:t>
      </w:r>
      <w:r w:rsidR="00520808">
        <w:rPr>
          <w:rFonts w:ascii="Avenir Next" w:hAnsi="Avenir Next"/>
          <w:color w:val="808080" w:themeColor="background1" w:themeShade="80"/>
        </w:rPr>
        <w:t>.</w:t>
      </w:r>
      <w:r w:rsidR="00EA1199">
        <w:rPr>
          <w:rFonts w:ascii="Avenir Next" w:hAnsi="Avenir Next"/>
          <w:color w:val="808080" w:themeColor="background1" w:themeShade="80"/>
        </w:rPr>
        <w:br/>
      </w:r>
    </w:p>
    <w:p w14:paraId="362C23F0" w14:textId="77777777" w:rsidR="0094224E" w:rsidRDefault="00EA1199" w:rsidP="00871F4B">
      <w:pPr>
        <w:pStyle w:val="BodyText"/>
        <w:numPr>
          <w:ilvl w:val="0"/>
          <w:numId w:val="33"/>
        </w:numPr>
        <w:jc w:val="both"/>
        <w:rPr>
          <w:rFonts w:ascii="Avenir Next" w:hAnsi="Avenir Next"/>
          <w:color w:val="808080" w:themeColor="background1" w:themeShade="80"/>
        </w:rPr>
      </w:pPr>
      <w:r w:rsidRPr="00EA1199">
        <w:rPr>
          <w:rFonts w:ascii="Avenir Next" w:hAnsi="Avenir Next"/>
          <w:color w:val="808080" w:themeColor="background1" w:themeShade="80"/>
        </w:rPr>
        <w:t xml:space="preserve">Creditors (including contingent and prospective creditors) can apply to </w:t>
      </w:r>
      <w:r>
        <w:rPr>
          <w:rFonts w:ascii="Avenir Next" w:hAnsi="Avenir Next"/>
          <w:color w:val="808080" w:themeColor="background1" w:themeShade="80"/>
        </w:rPr>
        <w:t xml:space="preserve">remove and replace </w:t>
      </w:r>
      <w:r w:rsidRPr="00EA1199">
        <w:rPr>
          <w:rFonts w:ascii="Avenir Next" w:hAnsi="Avenir Next"/>
          <w:color w:val="808080" w:themeColor="background1" w:themeShade="80"/>
        </w:rPr>
        <w:t>the Restructuring Officer under the Companies Act, section 91</w:t>
      </w:r>
      <w:r>
        <w:rPr>
          <w:rFonts w:ascii="Avenir Next" w:hAnsi="Avenir Next"/>
          <w:color w:val="808080" w:themeColor="background1" w:themeShade="80"/>
        </w:rPr>
        <w:t>F</w:t>
      </w:r>
      <w:r w:rsidRPr="00EA1199">
        <w:rPr>
          <w:rFonts w:ascii="Avenir Next" w:hAnsi="Avenir Next"/>
          <w:color w:val="808080" w:themeColor="background1" w:themeShade="80"/>
        </w:rPr>
        <w:t>(1)(</w:t>
      </w:r>
      <w:r>
        <w:rPr>
          <w:rFonts w:ascii="Avenir Next" w:hAnsi="Avenir Next"/>
          <w:color w:val="808080" w:themeColor="background1" w:themeShade="80"/>
        </w:rPr>
        <w:t>b</w:t>
      </w:r>
      <w:r w:rsidRPr="00EA1199">
        <w:rPr>
          <w:rFonts w:ascii="Avenir Next" w:hAnsi="Avenir Next"/>
          <w:color w:val="808080" w:themeColor="background1" w:themeShade="80"/>
        </w:rPr>
        <w:t>), by summons</w:t>
      </w:r>
      <w:r>
        <w:rPr>
          <w:rFonts w:ascii="Avenir Next" w:hAnsi="Avenir Next"/>
          <w:color w:val="808080" w:themeColor="background1" w:themeShade="80"/>
        </w:rPr>
        <w:t xml:space="preserve"> </w:t>
      </w:r>
      <w:r w:rsidRPr="00EA1199">
        <w:rPr>
          <w:rFonts w:ascii="Avenir Next" w:hAnsi="Avenir Next"/>
          <w:color w:val="808080" w:themeColor="background1" w:themeShade="80"/>
        </w:rPr>
        <w:t xml:space="preserve">(CWR, Order 1A, rule 9). </w:t>
      </w:r>
    </w:p>
    <w:p w14:paraId="76768467" w14:textId="77777777" w:rsidR="0094224E" w:rsidRDefault="0094224E" w:rsidP="0094224E">
      <w:pPr>
        <w:pStyle w:val="BodyText"/>
        <w:ind w:left="720" w:firstLine="0"/>
        <w:jc w:val="both"/>
        <w:rPr>
          <w:rFonts w:ascii="Avenir Next" w:hAnsi="Avenir Next"/>
          <w:color w:val="808080" w:themeColor="background1" w:themeShade="80"/>
        </w:rPr>
      </w:pPr>
    </w:p>
    <w:p w14:paraId="7B07D472" w14:textId="77777777" w:rsidR="0094224E" w:rsidRDefault="00EA1199" w:rsidP="0094224E">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t>Given that this is a new regime, there is no direct precedent as to the specific grounds for removal, but it is expected by professionals in the industry</w:t>
      </w:r>
      <w:r w:rsidR="0094224E">
        <w:rPr>
          <w:rFonts w:ascii="Avenir Next" w:hAnsi="Avenir Next"/>
          <w:color w:val="808080" w:themeColor="background1" w:themeShade="80"/>
        </w:rPr>
        <w:t xml:space="preserve"> (Course Handbook, paragraph 5.4.5.2(b)</w:t>
      </w:r>
      <w:r>
        <w:rPr>
          <w:rFonts w:ascii="Avenir Next" w:hAnsi="Avenir Next"/>
          <w:color w:val="808080" w:themeColor="background1" w:themeShade="80"/>
        </w:rPr>
        <w:t xml:space="preserve"> that the Court </w:t>
      </w:r>
      <w:r w:rsidR="0094224E">
        <w:rPr>
          <w:rFonts w:ascii="Avenir Next" w:hAnsi="Avenir Next"/>
          <w:color w:val="808080" w:themeColor="background1" w:themeShade="80"/>
        </w:rPr>
        <w:t xml:space="preserve">will continue to follow existing authorities on the question recently set out by Justice Doyle In the </w:t>
      </w:r>
      <w:r w:rsidR="0094224E">
        <w:rPr>
          <w:rFonts w:ascii="Avenir Next" w:hAnsi="Avenir Next"/>
          <w:i/>
          <w:color w:val="808080" w:themeColor="background1" w:themeShade="80"/>
        </w:rPr>
        <w:t xml:space="preserve">Matter of Global Fidelity Bank, Ltd </w:t>
      </w:r>
      <w:r w:rsidR="0094224E">
        <w:rPr>
          <w:rFonts w:ascii="Avenir Next" w:hAnsi="Avenir Next"/>
          <w:color w:val="808080" w:themeColor="background1" w:themeShade="80"/>
        </w:rPr>
        <w:t>(FSD 168 of 2021, unreported, Doyle J 20 August 2021).</w:t>
      </w:r>
    </w:p>
    <w:p w14:paraId="5467D7B8" w14:textId="78EAD35E" w:rsidR="00EA1199" w:rsidRPr="00EA1199" w:rsidRDefault="00EA1199" w:rsidP="0094224E">
      <w:pPr>
        <w:pStyle w:val="BodyText"/>
        <w:ind w:left="720" w:firstLine="0"/>
        <w:jc w:val="both"/>
        <w:rPr>
          <w:rFonts w:ascii="Avenir Next" w:hAnsi="Avenir Next"/>
          <w:color w:val="808080" w:themeColor="background1" w:themeShade="80"/>
        </w:rPr>
      </w:pPr>
    </w:p>
    <w:p w14:paraId="6E09CDE1" w14:textId="2B9F5B34" w:rsidR="00EA1199" w:rsidRDefault="0094224E" w:rsidP="00F148D6">
      <w:pPr>
        <w:pStyle w:val="BodyText"/>
        <w:numPr>
          <w:ilvl w:val="0"/>
          <w:numId w:val="33"/>
        </w:numPr>
        <w:jc w:val="both"/>
        <w:rPr>
          <w:rFonts w:ascii="Avenir Next" w:hAnsi="Avenir Next"/>
          <w:color w:val="808080" w:themeColor="background1" w:themeShade="80"/>
        </w:rPr>
      </w:pPr>
      <w:r>
        <w:rPr>
          <w:rFonts w:ascii="Avenir Next" w:hAnsi="Avenir Next"/>
          <w:color w:val="808080" w:themeColor="background1" w:themeShade="80"/>
        </w:rPr>
        <w:t>Secured creditors have specific protection under the regime in that if security is held over the whole of part of the assets of the company, that secured creditor is entitled to enforce security without leave of the Court or reference to the Restructuring Officer.</w:t>
      </w:r>
    </w:p>
    <w:p w14:paraId="1B7AA3D9" w14:textId="77777777" w:rsidR="0094224E" w:rsidRDefault="0094224E" w:rsidP="0094224E">
      <w:pPr>
        <w:pStyle w:val="BodyText"/>
        <w:ind w:firstLine="0"/>
        <w:jc w:val="both"/>
        <w:rPr>
          <w:rFonts w:ascii="Avenir Next" w:hAnsi="Avenir Next"/>
          <w:color w:val="808080" w:themeColor="background1" w:themeShade="80"/>
        </w:rPr>
      </w:pPr>
    </w:p>
    <w:p w14:paraId="00A7C3FC" w14:textId="1C0E2AF1" w:rsidR="00F148D6" w:rsidRDefault="00520808" w:rsidP="00520808">
      <w:pPr>
        <w:pStyle w:val="BodyText"/>
        <w:numPr>
          <w:ilvl w:val="0"/>
          <w:numId w:val="33"/>
        </w:numPr>
        <w:jc w:val="both"/>
        <w:rPr>
          <w:rFonts w:ascii="Avenir Next" w:hAnsi="Avenir Next"/>
          <w:color w:val="808080" w:themeColor="background1" w:themeShade="80"/>
        </w:rPr>
      </w:pPr>
      <w:r>
        <w:rPr>
          <w:rFonts w:ascii="Avenir Next" w:hAnsi="Avenir Next"/>
          <w:color w:val="808080" w:themeColor="background1" w:themeShade="80"/>
        </w:rPr>
        <w:lastRenderedPageBreak/>
        <w:t>Creditors (including contingent or prospective creditors), also have an ongoing ability to apply to the Court to determine any question arising in the course of the restructuring under the Companies Act, section 91</w:t>
      </w:r>
      <w:proofErr w:type="gramStart"/>
      <w:r>
        <w:rPr>
          <w:rFonts w:ascii="Avenir Next" w:hAnsi="Avenir Next"/>
          <w:color w:val="808080" w:themeColor="background1" w:themeShade="80"/>
        </w:rPr>
        <w:t>D(</w:t>
      </w:r>
      <w:proofErr w:type="gramEnd"/>
      <w:r>
        <w:rPr>
          <w:rFonts w:ascii="Avenir Next" w:hAnsi="Avenir Next"/>
          <w:color w:val="808080" w:themeColor="background1" w:themeShade="80"/>
        </w:rPr>
        <w:t xml:space="preserve">7). </w:t>
      </w:r>
      <w:r w:rsidR="00F148D6">
        <w:rPr>
          <w:rFonts w:ascii="Avenir Next" w:hAnsi="Avenir Next"/>
          <w:color w:val="808080" w:themeColor="background1" w:themeShade="80"/>
        </w:rPr>
        <w:t xml:space="preserve">  </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F7930B2" w14:textId="77777777" w:rsidR="00E008CD" w:rsidRDefault="00E008CD" w:rsidP="00662A8E">
      <w:pPr>
        <w:pStyle w:val="BodyText"/>
        <w:ind w:firstLine="0"/>
        <w:rPr>
          <w:rFonts w:ascii="Avenir Next" w:hAnsi="Avenir Next"/>
          <w:color w:val="808080" w:themeColor="background1" w:themeShade="80"/>
        </w:rPr>
      </w:pPr>
    </w:p>
    <w:p w14:paraId="565CC922" w14:textId="3EEEEFFA" w:rsidR="00685D47" w:rsidRDefault="00685D47"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Companies Act provides (at section 91</w:t>
      </w:r>
      <w:proofErr w:type="gramStart"/>
      <w:r>
        <w:rPr>
          <w:rFonts w:ascii="Avenir Next" w:hAnsi="Avenir Next"/>
          <w:color w:val="808080" w:themeColor="background1" w:themeShade="80"/>
        </w:rPr>
        <w:t>B(</w:t>
      </w:r>
      <w:proofErr w:type="gramEnd"/>
      <w:r>
        <w:rPr>
          <w:rFonts w:ascii="Avenir Next" w:hAnsi="Avenir Next"/>
          <w:color w:val="808080" w:themeColor="background1" w:themeShade="80"/>
        </w:rPr>
        <w:t>3)) that on the hearing of a Restructuring Petition the Court may:</w:t>
      </w:r>
    </w:p>
    <w:p w14:paraId="01B3EF44" w14:textId="77777777" w:rsidR="00685D47" w:rsidRDefault="00685D47" w:rsidP="00662A8E">
      <w:pPr>
        <w:pStyle w:val="BodyText"/>
        <w:ind w:firstLine="0"/>
        <w:rPr>
          <w:rFonts w:ascii="Avenir Next" w:hAnsi="Avenir Next"/>
          <w:color w:val="808080" w:themeColor="background1" w:themeShade="80"/>
        </w:rPr>
      </w:pPr>
    </w:p>
    <w:p w14:paraId="7CFF4813" w14:textId="5991CDE7" w:rsidR="00685D47" w:rsidRDefault="00685D47" w:rsidP="00685D47">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Make an order appointing a Restructuring Officer;</w:t>
      </w:r>
    </w:p>
    <w:p w14:paraId="584544F0" w14:textId="4994FCF8" w:rsidR="00685D47" w:rsidRDefault="00685D47" w:rsidP="00685D47">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Adjourn the hearing (conditionally or unconditionally);</w:t>
      </w:r>
    </w:p>
    <w:p w14:paraId="32CF7E14" w14:textId="33183B60" w:rsidR="00685D47" w:rsidRDefault="00685D47" w:rsidP="00685D47">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Dismiss the Restructuring Petition;</w:t>
      </w:r>
    </w:p>
    <w:p w14:paraId="43AA9071" w14:textId="105D689F" w:rsidR="00685D47" w:rsidRDefault="00685D47" w:rsidP="00685D47">
      <w:pPr>
        <w:pStyle w:val="BodyText"/>
        <w:numPr>
          <w:ilvl w:val="0"/>
          <w:numId w:val="34"/>
        </w:numPr>
        <w:rPr>
          <w:rFonts w:ascii="Avenir Next" w:hAnsi="Avenir Next"/>
          <w:color w:val="808080" w:themeColor="background1" w:themeShade="80"/>
        </w:rPr>
      </w:pPr>
      <w:r>
        <w:rPr>
          <w:rFonts w:ascii="Avenir Next" w:hAnsi="Avenir Next"/>
          <w:color w:val="808080" w:themeColor="background1" w:themeShade="80"/>
        </w:rPr>
        <w:t xml:space="preserve">Make any other the Court thinks fit, </w:t>
      </w:r>
      <w:r>
        <w:rPr>
          <w:rFonts w:ascii="Avenir Next" w:hAnsi="Avenir Next"/>
          <w:color w:val="808080" w:themeColor="background1" w:themeShade="80"/>
          <w:u w:val="single"/>
        </w:rPr>
        <w:t>with the exception of</w:t>
      </w:r>
      <w:r>
        <w:rPr>
          <w:rFonts w:ascii="Avenir Next" w:hAnsi="Avenir Next"/>
          <w:color w:val="808080" w:themeColor="background1" w:themeShade="80"/>
        </w:rPr>
        <w:t xml:space="preserve"> an order placing the company into official liquidation, which the Court can only make if a winding-up petition has been presented. </w:t>
      </w:r>
    </w:p>
    <w:p w14:paraId="651692AE" w14:textId="77777777" w:rsidR="00685D47" w:rsidRDefault="00685D47" w:rsidP="00662A8E">
      <w:pPr>
        <w:pStyle w:val="BodyText"/>
        <w:ind w:firstLine="0"/>
        <w:rPr>
          <w:rFonts w:ascii="Avenir Next" w:hAnsi="Avenir Next"/>
          <w:color w:val="808080" w:themeColor="background1" w:themeShade="80"/>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52BDA73" w14:textId="00AAB5F2" w:rsidR="006D7C44" w:rsidRDefault="00685D47" w:rsidP="00403C2E">
      <w:pPr>
        <w:pStyle w:val="BodyText"/>
        <w:ind w:firstLine="0"/>
        <w:jc w:val="both"/>
        <w:rPr>
          <w:color w:val="A6A6A6" w:themeColor="background1" w:themeShade="A6"/>
        </w:rPr>
      </w:pPr>
      <w:r>
        <w:rPr>
          <w:rFonts w:ascii="Avenir Next" w:hAnsi="Avenir Next"/>
          <w:color w:val="808080" w:themeColor="background1" w:themeShade="80"/>
        </w:rPr>
        <w:t xml:space="preserve">The operation of ELPs is governed by the Limited Partnership Agreement and the Exempted Limited Partners Act 2021 (the </w:t>
      </w:r>
      <w:r>
        <w:rPr>
          <w:rFonts w:ascii="Avenir Next" w:hAnsi="Avenir Next"/>
          <w:b/>
          <w:color w:val="808080" w:themeColor="background1" w:themeShade="80"/>
        </w:rPr>
        <w:t>ELPA</w:t>
      </w:r>
      <w:r>
        <w:rPr>
          <w:rFonts w:ascii="Avenir Next" w:hAnsi="Avenir Next"/>
          <w:color w:val="808080" w:themeColor="background1" w:themeShade="80"/>
        </w:rPr>
        <w:t xml:space="preserve">). The general rules of equity and common law applicable to partnerships as modified by the Partnership Act (2013 Revision) also apply (with the exception of sections 31, 45 to 54 and 56 to 57), except where they may be inconsistent with the ELPA (section 3 of the ELPA).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6C978611" w14:textId="39852607" w:rsidR="00403C2E" w:rsidRDefault="00403C2E" w:rsidP="004F55B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Grand Court has jurisdiction to wind up a foreign company on the following grounds, under the Companies Act section 91 if that foreign company:</w:t>
      </w:r>
    </w:p>
    <w:p w14:paraId="5991EB6F" w14:textId="77777777" w:rsidR="00403C2E" w:rsidRDefault="00403C2E" w:rsidP="004F55B1">
      <w:pPr>
        <w:pStyle w:val="BodyText"/>
        <w:ind w:firstLine="0"/>
        <w:jc w:val="both"/>
        <w:rPr>
          <w:rFonts w:ascii="Avenir Next" w:hAnsi="Avenir Next"/>
          <w:color w:val="808080" w:themeColor="background1" w:themeShade="80"/>
        </w:rPr>
      </w:pPr>
    </w:p>
    <w:p w14:paraId="46BCEF4D" w14:textId="693B5D7E" w:rsidR="00403C2E" w:rsidRPr="00403C2E" w:rsidRDefault="004F55B1" w:rsidP="00403C2E">
      <w:pPr>
        <w:pStyle w:val="BodyText"/>
        <w:numPr>
          <w:ilvl w:val="0"/>
          <w:numId w:val="35"/>
        </w:numPr>
        <w:jc w:val="both"/>
        <w:rPr>
          <w:rFonts w:ascii="Avenir Next" w:hAnsi="Avenir Next"/>
          <w:b/>
          <w:bCs/>
        </w:rPr>
      </w:pPr>
      <w:r>
        <w:rPr>
          <w:rFonts w:ascii="Avenir Next" w:hAnsi="Avenir Next"/>
          <w:color w:val="808080" w:themeColor="background1" w:themeShade="80"/>
        </w:rPr>
        <w:t xml:space="preserve">has property located in the </w:t>
      </w:r>
      <w:r w:rsidR="00403C2E">
        <w:rPr>
          <w:rFonts w:ascii="Avenir Next" w:hAnsi="Avenir Next"/>
          <w:color w:val="808080" w:themeColor="background1" w:themeShade="80"/>
        </w:rPr>
        <w:t xml:space="preserve">Cayman </w:t>
      </w:r>
      <w:r>
        <w:rPr>
          <w:rFonts w:ascii="Avenir Next" w:hAnsi="Avenir Next"/>
          <w:color w:val="808080" w:themeColor="background1" w:themeShade="80"/>
        </w:rPr>
        <w:t>Islands</w:t>
      </w:r>
      <w:r w:rsidR="00403C2E">
        <w:rPr>
          <w:rFonts w:ascii="Avenir Next" w:hAnsi="Avenir Next"/>
          <w:color w:val="808080" w:themeColor="background1" w:themeShade="80"/>
        </w:rPr>
        <w:t>;</w:t>
      </w:r>
    </w:p>
    <w:p w14:paraId="1AF8E607" w14:textId="03CCD8C2" w:rsidR="00403C2E" w:rsidRPr="00403C2E" w:rsidRDefault="004F55B1" w:rsidP="00403C2E">
      <w:pPr>
        <w:pStyle w:val="BodyText"/>
        <w:numPr>
          <w:ilvl w:val="0"/>
          <w:numId w:val="35"/>
        </w:numPr>
        <w:jc w:val="both"/>
        <w:rPr>
          <w:rFonts w:ascii="Avenir Next" w:hAnsi="Avenir Next"/>
          <w:b/>
          <w:bCs/>
        </w:rPr>
      </w:pPr>
      <w:r>
        <w:rPr>
          <w:rFonts w:ascii="Avenir Next" w:hAnsi="Avenir Next"/>
          <w:color w:val="808080" w:themeColor="background1" w:themeShade="80"/>
        </w:rPr>
        <w:t xml:space="preserve">is carrying on business in the </w:t>
      </w:r>
      <w:r w:rsidR="00403C2E">
        <w:rPr>
          <w:rFonts w:ascii="Avenir Next" w:hAnsi="Avenir Next"/>
          <w:color w:val="808080" w:themeColor="background1" w:themeShade="80"/>
        </w:rPr>
        <w:t xml:space="preserve">Cayman </w:t>
      </w:r>
      <w:r>
        <w:rPr>
          <w:rFonts w:ascii="Avenir Next" w:hAnsi="Avenir Next"/>
          <w:color w:val="808080" w:themeColor="background1" w:themeShade="80"/>
        </w:rPr>
        <w:t>Islands</w:t>
      </w:r>
      <w:r w:rsidR="00403C2E">
        <w:rPr>
          <w:rFonts w:ascii="Avenir Next" w:hAnsi="Avenir Next"/>
          <w:color w:val="808080" w:themeColor="background1" w:themeShade="80"/>
        </w:rPr>
        <w:t>;</w:t>
      </w:r>
    </w:p>
    <w:p w14:paraId="386D8985" w14:textId="546371A7" w:rsidR="00403C2E" w:rsidRPr="00403C2E" w:rsidRDefault="004F55B1" w:rsidP="00403C2E">
      <w:pPr>
        <w:pStyle w:val="BodyText"/>
        <w:numPr>
          <w:ilvl w:val="0"/>
          <w:numId w:val="35"/>
        </w:numPr>
        <w:jc w:val="both"/>
        <w:rPr>
          <w:rFonts w:ascii="Avenir Next" w:hAnsi="Avenir Next"/>
          <w:b/>
          <w:bCs/>
        </w:rPr>
      </w:pPr>
      <w:r>
        <w:rPr>
          <w:rFonts w:ascii="Avenir Next" w:hAnsi="Avenir Next"/>
          <w:color w:val="808080" w:themeColor="background1" w:themeShade="80"/>
        </w:rPr>
        <w:t>is the general partner of a limited partnership</w:t>
      </w:r>
      <w:r w:rsidR="00403C2E">
        <w:rPr>
          <w:rFonts w:ascii="Avenir Next" w:hAnsi="Avenir Next"/>
          <w:color w:val="808080" w:themeColor="background1" w:themeShade="80"/>
        </w:rPr>
        <w:t xml:space="preserve">; </w:t>
      </w:r>
    </w:p>
    <w:p w14:paraId="2418646F" w14:textId="1CDA11FC" w:rsidR="00403C2E" w:rsidRPr="00403C2E" w:rsidRDefault="004F55B1" w:rsidP="00403C2E">
      <w:pPr>
        <w:pStyle w:val="BodyText"/>
        <w:numPr>
          <w:ilvl w:val="0"/>
          <w:numId w:val="35"/>
        </w:numPr>
        <w:jc w:val="both"/>
        <w:rPr>
          <w:rFonts w:ascii="Avenir Next" w:hAnsi="Avenir Next"/>
          <w:b/>
          <w:bCs/>
        </w:rPr>
      </w:pPr>
      <w:r>
        <w:rPr>
          <w:rFonts w:ascii="Avenir Next" w:hAnsi="Avenir Next"/>
          <w:color w:val="808080" w:themeColor="background1" w:themeShade="80"/>
        </w:rPr>
        <w:t>is registered under Part IX</w:t>
      </w:r>
      <w:r w:rsidR="00403C2E">
        <w:rPr>
          <w:rFonts w:ascii="Avenir Next" w:hAnsi="Avenir Next"/>
          <w:color w:val="808080" w:themeColor="background1" w:themeShade="80"/>
        </w:rPr>
        <w:t xml:space="preserve"> of the Companies Act</w:t>
      </w:r>
      <w:r>
        <w:rPr>
          <w:rFonts w:ascii="Avenir Next" w:hAnsi="Avenir Next"/>
          <w:color w:val="808080" w:themeColor="background1" w:themeShade="80"/>
        </w:rPr>
        <w:t xml:space="preserve"> (a so-called </w:t>
      </w:r>
      <w:r w:rsidR="00403C2E">
        <w:rPr>
          <w:rFonts w:ascii="Avenir Next" w:hAnsi="Avenir Next"/>
          <w:color w:val="808080" w:themeColor="background1" w:themeShade="80"/>
        </w:rPr>
        <w:t>“</w:t>
      </w:r>
      <w:r>
        <w:rPr>
          <w:rFonts w:ascii="Avenir Next" w:hAnsi="Avenir Next"/>
          <w:color w:val="808080" w:themeColor="background1" w:themeShade="80"/>
        </w:rPr>
        <w:t>overseas company</w:t>
      </w:r>
      <w:r w:rsidR="00403C2E">
        <w:rPr>
          <w:rFonts w:ascii="Avenir Next" w:hAnsi="Avenir Next"/>
          <w:color w:val="808080" w:themeColor="background1" w:themeShade="80"/>
        </w:rPr>
        <w:t>”</w:t>
      </w:r>
      <w:r>
        <w:rPr>
          <w:rFonts w:ascii="Avenir Next" w:hAnsi="Avenir Next"/>
          <w:color w:val="808080" w:themeColor="background1" w:themeShade="80"/>
        </w:rPr>
        <w:t>)</w:t>
      </w:r>
      <w:r w:rsidR="00403C2E">
        <w:rPr>
          <w:rFonts w:ascii="Avenir Next" w:hAnsi="Avenir Next"/>
          <w:color w:val="808080" w:themeColor="background1" w:themeShade="80"/>
        </w:rPr>
        <w:t>; or</w:t>
      </w:r>
    </w:p>
    <w:p w14:paraId="27262C53" w14:textId="0BEBA722" w:rsidR="00403C2E" w:rsidRPr="00403C2E" w:rsidRDefault="00403C2E" w:rsidP="00FB2A4C">
      <w:pPr>
        <w:pStyle w:val="BodyText"/>
        <w:numPr>
          <w:ilvl w:val="0"/>
          <w:numId w:val="35"/>
        </w:numPr>
        <w:jc w:val="both"/>
        <w:rPr>
          <w:rFonts w:ascii="Avenir Next" w:hAnsi="Avenir Next"/>
          <w:b/>
          <w:bCs/>
        </w:rPr>
      </w:pPr>
      <w:r w:rsidRPr="00403C2E">
        <w:rPr>
          <w:rFonts w:ascii="Avenir Next" w:hAnsi="Avenir Next"/>
          <w:color w:val="808080" w:themeColor="background1" w:themeShade="80"/>
        </w:rPr>
        <w:t>was incorporated elsewhere but has subsequently registered in the Cayman Islands and therefore now registered under local law.</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1F52AE80" w:rsidR="00712982" w:rsidRPr="00486A0B" w:rsidRDefault="005A5892" w:rsidP="005A5892">
      <w:pPr>
        <w:pStyle w:val="BodyText"/>
        <w:ind w:firstLine="0"/>
        <w:jc w:val="both"/>
        <w:rPr>
          <w:rFonts w:ascii="Avenir Next" w:hAnsi="Avenir Next"/>
          <w:b/>
          <w:bCs/>
        </w:rPr>
      </w:pPr>
      <w:r>
        <w:rPr>
          <w:rFonts w:ascii="Avenir Next" w:hAnsi="Avenir Next"/>
          <w:color w:val="808080" w:themeColor="background1" w:themeShade="80"/>
        </w:rPr>
        <w:t xml:space="preserve">Ordinarily, judgments of a foreign court </w:t>
      </w:r>
      <w:r w:rsidR="00EB3B3C">
        <w:rPr>
          <w:rFonts w:ascii="Avenir Next" w:hAnsi="Avenir Next"/>
          <w:color w:val="808080" w:themeColor="background1" w:themeShade="80"/>
        </w:rPr>
        <w:t xml:space="preserve">do need either </w:t>
      </w:r>
      <w:r>
        <w:rPr>
          <w:rFonts w:ascii="Avenir Next" w:hAnsi="Avenir Next"/>
          <w:color w:val="808080" w:themeColor="background1" w:themeShade="80"/>
        </w:rPr>
        <w:t>to be registered under the Foreign Judgments Reciprocal Enforcement Act (1996 Revision), or enforced by the commencement of a new action in the Cayman Islands on the basis that the foreign judgment is evidence of a debt. This is because</w:t>
      </w:r>
      <w:r w:rsidR="00EB3B3C">
        <w:rPr>
          <w:rFonts w:ascii="Avenir Next" w:hAnsi="Avenir Next"/>
          <w:color w:val="808080" w:themeColor="background1" w:themeShade="80"/>
        </w:rPr>
        <w:t>, ordinarily,</w:t>
      </w:r>
      <w:r>
        <w:rPr>
          <w:rFonts w:ascii="Avenir Next" w:hAnsi="Avenir Next"/>
          <w:color w:val="808080" w:themeColor="background1" w:themeShade="80"/>
        </w:rPr>
        <w:t xml:space="preserve"> a judgment or order of a foreign court has no direct legal effect in the Cayman Islands</w:t>
      </w:r>
      <w:proofErr w:type="gramStart"/>
      <w:r w:rsidR="00EB3B3C">
        <w:rPr>
          <w:rFonts w:ascii="Avenir Next" w:hAnsi="Avenir Next"/>
          <w:color w:val="808080" w:themeColor="background1" w:themeShade="80"/>
        </w:rPr>
        <w:t xml:space="preserve">. </w:t>
      </w:r>
      <w:proofErr w:type="gramEnd"/>
      <w:r w:rsidR="00EB3B3C">
        <w:rPr>
          <w:rFonts w:ascii="Avenir Next" w:hAnsi="Avenir Next"/>
          <w:color w:val="808080" w:themeColor="background1" w:themeShade="80"/>
        </w:rPr>
        <w:t xml:space="preserve">However, in the case of </w:t>
      </w:r>
      <w:proofErr w:type="gramStart"/>
      <w:r w:rsidR="00EB3B3C">
        <w:rPr>
          <w:rFonts w:ascii="Avenir Next" w:hAnsi="Avenir Next"/>
          <w:i/>
          <w:color w:val="808080" w:themeColor="background1" w:themeShade="80"/>
        </w:rPr>
        <w:t>In</w:t>
      </w:r>
      <w:proofErr w:type="gramEnd"/>
      <w:r w:rsidR="00EB3B3C">
        <w:rPr>
          <w:rFonts w:ascii="Avenir Next" w:hAnsi="Avenir Next"/>
          <w:i/>
          <w:color w:val="808080" w:themeColor="background1" w:themeShade="80"/>
        </w:rPr>
        <w:t xml:space="preserve"> the matter of </w:t>
      </w:r>
      <w:proofErr w:type="spellStart"/>
      <w:r w:rsidR="00EB3B3C">
        <w:rPr>
          <w:rFonts w:ascii="Avenir Next" w:hAnsi="Avenir Next"/>
          <w:i/>
          <w:color w:val="808080" w:themeColor="background1" w:themeShade="80"/>
        </w:rPr>
        <w:t>Guoan</w:t>
      </w:r>
      <w:proofErr w:type="spellEnd"/>
      <w:r w:rsidR="00EB3B3C">
        <w:rPr>
          <w:rFonts w:ascii="Avenir Next" w:hAnsi="Avenir Next"/>
          <w:i/>
          <w:color w:val="808080" w:themeColor="background1" w:themeShade="80"/>
        </w:rPr>
        <w:t xml:space="preserve"> International Limited </w:t>
      </w:r>
      <w:r w:rsidR="00EB3B3C">
        <w:rPr>
          <w:rFonts w:ascii="Avenir Next" w:hAnsi="Avenir Next"/>
          <w:color w:val="808080" w:themeColor="background1" w:themeShade="80"/>
        </w:rPr>
        <w:t xml:space="preserve">(2021 2 CILR 625), Justice </w:t>
      </w:r>
      <w:proofErr w:type="spellStart"/>
      <w:r w:rsidR="00EB3B3C">
        <w:rPr>
          <w:rFonts w:ascii="Avenir Next" w:hAnsi="Avenir Next"/>
          <w:color w:val="808080" w:themeColor="background1" w:themeShade="80"/>
        </w:rPr>
        <w:t>Kawaley</w:t>
      </w:r>
      <w:proofErr w:type="spellEnd"/>
      <w:r w:rsidR="00EB3B3C">
        <w:rPr>
          <w:rFonts w:ascii="Avenir Next" w:hAnsi="Avenir Next"/>
          <w:color w:val="808080" w:themeColor="background1" w:themeShade="80"/>
        </w:rPr>
        <w:t xml:space="preserve"> held found that a foreign judgment (in that case, from Hong Kong) could be </w:t>
      </w:r>
      <w:proofErr w:type="spellStart"/>
      <w:r w:rsidR="00EB3B3C">
        <w:rPr>
          <w:rFonts w:ascii="Avenir Next" w:hAnsi="Avenir Next"/>
          <w:color w:val="808080" w:themeColor="background1" w:themeShade="80"/>
        </w:rPr>
        <w:t>recognised</w:t>
      </w:r>
      <w:proofErr w:type="spellEnd"/>
      <w:r w:rsidR="00EB3B3C">
        <w:rPr>
          <w:rFonts w:ascii="Avenir Next" w:hAnsi="Avenir Next"/>
          <w:color w:val="808080" w:themeColor="background1" w:themeShade="80"/>
        </w:rPr>
        <w:t xml:space="preserve"> as the basis for a winding up petition without first being formally enforced by the Court. Although there was little authority on the topic (see paragraph</w:t>
      </w:r>
      <w:r w:rsidR="00A34251">
        <w:rPr>
          <w:rFonts w:ascii="Avenir Next" w:hAnsi="Avenir Next"/>
          <w:color w:val="808080" w:themeColor="background1" w:themeShade="80"/>
        </w:rPr>
        <w:t xml:space="preserve"> 21)</w:t>
      </w:r>
      <w:r w:rsidR="00EB3B3C">
        <w:rPr>
          <w:rFonts w:ascii="Avenir Next" w:hAnsi="Avenir Next"/>
          <w:color w:val="808080" w:themeColor="background1" w:themeShade="80"/>
        </w:rPr>
        <w:t xml:space="preserve">, the Court found </w:t>
      </w:r>
      <w:r w:rsidR="00A34251">
        <w:rPr>
          <w:rFonts w:ascii="Avenir Next" w:hAnsi="Avenir Next"/>
          <w:color w:val="808080" w:themeColor="background1" w:themeShade="80"/>
        </w:rPr>
        <w:t xml:space="preserve">the petition was entitled to a winding-up order as of right having </w:t>
      </w:r>
      <w:r w:rsidR="00EB3B3C">
        <w:rPr>
          <w:rFonts w:ascii="Avenir Next" w:hAnsi="Avenir Next"/>
          <w:color w:val="808080" w:themeColor="background1" w:themeShade="80"/>
        </w:rPr>
        <w:t>served a statutory demand under section 93(1) of the Companies Act, which had gone unpaid</w:t>
      </w:r>
      <w:r w:rsidR="00A34251">
        <w:rPr>
          <w:rFonts w:ascii="Avenir Next" w:hAnsi="Avenir Next"/>
          <w:color w:val="808080" w:themeColor="background1" w:themeShade="80"/>
        </w:rPr>
        <w:t xml:space="preserve"> (see paragraph 24)</w:t>
      </w:r>
      <w:r w:rsidR="00EB3B3C">
        <w:rPr>
          <w:rFonts w:ascii="Avenir Next" w:hAnsi="Avenir Next"/>
          <w:color w:val="808080" w:themeColor="background1" w:themeShade="80"/>
        </w:rPr>
        <w:t xml:space="preserve">.  </w:t>
      </w:r>
    </w:p>
    <w:p w14:paraId="2A6E9C28" w14:textId="77777777" w:rsidR="00712982" w:rsidRPr="00425BF2" w:rsidRDefault="00712982" w:rsidP="00F3705F">
      <w:pPr>
        <w:pStyle w:val="BodyText"/>
        <w:ind w:firstLine="0"/>
        <w:jc w:val="both"/>
        <w:rPr>
          <w:rFonts w:ascii="Avenir Next" w:hAnsi="Avenir Next"/>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72E9F460" w:rsidR="00F3705F" w:rsidRDefault="008A79AA" w:rsidP="008A79A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w:t>
      </w:r>
      <w:r w:rsidR="007544CF">
        <w:rPr>
          <w:rFonts w:ascii="Avenir Next" w:hAnsi="Avenir Next"/>
          <w:color w:val="808080" w:themeColor="background1" w:themeShade="80"/>
        </w:rPr>
        <w:t xml:space="preserve">overarching duty of the </w:t>
      </w:r>
      <w:r>
        <w:rPr>
          <w:rFonts w:ascii="Avenir Next" w:hAnsi="Avenir Next"/>
          <w:color w:val="808080" w:themeColor="background1" w:themeShade="80"/>
        </w:rPr>
        <w:t xml:space="preserve">Trustee in Bankruptcy (the </w:t>
      </w:r>
      <w:r>
        <w:rPr>
          <w:rFonts w:ascii="Avenir Next" w:hAnsi="Avenir Next"/>
          <w:b/>
          <w:color w:val="808080" w:themeColor="background1" w:themeShade="80"/>
        </w:rPr>
        <w:t>Trustee</w:t>
      </w:r>
      <w:r>
        <w:rPr>
          <w:rFonts w:ascii="Avenir Next" w:hAnsi="Avenir Next"/>
          <w:color w:val="808080" w:themeColor="background1" w:themeShade="80"/>
        </w:rPr>
        <w:t xml:space="preserve">) </w:t>
      </w:r>
      <w:r w:rsidR="007544CF">
        <w:rPr>
          <w:rFonts w:ascii="Avenir Next" w:hAnsi="Avenir Next"/>
          <w:color w:val="808080" w:themeColor="background1" w:themeShade="80"/>
        </w:rPr>
        <w:t xml:space="preserve">is to </w:t>
      </w:r>
      <w:r>
        <w:rPr>
          <w:rFonts w:ascii="Avenir Next" w:hAnsi="Avenir Next"/>
          <w:color w:val="808080" w:themeColor="background1" w:themeShade="80"/>
        </w:rPr>
        <w:t>administer the estate</w:t>
      </w:r>
      <w:r w:rsidR="007544CF">
        <w:rPr>
          <w:rFonts w:ascii="Avenir Next" w:hAnsi="Avenir Next"/>
          <w:color w:val="808080" w:themeColor="background1" w:themeShade="80"/>
        </w:rPr>
        <w:t>s</w:t>
      </w:r>
      <w:r>
        <w:rPr>
          <w:rFonts w:ascii="Avenir Next" w:hAnsi="Avenir Next"/>
          <w:color w:val="808080" w:themeColor="background1" w:themeShade="80"/>
        </w:rPr>
        <w:t xml:space="preserve"> of debtors in bankruptcy in accordance with the Bankruptcy Act (Cap 7) (1997 Revision) (the </w:t>
      </w:r>
      <w:r>
        <w:rPr>
          <w:rFonts w:ascii="Avenir Next" w:hAnsi="Avenir Next"/>
          <w:b/>
          <w:color w:val="808080" w:themeColor="background1" w:themeShade="80"/>
        </w:rPr>
        <w:t>Bankruptcy Act</w:t>
      </w:r>
      <w:r>
        <w:rPr>
          <w:rFonts w:ascii="Avenir Next" w:hAnsi="Avenir Next"/>
          <w:color w:val="808080" w:themeColor="background1" w:themeShade="80"/>
        </w:rPr>
        <w:t xml:space="preserve">) and </w:t>
      </w:r>
      <w:r>
        <w:rPr>
          <w:rFonts w:ascii="Avenir Next" w:hAnsi="Avenir Next"/>
          <w:color w:val="808080" w:themeColor="background1" w:themeShade="80"/>
        </w:rPr>
        <w:lastRenderedPageBreak/>
        <w:t xml:space="preserve">the Grand Court (Bankruptcy Rules) (2021 Revision) (the </w:t>
      </w:r>
      <w:r>
        <w:rPr>
          <w:rFonts w:ascii="Avenir Next" w:hAnsi="Avenir Next"/>
          <w:b/>
          <w:color w:val="808080" w:themeColor="background1" w:themeShade="80"/>
        </w:rPr>
        <w:t>Bankruptcy Rules</w:t>
      </w:r>
      <w:r>
        <w:rPr>
          <w:rFonts w:ascii="Avenir Next" w:hAnsi="Avenir Next"/>
          <w:color w:val="808080" w:themeColor="background1" w:themeShade="80"/>
        </w:rPr>
        <w:t>).</w:t>
      </w:r>
    </w:p>
    <w:p w14:paraId="2BDA9012" w14:textId="77777777" w:rsidR="008A79AA" w:rsidRDefault="008A79AA" w:rsidP="008A79AA">
      <w:pPr>
        <w:pStyle w:val="BodyText"/>
        <w:ind w:firstLine="0"/>
        <w:jc w:val="both"/>
        <w:rPr>
          <w:rFonts w:ascii="Avenir Next" w:hAnsi="Avenir Next"/>
          <w:color w:val="808080" w:themeColor="background1" w:themeShade="80"/>
        </w:rPr>
      </w:pPr>
    </w:p>
    <w:p w14:paraId="4369F6F8" w14:textId="7E995443" w:rsidR="008A79AA" w:rsidRDefault="008A79AA" w:rsidP="008A79A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Under t</w:t>
      </w:r>
      <w:r>
        <w:rPr>
          <w:rFonts w:ascii="Avenir Next" w:hAnsi="Avenir Next"/>
          <w:color w:val="808080" w:themeColor="background1" w:themeShade="80"/>
        </w:rPr>
        <w:t xml:space="preserve">he </w:t>
      </w:r>
      <w:r w:rsidRPr="008A79AA">
        <w:rPr>
          <w:rFonts w:ascii="Avenir Next" w:hAnsi="Avenir Next"/>
          <w:color w:val="808080" w:themeColor="background1" w:themeShade="80"/>
        </w:rPr>
        <w:t>Bankruptcy Ac</w:t>
      </w:r>
      <w:r>
        <w:rPr>
          <w:rFonts w:ascii="Avenir Next" w:hAnsi="Avenir Next"/>
          <w:color w:val="808080" w:themeColor="background1" w:themeShade="80"/>
        </w:rPr>
        <w:t>t, once a provisional or absolute order in bankruptcy is made, the property of the debtor immediately passes to, and vests, in the Trustee (section 37)</w:t>
      </w:r>
      <w:r w:rsidR="007544CF">
        <w:rPr>
          <w:rFonts w:ascii="Avenir Next" w:hAnsi="Avenir Next"/>
          <w:color w:val="808080" w:themeColor="background1" w:themeShade="80"/>
        </w:rPr>
        <w:t>, which allows the Trustee to carry out his or her duties</w:t>
      </w:r>
      <w:r>
        <w:rPr>
          <w:rFonts w:ascii="Avenir Next" w:hAnsi="Avenir Next"/>
          <w:color w:val="808080" w:themeColor="background1" w:themeShade="80"/>
        </w:rPr>
        <w:t xml:space="preserve">. </w:t>
      </w:r>
    </w:p>
    <w:p w14:paraId="5A0C7E05" w14:textId="2C4B7EAD" w:rsidR="008A79AA" w:rsidRDefault="008A79AA" w:rsidP="008A79AA">
      <w:pPr>
        <w:pStyle w:val="BodyText"/>
        <w:ind w:firstLine="0"/>
        <w:jc w:val="both"/>
        <w:rPr>
          <w:rFonts w:ascii="Avenir Next" w:hAnsi="Avenir Next"/>
          <w:color w:val="808080" w:themeColor="background1" w:themeShade="80"/>
        </w:rPr>
      </w:pPr>
    </w:p>
    <w:p w14:paraId="67478C29" w14:textId="6F17DB63" w:rsidR="008A79AA" w:rsidRDefault="008A79AA" w:rsidP="008A79AA">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w:t>
      </w:r>
      <w:r w:rsidR="00801ED6">
        <w:rPr>
          <w:rFonts w:ascii="Avenir Next" w:hAnsi="Avenir Next"/>
          <w:color w:val="808080" w:themeColor="background1" w:themeShade="80"/>
        </w:rPr>
        <w:t xml:space="preserve">following </w:t>
      </w:r>
      <w:r w:rsidR="007544CF">
        <w:rPr>
          <w:rFonts w:ascii="Avenir Next" w:hAnsi="Avenir Next"/>
          <w:color w:val="808080" w:themeColor="background1" w:themeShade="80"/>
        </w:rPr>
        <w:t xml:space="preserve">are examples of the specific </w:t>
      </w:r>
      <w:r>
        <w:rPr>
          <w:rFonts w:ascii="Avenir Next" w:hAnsi="Avenir Next"/>
          <w:color w:val="808080" w:themeColor="background1" w:themeShade="80"/>
        </w:rPr>
        <w:t xml:space="preserve">powers and duties of the Trustee are </w:t>
      </w:r>
      <w:r w:rsidR="00801ED6">
        <w:rPr>
          <w:rFonts w:ascii="Avenir Next" w:hAnsi="Avenir Next"/>
          <w:color w:val="808080" w:themeColor="background1" w:themeShade="80"/>
        </w:rPr>
        <w:t>provided for by the Bankruptcy Act:</w:t>
      </w:r>
    </w:p>
    <w:p w14:paraId="362FB91F" w14:textId="5FDDA557" w:rsidR="00801ED6" w:rsidRDefault="00801ED6" w:rsidP="008A79AA">
      <w:pPr>
        <w:pStyle w:val="BodyText"/>
        <w:ind w:firstLine="0"/>
        <w:jc w:val="both"/>
        <w:rPr>
          <w:rFonts w:ascii="Avenir Next" w:hAnsi="Avenir Next"/>
          <w:color w:val="808080" w:themeColor="background1" w:themeShade="80"/>
        </w:rPr>
      </w:pPr>
    </w:p>
    <w:p w14:paraId="551CD498" w14:textId="6F684DD9" w:rsidR="00801ED6" w:rsidRDefault="007544CF" w:rsidP="00801ED6">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 xml:space="preserve">Until the provisional bankruptcy order is made absolute, it is the Trustee’s duty to preserve the debtor’s property in a such a state that it can be returned to the debtor in the condition in which it was seized, unless the nature of the property would render such preservation not possible (section 38); </w:t>
      </w:r>
    </w:p>
    <w:p w14:paraId="0F7F7067" w14:textId="77777777" w:rsidR="007544CF" w:rsidRDefault="007544CF" w:rsidP="007544CF">
      <w:pPr>
        <w:pStyle w:val="BodyText"/>
        <w:ind w:left="720" w:firstLine="0"/>
        <w:jc w:val="both"/>
        <w:rPr>
          <w:rFonts w:ascii="Avenir Next" w:hAnsi="Avenir Next"/>
          <w:color w:val="808080" w:themeColor="background1" w:themeShade="80"/>
        </w:rPr>
      </w:pPr>
    </w:p>
    <w:p w14:paraId="06F43878" w14:textId="77777777" w:rsidR="007544CF" w:rsidRDefault="007544CF" w:rsidP="00801ED6">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The Trustee has the power to sell all or any part of the debtor’s property by public auction or tender or private contract (section 78); and</w:t>
      </w:r>
    </w:p>
    <w:p w14:paraId="6227072E" w14:textId="77777777" w:rsidR="007544CF" w:rsidRDefault="007544CF" w:rsidP="007544CF">
      <w:pPr>
        <w:pStyle w:val="ListParagraph"/>
        <w:rPr>
          <w:rFonts w:ascii="Avenir Next" w:hAnsi="Avenir Next"/>
          <w:color w:val="808080" w:themeColor="background1" w:themeShade="80"/>
        </w:rPr>
      </w:pPr>
    </w:p>
    <w:p w14:paraId="1759E9BA" w14:textId="47247412" w:rsidR="007544CF" w:rsidRDefault="007544CF" w:rsidP="00801ED6">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 xml:space="preserve">The Trustee can bring, institute or defend any action or other legal proceedings relating to the property of the debtor (section 80). </w:t>
      </w: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w:t>
      </w:r>
      <w:bookmarkStart w:id="0" w:name="_GoBack"/>
      <w:bookmarkEnd w:id="0"/>
      <w:r>
        <w:rPr>
          <w:rFonts w:ascii="Avenir Next Demi Bold" w:hAnsi="Avenir Next Demi Bold"/>
          <w:b/>
          <w:bCs/>
          <w:lang w:val="en-GB"/>
        </w:rPr>
        <w:t>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60E" w14:textId="77777777" w:rsidR="002C7612" w:rsidRDefault="002C7612" w:rsidP="001016B0">
      <w:r>
        <w:separator/>
      </w:r>
    </w:p>
  </w:endnote>
  <w:endnote w:type="continuationSeparator" w:id="0">
    <w:p w14:paraId="2B406D41" w14:textId="77777777" w:rsidR="002C7612" w:rsidRDefault="002C7612" w:rsidP="001016B0">
      <w:r>
        <w:continuationSeparator/>
      </w:r>
    </w:p>
  </w:endnote>
  <w:endnote w:type="continuationNotice" w:id="1">
    <w:p w14:paraId="260DC0D7" w14:textId="77777777" w:rsidR="002C7612" w:rsidRDefault="002C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2C7612" w:rsidRDefault="002C7612"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2C7612" w:rsidRPr="001016B0" w:rsidRDefault="002C7612"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2C7612" w:rsidRDefault="002C7612"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2C7612" w:rsidRDefault="002C7612" w:rsidP="00CF79F9">
    <w:pPr>
      <w:pStyle w:val="Footer"/>
      <w:framePr w:w="911" w:h="331" w:hRule="exact" w:wrap="none" w:vAnchor="text" w:hAnchor="margin" w:xAlign="right" w:y="5"/>
      <w:ind w:right="360"/>
      <w:rPr>
        <w:rStyle w:val="PageNumber"/>
      </w:rPr>
    </w:pPr>
  </w:p>
  <w:p w14:paraId="77332963" w14:textId="0B4F3E62" w:rsidR="002C7612" w:rsidRDefault="002C7612" w:rsidP="008A20AC">
    <w:pPr>
      <w:pStyle w:val="Footer"/>
      <w:ind w:right="360"/>
    </w:pPr>
    <w:r>
      <w:t>202223-1080.SummativeAssessment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2C7612" w:rsidRDefault="002C7612"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FC48" w14:textId="77777777" w:rsidR="002C7612" w:rsidRDefault="002C7612" w:rsidP="001016B0">
      <w:r>
        <w:separator/>
      </w:r>
    </w:p>
  </w:footnote>
  <w:footnote w:type="continuationSeparator" w:id="0">
    <w:p w14:paraId="048DBB0E" w14:textId="77777777" w:rsidR="002C7612" w:rsidRDefault="002C7612" w:rsidP="001016B0">
      <w:r>
        <w:continuationSeparator/>
      </w:r>
    </w:p>
  </w:footnote>
  <w:footnote w:type="continuationNotice" w:id="1">
    <w:p w14:paraId="5EF02029" w14:textId="77777777" w:rsidR="002C7612" w:rsidRDefault="002C7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4FF3865"/>
    <w:multiLevelType w:val="hybridMultilevel"/>
    <w:tmpl w:val="83DC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207B8"/>
    <w:multiLevelType w:val="hybridMultilevel"/>
    <w:tmpl w:val="C2861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A57880"/>
    <w:multiLevelType w:val="hybridMultilevel"/>
    <w:tmpl w:val="B7D4B476"/>
    <w:lvl w:ilvl="0" w:tplc="3670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01D44"/>
    <w:multiLevelType w:val="hybridMultilevel"/>
    <w:tmpl w:val="EF542A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437BB"/>
    <w:multiLevelType w:val="hybridMultilevel"/>
    <w:tmpl w:val="89782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76DA"/>
    <w:multiLevelType w:val="hybridMultilevel"/>
    <w:tmpl w:val="B7E2FC44"/>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157160E"/>
    <w:multiLevelType w:val="hybridMultilevel"/>
    <w:tmpl w:val="5F4AFA52"/>
    <w:lvl w:ilvl="0" w:tplc="C83C5B04">
      <w:start w:val="1"/>
      <w:numFmt w:val="lowerLetter"/>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1DD0543"/>
    <w:multiLevelType w:val="hybridMultilevel"/>
    <w:tmpl w:val="B7D4B476"/>
    <w:lvl w:ilvl="0" w:tplc="3670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E1409EA"/>
    <w:multiLevelType w:val="hybridMultilevel"/>
    <w:tmpl w:val="FC8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2344CF3"/>
    <w:multiLevelType w:val="hybridMultilevel"/>
    <w:tmpl w:val="9370CEB2"/>
    <w:lvl w:ilvl="0" w:tplc="F028DC42">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6" w15:restartNumberingAfterBreak="0">
    <w:nsid w:val="547A1C2C"/>
    <w:multiLevelType w:val="hybridMultilevel"/>
    <w:tmpl w:val="B7D4B476"/>
    <w:lvl w:ilvl="0" w:tplc="3670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E3D15EF"/>
    <w:multiLevelType w:val="hybridMultilevel"/>
    <w:tmpl w:val="65085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17"/>
  </w:num>
  <w:num w:numId="4">
    <w:abstractNumId w:val="22"/>
  </w:num>
  <w:num w:numId="5">
    <w:abstractNumId w:val="24"/>
  </w:num>
  <w:num w:numId="6">
    <w:abstractNumId w:val="0"/>
  </w:num>
  <w:num w:numId="7">
    <w:abstractNumId w:val="32"/>
  </w:num>
  <w:num w:numId="8">
    <w:abstractNumId w:val="33"/>
  </w:num>
  <w:num w:numId="9">
    <w:abstractNumId w:val="3"/>
  </w:num>
  <w:num w:numId="10">
    <w:abstractNumId w:val="34"/>
  </w:num>
  <w:num w:numId="11">
    <w:abstractNumId w:val="27"/>
  </w:num>
  <w:num w:numId="12">
    <w:abstractNumId w:val="14"/>
  </w:num>
  <w:num w:numId="13">
    <w:abstractNumId w:val="13"/>
  </w:num>
  <w:num w:numId="14">
    <w:abstractNumId w:val="31"/>
  </w:num>
  <w:num w:numId="15">
    <w:abstractNumId w:val="12"/>
  </w:num>
  <w:num w:numId="16">
    <w:abstractNumId w:val="35"/>
  </w:num>
  <w:num w:numId="17">
    <w:abstractNumId w:val="19"/>
  </w:num>
  <w:num w:numId="18">
    <w:abstractNumId w:val="30"/>
  </w:num>
  <w:num w:numId="19">
    <w:abstractNumId w:val="11"/>
  </w:num>
  <w:num w:numId="20">
    <w:abstractNumId w:val="1"/>
  </w:num>
  <w:num w:numId="21">
    <w:abstractNumId w:val="28"/>
  </w:num>
  <w:num w:numId="22">
    <w:abstractNumId w:val="18"/>
  </w:num>
  <w:num w:numId="23">
    <w:abstractNumId w:val="5"/>
  </w:num>
  <w:num w:numId="24">
    <w:abstractNumId w:val="15"/>
  </w:num>
  <w:num w:numId="25">
    <w:abstractNumId w:val="6"/>
  </w:num>
  <w:num w:numId="26">
    <w:abstractNumId w:val="16"/>
  </w:num>
  <w:num w:numId="27">
    <w:abstractNumId w:val="4"/>
  </w:num>
  <w:num w:numId="28">
    <w:abstractNumId w:val="10"/>
  </w:num>
  <w:num w:numId="29">
    <w:abstractNumId w:val="8"/>
  </w:num>
  <w:num w:numId="30">
    <w:abstractNumId w:val="9"/>
  </w:num>
  <w:num w:numId="31">
    <w:abstractNumId w:val="7"/>
  </w:num>
  <w:num w:numId="32">
    <w:abstractNumId w:val="26"/>
  </w:num>
  <w:num w:numId="33">
    <w:abstractNumId w:val="2"/>
  </w:num>
  <w:num w:numId="34">
    <w:abstractNumId w:val="29"/>
  </w:num>
  <w:num w:numId="35">
    <w:abstractNumId w:val="23"/>
  </w:num>
  <w:num w:numId="3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0658"/>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5BBE"/>
    <w:rsid w:val="00097A42"/>
    <w:rsid w:val="000B1B87"/>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2B1"/>
    <w:rsid w:val="00171BCA"/>
    <w:rsid w:val="00175F03"/>
    <w:rsid w:val="00177E01"/>
    <w:rsid w:val="00192D14"/>
    <w:rsid w:val="00192FD4"/>
    <w:rsid w:val="00193626"/>
    <w:rsid w:val="00194D76"/>
    <w:rsid w:val="001954DE"/>
    <w:rsid w:val="001964B5"/>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3561"/>
    <w:rsid w:val="001F65C0"/>
    <w:rsid w:val="00200F4C"/>
    <w:rsid w:val="002044FB"/>
    <w:rsid w:val="00207497"/>
    <w:rsid w:val="00207A0E"/>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8705E"/>
    <w:rsid w:val="00292AA5"/>
    <w:rsid w:val="00293095"/>
    <w:rsid w:val="002930ED"/>
    <w:rsid w:val="002A082B"/>
    <w:rsid w:val="002A0F8E"/>
    <w:rsid w:val="002A2B0D"/>
    <w:rsid w:val="002A2C16"/>
    <w:rsid w:val="002B15BA"/>
    <w:rsid w:val="002B6609"/>
    <w:rsid w:val="002B6B18"/>
    <w:rsid w:val="002B7150"/>
    <w:rsid w:val="002C7612"/>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687D"/>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5523"/>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4671"/>
    <w:rsid w:val="003F5CB9"/>
    <w:rsid w:val="003F62D2"/>
    <w:rsid w:val="004031E2"/>
    <w:rsid w:val="00403C2E"/>
    <w:rsid w:val="00405310"/>
    <w:rsid w:val="00406425"/>
    <w:rsid w:val="0041025E"/>
    <w:rsid w:val="004140B5"/>
    <w:rsid w:val="004165ED"/>
    <w:rsid w:val="00416B97"/>
    <w:rsid w:val="0042151D"/>
    <w:rsid w:val="00422D04"/>
    <w:rsid w:val="004232E1"/>
    <w:rsid w:val="00423375"/>
    <w:rsid w:val="00426327"/>
    <w:rsid w:val="004272B8"/>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52FA"/>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5B1"/>
    <w:rsid w:val="004F5D43"/>
    <w:rsid w:val="004F67CE"/>
    <w:rsid w:val="00504A64"/>
    <w:rsid w:val="005055F9"/>
    <w:rsid w:val="0050751B"/>
    <w:rsid w:val="00512319"/>
    <w:rsid w:val="00513012"/>
    <w:rsid w:val="00514369"/>
    <w:rsid w:val="00514A53"/>
    <w:rsid w:val="005200BF"/>
    <w:rsid w:val="00520808"/>
    <w:rsid w:val="00520EFB"/>
    <w:rsid w:val="0052140A"/>
    <w:rsid w:val="00525CD4"/>
    <w:rsid w:val="00525EBB"/>
    <w:rsid w:val="00531586"/>
    <w:rsid w:val="0053572E"/>
    <w:rsid w:val="00541034"/>
    <w:rsid w:val="005416EC"/>
    <w:rsid w:val="0054257F"/>
    <w:rsid w:val="00542B4C"/>
    <w:rsid w:val="005524EC"/>
    <w:rsid w:val="005538FB"/>
    <w:rsid w:val="00555BC3"/>
    <w:rsid w:val="00556116"/>
    <w:rsid w:val="00557949"/>
    <w:rsid w:val="0056278B"/>
    <w:rsid w:val="00563BD8"/>
    <w:rsid w:val="00563F78"/>
    <w:rsid w:val="0056458D"/>
    <w:rsid w:val="00574AA7"/>
    <w:rsid w:val="005750D6"/>
    <w:rsid w:val="00576BA2"/>
    <w:rsid w:val="00582076"/>
    <w:rsid w:val="005823CF"/>
    <w:rsid w:val="0058441E"/>
    <w:rsid w:val="00585164"/>
    <w:rsid w:val="00586B0F"/>
    <w:rsid w:val="00591D1D"/>
    <w:rsid w:val="00592A8D"/>
    <w:rsid w:val="0059389E"/>
    <w:rsid w:val="00595D22"/>
    <w:rsid w:val="005A0E4B"/>
    <w:rsid w:val="005A5892"/>
    <w:rsid w:val="005A640E"/>
    <w:rsid w:val="005A7724"/>
    <w:rsid w:val="005B6546"/>
    <w:rsid w:val="005C0FF6"/>
    <w:rsid w:val="005C3DA9"/>
    <w:rsid w:val="005C6146"/>
    <w:rsid w:val="005C7EB6"/>
    <w:rsid w:val="005D171C"/>
    <w:rsid w:val="005D54CF"/>
    <w:rsid w:val="005D6817"/>
    <w:rsid w:val="005E086C"/>
    <w:rsid w:val="005E20A3"/>
    <w:rsid w:val="005E2C7E"/>
    <w:rsid w:val="005E45BD"/>
    <w:rsid w:val="005E62D2"/>
    <w:rsid w:val="005F5BDF"/>
    <w:rsid w:val="0060275A"/>
    <w:rsid w:val="006027A2"/>
    <w:rsid w:val="00604564"/>
    <w:rsid w:val="0060661E"/>
    <w:rsid w:val="00612137"/>
    <w:rsid w:val="00614528"/>
    <w:rsid w:val="006203D3"/>
    <w:rsid w:val="006278B5"/>
    <w:rsid w:val="006310A8"/>
    <w:rsid w:val="0063766F"/>
    <w:rsid w:val="00640BC9"/>
    <w:rsid w:val="006424E1"/>
    <w:rsid w:val="00643725"/>
    <w:rsid w:val="00644DCE"/>
    <w:rsid w:val="00647006"/>
    <w:rsid w:val="006471BC"/>
    <w:rsid w:val="006478BE"/>
    <w:rsid w:val="00657222"/>
    <w:rsid w:val="0066147F"/>
    <w:rsid w:val="00662A8E"/>
    <w:rsid w:val="006638D6"/>
    <w:rsid w:val="00664E72"/>
    <w:rsid w:val="006659FD"/>
    <w:rsid w:val="006674D6"/>
    <w:rsid w:val="00671ADC"/>
    <w:rsid w:val="006731C8"/>
    <w:rsid w:val="00674C6B"/>
    <w:rsid w:val="00680169"/>
    <w:rsid w:val="00684B6B"/>
    <w:rsid w:val="00685D47"/>
    <w:rsid w:val="006902DF"/>
    <w:rsid w:val="006907D9"/>
    <w:rsid w:val="0069113C"/>
    <w:rsid w:val="0069468A"/>
    <w:rsid w:val="0069671C"/>
    <w:rsid w:val="006A1B37"/>
    <w:rsid w:val="006A2381"/>
    <w:rsid w:val="006A5A0D"/>
    <w:rsid w:val="006A75FE"/>
    <w:rsid w:val="006B2FFF"/>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1BC2"/>
    <w:rsid w:val="006E218D"/>
    <w:rsid w:val="006E2C49"/>
    <w:rsid w:val="006E3396"/>
    <w:rsid w:val="006E3E96"/>
    <w:rsid w:val="006E481A"/>
    <w:rsid w:val="006E7B1B"/>
    <w:rsid w:val="006F4065"/>
    <w:rsid w:val="006F55B4"/>
    <w:rsid w:val="006F7EC1"/>
    <w:rsid w:val="007014E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44CF"/>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ACA"/>
    <w:rsid w:val="00791CF2"/>
    <w:rsid w:val="00792FB4"/>
    <w:rsid w:val="00794E5B"/>
    <w:rsid w:val="007A0F49"/>
    <w:rsid w:val="007A1000"/>
    <w:rsid w:val="007A1E90"/>
    <w:rsid w:val="007A46D6"/>
    <w:rsid w:val="007B0A80"/>
    <w:rsid w:val="007B178D"/>
    <w:rsid w:val="007B1B03"/>
    <w:rsid w:val="007B2BB6"/>
    <w:rsid w:val="007B435F"/>
    <w:rsid w:val="007B607D"/>
    <w:rsid w:val="007B60BB"/>
    <w:rsid w:val="007B6DD3"/>
    <w:rsid w:val="007B7692"/>
    <w:rsid w:val="007C04CB"/>
    <w:rsid w:val="007C1BDB"/>
    <w:rsid w:val="007C5F0B"/>
    <w:rsid w:val="007D0061"/>
    <w:rsid w:val="007D215F"/>
    <w:rsid w:val="007F02EC"/>
    <w:rsid w:val="007F03B9"/>
    <w:rsid w:val="007F085D"/>
    <w:rsid w:val="007F5739"/>
    <w:rsid w:val="007F67A0"/>
    <w:rsid w:val="00801379"/>
    <w:rsid w:val="00801ED6"/>
    <w:rsid w:val="00803983"/>
    <w:rsid w:val="00804FC8"/>
    <w:rsid w:val="00805A2D"/>
    <w:rsid w:val="00807903"/>
    <w:rsid w:val="00812BFB"/>
    <w:rsid w:val="00813CB4"/>
    <w:rsid w:val="00815D39"/>
    <w:rsid w:val="00816B32"/>
    <w:rsid w:val="00817EB4"/>
    <w:rsid w:val="008201D7"/>
    <w:rsid w:val="00820BFA"/>
    <w:rsid w:val="00822A4C"/>
    <w:rsid w:val="00831159"/>
    <w:rsid w:val="00831A22"/>
    <w:rsid w:val="00831F21"/>
    <w:rsid w:val="008431D7"/>
    <w:rsid w:val="0084350B"/>
    <w:rsid w:val="00844DEE"/>
    <w:rsid w:val="00850236"/>
    <w:rsid w:val="00857083"/>
    <w:rsid w:val="008664DC"/>
    <w:rsid w:val="00867EF8"/>
    <w:rsid w:val="008735A4"/>
    <w:rsid w:val="008753CD"/>
    <w:rsid w:val="0087601E"/>
    <w:rsid w:val="00877583"/>
    <w:rsid w:val="008779E9"/>
    <w:rsid w:val="008865F3"/>
    <w:rsid w:val="008913A7"/>
    <w:rsid w:val="00895CDF"/>
    <w:rsid w:val="00897EA7"/>
    <w:rsid w:val="008A1E6D"/>
    <w:rsid w:val="008A20AC"/>
    <w:rsid w:val="008A2BE4"/>
    <w:rsid w:val="008A3781"/>
    <w:rsid w:val="008A5F6D"/>
    <w:rsid w:val="008A78B2"/>
    <w:rsid w:val="008A79AA"/>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085"/>
    <w:rsid w:val="009004D4"/>
    <w:rsid w:val="0090300F"/>
    <w:rsid w:val="0090576D"/>
    <w:rsid w:val="00912F92"/>
    <w:rsid w:val="00913123"/>
    <w:rsid w:val="009143EA"/>
    <w:rsid w:val="00917205"/>
    <w:rsid w:val="0092725A"/>
    <w:rsid w:val="00930A74"/>
    <w:rsid w:val="00931768"/>
    <w:rsid w:val="00934980"/>
    <w:rsid w:val="00941F3D"/>
    <w:rsid w:val="0094224E"/>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1B00"/>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4251"/>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6370"/>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6844"/>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9C6"/>
    <w:rsid w:val="00BA6F72"/>
    <w:rsid w:val="00BB0F71"/>
    <w:rsid w:val="00BB1EBB"/>
    <w:rsid w:val="00BB32C4"/>
    <w:rsid w:val="00BB6FE0"/>
    <w:rsid w:val="00BC163A"/>
    <w:rsid w:val="00BC2902"/>
    <w:rsid w:val="00BC4126"/>
    <w:rsid w:val="00BD0975"/>
    <w:rsid w:val="00BD0DC2"/>
    <w:rsid w:val="00BD1E8D"/>
    <w:rsid w:val="00BD2DF8"/>
    <w:rsid w:val="00BD2F4B"/>
    <w:rsid w:val="00BE35A9"/>
    <w:rsid w:val="00BE669E"/>
    <w:rsid w:val="00BE6A24"/>
    <w:rsid w:val="00BF243A"/>
    <w:rsid w:val="00BF3B08"/>
    <w:rsid w:val="00BF4C0F"/>
    <w:rsid w:val="00C003D7"/>
    <w:rsid w:val="00C00B66"/>
    <w:rsid w:val="00C01040"/>
    <w:rsid w:val="00C03A2E"/>
    <w:rsid w:val="00C040F7"/>
    <w:rsid w:val="00C04963"/>
    <w:rsid w:val="00C10D3F"/>
    <w:rsid w:val="00C11D6C"/>
    <w:rsid w:val="00C12DB9"/>
    <w:rsid w:val="00C145B3"/>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B68CD"/>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53C7D"/>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D64A7"/>
    <w:rsid w:val="00DE0233"/>
    <w:rsid w:val="00DE23CF"/>
    <w:rsid w:val="00DE6FDB"/>
    <w:rsid w:val="00DE7898"/>
    <w:rsid w:val="00DF4D25"/>
    <w:rsid w:val="00DF64E1"/>
    <w:rsid w:val="00E008CD"/>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717"/>
    <w:rsid w:val="00E63A8F"/>
    <w:rsid w:val="00E64F45"/>
    <w:rsid w:val="00E7109B"/>
    <w:rsid w:val="00E755CA"/>
    <w:rsid w:val="00E813C1"/>
    <w:rsid w:val="00E83556"/>
    <w:rsid w:val="00E87F7D"/>
    <w:rsid w:val="00E9506C"/>
    <w:rsid w:val="00E97FCF"/>
    <w:rsid w:val="00EA1199"/>
    <w:rsid w:val="00EA2A8C"/>
    <w:rsid w:val="00EA2B57"/>
    <w:rsid w:val="00EA390C"/>
    <w:rsid w:val="00EA6193"/>
    <w:rsid w:val="00EB3B3C"/>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48D6"/>
    <w:rsid w:val="00F166FF"/>
    <w:rsid w:val="00F2138F"/>
    <w:rsid w:val="00F224C3"/>
    <w:rsid w:val="00F2406A"/>
    <w:rsid w:val="00F254AF"/>
    <w:rsid w:val="00F302DD"/>
    <w:rsid w:val="00F31D20"/>
    <w:rsid w:val="00F32C05"/>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AAB"/>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Emphasis">
    <w:name w:val="Emphasis"/>
    <w:basedOn w:val="DefaultParagraphFont"/>
    <w:uiPriority w:val="20"/>
    <w:qFormat/>
    <w:rsid w:val="00287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12f66ad-72bb-4b79-b69e-c3800ca531fd"/>
    <ds:schemaRef ds:uri="dac9a443-8d88-4550-8b1d-ec98a50d73a1"/>
    <ds:schemaRef ds:uri="http://www.w3.org/XML/1998/namespace"/>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22</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Susan Fallan</cp:lastModifiedBy>
  <cp:revision>7</cp:revision>
  <cp:lastPrinted>2022-09-29T12:20:00Z</cp:lastPrinted>
  <dcterms:created xsi:type="dcterms:W3CDTF">2023-11-23T18:33:00Z</dcterms:created>
  <dcterms:modified xsi:type="dcterms:W3CDTF">2023-11-24T17:08:00Z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