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8C64AA">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8C64AA">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860F64" w:rsidRDefault="00C3318F" w:rsidP="008C64AA">
      <w:pPr>
        <w:pStyle w:val="BodyText"/>
        <w:widowControl/>
        <w:numPr>
          <w:ilvl w:val="0"/>
          <w:numId w:val="15"/>
        </w:numPr>
        <w:autoSpaceDE/>
        <w:autoSpaceDN/>
        <w:rPr>
          <w:rFonts w:ascii="Avenir Next" w:hAnsi="Avenir Next"/>
          <w:highlight w:val="yellow"/>
        </w:rPr>
      </w:pPr>
      <w:r w:rsidRPr="00860F64">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8C64AA">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8C64AA">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8C64AA">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8C64AA">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860F64" w:rsidRDefault="00957995" w:rsidP="008C64AA">
      <w:pPr>
        <w:pStyle w:val="BodyText"/>
        <w:widowControl/>
        <w:numPr>
          <w:ilvl w:val="0"/>
          <w:numId w:val="16"/>
        </w:numPr>
        <w:autoSpaceDE/>
        <w:autoSpaceDN/>
        <w:rPr>
          <w:rFonts w:ascii="Avenir Next" w:hAnsi="Avenir Next"/>
          <w:highlight w:val="yellow"/>
        </w:rPr>
      </w:pPr>
      <w:r w:rsidRPr="00860F64">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8C64AA">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860F64" w:rsidRDefault="001F2690" w:rsidP="008C64AA">
      <w:pPr>
        <w:pStyle w:val="BodyText"/>
        <w:widowControl/>
        <w:numPr>
          <w:ilvl w:val="0"/>
          <w:numId w:val="5"/>
        </w:numPr>
        <w:autoSpaceDE/>
        <w:autoSpaceDN/>
        <w:ind w:left="709" w:hanging="709"/>
        <w:rPr>
          <w:rFonts w:ascii="Avenir Next" w:hAnsi="Avenir Next"/>
          <w:highlight w:val="yellow"/>
        </w:rPr>
      </w:pPr>
      <w:r w:rsidRPr="00860F64">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8C64AA">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8C64AA">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8C64A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8C64A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8C64A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8C64A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860F64" w:rsidRDefault="00785937" w:rsidP="008C64AA">
      <w:pPr>
        <w:pStyle w:val="ListParagraph"/>
        <w:numPr>
          <w:ilvl w:val="0"/>
          <w:numId w:val="6"/>
        </w:numPr>
        <w:spacing w:after="0" w:line="240" w:lineRule="auto"/>
        <w:ind w:left="709" w:hanging="709"/>
        <w:rPr>
          <w:rFonts w:ascii="Avenir Next" w:hAnsi="Avenir Next" w:cs="Arial"/>
          <w:highlight w:val="yellow"/>
          <w:lang w:val="en-GB"/>
        </w:rPr>
      </w:pPr>
      <w:r w:rsidRPr="00860F64">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8C64A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64897C95" w:rsidR="00785937" w:rsidRPr="00860F64" w:rsidRDefault="00785937" w:rsidP="008C64AA">
      <w:pPr>
        <w:pStyle w:val="ListParagraph"/>
        <w:numPr>
          <w:ilvl w:val="0"/>
          <w:numId w:val="7"/>
        </w:numPr>
        <w:spacing w:after="0" w:line="240" w:lineRule="auto"/>
        <w:ind w:left="709" w:hanging="709"/>
        <w:rPr>
          <w:rFonts w:ascii="Avenir Next" w:hAnsi="Avenir Next" w:cs="Arial"/>
          <w:highlight w:val="yellow"/>
          <w:lang w:val="en-GB"/>
        </w:rPr>
      </w:pPr>
      <w:r w:rsidRPr="00860F64">
        <w:rPr>
          <w:rFonts w:ascii="Avenir Next" w:hAnsi="Avenir Next" w:cs="Arial"/>
          <w:highlight w:val="yellow"/>
          <w:lang w:val="en-GB"/>
        </w:rPr>
        <w:t>KYD 100</w:t>
      </w:r>
      <w:r w:rsidR="00860F64">
        <w:rPr>
          <w:rFonts w:ascii="Avenir Next" w:hAnsi="Avenir Next" w:cs="Arial"/>
          <w:highlight w:val="yellow"/>
          <w:lang w:val="en-GB"/>
        </w:rPr>
        <w:t xml:space="preserve"> </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8C64A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8C64A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8C64A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52AF498D" w:rsidR="004A11A1" w:rsidRPr="00EE6C97" w:rsidRDefault="00F42400" w:rsidP="008C64AA">
      <w:pPr>
        <w:pStyle w:val="ListParagraph"/>
        <w:numPr>
          <w:ilvl w:val="0"/>
          <w:numId w:val="9"/>
        </w:numPr>
        <w:spacing w:after="0" w:line="240" w:lineRule="auto"/>
        <w:ind w:left="709" w:hanging="709"/>
        <w:rPr>
          <w:rFonts w:ascii="Avenir Next" w:hAnsi="Avenir Next"/>
          <w:highlight w:val="yellow"/>
          <w:lang w:val="en-GB"/>
        </w:rPr>
      </w:pPr>
      <w:r w:rsidRPr="00EE6C97">
        <w:rPr>
          <w:rFonts w:ascii="Avenir Next" w:hAnsi="Avenir Next"/>
          <w:highlight w:val="yellow"/>
          <w:lang w:val="en-GB"/>
        </w:rPr>
        <w:t>W</w:t>
      </w:r>
      <w:r w:rsidR="004A11A1" w:rsidRPr="00EE6C97">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EE6C97" w:rsidRDefault="00F42400" w:rsidP="008C64AA">
      <w:pPr>
        <w:pStyle w:val="ListParagraph"/>
        <w:numPr>
          <w:ilvl w:val="0"/>
          <w:numId w:val="9"/>
        </w:numPr>
        <w:spacing w:after="0" w:line="240" w:lineRule="auto"/>
        <w:ind w:left="709" w:hanging="709"/>
        <w:rPr>
          <w:rFonts w:ascii="Avenir Next" w:hAnsi="Avenir Next"/>
          <w:lang w:val="en-GB"/>
        </w:rPr>
      </w:pPr>
      <w:r w:rsidRPr="00EE6C97">
        <w:rPr>
          <w:rFonts w:ascii="Avenir Next" w:hAnsi="Avenir Next"/>
          <w:lang w:val="en-GB"/>
        </w:rPr>
        <w:t>A</w:t>
      </w:r>
      <w:r w:rsidR="004A11A1" w:rsidRPr="00EE6C97">
        <w:rPr>
          <w:rFonts w:ascii="Avenir Next" w:hAnsi="Avenir Next"/>
          <w:lang w:val="en-GB"/>
        </w:rPr>
        <w:t xml:space="preserve">t such intervals as the </w:t>
      </w:r>
      <w:r w:rsidR="00F5465E" w:rsidRPr="00EE6C97">
        <w:rPr>
          <w:rFonts w:ascii="Avenir Next" w:hAnsi="Avenir Next"/>
          <w:lang w:val="en-GB"/>
        </w:rPr>
        <w:t>Restructuring Officer</w:t>
      </w:r>
      <w:r w:rsidR="004A11A1" w:rsidRPr="00EE6C97">
        <w:rPr>
          <w:rFonts w:ascii="Avenir Next" w:hAnsi="Avenir Next"/>
          <w:lang w:val="en-GB"/>
        </w:rPr>
        <w:t xml:space="preserve"> consider</w:t>
      </w:r>
      <w:r w:rsidR="007F5739" w:rsidRPr="00EE6C97">
        <w:rPr>
          <w:rFonts w:ascii="Avenir Next" w:hAnsi="Avenir Next"/>
          <w:lang w:val="en-GB"/>
        </w:rPr>
        <w:t>s</w:t>
      </w:r>
      <w:r w:rsidR="004A11A1" w:rsidRPr="00EE6C97">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8C64A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8C64A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8C64A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3D871B7B" w:rsidR="004A11A1" w:rsidRPr="006E060C" w:rsidRDefault="004A11A1" w:rsidP="008C64A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r w:rsidR="00FB7062">
        <w:rPr>
          <w:rFonts w:ascii="Avenir Next" w:hAnsi="Avenir Next"/>
          <w:lang w:val="en-GB"/>
        </w:rPr>
        <w:t xml:space="preserve"> </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FB7062" w:rsidRDefault="004A11A1" w:rsidP="008C64AA">
      <w:pPr>
        <w:pStyle w:val="ListParagraph"/>
        <w:numPr>
          <w:ilvl w:val="0"/>
          <w:numId w:val="10"/>
        </w:numPr>
        <w:spacing w:after="0" w:line="240" w:lineRule="auto"/>
        <w:ind w:left="709" w:hanging="709"/>
        <w:rPr>
          <w:rFonts w:ascii="Avenir Next" w:hAnsi="Avenir Next"/>
          <w:highlight w:val="yellow"/>
          <w:lang w:val="en-GB"/>
        </w:rPr>
      </w:pPr>
      <w:r w:rsidRPr="00FB7062">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FB7062" w:rsidRDefault="004A11A1" w:rsidP="008C64AA">
      <w:pPr>
        <w:pStyle w:val="ListParagraph"/>
        <w:numPr>
          <w:ilvl w:val="0"/>
          <w:numId w:val="12"/>
        </w:numPr>
        <w:spacing w:after="0" w:line="240" w:lineRule="auto"/>
        <w:ind w:left="709" w:hanging="709"/>
        <w:rPr>
          <w:rFonts w:ascii="Avenir Next" w:hAnsi="Avenir Next"/>
          <w:highlight w:val="yellow"/>
          <w:lang w:val="en-GB"/>
        </w:rPr>
      </w:pPr>
      <w:r w:rsidRPr="00FB7062">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8C64A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8C64A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8C64A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8C64A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EE6C97" w:rsidRDefault="004A11A1" w:rsidP="008C64AA">
      <w:pPr>
        <w:pStyle w:val="ListParagraph"/>
        <w:numPr>
          <w:ilvl w:val="0"/>
          <w:numId w:val="11"/>
        </w:numPr>
        <w:spacing w:after="0" w:line="240" w:lineRule="auto"/>
        <w:ind w:left="709" w:hanging="709"/>
        <w:rPr>
          <w:rFonts w:ascii="Avenir Next" w:hAnsi="Avenir Next"/>
          <w:highlight w:val="yellow"/>
          <w:lang w:val="en-GB"/>
        </w:rPr>
      </w:pPr>
      <w:r w:rsidRPr="00EE6C97">
        <w:rPr>
          <w:rFonts w:ascii="Avenir Next" w:hAnsi="Avenir Next"/>
          <w:highlight w:val="yellow"/>
          <w:lang w:val="en-GB"/>
        </w:rPr>
        <w:t>within 21 days of the petition being filed</w:t>
      </w:r>
      <w:r w:rsidR="003721B7" w:rsidRPr="00EE6C97">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8C64A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8C64A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8C64A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8C64A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8C64AA">
      <w:pPr>
        <w:pStyle w:val="ListParagraph"/>
        <w:numPr>
          <w:ilvl w:val="1"/>
          <w:numId w:val="8"/>
        </w:numPr>
        <w:spacing w:after="0" w:line="240" w:lineRule="auto"/>
        <w:ind w:left="709" w:hanging="709"/>
        <w:jc w:val="left"/>
        <w:rPr>
          <w:rFonts w:ascii="Avenir Next" w:hAnsi="Avenir Next"/>
          <w:color w:val="00B0F0"/>
          <w:lang w:val="en-GB"/>
        </w:rPr>
      </w:pPr>
      <w:r w:rsidRPr="00E7672D">
        <w:rPr>
          <w:rFonts w:ascii="Avenir Next" w:hAnsi="Avenir Next"/>
          <w:highlight w:val="yellow"/>
          <w:lang w:val="en-GB"/>
        </w:rPr>
        <w:t>c</w:t>
      </w:r>
      <w:r w:rsidR="004A11A1" w:rsidRPr="00E7672D">
        <w:rPr>
          <w:rFonts w:ascii="Avenir Next" w:hAnsi="Avenir Next"/>
          <w:highlight w:val="yellow"/>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8C64A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8C64A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8C64A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E7672D" w:rsidRDefault="00B341CA" w:rsidP="008C64AA">
      <w:pPr>
        <w:pStyle w:val="ListParagraph"/>
        <w:numPr>
          <w:ilvl w:val="0"/>
          <w:numId w:val="13"/>
        </w:numPr>
        <w:spacing w:after="0" w:line="240" w:lineRule="auto"/>
        <w:ind w:left="709" w:hanging="709"/>
        <w:rPr>
          <w:rFonts w:ascii="Avenir Next" w:hAnsi="Avenir Next"/>
          <w:highlight w:val="yellow"/>
          <w:lang w:val="en-GB"/>
        </w:rPr>
      </w:pPr>
      <w:r w:rsidRPr="00E7672D">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8C64A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DF28B0" w:rsidRDefault="00B341CA" w:rsidP="008C64AA">
      <w:pPr>
        <w:pStyle w:val="ListParagraph"/>
        <w:numPr>
          <w:ilvl w:val="0"/>
          <w:numId w:val="14"/>
        </w:numPr>
        <w:spacing w:after="0" w:line="240" w:lineRule="auto"/>
        <w:ind w:left="709" w:hanging="709"/>
        <w:rPr>
          <w:rFonts w:ascii="Avenir Next" w:hAnsi="Avenir Next"/>
          <w:highlight w:val="yellow"/>
          <w:lang w:val="en-GB"/>
        </w:rPr>
      </w:pPr>
      <w:r w:rsidRPr="00DF28B0">
        <w:rPr>
          <w:rFonts w:ascii="Avenir Next" w:hAnsi="Avenir Next"/>
          <w:highlight w:val="yellow"/>
          <w:lang w:val="en-GB"/>
        </w:rPr>
        <w:t xml:space="preserve">The Cayman Islands </w:t>
      </w:r>
      <w:r w:rsidR="00052CB9" w:rsidRPr="00DF28B0">
        <w:rPr>
          <w:rFonts w:ascii="Avenir Next" w:hAnsi="Avenir Next"/>
          <w:highlight w:val="yellow"/>
          <w:lang w:val="en-GB"/>
        </w:rPr>
        <w:t>C</w:t>
      </w:r>
      <w:r w:rsidRPr="00DF28B0">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8C64A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8C64A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8C64A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8C64AA">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D24414" w:rsidRDefault="00BD0DC2" w:rsidP="008C64AA">
      <w:pPr>
        <w:numPr>
          <w:ilvl w:val="0"/>
          <w:numId w:val="17"/>
        </w:numPr>
        <w:ind w:left="709" w:hanging="709"/>
        <w:rPr>
          <w:rFonts w:cs="Calibri"/>
          <w:color w:val="000000"/>
          <w:highlight w:val="yellow"/>
          <w:lang w:val="en-ZA" w:eastAsia="en-GB"/>
        </w:rPr>
      </w:pPr>
      <w:r w:rsidRPr="00D24414">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D24414">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8C64AA">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8C64AA">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8C64AA">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8C64AA">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4E5BB2" w:rsidRDefault="00BD0DC2" w:rsidP="008C64AA">
      <w:pPr>
        <w:numPr>
          <w:ilvl w:val="0"/>
          <w:numId w:val="18"/>
        </w:numPr>
        <w:ind w:left="709" w:hanging="709"/>
        <w:rPr>
          <w:rFonts w:cs="Calibri"/>
          <w:color w:val="000000"/>
          <w:highlight w:val="yellow"/>
          <w:lang w:val="en-ZA" w:eastAsia="en-GB"/>
        </w:rPr>
      </w:pPr>
      <w:r w:rsidRPr="004E5BB2">
        <w:rPr>
          <w:rFonts w:cs="Calibri"/>
          <w:color w:val="000000"/>
          <w:highlight w:val="yellow"/>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8C64AA">
      <w:pPr>
        <w:numPr>
          <w:ilvl w:val="0"/>
          <w:numId w:val="1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EC3528" w:rsidRDefault="00BD0DC2" w:rsidP="008C64AA">
      <w:pPr>
        <w:numPr>
          <w:ilvl w:val="0"/>
          <w:numId w:val="19"/>
        </w:numPr>
        <w:ind w:left="709" w:hanging="709"/>
        <w:rPr>
          <w:rFonts w:cs="Calibri"/>
          <w:color w:val="000000"/>
          <w:highlight w:val="yellow"/>
          <w:lang w:val="en-ZA" w:eastAsia="en-GB"/>
        </w:rPr>
      </w:pPr>
      <w:r w:rsidRPr="00EC3528">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2A28A07A" w:rsidR="00BD0DC2" w:rsidRPr="006E060C" w:rsidRDefault="00BD0DC2" w:rsidP="008C64AA">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r w:rsidR="00EC3528">
        <w:rPr>
          <w:rFonts w:cs="Calibri"/>
          <w:color w:val="000000"/>
          <w:lang w:val="en-ZA" w:eastAsia="en-GB"/>
        </w:rPr>
        <w:t xml:space="preserve"> </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8C64AA">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188118AD" w:rsidR="00BD0DC2" w:rsidRPr="006E060C" w:rsidRDefault="00BD0DC2" w:rsidP="008C64AA">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r w:rsidR="00EC3528">
        <w:rPr>
          <w:rFonts w:cs="Calibri"/>
          <w:color w:val="000000"/>
          <w:lang w:val="en-ZA" w:eastAsia="en-GB"/>
        </w:rPr>
        <w:t xml:space="preserve"> </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8C64AA">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EC3528" w:rsidRDefault="00BD0DC2" w:rsidP="008C64AA">
      <w:pPr>
        <w:numPr>
          <w:ilvl w:val="0"/>
          <w:numId w:val="20"/>
        </w:numPr>
        <w:ind w:left="709" w:hanging="709"/>
        <w:rPr>
          <w:rFonts w:cs="Calibri"/>
          <w:color w:val="000000"/>
          <w:highlight w:val="yellow"/>
          <w:lang w:val="en-ZA" w:eastAsia="en-GB"/>
        </w:rPr>
      </w:pPr>
      <w:r w:rsidRPr="00EC3528">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8C64AA">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8C64AA">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8C64AA">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333EF0" w:rsidRDefault="00BD0DC2" w:rsidP="008C64AA">
      <w:pPr>
        <w:numPr>
          <w:ilvl w:val="0"/>
          <w:numId w:val="21"/>
        </w:numPr>
        <w:ind w:left="709" w:hanging="709"/>
        <w:rPr>
          <w:rFonts w:cs="Calibri"/>
          <w:color w:val="000000"/>
          <w:highlight w:val="yellow"/>
          <w:lang w:val="en-ZA" w:eastAsia="en-GB"/>
        </w:rPr>
      </w:pPr>
      <w:r w:rsidRPr="00333EF0">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8C64AA">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8C64AA">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0700AB" w:rsidRDefault="00BD0DC2" w:rsidP="008C64AA">
      <w:pPr>
        <w:numPr>
          <w:ilvl w:val="0"/>
          <w:numId w:val="22"/>
        </w:numPr>
        <w:ind w:left="709" w:hanging="709"/>
        <w:rPr>
          <w:rFonts w:cs="Calibri"/>
          <w:color w:val="000000"/>
          <w:highlight w:val="yellow"/>
          <w:lang w:val="en-ZA" w:eastAsia="en-GB"/>
        </w:rPr>
      </w:pPr>
      <w:r w:rsidRPr="000700AB">
        <w:rPr>
          <w:rFonts w:cs="Calibri"/>
          <w:color w:val="000000"/>
          <w:highlight w:val="yellow"/>
          <w:lang w:val="en-ZA" w:eastAsia="en-GB"/>
        </w:rPr>
        <w:t>The company has the statutory power to commence the proceedings</w:t>
      </w:r>
      <w:r w:rsidR="00BD2F4B" w:rsidRPr="000700AB">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2994EEBC" w:rsidR="00BD0DC2" w:rsidRPr="006E060C" w:rsidRDefault="00BD0DC2" w:rsidP="008C64AA">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rsidP="008C64AA">
      <w:pPr>
        <w:numPr>
          <w:ilvl w:val="0"/>
          <w:numId w:val="2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8C64AA">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8C64AA">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E20EA9" w:rsidRDefault="00BD0DC2" w:rsidP="008C64AA">
      <w:pPr>
        <w:numPr>
          <w:ilvl w:val="0"/>
          <w:numId w:val="24"/>
        </w:numPr>
        <w:ind w:left="709" w:hanging="709"/>
        <w:jc w:val="left"/>
        <w:rPr>
          <w:rFonts w:cs="Calibri"/>
          <w:color w:val="000000"/>
          <w:highlight w:val="yellow"/>
          <w:lang w:val="en-ZA" w:eastAsia="en-GB"/>
        </w:rPr>
      </w:pPr>
      <w:r w:rsidRPr="00E20EA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8C64AA">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8C64AA">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0700AB" w:rsidRDefault="00BD0DC2" w:rsidP="008C64AA">
      <w:pPr>
        <w:numPr>
          <w:ilvl w:val="0"/>
          <w:numId w:val="23"/>
        </w:numPr>
        <w:ind w:left="709" w:hanging="709"/>
        <w:jc w:val="left"/>
        <w:rPr>
          <w:rFonts w:cs="Calibri"/>
          <w:color w:val="000000"/>
          <w:highlight w:val="yellow"/>
          <w:lang w:val="en-ZA" w:eastAsia="en-GB"/>
        </w:rPr>
      </w:pPr>
      <w:r w:rsidRPr="000700AB">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8C64AA">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8C64AA">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8C64AA">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36797587" w:rsidR="00A51058" w:rsidRPr="009F4D3B" w:rsidRDefault="000700AB" w:rsidP="00640B2A">
      <w:pPr>
        <w:pStyle w:val="BodyText"/>
        <w:ind w:firstLine="0"/>
        <w:jc w:val="both"/>
      </w:pPr>
      <w:r w:rsidRPr="009F4D3B">
        <w:t xml:space="preserve">The required content of an Official Liquidator’s </w:t>
      </w:r>
      <w:r w:rsidR="004260BE" w:rsidRPr="009F4D3B">
        <w:t xml:space="preserve">consent to act </w:t>
      </w:r>
      <w:r w:rsidRPr="009F4D3B">
        <w:t>is set out in O.3, r.4(1) Companies Winding-Up Rules</w:t>
      </w:r>
      <w:r w:rsidR="00797B95" w:rsidRPr="009F4D3B">
        <w:t xml:space="preserve"> (CWR)</w:t>
      </w:r>
      <w:r w:rsidR="00640B2A" w:rsidRPr="009F4D3B">
        <w:t xml:space="preserve">. This rule provides that the Consent to Act must be contained in an affidavit sworn by the person nominated for appointment as official liquidator </w:t>
      </w:r>
      <w:r w:rsidR="00640B2A" w:rsidRPr="009F4D3B">
        <w:lastRenderedPageBreak/>
        <w:t xml:space="preserve">stating that:  </w:t>
      </w:r>
    </w:p>
    <w:p w14:paraId="0E2BE371" w14:textId="77777777" w:rsidR="000700AB" w:rsidRPr="009F4D3B" w:rsidRDefault="000700AB" w:rsidP="00640B2A">
      <w:pPr>
        <w:pStyle w:val="BodyText"/>
        <w:ind w:firstLine="0"/>
        <w:jc w:val="both"/>
      </w:pPr>
    </w:p>
    <w:p w14:paraId="00C7A213" w14:textId="0059C828" w:rsidR="00EC7C36" w:rsidRPr="009F4D3B" w:rsidRDefault="000700AB" w:rsidP="008C64AA">
      <w:pPr>
        <w:pStyle w:val="Default"/>
        <w:numPr>
          <w:ilvl w:val="0"/>
          <w:numId w:val="25"/>
        </w:numPr>
        <w:jc w:val="both"/>
        <w:rPr>
          <w:rFonts w:ascii="Arial" w:hAnsi="Arial" w:cs="Arial"/>
          <w:color w:val="auto"/>
          <w:sz w:val="22"/>
          <w:szCs w:val="22"/>
          <w:u w:val="none"/>
        </w:rPr>
      </w:pPr>
      <w:r w:rsidRPr="009F4D3B">
        <w:rPr>
          <w:rFonts w:ascii="Arial" w:hAnsi="Arial" w:cs="Arial"/>
          <w:color w:val="auto"/>
          <w:sz w:val="22"/>
          <w:szCs w:val="22"/>
          <w:u w:val="none"/>
        </w:rPr>
        <w:t xml:space="preserve">that person is a qualified insolvency practitioner and </w:t>
      </w:r>
      <w:r w:rsidR="00EC7C36" w:rsidRPr="009F4D3B">
        <w:rPr>
          <w:rFonts w:ascii="Arial" w:hAnsi="Arial" w:cs="Arial"/>
          <w:color w:val="auto"/>
          <w:sz w:val="22"/>
          <w:szCs w:val="22"/>
          <w:u w:val="none"/>
        </w:rPr>
        <w:t xml:space="preserve">that they </w:t>
      </w:r>
      <w:r w:rsidRPr="009F4D3B">
        <w:rPr>
          <w:rFonts w:ascii="Arial" w:hAnsi="Arial" w:cs="Arial"/>
          <w:color w:val="auto"/>
          <w:sz w:val="22"/>
          <w:szCs w:val="22"/>
          <w:u w:val="none"/>
        </w:rPr>
        <w:t>meet the residency requirement contained in Regulation 5</w:t>
      </w:r>
      <w:r w:rsidR="00640B2A" w:rsidRPr="009F4D3B">
        <w:rPr>
          <w:rFonts w:ascii="Arial" w:hAnsi="Arial" w:cs="Arial"/>
          <w:color w:val="auto"/>
          <w:sz w:val="22"/>
          <w:szCs w:val="22"/>
          <w:u w:val="none"/>
        </w:rPr>
        <w:t xml:space="preserve"> of the Insolvency Practitioners Rules</w:t>
      </w:r>
      <w:r w:rsidR="00797B95" w:rsidRPr="009F4D3B">
        <w:rPr>
          <w:rFonts w:ascii="Arial" w:hAnsi="Arial" w:cs="Arial"/>
          <w:color w:val="auto"/>
          <w:sz w:val="22"/>
          <w:szCs w:val="22"/>
          <w:u w:val="none"/>
        </w:rPr>
        <w:t xml:space="preserve"> (IPR)</w:t>
      </w:r>
      <w:r w:rsidR="00640B2A" w:rsidRPr="009F4D3B">
        <w:rPr>
          <w:rFonts w:ascii="Arial" w:hAnsi="Arial" w:cs="Arial"/>
          <w:color w:val="auto"/>
          <w:sz w:val="22"/>
          <w:szCs w:val="22"/>
          <w:u w:val="none"/>
        </w:rPr>
        <w:t xml:space="preserve">. </w:t>
      </w:r>
      <w:r w:rsidR="00EC7C36" w:rsidRPr="009F4D3B">
        <w:rPr>
          <w:rFonts w:ascii="Arial" w:hAnsi="Arial" w:cs="Arial"/>
          <w:color w:val="auto"/>
          <w:sz w:val="22"/>
          <w:szCs w:val="22"/>
          <w:u w:val="none"/>
        </w:rPr>
        <w:t xml:space="preserve">The residency requirement is that the </w:t>
      </w:r>
      <w:r w:rsidR="00640B2A" w:rsidRPr="009F4D3B">
        <w:rPr>
          <w:rFonts w:ascii="Arial" w:hAnsi="Arial" w:cs="Arial"/>
          <w:color w:val="auto"/>
          <w:sz w:val="22"/>
          <w:szCs w:val="22"/>
          <w:u w:val="none"/>
        </w:rPr>
        <w:t xml:space="preserve">nominated individual is a person </w:t>
      </w:r>
      <w:r w:rsidR="00EC7C36" w:rsidRPr="009F4D3B">
        <w:rPr>
          <w:rFonts w:ascii="Arial" w:hAnsi="Arial" w:cs="Arial"/>
          <w:color w:val="auto"/>
          <w:sz w:val="22"/>
          <w:szCs w:val="22"/>
          <w:u w:val="none"/>
        </w:rPr>
        <w:t xml:space="preserve">that </w:t>
      </w:r>
      <w:r w:rsidR="00640B2A" w:rsidRPr="009F4D3B">
        <w:rPr>
          <w:rFonts w:ascii="Arial" w:hAnsi="Arial" w:cs="Arial"/>
          <w:color w:val="auto"/>
          <w:sz w:val="22"/>
          <w:szCs w:val="22"/>
          <w:u w:val="none"/>
        </w:rPr>
        <w:t xml:space="preserve">is resident in the Cayman Islands and that </w:t>
      </w:r>
      <w:r w:rsidR="00EC7C36" w:rsidRPr="009F4D3B">
        <w:rPr>
          <w:rFonts w:ascii="Arial" w:hAnsi="Arial" w:cs="Arial"/>
          <w:color w:val="auto"/>
          <w:sz w:val="22"/>
          <w:szCs w:val="22"/>
          <w:u w:val="none"/>
        </w:rPr>
        <w:t xml:space="preserve">the firm that the nominated individual works for holds a </w:t>
      </w:r>
      <w:r w:rsidR="00640B2A" w:rsidRPr="009F4D3B">
        <w:rPr>
          <w:rFonts w:ascii="Arial" w:hAnsi="Arial" w:cs="Arial"/>
          <w:color w:val="auto"/>
          <w:sz w:val="22"/>
          <w:szCs w:val="22"/>
          <w:u w:val="none"/>
        </w:rPr>
        <w:t xml:space="preserve">trade and business </w:t>
      </w:r>
      <w:proofErr w:type="spellStart"/>
      <w:r w:rsidR="00640B2A" w:rsidRPr="009F4D3B">
        <w:rPr>
          <w:rFonts w:ascii="Arial" w:hAnsi="Arial" w:cs="Arial"/>
          <w:color w:val="auto"/>
          <w:sz w:val="22"/>
          <w:szCs w:val="22"/>
          <w:u w:val="none"/>
        </w:rPr>
        <w:t>licence</w:t>
      </w:r>
      <w:proofErr w:type="spellEnd"/>
      <w:r w:rsidR="00640B2A" w:rsidRPr="009F4D3B">
        <w:rPr>
          <w:rFonts w:ascii="Arial" w:hAnsi="Arial" w:cs="Arial"/>
          <w:color w:val="auto"/>
          <w:sz w:val="22"/>
          <w:szCs w:val="22"/>
          <w:u w:val="none"/>
        </w:rPr>
        <w:t xml:space="preserve"> </w:t>
      </w:r>
      <w:r w:rsidR="00EC7C36" w:rsidRPr="009F4D3B">
        <w:rPr>
          <w:rFonts w:ascii="Arial" w:hAnsi="Arial" w:cs="Arial"/>
          <w:color w:val="auto"/>
          <w:sz w:val="22"/>
          <w:szCs w:val="22"/>
          <w:u w:val="none"/>
        </w:rPr>
        <w:t xml:space="preserve">that entitles the nominated person to work as a </w:t>
      </w:r>
      <w:r w:rsidR="00640B2A" w:rsidRPr="009F4D3B">
        <w:rPr>
          <w:rFonts w:ascii="Arial" w:hAnsi="Arial" w:cs="Arial"/>
          <w:color w:val="auto"/>
          <w:sz w:val="22"/>
          <w:szCs w:val="22"/>
          <w:u w:val="none"/>
        </w:rPr>
        <w:t>professional insolvency practitioner.</w:t>
      </w:r>
    </w:p>
    <w:p w14:paraId="77D34344" w14:textId="77777777" w:rsidR="00EC7C36" w:rsidRPr="009F4D3B" w:rsidRDefault="00EC7C36" w:rsidP="00EC7C36">
      <w:pPr>
        <w:pStyle w:val="Default"/>
        <w:ind w:left="1080"/>
        <w:jc w:val="both"/>
        <w:rPr>
          <w:rFonts w:ascii="Arial" w:hAnsi="Arial" w:cs="Arial"/>
          <w:color w:val="auto"/>
          <w:sz w:val="22"/>
          <w:szCs w:val="22"/>
          <w:u w:val="none"/>
        </w:rPr>
      </w:pPr>
    </w:p>
    <w:p w14:paraId="63700348" w14:textId="2A88738B" w:rsidR="00EC7C36" w:rsidRPr="009F4D3B" w:rsidRDefault="00EC7C36" w:rsidP="008C64AA">
      <w:pPr>
        <w:pStyle w:val="Default"/>
        <w:numPr>
          <w:ilvl w:val="0"/>
          <w:numId w:val="25"/>
        </w:numPr>
        <w:jc w:val="both"/>
        <w:rPr>
          <w:rFonts w:ascii="Arial" w:hAnsi="Arial" w:cs="Arial"/>
          <w:color w:val="auto"/>
          <w:sz w:val="22"/>
          <w:szCs w:val="22"/>
          <w:u w:val="none"/>
        </w:rPr>
      </w:pPr>
      <w:r w:rsidRPr="009F4D3B">
        <w:rPr>
          <w:rFonts w:ascii="Arial" w:hAnsi="Arial" w:cs="Arial"/>
          <w:color w:val="auto"/>
          <w:sz w:val="22"/>
          <w:szCs w:val="22"/>
          <w:u w:val="none"/>
        </w:rPr>
        <w:t xml:space="preserve">The nominated individual meets the independence criteria set out in Reg.6 IPR. Reg. 6 IPR provides that the nominated person should be properly regarded as independent of the company. Secondly, </w:t>
      </w:r>
      <w:r w:rsidR="00F92D7B" w:rsidRPr="009F4D3B">
        <w:rPr>
          <w:rFonts w:ascii="Arial" w:hAnsi="Arial" w:cs="Arial"/>
          <w:sz w:val="22"/>
          <w:szCs w:val="22"/>
          <w:u w:val="none"/>
        </w:rPr>
        <w:t>Reg</w:t>
      </w:r>
      <w:r w:rsidRPr="009F4D3B">
        <w:rPr>
          <w:rFonts w:ascii="Arial" w:hAnsi="Arial" w:cs="Arial"/>
          <w:sz w:val="22"/>
          <w:szCs w:val="22"/>
          <w:u w:val="none"/>
        </w:rPr>
        <w:t>.</w:t>
      </w:r>
      <w:r w:rsidR="00F92D7B" w:rsidRPr="009F4D3B">
        <w:rPr>
          <w:rFonts w:ascii="Arial" w:hAnsi="Arial" w:cs="Arial"/>
          <w:sz w:val="22"/>
          <w:szCs w:val="22"/>
          <w:u w:val="none"/>
        </w:rPr>
        <w:t xml:space="preserve"> 6(2) also provides that </w:t>
      </w:r>
      <w:r w:rsidRPr="009F4D3B">
        <w:rPr>
          <w:rFonts w:ascii="Arial" w:hAnsi="Arial" w:cs="Arial"/>
          <w:sz w:val="22"/>
          <w:szCs w:val="22"/>
          <w:u w:val="none"/>
        </w:rPr>
        <w:t>the nominated individual will not be regarded as independent if that person, or their firm have been appointed as the auditor of the relevant company within the previous three years.</w:t>
      </w:r>
    </w:p>
    <w:p w14:paraId="3DC65C2B" w14:textId="77777777" w:rsidR="00EC7C36" w:rsidRPr="009F4D3B" w:rsidRDefault="00EC7C36" w:rsidP="00EC7C36">
      <w:pPr>
        <w:pStyle w:val="Default"/>
        <w:ind w:left="1080"/>
        <w:jc w:val="both"/>
        <w:rPr>
          <w:rFonts w:ascii="Arial" w:hAnsi="Arial" w:cs="Arial"/>
          <w:color w:val="auto"/>
          <w:sz w:val="22"/>
          <w:szCs w:val="22"/>
          <w:u w:val="none"/>
        </w:rPr>
      </w:pPr>
    </w:p>
    <w:p w14:paraId="66FEFCCA" w14:textId="77777777" w:rsidR="00EC7C36" w:rsidRPr="009F4D3B" w:rsidRDefault="000700AB" w:rsidP="008C64AA">
      <w:pPr>
        <w:pStyle w:val="Default"/>
        <w:numPr>
          <w:ilvl w:val="0"/>
          <w:numId w:val="25"/>
        </w:numPr>
        <w:jc w:val="both"/>
        <w:rPr>
          <w:rFonts w:ascii="Arial" w:hAnsi="Arial" w:cs="Arial"/>
          <w:color w:val="auto"/>
          <w:sz w:val="22"/>
          <w:szCs w:val="22"/>
          <w:u w:val="none"/>
        </w:rPr>
      </w:pPr>
      <w:r w:rsidRPr="009F4D3B">
        <w:rPr>
          <w:rFonts w:ascii="Arial" w:hAnsi="Arial" w:cs="Arial"/>
          <w:color w:val="auto"/>
          <w:sz w:val="22"/>
          <w:szCs w:val="22"/>
          <w:u w:val="none"/>
        </w:rPr>
        <w:t xml:space="preserve">that </w:t>
      </w:r>
      <w:r w:rsidR="00EC7C36" w:rsidRPr="009F4D3B">
        <w:rPr>
          <w:rFonts w:ascii="Arial" w:hAnsi="Arial" w:cs="Arial"/>
          <w:color w:val="auto"/>
          <w:sz w:val="22"/>
          <w:szCs w:val="22"/>
          <w:u w:val="none"/>
        </w:rPr>
        <w:t xml:space="preserve">nominated individual and / or their firm complies with the requirement to hold sufficient professional indemnity insurance as set out in Reg.7 IPR. </w:t>
      </w:r>
    </w:p>
    <w:p w14:paraId="09CC7E7D" w14:textId="77777777" w:rsidR="004260BE" w:rsidRPr="009F4D3B" w:rsidRDefault="004260BE" w:rsidP="004260BE">
      <w:pPr>
        <w:pStyle w:val="Default"/>
        <w:ind w:left="1080"/>
        <w:jc w:val="both"/>
        <w:rPr>
          <w:rFonts w:ascii="Arial" w:hAnsi="Arial" w:cs="Arial"/>
          <w:color w:val="auto"/>
          <w:sz w:val="22"/>
          <w:szCs w:val="22"/>
          <w:u w:val="none"/>
        </w:rPr>
      </w:pPr>
    </w:p>
    <w:p w14:paraId="3D22D70E" w14:textId="125AACA9" w:rsidR="000700AB" w:rsidRPr="009F4D3B" w:rsidRDefault="000700AB" w:rsidP="008C64AA">
      <w:pPr>
        <w:pStyle w:val="Default"/>
        <w:numPr>
          <w:ilvl w:val="0"/>
          <w:numId w:val="25"/>
        </w:numPr>
        <w:jc w:val="both"/>
        <w:rPr>
          <w:rFonts w:ascii="Arial" w:hAnsi="Arial" w:cs="Arial"/>
          <w:color w:val="auto"/>
          <w:sz w:val="22"/>
          <w:szCs w:val="22"/>
          <w:u w:val="none"/>
        </w:rPr>
      </w:pPr>
      <w:r w:rsidRPr="009F4D3B">
        <w:rPr>
          <w:rFonts w:ascii="Arial" w:hAnsi="Arial" w:cs="Arial"/>
          <w:sz w:val="22"/>
          <w:szCs w:val="22"/>
          <w:u w:val="none"/>
        </w:rPr>
        <w:t xml:space="preserve">that </w:t>
      </w:r>
      <w:r w:rsidR="00EC7C36" w:rsidRPr="009F4D3B">
        <w:rPr>
          <w:rFonts w:ascii="Arial" w:hAnsi="Arial" w:cs="Arial"/>
          <w:sz w:val="22"/>
          <w:szCs w:val="22"/>
          <w:u w:val="none"/>
        </w:rPr>
        <w:t xml:space="preserve">the nominated individual </w:t>
      </w:r>
      <w:r w:rsidR="00C91BB2" w:rsidRPr="009F4D3B">
        <w:rPr>
          <w:rFonts w:ascii="Arial" w:hAnsi="Arial" w:cs="Arial"/>
          <w:sz w:val="22"/>
          <w:szCs w:val="22"/>
          <w:u w:val="none"/>
        </w:rPr>
        <w:t>is willing</w:t>
      </w:r>
      <w:r w:rsidR="00EC7C36" w:rsidRPr="009F4D3B">
        <w:rPr>
          <w:rFonts w:ascii="Arial" w:hAnsi="Arial" w:cs="Arial"/>
          <w:sz w:val="22"/>
          <w:szCs w:val="22"/>
          <w:u w:val="none"/>
        </w:rPr>
        <w:t xml:space="preserve"> to </w:t>
      </w:r>
      <w:r w:rsidRPr="009F4D3B">
        <w:rPr>
          <w:rFonts w:ascii="Arial" w:hAnsi="Arial" w:cs="Arial"/>
          <w:sz w:val="22"/>
          <w:szCs w:val="22"/>
          <w:u w:val="none"/>
        </w:rPr>
        <w:t xml:space="preserve">act as official liquidator if </w:t>
      </w:r>
      <w:r w:rsidR="00EC7C36" w:rsidRPr="009F4D3B">
        <w:rPr>
          <w:rFonts w:ascii="Arial" w:hAnsi="Arial" w:cs="Arial"/>
          <w:sz w:val="22"/>
          <w:szCs w:val="22"/>
          <w:u w:val="none"/>
        </w:rPr>
        <w:t xml:space="preserve">they are </w:t>
      </w:r>
      <w:r w:rsidRPr="009F4D3B">
        <w:rPr>
          <w:rFonts w:ascii="Arial" w:hAnsi="Arial" w:cs="Arial"/>
          <w:sz w:val="22"/>
          <w:szCs w:val="22"/>
          <w:u w:val="none"/>
        </w:rPr>
        <w:t>appointed by the Court.</w:t>
      </w:r>
    </w:p>
    <w:p w14:paraId="70D0FEF7" w14:textId="77777777" w:rsidR="00F92D7B" w:rsidRPr="009F4D3B" w:rsidRDefault="00F92D7B" w:rsidP="00F92D7B">
      <w:pPr>
        <w:pStyle w:val="BodyText"/>
        <w:ind w:firstLine="0"/>
      </w:pPr>
    </w:p>
    <w:p w14:paraId="62DDC74A" w14:textId="03A5AA35" w:rsidR="00F92D7B" w:rsidRPr="009F4D3B" w:rsidRDefault="00F92D7B" w:rsidP="009F4D3B">
      <w:pPr>
        <w:pStyle w:val="BodyText"/>
        <w:ind w:firstLine="0"/>
        <w:jc w:val="both"/>
      </w:pPr>
      <w:r w:rsidRPr="009F4D3B">
        <w:t>O.3, r.4(</w:t>
      </w:r>
      <w:r w:rsidR="00920F0F" w:rsidRPr="009F4D3B">
        <w:t>2</w:t>
      </w:r>
      <w:r w:rsidRPr="009F4D3B">
        <w:t>) Companies Winding-Up Rules also sets out requirements for the Consent to Act for a foreign practitioner if the petition seeks the appointment of a foreign practitioner jointly with the qualified insolvency practitioner. A</w:t>
      </w:r>
      <w:r w:rsidR="00CE7FB7" w:rsidRPr="009F4D3B">
        <w:t xml:space="preserve"> foreign practitioner cannot act as a sole </w:t>
      </w:r>
      <w:r w:rsidR="00920F0F" w:rsidRPr="009F4D3B">
        <w:t>official liquidator. The foreign practitioner’s affidavit must contain:</w:t>
      </w:r>
    </w:p>
    <w:p w14:paraId="7DC70693" w14:textId="77777777" w:rsidR="00920F0F" w:rsidRPr="009F4D3B" w:rsidRDefault="00920F0F" w:rsidP="00920F0F">
      <w:pPr>
        <w:pStyle w:val="BodyText"/>
        <w:ind w:left="720" w:hanging="720"/>
        <w:jc w:val="both"/>
      </w:pPr>
    </w:p>
    <w:p w14:paraId="760A81CA" w14:textId="788C1D94" w:rsidR="00920F0F" w:rsidRPr="009F4D3B" w:rsidRDefault="00920F0F" w:rsidP="00920F0F">
      <w:pPr>
        <w:pStyle w:val="Default"/>
        <w:ind w:left="720" w:hanging="720"/>
        <w:jc w:val="both"/>
        <w:rPr>
          <w:rFonts w:ascii="Arial" w:hAnsi="Arial" w:cs="Arial"/>
          <w:sz w:val="22"/>
          <w:szCs w:val="22"/>
          <w:u w:val="none"/>
        </w:rPr>
      </w:pPr>
      <w:r w:rsidRPr="009F4D3B">
        <w:rPr>
          <w:rFonts w:ascii="Arial" w:hAnsi="Arial" w:cs="Arial"/>
          <w:sz w:val="22"/>
          <w:szCs w:val="22"/>
          <w:u w:val="none"/>
        </w:rPr>
        <w:t xml:space="preserve">(a) </w:t>
      </w:r>
      <w:r w:rsidRPr="009F4D3B">
        <w:rPr>
          <w:rFonts w:ascii="Arial" w:hAnsi="Arial" w:cs="Arial"/>
          <w:sz w:val="22"/>
          <w:szCs w:val="22"/>
          <w:u w:val="none"/>
        </w:rPr>
        <w:tab/>
        <w:t xml:space="preserve">that </w:t>
      </w:r>
      <w:r w:rsidR="00B907DB" w:rsidRPr="009F4D3B">
        <w:rPr>
          <w:rFonts w:ascii="Arial" w:hAnsi="Arial" w:cs="Arial"/>
          <w:sz w:val="22"/>
          <w:szCs w:val="22"/>
          <w:u w:val="none"/>
        </w:rPr>
        <w:t xml:space="preserve">foreign practitioner’s </w:t>
      </w:r>
      <w:r w:rsidRPr="009F4D3B">
        <w:rPr>
          <w:rFonts w:ascii="Arial" w:hAnsi="Arial" w:cs="Arial"/>
          <w:sz w:val="22"/>
          <w:szCs w:val="22"/>
          <w:u w:val="none"/>
        </w:rPr>
        <w:t xml:space="preserve">professional qualifications; </w:t>
      </w:r>
    </w:p>
    <w:p w14:paraId="0C22170D" w14:textId="720B5FA7" w:rsidR="00920F0F" w:rsidRPr="009F4D3B" w:rsidRDefault="00920F0F" w:rsidP="00920F0F">
      <w:pPr>
        <w:pStyle w:val="Default"/>
        <w:ind w:left="720" w:hanging="720"/>
        <w:jc w:val="both"/>
        <w:rPr>
          <w:rFonts w:ascii="Arial" w:hAnsi="Arial" w:cs="Arial"/>
          <w:sz w:val="22"/>
          <w:szCs w:val="22"/>
          <w:u w:val="none"/>
        </w:rPr>
      </w:pPr>
      <w:r w:rsidRPr="009F4D3B">
        <w:rPr>
          <w:rFonts w:ascii="Arial" w:hAnsi="Arial" w:cs="Arial"/>
          <w:sz w:val="22"/>
          <w:szCs w:val="22"/>
          <w:u w:val="none"/>
        </w:rPr>
        <w:t xml:space="preserve">(b) </w:t>
      </w:r>
      <w:r w:rsidRPr="009F4D3B">
        <w:rPr>
          <w:rFonts w:ascii="Arial" w:hAnsi="Arial" w:cs="Arial"/>
          <w:sz w:val="22"/>
          <w:szCs w:val="22"/>
          <w:u w:val="none"/>
        </w:rPr>
        <w:tab/>
        <w:t xml:space="preserve">the country in which that </w:t>
      </w:r>
      <w:r w:rsidR="00B907DB" w:rsidRPr="009F4D3B">
        <w:rPr>
          <w:rFonts w:ascii="Arial" w:hAnsi="Arial" w:cs="Arial"/>
          <w:sz w:val="22"/>
          <w:szCs w:val="22"/>
          <w:u w:val="none"/>
        </w:rPr>
        <w:t xml:space="preserve">foreign practitioner </w:t>
      </w:r>
      <w:r w:rsidRPr="009F4D3B">
        <w:rPr>
          <w:rFonts w:ascii="Arial" w:hAnsi="Arial" w:cs="Arial"/>
          <w:sz w:val="22"/>
          <w:szCs w:val="22"/>
          <w:u w:val="none"/>
        </w:rPr>
        <w:t xml:space="preserve">is qualified to </w:t>
      </w:r>
      <w:r w:rsidR="00EC7C36" w:rsidRPr="009F4D3B">
        <w:rPr>
          <w:rFonts w:ascii="Arial" w:hAnsi="Arial" w:cs="Arial"/>
          <w:sz w:val="22"/>
          <w:szCs w:val="22"/>
          <w:u w:val="none"/>
        </w:rPr>
        <w:t xml:space="preserve">act as an insolvency practitioner </w:t>
      </w:r>
    </w:p>
    <w:p w14:paraId="12DAFA29" w14:textId="15EC165F" w:rsidR="00920F0F" w:rsidRPr="009F4D3B" w:rsidRDefault="00920F0F" w:rsidP="00920F0F">
      <w:pPr>
        <w:pStyle w:val="Default"/>
        <w:ind w:left="720" w:hanging="720"/>
        <w:jc w:val="both"/>
        <w:rPr>
          <w:rFonts w:ascii="Arial" w:hAnsi="Arial" w:cs="Arial"/>
          <w:sz w:val="22"/>
          <w:szCs w:val="22"/>
          <w:u w:val="none"/>
        </w:rPr>
      </w:pPr>
      <w:r w:rsidRPr="009F4D3B">
        <w:rPr>
          <w:rFonts w:ascii="Arial" w:hAnsi="Arial" w:cs="Arial"/>
          <w:sz w:val="22"/>
          <w:szCs w:val="22"/>
          <w:u w:val="none"/>
        </w:rPr>
        <w:t xml:space="preserve">(c) </w:t>
      </w:r>
      <w:r w:rsidRPr="009F4D3B">
        <w:rPr>
          <w:rFonts w:ascii="Arial" w:hAnsi="Arial" w:cs="Arial"/>
          <w:sz w:val="22"/>
          <w:szCs w:val="22"/>
          <w:u w:val="none"/>
        </w:rPr>
        <w:tab/>
        <w:t xml:space="preserve">that </w:t>
      </w:r>
      <w:r w:rsidR="00B907DB" w:rsidRPr="009F4D3B">
        <w:rPr>
          <w:rFonts w:ascii="Arial" w:hAnsi="Arial" w:cs="Arial"/>
          <w:sz w:val="22"/>
          <w:szCs w:val="22"/>
          <w:u w:val="none"/>
        </w:rPr>
        <w:t xml:space="preserve">foreign practitioner’s </w:t>
      </w:r>
      <w:r w:rsidRPr="009F4D3B">
        <w:rPr>
          <w:rFonts w:ascii="Arial" w:hAnsi="Arial" w:cs="Arial"/>
          <w:sz w:val="22"/>
          <w:szCs w:val="22"/>
          <w:u w:val="none"/>
        </w:rPr>
        <w:t xml:space="preserve">professional experience; </w:t>
      </w:r>
    </w:p>
    <w:p w14:paraId="75BB9F5A" w14:textId="6EF20A4F" w:rsidR="00920F0F" w:rsidRPr="009F4D3B" w:rsidRDefault="00920F0F" w:rsidP="00920F0F">
      <w:pPr>
        <w:pStyle w:val="Default"/>
        <w:ind w:left="720" w:hanging="720"/>
        <w:jc w:val="both"/>
        <w:rPr>
          <w:rFonts w:ascii="Arial" w:hAnsi="Arial" w:cs="Arial"/>
          <w:sz w:val="22"/>
          <w:szCs w:val="22"/>
          <w:u w:val="none"/>
        </w:rPr>
      </w:pPr>
      <w:r w:rsidRPr="009F4D3B">
        <w:rPr>
          <w:rFonts w:ascii="Arial" w:hAnsi="Arial" w:cs="Arial"/>
          <w:sz w:val="22"/>
          <w:szCs w:val="22"/>
          <w:u w:val="none"/>
        </w:rPr>
        <w:t xml:space="preserve">(d) </w:t>
      </w:r>
      <w:r w:rsidRPr="009F4D3B">
        <w:rPr>
          <w:rFonts w:ascii="Arial" w:hAnsi="Arial" w:cs="Arial"/>
          <w:sz w:val="22"/>
          <w:szCs w:val="22"/>
          <w:u w:val="none"/>
        </w:rPr>
        <w:tab/>
        <w:t xml:space="preserve">that </w:t>
      </w:r>
      <w:r w:rsidR="00B907DB" w:rsidRPr="009F4D3B">
        <w:rPr>
          <w:rFonts w:ascii="Arial" w:hAnsi="Arial" w:cs="Arial"/>
          <w:sz w:val="22"/>
          <w:szCs w:val="22"/>
          <w:u w:val="none"/>
        </w:rPr>
        <w:t xml:space="preserve">the nominated foreign practitioner will have equivalent professional indemnity insurance. </w:t>
      </w:r>
      <w:r w:rsidRPr="009F4D3B">
        <w:rPr>
          <w:rFonts w:ascii="Arial" w:hAnsi="Arial" w:cs="Arial"/>
          <w:sz w:val="22"/>
          <w:szCs w:val="22"/>
          <w:u w:val="none"/>
        </w:rPr>
        <w:t xml:space="preserve"> </w:t>
      </w:r>
    </w:p>
    <w:p w14:paraId="555CC443" w14:textId="1AC963E4" w:rsidR="00920F0F" w:rsidRPr="009F4D3B" w:rsidRDefault="00920F0F" w:rsidP="00920F0F">
      <w:pPr>
        <w:pStyle w:val="BodyText"/>
        <w:ind w:left="720" w:hanging="720"/>
        <w:jc w:val="both"/>
      </w:pPr>
      <w:r w:rsidRPr="009F4D3B">
        <w:t xml:space="preserve">(e) </w:t>
      </w:r>
      <w:r w:rsidRPr="009F4D3B">
        <w:tab/>
      </w:r>
      <w:r w:rsidR="00B907DB" w:rsidRPr="009F4D3B">
        <w:t xml:space="preserve">whether the foreign practitioner has been appointed to act as a liquidator, receiver </w:t>
      </w:r>
      <w:proofErr w:type="spellStart"/>
      <w:r w:rsidR="00B907DB" w:rsidRPr="009F4D3B">
        <w:t>etc</w:t>
      </w:r>
      <w:proofErr w:type="spellEnd"/>
      <w:r w:rsidR="00B907DB" w:rsidRPr="009F4D3B">
        <w:t xml:space="preserve"> by a foreign court and to provide </w:t>
      </w:r>
      <w:r w:rsidR="007B2F65" w:rsidRPr="009F4D3B">
        <w:t>details</w:t>
      </w:r>
      <w:r w:rsidR="00B907DB" w:rsidRPr="009F4D3B">
        <w:t xml:space="preserve"> of that appointment. </w:t>
      </w:r>
    </w:p>
    <w:p w14:paraId="2E769D3B" w14:textId="139482AF" w:rsidR="00920F0F" w:rsidRPr="009F4D3B" w:rsidRDefault="00920F0F" w:rsidP="00920F0F">
      <w:pPr>
        <w:pStyle w:val="BodyText"/>
        <w:ind w:left="720" w:hanging="720"/>
        <w:jc w:val="both"/>
      </w:pPr>
      <w:r w:rsidRPr="009F4D3B">
        <w:t xml:space="preserve">(f) </w:t>
      </w:r>
      <w:r w:rsidRPr="009F4D3B">
        <w:tab/>
        <w:t>that</w:t>
      </w:r>
      <w:r w:rsidR="00B907DB" w:rsidRPr="009F4D3B">
        <w:t xml:space="preserve"> they are independent, within the meaning of Reg. 6 IPR as set out above. </w:t>
      </w:r>
      <w:r w:rsidRPr="009F4D3B">
        <w:t xml:space="preserve"> </w:t>
      </w:r>
    </w:p>
    <w:p w14:paraId="750F64A9" w14:textId="77777777" w:rsidR="00F92D7B" w:rsidRPr="00640B2A" w:rsidRDefault="00F92D7B" w:rsidP="00F92D7B">
      <w:pPr>
        <w:pStyle w:val="BodyText"/>
        <w:ind w:left="720" w:hanging="720"/>
        <w:rPr>
          <w:b/>
          <w:bCs/>
          <w:highlight w:val="yellow"/>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7FCED1ED" w:rsidR="00A51058" w:rsidRPr="00114878" w:rsidRDefault="00920F0F" w:rsidP="0031349E">
      <w:pPr>
        <w:pStyle w:val="BodyText"/>
        <w:ind w:firstLine="0"/>
        <w:jc w:val="both"/>
      </w:pPr>
      <w:r w:rsidRPr="00114878">
        <w:t>Bodden &amp; Ebanks Limited are not able to act as Official Liquidators of Bluesea</w:t>
      </w:r>
      <w:r w:rsidR="0031349E" w:rsidRPr="00114878">
        <w:t xml:space="preserve"> because they do not meet the independence criteria set out in Regulation 6 Insolvency Practitioners Rules</w:t>
      </w:r>
      <w:r w:rsidRPr="00114878">
        <w:t xml:space="preserve">. </w:t>
      </w:r>
    </w:p>
    <w:p w14:paraId="4E4F3393" w14:textId="77777777" w:rsidR="00920F0F" w:rsidRPr="00114878" w:rsidRDefault="00920F0F" w:rsidP="0031349E">
      <w:pPr>
        <w:pStyle w:val="BodyText"/>
        <w:ind w:firstLine="0"/>
        <w:jc w:val="both"/>
      </w:pPr>
    </w:p>
    <w:p w14:paraId="0DC70B05" w14:textId="79177841" w:rsidR="0031349E" w:rsidRPr="00114878" w:rsidRDefault="00B907DB" w:rsidP="00A51058">
      <w:pPr>
        <w:pStyle w:val="BodyText"/>
        <w:ind w:firstLine="0"/>
      </w:pPr>
      <w:r w:rsidRPr="00114878">
        <w:t xml:space="preserve">Reg. 6(2) </w:t>
      </w:r>
      <w:r w:rsidR="00114878">
        <w:t xml:space="preserve">IPR </w:t>
      </w:r>
      <w:r w:rsidRPr="00114878">
        <w:t>provides that the nominated individual will not be regarded as independent if that person, or their firm have been appointed as the auditor of the relevant company within the previous three years.</w:t>
      </w:r>
    </w:p>
    <w:p w14:paraId="79189105" w14:textId="77777777" w:rsidR="00B907DB" w:rsidRPr="00114878" w:rsidRDefault="00B907DB" w:rsidP="00A51058">
      <w:pPr>
        <w:pStyle w:val="BodyText"/>
        <w:ind w:firstLine="0"/>
      </w:pPr>
    </w:p>
    <w:p w14:paraId="0FCF3E90" w14:textId="742321D7" w:rsidR="00093EB2" w:rsidRPr="00114878" w:rsidRDefault="0031349E" w:rsidP="0031349E">
      <w:pPr>
        <w:pStyle w:val="BodyText"/>
        <w:ind w:firstLine="0"/>
        <w:jc w:val="both"/>
      </w:pPr>
      <w:r w:rsidRPr="00114878">
        <w:t xml:space="preserve">Bodden &amp; Ebanks Limited acted as auditors of Bluesea in 2021. The liquidation will be deemed to have commenced in May 2023, being the date of the presentation of the petition for winding </w:t>
      </w:r>
      <w:r w:rsidRPr="00114878">
        <w:lastRenderedPageBreak/>
        <w:t>up Bluesea (s.100(2) Companies Act (2023 Revision).</w:t>
      </w:r>
      <w:r w:rsidR="00093EB2" w:rsidRPr="00114878">
        <w:t xml:space="preserve"> Accordingly, Bodden &amp; Ebanks Limited acted as auditors within three years of the commencement of the winding up and so they shall not be regarded as independent. </w:t>
      </w:r>
    </w:p>
    <w:p w14:paraId="3C279337" w14:textId="77777777" w:rsidR="00093EB2" w:rsidRPr="00114878" w:rsidRDefault="00093EB2" w:rsidP="0031349E">
      <w:pPr>
        <w:pStyle w:val="BodyText"/>
        <w:ind w:firstLine="0"/>
        <w:jc w:val="both"/>
      </w:pPr>
    </w:p>
    <w:p w14:paraId="7CFB6410" w14:textId="56324BDE" w:rsidR="0031349E" w:rsidRPr="00114878" w:rsidRDefault="00093EB2" w:rsidP="0031349E">
      <w:pPr>
        <w:pStyle w:val="BodyText"/>
        <w:ind w:firstLine="0"/>
        <w:jc w:val="both"/>
      </w:pPr>
      <w:r w:rsidRPr="00114878">
        <w:t>In those circumstances, Bodden &amp; Ebanks Limited should withdraw the Consent to Act</w:t>
      </w:r>
      <w:r w:rsidR="00B907DB" w:rsidRPr="00114878">
        <w:t xml:space="preserve"> and refuse to be appointed as official liquidators</w:t>
      </w:r>
      <w:r w:rsidRPr="00114878">
        <w:t xml:space="preserve">.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6EB3A81F" w14:textId="36273DC4" w:rsidR="00DC386E" w:rsidRPr="00DA7AA3" w:rsidRDefault="00DC386E" w:rsidP="00586B0F">
      <w:pPr>
        <w:rPr>
          <w:rFonts w:ascii="Arial" w:hAnsi="Arial"/>
        </w:rPr>
      </w:pPr>
      <w:r w:rsidRPr="00DA7AA3">
        <w:rPr>
          <w:rFonts w:ascii="Arial" w:hAnsi="Arial"/>
        </w:rPr>
        <w:t>There are no qualification requirements to be appointed as a voluntary liquidator. S.120 Companies Act provides that</w:t>
      </w:r>
      <w:r w:rsidR="00B907DB" w:rsidRPr="00DA7AA3">
        <w:rPr>
          <w:rFonts w:ascii="Arial" w:hAnsi="Arial"/>
        </w:rPr>
        <w:t xml:space="preserve"> any person, including a director or officer of the company can be appointed as a voluntary liquidator. </w:t>
      </w:r>
    </w:p>
    <w:p w14:paraId="27D35106" w14:textId="1A795262" w:rsidR="00DC386E" w:rsidRPr="00B907DB" w:rsidRDefault="00DC386E" w:rsidP="00586B0F">
      <w:pPr>
        <w:rPr>
          <w:highlight w:val="yellow"/>
        </w:rPr>
      </w:pPr>
      <w:r w:rsidRPr="00DC386E">
        <w:rPr>
          <w:highlight w:val="yellow"/>
        </w:rPr>
        <w:t xml:space="preserve"> </w:t>
      </w:r>
    </w:p>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7EF7B120" w:rsidR="00586B0F" w:rsidRPr="00135257" w:rsidRDefault="007178AC" w:rsidP="001D7509">
      <w:pPr>
        <w:pStyle w:val="BodyText"/>
        <w:ind w:firstLine="0"/>
        <w:jc w:val="both"/>
      </w:pPr>
      <w:bookmarkStart w:id="0" w:name="_Hlk151658848"/>
      <w:r w:rsidRPr="00135257">
        <w:t xml:space="preserve">By s.123(1) Companies Act, </w:t>
      </w:r>
      <w:r w:rsidR="001D7509" w:rsidRPr="00135257">
        <w:t xml:space="preserve">Tom and Jerry must, within 28 days </w:t>
      </w:r>
      <w:r w:rsidR="00561384" w:rsidRPr="00135257">
        <w:t>o</w:t>
      </w:r>
      <w:r w:rsidR="001D7509" w:rsidRPr="00135257">
        <w:t>f their appointment:</w:t>
      </w:r>
    </w:p>
    <w:p w14:paraId="123D335D" w14:textId="77777777" w:rsidR="00B907DB" w:rsidRPr="00135257" w:rsidRDefault="00B907DB" w:rsidP="001D7509">
      <w:pPr>
        <w:pStyle w:val="BodyText"/>
        <w:ind w:firstLine="0"/>
        <w:jc w:val="both"/>
      </w:pPr>
    </w:p>
    <w:p w14:paraId="4DD52AF7" w14:textId="77777777" w:rsidR="00B907DB" w:rsidRPr="00135257" w:rsidRDefault="00B907DB" w:rsidP="008C64AA">
      <w:pPr>
        <w:pStyle w:val="BodyText"/>
        <w:numPr>
          <w:ilvl w:val="0"/>
          <w:numId w:val="26"/>
        </w:numPr>
        <w:jc w:val="both"/>
      </w:pPr>
      <w:r w:rsidRPr="00135257">
        <w:t xml:space="preserve">File a notice of the winding up with the Cayman Islands registrar of companies. </w:t>
      </w:r>
    </w:p>
    <w:p w14:paraId="13354B12" w14:textId="6F2028F7" w:rsidR="00B907DB" w:rsidRPr="00135257" w:rsidRDefault="00B907DB" w:rsidP="008C64AA">
      <w:pPr>
        <w:pStyle w:val="BodyText"/>
        <w:numPr>
          <w:ilvl w:val="0"/>
          <w:numId w:val="26"/>
        </w:numPr>
        <w:jc w:val="both"/>
      </w:pPr>
      <w:r w:rsidRPr="00135257">
        <w:t>File their consents to act with the registrar.</w:t>
      </w:r>
    </w:p>
    <w:p w14:paraId="191CAB1E" w14:textId="1410EF08" w:rsidR="00B907DB" w:rsidRPr="00135257" w:rsidRDefault="00B907DB" w:rsidP="008C64AA">
      <w:pPr>
        <w:pStyle w:val="BodyText"/>
        <w:numPr>
          <w:ilvl w:val="0"/>
          <w:numId w:val="26"/>
        </w:numPr>
        <w:jc w:val="both"/>
      </w:pPr>
      <w:r w:rsidRPr="00135257">
        <w:t>File Cheese Limited’s director’s declaration of solvency with the registrar.</w:t>
      </w:r>
    </w:p>
    <w:p w14:paraId="10BD4547" w14:textId="7CD569EB" w:rsidR="00B907DB" w:rsidRPr="00135257" w:rsidRDefault="00B907DB" w:rsidP="008C64AA">
      <w:pPr>
        <w:pStyle w:val="BodyText"/>
        <w:numPr>
          <w:ilvl w:val="0"/>
          <w:numId w:val="26"/>
        </w:numPr>
        <w:jc w:val="both"/>
      </w:pPr>
      <w:r w:rsidRPr="00135257">
        <w:t>Serve a notice of the winding up with CIMA, if Cheese Limited was carrying out a regulated activity.</w:t>
      </w:r>
    </w:p>
    <w:p w14:paraId="0B613689" w14:textId="79688485" w:rsidR="00B907DB" w:rsidRPr="00135257" w:rsidRDefault="00B907DB" w:rsidP="008C64AA">
      <w:pPr>
        <w:pStyle w:val="BodyText"/>
        <w:numPr>
          <w:ilvl w:val="0"/>
          <w:numId w:val="26"/>
        </w:numPr>
        <w:jc w:val="both"/>
      </w:pPr>
      <w:r w:rsidRPr="00135257">
        <w:t xml:space="preserve">Publish a notice of the winding up in the Gazette. </w:t>
      </w:r>
    </w:p>
    <w:bookmarkEnd w:id="0"/>
    <w:p w14:paraId="5A82EF75" w14:textId="77777777" w:rsidR="007178AC" w:rsidRPr="00135257" w:rsidRDefault="007178AC" w:rsidP="007178AC">
      <w:pPr>
        <w:rPr>
          <w:sz w:val="24"/>
          <w:szCs w:val="24"/>
        </w:rPr>
      </w:pPr>
    </w:p>
    <w:p w14:paraId="7963282C" w14:textId="2C985573" w:rsidR="00004C48" w:rsidRPr="00135257" w:rsidRDefault="007178AC" w:rsidP="007178AC">
      <w:pPr>
        <w:rPr>
          <w:rFonts w:ascii="Arial" w:hAnsi="Arial"/>
        </w:rPr>
      </w:pPr>
      <w:r w:rsidRPr="00135257">
        <w:rPr>
          <w:rFonts w:ascii="Arial" w:hAnsi="Arial"/>
        </w:rPr>
        <w:t>By s.124(1) Companies Act, Tom and Jerry must also</w:t>
      </w:r>
      <w:r w:rsidR="00004C48" w:rsidRPr="00135257">
        <w:rPr>
          <w:rFonts w:ascii="Arial" w:hAnsi="Arial"/>
        </w:rPr>
        <w:t xml:space="preserve"> </w:t>
      </w:r>
      <w:r w:rsidRPr="00135257">
        <w:rPr>
          <w:rFonts w:ascii="Arial" w:hAnsi="Arial"/>
        </w:rPr>
        <w:t xml:space="preserve">apply to the Court for an order that the liquidation continue under the supervision of the Court unless the directors have </w:t>
      </w:r>
      <w:r w:rsidR="00004C48" w:rsidRPr="00135257">
        <w:rPr>
          <w:rFonts w:ascii="Arial" w:hAnsi="Arial"/>
        </w:rPr>
        <w:t xml:space="preserve">within 28 days of the commencement of the winding up, </w:t>
      </w:r>
      <w:r w:rsidRPr="00135257">
        <w:rPr>
          <w:rFonts w:ascii="Arial" w:hAnsi="Arial"/>
        </w:rPr>
        <w:t>signed a declaration of solvency in the prescribed form</w:t>
      </w:r>
      <w:r w:rsidR="00004C48" w:rsidRPr="00135257">
        <w:rPr>
          <w:rFonts w:ascii="Arial" w:hAnsi="Arial"/>
        </w:rPr>
        <w:t>. That application should be made within 7 days after the 28 day deadline for the directors to make the declaration of solvency (O.13, r.1(4) CWR).</w:t>
      </w:r>
    </w:p>
    <w:p w14:paraId="34FCAB0D" w14:textId="77777777" w:rsidR="007178AC" w:rsidRDefault="007178AC" w:rsidP="007178AC"/>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lastRenderedPageBreak/>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63EA3C7E" w14:textId="260A4795" w:rsidR="00DC386E" w:rsidRPr="00870772" w:rsidRDefault="00DC386E" w:rsidP="00DC386E">
      <w:pPr>
        <w:pStyle w:val="BodyText"/>
        <w:ind w:firstLine="0"/>
        <w:jc w:val="both"/>
        <w:rPr>
          <w:sz w:val="20"/>
          <w:szCs w:val="20"/>
        </w:rPr>
      </w:pPr>
      <w:r w:rsidRPr="00870772">
        <w:rPr>
          <w:sz w:val="20"/>
          <w:szCs w:val="20"/>
        </w:rPr>
        <w:t xml:space="preserve">O.13, r.9 CWR provides for the remuneration of voluntary liquidators. </w:t>
      </w:r>
    </w:p>
    <w:p w14:paraId="51B0978D" w14:textId="77777777" w:rsidR="00DC386E" w:rsidRPr="00E14E84" w:rsidRDefault="00DC386E" w:rsidP="00DC386E">
      <w:pPr>
        <w:pStyle w:val="BodyText"/>
        <w:ind w:firstLine="0"/>
        <w:jc w:val="both"/>
      </w:pPr>
    </w:p>
    <w:p w14:paraId="405F0910" w14:textId="18EB8D6C" w:rsidR="00B907DB" w:rsidRPr="00E14E84" w:rsidRDefault="00DC386E" w:rsidP="00DC386E">
      <w:pPr>
        <w:pStyle w:val="BodyText"/>
        <w:ind w:firstLine="0"/>
        <w:jc w:val="both"/>
      </w:pPr>
      <w:r w:rsidRPr="00E14E84">
        <w:t xml:space="preserve">The remuneration will be </w:t>
      </w:r>
      <w:proofErr w:type="spellStart"/>
      <w:r w:rsidRPr="00E14E84">
        <w:t>authori</w:t>
      </w:r>
      <w:r w:rsidR="00B907DB" w:rsidRPr="00E14E84">
        <w:t>s</w:t>
      </w:r>
      <w:r w:rsidRPr="00E14E84">
        <w:t>ed</w:t>
      </w:r>
      <w:proofErr w:type="spellEnd"/>
      <w:r w:rsidRPr="00E14E84">
        <w:t xml:space="preserve"> by resolution of the company.</w:t>
      </w:r>
      <w:r w:rsidR="00B907DB" w:rsidRPr="00E14E84">
        <w:t xml:space="preserve"> Cheese Limited can resolve to remunerate Tom and Jerry on the basis of:</w:t>
      </w:r>
    </w:p>
    <w:p w14:paraId="69766433" w14:textId="77777777" w:rsidR="00B907DB" w:rsidRPr="00E14E84" w:rsidRDefault="00B907DB" w:rsidP="00DC386E">
      <w:pPr>
        <w:pStyle w:val="BodyText"/>
        <w:ind w:firstLine="0"/>
        <w:jc w:val="both"/>
      </w:pPr>
    </w:p>
    <w:p w14:paraId="08149B91" w14:textId="77777777" w:rsidR="00B907DB" w:rsidRPr="00E14E84" w:rsidRDefault="00B907DB" w:rsidP="008C64AA">
      <w:pPr>
        <w:pStyle w:val="BodyText"/>
        <w:numPr>
          <w:ilvl w:val="0"/>
          <w:numId w:val="27"/>
        </w:numPr>
        <w:jc w:val="both"/>
      </w:pPr>
      <w:r w:rsidRPr="00E14E84">
        <w:t xml:space="preserve">Their hourly rates for the time they reasonably spent as voluntary liquidators, </w:t>
      </w:r>
    </w:p>
    <w:p w14:paraId="750A9512" w14:textId="19A0C7B8" w:rsidR="00B907DB" w:rsidRPr="00E14E84" w:rsidRDefault="00B907DB" w:rsidP="008C64AA">
      <w:pPr>
        <w:pStyle w:val="BodyText"/>
        <w:numPr>
          <w:ilvl w:val="0"/>
          <w:numId w:val="27"/>
        </w:numPr>
        <w:jc w:val="both"/>
      </w:pPr>
      <w:r w:rsidRPr="00E14E84">
        <w:t>A</w:t>
      </w:r>
      <w:r w:rsidR="00DC386E" w:rsidRPr="00E14E84">
        <w:t xml:space="preserve"> fixed </w:t>
      </w:r>
      <w:r w:rsidRPr="00E14E84">
        <w:t>fee arrangement</w:t>
      </w:r>
    </w:p>
    <w:p w14:paraId="2F969CB4" w14:textId="0A63BDE2" w:rsidR="00DC386E" w:rsidRPr="00E14E84" w:rsidRDefault="00B907DB" w:rsidP="008C64AA">
      <w:pPr>
        <w:pStyle w:val="BodyText"/>
        <w:numPr>
          <w:ilvl w:val="0"/>
          <w:numId w:val="27"/>
        </w:numPr>
        <w:jc w:val="both"/>
      </w:pPr>
      <w:r w:rsidRPr="00E14E84">
        <w:t>A</w:t>
      </w:r>
      <w:r w:rsidR="00DC386E" w:rsidRPr="00E14E84">
        <w:t xml:space="preserve"> </w:t>
      </w:r>
      <w:r w:rsidRPr="00E14E84">
        <w:t xml:space="preserve">commission or proportion of the assets distributed or realized. </w:t>
      </w:r>
    </w:p>
    <w:p w14:paraId="4A4634B5" w14:textId="05C968E7" w:rsidR="00DC386E" w:rsidRPr="00E14E84" w:rsidRDefault="00B907DB" w:rsidP="008C64AA">
      <w:pPr>
        <w:pStyle w:val="BodyText"/>
        <w:numPr>
          <w:ilvl w:val="0"/>
          <w:numId w:val="27"/>
        </w:numPr>
        <w:jc w:val="both"/>
      </w:pPr>
      <w:r w:rsidRPr="00E14E84">
        <w:t>A</w:t>
      </w:r>
      <w:r w:rsidR="00DC386E" w:rsidRPr="00E14E84">
        <w:t xml:space="preserve"> combination of the</w:t>
      </w:r>
      <w:r w:rsidRPr="00E14E84">
        <w:t xml:space="preserve"> above. </w:t>
      </w:r>
      <w:r w:rsidR="00DC386E" w:rsidRPr="00E14E84">
        <w:t xml:space="preserve"> </w:t>
      </w:r>
    </w:p>
    <w:p w14:paraId="5824ED45" w14:textId="77777777" w:rsidR="00DC386E" w:rsidRPr="00E14E84" w:rsidRDefault="00DC386E" w:rsidP="00DC386E">
      <w:pPr>
        <w:pStyle w:val="BodyText"/>
        <w:ind w:firstLine="0"/>
        <w:jc w:val="both"/>
      </w:pPr>
    </w:p>
    <w:p w14:paraId="30D8F8F1" w14:textId="23326963" w:rsidR="00DC386E" w:rsidRPr="00E14E84" w:rsidRDefault="004F4B2F" w:rsidP="00DC386E">
      <w:pPr>
        <w:pStyle w:val="BodyText"/>
        <w:ind w:firstLine="0"/>
        <w:jc w:val="both"/>
      </w:pPr>
      <w:r w:rsidRPr="00E14E84">
        <w:t xml:space="preserve">Tom and Jerry, as voluntary liquidators are not permitted to be paid out of Cheese Limited’s assets without the prior approval of a resolution passed at a </w:t>
      </w:r>
      <w:r w:rsidR="00DC386E" w:rsidRPr="00E14E84">
        <w:t>general meeting</w:t>
      </w:r>
      <w:r w:rsidRPr="00E14E84">
        <w:t xml:space="preserve"> except where: </w:t>
      </w:r>
      <w:r w:rsidR="00DC386E" w:rsidRPr="00E14E84">
        <w:t xml:space="preserve"> </w:t>
      </w:r>
    </w:p>
    <w:p w14:paraId="3B90D698" w14:textId="77777777" w:rsidR="004F4B2F" w:rsidRPr="00E14E84" w:rsidRDefault="004F4B2F" w:rsidP="00DC386E">
      <w:pPr>
        <w:pStyle w:val="BodyText"/>
        <w:ind w:firstLine="0"/>
        <w:jc w:val="both"/>
      </w:pPr>
    </w:p>
    <w:p w14:paraId="608EC2CB" w14:textId="2CA90E98" w:rsidR="009160AE" w:rsidRPr="00E14E84" w:rsidRDefault="004F4B2F" w:rsidP="009160AE">
      <w:pPr>
        <w:pStyle w:val="BodyText"/>
        <w:numPr>
          <w:ilvl w:val="0"/>
          <w:numId w:val="33"/>
        </w:numPr>
        <w:jc w:val="both"/>
      </w:pPr>
      <w:r w:rsidRPr="00E14E84">
        <w:t>Nobody attends and votes in the final general meeting (as long as it has been properly convened)</w:t>
      </w:r>
      <w:r w:rsidR="00395629" w:rsidRPr="00E14E84">
        <w:t xml:space="preserve"> they may be paid the amount of remuneration specified in their final report</w:t>
      </w:r>
      <w:r w:rsidRPr="00E14E84">
        <w:t>; and</w:t>
      </w:r>
    </w:p>
    <w:p w14:paraId="5BD3B35C" w14:textId="77777777" w:rsidR="009160AE" w:rsidRPr="00E14E84" w:rsidRDefault="009160AE" w:rsidP="009160AE">
      <w:pPr>
        <w:pStyle w:val="BodyText"/>
        <w:ind w:left="1080" w:firstLine="0"/>
        <w:jc w:val="both"/>
      </w:pPr>
    </w:p>
    <w:p w14:paraId="27B15317" w14:textId="5FD3CFB1" w:rsidR="004F4B2F" w:rsidRPr="00E14E84" w:rsidRDefault="004F4B2F" w:rsidP="009160AE">
      <w:pPr>
        <w:pStyle w:val="BodyText"/>
        <w:numPr>
          <w:ilvl w:val="0"/>
          <w:numId w:val="33"/>
        </w:numPr>
        <w:jc w:val="both"/>
      </w:pPr>
      <w:r w:rsidRPr="00E14E84">
        <w:t xml:space="preserve">The Court approves the payment of the remuneration. </w:t>
      </w:r>
    </w:p>
    <w:p w14:paraId="484695F9" w14:textId="6C840222" w:rsidR="00586B0F" w:rsidRPr="00E14E84" w:rsidRDefault="004F4B2F" w:rsidP="004F4B2F">
      <w:pPr>
        <w:pStyle w:val="BodyText"/>
        <w:ind w:firstLine="0"/>
        <w:jc w:val="both"/>
      </w:pPr>
      <w:r w:rsidRPr="00E14E84">
        <w:t xml:space="preserve"> </w:t>
      </w:r>
    </w:p>
    <w:p w14:paraId="1287120E" w14:textId="4EFD8BB7" w:rsidR="00004C48" w:rsidRPr="00E14E84" w:rsidRDefault="00004C48" w:rsidP="00004C48">
      <w:pPr>
        <w:rPr>
          <w:rFonts w:ascii="Arial" w:hAnsi="Arial"/>
          <w:lang w:val="en-GB"/>
        </w:rPr>
      </w:pPr>
      <w:r w:rsidRPr="00E14E84">
        <w:rPr>
          <w:rFonts w:ascii="Arial" w:hAnsi="Arial"/>
        </w:rPr>
        <w:t xml:space="preserve">In accordance with </w:t>
      </w:r>
      <w:r w:rsidRPr="00E14E84">
        <w:rPr>
          <w:rFonts w:ascii="Arial" w:hAnsi="Arial"/>
          <w:lang w:val="en-GB"/>
        </w:rPr>
        <w:t>s.126 Companies Act</w:t>
      </w:r>
      <w:r w:rsidRPr="00E14E84">
        <w:rPr>
          <w:rFonts w:ascii="Arial" w:hAnsi="Arial"/>
        </w:rPr>
        <w:t xml:space="preserve">, </w:t>
      </w:r>
      <w:r w:rsidR="004F4B2F" w:rsidRPr="00E14E84">
        <w:rPr>
          <w:rFonts w:ascii="Arial" w:hAnsi="Arial"/>
        </w:rPr>
        <w:t>if a</w:t>
      </w:r>
      <w:r w:rsidRPr="00E14E84">
        <w:rPr>
          <w:rFonts w:ascii="Arial" w:hAnsi="Arial"/>
        </w:rPr>
        <w:t xml:space="preserve"> voluntary winding up </w:t>
      </w:r>
      <w:r w:rsidR="004F4B2F" w:rsidRPr="00E14E84">
        <w:rPr>
          <w:rFonts w:ascii="Arial" w:hAnsi="Arial"/>
        </w:rPr>
        <w:t xml:space="preserve">continues </w:t>
      </w:r>
      <w:r w:rsidRPr="00E14E84">
        <w:rPr>
          <w:rFonts w:ascii="Arial" w:hAnsi="Arial"/>
        </w:rPr>
        <w:t xml:space="preserve">for more than </w:t>
      </w:r>
      <w:r w:rsidR="004F4B2F" w:rsidRPr="00E14E84">
        <w:rPr>
          <w:rFonts w:ascii="Arial" w:hAnsi="Arial"/>
        </w:rPr>
        <w:t xml:space="preserve">1 </w:t>
      </w:r>
      <w:r w:rsidRPr="00E14E84">
        <w:rPr>
          <w:rFonts w:ascii="Arial" w:hAnsi="Arial"/>
        </w:rPr>
        <w:t xml:space="preserve">year, the voluntary liquidator </w:t>
      </w:r>
      <w:r w:rsidR="004F4B2F" w:rsidRPr="00E14E84">
        <w:rPr>
          <w:rFonts w:ascii="Arial" w:hAnsi="Arial"/>
        </w:rPr>
        <w:t xml:space="preserve">must hold a </w:t>
      </w:r>
      <w:r w:rsidRPr="00E14E84">
        <w:rPr>
          <w:rFonts w:ascii="Arial" w:hAnsi="Arial"/>
        </w:rPr>
        <w:t xml:space="preserve">general meeting of </w:t>
      </w:r>
      <w:r w:rsidR="004F4B2F" w:rsidRPr="00E14E84">
        <w:rPr>
          <w:rFonts w:ascii="Arial" w:hAnsi="Arial"/>
        </w:rPr>
        <w:t xml:space="preserve">Cheese Limited </w:t>
      </w:r>
      <w:r w:rsidRPr="00E14E84">
        <w:rPr>
          <w:rFonts w:ascii="Arial" w:hAnsi="Arial"/>
        </w:rPr>
        <w:t xml:space="preserve">at the end of the first year from the commencement of the winding up and </w:t>
      </w:r>
      <w:r w:rsidR="004F4B2F" w:rsidRPr="00E14E84">
        <w:rPr>
          <w:rFonts w:ascii="Arial" w:hAnsi="Arial"/>
        </w:rPr>
        <w:t xml:space="preserve">every year thereafter. One of the issues that can be approved at such meetings is Tom and Jerry’s remuneration. </w:t>
      </w:r>
    </w:p>
    <w:p w14:paraId="04E7E41A" w14:textId="77777777" w:rsidR="00004C48" w:rsidRDefault="00004C48" w:rsidP="00586B0F">
      <w:pPr>
        <w:rPr>
          <w:rFonts w:ascii="Avenir Next Demi Bold" w:hAnsi="Avenir Next Demi Bold"/>
          <w:b/>
          <w:bCs/>
          <w:lang w:val="en-GB"/>
        </w:rPr>
      </w:pPr>
    </w:p>
    <w:p w14:paraId="289E8EFE" w14:textId="17FDF68B"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66F76EB" w14:textId="71E6F1A2" w:rsidR="004F4B2F" w:rsidRPr="00BD2296" w:rsidRDefault="001C021E" w:rsidP="004F4B2F">
      <w:pPr>
        <w:pStyle w:val="Default"/>
        <w:jc w:val="both"/>
        <w:rPr>
          <w:rFonts w:ascii="Arial" w:hAnsi="Arial" w:cs="Arial"/>
          <w:color w:val="auto"/>
          <w:sz w:val="22"/>
          <w:szCs w:val="22"/>
          <w:u w:val="none"/>
        </w:rPr>
      </w:pPr>
      <w:r w:rsidRPr="00BD2296">
        <w:rPr>
          <w:rFonts w:ascii="Arial" w:hAnsi="Arial" w:cs="Arial"/>
          <w:color w:val="auto"/>
          <w:sz w:val="22"/>
          <w:szCs w:val="22"/>
          <w:u w:val="none"/>
        </w:rPr>
        <w:t xml:space="preserve">By s.104(1) Companies Act, the Court has the power to appoint a provisional liquidator at any time before making a winding up order to a.) prevent dissipation of assets, b.) prevent oppression of a minority shareholder or c.) prevent mismanagement of the company. </w:t>
      </w:r>
    </w:p>
    <w:p w14:paraId="564D7AA4" w14:textId="77777777" w:rsidR="001C021E" w:rsidRPr="00BD2296" w:rsidRDefault="001C021E" w:rsidP="004F4B2F">
      <w:pPr>
        <w:pStyle w:val="Default"/>
        <w:jc w:val="both"/>
        <w:rPr>
          <w:rFonts w:ascii="Arial" w:hAnsi="Arial" w:cs="Arial"/>
          <w:color w:val="auto"/>
          <w:sz w:val="22"/>
          <w:szCs w:val="22"/>
          <w:u w:val="none"/>
        </w:rPr>
      </w:pPr>
    </w:p>
    <w:p w14:paraId="0498DD37" w14:textId="1509B040" w:rsidR="001C021E" w:rsidRPr="00BD2296" w:rsidRDefault="001C021E" w:rsidP="004F4B2F">
      <w:pPr>
        <w:pStyle w:val="Default"/>
        <w:jc w:val="both"/>
        <w:rPr>
          <w:rFonts w:ascii="Arial" w:hAnsi="Arial" w:cs="Arial"/>
          <w:color w:val="auto"/>
          <w:sz w:val="22"/>
          <w:szCs w:val="22"/>
          <w:u w:val="none"/>
        </w:rPr>
      </w:pPr>
      <w:r w:rsidRPr="00BD2296">
        <w:rPr>
          <w:rFonts w:ascii="Arial" w:hAnsi="Arial" w:cs="Arial"/>
          <w:color w:val="auto"/>
          <w:sz w:val="22"/>
          <w:szCs w:val="22"/>
          <w:u w:val="none"/>
        </w:rPr>
        <w:t xml:space="preserve">By s.104(4) Companies Act, the Court will confer whatever functions it considers appropriate on the provisional liquidator </w:t>
      </w:r>
    </w:p>
    <w:p w14:paraId="38C963DB" w14:textId="77777777" w:rsidR="001C021E" w:rsidRPr="00BD2296" w:rsidRDefault="001C021E" w:rsidP="004F4B2F">
      <w:pPr>
        <w:pStyle w:val="Default"/>
        <w:jc w:val="both"/>
        <w:rPr>
          <w:rFonts w:ascii="Arial" w:hAnsi="Arial" w:cs="Arial"/>
          <w:color w:val="auto"/>
          <w:sz w:val="22"/>
          <w:szCs w:val="22"/>
          <w:u w:val="none"/>
        </w:rPr>
      </w:pPr>
    </w:p>
    <w:p w14:paraId="648446A1" w14:textId="277A2EE1" w:rsidR="001C021E" w:rsidRPr="00BD2296" w:rsidRDefault="001C021E" w:rsidP="004F4B2F">
      <w:pPr>
        <w:pStyle w:val="Default"/>
        <w:jc w:val="both"/>
        <w:rPr>
          <w:rFonts w:ascii="Arial" w:hAnsi="Arial" w:cs="Arial"/>
          <w:color w:val="auto"/>
          <w:sz w:val="22"/>
          <w:szCs w:val="22"/>
          <w:u w:val="none"/>
        </w:rPr>
      </w:pPr>
      <w:r w:rsidRPr="00BD2296">
        <w:rPr>
          <w:rFonts w:ascii="Arial" w:hAnsi="Arial" w:cs="Arial"/>
          <w:color w:val="auto"/>
          <w:sz w:val="22"/>
          <w:szCs w:val="22"/>
          <w:u w:val="none"/>
        </w:rPr>
        <w:t>Alternatively, the Court has the power under s.95(3) Companies Act to make alternative orders to winding up, including:</w:t>
      </w:r>
    </w:p>
    <w:p w14:paraId="79569B9F" w14:textId="77777777" w:rsidR="001C021E" w:rsidRPr="00BD2296" w:rsidRDefault="001C021E" w:rsidP="004F4B2F">
      <w:pPr>
        <w:pStyle w:val="Default"/>
        <w:jc w:val="both"/>
        <w:rPr>
          <w:rFonts w:ascii="Arial" w:hAnsi="Arial" w:cs="Arial"/>
          <w:color w:val="auto"/>
          <w:sz w:val="22"/>
          <w:szCs w:val="22"/>
          <w:u w:val="none"/>
        </w:rPr>
      </w:pPr>
    </w:p>
    <w:p w14:paraId="492251C0" w14:textId="1863672A" w:rsidR="001C021E" w:rsidRPr="00BD2296" w:rsidRDefault="001C021E" w:rsidP="009160AE">
      <w:pPr>
        <w:pStyle w:val="Default"/>
        <w:numPr>
          <w:ilvl w:val="0"/>
          <w:numId w:val="34"/>
        </w:numPr>
        <w:jc w:val="both"/>
        <w:rPr>
          <w:rFonts w:ascii="Arial" w:hAnsi="Arial" w:cs="Arial"/>
          <w:color w:val="auto"/>
          <w:sz w:val="22"/>
          <w:szCs w:val="22"/>
          <w:u w:val="none"/>
        </w:rPr>
      </w:pPr>
      <w:r w:rsidRPr="00BD2296">
        <w:rPr>
          <w:rFonts w:ascii="Arial" w:hAnsi="Arial" w:cs="Arial"/>
          <w:color w:val="auto"/>
          <w:sz w:val="22"/>
          <w:szCs w:val="22"/>
          <w:u w:val="none"/>
        </w:rPr>
        <w:t>An order regulating the company’s future affairs;</w:t>
      </w:r>
    </w:p>
    <w:p w14:paraId="23C34F84" w14:textId="52488685" w:rsidR="001C021E" w:rsidRPr="00BD2296" w:rsidRDefault="001C021E" w:rsidP="009160AE">
      <w:pPr>
        <w:pStyle w:val="Default"/>
        <w:numPr>
          <w:ilvl w:val="0"/>
          <w:numId w:val="34"/>
        </w:numPr>
        <w:jc w:val="both"/>
        <w:rPr>
          <w:rFonts w:ascii="Arial" w:hAnsi="Arial" w:cs="Arial"/>
          <w:color w:val="auto"/>
          <w:sz w:val="22"/>
          <w:szCs w:val="22"/>
          <w:u w:val="none"/>
        </w:rPr>
      </w:pPr>
      <w:r w:rsidRPr="00BD2296">
        <w:rPr>
          <w:rFonts w:ascii="Arial" w:hAnsi="Arial" w:cs="Arial"/>
          <w:color w:val="auto"/>
          <w:sz w:val="22"/>
          <w:szCs w:val="22"/>
          <w:u w:val="none"/>
        </w:rPr>
        <w:t>An order preventing the company from doing an act, or continuing to do an act</w:t>
      </w:r>
    </w:p>
    <w:p w14:paraId="02C5FC4D" w14:textId="3216A916" w:rsidR="001C021E" w:rsidRPr="00BD2296" w:rsidRDefault="001C021E" w:rsidP="009160AE">
      <w:pPr>
        <w:pStyle w:val="Default"/>
        <w:numPr>
          <w:ilvl w:val="0"/>
          <w:numId w:val="34"/>
        </w:numPr>
        <w:jc w:val="both"/>
        <w:rPr>
          <w:rFonts w:ascii="Arial" w:hAnsi="Arial" w:cs="Arial"/>
          <w:color w:val="auto"/>
          <w:sz w:val="22"/>
          <w:szCs w:val="22"/>
          <w:u w:val="none"/>
        </w:rPr>
      </w:pPr>
      <w:r w:rsidRPr="00BD2296">
        <w:rPr>
          <w:rFonts w:ascii="Arial" w:hAnsi="Arial" w:cs="Arial"/>
          <w:color w:val="auto"/>
          <w:sz w:val="22"/>
          <w:szCs w:val="22"/>
          <w:u w:val="none"/>
        </w:rPr>
        <w:t>An order authorizing civil proceedings to be brought in the name of the company, or</w:t>
      </w:r>
    </w:p>
    <w:p w14:paraId="791DF5CF" w14:textId="42D862C7" w:rsidR="001C021E" w:rsidRPr="00BD2296" w:rsidRDefault="001C021E" w:rsidP="009160AE">
      <w:pPr>
        <w:pStyle w:val="Default"/>
        <w:numPr>
          <w:ilvl w:val="0"/>
          <w:numId w:val="34"/>
        </w:numPr>
        <w:jc w:val="both"/>
        <w:rPr>
          <w:rFonts w:ascii="Arial" w:hAnsi="Arial" w:cs="Arial"/>
          <w:color w:val="auto"/>
          <w:sz w:val="22"/>
          <w:szCs w:val="22"/>
          <w:u w:val="none"/>
        </w:rPr>
      </w:pPr>
      <w:r w:rsidRPr="00BD2296">
        <w:rPr>
          <w:rFonts w:ascii="Arial" w:hAnsi="Arial" w:cs="Arial"/>
          <w:color w:val="auto"/>
          <w:sz w:val="22"/>
          <w:szCs w:val="22"/>
          <w:u w:val="none"/>
        </w:rPr>
        <w:t xml:space="preserve">An order providing for the purchase of shares of any members by other members, or by the company itself. </w:t>
      </w:r>
    </w:p>
    <w:p w14:paraId="601D1781" w14:textId="77777777" w:rsidR="004F4B2F" w:rsidRPr="004F4B2F" w:rsidRDefault="004F4B2F" w:rsidP="004F4B2F">
      <w:pPr>
        <w:pStyle w:val="Default"/>
        <w:jc w:val="both"/>
        <w:rPr>
          <w:rFonts w:ascii="Arial" w:hAnsi="Arial" w:cs="Arial"/>
          <w:color w:val="auto"/>
          <w:sz w:val="20"/>
          <w:szCs w:val="20"/>
          <w:highlight w:val="yellow"/>
          <w:u w:val="none"/>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lastRenderedPageBreak/>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48547520" w:rsidR="00586B0F" w:rsidRPr="00BD2296" w:rsidRDefault="00870772" w:rsidP="00870772">
      <w:pPr>
        <w:pStyle w:val="BodyText"/>
        <w:ind w:firstLine="0"/>
        <w:jc w:val="both"/>
      </w:pPr>
      <w:r w:rsidRPr="00BD2296">
        <w:t xml:space="preserve">S.107 Companies Act stipulates that either creditors or contributories may apply for a Court Order to remove an official liquidator of the company. </w:t>
      </w:r>
      <w:r w:rsidR="00600323" w:rsidRPr="00BD2296">
        <w:t xml:space="preserve">However, the Cayman Islands Court of appeal in </w:t>
      </w:r>
      <w:r w:rsidR="00600323" w:rsidRPr="00BD2296">
        <w:rPr>
          <w:i/>
          <w:iCs/>
        </w:rPr>
        <w:t>Johnson v Deloitte &amp; Touche</w:t>
      </w:r>
      <w:r w:rsidR="00600323" w:rsidRPr="00BD2296">
        <w:t xml:space="preserve"> AG [1997] CILR 120 has clarified that the power to remove an official liquidator in an insolvent liquidation rests with the creditors whereas the power to remove an official liquidator in a solvent liquidation is held by the contributories. This is because, in each case, these are the only individuals with the ultimate interest in the distribution of the assets of the company.  Further, </w:t>
      </w:r>
      <w:r w:rsidR="00600323" w:rsidRPr="00BD2296">
        <w:rPr>
          <w:i/>
          <w:iCs/>
        </w:rPr>
        <w:t>in BTU Power Company</w:t>
      </w:r>
      <w:r w:rsidR="00600323" w:rsidRPr="00BD2296">
        <w:t xml:space="preserve"> [2019] CILR Note 7, the Grand Court followed the decision in Johnson and held that the applicant (a director of the company in liquidation) did not have standing to bring the application. Indeed, his interests were adverse to the shareholders’ interests. </w:t>
      </w:r>
    </w:p>
    <w:p w14:paraId="50860138" w14:textId="77777777" w:rsidR="009160AE" w:rsidRPr="00BD2296" w:rsidRDefault="009160AE" w:rsidP="00870772">
      <w:pPr>
        <w:pStyle w:val="BodyText"/>
        <w:ind w:firstLine="0"/>
        <w:jc w:val="both"/>
      </w:pPr>
    </w:p>
    <w:p w14:paraId="039F2176" w14:textId="22EA041F" w:rsidR="009160AE" w:rsidRPr="00BD2296" w:rsidRDefault="009160AE" w:rsidP="00870772">
      <w:pPr>
        <w:pStyle w:val="BodyText"/>
        <w:ind w:firstLine="0"/>
        <w:jc w:val="both"/>
      </w:pPr>
      <w:r w:rsidRPr="00BD2296">
        <w:t xml:space="preserve">In this case, the shareholders would therefore have standing (locus standi) to apply to remove Jerry (assuming that the voluntary liquidation is a solvent liquidation) as a liquidator. </w:t>
      </w:r>
    </w:p>
    <w:p w14:paraId="080A7313" w14:textId="77777777" w:rsidR="00E455FB" w:rsidRPr="00BD2296" w:rsidRDefault="00E455FB" w:rsidP="00870772">
      <w:pPr>
        <w:pStyle w:val="BodyText"/>
        <w:ind w:firstLine="0"/>
        <w:jc w:val="both"/>
      </w:pPr>
    </w:p>
    <w:p w14:paraId="11B02CE8" w14:textId="41FB8D27" w:rsidR="00E455FB" w:rsidRPr="00BD2296" w:rsidRDefault="00E455FB" w:rsidP="00870772">
      <w:pPr>
        <w:pStyle w:val="BodyText"/>
        <w:ind w:firstLine="0"/>
        <w:jc w:val="both"/>
      </w:pPr>
      <w:r w:rsidRPr="00BD2296">
        <w:t xml:space="preserve">In </w:t>
      </w:r>
      <w:r w:rsidRPr="00BD2296">
        <w:rPr>
          <w:i/>
          <w:iCs/>
        </w:rPr>
        <w:t>AMP Enterprises (t/a Total Home Entertainment) v Hoffman</w:t>
      </w:r>
      <w:r w:rsidRPr="00BD2296">
        <w:t xml:space="preserve"> [2002] BCC 996, the Court held that there must be a “good reason” to remove a liquidator. This decision was considered in </w:t>
      </w:r>
      <w:r w:rsidRPr="00BD2296">
        <w:rPr>
          <w:i/>
          <w:iCs/>
        </w:rPr>
        <w:t>BTU Power Company</w:t>
      </w:r>
      <w:r w:rsidRPr="00BD2296">
        <w:t xml:space="preserve">. In part, this was for the practical reason that the Court should not encourage disgruntled creditors to apply to remove liquidators. The Court also noted that the removal of a liquidator should be for the benefit of the majority of the persons interested in the liquidation. If there was evidence of impropriety by the liquidator, then the Court may override the interest of the majority.    </w:t>
      </w:r>
    </w:p>
    <w:p w14:paraId="32C36BF5" w14:textId="77777777" w:rsidR="009160AE" w:rsidRPr="00BD2296" w:rsidRDefault="009160AE" w:rsidP="00870772">
      <w:pPr>
        <w:pStyle w:val="BodyText"/>
        <w:ind w:firstLine="0"/>
        <w:jc w:val="both"/>
      </w:pPr>
    </w:p>
    <w:p w14:paraId="4B02C569" w14:textId="43867D0D" w:rsidR="009160AE" w:rsidRPr="00BD2296" w:rsidRDefault="009160AE" w:rsidP="00870772">
      <w:pPr>
        <w:pStyle w:val="BodyText"/>
        <w:ind w:firstLine="0"/>
        <w:jc w:val="both"/>
      </w:pPr>
      <w:r w:rsidRPr="00BD2296">
        <w:t xml:space="preserve">In this case, although the sole shareholder has the right to apply to remove Jerry as a liquidator, they do not have the support of the majority of the shareholders. Following </w:t>
      </w:r>
      <w:r w:rsidRPr="00BD2296">
        <w:rPr>
          <w:i/>
          <w:iCs/>
        </w:rPr>
        <w:t>BTU Power Company</w:t>
      </w:r>
      <w:r w:rsidRPr="00BD2296">
        <w:t xml:space="preserve">, the Court is therefore unlikely to grant the application unless some impropriety can be show. If it is the case that Jerry, as the sole official liquidator, is defrauding Cheese Limited, that would be a sufficient basis for a finding of impropriety and therefore for the Court to grant the application. At present however, there is only an article in Offshore Alert, which is unlikely to be sufficient to persuade the Court of impropriety. </w:t>
      </w:r>
    </w:p>
    <w:p w14:paraId="1246FFD6" w14:textId="77777777" w:rsidR="00870772" w:rsidRPr="00BD2296" w:rsidRDefault="00870772" w:rsidP="00870772">
      <w:pPr>
        <w:pStyle w:val="BodyText"/>
        <w:ind w:firstLine="0"/>
        <w:jc w:val="both"/>
      </w:pPr>
    </w:p>
    <w:p w14:paraId="08955554" w14:textId="18ABE2EF" w:rsidR="00870772" w:rsidRPr="00BD2296" w:rsidRDefault="00870772" w:rsidP="00870772">
      <w:pPr>
        <w:pStyle w:val="BodyText"/>
        <w:ind w:firstLine="0"/>
        <w:jc w:val="both"/>
      </w:pPr>
      <w:r w:rsidRPr="00BD2296">
        <w:t xml:space="preserve">O.5, r.6 CWR provides that an application by a creditor or contributory to remove an official liquidator will be made by summons. That summons must be served on: </w:t>
      </w:r>
    </w:p>
    <w:p w14:paraId="67038CDC" w14:textId="77777777" w:rsidR="00870772" w:rsidRPr="00BD2296" w:rsidRDefault="00870772" w:rsidP="00870772">
      <w:pPr>
        <w:pStyle w:val="BodyText"/>
        <w:ind w:firstLine="720"/>
        <w:jc w:val="both"/>
      </w:pPr>
    </w:p>
    <w:p w14:paraId="051CC3B6" w14:textId="79B8418A" w:rsidR="00870772" w:rsidRPr="00BD2296" w:rsidRDefault="00870772" w:rsidP="00870772">
      <w:pPr>
        <w:pStyle w:val="BodyText"/>
        <w:ind w:firstLine="720"/>
        <w:jc w:val="both"/>
      </w:pPr>
      <w:r w:rsidRPr="00BD2296">
        <w:t xml:space="preserve">1. the official </w:t>
      </w:r>
      <w:r w:rsidR="00600323" w:rsidRPr="00BD2296">
        <w:t>liquidator</w:t>
      </w:r>
      <w:r w:rsidR="00555733" w:rsidRPr="00BD2296">
        <w:t xml:space="preserve"> (in this case Jerry)</w:t>
      </w:r>
    </w:p>
    <w:p w14:paraId="77D8DE97" w14:textId="10A70720" w:rsidR="00870772" w:rsidRPr="00BD2296" w:rsidRDefault="00870772" w:rsidP="00870772">
      <w:pPr>
        <w:pStyle w:val="BodyText"/>
        <w:ind w:firstLine="720"/>
        <w:jc w:val="both"/>
      </w:pPr>
      <w:r w:rsidRPr="00BD2296">
        <w:t>2. each member of the liquidation committee</w:t>
      </w:r>
    </w:p>
    <w:p w14:paraId="29529C6C" w14:textId="7489C8B6" w:rsidR="00870772" w:rsidRPr="00BD2296" w:rsidRDefault="00870772" w:rsidP="00870772">
      <w:pPr>
        <w:pStyle w:val="BodyText"/>
        <w:ind w:left="720" w:firstLine="0"/>
        <w:jc w:val="both"/>
      </w:pPr>
      <w:r w:rsidRPr="00BD2296">
        <w:t xml:space="preserve">3. counsel for the liquidation committee (if appointed by the liquidation committee with authority to act generally) </w:t>
      </w:r>
    </w:p>
    <w:p w14:paraId="61C6EAA0" w14:textId="1522491D" w:rsidR="00870772" w:rsidRPr="00BD2296" w:rsidRDefault="00870772" w:rsidP="00870772">
      <w:pPr>
        <w:pStyle w:val="BodyText"/>
        <w:ind w:left="720" w:firstLine="0"/>
        <w:jc w:val="both"/>
      </w:pPr>
      <w:r w:rsidRPr="00BD2296">
        <w:t xml:space="preserve">4. Any other creditors or contributories as directed by the Court. </w:t>
      </w:r>
      <w:r w:rsidR="00555733" w:rsidRPr="00BD2296">
        <w:t xml:space="preserve">In this case, it would be the other shareholders. </w:t>
      </w:r>
    </w:p>
    <w:p w14:paraId="727EA23F" w14:textId="77777777" w:rsidR="00870772" w:rsidRDefault="00870772" w:rsidP="00870772">
      <w:pPr>
        <w:pStyle w:val="BodyText"/>
        <w:ind w:firstLine="0"/>
        <w:rPr>
          <w:rFonts w:ascii="Avenir Next" w:hAnsi="Avenir Next"/>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699B714E" w:rsidR="00586B0F" w:rsidRPr="00BD2296" w:rsidRDefault="00E455FB" w:rsidP="00FD6E28">
      <w:pPr>
        <w:pStyle w:val="BodyText"/>
        <w:ind w:firstLine="0"/>
        <w:jc w:val="both"/>
        <w:rPr>
          <w:b/>
          <w:bCs/>
        </w:rPr>
      </w:pPr>
      <w:r w:rsidRPr="00BD2296">
        <w:t xml:space="preserve">As the Cayman Islands Court held in </w:t>
      </w:r>
      <w:r w:rsidRPr="00BD2296">
        <w:rPr>
          <w:i/>
          <w:iCs/>
        </w:rPr>
        <w:t>Johnson v Deloitte &amp; Touche</w:t>
      </w:r>
      <w:r w:rsidRPr="00BD2296">
        <w:t xml:space="preserve"> AG [1997] CILR 120, the only relevant parties that have standing to bring an application to remove a liquidator </w:t>
      </w:r>
      <w:r w:rsidR="00FD6E28" w:rsidRPr="00BD2296">
        <w:t xml:space="preserve">is the class of individuals who had the ultimate interest in the distribution of the company’s assets at the end of the liquidation process. </w:t>
      </w:r>
      <w:r w:rsidRPr="00BD2296">
        <w:t xml:space="preserve"> </w:t>
      </w:r>
      <w:r w:rsidR="00FD6E28" w:rsidRPr="00BD2296">
        <w:t xml:space="preserve">In a solvent liquidation, that is the contributories and in an insolvent liquidation, that is the creditors. In each case, the company itself has ceased to exist and the liquidators are ultimately conducting their duties in gathering in and realizing the </w:t>
      </w:r>
      <w:r w:rsidR="00FD6E28" w:rsidRPr="00BD2296">
        <w:lastRenderedPageBreak/>
        <w:t xml:space="preserve">assets of the company with a view to distributing them to the parties that are entitled to receive them. </w:t>
      </w:r>
      <w:r w:rsidR="00AB7087" w:rsidRPr="00BD2296">
        <w:t>It makes sense for the parties for whom the liquidators ultimately act to have a power to remove the liquidators should there be good reason to do so. By the same token, the Court has rightly imposed a limit on the basis on which such applications can be made by stipulating that, unless impropriety by the liquidator can be demonstrated, the liquidators should only be removed if it can be shown that this would benefit the majority of the relevant class of applicants.</w:t>
      </w:r>
    </w:p>
    <w:p w14:paraId="5F8E9411" w14:textId="77777777" w:rsidR="00586B0F" w:rsidRPr="00BD2296" w:rsidRDefault="00586B0F" w:rsidP="00586B0F">
      <w:pPr>
        <w:tabs>
          <w:tab w:val="right" w:pos="9021"/>
        </w:tabs>
        <w:rPr>
          <w:rFonts w:ascii="Arial" w:hAnsi="Arial"/>
          <w:lang w:val="en-GB"/>
        </w:rPr>
      </w:pPr>
    </w:p>
    <w:p w14:paraId="0D65A9E3" w14:textId="348BB0DE" w:rsidR="00586B0F" w:rsidRPr="00BD2296" w:rsidRDefault="00FD6E28" w:rsidP="00D44BFA">
      <w:pPr>
        <w:jc w:val="left"/>
        <w:rPr>
          <w:rFonts w:ascii="Arial" w:hAnsi="Arial"/>
        </w:rPr>
      </w:pPr>
      <w:r w:rsidRPr="00BD2296">
        <w:rPr>
          <w:rFonts w:ascii="Arial" w:hAnsi="Arial"/>
        </w:rPr>
        <w:t xml:space="preserve">As mentioned above, there is also a practical reason why the Court would wish to limit the class of persons who might apply to remove a liquidator so as to reduce the volume of satellite litigation that could overburden the Court and an insolvent company with limited resources. </w:t>
      </w: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3C2F00E9" w:rsidR="00B20DBE" w:rsidRPr="00E82245" w:rsidRDefault="008030F2" w:rsidP="00B20DBE">
      <w:pPr>
        <w:pStyle w:val="BodyText"/>
        <w:ind w:firstLine="0"/>
      </w:pPr>
      <w:r w:rsidRPr="00E82245">
        <w:t xml:space="preserve">By O.8, r.1 CWR, the official liquidators must make an initial determination of whether the company in liquidation is a.) solvent, b.) insolvent or c.) of doubtful solvency. That initial determination should be certified on form CWR No. 13 and filed at Court. </w:t>
      </w:r>
    </w:p>
    <w:p w14:paraId="7DCE0E59" w14:textId="77777777" w:rsidR="00734B4A" w:rsidRPr="00E82245" w:rsidRDefault="00734B4A" w:rsidP="00B20DBE">
      <w:pPr>
        <w:pStyle w:val="BodyText"/>
        <w:ind w:firstLine="0"/>
      </w:pPr>
    </w:p>
    <w:p w14:paraId="326AF9FD" w14:textId="6674CD8A" w:rsidR="00734B4A" w:rsidRPr="00E82245" w:rsidRDefault="00734B4A" w:rsidP="00B20DBE">
      <w:pPr>
        <w:pStyle w:val="BodyText"/>
        <w:ind w:firstLine="0"/>
      </w:pPr>
      <w:r w:rsidRPr="00E82245">
        <w:t>I</w:t>
      </w:r>
      <w:r w:rsidR="003778BF" w:rsidRPr="00E82245">
        <w:t xml:space="preserve">n this case, </w:t>
      </w:r>
      <w:r w:rsidRPr="00E82245">
        <w:t>the official liquidators determine</w:t>
      </w:r>
      <w:r w:rsidR="003778BF" w:rsidRPr="00E82245">
        <w:t>d</w:t>
      </w:r>
      <w:r w:rsidRPr="00E82245">
        <w:t xml:space="preserve"> that the company is insolvent, </w:t>
      </w:r>
      <w:r w:rsidR="003778BF" w:rsidRPr="00E82245">
        <w:t xml:space="preserve">and therefore </w:t>
      </w:r>
      <w:r w:rsidRPr="00E82245">
        <w:t xml:space="preserve">the official liquidator should convene a meeting of the company’s creditors only (O.8, r.1 (4) CWR). </w:t>
      </w:r>
    </w:p>
    <w:p w14:paraId="5AB06035" w14:textId="77777777" w:rsidR="00734B4A" w:rsidRPr="00E82245" w:rsidRDefault="00734B4A" w:rsidP="00B20DBE">
      <w:pPr>
        <w:pStyle w:val="BodyText"/>
        <w:ind w:firstLine="0"/>
        <w:rPr>
          <w:b/>
          <w:bCs/>
        </w:rPr>
      </w:pPr>
    </w:p>
    <w:p w14:paraId="35E710BA" w14:textId="7A8A98D0" w:rsidR="00734B4A" w:rsidRPr="00E82245" w:rsidRDefault="003778BF" w:rsidP="00734B4A">
      <w:pPr>
        <w:pStyle w:val="BodyText"/>
        <w:ind w:firstLine="0"/>
      </w:pPr>
      <w:r w:rsidRPr="00E82245">
        <w:t>T</w:t>
      </w:r>
      <w:r w:rsidR="00734B4A" w:rsidRPr="00E82245">
        <w:t>he first meeting</w:t>
      </w:r>
      <w:r w:rsidRPr="00E82245">
        <w:t xml:space="preserve">, </w:t>
      </w:r>
      <w:r w:rsidR="00734B4A" w:rsidRPr="00E82245">
        <w:t>which must be convened within 28 days of the date of the winding up</w:t>
      </w:r>
      <w:r w:rsidRPr="00E82245">
        <w:t>, shall be convened for the purpose of electing the winding up committee</w:t>
      </w:r>
      <w:r w:rsidR="00734B4A" w:rsidRPr="00E82245">
        <w:t xml:space="preserve"> (O.8, r.2 (1) CWR)</w:t>
      </w:r>
      <w:r w:rsidRPr="00E82245">
        <w:t xml:space="preserve">). </w:t>
      </w:r>
    </w:p>
    <w:p w14:paraId="773CE391" w14:textId="77777777" w:rsidR="003778BF" w:rsidRPr="00E82245" w:rsidRDefault="003778BF" w:rsidP="00734B4A">
      <w:pPr>
        <w:pStyle w:val="BodyText"/>
        <w:ind w:firstLine="0"/>
      </w:pPr>
    </w:p>
    <w:p w14:paraId="42F6DD32" w14:textId="77777777" w:rsidR="003778BF" w:rsidRPr="00E82245" w:rsidRDefault="003778BF" w:rsidP="00734B4A">
      <w:pPr>
        <w:pStyle w:val="BodyText"/>
        <w:ind w:firstLine="0"/>
      </w:pPr>
      <w:r w:rsidRPr="00E82245">
        <w:t>The liquidation committee shall consist of not less than three and not more than five members in an insolvent liquidation such as this (O.9, r.1 (3)).</w:t>
      </w:r>
    </w:p>
    <w:p w14:paraId="2E947400" w14:textId="77777777" w:rsidR="003778BF" w:rsidRPr="00E82245" w:rsidRDefault="003778BF" w:rsidP="00734B4A">
      <w:pPr>
        <w:pStyle w:val="BodyText"/>
        <w:ind w:firstLine="0"/>
      </w:pPr>
    </w:p>
    <w:p w14:paraId="0F23672C" w14:textId="1974DD8B" w:rsidR="003778BF" w:rsidRPr="00E82245" w:rsidRDefault="003778BF" w:rsidP="00734B4A">
      <w:pPr>
        <w:pStyle w:val="BodyText"/>
        <w:ind w:firstLine="0"/>
      </w:pPr>
      <w:r w:rsidRPr="00E82245">
        <w:t xml:space="preserve">In this case, when the company is redesignated from insolvent to solvent, all the creditor members of the liquidation committee automatically cease to be members. The official liquidator shall convene a meeting of the contributories instead in order to elect a new liquidation committee comprising the company’s contributories (O.9, r.3 (2)).   </w:t>
      </w:r>
    </w:p>
    <w:p w14:paraId="1576D7B4" w14:textId="77777777" w:rsidR="00734B4A" w:rsidRDefault="00734B4A" w:rsidP="00734B4A">
      <w:pPr>
        <w:pStyle w:val="BodyText"/>
        <w:ind w:firstLine="0"/>
        <w:rPr>
          <w:rFonts w:ascii="Avenir Next" w:hAnsi="Avenir Next"/>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8977E49" w14:textId="77777777" w:rsidR="00C31F2C" w:rsidRPr="00BD2296" w:rsidRDefault="00C31F2C" w:rsidP="00B20DBE">
      <w:pPr>
        <w:pStyle w:val="BodyText"/>
        <w:ind w:firstLine="0"/>
      </w:pPr>
      <w:r w:rsidRPr="00BD2296">
        <w:t xml:space="preserve">The liquidator shall: </w:t>
      </w:r>
    </w:p>
    <w:p w14:paraId="62DE34A9" w14:textId="77777777" w:rsidR="00C31F2C" w:rsidRPr="00BD2296" w:rsidRDefault="00C31F2C" w:rsidP="00B20DBE">
      <w:pPr>
        <w:pStyle w:val="BodyText"/>
        <w:ind w:firstLine="0"/>
      </w:pPr>
    </w:p>
    <w:p w14:paraId="52B176B8" w14:textId="0E367221" w:rsidR="00B20DBE" w:rsidRPr="00BD2296" w:rsidRDefault="00C31F2C" w:rsidP="008C64AA">
      <w:pPr>
        <w:pStyle w:val="BodyText"/>
        <w:numPr>
          <w:ilvl w:val="0"/>
          <w:numId w:val="28"/>
        </w:numPr>
        <w:jc w:val="both"/>
      </w:pPr>
      <w:r w:rsidRPr="00BD2296">
        <w:t xml:space="preserve">File the Order for dissolution with the Cayman Islands registrar of companies within 14 days of the date on which the Order was perfected (CWR O.22, r.2). </w:t>
      </w:r>
    </w:p>
    <w:p w14:paraId="4AD3734D" w14:textId="77777777" w:rsidR="00C31F2C" w:rsidRPr="00BD2296" w:rsidRDefault="00C31F2C" w:rsidP="00C31F2C">
      <w:pPr>
        <w:pStyle w:val="BodyText"/>
        <w:ind w:left="720" w:firstLine="0"/>
        <w:jc w:val="both"/>
      </w:pPr>
    </w:p>
    <w:p w14:paraId="009C5CAD" w14:textId="3D554053" w:rsidR="00C31F2C" w:rsidRPr="00BD2296" w:rsidRDefault="00C31F2C" w:rsidP="008C64AA">
      <w:pPr>
        <w:pStyle w:val="BodyText"/>
        <w:numPr>
          <w:ilvl w:val="0"/>
          <w:numId w:val="28"/>
        </w:numPr>
        <w:jc w:val="both"/>
      </w:pPr>
      <w:r w:rsidRPr="00BD2296">
        <w:t xml:space="preserve">Establish an interest bearing bank account in the liquidator’s name as trustee of the dissolved company. Any unclaimed dividends will be transferred to this account and administered by the liquidator for the benefit of the creditors / contributories (as </w:t>
      </w:r>
      <w:r w:rsidRPr="00BD2296">
        <w:lastRenderedPageBreak/>
        <w:t>appropriate) (O.23, r.2 CWR).</w:t>
      </w:r>
    </w:p>
    <w:p w14:paraId="74311D7D" w14:textId="77777777" w:rsidR="00C31F2C" w:rsidRPr="00BD2296" w:rsidRDefault="00C31F2C" w:rsidP="00C31F2C">
      <w:pPr>
        <w:pStyle w:val="BodyText"/>
        <w:ind w:left="720" w:firstLine="0"/>
        <w:jc w:val="both"/>
      </w:pPr>
    </w:p>
    <w:p w14:paraId="623CC71B" w14:textId="12BA79BF" w:rsidR="00C31F2C" w:rsidRPr="00BD2296" w:rsidRDefault="00C31F2C" w:rsidP="008C64AA">
      <w:pPr>
        <w:pStyle w:val="BodyText"/>
        <w:numPr>
          <w:ilvl w:val="0"/>
          <w:numId w:val="28"/>
        </w:numPr>
        <w:jc w:val="both"/>
      </w:pPr>
      <w:r w:rsidRPr="00BD2296">
        <w:t xml:space="preserve">Any assets that should have been distributed </w:t>
      </w:r>
      <w:r w:rsidRPr="00BD2296">
        <w:rPr>
          <w:i/>
          <w:iCs/>
        </w:rPr>
        <w:t>in specie</w:t>
      </w:r>
      <w:r w:rsidRPr="00BD2296">
        <w:t xml:space="preserve"> but which remain in the possession of the </w:t>
      </w:r>
      <w:r w:rsidR="0086164A" w:rsidRPr="00BD2296">
        <w:t xml:space="preserve">former </w:t>
      </w:r>
      <w:r w:rsidRPr="00BD2296">
        <w:t xml:space="preserve">liquidator shall be transferred into the </w:t>
      </w:r>
      <w:r w:rsidR="0086164A" w:rsidRPr="00BD2296">
        <w:t xml:space="preserve">former </w:t>
      </w:r>
      <w:r w:rsidRPr="00BD2296">
        <w:t>liquidator’s own name and administered by the liquidator for the benefit of the creditors / contributories (as appropriate) (O.23, r.3 CWR</w:t>
      </w:r>
      <w:r w:rsidR="0086164A" w:rsidRPr="00BD2296">
        <w:t xml:space="preserve"> and s.153(1) Companies Act)</w:t>
      </w:r>
      <w:r w:rsidRPr="00BD2296">
        <w:t>.</w:t>
      </w:r>
    </w:p>
    <w:p w14:paraId="6ECF95F8" w14:textId="77777777" w:rsidR="00C31F2C" w:rsidRPr="00BD2296" w:rsidRDefault="00C31F2C" w:rsidP="00C31F2C">
      <w:pPr>
        <w:pStyle w:val="BodyText"/>
        <w:ind w:left="720" w:firstLine="0"/>
        <w:jc w:val="both"/>
      </w:pPr>
    </w:p>
    <w:p w14:paraId="762BCE34" w14:textId="479FEBF6" w:rsidR="00C31F2C" w:rsidRPr="00BD2296" w:rsidRDefault="00C31F2C" w:rsidP="008C64AA">
      <w:pPr>
        <w:pStyle w:val="BodyText"/>
        <w:numPr>
          <w:ilvl w:val="0"/>
          <w:numId w:val="28"/>
        </w:numPr>
        <w:jc w:val="both"/>
      </w:pPr>
      <w:r w:rsidRPr="00BD2296">
        <w:t>Advertise for claims and take reasonable steps to identify claimants. Thereafter, to deal with claims and make payments / transfers of assets (as appropriate) to such persons as appear to be entitled to receive them (O.23, r.4).</w:t>
      </w:r>
    </w:p>
    <w:p w14:paraId="4483AF3B" w14:textId="77777777" w:rsidR="00C31F2C" w:rsidRPr="00BD2296" w:rsidRDefault="00C31F2C" w:rsidP="00C31F2C">
      <w:pPr>
        <w:pStyle w:val="BodyText"/>
        <w:ind w:left="720" w:firstLine="0"/>
        <w:jc w:val="both"/>
      </w:pPr>
    </w:p>
    <w:p w14:paraId="1D16246E" w14:textId="3F248C20" w:rsidR="00C31F2C" w:rsidRPr="00BD2296" w:rsidRDefault="00C31F2C" w:rsidP="008C64AA">
      <w:pPr>
        <w:pStyle w:val="BodyText"/>
        <w:numPr>
          <w:ilvl w:val="0"/>
          <w:numId w:val="28"/>
        </w:numPr>
        <w:jc w:val="both"/>
      </w:pPr>
      <w:r w:rsidRPr="00BD2296">
        <w:t xml:space="preserve">Pay the </w:t>
      </w:r>
      <w:r w:rsidR="0086164A" w:rsidRPr="00BD2296">
        <w:t>former liquidator’s</w:t>
      </w:r>
      <w:r w:rsidRPr="00BD2296">
        <w:t xml:space="preserve"> own reasonable fees and expenses (O.23, r.5 CWR). </w:t>
      </w:r>
    </w:p>
    <w:p w14:paraId="2E4C5926" w14:textId="77777777" w:rsidR="0086164A" w:rsidRPr="00BD2296" w:rsidRDefault="0086164A" w:rsidP="0086164A">
      <w:pPr>
        <w:pStyle w:val="BodyText"/>
        <w:ind w:left="720" w:firstLine="0"/>
        <w:jc w:val="both"/>
      </w:pPr>
    </w:p>
    <w:p w14:paraId="410C49A0" w14:textId="7127161A" w:rsidR="00C31F2C" w:rsidRPr="00BD2296" w:rsidRDefault="00C31F2C" w:rsidP="008C64AA">
      <w:pPr>
        <w:pStyle w:val="BodyText"/>
        <w:numPr>
          <w:ilvl w:val="0"/>
          <w:numId w:val="28"/>
        </w:numPr>
        <w:jc w:val="both"/>
      </w:pPr>
      <w:r w:rsidRPr="00BD2296">
        <w:t xml:space="preserve">After one year following the Order for dissolution, transfer any remaining money or assets </w:t>
      </w:r>
      <w:r w:rsidR="0086164A" w:rsidRPr="00BD2296">
        <w:t xml:space="preserve">in the former liquidator’s possession to the Financial Secretary (O.23, r.6 CWR). </w:t>
      </w:r>
    </w:p>
    <w:p w14:paraId="69B6DFAF" w14:textId="77777777" w:rsidR="0086164A" w:rsidRPr="00BD2296" w:rsidRDefault="0086164A" w:rsidP="0086164A">
      <w:pPr>
        <w:pStyle w:val="BodyText"/>
        <w:ind w:left="720" w:firstLine="0"/>
        <w:jc w:val="both"/>
      </w:pPr>
    </w:p>
    <w:p w14:paraId="4228AA8C" w14:textId="405ED2CC" w:rsidR="0086164A" w:rsidRPr="00BD2296" w:rsidRDefault="0086164A" w:rsidP="008C64AA">
      <w:pPr>
        <w:pStyle w:val="BodyText"/>
        <w:numPr>
          <w:ilvl w:val="0"/>
          <w:numId w:val="28"/>
        </w:numPr>
        <w:jc w:val="both"/>
      </w:pPr>
      <w:r w:rsidRPr="00BD2296">
        <w:t xml:space="preserve">Retain the liquidation filed for at least three years (O.26, r.2(3) CWR). </w:t>
      </w:r>
    </w:p>
    <w:p w14:paraId="309F06F5" w14:textId="77777777" w:rsidR="00C31F2C" w:rsidRPr="00C31F2C" w:rsidRDefault="00C31F2C" w:rsidP="00B20DBE">
      <w:pPr>
        <w:pStyle w:val="BodyText"/>
        <w:ind w:firstLine="0"/>
        <w:rPr>
          <w:rFonts w:ascii="Avenir Next" w:hAnsi="Avenir Next"/>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3FBCDB67" w14:textId="69769C95" w:rsidR="00914CB1" w:rsidRPr="00BD2296" w:rsidRDefault="00914CB1" w:rsidP="00ED248F">
      <w:pPr>
        <w:rPr>
          <w:rFonts w:ascii="Arial" w:hAnsi="Arial"/>
        </w:rPr>
      </w:pPr>
      <w:r w:rsidRPr="00BD2296">
        <w:rPr>
          <w:rFonts w:ascii="Arial" w:hAnsi="Arial"/>
        </w:rPr>
        <w:t>By s.101 Companies Act</w:t>
      </w:r>
      <w:r w:rsidR="005649A8" w:rsidRPr="00BD2296">
        <w:rPr>
          <w:rFonts w:ascii="Arial" w:hAnsi="Arial"/>
        </w:rPr>
        <w:t>, t</w:t>
      </w:r>
      <w:r w:rsidRPr="00BD2296">
        <w:rPr>
          <w:rFonts w:ascii="Arial" w:hAnsi="Arial"/>
        </w:rPr>
        <w:t>he liquidator has the power to require the following persons to prepare and submit a statement in the prescribed form as to the affairs of the company:</w:t>
      </w:r>
    </w:p>
    <w:p w14:paraId="372BC42D" w14:textId="77777777" w:rsidR="00914CB1" w:rsidRPr="00BD2296" w:rsidRDefault="00914CB1" w:rsidP="00ED248F">
      <w:pPr>
        <w:rPr>
          <w:rFonts w:ascii="Arial" w:hAnsi="Arial"/>
        </w:rPr>
      </w:pPr>
    </w:p>
    <w:p w14:paraId="0A9A156F" w14:textId="77777777" w:rsidR="00914CB1" w:rsidRPr="00BD2296" w:rsidRDefault="00914CB1" w:rsidP="008C64AA">
      <w:pPr>
        <w:pStyle w:val="ListParagraph"/>
        <w:numPr>
          <w:ilvl w:val="0"/>
          <w:numId w:val="29"/>
        </w:numPr>
        <w:rPr>
          <w:rFonts w:ascii="Arial" w:hAnsi="Arial" w:cs="Arial"/>
        </w:rPr>
      </w:pPr>
      <w:r w:rsidRPr="00BD2296">
        <w:rPr>
          <w:rFonts w:ascii="Arial" w:hAnsi="Arial" w:cs="Arial"/>
        </w:rPr>
        <w:t xml:space="preserve">Current and former directors and current and former officers of the company </w:t>
      </w:r>
    </w:p>
    <w:p w14:paraId="261610E9" w14:textId="58EA6F93" w:rsidR="00914CB1" w:rsidRPr="00BD2296" w:rsidRDefault="00914CB1" w:rsidP="008C64AA">
      <w:pPr>
        <w:pStyle w:val="ListParagraph"/>
        <w:numPr>
          <w:ilvl w:val="0"/>
          <w:numId w:val="29"/>
        </w:numPr>
        <w:rPr>
          <w:rFonts w:ascii="Arial" w:hAnsi="Arial" w:cs="Arial"/>
        </w:rPr>
      </w:pPr>
      <w:r w:rsidRPr="00BD2296">
        <w:rPr>
          <w:rFonts w:ascii="Arial" w:hAnsi="Arial" w:cs="Arial"/>
        </w:rPr>
        <w:t>Current and former service providers to the company</w:t>
      </w:r>
      <w:r w:rsidR="005649A8" w:rsidRPr="00BD2296">
        <w:rPr>
          <w:rFonts w:ascii="Arial" w:hAnsi="Arial" w:cs="Arial"/>
        </w:rPr>
        <w:t xml:space="preserve"> (note that this excludes auditors). </w:t>
      </w:r>
    </w:p>
    <w:p w14:paraId="377417DE" w14:textId="6D217C78" w:rsidR="00914CB1" w:rsidRPr="00BD2296" w:rsidRDefault="00914CB1" w:rsidP="008C64AA">
      <w:pPr>
        <w:pStyle w:val="ListParagraph"/>
        <w:numPr>
          <w:ilvl w:val="0"/>
          <w:numId w:val="29"/>
        </w:numPr>
        <w:rPr>
          <w:rFonts w:ascii="Arial" w:hAnsi="Arial" w:cs="Arial"/>
        </w:rPr>
      </w:pPr>
      <w:r w:rsidRPr="00BD2296">
        <w:rPr>
          <w:rFonts w:ascii="Arial" w:hAnsi="Arial" w:cs="Arial"/>
        </w:rPr>
        <w:t xml:space="preserve">Current and former employees of the company (up to one year preceding the </w:t>
      </w:r>
      <w:r w:rsidR="005649A8" w:rsidRPr="00BD2296">
        <w:rPr>
          <w:rFonts w:ascii="Arial" w:hAnsi="Arial" w:cs="Arial"/>
        </w:rPr>
        <w:t>“relevant date” (as defined in s.101(6) Companies Act)</w:t>
      </w:r>
      <w:r w:rsidRPr="00BD2296">
        <w:rPr>
          <w:rFonts w:ascii="Arial" w:hAnsi="Arial" w:cs="Arial"/>
        </w:rPr>
        <w:t xml:space="preserve">).  </w:t>
      </w:r>
    </w:p>
    <w:p w14:paraId="1B88CF57" w14:textId="58671B0F" w:rsidR="00D44BFA" w:rsidRPr="00BD2296" w:rsidRDefault="00914CB1" w:rsidP="00D44BFA">
      <w:pPr>
        <w:rPr>
          <w:rFonts w:ascii="Arial" w:hAnsi="Arial"/>
        </w:rPr>
      </w:pPr>
      <w:r w:rsidRPr="00BD2296">
        <w:rPr>
          <w:rFonts w:ascii="Arial" w:hAnsi="Arial"/>
        </w:rPr>
        <w:t>The statement of affairs must be verified on affidavit</w:t>
      </w:r>
      <w:r w:rsidR="00564B2E" w:rsidRPr="00BD2296">
        <w:rPr>
          <w:rFonts w:ascii="Arial" w:hAnsi="Arial"/>
        </w:rPr>
        <w:t xml:space="preserve"> and must provide details of, inter alia, details of the company’s assets and liabilities, including contingent liabilities. The names and addresses of persons having possession of the company’s assets, details of the company’s creditors and details of security held by creditors</w:t>
      </w:r>
      <w:r w:rsidRPr="00BD2296">
        <w:rPr>
          <w:rFonts w:ascii="Arial" w:hAnsi="Arial"/>
        </w:rPr>
        <w:t xml:space="preserve">. </w:t>
      </w:r>
    </w:p>
    <w:p w14:paraId="23D17A4A" w14:textId="77777777" w:rsidR="00564B2E" w:rsidRPr="00BD2296" w:rsidRDefault="00564B2E" w:rsidP="00D44BFA">
      <w:pPr>
        <w:rPr>
          <w:rFonts w:ascii="Arial" w:hAnsi="Arial"/>
        </w:rPr>
      </w:pPr>
    </w:p>
    <w:p w14:paraId="4BFFF0A6" w14:textId="1D01D7C0" w:rsidR="00564B2E" w:rsidRPr="00BD2296" w:rsidRDefault="00564B2E" w:rsidP="00D44BFA">
      <w:pPr>
        <w:rPr>
          <w:rFonts w:ascii="Arial" w:hAnsi="Arial"/>
        </w:rPr>
      </w:pPr>
      <w:r w:rsidRPr="00BD2296">
        <w:rPr>
          <w:rFonts w:ascii="Arial" w:hAnsi="Arial"/>
        </w:rPr>
        <w:t xml:space="preserve">Anyone who fails to comply with this obligation without a reasonable excuse is liable for a fine of CI$10,000 (s.101(7) Companies Act).  </w:t>
      </w:r>
    </w:p>
    <w:p w14:paraId="00185AAB" w14:textId="77777777" w:rsidR="00564B2E" w:rsidRPr="00BD2296" w:rsidRDefault="00564B2E" w:rsidP="00D44BFA">
      <w:pPr>
        <w:rPr>
          <w:rFonts w:ascii="Avenir Next LT Pro" w:hAnsi="Avenir Next LT Pro"/>
          <w:sz w:val="24"/>
          <w:szCs w:val="24"/>
        </w:rPr>
      </w:pPr>
    </w:p>
    <w:p w14:paraId="2920A89E" w14:textId="682C903F" w:rsidR="00564B2E" w:rsidRPr="00BD2296" w:rsidRDefault="00564B2E" w:rsidP="00564B2E">
      <w:pPr>
        <w:pStyle w:val="BodyText"/>
        <w:ind w:firstLine="0"/>
      </w:pPr>
      <w:r w:rsidRPr="00BD2296">
        <w:t xml:space="preserve">By s.102 Companies Act, a liquidator is empowered to investigate: </w:t>
      </w:r>
    </w:p>
    <w:p w14:paraId="64F17469" w14:textId="77777777" w:rsidR="00564B2E" w:rsidRPr="00BD2296" w:rsidRDefault="00564B2E" w:rsidP="00564B2E">
      <w:pPr>
        <w:pStyle w:val="BodyText"/>
        <w:ind w:firstLine="0"/>
      </w:pPr>
    </w:p>
    <w:p w14:paraId="1E0BD722" w14:textId="77777777" w:rsidR="00564B2E" w:rsidRPr="00BD2296" w:rsidRDefault="00564B2E" w:rsidP="008C64AA">
      <w:pPr>
        <w:pStyle w:val="BodyText"/>
        <w:numPr>
          <w:ilvl w:val="0"/>
          <w:numId w:val="30"/>
        </w:numPr>
        <w:rPr>
          <w:b/>
          <w:bCs/>
        </w:rPr>
      </w:pPr>
      <w:r w:rsidRPr="00BD2296">
        <w:t>If the company failed, the causes of the failure; and</w:t>
      </w:r>
    </w:p>
    <w:p w14:paraId="4748F7E9" w14:textId="03582914" w:rsidR="00564B2E" w:rsidRPr="00BD2296" w:rsidRDefault="00564B2E" w:rsidP="008C64AA">
      <w:pPr>
        <w:pStyle w:val="BodyText"/>
        <w:numPr>
          <w:ilvl w:val="0"/>
          <w:numId w:val="30"/>
        </w:numPr>
        <w:rPr>
          <w:b/>
          <w:bCs/>
        </w:rPr>
      </w:pPr>
      <w:r w:rsidRPr="00BD2296">
        <w:t>Generally the promotion, business dealing and affairs of the company</w:t>
      </w:r>
    </w:p>
    <w:p w14:paraId="555B8733" w14:textId="77777777" w:rsidR="00564B2E" w:rsidRPr="00BD2296" w:rsidRDefault="00564B2E" w:rsidP="00564B2E">
      <w:pPr>
        <w:rPr>
          <w:rFonts w:ascii="Arial" w:hAnsi="Arial"/>
        </w:rPr>
      </w:pPr>
    </w:p>
    <w:p w14:paraId="335E9C66" w14:textId="779B2AC8" w:rsidR="00564B2E" w:rsidRPr="00BD2296" w:rsidRDefault="00564B2E" w:rsidP="00564B2E">
      <w:pPr>
        <w:rPr>
          <w:rFonts w:ascii="Arial" w:hAnsi="Arial"/>
        </w:rPr>
      </w:pPr>
      <w:r w:rsidRPr="00BD2296">
        <w:rPr>
          <w:rFonts w:ascii="Arial" w:hAnsi="Arial"/>
        </w:rPr>
        <w:t xml:space="preserve">This may include assisting CIMA and RICPS (subject to obtaining directions from the Court) to investigate the above mentioned categories of persons and to institute and conduct criminal prosecution of such persons. </w:t>
      </w:r>
    </w:p>
    <w:p w14:paraId="7D686611" w14:textId="77777777" w:rsidR="00564B2E" w:rsidRPr="00BD2296" w:rsidRDefault="00564B2E" w:rsidP="00D44BFA">
      <w:pPr>
        <w:rPr>
          <w:rFonts w:ascii="Avenir Next LT Pro" w:hAnsi="Avenir Next LT Pro"/>
          <w:sz w:val="24"/>
          <w:szCs w:val="24"/>
        </w:rPr>
      </w:pPr>
    </w:p>
    <w:p w14:paraId="30337CBE" w14:textId="0BD5934C" w:rsidR="00914CB1" w:rsidRPr="00BD2296" w:rsidRDefault="00564B2E" w:rsidP="00D44BFA">
      <w:pPr>
        <w:rPr>
          <w:rFonts w:ascii="Arial" w:hAnsi="Arial"/>
        </w:rPr>
      </w:pPr>
      <w:r w:rsidRPr="00BD2296">
        <w:rPr>
          <w:rFonts w:ascii="Arial" w:hAnsi="Arial"/>
        </w:rPr>
        <w:t xml:space="preserve">Any “relevant person” as defined in s.103(1) Companies Act, is required to co-operate with the liquidator. The official liquidator may apply to Court for an order for the examination of any “relevant person” or that the “relevant person” transfer or deliver up property or documents to the liquidator. </w:t>
      </w:r>
    </w:p>
    <w:p w14:paraId="2C2CBB42" w14:textId="77777777" w:rsidR="00564B2E" w:rsidRPr="00BD2296" w:rsidRDefault="00564B2E" w:rsidP="00D44BFA">
      <w:pPr>
        <w:rPr>
          <w:rFonts w:ascii="Arial" w:hAnsi="Arial"/>
        </w:rPr>
      </w:pPr>
    </w:p>
    <w:p w14:paraId="0CB33F37" w14:textId="3C413085" w:rsidR="00564B2E" w:rsidRPr="00BD2296" w:rsidRDefault="00564B2E" w:rsidP="00D44BFA">
      <w:pPr>
        <w:rPr>
          <w:rFonts w:ascii="Arial" w:hAnsi="Arial"/>
        </w:rPr>
      </w:pPr>
      <w:r w:rsidRPr="00BD2296">
        <w:rPr>
          <w:rFonts w:ascii="Arial" w:hAnsi="Arial"/>
        </w:rPr>
        <w:lastRenderedPageBreak/>
        <w:t xml:space="preserve">The Court can, on the application of the liquidator, make an order that the “relevant person” swears an affidavit in answer to written questions, attends for oral examination or both (s.103(5) Companies Act). </w:t>
      </w:r>
    </w:p>
    <w:p w14:paraId="2CD90047" w14:textId="77777777" w:rsidR="00564B2E" w:rsidRPr="004C5625" w:rsidRDefault="00564B2E"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6B245CE5" w:rsidR="00D44BFA" w:rsidRPr="00BD2296" w:rsidRDefault="005649A8" w:rsidP="00D44BFA">
      <w:pPr>
        <w:pStyle w:val="BodyText"/>
        <w:ind w:firstLine="0"/>
      </w:pPr>
      <w:r w:rsidRPr="00BD2296">
        <w:t xml:space="preserve">As set out above, by s.101 Companies Act, the liquidator has the power to require certain persons to prepare and submit a statement in the prescribed form as to the affairs of the company. </w:t>
      </w:r>
    </w:p>
    <w:p w14:paraId="662EF4B7" w14:textId="77777777" w:rsidR="005649A8" w:rsidRPr="00BD2296" w:rsidRDefault="005649A8" w:rsidP="00D44BFA">
      <w:pPr>
        <w:pStyle w:val="BodyText"/>
        <w:ind w:firstLine="0"/>
      </w:pPr>
    </w:p>
    <w:p w14:paraId="647EF931" w14:textId="52BA6665" w:rsidR="005649A8" w:rsidRPr="00BD2296" w:rsidRDefault="005649A8" w:rsidP="005649A8">
      <w:pPr>
        <w:pStyle w:val="BodyText"/>
        <w:ind w:firstLine="0"/>
        <w:jc w:val="both"/>
      </w:pPr>
      <w:r w:rsidRPr="00BD2296">
        <w:t xml:space="preserve">S.101(3)(c) provides that one such category of persons is persons who are or were employees of the company during the period of one year immediately preceding the “relevant date” (s.101(3) Companies Act). </w:t>
      </w:r>
    </w:p>
    <w:p w14:paraId="486CE8CB" w14:textId="77777777" w:rsidR="005649A8" w:rsidRPr="00BD2296" w:rsidRDefault="005649A8" w:rsidP="005649A8">
      <w:pPr>
        <w:pStyle w:val="BodyText"/>
        <w:ind w:firstLine="0"/>
        <w:jc w:val="both"/>
      </w:pPr>
    </w:p>
    <w:p w14:paraId="41A47385" w14:textId="7A97282D" w:rsidR="005649A8" w:rsidRPr="00BD2296" w:rsidRDefault="005649A8" w:rsidP="005649A8">
      <w:pPr>
        <w:pStyle w:val="BodyText"/>
        <w:ind w:firstLine="0"/>
        <w:jc w:val="both"/>
      </w:pPr>
      <w:r w:rsidRPr="00BD2296">
        <w:t>The “relevant date” is defined in s.101(6) as being either:</w:t>
      </w:r>
    </w:p>
    <w:p w14:paraId="0FA18D98" w14:textId="77777777" w:rsidR="005649A8" w:rsidRPr="00BD2296" w:rsidRDefault="005649A8" w:rsidP="005649A8">
      <w:pPr>
        <w:pStyle w:val="BodyText"/>
        <w:ind w:firstLine="0"/>
        <w:jc w:val="both"/>
      </w:pPr>
    </w:p>
    <w:p w14:paraId="77C73477" w14:textId="03991485" w:rsidR="005649A8" w:rsidRPr="00BD2296" w:rsidRDefault="005649A8" w:rsidP="008C64AA">
      <w:pPr>
        <w:pStyle w:val="BodyText"/>
        <w:numPr>
          <w:ilvl w:val="0"/>
          <w:numId w:val="31"/>
        </w:numPr>
        <w:jc w:val="both"/>
      </w:pPr>
      <w:r w:rsidRPr="00BD2296">
        <w:t>The date of the appointment of a provisional liquidator; or</w:t>
      </w:r>
    </w:p>
    <w:p w14:paraId="12BAB915" w14:textId="12E97EC5" w:rsidR="005649A8" w:rsidRPr="00BD2296" w:rsidRDefault="005649A8" w:rsidP="008C64AA">
      <w:pPr>
        <w:pStyle w:val="BodyText"/>
        <w:numPr>
          <w:ilvl w:val="0"/>
          <w:numId w:val="31"/>
        </w:numPr>
        <w:jc w:val="both"/>
      </w:pPr>
      <w:r w:rsidRPr="00BD2296">
        <w:t xml:space="preserve">In all other cases, the date of the commencement of the winding up. </w:t>
      </w:r>
    </w:p>
    <w:p w14:paraId="4F03415A" w14:textId="1BA7923C" w:rsidR="00D44BFA" w:rsidRPr="00BD2296" w:rsidRDefault="00D44BFA" w:rsidP="00D44BFA">
      <w:pPr>
        <w:rPr>
          <w:rFonts w:ascii="Arial" w:hAnsi="Arial"/>
        </w:rPr>
      </w:pPr>
    </w:p>
    <w:p w14:paraId="4EC71E6B" w14:textId="20E246B6" w:rsidR="008C64AA" w:rsidRPr="00BD2296" w:rsidRDefault="008C64AA" w:rsidP="008C64AA">
      <w:pPr>
        <w:tabs>
          <w:tab w:val="right" w:pos="9021"/>
        </w:tabs>
        <w:rPr>
          <w:rFonts w:ascii="Arial" w:hAnsi="Arial"/>
        </w:rPr>
      </w:pPr>
      <w:r w:rsidRPr="00BD2296">
        <w:rPr>
          <w:rFonts w:ascii="Arial" w:hAnsi="Arial"/>
          <w:lang w:val="en-GB"/>
        </w:rPr>
        <w:t xml:space="preserve">Pursuant to s.100(1) </w:t>
      </w:r>
      <w:r w:rsidRPr="00BD2296">
        <w:rPr>
          <w:rFonts w:ascii="Arial" w:hAnsi="Arial"/>
        </w:rPr>
        <w:t>Companies Act</w:t>
      </w:r>
      <w:r w:rsidRPr="00BD2296">
        <w:rPr>
          <w:rFonts w:ascii="Arial" w:hAnsi="Arial"/>
          <w:lang w:val="en-GB"/>
        </w:rPr>
        <w:t>, t</w:t>
      </w:r>
      <w:r w:rsidR="005649A8" w:rsidRPr="00BD2296">
        <w:rPr>
          <w:rFonts w:ascii="Arial" w:hAnsi="Arial"/>
          <w:lang w:val="en-GB"/>
        </w:rPr>
        <w:t xml:space="preserve">he </w:t>
      </w:r>
      <w:r w:rsidR="005649A8" w:rsidRPr="00BD2296">
        <w:rPr>
          <w:rFonts w:ascii="Arial" w:hAnsi="Arial"/>
        </w:rPr>
        <w:t xml:space="preserve">date of the commencement of the winding up </w:t>
      </w:r>
      <w:r w:rsidRPr="00BD2296">
        <w:rPr>
          <w:rFonts w:ascii="Arial" w:hAnsi="Arial"/>
        </w:rPr>
        <w:t xml:space="preserve">can refer to </w:t>
      </w:r>
      <w:r w:rsidR="005649A8" w:rsidRPr="00BD2296">
        <w:rPr>
          <w:rFonts w:ascii="Arial" w:hAnsi="Arial"/>
        </w:rPr>
        <w:t xml:space="preserve">the date </w:t>
      </w:r>
      <w:r w:rsidRPr="00BD2296">
        <w:rPr>
          <w:rFonts w:ascii="Arial" w:hAnsi="Arial"/>
        </w:rPr>
        <w:t xml:space="preserve">of </w:t>
      </w:r>
    </w:p>
    <w:p w14:paraId="7E2FC2F2" w14:textId="77777777" w:rsidR="008C64AA" w:rsidRPr="00BD2296" w:rsidRDefault="008C64AA" w:rsidP="008C64AA">
      <w:pPr>
        <w:tabs>
          <w:tab w:val="right" w:pos="9021"/>
        </w:tabs>
        <w:rPr>
          <w:rFonts w:ascii="Arial" w:hAnsi="Arial"/>
        </w:rPr>
      </w:pPr>
    </w:p>
    <w:p w14:paraId="5FF9345F" w14:textId="70D3F98D" w:rsidR="008C64AA" w:rsidRPr="00BD2296" w:rsidRDefault="008C64AA" w:rsidP="008C64AA">
      <w:pPr>
        <w:pStyle w:val="ListParagraph"/>
        <w:numPr>
          <w:ilvl w:val="0"/>
          <w:numId w:val="32"/>
        </w:numPr>
        <w:tabs>
          <w:tab w:val="right" w:pos="9021"/>
        </w:tabs>
        <w:rPr>
          <w:rFonts w:ascii="Arial" w:hAnsi="Arial" w:cs="Arial"/>
        </w:rPr>
      </w:pPr>
      <w:r w:rsidRPr="00BD2296">
        <w:rPr>
          <w:rFonts w:ascii="Arial" w:hAnsi="Arial" w:cs="Arial"/>
        </w:rPr>
        <w:t>That a resolution was passed by the company for voluntary winding up</w:t>
      </w:r>
    </w:p>
    <w:p w14:paraId="5F0C5AA0" w14:textId="4CE6E251" w:rsidR="008C64AA" w:rsidRPr="00BD2296" w:rsidRDefault="008C64AA" w:rsidP="008C64AA">
      <w:pPr>
        <w:pStyle w:val="ListParagraph"/>
        <w:numPr>
          <w:ilvl w:val="0"/>
          <w:numId w:val="32"/>
        </w:numPr>
        <w:tabs>
          <w:tab w:val="right" w:pos="9021"/>
        </w:tabs>
        <w:rPr>
          <w:rFonts w:ascii="Arial" w:hAnsi="Arial" w:cs="Arial"/>
        </w:rPr>
      </w:pPr>
      <w:r w:rsidRPr="00BD2296">
        <w:rPr>
          <w:rFonts w:ascii="Arial" w:hAnsi="Arial" w:cs="Arial"/>
        </w:rPr>
        <w:t>The period fixed for the duration of the company by its articles of assioction (see s.7 Companies Act)</w:t>
      </w:r>
    </w:p>
    <w:p w14:paraId="041786E8" w14:textId="77777777" w:rsidR="008C64AA" w:rsidRPr="00BD2296" w:rsidRDefault="008C64AA" w:rsidP="008C64AA">
      <w:pPr>
        <w:pStyle w:val="ListParagraph"/>
        <w:numPr>
          <w:ilvl w:val="0"/>
          <w:numId w:val="32"/>
        </w:numPr>
        <w:tabs>
          <w:tab w:val="right" w:pos="9021"/>
        </w:tabs>
        <w:rPr>
          <w:rFonts w:ascii="Arial" w:hAnsi="Arial" w:cs="Arial"/>
        </w:rPr>
      </w:pPr>
      <w:r w:rsidRPr="00BD2296">
        <w:rPr>
          <w:rFonts w:ascii="Arial" w:hAnsi="Arial" w:cs="Arial"/>
        </w:rPr>
        <w:t>The event provided for in the company’s articles of assocation that prvides for the compnay to be wound up.</w:t>
      </w:r>
    </w:p>
    <w:p w14:paraId="1EEE2574" w14:textId="7F40F726" w:rsidR="008C64AA" w:rsidRPr="00BD2296" w:rsidRDefault="008C64AA" w:rsidP="008C64AA">
      <w:pPr>
        <w:pStyle w:val="ListParagraph"/>
        <w:numPr>
          <w:ilvl w:val="0"/>
          <w:numId w:val="32"/>
        </w:numPr>
        <w:tabs>
          <w:tab w:val="right" w:pos="9021"/>
        </w:tabs>
        <w:rPr>
          <w:rFonts w:ascii="Arial" w:hAnsi="Arial" w:cs="Arial"/>
        </w:rPr>
      </w:pPr>
      <w:r w:rsidRPr="00BD2296">
        <w:rPr>
          <w:rFonts w:ascii="Arial" w:hAnsi="Arial" w:cs="Arial"/>
        </w:rPr>
        <w:t xml:space="preserve">A restructuring officer has been appointed pursuant to s.91B or 91C and the order apponting the restructuring officer has not been discharged. </w:t>
      </w:r>
    </w:p>
    <w:p w14:paraId="524F028F" w14:textId="114D2D21" w:rsidR="006E7B1B" w:rsidRPr="00BD2296" w:rsidRDefault="008C64AA" w:rsidP="008C64AA">
      <w:pPr>
        <w:tabs>
          <w:tab w:val="right" w:pos="9021"/>
        </w:tabs>
        <w:rPr>
          <w:rFonts w:ascii="Arial" w:hAnsi="Arial"/>
        </w:rPr>
      </w:pPr>
      <w:r w:rsidRPr="00BD2296">
        <w:rPr>
          <w:rFonts w:ascii="Arial" w:hAnsi="Arial"/>
        </w:rPr>
        <w:t xml:space="preserve">In all other circumstances, the “relevant date” will be the date of the </w:t>
      </w:r>
      <w:r w:rsidR="005649A8" w:rsidRPr="00BD2296">
        <w:rPr>
          <w:rFonts w:ascii="Arial" w:hAnsi="Arial"/>
        </w:rPr>
        <w:t>presentation of the winding up petition</w:t>
      </w:r>
      <w:r w:rsidRPr="00BD2296">
        <w:rPr>
          <w:rFonts w:ascii="Arial" w:hAnsi="Arial"/>
        </w:rPr>
        <w:t xml:space="preserve"> (s.100(2) Companies Act)</w:t>
      </w:r>
      <w:r w:rsidR="005649A8" w:rsidRPr="00BD2296">
        <w:rPr>
          <w:rFonts w:ascii="Arial" w:hAnsi="Arial"/>
        </w:rPr>
        <w:t xml:space="preserve">. </w:t>
      </w: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20835BDC" w:rsidR="00080EDC" w:rsidRPr="00486A0B" w:rsidRDefault="00080EDC" w:rsidP="00080EDC">
      <w:pPr>
        <w:pStyle w:val="BodyText"/>
        <w:ind w:firstLine="0"/>
        <w:rPr>
          <w:rFonts w:ascii="Avenir Next" w:hAnsi="Avenir Next"/>
          <w:b/>
          <w:bCs/>
        </w:rPr>
      </w:pPr>
    </w:p>
    <w:p w14:paraId="314DD825" w14:textId="77777777" w:rsidR="00A9192D" w:rsidRPr="00D722BF" w:rsidRDefault="00180792" w:rsidP="00A9192D">
      <w:pPr>
        <w:pStyle w:val="BodyText"/>
        <w:ind w:firstLine="0"/>
        <w:jc w:val="both"/>
      </w:pPr>
      <w:r w:rsidRPr="00D722BF">
        <w:t>The chose provisional liquidator cannot be appointed by the Grand Court</w:t>
      </w:r>
      <w:r w:rsidR="00CF2FC6" w:rsidRPr="00D722BF">
        <w:t xml:space="preserve"> for two reasons</w:t>
      </w:r>
      <w:r w:rsidRPr="00D722BF">
        <w:t>.</w:t>
      </w:r>
      <w:r w:rsidR="00CF2FC6" w:rsidRPr="00D722BF">
        <w:t xml:space="preserve"> </w:t>
      </w:r>
    </w:p>
    <w:p w14:paraId="01864568" w14:textId="77777777" w:rsidR="00A9192D" w:rsidRPr="00D722BF" w:rsidRDefault="00A9192D" w:rsidP="00A9192D">
      <w:pPr>
        <w:pStyle w:val="BodyText"/>
        <w:ind w:firstLine="0"/>
        <w:jc w:val="both"/>
      </w:pPr>
    </w:p>
    <w:p w14:paraId="64E6F0AB" w14:textId="77777777" w:rsidR="00A9192D" w:rsidRPr="00D722BF" w:rsidRDefault="00F249C7" w:rsidP="00A9192D">
      <w:pPr>
        <w:pStyle w:val="BodyText"/>
        <w:ind w:firstLine="0"/>
        <w:jc w:val="both"/>
      </w:pPr>
      <w:r w:rsidRPr="00D722BF">
        <w:t xml:space="preserve">First, the nominated provisional liquidator is based in Hong Kong and is therefore a foreign practitioner (Reg 4(2) IPR). </w:t>
      </w:r>
      <w:r w:rsidR="00A9192D" w:rsidRPr="00D722BF">
        <w:t xml:space="preserve">IPR 4 provides that a person shall be qualified to accept an appointment as an official liquidator if they are licensed to act as an insolvency practitioner in a relevant country. Hong Kong is not a “relevant country” for these purposes (Reg 4(2) IPR). </w:t>
      </w:r>
    </w:p>
    <w:p w14:paraId="7B2D5FCA" w14:textId="77777777" w:rsidR="00A9192D" w:rsidRPr="00D722BF" w:rsidRDefault="00A9192D" w:rsidP="00A9192D">
      <w:pPr>
        <w:pStyle w:val="BodyText"/>
        <w:ind w:firstLine="0"/>
        <w:jc w:val="both"/>
      </w:pPr>
    </w:p>
    <w:p w14:paraId="73D89B6F" w14:textId="16DFA042" w:rsidR="00A9192D" w:rsidRPr="00D722BF" w:rsidRDefault="00F249C7" w:rsidP="00A9192D">
      <w:pPr>
        <w:pStyle w:val="BodyText"/>
        <w:ind w:firstLine="0"/>
        <w:jc w:val="both"/>
      </w:pPr>
      <w:r w:rsidRPr="00D722BF">
        <w:lastRenderedPageBreak/>
        <w:t>A foreign practitioner can only be appointed jointly with a qualified insolvency practitioner</w:t>
      </w:r>
      <w:r w:rsidR="00A9192D" w:rsidRPr="00D722BF">
        <w:t xml:space="preserve"> (O.3, r.4(2) CWR</w:t>
      </w:r>
      <w:r w:rsidR="004F33EF" w:rsidRPr="00D722BF">
        <w:t>) and cannot be appointed as the sole liquidator</w:t>
      </w:r>
      <w:r w:rsidR="00966963" w:rsidRPr="00D722BF">
        <w:t xml:space="preserve"> </w:t>
      </w:r>
      <w:r w:rsidR="004F33EF" w:rsidRPr="00D722BF">
        <w:t>(</w:t>
      </w:r>
      <w:r w:rsidR="00966963" w:rsidRPr="00D722BF">
        <w:t>O.5, r.1(3) CWR</w:t>
      </w:r>
      <w:r w:rsidR="00A9192D" w:rsidRPr="00D722BF">
        <w:t>)</w:t>
      </w:r>
      <w:r w:rsidRPr="00D722BF">
        <w:t xml:space="preserve">. </w:t>
      </w:r>
    </w:p>
    <w:p w14:paraId="5DDADC0D" w14:textId="77777777" w:rsidR="00A9192D" w:rsidRPr="00D722BF" w:rsidRDefault="00A9192D" w:rsidP="00A9192D">
      <w:pPr>
        <w:pStyle w:val="BodyText"/>
        <w:ind w:firstLine="0"/>
        <w:jc w:val="both"/>
      </w:pPr>
    </w:p>
    <w:p w14:paraId="11E2D310" w14:textId="0FD5C50B" w:rsidR="004260BE" w:rsidRPr="00D722BF" w:rsidRDefault="00F249C7" w:rsidP="00A9192D">
      <w:pPr>
        <w:pStyle w:val="BodyText"/>
        <w:ind w:firstLine="0"/>
        <w:jc w:val="both"/>
      </w:pPr>
      <w:r w:rsidRPr="00D722BF">
        <w:t>Second, the foreign practitioner’s professional indemnity insurance does not meet the minimum criteria set out in Reg. 7 IPR</w:t>
      </w:r>
      <w:r w:rsidR="00A9192D" w:rsidRPr="00D722BF">
        <w:t xml:space="preserve"> of US$10 million in respect of each and every claim</w:t>
      </w:r>
      <w:r w:rsidRPr="00D722BF">
        <w:t xml:space="preserve">. He cannot therefore provide a valid consent to act pursuant to O.3, r.4(2)(d). </w:t>
      </w:r>
      <w:r w:rsidR="00A9192D" w:rsidRPr="00D722BF">
        <w:t xml:space="preserve">A valid consent to act is required as part of the application by the contributories of SMB Tech (O.4, r.2 CWR). </w:t>
      </w:r>
      <w:r w:rsidR="00180792" w:rsidRPr="00D722BF">
        <w:t xml:space="preserve"> </w:t>
      </w:r>
    </w:p>
    <w:p w14:paraId="068CF48B" w14:textId="77777777" w:rsidR="00180792" w:rsidRDefault="00180792" w:rsidP="004260BE">
      <w:pPr>
        <w:pStyle w:val="BodyText"/>
        <w:ind w:firstLine="0"/>
        <w:jc w:val="both"/>
        <w:rPr>
          <w:sz w:val="20"/>
          <w:szCs w:val="20"/>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56EC4621" w14:textId="77777777" w:rsidR="00555733" w:rsidRPr="00706DE8" w:rsidRDefault="00555733" w:rsidP="00662A8E">
      <w:pPr>
        <w:rPr>
          <w:rFonts w:ascii="Arial" w:hAnsi="Arial"/>
        </w:rPr>
      </w:pPr>
      <w:r w:rsidRPr="00706DE8">
        <w:rPr>
          <w:rFonts w:ascii="Arial" w:hAnsi="Arial"/>
        </w:rPr>
        <w:t>By s.91B(1) Companies Act, the Company must demonstrate that:</w:t>
      </w:r>
    </w:p>
    <w:p w14:paraId="01CD5F76" w14:textId="77777777" w:rsidR="00555733" w:rsidRPr="00706DE8" w:rsidRDefault="00555733" w:rsidP="00662A8E">
      <w:pPr>
        <w:rPr>
          <w:rFonts w:ascii="Arial" w:hAnsi="Arial"/>
        </w:rPr>
      </w:pPr>
    </w:p>
    <w:p w14:paraId="0751FFF7" w14:textId="2AF4C265" w:rsidR="00555733" w:rsidRPr="00706DE8" w:rsidRDefault="00555733" w:rsidP="00555733">
      <w:pPr>
        <w:pStyle w:val="ListParagraph"/>
        <w:numPr>
          <w:ilvl w:val="0"/>
          <w:numId w:val="35"/>
        </w:numPr>
        <w:rPr>
          <w:rFonts w:ascii="Arial" w:hAnsi="Arial" w:cs="Arial"/>
        </w:rPr>
      </w:pPr>
      <w:r w:rsidRPr="00706DE8">
        <w:rPr>
          <w:rFonts w:ascii="Arial" w:hAnsi="Arial" w:cs="Arial"/>
        </w:rPr>
        <w:t>It is or is likely to become unable to pay its debts (as defined in s.93 Companies Act); and</w:t>
      </w:r>
    </w:p>
    <w:p w14:paraId="3220A1EB" w14:textId="1BF5776F" w:rsidR="00662A8E" w:rsidRPr="00706DE8" w:rsidRDefault="00555733" w:rsidP="00555733">
      <w:pPr>
        <w:pStyle w:val="ListParagraph"/>
        <w:numPr>
          <w:ilvl w:val="0"/>
          <w:numId w:val="35"/>
        </w:numPr>
        <w:rPr>
          <w:rFonts w:ascii="Arial" w:hAnsi="Arial" w:cs="Arial"/>
        </w:rPr>
      </w:pPr>
      <w:r w:rsidRPr="00706DE8">
        <w:rPr>
          <w:rFonts w:ascii="Arial" w:hAnsi="Arial" w:cs="Arial"/>
        </w:rPr>
        <w:t>That it intends to presnt a compromise of arrangement to its creditors</w:t>
      </w:r>
      <w:r w:rsidR="004260BE" w:rsidRPr="00706DE8">
        <w:rPr>
          <w:rFonts w:ascii="Arial" w:hAnsi="Arial" w:cs="Arial"/>
        </w:rPr>
        <w:t xml:space="preserve"> pursuant to Cayman Islands law, foreign law or a consensual restructuring. </w:t>
      </w:r>
      <w:r w:rsidRPr="00706DE8">
        <w:rPr>
          <w:rFonts w:ascii="Arial" w:hAnsi="Arial" w:cs="Arial"/>
        </w:rPr>
        <w:t xml:space="preserve">  </w:t>
      </w:r>
    </w:p>
    <w:p w14:paraId="7FDF11E7" w14:textId="3F40B90F" w:rsidR="00555733" w:rsidRPr="00706DE8" w:rsidRDefault="00555733" w:rsidP="00662A8E">
      <w:pPr>
        <w:rPr>
          <w:rFonts w:ascii="Arial" w:hAnsi="Arial"/>
        </w:rPr>
      </w:pPr>
      <w:r w:rsidRPr="00706DE8">
        <w:rPr>
          <w:rFonts w:ascii="Arial" w:hAnsi="Arial"/>
        </w:rPr>
        <w:t xml:space="preserve">The term “unable to pay its debts” is defined in s.93 Companies Act. Of the three definitions in that section, s.93(c) is likely to be the most applicable in this instance, which provides that the company must prove to the Court’s satisfaction that it is unable to pay its debts. </w:t>
      </w:r>
    </w:p>
    <w:p w14:paraId="472061F6" w14:textId="77777777" w:rsidR="004260BE" w:rsidRPr="00706DE8" w:rsidRDefault="004260BE" w:rsidP="00662A8E">
      <w:pPr>
        <w:rPr>
          <w:rFonts w:ascii="Arial" w:hAnsi="Arial"/>
        </w:rPr>
      </w:pPr>
    </w:p>
    <w:p w14:paraId="7BC4CD85" w14:textId="44A1AD88" w:rsidR="004260BE" w:rsidRPr="00706DE8" w:rsidRDefault="004260BE" w:rsidP="00662A8E">
      <w:pPr>
        <w:rPr>
          <w:rFonts w:ascii="Arial" w:hAnsi="Arial"/>
        </w:rPr>
      </w:pPr>
      <w:r w:rsidRPr="00706DE8">
        <w:rPr>
          <w:rFonts w:ascii="Arial" w:hAnsi="Arial"/>
        </w:rPr>
        <w:t xml:space="preserve">In </w:t>
      </w:r>
      <w:r w:rsidRPr="00706DE8">
        <w:rPr>
          <w:rFonts w:ascii="Arial" w:hAnsi="Arial"/>
          <w:i/>
          <w:iCs/>
        </w:rPr>
        <w:t xml:space="preserve">Re Oriente Groupe </w:t>
      </w:r>
      <w:proofErr w:type="spellStart"/>
      <w:r w:rsidRPr="00706DE8">
        <w:rPr>
          <w:rFonts w:ascii="Arial" w:hAnsi="Arial"/>
          <w:i/>
          <w:iCs/>
        </w:rPr>
        <w:t>Limite</w:t>
      </w:r>
      <w:proofErr w:type="spellEnd"/>
      <w:r w:rsidRPr="00706DE8">
        <w:rPr>
          <w:rFonts w:ascii="Arial" w:hAnsi="Arial"/>
        </w:rPr>
        <w:t>, [2022], Unreported, the Cayman Islands Court confirmed that the caselaw on the test for the appointment of provisional liquidators (under s.104 Companies Act) applied equally to the appointment of restructuring officers</w:t>
      </w:r>
      <w:r w:rsidR="00B401A4" w:rsidRPr="00706DE8">
        <w:rPr>
          <w:rFonts w:ascii="Arial" w:hAnsi="Arial"/>
        </w:rPr>
        <w:t xml:space="preserve">. </w:t>
      </w:r>
    </w:p>
    <w:p w14:paraId="538E5E78" w14:textId="77777777" w:rsidR="00555733" w:rsidRPr="001F1E22" w:rsidRDefault="00555733"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60881935" w14:textId="4B349D1C" w:rsidR="00662A8E" w:rsidRPr="00706DE8" w:rsidRDefault="00B401A4" w:rsidP="00662A8E">
      <w:pPr>
        <w:rPr>
          <w:rFonts w:ascii="Arial" w:hAnsi="Arial"/>
        </w:rPr>
      </w:pPr>
      <w:r w:rsidRPr="00706DE8">
        <w:rPr>
          <w:rFonts w:ascii="Arial" w:hAnsi="Arial"/>
        </w:rPr>
        <w:t xml:space="preserve">O.1A, r.1(3) CWR provides that, unless the Court orders otherwise, every petition for the appointment of a restructuring officer must be advertised in a newspaper in circulation in the Cayman Islands. The advertisement must be published in accordance with CWR Form No.3A. </w:t>
      </w:r>
    </w:p>
    <w:p w14:paraId="02248466" w14:textId="77777777" w:rsidR="00B401A4" w:rsidRPr="00706DE8" w:rsidRDefault="00B401A4" w:rsidP="00662A8E">
      <w:pPr>
        <w:rPr>
          <w:rFonts w:ascii="Arial" w:hAnsi="Arial"/>
        </w:rPr>
      </w:pPr>
    </w:p>
    <w:p w14:paraId="3D65D0FA" w14:textId="3819C6AB" w:rsidR="00B401A4" w:rsidRPr="00706DE8" w:rsidRDefault="00B401A4" w:rsidP="00662A8E">
      <w:pPr>
        <w:rPr>
          <w:rFonts w:ascii="Arial" w:hAnsi="Arial"/>
        </w:rPr>
      </w:pPr>
      <w:r w:rsidRPr="00706DE8">
        <w:rPr>
          <w:rFonts w:ascii="Arial" w:hAnsi="Arial"/>
        </w:rPr>
        <w:t xml:space="preserve">In addition, by O.1A, r.1(4) CWR, unless the Court orders otherwise, if the </w:t>
      </w:r>
      <w:r w:rsidR="0010072E" w:rsidRPr="00706DE8">
        <w:rPr>
          <w:rFonts w:ascii="Arial" w:hAnsi="Arial"/>
        </w:rPr>
        <w:t>company is conducting business outside of the Cayman Islands, the petition for the appointment of a restructuring officer must be advertised once in a newspaper that is in circulation in a country (or countries) in which it is most likely to come to the attention of the company’s creditors (including contingent or prospective creditors) and contributories  (in which case the advertisement must be published in the official language of such country or countries).</w:t>
      </w:r>
    </w:p>
    <w:p w14:paraId="4FA5FC46" w14:textId="77777777" w:rsidR="00B401A4" w:rsidRPr="00706DE8" w:rsidRDefault="00B401A4" w:rsidP="00662A8E">
      <w:pPr>
        <w:rPr>
          <w:rFonts w:ascii="Arial" w:hAnsi="Arial"/>
        </w:rPr>
      </w:pPr>
    </w:p>
    <w:p w14:paraId="031C9142" w14:textId="6076EA2E" w:rsidR="00B401A4" w:rsidRPr="00706DE8" w:rsidRDefault="00B401A4" w:rsidP="00662A8E">
      <w:pPr>
        <w:rPr>
          <w:rFonts w:ascii="Arial" w:hAnsi="Arial"/>
        </w:rPr>
      </w:pPr>
      <w:r w:rsidRPr="00706DE8">
        <w:rPr>
          <w:rFonts w:ascii="Arial" w:hAnsi="Arial"/>
        </w:rPr>
        <w:t>In this case, SMB</w:t>
      </w:r>
      <w:r w:rsidR="00CF2FC6" w:rsidRPr="00706DE8">
        <w:rPr>
          <w:rFonts w:ascii="Arial" w:hAnsi="Arial"/>
        </w:rPr>
        <w:t xml:space="preserve"> Tech</w:t>
      </w:r>
      <w:r w:rsidR="0010072E" w:rsidRPr="00706DE8">
        <w:rPr>
          <w:rFonts w:ascii="Arial" w:hAnsi="Arial"/>
        </w:rPr>
        <w:t xml:space="preserve"> is said to have a global presence </w:t>
      </w:r>
      <w:r w:rsidR="0010072E" w:rsidRPr="00706DE8">
        <w:rPr>
          <w:rFonts w:ascii="Arial" w:hAnsi="Arial"/>
          <w:lang w:val="en-GB"/>
        </w:rPr>
        <w:t xml:space="preserve">with subsidiaries in various jurisdictions, including the United States, the United Kingdom, and Hong Kong. It also has </w:t>
      </w:r>
      <w:r w:rsidR="00CF2FC6" w:rsidRPr="00706DE8">
        <w:rPr>
          <w:rFonts w:ascii="Arial" w:hAnsi="Arial"/>
          <w:lang w:val="en-GB"/>
        </w:rPr>
        <w:t xml:space="preserve">three creditors situated in the United Kingdom. It is not specified where TCS is domiciled. SMB </w:t>
      </w:r>
      <w:r w:rsidR="00CF2FC6" w:rsidRPr="00706DE8">
        <w:rPr>
          <w:rFonts w:ascii="Arial" w:hAnsi="Arial"/>
        </w:rPr>
        <w:t xml:space="preserve">Tech should therefore advertise in, at least, the UK, the USA and Hong Kong, in addition to the Cayman Islands. </w:t>
      </w:r>
    </w:p>
    <w:p w14:paraId="3F39A4A5" w14:textId="77777777" w:rsidR="00B401A4" w:rsidRPr="00706DE8" w:rsidRDefault="00B401A4" w:rsidP="00662A8E">
      <w:pPr>
        <w:rPr>
          <w:rFonts w:ascii="Avenir Next LT Pro" w:hAnsi="Avenir Next LT Pro"/>
          <w:b/>
          <w:bCs/>
          <w:i/>
          <w:iCs/>
          <w:sz w:val="24"/>
          <w:szCs w:val="24"/>
        </w:rPr>
      </w:pPr>
    </w:p>
    <w:p w14:paraId="19A5F33C" w14:textId="32554B92" w:rsidR="0010072E" w:rsidRPr="00706DE8" w:rsidRDefault="0010072E" w:rsidP="00662A8E">
      <w:pPr>
        <w:rPr>
          <w:rFonts w:ascii="Avenir Next LT Pro" w:hAnsi="Avenir Next LT Pro"/>
          <w:b/>
          <w:bCs/>
          <w:i/>
          <w:iCs/>
          <w:sz w:val="24"/>
          <w:szCs w:val="24"/>
        </w:rPr>
      </w:pPr>
      <w:r w:rsidRPr="00706DE8">
        <w:rPr>
          <w:rFonts w:ascii="Arial" w:hAnsi="Arial"/>
        </w:rPr>
        <w:t xml:space="preserve">O.1A, r.1(5) CWR provides that the advertisements shall be made to appear not more than 7 business days after the petition for the appointment of the restructuring officer is filed in Court and not less than 7 business days before the hearing date of the petition.  </w:t>
      </w: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2C791BCD" w14:textId="0366E083" w:rsidR="00980C01" w:rsidRPr="00402FCF" w:rsidRDefault="00980C01" w:rsidP="00980C01">
      <w:pPr>
        <w:pStyle w:val="ListParagraph"/>
        <w:numPr>
          <w:ilvl w:val="0"/>
          <w:numId w:val="37"/>
        </w:numPr>
        <w:rPr>
          <w:rFonts w:ascii="Arial" w:hAnsi="Arial" w:cs="Arial"/>
        </w:rPr>
      </w:pPr>
      <w:r w:rsidRPr="00402FCF">
        <w:rPr>
          <w:rFonts w:ascii="Arial" w:hAnsi="Arial" w:cs="Arial"/>
        </w:rPr>
        <w:t xml:space="preserve">The restructuring petition is required to be advertised in such as way that it is more likely to bring the petition to the attention of creditors (including conteingent and prospective creditors) (O.1A, r.1(4) CWR. As a result, in the normal course, the restructing petition will be heard on notice to the creditors. Under the previous statutory regime, applications for the appointment of provisional liquidators were heard </w:t>
      </w:r>
      <w:r w:rsidRPr="00402FCF">
        <w:rPr>
          <w:rFonts w:ascii="Arial" w:hAnsi="Arial" w:cs="Arial"/>
          <w:i/>
          <w:iCs/>
        </w:rPr>
        <w:t>ex-parte</w:t>
      </w:r>
      <w:r w:rsidRPr="00402FCF">
        <w:rPr>
          <w:rFonts w:ascii="Arial" w:hAnsi="Arial" w:cs="Arial"/>
        </w:rPr>
        <w:t xml:space="preserve">.  </w:t>
      </w:r>
    </w:p>
    <w:p w14:paraId="0B72CA4E" w14:textId="77777777" w:rsidR="00C56DD1" w:rsidRPr="00402FCF" w:rsidRDefault="00C56DD1" w:rsidP="00C56DD1">
      <w:pPr>
        <w:pStyle w:val="ListParagraph"/>
        <w:rPr>
          <w:rFonts w:ascii="Arial" w:hAnsi="Arial" w:cs="Arial"/>
        </w:rPr>
      </w:pPr>
    </w:p>
    <w:p w14:paraId="096DF1AB" w14:textId="31C6E421" w:rsidR="00C56DD1" w:rsidRPr="00402FCF" w:rsidRDefault="00C56DD1" w:rsidP="00980C01">
      <w:pPr>
        <w:pStyle w:val="ListParagraph"/>
        <w:numPr>
          <w:ilvl w:val="0"/>
          <w:numId w:val="37"/>
        </w:numPr>
        <w:rPr>
          <w:rFonts w:ascii="Arial" w:hAnsi="Arial" w:cs="Arial"/>
        </w:rPr>
      </w:pPr>
      <w:r w:rsidRPr="00402FCF">
        <w:rPr>
          <w:rFonts w:ascii="Arial" w:hAnsi="Arial" w:cs="Arial"/>
        </w:rPr>
        <w:t xml:space="preserve">A creditor has standing to appear at the hearing of a restructuring petition and may oppose the appointment of a restructuring officer (O.1A, r.3). Alternatively, the creditor may oppose the appointment of the company’s nominated restructuring oficer and may nominate an alternative officer. </w:t>
      </w:r>
    </w:p>
    <w:p w14:paraId="621F7EAF" w14:textId="77777777" w:rsidR="00C56DD1" w:rsidRPr="00402FCF" w:rsidRDefault="00C56DD1" w:rsidP="00C56DD1">
      <w:pPr>
        <w:pStyle w:val="ListParagraph"/>
        <w:rPr>
          <w:rFonts w:ascii="Arial" w:hAnsi="Arial" w:cs="Arial"/>
        </w:rPr>
      </w:pPr>
    </w:p>
    <w:p w14:paraId="1EE9FE87" w14:textId="66F5A219" w:rsidR="00C56DD1" w:rsidRPr="00402FCF" w:rsidRDefault="00C56DD1" w:rsidP="00980C01">
      <w:pPr>
        <w:pStyle w:val="ListParagraph"/>
        <w:numPr>
          <w:ilvl w:val="0"/>
          <w:numId w:val="37"/>
        </w:numPr>
        <w:rPr>
          <w:rFonts w:ascii="Arial" w:hAnsi="Arial" w:cs="Arial"/>
        </w:rPr>
      </w:pPr>
      <w:r w:rsidRPr="00402FCF">
        <w:rPr>
          <w:rFonts w:ascii="Arial" w:hAnsi="Arial" w:cs="Arial"/>
        </w:rPr>
        <w:t>Similarly, the order appointing a restructuring officer must also be sent to all creditors so that they are on notice of the appointment (O.1A, r.7(3) CWR)</w:t>
      </w:r>
      <w:r w:rsidR="0068065F" w:rsidRPr="00402FCF">
        <w:rPr>
          <w:rFonts w:ascii="Arial" w:hAnsi="Arial" w:cs="Arial"/>
        </w:rPr>
        <w:t xml:space="preserve">. </w:t>
      </w:r>
    </w:p>
    <w:p w14:paraId="0DB3F001" w14:textId="77777777" w:rsidR="00980C01" w:rsidRPr="00402FCF" w:rsidRDefault="00980C01" w:rsidP="00980C01">
      <w:pPr>
        <w:pStyle w:val="ListParagraph"/>
        <w:rPr>
          <w:rFonts w:ascii="Arial" w:hAnsi="Arial" w:cs="Arial"/>
        </w:rPr>
      </w:pPr>
    </w:p>
    <w:p w14:paraId="44F88168" w14:textId="248307DA" w:rsidR="00662A8E" w:rsidRPr="00402FCF" w:rsidRDefault="00980C01" w:rsidP="00980C01">
      <w:pPr>
        <w:pStyle w:val="ListParagraph"/>
        <w:numPr>
          <w:ilvl w:val="0"/>
          <w:numId w:val="37"/>
        </w:numPr>
        <w:rPr>
          <w:rFonts w:ascii="Arial" w:hAnsi="Arial" w:cs="Arial"/>
        </w:rPr>
      </w:pPr>
      <w:r w:rsidRPr="00402FCF">
        <w:rPr>
          <w:rFonts w:ascii="Arial" w:hAnsi="Arial" w:cs="Arial"/>
        </w:rPr>
        <w:t xml:space="preserve">The restructuring petition will be heard within 21 days of the petition being filed at Court unless the Court orders otherwise (O.1A, r.1(6)). This ensuers that </w:t>
      </w:r>
      <w:r w:rsidR="00154F6A" w:rsidRPr="00402FCF">
        <w:rPr>
          <w:rFonts w:ascii="Arial" w:hAnsi="Arial" w:cs="Arial"/>
        </w:rPr>
        <w:t xml:space="preserve">companies progress the restructuring and are not able to abuse the statutory moratorium to delay having to address their obligations to creditors. </w:t>
      </w:r>
    </w:p>
    <w:p w14:paraId="52BB621F" w14:textId="77777777" w:rsidR="00C56DD1" w:rsidRPr="00402FCF" w:rsidRDefault="00C56DD1" w:rsidP="00C56DD1">
      <w:pPr>
        <w:pStyle w:val="ListParagraph"/>
        <w:rPr>
          <w:rFonts w:ascii="Arial" w:hAnsi="Arial" w:cs="Arial"/>
        </w:rPr>
      </w:pPr>
    </w:p>
    <w:p w14:paraId="619CAD90" w14:textId="02D26219" w:rsidR="00C56DD1" w:rsidRPr="00402FCF" w:rsidRDefault="00C56DD1" w:rsidP="00980C01">
      <w:pPr>
        <w:pStyle w:val="ListParagraph"/>
        <w:numPr>
          <w:ilvl w:val="0"/>
          <w:numId w:val="37"/>
        </w:numPr>
        <w:rPr>
          <w:rFonts w:ascii="Arial" w:hAnsi="Arial" w:cs="Arial"/>
        </w:rPr>
      </w:pPr>
      <w:r w:rsidRPr="00402FCF">
        <w:rPr>
          <w:rFonts w:ascii="Arial" w:hAnsi="Arial" w:cs="Arial"/>
        </w:rPr>
        <w:t xml:space="preserve">Similar to the above, O.1A, r.8(1) requires the restructuring officers to send a report to all of the creditors within 28 days. The report should contain details of the steps taken to restructure the company and the financial position of the company. This ensures that creditors have a clear understanding of the financail status of the company and the proposed method to save it. Further, the fact that the report is required (unless the Court orders otherwise) within 28 days means that the company does not get bogged down in protracted and exensive efforts to restructure, which is not in the creditors’ interests. </w:t>
      </w:r>
    </w:p>
    <w:p w14:paraId="7B9D73F4" w14:textId="77777777" w:rsidR="0068065F" w:rsidRPr="00402FCF" w:rsidRDefault="0068065F" w:rsidP="0068065F">
      <w:pPr>
        <w:pStyle w:val="ListParagraph"/>
        <w:rPr>
          <w:rFonts w:ascii="Arial" w:hAnsi="Arial" w:cs="Arial"/>
        </w:rPr>
      </w:pPr>
    </w:p>
    <w:p w14:paraId="59759C91" w14:textId="0A0C7722" w:rsidR="00154F6A" w:rsidRPr="00402FCF" w:rsidRDefault="00154F6A" w:rsidP="00980C01">
      <w:pPr>
        <w:pStyle w:val="ListParagraph"/>
        <w:numPr>
          <w:ilvl w:val="0"/>
          <w:numId w:val="37"/>
        </w:numPr>
        <w:rPr>
          <w:rFonts w:ascii="Arial" w:hAnsi="Arial" w:cs="Arial"/>
        </w:rPr>
      </w:pPr>
      <w:r w:rsidRPr="00402FCF">
        <w:rPr>
          <w:rFonts w:ascii="Arial" w:hAnsi="Arial" w:cs="Arial"/>
        </w:rPr>
        <w:t xml:space="preserve">Restructuring officers are required to be qualified insolvency practitioners and officers of the Court (s.91D Companies Act). </w:t>
      </w:r>
      <w:r w:rsidR="00293198" w:rsidRPr="00402FCF">
        <w:rPr>
          <w:rFonts w:ascii="Arial" w:hAnsi="Arial" w:cs="Arial"/>
        </w:rPr>
        <w:t xml:space="preserve">The Insolvency Practitioners rules on qualifications, independentsand insurance therefore apply equally to them (O.1A, r.10 CWR) Creditors therefore benefit from the fact that suitably qualified, independent indivisuals are appointed to restructure the company for the benefit of creditors. </w:t>
      </w:r>
      <w:r w:rsidRPr="00402FCF">
        <w:rPr>
          <w:rFonts w:ascii="Arial" w:hAnsi="Arial" w:cs="Arial"/>
        </w:rPr>
        <w:t xml:space="preserve"> </w:t>
      </w:r>
    </w:p>
    <w:p w14:paraId="592ADF6F" w14:textId="77777777" w:rsidR="00154F6A" w:rsidRPr="00402FCF" w:rsidRDefault="00154F6A" w:rsidP="00154F6A">
      <w:pPr>
        <w:pStyle w:val="ListParagraph"/>
        <w:rPr>
          <w:rFonts w:ascii="Arial" w:hAnsi="Arial" w:cs="Arial"/>
        </w:rPr>
      </w:pPr>
    </w:p>
    <w:p w14:paraId="3368DE74" w14:textId="2B09B239" w:rsidR="00154F6A" w:rsidRPr="00402FCF" w:rsidRDefault="00154F6A" w:rsidP="00980C01">
      <w:pPr>
        <w:pStyle w:val="ListParagraph"/>
        <w:numPr>
          <w:ilvl w:val="0"/>
          <w:numId w:val="37"/>
        </w:numPr>
        <w:rPr>
          <w:rFonts w:ascii="Arial" w:hAnsi="Arial" w:cs="Arial"/>
        </w:rPr>
      </w:pPr>
      <w:r w:rsidRPr="00402FCF">
        <w:rPr>
          <w:rFonts w:ascii="Arial" w:hAnsi="Arial" w:cs="Arial"/>
        </w:rPr>
        <w:t>Restructuring officers’ remuneration is fixed by the Court (s.91D Companies Act)</w:t>
      </w:r>
      <w:r w:rsidR="00293198" w:rsidRPr="00402FCF">
        <w:rPr>
          <w:rFonts w:ascii="Arial" w:hAnsi="Arial" w:cs="Arial"/>
        </w:rPr>
        <w:t xml:space="preserve">. The Court therefore retains oversight of the restructuring officer’s fees to ward agains exesive fees being charged to the dretriment of creditors’ interests. </w:t>
      </w:r>
    </w:p>
    <w:p w14:paraId="6CA6A50B" w14:textId="77777777" w:rsidR="0068065F" w:rsidRPr="00402FCF" w:rsidRDefault="0068065F" w:rsidP="0068065F">
      <w:pPr>
        <w:pStyle w:val="ListParagraph"/>
        <w:rPr>
          <w:rFonts w:ascii="Arial" w:hAnsi="Arial" w:cs="Arial"/>
        </w:rPr>
      </w:pPr>
    </w:p>
    <w:p w14:paraId="0943E972" w14:textId="77777777" w:rsidR="0068065F" w:rsidRPr="00402FCF" w:rsidRDefault="0068065F" w:rsidP="0068065F">
      <w:pPr>
        <w:pStyle w:val="ListParagraph"/>
        <w:numPr>
          <w:ilvl w:val="0"/>
          <w:numId w:val="37"/>
        </w:numPr>
        <w:rPr>
          <w:rFonts w:ascii="Arial" w:hAnsi="Arial" w:cs="Arial"/>
        </w:rPr>
      </w:pPr>
      <w:r w:rsidRPr="00402FCF">
        <w:rPr>
          <w:rFonts w:ascii="Arial" w:hAnsi="Arial" w:cs="Arial"/>
        </w:rPr>
        <w:t xml:space="preserve">A creditor has the right to apply for a variation or a discharge of the order appointing a restructuring officer to protect its interests (O.1A, r.9 CWR). </w:t>
      </w:r>
    </w:p>
    <w:p w14:paraId="0D5F6D38" w14:textId="77777777" w:rsidR="0068065F" w:rsidRPr="00402FCF" w:rsidRDefault="0068065F" w:rsidP="0068065F">
      <w:pPr>
        <w:pStyle w:val="ListParagraph"/>
        <w:rPr>
          <w:rFonts w:ascii="Arial" w:hAnsi="Arial" w:cs="Arial"/>
        </w:rPr>
      </w:pPr>
    </w:p>
    <w:p w14:paraId="20EDB6AB" w14:textId="6C4BD6E9" w:rsidR="0068065F" w:rsidRPr="00402FCF" w:rsidRDefault="0068065F" w:rsidP="0068065F">
      <w:pPr>
        <w:pStyle w:val="ListParagraph"/>
        <w:numPr>
          <w:ilvl w:val="0"/>
          <w:numId w:val="37"/>
        </w:numPr>
        <w:rPr>
          <w:rFonts w:ascii="Arial" w:hAnsi="Arial" w:cs="Arial"/>
        </w:rPr>
      </w:pPr>
      <w:r w:rsidRPr="00402FCF">
        <w:rPr>
          <w:rFonts w:ascii="Arial" w:hAnsi="Arial" w:cs="Arial"/>
        </w:rPr>
        <w:t xml:space="preserve">Furthermore, a creditor also has the right to apply to remove or replace a restructuring officer, particularly if they believe that there are grounds to say that the restructuring officers are not independent. There must be confidentince in the independence of the restructuring officers (see </w:t>
      </w:r>
      <w:r w:rsidRPr="00402FCF">
        <w:rPr>
          <w:rFonts w:ascii="Arial" w:hAnsi="Arial" w:cs="Arial"/>
          <w:i/>
          <w:iCs/>
        </w:rPr>
        <w:t>Global Fidelity Bank Limited</w:t>
      </w:r>
      <w:r w:rsidRPr="00402FCF">
        <w:rPr>
          <w:rFonts w:ascii="Arial" w:hAnsi="Arial" w:cs="Arial"/>
        </w:rPr>
        <w:t>, Unreported 20 August 2021)</w:t>
      </w:r>
      <w:r w:rsidR="00106BE0" w:rsidRPr="00402FCF">
        <w:rPr>
          <w:rFonts w:ascii="Arial" w:hAnsi="Arial" w:cs="Arial"/>
        </w:rPr>
        <w:t xml:space="preserve">. </w:t>
      </w:r>
    </w:p>
    <w:p w14:paraId="7F74A0CA" w14:textId="77777777" w:rsidR="00106BE0" w:rsidRPr="00402FCF" w:rsidRDefault="00106BE0" w:rsidP="00106BE0">
      <w:pPr>
        <w:pStyle w:val="ListParagraph"/>
        <w:rPr>
          <w:rFonts w:ascii="Arial" w:hAnsi="Arial" w:cs="Arial"/>
        </w:rPr>
      </w:pPr>
    </w:p>
    <w:p w14:paraId="46F9FD3B" w14:textId="519C2231" w:rsidR="00106BE0" w:rsidRPr="00402FCF" w:rsidRDefault="00106BE0" w:rsidP="0068065F">
      <w:pPr>
        <w:pStyle w:val="ListParagraph"/>
        <w:numPr>
          <w:ilvl w:val="0"/>
          <w:numId w:val="37"/>
        </w:numPr>
        <w:rPr>
          <w:rFonts w:ascii="Arial" w:hAnsi="Arial" w:cs="Arial"/>
        </w:rPr>
      </w:pPr>
      <w:r w:rsidRPr="00402FCF">
        <w:rPr>
          <w:rFonts w:ascii="Arial" w:hAnsi="Arial" w:cs="Arial"/>
        </w:rPr>
        <w:lastRenderedPageBreak/>
        <w:t xml:space="preserve">Where a restruruing petiton has been presented or a restructuring order made, a creditor that has security over some or all of the assets of the company may still enforce that security without the leave of the Court and without reference to the restructuring officer (s.91H Companies Act).  </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6B497540" w:rsidR="00662A8E" w:rsidRPr="002D155E" w:rsidRDefault="00127F0D" w:rsidP="00662A8E">
      <w:pPr>
        <w:pStyle w:val="BodyText"/>
        <w:ind w:firstLine="0"/>
      </w:pPr>
      <w:r w:rsidRPr="002D155E">
        <w:t xml:space="preserve">By s.91B(3) Companies Act, </w:t>
      </w:r>
      <w:r w:rsidR="00957BD3" w:rsidRPr="002D155E">
        <w:t>The Court has the power to:</w:t>
      </w:r>
    </w:p>
    <w:p w14:paraId="20792F1E" w14:textId="77777777" w:rsidR="00127F0D" w:rsidRPr="002D155E" w:rsidRDefault="00127F0D" w:rsidP="00662A8E">
      <w:pPr>
        <w:pStyle w:val="BodyText"/>
        <w:ind w:firstLine="0"/>
      </w:pPr>
    </w:p>
    <w:p w14:paraId="3E3A78FE" w14:textId="7166E15E" w:rsidR="00957BD3" w:rsidRPr="002D155E" w:rsidRDefault="00957BD3" w:rsidP="00957BD3">
      <w:pPr>
        <w:pStyle w:val="BodyText"/>
        <w:numPr>
          <w:ilvl w:val="0"/>
          <w:numId w:val="38"/>
        </w:numPr>
      </w:pPr>
      <w:r w:rsidRPr="002D155E">
        <w:t>Make an order appointing a restructuring officer</w:t>
      </w:r>
    </w:p>
    <w:p w14:paraId="56863087" w14:textId="435A1AB6" w:rsidR="00957BD3" w:rsidRPr="002D155E" w:rsidRDefault="00957BD3" w:rsidP="00957BD3">
      <w:pPr>
        <w:pStyle w:val="BodyText"/>
        <w:numPr>
          <w:ilvl w:val="0"/>
          <w:numId w:val="38"/>
        </w:numPr>
      </w:pPr>
      <w:r w:rsidRPr="002D155E">
        <w:t>Adjourn the hearing conditionally or unconditionally or</w:t>
      </w:r>
    </w:p>
    <w:p w14:paraId="4517645B" w14:textId="0F80D5F5" w:rsidR="00957BD3" w:rsidRPr="002D155E" w:rsidRDefault="00957BD3" w:rsidP="00957BD3">
      <w:pPr>
        <w:pStyle w:val="BodyText"/>
        <w:numPr>
          <w:ilvl w:val="0"/>
          <w:numId w:val="38"/>
        </w:numPr>
      </w:pPr>
      <w:r w:rsidRPr="002D155E">
        <w:t xml:space="preserve">Dismiss the petition, </w:t>
      </w:r>
    </w:p>
    <w:p w14:paraId="3A2F9719" w14:textId="77777777" w:rsidR="00957BD3" w:rsidRPr="002D155E" w:rsidRDefault="00957BD3" w:rsidP="00957BD3">
      <w:pPr>
        <w:pStyle w:val="BodyText"/>
        <w:ind w:left="360" w:firstLine="0"/>
      </w:pPr>
    </w:p>
    <w:p w14:paraId="454FAD44" w14:textId="14792881" w:rsidR="00662A8E" w:rsidRPr="002D155E" w:rsidRDefault="00957BD3" w:rsidP="00127F0D">
      <w:pPr>
        <w:pStyle w:val="BodyText"/>
        <w:ind w:firstLine="0"/>
      </w:pPr>
      <w:r w:rsidRPr="002D155E">
        <w:t xml:space="preserve">The Court can also make any other order that it thinks fit, save that it cannot make an order placing the company into official liquidation, unless </w:t>
      </w:r>
      <w:r w:rsidR="00127F0D" w:rsidRPr="002D155E">
        <w:t xml:space="preserve">a winding up petition has been presented in accordance with sections 91G and 94 Companies Act. </w:t>
      </w: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A227A9A" w14:textId="77777777" w:rsidR="00AE7157" w:rsidRPr="000243BD" w:rsidRDefault="00AE7157" w:rsidP="000243BD">
      <w:pPr>
        <w:pStyle w:val="BodyText"/>
        <w:ind w:firstLine="0"/>
        <w:jc w:val="both"/>
      </w:pPr>
      <w:r w:rsidRPr="000243BD">
        <w:t xml:space="preserve">The Partnership Act (2013) Revision governs the operation of ELPS. </w:t>
      </w:r>
    </w:p>
    <w:p w14:paraId="555EF916" w14:textId="77777777" w:rsidR="00AE7157" w:rsidRPr="000243BD" w:rsidRDefault="00AE7157" w:rsidP="000243BD">
      <w:pPr>
        <w:pStyle w:val="BodyText"/>
        <w:ind w:firstLine="0"/>
        <w:jc w:val="both"/>
      </w:pPr>
    </w:p>
    <w:p w14:paraId="41A9B228" w14:textId="5DB055B0" w:rsidR="00AE7157" w:rsidRPr="000243BD" w:rsidRDefault="00AE7157" w:rsidP="000243BD">
      <w:pPr>
        <w:pStyle w:val="BodyText"/>
        <w:ind w:firstLine="0"/>
        <w:jc w:val="both"/>
      </w:pPr>
      <w:r w:rsidRPr="000243BD">
        <w:t xml:space="preserve">In addition, pursuant to s.3 ELPA, the principles of common law and equity that apply to partnerships will also apply to ELPs (as modified by the Partnership Act). </w:t>
      </w:r>
    </w:p>
    <w:p w14:paraId="5B505647" w14:textId="77777777" w:rsidR="00AE7157" w:rsidRPr="000243BD" w:rsidRDefault="00AE7157" w:rsidP="000243BD">
      <w:pPr>
        <w:pStyle w:val="BodyText"/>
        <w:ind w:firstLine="0"/>
        <w:jc w:val="both"/>
      </w:pPr>
    </w:p>
    <w:p w14:paraId="7D0228FC" w14:textId="368C5F2D" w:rsidR="00AE7157" w:rsidRPr="000243BD" w:rsidRDefault="00AE7157" w:rsidP="000243BD">
      <w:pPr>
        <w:pStyle w:val="BodyText"/>
        <w:ind w:firstLine="0"/>
        <w:jc w:val="both"/>
      </w:pPr>
      <w:r w:rsidRPr="000243BD">
        <w:t xml:space="preserve">The operation of the ELP itself will be governed by the terms of the limited partnership agreement between the general partner and the limited partners. </w:t>
      </w:r>
    </w:p>
    <w:p w14:paraId="2213B6E1" w14:textId="77777777" w:rsidR="00B93066" w:rsidRPr="000243BD" w:rsidRDefault="00B93066" w:rsidP="000243BD">
      <w:pPr>
        <w:pStyle w:val="BodyText"/>
        <w:ind w:firstLine="0"/>
        <w:jc w:val="both"/>
      </w:pPr>
    </w:p>
    <w:p w14:paraId="7A8BB38B" w14:textId="5633634A" w:rsidR="00B93066" w:rsidRPr="000243BD" w:rsidRDefault="00B93066" w:rsidP="000243BD">
      <w:pPr>
        <w:pStyle w:val="BodyText"/>
        <w:ind w:firstLine="0"/>
        <w:jc w:val="both"/>
      </w:pPr>
      <w:r w:rsidRPr="000243BD">
        <w:t xml:space="preserve">Certain statutory powers or prohibitions in the ELPA are subject to the express provisions of the LPA. </w:t>
      </w:r>
    </w:p>
    <w:p w14:paraId="1A222962" w14:textId="77777777" w:rsidR="00AE7157" w:rsidRPr="000243BD" w:rsidRDefault="00AE7157" w:rsidP="000243BD">
      <w:pPr>
        <w:pStyle w:val="BodyText"/>
        <w:ind w:firstLine="0"/>
        <w:jc w:val="both"/>
      </w:pPr>
    </w:p>
    <w:p w14:paraId="5C3CD7B3" w14:textId="51EB7EDD" w:rsidR="006D7C44" w:rsidRPr="000243BD" w:rsidRDefault="00AE7157" w:rsidP="000243BD">
      <w:pPr>
        <w:pStyle w:val="BodyText"/>
        <w:ind w:firstLine="0"/>
        <w:jc w:val="both"/>
        <w:rPr>
          <w:b/>
          <w:bCs/>
        </w:rPr>
      </w:pPr>
      <w:r w:rsidRPr="000243BD">
        <w:t xml:space="preserve">The Exempted Limited Partnership Regulations (2021 Revision) also govern the operation of ELPs.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4577EC89" w:rsidR="00712982" w:rsidRPr="00856E3F" w:rsidRDefault="00B93066" w:rsidP="00C86FF7">
      <w:pPr>
        <w:pStyle w:val="BodyText"/>
        <w:ind w:firstLine="0"/>
        <w:jc w:val="both"/>
      </w:pPr>
      <w:r w:rsidRPr="00856E3F">
        <w:t>S.91(d) Companies Act gives jurisdiction to the Cayman Islands Court to wind up a foreign company where:</w:t>
      </w:r>
    </w:p>
    <w:p w14:paraId="10851893" w14:textId="77777777" w:rsidR="00B93066" w:rsidRPr="00856E3F" w:rsidRDefault="00B93066" w:rsidP="00C86FF7">
      <w:pPr>
        <w:pStyle w:val="BodyText"/>
        <w:ind w:firstLine="0"/>
        <w:jc w:val="both"/>
      </w:pPr>
    </w:p>
    <w:p w14:paraId="4326E1D2" w14:textId="3225CABC" w:rsidR="00B93066" w:rsidRPr="00856E3F" w:rsidRDefault="00B93066" w:rsidP="00C86FF7">
      <w:pPr>
        <w:pStyle w:val="BodyText"/>
        <w:numPr>
          <w:ilvl w:val="0"/>
          <w:numId w:val="39"/>
        </w:numPr>
        <w:jc w:val="both"/>
        <w:rPr>
          <w:b/>
          <w:bCs/>
        </w:rPr>
      </w:pPr>
      <w:r w:rsidRPr="00856E3F">
        <w:t xml:space="preserve">It has property </w:t>
      </w:r>
      <w:r w:rsidR="00C86FF7" w:rsidRPr="00856E3F">
        <w:t>located</w:t>
      </w:r>
      <w:r w:rsidRPr="00856E3F">
        <w:t xml:space="preserve"> in the Cayman islands </w:t>
      </w:r>
    </w:p>
    <w:p w14:paraId="270F4110" w14:textId="79DD3802" w:rsidR="00B93066" w:rsidRPr="00856E3F" w:rsidRDefault="00B93066" w:rsidP="00C86FF7">
      <w:pPr>
        <w:pStyle w:val="BodyText"/>
        <w:numPr>
          <w:ilvl w:val="0"/>
          <w:numId w:val="39"/>
        </w:numPr>
        <w:jc w:val="both"/>
        <w:rPr>
          <w:b/>
          <w:bCs/>
        </w:rPr>
      </w:pPr>
      <w:r w:rsidRPr="00856E3F">
        <w:t>It is carrying on business in the Cayman Islands</w:t>
      </w:r>
    </w:p>
    <w:p w14:paraId="31CBEAD5" w14:textId="1A2B3FA5" w:rsidR="00B93066" w:rsidRPr="00856E3F" w:rsidRDefault="00B93066" w:rsidP="00C86FF7">
      <w:pPr>
        <w:pStyle w:val="BodyText"/>
        <w:numPr>
          <w:ilvl w:val="0"/>
          <w:numId w:val="39"/>
        </w:numPr>
        <w:jc w:val="both"/>
        <w:rPr>
          <w:b/>
          <w:bCs/>
        </w:rPr>
      </w:pPr>
      <w:r w:rsidRPr="00856E3F">
        <w:t>It is the general partner of a limited partnership or</w:t>
      </w:r>
    </w:p>
    <w:p w14:paraId="008BC859" w14:textId="39FFAC0C" w:rsidR="00B93066" w:rsidRPr="00856E3F" w:rsidRDefault="00B93066" w:rsidP="00C86FF7">
      <w:pPr>
        <w:pStyle w:val="BodyText"/>
        <w:numPr>
          <w:ilvl w:val="0"/>
          <w:numId w:val="39"/>
        </w:numPr>
        <w:jc w:val="both"/>
        <w:rPr>
          <w:b/>
          <w:bCs/>
        </w:rPr>
      </w:pPr>
      <w:r w:rsidRPr="00856E3F">
        <w:t xml:space="preserve">It is registered under Part IX of the Companies Act. </w:t>
      </w:r>
    </w:p>
    <w:p w14:paraId="1DF53DDC" w14:textId="77777777" w:rsidR="00712982" w:rsidRPr="00856E3F" w:rsidRDefault="00712982" w:rsidP="00C86FF7">
      <w:pPr>
        <w:rPr>
          <w:rFonts w:ascii="Arial" w:hAnsi="Arial"/>
          <w:lang w:val="en-GB"/>
        </w:rPr>
      </w:pPr>
    </w:p>
    <w:p w14:paraId="3A661FFA" w14:textId="214B5A35" w:rsidR="00B93066" w:rsidRPr="00856E3F" w:rsidRDefault="00B93066" w:rsidP="00C86FF7">
      <w:pPr>
        <w:rPr>
          <w:rFonts w:ascii="Arial" w:hAnsi="Arial"/>
          <w:lang w:val="en-GB"/>
        </w:rPr>
      </w:pPr>
      <w:r w:rsidRPr="00856E3F">
        <w:rPr>
          <w:rFonts w:ascii="Arial" w:hAnsi="Arial"/>
          <w:lang w:val="en-GB"/>
        </w:rPr>
        <w:t xml:space="preserve">Part IX of the Companies Act defines a foreign company as an overseas company which after 1 December 1961 </w:t>
      </w:r>
      <w:r w:rsidRPr="00856E3F">
        <w:rPr>
          <w:rFonts w:ascii="Arial" w:hAnsi="Arial"/>
        </w:rPr>
        <w:t xml:space="preserve">establishes a place of business or commences carrying on business </w:t>
      </w:r>
      <w:r w:rsidRPr="00856E3F">
        <w:rPr>
          <w:rFonts w:ascii="Arial" w:hAnsi="Arial"/>
          <w:lang w:val="en-GB"/>
        </w:rPr>
        <w:t>in the Cayman Islands (s.183 Companies Act). A foreign company</w:t>
      </w:r>
      <w:r w:rsidR="00C86FF7" w:rsidRPr="00856E3F">
        <w:rPr>
          <w:rFonts w:ascii="Arial" w:hAnsi="Arial"/>
          <w:lang w:val="en-GB"/>
        </w:rPr>
        <w:t xml:space="preserve">, as defined, </w:t>
      </w:r>
      <w:r w:rsidRPr="00856E3F">
        <w:rPr>
          <w:rFonts w:ascii="Arial" w:hAnsi="Arial"/>
          <w:lang w:val="en-GB"/>
        </w:rPr>
        <w:t xml:space="preserve">is required to register </w:t>
      </w:r>
      <w:r w:rsidR="00C86FF7" w:rsidRPr="00856E3F">
        <w:rPr>
          <w:rFonts w:ascii="Arial" w:hAnsi="Arial"/>
          <w:lang w:val="en-GB"/>
        </w:rPr>
        <w:t>with the registrar of companies of the Cayman Islands</w:t>
      </w:r>
      <w:r w:rsidR="00EF2A9A">
        <w:rPr>
          <w:rFonts w:ascii="Arial" w:hAnsi="Arial"/>
          <w:lang w:val="en-GB"/>
        </w:rPr>
        <w:t xml:space="preserve"> within one month of becoming a foreign company</w:t>
      </w:r>
      <w:r w:rsidR="00794B0F">
        <w:rPr>
          <w:rFonts w:ascii="Arial" w:hAnsi="Arial"/>
          <w:lang w:val="en-GB"/>
        </w:rPr>
        <w:t xml:space="preserve"> (s.184 Companies Act)</w:t>
      </w:r>
      <w:r w:rsidR="00C86FF7" w:rsidRPr="00856E3F">
        <w:rPr>
          <w:rFonts w:ascii="Arial" w:hAnsi="Arial"/>
          <w:lang w:val="en-GB"/>
        </w:rPr>
        <w:t xml:space="preserve">. </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7ADB3F24" w14:textId="77777777" w:rsidR="00DD3E4D" w:rsidRPr="00794B0F" w:rsidRDefault="00DD3E4D" w:rsidP="00F3705F">
      <w:pPr>
        <w:pStyle w:val="BodyText"/>
        <w:ind w:firstLine="0"/>
      </w:pPr>
      <w:r w:rsidRPr="00794B0F">
        <w:t>No.</w:t>
      </w:r>
    </w:p>
    <w:p w14:paraId="001B4787" w14:textId="77777777" w:rsidR="00DD3E4D" w:rsidRPr="00794B0F" w:rsidRDefault="00DD3E4D" w:rsidP="00F3705F">
      <w:pPr>
        <w:pStyle w:val="BodyText"/>
        <w:ind w:firstLine="0"/>
      </w:pPr>
    </w:p>
    <w:p w14:paraId="6F804D64" w14:textId="1424C215" w:rsidR="00DD3E4D" w:rsidRPr="00794B0F" w:rsidRDefault="00DD3E4D" w:rsidP="00F3705F">
      <w:pPr>
        <w:pStyle w:val="BodyText"/>
        <w:ind w:firstLine="0"/>
        <w:rPr>
          <w:b/>
          <w:bCs/>
        </w:rPr>
      </w:pPr>
      <w:r w:rsidRPr="00794B0F">
        <w:t xml:space="preserve">In the ordinary course, a foreign judgment must first be </w:t>
      </w:r>
      <w:proofErr w:type="spellStart"/>
      <w:r w:rsidRPr="00794B0F">
        <w:t>recognised</w:t>
      </w:r>
      <w:proofErr w:type="spellEnd"/>
      <w:r w:rsidRPr="00794B0F">
        <w:t xml:space="preserve"> in the Cayman Islands before it can be enforced. </w:t>
      </w:r>
    </w:p>
    <w:p w14:paraId="2A6E9C28" w14:textId="77777777" w:rsidR="00712982" w:rsidRPr="00794B0F" w:rsidRDefault="00712982" w:rsidP="00F3705F">
      <w:pPr>
        <w:pStyle w:val="BodyText"/>
        <w:ind w:firstLine="0"/>
        <w:jc w:val="both"/>
      </w:pPr>
    </w:p>
    <w:p w14:paraId="2F45D652" w14:textId="3D71A426" w:rsidR="00DD3E4D" w:rsidRPr="00794B0F" w:rsidRDefault="00DD3E4D" w:rsidP="00F3705F">
      <w:pPr>
        <w:pStyle w:val="BodyText"/>
        <w:ind w:firstLine="0"/>
        <w:jc w:val="both"/>
      </w:pPr>
      <w:r w:rsidRPr="00794B0F">
        <w:t xml:space="preserve">However, in </w:t>
      </w:r>
      <w:r w:rsidRPr="00794B0F">
        <w:rPr>
          <w:i/>
          <w:iCs/>
        </w:rPr>
        <w:t>Guoan International Limited</w:t>
      </w:r>
      <w:r w:rsidRPr="00794B0F">
        <w:t xml:space="preserve"> [2021] Unreported, the Cayman Islands Grand Court </w:t>
      </w:r>
      <w:r w:rsidRPr="00794B0F">
        <w:lastRenderedPageBreak/>
        <w:t xml:space="preserve">held that a creditor that had served a statutory demand pursuant to a judgment debt of </w:t>
      </w:r>
      <w:r w:rsidR="009D770B" w:rsidRPr="00794B0F">
        <w:t xml:space="preserve">a judgment of </w:t>
      </w:r>
      <w:r w:rsidRPr="00794B0F">
        <w:t xml:space="preserve">the Hong Kong Court </w:t>
      </w:r>
      <w:r w:rsidR="009D770B" w:rsidRPr="00794B0F">
        <w:t xml:space="preserve">(i.e. a foreign court) </w:t>
      </w:r>
      <w:r w:rsidRPr="00794B0F">
        <w:t xml:space="preserve">was entitled to </w:t>
      </w:r>
      <w:r w:rsidR="009D770B" w:rsidRPr="00794B0F">
        <w:t xml:space="preserve">apply for a winding-up order without first obtaining recognition of the judgment itself. This was subject to the usual requirements at common law that the judgment should be final and conclusive in the foreign court, it was obtained by in a foreign Court of competent jurisdiction, was not obtained by fraud and did not contravene public policy of the rules of natural justice. The Court in the </w:t>
      </w:r>
      <w:r w:rsidR="009D770B" w:rsidRPr="00794B0F">
        <w:rPr>
          <w:i/>
          <w:iCs/>
        </w:rPr>
        <w:t>Guoan</w:t>
      </w:r>
      <w:r w:rsidR="009D770B" w:rsidRPr="00794B0F">
        <w:t xml:space="preserve"> case rejected the company’s argument that the </w:t>
      </w:r>
      <w:r w:rsidR="009225B4" w:rsidRPr="00794B0F">
        <w:t>petition</w:t>
      </w:r>
      <w:r w:rsidR="009D770B" w:rsidRPr="00794B0F">
        <w:t xml:space="preserve"> should be dismissed </w:t>
      </w:r>
      <w:r w:rsidR="009225B4" w:rsidRPr="00794B0F">
        <w:t xml:space="preserve">on the basis that the debt was disputed. This argument appears to have been predicated on the fact that the company was appealing the judgment in Hong Kong but at Common Law, this did not make the Hong Kong judgment not final. The petitioner also </w:t>
      </w:r>
      <w:r w:rsidR="00794B0F" w:rsidRPr="00794B0F">
        <w:t>relied</w:t>
      </w:r>
      <w:r w:rsidR="009225B4" w:rsidRPr="00794B0F">
        <w:t xml:space="preserve"> on the earlier decision of the </w:t>
      </w:r>
      <w:r w:rsidR="00794B0F" w:rsidRPr="00794B0F">
        <w:t>Cayman</w:t>
      </w:r>
      <w:r w:rsidR="009225B4" w:rsidRPr="00794B0F">
        <w:t xml:space="preserve"> Islands Court in Re China Hospitals which further supported the position that a foreign judgment need not be recognized before it is used as a the basis for a winding up petition. </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7B9FD780" w:rsidR="00F3705F" w:rsidRPr="00A75A70" w:rsidRDefault="00C86FF7" w:rsidP="006E37B2">
      <w:pPr>
        <w:pStyle w:val="BodyText"/>
        <w:ind w:firstLine="0"/>
        <w:jc w:val="both"/>
      </w:pPr>
      <w:r w:rsidRPr="00A75A70">
        <w:t xml:space="preserve">S.38 Bankruptcy Act </w:t>
      </w:r>
      <w:r w:rsidR="006E37B2" w:rsidRPr="00A75A70">
        <w:t xml:space="preserve">(1997 Revision) </w:t>
      </w:r>
      <w:r w:rsidRPr="00A75A70">
        <w:t xml:space="preserve">provides that until the provisional order is made absolute, a trustee in bankruptcy is required to preserve property in such a state as to permit of it being returned to the debtor in the condition in which it was seized, in the event that the provisional order is revoked. </w:t>
      </w:r>
    </w:p>
    <w:p w14:paraId="3602C034" w14:textId="74F1575E" w:rsidR="006E37B2" w:rsidRPr="00A75A70" w:rsidRDefault="006E37B2" w:rsidP="006E37B2">
      <w:pPr>
        <w:pStyle w:val="BodyText"/>
        <w:ind w:firstLine="0"/>
        <w:jc w:val="both"/>
      </w:pPr>
      <w:r w:rsidRPr="00A75A70">
        <w:t xml:space="preserve">When an absolute order of bankruptcy has been made against the debtor, the Trustee must proceed to administer the debtor’s estate for the benefit of the creditors (s.65 Bankruptcy Act).   </w:t>
      </w:r>
    </w:p>
    <w:p w14:paraId="32F75F73" w14:textId="77777777" w:rsidR="006E37B2" w:rsidRPr="00A75A70" w:rsidRDefault="006E37B2" w:rsidP="006E37B2">
      <w:pPr>
        <w:pStyle w:val="BodyText"/>
        <w:ind w:firstLine="0"/>
        <w:jc w:val="both"/>
      </w:pPr>
    </w:p>
    <w:p w14:paraId="672C2B6F" w14:textId="1F4AFAEE" w:rsidR="006E37B2" w:rsidRPr="00A75A70" w:rsidRDefault="006E37B2" w:rsidP="006E37B2">
      <w:pPr>
        <w:pStyle w:val="BodyText"/>
        <w:ind w:firstLine="0"/>
        <w:jc w:val="both"/>
      </w:pPr>
      <w:r w:rsidRPr="00A75A70">
        <w:t>S.74 Bankruptcy Act provides that the Trustee must administer the debtor’s estate for the benefit of creditors.</w:t>
      </w:r>
    </w:p>
    <w:p w14:paraId="7185B477" w14:textId="77777777" w:rsidR="006E37B2" w:rsidRPr="00A75A70" w:rsidRDefault="006E37B2" w:rsidP="006E37B2">
      <w:pPr>
        <w:pStyle w:val="BodyText"/>
        <w:ind w:firstLine="0"/>
        <w:jc w:val="both"/>
      </w:pPr>
    </w:p>
    <w:p w14:paraId="2AA821B3" w14:textId="075D3926" w:rsidR="006E37B2" w:rsidRPr="00A75A70" w:rsidRDefault="006E37B2" w:rsidP="006E37B2">
      <w:pPr>
        <w:pStyle w:val="BodyText"/>
        <w:ind w:firstLine="0"/>
        <w:jc w:val="both"/>
      </w:pPr>
      <w:r w:rsidRPr="00A75A70">
        <w:t xml:space="preserve">S.75 Bankruptcy Act states that the Trustee must take and retain possession of all of the debtor’s property (subject to the directions of the Court) as soon as possible after the making of the provisional order </w:t>
      </w:r>
    </w:p>
    <w:p w14:paraId="50EDCC97" w14:textId="77777777" w:rsidR="006E37B2" w:rsidRPr="00A75A70" w:rsidRDefault="006E37B2" w:rsidP="006E37B2">
      <w:pPr>
        <w:pStyle w:val="BodyText"/>
        <w:ind w:firstLine="0"/>
        <w:jc w:val="both"/>
      </w:pPr>
    </w:p>
    <w:p w14:paraId="0BA8831F" w14:textId="48844AB5" w:rsidR="006E37B2" w:rsidRPr="00A75A70" w:rsidRDefault="006E37B2" w:rsidP="006E37B2">
      <w:pPr>
        <w:pStyle w:val="BodyText"/>
        <w:ind w:firstLine="0"/>
        <w:jc w:val="both"/>
      </w:pPr>
      <w:r w:rsidRPr="00A75A70">
        <w:t>Further to the above the Trustee must collect debts of the debtor to the best of his power (s.76 Bankruptcy Act)</w:t>
      </w:r>
    </w:p>
    <w:p w14:paraId="5963029A" w14:textId="77777777" w:rsidR="006E37B2" w:rsidRPr="00A75A70" w:rsidRDefault="006E37B2" w:rsidP="006E37B2">
      <w:pPr>
        <w:pStyle w:val="BodyText"/>
        <w:ind w:firstLine="0"/>
        <w:jc w:val="both"/>
      </w:pPr>
    </w:p>
    <w:p w14:paraId="0A7D05F8" w14:textId="11C3C0DD" w:rsidR="00C86FF7" w:rsidRPr="00A75A70" w:rsidRDefault="00C86FF7" w:rsidP="006E37B2">
      <w:pPr>
        <w:pStyle w:val="BodyText"/>
        <w:ind w:firstLine="0"/>
        <w:jc w:val="both"/>
      </w:pPr>
      <w:r w:rsidRPr="00A75A70">
        <w:t xml:space="preserve">S.79 Bankruptcy Act provides that the Trustee may call on the trade of the debtor as far as may be necessary or expedient for the </w:t>
      </w:r>
      <w:r w:rsidR="006E37B2" w:rsidRPr="00A75A70">
        <w:t>beneficial</w:t>
      </w:r>
      <w:r w:rsidRPr="00A75A70">
        <w:t xml:space="preserve"> winding up or sale </w:t>
      </w:r>
      <w:r w:rsidR="006E37B2" w:rsidRPr="00A75A70">
        <w:t xml:space="preserve">of the business. </w:t>
      </w:r>
    </w:p>
    <w:p w14:paraId="4CD9F9EE" w14:textId="77777777" w:rsidR="006E37B2" w:rsidRPr="00A75A70" w:rsidRDefault="006E37B2" w:rsidP="006E37B2">
      <w:pPr>
        <w:pStyle w:val="BodyText"/>
        <w:ind w:firstLine="0"/>
        <w:jc w:val="both"/>
      </w:pPr>
    </w:p>
    <w:p w14:paraId="3A9A4D06" w14:textId="464F4D88" w:rsidR="006E37B2" w:rsidRPr="00A75A70" w:rsidRDefault="006E37B2" w:rsidP="006E37B2">
      <w:pPr>
        <w:pStyle w:val="BodyText"/>
        <w:ind w:firstLine="0"/>
        <w:jc w:val="both"/>
        <w:rPr>
          <w:b/>
          <w:bCs/>
        </w:rPr>
      </w:pPr>
      <w:r w:rsidRPr="00A75A70">
        <w:t>S.80 Trustee Act provides that the Trustee may bring, institute or defend any action or other legal proceedings relating to the property of the debtor.</w:t>
      </w:r>
    </w:p>
    <w:p w14:paraId="23F66C4C" w14:textId="77777777" w:rsidR="00F3705F" w:rsidRPr="00A75A70" w:rsidRDefault="00F3705F" w:rsidP="006E37B2">
      <w:pPr>
        <w:rPr>
          <w:rFonts w:ascii="Arial" w:hAnsi="Arial"/>
          <w:lang w:eastAsia="en-GB"/>
        </w:rPr>
      </w:pPr>
    </w:p>
    <w:p w14:paraId="1726F0A6" w14:textId="5F611603" w:rsidR="006E37B2" w:rsidRPr="00A75A70" w:rsidRDefault="006E37B2" w:rsidP="006E37B2">
      <w:pPr>
        <w:rPr>
          <w:rFonts w:ascii="Arial" w:hAnsi="Arial"/>
          <w:lang w:eastAsia="en-GB"/>
        </w:rPr>
      </w:pPr>
      <w:r w:rsidRPr="00A75A70">
        <w:rPr>
          <w:rFonts w:ascii="Arial" w:hAnsi="Arial"/>
          <w:lang w:eastAsia="en-GB"/>
        </w:rPr>
        <w:t xml:space="preserve">S.87 Bankruptcy Act states that the Trustee must receive and decide on proofs of debts. </w:t>
      </w: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9B91FED" w:rsidR="003D2C0D" w:rsidRPr="00B97666" w:rsidRDefault="00B97666" w:rsidP="008A20AC">
    <w:pPr>
      <w:pStyle w:val="Footer"/>
      <w:ind w:right="360"/>
    </w:pPr>
    <w:r w:rsidRPr="00B97666">
      <w:t xml:space="preserve">202324-1184 – </w:t>
    </w:r>
    <w:r w:rsidR="003D2C0D" w:rsidRPr="00B97666">
      <w:t>Summative</w:t>
    </w:r>
    <w:r w:rsidRPr="00B97666">
      <w:t xml:space="preserve"> </w:t>
    </w:r>
    <w:r w:rsidR="003D2C0D" w:rsidRPr="00B97666">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D648F"/>
    <w:multiLevelType w:val="hybridMultilevel"/>
    <w:tmpl w:val="62944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6CC5"/>
    <w:multiLevelType w:val="hybridMultilevel"/>
    <w:tmpl w:val="A3D6EC8C"/>
    <w:lvl w:ilvl="0" w:tplc="49D6FA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B4309"/>
    <w:multiLevelType w:val="hybridMultilevel"/>
    <w:tmpl w:val="3AE84986"/>
    <w:lvl w:ilvl="0" w:tplc="02524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C23B8"/>
    <w:multiLevelType w:val="hybridMultilevel"/>
    <w:tmpl w:val="1D92B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5C5EA0"/>
    <w:multiLevelType w:val="hybridMultilevel"/>
    <w:tmpl w:val="085C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810D3C"/>
    <w:multiLevelType w:val="hybridMultilevel"/>
    <w:tmpl w:val="9C9C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99A2C59"/>
    <w:multiLevelType w:val="hybridMultilevel"/>
    <w:tmpl w:val="8BB4E994"/>
    <w:lvl w:ilvl="0" w:tplc="09D22F00">
      <w:start w:val="1"/>
      <w:numFmt w:val="lowerRoman"/>
      <w:lvlText w:val="%1."/>
      <w:lvlJc w:val="left"/>
      <w:pPr>
        <w:ind w:left="1080" w:hanging="72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6F2A"/>
    <w:multiLevelType w:val="hybridMultilevel"/>
    <w:tmpl w:val="CFC8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4" w15:restartNumberingAfterBreak="0">
    <w:nsid w:val="58C26300"/>
    <w:multiLevelType w:val="hybridMultilevel"/>
    <w:tmpl w:val="9162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C635AE"/>
    <w:multiLevelType w:val="hybridMultilevel"/>
    <w:tmpl w:val="B5C2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6562FDE"/>
    <w:multiLevelType w:val="hybridMultilevel"/>
    <w:tmpl w:val="120C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B8501E"/>
    <w:multiLevelType w:val="hybridMultilevel"/>
    <w:tmpl w:val="AB78BA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6EC006A"/>
    <w:multiLevelType w:val="hybridMultilevel"/>
    <w:tmpl w:val="E32E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E32FF"/>
    <w:multiLevelType w:val="hybridMultilevel"/>
    <w:tmpl w:val="A3D6EC8C"/>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430F23"/>
    <w:multiLevelType w:val="hybridMultilevel"/>
    <w:tmpl w:val="B75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1205322">
    <w:abstractNumId w:val="23"/>
  </w:num>
  <w:num w:numId="2" w16cid:durableId="2083328261">
    <w:abstractNumId w:val="20"/>
  </w:num>
  <w:num w:numId="3" w16cid:durableId="1072002569">
    <w:abstractNumId w:val="17"/>
  </w:num>
  <w:num w:numId="4" w16cid:durableId="1402095063">
    <w:abstractNumId w:val="21"/>
  </w:num>
  <w:num w:numId="5" w16cid:durableId="1428966860">
    <w:abstractNumId w:val="22"/>
  </w:num>
  <w:num w:numId="6" w16cid:durableId="1874807584">
    <w:abstractNumId w:val="0"/>
  </w:num>
  <w:num w:numId="7" w16cid:durableId="600914330">
    <w:abstractNumId w:val="32"/>
  </w:num>
  <w:num w:numId="8" w16cid:durableId="988285556">
    <w:abstractNumId w:val="33"/>
  </w:num>
  <w:num w:numId="9" w16cid:durableId="1324969793">
    <w:abstractNumId w:val="7"/>
  </w:num>
  <w:num w:numId="10" w16cid:durableId="1502240134">
    <w:abstractNumId w:val="34"/>
  </w:num>
  <w:num w:numId="11" w16cid:durableId="1177383840">
    <w:abstractNumId w:val="25"/>
  </w:num>
  <w:num w:numId="12" w16cid:durableId="2005083241">
    <w:abstractNumId w:val="15"/>
  </w:num>
  <w:num w:numId="13" w16cid:durableId="2002615264">
    <w:abstractNumId w:val="14"/>
  </w:num>
  <w:num w:numId="14" w16cid:durableId="1709603635">
    <w:abstractNumId w:val="30"/>
  </w:num>
  <w:num w:numId="15" w16cid:durableId="336687687">
    <w:abstractNumId w:val="13"/>
  </w:num>
  <w:num w:numId="16" w16cid:durableId="267470205">
    <w:abstractNumId w:val="38"/>
  </w:num>
  <w:num w:numId="17" w16cid:durableId="1938757092">
    <w:abstractNumId w:val="19"/>
  </w:num>
  <w:num w:numId="18" w16cid:durableId="1316759940">
    <w:abstractNumId w:val="29"/>
  </w:num>
  <w:num w:numId="19" w16cid:durableId="1497115147">
    <w:abstractNumId w:val="12"/>
  </w:num>
  <w:num w:numId="20" w16cid:durableId="1258559701">
    <w:abstractNumId w:val="5"/>
  </w:num>
  <w:num w:numId="21" w16cid:durableId="258561088">
    <w:abstractNumId w:val="27"/>
  </w:num>
  <w:num w:numId="22" w16cid:durableId="1558543966">
    <w:abstractNumId w:val="18"/>
  </w:num>
  <w:num w:numId="23" w16cid:durableId="1995916030">
    <w:abstractNumId w:val="9"/>
  </w:num>
  <w:num w:numId="24" w16cid:durableId="1875776651">
    <w:abstractNumId w:val="16"/>
  </w:num>
  <w:num w:numId="25" w16cid:durableId="640769688">
    <w:abstractNumId w:val="2"/>
  </w:num>
  <w:num w:numId="26" w16cid:durableId="654647880">
    <w:abstractNumId w:val="26"/>
  </w:num>
  <w:num w:numId="27" w16cid:durableId="2059282193">
    <w:abstractNumId w:val="37"/>
  </w:num>
  <w:num w:numId="28" w16cid:durableId="1730609293">
    <w:abstractNumId w:val="24"/>
  </w:num>
  <w:num w:numId="29" w16cid:durableId="2038504385">
    <w:abstractNumId w:val="6"/>
  </w:num>
  <w:num w:numId="30" w16cid:durableId="1564752634">
    <w:abstractNumId w:val="31"/>
  </w:num>
  <w:num w:numId="31" w16cid:durableId="818837903">
    <w:abstractNumId w:val="1"/>
  </w:num>
  <w:num w:numId="32" w16cid:durableId="719520310">
    <w:abstractNumId w:val="35"/>
  </w:num>
  <w:num w:numId="33" w16cid:durableId="1342006638">
    <w:abstractNumId w:val="3"/>
  </w:num>
  <w:num w:numId="34" w16cid:durableId="358166398">
    <w:abstractNumId w:val="11"/>
  </w:num>
  <w:num w:numId="35" w16cid:durableId="1336613435">
    <w:abstractNumId w:val="4"/>
  </w:num>
  <w:num w:numId="36" w16cid:durableId="478614610">
    <w:abstractNumId w:val="36"/>
  </w:num>
  <w:num w:numId="37" w16cid:durableId="310406756">
    <w:abstractNumId w:val="8"/>
  </w:num>
  <w:num w:numId="38" w16cid:durableId="1304189867">
    <w:abstractNumId w:val="28"/>
  </w:num>
  <w:num w:numId="39" w16cid:durableId="50039512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4C48"/>
    <w:rsid w:val="0001142A"/>
    <w:rsid w:val="00013834"/>
    <w:rsid w:val="000138DE"/>
    <w:rsid w:val="00015699"/>
    <w:rsid w:val="00015AD8"/>
    <w:rsid w:val="00017020"/>
    <w:rsid w:val="00017852"/>
    <w:rsid w:val="000243BD"/>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00AB"/>
    <w:rsid w:val="00071EFD"/>
    <w:rsid w:val="00073623"/>
    <w:rsid w:val="00073862"/>
    <w:rsid w:val="000807FB"/>
    <w:rsid w:val="00080EDC"/>
    <w:rsid w:val="00083AF3"/>
    <w:rsid w:val="000875DC"/>
    <w:rsid w:val="00087A4E"/>
    <w:rsid w:val="00091667"/>
    <w:rsid w:val="000922D6"/>
    <w:rsid w:val="00093EB2"/>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072E"/>
    <w:rsid w:val="001016B0"/>
    <w:rsid w:val="00101AEF"/>
    <w:rsid w:val="00105315"/>
    <w:rsid w:val="00106BE0"/>
    <w:rsid w:val="00112905"/>
    <w:rsid w:val="00114878"/>
    <w:rsid w:val="001165C7"/>
    <w:rsid w:val="00117579"/>
    <w:rsid w:val="00120495"/>
    <w:rsid w:val="00124ECF"/>
    <w:rsid w:val="00127F0D"/>
    <w:rsid w:val="00132E0E"/>
    <w:rsid w:val="001336C3"/>
    <w:rsid w:val="00135257"/>
    <w:rsid w:val="00144723"/>
    <w:rsid w:val="001525EB"/>
    <w:rsid w:val="00152954"/>
    <w:rsid w:val="00154A4B"/>
    <w:rsid w:val="00154F6A"/>
    <w:rsid w:val="00155357"/>
    <w:rsid w:val="00157455"/>
    <w:rsid w:val="0016475E"/>
    <w:rsid w:val="0016596F"/>
    <w:rsid w:val="00166CC9"/>
    <w:rsid w:val="00171BCA"/>
    <w:rsid w:val="00175F03"/>
    <w:rsid w:val="00177E01"/>
    <w:rsid w:val="00180792"/>
    <w:rsid w:val="00192D14"/>
    <w:rsid w:val="00192FD4"/>
    <w:rsid w:val="00193626"/>
    <w:rsid w:val="00194D76"/>
    <w:rsid w:val="001954DE"/>
    <w:rsid w:val="00196A05"/>
    <w:rsid w:val="001A1043"/>
    <w:rsid w:val="001A20D0"/>
    <w:rsid w:val="001A370C"/>
    <w:rsid w:val="001A7553"/>
    <w:rsid w:val="001B11DA"/>
    <w:rsid w:val="001B4CC3"/>
    <w:rsid w:val="001B6BA2"/>
    <w:rsid w:val="001C021E"/>
    <w:rsid w:val="001C14BF"/>
    <w:rsid w:val="001C667C"/>
    <w:rsid w:val="001C6B3B"/>
    <w:rsid w:val="001C7A25"/>
    <w:rsid w:val="001D2111"/>
    <w:rsid w:val="001D7509"/>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93198"/>
    <w:rsid w:val="002A082B"/>
    <w:rsid w:val="002A0F8E"/>
    <w:rsid w:val="002A2B0D"/>
    <w:rsid w:val="002A2C16"/>
    <w:rsid w:val="002B15BA"/>
    <w:rsid w:val="002B6609"/>
    <w:rsid w:val="002B6B18"/>
    <w:rsid w:val="002B7150"/>
    <w:rsid w:val="002D006E"/>
    <w:rsid w:val="002D155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349E"/>
    <w:rsid w:val="00315FB1"/>
    <w:rsid w:val="00320A18"/>
    <w:rsid w:val="0032119E"/>
    <w:rsid w:val="0033007B"/>
    <w:rsid w:val="00333EF0"/>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76B86"/>
    <w:rsid w:val="003778BF"/>
    <w:rsid w:val="003845E5"/>
    <w:rsid w:val="003864CC"/>
    <w:rsid w:val="003931B0"/>
    <w:rsid w:val="00393EC9"/>
    <w:rsid w:val="00393F1C"/>
    <w:rsid w:val="00395629"/>
    <w:rsid w:val="003A06A0"/>
    <w:rsid w:val="003A2F2C"/>
    <w:rsid w:val="003A40DF"/>
    <w:rsid w:val="003A6DBA"/>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2FCF"/>
    <w:rsid w:val="004031E2"/>
    <w:rsid w:val="00405310"/>
    <w:rsid w:val="00406425"/>
    <w:rsid w:val="0041025E"/>
    <w:rsid w:val="004140B5"/>
    <w:rsid w:val="004165ED"/>
    <w:rsid w:val="00416B97"/>
    <w:rsid w:val="0042151D"/>
    <w:rsid w:val="00422D04"/>
    <w:rsid w:val="004232E1"/>
    <w:rsid w:val="00423375"/>
    <w:rsid w:val="004260BE"/>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35E6"/>
    <w:rsid w:val="004C68E4"/>
    <w:rsid w:val="004C741B"/>
    <w:rsid w:val="004C7945"/>
    <w:rsid w:val="004C79C4"/>
    <w:rsid w:val="004D1602"/>
    <w:rsid w:val="004D6B14"/>
    <w:rsid w:val="004E5BB2"/>
    <w:rsid w:val="004F0AE9"/>
    <w:rsid w:val="004F33EF"/>
    <w:rsid w:val="004F4B2F"/>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3569"/>
    <w:rsid w:val="0053572E"/>
    <w:rsid w:val="005416EC"/>
    <w:rsid w:val="0054257F"/>
    <w:rsid w:val="00542B4C"/>
    <w:rsid w:val="005524EC"/>
    <w:rsid w:val="005538FB"/>
    <w:rsid w:val="00555733"/>
    <w:rsid w:val="00555BC3"/>
    <w:rsid w:val="00556116"/>
    <w:rsid w:val="00557949"/>
    <w:rsid w:val="00561384"/>
    <w:rsid w:val="00563BD8"/>
    <w:rsid w:val="00563F78"/>
    <w:rsid w:val="0056458D"/>
    <w:rsid w:val="005649A8"/>
    <w:rsid w:val="00564B2E"/>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0323"/>
    <w:rsid w:val="0060275A"/>
    <w:rsid w:val="006027A2"/>
    <w:rsid w:val="00604564"/>
    <w:rsid w:val="0060661E"/>
    <w:rsid w:val="00612137"/>
    <w:rsid w:val="00614528"/>
    <w:rsid w:val="006278B5"/>
    <w:rsid w:val="0063766F"/>
    <w:rsid w:val="00640B2A"/>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065F"/>
    <w:rsid w:val="00684B6B"/>
    <w:rsid w:val="006902DF"/>
    <w:rsid w:val="006907D9"/>
    <w:rsid w:val="0069113C"/>
    <w:rsid w:val="0069468A"/>
    <w:rsid w:val="006952F7"/>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7B2"/>
    <w:rsid w:val="006E3E96"/>
    <w:rsid w:val="006E481A"/>
    <w:rsid w:val="006E7B1B"/>
    <w:rsid w:val="006F4065"/>
    <w:rsid w:val="006F55B4"/>
    <w:rsid w:val="006F7EC1"/>
    <w:rsid w:val="007018D1"/>
    <w:rsid w:val="00705108"/>
    <w:rsid w:val="00706DE8"/>
    <w:rsid w:val="00710451"/>
    <w:rsid w:val="00710A26"/>
    <w:rsid w:val="00710E3F"/>
    <w:rsid w:val="007120A0"/>
    <w:rsid w:val="00712982"/>
    <w:rsid w:val="007130E9"/>
    <w:rsid w:val="00715982"/>
    <w:rsid w:val="007178AC"/>
    <w:rsid w:val="00721E7F"/>
    <w:rsid w:val="00723334"/>
    <w:rsid w:val="00726CA6"/>
    <w:rsid w:val="00727D5B"/>
    <w:rsid w:val="00733777"/>
    <w:rsid w:val="00733B70"/>
    <w:rsid w:val="00734547"/>
    <w:rsid w:val="00734B4A"/>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B0F"/>
    <w:rsid w:val="00794E5B"/>
    <w:rsid w:val="00797B95"/>
    <w:rsid w:val="007A0F49"/>
    <w:rsid w:val="007A1000"/>
    <w:rsid w:val="007A1E90"/>
    <w:rsid w:val="007A46D6"/>
    <w:rsid w:val="007B0A80"/>
    <w:rsid w:val="007B178D"/>
    <w:rsid w:val="007B1B03"/>
    <w:rsid w:val="007B2BB6"/>
    <w:rsid w:val="007B2F65"/>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0F2"/>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56E3F"/>
    <w:rsid w:val="00860F64"/>
    <w:rsid w:val="0086164A"/>
    <w:rsid w:val="008664DC"/>
    <w:rsid w:val="00867EF8"/>
    <w:rsid w:val="00870772"/>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C64AA"/>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4CB1"/>
    <w:rsid w:val="009160AE"/>
    <w:rsid w:val="00917205"/>
    <w:rsid w:val="00920F0F"/>
    <w:rsid w:val="009225B4"/>
    <w:rsid w:val="0092725A"/>
    <w:rsid w:val="00930A74"/>
    <w:rsid w:val="00934980"/>
    <w:rsid w:val="00941F3D"/>
    <w:rsid w:val="00944436"/>
    <w:rsid w:val="00944A47"/>
    <w:rsid w:val="00954CBE"/>
    <w:rsid w:val="00957995"/>
    <w:rsid w:val="00957A2E"/>
    <w:rsid w:val="00957BD3"/>
    <w:rsid w:val="00960066"/>
    <w:rsid w:val="00960617"/>
    <w:rsid w:val="00960B8D"/>
    <w:rsid w:val="009621D7"/>
    <w:rsid w:val="00966963"/>
    <w:rsid w:val="00972B13"/>
    <w:rsid w:val="009733E8"/>
    <w:rsid w:val="00973B2E"/>
    <w:rsid w:val="009803AC"/>
    <w:rsid w:val="00980C01"/>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D770B"/>
    <w:rsid w:val="009E2AEB"/>
    <w:rsid w:val="009E549B"/>
    <w:rsid w:val="009F3508"/>
    <w:rsid w:val="009F45C7"/>
    <w:rsid w:val="009F49C2"/>
    <w:rsid w:val="009F4C3A"/>
    <w:rsid w:val="009F4D3B"/>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5A70"/>
    <w:rsid w:val="00A7630B"/>
    <w:rsid w:val="00A81BF9"/>
    <w:rsid w:val="00A82E83"/>
    <w:rsid w:val="00A86A52"/>
    <w:rsid w:val="00A87868"/>
    <w:rsid w:val="00A879AC"/>
    <w:rsid w:val="00A9192D"/>
    <w:rsid w:val="00A91D16"/>
    <w:rsid w:val="00A9204E"/>
    <w:rsid w:val="00A9217C"/>
    <w:rsid w:val="00A92CBC"/>
    <w:rsid w:val="00A95393"/>
    <w:rsid w:val="00A97787"/>
    <w:rsid w:val="00A97DED"/>
    <w:rsid w:val="00AA70F7"/>
    <w:rsid w:val="00AA7144"/>
    <w:rsid w:val="00AB7087"/>
    <w:rsid w:val="00AB75B1"/>
    <w:rsid w:val="00AC0066"/>
    <w:rsid w:val="00AC16E2"/>
    <w:rsid w:val="00AC1C2D"/>
    <w:rsid w:val="00AC37E2"/>
    <w:rsid w:val="00AC39C3"/>
    <w:rsid w:val="00AC3A2B"/>
    <w:rsid w:val="00AC48C3"/>
    <w:rsid w:val="00AD221D"/>
    <w:rsid w:val="00AD2D09"/>
    <w:rsid w:val="00AD38F7"/>
    <w:rsid w:val="00AD5EFB"/>
    <w:rsid w:val="00AD7507"/>
    <w:rsid w:val="00AE0ADA"/>
    <w:rsid w:val="00AE7157"/>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1A4"/>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11E9"/>
    <w:rsid w:val="00B827C6"/>
    <w:rsid w:val="00B856C0"/>
    <w:rsid w:val="00B857E6"/>
    <w:rsid w:val="00B907DB"/>
    <w:rsid w:val="00B93066"/>
    <w:rsid w:val="00B97666"/>
    <w:rsid w:val="00BA24B1"/>
    <w:rsid w:val="00BA451C"/>
    <w:rsid w:val="00BA53E7"/>
    <w:rsid w:val="00BA6F72"/>
    <w:rsid w:val="00BB0F71"/>
    <w:rsid w:val="00BB1EBB"/>
    <w:rsid w:val="00BB6FE0"/>
    <w:rsid w:val="00BC163A"/>
    <w:rsid w:val="00BC2902"/>
    <w:rsid w:val="00BC5489"/>
    <w:rsid w:val="00BD0975"/>
    <w:rsid w:val="00BD0DC2"/>
    <w:rsid w:val="00BD1E8D"/>
    <w:rsid w:val="00BD2296"/>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1F2C"/>
    <w:rsid w:val="00C3318F"/>
    <w:rsid w:val="00C33FE0"/>
    <w:rsid w:val="00C37EE1"/>
    <w:rsid w:val="00C45C67"/>
    <w:rsid w:val="00C546F7"/>
    <w:rsid w:val="00C56DD1"/>
    <w:rsid w:val="00C56E18"/>
    <w:rsid w:val="00C615A1"/>
    <w:rsid w:val="00C63919"/>
    <w:rsid w:val="00C63AAA"/>
    <w:rsid w:val="00C6466A"/>
    <w:rsid w:val="00C672FE"/>
    <w:rsid w:val="00C7098F"/>
    <w:rsid w:val="00C735DC"/>
    <w:rsid w:val="00C75BA5"/>
    <w:rsid w:val="00C77709"/>
    <w:rsid w:val="00C777B1"/>
    <w:rsid w:val="00C86426"/>
    <w:rsid w:val="00C86FF7"/>
    <w:rsid w:val="00C9018E"/>
    <w:rsid w:val="00C91BB2"/>
    <w:rsid w:val="00C92E9B"/>
    <w:rsid w:val="00CA3D19"/>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E7FB7"/>
    <w:rsid w:val="00CF2FC6"/>
    <w:rsid w:val="00CF3421"/>
    <w:rsid w:val="00CF4EEF"/>
    <w:rsid w:val="00CF5F19"/>
    <w:rsid w:val="00CF6645"/>
    <w:rsid w:val="00CF79F9"/>
    <w:rsid w:val="00D00885"/>
    <w:rsid w:val="00D0089A"/>
    <w:rsid w:val="00D106DD"/>
    <w:rsid w:val="00D203DA"/>
    <w:rsid w:val="00D20C81"/>
    <w:rsid w:val="00D23D4C"/>
    <w:rsid w:val="00D24414"/>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2BF"/>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A7AA3"/>
    <w:rsid w:val="00DC024D"/>
    <w:rsid w:val="00DC07C1"/>
    <w:rsid w:val="00DC0E33"/>
    <w:rsid w:val="00DC1566"/>
    <w:rsid w:val="00DC1D77"/>
    <w:rsid w:val="00DC20CF"/>
    <w:rsid w:val="00DC2585"/>
    <w:rsid w:val="00DC386E"/>
    <w:rsid w:val="00DD3E4D"/>
    <w:rsid w:val="00DD5BD4"/>
    <w:rsid w:val="00DE0233"/>
    <w:rsid w:val="00DE23CF"/>
    <w:rsid w:val="00DE6FDB"/>
    <w:rsid w:val="00DE7898"/>
    <w:rsid w:val="00DF28B0"/>
    <w:rsid w:val="00DF4D25"/>
    <w:rsid w:val="00DF64E1"/>
    <w:rsid w:val="00E024A7"/>
    <w:rsid w:val="00E03AD1"/>
    <w:rsid w:val="00E04EAD"/>
    <w:rsid w:val="00E1059F"/>
    <w:rsid w:val="00E1098F"/>
    <w:rsid w:val="00E10BE3"/>
    <w:rsid w:val="00E12660"/>
    <w:rsid w:val="00E14E84"/>
    <w:rsid w:val="00E17027"/>
    <w:rsid w:val="00E20604"/>
    <w:rsid w:val="00E20EA9"/>
    <w:rsid w:val="00E2315E"/>
    <w:rsid w:val="00E23AAE"/>
    <w:rsid w:val="00E2466A"/>
    <w:rsid w:val="00E30785"/>
    <w:rsid w:val="00E36270"/>
    <w:rsid w:val="00E40A16"/>
    <w:rsid w:val="00E44FA9"/>
    <w:rsid w:val="00E455FB"/>
    <w:rsid w:val="00E5074A"/>
    <w:rsid w:val="00E5236A"/>
    <w:rsid w:val="00E56F95"/>
    <w:rsid w:val="00E6022A"/>
    <w:rsid w:val="00E62F1E"/>
    <w:rsid w:val="00E63A8F"/>
    <w:rsid w:val="00E64F45"/>
    <w:rsid w:val="00E7109B"/>
    <w:rsid w:val="00E755CA"/>
    <w:rsid w:val="00E7672D"/>
    <w:rsid w:val="00E82245"/>
    <w:rsid w:val="00E83556"/>
    <w:rsid w:val="00E87F7D"/>
    <w:rsid w:val="00E9506C"/>
    <w:rsid w:val="00E97FCF"/>
    <w:rsid w:val="00EA2A8C"/>
    <w:rsid w:val="00EA2B57"/>
    <w:rsid w:val="00EA390C"/>
    <w:rsid w:val="00EA6193"/>
    <w:rsid w:val="00EB3E2A"/>
    <w:rsid w:val="00EB6910"/>
    <w:rsid w:val="00EB6DA5"/>
    <w:rsid w:val="00EB7B1A"/>
    <w:rsid w:val="00EC3528"/>
    <w:rsid w:val="00EC7C36"/>
    <w:rsid w:val="00ED248F"/>
    <w:rsid w:val="00ED335A"/>
    <w:rsid w:val="00ED76B9"/>
    <w:rsid w:val="00EE4A27"/>
    <w:rsid w:val="00EE6AE2"/>
    <w:rsid w:val="00EE6C97"/>
    <w:rsid w:val="00EE7CB4"/>
    <w:rsid w:val="00EF285F"/>
    <w:rsid w:val="00EF2A9A"/>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49C7"/>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2D7B"/>
    <w:rsid w:val="00F95A8E"/>
    <w:rsid w:val="00FA596D"/>
    <w:rsid w:val="00FA602E"/>
    <w:rsid w:val="00FA63F5"/>
    <w:rsid w:val="00FB07CE"/>
    <w:rsid w:val="00FB2F3F"/>
    <w:rsid w:val="00FB7062"/>
    <w:rsid w:val="00FB7F81"/>
    <w:rsid w:val="00FC074E"/>
    <w:rsid w:val="00FC34CD"/>
    <w:rsid w:val="00FC43F9"/>
    <w:rsid w:val="00FC4B3C"/>
    <w:rsid w:val="00FC5217"/>
    <w:rsid w:val="00FD5834"/>
    <w:rsid w:val="00FD6E28"/>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customStyle="1" w:styleId="Default">
    <w:name w:val="Default"/>
    <w:rsid w:val="000700A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9B2BFE9AC2904990ED5C57DBBDF600" ma:contentTypeVersion="4" ma:contentTypeDescription="Create a new document." ma:contentTypeScope="" ma:versionID="a02fcbcfe2d5f9c73a25db82297a57e0">
  <xsd:schema xmlns:xsd="http://www.w3.org/2001/XMLSchema" xmlns:xs="http://www.w3.org/2001/XMLSchema" xmlns:p="http://schemas.microsoft.com/office/2006/metadata/properties" xmlns:ns3="3dc5418f-adc8-4a9a-aa12-67f2f067fcb0" targetNamespace="http://schemas.microsoft.com/office/2006/metadata/properties" ma:root="true" ma:fieldsID="8ee8fcc6302e7548547532e592d2bb1e" ns3:_="">
    <xsd:import namespace="3dc5418f-adc8-4a9a-aa12-67f2f067fc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5418f-adc8-4a9a-aa12-67f2f067f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documentManagement/types"/>
    <ds:schemaRef ds:uri="3dc5418f-adc8-4a9a-aa12-67f2f067fcb0"/>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22D8734-8294-4D25-A5B2-890A6D9A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5418f-adc8-4a9a-aa12-67f2f067f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9126</Words>
  <Characters>43078</Characters>
  <Application>Microsoft Office Word</Application>
  <DocSecurity>0</DocSecurity>
  <Lines>1230</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Adam Russell-Knee</cp:lastModifiedBy>
  <cp:revision>2</cp:revision>
  <cp:lastPrinted>2023-11-24T03:28:00Z</cp:lastPrinted>
  <dcterms:created xsi:type="dcterms:W3CDTF">2023-11-24T17:12:00Z</dcterms:created>
  <dcterms:modified xsi:type="dcterms:W3CDTF">2023-11-24T17:12:00Z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0x010100119B2BFE9AC2904990ED5C57DBBDF600</vt:lpwstr>
  </property>
</Properties>
</file>