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Royle   </w:t>
      </w:r>
      <w:proofErr w:type="spellStart"/>
      <w:r>
        <w:rPr>
          <w:rFonts w:ascii="Avenir Next Demi Bold" w:hAnsi="Avenir Next Demi Bold"/>
          <w:b/>
          <w:bCs/>
        </w:rPr>
        <w:t>Mr</w:t>
      </w:r>
      <w:proofErr w:type="spellEnd"/>
      <w:r>
        <w:rPr>
          <w:rFonts w:ascii="Avenir Next Demi Bold" w:hAnsi="Avenir Next Demi Bold"/>
          <w:b/>
          <w:bCs/>
        </w:rPr>
        <w:t xml:space="preserve"> Mark Russell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Corinne Celliers   </w:t>
      </w:r>
    </w:p>
    <w:p w14:paraId="08A16053"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roofErr w:type="spellStart"/>
      <w:r>
        <w:rPr>
          <w:rFonts w:ascii="Avenir Next Demi Bold" w:hAnsi="Avenir Next Demi Bold"/>
          <w:b/>
          <w:bCs/>
        </w:rPr>
        <w:t>Mr</w:t>
      </w:r>
      <w:proofErr w:type="spellEnd"/>
      <w:r>
        <w:rPr>
          <w:rFonts w:ascii="Avenir Next Demi Bold" w:hAnsi="Avenir Next Demi Bold"/>
          <w:b/>
          <w:bCs/>
        </w:rPr>
        <w:t xml:space="preserve"> Adam Crane   </w:t>
      </w:r>
      <w:proofErr w:type="spellStart"/>
      <w:r>
        <w:rPr>
          <w:rFonts w:ascii="Avenir Next Demi Bold" w:hAnsi="Avenir Next Demi Bold"/>
          <w:b/>
          <w:bCs/>
        </w:rPr>
        <w:t>Ms</w:t>
      </w:r>
      <w:proofErr w:type="spellEnd"/>
      <w:r>
        <w:rPr>
          <w:rFonts w:ascii="Avenir Next Demi Bold" w:hAnsi="Avenir Next Demi Bold"/>
          <w:b/>
          <w:bCs/>
        </w:rPr>
        <w:t xml:space="preserve"> Gemma Lardner   </w:t>
      </w:r>
      <w:proofErr w:type="spellStart"/>
      <w:r>
        <w:rPr>
          <w:rFonts w:ascii="Avenir Next Demi Bold" w:hAnsi="Avenir Next Demi Bold"/>
          <w:b/>
          <w:bCs/>
        </w:rPr>
        <w:t>Ms</w:t>
      </w:r>
      <w:proofErr w:type="spellEnd"/>
      <w:r>
        <w:rPr>
          <w:rFonts w:ascii="Avenir Next Demi Bold" w:hAnsi="Avenir Next Demi Bold"/>
          <w:b/>
          <w:bCs/>
        </w:rPr>
        <w:t xml:space="preserve"> Jennifer Fox   </w:t>
      </w:r>
    </w:p>
    <w:p w14:paraId="31F8F432"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Jennifer Colegate   </w:t>
      </w:r>
      <w:proofErr w:type="spellStart"/>
      <w:r>
        <w:rPr>
          <w:rFonts w:ascii="Avenir Next Demi Bold" w:hAnsi="Avenir Next Demi Bold"/>
          <w:b/>
          <w:bCs/>
        </w:rPr>
        <w:t>Mr</w:t>
      </w:r>
      <w:proofErr w:type="spellEnd"/>
      <w:r>
        <w:rPr>
          <w:rFonts w:ascii="Avenir Next Demi Bold" w:hAnsi="Avenir Next Demi Bold"/>
          <w:b/>
          <w:bCs/>
        </w:rPr>
        <w:t xml:space="preserve"> Tony Heaver-Wren   </w:t>
      </w:r>
      <w:proofErr w:type="spellStart"/>
      <w:r>
        <w:rPr>
          <w:rFonts w:ascii="Avenir Next Demi Bold" w:hAnsi="Avenir Next Demi Bold"/>
          <w:b/>
          <w:bCs/>
        </w:rPr>
        <w:t>Mr</w:t>
      </w:r>
      <w:proofErr w:type="spellEnd"/>
      <w:r>
        <w:rPr>
          <w:rFonts w:ascii="Avenir Next Demi Bold" w:hAnsi="Avenir Next Demi Bold"/>
          <w:b/>
          <w:bCs/>
        </w:rPr>
        <w:t xml:space="preserve"> Paul Smith   </w:t>
      </w:r>
      <w:proofErr w:type="spellStart"/>
      <w:r>
        <w:rPr>
          <w:rFonts w:ascii="Avenir Next Demi Bold" w:hAnsi="Avenir Next Demi Bold"/>
          <w:b/>
          <w:bCs/>
        </w:rPr>
        <w:t>Mr</w:t>
      </w:r>
      <w:proofErr w:type="spellEnd"/>
      <w:r>
        <w:rPr>
          <w:rFonts w:ascii="Avenir Next Demi Bold" w:hAnsi="Avenir Next Demi Bold"/>
          <w:b/>
          <w:bCs/>
        </w:rPr>
        <w:t xml:space="preserve"> Spencer Vickers   </w:t>
      </w:r>
    </w:p>
    <w:p w14:paraId="36BCE3CD"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Royle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
    <w:p w14:paraId="04099327"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proofErr w:type="spellStart"/>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proofErr w:type="spellEnd"/>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w:t>
      </w:r>
      <w:proofErr w:type="spellStart"/>
      <w:r w:rsidRPr="00481019">
        <w:rPr>
          <w:bCs/>
          <w:color w:val="000000" w:themeColor="text1"/>
          <w:lang w:val="en-GB"/>
        </w:rPr>
        <w:t>studentID</w:t>
      </w:r>
      <w:proofErr w:type="spellEnd"/>
      <w:r w:rsidRPr="00481019">
        <w:rPr>
          <w:bCs/>
          <w:color w:val="000000" w:themeColor="text1"/>
          <w:lang w:val="en-GB"/>
        </w:rPr>
        <w:t>”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70605">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70605">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5C2D50" w:rsidRDefault="00C3318F" w:rsidP="00B70605">
      <w:pPr>
        <w:pStyle w:val="BodyText"/>
        <w:widowControl/>
        <w:numPr>
          <w:ilvl w:val="0"/>
          <w:numId w:val="15"/>
        </w:numPr>
        <w:autoSpaceDE/>
        <w:autoSpaceDN/>
        <w:rPr>
          <w:rFonts w:ascii="Avenir Next" w:hAnsi="Avenir Next"/>
          <w:highlight w:val="yellow"/>
        </w:rPr>
      </w:pPr>
      <w:r w:rsidRPr="005C2D50">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70605">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70605">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70605">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70605">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5C2D50" w:rsidRDefault="00957995" w:rsidP="00B70605">
      <w:pPr>
        <w:pStyle w:val="BodyText"/>
        <w:widowControl/>
        <w:numPr>
          <w:ilvl w:val="0"/>
          <w:numId w:val="16"/>
        </w:numPr>
        <w:autoSpaceDE/>
        <w:autoSpaceDN/>
        <w:rPr>
          <w:rFonts w:ascii="Avenir Next" w:hAnsi="Avenir Next"/>
          <w:highlight w:val="yellow"/>
        </w:rPr>
      </w:pPr>
      <w:r w:rsidRPr="005C2D50">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 xml:space="preserve">How many forms of security interests are </w:t>
      </w:r>
      <w:proofErr w:type="spellStart"/>
      <w:r w:rsidRPr="006E060C">
        <w:rPr>
          <w:rFonts w:ascii="Avenir Next" w:hAnsi="Avenir Next"/>
        </w:rPr>
        <w:t>recogni</w:t>
      </w:r>
      <w:r w:rsidR="00C37EE1" w:rsidRPr="006E060C">
        <w:rPr>
          <w:rFonts w:ascii="Avenir Next" w:hAnsi="Avenir Next"/>
        </w:rPr>
        <w:t>s</w:t>
      </w:r>
      <w:r w:rsidRPr="006E060C">
        <w:rPr>
          <w:rFonts w:ascii="Avenir Next" w:hAnsi="Avenir Next"/>
        </w:rPr>
        <w:t>ed</w:t>
      </w:r>
      <w:proofErr w:type="spellEnd"/>
      <w:r w:rsidRPr="006E060C">
        <w:rPr>
          <w:rFonts w:ascii="Avenir Next" w:hAnsi="Avenir Next"/>
        </w:rPr>
        <w:t xml:space="preserve">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70605">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5C2D50" w:rsidRDefault="001F2690" w:rsidP="00B70605">
      <w:pPr>
        <w:pStyle w:val="BodyText"/>
        <w:widowControl/>
        <w:numPr>
          <w:ilvl w:val="0"/>
          <w:numId w:val="5"/>
        </w:numPr>
        <w:autoSpaceDE/>
        <w:autoSpaceDN/>
        <w:ind w:left="709" w:hanging="709"/>
        <w:rPr>
          <w:rFonts w:ascii="Avenir Next" w:hAnsi="Avenir Next"/>
          <w:highlight w:val="yellow"/>
        </w:rPr>
      </w:pPr>
      <w:r w:rsidRPr="005C2D50">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70605">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70605">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70605">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70605">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70605">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70605">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5C2D50" w:rsidRDefault="00785937" w:rsidP="00B70605">
      <w:pPr>
        <w:pStyle w:val="ListParagraph"/>
        <w:numPr>
          <w:ilvl w:val="0"/>
          <w:numId w:val="6"/>
        </w:numPr>
        <w:spacing w:after="0" w:line="240" w:lineRule="auto"/>
        <w:ind w:left="709" w:hanging="709"/>
        <w:rPr>
          <w:rFonts w:ascii="Avenir Next" w:hAnsi="Avenir Next" w:cs="Arial"/>
          <w:highlight w:val="yellow"/>
          <w:lang w:val="en-GB"/>
        </w:rPr>
      </w:pPr>
      <w:r w:rsidRPr="005C2D50">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70605">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8A61CF" w:rsidRDefault="00785937" w:rsidP="00B70605">
      <w:pPr>
        <w:pStyle w:val="ListParagraph"/>
        <w:numPr>
          <w:ilvl w:val="0"/>
          <w:numId w:val="7"/>
        </w:numPr>
        <w:spacing w:after="0" w:line="240" w:lineRule="auto"/>
        <w:ind w:left="709" w:hanging="709"/>
        <w:rPr>
          <w:rFonts w:ascii="Avenir Next" w:hAnsi="Avenir Next" w:cs="Arial"/>
          <w:highlight w:val="yellow"/>
          <w:lang w:val="en-GB"/>
        </w:rPr>
      </w:pPr>
      <w:r w:rsidRPr="008A61CF">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70605">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70605">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70605">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79C36BDF" w:rsidR="004A11A1" w:rsidRPr="008A61CF" w:rsidRDefault="00F42400" w:rsidP="00B70605">
      <w:pPr>
        <w:pStyle w:val="ListParagraph"/>
        <w:numPr>
          <w:ilvl w:val="0"/>
          <w:numId w:val="9"/>
        </w:numPr>
        <w:spacing w:after="0" w:line="240" w:lineRule="auto"/>
        <w:ind w:left="709" w:hanging="709"/>
        <w:rPr>
          <w:rFonts w:ascii="Avenir Next" w:hAnsi="Avenir Next"/>
          <w:highlight w:val="yellow"/>
          <w:lang w:val="en-GB"/>
        </w:rPr>
      </w:pPr>
      <w:r w:rsidRPr="008A61CF">
        <w:rPr>
          <w:rFonts w:ascii="Avenir Next" w:hAnsi="Avenir Next"/>
          <w:highlight w:val="yellow"/>
          <w:lang w:val="en-GB"/>
        </w:rPr>
        <w:t>W</w:t>
      </w:r>
      <w:r w:rsidR="004A11A1" w:rsidRPr="008A61CF">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70605">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70605">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70605">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70605">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70605">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E25FE8" w:rsidRDefault="004A11A1" w:rsidP="00B70605">
      <w:pPr>
        <w:pStyle w:val="ListParagraph"/>
        <w:numPr>
          <w:ilvl w:val="0"/>
          <w:numId w:val="10"/>
        </w:numPr>
        <w:spacing w:after="0" w:line="240" w:lineRule="auto"/>
        <w:ind w:left="709" w:hanging="709"/>
        <w:rPr>
          <w:rFonts w:ascii="Avenir Next" w:hAnsi="Avenir Next"/>
          <w:highlight w:val="yellow"/>
          <w:lang w:val="en-GB"/>
        </w:rPr>
      </w:pPr>
      <w:r w:rsidRPr="00E25FE8">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3A41B0" w:rsidRDefault="004A11A1" w:rsidP="00B70605">
      <w:pPr>
        <w:pStyle w:val="ListParagraph"/>
        <w:numPr>
          <w:ilvl w:val="0"/>
          <w:numId w:val="12"/>
        </w:numPr>
        <w:spacing w:after="0" w:line="240" w:lineRule="auto"/>
        <w:ind w:left="709" w:hanging="709"/>
        <w:rPr>
          <w:rFonts w:ascii="Avenir Next" w:hAnsi="Avenir Next"/>
          <w:highlight w:val="yellow"/>
          <w:lang w:val="en-GB"/>
        </w:rPr>
      </w:pPr>
      <w:r w:rsidRPr="003A41B0">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70605">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70605">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70605">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70605">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3A41B0" w:rsidRDefault="004A11A1" w:rsidP="00B70605">
      <w:pPr>
        <w:pStyle w:val="ListParagraph"/>
        <w:numPr>
          <w:ilvl w:val="0"/>
          <w:numId w:val="11"/>
        </w:numPr>
        <w:spacing w:after="0" w:line="240" w:lineRule="auto"/>
        <w:ind w:left="709" w:hanging="709"/>
        <w:rPr>
          <w:rFonts w:ascii="Avenir Next" w:hAnsi="Avenir Next"/>
          <w:highlight w:val="yellow"/>
          <w:lang w:val="en-GB"/>
        </w:rPr>
      </w:pPr>
      <w:r w:rsidRPr="003A41B0">
        <w:rPr>
          <w:rFonts w:ascii="Avenir Next" w:hAnsi="Avenir Next"/>
          <w:highlight w:val="yellow"/>
          <w:lang w:val="en-GB"/>
        </w:rPr>
        <w:t>within 21 days of the petition being filed</w:t>
      </w:r>
      <w:r w:rsidR="003721B7" w:rsidRPr="003A41B0">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70605">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70605">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70605">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70605">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3A41B0" w:rsidRDefault="003721B7" w:rsidP="00B70605">
      <w:pPr>
        <w:pStyle w:val="ListParagraph"/>
        <w:numPr>
          <w:ilvl w:val="1"/>
          <w:numId w:val="8"/>
        </w:numPr>
        <w:spacing w:after="0" w:line="240" w:lineRule="auto"/>
        <w:ind w:left="709" w:hanging="709"/>
        <w:jc w:val="left"/>
        <w:rPr>
          <w:rFonts w:ascii="Avenir Next" w:hAnsi="Avenir Next"/>
          <w:color w:val="00B0F0"/>
          <w:highlight w:val="yellow"/>
          <w:lang w:val="en-GB"/>
        </w:rPr>
      </w:pPr>
      <w:r w:rsidRPr="003A41B0">
        <w:rPr>
          <w:rFonts w:ascii="Avenir Next" w:hAnsi="Avenir Next"/>
          <w:highlight w:val="yellow"/>
          <w:lang w:val="en-GB"/>
        </w:rPr>
        <w:t>c</w:t>
      </w:r>
      <w:r w:rsidR="004A11A1" w:rsidRPr="003A41B0">
        <w:rPr>
          <w:rFonts w:ascii="Avenir Next" w:hAnsi="Avenir Next"/>
          <w:highlight w:val="yellow"/>
          <w:lang w:val="en-GB"/>
        </w:rPr>
        <w:t>an only proceed if there are shareholders / creditors who may not agree with it</w:t>
      </w:r>
      <w:r w:rsidR="004A11A1" w:rsidRPr="003A41B0">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70605">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70605">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70605">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3A41B0" w:rsidRDefault="00B341CA" w:rsidP="00B70605">
      <w:pPr>
        <w:pStyle w:val="ListParagraph"/>
        <w:numPr>
          <w:ilvl w:val="0"/>
          <w:numId w:val="13"/>
        </w:numPr>
        <w:spacing w:after="0" w:line="240" w:lineRule="auto"/>
        <w:ind w:left="709" w:hanging="709"/>
        <w:rPr>
          <w:rFonts w:ascii="Avenir Next" w:hAnsi="Avenir Next"/>
          <w:highlight w:val="yellow"/>
          <w:lang w:val="en-GB"/>
        </w:rPr>
      </w:pPr>
      <w:r w:rsidRPr="003A41B0">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70605">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70605">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70605">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70605">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3A41B0" w:rsidRDefault="00B341CA" w:rsidP="00B70605">
      <w:pPr>
        <w:pStyle w:val="ListParagraph"/>
        <w:numPr>
          <w:ilvl w:val="0"/>
          <w:numId w:val="14"/>
        </w:numPr>
        <w:spacing w:after="0" w:line="240" w:lineRule="auto"/>
        <w:ind w:left="709" w:hanging="709"/>
        <w:rPr>
          <w:rFonts w:ascii="Avenir Next" w:hAnsi="Avenir Next"/>
          <w:highlight w:val="yellow"/>
          <w:lang w:val="en-GB"/>
        </w:rPr>
      </w:pPr>
      <w:r w:rsidRPr="003A41B0">
        <w:rPr>
          <w:rFonts w:ascii="Avenir Next" w:hAnsi="Avenir Next"/>
          <w:highlight w:val="yellow"/>
          <w:lang w:val="en-GB"/>
        </w:rPr>
        <w:t xml:space="preserve">The Cayman Islands </w:t>
      </w:r>
      <w:r w:rsidR="00512319" w:rsidRPr="003A41B0">
        <w:rPr>
          <w:rFonts w:ascii="Avenir Next" w:hAnsi="Avenir Next"/>
          <w:highlight w:val="yellow"/>
          <w:lang w:val="en-GB"/>
        </w:rPr>
        <w:t>C</w:t>
      </w:r>
      <w:r w:rsidRPr="003A41B0">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70605">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EA605B" w:rsidRDefault="00BD0DC2" w:rsidP="00B70605">
      <w:pPr>
        <w:numPr>
          <w:ilvl w:val="0"/>
          <w:numId w:val="17"/>
        </w:numPr>
        <w:ind w:left="709" w:hanging="709"/>
        <w:rPr>
          <w:rFonts w:cs="Calibri"/>
          <w:color w:val="000000"/>
          <w:highlight w:val="yellow"/>
          <w:lang w:val="en-ZA" w:eastAsia="en-GB"/>
        </w:rPr>
      </w:pPr>
      <w:r w:rsidRPr="00EA605B">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EA605B">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70605">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70605">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70605">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70605">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70605">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475568" w:rsidRDefault="00BD0DC2" w:rsidP="00B70605">
      <w:pPr>
        <w:numPr>
          <w:ilvl w:val="0"/>
          <w:numId w:val="18"/>
        </w:numPr>
        <w:ind w:left="709" w:hanging="709"/>
        <w:rPr>
          <w:rFonts w:cs="Calibri"/>
          <w:color w:val="000000"/>
          <w:highlight w:val="yellow"/>
          <w:lang w:val="en-ZA" w:eastAsia="en-GB"/>
        </w:rPr>
      </w:pPr>
      <w:r w:rsidRPr="00475568">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F96055" w:rsidRDefault="00BD0DC2" w:rsidP="00B70605">
      <w:pPr>
        <w:numPr>
          <w:ilvl w:val="0"/>
          <w:numId w:val="19"/>
        </w:numPr>
        <w:ind w:left="709" w:hanging="709"/>
        <w:rPr>
          <w:rFonts w:cs="Calibri"/>
          <w:color w:val="000000"/>
          <w:highlight w:val="yellow"/>
          <w:lang w:val="en-ZA" w:eastAsia="en-GB"/>
        </w:rPr>
      </w:pPr>
      <w:r w:rsidRPr="00F96055">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70605">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70605">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70605">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70605">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5A05EC" w:rsidRDefault="00BD0DC2" w:rsidP="00B70605">
      <w:pPr>
        <w:numPr>
          <w:ilvl w:val="0"/>
          <w:numId w:val="20"/>
        </w:numPr>
        <w:ind w:left="709" w:hanging="709"/>
        <w:rPr>
          <w:rFonts w:cs="Calibri"/>
          <w:color w:val="000000"/>
          <w:highlight w:val="yellow"/>
          <w:lang w:val="en-ZA" w:eastAsia="en-GB"/>
        </w:rPr>
      </w:pPr>
      <w:r w:rsidRPr="005A05EC">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70605">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70605">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70605">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5A05EC" w:rsidRDefault="00BD0DC2" w:rsidP="00B70605">
      <w:pPr>
        <w:numPr>
          <w:ilvl w:val="0"/>
          <w:numId w:val="21"/>
        </w:numPr>
        <w:ind w:left="709" w:hanging="709"/>
        <w:rPr>
          <w:rFonts w:cs="Calibri"/>
          <w:color w:val="000000"/>
          <w:highlight w:val="yellow"/>
          <w:lang w:val="en-ZA" w:eastAsia="en-GB"/>
        </w:rPr>
      </w:pPr>
      <w:r w:rsidRPr="005A05EC">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70605">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70605">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D606C7" w:rsidRDefault="00BD0DC2" w:rsidP="00B70605">
      <w:pPr>
        <w:numPr>
          <w:ilvl w:val="0"/>
          <w:numId w:val="22"/>
        </w:numPr>
        <w:ind w:left="709" w:hanging="709"/>
        <w:rPr>
          <w:rFonts w:cs="Calibri"/>
          <w:color w:val="000000"/>
          <w:lang w:val="en-ZA" w:eastAsia="en-GB"/>
        </w:rPr>
      </w:pPr>
      <w:r w:rsidRPr="00D606C7">
        <w:rPr>
          <w:rFonts w:cs="Calibri"/>
          <w:color w:val="000000"/>
          <w:lang w:val="en-ZA" w:eastAsia="en-GB"/>
        </w:rPr>
        <w:t>The company has the statutory power to commence the proceedings</w:t>
      </w:r>
      <w:r w:rsidR="00BD2F4B" w:rsidRPr="00D606C7">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70605">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D606C7" w:rsidRDefault="00BD0DC2" w:rsidP="00B70605">
      <w:pPr>
        <w:numPr>
          <w:ilvl w:val="0"/>
          <w:numId w:val="22"/>
        </w:numPr>
        <w:ind w:left="709" w:hanging="709"/>
        <w:rPr>
          <w:rFonts w:cs="Calibri"/>
          <w:color w:val="000000"/>
          <w:highlight w:val="yellow"/>
          <w:lang w:val="en-ZA" w:eastAsia="en-GB"/>
        </w:rPr>
      </w:pPr>
      <w:r w:rsidRPr="00D606C7">
        <w:rPr>
          <w:rFonts w:cs="Calibri"/>
          <w:color w:val="000000"/>
          <w:highlight w:val="yellow"/>
          <w:lang w:val="en-ZA" w:eastAsia="en-GB"/>
        </w:rPr>
        <w:t>A winding up petition must be presented as a precursor to the application for the provisional liquidation</w:t>
      </w:r>
      <w:r w:rsidR="00BD2F4B" w:rsidRPr="00D606C7">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70605">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70605">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935B0C" w:rsidRDefault="00BD0DC2" w:rsidP="00B70605">
      <w:pPr>
        <w:numPr>
          <w:ilvl w:val="0"/>
          <w:numId w:val="24"/>
        </w:numPr>
        <w:ind w:left="709" w:hanging="709"/>
        <w:jc w:val="left"/>
        <w:rPr>
          <w:rFonts w:cs="Calibri"/>
          <w:color w:val="000000"/>
          <w:highlight w:val="yellow"/>
          <w:lang w:val="en-ZA" w:eastAsia="en-GB"/>
        </w:rPr>
      </w:pPr>
      <w:r w:rsidRPr="00935B0C">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70605">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70605">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D606C7" w:rsidRDefault="00BD0DC2" w:rsidP="00B70605">
      <w:pPr>
        <w:numPr>
          <w:ilvl w:val="0"/>
          <w:numId w:val="23"/>
        </w:numPr>
        <w:ind w:left="709" w:hanging="709"/>
        <w:jc w:val="left"/>
        <w:rPr>
          <w:rFonts w:cs="Calibri"/>
          <w:color w:val="000000"/>
          <w:highlight w:val="yellow"/>
          <w:lang w:val="en-ZA" w:eastAsia="en-GB"/>
        </w:rPr>
      </w:pPr>
      <w:r w:rsidRPr="00D606C7">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70605">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70605">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70605">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0F09F6">
        <w:rPr>
          <w:lang w:val="en-GB"/>
        </w:rPr>
        <w:t>Bluesea</w:t>
      </w:r>
      <w:proofErr w:type="spellEnd"/>
      <w:r w:rsidRPr="000F09F6">
        <w:rPr>
          <w:lang w:val="en-GB"/>
        </w:rPr>
        <w:t xml:space="preserve"> Digital Capital Limited (</w:t>
      </w:r>
      <w:proofErr w:type="spellStart"/>
      <w:r w:rsidRPr="000F09F6">
        <w:rPr>
          <w:lang w:val="en-GB"/>
        </w:rPr>
        <w:t>Bluesea</w:t>
      </w:r>
      <w:proofErr w:type="spellEnd"/>
      <w:r w:rsidRPr="000F09F6">
        <w:rPr>
          <w:lang w:val="en-GB"/>
        </w:rPr>
        <w:t>) was established in 2018 in the Cayman Islands as a digital asset management platform.</w:t>
      </w:r>
      <w:r w:rsidR="009F6007">
        <w:rPr>
          <w:lang w:val="en-GB"/>
        </w:rPr>
        <w:t xml:space="preserve"> </w:t>
      </w:r>
      <w:proofErr w:type="spellStart"/>
      <w:r w:rsidRPr="000F09F6">
        <w:rPr>
          <w:lang w:val="en-GB"/>
        </w:rPr>
        <w:t>Bluesea</w:t>
      </w:r>
      <w:proofErr w:type="spellEnd"/>
      <w:r w:rsidRPr="000F09F6">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0F09F6">
        <w:rPr>
          <w:lang w:val="en-GB"/>
        </w:rPr>
        <w:t>Bluesea's</w:t>
      </w:r>
      <w:proofErr w:type="spellEnd"/>
      <w:r w:rsidRPr="000F09F6">
        <w:rPr>
          <w:lang w:val="en-GB"/>
        </w:rPr>
        <w:t xml:space="preserve"> own name. </w:t>
      </w:r>
      <w:proofErr w:type="spellStart"/>
      <w:r w:rsidRPr="000F09F6">
        <w:rPr>
          <w:lang w:val="en-GB"/>
        </w:rPr>
        <w:t>Bluesea's</w:t>
      </w:r>
      <w:proofErr w:type="spellEnd"/>
      <w:r w:rsidRPr="000F09F6">
        <w:rPr>
          <w:lang w:val="en-GB"/>
        </w:rPr>
        <w:t xml:space="preserve">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On 24 June 2022, one of </w:t>
      </w:r>
      <w:proofErr w:type="spellStart"/>
      <w:r w:rsidRPr="000F09F6">
        <w:rPr>
          <w:rFonts w:cs="Avenir Next"/>
          <w:lang w:val="en-GB"/>
        </w:rPr>
        <w:t>Bluesea's</w:t>
      </w:r>
      <w:proofErr w:type="spellEnd"/>
      <w:r w:rsidRPr="000F09F6">
        <w:rPr>
          <w:rFonts w:cs="Avenir Next"/>
          <w:lang w:val="en-GB"/>
        </w:rPr>
        <w:t xml:space="preserve"> prominent OTPs, </w:t>
      </w:r>
      <w:proofErr w:type="spellStart"/>
      <w:r w:rsidRPr="000F09F6">
        <w:rPr>
          <w:rFonts w:cs="Avenir Next"/>
          <w:lang w:val="en-GB"/>
        </w:rPr>
        <w:t>eTrade</w:t>
      </w:r>
      <w:proofErr w:type="spellEnd"/>
      <w:r w:rsidRPr="000F09F6">
        <w:rPr>
          <w:rFonts w:cs="Avenir Next"/>
          <w:lang w:val="en-GB"/>
        </w:rPr>
        <w:t xml:space="preserve"> Wave (</w:t>
      </w:r>
      <w:proofErr w:type="spellStart"/>
      <w:r w:rsidRPr="000F09F6">
        <w:rPr>
          <w:rFonts w:cs="Avenir Next"/>
          <w:lang w:val="en-GB"/>
        </w:rPr>
        <w:t>eTrade</w:t>
      </w:r>
      <w:proofErr w:type="spellEnd"/>
      <w:r w:rsidRPr="000F09F6">
        <w:rPr>
          <w:rFonts w:cs="Avenir Next"/>
          <w:lang w:val="en-GB"/>
        </w:rPr>
        <w:t>),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 xml:space="preserve">sell functionality without prior notice. At the time of suspension, </w:t>
      </w:r>
      <w:proofErr w:type="spellStart"/>
      <w:r w:rsidRPr="000F09F6">
        <w:rPr>
          <w:rFonts w:cs="Avenir Next"/>
          <w:lang w:val="en-GB"/>
        </w:rPr>
        <w:t>eTrade</w:t>
      </w:r>
      <w:proofErr w:type="spellEnd"/>
      <w:r w:rsidRPr="000F09F6">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0F09F6">
        <w:rPr>
          <w:rFonts w:cs="Avenir Next"/>
          <w:lang w:val="en-GB"/>
        </w:rPr>
        <w:t>Whitesand</w:t>
      </w:r>
      <w:proofErr w:type="spellEnd"/>
      <w:r w:rsidRPr="000F09F6">
        <w:rPr>
          <w:rFonts w:cs="Avenir Next"/>
          <w:lang w:val="en-GB"/>
        </w:rPr>
        <w:t xml:space="preserve"> Capital (</w:t>
      </w:r>
      <w:proofErr w:type="spellStart"/>
      <w:r w:rsidRPr="000F09F6">
        <w:rPr>
          <w:rFonts w:cs="Avenir Next"/>
          <w:lang w:val="en-GB"/>
        </w:rPr>
        <w:t>Whitesand</w:t>
      </w:r>
      <w:proofErr w:type="spellEnd"/>
      <w:r w:rsidRPr="000F09F6">
        <w:rPr>
          <w:rFonts w:cs="Avenir Next"/>
          <w:lang w:val="en-GB"/>
        </w:rPr>
        <w:t>)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Unable to retrieve its deposit, </w:t>
      </w:r>
      <w:proofErr w:type="spellStart"/>
      <w:r w:rsidRPr="000F09F6">
        <w:rPr>
          <w:rFonts w:cs="Avenir Next"/>
          <w:lang w:val="en-GB"/>
        </w:rPr>
        <w:t>Whitesand</w:t>
      </w:r>
      <w:proofErr w:type="spellEnd"/>
      <w:r w:rsidRPr="000F09F6">
        <w:rPr>
          <w:rFonts w:cs="Avenir Next"/>
          <w:lang w:val="en-GB"/>
        </w:rPr>
        <w:t xml:space="preserve"> initiated winding</w:t>
      </w:r>
      <w:r w:rsidR="00F42930">
        <w:rPr>
          <w:rFonts w:cs="Avenir Next"/>
          <w:lang w:val="en-GB"/>
        </w:rPr>
        <w:t xml:space="preserve"> </w:t>
      </w:r>
      <w:r w:rsidRPr="000F09F6">
        <w:rPr>
          <w:rFonts w:cs="Avenir Next"/>
          <w:lang w:val="en-GB"/>
        </w:rPr>
        <w:t xml:space="preserve">up proceedings against </w:t>
      </w:r>
      <w:proofErr w:type="spellStart"/>
      <w:r w:rsidRPr="000F09F6">
        <w:rPr>
          <w:rFonts w:cs="Avenir Next"/>
          <w:lang w:val="en-GB"/>
        </w:rPr>
        <w:t>Bluesea</w:t>
      </w:r>
      <w:proofErr w:type="spellEnd"/>
      <w:r w:rsidRPr="000F09F6">
        <w:rPr>
          <w:rFonts w:cs="Avenir Next"/>
          <w:lang w:val="en-GB"/>
        </w:rPr>
        <w:t xml:space="preserve"> in May 2023. The petition faced vehement opposition from </w:t>
      </w:r>
      <w:proofErr w:type="spellStart"/>
      <w:r w:rsidRPr="000F09F6">
        <w:rPr>
          <w:rFonts w:cs="Avenir Next"/>
          <w:lang w:val="en-GB"/>
        </w:rPr>
        <w:t>Bluesea</w:t>
      </w:r>
      <w:proofErr w:type="spellEnd"/>
      <w:r w:rsidRPr="000F09F6">
        <w:rPr>
          <w:rFonts w:cs="Avenir Next"/>
          <w:lang w:val="en-GB"/>
        </w:rPr>
        <w:t xml:space="preserve">, which asserted that deposits had been transferred to its joint venture partner. </w:t>
      </w:r>
      <w:proofErr w:type="spellStart"/>
      <w:r w:rsidRPr="000F09F6">
        <w:rPr>
          <w:rFonts w:cs="Avenir Next"/>
          <w:lang w:val="en-GB"/>
        </w:rPr>
        <w:t>Bluesea</w:t>
      </w:r>
      <w:proofErr w:type="spellEnd"/>
      <w:r w:rsidRPr="000F09F6">
        <w:rPr>
          <w:rFonts w:cs="Avenir Next"/>
          <w:lang w:val="en-GB"/>
        </w:rPr>
        <w:t xml:space="preserve">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Following the appointment of the official liquidator,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0F09F6">
        <w:rPr>
          <w:rFonts w:cs="Avenir Next"/>
          <w:lang w:val="en-GB"/>
        </w:rPr>
        <w:t>Bluesea’s</w:t>
      </w:r>
      <w:proofErr w:type="spellEnd"/>
      <w:r w:rsidRPr="000F09F6">
        <w:rPr>
          <w:rFonts w:cs="Avenir Next"/>
          <w:lang w:val="en-GB"/>
        </w:rPr>
        <w:t xml:space="preserve"> financial statements, with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t>
      </w:r>
      <w:proofErr w:type="spellStart"/>
      <w:r w:rsidRPr="002A2B0D">
        <w:rPr>
          <w:rFonts w:ascii="Avenir Next" w:hAnsi="Avenir Next"/>
        </w:rPr>
        <w:t>Whitesand’s</w:t>
      </w:r>
      <w:proofErr w:type="spellEnd"/>
      <w:r w:rsidRPr="002A2B0D">
        <w:rPr>
          <w:rFonts w:ascii="Avenir Next" w:hAnsi="Avenir Next"/>
        </w:rPr>
        <w:t xml:space="preserve"> petition to wind up </w:t>
      </w:r>
      <w:proofErr w:type="spellStart"/>
      <w:r w:rsidRPr="002A2B0D">
        <w:rPr>
          <w:rFonts w:ascii="Avenir Next" w:hAnsi="Avenir Next"/>
        </w:rPr>
        <w:t>Bluesea</w:t>
      </w:r>
      <w:proofErr w:type="spellEnd"/>
      <w:r w:rsidRPr="002A2B0D">
        <w:rPr>
          <w:rFonts w:ascii="Avenir Next" w:hAnsi="Avenir Next"/>
        </w:rPr>
        <w:t xml:space="preserve">, </w:t>
      </w:r>
      <w:proofErr w:type="spellStart"/>
      <w:r w:rsidRPr="002A2B0D">
        <w:rPr>
          <w:rFonts w:ascii="Avenir Next" w:hAnsi="Avenir Next"/>
        </w:rPr>
        <w:t>Whitesand</w:t>
      </w:r>
      <w:proofErr w:type="spellEnd"/>
      <w:r w:rsidRPr="002A2B0D">
        <w:rPr>
          <w:rFonts w:ascii="Avenir Next" w:hAnsi="Avenir Next"/>
        </w:rPr>
        <w:t xml:space="preserve">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2C8F5386" w14:textId="79DDBFCE" w:rsidR="00A51058" w:rsidRDefault="00A51058" w:rsidP="00A51058">
      <w:pPr>
        <w:pStyle w:val="BodyText"/>
        <w:ind w:firstLine="0"/>
        <w:rPr>
          <w:rFonts w:ascii="Avenir Next" w:hAnsi="Avenir Next"/>
          <w:b/>
          <w:bCs/>
        </w:rPr>
      </w:pPr>
    </w:p>
    <w:p w14:paraId="637E2812" w14:textId="1E9AE1D7" w:rsidR="001D1D4F" w:rsidRDefault="00842256" w:rsidP="00A51058">
      <w:pPr>
        <w:pStyle w:val="BodyText"/>
        <w:ind w:firstLine="0"/>
        <w:rPr>
          <w:rFonts w:ascii="Avenir Next" w:hAnsi="Avenir Next"/>
          <w:b/>
          <w:bCs/>
        </w:rPr>
      </w:pPr>
      <w:r>
        <w:rPr>
          <w:rFonts w:ascii="Avenir Next" w:hAnsi="Avenir Next"/>
          <w:b/>
          <w:bCs/>
        </w:rPr>
        <w:t>Every winding up petition must be supported by an affidavit sworn by the official liquidator giving their consent to act (Order 3, rule 4</w:t>
      </w:r>
      <w:r w:rsidR="00985A10">
        <w:rPr>
          <w:rFonts w:ascii="Avenir Next" w:hAnsi="Avenir Next"/>
          <w:b/>
          <w:bCs/>
        </w:rPr>
        <w:t xml:space="preserve"> of the CWR</w:t>
      </w:r>
      <w:r>
        <w:rPr>
          <w:rFonts w:ascii="Avenir Next" w:hAnsi="Avenir Next"/>
          <w:b/>
          <w:bCs/>
        </w:rPr>
        <w:t>).  It</w:t>
      </w:r>
      <w:r w:rsidR="00AF56AB">
        <w:rPr>
          <w:rFonts w:ascii="Avenir Next" w:hAnsi="Avenir Next"/>
          <w:b/>
          <w:bCs/>
        </w:rPr>
        <w:t xml:space="preserve"> is not clear on the facts whether the official liquidators are </w:t>
      </w:r>
      <w:r>
        <w:rPr>
          <w:rFonts w:ascii="Avenir Next" w:hAnsi="Avenir Next"/>
          <w:b/>
          <w:bCs/>
        </w:rPr>
        <w:t>Cayman</w:t>
      </w:r>
      <w:r w:rsidR="00B84F95">
        <w:rPr>
          <w:rFonts w:ascii="Avenir Next" w:hAnsi="Avenir Next"/>
          <w:b/>
          <w:bCs/>
        </w:rPr>
        <w:t xml:space="preserve">-based or both Cayman and </w:t>
      </w:r>
      <w:r>
        <w:rPr>
          <w:rFonts w:ascii="Avenir Next" w:hAnsi="Avenir Next"/>
          <w:b/>
          <w:bCs/>
        </w:rPr>
        <w:t>foreign</w:t>
      </w:r>
      <w:r w:rsidR="00B84F95">
        <w:rPr>
          <w:rFonts w:ascii="Avenir Next" w:hAnsi="Avenir Next"/>
          <w:b/>
          <w:bCs/>
        </w:rPr>
        <w:t>-based</w:t>
      </w:r>
      <w:r>
        <w:rPr>
          <w:rFonts w:ascii="Avenir Next" w:hAnsi="Avenir Next"/>
          <w:b/>
          <w:bCs/>
        </w:rPr>
        <w:t xml:space="preserve">, although given the nexus of the </w:t>
      </w:r>
      <w:r>
        <w:rPr>
          <w:rFonts w:ascii="Avenir Next" w:hAnsi="Avenir Next"/>
          <w:b/>
          <w:bCs/>
        </w:rPr>
        <w:lastRenderedPageBreak/>
        <w:t>company to Latin America, Singapore and other jurisdictions</w:t>
      </w:r>
      <w:r w:rsidR="00B84F95">
        <w:rPr>
          <w:rFonts w:ascii="Avenir Next" w:hAnsi="Avenir Next"/>
          <w:b/>
          <w:bCs/>
        </w:rPr>
        <w:t xml:space="preserve"> in the Caribbean</w:t>
      </w:r>
      <w:r>
        <w:rPr>
          <w:rFonts w:ascii="Avenir Next" w:hAnsi="Avenir Next"/>
          <w:b/>
          <w:bCs/>
        </w:rPr>
        <w:t xml:space="preserve">, it is possible that at least one of the liquidators will be foreign based. </w:t>
      </w:r>
    </w:p>
    <w:p w14:paraId="008C69B4" w14:textId="28B4A002" w:rsidR="00842256" w:rsidRDefault="00842256" w:rsidP="00A51058">
      <w:pPr>
        <w:pStyle w:val="BodyText"/>
        <w:ind w:firstLine="0"/>
        <w:rPr>
          <w:rFonts w:ascii="Avenir Next" w:hAnsi="Avenir Next"/>
          <w:b/>
          <w:bCs/>
        </w:rPr>
      </w:pPr>
    </w:p>
    <w:p w14:paraId="0DFB6E57" w14:textId="2766DBFF" w:rsidR="00842256" w:rsidRDefault="00842256" w:rsidP="00A51058">
      <w:pPr>
        <w:pStyle w:val="BodyText"/>
        <w:ind w:firstLine="0"/>
        <w:rPr>
          <w:rFonts w:ascii="Avenir Next" w:hAnsi="Avenir Next"/>
          <w:b/>
          <w:bCs/>
        </w:rPr>
      </w:pPr>
      <w:r>
        <w:rPr>
          <w:rFonts w:ascii="Avenir Next" w:hAnsi="Avenir Next"/>
          <w:b/>
          <w:bCs/>
        </w:rPr>
        <w:t>For the Cayman based liquidator</w:t>
      </w:r>
      <w:r w:rsidR="00985A10">
        <w:rPr>
          <w:rFonts w:ascii="Avenir Next" w:hAnsi="Avenir Next"/>
          <w:b/>
          <w:bCs/>
        </w:rPr>
        <w:t>(s)</w:t>
      </w:r>
      <w:r>
        <w:rPr>
          <w:rFonts w:ascii="Avenir Next" w:hAnsi="Avenir Next"/>
          <w:b/>
          <w:bCs/>
        </w:rPr>
        <w:t>, pursuant to Order 3, rule 4(1),the consent to act affidavit is required to state:</w:t>
      </w:r>
    </w:p>
    <w:p w14:paraId="0266E485" w14:textId="77777777" w:rsidR="00842256" w:rsidRPr="00486A0B" w:rsidRDefault="00842256" w:rsidP="00A51058">
      <w:pPr>
        <w:pStyle w:val="BodyText"/>
        <w:ind w:firstLine="0"/>
        <w:rPr>
          <w:rFonts w:ascii="Avenir Next" w:hAnsi="Avenir Next"/>
          <w:b/>
          <w:bCs/>
        </w:rPr>
      </w:pPr>
    </w:p>
    <w:p w14:paraId="69D01B03" w14:textId="54A4429E" w:rsidR="00842256" w:rsidRPr="00985A10" w:rsidRDefault="00842256" w:rsidP="00985A10">
      <w:pPr>
        <w:pStyle w:val="BodyText"/>
        <w:ind w:left="720" w:firstLine="0"/>
        <w:rPr>
          <w:rFonts w:ascii="Avenir Next" w:hAnsi="Avenir Next"/>
          <w:b/>
          <w:bCs/>
          <w:i/>
          <w:iCs/>
        </w:rPr>
      </w:pPr>
      <w:r w:rsidRPr="00985A10">
        <w:rPr>
          <w:rFonts w:ascii="Avenir Next" w:hAnsi="Avenir Next"/>
          <w:b/>
          <w:bCs/>
          <w:i/>
          <w:iCs/>
        </w:rPr>
        <w:t xml:space="preserve">(a) that person is a qualified insolvency practitioner and meets the residency requirement contained in Regulation 5; </w:t>
      </w:r>
    </w:p>
    <w:p w14:paraId="38382D0A" w14:textId="3C9C85F5" w:rsidR="00842256" w:rsidRPr="00985A10" w:rsidRDefault="00842256" w:rsidP="00985A10">
      <w:pPr>
        <w:pStyle w:val="BodyText"/>
        <w:ind w:left="720" w:firstLine="0"/>
        <w:rPr>
          <w:rFonts w:ascii="Avenir Next" w:hAnsi="Avenir Next"/>
          <w:b/>
          <w:bCs/>
          <w:i/>
          <w:iCs/>
        </w:rPr>
      </w:pPr>
      <w:r w:rsidRPr="00985A10">
        <w:rPr>
          <w:rFonts w:ascii="Avenir Next" w:hAnsi="Avenir Next"/>
          <w:b/>
          <w:bCs/>
          <w:i/>
          <w:iCs/>
        </w:rPr>
        <w:t xml:space="preserve">(b) having made due enquiry, that person believes that that person and that person’s firm meet the independence requirement contained in Regulation 6; </w:t>
      </w:r>
    </w:p>
    <w:p w14:paraId="64477D74" w14:textId="5BCBEAAF" w:rsidR="00842256" w:rsidRPr="00985A10" w:rsidRDefault="00842256" w:rsidP="00985A10">
      <w:pPr>
        <w:pStyle w:val="BodyText"/>
        <w:ind w:left="720" w:firstLine="0"/>
        <w:rPr>
          <w:rFonts w:ascii="Avenir Next" w:hAnsi="Avenir Next"/>
          <w:b/>
          <w:bCs/>
          <w:i/>
          <w:iCs/>
        </w:rPr>
      </w:pPr>
      <w:r w:rsidRPr="00985A10">
        <w:rPr>
          <w:rFonts w:ascii="Avenir Next" w:hAnsi="Avenir Next"/>
          <w:b/>
          <w:bCs/>
          <w:i/>
          <w:iCs/>
        </w:rPr>
        <w:t xml:space="preserve">(c) that person and/or that person’s firm are in compliance with the insurance requirement contained in Regulation 7; and </w:t>
      </w:r>
    </w:p>
    <w:p w14:paraId="75FE0193" w14:textId="137756BE" w:rsidR="00A51058" w:rsidRPr="00985A10" w:rsidRDefault="00842256" w:rsidP="00985A10">
      <w:pPr>
        <w:pStyle w:val="BodyText"/>
        <w:ind w:left="720" w:firstLine="0"/>
        <w:rPr>
          <w:rFonts w:ascii="Avenir Next" w:hAnsi="Avenir Next"/>
          <w:b/>
          <w:bCs/>
          <w:i/>
          <w:iCs/>
        </w:rPr>
      </w:pPr>
      <w:r w:rsidRPr="00985A10">
        <w:rPr>
          <w:rFonts w:ascii="Avenir Next" w:hAnsi="Avenir Next"/>
          <w:b/>
          <w:bCs/>
          <w:i/>
          <w:iCs/>
        </w:rPr>
        <w:t>(d) that person is willing to act as official liquidator if so appointed by the Court.</w:t>
      </w:r>
    </w:p>
    <w:p w14:paraId="3C9E51B6" w14:textId="77777777" w:rsidR="00842256" w:rsidRDefault="00842256" w:rsidP="00842256">
      <w:pPr>
        <w:pStyle w:val="BodyText"/>
        <w:ind w:firstLine="0"/>
        <w:rPr>
          <w:rFonts w:ascii="Avenir Next" w:hAnsi="Avenir Next"/>
          <w:b/>
          <w:bCs/>
        </w:rPr>
      </w:pPr>
    </w:p>
    <w:p w14:paraId="04EBBDE5" w14:textId="2D1DBB02" w:rsidR="00842256" w:rsidRDefault="00842256" w:rsidP="00842256">
      <w:pPr>
        <w:pStyle w:val="BodyText"/>
        <w:ind w:firstLine="0"/>
        <w:rPr>
          <w:rFonts w:ascii="Avenir Next" w:hAnsi="Avenir Next"/>
          <w:b/>
          <w:bCs/>
        </w:rPr>
      </w:pPr>
      <w:r>
        <w:rPr>
          <w:rFonts w:ascii="Avenir Next" w:hAnsi="Avenir Next"/>
          <w:b/>
          <w:bCs/>
        </w:rPr>
        <w:t>For the foreign liquidator</w:t>
      </w:r>
      <w:r w:rsidR="00985A10">
        <w:rPr>
          <w:rFonts w:ascii="Avenir Next" w:hAnsi="Avenir Next"/>
          <w:b/>
          <w:bCs/>
        </w:rPr>
        <w:t>(s) (if any)</w:t>
      </w:r>
      <w:r>
        <w:rPr>
          <w:rFonts w:ascii="Avenir Next" w:hAnsi="Avenir Next"/>
          <w:b/>
          <w:bCs/>
        </w:rPr>
        <w:t xml:space="preserve">, pursuant to Order 3, rule 4(2), the consent to act affidavit </w:t>
      </w:r>
      <w:r w:rsidR="00985A10">
        <w:rPr>
          <w:rFonts w:ascii="Avenir Next" w:hAnsi="Avenir Next"/>
          <w:b/>
          <w:bCs/>
        </w:rPr>
        <w:t>is required to state:</w:t>
      </w:r>
    </w:p>
    <w:p w14:paraId="56CDA7F1" w14:textId="77777777" w:rsidR="00985A10" w:rsidRDefault="00985A10" w:rsidP="00842256">
      <w:pPr>
        <w:pStyle w:val="BodyText"/>
        <w:ind w:firstLine="0"/>
        <w:rPr>
          <w:rFonts w:ascii="Avenir Next" w:hAnsi="Avenir Next"/>
          <w:b/>
          <w:bCs/>
        </w:rPr>
      </w:pPr>
    </w:p>
    <w:p w14:paraId="699D13A0" w14:textId="77777777" w:rsidR="00985A10" w:rsidRPr="00985A10" w:rsidRDefault="00985A10" w:rsidP="00985A10">
      <w:pPr>
        <w:pStyle w:val="BodyText"/>
        <w:ind w:left="720" w:firstLine="0"/>
        <w:rPr>
          <w:rFonts w:ascii="Avenir Next" w:hAnsi="Avenir Next"/>
          <w:b/>
          <w:bCs/>
          <w:i/>
          <w:iCs/>
        </w:rPr>
      </w:pPr>
      <w:r w:rsidRPr="00985A10">
        <w:rPr>
          <w:rFonts w:ascii="Avenir Next" w:hAnsi="Avenir Next"/>
          <w:b/>
          <w:bCs/>
          <w:i/>
          <w:iCs/>
        </w:rPr>
        <w:t xml:space="preserve">(a) that person’s professional qualifications; </w:t>
      </w:r>
    </w:p>
    <w:p w14:paraId="02199D90" w14:textId="77777777" w:rsidR="00985A10" w:rsidRPr="00985A10" w:rsidRDefault="00985A10" w:rsidP="00985A10">
      <w:pPr>
        <w:pStyle w:val="BodyText"/>
        <w:ind w:left="720" w:firstLine="0"/>
        <w:rPr>
          <w:rFonts w:ascii="Avenir Next" w:hAnsi="Avenir Next"/>
          <w:b/>
          <w:bCs/>
          <w:i/>
          <w:iCs/>
        </w:rPr>
      </w:pPr>
      <w:r w:rsidRPr="00985A10">
        <w:rPr>
          <w:rFonts w:ascii="Avenir Next" w:hAnsi="Avenir Next"/>
          <w:b/>
          <w:bCs/>
          <w:i/>
          <w:iCs/>
        </w:rPr>
        <w:t xml:space="preserve">(b) the country in which that person is qualified to perform functions equivalent to those performed by official liquidators under the Law or by trustees under the Bankruptcy Act (as amended and revised); </w:t>
      </w:r>
    </w:p>
    <w:p w14:paraId="3C1D6A5D" w14:textId="77777777" w:rsidR="00985A10" w:rsidRPr="00985A10" w:rsidRDefault="00985A10" w:rsidP="00985A10">
      <w:pPr>
        <w:pStyle w:val="BodyText"/>
        <w:ind w:left="720" w:firstLine="0"/>
        <w:rPr>
          <w:rFonts w:ascii="Avenir Next" w:hAnsi="Avenir Next"/>
          <w:b/>
          <w:bCs/>
          <w:i/>
          <w:iCs/>
        </w:rPr>
      </w:pPr>
      <w:r w:rsidRPr="00985A10">
        <w:rPr>
          <w:rFonts w:ascii="Avenir Next" w:hAnsi="Avenir Next"/>
          <w:b/>
          <w:bCs/>
          <w:i/>
          <w:iCs/>
        </w:rPr>
        <w:t xml:space="preserve">(c) that person’s professional experience; </w:t>
      </w:r>
    </w:p>
    <w:p w14:paraId="35C347F5" w14:textId="77777777" w:rsidR="00985A10" w:rsidRPr="00985A10" w:rsidRDefault="00985A10" w:rsidP="00985A10">
      <w:pPr>
        <w:pStyle w:val="BodyText"/>
        <w:ind w:left="720" w:firstLine="0"/>
        <w:rPr>
          <w:rFonts w:ascii="Avenir Next" w:hAnsi="Avenir Next"/>
          <w:b/>
          <w:bCs/>
          <w:i/>
          <w:iCs/>
        </w:rPr>
      </w:pPr>
      <w:r w:rsidRPr="00985A10">
        <w:rPr>
          <w:rFonts w:ascii="Avenir Next" w:hAnsi="Avenir Next"/>
          <w:b/>
          <w:bCs/>
          <w:i/>
          <w:iCs/>
        </w:rPr>
        <w:t xml:space="preserve">(d) that person will have the benefit of professional indemnity insurance in respect of that person’s acts and omissions done in that person’s capacity as an official liquidator of the company meeting the requirements of Regulation 7; </w:t>
      </w:r>
    </w:p>
    <w:p w14:paraId="559D64A3" w14:textId="12A3ECE2" w:rsidR="00985A10" w:rsidRPr="00985A10" w:rsidRDefault="00985A10" w:rsidP="00985A10">
      <w:pPr>
        <w:pStyle w:val="BodyText"/>
        <w:ind w:left="720" w:firstLine="0"/>
        <w:rPr>
          <w:rFonts w:ascii="Avenir Next" w:hAnsi="Avenir Next"/>
          <w:b/>
          <w:bCs/>
          <w:i/>
          <w:iCs/>
        </w:rPr>
      </w:pPr>
      <w:r w:rsidRPr="00985A10">
        <w:rPr>
          <w:rFonts w:ascii="Avenir Next" w:hAnsi="Avenir Next"/>
          <w:b/>
          <w:bCs/>
          <w:i/>
          <w:iCs/>
        </w:rPr>
        <w:t>(e) if that person has been appointed by a foreign court or authority as a liquidator, trustee, receiver or administrator of the company or a related party of the company, full particulars of such appointment; and</w:t>
      </w:r>
    </w:p>
    <w:p w14:paraId="333DB447" w14:textId="5B822E49" w:rsidR="00985A10" w:rsidRPr="00985A10" w:rsidRDefault="00985A10" w:rsidP="00985A10">
      <w:pPr>
        <w:pStyle w:val="BodyText"/>
        <w:ind w:left="720" w:firstLine="0"/>
        <w:rPr>
          <w:rFonts w:ascii="Avenir Next" w:hAnsi="Avenir Next"/>
          <w:b/>
          <w:bCs/>
          <w:i/>
          <w:iCs/>
        </w:rPr>
      </w:pPr>
      <w:r w:rsidRPr="00985A10">
        <w:rPr>
          <w:rFonts w:ascii="Avenir Next" w:hAnsi="Avenir Next"/>
          <w:b/>
          <w:bCs/>
          <w:i/>
          <w:iCs/>
        </w:rPr>
        <w:t>(f) that, having made due enquiry, that person and that person’s firm meet independence requirement contained in Regulation 6.</w:t>
      </w: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w:t>
      </w:r>
      <w:bookmarkStart w:id="0" w:name="_Hlk151713757"/>
      <w:r w:rsidRPr="002A2B0D">
        <w:rPr>
          <w:rFonts w:ascii="Avenir Next" w:hAnsi="Avenir Next"/>
        </w:rPr>
        <w:t xml:space="preserve">Bodden &amp; Ebanks </w:t>
      </w:r>
      <w:bookmarkEnd w:id="0"/>
      <w:r w:rsidRPr="002A2B0D">
        <w:rPr>
          <w:rFonts w:ascii="Avenir Next" w:hAnsi="Avenir Next"/>
        </w:rPr>
        <w:t xml:space="preserve">Limited. Shortly prior to the hearing of the winding up petition of </w:t>
      </w:r>
      <w:proofErr w:type="spellStart"/>
      <w:r w:rsidRPr="002A2B0D">
        <w:rPr>
          <w:rFonts w:ascii="Avenir Next" w:hAnsi="Avenir Next"/>
        </w:rPr>
        <w:t>Bluesea</w:t>
      </w:r>
      <w:proofErr w:type="spellEnd"/>
      <w:r w:rsidRPr="002A2B0D">
        <w:rPr>
          <w:rFonts w:ascii="Avenir Next" w:hAnsi="Avenir Next"/>
        </w:rPr>
        <w:t xml:space="preserve">, it transpires that Bodden &amp; Ebanks Limited previously acted as auditors of </w:t>
      </w:r>
      <w:proofErr w:type="spellStart"/>
      <w:r w:rsidRPr="002A2B0D">
        <w:rPr>
          <w:rFonts w:ascii="Avenir Next" w:hAnsi="Avenir Next"/>
        </w:rPr>
        <w:t>Bluesea</w:t>
      </w:r>
      <w:proofErr w:type="spellEnd"/>
      <w:r w:rsidRPr="002A2B0D">
        <w:rPr>
          <w:rFonts w:ascii="Avenir Next" w:hAnsi="Avenir Next"/>
        </w:rPr>
        <w:t xml:space="preserve"> in 2021. Are the proposed liquidators still able to act in relation to </w:t>
      </w:r>
      <w:proofErr w:type="spellStart"/>
      <w:r w:rsidRPr="002A2B0D">
        <w:rPr>
          <w:rFonts w:ascii="Avenir Next" w:hAnsi="Avenir Next"/>
        </w:rPr>
        <w:t>Bluesea</w:t>
      </w:r>
      <w:proofErr w:type="spellEnd"/>
      <w:r w:rsidRPr="002A2B0D">
        <w:rPr>
          <w:rFonts w:ascii="Avenir Next" w:hAnsi="Avenir Next"/>
        </w:rPr>
        <w:t>?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5F097FA6" w14:textId="77777777" w:rsidR="00852808" w:rsidRDefault="00852808" w:rsidP="00A51058">
      <w:pPr>
        <w:pStyle w:val="BodyText"/>
        <w:ind w:firstLine="0"/>
        <w:rPr>
          <w:rFonts w:ascii="Avenir Next" w:hAnsi="Avenir Next"/>
          <w:b/>
          <w:bCs/>
        </w:rPr>
      </w:pPr>
    </w:p>
    <w:p w14:paraId="5425AABC" w14:textId="6DC14057" w:rsidR="00F601D9" w:rsidRDefault="00F601D9" w:rsidP="00F601D9">
      <w:pPr>
        <w:pStyle w:val="BodyText"/>
        <w:ind w:firstLine="0"/>
        <w:rPr>
          <w:rFonts w:ascii="Avenir Next" w:hAnsi="Avenir Next"/>
          <w:b/>
          <w:bCs/>
        </w:rPr>
      </w:pPr>
      <w:r>
        <w:rPr>
          <w:rFonts w:ascii="Avenir Next" w:hAnsi="Avenir Next"/>
          <w:b/>
          <w:bCs/>
        </w:rPr>
        <w:t>The proposed liquidators are subject to the independence requirement contained in Regulation 6 of the Insolvency Practitioners' Regulations (2023 Consolidation) which provides:</w:t>
      </w:r>
    </w:p>
    <w:p w14:paraId="6A7975F1" w14:textId="77777777" w:rsidR="00F601D9" w:rsidRPr="00F601D9" w:rsidRDefault="00F601D9" w:rsidP="00F601D9">
      <w:pPr>
        <w:pStyle w:val="BodyText"/>
        <w:ind w:left="720" w:firstLine="0"/>
        <w:rPr>
          <w:rFonts w:ascii="Avenir Next" w:hAnsi="Avenir Next"/>
          <w:b/>
          <w:bCs/>
          <w:i/>
          <w:iCs/>
        </w:rPr>
      </w:pPr>
    </w:p>
    <w:p w14:paraId="3B757670" w14:textId="77777777" w:rsidR="00F601D9" w:rsidRPr="00F601D9" w:rsidRDefault="00F601D9" w:rsidP="00F601D9">
      <w:pPr>
        <w:pStyle w:val="BodyText"/>
        <w:ind w:left="720" w:firstLine="0"/>
        <w:rPr>
          <w:rFonts w:ascii="Avenir Next" w:hAnsi="Avenir Next"/>
          <w:b/>
          <w:bCs/>
          <w:i/>
          <w:iCs/>
        </w:rPr>
      </w:pPr>
      <w:r w:rsidRPr="00F601D9">
        <w:rPr>
          <w:rFonts w:ascii="Avenir Next" w:hAnsi="Avenir Next"/>
          <w:b/>
          <w:bCs/>
          <w:i/>
          <w:iCs/>
        </w:rPr>
        <w:t xml:space="preserve">(1) A qualified insolvency practitioner shall not be appointed by the Court as official liquidator of a company unless that person can be properly regarded as independent as regards that company. </w:t>
      </w:r>
    </w:p>
    <w:p w14:paraId="4BBBB30D" w14:textId="77777777" w:rsidR="00F601D9" w:rsidRPr="00F601D9" w:rsidRDefault="00F601D9" w:rsidP="00F601D9">
      <w:pPr>
        <w:pStyle w:val="BodyText"/>
        <w:ind w:left="720" w:firstLine="0"/>
        <w:rPr>
          <w:rFonts w:ascii="Avenir Next" w:hAnsi="Avenir Next"/>
          <w:b/>
          <w:bCs/>
          <w:i/>
          <w:iCs/>
        </w:rPr>
      </w:pPr>
    </w:p>
    <w:p w14:paraId="520AF1F4" w14:textId="4E9B6B70" w:rsidR="00F601D9" w:rsidRPr="00F601D9" w:rsidRDefault="00F601D9" w:rsidP="00F601D9">
      <w:pPr>
        <w:pStyle w:val="BodyText"/>
        <w:ind w:left="720" w:firstLine="0"/>
        <w:rPr>
          <w:rFonts w:ascii="Avenir Next" w:hAnsi="Avenir Next"/>
          <w:b/>
          <w:bCs/>
          <w:i/>
          <w:iCs/>
        </w:rPr>
      </w:pPr>
      <w:r w:rsidRPr="00F601D9">
        <w:rPr>
          <w:rFonts w:ascii="Avenir Next" w:hAnsi="Avenir Next"/>
          <w:b/>
          <w:bCs/>
          <w:i/>
          <w:iCs/>
        </w:rPr>
        <w:t>(2) A qualified insolvency practitioner 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p>
    <w:p w14:paraId="448788AF" w14:textId="77777777" w:rsidR="00F601D9" w:rsidRDefault="00F601D9" w:rsidP="00F601D9">
      <w:pPr>
        <w:pStyle w:val="BodyText"/>
        <w:ind w:firstLine="0"/>
        <w:rPr>
          <w:rFonts w:ascii="Avenir Next" w:hAnsi="Avenir Next"/>
          <w:b/>
          <w:bCs/>
        </w:rPr>
      </w:pPr>
    </w:p>
    <w:p w14:paraId="5C5E4B08" w14:textId="5B14144E" w:rsidR="00F601D9" w:rsidRDefault="00F601D9" w:rsidP="00F601D9">
      <w:pPr>
        <w:pStyle w:val="BodyText"/>
        <w:ind w:firstLine="0"/>
        <w:rPr>
          <w:rFonts w:ascii="Avenir Next" w:hAnsi="Avenir Next"/>
          <w:b/>
          <w:bCs/>
        </w:rPr>
      </w:pPr>
      <w:r>
        <w:rPr>
          <w:rFonts w:ascii="Avenir Next" w:hAnsi="Avenir Next"/>
          <w:b/>
          <w:bCs/>
        </w:rPr>
        <w:t>The commencement of the liquidation</w:t>
      </w:r>
      <w:r w:rsidR="00E14DCB">
        <w:rPr>
          <w:rFonts w:ascii="Avenir Next" w:hAnsi="Avenir Next"/>
          <w:b/>
          <w:bCs/>
        </w:rPr>
        <w:t xml:space="preserve"> of </w:t>
      </w:r>
      <w:proofErr w:type="spellStart"/>
      <w:r w:rsidR="00E14DCB">
        <w:rPr>
          <w:rFonts w:ascii="Avenir Next" w:hAnsi="Avenir Next"/>
          <w:b/>
          <w:bCs/>
        </w:rPr>
        <w:t>Bluesea</w:t>
      </w:r>
      <w:proofErr w:type="spellEnd"/>
      <w:r>
        <w:rPr>
          <w:rFonts w:ascii="Avenir Next" w:hAnsi="Avenir Next"/>
          <w:b/>
          <w:bCs/>
        </w:rPr>
        <w:t xml:space="preserve"> occurred at the time of the winding up order on 22 August 2023</w:t>
      </w:r>
      <w:r w:rsidR="009C42F6">
        <w:rPr>
          <w:rFonts w:ascii="Avenir Next" w:hAnsi="Avenir Next"/>
          <w:b/>
          <w:bCs/>
        </w:rPr>
        <w:t xml:space="preserve">. As such, since </w:t>
      </w:r>
      <w:r w:rsidR="00E14DCB">
        <w:rPr>
          <w:rFonts w:ascii="Avenir Next" w:hAnsi="Avenir Next"/>
          <w:b/>
          <w:bCs/>
        </w:rPr>
        <w:t xml:space="preserve">the prior engagement of </w:t>
      </w:r>
      <w:r w:rsidR="005F2148" w:rsidRPr="005F2148">
        <w:rPr>
          <w:rFonts w:ascii="Avenir Next" w:hAnsi="Avenir Next"/>
          <w:b/>
          <w:bCs/>
        </w:rPr>
        <w:t xml:space="preserve">Bodden &amp; Ebanks </w:t>
      </w:r>
      <w:r w:rsidR="00E14DCB">
        <w:rPr>
          <w:rFonts w:ascii="Avenir Next" w:hAnsi="Avenir Next"/>
          <w:b/>
          <w:bCs/>
        </w:rPr>
        <w:t xml:space="preserve">as auditors </w:t>
      </w:r>
      <w:r w:rsidR="009C42F6">
        <w:rPr>
          <w:rFonts w:ascii="Avenir Next" w:hAnsi="Avenir Next"/>
          <w:b/>
          <w:bCs/>
        </w:rPr>
        <w:t>was</w:t>
      </w:r>
      <w:r w:rsidR="00E14DCB">
        <w:rPr>
          <w:rFonts w:ascii="Avenir Next" w:hAnsi="Avenir Next"/>
          <w:b/>
          <w:bCs/>
        </w:rPr>
        <w:t xml:space="preserve"> less than 3 years</w:t>
      </w:r>
      <w:r w:rsidR="006F61C6">
        <w:rPr>
          <w:rFonts w:ascii="Avenir Next" w:hAnsi="Avenir Next"/>
          <w:b/>
          <w:bCs/>
        </w:rPr>
        <w:t xml:space="preserve"> ago</w:t>
      </w:r>
      <w:r w:rsidR="00E14DCB">
        <w:rPr>
          <w:rFonts w:ascii="Avenir Next" w:hAnsi="Avenir Next"/>
          <w:b/>
          <w:bCs/>
        </w:rPr>
        <w:t xml:space="preserve"> </w:t>
      </w:r>
      <w:r w:rsidR="009C42F6">
        <w:rPr>
          <w:rFonts w:ascii="Avenir Next" w:hAnsi="Avenir Next"/>
          <w:b/>
          <w:bCs/>
        </w:rPr>
        <w:t xml:space="preserve">in 2021, they do not satisfy the independence requirements and cannot act as liquidators of </w:t>
      </w:r>
      <w:proofErr w:type="spellStart"/>
      <w:r w:rsidR="009C42F6">
        <w:rPr>
          <w:rFonts w:ascii="Avenir Next" w:hAnsi="Avenir Next"/>
          <w:b/>
          <w:bCs/>
        </w:rPr>
        <w:t>Bluesea</w:t>
      </w:r>
      <w:proofErr w:type="spellEnd"/>
      <w:r w:rsidR="009C42F6">
        <w:rPr>
          <w:rFonts w:ascii="Avenir Next" w:hAnsi="Avenir Next"/>
          <w:b/>
          <w:bCs/>
        </w:rPr>
        <w:t>.</w:t>
      </w:r>
    </w:p>
    <w:p w14:paraId="1E344765" w14:textId="77777777" w:rsidR="00F601D9" w:rsidRDefault="00F601D9" w:rsidP="00F601D9">
      <w:pPr>
        <w:pStyle w:val="BodyText"/>
        <w:ind w:firstLine="0"/>
        <w:rPr>
          <w:rFonts w:ascii="Avenir Next" w:hAnsi="Avenir Next"/>
          <w:b/>
          <w:bCs/>
        </w:rPr>
      </w:pPr>
    </w:p>
    <w:p w14:paraId="089E1334" w14:textId="7C9B4C69" w:rsidR="005F2148" w:rsidRDefault="009C42F6" w:rsidP="00A51058">
      <w:pPr>
        <w:pStyle w:val="BodyText"/>
        <w:ind w:firstLine="0"/>
        <w:rPr>
          <w:rFonts w:ascii="Avenir Next" w:hAnsi="Avenir Next"/>
          <w:b/>
          <w:bCs/>
        </w:rPr>
      </w:pPr>
      <w:r>
        <w:rPr>
          <w:rFonts w:ascii="Avenir Next" w:hAnsi="Avenir Next"/>
          <w:b/>
          <w:bCs/>
        </w:rPr>
        <w:t xml:space="preserve">Since </w:t>
      </w:r>
      <w:r w:rsidR="005F2148" w:rsidRPr="005F2148">
        <w:rPr>
          <w:rFonts w:ascii="Avenir Next" w:hAnsi="Avenir Next"/>
          <w:b/>
          <w:bCs/>
        </w:rPr>
        <w:t xml:space="preserve">Bodden &amp; Ebanks </w:t>
      </w:r>
      <w:r>
        <w:rPr>
          <w:rFonts w:ascii="Avenir Next" w:hAnsi="Avenir Next"/>
          <w:b/>
          <w:bCs/>
        </w:rPr>
        <w:t xml:space="preserve">have </w:t>
      </w:r>
      <w:r w:rsidR="005F2148">
        <w:rPr>
          <w:rFonts w:ascii="Avenir Next" w:hAnsi="Avenir Next"/>
          <w:b/>
          <w:bCs/>
        </w:rPr>
        <w:t xml:space="preserve">not yet been appointed, they should: </w:t>
      </w:r>
    </w:p>
    <w:p w14:paraId="23D17CE3" w14:textId="77777777" w:rsidR="005F2148" w:rsidRDefault="005F2148" w:rsidP="00A51058">
      <w:pPr>
        <w:pStyle w:val="BodyText"/>
        <w:ind w:firstLine="0"/>
        <w:rPr>
          <w:rFonts w:ascii="Avenir Next" w:hAnsi="Avenir Next"/>
          <w:b/>
          <w:bCs/>
        </w:rPr>
      </w:pPr>
    </w:p>
    <w:p w14:paraId="545C24A8" w14:textId="66F65D40" w:rsidR="005F2148" w:rsidRDefault="005F2148" w:rsidP="005F2148">
      <w:pPr>
        <w:pStyle w:val="BodyText"/>
        <w:numPr>
          <w:ilvl w:val="0"/>
          <w:numId w:val="42"/>
        </w:numPr>
        <w:rPr>
          <w:rFonts w:ascii="Avenir Next" w:hAnsi="Avenir Next"/>
          <w:b/>
          <w:bCs/>
        </w:rPr>
      </w:pPr>
      <w:r>
        <w:rPr>
          <w:rFonts w:ascii="Avenir Next" w:hAnsi="Avenir Next"/>
          <w:b/>
          <w:bCs/>
        </w:rPr>
        <w:t>advise W</w:t>
      </w:r>
      <w:proofErr w:type="spellStart"/>
      <w:r>
        <w:rPr>
          <w:rFonts w:ascii="Avenir Next" w:hAnsi="Avenir Next"/>
          <w:b/>
          <w:bCs/>
        </w:rPr>
        <w:t>hitesand</w:t>
      </w:r>
      <w:proofErr w:type="spellEnd"/>
      <w:r>
        <w:rPr>
          <w:rFonts w:ascii="Avenir Next" w:hAnsi="Avenir Next"/>
          <w:b/>
          <w:bCs/>
        </w:rPr>
        <w:t xml:space="preserve"> that they are unable to act as official liquidators</w:t>
      </w:r>
      <w:r>
        <w:rPr>
          <w:rFonts w:ascii="Avenir Next" w:hAnsi="Avenir Next"/>
          <w:b/>
          <w:bCs/>
        </w:rPr>
        <w:t xml:space="preserve"> as</w:t>
      </w:r>
      <w:r>
        <w:rPr>
          <w:rFonts w:ascii="Avenir Next" w:hAnsi="Avenir Next"/>
          <w:b/>
          <w:bCs/>
        </w:rPr>
        <w:t xml:space="preserve"> they do not meet the independence requirements in the Insolvency Practitioners' Regulations</w:t>
      </w:r>
      <w:r>
        <w:rPr>
          <w:rFonts w:ascii="Avenir Next" w:hAnsi="Avenir Next"/>
          <w:b/>
          <w:bCs/>
        </w:rPr>
        <w:t>; and</w:t>
      </w:r>
    </w:p>
    <w:p w14:paraId="5B9C13D8" w14:textId="77777777" w:rsidR="005F2148" w:rsidRDefault="005F2148" w:rsidP="005F2148">
      <w:pPr>
        <w:pStyle w:val="BodyText"/>
        <w:ind w:left="720" w:firstLine="0"/>
        <w:rPr>
          <w:rFonts w:ascii="Avenir Next" w:hAnsi="Avenir Next"/>
          <w:b/>
          <w:bCs/>
        </w:rPr>
      </w:pPr>
    </w:p>
    <w:p w14:paraId="68C6F3A3" w14:textId="75052EED" w:rsidR="005F2148" w:rsidRDefault="005F2148" w:rsidP="005F2148">
      <w:pPr>
        <w:pStyle w:val="BodyText"/>
        <w:numPr>
          <w:ilvl w:val="0"/>
          <w:numId w:val="42"/>
        </w:numPr>
        <w:rPr>
          <w:rFonts w:ascii="Avenir Next" w:hAnsi="Avenir Next"/>
          <w:b/>
          <w:bCs/>
        </w:rPr>
      </w:pPr>
      <w:r>
        <w:rPr>
          <w:rFonts w:ascii="Avenir Next" w:hAnsi="Avenir Next"/>
          <w:b/>
          <w:bCs/>
        </w:rPr>
        <w:t xml:space="preserve">notify the Court that their consent to act affidavits contained incorrect information via a supplementary affidavit. </w:t>
      </w:r>
    </w:p>
    <w:p w14:paraId="7829026B" w14:textId="77777777" w:rsidR="005F2148" w:rsidRDefault="005F2148" w:rsidP="00A51058">
      <w:pPr>
        <w:pStyle w:val="BodyText"/>
        <w:ind w:firstLine="0"/>
        <w:rPr>
          <w:rFonts w:ascii="Avenir Next" w:hAnsi="Avenir Next"/>
          <w:b/>
          <w:bCs/>
        </w:rPr>
      </w:pPr>
    </w:p>
    <w:p w14:paraId="77FBB3AC" w14:textId="3051976A" w:rsidR="00852808" w:rsidRDefault="005F2148" w:rsidP="00A51058">
      <w:pPr>
        <w:pStyle w:val="BodyText"/>
        <w:ind w:firstLine="0"/>
        <w:rPr>
          <w:rFonts w:ascii="Avenir Next" w:hAnsi="Avenir Next"/>
          <w:b/>
          <w:bCs/>
        </w:rPr>
      </w:pPr>
      <w:r>
        <w:rPr>
          <w:rFonts w:ascii="Avenir Next" w:hAnsi="Avenir Next"/>
          <w:b/>
          <w:bCs/>
        </w:rPr>
        <w:t xml:space="preserve">For completeness, if </w:t>
      </w:r>
      <w:r w:rsidR="008A69A6" w:rsidRPr="005F2148">
        <w:rPr>
          <w:rFonts w:ascii="Avenir Next" w:hAnsi="Avenir Next"/>
          <w:b/>
          <w:bCs/>
        </w:rPr>
        <w:t xml:space="preserve">Bodden &amp; Ebanks </w:t>
      </w:r>
      <w:r>
        <w:rPr>
          <w:rFonts w:ascii="Avenir Next" w:hAnsi="Avenir Next"/>
          <w:b/>
          <w:bCs/>
        </w:rPr>
        <w:t>had already</w:t>
      </w:r>
      <w:r w:rsidR="009C42F6">
        <w:rPr>
          <w:rFonts w:ascii="Avenir Next" w:hAnsi="Avenir Next"/>
          <w:b/>
          <w:bCs/>
        </w:rPr>
        <w:t xml:space="preserve"> been appointed </w:t>
      </w:r>
      <w:r w:rsidR="004A1111">
        <w:rPr>
          <w:rFonts w:ascii="Avenir Next" w:hAnsi="Avenir Next"/>
          <w:b/>
          <w:bCs/>
        </w:rPr>
        <w:t>as official liquidators</w:t>
      </w:r>
      <w:r w:rsidR="009C42F6">
        <w:rPr>
          <w:rFonts w:ascii="Avenir Next" w:hAnsi="Avenir Next"/>
          <w:b/>
          <w:bCs/>
        </w:rPr>
        <w:t xml:space="preserve">, </w:t>
      </w:r>
      <w:r w:rsidR="008A69A6">
        <w:rPr>
          <w:rFonts w:ascii="Avenir Next" w:hAnsi="Avenir Next"/>
          <w:b/>
          <w:bCs/>
        </w:rPr>
        <w:t>they</w:t>
      </w:r>
      <w:r w:rsidR="009C42F6">
        <w:rPr>
          <w:rFonts w:ascii="Avenir Next" w:hAnsi="Avenir Next"/>
          <w:b/>
          <w:bCs/>
        </w:rPr>
        <w:t xml:space="preserve"> should resign their position</w:t>
      </w:r>
      <w:r w:rsidR="008A69A6">
        <w:rPr>
          <w:rFonts w:ascii="Avenir Next" w:hAnsi="Avenir Next"/>
          <w:b/>
          <w:bCs/>
        </w:rPr>
        <w:t xml:space="preserve"> as soon as they discovered the conflict</w:t>
      </w:r>
      <w:r w:rsidR="009C42F6">
        <w:rPr>
          <w:rFonts w:ascii="Avenir Next" w:hAnsi="Avenir Next"/>
          <w:b/>
          <w:bCs/>
        </w:rPr>
        <w:t xml:space="preserve"> </w:t>
      </w:r>
      <w:r>
        <w:rPr>
          <w:rFonts w:ascii="Avenir Next" w:hAnsi="Avenir Next"/>
          <w:b/>
          <w:bCs/>
        </w:rPr>
        <w:t>by following</w:t>
      </w:r>
      <w:r w:rsidR="006F61C6">
        <w:rPr>
          <w:rFonts w:ascii="Avenir Next" w:hAnsi="Avenir Next"/>
          <w:b/>
          <w:bCs/>
        </w:rPr>
        <w:t xml:space="preserve"> the resignation procedures and steps set out in Order 5, rule 4(4) of the CWR.</w:t>
      </w:r>
      <w:r>
        <w:rPr>
          <w:rFonts w:ascii="Avenir Next" w:hAnsi="Avenir Next"/>
          <w:b/>
          <w:bCs/>
        </w:rPr>
        <w:t xml:space="preserve"> If </w:t>
      </w:r>
      <w:r w:rsidR="008A69A6" w:rsidRPr="005F2148">
        <w:rPr>
          <w:rFonts w:ascii="Avenir Next" w:hAnsi="Avenir Next"/>
          <w:b/>
          <w:bCs/>
        </w:rPr>
        <w:t xml:space="preserve">Bodden &amp; Ebanks </w:t>
      </w:r>
      <w:r w:rsidR="00E14DCB">
        <w:rPr>
          <w:rFonts w:ascii="Avenir Next" w:hAnsi="Avenir Next"/>
          <w:b/>
          <w:bCs/>
        </w:rPr>
        <w:t>were to refuse to resign, they could be removed by a creditor as a</w:t>
      </w:r>
      <w:r w:rsidR="00852808">
        <w:rPr>
          <w:rFonts w:ascii="Avenir Next" w:hAnsi="Avenir Next"/>
          <w:b/>
          <w:bCs/>
        </w:rPr>
        <w:t xml:space="preserve"> conflict of interest may be considered impropriety that could justify an application for their removal pursuant to section 107 of the Companies Act (see </w:t>
      </w:r>
      <w:r w:rsidR="00852808" w:rsidRPr="00EA0C63">
        <w:rPr>
          <w:rFonts w:ascii="Avenir Next" w:hAnsi="Avenir Next"/>
          <w:b/>
          <w:bCs/>
          <w:i/>
          <w:iCs/>
        </w:rPr>
        <w:t>Re</w:t>
      </w:r>
      <w:r w:rsidR="00852808">
        <w:rPr>
          <w:rFonts w:ascii="Avenir Next" w:hAnsi="Avenir Next"/>
          <w:b/>
          <w:bCs/>
        </w:rPr>
        <w:t xml:space="preserve"> </w:t>
      </w:r>
      <w:r w:rsidR="00852808" w:rsidRPr="006F3F76">
        <w:rPr>
          <w:rFonts w:ascii="Avenir Next" w:hAnsi="Avenir Next"/>
          <w:b/>
          <w:bCs/>
          <w:i/>
          <w:iCs/>
        </w:rPr>
        <w:t>BTU Power Company</w:t>
      </w:r>
      <w:r w:rsidR="00852808">
        <w:rPr>
          <w:rFonts w:ascii="Avenir Next" w:hAnsi="Avenir Next"/>
          <w:b/>
          <w:bCs/>
        </w:rPr>
        <w:t xml:space="preserve"> [2019 (1) CILR Note 7]).</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4522441A" w:rsidR="00586B0F" w:rsidRPr="00486A0B" w:rsidRDefault="00D06782" w:rsidP="00586B0F">
      <w:pPr>
        <w:pStyle w:val="BodyText"/>
        <w:ind w:firstLine="0"/>
        <w:rPr>
          <w:rFonts w:ascii="Avenir Next" w:hAnsi="Avenir Next"/>
          <w:b/>
          <w:bCs/>
        </w:rPr>
      </w:pPr>
      <w:r w:rsidRPr="00D06782">
        <w:rPr>
          <w:rFonts w:ascii="Avenir Next" w:hAnsi="Avenir Next"/>
          <w:b/>
          <w:bCs/>
        </w:rPr>
        <w:t xml:space="preserve">There are no </w:t>
      </w:r>
      <w:r>
        <w:rPr>
          <w:rFonts w:ascii="Avenir Next" w:hAnsi="Avenir Next"/>
          <w:b/>
          <w:bCs/>
        </w:rPr>
        <w:t>qualification requirements for Tom and Jerry to act as voluntary liquidators. Any person, including a director or officer of the company, may be appointed as its voluntary liquidator: Companies Act, s 120.</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33FA8DC1" w14:textId="1C499F8F" w:rsidR="0009363C" w:rsidRDefault="0069774E" w:rsidP="00586B0F">
      <w:pPr>
        <w:pStyle w:val="BodyText"/>
        <w:ind w:firstLine="0"/>
        <w:rPr>
          <w:rFonts w:ascii="Avenir Next" w:hAnsi="Avenir Next"/>
          <w:b/>
          <w:bCs/>
        </w:rPr>
      </w:pPr>
      <w:r>
        <w:rPr>
          <w:rFonts w:ascii="Avenir Next" w:hAnsi="Avenir Next"/>
          <w:b/>
          <w:bCs/>
        </w:rPr>
        <w:t xml:space="preserve">Pursuant to </w:t>
      </w:r>
      <w:r w:rsidR="00EA3B2F">
        <w:rPr>
          <w:rFonts w:ascii="Avenir Next" w:hAnsi="Avenir Next"/>
          <w:b/>
          <w:bCs/>
        </w:rPr>
        <w:t>section 123 of the Companies Act, within</w:t>
      </w:r>
      <w:r w:rsidR="0009363C">
        <w:rPr>
          <w:rFonts w:ascii="Avenir Next" w:hAnsi="Avenir Next"/>
          <w:b/>
          <w:bCs/>
        </w:rPr>
        <w:t xml:space="preserve"> 28 days of the commencement of Tom and Jerry's appointment</w:t>
      </w:r>
      <w:r w:rsidR="00EA3B2F">
        <w:rPr>
          <w:rFonts w:ascii="Avenir Next" w:hAnsi="Avenir Next"/>
          <w:b/>
          <w:bCs/>
        </w:rPr>
        <w:t xml:space="preserve"> as voluntary liquidators</w:t>
      </w:r>
      <w:r w:rsidR="0009363C">
        <w:rPr>
          <w:rFonts w:ascii="Avenir Next" w:hAnsi="Avenir Next"/>
          <w:b/>
          <w:bCs/>
        </w:rPr>
        <w:t xml:space="preserve">, they (or in their absence, the directors of Cheese </w:t>
      </w:r>
      <w:r w:rsidR="0009363C">
        <w:rPr>
          <w:rFonts w:ascii="Avenir Next" w:hAnsi="Avenir Next"/>
          <w:b/>
          <w:bCs/>
        </w:rPr>
        <w:lastRenderedPageBreak/>
        <w:t>Limited</w:t>
      </w:r>
      <w:r w:rsidR="00EA3B2F">
        <w:rPr>
          <w:rFonts w:ascii="Avenir Next" w:hAnsi="Avenir Next"/>
          <w:b/>
          <w:bCs/>
        </w:rPr>
        <w:t xml:space="preserve">) </w:t>
      </w:r>
      <w:r w:rsidR="0009363C">
        <w:rPr>
          <w:rFonts w:ascii="Avenir Next" w:hAnsi="Avenir Next"/>
          <w:b/>
          <w:bCs/>
        </w:rPr>
        <w:t>must:</w:t>
      </w:r>
    </w:p>
    <w:p w14:paraId="761E102D" w14:textId="77777777" w:rsidR="0009363C" w:rsidRDefault="0009363C" w:rsidP="00586B0F">
      <w:pPr>
        <w:pStyle w:val="BodyText"/>
        <w:ind w:firstLine="0"/>
        <w:rPr>
          <w:rFonts w:ascii="Avenir Next" w:hAnsi="Avenir Next"/>
          <w:b/>
          <w:bCs/>
        </w:rPr>
      </w:pPr>
    </w:p>
    <w:p w14:paraId="6DE109FA" w14:textId="77777777" w:rsidR="0009363C" w:rsidRPr="0009363C" w:rsidRDefault="0009363C" w:rsidP="0009363C">
      <w:pPr>
        <w:pStyle w:val="BodyText"/>
        <w:ind w:left="720" w:firstLine="0"/>
        <w:rPr>
          <w:rFonts w:ascii="Avenir Next" w:hAnsi="Avenir Next"/>
          <w:b/>
          <w:bCs/>
        </w:rPr>
      </w:pPr>
      <w:r w:rsidRPr="0009363C">
        <w:rPr>
          <w:rFonts w:ascii="Avenir Next" w:hAnsi="Avenir Next"/>
          <w:b/>
          <w:bCs/>
        </w:rPr>
        <w:t xml:space="preserve">(a) file notice of the winding up with the Registrar; </w:t>
      </w:r>
    </w:p>
    <w:p w14:paraId="17D2A16A" w14:textId="77777777" w:rsidR="0009363C" w:rsidRPr="0009363C" w:rsidRDefault="0009363C" w:rsidP="0009363C">
      <w:pPr>
        <w:pStyle w:val="BodyText"/>
        <w:ind w:left="720" w:firstLine="0"/>
        <w:rPr>
          <w:rFonts w:ascii="Avenir Next" w:hAnsi="Avenir Next"/>
          <w:b/>
          <w:bCs/>
        </w:rPr>
      </w:pPr>
      <w:r w:rsidRPr="0009363C">
        <w:rPr>
          <w:rFonts w:ascii="Avenir Next" w:hAnsi="Avenir Next"/>
          <w:b/>
          <w:bCs/>
        </w:rPr>
        <w:t xml:space="preserve">(b) file the liquidator’s consent to act with the Registrar; </w:t>
      </w:r>
    </w:p>
    <w:p w14:paraId="0AC17340" w14:textId="77777777" w:rsidR="0009363C" w:rsidRPr="0009363C" w:rsidRDefault="0009363C" w:rsidP="0009363C">
      <w:pPr>
        <w:pStyle w:val="BodyText"/>
        <w:ind w:left="720" w:firstLine="0"/>
        <w:rPr>
          <w:rFonts w:ascii="Avenir Next" w:hAnsi="Avenir Next"/>
          <w:b/>
          <w:bCs/>
        </w:rPr>
      </w:pPr>
      <w:r w:rsidRPr="0009363C">
        <w:rPr>
          <w:rFonts w:ascii="Avenir Next" w:hAnsi="Avenir Next"/>
          <w:b/>
          <w:bCs/>
        </w:rPr>
        <w:t xml:space="preserve">(c) file the director’s declaration of solvency with the Registrar (if the supervision of the court is not sought); </w:t>
      </w:r>
    </w:p>
    <w:p w14:paraId="54B3FF76" w14:textId="77777777" w:rsidR="0009363C" w:rsidRPr="0009363C" w:rsidRDefault="0009363C" w:rsidP="0009363C">
      <w:pPr>
        <w:pStyle w:val="BodyText"/>
        <w:ind w:left="720" w:firstLine="0"/>
        <w:rPr>
          <w:rFonts w:ascii="Avenir Next" w:hAnsi="Avenir Next"/>
          <w:b/>
          <w:bCs/>
        </w:rPr>
      </w:pPr>
      <w:r w:rsidRPr="0009363C">
        <w:rPr>
          <w:rFonts w:ascii="Avenir Next" w:hAnsi="Avenir Next"/>
          <w:b/>
          <w:bCs/>
        </w:rPr>
        <w:t xml:space="preserve">(d) in the case of a company carrying on a regulated business, serve notice of the winding up upon the Authority; and </w:t>
      </w:r>
    </w:p>
    <w:p w14:paraId="3C20C93F" w14:textId="3A6F238F" w:rsidR="0009363C" w:rsidRDefault="0009363C" w:rsidP="0009363C">
      <w:pPr>
        <w:pStyle w:val="BodyText"/>
        <w:ind w:left="720" w:firstLine="0"/>
        <w:rPr>
          <w:rFonts w:ascii="Avenir Next" w:hAnsi="Avenir Next"/>
          <w:b/>
          <w:bCs/>
        </w:rPr>
      </w:pPr>
      <w:r w:rsidRPr="0009363C">
        <w:rPr>
          <w:rFonts w:ascii="Avenir Next" w:hAnsi="Avenir Next"/>
          <w:b/>
          <w:bCs/>
        </w:rPr>
        <w:t>(e) publish notice of the winding up in the Gazette.</w:t>
      </w:r>
    </w:p>
    <w:p w14:paraId="260F4F1D" w14:textId="77777777" w:rsidR="0009363C" w:rsidRDefault="0009363C" w:rsidP="00586B0F">
      <w:pPr>
        <w:pStyle w:val="BodyText"/>
        <w:ind w:firstLine="0"/>
        <w:rPr>
          <w:rFonts w:ascii="Avenir Next" w:hAnsi="Avenir Next"/>
          <w:b/>
          <w:bCs/>
        </w:rPr>
      </w:pPr>
    </w:p>
    <w:p w14:paraId="6A18A7A2" w14:textId="63FD47B8" w:rsidR="00586B0F" w:rsidRPr="00486A0B" w:rsidRDefault="00EA3B2F" w:rsidP="00586B0F">
      <w:pPr>
        <w:pStyle w:val="BodyText"/>
        <w:ind w:firstLine="0"/>
        <w:rPr>
          <w:rFonts w:ascii="Avenir Next" w:hAnsi="Avenir Next"/>
          <w:b/>
          <w:bCs/>
        </w:rPr>
      </w:pPr>
      <w:r>
        <w:rPr>
          <w:rFonts w:ascii="Avenir Next" w:hAnsi="Avenir Next"/>
          <w:b/>
          <w:bCs/>
        </w:rPr>
        <w:t>See also the statutory steps set out in Order 13, rule 2 of the CWR.</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753C2823" w:rsidR="00586B0F" w:rsidRDefault="00EA3B2F" w:rsidP="00EA3B2F">
      <w:pPr>
        <w:pStyle w:val="BodyText"/>
        <w:ind w:firstLine="0"/>
        <w:rPr>
          <w:rFonts w:ascii="Avenir Next" w:hAnsi="Avenir Next"/>
          <w:b/>
          <w:bCs/>
        </w:rPr>
      </w:pPr>
      <w:r w:rsidRPr="00EA3B2F">
        <w:rPr>
          <w:rFonts w:ascii="Avenir Next" w:hAnsi="Avenir Next"/>
          <w:b/>
          <w:bCs/>
        </w:rPr>
        <w:t xml:space="preserve">The </w:t>
      </w:r>
      <w:r>
        <w:rPr>
          <w:rFonts w:ascii="Avenir Next" w:hAnsi="Avenir Next"/>
          <w:b/>
          <w:bCs/>
        </w:rPr>
        <w:t xml:space="preserve">basis of Tom and Jerry's remuneration of voluntary liquidators and the amount shall be </w:t>
      </w:r>
      <w:proofErr w:type="spellStart"/>
      <w:r>
        <w:rPr>
          <w:rFonts w:ascii="Avenir Next" w:hAnsi="Avenir Next"/>
          <w:b/>
          <w:bCs/>
        </w:rPr>
        <w:t>authorised</w:t>
      </w:r>
      <w:proofErr w:type="spellEnd"/>
      <w:r>
        <w:rPr>
          <w:rFonts w:ascii="Avenir Next" w:hAnsi="Avenir Next"/>
          <w:b/>
          <w:bCs/>
        </w:rPr>
        <w:t xml:space="preserve"> by resolution of Cheese Limited (Order 13, rule 9(1) of the CWR).</w:t>
      </w:r>
      <w:r w:rsidR="003A2C50">
        <w:rPr>
          <w:rFonts w:ascii="Avenir Next" w:hAnsi="Avenir Next"/>
          <w:b/>
          <w:bCs/>
        </w:rPr>
        <w:t xml:space="preserve"> A voluntary liquidator shall not be entitled to receive payment of any remuneration out of the company's assets without the prior approval of a resolution passed at a general meeting except in limited circumstances set out in Order 13, rule 9(3).</w:t>
      </w:r>
    </w:p>
    <w:p w14:paraId="76094206" w14:textId="77777777" w:rsidR="00EA3B2F" w:rsidRDefault="00EA3B2F" w:rsidP="00EA3B2F">
      <w:pPr>
        <w:pStyle w:val="BodyText"/>
        <w:ind w:firstLine="0"/>
        <w:rPr>
          <w:rFonts w:ascii="Avenir Next" w:hAnsi="Avenir Next"/>
          <w:b/>
          <w:bCs/>
        </w:rPr>
      </w:pPr>
    </w:p>
    <w:p w14:paraId="3F98A95E" w14:textId="285D3F15" w:rsidR="00EA3B2F" w:rsidRDefault="00EA3B2F" w:rsidP="00EA3B2F">
      <w:pPr>
        <w:pStyle w:val="BodyText"/>
        <w:ind w:firstLine="0"/>
        <w:rPr>
          <w:rFonts w:ascii="Avenir Next" w:hAnsi="Avenir Next"/>
          <w:b/>
          <w:bCs/>
        </w:rPr>
      </w:pPr>
      <w:r>
        <w:rPr>
          <w:rFonts w:ascii="Avenir Next" w:hAnsi="Avenir Next"/>
          <w:b/>
          <w:bCs/>
        </w:rPr>
        <w:t xml:space="preserve">Pursuant to Order 13, rule 9(2) of the CWR, Cheese Limited may resolve to remunerate Tom and Jerry on the basis of: </w:t>
      </w:r>
    </w:p>
    <w:p w14:paraId="26BBB281" w14:textId="77777777" w:rsidR="00EA3B2F" w:rsidRPr="00486A0B" w:rsidRDefault="00EA3B2F" w:rsidP="00EA3B2F">
      <w:pPr>
        <w:pStyle w:val="BodyText"/>
        <w:ind w:firstLine="0"/>
        <w:rPr>
          <w:rFonts w:ascii="Avenir Next" w:hAnsi="Avenir Next"/>
          <w:b/>
          <w:bCs/>
        </w:rPr>
      </w:pPr>
    </w:p>
    <w:p w14:paraId="2245EB74" w14:textId="77777777" w:rsidR="00EA3B2F" w:rsidRDefault="00EA3B2F" w:rsidP="00EA3B2F">
      <w:pPr>
        <w:pStyle w:val="BodyText"/>
        <w:ind w:left="720" w:firstLine="0"/>
        <w:rPr>
          <w:rFonts w:ascii="Avenir Next" w:hAnsi="Avenir Next"/>
          <w:b/>
          <w:bCs/>
        </w:rPr>
      </w:pPr>
      <w:r w:rsidRPr="00EA3B2F">
        <w:rPr>
          <w:rFonts w:ascii="Avenir Next" w:hAnsi="Avenir Next"/>
          <w:b/>
          <w:bCs/>
        </w:rPr>
        <w:t xml:space="preserve">(a) an hourly rate (or scale of rates) for the time reasonably and properly devoted to the liquidation; </w:t>
      </w:r>
    </w:p>
    <w:p w14:paraId="4C20FA34" w14:textId="77777777" w:rsidR="00EA3B2F" w:rsidRDefault="00EA3B2F" w:rsidP="00EA3B2F">
      <w:pPr>
        <w:pStyle w:val="BodyText"/>
        <w:ind w:left="720" w:firstLine="0"/>
        <w:rPr>
          <w:rFonts w:ascii="Avenir Next" w:hAnsi="Avenir Next"/>
          <w:b/>
          <w:bCs/>
        </w:rPr>
      </w:pPr>
      <w:r w:rsidRPr="00EA3B2F">
        <w:rPr>
          <w:rFonts w:ascii="Avenir Next" w:hAnsi="Avenir Next"/>
          <w:b/>
          <w:bCs/>
        </w:rPr>
        <w:t xml:space="preserve">(b) a fixed sum; </w:t>
      </w:r>
    </w:p>
    <w:p w14:paraId="707A79E1" w14:textId="77777777" w:rsidR="00EA3B2F" w:rsidRDefault="00EA3B2F" w:rsidP="00EA3B2F">
      <w:pPr>
        <w:pStyle w:val="BodyText"/>
        <w:ind w:left="720" w:firstLine="0"/>
        <w:rPr>
          <w:rFonts w:ascii="Avenir Next" w:hAnsi="Avenir Next"/>
          <w:b/>
          <w:bCs/>
        </w:rPr>
      </w:pPr>
      <w:r w:rsidRPr="00EA3B2F">
        <w:rPr>
          <w:rFonts w:ascii="Avenir Next" w:hAnsi="Avenir Next"/>
          <w:b/>
          <w:bCs/>
        </w:rPr>
        <w:t xml:space="preserve">(c) a commission or percentage of the assets distributed or </w:t>
      </w:r>
      <w:proofErr w:type="spellStart"/>
      <w:r w:rsidRPr="00EA3B2F">
        <w:rPr>
          <w:rFonts w:ascii="Avenir Next" w:hAnsi="Avenir Next"/>
          <w:b/>
          <w:bCs/>
        </w:rPr>
        <w:t>realised</w:t>
      </w:r>
      <w:proofErr w:type="spellEnd"/>
      <w:r w:rsidRPr="00EA3B2F">
        <w:rPr>
          <w:rFonts w:ascii="Avenir Next" w:hAnsi="Avenir Next"/>
          <w:b/>
          <w:bCs/>
        </w:rPr>
        <w:t xml:space="preserve">; or </w:t>
      </w:r>
    </w:p>
    <w:p w14:paraId="484695F9" w14:textId="4489AB39" w:rsidR="00586B0F" w:rsidRPr="00EA3B2F" w:rsidRDefault="00EA3B2F" w:rsidP="00EA3B2F">
      <w:pPr>
        <w:pStyle w:val="BodyText"/>
        <w:ind w:left="720" w:firstLine="0"/>
        <w:rPr>
          <w:rFonts w:ascii="Avenir Next" w:hAnsi="Avenir Next"/>
          <w:b/>
          <w:bCs/>
        </w:rPr>
      </w:pPr>
      <w:r w:rsidRPr="00EA3B2F">
        <w:rPr>
          <w:rFonts w:ascii="Avenir Next" w:hAnsi="Avenir Next"/>
          <w:b/>
          <w:bCs/>
        </w:rPr>
        <w:t>(d) a combination of these methods.</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0B39E2D2" w14:textId="7D67C481" w:rsidR="008A69A6" w:rsidRDefault="008A69A6" w:rsidP="00586B0F">
      <w:pPr>
        <w:pStyle w:val="BodyText"/>
        <w:ind w:firstLine="0"/>
        <w:rPr>
          <w:rFonts w:ascii="Avenir Next" w:hAnsi="Avenir Next"/>
          <w:b/>
          <w:bCs/>
        </w:rPr>
      </w:pPr>
      <w:r>
        <w:rPr>
          <w:rFonts w:ascii="Avenir Next" w:hAnsi="Avenir Next"/>
          <w:b/>
          <w:bCs/>
        </w:rPr>
        <w:t>Before a provisional liquidator is appointed, the contributories must present a winding up petition (section 104(1)).</w:t>
      </w:r>
    </w:p>
    <w:p w14:paraId="3545A675" w14:textId="77777777" w:rsidR="008A69A6" w:rsidRDefault="008A69A6" w:rsidP="00586B0F">
      <w:pPr>
        <w:pStyle w:val="BodyText"/>
        <w:ind w:firstLine="0"/>
        <w:rPr>
          <w:rFonts w:ascii="Avenir Next" w:hAnsi="Avenir Next"/>
          <w:b/>
          <w:bCs/>
        </w:rPr>
      </w:pPr>
    </w:p>
    <w:p w14:paraId="62FE7FC7" w14:textId="46BF55A6" w:rsidR="00586B0F" w:rsidRDefault="004C1B81" w:rsidP="00586B0F">
      <w:pPr>
        <w:pStyle w:val="BodyText"/>
        <w:ind w:firstLine="0"/>
        <w:rPr>
          <w:rFonts w:ascii="Avenir Next" w:hAnsi="Avenir Next"/>
          <w:b/>
          <w:bCs/>
        </w:rPr>
      </w:pPr>
      <w:r>
        <w:rPr>
          <w:rFonts w:ascii="Avenir Next" w:hAnsi="Avenir Next"/>
          <w:b/>
          <w:bCs/>
        </w:rPr>
        <w:t xml:space="preserve">The powers of the Court on a winding up petition are set out in section 95 of the Companies Act and include the power to: </w:t>
      </w:r>
    </w:p>
    <w:p w14:paraId="1FBE4434" w14:textId="77777777" w:rsidR="004C1B81" w:rsidRDefault="004C1B81" w:rsidP="00586B0F">
      <w:pPr>
        <w:pStyle w:val="BodyText"/>
        <w:ind w:firstLine="0"/>
        <w:rPr>
          <w:rFonts w:ascii="Avenir Next" w:hAnsi="Avenir Next"/>
          <w:b/>
          <w:bCs/>
        </w:rPr>
      </w:pPr>
    </w:p>
    <w:p w14:paraId="204D69FD" w14:textId="3D0E90CC" w:rsidR="004C1B81" w:rsidRDefault="000949BA" w:rsidP="00B70605">
      <w:pPr>
        <w:pStyle w:val="BodyText"/>
        <w:numPr>
          <w:ilvl w:val="0"/>
          <w:numId w:val="28"/>
        </w:numPr>
        <w:rPr>
          <w:rFonts w:ascii="Avenir Next" w:hAnsi="Avenir Next"/>
          <w:b/>
          <w:bCs/>
        </w:rPr>
      </w:pPr>
      <w:r>
        <w:rPr>
          <w:rFonts w:ascii="Avenir Next" w:hAnsi="Avenir Next"/>
          <w:b/>
          <w:bCs/>
        </w:rPr>
        <w:t>d</w:t>
      </w:r>
      <w:r w:rsidR="004C1B81">
        <w:rPr>
          <w:rFonts w:ascii="Avenir Next" w:hAnsi="Avenir Next"/>
          <w:b/>
          <w:bCs/>
        </w:rPr>
        <w:t xml:space="preserve">ismiss the petition; </w:t>
      </w:r>
    </w:p>
    <w:p w14:paraId="13007A04" w14:textId="26525894" w:rsidR="004C1B81" w:rsidRDefault="000949BA" w:rsidP="00B70605">
      <w:pPr>
        <w:pStyle w:val="BodyText"/>
        <w:numPr>
          <w:ilvl w:val="0"/>
          <w:numId w:val="28"/>
        </w:numPr>
        <w:rPr>
          <w:rFonts w:ascii="Avenir Next" w:hAnsi="Avenir Next"/>
          <w:b/>
          <w:bCs/>
        </w:rPr>
      </w:pPr>
      <w:r>
        <w:rPr>
          <w:rFonts w:ascii="Avenir Next" w:hAnsi="Avenir Next"/>
          <w:b/>
          <w:bCs/>
        </w:rPr>
        <w:t>adjourn the hearing conditionally or unconditionally;</w:t>
      </w:r>
    </w:p>
    <w:p w14:paraId="2F4DDF9C" w14:textId="4A4C217B" w:rsidR="000949BA" w:rsidRDefault="000949BA" w:rsidP="00B70605">
      <w:pPr>
        <w:pStyle w:val="BodyText"/>
        <w:numPr>
          <w:ilvl w:val="0"/>
          <w:numId w:val="28"/>
        </w:numPr>
        <w:rPr>
          <w:rFonts w:ascii="Avenir Next" w:hAnsi="Avenir Next"/>
          <w:b/>
          <w:bCs/>
        </w:rPr>
      </w:pPr>
      <w:r>
        <w:rPr>
          <w:rFonts w:ascii="Avenir Next" w:hAnsi="Avenir Next"/>
          <w:b/>
          <w:bCs/>
        </w:rPr>
        <w:t>make a provisional order; and</w:t>
      </w:r>
    </w:p>
    <w:p w14:paraId="44CC6648" w14:textId="44DDF166" w:rsidR="000949BA" w:rsidRDefault="000949BA" w:rsidP="00B70605">
      <w:pPr>
        <w:pStyle w:val="BodyText"/>
        <w:numPr>
          <w:ilvl w:val="0"/>
          <w:numId w:val="28"/>
        </w:numPr>
        <w:rPr>
          <w:rFonts w:ascii="Avenir Next" w:hAnsi="Avenir Next"/>
          <w:b/>
          <w:bCs/>
        </w:rPr>
      </w:pPr>
      <w:r>
        <w:rPr>
          <w:rFonts w:ascii="Avenir Next" w:hAnsi="Avenir Next"/>
          <w:b/>
          <w:bCs/>
        </w:rPr>
        <w:t>any other order that it thinks fit.</w:t>
      </w:r>
    </w:p>
    <w:p w14:paraId="0D85865C" w14:textId="77777777" w:rsidR="008A69A6" w:rsidRDefault="008A69A6" w:rsidP="008A69A6">
      <w:pPr>
        <w:pStyle w:val="BodyText"/>
        <w:ind w:firstLine="0"/>
        <w:rPr>
          <w:rFonts w:ascii="Avenir Next" w:hAnsi="Avenir Next"/>
          <w:b/>
          <w:bCs/>
        </w:rPr>
      </w:pPr>
    </w:p>
    <w:p w14:paraId="1172C345" w14:textId="1882C56B" w:rsidR="008A69A6" w:rsidRDefault="008A69A6" w:rsidP="008A69A6">
      <w:pPr>
        <w:pStyle w:val="BodyText"/>
        <w:ind w:firstLine="0"/>
        <w:rPr>
          <w:rFonts w:ascii="Avenir Next" w:hAnsi="Avenir Next"/>
          <w:b/>
          <w:bCs/>
        </w:rPr>
      </w:pPr>
      <w:r>
        <w:rPr>
          <w:rFonts w:ascii="Avenir Next" w:hAnsi="Avenir Next"/>
          <w:b/>
          <w:bCs/>
        </w:rPr>
        <w:t xml:space="preserve">Once the petition is presented, the contributories may then make an application </w:t>
      </w:r>
      <w:r w:rsidR="00CC0D54">
        <w:rPr>
          <w:rFonts w:ascii="Avenir Next" w:hAnsi="Avenir Next"/>
          <w:b/>
          <w:bCs/>
        </w:rPr>
        <w:t>for the appointment of a provisional liquidator which the Court may grant if it considers it appropriate to do so taking into account the statutory criteria in section 104(2).</w:t>
      </w: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293FBF5A" w:rsidR="00586B0F" w:rsidRPr="00486A0B" w:rsidRDefault="006F3F76" w:rsidP="00586B0F">
      <w:pPr>
        <w:pStyle w:val="BodyText"/>
        <w:ind w:firstLine="0"/>
        <w:rPr>
          <w:rFonts w:ascii="Avenir Next" w:hAnsi="Avenir Next"/>
          <w:b/>
          <w:bCs/>
        </w:rPr>
      </w:pPr>
      <w:r>
        <w:rPr>
          <w:rFonts w:ascii="Avenir Next" w:hAnsi="Avenir Next"/>
          <w:b/>
          <w:bCs/>
        </w:rPr>
        <w:t xml:space="preserve">Pursuant to section 107 of the Companies Act, an official liquidator may be removed from office by order of the Court upon the application of a creditor or a contributory of the company.  In </w:t>
      </w:r>
      <w:r w:rsidR="00EA0C63" w:rsidRPr="00EA0C63">
        <w:rPr>
          <w:rFonts w:ascii="Avenir Next" w:hAnsi="Avenir Next"/>
          <w:b/>
          <w:bCs/>
          <w:i/>
          <w:iCs/>
        </w:rPr>
        <w:t>Re</w:t>
      </w:r>
      <w:r w:rsidR="00EA0C63">
        <w:rPr>
          <w:rFonts w:ascii="Avenir Next" w:hAnsi="Avenir Next"/>
          <w:b/>
          <w:bCs/>
        </w:rPr>
        <w:t xml:space="preserve"> </w:t>
      </w:r>
      <w:r w:rsidRPr="006F3F76">
        <w:rPr>
          <w:rFonts w:ascii="Avenir Next" w:hAnsi="Avenir Next"/>
          <w:b/>
          <w:bCs/>
          <w:i/>
          <w:iCs/>
        </w:rPr>
        <w:t>BTU Power Company</w:t>
      </w:r>
      <w:r>
        <w:rPr>
          <w:rFonts w:ascii="Avenir Next" w:hAnsi="Avenir Next"/>
          <w:b/>
          <w:bCs/>
        </w:rPr>
        <w:t xml:space="preserve"> [2019 (1) CILR Note 7]</w:t>
      </w:r>
      <w:r w:rsidR="00EA0C63">
        <w:rPr>
          <w:rFonts w:ascii="Avenir Next" w:hAnsi="Avenir Next"/>
          <w:b/>
          <w:bCs/>
        </w:rPr>
        <w:t xml:space="preserve"> ("</w:t>
      </w:r>
      <w:r w:rsidR="00EA0C63" w:rsidRPr="00EA0C63">
        <w:rPr>
          <w:rFonts w:ascii="Avenir Next" w:hAnsi="Avenir Next"/>
          <w:b/>
          <w:bCs/>
          <w:i/>
          <w:iCs/>
        </w:rPr>
        <w:t>BTU</w:t>
      </w:r>
      <w:r w:rsidR="00EA0C63">
        <w:rPr>
          <w:rFonts w:ascii="Avenir Next" w:hAnsi="Avenir Next"/>
          <w:b/>
          <w:bCs/>
        </w:rPr>
        <w:t>")</w:t>
      </w:r>
      <w:r>
        <w:rPr>
          <w:rFonts w:ascii="Avenir Next" w:hAnsi="Avenir Next"/>
          <w:b/>
          <w:bCs/>
        </w:rPr>
        <w:t>, the Court found that a former director has no standing to make an application for removal and only a creditor or contributory may make such an application.</w:t>
      </w:r>
    </w:p>
    <w:p w14:paraId="57F1FE27" w14:textId="77777777" w:rsidR="00586B0F" w:rsidRDefault="00586B0F" w:rsidP="00586B0F">
      <w:pPr>
        <w:rPr>
          <w:lang w:val="en-GB"/>
        </w:rPr>
      </w:pPr>
    </w:p>
    <w:p w14:paraId="075A3C53" w14:textId="488C8E1B" w:rsidR="00EA0C63" w:rsidRDefault="00EA0C63" w:rsidP="00586B0F">
      <w:pPr>
        <w:rPr>
          <w:b/>
          <w:bCs/>
          <w:lang w:val="en-GB"/>
        </w:rPr>
      </w:pPr>
      <w:r>
        <w:rPr>
          <w:b/>
          <w:bCs/>
          <w:lang w:val="en-GB"/>
        </w:rPr>
        <w:t xml:space="preserve">The Court has a broad discretion to remove an official liquidator. However, in </w:t>
      </w:r>
      <w:r w:rsidRPr="00EA0C63">
        <w:rPr>
          <w:b/>
          <w:bCs/>
          <w:i/>
          <w:iCs/>
          <w:lang w:val="en-GB"/>
        </w:rPr>
        <w:t>BTU</w:t>
      </w:r>
      <w:r>
        <w:rPr>
          <w:b/>
          <w:bCs/>
          <w:lang w:val="en-GB"/>
        </w:rPr>
        <w:t xml:space="preserve">, Parker J applied the decision of </w:t>
      </w:r>
      <w:r w:rsidRPr="00EA0C63">
        <w:rPr>
          <w:b/>
          <w:bCs/>
          <w:i/>
          <w:iCs/>
          <w:lang w:val="en-GB"/>
        </w:rPr>
        <w:t>AMP Enterprises Ltd (t/a Total Home Entertainment)</w:t>
      </w:r>
      <w:r w:rsidRPr="00EA0C63">
        <w:rPr>
          <w:b/>
          <w:bCs/>
          <w:lang w:val="en-GB"/>
        </w:rPr>
        <w:t xml:space="preserve"> v </w:t>
      </w:r>
      <w:r w:rsidRPr="00EA0C63">
        <w:rPr>
          <w:b/>
          <w:bCs/>
          <w:i/>
          <w:iCs/>
          <w:lang w:val="en-GB"/>
        </w:rPr>
        <w:t>Hoffman</w:t>
      </w:r>
      <w:r w:rsidRPr="00EA0C63">
        <w:rPr>
          <w:b/>
          <w:bCs/>
          <w:lang w:val="en-GB"/>
        </w:rPr>
        <w:t xml:space="preserve"> [2002] BCC 996 </w:t>
      </w:r>
      <w:r>
        <w:rPr>
          <w:b/>
          <w:bCs/>
          <w:lang w:val="en-GB"/>
        </w:rPr>
        <w:t xml:space="preserve">where the Court found that good reasons needed to be demonstrated to remove a liquidator. Although impropriety or misconduct such as a conflict of interest may constitute good reasons, the Court may remove a liquidator in the absence of misconduct. The headnote of </w:t>
      </w:r>
      <w:r w:rsidRPr="00EA0C63">
        <w:rPr>
          <w:b/>
          <w:bCs/>
          <w:i/>
          <w:iCs/>
          <w:lang w:val="en-GB"/>
        </w:rPr>
        <w:t>BTU</w:t>
      </w:r>
      <w:r>
        <w:rPr>
          <w:b/>
          <w:bCs/>
          <w:lang w:val="en-GB"/>
        </w:rPr>
        <w:t xml:space="preserve"> records that Parker J found in that case: </w:t>
      </w:r>
    </w:p>
    <w:p w14:paraId="1A67FF6B" w14:textId="77777777" w:rsidR="00EA0C63" w:rsidRDefault="00EA0C63" w:rsidP="00586B0F">
      <w:pPr>
        <w:rPr>
          <w:b/>
          <w:bCs/>
          <w:lang w:val="en-GB"/>
        </w:rPr>
      </w:pPr>
    </w:p>
    <w:p w14:paraId="64074F31" w14:textId="7F27FEDA" w:rsidR="00EA0C63" w:rsidRDefault="00EA0C63" w:rsidP="00EA0C63">
      <w:pPr>
        <w:ind w:left="720"/>
        <w:rPr>
          <w:b/>
          <w:bCs/>
          <w:lang w:val="en-GB"/>
        </w:rPr>
      </w:pPr>
      <w:r w:rsidRPr="00EA0C63">
        <w:rPr>
          <w:b/>
          <w:bCs/>
          <w:i/>
          <w:iCs/>
        </w:rPr>
        <w:t>"Care needed to be exercised when removing generally effective and honest liquidators. It should not be seen as easy to remove a liquidator so as to encourage applications by creditors who had not had their preferred liquidators appointed or who were for some other reason disgruntled. It was sufficient to satisfy the court that the removal of the liquidator would be for the general advantage of the majority of the persons interested in the liquidation; in the absence of impropriety, the court would have regard to the wishes of the majority of those interested but, where impropriety was shown, the court might override their interests (</w:t>
      </w:r>
      <w:r>
        <w:rPr>
          <w:b/>
          <w:bCs/>
        </w:rPr>
        <w:t xml:space="preserve">citing </w:t>
      </w:r>
      <w:r w:rsidRPr="00EA0C63">
        <w:rPr>
          <w:b/>
          <w:bCs/>
          <w:i/>
          <w:iCs/>
        </w:rPr>
        <w:t>Johnson v</w:t>
      </w:r>
      <w:r>
        <w:rPr>
          <w:b/>
          <w:bCs/>
          <w:i/>
          <w:iCs/>
        </w:rPr>
        <w:t xml:space="preserve"> </w:t>
      </w:r>
      <w:r w:rsidRPr="00EA0C63">
        <w:rPr>
          <w:b/>
          <w:bCs/>
          <w:i/>
          <w:iCs/>
        </w:rPr>
        <w:t>Deloitte &amp; Touche A.G.</w:t>
      </w:r>
      <w:r>
        <w:rPr>
          <w:b/>
          <w:bCs/>
          <w:i/>
          <w:iCs/>
        </w:rPr>
        <w:t xml:space="preserve"> </w:t>
      </w:r>
      <w:r w:rsidRPr="00EA0C63">
        <w:rPr>
          <w:b/>
          <w:bCs/>
        </w:rPr>
        <w:t>[1999 CILR 297</w:t>
      </w:r>
      <w:r>
        <w:rPr>
          <w:b/>
          <w:bCs/>
        </w:rPr>
        <w:t>])."</w:t>
      </w:r>
    </w:p>
    <w:p w14:paraId="2118A6C5" w14:textId="77777777" w:rsidR="00EA0C63" w:rsidRDefault="00EA0C63" w:rsidP="00EA0C63">
      <w:pPr>
        <w:rPr>
          <w:b/>
          <w:bCs/>
          <w:lang w:val="en-GB"/>
        </w:rPr>
      </w:pPr>
    </w:p>
    <w:p w14:paraId="5B6470F9" w14:textId="0B8B7A10" w:rsidR="006F3F76" w:rsidRDefault="00852808" w:rsidP="00586B0F">
      <w:pPr>
        <w:rPr>
          <w:b/>
          <w:bCs/>
          <w:lang w:val="en-GB"/>
        </w:rPr>
      </w:pPr>
      <w:r>
        <w:rPr>
          <w:b/>
          <w:bCs/>
          <w:lang w:val="en-GB"/>
        </w:rPr>
        <w:t>In terms of the procedure for doing so, pursuant</w:t>
      </w:r>
      <w:r w:rsidR="00150033">
        <w:rPr>
          <w:b/>
          <w:bCs/>
          <w:lang w:val="en-GB"/>
        </w:rPr>
        <w:t xml:space="preserve"> to Order 5, rule 6(1) and (2)</w:t>
      </w:r>
      <w:r w:rsidR="00555E14">
        <w:rPr>
          <w:b/>
          <w:bCs/>
          <w:lang w:val="en-GB"/>
        </w:rPr>
        <w:t xml:space="preserve"> of the CWR</w:t>
      </w:r>
      <w:r w:rsidR="00150033">
        <w:rPr>
          <w:b/>
          <w:bCs/>
          <w:lang w:val="en-GB"/>
        </w:rPr>
        <w:t>,</w:t>
      </w:r>
      <w:r w:rsidR="006F3F76" w:rsidRPr="006F3F76">
        <w:rPr>
          <w:b/>
          <w:bCs/>
          <w:lang w:val="en-GB"/>
        </w:rPr>
        <w:t xml:space="preserve"> </w:t>
      </w:r>
      <w:r w:rsidR="00150033">
        <w:rPr>
          <w:b/>
          <w:bCs/>
          <w:lang w:val="en-GB"/>
        </w:rPr>
        <w:t xml:space="preserve">in order to </w:t>
      </w:r>
      <w:r w:rsidR="006F3F76" w:rsidRPr="006F3F76">
        <w:rPr>
          <w:b/>
          <w:bCs/>
          <w:lang w:val="en-GB"/>
        </w:rPr>
        <w:t xml:space="preserve">remove an official liquidator, or appoint a new one, the creditor or contributory must </w:t>
      </w:r>
      <w:r w:rsidR="006F3F76">
        <w:rPr>
          <w:b/>
          <w:bCs/>
          <w:lang w:val="en-GB"/>
        </w:rPr>
        <w:t>file</w:t>
      </w:r>
      <w:r w:rsidR="006F3F76" w:rsidRPr="006F3F76">
        <w:rPr>
          <w:b/>
          <w:bCs/>
          <w:lang w:val="en-GB"/>
        </w:rPr>
        <w:t xml:space="preserve"> a summons (a "removal summons") which must be served on: </w:t>
      </w:r>
    </w:p>
    <w:p w14:paraId="39C4B469" w14:textId="77777777" w:rsidR="00150033" w:rsidRDefault="00150033" w:rsidP="00586B0F">
      <w:pPr>
        <w:rPr>
          <w:b/>
          <w:bCs/>
          <w:lang w:val="en-GB"/>
        </w:rPr>
      </w:pPr>
    </w:p>
    <w:p w14:paraId="31DE2551" w14:textId="77777777" w:rsidR="00150033" w:rsidRDefault="00150033" w:rsidP="00150033">
      <w:pPr>
        <w:ind w:left="720"/>
        <w:rPr>
          <w:b/>
          <w:bCs/>
        </w:rPr>
      </w:pPr>
      <w:r w:rsidRPr="00150033">
        <w:rPr>
          <w:b/>
          <w:bCs/>
        </w:rPr>
        <w:t xml:space="preserve">(a) the official liquidator; and </w:t>
      </w:r>
    </w:p>
    <w:p w14:paraId="689B04BB" w14:textId="77777777" w:rsidR="00150033" w:rsidRDefault="00150033" w:rsidP="00150033">
      <w:pPr>
        <w:ind w:left="720"/>
        <w:rPr>
          <w:b/>
          <w:bCs/>
        </w:rPr>
      </w:pPr>
      <w:r w:rsidRPr="00150033">
        <w:rPr>
          <w:b/>
          <w:bCs/>
        </w:rPr>
        <w:t xml:space="preserve">(b) each member of the liquidation committee; or </w:t>
      </w:r>
    </w:p>
    <w:p w14:paraId="1E930D62" w14:textId="537C2C58" w:rsidR="00150033" w:rsidRDefault="00150033" w:rsidP="00150033">
      <w:pPr>
        <w:ind w:left="720"/>
        <w:rPr>
          <w:b/>
          <w:bCs/>
        </w:rPr>
      </w:pPr>
      <w:r w:rsidRPr="00150033">
        <w:rPr>
          <w:b/>
          <w:bCs/>
        </w:rPr>
        <w:t>(c) counsel for the liquidation committee, if an attorney has been appointed by the liquidation committee th</w:t>
      </w:r>
      <w:r w:rsidR="00555E14">
        <w:rPr>
          <w:b/>
          <w:bCs/>
        </w:rPr>
        <w:t>e</w:t>
      </w:r>
      <w:r w:rsidRPr="00150033">
        <w:rPr>
          <w:b/>
          <w:bCs/>
        </w:rPr>
        <w:t xml:space="preserve"> authority to act generally; and </w:t>
      </w:r>
    </w:p>
    <w:p w14:paraId="14BA16B2" w14:textId="1E1173C5" w:rsidR="00150033" w:rsidRPr="006F3F76" w:rsidRDefault="00150033" w:rsidP="00150033">
      <w:pPr>
        <w:ind w:left="720"/>
        <w:rPr>
          <w:b/>
          <w:bCs/>
          <w:lang w:val="en-GB"/>
        </w:rPr>
      </w:pPr>
      <w:r w:rsidRPr="00150033">
        <w:rPr>
          <w:b/>
          <w:bCs/>
        </w:rPr>
        <w:t>(d) such other creditors or contributories as a Court may direct.</w:t>
      </w:r>
    </w:p>
    <w:p w14:paraId="4A72550C" w14:textId="6611845C" w:rsidR="00150033" w:rsidRDefault="00150033" w:rsidP="00586B0F">
      <w:pPr>
        <w:rPr>
          <w:lang w:val="en-GB"/>
        </w:rPr>
      </w:pPr>
    </w:p>
    <w:p w14:paraId="7D3B193F" w14:textId="77777777" w:rsidR="00150033" w:rsidRPr="00150033" w:rsidRDefault="00150033" w:rsidP="00586B0F">
      <w:pPr>
        <w:rPr>
          <w:b/>
          <w:bCs/>
          <w:lang w:val="en-GB"/>
        </w:rPr>
      </w:pPr>
      <w:r w:rsidRPr="00150033">
        <w:rPr>
          <w:b/>
          <w:bCs/>
          <w:lang w:val="en-GB"/>
        </w:rPr>
        <w:t xml:space="preserve">The removal summons must: </w:t>
      </w:r>
    </w:p>
    <w:p w14:paraId="6320CECB" w14:textId="77777777" w:rsidR="00150033" w:rsidRPr="00150033" w:rsidRDefault="00150033" w:rsidP="00586B0F">
      <w:pPr>
        <w:rPr>
          <w:b/>
          <w:bCs/>
          <w:lang w:val="en-GB"/>
        </w:rPr>
      </w:pPr>
    </w:p>
    <w:p w14:paraId="765B94CF" w14:textId="764386A8" w:rsidR="00150033" w:rsidRDefault="00150033" w:rsidP="00B70605">
      <w:pPr>
        <w:pStyle w:val="ListParagraph"/>
        <w:numPr>
          <w:ilvl w:val="0"/>
          <w:numId w:val="29"/>
        </w:numPr>
        <w:rPr>
          <w:b/>
          <w:bCs/>
          <w:lang w:val="en-GB"/>
        </w:rPr>
      </w:pPr>
      <w:r w:rsidRPr="00150033">
        <w:rPr>
          <w:b/>
          <w:bCs/>
          <w:lang w:val="en-GB"/>
        </w:rPr>
        <w:t>be supported by an affidavit containing all of the facts and matters relied upon</w:t>
      </w:r>
      <w:r>
        <w:rPr>
          <w:b/>
          <w:bCs/>
          <w:lang w:val="en-GB"/>
        </w:rPr>
        <w:t xml:space="preserve"> (Order 5, rule 6(3);</w:t>
      </w:r>
      <w:r w:rsidR="00E05192">
        <w:rPr>
          <w:b/>
          <w:bCs/>
          <w:lang w:val="en-GB"/>
        </w:rPr>
        <w:t xml:space="preserve"> and</w:t>
      </w:r>
    </w:p>
    <w:p w14:paraId="0B8F7E5C" w14:textId="17DAF9D8" w:rsidR="00150033" w:rsidRDefault="00150033" w:rsidP="00B70605">
      <w:pPr>
        <w:pStyle w:val="ListParagraph"/>
        <w:numPr>
          <w:ilvl w:val="0"/>
          <w:numId w:val="29"/>
        </w:numPr>
        <w:rPr>
          <w:b/>
          <w:bCs/>
          <w:lang w:val="en-GB"/>
        </w:rPr>
      </w:pPr>
      <w:r>
        <w:rPr>
          <w:b/>
          <w:bCs/>
          <w:lang w:val="en-GB"/>
        </w:rPr>
        <w:t>nominate a qualified insolvency practitioner whom the Court can appoint in succession to the removed liquidator (Order 5, rule 6(4))</w:t>
      </w:r>
      <w:r w:rsidR="00E05192">
        <w:rPr>
          <w:b/>
          <w:bCs/>
          <w:lang w:val="en-GB"/>
        </w:rPr>
        <w:t>.</w:t>
      </w:r>
    </w:p>
    <w:p w14:paraId="13D87099" w14:textId="2741B6D9" w:rsidR="00150033" w:rsidRPr="00150033" w:rsidRDefault="00150033" w:rsidP="00150033">
      <w:pPr>
        <w:rPr>
          <w:b/>
          <w:bCs/>
          <w:lang w:val="en-GB"/>
        </w:rPr>
      </w:pPr>
      <w:r>
        <w:rPr>
          <w:b/>
          <w:bCs/>
          <w:lang w:val="en-GB"/>
        </w:rPr>
        <w:t>The official liquidator is entitled to at least 14 days' notice of a removal summons (</w:t>
      </w:r>
      <w:r w:rsidR="00555E14">
        <w:rPr>
          <w:b/>
          <w:bCs/>
          <w:lang w:val="en-GB"/>
        </w:rPr>
        <w:t>Order 5, rule 6(5)).</w:t>
      </w:r>
    </w:p>
    <w:p w14:paraId="680A8994" w14:textId="77777777" w:rsidR="00555E14" w:rsidRDefault="00555E14" w:rsidP="00555E14">
      <w:pPr>
        <w:rPr>
          <w:b/>
          <w:bCs/>
          <w:lang w:val="en-GB"/>
        </w:rPr>
      </w:pPr>
    </w:p>
    <w:p w14:paraId="4D8DFE68" w14:textId="377F3C86" w:rsidR="00555E14" w:rsidRPr="00555E14" w:rsidRDefault="00555E14" w:rsidP="00555E14">
      <w:pPr>
        <w:rPr>
          <w:b/>
          <w:bCs/>
          <w:lang w:val="en-GB"/>
        </w:rPr>
      </w:pPr>
      <w:r>
        <w:rPr>
          <w:b/>
          <w:bCs/>
          <w:lang w:val="en-GB"/>
        </w:rPr>
        <w:lastRenderedPageBreak/>
        <w:t>If</w:t>
      </w:r>
      <w:r w:rsidRPr="00555E14">
        <w:rPr>
          <w:b/>
          <w:bCs/>
          <w:lang w:val="en-GB"/>
        </w:rPr>
        <w:t xml:space="preserve"> the official </w:t>
      </w:r>
      <w:r>
        <w:rPr>
          <w:b/>
          <w:bCs/>
          <w:lang w:val="en-GB"/>
        </w:rPr>
        <w:t>liquidator is removed, then they must: (a) deliver the company's books and records and a copy of the official liquidator's files to their successor; and (b) prepare a report and accounts within 28 days (Order 5, rule 6(6)).</w:t>
      </w:r>
    </w:p>
    <w:p w14:paraId="1BADC3F4" w14:textId="77777777" w:rsidR="00555E14" w:rsidRDefault="00555E14"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4A8C0E6D"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sidR="00C20E40">
        <w:rPr>
          <w:lang w:val="en-GB"/>
        </w:rPr>
        <w:t xml:space="preserve"> </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012FF56B" w14:textId="250676B0" w:rsidR="006D7E0B" w:rsidRPr="006D7E0B" w:rsidRDefault="0028105D" w:rsidP="0028105D">
      <w:pPr>
        <w:rPr>
          <w:b/>
          <w:bCs/>
          <w:lang w:val="en-GB"/>
        </w:rPr>
      </w:pPr>
      <w:r>
        <w:rPr>
          <w:b/>
          <w:bCs/>
          <w:lang w:val="en-GB"/>
        </w:rPr>
        <w:t xml:space="preserve">Section 107 of the Companies Act provides that a liquidator can be removed by a creditor or contributory. However, although </w:t>
      </w:r>
      <w:r w:rsidR="00CC0D54">
        <w:rPr>
          <w:b/>
          <w:bCs/>
          <w:lang w:val="en-GB"/>
        </w:rPr>
        <w:t>section 107</w:t>
      </w:r>
      <w:r>
        <w:rPr>
          <w:b/>
          <w:bCs/>
          <w:lang w:val="en-GB"/>
        </w:rPr>
        <w:t xml:space="preserve"> does not specifically state this, the overall scheme of the Companies Act is to provide creditors with the standing to make applications in the case of insolvent companies and for contributories to </w:t>
      </w:r>
      <w:r w:rsidR="00CC0D54">
        <w:rPr>
          <w:b/>
          <w:bCs/>
          <w:lang w:val="en-GB"/>
        </w:rPr>
        <w:t>make applications</w:t>
      </w:r>
      <w:r>
        <w:rPr>
          <w:b/>
          <w:bCs/>
          <w:lang w:val="en-GB"/>
        </w:rPr>
        <w:t xml:space="preserve"> in the case of solvent companies. As an example</w:t>
      </w:r>
      <w:r w:rsidR="006D7E0B" w:rsidRPr="006D7E0B">
        <w:rPr>
          <w:b/>
          <w:bCs/>
          <w:lang w:val="en-GB"/>
        </w:rPr>
        <w:t>,</w:t>
      </w:r>
      <w:r>
        <w:rPr>
          <w:b/>
          <w:bCs/>
          <w:lang w:val="en-GB"/>
        </w:rPr>
        <w:t xml:space="preserve"> pursuant to section 110(4) of the Companies Act,</w:t>
      </w:r>
      <w:r w:rsidR="006D7E0B" w:rsidRPr="006D7E0B">
        <w:rPr>
          <w:b/>
          <w:bCs/>
          <w:lang w:val="en-GB"/>
        </w:rPr>
        <w:t xml:space="preserve"> </w:t>
      </w:r>
      <w:r w:rsidR="00DD7492">
        <w:rPr>
          <w:b/>
          <w:bCs/>
          <w:lang w:val="en-GB"/>
        </w:rPr>
        <w:t>in the case of a solvent company</w:t>
      </w:r>
      <w:r>
        <w:rPr>
          <w:b/>
          <w:bCs/>
          <w:lang w:val="en-GB"/>
        </w:rPr>
        <w:t>,</w:t>
      </w:r>
      <w:r w:rsidR="00DD7492">
        <w:rPr>
          <w:b/>
          <w:bCs/>
          <w:lang w:val="en-GB"/>
        </w:rPr>
        <w:t xml:space="preserve"> only a contributory may apply with respect to the exercise of a liquidators</w:t>
      </w:r>
      <w:r>
        <w:rPr>
          <w:b/>
          <w:bCs/>
          <w:lang w:val="en-GB"/>
        </w:rPr>
        <w:t>'</w:t>
      </w:r>
      <w:r w:rsidR="00DD7492">
        <w:rPr>
          <w:b/>
          <w:bCs/>
          <w:lang w:val="en-GB"/>
        </w:rPr>
        <w:t xml:space="preserve"> powers and creditors have no standing</w:t>
      </w:r>
      <w:r>
        <w:rPr>
          <w:b/>
          <w:bCs/>
          <w:lang w:val="en-GB"/>
        </w:rPr>
        <w:t xml:space="preserve"> to make such an application</w:t>
      </w:r>
      <w:r w:rsidR="00DD7492">
        <w:rPr>
          <w:b/>
          <w:bCs/>
          <w:lang w:val="en-GB"/>
        </w:rPr>
        <w:t>, whilst in the case of an insolvent company, only creditors may apply and contributories have no standing.</w:t>
      </w:r>
    </w:p>
    <w:p w14:paraId="5535D870" w14:textId="0DBD18E2" w:rsidR="001F1E22" w:rsidRDefault="001F1E22" w:rsidP="00D44BFA">
      <w:pPr>
        <w:jc w:val="left"/>
        <w:rPr>
          <w:rFonts w:ascii="Avenir Next Demi Bold" w:hAnsi="Avenir Next Demi Bold"/>
          <w:b/>
          <w:bCs/>
        </w:rPr>
      </w:pPr>
    </w:p>
    <w:p w14:paraId="5EE2828E" w14:textId="0E887CB5" w:rsidR="0028105D" w:rsidRDefault="0028105D" w:rsidP="00D44BFA">
      <w:pPr>
        <w:jc w:val="left"/>
        <w:rPr>
          <w:rFonts w:ascii="Avenir Next Demi Bold" w:hAnsi="Avenir Next Demi Bold"/>
          <w:b/>
          <w:bCs/>
        </w:rPr>
      </w:pPr>
      <w:r>
        <w:rPr>
          <w:rFonts w:ascii="Avenir Next Demi Bold" w:hAnsi="Avenir Next Demi Bold"/>
          <w:b/>
          <w:bCs/>
        </w:rPr>
        <w:t>The rationale for this is because, when a company is insolvent, the contributories are 'out</w:t>
      </w:r>
      <w:r w:rsidR="00CC0D54">
        <w:rPr>
          <w:rFonts w:ascii="Avenir Next Demi Bold" w:hAnsi="Avenir Next Demi Bold"/>
          <w:b/>
          <w:bCs/>
        </w:rPr>
        <w:t>-</w:t>
      </w:r>
      <w:r>
        <w:rPr>
          <w:rFonts w:ascii="Avenir Next Demi Bold" w:hAnsi="Avenir Next Demi Bold"/>
          <w:b/>
          <w:bCs/>
        </w:rPr>
        <w:t>of</w:t>
      </w:r>
      <w:r w:rsidR="00CC0D54">
        <w:rPr>
          <w:rFonts w:ascii="Avenir Next Demi Bold" w:hAnsi="Avenir Next Demi Bold"/>
          <w:b/>
          <w:bCs/>
        </w:rPr>
        <w:t>-</w:t>
      </w:r>
      <w:r>
        <w:rPr>
          <w:rFonts w:ascii="Avenir Next Demi Bold" w:hAnsi="Avenir Next Demi Bold"/>
          <w:b/>
          <w:bCs/>
        </w:rPr>
        <w:t>the</w:t>
      </w:r>
      <w:r w:rsidR="00CC0D54">
        <w:rPr>
          <w:rFonts w:ascii="Avenir Next Demi Bold" w:hAnsi="Avenir Next Demi Bold"/>
          <w:b/>
          <w:bCs/>
        </w:rPr>
        <w:t>-</w:t>
      </w:r>
      <w:r>
        <w:rPr>
          <w:rFonts w:ascii="Avenir Next Demi Bold" w:hAnsi="Avenir Next Demi Bold"/>
          <w:b/>
          <w:bCs/>
        </w:rPr>
        <w:t xml:space="preserve">money' and are unlikely to have any </w:t>
      </w:r>
      <w:r w:rsidR="001E0E04">
        <w:rPr>
          <w:rFonts w:ascii="Avenir Next Demi Bold" w:hAnsi="Avenir Next Demi Bold"/>
          <w:b/>
          <w:bCs/>
        </w:rPr>
        <w:t xml:space="preserve">economic </w:t>
      </w:r>
      <w:r>
        <w:rPr>
          <w:rFonts w:ascii="Avenir Next Demi Bold" w:hAnsi="Avenir Next Demi Bold"/>
          <w:b/>
          <w:bCs/>
        </w:rPr>
        <w:t xml:space="preserve">interest in the liquidation estate (since it is doubtful that creditors of an insolvent company would receive payment of their debts in full). This rationale is reflected in the recent landmark decision of the UK Supreme Court in </w:t>
      </w:r>
      <w:r w:rsidRPr="0028105D">
        <w:rPr>
          <w:rFonts w:ascii="Avenir Next Demi Bold" w:hAnsi="Avenir Next Demi Bold"/>
          <w:b/>
          <w:bCs/>
          <w:i/>
          <w:iCs/>
        </w:rPr>
        <w:t>BTI 2014 LLC v Sequana SA</w:t>
      </w:r>
      <w:r w:rsidRPr="0028105D">
        <w:rPr>
          <w:rFonts w:ascii="Avenir Next Demi Bold" w:hAnsi="Avenir Next Demi Bold"/>
          <w:b/>
          <w:bCs/>
        </w:rPr>
        <w:t xml:space="preserve"> [2022] UKSC 25</w:t>
      </w:r>
      <w:r>
        <w:rPr>
          <w:rFonts w:ascii="Avenir Next Demi Bold" w:hAnsi="Avenir Next Demi Bold"/>
          <w:b/>
          <w:bCs/>
        </w:rPr>
        <w:t xml:space="preserve"> which confirmed that directors of a company may owe duties to</w:t>
      </w:r>
      <w:r w:rsidR="001E0E04">
        <w:rPr>
          <w:rFonts w:ascii="Avenir Next Demi Bold" w:hAnsi="Avenir Next Demi Bold"/>
          <w:b/>
          <w:bCs/>
        </w:rPr>
        <w:t xml:space="preserve"> take into account the interests of</w:t>
      </w:r>
      <w:r>
        <w:rPr>
          <w:rFonts w:ascii="Avenir Next Demi Bold" w:hAnsi="Avenir Next Demi Bold"/>
          <w:b/>
          <w:bCs/>
        </w:rPr>
        <w:t xml:space="preserve"> </w:t>
      </w:r>
      <w:r w:rsidR="001E0E04">
        <w:rPr>
          <w:rFonts w:ascii="Avenir Next Demi Bold" w:hAnsi="Avenir Next Demi Bold"/>
          <w:b/>
          <w:bCs/>
        </w:rPr>
        <w:t>creditors when a company was insolvent or bordering on insolvency.</w:t>
      </w:r>
    </w:p>
    <w:p w14:paraId="445CDB2B" w14:textId="77777777" w:rsidR="0028105D" w:rsidRDefault="0028105D" w:rsidP="00D44BFA">
      <w:pPr>
        <w:jc w:val="left"/>
        <w:rPr>
          <w:rFonts w:ascii="Avenir Next Demi Bold" w:hAnsi="Avenir Next Demi Bold"/>
          <w:b/>
          <w:bCs/>
        </w:rPr>
      </w:pPr>
    </w:p>
    <w:p w14:paraId="01A907BE" w14:textId="4C8DABF0" w:rsidR="0028105D" w:rsidRDefault="0028105D" w:rsidP="00D44BFA">
      <w:pPr>
        <w:jc w:val="left"/>
        <w:rPr>
          <w:rFonts w:ascii="Avenir Next Demi Bold" w:hAnsi="Avenir Next Demi Bold"/>
          <w:b/>
          <w:bCs/>
        </w:rPr>
      </w:pPr>
      <w:r>
        <w:rPr>
          <w:rFonts w:ascii="Avenir Next Demi Bold" w:hAnsi="Avenir Next Demi Bold"/>
          <w:b/>
          <w:bCs/>
        </w:rPr>
        <w:t xml:space="preserve">By contrast, in a solvent </w:t>
      </w:r>
      <w:r w:rsidR="001E0E04">
        <w:rPr>
          <w:rFonts w:ascii="Avenir Next Demi Bold" w:hAnsi="Avenir Next Demi Bold"/>
          <w:b/>
          <w:bCs/>
        </w:rPr>
        <w:t>liquidation</w:t>
      </w:r>
      <w:r>
        <w:rPr>
          <w:rFonts w:ascii="Avenir Next Demi Bold" w:hAnsi="Avenir Next Demi Bold"/>
          <w:b/>
          <w:bCs/>
        </w:rPr>
        <w:t xml:space="preserve">, it </w:t>
      </w:r>
      <w:r w:rsidR="001E0E04">
        <w:rPr>
          <w:rFonts w:ascii="Avenir Next Demi Bold" w:hAnsi="Avenir Next Demi Bold"/>
          <w:b/>
          <w:bCs/>
        </w:rPr>
        <w:t>is the shareholders as the owners of the business who should have standing to make applications, and permitting creditors</w:t>
      </w:r>
      <w:r w:rsidR="00875C69">
        <w:rPr>
          <w:rFonts w:ascii="Avenir Next Demi Bold" w:hAnsi="Avenir Next Demi Bold"/>
          <w:b/>
          <w:bCs/>
        </w:rPr>
        <w:t xml:space="preserve"> (who will be paid in full)</w:t>
      </w:r>
      <w:r w:rsidR="001E0E04">
        <w:rPr>
          <w:rFonts w:ascii="Avenir Next Demi Bold" w:hAnsi="Avenir Next Demi Bold"/>
          <w:b/>
          <w:bCs/>
        </w:rPr>
        <w:t xml:space="preserve"> to make applications would </w:t>
      </w:r>
      <w:r w:rsidR="00875C69">
        <w:rPr>
          <w:rFonts w:ascii="Avenir Next Demi Bold" w:hAnsi="Avenir Next Demi Bold"/>
          <w:b/>
          <w:bCs/>
        </w:rPr>
        <w:t>impermissibly give</w:t>
      </w:r>
      <w:r w:rsidR="001E0E04">
        <w:rPr>
          <w:rFonts w:ascii="Avenir Next Demi Bold" w:hAnsi="Avenir Next Demi Bold"/>
          <w:b/>
          <w:bCs/>
        </w:rPr>
        <w:t xml:space="preserve"> certain creditors</w:t>
      </w:r>
      <w:r w:rsidR="00875C69">
        <w:rPr>
          <w:rFonts w:ascii="Avenir Next Demi Bold" w:hAnsi="Avenir Next Demi Bold"/>
          <w:b/>
          <w:bCs/>
        </w:rPr>
        <w:t xml:space="preserve"> leverage</w:t>
      </w:r>
      <w:r w:rsidR="001E0E04">
        <w:rPr>
          <w:rFonts w:ascii="Avenir Next Demi Bold" w:hAnsi="Avenir Next Demi Bold"/>
          <w:b/>
          <w:bCs/>
        </w:rPr>
        <w:t xml:space="preserve"> to improve their position outside of </w:t>
      </w:r>
      <w:r w:rsidR="00CC0D54">
        <w:rPr>
          <w:rFonts w:ascii="Avenir Next Demi Bold" w:hAnsi="Avenir Next Demi Bold"/>
          <w:b/>
          <w:bCs/>
        </w:rPr>
        <w:t xml:space="preserve">their </w:t>
      </w:r>
      <w:r w:rsidR="001E0E04">
        <w:rPr>
          <w:rFonts w:ascii="Avenir Next Demi Bold" w:hAnsi="Avenir Next Demi Bold"/>
          <w:b/>
          <w:bCs/>
        </w:rPr>
        <w:t>agreed contractual arrangements with the company.</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092C37A3" w14:textId="73C0F011" w:rsidR="00B20DBE" w:rsidRDefault="00B20DBE" w:rsidP="00B20DBE">
      <w:pPr>
        <w:pStyle w:val="BodyText"/>
        <w:ind w:firstLine="0"/>
        <w:rPr>
          <w:rFonts w:ascii="Avenir Next" w:hAnsi="Avenir Next"/>
          <w:b/>
          <w:bCs/>
        </w:rPr>
      </w:pPr>
    </w:p>
    <w:p w14:paraId="3F645DB0" w14:textId="4F3E2B8B" w:rsidR="00875C69" w:rsidRDefault="00875C69" w:rsidP="00B20DBE">
      <w:pPr>
        <w:pStyle w:val="BodyText"/>
        <w:ind w:firstLine="0"/>
        <w:rPr>
          <w:rFonts w:ascii="Avenir Next" w:hAnsi="Avenir Next"/>
          <w:b/>
          <w:bCs/>
        </w:rPr>
      </w:pPr>
      <w:r>
        <w:rPr>
          <w:rFonts w:ascii="Avenir Next" w:hAnsi="Avenir Next"/>
          <w:b/>
          <w:bCs/>
        </w:rPr>
        <w:t>For reasons outlined in the answer to question 2.5 above, if the liquidation is now a solvent liquidation, then the creditors no longer have an interest in the liquidation (as they will be paid in full). In a solvent liquidation, the liquidation committee shall be comprised of between 3 and 5 contributories of the company (</w:t>
      </w:r>
      <w:proofErr w:type="spellStart"/>
      <w:r>
        <w:rPr>
          <w:rFonts w:ascii="Avenir Next" w:hAnsi="Avenir Next"/>
          <w:b/>
          <w:bCs/>
        </w:rPr>
        <w:t>cf</w:t>
      </w:r>
      <w:proofErr w:type="spellEnd"/>
      <w:r>
        <w:rPr>
          <w:rFonts w:ascii="Avenir Next" w:hAnsi="Avenir Next"/>
          <w:b/>
          <w:bCs/>
        </w:rPr>
        <w:t xml:space="preserve"> creditors in an insolvent liquidation) (see Order 9, rule 1(3) of the CWR).</w:t>
      </w:r>
    </w:p>
    <w:p w14:paraId="0D563275" w14:textId="77777777" w:rsidR="00875C69" w:rsidRDefault="00875C69" w:rsidP="00B20DBE">
      <w:pPr>
        <w:pStyle w:val="BodyText"/>
        <w:ind w:firstLine="0"/>
        <w:rPr>
          <w:rFonts w:ascii="Avenir Next" w:hAnsi="Avenir Next"/>
          <w:b/>
          <w:bCs/>
        </w:rPr>
      </w:pPr>
    </w:p>
    <w:p w14:paraId="223886C8" w14:textId="0464E95E" w:rsidR="00875C69" w:rsidRDefault="00875C69" w:rsidP="00B20DBE">
      <w:pPr>
        <w:pStyle w:val="BodyText"/>
        <w:ind w:firstLine="0"/>
        <w:rPr>
          <w:rFonts w:ascii="Avenir Next" w:hAnsi="Avenir Next"/>
          <w:b/>
          <w:bCs/>
        </w:rPr>
      </w:pPr>
      <w:r>
        <w:rPr>
          <w:rFonts w:ascii="Avenir Next" w:hAnsi="Avenir Next"/>
          <w:b/>
          <w:bCs/>
        </w:rPr>
        <w:t>As such, the liquidation committee will need to be reconstituted to include contributories rather than creditors</w:t>
      </w:r>
      <w:r w:rsidR="001D42FC">
        <w:rPr>
          <w:rFonts w:ascii="Avenir Next" w:hAnsi="Avenir Next"/>
          <w:b/>
          <w:bCs/>
        </w:rPr>
        <w:t>. The steps for reconstitution are set out in Order 9, rule 3 of the CWR as follows:</w:t>
      </w:r>
    </w:p>
    <w:p w14:paraId="367D32BD" w14:textId="77777777" w:rsidR="001D42FC" w:rsidRDefault="001D42FC" w:rsidP="00B20DBE">
      <w:pPr>
        <w:pStyle w:val="BodyText"/>
        <w:ind w:firstLine="0"/>
        <w:rPr>
          <w:rFonts w:ascii="Avenir Next" w:hAnsi="Avenir Next"/>
          <w:b/>
          <w:bCs/>
        </w:rPr>
      </w:pPr>
    </w:p>
    <w:p w14:paraId="00F1EED6" w14:textId="77777777" w:rsidR="001D42FC" w:rsidRPr="001D42FC" w:rsidRDefault="001D42FC" w:rsidP="001D42FC">
      <w:pPr>
        <w:pStyle w:val="BodyText"/>
        <w:ind w:left="720" w:firstLine="0"/>
        <w:rPr>
          <w:rFonts w:ascii="Avenir Next" w:hAnsi="Avenir Next"/>
          <w:b/>
          <w:bCs/>
          <w:i/>
          <w:iCs/>
        </w:rPr>
      </w:pPr>
      <w:r w:rsidRPr="001D42FC">
        <w:rPr>
          <w:rFonts w:ascii="Avenir Next" w:hAnsi="Avenir Next"/>
          <w:b/>
          <w:bCs/>
          <w:i/>
          <w:iCs/>
        </w:rPr>
        <w:t xml:space="preserve">(1) If, during the course of the liquidation, the official liquidator changes the official liquidator’s certification of the company’s solvency or insolvency (as the case may be), the official liquidator shall take the following steps to reconstitute the liquidation committee. </w:t>
      </w:r>
    </w:p>
    <w:p w14:paraId="0B3830EB" w14:textId="77777777" w:rsidR="001D42FC" w:rsidRPr="001D42FC" w:rsidRDefault="001D42FC" w:rsidP="001D42FC">
      <w:pPr>
        <w:pStyle w:val="BodyText"/>
        <w:ind w:left="720" w:firstLine="0"/>
        <w:rPr>
          <w:rFonts w:ascii="Avenir Next" w:hAnsi="Avenir Next"/>
          <w:b/>
          <w:bCs/>
          <w:i/>
          <w:iCs/>
        </w:rPr>
      </w:pPr>
      <w:r w:rsidRPr="001D42FC">
        <w:rPr>
          <w:rFonts w:ascii="Avenir Next" w:hAnsi="Avenir Next"/>
          <w:b/>
          <w:bCs/>
          <w:i/>
          <w:iCs/>
        </w:rPr>
        <w:t xml:space="preserve">(2) If the company is certified to be solvent, any creditor members of its liquidation </w:t>
      </w:r>
      <w:r w:rsidRPr="001D42FC">
        <w:rPr>
          <w:rFonts w:ascii="Avenir Next" w:hAnsi="Avenir Next"/>
          <w:b/>
          <w:bCs/>
          <w:i/>
          <w:iCs/>
        </w:rPr>
        <w:lastRenderedPageBreak/>
        <w:t xml:space="preserve">committee shall automatically cease to be members and the official liquidator shall convene a meeting of contributories for the purpose of electing new members from amongst the company’s contributories. </w:t>
      </w:r>
    </w:p>
    <w:p w14:paraId="005F1015" w14:textId="77777777" w:rsidR="00B20DBE" w:rsidRDefault="00B20DBE" w:rsidP="00B20DBE"/>
    <w:p w14:paraId="64982EA6" w14:textId="3D427BD5" w:rsidR="001D42FC" w:rsidRPr="001D42FC" w:rsidRDefault="001D42FC" w:rsidP="001D42FC">
      <w:pPr>
        <w:pStyle w:val="BodyText"/>
        <w:ind w:firstLine="0"/>
        <w:rPr>
          <w:rFonts w:ascii="Avenir Next" w:hAnsi="Avenir Next"/>
          <w:b/>
          <w:bCs/>
        </w:rPr>
      </w:pPr>
      <w:r w:rsidRPr="001D42FC">
        <w:rPr>
          <w:rFonts w:ascii="Avenir Next" w:hAnsi="Avenir Next"/>
          <w:b/>
          <w:bCs/>
        </w:rPr>
        <w:t>As such, the</w:t>
      </w:r>
      <w:r>
        <w:rPr>
          <w:rFonts w:ascii="Avenir Next" w:hAnsi="Avenir Next"/>
          <w:b/>
          <w:bCs/>
        </w:rPr>
        <w:t xml:space="preserve"> present members of the liquidation committee will automatically cease to be members and the</w:t>
      </w:r>
      <w:r w:rsidRPr="001D42FC">
        <w:rPr>
          <w:rFonts w:ascii="Avenir Next" w:hAnsi="Avenir Next"/>
          <w:b/>
          <w:bCs/>
        </w:rPr>
        <w:t xml:space="preserve"> liquidat</w:t>
      </w:r>
      <w:r>
        <w:rPr>
          <w:rFonts w:ascii="Avenir Next" w:hAnsi="Avenir Next"/>
          <w:b/>
          <w:bCs/>
        </w:rPr>
        <w:t>or will need call a meeting of contributories to elect new members of the committee.</w:t>
      </w:r>
    </w:p>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5F061C7" w14:textId="77777777" w:rsidR="001E0E04" w:rsidRDefault="001E0E04" w:rsidP="003960DF">
      <w:pPr>
        <w:rPr>
          <w:rFonts w:ascii="Avenir Next LT Pro" w:hAnsi="Avenir Next LT Pro"/>
          <w:i/>
          <w:iCs/>
        </w:rPr>
      </w:pPr>
    </w:p>
    <w:p w14:paraId="52B176B8" w14:textId="3D9CDDA9" w:rsidR="00B20DBE" w:rsidRDefault="003960DF" w:rsidP="003960DF">
      <w:pPr>
        <w:rPr>
          <w:b/>
          <w:bCs/>
          <w:lang w:val="en-GB"/>
        </w:rPr>
      </w:pPr>
      <w:r>
        <w:rPr>
          <w:b/>
          <w:bCs/>
          <w:lang w:val="en-GB"/>
        </w:rPr>
        <w:t>An order for</w:t>
      </w:r>
      <w:r w:rsidRPr="003960DF">
        <w:rPr>
          <w:b/>
          <w:bCs/>
          <w:lang w:val="en-GB"/>
        </w:rPr>
        <w:t xml:space="preserve"> dissolution </w:t>
      </w:r>
      <w:r>
        <w:rPr>
          <w:b/>
          <w:bCs/>
          <w:lang w:val="en-GB"/>
        </w:rPr>
        <w:t>is made once the</w:t>
      </w:r>
      <w:r w:rsidR="00D37F34">
        <w:rPr>
          <w:b/>
          <w:bCs/>
          <w:lang w:val="en-GB"/>
        </w:rPr>
        <w:t xml:space="preserve"> affairs of the company have been</w:t>
      </w:r>
      <w:r>
        <w:rPr>
          <w:b/>
          <w:bCs/>
          <w:lang w:val="en-GB"/>
        </w:rPr>
        <w:t xml:space="preserve"> completely wound up and is an order that the company be dissolved from the date of that order or such other date as the Court thinks fit (section 152 of the Companies Act). An order for dissolution must comply with Order 22, rule 2 of the CWR.</w:t>
      </w:r>
    </w:p>
    <w:p w14:paraId="25ABE92B" w14:textId="77777777" w:rsidR="003960DF" w:rsidRDefault="003960DF" w:rsidP="003960DF">
      <w:pPr>
        <w:rPr>
          <w:b/>
          <w:bCs/>
          <w:lang w:val="en-GB"/>
        </w:rPr>
      </w:pPr>
    </w:p>
    <w:p w14:paraId="1F50E972" w14:textId="1F130DA9" w:rsidR="003960DF" w:rsidRDefault="003960DF" w:rsidP="003960DF">
      <w:pPr>
        <w:rPr>
          <w:b/>
          <w:bCs/>
          <w:lang w:val="en-GB"/>
        </w:rPr>
      </w:pPr>
      <w:r>
        <w:rPr>
          <w:b/>
          <w:bCs/>
          <w:lang w:val="en-GB"/>
        </w:rPr>
        <w:t>Following the making of an order for dissolution:</w:t>
      </w:r>
    </w:p>
    <w:p w14:paraId="4739D6A1" w14:textId="77777777" w:rsidR="003960DF" w:rsidRDefault="003960DF" w:rsidP="003960DF">
      <w:pPr>
        <w:rPr>
          <w:b/>
          <w:bCs/>
          <w:lang w:val="en-GB"/>
        </w:rPr>
      </w:pPr>
    </w:p>
    <w:p w14:paraId="40BD2126" w14:textId="6BA3484A" w:rsidR="003960DF" w:rsidRDefault="003960DF" w:rsidP="003960DF">
      <w:pPr>
        <w:pStyle w:val="ListParagraph"/>
        <w:numPr>
          <w:ilvl w:val="0"/>
          <w:numId w:val="34"/>
        </w:numPr>
        <w:rPr>
          <w:b/>
          <w:bCs/>
          <w:lang w:val="en-GB"/>
        </w:rPr>
      </w:pPr>
      <w:r>
        <w:rPr>
          <w:b/>
          <w:bCs/>
          <w:lang w:val="en-GB"/>
        </w:rPr>
        <w:t>The liquidator must retain the liquidation files in safe custody for three years (Order 26, rule 2(3) of the CWR);</w:t>
      </w:r>
    </w:p>
    <w:p w14:paraId="49B36D7C" w14:textId="1D5DE27C" w:rsidR="003960DF" w:rsidRDefault="003960DF" w:rsidP="003960DF">
      <w:pPr>
        <w:pStyle w:val="ListParagraph"/>
        <w:numPr>
          <w:ilvl w:val="0"/>
          <w:numId w:val="34"/>
        </w:numPr>
        <w:rPr>
          <w:b/>
          <w:bCs/>
          <w:lang w:val="en-GB"/>
        </w:rPr>
      </w:pPr>
      <w:r>
        <w:rPr>
          <w:b/>
          <w:bCs/>
          <w:lang w:val="en-GB"/>
        </w:rPr>
        <w:t>The Court must give directions in respect of the preservation, storage and destruction of the company's remaining books and records and the costs of storage and destruction are costs of the liquidation for which provision is to be made in the final accounts (Order 26, rule 3(4), (6) of the CWR); and</w:t>
      </w:r>
    </w:p>
    <w:p w14:paraId="1A9B53DE" w14:textId="174FEFE8" w:rsidR="003960DF" w:rsidRDefault="003960DF" w:rsidP="003960DF">
      <w:pPr>
        <w:pStyle w:val="ListParagraph"/>
        <w:numPr>
          <w:ilvl w:val="0"/>
          <w:numId w:val="34"/>
        </w:numPr>
        <w:rPr>
          <w:b/>
          <w:bCs/>
          <w:lang w:val="en-GB"/>
        </w:rPr>
      </w:pPr>
      <w:r>
        <w:rPr>
          <w:b/>
          <w:bCs/>
          <w:lang w:val="en-GB"/>
        </w:rPr>
        <w:t xml:space="preserve">The liquidator or former liquidator </w:t>
      </w:r>
      <w:r w:rsidR="00D37F34">
        <w:rPr>
          <w:b/>
          <w:bCs/>
          <w:lang w:val="en-GB"/>
        </w:rPr>
        <w:t>in possession or control of</w:t>
      </w:r>
      <w:r>
        <w:rPr>
          <w:b/>
          <w:bCs/>
          <w:lang w:val="en-GB"/>
        </w:rPr>
        <w:t xml:space="preserve"> </w:t>
      </w:r>
      <w:r w:rsidR="00D37F34">
        <w:rPr>
          <w:b/>
          <w:bCs/>
          <w:lang w:val="en-GB"/>
        </w:rPr>
        <w:t>unclaimed dividends or undistributed assets shall hold them on trust for the benefit of the creditors or contributories to whom such funds are owed (section 153 of the Companies Act, Order 21, rule 1 of the CWR).  The former liquidator shall be responsible for dealing with all claims and shall be authorised to make payment or transfer title to those persons who appear to be unpaid creditors or members of the company prior to its dissolution (Order 23, rule 4 of the CWR).</w:t>
      </w:r>
    </w:p>
    <w:p w14:paraId="019672A3" w14:textId="77777777" w:rsidR="003960DF" w:rsidRDefault="003960DF" w:rsidP="003960DF">
      <w:pPr>
        <w:rPr>
          <w:b/>
          <w:bCs/>
          <w:lang w:val="en-GB"/>
        </w:rPr>
      </w:pPr>
    </w:p>
    <w:p w14:paraId="7D2443F0" w14:textId="2F7B7EAB" w:rsidR="00B20DBE" w:rsidRPr="003960DF" w:rsidRDefault="003960DF" w:rsidP="00B20DBE">
      <w:pPr>
        <w:rPr>
          <w:b/>
          <w:bCs/>
          <w:lang w:val="en-GB"/>
        </w:rPr>
      </w:pPr>
      <w:r>
        <w:rPr>
          <w:b/>
          <w:bCs/>
          <w:lang w:val="en-GB"/>
        </w:rPr>
        <w:t>Upon the making of an order for dissolution, the official liquidator's duties as officeholder cease save for any residual duties preserved by the order for dissolution.</w:t>
      </w: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60AAB916" w14:textId="3B2AF2F3" w:rsidR="00EA6DD1" w:rsidRDefault="00EA6DD1" w:rsidP="00DC1E66">
      <w:pPr>
        <w:rPr>
          <w:b/>
          <w:bCs/>
          <w:lang w:val="en-GB"/>
        </w:rPr>
      </w:pPr>
      <w:r>
        <w:rPr>
          <w:b/>
          <w:bCs/>
          <w:lang w:val="en-GB"/>
        </w:rPr>
        <w:t>It is assumed that this question relates to the powers and duties of an official liquidator, as a voluntary liquidator is not required to conduct any investigations.</w:t>
      </w:r>
    </w:p>
    <w:p w14:paraId="4EB23D55" w14:textId="77777777" w:rsidR="00EA6DD1" w:rsidRDefault="00EA6DD1" w:rsidP="00DC1E66">
      <w:pPr>
        <w:rPr>
          <w:b/>
          <w:bCs/>
          <w:lang w:val="en-GB"/>
        </w:rPr>
      </w:pPr>
    </w:p>
    <w:p w14:paraId="56D4CB85" w14:textId="417D4D17" w:rsidR="00DC1E66" w:rsidRPr="00DC1E66" w:rsidRDefault="00D37F34" w:rsidP="00DC1E66">
      <w:pPr>
        <w:rPr>
          <w:b/>
          <w:bCs/>
          <w:lang w:val="en-GB"/>
        </w:rPr>
      </w:pPr>
      <w:r w:rsidRPr="00D37F34">
        <w:rPr>
          <w:b/>
          <w:bCs/>
          <w:lang w:val="en-GB"/>
        </w:rPr>
        <w:t xml:space="preserve">A Cayman </w:t>
      </w:r>
      <w:r w:rsidR="00EA6DD1">
        <w:rPr>
          <w:b/>
          <w:bCs/>
          <w:lang w:val="en-GB"/>
        </w:rPr>
        <w:t xml:space="preserve">official </w:t>
      </w:r>
      <w:r w:rsidRPr="00D37F34">
        <w:rPr>
          <w:b/>
          <w:bCs/>
          <w:lang w:val="en-GB"/>
        </w:rPr>
        <w:t xml:space="preserve">liquidator </w:t>
      </w:r>
      <w:r w:rsidR="00DC1E66">
        <w:rPr>
          <w:b/>
          <w:bCs/>
          <w:lang w:val="en-GB"/>
        </w:rPr>
        <w:t>is an officer of the court and is required to "make himself thoroughly acquainted with the affairs of the company; and to suppress nothing, and to conceal nothing, which has come to his knowledge in the course of his investigation, which is material to ascertain the exact truth in every case before the Court" (</w:t>
      </w:r>
      <w:r w:rsidR="00DC1E66" w:rsidRPr="005E3EFC">
        <w:rPr>
          <w:b/>
          <w:bCs/>
          <w:i/>
          <w:iCs/>
          <w:lang w:val="en-GB"/>
        </w:rPr>
        <w:t>Gooch's Case</w:t>
      </w:r>
      <w:r w:rsidR="00DC1E66">
        <w:rPr>
          <w:b/>
          <w:bCs/>
          <w:lang w:val="en-GB"/>
        </w:rPr>
        <w:t xml:space="preserve"> (1972) 7 Ch App 207 as applied in </w:t>
      </w:r>
      <w:r w:rsidR="00DC1E66" w:rsidRPr="00F62508">
        <w:rPr>
          <w:b/>
          <w:bCs/>
          <w:i/>
          <w:iCs/>
          <w:lang w:val="en-GB"/>
        </w:rPr>
        <w:t xml:space="preserve">Re </w:t>
      </w:r>
      <w:proofErr w:type="spellStart"/>
      <w:r w:rsidR="00DC1E66" w:rsidRPr="00F62508">
        <w:rPr>
          <w:b/>
          <w:bCs/>
          <w:i/>
          <w:iCs/>
          <w:lang w:val="en-GB"/>
        </w:rPr>
        <w:t>Citrico</w:t>
      </w:r>
      <w:proofErr w:type="spellEnd"/>
      <w:r w:rsidR="00DC1E66" w:rsidRPr="00F62508">
        <w:rPr>
          <w:b/>
          <w:bCs/>
          <w:i/>
          <w:iCs/>
          <w:lang w:val="en-GB"/>
        </w:rPr>
        <w:t xml:space="preserve"> International Limited</w:t>
      </w:r>
      <w:r w:rsidR="00DC1E66">
        <w:rPr>
          <w:b/>
          <w:bCs/>
          <w:lang w:val="en-GB"/>
        </w:rPr>
        <w:t xml:space="preserve"> [2004-05 CILR 435]. </w:t>
      </w:r>
    </w:p>
    <w:p w14:paraId="48B88793" w14:textId="77777777" w:rsidR="00D44BFA" w:rsidRDefault="00D44BFA" w:rsidP="00ED248F">
      <w:pPr>
        <w:rPr>
          <w:rFonts w:ascii="Avenir Next LT Pro" w:hAnsi="Avenir Next LT Pro"/>
        </w:rPr>
      </w:pPr>
    </w:p>
    <w:p w14:paraId="61890913" w14:textId="37DDB738" w:rsidR="00DD7492" w:rsidRDefault="00DD7492" w:rsidP="00ED248F">
      <w:pPr>
        <w:rPr>
          <w:b/>
          <w:bCs/>
          <w:lang w:val="en-GB"/>
        </w:rPr>
      </w:pPr>
      <w:r>
        <w:rPr>
          <w:b/>
          <w:bCs/>
          <w:lang w:val="en-GB"/>
        </w:rPr>
        <w:lastRenderedPageBreak/>
        <w:t xml:space="preserve">Section 102(1) of the Companies Act empowers </w:t>
      </w:r>
      <w:r w:rsidR="00EA6DD1">
        <w:rPr>
          <w:b/>
          <w:bCs/>
          <w:lang w:val="en-GB"/>
        </w:rPr>
        <w:t>an official</w:t>
      </w:r>
      <w:r>
        <w:rPr>
          <w:b/>
          <w:bCs/>
          <w:lang w:val="en-GB"/>
        </w:rPr>
        <w:t xml:space="preserve"> liquidator to investigate:</w:t>
      </w:r>
    </w:p>
    <w:p w14:paraId="781DF167" w14:textId="77777777" w:rsidR="00DD7492" w:rsidRDefault="00DD7492" w:rsidP="00ED248F">
      <w:pPr>
        <w:rPr>
          <w:b/>
          <w:bCs/>
          <w:lang w:val="en-GB"/>
        </w:rPr>
      </w:pPr>
    </w:p>
    <w:p w14:paraId="6722C8EB" w14:textId="560BE7E7" w:rsidR="00DD7492" w:rsidRPr="00EA6DD1" w:rsidRDefault="00EA6DD1" w:rsidP="00DD7492">
      <w:pPr>
        <w:pStyle w:val="ListParagraph"/>
        <w:numPr>
          <w:ilvl w:val="0"/>
          <w:numId w:val="38"/>
        </w:numPr>
        <w:rPr>
          <w:b/>
          <w:bCs/>
          <w:lang w:val="en-GB"/>
        </w:rPr>
      </w:pPr>
      <w:r w:rsidRPr="00EA6DD1">
        <w:rPr>
          <w:b/>
          <w:bCs/>
          <w:lang w:val="en-GB"/>
        </w:rPr>
        <w:t>If the Company has failed, the causes of the failure; and</w:t>
      </w:r>
    </w:p>
    <w:p w14:paraId="2F8BD602" w14:textId="49DE9BD8" w:rsidR="00EA6DD1" w:rsidRPr="00F62508" w:rsidRDefault="00EA6DD1" w:rsidP="00EA6DD1">
      <w:pPr>
        <w:pStyle w:val="ListParagraph"/>
        <w:numPr>
          <w:ilvl w:val="0"/>
          <w:numId w:val="38"/>
        </w:numPr>
        <w:rPr>
          <w:b/>
          <w:bCs/>
          <w:lang w:val="en-GB"/>
        </w:rPr>
      </w:pPr>
      <w:r w:rsidRPr="00EA6DD1">
        <w:rPr>
          <w:b/>
          <w:bCs/>
          <w:lang w:val="en-GB"/>
        </w:rPr>
        <w:t>Generally, the promotion, business, dealings and affairs of the company.</w:t>
      </w:r>
    </w:p>
    <w:p w14:paraId="46277F69" w14:textId="77777777" w:rsidR="00F62508" w:rsidRDefault="00EA6DD1" w:rsidP="00EA6DD1">
      <w:pPr>
        <w:rPr>
          <w:b/>
          <w:bCs/>
          <w:lang w:val="en-GB"/>
        </w:rPr>
      </w:pPr>
      <w:r>
        <w:rPr>
          <w:b/>
          <w:bCs/>
          <w:lang w:val="en-GB"/>
        </w:rPr>
        <w:t>In addition</w:t>
      </w:r>
      <w:r w:rsidR="00F62508">
        <w:rPr>
          <w:b/>
          <w:bCs/>
          <w:lang w:val="en-GB"/>
        </w:rPr>
        <w:t xml:space="preserve">: </w:t>
      </w:r>
    </w:p>
    <w:p w14:paraId="338F152A" w14:textId="77777777" w:rsidR="00F62508" w:rsidRDefault="00F62508" w:rsidP="00EA6DD1">
      <w:pPr>
        <w:rPr>
          <w:b/>
          <w:bCs/>
          <w:lang w:val="en-GB"/>
        </w:rPr>
      </w:pPr>
    </w:p>
    <w:p w14:paraId="38B12A90" w14:textId="5806E8B2" w:rsidR="00F62508" w:rsidRDefault="00F62508" w:rsidP="00ED248F">
      <w:pPr>
        <w:pStyle w:val="ListParagraph"/>
        <w:numPr>
          <w:ilvl w:val="0"/>
          <w:numId w:val="39"/>
        </w:numPr>
        <w:rPr>
          <w:b/>
          <w:bCs/>
          <w:lang w:val="en-GB"/>
        </w:rPr>
      </w:pPr>
      <w:r>
        <w:rPr>
          <w:b/>
          <w:bCs/>
          <w:lang w:val="en-GB"/>
        </w:rPr>
        <w:t>The official</w:t>
      </w:r>
      <w:r w:rsidR="00EA6DD1" w:rsidRPr="00F62508">
        <w:rPr>
          <w:b/>
          <w:bCs/>
          <w:lang w:val="en-GB"/>
        </w:rPr>
        <w:t xml:space="preserve"> liquidator has the power to assist both CIMA and the Royal Cayman Islands Police Service to investigate the conduct of persons and institute a criminal prosecution (section 102(2)</w:t>
      </w:r>
      <w:r w:rsidR="00BC4B1C">
        <w:rPr>
          <w:b/>
          <w:bCs/>
          <w:lang w:val="en-GB"/>
        </w:rPr>
        <w:t xml:space="preserve"> of the </w:t>
      </w:r>
      <w:r w:rsidR="00BC4B1C" w:rsidRPr="00F62508">
        <w:rPr>
          <w:b/>
          <w:bCs/>
          <w:lang w:val="en-GB"/>
        </w:rPr>
        <w:t>Companies Act</w:t>
      </w:r>
      <w:r>
        <w:rPr>
          <w:b/>
          <w:bCs/>
          <w:lang w:val="en-GB"/>
        </w:rPr>
        <w:t>);</w:t>
      </w:r>
    </w:p>
    <w:p w14:paraId="62F26D9F" w14:textId="2DB37D28" w:rsidR="00EA6DD1" w:rsidRDefault="00EA6DD1" w:rsidP="00ED248F">
      <w:pPr>
        <w:pStyle w:val="ListParagraph"/>
        <w:numPr>
          <w:ilvl w:val="0"/>
          <w:numId w:val="39"/>
        </w:numPr>
        <w:rPr>
          <w:b/>
          <w:bCs/>
          <w:lang w:val="en-GB"/>
        </w:rPr>
      </w:pPr>
      <w:r w:rsidRPr="00F62508">
        <w:rPr>
          <w:b/>
          <w:bCs/>
          <w:lang w:val="en-GB"/>
        </w:rPr>
        <w:t>Official liquidators have the power to require certain persons involved with the company to prepare a statement of affairs for the company (section 100 of the Companies Act)</w:t>
      </w:r>
      <w:r w:rsidR="00F62508">
        <w:rPr>
          <w:b/>
          <w:bCs/>
          <w:lang w:val="en-GB"/>
        </w:rPr>
        <w:t>;</w:t>
      </w:r>
    </w:p>
    <w:p w14:paraId="69D252A3" w14:textId="41CC1054" w:rsidR="00EA6DD1" w:rsidRPr="00F62508" w:rsidRDefault="00F62508" w:rsidP="00ED248F">
      <w:pPr>
        <w:pStyle w:val="ListParagraph"/>
        <w:numPr>
          <w:ilvl w:val="0"/>
          <w:numId w:val="39"/>
        </w:numPr>
        <w:rPr>
          <w:b/>
          <w:bCs/>
          <w:lang w:val="en-GB"/>
        </w:rPr>
      </w:pPr>
      <w:r>
        <w:rPr>
          <w:b/>
          <w:bCs/>
          <w:lang w:val="en-GB"/>
        </w:rPr>
        <w:t>Official liquidators may apply to the Court for an order for the examination of a relevant person (being someone involved in the company as defined in subsection (1)) or for that relevant person to transfer or deliver up documents belonging to the company (section 103(3) of the Companies Act). The Court may order that the relevant person s</w:t>
      </w:r>
      <w:r w:rsidR="00CC0D54">
        <w:rPr>
          <w:b/>
          <w:bCs/>
          <w:lang w:val="en-GB"/>
        </w:rPr>
        <w:t>w</w:t>
      </w:r>
      <w:r>
        <w:rPr>
          <w:b/>
          <w:bCs/>
          <w:lang w:val="en-GB"/>
        </w:rPr>
        <w:t>ear an affidavit in answer to written interrogatories, attend for oral examination at a specified time and place or do both (section 103(5) of the Companies Act).</w:t>
      </w:r>
      <w:r w:rsidR="00BC4B1C">
        <w:rPr>
          <w:b/>
          <w:bCs/>
          <w:lang w:val="en-GB"/>
        </w:rPr>
        <w:t xml:space="preserve"> The liquidator is obliged to conduct </w:t>
      </w:r>
      <w:r w:rsidR="00CC0D54">
        <w:rPr>
          <w:b/>
          <w:bCs/>
          <w:lang w:val="en-GB"/>
        </w:rPr>
        <w:t>an</w:t>
      </w:r>
      <w:r w:rsidR="00BC4B1C">
        <w:rPr>
          <w:b/>
          <w:bCs/>
          <w:lang w:val="en-GB"/>
        </w:rPr>
        <w:t xml:space="preserve"> </w:t>
      </w:r>
      <w:r w:rsidR="00CC0D54">
        <w:rPr>
          <w:b/>
          <w:bCs/>
          <w:lang w:val="en-GB"/>
        </w:rPr>
        <w:t>examination or make a document request</w:t>
      </w:r>
      <w:r w:rsidR="00BC4B1C">
        <w:rPr>
          <w:b/>
          <w:bCs/>
          <w:lang w:val="en-GB"/>
        </w:rPr>
        <w:t xml:space="preserve"> if requested to do so by one-half in value of the company's creditors or contributories (section</w:t>
      </w:r>
      <w:r w:rsidR="00CC0D54">
        <w:rPr>
          <w:b/>
          <w:bCs/>
          <w:lang w:val="en-GB"/>
        </w:rPr>
        <w:t xml:space="preserve"> 103(4)).</w:t>
      </w:r>
    </w:p>
    <w:p w14:paraId="38AE7DEC" w14:textId="096459B6" w:rsidR="006D7E0B" w:rsidRDefault="005E3EFC" w:rsidP="00ED248F">
      <w:pPr>
        <w:rPr>
          <w:b/>
          <w:bCs/>
          <w:lang w:val="en-GB"/>
        </w:rPr>
      </w:pPr>
      <w:r w:rsidRPr="005E3EFC">
        <w:rPr>
          <w:b/>
          <w:bCs/>
          <w:lang w:val="en-GB"/>
        </w:rPr>
        <w:t xml:space="preserve">Section 110 </w:t>
      </w:r>
      <w:r w:rsidR="006D7E0B">
        <w:rPr>
          <w:b/>
          <w:bCs/>
          <w:lang w:val="en-GB"/>
        </w:rPr>
        <w:t xml:space="preserve">of the Companies Act </w:t>
      </w:r>
      <w:r>
        <w:rPr>
          <w:b/>
          <w:bCs/>
          <w:lang w:val="en-GB"/>
        </w:rPr>
        <w:t xml:space="preserve">provides </w:t>
      </w:r>
      <w:r w:rsidR="006D7E0B">
        <w:rPr>
          <w:b/>
          <w:bCs/>
          <w:lang w:val="en-GB"/>
        </w:rPr>
        <w:t>for the function and powers of official liquidators as follows:</w:t>
      </w:r>
    </w:p>
    <w:p w14:paraId="3A959384" w14:textId="77777777" w:rsidR="006D7E0B" w:rsidRDefault="006D7E0B" w:rsidP="00ED248F">
      <w:pPr>
        <w:rPr>
          <w:b/>
          <w:bCs/>
          <w:lang w:val="en-GB"/>
        </w:rPr>
      </w:pPr>
    </w:p>
    <w:p w14:paraId="3735A013" w14:textId="56A04FEF" w:rsidR="006D7E0B" w:rsidRDefault="006D7E0B" w:rsidP="006D7E0B">
      <w:pPr>
        <w:pStyle w:val="ListParagraph"/>
        <w:numPr>
          <w:ilvl w:val="0"/>
          <w:numId w:val="36"/>
        </w:numPr>
        <w:rPr>
          <w:b/>
          <w:bCs/>
          <w:lang w:val="en-GB"/>
        </w:rPr>
      </w:pPr>
      <w:r>
        <w:rPr>
          <w:b/>
          <w:bCs/>
          <w:lang w:val="en-GB"/>
        </w:rPr>
        <w:t xml:space="preserve">The function of an official liquidator is to: (a) collect, realise and distribute the assets of the company to its creditors and, if there is a surplus, to the persons entitled to it; and (b) </w:t>
      </w:r>
      <w:r w:rsidRPr="006D7E0B">
        <w:rPr>
          <w:b/>
          <w:bCs/>
          <w:lang w:val="en-GB"/>
        </w:rPr>
        <w:t>report to the company's creditors and contributories upon the affairs of the company and the manner in which it has been wound up</w:t>
      </w:r>
      <w:r>
        <w:rPr>
          <w:b/>
          <w:bCs/>
          <w:lang w:val="en-GB"/>
        </w:rPr>
        <w:t xml:space="preserve"> (section 110(1)</w:t>
      </w:r>
      <w:r w:rsidR="00BC4B1C">
        <w:rPr>
          <w:b/>
          <w:bCs/>
          <w:lang w:val="en-GB"/>
        </w:rPr>
        <w:t xml:space="preserve"> of the Companies Act</w:t>
      </w:r>
      <w:r>
        <w:rPr>
          <w:b/>
          <w:bCs/>
          <w:lang w:val="en-GB"/>
        </w:rPr>
        <w:t>);</w:t>
      </w:r>
      <w:r w:rsidR="00BC4B1C">
        <w:rPr>
          <w:b/>
          <w:bCs/>
          <w:lang w:val="en-GB"/>
        </w:rPr>
        <w:t xml:space="preserve"> and</w:t>
      </w:r>
    </w:p>
    <w:p w14:paraId="0DF51485" w14:textId="5AA92979" w:rsidR="006D7E0B" w:rsidRDefault="006D7E0B" w:rsidP="006D7E0B">
      <w:pPr>
        <w:pStyle w:val="ListParagraph"/>
        <w:numPr>
          <w:ilvl w:val="0"/>
          <w:numId w:val="36"/>
        </w:numPr>
        <w:rPr>
          <w:b/>
          <w:bCs/>
          <w:lang w:val="en-GB"/>
        </w:rPr>
      </w:pPr>
      <w:r>
        <w:rPr>
          <w:b/>
          <w:bCs/>
          <w:lang w:val="en-GB"/>
        </w:rPr>
        <w:t>The official liquidator has certain powers set out in: (a) Part I of Schedule 3 of the Companies Act which are exercisable with sanction of the Cour</w:t>
      </w:r>
      <w:r w:rsidR="00EA6DD1">
        <w:rPr>
          <w:b/>
          <w:bCs/>
          <w:lang w:val="en-GB"/>
        </w:rPr>
        <w:t>t</w:t>
      </w:r>
      <w:r>
        <w:rPr>
          <w:b/>
          <w:bCs/>
          <w:lang w:val="en-GB"/>
        </w:rPr>
        <w:t>; and (b) Par</w:t>
      </w:r>
      <w:r w:rsidR="00EA6DD1">
        <w:rPr>
          <w:b/>
          <w:bCs/>
          <w:lang w:val="en-GB"/>
        </w:rPr>
        <w:t>t</w:t>
      </w:r>
      <w:r>
        <w:rPr>
          <w:b/>
          <w:bCs/>
          <w:lang w:val="en-GB"/>
        </w:rPr>
        <w:t xml:space="preserve"> II of Schedule 3 which are exercisable without sanction of the Court (section 110 (2)</w:t>
      </w:r>
      <w:r w:rsidR="00BC4B1C">
        <w:rPr>
          <w:b/>
          <w:bCs/>
          <w:lang w:val="en-GB"/>
        </w:rPr>
        <w:t xml:space="preserve"> of the Companies Act</w:t>
      </w:r>
      <w:r w:rsidR="00F62508">
        <w:rPr>
          <w:b/>
          <w:bCs/>
          <w:lang w:val="en-GB"/>
        </w:rPr>
        <w:t>)</w:t>
      </w:r>
      <w:r w:rsidR="00BC4B1C">
        <w:rPr>
          <w:b/>
          <w:bCs/>
          <w:lang w:val="en-GB"/>
        </w:rPr>
        <w:t>.</w:t>
      </w:r>
    </w:p>
    <w:p w14:paraId="35089065" w14:textId="77777777" w:rsidR="006D7E0B" w:rsidRDefault="006D7E0B" w:rsidP="00BC4B1C">
      <w:pPr>
        <w:rPr>
          <w:b/>
          <w:bCs/>
          <w:lang w:val="en-GB"/>
        </w:rPr>
      </w:pPr>
    </w:p>
    <w:p w14:paraId="42789BFC" w14:textId="77777777" w:rsidR="00E05192" w:rsidRDefault="000B3D76" w:rsidP="00BC4B1C">
      <w:pPr>
        <w:rPr>
          <w:b/>
          <w:bCs/>
          <w:lang w:val="en-GB"/>
        </w:rPr>
      </w:pPr>
      <w:r>
        <w:rPr>
          <w:b/>
          <w:bCs/>
          <w:lang w:val="en-GB"/>
        </w:rPr>
        <w:t xml:space="preserve">It is the duty of liquidators to take possession or control of all of the company's books and records including those maintained in electronic form (Order 26, rule 3 of the CWR). </w:t>
      </w:r>
    </w:p>
    <w:p w14:paraId="60BC5A53" w14:textId="77777777" w:rsidR="00E05192" w:rsidRDefault="00E05192" w:rsidP="00BC4B1C">
      <w:pPr>
        <w:rPr>
          <w:b/>
          <w:bCs/>
          <w:lang w:val="en-GB"/>
        </w:rPr>
      </w:pPr>
    </w:p>
    <w:p w14:paraId="145EDCDF" w14:textId="503AEC04" w:rsidR="000B3D76" w:rsidRPr="00EA6DD1" w:rsidRDefault="000B3D76" w:rsidP="00BC4B1C">
      <w:pPr>
        <w:rPr>
          <w:b/>
          <w:bCs/>
          <w:lang w:val="en-GB"/>
        </w:rPr>
      </w:pPr>
      <w:r>
        <w:rPr>
          <w:b/>
          <w:bCs/>
          <w:lang w:val="en-GB"/>
        </w:rPr>
        <w:t xml:space="preserve">In addition, an official liquidator </w:t>
      </w:r>
      <w:r w:rsidR="00E05192">
        <w:rPr>
          <w:b/>
          <w:bCs/>
          <w:lang w:val="en-GB"/>
        </w:rPr>
        <w:t xml:space="preserve">must conduct their investigations in the broader context of their role as </w:t>
      </w:r>
      <w:r>
        <w:rPr>
          <w:b/>
          <w:bCs/>
          <w:lang w:val="en-GB"/>
        </w:rPr>
        <w:t xml:space="preserve">an officer of the court (section 108(2) of the </w:t>
      </w:r>
      <w:r>
        <w:rPr>
          <w:b/>
          <w:bCs/>
        </w:rPr>
        <w:t xml:space="preserve">Companies Act) </w:t>
      </w:r>
      <w:r w:rsidR="00E05192">
        <w:rPr>
          <w:b/>
          <w:bCs/>
        </w:rPr>
        <w:t>and in light of the</w:t>
      </w:r>
      <w:r>
        <w:rPr>
          <w:b/>
          <w:bCs/>
        </w:rPr>
        <w:t xml:space="preserve"> fiduciary duties </w:t>
      </w:r>
      <w:r w:rsidR="00E05192">
        <w:rPr>
          <w:b/>
          <w:bCs/>
        </w:rPr>
        <w:t>they owe to the company and its creditors (including the duty to avoid conflicts of interest, to not profit from their position and to act in good faith in the best interests of the company).</w:t>
      </w: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1FA77AD6" w:rsidR="00D44BFA" w:rsidRDefault="009D1454" w:rsidP="009D1454">
      <w:pPr>
        <w:rPr>
          <w:b/>
          <w:bCs/>
          <w:lang w:val="en-GB"/>
        </w:rPr>
      </w:pPr>
      <w:r>
        <w:rPr>
          <w:b/>
          <w:bCs/>
          <w:lang w:val="en-GB"/>
        </w:rPr>
        <w:t xml:space="preserve">When a winding up order or provisional liquidator appointment has been made, a liquidator can require some or all of the persons identified in section 101(3) of the Companies Act to prepare and </w:t>
      </w:r>
      <w:r>
        <w:rPr>
          <w:b/>
          <w:bCs/>
          <w:lang w:val="en-GB"/>
        </w:rPr>
        <w:lastRenderedPageBreak/>
        <w:t xml:space="preserve">submit a statement in the prescribed form as to the affairs of the company.  These individuals include: </w:t>
      </w:r>
    </w:p>
    <w:p w14:paraId="29F8B989" w14:textId="77777777" w:rsidR="009D1454" w:rsidRDefault="009D1454" w:rsidP="009D1454">
      <w:pPr>
        <w:rPr>
          <w:b/>
          <w:bCs/>
          <w:lang w:val="en-GB"/>
        </w:rPr>
      </w:pPr>
    </w:p>
    <w:p w14:paraId="1F75FF3E" w14:textId="77777777" w:rsidR="009D1454" w:rsidRDefault="009D1454" w:rsidP="009D1454">
      <w:pPr>
        <w:ind w:left="720"/>
        <w:rPr>
          <w:b/>
          <w:bCs/>
          <w:i/>
          <w:iCs/>
          <w:lang w:val="en-GB"/>
        </w:rPr>
      </w:pPr>
      <w:r w:rsidRPr="009D1454">
        <w:rPr>
          <w:b/>
          <w:bCs/>
          <w:i/>
          <w:iCs/>
          <w:lang w:val="en-GB"/>
        </w:rPr>
        <w:t xml:space="preserve">(a) persons who are or have been directors or officers of the company; </w:t>
      </w:r>
    </w:p>
    <w:p w14:paraId="42DFFB01" w14:textId="77777777" w:rsidR="002C2E63" w:rsidRPr="009D1454" w:rsidRDefault="002C2E63" w:rsidP="009D1454">
      <w:pPr>
        <w:ind w:left="720"/>
        <w:rPr>
          <w:b/>
          <w:bCs/>
          <w:i/>
          <w:iCs/>
          <w:lang w:val="en-GB"/>
        </w:rPr>
      </w:pPr>
    </w:p>
    <w:p w14:paraId="49191DFD" w14:textId="77777777" w:rsidR="009D1454" w:rsidRDefault="009D1454" w:rsidP="009D1454">
      <w:pPr>
        <w:ind w:left="720"/>
        <w:rPr>
          <w:b/>
          <w:bCs/>
          <w:i/>
          <w:iCs/>
          <w:lang w:val="en-GB"/>
        </w:rPr>
      </w:pPr>
      <w:r w:rsidRPr="009D1454">
        <w:rPr>
          <w:b/>
          <w:bCs/>
          <w:i/>
          <w:iCs/>
          <w:lang w:val="en-GB"/>
        </w:rPr>
        <w:t xml:space="preserve">(b) persons who are or have been professional service providers to the company; and </w:t>
      </w:r>
    </w:p>
    <w:p w14:paraId="7126B30B" w14:textId="77777777" w:rsidR="002C2E63" w:rsidRPr="009D1454" w:rsidRDefault="002C2E63" w:rsidP="009D1454">
      <w:pPr>
        <w:ind w:left="720"/>
        <w:rPr>
          <w:b/>
          <w:bCs/>
          <w:i/>
          <w:iCs/>
          <w:lang w:val="en-GB"/>
        </w:rPr>
      </w:pPr>
    </w:p>
    <w:p w14:paraId="05FEB68E" w14:textId="0CCDAAAB" w:rsidR="009D1454" w:rsidRPr="009D1454" w:rsidRDefault="009D1454" w:rsidP="009D1454">
      <w:pPr>
        <w:ind w:left="720"/>
        <w:rPr>
          <w:b/>
          <w:bCs/>
          <w:i/>
          <w:iCs/>
          <w:lang w:val="en-GB"/>
        </w:rPr>
      </w:pPr>
      <w:r w:rsidRPr="009D1454">
        <w:rPr>
          <w:b/>
          <w:bCs/>
          <w:i/>
          <w:iCs/>
          <w:lang w:val="en-GB"/>
        </w:rPr>
        <w:t>(c) persons who are or have been employees of the company, during the period of one year immediately preceding the relevant date.</w:t>
      </w:r>
    </w:p>
    <w:p w14:paraId="1624F941" w14:textId="77777777" w:rsidR="009D1454" w:rsidRDefault="009D1454" w:rsidP="009D1454">
      <w:pPr>
        <w:rPr>
          <w:b/>
          <w:bCs/>
          <w:lang w:val="en-GB"/>
        </w:rPr>
      </w:pPr>
    </w:p>
    <w:p w14:paraId="3C66D733" w14:textId="1F73DC2C" w:rsidR="009D1454" w:rsidRDefault="002C2E63" w:rsidP="009D1454">
      <w:pPr>
        <w:rPr>
          <w:b/>
          <w:bCs/>
          <w:lang w:val="en-GB"/>
        </w:rPr>
      </w:pPr>
      <w:r>
        <w:rPr>
          <w:b/>
          <w:bCs/>
          <w:lang w:val="en-GB"/>
        </w:rPr>
        <w:t>The term "relevant date" for the purposes of section 101(3)(c) is defined in subsection (6) as follows:</w:t>
      </w:r>
    </w:p>
    <w:p w14:paraId="2E69F2BF" w14:textId="77777777" w:rsidR="002C2E63" w:rsidRDefault="002C2E63" w:rsidP="009D1454">
      <w:pPr>
        <w:rPr>
          <w:b/>
          <w:bCs/>
          <w:lang w:val="en-GB"/>
        </w:rPr>
      </w:pPr>
    </w:p>
    <w:p w14:paraId="64A274C5" w14:textId="77777777" w:rsidR="002C2E63" w:rsidRPr="00637650" w:rsidRDefault="002C2E63" w:rsidP="00637650">
      <w:pPr>
        <w:ind w:left="720"/>
        <w:rPr>
          <w:b/>
          <w:bCs/>
          <w:i/>
          <w:iCs/>
        </w:rPr>
      </w:pPr>
      <w:r w:rsidRPr="00637650">
        <w:rPr>
          <w:b/>
          <w:bCs/>
          <w:i/>
          <w:iCs/>
        </w:rPr>
        <w:t xml:space="preserve">“relevant date” means — </w:t>
      </w:r>
    </w:p>
    <w:p w14:paraId="451F03AF" w14:textId="77777777" w:rsidR="002C2E63" w:rsidRPr="00637650" w:rsidRDefault="002C2E63" w:rsidP="00637650">
      <w:pPr>
        <w:ind w:left="720"/>
        <w:rPr>
          <w:b/>
          <w:bCs/>
          <w:i/>
          <w:iCs/>
        </w:rPr>
      </w:pPr>
      <w:r w:rsidRPr="00637650">
        <w:rPr>
          <w:b/>
          <w:bCs/>
          <w:i/>
          <w:iCs/>
        </w:rPr>
        <w:t xml:space="preserve">(a) in a case where a provisional liquidator is appointed, the date of that person’s appointment; and </w:t>
      </w:r>
    </w:p>
    <w:p w14:paraId="5623CEB1" w14:textId="476692EA" w:rsidR="002C2E63" w:rsidRPr="00637650" w:rsidRDefault="002C2E63" w:rsidP="00637650">
      <w:pPr>
        <w:ind w:left="720"/>
        <w:rPr>
          <w:b/>
          <w:bCs/>
          <w:i/>
          <w:iCs/>
        </w:rPr>
      </w:pPr>
      <w:r w:rsidRPr="00637650">
        <w:rPr>
          <w:b/>
          <w:bCs/>
          <w:i/>
          <w:iCs/>
        </w:rPr>
        <w:t>(b) in any other case, the commencement of the winding up.</w:t>
      </w:r>
    </w:p>
    <w:p w14:paraId="2B43E69B" w14:textId="77777777" w:rsidR="002C2E63" w:rsidRDefault="002C2E63" w:rsidP="009D1454">
      <w:pPr>
        <w:rPr>
          <w:b/>
          <w:bCs/>
        </w:rPr>
      </w:pPr>
    </w:p>
    <w:p w14:paraId="032415EC" w14:textId="1AC375BB" w:rsidR="002C2E63" w:rsidRPr="009D1454" w:rsidRDefault="00637650" w:rsidP="009D1454">
      <w:pPr>
        <w:rPr>
          <w:b/>
          <w:bCs/>
          <w:lang w:val="en-GB"/>
        </w:rPr>
      </w:pPr>
      <w:r>
        <w:rPr>
          <w:b/>
          <w:bCs/>
        </w:rPr>
        <w:t>In many cases</w:t>
      </w:r>
      <w:r w:rsidR="002C2E63">
        <w:rPr>
          <w:b/>
          <w:bCs/>
        </w:rPr>
        <w:t xml:space="preserve">, the commencement of the winding up is the date that the winding up petition was presented. However, pursuant to </w:t>
      </w:r>
      <w:r>
        <w:rPr>
          <w:b/>
          <w:bCs/>
        </w:rPr>
        <w:t xml:space="preserve">section 100(1) of the Companies Act, this may be an earlier date if, before the presentation of the petition: </w:t>
      </w:r>
    </w:p>
    <w:p w14:paraId="4F03415A" w14:textId="1BA7923C" w:rsidR="00D44BFA" w:rsidRDefault="00D44BFA" w:rsidP="00D44BFA">
      <w:pPr>
        <w:rPr>
          <w:rFonts w:ascii="Avenir Next LT Pro" w:hAnsi="Avenir Next LT Pro"/>
        </w:rPr>
      </w:pPr>
    </w:p>
    <w:p w14:paraId="05915714" w14:textId="77777777" w:rsidR="00637650" w:rsidRPr="00637650" w:rsidRDefault="00637650" w:rsidP="00637650">
      <w:pPr>
        <w:tabs>
          <w:tab w:val="right" w:pos="9021"/>
        </w:tabs>
        <w:ind w:left="720"/>
        <w:rPr>
          <w:rFonts w:ascii="Avenir Next Demi Bold" w:hAnsi="Avenir Next Demi Bold"/>
          <w:b/>
          <w:bCs/>
          <w:i/>
          <w:iCs/>
        </w:rPr>
      </w:pPr>
      <w:r w:rsidRPr="00637650">
        <w:rPr>
          <w:rFonts w:ascii="Avenir Next Demi Bold" w:hAnsi="Avenir Next Demi Bold"/>
          <w:b/>
          <w:bCs/>
          <w:i/>
          <w:iCs/>
        </w:rPr>
        <w:t xml:space="preserve">(a) a resolution has been passed by the company for voluntary winding up; </w:t>
      </w:r>
    </w:p>
    <w:p w14:paraId="5B2DF1D9" w14:textId="77777777" w:rsidR="00637650" w:rsidRPr="00637650" w:rsidRDefault="00637650" w:rsidP="00637650">
      <w:pPr>
        <w:tabs>
          <w:tab w:val="right" w:pos="9021"/>
        </w:tabs>
        <w:ind w:left="720"/>
        <w:rPr>
          <w:rFonts w:ascii="Avenir Next Demi Bold" w:hAnsi="Avenir Next Demi Bold"/>
          <w:b/>
          <w:bCs/>
          <w:i/>
          <w:iCs/>
        </w:rPr>
      </w:pPr>
      <w:r w:rsidRPr="00637650">
        <w:rPr>
          <w:rFonts w:ascii="Avenir Next Demi Bold" w:hAnsi="Avenir Next Demi Bold"/>
          <w:b/>
          <w:bCs/>
          <w:i/>
          <w:iCs/>
        </w:rPr>
        <w:t xml:space="preserve">(b) the period, if any, fixed for the duration of the company by the articles of association has expired; </w:t>
      </w:r>
    </w:p>
    <w:p w14:paraId="08866C4C" w14:textId="77777777" w:rsidR="00637650" w:rsidRPr="00637650" w:rsidRDefault="00637650" w:rsidP="00637650">
      <w:pPr>
        <w:tabs>
          <w:tab w:val="right" w:pos="9021"/>
        </w:tabs>
        <w:ind w:left="720"/>
        <w:rPr>
          <w:rFonts w:ascii="Avenir Next Demi Bold" w:hAnsi="Avenir Next Demi Bold"/>
          <w:b/>
          <w:bCs/>
          <w:i/>
          <w:iCs/>
        </w:rPr>
      </w:pPr>
      <w:r w:rsidRPr="00637650">
        <w:rPr>
          <w:rFonts w:ascii="Avenir Next Demi Bold" w:hAnsi="Avenir Next Demi Bold"/>
          <w:b/>
          <w:bCs/>
          <w:i/>
          <w:iCs/>
        </w:rPr>
        <w:t xml:space="preserve">(c) the event upon the occurrence of which it is provided by the articles of association that the company is to be wound up has occurred; or </w:t>
      </w:r>
    </w:p>
    <w:p w14:paraId="524F028F" w14:textId="094D86FF" w:rsidR="006E7B1B" w:rsidRDefault="00637650" w:rsidP="00637650">
      <w:pPr>
        <w:tabs>
          <w:tab w:val="right" w:pos="9021"/>
        </w:tabs>
        <w:ind w:left="720"/>
        <w:rPr>
          <w:rFonts w:ascii="Avenir Next Demi Bold" w:hAnsi="Avenir Next Demi Bold"/>
          <w:b/>
          <w:bCs/>
          <w:i/>
          <w:iCs/>
        </w:rPr>
      </w:pPr>
      <w:r w:rsidRPr="00637650">
        <w:rPr>
          <w:rFonts w:ascii="Avenir Next Demi Bold" w:hAnsi="Avenir Next Demi Bold"/>
          <w:b/>
          <w:bCs/>
          <w:i/>
          <w:iCs/>
        </w:rPr>
        <w:t>(d) a restructuring officer has been appointed pursuant to section 91B or 91C and the order appointing the restructuring officer has not been discharged</w:t>
      </w:r>
      <w:r>
        <w:rPr>
          <w:rFonts w:ascii="Avenir Next Demi Bold" w:hAnsi="Avenir Next Demi Bold"/>
          <w:b/>
          <w:bCs/>
          <w:i/>
          <w:iCs/>
        </w:rPr>
        <w:t>.</w:t>
      </w:r>
    </w:p>
    <w:p w14:paraId="7C4713CB" w14:textId="77777777" w:rsidR="00637650" w:rsidRDefault="00637650" w:rsidP="00637650">
      <w:pPr>
        <w:tabs>
          <w:tab w:val="right" w:pos="9021"/>
        </w:tabs>
        <w:rPr>
          <w:rFonts w:ascii="Avenir Next Demi Bold" w:hAnsi="Avenir Next Demi Bold"/>
          <w:b/>
          <w:bCs/>
          <w:i/>
          <w:iCs/>
        </w:rPr>
      </w:pPr>
    </w:p>
    <w:p w14:paraId="2637FFD2" w14:textId="7BAB760D" w:rsidR="00637650" w:rsidRPr="00637650" w:rsidRDefault="00637650" w:rsidP="00637650">
      <w:pPr>
        <w:tabs>
          <w:tab w:val="right" w:pos="9021"/>
        </w:tabs>
        <w:rPr>
          <w:rFonts w:ascii="Avenir Next Demi Bold" w:hAnsi="Avenir Next Demi Bold"/>
          <w:b/>
          <w:bCs/>
          <w:lang w:val="en-GB"/>
        </w:rPr>
      </w:pPr>
      <w:r>
        <w:rPr>
          <w:rFonts w:ascii="Avenir Next Demi Bold" w:hAnsi="Avenir Next Demi Bold"/>
          <w:b/>
          <w:bCs/>
        </w:rPr>
        <w:t>In the above cases, the winding up is deemed to have commenced upon the occurrence of the above events.</w:t>
      </w: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2BF73D65" w14:textId="77777777" w:rsidR="004A1111" w:rsidRDefault="004A1111" w:rsidP="00080EDC">
      <w:pPr>
        <w:pStyle w:val="BodyText"/>
        <w:ind w:firstLine="0"/>
        <w:rPr>
          <w:rFonts w:ascii="Avenir Next" w:hAnsi="Avenir Next"/>
          <w:b/>
          <w:bCs/>
        </w:rPr>
      </w:pPr>
    </w:p>
    <w:p w14:paraId="27C6EC15" w14:textId="3D81C675" w:rsidR="00796C19" w:rsidRDefault="00796C19" w:rsidP="00080EDC">
      <w:pPr>
        <w:pStyle w:val="BodyText"/>
        <w:ind w:firstLine="0"/>
        <w:rPr>
          <w:rFonts w:ascii="Avenir Next" w:hAnsi="Avenir Next"/>
          <w:b/>
          <w:bCs/>
        </w:rPr>
      </w:pPr>
      <w:r>
        <w:rPr>
          <w:rFonts w:ascii="Avenir Next" w:hAnsi="Avenir Next"/>
          <w:b/>
          <w:bCs/>
        </w:rPr>
        <w:t xml:space="preserve">In order for the contributories' preferred provisional liquidator to be appointed, </w:t>
      </w:r>
      <w:r w:rsidR="00710BB4">
        <w:rPr>
          <w:rFonts w:ascii="Avenir Next" w:hAnsi="Avenir Next"/>
          <w:b/>
          <w:bCs/>
        </w:rPr>
        <w:t>section 104(1) of the Companies Act requires that they first</w:t>
      </w:r>
      <w:r>
        <w:rPr>
          <w:rFonts w:ascii="Avenir Next" w:hAnsi="Avenir Next"/>
          <w:b/>
          <w:bCs/>
        </w:rPr>
        <w:t xml:space="preserve"> </w:t>
      </w:r>
      <w:r w:rsidR="00710BB4">
        <w:rPr>
          <w:rFonts w:ascii="Avenir Next" w:hAnsi="Avenir Next"/>
          <w:b/>
          <w:bCs/>
        </w:rPr>
        <w:t>present</w:t>
      </w:r>
      <w:r>
        <w:rPr>
          <w:rFonts w:ascii="Avenir Next" w:hAnsi="Avenir Next"/>
          <w:b/>
          <w:bCs/>
        </w:rPr>
        <w:t xml:space="preserve"> a winding up petition </w:t>
      </w:r>
      <w:r w:rsidR="00710BB4">
        <w:rPr>
          <w:rFonts w:ascii="Avenir Next" w:hAnsi="Avenir Next"/>
          <w:b/>
          <w:bCs/>
        </w:rPr>
        <w:t xml:space="preserve">against SMB Tech </w:t>
      </w:r>
      <w:r>
        <w:rPr>
          <w:rFonts w:ascii="Avenir Next" w:hAnsi="Avenir Next"/>
          <w:b/>
          <w:bCs/>
        </w:rPr>
        <w:t xml:space="preserve">on the just and equitable ground on the basis of a loss of trust and confidence in </w:t>
      </w:r>
      <w:r w:rsidR="009F224C">
        <w:rPr>
          <w:rFonts w:ascii="Avenir Next" w:hAnsi="Avenir Next"/>
          <w:b/>
          <w:bCs/>
        </w:rPr>
        <w:t>SMB Tech</w:t>
      </w:r>
      <w:r w:rsidR="004509C1">
        <w:rPr>
          <w:rFonts w:ascii="Avenir Next" w:hAnsi="Avenir Next"/>
          <w:b/>
          <w:bCs/>
        </w:rPr>
        <w:t>'s directors</w:t>
      </w:r>
      <w:r w:rsidR="009F224C">
        <w:rPr>
          <w:rFonts w:ascii="Avenir Next" w:hAnsi="Avenir Next"/>
          <w:b/>
          <w:bCs/>
        </w:rPr>
        <w:t xml:space="preserve"> (see </w:t>
      </w:r>
      <w:r w:rsidR="009F224C" w:rsidRPr="009F224C">
        <w:rPr>
          <w:rFonts w:ascii="Avenir Next" w:hAnsi="Avenir Next"/>
          <w:b/>
          <w:bCs/>
          <w:i/>
          <w:iCs/>
        </w:rPr>
        <w:t>Re Global Cord Blood Corporation</w:t>
      </w:r>
      <w:r w:rsidR="009F224C">
        <w:rPr>
          <w:rFonts w:ascii="Avenir Next" w:hAnsi="Avenir Next"/>
          <w:b/>
          <w:bCs/>
        </w:rPr>
        <w:t xml:space="preserve"> (Unreported, </w:t>
      </w:r>
      <w:proofErr w:type="spellStart"/>
      <w:r w:rsidR="009F224C">
        <w:rPr>
          <w:rFonts w:ascii="Avenir Next" w:hAnsi="Avenir Next"/>
          <w:b/>
          <w:bCs/>
        </w:rPr>
        <w:t>Kawaley</w:t>
      </w:r>
      <w:proofErr w:type="spellEnd"/>
      <w:r w:rsidR="009F224C">
        <w:rPr>
          <w:rFonts w:ascii="Avenir Next" w:hAnsi="Avenir Next"/>
          <w:b/>
          <w:bCs/>
        </w:rPr>
        <w:t xml:space="preserve"> J, 28 September 2022)).</w:t>
      </w:r>
    </w:p>
    <w:p w14:paraId="3E65A561" w14:textId="77777777" w:rsidR="00710BB4" w:rsidRDefault="00710BB4" w:rsidP="00080EDC">
      <w:pPr>
        <w:pStyle w:val="BodyText"/>
        <w:ind w:firstLine="0"/>
        <w:rPr>
          <w:rFonts w:ascii="Avenir Next" w:hAnsi="Avenir Next"/>
          <w:b/>
          <w:bCs/>
        </w:rPr>
      </w:pPr>
    </w:p>
    <w:p w14:paraId="4A81B607" w14:textId="4F768C7A" w:rsidR="004A1111" w:rsidRDefault="004A1111" w:rsidP="004A1111">
      <w:pPr>
        <w:pStyle w:val="BodyText"/>
        <w:ind w:firstLine="0"/>
        <w:rPr>
          <w:rFonts w:ascii="Avenir Next" w:hAnsi="Avenir Next"/>
          <w:b/>
          <w:bCs/>
        </w:rPr>
      </w:pPr>
      <w:r>
        <w:rPr>
          <w:rFonts w:ascii="Avenir Next" w:hAnsi="Avenir Next"/>
          <w:b/>
          <w:bCs/>
        </w:rPr>
        <w:t>Since the contributories' preferred provisional liquidator is a foreign liquidator, they would need to be appointed along with a Cayman liquidator: Companies Act, s 108(2).</w:t>
      </w:r>
    </w:p>
    <w:p w14:paraId="7107923A" w14:textId="77777777" w:rsidR="004A1111" w:rsidRDefault="004A1111" w:rsidP="00080EDC">
      <w:pPr>
        <w:pStyle w:val="BodyText"/>
        <w:ind w:firstLine="0"/>
        <w:rPr>
          <w:rFonts w:ascii="Avenir Next" w:hAnsi="Avenir Next"/>
          <w:b/>
          <w:bCs/>
        </w:rPr>
      </w:pPr>
    </w:p>
    <w:p w14:paraId="7362DA9A" w14:textId="29E05F1D" w:rsidR="004A1111" w:rsidRDefault="00710BB4" w:rsidP="00080EDC">
      <w:pPr>
        <w:pStyle w:val="BodyText"/>
        <w:ind w:firstLine="0"/>
        <w:rPr>
          <w:rFonts w:ascii="Avenir Next" w:hAnsi="Avenir Next"/>
          <w:b/>
          <w:bCs/>
        </w:rPr>
      </w:pPr>
      <w:r>
        <w:rPr>
          <w:rFonts w:ascii="Avenir Next" w:hAnsi="Avenir Next"/>
          <w:b/>
          <w:bCs/>
        </w:rPr>
        <w:t>However,</w:t>
      </w:r>
      <w:r w:rsidR="004A1111">
        <w:rPr>
          <w:rFonts w:ascii="Avenir Next" w:hAnsi="Avenir Next"/>
          <w:b/>
          <w:bCs/>
        </w:rPr>
        <w:t xml:space="preserve"> even</w:t>
      </w:r>
      <w:r>
        <w:rPr>
          <w:rFonts w:ascii="Avenir Next" w:hAnsi="Avenir Next"/>
          <w:b/>
          <w:bCs/>
        </w:rPr>
        <w:t xml:space="preserve"> </w:t>
      </w:r>
      <w:r w:rsidR="004A1111">
        <w:rPr>
          <w:rFonts w:ascii="Avenir Next" w:hAnsi="Avenir Next"/>
          <w:b/>
          <w:bCs/>
        </w:rPr>
        <w:t>before the liquidators are appointed, the</w:t>
      </w:r>
      <w:r>
        <w:rPr>
          <w:rFonts w:ascii="Avenir Next" w:hAnsi="Avenir Next"/>
          <w:b/>
          <w:bCs/>
        </w:rPr>
        <w:t xml:space="preserve"> winding up petition must be accompanied by a liquidators' consent to </w:t>
      </w:r>
      <w:r w:rsidR="004A1111">
        <w:rPr>
          <w:rFonts w:ascii="Avenir Next" w:hAnsi="Avenir Next"/>
          <w:b/>
          <w:bCs/>
        </w:rPr>
        <w:t>act affidavit. Given that the preferred liquidator will be a foreign liquidator they must file an affidavit in compliance with Order 3, rule 4</w:t>
      </w:r>
      <w:r w:rsidR="002906FB">
        <w:rPr>
          <w:rFonts w:ascii="Avenir Next" w:hAnsi="Avenir Next"/>
          <w:b/>
          <w:bCs/>
        </w:rPr>
        <w:t>(2)</w:t>
      </w:r>
      <w:r w:rsidR="004A1111">
        <w:rPr>
          <w:rFonts w:ascii="Avenir Next" w:hAnsi="Avenir Next"/>
          <w:b/>
          <w:bCs/>
        </w:rPr>
        <w:t xml:space="preserve"> of the CWR including by deposing pursuant to subrule (d): </w:t>
      </w:r>
    </w:p>
    <w:p w14:paraId="0C924786" w14:textId="77777777" w:rsidR="004A1111" w:rsidRDefault="004A1111" w:rsidP="00080EDC">
      <w:pPr>
        <w:pStyle w:val="BodyText"/>
        <w:ind w:firstLine="0"/>
        <w:rPr>
          <w:rFonts w:ascii="Avenir Next" w:hAnsi="Avenir Next"/>
          <w:b/>
          <w:bCs/>
        </w:rPr>
      </w:pPr>
    </w:p>
    <w:p w14:paraId="271C7302" w14:textId="1E09F920" w:rsidR="00710BB4" w:rsidRPr="004A1111" w:rsidRDefault="002906FB" w:rsidP="004A1111">
      <w:pPr>
        <w:pStyle w:val="BodyText"/>
        <w:ind w:left="720" w:firstLine="0"/>
        <w:rPr>
          <w:rFonts w:ascii="Avenir Next" w:hAnsi="Avenir Next"/>
          <w:b/>
          <w:bCs/>
          <w:i/>
          <w:iCs/>
        </w:rPr>
      </w:pPr>
      <w:r>
        <w:rPr>
          <w:rFonts w:ascii="Avenir Next" w:hAnsi="Avenir Next"/>
          <w:b/>
          <w:bCs/>
          <w:i/>
          <w:iCs/>
        </w:rPr>
        <w:t>"</w:t>
      </w:r>
      <w:r w:rsidR="004A1111" w:rsidRPr="004A1111">
        <w:rPr>
          <w:rFonts w:ascii="Avenir Next" w:hAnsi="Avenir Next"/>
          <w:b/>
          <w:bCs/>
          <w:i/>
          <w:iCs/>
        </w:rPr>
        <w:t>that person will have the benefit of professional indemnity insurance in respect of that person’s acts and omissions done in that person’s capacity as an official liquidator of the company meeting the requirements of Regulation 7</w:t>
      </w:r>
      <w:r>
        <w:rPr>
          <w:rFonts w:ascii="Avenir Next" w:hAnsi="Avenir Next"/>
          <w:b/>
          <w:bCs/>
          <w:i/>
          <w:iCs/>
        </w:rPr>
        <w:t>"</w:t>
      </w:r>
    </w:p>
    <w:p w14:paraId="763C0188" w14:textId="77777777" w:rsidR="00C655FF" w:rsidRDefault="00C655FF" w:rsidP="00080EDC">
      <w:pPr>
        <w:pStyle w:val="BodyText"/>
        <w:ind w:firstLine="0"/>
        <w:rPr>
          <w:rFonts w:ascii="Avenir Next" w:hAnsi="Avenir Next"/>
          <w:b/>
          <w:bCs/>
        </w:rPr>
      </w:pPr>
    </w:p>
    <w:p w14:paraId="487EFB48" w14:textId="77D23FDA" w:rsidR="00C655FF" w:rsidRDefault="00C655FF" w:rsidP="00080EDC">
      <w:pPr>
        <w:pStyle w:val="BodyText"/>
        <w:ind w:firstLine="0"/>
        <w:rPr>
          <w:rFonts w:ascii="Avenir Next" w:hAnsi="Avenir Next"/>
          <w:b/>
          <w:bCs/>
        </w:rPr>
      </w:pPr>
      <w:r>
        <w:rPr>
          <w:rFonts w:ascii="Avenir Next" w:hAnsi="Avenir Next"/>
          <w:b/>
          <w:bCs/>
        </w:rPr>
        <w:t xml:space="preserve">Regulation 7 of the Insolvency Practitioner Regulations (2023 Consolidation) provides: </w:t>
      </w:r>
    </w:p>
    <w:p w14:paraId="0C8F74B4" w14:textId="77777777" w:rsidR="00C655FF" w:rsidRDefault="00C655FF" w:rsidP="00080EDC">
      <w:pPr>
        <w:pStyle w:val="BodyText"/>
        <w:ind w:firstLine="0"/>
        <w:rPr>
          <w:rFonts w:ascii="Avenir Next" w:hAnsi="Avenir Next"/>
          <w:b/>
          <w:bCs/>
        </w:rPr>
      </w:pPr>
    </w:p>
    <w:p w14:paraId="2E03BF35" w14:textId="41244AD3" w:rsidR="00C655FF" w:rsidRPr="00C655FF" w:rsidRDefault="00C655FF" w:rsidP="00C655FF">
      <w:pPr>
        <w:pStyle w:val="BodyText"/>
        <w:ind w:left="720" w:firstLine="0"/>
        <w:rPr>
          <w:rFonts w:ascii="Avenir Next" w:hAnsi="Avenir Next"/>
          <w:b/>
          <w:bCs/>
          <w:i/>
          <w:iCs/>
        </w:rPr>
      </w:pPr>
      <w:r w:rsidRPr="00C655FF">
        <w:rPr>
          <w:rFonts w:ascii="Avenir Next" w:hAnsi="Avenir Next"/>
          <w:b/>
          <w:bCs/>
          <w:i/>
          <w:iCs/>
        </w:rPr>
        <w:t>"A qualified insolvency practitioner shall not be appointed by the Court as official liquidator of any company unless that person and the firm of which that person is a partner or employee or the company of which that person is a director or an employee, has professional indemnity insurance (up to a limit of at least US$10 million in respect of each and every claim and at least US$20 million in the aggregate, with a deductible of not more than US$1 million) applicable to the negligent performance or non-performance of the qualified insolvency practitioner’s duties as an official liquidator generally."</w:t>
      </w:r>
    </w:p>
    <w:p w14:paraId="3837BC77" w14:textId="77777777" w:rsidR="00C655FF" w:rsidRDefault="00C655FF" w:rsidP="00C655FF">
      <w:pPr>
        <w:pStyle w:val="BodyText"/>
        <w:ind w:firstLine="0"/>
        <w:rPr>
          <w:rFonts w:ascii="Avenir Next" w:hAnsi="Avenir Next"/>
          <w:b/>
          <w:bCs/>
        </w:rPr>
      </w:pPr>
    </w:p>
    <w:p w14:paraId="115EABF9" w14:textId="4B69D92C" w:rsidR="00C655FF" w:rsidRPr="00486A0B" w:rsidRDefault="004509C1" w:rsidP="00C655FF">
      <w:pPr>
        <w:pStyle w:val="BodyText"/>
        <w:ind w:firstLine="0"/>
        <w:rPr>
          <w:rFonts w:ascii="Avenir Next" w:hAnsi="Avenir Next"/>
          <w:b/>
          <w:bCs/>
        </w:rPr>
      </w:pPr>
      <w:r>
        <w:rPr>
          <w:rFonts w:ascii="Avenir Next" w:hAnsi="Avenir Next"/>
          <w:b/>
          <w:bCs/>
        </w:rPr>
        <w:t>Given that the contributories preferred provisional liquidator is unwilling to increase their indemnity inductance up to $10 million, they would not be able to provide the required consent to act and, therefore, could not be appointed by the Grand Court.</w:t>
      </w:r>
    </w:p>
    <w:p w14:paraId="2922C365" w14:textId="77777777" w:rsidR="009004D4" w:rsidRDefault="009004D4" w:rsidP="008E6B76">
      <w:pPr>
        <w:tabs>
          <w:tab w:val="right" w:pos="9021"/>
        </w:tabs>
        <w:rPr>
          <w:rFonts w:ascii="Avenir Next Demi Bold" w:hAnsi="Avenir Next Demi Bold"/>
          <w:b/>
          <w:bCs/>
          <w:lang w:val="en-GB"/>
        </w:rPr>
      </w:pPr>
    </w:p>
    <w:p w14:paraId="19273DBD" w14:textId="77777777" w:rsidR="004509C1" w:rsidRDefault="004509C1"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25633D5A" w14:textId="2F527F62" w:rsidR="0001015D" w:rsidRDefault="0001015D" w:rsidP="00662A8E">
      <w:pPr>
        <w:pStyle w:val="BodyText"/>
        <w:ind w:firstLine="0"/>
        <w:rPr>
          <w:rFonts w:ascii="Avenir Next" w:hAnsi="Avenir Next"/>
          <w:b/>
          <w:bCs/>
        </w:rPr>
      </w:pPr>
      <w:r w:rsidRPr="0001015D">
        <w:rPr>
          <w:rFonts w:ascii="Avenir Next" w:hAnsi="Avenir Next"/>
          <w:b/>
          <w:bCs/>
        </w:rPr>
        <w:t xml:space="preserve">In order </w:t>
      </w:r>
      <w:r>
        <w:rPr>
          <w:rFonts w:ascii="Avenir Next" w:hAnsi="Avenir Next"/>
          <w:b/>
          <w:bCs/>
        </w:rPr>
        <w:t xml:space="preserve">for SMB Tech to seek the appointment of a restructuring officer, it must present a petition </w:t>
      </w:r>
      <w:r w:rsidR="00960073">
        <w:rPr>
          <w:rFonts w:ascii="Avenir Next" w:hAnsi="Avenir Next"/>
          <w:b/>
          <w:bCs/>
        </w:rPr>
        <w:t xml:space="preserve">pursuant to section 91B(1) of the Companies Act </w:t>
      </w:r>
      <w:r>
        <w:rPr>
          <w:rFonts w:ascii="Avenir Next" w:hAnsi="Avenir Next"/>
          <w:b/>
          <w:bCs/>
        </w:rPr>
        <w:t>on the grounds that</w:t>
      </w:r>
      <w:r w:rsidR="00C05F11">
        <w:rPr>
          <w:rFonts w:ascii="Avenir Next" w:hAnsi="Avenir Next"/>
          <w:b/>
          <w:bCs/>
        </w:rPr>
        <w:t xml:space="preserve"> it</w:t>
      </w:r>
      <w:r>
        <w:rPr>
          <w:rFonts w:ascii="Avenir Next" w:hAnsi="Avenir Next"/>
          <w:b/>
          <w:bCs/>
        </w:rPr>
        <w:t>:</w:t>
      </w:r>
    </w:p>
    <w:p w14:paraId="7E5C1D16" w14:textId="77777777" w:rsidR="0001015D" w:rsidRDefault="0001015D" w:rsidP="00662A8E">
      <w:pPr>
        <w:pStyle w:val="BodyText"/>
        <w:ind w:firstLine="0"/>
        <w:rPr>
          <w:rFonts w:ascii="Avenir Next" w:hAnsi="Avenir Next"/>
          <w:b/>
          <w:bCs/>
        </w:rPr>
      </w:pPr>
    </w:p>
    <w:p w14:paraId="4B12BFF3" w14:textId="77777777" w:rsidR="00960073" w:rsidRDefault="00960073" w:rsidP="00960073">
      <w:pPr>
        <w:pStyle w:val="BodyText"/>
        <w:ind w:left="720" w:firstLine="0"/>
        <w:rPr>
          <w:rFonts w:ascii="Avenir Next" w:hAnsi="Avenir Next"/>
          <w:b/>
          <w:bCs/>
        </w:rPr>
      </w:pPr>
      <w:r w:rsidRPr="00960073">
        <w:rPr>
          <w:rFonts w:ascii="Avenir Next" w:hAnsi="Avenir Next"/>
          <w:b/>
          <w:bCs/>
        </w:rPr>
        <w:t xml:space="preserve">(a) is or is likely to become unable to pay its debts within the meaning of section 93; and </w:t>
      </w:r>
    </w:p>
    <w:p w14:paraId="14B3281E" w14:textId="77777777" w:rsidR="00960073" w:rsidRDefault="00960073" w:rsidP="00960073">
      <w:pPr>
        <w:pStyle w:val="BodyText"/>
        <w:ind w:left="720" w:firstLine="0"/>
        <w:rPr>
          <w:rFonts w:ascii="Avenir Next" w:hAnsi="Avenir Next"/>
          <w:b/>
          <w:bCs/>
        </w:rPr>
      </w:pPr>
    </w:p>
    <w:p w14:paraId="1FAFB0DC" w14:textId="295A9FDA" w:rsidR="00662A8E" w:rsidRDefault="00960073" w:rsidP="00960073">
      <w:pPr>
        <w:pStyle w:val="BodyText"/>
        <w:ind w:left="720" w:firstLine="0"/>
        <w:rPr>
          <w:rFonts w:ascii="Avenir Next" w:hAnsi="Avenir Next"/>
          <w:b/>
          <w:bCs/>
        </w:rPr>
      </w:pPr>
      <w:r w:rsidRPr="00960073">
        <w:rPr>
          <w:rFonts w:ascii="Avenir Next" w:hAnsi="Avenir Next"/>
          <w:b/>
          <w:bCs/>
        </w:rPr>
        <w:t>(b) intends to present a compromise or arrangement to its creditors (or classes thereof) either, pursuant to this Law, the law of a foreign country or by way of a consensual restructuring.</w:t>
      </w:r>
    </w:p>
    <w:p w14:paraId="4ED3B64F" w14:textId="77777777" w:rsidR="00877C5C" w:rsidRDefault="00877C5C" w:rsidP="00877C5C">
      <w:pPr>
        <w:pStyle w:val="BodyText"/>
        <w:ind w:firstLine="0"/>
        <w:rPr>
          <w:rFonts w:ascii="Avenir Next" w:hAnsi="Avenir Next"/>
          <w:b/>
          <w:bCs/>
        </w:rPr>
      </w:pPr>
    </w:p>
    <w:p w14:paraId="19BFEB13" w14:textId="143B29D2" w:rsidR="00877C5C" w:rsidRDefault="00877C5C" w:rsidP="00877C5C">
      <w:pPr>
        <w:pStyle w:val="BodyText"/>
        <w:ind w:firstLine="0"/>
        <w:rPr>
          <w:rFonts w:ascii="Avenir Next" w:hAnsi="Avenir Next"/>
          <w:b/>
          <w:bCs/>
        </w:rPr>
      </w:pPr>
      <w:r>
        <w:rPr>
          <w:rFonts w:ascii="Avenir Next" w:hAnsi="Avenir Next"/>
          <w:b/>
          <w:bCs/>
        </w:rPr>
        <w:t xml:space="preserve">This two limb test was considered in </w:t>
      </w:r>
      <w:r w:rsidRPr="00877C5C">
        <w:rPr>
          <w:rFonts w:ascii="Avenir Next" w:hAnsi="Avenir Next"/>
          <w:b/>
          <w:bCs/>
          <w:i/>
          <w:iCs/>
        </w:rPr>
        <w:t>Re Oriente Group Limited</w:t>
      </w:r>
      <w:r>
        <w:rPr>
          <w:rFonts w:ascii="Avenir Next" w:hAnsi="Avenir Next"/>
          <w:b/>
          <w:bCs/>
        </w:rPr>
        <w:t xml:space="preserve"> (Unreported, </w:t>
      </w:r>
      <w:proofErr w:type="spellStart"/>
      <w:r w:rsidR="0031228E">
        <w:rPr>
          <w:rFonts w:ascii="Avenir Next" w:hAnsi="Avenir Next"/>
          <w:b/>
          <w:bCs/>
        </w:rPr>
        <w:t>Kawaley</w:t>
      </w:r>
      <w:proofErr w:type="spellEnd"/>
      <w:r>
        <w:rPr>
          <w:rFonts w:ascii="Avenir Next" w:hAnsi="Avenir Next"/>
          <w:b/>
          <w:bCs/>
        </w:rPr>
        <w:t xml:space="preserve"> J, 8 December 2022) who </w:t>
      </w:r>
      <w:r w:rsidR="0031228E">
        <w:rPr>
          <w:rFonts w:ascii="Avenir Next" w:hAnsi="Avenir Next"/>
          <w:b/>
          <w:bCs/>
        </w:rPr>
        <w:t>held at [11]</w:t>
      </w:r>
      <w:r>
        <w:rPr>
          <w:rFonts w:ascii="Avenir Next" w:hAnsi="Avenir Next"/>
          <w:b/>
          <w:bCs/>
        </w:rPr>
        <w:t xml:space="preserve">: </w:t>
      </w:r>
    </w:p>
    <w:p w14:paraId="15242C0D" w14:textId="77777777" w:rsidR="00877C5C" w:rsidRDefault="00877C5C" w:rsidP="00877C5C">
      <w:pPr>
        <w:pStyle w:val="BodyText"/>
        <w:ind w:firstLine="0"/>
        <w:rPr>
          <w:rFonts w:ascii="Avenir Next" w:hAnsi="Avenir Next"/>
          <w:b/>
          <w:bCs/>
        </w:rPr>
      </w:pPr>
    </w:p>
    <w:p w14:paraId="199FAF36" w14:textId="77777777" w:rsidR="00877C5C" w:rsidRPr="00877C5C" w:rsidRDefault="00877C5C" w:rsidP="00877C5C">
      <w:pPr>
        <w:pStyle w:val="BodyText"/>
        <w:ind w:left="360" w:firstLine="0"/>
        <w:rPr>
          <w:rFonts w:ascii="Avenir Next" w:hAnsi="Avenir Next"/>
          <w:b/>
          <w:bCs/>
          <w:i/>
          <w:iCs/>
        </w:rPr>
      </w:pPr>
      <w:r w:rsidRPr="00877C5C">
        <w:rPr>
          <w:rFonts w:ascii="Avenir Next" w:hAnsi="Avenir Next"/>
          <w:b/>
          <w:bCs/>
          <w:i/>
          <w:iCs/>
        </w:rPr>
        <w:t xml:space="preserve">“The jurisdiction to appoint restructuring officers is a broad discretionary jurisdiction to be exercised where the Court is satisfied that: </w:t>
      </w:r>
    </w:p>
    <w:p w14:paraId="1BDAAA51" w14:textId="77777777" w:rsidR="00877C5C" w:rsidRPr="00877C5C" w:rsidRDefault="00877C5C" w:rsidP="00877C5C">
      <w:pPr>
        <w:pStyle w:val="BodyText"/>
        <w:ind w:left="360" w:firstLine="0"/>
        <w:rPr>
          <w:rFonts w:ascii="Avenir Next" w:hAnsi="Avenir Next"/>
          <w:b/>
          <w:bCs/>
          <w:i/>
          <w:iCs/>
        </w:rPr>
      </w:pPr>
    </w:p>
    <w:p w14:paraId="5F59A99A" w14:textId="77777777" w:rsidR="00877C5C" w:rsidRPr="00877C5C" w:rsidRDefault="00877C5C" w:rsidP="00B70605">
      <w:pPr>
        <w:pStyle w:val="BodyText"/>
        <w:numPr>
          <w:ilvl w:val="0"/>
          <w:numId w:val="31"/>
        </w:numPr>
        <w:ind w:left="1080"/>
        <w:rPr>
          <w:rFonts w:ascii="Avenir Next" w:hAnsi="Avenir Next"/>
          <w:b/>
          <w:bCs/>
          <w:i/>
          <w:iCs/>
        </w:rPr>
      </w:pPr>
      <w:r w:rsidRPr="00877C5C">
        <w:rPr>
          <w:rFonts w:ascii="Avenir Next" w:hAnsi="Avenir Next"/>
          <w:b/>
          <w:bCs/>
          <w:i/>
          <w:iCs/>
        </w:rPr>
        <w:t xml:space="preserve">the statutory preconditions of insolvency or likely to become insolvent are met by credible evidence from the company or some other independent source; </w:t>
      </w:r>
    </w:p>
    <w:p w14:paraId="7A368AC5" w14:textId="2468B0F7" w:rsidR="00877C5C" w:rsidRPr="00877C5C" w:rsidRDefault="00877C5C" w:rsidP="00B70605">
      <w:pPr>
        <w:pStyle w:val="BodyText"/>
        <w:numPr>
          <w:ilvl w:val="0"/>
          <w:numId w:val="31"/>
        </w:numPr>
        <w:ind w:left="1080"/>
        <w:rPr>
          <w:rFonts w:ascii="Avenir Next" w:hAnsi="Avenir Next"/>
          <w:b/>
          <w:bCs/>
          <w:i/>
          <w:iCs/>
        </w:rPr>
      </w:pPr>
      <w:r w:rsidRPr="00877C5C">
        <w:rPr>
          <w:rFonts w:ascii="Avenir Next" w:hAnsi="Avenir Next"/>
          <w:b/>
          <w:bCs/>
          <w:i/>
          <w:iCs/>
        </w:rPr>
        <w:t xml:space="preserve">the statutory precondition of an intention to present a restructuring proposal to creditors or any class thereof is met by credible evidence of a rational proposal with reasonable prospects of success; and </w:t>
      </w:r>
    </w:p>
    <w:p w14:paraId="3D26F920" w14:textId="0F84AC81" w:rsidR="00877C5C" w:rsidRDefault="00877C5C" w:rsidP="00B70605">
      <w:pPr>
        <w:pStyle w:val="BodyText"/>
        <w:numPr>
          <w:ilvl w:val="0"/>
          <w:numId w:val="31"/>
        </w:numPr>
        <w:ind w:left="1080"/>
        <w:rPr>
          <w:rFonts w:ascii="Avenir Next" w:hAnsi="Avenir Next"/>
          <w:b/>
          <w:bCs/>
          <w:i/>
          <w:iCs/>
        </w:rPr>
      </w:pPr>
      <w:r w:rsidRPr="00877C5C">
        <w:rPr>
          <w:rFonts w:ascii="Avenir Next" w:hAnsi="Avenir Next"/>
          <w:b/>
          <w:bCs/>
          <w:i/>
          <w:iCs/>
        </w:rPr>
        <w:t xml:space="preserve">the proposal has or will potentially attract the support of a majority of creditors as a </w:t>
      </w:r>
      <w:r w:rsidRPr="00877C5C">
        <w:rPr>
          <w:rFonts w:ascii="Avenir Next" w:hAnsi="Avenir Next"/>
          <w:b/>
          <w:bCs/>
          <w:i/>
          <w:iCs/>
        </w:rPr>
        <w:lastRenderedPageBreak/>
        <w:t xml:space="preserve">more </w:t>
      </w:r>
      <w:proofErr w:type="spellStart"/>
      <w:r w:rsidRPr="00877C5C">
        <w:rPr>
          <w:rFonts w:ascii="Avenir Next" w:hAnsi="Avenir Next"/>
          <w:b/>
          <w:bCs/>
          <w:i/>
          <w:iCs/>
        </w:rPr>
        <w:t>favourable</w:t>
      </w:r>
      <w:proofErr w:type="spellEnd"/>
      <w:r w:rsidRPr="00877C5C">
        <w:rPr>
          <w:rFonts w:ascii="Avenir Next" w:hAnsi="Avenir Next"/>
          <w:b/>
          <w:bCs/>
          <w:i/>
          <w:iCs/>
        </w:rPr>
        <w:t xml:space="preserve"> commercial alternative to a winding-up of the company petitioning for the appointment of restructuring officer</w:t>
      </w:r>
      <w:r>
        <w:rPr>
          <w:rFonts w:ascii="Avenir Next" w:hAnsi="Avenir Next"/>
          <w:b/>
          <w:bCs/>
          <w:i/>
          <w:iCs/>
        </w:rPr>
        <w:t>."</w:t>
      </w:r>
    </w:p>
    <w:p w14:paraId="2B1CC5E9" w14:textId="77777777" w:rsidR="00877C5C" w:rsidRDefault="00877C5C" w:rsidP="00877C5C">
      <w:pPr>
        <w:pStyle w:val="BodyText"/>
        <w:ind w:firstLine="0"/>
        <w:rPr>
          <w:rFonts w:ascii="Avenir Next" w:hAnsi="Avenir Next"/>
          <w:b/>
          <w:bCs/>
          <w:i/>
          <w:iCs/>
        </w:rPr>
      </w:pPr>
    </w:p>
    <w:p w14:paraId="7C0A35B7" w14:textId="77777777" w:rsidR="0031228E" w:rsidRDefault="0031228E" w:rsidP="00877C5C">
      <w:pPr>
        <w:pStyle w:val="BodyText"/>
        <w:ind w:firstLine="0"/>
        <w:rPr>
          <w:rFonts w:ascii="Avenir Next" w:hAnsi="Avenir Next"/>
          <w:b/>
          <w:bCs/>
        </w:rPr>
      </w:pPr>
      <w:r w:rsidRPr="0031228E">
        <w:rPr>
          <w:rFonts w:ascii="Avenir Next" w:hAnsi="Avenir Next"/>
          <w:b/>
          <w:bCs/>
        </w:rPr>
        <w:t>On the facts of the present case</w:t>
      </w:r>
      <w:r>
        <w:rPr>
          <w:rFonts w:ascii="Avenir Next" w:hAnsi="Avenir Next"/>
          <w:b/>
          <w:bCs/>
        </w:rPr>
        <w:t xml:space="preserve">: </w:t>
      </w:r>
    </w:p>
    <w:p w14:paraId="6EFA9BCD" w14:textId="77777777" w:rsidR="0031228E" w:rsidRDefault="0031228E" w:rsidP="00877C5C">
      <w:pPr>
        <w:pStyle w:val="BodyText"/>
        <w:ind w:firstLine="0"/>
        <w:rPr>
          <w:rFonts w:ascii="Avenir Next" w:hAnsi="Avenir Next"/>
          <w:b/>
          <w:bCs/>
        </w:rPr>
      </w:pPr>
    </w:p>
    <w:p w14:paraId="2362D5B0" w14:textId="5CB3813F" w:rsidR="00877C5C" w:rsidRDefault="0031228E" w:rsidP="00B70605">
      <w:pPr>
        <w:pStyle w:val="BodyText"/>
        <w:numPr>
          <w:ilvl w:val="0"/>
          <w:numId w:val="32"/>
        </w:numPr>
        <w:rPr>
          <w:rFonts w:ascii="Avenir Next" w:hAnsi="Avenir Next"/>
          <w:b/>
          <w:bCs/>
        </w:rPr>
      </w:pPr>
      <w:r>
        <w:rPr>
          <w:rFonts w:ascii="Avenir Next" w:hAnsi="Avenir Next"/>
          <w:b/>
          <w:bCs/>
        </w:rPr>
        <w:t xml:space="preserve">It is </w:t>
      </w:r>
      <w:r w:rsidR="00C655FF">
        <w:rPr>
          <w:rFonts w:ascii="Avenir Next" w:hAnsi="Avenir Next"/>
          <w:b/>
          <w:bCs/>
        </w:rPr>
        <w:t>possible</w:t>
      </w:r>
      <w:r>
        <w:rPr>
          <w:rFonts w:ascii="Avenir Next" w:hAnsi="Avenir Next"/>
          <w:b/>
          <w:bCs/>
        </w:rPr>
        <w:t xml:space="preserve"> that SMB Tech will be able to satisfy the first limb of the test under section 91B(1), as it </w:t>
      </w:r>
      <w:r w:rsidR="00C655FF">
        <w:rPr>
          <w:rFonts w:ascii="Avenir Next" w:hAnsi="Avenir Next"/>
          <w:b/>
          <w:bCs/>
        </w:rPr>
        <w:t>may</w:t>
      </w:r>
      <w:r>
        <w:rPr>
          <w:rFonts w:ascii="Avenir Next" w:hAnsi="Avenir Next"/>
          <w:b/>
          <w:bCs/>
        </w:rPr>
        <w:t xml:space="preserve"> be able to provide credible evidence from the 'reputable advisory firm' that the company is or is likely to become unable to pay its debts.</w:t>
      </w:r>
    </w:p>
    <w:p w14:paraId="31839D1B" w14:textId="46C2C131" w:rsidR="0031228E" w:rsidRDefault="0031228E" w:rsidP="0031228E">
      <w:pPr>
        <w:pStyle w:val="BodyText"/>
        <w:ind w:left="720" w:firstLine="0"/>
        <w:rPr>
          <w:rFonts w:ascii="Avenir Next" w:hAnsi="Avenir Next"/>
          <w:b/>
          <w:bCs/>
        </w:rPr>
      </w:pPr>
    </w:p>
    <w:p w14:paraId="26B3474B" w14:textId="3A5AB268" w:rsidR="0031228E" w:rsidRPr="0031228E" w:rsidRDefault="0031228E" w:rsidP="00B70605">
      <w:pPr>
        <w:pStyle w:val="BodyText"/>
        <w:numPr>
          <w:ilvl w:val="0"/>
          <w:numId w:val="32"/>
        </w:numPr>
        <w:rPr>
          <w:rFonts w:ascii="Avenir Next" w:hAnsi="Avenir Next"/>
          <w:b/>
          <w:bCs/>
        </w:rPr>
      </w:pPr>
      <w:r>
        <w:rPr>
          <w:rFonts w:ascii="Avenir Next" w:hAnsi="Avenir Next"/>
          <w:b/>
          <w:bCs/>
        </w:rPr>
        <w:t xml:space="preserve">However, SMB Tech may have difficulties in </w:t>
      </w:r>
      <w:r w:rsidR="00C655FF">
        <w:rPr>
          <w:rFonts w:ascii="Avenir Next" w:hAnsi="Avenir Next"/>
          <w:b/>
          <w:bCs/>
        </w:rPr>
        <w:t xml:space="preserve">satisfying the second limb as: (a) there is no evidence that it has </w:t>
      </w:r>
      <w:r w:rsidR="00C05F11">
        <w:rPr>
          <w:rFonts w:ascii="Avenir Next" w:hAnsi="Avenir Next"/>
          <w:b/>
          <w:bCs/>
        </w:rPr>
        <w:t xml:space="preserve">a </w:t>
      </w:r>
      <w:r w:rsidR="00C655FF">
        <w:rPr>
          <w:rFonts w:ascii="Avenir Next" w:hAnsi="Avenir Next"/>
          <w:b/>
          <w:bCs/>
        </w:rPr>
        <w:t>rational restructuring proposal with reasonable prospects of success; and (b) many of the creditors, including TCS and the creditors holding guarantee liabilities seem to have lost confidence in SMB Tech and may be unlikely to support any restructuring plan.</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0CFD7E3" w:rsidR="00662A8E" w:rsidRDefault="006F61C6" w:rsidP="00662A8E">
      <w:pPr>
        <w:pStyle w:val="BodyText"/>
        <w:ind w:firstLine="0"/>
        <w:rPr>
          <w:rFonts w:ascii="Avenir Next" w:hAnsi="Avenir Next"/>
          <w:b/>
          <w:bCs/>
        </w:rPr>
      </w:pPr>
      <w:r>
        <w:rPr>
          <w:rFonts w:ascii="Avenir Next" w:hAnsi="Avenir Next"/>
          <w:b/>
          <w:bCs/>
        </w:rPr>
        <w:t>In relation to the advertising for restructuring petitions, Order 1A, rule 1 of the CWR provides as follows:</w:t>
      </w:r>
    </w:p>
    <w:p w14:paraId="58E4B211" w14:textId="77777777" w:rsidR="006F61C6" w:rsidRDefault="006F61C6" w:rsidP="00662A8E">
      <w:pPr>
        <w:pStyle w:val="BodyText"/>
        <w:ind w:firstLine="0"/>
        <w:rPr>
          <w:rFonts w:ascii="Avenir Next" w:hAnsi="Avenir Next"/>
          <w:b/>
          <w:bCs/>
        </w:rPr>
      </w:pPr>
    </w:p>
    <w:p w14:paraId="2ADA0E95" w14:textId="480B7999" w:rsidR="006F61C6" w:rsidRDefault="006F61C6" w:rsidP="00B70605">
      <w:pPr>
        <w:pStyle w:val="BodyText"/>
        <w:numPr>
          <w:ilvl w:val="0"/>
          <w:numId w:val="30"/>
        </w:numPr>
        <w:rPr>
          <w:rFonts w:ascii="Avenir Next" w:hAnsi="Avenir Next"/>
          <w:b/>
          <w:bCs/>
        </w:rPr>
      </w:pPr>
      <w:r w:rsidRPr="006F61C6">
        <w:rPr>
          <w:rFonts w:ascii="Avenir Next" w:hAnsi="Avenir Next"/>
          <w:b/>
          <w:bCs/>
        </w:rPr>
        <w:t>Unless the Court otherwise directs, every petition for the appointment of a restructuring officer shall be advertised once in a newspaper having a circulation in the Islands. An advertisement published in accordance with this Rule shall be in CWR Form No. 3A</w:t>
      </w:r>
      <w:r>
        <w:rPr>
          <w:rFonts w:ascii="Avenir Next" w:hAnsi="Avenir Next"/>
          <w:b/>
          <w:bCs/>
        </w:rPr>
        <w:t xml:space="preserve"> (</w:t>
      </w:r>
      <w:r w:rsidR="001049F1">
        <w:rPr>
          <w:rFonts w:ascii="Avenir Next" w:hAnsi="Avenir Next"/>
          <w:b/>
          <w:bCs/>
        </w:rPr>
        <w:t>Order 1A, rule 1(</w:t>
      </w:r>
      <w:r w:rsidR="0001015D">
        <w:rPr>
          <w:rFonts w:ascii="Avenir Next" w:hAnsi="Avenir Next"/>
          <w:b/>
          <w:bCs/>
        </w:rPr>
        <w:t>3</w:t>
      </w:r>
      <w:r w:rsidR="001049F1">
        <w:rPr>
          <w:rFonts w:ascii="Avenir Next" w:hAnsi="Avenir Next"/>
          <w:b/>
          <w:bCs/>
        </w:rPr>
        <w:t>));</w:t>
      </w:r>
    </w:p>
    <w:p w14:paraId="73B4CE87" w14:textId="17172BBF" w:rsidR="00662A8E" w:rsidRDefault="001049F1" w:rsidP="00B70605">
      <w:pPr>
        <w:pStyle w:val="BodyText"/>
        <w:numPr>
          <w:ilvl w:val="0"/>
          <w:numId w:val="30"/>
        </w:numPr>
        <w:rPr>
          <w:rFonts w:ascii="Avenir Next" w:hAnsi="Avenir Next"/>
          <w:b/>
          <w:bCs/>
        </w:rPr>
      </w:pPr>
      <w:r>
        <w:rPr>
          <w:rFonts w:ascii="Avenir Next" w:hAnsi="Avenir Next"/>
          <w:b/>
          <w:bCs/>
        </w:rPr>
        <w:t>Unless</w:t>
      </w:r>
      <w:r w:rsidRPr="001049F1">
        <w:rPr>
          <w:rFonts w:ascii="Avenir Next" w:hAnsi="Avenir Next"/>
          <w:b/>
          <w:bCs/>
        </w:rPr>
        <w:t xml:space="preserve"> the Court otherwise directs, if the company is carrying on business outside the Islands, every petition for the appointment of a restructuring officer shall be advertised once in a newspaper having circulation in a country (or countries) in which it is most likely to come to the attention of the company's creditors (including any contingent or prospective creditors) and contributories (in which case the advertisement must be published in the official language of such country or countries)</w:t>
      </w:r>
      <w:r w:rsidR="0001015D">
        <w:rPr>
          <w:rFonts w:ascii="Avenir Next" w:hAnsi="Avenir Next"/>
          <w:b/>
          <w:bCs/>
        </w:rPr>
        <w:t xml:space="preserve"> (Order 1A, rule 1(4));</w:t>
      </w:r>
    </w:p>
    <w:p w14:paraId="49CC4A77" w14:textId="74971E40" w:rsidR="001049F1" w:rsidRDefault="0001015D" w:rsidP="00B70605">
      <w:pPr>
        <w:pStyle w:val="BodyText"/>
        <w:numPr>
          <w:ilvl w:val="0"/>
          <w:numId w:val="30"/>
        </w:numPr>
        <w:rPr>
          <w:rFonts w:ascii="Avenir Next" w:hAnsi="Avenir Next"/>
          <w:b/>
          <w:bCs/>
        </w:rPr>
      </w:pPr>
      <w:r w:rsidRPr="0001015D">
        <w:rPr>
          <w:rFonts w:ascii="Avenir Next" w:hAnsi="Avenir Next"/>
          <w:b/>
          <w:bCs/>
        </w:rPr>
        <w:t>The advertisements shall be made to appear not more than 7 business days after the petition for the appointment of a restructuring officer is filed in Court and not less than 7 business days before the hearing date</w:t>
      </w:r>
      <w:r>
        <w:rPr>
          <w:rFonts w:ascii="Avenir Next" w:hAnsi="Avenir Next"/>
          <w:b/>
          <w:bCs/>
        </w:rPr>
        <w:t xml:space="preserve"> (Order 1A, rule 1(5));</w:t>
      </w:r>
    </w:p>
    <w:p w14:paraId="402EBD88" w14:textId="77777777" w:rsidR="0001015D" w:rsidRDefault="0001015D" w:rsidP="0001015D">
      <w:pPr>
        <w:pStyle w:val="BodyText"/>
        <w:ind w:firstLine="0"/>
        <w:rPr>
          <w:rFonts w:ascii="Avenir Next" w:hAnsi="Avenir Next"/>
          <w:b/>
          <w:bCs/>
        </w:rPr>
      </w:pPr>
    </w:p>
    <w:p w14:paraId="50289F69" w14:textId="4B661450" w:rsidR="0001015D" w:rsidRDefault="0001015D" w:rsidP="0001015D">
      <w:pPr>
        <w:pStyle w:val="BodyText"/>
        <w:ind w:firstLine="0"/>
        <w:rPr>
          <w:rFonts w:ascii="Avenir Next" w:hAnsi="Avenir Next"/>
          <w:b/>
          <w:bCs/>
        </w:rPr>
      </w:pPr>
      <w:r>
        <w:rPr>
          <w:rFonts w:ascii="Avenir Next" w:hAnsi="Avenir Next"/>
          <w:b/>
          <w:bCs/>
        </w:rPr>
        <w:t xml:space="preserve">If SMB Tech were to file a restructuring petition, since it operates in a number of different jurisdictions (and </w:t>
      </w:r>
      <w:r w:rsidR="00C05F11">
        <w:rPr>
          <w:rFonts w:ascii="Avenir Next" w:hAnsi="Avenir Next"/>
          <w:b/>
          <w:bCs/>
        </w:rPr>
        <w:t>may have</w:t>
      </w:r>
      <w:r>
        <w:rPr>
          <w:rFonts w:ascii="Avenir Next" w:hAnsi="Avenir Next"/>
          <w:b/>
          <w:bCs/>
        </w:rPr>
        <w:t xml:space="preserve"> creditors in all of those jurisdictions), it is likely that the CWR would require that SMB Tech advertise the petition in the Cayman Islands, the United States, the United Kingdom and Hong Kong</w:t>
      </w:r>
      <w:r w:rsidR="00E31C6D">
        <w:rPr>
          <w:rFonts w:ascii="Avenir Next" w:hAnsi="Avenir Next"/>
          <w:b/>
          <w:bCs/>
        </w:rPr>
        <w:t>.</w:t>
      </w:r>
    </w:p>
    <w:p w14:paraId="526F00F9" w14:textId="77777777" w:rsidR="001049F1" w:rsidRPr="001049F1" w:rsidRDefault="001049F1" w:rsidP="001049F1">
      <w:pPr>
        <w:pStyle w:val="BodyText"/>
        <w:ind w:firstLine="0"/>
        <w:rPr>
          <w:rFonts w:ascii="Avenir Next" w:hAnsi="Avenir Next"/>
          <w:b/>
          <w:b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8B40B23" w14:textId="79AC308A" w:rsidR="00C61E8B" w:rsidRDefault="00C61E8B" w:rsidP="00662A8E">
      <w:pPr>
        <w:pStyle w:val="BodyText"/>
        <w:ind w:firstLine="0"/>
        <w:rPr>
          <w:rFonts w:ascii="Avenir Next" w:hAnsi="Avenir Next"/>
          <w:b/>
          <w:bCs/>
        </w:rPr>
      </w:pPr>
      <w:r>
        <w:rPr>
          <w:rFonts w:ascii="Avenir Next" w:hAnsi="Avenir Next"/>
          <w:b/>
          <w:bCs/>
        </w:rPr>
        <w:t xml:space="preserve">The restructuring officer </w:t>
      </w:r>
      <w:r w:rsidR="007C28A2">
        <w:rPr>
          <w:rFonts w:ascii="Avenir Next" w:hAnsi="Avenir Next"/>
          <w:b/>
          <w:bCs/>
        </w:rPr>
        <w:t>provisions</w:t>
      </w:r>
      <w:r>
        <w:rPr>
          <w:rFonts w:ascii="Avenir Next" w:hAnsi="Avenir Next"/>
          <w:b/>
          <w:bCs/>
        </w:rPr>
        <w:t xml:space="preserve"> </w:t>
      </w:r>
      <w:r w:rsidR="007C28A2">
        <w:rPr>
          <w:rFonts w:ascii="Avenir Next" w:hAnsi="Avenir Next"/>
          <w:b/>
          <w:bCs/>
        </w:rPr>
        <w:t>introduce</w:t>
      </w:r>
      <w:r>
        <w:rPr>
          <w:rFonts w:ascii="Avenir Next" w:hAnsi="Avenir Next"/>
          <w:b/>
          <w:bCs/>
        </w:rPr>
        <w:t xml:space="preserve"> a debtor-friendly </w:t>
      </w:r>
      <w:r w:rsidR="007C28A2">
        <w:rPr>
          <w:rFonts w:ascii="Avenir Next" w:hAnsi="Avenir Next"/>
          <w:b/>
          <w:bCs/>
        </w:rPr>
        <w:t>regime into the Companies Act</w:t>
      </w:r>
      <w:r>
        <w:rPr>
          <w:rFonts w:ascii="Avenir Next" w:hAnsi="Avenir Next"/>
          <w:b/>
          <w:bCs/>
        </w:rPr>
        <w:t xml:space="preserve"> which represents a</w:t>
      </w:r>
      <w:r w:rsidR="007C28A2">
        <w:rPr>
          <w:rFonts w:ascii="Avenir Next" w:hAnsi="Avenir Next"/>
          <w:b/>
          <w:bCs/>
        </w:rPr>
        <w:t xml:space="preserve"> slight</w:t>
      </w:r>
      <w:r>
        <w:rPr>
          <w:rFonts w:ascii="Avenir Next" w:hAnsi="Avenir Next"/>
          <w:b/>
          <w:bCs/>
        </w:rPr>
        <w:t xml:space="preserve"> departure from the usual creditor-friendly approach of the Cayman Courts. </w:t>
      </w:r>
      <w:r w:rsidR="007C28A2">
        <w:rPr>
          <w:rFonts w:ascii="Avenir Next" w:hAnsi="Avenir Next"/>
          <w:b/>
          <w:bCs/>
        </w:rPr>
        <w:t>Nevertheless</w:t>
      </w:r>
      <w:r>
        <w:rPr>
          <w:rFonts w:ascii="Avenir Next" w:hAnsi="Avenir Next"/>
          <w:b/>
          <w:bCs/>
        </w:rPr>
        <w:t xml:space="preserve">, the interests of </w:t>
      </w:r>
      <w:r w:rsidR="00A2479B">
        <w:rPr>
          <w:rFonts w:ascii="Avenir Next" w:hAnsi="Avenir Next"/>
          <w:b/>
          <w:bCs/>
        </w:rPr>
        <w:t xml:space="preserve">debtor </w:t>
      </w:r>
      <w:r>
        <w:rPr>
          <w:rFonts w:ascii="Avenir Next" w:hAnsi="Avenir Next"/>
          <w:b/>
          <w:bCs/>
        </w:rPr>
        <w:t>creditors of companies that have filed a restructuring petition are safeguarded in a number of key respects:</w:t>
      </w:r>
    </w:p>
    <w:p w14:paraId="69867450" w14:textId="77777777" w:rsidR="00C61E8B" w:rsidRDefault="00C61E8B" w:rsidP="00662A8E">
      <w:pPr>
        <w:pStyle w:val="BodyText"/>
        <w:ind w:firstLine="0"/>
        <w:rPr>
          <w:rFonts w:ascii="Avenir Next" w:hAnsi="Avenir Next"/>
          <w:b/>
          <w:bCs/>
        </w:rPr>
      </w:pPr>
    </w:p>
    <w:p w14:paraId="52A6BD57" w14:textId="35CCC3F9" w:rsidR="00A2479B" w:rsidRDefault="00A2479B" w:rsidP="00C61E8B">
      <w:pPr>
        <w:pStyle w:val="BodyText"/>
        <w:numPr>
          <w:ilvl w:val="0"/>
          <w:numId w:val="33"/>
        </w:numPr>
        <w:rPr>
          <w:rFonts w:ascii="Avenir Next" w:hAnsi="Avenir Next"/>
          <w:b/>
          <w:bCs/>
        </w:rPr>
      </w:pPr>
      <w:r>
        <w:rPr>
          <w:rFonts w:ascii="Avenir Next" w:hAnsi="Avenir Next"/>
          <w:b/>
          <w:bCs/>
        </w:rPr>
        <w:lastRenderedPageBreak/>
        <w:t xml:space="preserve">One of the two threshold requirements is that the debtor company establish that it intends to present a compromise or arrangement to creditors (section 91B(1)(a) of the Companies Act). </w:t>
      </w:r>
      <w:r w:rsidR="00A02C6B">
        <w:rPr>
          <w:rFonts w:ascii="Avenir Next" w:hAnsi="Avenir Next"/>
          <w:b/>
          <w:bCs/>
        </w:rPr>
        <w:t>However,</w:t>
      </w:r>
      <w:r w:rsidR="00776D34">
        <w:rPr>
          <w:rFonts w:ascii="Avenir Next" w:hAnsi="Avenir Next"/>
          <w:b/>
          <w:bCs/>
        </w:rPr>
        <w:t xml:space="preserve"> per </w:t>
      </w:r>
      <w:r w:rsidR="00776D34" w:rsidRPr="00877C5C">
        <w:rPr>
          <w:rFonts w:ascii="Avenir Next" w:hAnsi="Avenir Next"/>
          <w:b/>
          <w:bCs/>
          <w:i/>
          <w:iCs/>
        </w:rPr>
        <w:t>Re Oriente Group Limited</w:t>
      </w:r>
      <w:r w:rsidR="00776D34">
        <w:rPr>
          <w:rFonts w:ascii="Avenir Next" w:hAnsi="Avenir Next"/>
          <w:b/>
          <w:bCs/>
        </w:rPr>
        <w:t xml:space="preserve"> (Unreported, </w:t>
      </w:r>
      <w:proofErr w:type="spellStart"/>
      <w:r w:rsidR="00776D34">
        <w:rPr>
          <w:rFonts w:ascii="Avenir Next" w:hAnsi="Avenir Next"/>
          <w:b/>
          <w:bCs/>
        </w:rPr>
        <w:t>Kawaley</w:t>
      </w:r>
      <w:proofErr w:type="spellEnd"/>
      <w:r w:rsidR="00776D34">
        <w:rPr>
          <w:rFonts w:ascii="Avenir Next" w:hAnsi="Avenir Next"/>
          <w:b/>
          <w:bCs/>
        </w:rPr>
        <w:t xml:space="preserve"> J, 8 December 2022)</w:t>
      </w:r>
      <w:r w:rsidR="00776D34">
        <w:rPr>
          <w:rFonts w:ascii="Avenir Next" w:hAnsi="Avenir Next"/>
          <w:b/>
          <w:bCs/>
        </w:rPr>
        <w:t>,</w:t>
      </w:r>
      <w:r w:rsidR="00A02C6B">
        <w:rPr>
          <w:rFonts w:ascii="Avenir Next" w:hAnsi="Avenir Next"/>
          <w:b/>
          <w:bCs/>
        </w:rPr>
        <w:t xml:space="preserve"> this is not an easy hurdle to surmount and requires that the debtor company: (a) provide credible evidence of a rational proposal with reasonable prospects of success; and (b) establish that the proposal has or will potentially attract the support of a majority of creditors as a more </w:t>
      </w:r>
      <w:proofErr w:type="spellStart"/>
      <w:r w:rsidR="00A02C6B">
        <w:rPr>
          <w:rFonts w:ascii="Avenir Next" w:hAnsi="Avenir Next"/>
          <w:b/>
          <w:bCs/>
        </w:rPr>
        <w:t>favourable</w:t>
      </w:r>
      <w:proofErr w:type="spellEnd"/>
      <w:r w:rsidR="00A02C6B">
        <w:rPr>
          <w:rFonts w:ascii="Avenir Next" w:hAnsi="Avenir Next"/>
          <w:b/>
          <w:bCs/>
        </w:rPr>
        <w:t xml:space="preserve"> outcome than winding up. This threshold prevents debtor companies from using restructuring petitions to take advantage of the stay of proceedings and create delay to the timely payment of creditor debts.</w:t>
      </w:r>
    </w:p>
    <w:p w14:paraId="53321FBD" w14:textId="5627DF1A" w:rsidR="00662A8E" w:rsidRDefault="007C28A2" w:rsidP="00C61E8B">
      <w:pPr>
        <w:pStyle w:val="BodyText"/>
        <w:numPr>
          <w:ilvl w:val="0"/>
          <w:numId w:val="33"/>
        </w:numPr>
        <w:rPr>
          <w:rFonts w:ascii="Avenir Next" w:hAnsi="Avenir Next"/>
          <w:b/>
          <w:bCs/>
        </w:rPr>
      </w:pPr>
      <w:r>
        <w:rPr>
          <w:rFonts w:ascii="Avenir Next" w:hAnsi="Avenir Next"/>
          <w:b/>
          <w:bCs/>
        </w:rPr>
        <w:t>A creditor retains standing to apply to the Court for the determination of any question arising in the course of carrying out the restructuring officer's function (section 91D</w:t>
      </w:r>
      <w:r w:rsidR="00A2479B">
        <w:rPr>
          <w:rFonts w:ascii="Avenir Next" w:hAnsi="Avenir Next"/>
          <w:b/>
          <w:bCs/>
        </w:rPr>
        <w:t>(7)</w:t>
      </w:r>
      <w:r>
        <w:rPr>
          <w:rFonts w:ascii="Avenir Next" w:hAnsi="Avenir Next"/>
          <w:b/>
          <w:bCs/>
        </w:rPr>
        <w:t xml:space="preserve"> of the Companies Act);</w:t>
      </w:r>
    </w:p>
    <w:p w14:paraId="1F344753" w14:textId="0F699C3C" w:rsidR="007C28A2" w:rsidRDefault="00A2479B" w:rsidP="00C61E8B">
      <w:pPr>
        <w:pStyle w:val="BodyText"/>
        <w:numPr>
          <w:ilvl w:val="0"/>
          <w:numId w:val="33"/>
        </w:numPr>
        <w:rPr>
          <w:rFonts w:ascii="Avenir Next" w:hAnsi="Avenir Next"/>
          <w:b/>
          <w:bCs/>
        </w:rPr>
      </w:pPr>
      <w:r>
        <w:rPr>
          <w:rFonts w:ascii="Avenir Next" w:hAnsi="Avenir Next"/>
          <w:b/>
          <w:bCs/>
        </w:rPr>
        <w:t>A</w:t>
      </w:r>
      <w:r w:rsidR="007C28A2">
        <w:rPr>
          <w:rFonts w:ascii="Avenir Next" w:hAnsi="Avenir Next"/>
          <w:b/>
          <w:bCs/>
        </w:rPr>
        <w:t xml:space="preserve"> creditor may apply by way of summons for an order varying or discharging the order of appointment (section 91E</w:t>
      </w:r>
      <w:r>
        <w:rPr>
          <w:rFonts w:ascii="Avenir Next" w:hAnsi="Avenir Next"/>
          <w:b/>
          <w:bCs/>
        </w:rPr>
        <w:t>(1)(c)</w:t>
      </w:r>
      <w:r w:rsidR="007C28A2">
        <w:rPr>
          <w:rFonts w:ascii="Avenir Next" w:hAnsi="Avenir Next"/>
          <w:b/>
          <w:bCs/>
        </w:rPr>
        <w:t xml:space="preserve"> of the Companies Act);</w:t>
      </w:r>
    </w:p>
    <w:p w14:paraId="19FF48F6" w14:textId="004B11DE" w:rsidR="007C28A2" w:rsidRDefault="00A2479B" w:rsidP="00C61E8B">
      <w:pPr>
        <w:pStyle w:val="BodyText"/>
        <w:numPr>
          <w:ilvl w:val="0"/>
          <w:numId w:val="33"/>
        </w:numPr>
        <w:rPr>
          <w:rFonts w:ascii="Avenir Next" w:hAnsi="Avenir Next"/>
          <w:b/>
          <w:bCs/>
        </w:rPr>
      </w:pPr>
      <w:r>
        <w:rPr>
          <w:rFonts w:ascii="Avenir Next" w:hAnsi="Avenir Next"/>
          <w:b/>
          <w:bCs/>
        </w:rPr>
        <w:t>A creditor may make an application to remove or replace a restructuring officer (section 91F(1)(b) of the Companies Act);</w:t>
      </w:r>
    </w:p>
    <w:p w14:paraId="4F6BCE84" w14:textId="5DFC2693" w:rsidR="00A2479B" w:rsidRDefault="00A2479B" w:rsidP="00C61E8B">
      <w:pPr>
        <w:pStyle w:val="BodyText"/>
        <w:numPr>
          <w:ilvl w:val="0"/>
          <w:numId w:val="33"/>
        </w:numPr>
        <w:rPr>
          <w:rFonts w:ascii="Avenir Next" w:hAnsi="Avenir Next"/>
          <w:b/>
          <w:bCs/>
        </w:rPr>
      </w:pPr>
      <w:r>
        <w:rPr>
          <w:rFonts w:ascii="Avenir Next" w:hAnsi="Avenir Next"/>
          <w:b/>
          <w:bCs/>
        </w:rPr>
        <w:t>A secured creditor retains the ability to enforce their security over the whole or part of the assets of the debtor company without leave of the Court or reference to the restructuring officer (section 91H of the Companies Act); and</w:t>
      </w:r>
    </w:p>
    <w:p w14:paraId="44F88168" w14:textId="185FC2EA" w:rsidR="00662A8E" w:rsidRPr="00A02C6B" w:rsidRDefault="00A2479B" w:rsidP="00662A8E">
      <w:pPr>
        <w:pStyle w:val="BodyText"/>
        <w:numPr>
          <w:ilvl w:val="0"/>
          <w:numId w:val="33"/>
        </w:numPr>
        <w:rPr>
          <w:rFonts w:ascii="Avenir Next" w:hAnsi="Avenir Next"/>
          <w:b/>
          <w:bCs/>
        </w:rPr>
      </w:pPr>
      <w:r>
        <w:rPr>
          <w:rFonts w:ascii="Avenir Next" w:hAnsi="Avenir Next"/>
          <w:b/>
          <w:bCs/>
        </w:rPr>
        <w:t xml:space="preserve">A compromise or arrangement between the creditors is only binding if it is agreed by </w:t>
      </w:r>
      <w:r w:rsidR="00A02C6B">
        <w:rPr>
          <w:rFonts w:ascii="Avenir Next" w:hAnsi="Avenir Next"/>
          <w:b/>
          <w:bCs/>
        </w:rPr>
        <w:t>75% in value of the creditors or class of creditors, present and voting either in person or by proxy at the meeting of creditors (section 91I of the Companies Act).</w:t>
      </w: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204E6C39" w:rsidR="00662A8E" w:rsidRDefault="00E31C6D" w:rsidP="00662A8E">
      <w:pPr>
        <w:pStyle w:val="BodyText"/>
        <w:ind w:firstLine="0"/>
        <w:rPr>
          <w:rFonts w:ascii="Avenir Next" w:hAnsi="Avenir Next"/>
          <w:b/>
          <w:bCs/>
        </w:rPr>
      </w:pPr>
      <w:r>
        <w:rPr>
          <w:rFonts w:ascii="Avenir Next" w:hAnsi="Avenir Next"/>
          <w:b/>
          <w:bCs/>
        </w:rPr>
        <w:t>On the hearing of a restructuring petition, per section 91B(3) of the Companies Act, the Court may:</w:t>
      </w:r>
    </w:p>
    <w:p w14:paraId="2461372E" w14:textId="77777777" w:rsidR="00E31C6D" w:rsidRDefault="00E31C6D" w:rsidP="00662A8E">
      <w:pPr>
        <w:pStyle w:val="BodyText"/>
        <w:ind w:firstLine="0"/>
        <w:rPr>
          <w:rFonts w:ascii="Avenir Next" w:hAnsi="Avenir Next"/>
          <w:b/>
          <w:bCs/>
        </w:rPr>
      </w:pPr>
    </w:p>
    <w:p w14:paraId="1D1059AC" w14:textId="77777777" w:rsidR="00E31C6D" w:rsidRDefault="00E31C6D" w:rsidP="00E31C6D">
      <w:pPr>
        <w:pStyle w:val="BodyText"/>
        <w:ind w:left="720" w:firstLine="0"/>
        <w:rPr>
          <w:rFonts w:ascii="Avenir Next" w:hAnsi="Avenir Next"/>
          <w:b/>
          <w:bCs/>
        </w:rPr>
      </w:pPr>
      <w:r w:rsidRPr="00E31C6D">
        <w:rPr>
          <w:rFonts w:ascii="Avenir Next" w:hAnsi="Avenir Next"/>
          <w:b/>
          <w:bCs/>
        </w:rPr>
        <w:t xml:space="preserve">(a) make an order appointing a restructuring officer; </w:t>
      </w:r>
    </w:p>
    <w:p w14:paraId="688135D5" w14:textId="3FFB0C36" w:rsidR="00E31C6D" w:rsidRDefault="00E31C6D" w:rsidP="00E31C6D">
      <w:pPr>
        <w:pStyle w:val="BodyText"/>
        <w:ind w:left="720" w:firstLine="0"/>
        <w:rPr>
          <w:rFonts w:ascii="Avenir Next" w:hAnsi="Avenir Next"/>
          <w:b/>
          <w:bCs/>
        </w:rPr>
      </w:pPr>
      <w:r w:rsidRPr="00E31C6D">
        <w:rPr>
          <w:rFonts w:ascii="Avenir Next" w:hAnsi="Avenir Next"/>
          <w:b/>
          <w:bCs/>
        </w:rPr>
        <w:t xml:space="preserve">(b) adjourn the hearing conditionally or unconditionally; </w:t>
      </w:r>
    </w:p>
    <w:p w14:paraId="7AF12AE9" w14:textId="77777777" w:rsidR="00E31C6D" w:rsidRDefault="00E31C6D" w:rsidP="00E31C6D">
      <w:pPr>
        <w:pStyle w:val="BodyText"/>
        <w:ind w:left="720" w:firstLine="0"/>
        <w:rPr>
          <w:rFonts w:ascii="Avenir Next" w:hAnsi="Avenir Next"/>
          <w:b/>
          <w:bCs/>
        </w:rPr>
      </w:pPr>
      <w:r w:rsidRPr="00E31C6D">
        <w:rPr>
          <w:rFonts w:ascii="Avenir Next" w:hAnsi="Avenir Next"/>
          <w:b/>
          <w:bCs/>
        </w:rPr>
        <w:t xml:space="preserve">(c) dismiss the petition; or </w:t>
      </w:r>
    </w:p>
    <w:p w14:paraId="3907A63B" w14:textId="31FB0FF1" w:rsidR="00E31C6D" w:rsidRDefault="00E31C6D" w:rsidP="00E31C6D">
      <w:pPr>
        <w:pStyle w:val="BodyText"/>
        <w:ind w:left="720" w:firstLine="0"/>
        <w:rPr>
          <w:rFonts w:ascii="Avenir Next" w:hAnsi="Avenir Next"/>
          <w:b/>
          <w:bCs/>
        </w:rPr>
      </w:pPr>
      <w:r w:rsidRPr="00E31C6D">
        <w:rPr>
          <w:rFonts w:ascii="Avenir Next" w:hAnsi="Avenir Next"/>
          <w:b/>
          <w:bCs/>
        </w:rPr>
        <w:t>(d) make any other order as the Court thinks fit</w:t>
      </w:r>
    </w:p>
    <w:p w14:paraId="23321335" w14:textId="77777777" w:rsidR="00E31C6D" w:rsidRDefault="00E31C6D" w:rsidP="00E31C6D">
      <w:pPr>
        <w:pStyle w:val="BodyText"/>
        <w:ind w:firstLine="0"/>
        <w:rPr>
          <w:rFonts w:ascii="Avenir Next" w:hAnsi="Avenir Next"/>
          <w:b/>
          <w:bCs/>
        </w:rPr>
      </w:pPr>
    </w:p>
    <w:p w14:paraId="493B97E6" w14:textId="3DABF07B" w:rsidR="00E31C6D" w:rsidRPr="007D4146" w:rsidRDefault="00E31C6D" w:rsidP="00E31C6D">
      <w:pPr>
        <w:pStyle w:val="BodyText"/>
        <w:ind w:firstLine="0"/>
        <w:rPr>
          <w:rFonts w:ascii="Avenir Next" w:hAnsi="Avenir Next"/>
          <w:b/>
          <w:bCs/>
        </w:rPr>
      </w:pPr>
      <w:r>
        <w:rPr>
          <w:rFonts w:ascii="Avenir Next" w:hAnsi="Avenir Next"/>
          <w:b/>
          <w:bCs/>
        </w:rPr>
        <w:t xml:space="preserve">However, the broad wording in subsection (d) has a key limitation, in that the Court may </w:t>
      </w:r>
      <w:r w:rsidRPr="00E31C6D">
        <w:rPr>
          <w:rFonts w:ascii="Avenir Next" w:hAnsi="Avenir Next"/>
          <w:b/>
          <w:bCs/>
          <w:u w:val="single"/>
        </w:rPr>
        <w:t>not</w:t>
      </w:r>
      <w:r>
        <w:rPr>
          <w:rFonts w:ascii="Avenir Next" w:hAnsi="Avenir Next"/>
          <w:b/>
          <w:bCs/>
        </w:rPr>
        <w:t xml:space="preserve"> make an order placing the company into official liquidation unless the petitioner has obtained leave of the Court (subject to such terms as the Court may impose) to lift the stay of proceedings pursuant to section 91G(1). </w:t>
      </w:r>
    </w:p>
    <w:p w14:paraId="134FD9EE" w14:textId="77777777" w:rsidR="009733E8" w:rsidRDefault="009733E8" w:rsidP="00E31C6D">
      <w:pPr>
        <w:pStyle w:val="BodyText"/>
        <w:ind w:firstLine="0"/>
        <w:rPr>
          <w:rFonts w:ascii="Avenir Next Demi Bold" w:hAnsi="Avenir Next Demi Bold"/>
          <w:b/>
          <w:bCs/>
          <w:lang w:val="en-GB"/>
        </w:rPr>
      </w:pPr>
    </w:p>
    <w:p w14:paraId="3E97E92F" w14:textId="77777777" w:rsidR="00E31C6D" w:rsidRDefault="00E31C6D" w:rsidP="00E31C6D">
      <w:pPr>
        <w:pStyle w:val="BodyText"/>
        <w:ind w:firstLine="0"/>
        <w:rPr>
          <w:rFonts w:ascii="Avenir Next Demi Bold" w:hAnsi="Avenir Next Demi Bold"/>
          <w:b/>
          <w:bCs/>
          <w:lang w:val="en-GB"/>
        </w:rPr>
      </w:pPr>
      <w:r>
        <w:rPr>
          <w:rFonts w:ascii="Avenir Next Demi Bold" w:hAnsi="Avenir Next Demi Bold"/>
          <w:b/>
          <w:bCs/>
          <w:lang w:val="en-GB"/>
        </w:rPr>
        <w:t xml:space="preserve">In addition, the Court: </w:t>
      </w:r>
    </w:p>
    <w:p w14:paraId="094D3F05" w14:textId="77777777" w:rsidR="00E31C6D" w:rsidRDefault="00E31C6D" w:rsidP="00E31C6D">
      <w:pPr>
        <w:pStyle w:val="BodyText"/>
        <w:ind w:firstLine="0"/>
        <w:rPr>
          <w:rFonts w:ascii="Avenir Next Demi Bold" w:hAnsi="Avenir Next Demi Bold"/>
          <w:b/>
          <w:bCs/>
          <w:lang w:val="en-GB"/>
        </w:rPr>
      </w:pPr>
    </w:p>
    <w:p w14:paraId="546916CA" w14:textId="39D51678" w:rsidR="001E4034" w:rsidRDefault="001E4034" w:rsidP="00E31C6D">
      <w:pPr>
        <w:pStyle w:val="BodyText"/>
        <w:numPr>
          <w:ilvl w:val="0"/>
          <w:numId w:val="41"/>
        </w:numPr>
        <w:rPr>
          <w:rFonts w:ascii="Avenir Next Demi Bold" w:hAnsi="Avenir Next Demi Bold"/>
          <w:b/>
          <w:bCs/>
          <w:lang w:val="en-GB"/>
        </w:rPr>
      </w:pPr>
      <w:r>
        <w:rPr>
          <w:rFonts w:ascii="Avenir Next Demi Bold" w:hAnsi="Avenir Next Demi Bold"/>
          <w:b/>
          <w:bCs/>
          <w:lang w:val="en-GB"/>
        </w:rPr>
        <w:t>may appoint a restructuring officer on an interim basis pending a hearing under section 91B (section 91C);</w:t>
      </w:r>
    </w:p>
    <w:p w14:paraId="64B828F5" w14:textId="0B86EEA4" w:rsidR="001E4034" w:rsidRDefault="001E4034" w:rsidP="00E31C6D">
      <w:pPr>
        <w:pStyle w:val="BodyText"/>
        <w:numPr>
          <w:ilvl w:val="0"/>
          <w:numId w:val="41"/>
        </w:numPr>
        <w:rPr>
          <w:rFonts w:ascii="Avenir Next Demi Bold" w:hAnsi="Avenir Next Demi Bold"/>
          <w:b/>
          <w:bCs/>
          <w:lang w:val="en-GB"/>
        </w:rPr>
      </w:pPr>
      <w:r>
        <w:rPr>
          <w:rFonts w:ascii="Avenir Next Demi Bold" w:hAnsi="Avenir Next Demi Bold"/>
          <w:b/>
          <w:bCs/>
          <w:lang w:val="en-GB"/>
        </w:rPr>
        <w:t>may fix the restructuring officer</w:t>
      </w:r>
      <w:r w:rsidR="00776D34">
        <w:rPr>
          <w:rFonts w:ascii="Avenir Next Demi Bold" w:hAnsi="Avenir Next Demi Bold"/>
          <w:b/>
          <w:bCs/>
          <w:lang w:val="en-GB"/>
        </w:rPr>
        <w:t>'</w:t>
      </w:r>
      <w:r>
        <w:rPr>
          <w:rFonts w:ascii="Avenir Next Demi Bold" w:hAnsi="Avenir Next Demi Bold"/>
          <w:b/>
          <w:bCs/>
          <w:lang w:val="en-GB"/>
        </w:rPr>
        <w:t>s remuneration (section 91D(6);</w:t>
      </w:r>
    </w:p>
    <w:p w14:paraId="0363C0A0" w14:textId="432E5D25" w:rsidR="00E31C6D" w:rsidRDefault="00E31C6D" w:rsidP="00E31C6D">
      <w:pPr>
        <w:pStyle w:val="BodyText"/>
        <w:numPr>
          <w:ilvl w:val="0"/>
          <w:numId w:val="41"/>
        </w:numPr>
        <w:rPr>
          <w:rFonts w:ascii="Avenir Next Demi Bold" w:hAnsi="Avenir Next Demi Bold"/>
          <w:b/>
          <w:bCs/>
          <w:lang w:val="en-GB"/>
        </w:rPr>
      </w:pPr>
      <w:r>
        <w:rPr>
          <w:rFonts w:ascii="Avenir Next Demi Bold" w:hAnsi="Avenir Next Demi Bold"/>
          <w:b/>
          <w:bCs/>
          <w:lang w:val="en-GB"/>
        </w:rPr>
        <w:t xml:space="preserve">retains the power to grant the relief upon the application of interested parties such as the </w:t>
      </w:r>
      <w:r w:rsidR="00056FF9">
        <w:rPr>
          <w:rFonts w:ascii="Avenir Next Demi Bold" w:hAnsi="Avenir Next Demi Bold"/>
          <w:b/>
          <w:bCs/>
          <w:lang w:val="en-GB"/>
        </w:rPr>
        <w:t xml:space="preserve">restructuring officer, the </w:t>
      </w:r>
      <w:r>
        <w:rPr>
          <w:rFonts w:ascii="Avenir Next Demi Bold" w:hAnsi="Avenir Next Demi Bold"/>
          <w:b/>
          <w:bCs/>
          <w:lang w:val="en-GB"/>
        </w:rPr>
        <w:t xml:space="preserve">company, creditors, contributories and CIMA (see section </w:t>
      </w:r>
      <w:r w:rsidR="00056FF9">
        <w:rPr>
          <w:rFonts w:ascii="Avenir Next Demi Bold" w:hAnsi="Avenir Next Demi Bold"/>
          <w:b/>
          <w:bCs/>
          <w:lang w:val="en-GB"/>
        </w:rPr>
        <w:t>91D(7), 91E(3) and 91F(1)).</w:t>
      </w:r>
    </w:p>
    <w:p w14:paraId="6EDBC65E" w14:textId="798B33BF" w:rsidR="00056FF9" w:rsidRDefault="00056FF9" w:rsidP="00E31C6D">
      <w:pPr>
        <w:pStyle w:val="BodyText"/>
        <w:numPr>
          <w:ilvl w:val="0"/>
          <w:numId w:val="41"/>
        </w:numPr>
        <w:rPr>
          <w:rFonts w:ascii="Avenir Next Demi Bold" w:hAnsi="Avenir Next Demi Bold"/>
          <w:b/>
          <w:bCs/>
          <w:lang w:val="en-GB"/>
        </w:rPr>
      </w:pPr>
      <w:r>
        <w:rPr>
          <w:rFonts w:ascii="Avenir Next Demi Bold" w:hAnsi="Avenir Next Demi Bold"/>
          <w:b/>
          <w:bCs/>
          <w:lang w:val="en-GB"/>
        </w:rPr>
        <w:t>may grant leave to lift the stay for other legal proceedings (section 91G(3)); and</w:t>
      </w:r>
    </w:p>
    <w:p w14:paraId="231B9C44" w14:textId="03B0217F" w:rsidR="00056FF9" w:rsidRDefault="00056FF9" w:rsidP="00E31C6D">
      <w:pPr>
        <w:pStyle w:val="BodyText"/>
        <w:numPr>
          <w:ilvl w:val="0"/>
          <w:numId w:val="41"/>
        </w:numPr>
        <w:rPr>
          <w:rFonts w:ascii="Avenir Next Demi Bold" w:hAnsi="Avenir Next Demi Bold"/>
          <w:b/>
          <w:bCs/>
          <w:lang w:val="en-GB"/>
        </w:rPr>
      </w:pPr>
      <w:r>
        <w:rPr>
          <w:rFonts w:ascii="Avenir Next Demi Bold" w:hAnsi="Avenir Next Demi Bold"/>
          <w:b/>
          <w:bCs/>
          <w:lang w:val="en-GB"/>
        </w:rPr>
        <w:t>may sanction a compromise or arrangement (section 91I) including an amalgamation of two or more companies (section 91J).</w:t>
      </w: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lastRenderedPageBreak/>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34BFD77" w14:textId="77777777" w:rsidR="005A05EC" w:rsidRDefault="005A05EC" w:rsidP="00F3705F">
      <w:pPr>
        <w:pStyle w:val="BodyText"/>
        <w:ind w:firstLine="0"/>
        <w:rPr>
          <w:rFonts w:ascii="Avenir Next" w:hAnsi="Avenir Next"/>
          <w:color w:val="808080" w:themeColor="background1" w:themeShade="80"/>
        </w:rPr>
      </w:pPr>
    </w:p>
    <w:p w14:paraId="41631322" w14:textId="61FEC47F" w:rsidR="00083439" w:rsidRPr="001D1D4F" w:rsidRDefault="005A05EC" w:rsidP="00B70605">
      <w:pPr>
        <w:pStyle w:val="BodyText"/>
        <w:numPr>
          <w:ilvl w:val="0"/>
          <w:numId w:val="25"/>
        </w:numPr>
        <w:rPr>
          <w:rFonts w:ascii="Avenir Next" w:hAnsi="Avenir Next"/>
          <w:b/>
          <w:bCs/>
        </w:rPr>
      </w:pPr>
      <w:r w:rsidRPr="001D1D4F">
        <w:rPr>
          <w:rFonts w:ascii="Avenir Next" w:hAnsi="Avenir Next"/>
          <w:b/>
          <w:bCs/>
        </w:rPr>
        <w:t xml:space="preserve">statute, being the Partnership Act (2013 Revision) and the Exempted Limited Partnership Act (2021 Revision); </w:t>
      </w:r>
    </w:p>
    <w:p w14:paraId="252BDA73" w14:textId="0B37BC77" w:rsidR="006D7C44" w:rsidRPr="001D1D4F" w:rsidRDefault="005A05EC" w:rsidP="00B70605">
      <w:pPr>
        <w:pStyle w:val="BodyText"/>
        <w:numPr>
          <w:ilvl w:val="0"/>
          <w:numId w:val="25"/>
        </w:numPr>
        <w:rPr>
          <w:rFonts w:ascii="Avenir Next" w:hAnsi="Avenir Next"/>
          <w:b/>
          <w:bCs/>
        </w:rPr>
      </w:pPr>
      <w:r w:rsidRPr="001D1D4F">
        <w:rPr>
          <w:rFonts w:ascii="Avenir Next" w:hAnsi="Avenir Next"/>
          <w:b/>
          <w:bCs/>
        </w:rPr>
        <w:t>common law (see section 3 of the ELP Act)</w:t>
      </w:r>
      <w:r w:rsidR="005D713A" w:rsidRPr="001D1D4F">
        <w:rPr>
          <w:rFonts w:ascii="Avenir Next" w:hAnsi="Avenir Next"/>
          <w:b/>
          <w:bCs/>
        </w:rPr>
        <w:t>; and</w:t>
      </w:r>
    </w:p>
    <w:p w14:paraId="68EABF0B" w14:textId="7445D168" w:rsidR="005A05EC" w:rsidRPr="001D1D4F" w:rsidRDefault="005A05EC" w:rsidP="00B70605">
      <w:pPr>
        <w:pStyle w:val="BodyText"/>
        <w:numPr>
          <w:ilvl w:val="0"/>
          <w:numId w:val="25"/>
        </w:numPr>
        <w:rPr>
          <w:rFonts w:ascii="Avenir Next" w:hAnsi="Avenir Next"/>
          <w:b/>
          <w:bCs/>
        </w:rPr>
      </w:pPr>
      <w:r w:rsidRPr="001D1D4F">
        <w:rPr>
          <w:rFonts w:ascii="Avenir Next" w:hAnsi="Avenir Next"/>
          <w:b/>
          <w:bCs/>
        </w:rPr>
        <w:t>equity (see section 3 of the ELP Act)</w:t>
      </w:r>
      <w:r w:rsidR="005D713A" w:rsidRPr="001D1D4F">
        <w:rPr>
          <w:rFonts w:ascii="Avenir Next" w:hAnsi="Avenir Next"/>
          <w:b/>
          <w:bCs/>
        </w:rPr>
        <w:t>.</w:t>
      </w: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737EC320" w:rsidR="00712982" w:rsidRPr="001D1D4F" w:rsidRDefault="005C4CA1" w:rsidP="00F3705F">
      <w:pPr>
        <w:pStyle w:val="BodyText"/>
        <w:ind w:firstLine="0"/>
        <w:rPr>
          <w:rFonts w:ascii="Avenir Next" w:hAnsi="Avenir Next"/>
          <w:b/>
          <w:bCs/>
        </w:rPr>
      </w:pPr>
      <w:r w:rsidRPr="001D1D4F">
        <w:rPr>
          <w:rFonts w:ascii="Avenir Next" w:hAnsi="Avenir Next"/>
          <w:b/>
          <w:bCs/>
        </w:rPr>
        <w:t xml:space="preserve">Under section 91(d) of the Companies Act, the Cayman Court has jurisdiction to wind up a foreign company that: </w:t>
      </w:r>
    </w:p>
    <w:p w14:paraId="2E6EC9AF" w14:textId="77777777" w:rsidR="005C4CA1" w:rsidRPr="001D1D4F" w:rsidRDefault="005C4CA1" w:rsidP="00F3705F">
      <w:pPr>
        <w:pStyle w:val="BodyText"/>
        <w:ind w:firstLine="0"/>
        <w:rPr>
          <w:rFonts w:ascii="Avenir Next" w:hAnsi="Avenir Next"/>
          <w:b/>
          <w:bCs/>
        </w:rPr>
      </w:pPr>
    </w:p>
    <w:p w14:paraId="53D3ACE6" w14:textId="1AABC234" w:rsidR="005C4CA1" w:rsidRPr="001D1D4F" w:rsidRDefault="005C4CA1" w:rsidP="00B70605">
      <w:pPr>
        <w:pStyle w:val="BodyText"/>
        <w:numPr>
          <w:ilvl w:val="0"/>
          <w:numId w:val="26"/>
        </w:numPr>
        <w:rPr>
          <w:rFonts w:ascii="Avenir Next" w:hAnsi="Avenir Next"/>
          <w:b/>
          <w:bCs/>
        </w:rPr>
      </w:pPr>
      <w:r w:rsidRPr="001D1D4F">
        <w:rPr>
          <w:rFonts w:ascii="Avenir Next" w:hAnsi="Avenir Next"/>
          <w:b/>
          <w:bCs/>
        </w:rPr>
        <w:t>has property located in the Cayman Islands</w:t>
      </w:r>
    </w:p>
    <w:p w14:paraId="79A67C32" w14:textId="56FF3E33" w:rsidR="005C4CA1" w:rsidRPr="001D1D4F" w:rsidRDefault="005C4CA1" w:rsidP="00B70605">
      <w:pPr>
        <w:pStyle w:val="BodyText"/>
        <w:numPr>
          <w:ilvl w:val="0"/>
          <w:numId w:val="26"/>
        </w:numPr>
        <w:rPr>
          <w:rFonts w:ascii="Avenir Next" w:hAnsi="Avenir Next"/>
          <w:b/>
          <w:bCs/>
        </w:rPr>
      </w:pPr>
      <w:r w:rsidRPr="001D1D4F">
        <w:rPr>
          <w:rFonts w:ascii="Avenir Next" w:hAnsi="Avenir Next"/>
          <w:b/>
          <w:bCs/>
        </w:rPr>
        <w:t>is carrying on a business  in the Cayman Islands;</w:t>
      </w:r>
    </w:p>
    <w:p w14:paraId="7DA7D93B" w14:textId="4715AA6A" w:rsidR="005C4CA1" w:rsidRPr="001D1D4F" w:rsidRDefault="005C4CA1" w:rsidP="00B70605">
      <w:pPr>
        <w:pStyle w:val="BodyText"/>
        <w:numPr>
          <w:ilvl w:val="0"/>
          <w:numId w:val="26"/>
        </w:numPr>
        <w:rPr>
          <w:rFonts w:ascii="Avenir Next" w:hAnsi="Avenir Next"/>
          <w:b/>
          <w:bCs/>
        </w:rPr>
      </w:pPr>
      <w:r w:rsidRPr="001D1D4F">
        <w:rPr>
          <w:rFonts w:ascii="Avenir Next" w:hAnsi="Avenir Next"/>
          <w:b/>
          <w:bCs/>
        </w:rPr>
        <w:t>is the general partner of an ordinary limited partnership or ELP; or</w:t>
      </w:r>
    </w:p>
    <w:p w14:paraId="5E839C28" w14:textId="0C83C9BE" w:rsidR="005C4CA1" w:rsidRPr="001D1D4F" w:rsidRDefault="005C4CA1" w:rsidP="00B70605">
      <w:pPr>
        <w:pStyle w:val="BodyText"/>
        <w:numPr>
          <w:ilvl w:val="0"/>
          <w:numId w:val="26"/>
        </w:numPr>
        <w:rPr>
          <w:rFonts w:ascii="Avenir Next" w:hAnsi="Avenir Next"/>
          <w:b/>
          <w:bCs/>
        </w:rPr>
      </w:pPr>
      <w:r w:rsidRPr="001D1D4F">
        <w:rPr>
          <w:rFonts w:ascii="Avenir Next" w:hAnsi="Avenir Next"/>
          <w:b/>
          <w:bCs/>
        </w:rPr>
        <w:t>is registered as a foreign company under Part IX of the Companies Act.</w:t>
      </w:r>
    </w:p>
    <w:p w14:paraId="1DF53DDC" w14:textId="77777777" w:rsidR="00712982" w:rsidRPr="001D1D4F" w:rsidRDefault="00712982" w:rsidP="00F3705F">
      <w:pPr>
        <w:rPr>
          <w:b/>
          <w:bCs/>
          <w:lang w:val="en-GB"/>
        </w:rPr>
      </w:pPr>
    </w:p>
    <w:p w14:paraId="2DF8F077" w14:textId="0D85A96B" w:rsidR="005C4CA1" w:rsidRPr="001D1D4F" w:rsidRDefault="005C4CA1" w:rsidP="005C4CA1">
      <w:pPr>
        <w:pStyle w:val="BodyText"/>
        <w:ind w:firstLine="0"/>
        <w:rPr>
          <w:rFonts w:ascii="Avenir Next" w:hAnsi="Avenir Next"/>
          <w:b/>
          <w:bCs/>
        </w:rPr>
      </w:pPr>
      <w:r w:rsidRPr="001D1D4F">
        <w:rPr>
          <w:rFonts w:ascii="Avenir Next" w:hAnsi="Avenir Next"/>
          <w:b/>
          <w:bCs/>
        </w:rPr>
        <w:t>Part XI of the Companies Act requires a foreign company to register in the Cayman Islands where it establishes a place of business, or commences carrying on a business within the Cayman Islands.</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44BE2057" w:rsidR="00712982" w:rsidRPr="001D1D4F" w:rsidRDefault="005D713A" w:rsidP="00976A01">
      <w:pPr>
        <w:pStyle w:val="BodyText"/>
        <w:ind w:firstLine="0"/>
        <w:rPr>
          <w:rFonts w:ascii="Avenir Next" w:hAnsi="Avenir Next"/>
          <w:b/>
          <w:bCs/>
        </w:rPr>
      </w:pPr>
      <w:r w:rsidRPr="001D1D4F">
        <w:rPr>
          <w:rFonts w:ascii="Avenir Next" w:hAnsi="Avenir Next"/>
          <w:b/>
          <w:bCs/>
        </w:rPr>
        <w:t>A judgment of a foreign court is not enforceable in the Cayman Islands in and of itself and it must be registered. However</w:t>
      </w:r>
      <w:r w:rsidR="00976A01" w:rsidRPr="001D1D4F">
        <w:rPr>
          <w:rFonts w:ascii="Avenir Next" w:hAnsi="Avenir Next"/>
          <w:b/>
          <w:bCs/>
        </w:rPr>
        <w:t>, in</w:t>
      </w:r>
      <w:r w:rsidRPr="001D1D4F">
        <w:rPr>
          <w:rFonts w:ascii="Avenir Next" w:hAnsi="Avenir Next"/>
          <w:b/>
          <w:bCs/>
        </w:rPr>
        <w:t xml:space="preserve"> the first instance decision of </w:t>
      </w:r>
      <w:proofErr w:type="spellStart"/>
      <w:r w:rsidRPr="001D1D4F">
        <w:rPr>
          <w:rFonts w:ascii="Avenir Next" w:hAnsi="Avenir Next"/>
          <w:b/>
          <w:bCs/>
        </w:rPr>
        <w:t>Kawaley</w:t>
      </w:r>
      <w:proofErr w:type="spellEnd"/>
      <w:r w:rsidRPr="001D1D4F">
        <w:rPr>
          <w:rFonts w:ascii="Avenir Next" w:hAnsi="Avenir Next"/>
          <w:b/>
          <w:bCs/>
        </w:rPr>
        <w:t xml:space="preserve"> J in </w:t>
      </w:r>
      <w:r w:rsidRPr="001D1D4F">
        <w:rPr>
          <w:rFonts w:ascii="Avenir Next" w:hAnsi="Avenir Next"/>
          <w:b/>
          <w:bCs/>
          <w:i/>
          <w:iCs/>
        </w:rPr>
        <w:t>Re Guoan International Limited</w:t>
      </w:r>
      <w:r w:rsidRPr="001D1D4F">
        <w:rPr>
          <w:rFonts w:ascii="Avenir Next" w:hAnsi="Avenir Next"/>
          <w:b/>
          <w:bCs/>
        </w:rPr>
        <w:t xml:space="preserve"> (Unreported, 29 October</w:t>
      </w:r>
      <w:r w:rsidR="005C4CA1" w:rsidRPr="001D1D4F">
        <w:rPr>
          <w:rFonts w:ascii="Avenir Next" w:hAnsi="Avenir Next"/>
          <w:b/>
          <w:bCs/>
        </w:rPr>
        <w:t xml:space="preserve"> 2021</w:t>
      </w:r>
      <w:r w:rsidRPr="001D1D4F">
        <w:rPr>
          <w:rFonts w:ascii="Avenir Next" w:hAnsi="Avenir Next"/>
          <w:b/>
          <w:bCs/>
        </w:rPr>
        <w:t>), his Lordship found that a creditor may rely on a foreign judgment as the basis for seeking a winding up order without first obtaining recognition and/or enforcement orders in respect of such foreign judgments from the Cayman Court.</w:t>
      </w:r>
      <w:r w:rsidR="00976A01" w:rsidRPr="001D1D4F">
        <w:rPr>
          <w:rFonts w:ascii="Avenir Next" w:hAnsi="Avenir Next"/>
          <w:b/>
          <w:bCs/>
        </w:rPr>
        <w:t xml:space="preserve"> His Lordship dismissed arguments made by the </w:t>
      </w:r>
      <w:r w:rsidR="009B1651" w:rsidRPr="001D1D4F">
        <w:rPr>
          <w:rFonts w:ascii="Avenir Next" w:hAnsi="Avenir Next"/>
          <w:b/>
          <w:bCs/>
        </w:rPr>
        <w:t>judgment debtor</w:t>
      </w:r>
      <w:r w:rsidR="00976A01" w:rsidRPr="001D1D4F">
        <w:rPr>
          <w:rFonts w:ascii="Avenir Next" w:hAnsi="Avenir Next"/>
          <w:b/>
          <w:bCs/>
        </w:rPr>
        <w:t xml:space="preserve"> that </w:t>
      </w:r>
      <w:r w:rsidR="00776D34">
        <w:rPr>
          <w:rFonts w:ascii="Avenir Next" w:hAnsi="Avenir Next"/>
          <w:b/>
          <w:bCs/>
        </w:rPr>
        <w:t>there was a disputed debt</w:t>
      </w:r>
      <w:r w:rsidR="00976A01" w:rsidRPr="001D1D4F">
        <w:rPr>
          <w:rFonts w:ascii="Avenir Next" w:hAnsi="Avenir Next"/>
          <w:b/>
          <w:bCs/>
        </w:rPr>
        <w:t xml:space="preserve"> on the basis of a pending appeal.</w:t>
      </w:r>
    </w:p>
    <w:p w14:paraId="52D195DC" w14:textId="77777777" w:rsidR="00976A01" w:rsidRPr="001D1D4F" w:rsidRDefault="00976A01" w:rsidP="00976A01">
      <w:pPr>
        <w:pStyle w:val="BodyText"/>
        <w:ind w:firstLine="0"/>
        <w:rPr>
          <w:rFonts w:ascii="Avenir Next" w:hAnsi="Avenir Next"/>
          <w:b/>
          <w:bCs/>
        </w:rPr>
      </w:pPr>
    </w:p>
    <w:p w14:paraId="7D332344" w14:textId="4DA0F84B" w:rsidR="00976A01" w:rsidRPr="001D1D4F" w:rsidRDefault="00976A01" w:rsidP="00976A01">
      <w:pPr>
        <w:pStyle w:val="BodyText"/>
        <w:ind w:firstLine="0"/>
        <w:rPr>
          <w:rFonts w:ascii="Avenir Next" w:hAnsi="Avenir Next"/>
          <w:b/>
          <w:bCs/>
        </w:rPr>
      </w:pPr>
      <w:r w:rsidRPr="001D1D4F">
        <w:rPr>
          <w:rFonts w:ascii="Avenir Next" w:hAnsi="Avenir Next"/>
          <w:b/>
          <w:bCs/>
        </w:rPr>
        <w:t>Therefore, a petitioner can file a creditors</w:t>
      </w:r>
      <w:r w:rsidR="009B1651" w:rsidRPr="001D1D4F">
        <w:rPr>
          <w:rFonts w:ascii="Avenir Next" w:hAnsi="Avenir Next"/>
          <w:b/>
          <w:bCs/>
        </w:rPr>
        <w:t>'</w:t>
      </w:r>
      <w:r w:rsidRPr="001D1D4F">
        <w:rPr>
          <w:rFonts w:ascii="Avenir Next" w:hAnsi="Avenir Next"/>
          <w:b/>
          <w:bCs/>
        </w:rPr>
        <w:t xml:space="preserve"> </w:t>
      </w:r>
      <w:r w:rsidR="009B1651" w:rsidRPr="001D1D4F">
        <w:rPr>
          <w:rFonts w:ascii="Avenir Next" w:hAnsi="Avenir Next"/>
          <w:b/>
          <w:bCs/>
        </w:rPr>
        <w:t>petition</w:t>
      </w:r>
      <w:r w:rsidRPr="001D1D4F">
        <w:rPr>
          <w:rFonts w:ascii="Avenir Next" w:hAnsi="Avenir Next"/>
          <w:b/>
          <w:bCs/>
        </w:rPr>
        <w:t xml:space="preserve"> on the basis of an unregistered and unenforced foreign judgment</w:t>
      </w:r>
      <w:r w:rsidR="009B1651" w:rsidRPr="001D1D4F">
        <w:rPr>
          <w:rFonts w:ascii="Avenir Next" w:hAnsi="Avenir Next"/>
          <w:b/>
          <w:bCs/>
        </w:rPr>
        <w:t xml:space="preserve"> which has not been satisfied by arguing</w:t>
      </w:r>
      <w:r w:rsidRPr="001D1D4F">
        <w:rPr>
          <w:rFonts w:ascii="Avenir Next" w:hAnsi="Avenir Next"/>
          <w:b/>
          <w:bCs/>
        </w:rPr>
        <w:t xml:space="preserve"> that the</w:t>
      </w:r>
      <w:r w:rsidR="009B1651" w:rsidRPr="001D1D4F">
        <w:rPr>
          <w:rFonts w:ascii="Avenir Next" w:hAnsi="Avenir Next"/>
          <w:b/>
          <w:bCs/>
        </w:rPr>
        <w:t xml:space="preserve"> judgment</w:t>
      </w:r>
      <w:r w:rsidRPr="001D1D4F">
        <w:rPr>
          <w:rFonts w:ascii="Avenir Next" w:hAnsi="Avenir Next"/>
          <w:b/>
          <w:bCs/>
        </w:rPr>
        <w:t xml:space="preserve"> </w:t>
      </w:r>
      <w:r w:rsidR="009B1651" w:rsidRPr="001D1D4F">
        <w:rPr>
          <w:rFonts w:ascii="Avenir Next" w:hAnsi="Avenir Next"/>
          <w:b/>
          <w:bCs/>
        </w:rPr>
        <w:t>debtor</w:t>
      </w:r>
      <w:r w:rsidRPr="001D1D4F">
        <w:rPr>
          <w:rFonts w:ascii="Avenir Next" w:hAnsi="Avenir Next"/>
          <w:b/>
          <w:bCs/>
        </w:rPr>
        <w:t xml:space="preserve"> is unable </w:t>
      </w:r>
      <w:r w:rsidR="009B1651" w:rsidRPr="001D1D4F">
        <w:rPr>
          <w:rFonts w:ascii="Avenir Next" w:hAnsi="Avenir Next"/>
          <w:b/>
          <w:bCs/>
        </w:rPr>
        <w:t>to pay its debts either</w:t>
      </w:r>
      <w:r w:rsidRPr="001D1D4F">
        <w:rPr>
          <w:rFonts w:ascii="Avenir Next" w:hAnsi="Avenir Next"/>
          <w:b/>
          <w:bCs/>
        </w:rPr>
        <w:t xml:space="preserve"> because </w:t>
      </w:r>
      <w:r w:rsidR="009B1651" w:rsidRPr="001D1D4F">
        <w:rPr>
          <w:rFonts w:ascii="Avenir Next" w:hAnsi="Avenir Next"/>
          <w:b/>
          <w:bCs/>
        </w:rPr>
        <w:t>the judgment creditor</w:t>
      </w:r>
      <w:r w:rsidRPr="001D1D4F">
        <w:rPr>
          <w:rFonts w:ascii="Avenir Next" w:hAnsi="Avenir Next"/>
          <w:b/>
          <w:bCs/>
        </w:rPr>
        <w:t xml:space="preserve"> has served a statutory demand in relation to that foreign </w:t>
      </w:r>
      <w:r w:rsidR="009B1651" w:rsidRPr="001D1D4F">
        <w:rPr>
          <w:rFonts w:ascii="Avenir Next" w:hAnsi="Avenir Next"/>
          <w:b/>
          <w:bCs/>
        </w:rPr>
        <w:t>judgment which has been unpaid for three weeks (Companies Act, s 93(a)) or because it is proof that the judgment debtor is unable to pay its debts (Companies Act, s 93(c)).</w:t>
      </w:r>
      <w:r w:rsidRPr="001D1D4F">
        <w:rPr>
          <w:rFonts w:ascii="Avenir Next" w:hAnsi="Avenir Next"/>
          <w:b/>
          <w:bCs/>
        </w:rPr>
        <w:t xml:space="preserve"> </w:t>
      </w: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lastRenderedPageBreak/>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238D16A5" w14:textId="05793FE5" w:rsidR="002A27F4" w:rsidRPr="001D1D4F" w:rsidRDefault="002A27F4" w:rsidP="00F3705F">
      <w:pPr>
        <w:pStyle w:val="BodyText"/>
        <w:ind w:firstLine="0"/>
        <w:rPr>
          <w:rFonts w:ascii="Avenir Next" w:hAnsi="Avenir Next"/>
          <w:b/>
          <w:bCs/>
        </w:rPr>
      </w:pPr>
      <w:r w:rsidRPr="001D1D4F">
        <w:rPr>
          <w:rFonts w:ascii="Avenir Next" w:hAnsi="Avenir Next"/>
          <w:b/>
          <w:bCs/>
        </w:rPr>
        <w:t xml:space="preserve">The powers and duties of trustees in bankruptcy </w:t>
      </w:r>
      <w:r w:rsidR="001D42FC">
        <w:rPr>
          <w:rFonts w:ascii="Avenir Next" w:hAnsi="Avenir Next"/>
          <w:b/>
          <w:bCs/>
        </w:rPr>
        <w:t>include the following</w:t>
      </w:r>
      <w:r w:rsidRPr="001D1D4F">
        <w:rPr>
          <w:rFonts w:ascii="Avenir Next" w:hAnsi="Avenir Next"/>
          <w:b/>
          <w:bCs/>
        </w:rPr>
        <w:t>:</w:t>
      </w:r>
    </w:p>
    <w:p w14:paraId="0382F290" w14:textId="77777777" w:rsidR="002A27F4" w:rsidRPr="001D1D4F" w:rsidRDefault="002A27F4" w:rsidP="00F3705F">
      <w:pPr>
        <w:pStyle w:val="BodyText"/>
        <w:ind w:firstLine="0"/>
        <w:rPr>
          <w:rFonts w:ascii="Avenir Next" w:hAnsi="Avenir Next"/>
          <w:b/>
          <w:bCs/>
        </w:rPr>
      </w:pPr>
    </w:p>
    <w:p w14:paraId="1003FCBA" w14:textId="77777777" w:rsidR="00D814B5" w:rsidRPr="001D1D4F" w:rsidRDefault="00F443CA" w:rsidP="00B70605">
      <w:pPr>
        <w:pStyle w:val="BodyText"/>
        <w:numPr>
          <w:ilvl w:val="0"/>
          <w:numId w:val="27"/>
        </w:numPr>
        <w:rPr>
          <w:rFonts w:ascii="Avenir Next" w:hAnsi="Avenir Next"/>
          <w:b/>
          <w:bCs/>
        </w:rPr>
      </w:pPr>
      <w:r w:rsidRPr="001D1D4F">
        <w:rPr>
          <w:rFonts w:ascii="Avenir Next" w:hAnsi="Avenir Next"/>
          <w:b/>
          <w:bCs/>
        </w:rPr>
        <w:t>the trustee may appoint a person to act as his agent (Bankruptcy Act, s 13);</w:t>
      </w:r>
    </w:p>
    <w:p w14:paraId="3178BD66" w14:textId="77777777" w:rsidR="00D814B5" w:rsidRPr="001D1D4F" w:rsidRDefault="002A27F4" w:rsidP="00B70605">
      <w:pPr>
        <w:pStyle w:val="BodyText"/>
        <w:numPr>
          <w:ilvl w:val="0"/>
          <w:numId w:val="27"/>
        </w:numPr>
        <w:rPr>
          <w:rFonts w:ascii="Avenir Next" w:hAnsi="Avenir Next"/>
          <w:b/>
          <w:bCs/>
        </w:rPr>
      </w:pPr>
      <w:r w:rsidRPr="001D1D4F">
        <w:rPr>
          <w:rFonts w:ascii="Avenir Next" w:hAnsi="Avenir Next"/>
          <w:b/>
          <w:bCs/>
        </w:rPr>
        <w:t>until a provisional order is made absolute, it is the duty of the trustee to preserve the property such that it may be returned to the debtor in the event that the provisional order is revoked (Bankruptcy Act, s 38);</w:t>
      </w:r>
    </w:p>
    <w:p w14:paraId="1BBD66F2" w14:textId="051C359F" w:rsidR="001D42FC" w:rsidRPr="001D42FC" w:rsidRDefault="001D42FC" w:rsidP="001D42FC">
      <w:pPr>
        <w:pStyle w:val="BodyText"/>
        <w:numPr>
          <w:ilvl w:val="0"/>
          <w:numId w:val="27"/>
        </w:numPr>
        <w:rPr>
          <w:rFonts w:ascii="Avenir Next" w:hAnsi="Avenir Next"/>
          <w:b/>
          <w:bCs/>
        </w:rPr>
      </w:pPr>
      <w:r w:rsidRPr="001D1D4F">
        <w:rPr>
          <w:rFonts w:ascii="Avenir Next" w:hAnsi="Avenir Next"/>
          <w:b/>
          <w:bCs/>
        </w:rPr>
        <w:t>once the absolute order has been made, the trustee must proceed to administer the debtor's estate for the benefit of the creditors (Bankruptcy Act, s 65).</w:t>
      </w:r>
    </w:p>
    <w:p w14:paraId="2CC67A81" w14:textId="1D2B2880" w:rsidR="00D814B5" w:rsidRPr="001D1D4F" w:rsidRDefault="002A27F4" w:rsidP="00B70605">
      <w:pPr>
        <w:pStyle w:val="BodyText"/>
        <w:numPr>
          <w:ilvl w:val="0"/>
          <w:numId w:val="27"/>
        </w:numPr>
        <w:rPr>
          <w:rFonts w:ascii="Avenir Next" w:hAnsi="Avenir Next"/>
          <w:b/>
          <w:bCs/>
        </w:rPr>
      </w:pPr>
      <w:r w:rsidRPr="001D1D4F">
        <w:rPr>
          <w:rFonts w:ascii="Avenir Next" w:hAnsi="Avenir Next"/>
          <w:b/>
          <w:bCs/>
        </w:rPr>
        <w:t xml:space="preserve">the trustee </w:t>
      </w:r>
      <w:r w:rsidR="00F443CA" w:rsidRPr="001D1D4F">
        <w:rPr>
          <w:rFonts w:ascii="Avenir Next" w:hAnsi="Avenir Next"/>
          <w:b/>
          <w:bCs/>
        </w:rPr>
        <w:t>may carry on the trade of the debtor so far as may be necessary or expedient for the beneficial winding up or sale of the business (Bankruptcy Act, s 79);</w:t>
      </w:r>
    </w:p>
    <w:p w14:paraId="1A113EE8" w14:textId="77777777" w:rsidR="00D814B5" w:rsidRPr="001D1D4F" w:rsidRDefault="00F443CA" w:rsidP="00B70605">
      <w:pPr>
        <w:pStyle w:val="BodyText"/>
        <w:numPr>
          <w:ilvl w:val="0"/>
          <w:numId w:val="27"/>
        </w:numPr>
        <w:rPr>
          <w:rFonts w:ascii="Avenir Next" w:hAnsi="Avenir Next"/>
          <w:b/>
          <w:bCs/>
        </w:rPr>
      </w:pPr>
      <w:r w:rsidRPr="001D1D4F">
        <w:rPr>
          <w:rFonts w:ascii="Avenir Next" w:hAnsi="Avenir Next"/>
          <w:b/>
          <w:bCs/>
        </w:rPr>
        <w:t>the trustee may bring or defend any legal proceedings relating to the property of the debtor (Bankruptcy Act, s 80);</w:t>
      </w:r>
    </w:p>
    <w:p w14:paraId="6D34BC16" w14:textId="6636CD2D" w:rsidR="00D814B5" w:rsidRPr="001D1D4F" w:rsidRDefault="00F443CA" w:rsidP="00B70605">
      <w:pPr>
        <w:pStyle w:val="BodyText"/>
        <w:numPr>
          <w:ilvl w:val="0"/>
          <w:numId w:val="27"/>
        </w:numPr>
        <w:rPr>
          <w:rFonts w:ascii="Avenir Next" w:hAnsi="Avenir Next"/>
          <w:b/>
          <w:bCs/>
        </w:rPr>
      </w:pPr>
      <w:r w:rsidRPr="001D1D4F">
        <w:rPr>
          <w:rFonts w:ascii="Avenir Next" w:hAnsi="Avenir Next"/>
          <w:b/>
          <w:bCs/>
        </w:rPr>
        <w:t>the trustee must receive and adjudicate the proofs of debt (Bankruptcy Act, s 87);</w:t>
      </w:r>
      <w:r w:rsidR="00D814B5" w:rsidRPr="001D1D4F">
        <w:rPr>
          <w:rFonts w:ascii="Avenir Next" w:hAnsi="Avenir Next"/>
          <w:b/>
          <w:bCs/>
        </w:rPr>
        <w:t xml:space="preserve"> and</w:t>
      </w:r>
    </w:p>
    <w:p w14:paraId="448E738E" w14:textId="77777777" w:rsidR="001D42FC" w:rsidRDefault="001D42FC" w:rsidP="001D42FC">
      <w:pPr>
        <w:pStyle w:val="BodyText"/>
        <w:ind w:firstLine="0"/>
        <w:rPr>
          <w:rFonts w:ascii="Avenir Next" w:hAnsi="Avenir Next"/>
          <w:b/>
          <w:bCs/>
        </w:rPr>
      </w:pPr>
    </w:p>
    <w:p w14:paraId="528D3641" w14:textId="52FB2FB2" w:rsidR="001D42FC" w:rsidRPr="001D1D4F" w:rsidRDefault="001D42FC" w:rsidP="001D42FC">
      <w:pPr>
        <w:pStyle w:val="BodyText"/>
        <w:ind w:firstLine="0"/>
        <w:rPr>
          <w:rFonts w:ascii="Avenir Next" w:hAnsi="Avenir Next"/>
          <w:b/>
          <w:bCs/>
        </w:rPr>
      </w:pPr>
      <w:r>
        <w:rPr>
          <w:rFonts w:ascii="Avenir Next" w:hAnsi="Avenir Next"/>
          <w:b/>
          <w:bCs/>
        </w:rPr>
        <w:t xml:space="preserve">An example of the </w:t>
      </w:r>
      <w:r w:rsidR="00776D34">
        <w:rPr>
          <w:rFonts w:ascii="Avenir Next" w:hAnsi="Avenir Next"/>
          <w:b/>
          <w:bCs/>
        </w:rPr>
        <w:t>power of the trustee</w:t>
      </w:r>
      <w:r>
        <w:rPr>
          <w:rFonts w:ascii="Avenir Next" w:hAnsi="Avenir Next"/>
          <w:b/>
          <w:bCs/>
        </w:rPr>
        <w:t xml:space="preserve"> to carry on the trade of the debtor for the beneficial winding up under section 79 </w:t>
      </w:r>
      <w:r w:rsidR="00776D34">
        <w:rPr>
          <w:rFonts w:ascii="Avenir Next" w:hAnsi="Avenir Next"/>
          <w:b/>
          <w:bCs/>
        </w:rPr>
        <w:t xml:space="preserve">of the Bankruptcy Act </w:t>
      </w:r>
      <w:r>
        <w:rPr>
          <w:rFonts w:ascii="Avenir Next" w:hAnsi="Avenir Next"/>
          <w:b/>
          <w:bCs/>
        </w:rPr>
        <w:t xml:space="preserve">includes the ability to </w:t>
      </w:r>
      <w:r w:rsidR="00101750">
        <w:rPr>
          <w:rFonts w:ascii="Avenir Next" w:hAnsi="Avenir Next"/>
          <w:b/>
          <w:bCs/>
        </w:rPr>
        <w:t xml:space="preserve">disclaim onerous and unprofitable property in certain prescribed circumstances set out in section 105. Allowing a trustee to do this is in the best interest of </w:t>
      </w:r>
      <w:r w:rsidR="00776D34">
        <w:rPr>
          <w:rFonts w:ascii="Avenir Next" w:hAnsi="Avenir Next"/>
          <w:b/>
          <w:bCs/>
        </w:rPr>
        <w:t>the estate</w:t>
      </w:r>
      <w:r w:rsidR="00101750">
        <w:rPr>
          <w:rFonts w:ascii="Avenir Next" w:hAnsi="Avenir Next"/>
          <w:b/>
          <w:bCs/>
        </w:rPr>
        <w:t xml:space="preserve"> as it enables liquidators to avoid continuing liabilities in respect of onerous property </w:t>
      </w:r>
      <w:r w:rsidR="00101750" w:rsidRPr="00101750">
        <w:rPr>
          <w:rFonts w:ascii="Avenir Next" w:hAnsi="Avenir Next"/>
          <w:b/>
          <w:bCs/>
        </w:rPr>
        <w:t xml:space="preserve">and the adverse effect of such liabilities on the </w:t>
      </w:r>
      <w:r w:rsidR="00776D34">
        <w:rPr>
          <w:rFonts w:ascii="Avenir Next" w:hAnsi="Avenir Next"/>
          <w:b/>
          <w:bCs/>
        </w:rPr>
        <w:t>assets of the estate</w:t>
      </w:r>
      <w:r w:rsidR="00101750" w:rsidRPr="00101750">
        <w:rPr>
          <w:rFonts w:ascii="Avenir Next" w:hAnsi="Avenir Next"/>
          <w:b/>
          <w:bCs/>
        </w:rPr>
        <w:t xml:space="preserve"> </w:t>
      </w:r>
      <w:r w:rsidR="00101750">
        <w:rPr>
          <w:rFonts w:ascii="Avenir Next" w:hAnsi="Avenir Next"/>
          <w:b/>
          <w:bCs/>
        </w:rPr>
        <w:t xml:space="preserve">whilst also allowing </w:t>
      </w:r>
      <w:r w:rsidR="00101750" w:rsidRPr="00101750">
        <w:rPr>
          <w:rFonts w:ascii="Avenir Next" w:hAnsi="Avenir Next"/>
          <w:b/>
          <w:bCs/>
        </w:rPr>
        <w:t xml:space="preserve">liquidators to </w:t>
      </w:r>
      <w:proofErr w:type="spellStart"/>
      <w:r w:rsidR="00101750" w:rsidRPr="00101750">
        <w:rPr>
          <w:rFonts w:ascii="Avenir Next" w:hAnsi="Avenir Next"/>
          <w:b/>
          <w:bCs/>
        </w:rPr>
        <w:t>realise</w:t>
      </w:r>
      <w:proofErr w:type="spellEnd"/>
      <w:r w:rsidR="00101750" w:rsidRPr="00101750">
        <w:rPr>
          <w:rFonts w:ascii="Avenir Next" w:hAnsi="Avenir Next"/>
          <w:b/>
          <w:bCs/>
        </w:rPr>
        <w:t xml:space="preserve"> the company's property and pay a dividend to creditors at the earliest possible time.</w:t>
      </w: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headerReference w:type="even" r:id="rId16"/>
      <w:headerReference w:type="default" r:id="rId17"/>
      <w:footerReference w:type="even" r:id="rId18"/>
      <w:footerReference w:type="default" r:id="rId19"/>
      <w:headerReference w:type="first" r:id="rId20"/>
      <w:footerReference w:type="first" r:id="rId21"/>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BAE8ASABlAGEAZAAxAA==" wne:acdName="acd0" wne:fciIndexBasedOn="0065"/>
    <wne:acd wne:argValue="AgBBAE8ASABlAGEAZAAyAA==" wne:acdName="acd1" wne:fciIndexBasedOn="0065"/>
    <wne:acd wne:argValue="AgBBAE8ASABlAGEAZAAzAA==" wne:acdName="acd2" wne:fciIndexBasedOn="0065"/>
    <wne:acd wne:argValue="AgBBAE8ASABlAGEAZAA0AA==" wne:acdName="acd3" wne:fciIndexBasedOn="0065"/>
    <wne:acd wne:argValue="AgBBAE8ASABlAGEAZAA1AA==" wne:acdName="acd4" wne:fciIndexBasedOn="0065"/>
    <wne:acd wne:argValue="AgBBAE8ASABlAGEAZAA2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9D20" w14:textId="77777777" w:rsidR="008B0ABE" w:rsidRDefault="008B0ABE" w:rsidP="001016B0">
      <w:r>
        <w:separator/>
      </w:r>
    </w:p>
  </w:endnote>
  <w:endnote w:type="continuationSeparator" w:id="0">
    <w:p w14:paraId="5C393C24" w14:textId="77777777" w:rsidR="008B0ABE" w:rsidRDefault="008B0ABE" w:rsidP="001016B0">
      <w:r>
        <w:continuationSeparator/>
      </w:r>
    </w:p>
  </w:endnote>
  <w:endnote w:type="continuationNotice" w:id="1">
    <w:p w14:paraId="173D48A5" w14:textId="77777777" w:rsidR="008B0ABE" w:rsidRDefault="008B0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p w14:paraId="2278894A" w14:textId="7551582C" w:rsidR="0076596D" w:rsidRPr="001016B0" w:rsidRDefault="0076596D" w:rsidP="008A20AC">
    <w:pPr>
      <w:pStyle w:val="Footer"/>
      <w:ind w:right="360"/>
      <w:rPr>
        <w:color w:val="000000" w:themeColor="text1"/>
        <w:szCs w:val="18"/>
        <w:lang w:val="en-GB"/>
      </w:rPr>
    </w:pPr>
    <w:r>
      <w:rPr>
        <w:color w:val="000000" w:themeColor="text1"/>
        <w:szCs w:val="18"/>
        <w:lang w:val="en-GB"/>
      </w:rPr>
      <w:fldChar w:fldCharType="begin"/>
    </w:r>
    <w:r w:rsidR="00E876C5">
      <w:rPr>
        <w:color w:val="000000" w:themeColor="text1"/>
        <w:szCs w:val="18"/>
        <w:lang w:val="en-GB"/>
      </w:rPr>
      <w:instrText xml:space="preserve">DOCPROPERTY DOCXDOCID DMS=FileSystem Format=&lt;&lt;NAME&gt;&gt;-&lt;&lt;SDTE&gt;&gt; \* MERGEFORMAT </w:instrText>
    </w:r>
    <w:r>
      <w:rPr>
        <w:color w:val="000000" w:themeColor="text1"/>
        <w:szCs w:val="18"/>
        <w:lang w:val="en-GB"/>
      </w:rPr>
      <w:fldChar w:fldCharType="separate"/>
    </w:r>
    <w:r w:rsidR="00E876C5">
      <w:rPr>
        <w:color w:val="000000" w:themeColor="text1"/>
        <w:szCs w:val="18"/>
        <w:lang w:val="en-GB"/>
      </w:rPr>
      <w:t>202324-1218.SummativeAssessment-24/11/2023</w:t>
    </w:r>
    <w:r>
      <w:rPr>
        <w:color w:val="000000" w:themeColor="text1"/>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72311D9A" w:rsidR="003D2C0D" w:rsidRDefault="00647013" w:rsidP="008A20AC">
    <w:pPr>
      <w:pStyle w:val="Footer"/>
      <w:ind w:right="360"/>
    </w:pPr>
    <w:r w:rsidRPr="00647013">
      <w:t>202324-1218</w:t>
    </w:r>
    <w:r w:rsidR="003D2C0D">
      <w:t>.SummativeAssessment</w:t>
    </w:r>
  </w:p>
  <w:p w14:paraId="33E6AA3E" w14:textId="0F034698" w:rsidR="0076596D" w:rsidRDefault="00000000" w:rsidP="008A20AC">
    <w:pPr>
      <w:pStyle w:val="Footer"/>
      <w:ind w:right="360"/>
    </w:pPr>
    <w:r>
      <w:fldChar w:fldCharType="begin"/>
    </w:r>
    <w:r w:rsidR="00E876C5">
      <w:instrText xml:space="preserve">DOCPROPERTY DOCXDOCID DMS=FileSystem Format=&lt;&lt;NAME&gt;&gt;-&lt;&lt;SDTE&gt;&gt; \* MERGEFORMAT </w:instrText>
    </w:r>
    <w:r>
      <w:fldChar w:fldCharType="separate"/>
    </w:r>
    <w:r w:rsidR="00E876C5">
      <w:t>202324-1218.SummativeAssessment-24/11/2023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1A70DC15" w:rsidR="003D2C0D" w:rsidRDefault="00000000" w:rsidP="008A20AC">
    <w:pPr>
      <w:pStyle w:val="Footer"/>
      <w:ind w:right="360"/>
    </w:pPr>
    <w:r>
      <w:fldChar w:fldCharType="begin"/>
    </w:r>
    <w:r w:rsidR="00E876C5">
      <w:instrText xml:space="preserve">DOCPROPERTY DOCXDOCID DMS=FileSystem Format=&lt;&lt;NAME&gt;&gt;-&lt;&lt;SDTE&gt;&gt; \* MERGEFORMAT </w:instrText>
    </w:r>
    <w:r>
      <w:fldChar w:fldCharType="separate"/>
    </w:r>
    <w:r w:rsidR="00E876C5">
      <w:t>202324-1218.SummativeAssessment-24/11/2023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4F26" w14:textId="77777777" w:rsidR="008B0ABE" w:rsidRDefault="008B0ABE" w:rsidP="001016B0">
      <w:r>
        <w:separator/>
      </w:r>
    </w:p>
  </w:footnote>
  <w:footnote w:type="continuationSeparator" w:id="0">
    <w:p w14:paraId="26595718" w14:textId="77777777" w:rsidR="008B0ABE" w:rsidRDefault="008B0ABE" w:rsidP="001016B0">
      <w:r>
        <w:continuationSeparator/>
      </w:r>
    </w:p>
  </w:footnote>
  <w:footnote w:type="continuationNotice" w:id="1">
    <w:p w14:paraId="59291DFD" w14:textId="77777777" w:rsidR="008B0ABE" w:rsidRDefault="008B0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DEC" w14:textId="77777777" w:rsidR="00E876C5" w:rsidRDefault="00E87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2723" w14:textId="77777777" w:rsidR="00E876C5" w:rsidRDefault="00E87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7982" w14:textId="77777777" w:rsidR="00E876C5" w:rsidRDefault="00E87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ED0604"/>
    <w:multiLevelType w:val="hybridMultilevel"/>
    <w:tmpl w:val="05C4A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CE63F1"/>
    <w:multiLevelType w:val="hybridMultilevel"/>
    <w:tmpl w:val="DE7CEC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43C0310"/>
    <w:multiLevelType w:val="hybridMultilevel"/>
    <w:tmpl w:val="3718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3917D6D"/>
    <w:multiLevelType w:val="hybridMultilevel"/>
    <w:tmpl w:val="238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75A3E21"/>
    <w:multiLevelType w:val="hybridMultilevel"/>
    <w:tmpl w:val="71E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FD643BE"/>
    <w:multiLevelType w:val="hybridMultilevel"/>
    <w:tmpl w:val="23EE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72872"/>
    <w:multiLevelType w:val="hybridMultilevel"/>
    <w:tmpl w:val="AEDA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2344F"/>
    <w:multiLevelType w:val="multilevel"/>
    <w:tmpl w:val="69F2DFA0"/>
    <w:name w:val="Bow_Level"/>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8C6C4F"/>
    <w:multiLevelType w:val="hybridMultilevel"/>
    <w:tmpl w:val="C1E4C5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7B1789"/>
    <w:multiLevelType w:val="multilevel"/>
    <w:tmpl w:val="055AC6CE"/>
    <w:name w:val="WW"/>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CB57ABA"/>
    <w:multiLevelType w:val="hybridMultilevel"/>
    <w:tmpl w:val="0D96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523D2B6A"/>
    <w:multiLevelType w:val="hybridMultilevel"/>
    <w:tmpl w:val="80FCB846"/>
    <w:lvl w:ilvl="0" w:tplc="E8AA6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2D032C"/>
    <w:multiLevelType w:val="multilevel"/>
    <w:tmpl w:val="116E1444"/>
    <w:name w:val="LitStyle1"/>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6" w15:restartNumberingAfterBreak="0">
    <w:nsid w:val="59E02CFF"/>
    <w:multiLevelType w:val="hybridMultilevel"/>
    <w:tmpl w:val="C50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965F2A"/>
    <w:multiLevelType w:val="hybridMultilevel"/>
    <w:tmpl w:val="2104F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4277630"/>
    <w:multiLevelType w:val="hybridMultilevel"/>
    <w:tmpl w:val="DDF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C2CAD"/>
    <w:multiLevelType w:val="hybridMultilevel"/>
    <w:tmpl w:val="434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E422AC9"/>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6514BF8"/>
    <w:multiLevelType w:val="hybridMultilevel"/>
    <w:tmpl w:val="5B2A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74774"/>
    <w:multiLevelType w:val="hybridMultilevel"/>
    <w:tmpl w:val="CF94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A54BC"/>
    <w:multiLevelType w:val="hybridMultilevel"/>
    <w:tmpl w:val="DBBA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402686">
    <w:abstractNumId w:val="25"/>
  </w:num>
  <w:num w:numId="2" w16cid:durableId="867333889">
    <w:abstractNumId w:val="20"/>
  </w:num>
  <w:num w:numId="3" w16cid:durableId="260914474">
    <w:abstractNumId w:val="16"/>
  </w:num>
  <w:num w:numId="4" w16cid:durableId="443310146">
    <w:abstractNumId w:val="22"/>
  </w:num>
  <w:num w:numId="5" w16cid:durableId="1502502867">
    <w:abstractNumId w:val="24"/>
  </w:num>
  <w:num w:numId="6" w16cid:durableId="1608465086">
    <w:abstractNumId w:val="0"/>
  </w:num>
  <w:num w:numId="7" w16cid:durableId="1901017066">
    <w:abstractNumId w:val="34"/>
  </w:num>
  <w:num w:numId="8" w16cid:durableId="1663117839">
    <w:abstractNumId w:val="36"/>
  </w:num>
  <w:num w:numId="9" w16cid:durableId="234516076">
    <w:abstractNumId w:val="5"/>
  </w:num>
  <w:num w:numId="10" w16cid:durableId="513808472">
    <w:abstractNumId w:val="37"/>
  </w:num>
  <w:num w:numId="11" w16cid:durableId="1936282130">
    <w:abstractNumId w:val="27"/>
  </w:num>
  <w:num w:numId="12" w16cid:durableId="2078042588">
    <w:abstractNumId w:val="12"/>
  </w:num>
  <w:num w:numId="13" w16cid:durableId="633365276">
    <w:abstractNumId w:val="11"/>
  </w:num>
  <w:num w:numId="14" w16cid:durableId="2025592748">
    <w:abstractNumId w:val="33"/>
  </w:num>
  <w:num w:numId="15" w16cid:durableId="2121411180">
    <w:abstractNumId w:val="10"/>
  </w:num>
  <w:num w:numId="16" w16cid:durableId="775367024">
    <w:abstractNumId w:val="40"/>
  </w:num>
  <w:num w:numId="17" w16cid:durableId="718473738">
    <w:abstractNumId w:val="19"/>
  </w:num>
  <w:num w:numId="18" w16cid:durableId="188181524">
    <w:abstractNumId w:val="32"/>
  </w:num>
  <w:num w:numId="19" w16cid:durableId="1892961686">
    <w:abstractNumId w:val="8"/>
  </w:num>
  <w:num w:numId="20" w16cid:durableId="675965664">
    <w:abstractNumId w:val="2"/>
  </w:num>
  <w:num w:numId="21" w16cid:durableId="993097523">
    <w:abstractNumId w:val="29"/>
  </w:num>
  <w:num w:numId="22" w16cid:durableId="202594148">
    <w:abstractNumId w:val="18"/>
  </w:num>
  <w:num w:numId="23" w16cid:durableId="935678500">
    <w:abstractNumId w:val="6"/>
  </w:num>
  <w:num w:numId="24" w16cid:durableId="150370677">
    <w:abstractNumId w:val="13"/>
  </w:num>
  <w:num w:numId="25" w16cid:durableId="1896769402">
    <w:abstractNumId w:val="23"/>
  </w:num>
  <w:num w:numId="26" w16cid:durableId="1069229196">
    <w:abstractNumId w:val="14"/>
  </w:num>
  <w:num w:numId="27" w16cid:durableId="1597133779">
    <w:abstractNumId w:val="3"/>
  </w:num>
  <w:num w:numId="28" w16cid:durableId="29963119">
    <w:abstractNumId w:val="35"/>
  </w:num>
  <w:num w:numId="29" w16cid:durableId="1902709160">
    <w:abstractNumId w:val="4"/>
  </w:num>
  <w:num w:numId="30" w16cid:durableId="200481215">
    <w:abstractNumId w:val="26"/>
  </w:num>
  <w:num w:numId="31" w16cid:durableId="723874272">
    <w:abstractNumId w:val="41"/>
  </w:num>
  <w:num w:numId="32" w16cid:durableId="1138688793">
    <w:abstractNumId w:val="38"/>
  </w:num>
  <w:num w:numId="33" w16cid:durableId="1651666508">
    <w:abstractNumId w:val="7"/>
  </w:num>
  <w:num w:numId="34" w16cid:durableId="1539704269">
    <w:abstractNumId w:val="9"/>
  </w:num>
  <w:num w:numId="35" w16cid:durableId="433867069">
    <w:abstractNumId w:val="30"/>
  </w:num>
  <w:num w:numId="36" w16cid:durableId="1560481740">
    <w:abstractNumId w:val="17"/>
  </w:num>
  <w:num w:numId="37" w16cid:durableId="576939193">
    <w:abstractNumId w:val="28"/>
  </w:num>
  <w:num w:numId="38" w16cid:durableId="1418013409">
    <w:abstractNumId w:val="15"/>
  </w:num>
  <w:num w:numId="39" w16cid:durableId="122431469">
    <w:abstractNumId w:val="31"/>
  </w:num>
  <w:num w:numId="40" w16cid:durableId="1058700642">
    <w:abstractNumId w:val="39"/>
  </w:num>
  <w:num w:numId="41" w16cid:durableId="131220671">
    <w:abstractNumId w:val="1"/>
  </w:num>
  <w:num w:numId="42" w16cid:durableId="124302435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015D"/>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56FF9"/>
    <w:rsid w:val="00060348"/>
    <w:rsid w:val="0006065B"/>
    <w:rsid w:val="00061E4F"/>
    <w:rsid w:val="00062B27"/>
    <w:rsid w:val="0006405E"/>
    <w:rsid w:val="000672ED"/>
    <w:rsid w:val="00071EFD"/>
    <w:rsid w:val="00073623"/>
    <w:rsid w:val="00073862"/>
    <w:rsid w:val="000807FB"/>
    <w:rsid w:val="00080EDC"/>
    <w:rsid w:val="00083439"/>
    <w:rsid w:val="00083AF3"/>
    <w:rsid w:val="000875DC"/>
    <w:rsid w:val="00087A4E"/>
    <w:rsid w:val="00091667"/>
    <w:rsid w:val="000922D6"/>
    <w:rsid w:val="0009363C"/>
    <w:rsid w:val="000943C5"/>
    <w:rsid w:val="000949BA"/>
    <w:rsid w:val="00094C09"/>
    <w:rsid w:val="00097A42"/>
    <w:rsid w:val="000B3D76"/>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750"/>
    <w:rsid w:val="00101AEF"/>
    <w:rsid w:val="001049F1"/>
    <w:rsid w:val="00105315"/>
    <w:rsid w:val="00112905"/>
    <w:rsid w:val="001165C7"/>
    <w:rsid w:val="00117579"/>
    <w:rsid w:val="00120495"/>
    <w:rsid w:val="00122176"/>
    <w:rsid w:val="00124ECF"/>
    <w:rsid w:val="00132E0E"/>
    <w:rsid w:val="001336C3"/>
    <w:rsid w:val="00150033"/>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1D4F"/>
    <w:rsid w:val="001D2111"/>
    <w:rsid w:val="001D42FC"/>
    <w:rsid w:val="001E0E04"/>
    <w:rsid w:val="001E2D89"/>
    <w:rsid w:val="001E34E2"/>
    <w:rsid w:val="001E4034"/>
    <w:rsid w:val="001E5BE7"/>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6490"/>
    <w:rsid w:val="002264AD"/>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105D"/>
    <w:rsid w:val="00282844"/>
    <w:rsid w:val="00283584"/>
    <w:rsid w:val="002906FB"/>
    <w:rsid w:val="00293095"/>
    <w:rsid w:val="002A082B"/>
    <w:rsid w:val="002A0F8E"/>
    <w:rsid w:val="002A27F4"/>
    <w:rsid w:val="002A2B0D"/>
    <w:rsid w:val="002A2C16"/>
    <w:rsid w:val="002B101E"/>
    <w:rsid w:val="002B15BA"/>
    <w:rsid w:val="002B6609"/>
    <w:rsid w:val="002B6B18"/>
    <w:rsid w:val="002B7150"/>
    <w:rsid w:val="002C2E63"/>
    <w:rsid w:val="002D006E"/>
    <w:rsid w:val="002D2D8F"/>
    <w:rsid w:val="002D3211"/>
    <w:rsid w:val="002D59C7"/>
    <w:rsid w:val="002E0235"/>
    <w:rsid w:val="002E125B"/>
    <w:rsid w:val="002E60D1"/>
    <w:rsid w:val="002F2E23"/>
    <w:rsid w:val="002F49CF"/>
    <w:rsid w:val="002F7820"/>
    <w:rsid w:val="00300343"/>
    <w:rsid w:val="00300368"/>
    <w:rsid w:val="003005A4"/>
    <w:rsid w:val="00300A1C"/>
    <w:rsid w:val="0030119E"/>
    <w:rsid w:val="00303C2F"/>
    <w:rsid w:val="003047C8"/>
    <w:rsid w:val="0031228E"/>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960DF"/>
    <w:rsid w:val="003A06A0"/>
    <w:rsid w:val="003A2C50"/>
    <w:rsid w:val="003A2F2C"/>
    <w:rsid w:val="003A40DF"/>
    <w:rsid w:val="003A41B0"/>
    <w:rsid w:val="003A70E6"/>
    <w:rsid w:val="003B06BB"/>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09C1"/>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5568"/>
    <w:rsid w:val="00481019"/>
    <w:rsid w:val="0048719D"/>
    <w:rsid w:val="0049287D"/>
    <w:rsid w:val="00497732"/>
    <w:rsid w:val="00497863"/>
    <w:rsid w:val="004A1111"/>
    <w:rsid w:val="004A11A1"/>
    <w:rsid w:val="004A6C29"/>
    <w:rsid w:val="004B2B93"/>
    <w:rsid w:val="004B2D12"/>
    <w:rsid w:val="004B491D"/>
    <w:rsid w:val="004C1B81"/>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524EC"/>
    <w:rsid w:val="005538FB"/>
    <w:rsid w:val="00555BC3"/>
    <w:rsid w:val="00555E14"/>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5EC"/>
    <w:rsid w:val="005A0E4B"/>
    <w:rsid w:val="005A640E"/>
    <w:rsid w:val="005A7724"/>
    <w:rsid w:val="005C0FF6"/>
    <w:rsid w:val="005C2D50"/>
    <w:rsid w:val="005C3DA9"/>
    <w:rsid w:val="005C4CA1"/>
    <w:rsid w:val="005C6146"/>
    <w:rsid w:val="005C7EB6"/>
    <w:rsid w:val="005D171C"/>
    <w:rsid w:val="005D54CF"/>
    <w:rsid w:val="005D6817"/>
    <w:rsid w:val="005D713A"/>
    <w:rsid w:val="005E20A3"/>
    <w:rsid w:val="005E2C7E"/>
    <w:rsid w:val="005E3EFC"/>
    <w:rsid w:val="005E45BD"/>
    <w:rsid w:val="005E62D2"/>
    <w:rsid w:val="005F2148"/>
    <w:rsid w:val="005F5BDF"/>
    <w:rsid w:val="0060275A"/>
    <w:rsid w:val="006027A2"/>
    <w:rsid w:val="00604564"/>
    <w:rsid w:val="0060661E"/>
    <w:rsid w:val="00612137"/>
    <w:rsid w:val="00614528"/>
    <w:rsid w:val="006278B5"/>
    <w:rsid w:val="00637650"/>
    <w:rsid w:val="0063766F"/>
    <w:rsid w:val="00640BC9"/>
    <w:rsid w:val="006424E1"/>
    <w:rsid w:val="00643725"/>
    <w:rsid w:val="00644DCE"/>
    <w:rsid w:val="00647006"/>
    <w:rsid w:val="00647013"/>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9774E"/>
    <w:rsid w:val="006A1B37"/>
    <w:rsid w:val="006A2381"/>
    <w:rsid w:val="006A75FE"/>
    <w:rsid w:val="006B4C64"/>
    <w:rsid w:val="006B5166"/>
    <w:rsid w:val="006B582B"/>
    <w:rsid w:val="006C0B78"/>
    <w:rsid w:val="006C1935"/>
    <w:rsid w:val="006C44C0"/>
    <w:rsid w:val="006D2E87"/>
    <w:rsid w:val="006D34F1"/>
    <w:rsid w:val="006D3A1E"/>
    <w:rsid w:val="006D7C44"/>
    <w:rsid w:val="006D7E0B"/>
    <w:rsid w:val="006E060C"/>
    <w:rsid w:val="006E0929"/>
    <w:rsid w:val="006E181A"/>
    <w:rsid w:val="006E1B41"/>
    <w:rsid w:val="006E218D"/>
    <w:rsid w:val="006E2C49"/>
    <w:rsid w:val="006E3396"/>
    <w:rsid w:val="006E3E96"/>
    <w:rsid w:val="006E481A"/>
    <w:rsid w:val="006E5A45"/>
    <w:rsid w:val="006E7B1B"/>
    <w:rsid w:val="006F3F76"/>
    <w:rsid w:val="006F4065"/>
    <w:rsid w:val="006F55B4"/>
    <w:rsid w:val="006F61C6"/>
    <w:rsid w:val="006F7EC1"/>
    <w:rsid w:val="007018D1"/>
    <w:rsid w:val="00705108"/>
    <w:rsid w:val="00710451"/>
    <w:rsid w:val="00710A26"/>
    <w:rsid w:val="00710BB4"/>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6596D"/>
    <w:rsid w:val="0077169C"/>
    <w:rsid w:val="007747E8"/>
    <w:rsid w:val="00776D34"/>
    <w:rsid w:val="007818BA"/>
    <w:rsid w:val="0078450B"/>
    <w:rsid w:val="00785836"/>
    <w:rsid w:val="00785937"/>
    <w:rsid w:val="0078723E"/>
    <w:rsid w:val="00790583"/>
    <w:rsid w:val="0079130C"/>
    <w:rsid w:val="00791CF2"/>
    <w:rsid w:val="00792FB4"/>
    <w:rsid w:val="00794E5B"/>
    <w:rsid w:val="00796C19"/>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28A2"/>
    <w:rsid w:val="007C5F0B"/>
    <w:rsid w:val="007D0061"/>
    <w:rsid w:val="007D215F"/>
    <w:rsid w:val="007F02EC"/>
    <w:rsid w:val="007F085D"/>
    <w:rsid w:val="007F5739"/>
    <w:rsid w:val="007F67A0"/>
    <w:rsid w:val="00801379"/>
    <w:rsid w:val="00803983"/>
    <w:rsid w:val="00804FC8"/>
    <w:rsid w:val="00805A2D"/>
    <w:rsid w:val="00812BFB"/>
    <w:rsid w:val="00813CB4"/>
    <w:rsid w:val="00815D39"/>
    <w:rsid w:val="00816145"/>
    <w:rsid w:val="00816B32"/>
    <w:rsid w:val="0081759F"/>
    <w:rsid w:val="00817EB4"/>
    <w:rsid w:val="008201D7"/>
    <w:rsid w:val="00820BFA"/>
    <w:rsid w:val="00822A4C"/>
    <w:rsid w:val="00831A22"/>
    <w:rsid w:val="00831F21"/>
    <w:rsid w:val="00842256"/>
    <w:rsid w:val="008431D7"/>
    <w:rsid w:val="0084350B"/>
    <w:rsid w:val="00844DEE"/>
    <w:rsid w:val="00850236"/>
    <w:rsid w:val="00852808"/>
    <w:rsid w:val="008664DC"/>
    <w:rsid w:val="00867EF8"/>
    <w:rsid w:val="008735A4"/>
    <w:rsid w:val="008753CD"/>
    <w:rsid w:val="00875C69"/>
    <w:rsid w:val="0087601E"/>
    <w:rsid w:val="00877583"/>
    <w:rsid w:val="00877C5C"/>
    <w:rsid w:val="008865F3"/>
    <w:rsid w:val="008913A7"/>
    <w:rsid w:val="00895CDF"/>
    <w:rsid w:val="00897EA7"/>
    <w:rsid w:val="008A1E6D"/>
    <w:rsid w:val="008A20AC"/>
    <w:rsid w:val="008A2BE4"/>
    <w:rsid w:val="008A3781"/>
    <w:rsid w:val="008A5F6D"/>
    <w:rsid w:val="008A61CF"/>
    <w:rsid w:val="008A69A6"/>
    <w:rsid w:val="008A78B2"/>
    <w:rsid w:val="008A7BA0"/>
    <w:rsid w:val="008B0ABE"/>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9004D4"/>
    <w:rsid w:val="0090300F"/>
    <w:rsid w:val="00903156"/>
    <w:rsid w:val="0090576D"/>
    <w:rsid w:val="00912F92"/>
    <w:rsid w:val="00913123"/>
    <w:rsid w:val="009143EA"/>
    <w:rsid w:val="00917205"/>
    <w:rsid w:val="0092725A"/>
    <w:rsid w:val="00930A74"/>
    <w:rsid w:val="00934980"/>
    <w:rsid w:val="00935B0C"/>
    <w:rsid w:val="00941F3D"/>
    <w:rsid w:val="00944436"/>
    <w:rsid w:val="00944A47"/>
    <w:rsid w:val="00953221"/>
    <w:rsid w:val="00954CBE"/>
    <w:rsid w:val="00957995"/>
    <w:rsid w:val="00957A2E"/>
    <w:rsid w:val="00960066"/>
    <w:rsid w:val="00960073"/>
    <w:rsid w:val="00960617"/>
    <w:rsid w:val="00960B8D"/>
    <w:rsid w:val="009621D7"/>
    <w:rsid w:val="00972B13"/>
    <w:rsid w:val="009733E8"/>
    <w:rsid w:val="00973B2E"/>
    <w:rsid w:val="00976A01"/>
    <w:rsid w:val="009803AC"/>
    <w:rsid w:val="00982CE2"/>
    <w:rsid w:val="0098311F"/>
    <w:rsid w:val="009857FC"/>
    <w:rsid w:val="00985A10"/>
    <w:rsid w:val="009864E0"/>
    <w:rsid w:val="00987044"/>
    <w:rsid w:val="00987B82"/>
    <w:rsid w:val="009928E9"/>
    <w:rsid w:val="009B0913"/>
    <w:rsid w:val="009B1651"/>
    <w:rsid w:val="009B5CFD"/>
    <w:rsid w:val="009B6ADA"/>
    <w:rsid w:val="009B7D40"/>
    <w:rsid w:val="009C1EC6"/>
    <w:rsid w:val="009C42F6"/>
    <w:rsid w:val="009C6019"/>
    <w:rsid w:val="009C7A87"/>
    <w:rsid w:val="009C7BB4"/>
    <w:rsid w:val="009D0718"/>
    <w:rsid w:val="009D1454"/>
    <w:rsid w:val="009D1F99"/>
    <w:rsid w:val="009D27B4"/>
    <w:rsid w:val="009D6CB8"/>
    <w:rsid w:val="009E2AEB"/>
    <w:rsid w:val="009E549B"/>
    <w:rsid w:val="009F224C"/>
    <w:rsid w:val="009F3508"/>
    <w:rsid w:val="009F45C7"/>
    <w:rsid w:val="009F49C2"/>
    <w:rsid w:val="009F4C3A"/>
    <w:rsid w:val="009F6007"/>
    <w:rsid w:val="00A02C6B"/>
    <w:rsid w:val="00A06708"/>
    <w:rsid w:val="00A07356"/>
    <w:rsid w:val="00A225FD"/>
    <w:rsid w:val="00A22F78"/>
    <w:rsid w:val="00A2479B"/>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56AB"/>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0605"/>
    <w:rsid w:val="00B7612E"/>
    <w:rsid w:val="00B827C6"/>
    <w:rsid w:val="00B84F95"/>
    <w:rsid w:val="00B856C0"/>
    <w:rsid w:val="00B857E6"/>
    <w:rsid w:val="00BA24B1"/>
    <w:rsid w:val="00BA451C"/>
    <w:rsid w:val="00BA53E7"/>
    <w:rsid w:val="00BA6F72"/>
    <w:rsid w:val="00BB0F71"/>
    <w:rsid w:val="00BB1EBB"/>
    <w:rsid w:val="00BB6FE0"/>
    <w:rsid w:val="00BC163A"/>
    <w:rsid w:val="00BC2902"/>
    <w:rsid w:val="00BC4B1C"/>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05F11"/>
    <w:rsid w:val="00C11D6C"/>
    <w:rsid w:val="00C12DB9"/>
    <w:rsid w:val="00C165B5"/>
    <w:rsid w:val="00C20E40"/>
    <w:rsid w:val="00C23096"/>
    <w:rsid w:val="00C30838"/>
    <w:rsid w:val="00C30AE9"/>
    <w:rsid w:val="00C3318F"/>
    <w:rsid w:val="00C33FE0"/>
    <w:rsid w:val="00C37EE1"/>
    <w:rsid w:val="00C45C67"/>
    <w:rsid w:val="00C546F7"/>
    <w:rsid w:val="00C56E18"/>
    <w:rsid w:val="00C615A1"/>
    <w:rsid w:val="00C61E8B"/>
    <w:rsid w:val="00C63919"/>
    <w:rsid w:val="00C63AAA"/>
    <w:rsid w:val="00C6466A"/>
    <w:rsid w:val="00C655FF"/>
    <w:rsid w:val="00C672FE"/>
    <w:rsid w:val="00C7098F"/>
    <w:rsid w:val="00C735DC"/>
    <w:rsid w:val="00C75BA5"/>
    <w:rsid w:val="00C77709"/>
    <w:rsid w:val="00C777B1"/>
    <w:rsid w:val="00C86426"/>
    <w:rsid w:val="00C869EA"/>
    <w:rsid w:val="00C9018E"/>
    <w:rsid w:val="00C92E9B"/>
    <w:rsid w:val="00CA61A0"/>
    <w:rsid w:val="00CA7069"/>
    <w:rsid w:val="00CB1069"/>
    <w:rsid w:val="00CB4F67"/>
    <w:rsid w:val="00CC0D54"/>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645"/>
    <w:rsid w:val="00CF79F9"/>
    <w:rsid w:val="00D00885"/>
    <w:rsid w:val="00D0089A"/>
    <w:rsid w:val="00D06782"/>
    <w:rsid w:val="00D106DD"/>
    <w:rsid w:val="00D203DA"/>
    <w:rsid w:val="00D20C81"/>
    <w:rsid w:val="00D23D4C"/>
    <w:rsid w:val="00D31451"/>
    <w:rsid w:val="00D31F0C"/>
    <w:rsid w:val="00D35C64"/>
    <w:rsid w:val="00D37F34"/>
    <w:rsid w:val="00D44BFA"/>
    <w:rsid w:val="00D47E91"/>
    <w:rsid w:val="00D5060B"/>
    <w:rsid w:val="00D606C7"/>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14B5"/>
    <w:rsid w:val="00D82BC8"/>
    <w:rsid w:val="00D82D88"/>
    <w:rsid w:val="00D85DAC"/>
    <w:rsid w:val="00D87451"/>
    <w:rsid w:val="00D90E69"/>
    <w:rsid w:val="00D90F3D"/>
    <w:rsid w:val="00DA386F"/>
    <w:rsid w:val="00DA38FF"/>
    <w:rsid w:val="00DC024D"/>
    <w:rsid w:val="00DC07C1"/>
    <w:rsid w:val="00DC0E33"/>
    <w:rsid w:val="00DC1566"/>
    <w:rsid w:val="00DC1D77"/>
    <w:rsid w:val="00DC1E66"/>
    <w:rsid w:val="00DC20CF"/>
    <w:rsid w:val="00DC2585"/>
    <w:rsid w:val="00DD5BD4"/>
    <w:rsid w:val="00DD7492"/>
    <w:rsid w:val="00DE0233"/>
    <w:rsid w:val="00DE23CF"/>
    <w:rsid w:val="00DE6FDB"/>
    <w:rsid w:val="00DE7898"/>
    <w:rsid w:val="00DF4D25"/>
    <w:rsid w:val="00DF64E1"/>
    <w:rsid w:val="00E024A7"/>
    <w:rsid w:val="00E03AD1"/>
    <w:rsid w:val="00E04EAD"/>
    <w:rsid w:val="00E05192"/>
    <w:rsid w:val="00E1059F"/>
    <w:rsid w:val="00E1098F"/>
    <w:rsid w:val="00E10BE3"/>
    <w:rsid w:val="00E12660"/>
    <w:rsid w:val="00E14DCB"/>
    <w:rsid w:val="00E17027"/>
    <w:rsid w:val="00E20604"/>
    <w:rsid w:val="00E2315E"/>
    <w:rsid w:val="00E23AAE"/>
    <w:rsid w:val="00E2466A"/>
    <w:rsid w:val="00E25FE8"/>
    <w:rsid w:val="00E30785"/>
    <w:rsid w:val="00E31C6D"/>
    <w:rsid w:val="00E36270"/>
    <w:rsid w:val="00E40A16"/>
    <w:rsid w:val="00E44FA9"/>
    <w:rsid w:val="00E5074A"/>
    <w:rsid w:val="00E5236A"/>
    <w:rsid w:val="00E56F95"/>
    <w:rsid w:val="00E6022A"/>
    <w:rsid w:val="00E62F1E"/>
    <w:rsid w:val="00E63A8F"/>
    <w:rsid w:val="00E64F45"/>
    <w:rsid w:val="00E7109B"/>
    <w:rsid w:val="00E755CA"/>
    <w:rsid w:val="00E83556"/>
    <w:rsid w:val="00E876C5"/>
    <w:rsid w:val="00E87F7D"/>
    <w:rsid w:val="00E9506C"/>
    <w:rsid w:val="00E97FCF"/>
    <w:rsid w:val="00EA0C63"/>
    <w:rsid w:val="00EA2A8C"/>
    <w:rsid w:val="00EA2B57"/>
    <w:rsid w:val="00EA390C"/>
    <w:rsid w:val="00EA3B2F"/>
    <w:rsid w:val="00EA605B"/>
    <w:rsid w:val="00EA6193"/>
    <w:rsid w:val="00EA6DD1"/>
    <w:rsid w:val="00EB3E2A"/>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3CA"/>
    <w:rsid w:val="00F444B9"/>
    <w:rsid w:val="00F45661"/>
    <w:rsid w:val="00F4595E"/>
    <w:rsid w:val="00F512FE"/>
    <w:rsid w:val="00F52CE6"/>
    <w:rsid w:val="00F5465E"/>
    <w:rsid w:val="00F57033"/>
    <w:rsid w:val="00F57481"/>
    <w:rsid w:val="00F601D9"/>
    <w:rsid w:val="00F62508"/>
    <w:rsid w:val="00F6436A"/>
    <w:rsid w:val="00F6582B"/>
    <w:rsid w:val="00F6622D"/>
    <w:rsid w:val="00F95A8E"/>
    <w:rsid w:val="00F95E74"/>
    <w:rsid w:val="00F96055"/>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character" w:styleId="Emphasis">
    <w:name w:val="Emphasis"/>
    <w:basedOn w:val="DefaultParagraphFont"/>
    <w:uiPriority w:val="20"/>
    <w:qFormat/>
    <w:rsid w:val="00EA0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mailto:david.burdette@inso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26</Pages>
  <Words>9055</Words>
  <Characters>46543</Characters>
  <Application>Microsoft Office Word</Application>
  <DocSecurity>0</DocSecurity>
  <Lines>1163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Corey Byrne</cp:lastModifiedBy>
  <cp:revision>41</cp:revision>
  <cp:lastPrinted>2022-09-29T12:20:00Z</cp:lastPrinted>
  <dcterms:created xsi:type="dcterms:W3CDTF">2023-11-23T18:07:00Z</dcterms:created>
  <dcterms:modified xsi:type="dcterms:W3CDTF">2023-11-24T15:39:00Z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DOCXDOCID">
    <vt:lpwstr>202324-1218.SummativeAssessment-24/11/2023</vt:lpwstr>
  </property>
  <property fmtid="{D5CDD505-2E9C-101B-9397-08002B2CF9AE}" pid="4" name="DocXFormat">
    <vt:lpwstr>FILE-DATE</vt:lpwstr>
  </property>
  <property fmtid="{D5CDD505-2E9C-101B-9397-08002B2CF9AE}" pid="5" name="DocXLocation">
    <vt:lpwstr>EveryPage</vt:lpwstr>
  </property>
</Properties>
</file>