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E4522A" w:rsidRDefault="00C3318F" w:rsidP="00BD0DC2">
      <w:pPr>
        <w:pStyle w:val="BodyText"/>
        <w:widowControl/>
        <w:numPr>
          <w:ilvl w:val="0"/>
          <w:numId w:val="24"/>
        </w:numPr>
        <w:autoSpaceDE/>
        <w:autoSpaceDN/>
        <w:rPr>
          <w:rFonts w:ascii="Avenir Next" w:hAnsi="Avenir Next"/>
          <w:highlight w:val="yellow"/>
        </w:rPr>
      </w:pPr>
      <w:r w:rsidRPr="00E4522A">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E4522A" w:rsidRDefault="00957995" w:rsidP="00BD0DC2">
      <w:pPr>
        <w:pStyle w:val="BodyText"/>
        <w:widowControl/>
        <w:numPr>
          <w:ilvl w:val="0"/>
          <w:numId w:val="25"/>
        </w:numPr>
        <w:autoSpaceDE/>
        <w:autoSpaceDN/>
        <w:rPr>
          <w:rFonts w:ascii="Avenir Next" w:hAnsi="Avenir Next"/>
          <w:highlight w:val="yellow"/>
        </w:rPr>
      </w:pPr>
      <w:r w:rsidRPr="00E4522A">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E4522A" w:rsidRDefault="001F2690" w:rsidP="00BD0DC2">
      <w:pPr>
        <w:pStyle w:val="BodyText"/>
        <w:widowControl/>
        <w:numPr>
          <w:ilvl w:val="0"/>
          <w:numId w:val="7"/>
        </w:numPr>
        <w:autoSpaceDE/>
        <w:autoSpaceDN/>
        <w:ind w:left="709" w:hanging="709"/>
        <w:rPr>
          <w:rFonts w:ascii="Avenir Next" w:hAnsi="Avenir Next"/>
          <w:highlight w:val="yellow"/>
        </w:rPr>
      </w:pPr>
      <w:r w:rsidRPr="00E4522A">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E4522A"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E4522A">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E4522A"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E4522A">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E4522A"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E4522A">
        <w:rPr>
          <w:rFonts w:ascii="Avenir Next" w:hAnsi="Avenir Next"/>
          <w:highlight w:val="yellow"/>
          <w:lang w:val="en-GB"/>
        </w:rPr>
        <w:t>W</w:t>
      </w:r>
      <w:r w:rsidR="004A11A1" w:rsidRPr="00E4522A">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D054B9"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D054B9">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D054B9"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D054B9">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D054B9"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D054B9">
        <w:rPr>
          <w:rFonts w:ascii="Avenir Next" w:hAnsi="Avenir Next"/>
          <w:highlight w:val="yellow"/>
          <w:lang w:val="en-GB"/>
        </w:rPr>
        <w:t>within 21 days of the petition being filed</w:t>
      </w:r>
      <w:r w:rsidR="003721B7" w:rsidRPr="00D054B9">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D054B9"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D054B9">
        <w:rPr>
          <w:rFonts w:ascii="Avenir Next" w:hAnsi="Avenir Next"/>
          <w:highlight w:val="yellow"/>
          <w:lang w:val="en-GB"/>
        </w:rPr>
        <w:t>c</w:t>
      </w:r>
      <w:r w:rsidR="004A11A1" w:rsidRPr="00D054B9">
        <w:rPr>
          <w:rFonts w:ascii="Avenir Next" w:hAnsi="Avenir Next"/>
          <w:highlight w:val="yellow"/>
          <w:lang w:val="en-GB"/>
        </w:rPr>
        <w:t>an only proceed if there are shareholders / creditors who may not agree with it</w:t>
      </w:r>
      <w:r w:rsidR="004A11A1" w:rsidRPr="00D054B9">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D054B9"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D054B9">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566EAC"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566EAC">
        <w:rPr>
          <w:rFonts w:ascii="Avenir Next" w:hAnsi="Avenir Next"/>
          <w:highlight w:val="yellow"/>
          <w:lang w:val="en-GB"/>
        </w:rPr>
        <w:t xml:space="preserve">The Cayman Islands </w:t>
      </w:r>
      <w:r w:rsidR="00512319" w:rsidRPr="00566EAC">
        <w:rPr>
          <w:rFonts w:ascii="Avenir Next" w:hAnsi="Avenir Next"/>
          <w:highlight w:val="yellow"/>
          <w:lang w:val="en-GB"/>
        </w:rPr>
        <w:t>C</w:t>
      </w:r>
      <w:r w:rsidRPr="00566EAC">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566EAC" w:rsidRDefault="00BD0DC2" w:rsidP="00BD2F4B">
      <w:pPr>
        <w:numPr>
          <w:ilvl w:val="0"/>
          <w:numId w:val="27"/>
        </w:numPr>
        <w:ind w:left="709" w:hanging="709"/>
        <w:rPr>
          <w:rFonts w:cs="Calibri"/>
          <w:color w:val="000000"/>
          <w:highlight w:val="yellow"/>
          <w:lang w:val="en-ZA" w:eastAsia="en-GB"/>
        </w:rPr>
      </w:pPr>
      <w:r w:rsidRPr="00566EAC">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566EAC">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566EAC" w:rsidRDefault="00BD0DC2" w:rsidP="00BD2F4B">
      <w:pPr>
        <w:numPr>
          <w:ilvl w:val="0"/>
          <w:numId w:val="28"/>
        </w:numPr>
        <w:ind w:left="709" w:hanging="709"/>
        <w:rPr>
          <w:rFonts w:cs="Calibri"/>
          <w:color w:val="000000"/>
          <w:highlight w:val="yellow"/>
          <w:lang w:val="en-ZA" w:eastAsia="en-GB"/>
        </w:rPr>
      </w:pPr>
      <w:r w:rsidRPr="00566EAC">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7D1571" w:rsidRDefault="00BD0DC2" w:rsidP="00BD2F4B">
      <w:pPr>
        <w:numPr>
          <w:ilvl w:val="0"/>
          <w:numId w:val="29"/>
        </w:numPr>
        <w:ind w:left="709" w:hanging="709"/>
        <w:rPr>
          <w:rFonts w:cs="Calibri"/>
          <w:color w:val="000000"/>
          <w:highlight w:val="yellow"/>
          <w:lang w:val="en-ZA" w:eastAsia="en-GB"/>
        </w:rPr>
      </w:pPr>
      <w:r w:rsidRPr="007D1571">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7D1571" w:rsidRDefault="00BD0DC2" w:rsidP="00BD2F4B">
      <w:pPr>
        <w:numPr>
          <w:ilvl w:val="0"/>
          <w:numId w:val="30"/>
        </w:numPr>
        <w:ind w:left="709" w:hanging="709"/>
        <w:rPr>
          <w:rFonts w:cs="Calibri"/>
          <w:color w:val="000000"/>
          <w:highlight w:val="yellow"/>
          <w:lang w:val="en-ZA" w:eastAsia="en-GB"/>
        </w:rPr>
      </w:pPr>
      <w:r w:rsidRPr="007D1571">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D50D0C" w:rsidRDefault="00BD0DC2" w:rsidP="00BD2F4B">
      <w:pPr>
        <w:numPr>
          <w:ilvl w:val="0"/>
          <w:numId w:val="31"/>
        </w:numPr>
        <w:ind w:left="709" w:hanging="709"/>
        <w:rPr>
          <w:rFonts w:cs="Calibri"/>
          <w:color w:val="000000"/>
          <w:highlight w:val="yellow"/>
          <w:lang w:val="en-ZA" w:eastAsia="en-GB"/>
        </w:rPr>
      </w:pPr>
      <w:r w:rsidRPr="00D50D0C">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D50D0C" w:rsidRDefault="00BD0DC2" w:rsidP="00BD2F4B">
      <w:pPr>
        <w:numPr>
          <w:ilvl w:val="0"/>
          <w:numId w:val="32"/>
        </w:numPr>
        <w:ind w:left="709" w:hanging="709"/>
        <w:rPr>
          <w:rFonts w:cs="Calibri"/>
          <w:color w:val="000000"/>
          <w:highlight w:val="yellow"/>
          <w:lang w:val="en-ZA" w:eastAsia="en-GB"/>
        </w:rPr>
      </w:pPr>
      <w:r w:rsidRPr="00D50D0C">
        <w:rPr>
          <w:rFonts w:cs="Calibri"/>
          <w:color w:val="000000"/>
          <w:highlight w:val="yellow"/>
          <w:lang w:val="en-ZA" w:eastAsia="en-GB"/>
        </w:rPr>
        <w:t>A winding up petition must be presented as a precursor to the application for the provisional liquidation</w:t>
      </w:r>
      <w:r w:rsidR="00BD2F4B" w:rsidRPr="00D50D0C">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C645E3" w:rsidRDefault="00BD0DC2" w:rsidP="00BD2F4B">
      <w:pPr>
        <w:numPr>
          <w:ilvl w:val="0"/>
          <w:numId w:val="34"/>
        </w:numPr>
        <w:ind w:left="709" w:hanging="709"/>
        <w:jc w:val="left"/>
        <w:rPr>
          <w:rFonts w:cs="Calibri"/>
          <w:color w:val="000000"/>
          <w:highlight w:val="yellow"/>
          <w:lang w:val="en-ZA" w:eastAsia="en-GB"/>
        </w:rPr>
      </w:pPr>
      <w:r w:rsidRPr="00C645E3">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C645E3" w:rsidRDefault="00BD0DC2" w:rsidP="00BD2F4B">
      <w:pPr>
        <w:numPr>
          <w:ilvl w:val="0"/>
          <w:numId w:val="33"/>
        </w:numPr>
        <w:ind w:left="709" w:hanging="709"/>
        <w:jc w:val="left"/>
        <w:rPr>
          <w:rFonts w:cs="Calibri"/>
          <w:color w:val="000000"/>
          <w:highlight w:val="yellow"/>
          <w:lang w:val="en-ZA" w:eastAsia="en-GB"/>
        </w:rPr>
      </w:pPr>
      <w:r w:rsidRPr="00C645E3">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454D644C" w:rsidR="00A51058" w:rsidRDefault="00B969F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content required of the consent to act </w:t>
      </w:r>
      <w:r w:rsidR="00786914">
        <w:rPr>
          <w:rFonts w:ascii="Avenir Next" w:hAnsi="Avenir Next"/>
          <w:color w:val="808080" w:themeColor="background1" w:themeShade="80"/>
        </w:rPr>
        <w:t xml:space="preserve">which is to be </w:t>
      </w:r>
      <w:r>
        <w:rPr>
          <w:rFonts w:ascii="Avenir Next" w:hAnsi="Avenir Next"/>
          <w:color w:val="808080" w:themeColor="background1" w:themeShade="80"/>
        </w:rPr>
        <w:t>signed by the proposed official liquidator</w:t>
      </w:r>
      <w:r w:rsidR="00786914">
        <w:rPr>
          <w:rFonts w:ascii="Avenir Next" w:hAnsi="Avenir Next"/>
          <w:color w:val="808080" w:themeColor="background1" w:themeShade="80"/>
        </w:rPr>
        <w:t>s</w:t>
      </w:r>
      <w:r>
        <w:rPr>
          <w:rFonts w:ascii="Avenir Next" w:hAnsi="Avenir Next"/>
          <w:color w:val="808080" w:themeColor="background1" w:themeShade="80"/>
        </w:rPr>
        <w:t xml:space="preserve"> is contained within Order 3, Rule 4 of the Companies Winding Up Rules</w:t>
      </w:r>
      <w:r w:rsidR="00786914">
        <w:rPr>
          <w:rFonts w:ascii="Avenir Next" w:hAnsi="Avenir Next"/>
          <w:color w:val="808080" w:themeColor="background1" w:themeShade="80"/>
        </w:rPr>
        <w:t>, which shall be in the form of an affidavit, sworn by the proposed official liquidators, stating:</w:t>
      </w:r>
    </w:p>
    <w:p w14:paraId="353872F3" w14:textId="6B4505E9" w:rsidR="00786914" w:rsidRDefault="00786914" w:rsidP="00786914">
      <w:pPr>
        <w:pStyle w:val="BodyText"/>
        <w:numPr>
          <w:ilvl w:val="0"/>
          <w:numId w:val="40"/>
        </w:numPr>
        <w:rPr>
          <w:rFonts w:ascii="Avenir Next" w:hAnsi="Avenir Next"/>
          <w:color w:val="808080" w:themeColor="background1" w:themeShade="80"/>
        </w:rPr>
      </w:pPr>
      <w:r w:rsidRPr="00786914">
        <w:rPr>
          <w:rFonts w:ascii="Avenir Next" w:hAnsi="Avenir Next"/>
          <w:color w:val="808080" w:themeColor="background1" w:themeShade="80"/>
        </w:rPr>
        <w:lastRenderedPageBreak/>
        <w:t>The proposed official liquidators are</w:t>
      </w:r>
      <w:r>
        <w:rPr>
          <w:rFonts w:ascii="Avenir Next" w:hAnsi="Avenir Next"/>
          <w:color w:val="808080" w:themeColor="background1" w:themeShade="80"/>
        </w:rPr>
        <w:t xml:space="preserve"> qualified insolvency practitioners and meet the residency requirement contained in Regulation 5 of the Insolvency Practitioners’ Regulations;</w:t>
      </w:r>
    </w:p>
    <w:p w14:paraId="00E888F2" w14:textId="3790B9AC" w:rsidR="00786914" w:rsidRDefault="00472E8B" w:rsidP="0078691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The proposed official liquidators, h</w:t>
      </w:r>
      <w:r w:rsidR="00786914">
        <w:rPr>
          <w:rFonts w:ascii="Avenir Next" w:hAnsi="Avenir Next"/>
          <w:color w:val="808080" w:themeColor="background1" w:themeShade="80"/>
        </w:rPr>
        <w:t xml:space="preserve">aving made due enquiry, believe that they, and their firm, meet the independence requirement contained in Regulation 6 </w:t>
      </w:r>
      <w:r w:rsidR="00786914">
        <w:rPr>
          <w:rFonts w:ascii="Avenir Next" w:hAnsi="Avenir Next"/>
          <w:color w:val="808080" w:themeColor="background1" w:themeShade="80"/>
        </w:rPr>
        <w:t>Insolvency Practitioners’ Regulations;</w:t>
      </w:r>
    </w:p>
    <w:p w14:paraId="5487AA08" w14:textId="3B84D1E4" w:rsidR="00786914" w:rsidRDefault="00786914" w:rsidP="0078691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w:t>
      </w:r>
      <w:r>
        <w:rPr>
          <w:rFonts w:ascii="Avenir Next" w:hAnsi="Avenir Next"/>
          <w:color w:val="808080" w:themeColor="background1" w:themeShade="80"/>
        </w:rPr>
        <w:t>he proposed official liquidators</w:t>
      </w:r>
      <w:r>
        <w:rPr>
          <w:rFonts w:ascii="Avenir Next" w:hAnsi="Avenir Next"/>
          <w:color w:val="808080" w:themeColor="background1" w:themeShade="80"/>
        </w:rPr>
        <w:t xml:space="preserve"> and / or their firm are in compliance with the insurance requirement contained in Regulation 7 of the Insolvency Practitioners’ Regulations; and</w:t>
      </w:r>
    </w:p>
    <w:p w14:paraId="2D260D47" w14:textId="7BC73A0C" w:rsidR="00786914" w:rsidRDefault="00786914" w:rsidP="00786914">
      <w:pPr>
        <w:pStyle w:val="BodyText"/>
        <w:numPr>
          <w:ilvl w:val="0"/>
          <w:numId w:val="40"/>
        </w:numPr>
        <w:rPr>
          <w:rFonts w:ascii="Avenir Next" w:hAnsi="Avenir Next"/>
          <w:color w:val="808080" w:themeColor="background1" w:themeShade="80"/>
        </w:rPr>
      </w:pPr>
      <w:r>
        <w:rPr>
          <w:rFonts w:ascii="Avenir Next" w:hAnsi="Avenir Next"/>
          <w:color w:val="808080" w:themeColor="background1" w:themeShade="80"/>
        </w:rPr>
        <w:t>T</w:t>
      </w:r>
      <w:r>
        <w:rPr>
          <w:rFonts w:ascii="Avenir Next" w:hAnsi="Avenir Next"/>
          <w:color w:val="808080" w:themeColor="background1" w:themeShade="80"/>
        </w:rPr>
        <w:t>he proposed official liquidators</w:t>
      </w:r>
      <w:r>
        <w:rPr>
          <w:rFonts w:ascii="Avenir Next" w:hAnsi="Avenir Next"/>
          <w:color w:val="808080" w:themeColor="background1" w:themeShade="80"/>
        </w:rPr>
        <w:t xml:space="preserve"> are willing to act as official liquidators if so appointed by the Court.</w:t>
      </w:r>
    </w:p>
    <w:p w14:paraId="2CE3ADD1" w14:textId="77777777" w:rsidR="00786914" w:rsidRDefault="00786914" w:rsidP="00786914">
      <w:pPr>
        <w:pStyle w:val="BodyText"/>
        <w:ind w:firstLine="0"/>
        <w:rPr>
          <w:rFonts w:ascii="Avenir Next" w:hAnsi="Avenir Next"/>
          <w:color w:val="808080" w:themeColor="background1" w:themeShade="80"/>
        </w:rPr>
      </w:pPr>
    </w:p>
    <w:p w14:paraId="6FA0D58E" w14:textId="081A3826" w:rsidR="00786914" w:rsidRDefault="0039709A" w:rsidP="00786914">
      <w:pPr>
        <w:pStyle w:val="BodyText"/>
        <w:ind w:firstLine="0"/>
        <w:rPr>
          <w:rFonts w:ascii="Avenir Next" w:hAnsi="Avenir Next"/>
          <w:color w:val="808080" w:themeColor="background1" w:themeShade="80"/>
        </w:rPr>
      </w:pPr>
      <w:r>
        <w:rPr>
          <w:rFonts w:ascii="Avenir Next" w:hAnsi="Avenir Next"/>
          <w:color w:val="808080" w:themeColor="background1" w:themeShade="80"/>
        </w:rPr>
        <w:t>In the absence of evidence to suggest that both nominees are qualified insolvency practitioners, s</w:t>
      </w:r>
      <w:r w:rsidR="00786914">
        <w:rPr>
          <w:rFonts w:ascii="Avenir Next" w:hAnsi="Avenir Next"/>
          <w:color w:val="808080" w:themeColor="background1" w:themeShade="80"/>
        </w:rPr>
        <w:t xml:space="preserve">hould the petition seek an order for the appointment of a qualified insolvency practitioner jointly with a foreign practitioner, as per Order 3, Rule </w:t>
      </w:r>
      <w:r w:rsidR="00786914">
        <w:rPr>
          <w:rFonts w:ascii="Avenir Next" w:hAnsi="Avenir Next"/>
          <w:color w:val="808080" w:themeColor="background1" w:themeShade="80"/>
        </w:rPr>
        <w:t>4 of the Companies Winding Up Rules</w:t>
      </w:r>
      <w:r>
        <w:rPr>
          <w:rFonts w:ascii="Avenir Next" w:hAnsi="Avenir Next"/>
          <w:color w:val="808080" w:themeColor="background1" w:themeShade="80"/>
        </w:rPr>
        <w:t xml:space="preserve">, the petition shall be supported by an affidavit sworn by the foreign practitioner, stating: </w:t>
      </w:r>
    </w:p>
    <w:p w14:paraId="6EBB9E41" w14:textId="77777777" w:rsidR="0039709A" w:rsidRDefault="0039709A" w:rsidP="00786914">
      <w:pPr>
        <w:pStyle w:val="BodyText"/>
        <w:ind w:firstLine="0"/>
        <w:rPr>
          <w:rFonts w:ascii="Avenir Next" w:hAnsi="Avenir Next"/>
          <w:color w:val="808080" w:themeColor="background1" w:themeShade="80"/>
        </w:rPr>
      </w:pPr>
    </w:p>
    <w:p w14:paraId="29CAF6BD" w14:textId="72622A28" w:rsidR="0039709A"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color w:val="808080" w:themeColor="background1" w:themeShade="80"/>
        </w:rPr>
        <w:t>foreign practitioner</w:t>
      </w:r>
      <w:r>
        <w:rPr>
          <w:rFonts w:ascii="Avenir Next" w:hAnsi="Avenir Next"/>
          <w:color w:val="808080" w:themeColor="background1" w:themeShade="80"/>
        </w:rPr>
        <w:t>’s professional qualifications;</w:t>
      </w:r>
    </w:p>
    <w:p w14:paraId="5CEFEB0C" w14:textId="54BE77D4" w:rsidR="0039709A"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The country in which the foreign practitioner is qualified to perform the functions equivalent to those performed by official liquidators;</w:t>
      </w:r>
    </w:p>
    <w:p w14:paraId="270D5131" w14:textId="312136C9" w:rsidR="0039709A"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color w:val="808080" w:themeColor="background1" w:themeShade="80"/>
        </w:rPr>
        <w:t>foreign practitioner</w:t>
      </w:r>
      <w:r>
        <w:rPr>
          <w:rFonts w:ascii="Avenir Next" w:hAnsi="Avenir Next"/>
          <w:color w:val="808080" w:themeColor="background1" w:themeShade="80"/>
        </w:rPr>
        <w:t>’s professional experience;</w:t>
      </w:r>
    </w:p>
    <w:p w14:paraId="37FC3C1A" w14:textId="139D39DF" w:rsidR="0039709A"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color w:val="808080" w:themeColor="background1" w:themeShade="80"/>
        </w:rPr>
        <w:t>foreign practitioner</w:t>
      </w:r>
      <w:r>
        <w:rPr>
          <w:rFonts w:ascii="Avenir Next" w:hAnsi="Avenir Next"/>
          <w:color w:val="808080" w:themeColor="background1" w:themeShade="80"/>
        </w:rPr>
        <w:t xml:space="preserve"> will have professional indemnity insurance in respect of their acts and omissions done in their capacity as official liquidator, meeting the requirements of Regulation </w:t>
      </w:r>
      <w:r>
        <w:rPr>
          <w:rFonts w:ascii="Avenir Next" w:hAnsi="Avenir Next"/>
          <w:color w:val="808080" w:themeColor="background1" w:themeShade="80"/>
        </w:rPr>
        <w:t>7 of the Insolvency Practitioners’ Regulations;</w:t>
      </w:r>
    </w:p>
    <w:p w14:paraId="53375B74" w14:textId="166A1C8E" w:rsidR="0039709A"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Particulars of the foreign practitioner’s appointment should they have been appointed by a foreign court or authority as a liquidator, trustee, receiver or administrator of the company, or a related party of the company; and</w:t>
      </w:r>
    </w:p>
    <w:p w14:paraId="594018F8" w14:textId="7051B087" w:rsidR="0039709A" w:rsidRPr="00786914" w:rsidRDefault="0039709A" w:rsidP="0039709A">
      <w:pPr>
        <w:pStyle w:val="BodyText"/>
        <w:numPr>
          <w:ilvl w:val="0"/>
          <w:numId w:val="41"/>
        </w:numPr>
        <w:rPr>
          <w:rFonts w:ascii="Avenir Next" w:hAnsi="Avenir Next"/>
          <w:color w:val="808080" w:themeColor="background1" w:themeShade="80"/>
        </w:rPr>
      </w:pPr>
      <w:r>
        <w:rPr>
          <w:rFonts w:ascii="Avenir Next" w:hAnsi="Avenir Next"/>
          <w:color w:val="808080" w:themeColor="background1" w:themeShade="80"/>
        </w:rPr>
        <w:t xml:space="preserve">Having made due enquiry, the foreign practitioner and their firm meet the independence requirement </w:t>
      </w:r>
      <w:r>
        <w:rPr>
          <w:rFonts w:ascii="Avenir Next" w:hAnsi="Avenir Next"/>
          <w:color w:val="808080" w:themeColor="background1" w:themeShade="80"/>
        </w:rPr>
        <w:t>contained in Regulation 6 Insolvency Practitioners’ Regulations</w:t>
      </w:r>
      <w:r>
        <w:rPr>
          <w:rFonts w:ascii="Avenir Next" w:hAnsi="Avenir Next"/>
          <w:color w:val="808080" w:themeColor="background1" w:themeShade="80"/>
        </w:rPr>
        <w:t>.</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1F20B120" w:rsidR="00A51058" w:rsidRDefault="0029770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Regulation 6 of the Insolvency Practitioners Regulations deals with the independence requirements required of someone to be eligible to act as an official liquidator. Under Regulation 6, a qualified insolvency practitioner will not be regarded as independent if, within a period of three years immediately preceding the commencement of the liquidation, they, or the firm of which they are partners or employees, has acted in relation to the company as its auditor.</w:t>
      </w:r>
    </w:p>
    <w:p w14:paraId="1F3122E7" w14:textId="77777777" w:rsidR="0029770B" w:rsidRDefault="0029770B" w:rsidP="00A51058">
      <w:pPr>
        <w:pStyle w:val="BodyText"/>
        <w:ind w:firstLine="0"/>
        <w:rPr>
          <w:rFonts w:ascii="Avenir Next" w:hAnsi="Avenir Next"/>
          <w:color w:val="808080" w:themeColor="background1" w:themeShade="80"/>
        </w:rPr>
      </w:pPr>
    </w:p>
    <w:p w14:paraId="6C750F5C" w14:textId="77777777" w:rsidR="00D06582" w:rsidRDefault="0029770B"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the proposed official liquidators, as they are employees of Bodden &amp; Ebanks Limited, which previously acted as auditors of </w:t>
      </w:r>
      <w:r w:rsidRPr="0029770B">
        <w:rPr>
          <w:rFonts w:ascii="Avenir Next" w:hAnsi="Avenir Next"/>
          <w:color w:val="808080" w:themeColor="background1" w:themeShade="80"/>
        </w:rPr>
        <w:t>Bluesea</w:t>
      </w:r>
      <w:r>
        <w:rPr>
          <w:rFonts w:ascii="Avenir Next" w:hAnsi="Avenir Next"/>
          <w:color w:val="808080" w:themeColor="background1" w:themeShade="80"/>
        </w:rPr>
        <w:t>, they would not meet the independence requirements as their firm’s engagement as auditors was less than three years prior to the commencement of Bluesea’s liquidation.</w:t>
      </w:r>
      <w:r w:rsidR="00D06582">
        <w:rPr>
          <w:rFonts w:ascii="Avenir Next" w:hAnsi="Avenir Next"/>
          <w:color w:val="808080" w:themeColor="background1" w:themeShade="80"/>
        </w:rPr>
        <w:t xml:space="preserve"> </w:t>
      </w:r>
    </w:p>
    <w:p w14:paraId="328399F1" w14:textId="77777777" w:rsidR="00D06582" w:rsidRDefault="00D06582" w:rsidP="00A51058">
      <w:pPr>
        <w:pStyle w:val="BodyText"/>
        <w:ind w:firstLine="0"/>
        <w:rPr>
          <w:rFonts w:ascii="Avenir Next" w:hAnsi="Avenir Next"/>
          <w:color w:val="808080" w:themeColor="background1" w:themeShade="80"/>
        </w:rPr>
      </w:pPr>
    </w:p>
    <w:p w14:paraId="24A6A05B" w14:textId="4C149CAE" w:rsidR="0029770B" w:rsidRPr="00486A0B" w:rsidRDefault="00D06582" w:rsidP="00A51058">
      <w:pPr>
        <w:pStyle w:val="BodyText"/>
        <w:ind w:firstLine="0"/>
        <w:rPr>
          <w:rFonts w:ascii="Avenir Next" w:hAnsi="Avenir Next"/>
          <w:b/>
          <w:bCs/>
        </w:rPr>
      </w:pPr>
      <w:r>
        <w:rPr>
          <w:rFonts w:ascii="Avenir Next" w:hAnsi="Avenir Next"/>
          <w:color w:val="808080" w:themeColor="background1" w:themeShade="80"/>
        </w:rPr>
        <w:t xml:space="preserve">The affidavit, supporting the petition, which would have been sworn by the proposed official </w:t>
      </w:r>
      <w:r>
        <w:rPr>
          <w:rFonts w:ascii="Avenir Next" w:hAnsi="Avenir Next"/>
          <w:color w:val="808080" w:themeColor="background1" w:themeShade="80"/>
        </w:rPr>
        <w:lastRenderedPageBreak/>
        <w:t xml:space="preserve">liquidators in accordance with </w:t>
      </w:r>
      <w:r>
        <w:rPr>
          <w:rFonts w:ascii="Avenir Next" w:hAnsi="Avenir Next"/>
          <w:color w:val="808080" w:themeColor="background1" w:themeShade="80"/>
        </w:rPr>
        <w:t>Order 3, Rule 4 of the Companies Winding Up Rules</w:t>
      </w:r>
      <w:r>
        <w:rPr>
          <w:rFonts w:ascii="Avenir Next" w:hAnsi="Avenir Next"/>
          <w:color w:val="808080" w:themeColor="background1" w:themeShade="80"/>
        </w:rPr>
        <w:t xml:space="preserve">, would have had to include the declaration that the proposed official liquidators, having made due enquiry, believed that they and their firm meet the independence requirement contained </w:t>
      </w:r>
      <w:r w:rsidR="00730761">
        <w:rPr>
          <w:rFonts w:ascii="Avenir Next" w:hAnsi="Avenir Next"/>
          <w:color w:val="808080" w:themeColor="background1" w:themeShade="80"/>
        </w:rPr>
        <w:t>within</w:t>
      </w:r>
      <w:r>
        <w:rPr>
          <w:rFonts w:ascii="Avenir Next" w:hAnsi="Avenir Next"/>
          <w:color w:val="808080" w:themeColor="background1" w:themeShade="80"/>
        </w:rPr>
        <w:t xml:space="preserve"> Regulation 6 of </w:t>
      </w:r>
      <w:r>
        <w:rPr>
          <w:rFonts w:ascii="Avenir Next" w:hAnsi="Avenir Next"/>
          <w:color w:val="808080" w:themeColor="background1" w:themeShade="80"/>
        </w:rPr>
        <w:t>the Insolvency Practitioners Regulations</w:t>
      </w:r>
      <w:r w:rsidR="00730761">
        <w:rPr>
          <w:rFonts w:ascii="Avenir Next" w:hAnsi="Avenir Next"/>
          <w:color w:val="808080" w:themeColor="background1" w:themeShade="80"/>
        </w:rPr>
        <w:t xml:space="preserve">. It subsequently transpired that due enquiry was not made and the proposed official liquidators should therefore withdraw their consents as without doing so they would be making a false declaration as to their independence. </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2A07E5C5" w:rsidR="00586B0F" w:rsidRPr="00486A0B" w:rsidRDefault="00730761" w:rsidP="00586B0F">
      <w:pPr>
        <w:pStyle w:val="BodyText"/>
        <w:ind w:firstLine="0"/>
        <w:rPr>
          <w:rFonts w:ascii="Avenir Next" w:hAnsi="Avenir Next"/>
          <w:b/>
          <w:bCs/>
        </w:rPr>
      </w:pPr>
      <w:r>
        <w:rPr>
          <w:rFonts w:ascii="Avenir Next" w:hAnsi="Avenir Next"/>
          <w:color w:val="808080" w:themeColor="background1" w:themeShade="80"/>
        </w:rPr>
        <w:t>Tom and Jerry do not require any qualifications to act as voluntary liquidators. Any person, including a director or officer of Cheese Limited, may be appointed as voluntary liquidator.</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545243D0" w14:textId="5E80101A" w:rsidR="002E658F" w:rsidRDefault="0073076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Within 28 days of Tom and Jerry’s appointment as voluntary liquidators, and in accordance with Section </w:t>
      </w:r>
      <w:r w:rsidR="002E658F">
        <w:rPr>
          <w:rFonts w:ascii="Avenir Next" w:hAnsi="Avenir Next"/>
          <w:color w:val="808080" w:themeColor="background1" w:themeShade="80"/>
        </w:rPr>
        <w:t>123 of the Companies Act (</w:t>
      </w:r>
      <w:r w:rsidR="00472E8B">
        <w:rPr>
          <w:rFonts w:ascii="Avenir Next" w:hAnsi="Avenir Next"/>
          <w:color w:val="808080" w:themeColor="background1" w:themeShade="80"/>
        </w:rPr>
        <w:t>2023 Revision</w:t>
      </w:r>
      <w:r w:rsidR="002E658F">
        <w:rPr>
          <w:rFonts w:ascii="Avenir Next" w:hAnsi="Avenir Next"/>
          <w:color w:val="808080" w:themeColor="background1" w:themeShade="80"/>
        </w:rPr>
        <w:t>), and Order 13, Rule 2 of the Companies Winding Up Rules, they shall:</w:t>
      </w:r>
    </w:p>
    <w:p w14:paraId="71F0D58D" w14:textId="77777777" w:rsidR="002E658F" w:rsidRDefault="002E658F" w:rsidP="00586B0F">
      <w:pPr>
        <w:pStyle w:val="BodyText"/>
        <w:ind w:firstLine="0"/>
        <w:rPr>
          <w:rFonts w:ascii="Avenir Next" w:hAnsi="Avenir Next"/>
          <w:color w:val="808080" w:themeColor="background1" w:themeShade="80"/>
        </w:rPr>
      </w:pPr>
    </w:p>
    <w:p w14:paraId="6A18A7A2" w14:textId="14E60371" w:rsidR="00586B0F" w:rsidRDefault="002E658F" w:rsidP="002E658F">
      <w:pPr>
        <w:pStyle w:val="BodyText"/>
        <w:numPr>
          <w:ilvl w:val="0"/>
          <w:numId w:val="42"/>
        </w:numPr>
        <w:rPr>
          <w:rFonts w:ascii="Avenir Next" w:hAnsi="Avenir Next"/>
          <w:color w:val="808080" w:themeColor="background1" w:themeShade="80"/>
        </w:rPr>
      </w:pPr>
      <w:r w:rsidRPr="002E658F">
        <w:rPr>
          <w:rFonts w:ascii="Avenir Next" w:hAnsi="Avenir Next"/>
          <w:color w:val="808080" w:themeColor="background1" w:themeShade="80"/>
        </w:rPr>
        <w:t>File notice</w:t>
      </w:r>
      <w:r>
        <w:rPr>
          <w:rFonts w:ascii="Avenir Next" w:hAnsi="Avenir Next"/>
          <w:color w:val="808080" w:themeColor="background1" w:themeShade="80"/>
        </w:rPr>
        <w:t xml:space="preserve"> of the winding up of Cheese Limited with the Registrar. This shall be in the form of CWR Form No 19;</w:t>
      </w:r>
    </w:p>
    <w:p w14:paraId="502AC870" w14:textId="3346FD1B" w:rsidR="002E658F" w:rsidRDefault="002E658F" w:rsidP="002E658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File Tom and Jerry’s consent to act as voluntary liquidators with the Registrar. This shall be in the form of CWR Form No 20;</w:t>
      </w:r>
    </w:p>
    <w:p w14:paraId="5FFAB16A" w14:textId="6B7B8C8D" w:rsidR="002E658F" w:rsidRDefault="002E658F" w:rsidP="002E658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File the director’s declaration of solvency with the Registrar, which shall be signed by all of Cheese Limited’s directors. This shall be in the form of CWR Form No 21;</w:t>
      </w:r>
    </w:p>
    <w:p w14:paraId="14F9F974" w14:textId="20463579" w:rsidR="002E658F" w:rsidRDefault="002E658F" w:rsidP="002E658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Had Cheese Limited been carrying on a regulated business, serve notice of the winding up upon the Cayman Islands Monetary Authority; and</w:t>
      </w:r>
    </w:p>
    <w:p w14:paraId="40940D78" w14:textId="304A1BB8" w:rsidR="002E658F" w:rsidRDefault="002E658F" w:rsidP="002E658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Publish notice of the winding up in the Cayman Islands Gazette, which shall be in the form of CWR Form No 19.</w:t>
      </w:r>
    </w:p>
    <w:p w14:paraId="3CEE4667" w14:textId="3C078FCB" w:rsidR="002E658F" w:rsidRPr="002E658F" w:rsidRDefault="002E658F" w:rsidP="002E658F">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Should Tom and Jerry fail to comply with these requirements, they will be liable to a fine of ten thousand dollars.</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405A8783" w:rsidR="00586B0F" w:rsidRDefault="007A19CF"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w:t>
      </w:r>
      <w:r>
        <w:rPr>
          <w:rFonts w:ascii="Avenir Next" w:hAnsi="Avenir Next"/>
          <w:color w:val="808080" w:themeColor="background1" w:themeShade="80"/>
        </w:rPr>
        <w:t>n accordance with Order</w:t>
      </w:r>
      <w:r>
        <w:rPr>
          <w:rFonts w:ascii="Avenir Next" w:hAnsi="Avenir Next"/>
          <w:color w:val="808080" w:themeColor="background1" w:themeShade="80"/>
        </w:rPr>
        <w:t xml:space="preserve"> 13, Rule 9 of the Companies Winding Up Rules, the basis and amount of Tom and Jerry’s remuneration as voluntary liquidators of Cheese Limited shall be authorized by resolution of company. The basis of this remuneration can be:</w:t>
      </w:r>
    </w:p>
    <w:p w14:paraId="22F2F9B1" w14:textId="77777777" w:rsidR="007A19CF" w:rsidRDefault="007A19CF" w:rsidP="00586B0F">
      <w:pPr>
        <w:pStyle w:val="BodyText"/>
        <w:ind w:firstLine="0"/>
        <w:rPr>
          <w:rFonts w:ascii="Avenir Next" w:hAnsi="Avenir Next"/>
          <w:color w:val="808080" w:themeColor="background1" w:themeShade="80"/>
        </w:rPr>
      </w:pPr>
    </w:p>
    <w:p w14:paraId="66410588" w14:textId="44112821" w:rsidR="007A19CF" w:rsidRPr="007A19CF" w:rsidRDefault="007A19CF" w:rsidP="007A19CF">
      <w:pPr>
        <w:pStyle w:val="BodyText"/>
        <w:numPr>
          <w:ilvl w:val="0"/>
          <w:numId w:val="43"/>
        </w:numPr>
        <w:rPr>
          <w:rFonts w:ascii="Avenir Next" w:hAnsi="Avenir Next"/>
          <w:color w:val="808080" w:themeColor="background1" w:themeShade="80"/>
        </w:rPr>
      </w:pPr>
      <w:r w:rsidRPr="007A19CF">
        <w:rPr>
          <w:rFonts w:ascii="Avenir Next" w:hAnsi="Avenir Next"/>
          <w:color w:val="808080" w:themeColor="background1" w:themeShade="80"/>
        </w:rPr>
        <w:t>Hourly fixed rate (or scale) for the time reasonably and properly devoted to the liquidation of Cheese Limited by Tom and Jerry;</w:t>
      </w:r>
    </w:p>
    <w:p w14:paraId="0A7D89E7" w14:textId="39B9D5E7" w:rsidR="007A19CF" w:rsidRPr="007A19CF" w:rsidRDefault="007A19CF" w:rsidP="007A19CF">
      <w:pPr>
        <w:pStyle w:val="BodyText"/>
        <w:numPr>
          <w:ilvl w:val="0"/>
          <w:numId w:val="43"/>
        </w:numPr>
        <w:rPr>
          <w:rFonts w:ascii="Avenir Next" w:hAnsi="Avenir Next"/>
          <w:color w:val="808080" w:themeColor="background1" w:themeShade="80"/>
        </w:rPr>
      </w:pPr>
      <w:r w:rsidRPr="007A19CF">
        <w:rPr>
          <w:rFonts w:ascii="Avenir Next" w:hAnsi="Avenir Next"/>
          <w:color w:val="808080" w:themeColor="background1" w:themeShade="80"/>
        </w:rPr>
        <w:t>A fixed sum;</w:t>
      </w:r>
    </w:p>
    <w:p w14:paraId="75F0CB05" w14:textId="59B8ECFA" w:rsidR="007A19CF" w:rsidRPr="007A19CF" w:rsidRDefault="007A19CF" w:rsidP="007A19CF">
      <w:pPr>
        <w:pStyle w:val="BodyText"/>
        <w:numPr>
          <w:ilvl w:val="0"/>
          <w:numId w:val="43"/>
        </w:numPr>
        <w:rPr>
          <w:rFonts w:ascii="Avenir Next" w:hAnsi="Avenir Next"/>
          <w:color w:val="808080" w:themeColor="background1" w:themeShade="80"/>
        </w:rPr>
      </w:pPr>
      <w:r w:rsidRPr="007A19CF">
        <w:rPr>
          <w:rFonts w:ascii="Avenir Next" w:hAnsi="Avenir Next"/>
          <w:color w:val="808080" w:themeColor="background1" w:themeShade="80"/>
        </w:rPr>
        <w:t>A commission or percentage of the assets distributed / realized; or</w:t>
      </w:r>
    </w:p>
    <w:p w14:paraId="02752D27" w14:textId="535A754D" w:rsidR="007A19CF" w:rsidRDefault="007A19CF" w:rsidP="007A19CF">
      <w:pPr>
        <w:pStyle w:val="BodyText"/>
        <w:numPr>
          <w:ilvl w:val="0"/>
          <w:numId w:val="43"/>
        </w:numPr>
        <w:rPr>
          <w:rFonts w:ascii="Avenir Next" w:hAnsi="Avenir Next"/>
          <w:color w:val="808080" w:themeColor="background1" w:themeShade="80"/>
        </w:rPr>
      </w:pPr>
      <w:r w:rsidRPr="007A19CF">
        <w:rPr>
          <w:rFonts w:ascii="Avenir Next" w:hAnsi="Avenir Next"/>
          <w:color w:val="808080" w:themeColor="background1" w:themeShade="80"/>
        </w:rPr>
        <w:t>A combination of the above methods.</w:t>
      </w:r>
    </w:p>
    <w:p w14:paraId="5BB794FB" w14:textId="77777777" w:rsidR="007A19CF" w:rsidRDefault="007A19CF" w:rsidP="007A19CF">
      <w:pPr>
        <w:pStyle w:val="BodyText"/>
        <w:ind w:firstLine="0"/>
        <w:rPr>
          <w:rFonts w:ascii="Avenir Next" w:hAnsi="Avenir Next"/>
          <w:color w:val="808080" w:themeColor="background1" w:themeShade="80"/>
        </w:rPr>
      </w:pPr>
    </w:p>
    <w:p w14:paraId="71B923BF" w14:textId="3E44F6C7" w:rsidR="007A19CF" w:rsidRPr="007A19CF" w:rsidRDefault="007A19CF" w:rsidP="007A19CF">
      <w:pPr>
        <w:pStyle w:val="BodyText"/>
        <w:ind w:firstLine="0"/>
        <w:rPr>
          <w:rFonts w:ascii="Avenir Next" w:hAnsi="Avenir Next"/>
          <w:color w:val="808080" w:themeColor="background1" w:themeShade="80"/>
          <w:lang w:val="en-GB"/>
        </w:rPr>
      </w:pPr>
      <w:r>
        <w:rPr>
          <w:rFonts w:ascii="Avenir Next" w:hAnsi="Avenir Next"/>
          <w:color w:val="808080" w:themeColor="background1" w:themeShade="80"/>
        </w:rPr>
        <w:t>Tom and Jerry are not entitled to receive payment of their remuneration out of Cheese Limited’s assets without the prior approval of a resolution which has passed at a general meeting of Cheese Limited, except in circumstances whereby the remuneration speci</w:t>
      </w:r>
      <w:r>
        <w:rPr>
          <w:rFonts w:ascii="Avenir Next" w:hAnsi="Avenir Next"/>
          <w:color w:val="808080" w:themeColor="background1" w:themeShade="80"/>
          <w:lang w:val="en-GB"/>
        </w:rPr>
        <w:t xml:space="preserve">fied in their final report may be paid if Cheese Limited’s final general meeting has been duly convened and no member attends and votes, either in person or by proxy. Further </w:t>
      </w:r>
      <w:r w:rsidR="000B1A9A">
        <w:rPr>
          <w:rFonts w:ascii="Avenir Next" w:hAnsi="Avenir Next"/>
          <w:color w:val="808080" w:themeColor="background1" w:themeShade="80"/>
          <w:lang w:val="en-GB"/>
        </w:rPr>
        <w:t>their remuneration may be paid with the approval of the Court.</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388C1B62" w:rsidR="00586B0F" w:rsidRDefault="000B1A9A"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Should the contributories wish to seek the appointment of a provisional liquidator, a winding up petition must first be filed with the Court</w:t>
      </w:r>
      <w:r w:rsidR="0076255D">
        <w:rPr>
          <w:rFonts w:ascii="Avenir Next" w:hAnsi="Avenir Next"/>
          <w:color w:val="808080" w:themeColor="background1" w:themeShade="80"/>
        </w:rPr>
        <w:t>, pursuant to Section 92 of the Companies Act (</w:t>
      </w:r>
      <w:r w:rsidR="00472E8B">
        <w:rPr>
          <w:rFonts w:ascii="Avenir Next" w:hAnsi="Avenir Next"/>
          <w:color w:val="808080" w:themeColor="background1" w:themeShade="80"/>
        </w:rPr>
        <w:t>2023 Revision</w:t>
      </w:r>
      <w:r w:rsidR="0076255D">
        <w:rPr>
          <w:rFonts w:ascii="Avenir Next" w:hAnsi="Avenir Next"/>
          <w:color w:val="808080" w:themeColor="background1" w:themeShade="80"/>
        </w:rPr>
        <w:t>) on just and equitable grounds</w:t>
      </w:r>
      <w:r>
        <w:rPr>
          <w:rFonts w:ascii="Avenir Next" w:hAnsi="Avenir Next"/>
          <w:color w:val="808080" w:themeColor="background1" w:themeShade="80"/>
        </w:rPr>
        <w:t xml:space="preserve">. Only then, but prior to the making of a winding up order, must an application for the appointment of </w:t>
      </w:r>
      <w:r w:rsidR="005A61E3">
        <w:rPr>
          <w:rFonts w:ascii="Avenir Next" w:hAnsi="Avenir Next"/>
          <w:color w:val="808080" w:themeColor="background1" w:themeShade="80"/>
        </w:rPr>
        <w:t xml:space="preserve">a </w:t>
      </w:r>
      <w:r>
        <w:rPr>
          <w:rFonts w:ascii="Avenir Next" w:hAnsi="Avenir Next"/>
          <w:color w:val="808080" w:themeColor="background1" w:themeShade="80"/>
        </w:rPr>
        <w:t>provisional liquidator be made by way of a summons, in accordance with Section 104 of the Companies Act (</w:t>
      </w:r>
      <w:r w:rsidR="00472E8B">
        <w:rPr>
          <w:rFonts w:ascii="Avenir Next" w:hAnsi="Avenir Next"/>
          <w:color w:val="808080" w:themeColor="background1" w:themeShade="80"/>
        </w:rPr>
        <w:t>2023 Revision</w:t>
      </w:r>
      <w:r>
        <w:rPr>
          <w:rFonts w:ascii="Avenir Next" w:hAnsi="Avenir Next"/>
          <w:color w:val="808080" w:themeColor="background1" w:themeShade="80"/>
        </w:rPr>
        <w:t>).</w:t>
      </w:r>
    </w:p>
    <w:p w14:paraId="09A9FC45" w14:textId="77777777" w:rsidR="005A61E3" w:rsidRDefault="005A61E3" w:rsidP="00586B0F">
      <w:pPr>
        <w:pStyle w:val="BodyText"/>
        <w:ind w:firstLine="0"/>
        <w:rPr>
          <w:rFonts w:ascii="Avenir Next" w:hAnsi="Avenir Next"/>
          <w:color w:val="808080" w:themeColor="background1" w:themeShade="80"/>
        </w:rPr>
      </w:pPr>
    </w:p>
    <w:p w14:paraId="7700A9DB" w14:textId="06956B05" w:rsidR="005A61E3" w:rsidRDefault="005A61E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Upon hearing of the application for the appointment of a provisional liquidator, which generally would be heard on the first return date of the winding up petition, the court may appoint a provisional liquidator whereby it is satisfied that</w:t>
      </w:r>
      <w:r w:rsidR="00435247">
        <w:rPr>
          <w:rFonts w:ascii="Avenir Next" w:hAnsi="Avenir Next"/>
          <w:color w:val="808080" w:themeColor="background1" w:themeShade="80"/>
        </w:rPr>
        <w:t xml:space="preserve"> both the prima facie hurdle and necessity hurdle have been met</w:t>
      </w:r>
      <w:r>
        <w:rPr>
          <w:rFonts w:ascii="Avenir Next" w:hAnsi="Avenir Next"/>
          <w:color w:val="808080" w:themeColor="background1" w:themeShade="80"/>
        </w:rPr>
        <w:t xml:space="preserve">, </w:t>
      </w:r>
      <w:r>
        <w:rPr>
          <w:rFonts w:ascii="Avenir Next" w:hAnsi="Avenir Next"/>
          <w:color w:val="808080" w:themeColor="background1" w:themeShade="80"/>
        </w:rPr>
        <w:t>in accordance with Section 104 of the Companies Act (</w:t>
      </w:r>
      <w:r w:rsidR="00472E8B">
        <w:rPr>
          <w:rFonts w:ascii="Avenir Next" w:hAnsi="Avenir Next"/>
          <w:color w:val="808080" w:themeColor="background1" w:themeShade="80"/>
        </w:rPr>
        <w:t>2023 Revision</w:t>
      </w:r>
      <w:r>
        <w:rPr>
          <w:rFonts w:ascii="Avenir Next" w:hAnsi="Avenir Next"/>
          <w:color w:val="808080" w:themeColor="background1" w:themeShade="80"/>
        </w:rPr>
        <w:t>)</w:t>
      </w:r>
      <w:r w:rsidR="00435247">
        <w:rPr>
          <w:rFonts w:ascii="Avenir Next" w:hAnsi="Avenir Next"/>
          <w:color w:val="808080" w:themeColor="background1" w:themeShade="80"/>
        </w:rPr>
        <w:t>, being:</w:t>
      </w:r>
    </w:p>
    <w:p w14:paraId="5AA7DA4B" w14:textId="77777777" w:rsidR="005A61E3" w:rsidRDefault="005A61E3" w:rsidP="00586B0F">
      <w:pPr>
        <w:pStyle w:val="BodyText"/>
        <w:ind w:firstLine="0"/>
        <w:rPr>
          <w:rFonts w:ascii="Avenir Next" w:hAnsi="Avenir Next"/>
          <w:color w:val="808080" w:themeColor="background1" w:themeShade="80"/>
        </w:rPr>
      </w:pPr>
    </w:p>
    <w:p w14:paraId="478350D1" w14:textId="34B239B5" w:rsidR="005A61E3" w:rsidRDefault="005A61E3" w:rsidP="005A61E3">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There is a prima facie case for making a winding up order; and</w:t>
      </w:r>
    </w:p>
    <w:p w14:paraId="629FEF05" w14:textId="54C5EBF1" w:rsidR="005A61E3" w:rsidRDefault="005A61E3" w:rsidP="005A61E3">
      <w:pPr>
        <w:pStyle w:val="BodyText"/>
        <w:numPr>
          <w:ilvl w:val="0"/>
          <w:numId w:val="44"/>
        </w:numPr>
        <w:rPr>
          <w:rFonts w:ascii="Avenir Next" w:hAnsi="Avenir Next"/>
          <w:color w:val="808080" w:themeColor="background1" w:themeShade="80"/>
        </w:rPr>
      </w:pPr>
      <w:r>
        <w:rPr>
          <w:rFonts w:ascii="Avenir Next" w:hAnsi="Avenir Next"/>
          <w:color w:val="808080" w:themeColor="background1" w:themeShade="80"/>
        </w:rPr>
        <w:t>The appointment of a provisional liquidator is necessary in order to:</w:t>
      </w:r>
    </w:p>
    <w:p w14:paraId="43C48861" w14:textId="7A4F237C" w:rsidR="005A61E3" w:rsidRDefault="005A61E3" w:rsidP="005A61E3">
      <w:pPr>
        <w:pStyle w:val="BodyText"/>
        <w:numPr>
          <w:ilvl w:val="1"/>
          <w:numId w:val="44"/>
        </w:numPr>
        <w:rPr>
          <w:rFonts w:ascii="Avenir Next" w:hAnsi="Avenir Next"/>
          <w:color w:val="808080" w:themeColor="background1" w:themeShade="80"/>
        </w:rPr>
      </w:pPr>
      <w:r>
        <w:rPr>
          <w:rFonts w:ascii="Avenir Next" w:hAnsi="Avenir Next"/>
          <w:color w:val="808080" w:themeColor="background1" w:themeShade="80"/>
        </w:rPr>
        <w:t>Prevent the dissipation of the company’s assets;</w:t>
      </w:r>
    </w:p>
    <w:p w14:paraId="380BA08C" w14:textId="3711A837" w:rsidR="005A61E3" w:rsidRDefault="005A61E3" w:rsidP="005A61E3">
      <w:pPr>
        <w:pStyle w:val="BodyText"/>
        <w:numPr>
          <w:ilvl w:val="1"/>
          <w:numId w:val="44"/>
        </w:numPr>
        <w:rPr>
          <w:rFonts w:ascii="Avenir Next" w:hAnsi="Avenir Next"/>
          <w:color w:val="808080" w:themeColor="background1" w:themeShade="80"/>
        </w:rPr>
      </w:pPr>
      <w:r>
        <w:rPr>
          <w:rFonts w:ascii="Avenir Next" w:hAnsi="Avenir Next"/>
          <w:color w:val="808080" w:themeColor="background1" w:themeShade="80"/>
        </w:rPr>
        <w:t>Prevent the oppression of a minority shareholder;</w:t>
      </w:r>
      <w:r w:rsidR="00435247">
        <w:rPr>
          <w:rFonts w:ascii="Avenir Next" w:hAnsi="Avenir Next"/>
          <w:color w:val="808080" w:themeColor="background1" w:themeShade="80"/>
        </w:rPr>
        <w:t xml:space="preserve"> or</w:t>
      </w:r>
    </w:p>
    <w:p w14:paraId="09E9B864" w14:textId="7EAF04E6" w:rsidR="005A61E3" w:rsidRDefault="00435247" w:rsidP="005A61E3">
      <w:pPr>
        <w:pStyle w:val="BodyText"/>
        <w:numPr>
          <w:ilvl w:val="1"/>
          <w:numId w:val="44"/>
        </w:numPr>
        <w:rPr>
          <w:rFonts w:ascii="Avenir Next" w:hAnsi="Avenir Next"/>
          <w:color w:val="808080" w:themeColor="background1" w:themeShade="80"/>
        </w:rPr>
      </w:pPr>
      <w:r>
        <w:rPr>
          <w:rFonts w:ascii="Avenir Next" w:hAnsi="Avenir Next"/>
          <w:color w:val="808080" w:themeColor="background1" w:themeShade="80"/>
        </w:rPr>
        <w:t>Prevent mismanagement or misconduct of the company’s directors.</w:t>
      </w:r>
    </w:p>
    <w:p w14:paraId="00693601" w14:textId="77777777" w:rsidR="00435247" w:rsidRDefault="00435247" w:rsidP="00435247">
      <w:pPr>
        <w:pStyle w:val="BodyText"/>
        <w:ind w:firstLine="0"/>
        <w:rPr>
          <w:rFonts w:ascii="Avenir Next" w:hAnsi="Avenir Next"/>
          <w:color w:val="808080" w:themeColor="background1" w:themeShade="80"/>
        </w:rPr>
      </w:pPr>
    </w:p>
    <w:p w14:paraId="1DEC62C9" w14:textId="277249C2" w:rsidR="00435247" w:rsidRDefault="00435247" w:rsidP="00435247">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 regards to the prima facie hurdle, the application must satisfy the Court that more likely than </w:t>
      </w:r>
      <w:r>
        <w:rPr>
          <w:rFonts w:ascii="Avenir Next" w:hAnsi="Avenir Next"/>
          <w:color w:val="808080" w:themeColor="background1" w:themeShade="80"/>
        </w:rPr>
        <w:lastRenderedPageBreak/>
        <w:t xml:space="preserve">not a winding up order would be made on the hearing of the winding up petition, however, this test is more difficult to assess whereby the petition is presented on just and equitable grounds, as would be the case for a contributories’ application. Should the prima facie hurdle not be passed, then the </w:t>
      </w:r>
      <w:r w:rsidR="00336619">
        <w:rPr>
          <w:rFonts w:ascii="Avenir Next" w:hAnsi="Avenir Next"/>
          <w:color w:val="808080" w:themeColor="background1" w:themeShade="80"/>
        </w:rPr>
        <w:t>C</w:t>
      </w:r>
      <w:r>
        <w:rPr>
          <w:rFonts w:ascii="Avenir Next" w:hAnsi="Avenir Next"/>
          <w:color w:val="808080" w:themeColor="background1" w:themeShade="80"/>
        </w:rPr>
        <w:t>ourt may dismiss the application.</w:t>
      </w:r>
    </w:p>
    <w:p w14:paraId="0AFBEF5F" w14:textId="25952C87" w:rsidR="00435247" w:rsidRDefault="00435247" w:rsidP="00435247">
      <w:pPr>
        <w:pStyle w:val="BodyText"/>
        <w:ind w:firstLine="0"/>
        <w:rPr>
          <w:rFonts w:ascii="Avenir Next" w:hAnsi="Avenir Next"/>
          <w:color w:val="808080" w:themeColor="background1" w:themeShade="80"/>
        </w:rPr>
      </w:pPr>
    </w:p>
    <w:p w14:paraId="53DE0145" w14:textId="39605230" w:rsidR="00336619" w:rsidRDefault="00336619" w:rsidP="00435247">
      <w:pPr>
        <w:pStyle w:val="BodyText"/>
        <w:ind w:firstLine="0"/>
        <w:rPr>
          <w:rFonts w:ascii="Avenir Next" w:hAnsi="Avenir Next"/>
          <w:color w:val="808080" w:themeColor="background1" w:themeShade="80"/>
        </w:rPr>
      </w:pPr>
      <w:r>
        <w:rPr>
          <w:rFonts w:ascii="Avenir Next" w:hAnsi="Avenir Next"/>
          <w:color w:val="808080" w:themeColor="background1" w:themeShade="80"/>
        </w:rPr>
        <w:t>Should the prima facie test be passed but the applicant be unable to satisfy the Court with regards to the necessity hurdle, the Court may make an alternative order to regulate the company’s affairs.</w:t>
      </w:r>
    </w:p>
    <w:p w14:paraId="20B20EDD" w14:textId="77777777" w:rsidR="005A61E3" w:rsidRDefault="005A61E3" w:rsidP="00586B0F">
      <w:pPr>
        <w:pStyle w:val="BodyText"/>
        <w:ind w:firstLine="0"/>
        <w:rPr>
          <w:rFonts w:ascii="Avenir Next" w:hAnsi="Avenir Next"/>
          <w:color w:val="808080" w:themeColor="background1" w:themeShade="80"/>
        </w:rPr>
      </w:pPr>
    </w:p>
    <w:p w14:paraId="59D856EF" w14:textId="55D809ED" w:rsidR="005A61E3" w:rsidRPr="00336619" w:rsidRDefault="00336619" w:rsidP="00586B0F">
      <w:pPr>
        <w:pStyle w:val="BodyText"/>
        <w:ind w:firstLine="0"/>
        <w:rPr>
          <w:rFonts w:ascii="Avenir Next" w:hAnsi="Avenir Next"/>
          <w:color w:val="808080" w:themeColor="background1" w:themeShade="80"/>
        </w:rPr>
      </w:pPr>
      <w:r w:rsidRPr="00336619">
        <w:rPr>
          <w:rFonts w:ascii="Avenir Next" w:hAnsi="Avenir Next"/>
          <w:color w:val="808080" w:themeColor="background1" w:themeShade="80"/>
        </w:rPr>
        <w:t>Should both hurdles be passed, the Court may then make an order for the appointment of a provisional liquidator.</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052AA1C7" w:rsidR="00586B0F" w:rsidRDefault="00336619"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Both creditors and </w:t>
      </w:r>
      <w:r w:rsidR="00472E8B">
        <w:rPr>
          <w:rFonts w:ascii="Avenir Next" w:hAnsi="Avenir Next"/>
          <w:color w:val="808080" w:themeColor="background1" w:themeShade="80"/>
        </w:rPr>
        <w:t>contributories</w:t>
      </w:r>
      <w:r>
        <w:rPr>
          <w:rFonts w:ascii="Avenir Next" w:hAnsi="Avenir Next"/>
          <w:color w:val="808080" w:themeColor="background1" w:themeShade="80"/>
        </w:rPr>
        <w:t xml:space="preserve"> of a company may</w:t>
      </w:r>
      <w:r w:rsidR="00E70808">
        <w:rPr>
          <w:rFonts w:ascii="Avenir Next" w:hAnsi="Avenir Next"/>
          <w:color w:val="808080" w:themeColor="background1" w:themeShade="80"/>
        </w:rPr>
        <w:t>, by way of a removal summons,</w:t>
      </w:r>
      <w:r>
        <w:rPr>
          <w:rFonts w:ascii="Avenir Next" w:hAnsi="Avenir Next"/>
          <w:color w:val="808080" w:themeColor="background1" w:themeShade="80"/>
        </w:rPr>
        <w:t xml:space="preserve"> apply for an order of the Court for the removal of official liquidators, which is provided for in Section 107 of the Companies Act (</w:t>
      </w:r>
      <w:r w:rsidR="00472E8B">
        <w:rPr>
          <w:rFonts w:ascii="Avenir Next" w:hAnsi="Avenir Next"/>
          <w:color w:val="808080" w:themeColor="background1" w:themeShade="80"/>
        </w:rPr>
        <w:t>2023 Revision</w:t>
      </w:r>
      <w:r>
        <w:rPr>
          <w:rFonts w:ascii="Avenir Next" w:hAnsi="Avenir Next"/>
          <w:color w:val="808080" w:themeColor="background1" w:themeShade="80"/>
        </w:rPr>
        <w:t xml:space="preserve">). However, the </w:t>
      </w:r>
      <w:r w:rsidR="00CE3683">
        <w:rPr>
          <w:rFonts w:ascii="Avenir Next" w:hAnsi="Avenir Next"/>
          <w:color w:val="808080" w:themeColor="background1" w:themeShade="80"/>
        </w:rPr>
        <w:t>determination</w:t>
      </w:r>
      <w:r>
        <w:rPr>
          <w:rFonts w:ascii="Avenir Next" w:hAnsi="Avenir Next"/>
          <w:color w:val="808080" w:themeColor="background1" w:themeShade="80"/>
        </w:rPr>
        <w:t xml:space="preserve"> of solvency of the liquidation is of importance in establishing who may make such an application. In the case of an insolvent liquidation, only the company’s creditors may, by application to the Court, remove an official liquidator. Whereas in the case of a solvent liquidation, only the company’s </w:t>
      </w:r>
      <w:r w:rsidR="00472E8B">
        <w:rPr>
          <w:rFonts w:ascii="Avenir Next" w:hAnsi="Avenir Next"/>
          <w:color w:val="808080" w:themeColor="background1" w:themeShade="80"/>
        </w:rPr>
        <w:t>contributories</w:t>
      </w:r>
      <w:r>
        <w:rPr>
          <w:rFonts w:ascii="Avenir Next" w:hAnsi="Avenir Next"/>
          <w:color w:val="808080" w:themeColor="background1" w:themeShade="80"/>
        </w:rPr>
        <w:t xml:space="preserve"> may,</w:t>
      </w:r>
      <w:r w:rsidRPr="00336619">
        <w:rPr>
          <w:rFonts w:ascii="Avenir Next" w:hAnsi="Avenir Next"/>
          <w:color w:val="808080" w:themeColor="background1" w:themeShade="80"/>
        </w:rPr>
        <w:t xml:space="preserve"> </w:t>
      </w:r>
      <w:r>
        <w:rPr>
          <w:rFonts w:ascii="Avenir Next" w:hAnsi="Avenir Next"/>
          <w:color w:val="808080" w:themeColor="background1" w:themeShade="80"/>
        </w:rPr>
        <w:t>by application to the Court, remove an official liquidator.</w:t>
      </w:r>
      <w:r>
        <w:rPr>
          <w:rFonts w:ascii="Avenir Next" w:hAnsi="Avenir Next"/>
          <w:color w:val="808080" w:themeColor="background1" w:themeShade="80"/>
        </w:rPr>
        <w:t xml:space="preserve"> </w:t>
      </w:r>
      <w:r w:rsidR="00E70808">
        <w:rPr>
          <w:rFonts w:ascii="Avenir Next" w:hAnsi="Avenir Next"/>
          <w:color w:val="808080" w:themeColor="background1" w:themeShade="80"/>
        </w:rPr>
        <w:t>In either instance, these bodies of stakeholders represent the parties with the ultimate economic interest in the liquidation of the company. Good reason must be presented by the applicant for the removal of the official liquidatio</w:t>
      </w:r>
      <w:r w:rsidR="006450DC">
        <w:rPr>
          <w:rFonts w:ascii="Avenir Next" w:hAnsi="Avenir Next"/>
          <w:color w:val="808080" w:themeColor="background1" w:themeShade="80"/>
        </w:rPr>
        <w:t>r</w:t>
      </w:r>
      <w:r w:rsidR="00E70808">
        <w:rPr>
          <w:rFonts w:ascii="Avenir Next" w:hAnsi="Avenir Next"/>
          <w:color w:val="808080" w:themeColor="background1" w:themeShade="80"/>
        </w:rPr>
        <w:t>, which could include a conflict of interest, misconduct, or impropriety on the part of the official liquidator.</w:t>
      </w:r>
    </w:p>
    <w:p w14:paraId="35B353B8" w14:textId="77777777" w:rsidR="00E70808" w:rsidRDefault="00E70808" w:rsidP="00586B0F">
      <w:pPr>
        <w:pStyle w:val="BodyText"/>
        <w:ind w:firstLine="0"/>
        <w:rPr>
          <w:rFonts w:ascii="Avenir Next" w:hAnsi="Avenir Next"/>
          <w:color w:val="808080" w:themeColor="background1" w:themeShade="80"/>
        </w:rPr>
      </w:pPr>
    </w:p>
    <w:p w14:paraId="706ADADA" w14:textId="3E9C17C4" w:rsidR="00E70808" w:rsidRPr="00486A0B" w:rsidRDefault="00E70808" w:rsidP="00586B0F">
      <w:pPr>
        <w:pStyle w:val="BodyText"/>
        <w:ind w:firstLine="0"/>
        <w:rPr>
          <w:rFonts w:ascii="Avenir Next" w:hAnsi="Avenir Next"/>
          <w:b/>
          <w:bCs/>
        </w:rPr>
      </w:pPr>
      <w:r>
        <w:rPr>
          <w:rFonts w:ascii="Avenir Next" w:hAnsi="Avenir Next"/>
          <w:color w:val="808080" w:themeColor="background1" w:themeShade="80"/>
        </w:rPr>
        <w:t>The applicant’s removal summons must be served upon the official liquidator and each member of the liquidation committee, or counsel for the liquidation committee should one be appointed with authority act generally, and all other creditors and contributories as the Court may direct. This requirement is dealt with under Order 5, Rule 6 of the Companies Winding Up Rules.</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3F2CD0A6" w:rsidR="00586B0F" w:rsidRPr="00486A0B" w:rsidRDefault="00CE3683" w:rsidP="00586B0F">
      <w:pPr>
        <w:pStyle w:val="BodyText"/>
        <w:ind w:firstLine="0"/>
        <w:rPr>
          <w:rFonts w:ascii="Avenir Next" w:hAnsi="Avenir Next"/>
          <w:b/>
          <w:bCs/>
        </w:rPr>
      </w:pPr>
      <w:r>
        <w:rPr>
          <w:rFonts w:ascii="Avenir Next" w:hAnsi="Avenir Next"/>
          <w:color w:val="808080" w:themeColor="background1" w:themeShade="80"/>
        </w:rPr>
        <w:t>Given the solvency of a company in official liquidation can vary, meaning it can be deemed to be insolvent, solvent or of doubtful solvency, the economic interests in the liquidation and the realization</w:t>
      </w:r>
      <w:r w:rsidR="0093000D">
        <w:rPr>
          <w:rFonts w:ascii="Avenir Next" w:hAnsi="Avenir Next"/>
          <w:color w:val="808080" w:themeColor="background1" w:themeShade="80"/>
        </w:rPr>
        <w:t xml:space="preserve"> / </w:t>
      </w:r>
      <w:r>
        <w:rPr>
          <w:rFonts w:ascii="Avenir Next" w:hAnsi="Avenir Next"/>
          <w:color w:val="808080" w:themeColor="background1" w:themeShade="80"/>
        </w:rPr>
        <w:t xml:space="preserve">distribution of the company’s </w:t>
      </w:r>
      <w:r w:rsidR="0093000D">
        <w:rPr>
          <w:rFonts w:ascii="Avenir Next" w:hAnsi="Avenir Next"/>
          <w:color w:val="808080" w:themeColor="background1" w:themeShade="80"/>
        </w:rPr>
        <w:t xml:space="preserve">assets </w:t>
      </w:r>
      <w:r>
        <w:rPr>
          <w:rFonts w:ascii="Avenir Next" w:hAnsi="Avenir Next"/>
          <w:color w:val="808080" w:themeColor="background1" w:themeShade="80"/>
        </w:rPr>
        <w:t xml:space="preserve">are held by varying groups of stakeholders. In the case of a solvent liquidation, the company’s contributories are deemed to hold the main economic interest in the liquidation, and it is ordinary for creditors to be paid by the official liquidators in the performance of their duties. As such, it would be improper for a creditor to apply, </w:t>
      </w:r>
      <w:r>
        <w:rPr>
          <w:rFonts w:ascii="Avenir Next" w:hAnsi="Avenir Next"/>
          <w:color w:val="808080" w:themeColor="background1" w:themeShade="80"/>
        </w:rPr>
        <w:t>by way of a removal summons</w:t>
      </w:r>
      <w:r>
        <w:rPr>
          <w:rFonts w:ascii="Avenir Next" w:hAnsi="Avenir Next"/>
          <w:color w:val="808080" w:themeColor="background1" w:themeShade="80"/>
        </w:rPr>
        <w:t xml:space="preserve">, for the removal of an official liquidator. Alternatively, in the case of an insolvent company, the company’s contributories retain no economic interest in the liquidation, with the statutory function of the official liquidator being the collection, realization and distribution of the </w:t>
      </w:r>
      <w:r>
        <w:rPr>
          <w:rFonts w:ascii="Avenir Next" w:hAnsi="Avenir Next"/>
          <w:color w:val="808080" w:themeColor="background1" w:themeShade="80"/>
        </w:rPr>
        <w:lastRenderedPageBreak/>
        <w:t xml:space="preserve">company’s assets to its creditors. </w:t>
      </w:r>
      <w:r w:rsidR="0093000D">
        <w:rPr>
          <w:rFonts w:ascii="Avenir Next" w:hAnsi="Avenir Next"/>
          <w:color w:val="808080" w:themeColor="background1" w:themeShade="80"/>
        </w:rPr>
        <w:t xml:space="preserve">Therefore, it would make sense that the </w:t>
      </w:r>
      <w:r w:rsidR="00D670FD">
        <w:rPr>
          <w:rFonts w:ascii="Avenir Next" w:hAnsi="Avenir Next"/>
          <w:color w:val="808080" w:themeColor="background1" w:themeShade="80"/>
        </w:rPr>
        <w:t>contributories</w:t>
      </w:r>
      <w:r w:rsidR="0093000D">
        <w:rPr>
          <w:rFonts w:ascii="Avenir Next" w:hAnsi="Avenir Next"/>
          <w:color w:val="808080" w:themeColor="background1" w:themeShade="80"/>
        </w:rPr>
        <w:t xml:space="preserve"> have no standing to present a removal summons and their interests are no more and cannot be </w:t>
      </w:r>
      <w:r w:rsidR="00D670FD">
        <w:rPr>
          <w:rFonts w:ascii="Avenir Next" w:hAnsi="Avenir Next"/>
          <w:color w:val="808080" w:themeColor="background1" w:themeShade="80"/>
        </w:rPr>
        <w:t>affected</w:t>
      </w:r>
      <w:r w:rsidR="0093000D">
        <w:rPr>
          <w:rFonts w:ascii="Avenir Next" w:hAnsi="Avenir Next"/>
          <w:color w:val="808080" w:themeColor="background1" w:themeShade="80"/>
        </w:rPr>
        <w:t xml:space="preserve"> by the actions or inactions of the official liquidator. Lastly, and in the case of a company which is of doubtful solvency, both the creditors and contributories would be deemed to retain an economic interest in the liquidation. </w:t>
      </w:r>
      <w:r w:rsidR="00D670FD">
        <w:rPr>
          <w:rFonts w:ascii="Avenir Next" w:hAnsi="Avenir Next"/>
          <w:color w:val="808080" w:themeColor="background1" w:themeShade="80"/>
        </w:rPr>
        <w:t>Therefore,</w:t>
      </w:r>
      <w:r w:rsidR="0093000D">
        <w:rPr>
          <w:rFonts w:ascii="Avenir Next" w:hAnsi="Avenir Next"/>
          <w:color w:val="808080" w:themeColor="background1" w:themeShade="80"/>
        </w:rPr>
        <w:t xml:space="preserve"> it is proper that both may serve as applica</w:t>
      </w:r>
      <w:r w:rsidR="00D670FD">
        <w:rPr>
          <w:rFonts w:ascii="Avenir Next" w:hAnsi="Avenir Next"/>
          <w:color w:val="808080" w:themeColor="background1" w:themeShade="80"/>
        </w:rPr>
        <w:t>nts</w:t>
      </w:r>
      <w:r w:rsidR="0093000D">
        <w:rPr>
          <w:rFonts w:ascii="Avenir Next" w:hAnsi="Avenir Next"/>
          <w:color w:val="808080" w:themeColor="background1" w:themeShade="80"/>
        </w:rPr>
        <w:t xml:space="preserve"> in the scenario whereby a removal of an official liquidator is sought.</w:t>
      </w: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348A6C32" w:rsidR="00B20DBE" w:rsidRDefault="0093000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Order 9, Rule 1 of the Companies Winding Up Rules, a liquidation committee is to be established in respect of every company being wound up by the court. This committee</w:t>
      </w:r>
      <w:r w:rsidR="00BE6826">
        <w:rPr>
          <w:rFonts w:ascii="Avenir Next" w:hAnsi="Avenir Next"/>
          <w:color w:val="808080" w:themeColor="background1" w:themeShade="80"/>
        </w:rPr>
        <w:t>, in accordance with the provisions of Order 9,</w:t>
      </w:r>
      <w:r>
        <w:rPr>
          <w:rFonts w:ascii="Avenir Next" w:hAnsi="Avenir Next"/>
          <w:color w:val="808080" w:themeColor="background1" w:themeShade="80"/>
        </w:rPr>
        <w:t xml:space="preserve"> should be comprised of no less than three and no more than five creditors (in the case of an insolvent liquidation) or contributories (in the case of a solvent liquidation). </w:t>
      </w:r>
      <w:r w:rsidR="00BE6826">
        <w:rPr>
          <w:rFonts w:ascii="Avenir Next" w:hAnsi="Avenir Next"/>
          <w:color w:val="808080" w:themeColor="background1" w:themeShade="80"/>
        </w:rPr>
        <w:t xml:space="preserve"> Should the company</w:t>
      </w:r>
      <w:r w:rsidR="004B5E05">
        <w:rPr>
          <w:rFonts w:ascii="Avenir Next" w:hAnsi="Avenir Next"/>
          <w:color w:val="808080" w:themeColor="background1" w:themeShade="80"/>
        </w:rPr>
        <w:t xml:space="preserve"> be</w:t>
      </w:r>
      <w:r w:rsidR="00BE6826">
        <w:rPr>
          <w:rFonts w:ascii="Avenir Next" w:hAnsi="Avenir Next"/>
          <w:color w:val="808080" w:themeColor="background1" w:themeShade="80"/>
        </w:rPr>
        <w:t xml:space="preserve"> of doubtful solvency, the committee should be comprised of no less than three and no more than six members, the majority of whom should be creditors, and containing at least one contributory.</w:t>
      </w:r>
    </w:p>
    <w:p w14:paraId="16A3DBF2" w14:textId="77777777" w:rsidR="00BE6826" w:rsidRDefault="00BE6826" w:rsidP="00B20DBE">
      <w:pPr>
        <w:pStyle w:val="BodyText"/>
        <w:ind w:firstLine="0"/>
        <w:rPr>
          <w:rFonts w:ascii="Avenir Next" w:hAnsi="Avenir Next"/>
          <w:color w:val="808080" w:themeColor="background1" w:themeShade="80"/>
        </w:rPr>
      </w:pPr>
    </w:p>
    <w:p w14:paraId="65F96F95" w14:textId="70F053D8" w:rsidR="00BE6826" w:rsidRDefault="00BE6826"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In accordance with Order 9, Rule 3 of the Companies Winding Up Rules, in the event that an official liquidator changes their certification of the company’s solvency from insolvent to solvent, as is the case in this instance, the creditor members of the liquidation</w:t>
      </w:r>
      <w:r w:rsidR="004B5E05">
        <w:rPr>
          <w:rFonts w:ascii="Avenir Next" w:hAnsi="Avenir Next"/>
          <w:color w:val="808080" w:themeColor="background1" w:themeShade="80"/>
        </w:rPr>
        <w:t xml:space="preserve"> committee</w:t>
      </w:r>
      <w:r>
        <w:rPr>
          <w:rFonts w:ascii="Avenir Next" w:hAnsi="Avenir Next"/>
          <w:color w:val="808080" w:themeColor="background1" w:themeShade="80"/>
        </w:rPr>
        <w:t xml:space="preserve"> automatically cease to be members. The official liquidator must then convene a meeting of the company’s contributories for the purpose electing new members to the liquidation committee from this body.</w:t>
      </w:r>
    </w:p>
    <w:p w14:paraId="31F3C82A" w14:textId="77777777" w:rsidR="00BE6826" w:rsidRDefault="00BE6826" w:rsidP="00B20DBE">
      <w:pPr>
        <w:pStyle w:val="BodyText"/>
        <w:ind w:firstLine="0"/>
        <w:rPr>
          <w:rFonts w:ascii="Avenir Next" w:hAnsi="Avenir Next"/>
          <w:color w:val="808080" w:themeColor="background1" w:themeShade="80"/>
        </w:rPr>
      </w:pPr>
    </w:p>
    <w:p w14:paraId="31DB3D8B" w14:textId="4ECD88BE" w:rsidR="00BE6826" w:rsidRPr="00486A0B" w:rsidRDefault="00BE6826" w:rsidP="00B20DBE">
      <w:pPr>
        <w:pStyle w:val="BodyText"/>
        <w:ind w:firstLine="0"/>
        <w:rPr>
          <w:rFonts w:ascii="Avenir Next" w:hAnsi="Avenir Next"/>
          <w:b/>
          <w:bCs/>
        </w:rPr>
      </w:pPr>
      <w:r>
        <w:rPr>
          <w:rFonts w:ascii="Avenir Next" w:hAnsi="Avenir Next"/>
          <w:color w:val="808080" w:themeColor="background1" w:themeShade="80"/>
        </w:rPr>
        <w:t>Noting the requirements for no less than three and no more then five contributories to form the liquidation committee, it is possible that the company may not have a sufficient number of contributories to fulfil this requirement. In this instance, the official liquidator will apply to the court to dispense with the requirement to form a liquidation committee and may form an ad hoc committee in lieu</w:t>
      </w:r>
      <w:r w:rsidR="004B5E05">
        <w:rPr>
          <w:rFonts w:ascii="Avenir Next" w:hAnsi="Avenir Next"/>
          <w:color w:val="808080" w:themeColor="background1" w:themeShade="80"/>
        </w:rPr>
        <w:t>,</w:t>
      </w:r>
      <w:r>
        <w:rPr>
          <w:rFonts w:ascii="Avenir Next" w:hAnsi="Avenir Next"/>
          <w:color w:val="808080" w:themeColor="background1" w:themeShade="80"/>
        </w:rPr>
        <w:t xml:space="preserve"> should this be something the contributories wish to participate in.</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EDC669B" w14:textId="66A5731F" w:rsidR="00272DBD" w:rsidRDefault="00272DBD" w:rsidP="00272DBD">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 making of an order for dissolution</w:t>
      </w:r>
      <w:r>
        <w:rPr>
          <w:rFonts w:ascii="Avenir Next" w:hAnsi="Avenir Next"/>
          <w:color w:val="808080" w:themeColor="background1" w:themeShade="80"/>
        </w:rPr>
        <w:t>, the official liquidator must, within 14 days</w:t>
      </w:r>
      <w:r w:rsidR="00B02532">
        <w:rPr>
          <w:rFonts w:ascii="Avenir Next" w:hAnsi="Avenir Next"/>
          <w:color w:val="808080" w:themeColor="background1" w:themeShade="80"/>
        </w:rPr>
        <w:t xml:space="preserve"> from the date upon which the order was perfected</w:t>
      </w:r>
      <w:r>
        <w:rPr>
          <w:rFonts w:ascii="Avenir Next" w:hAnsi="Avenir Next"/>
          <w:color w:val="808080" w:themeColor="background1" w:themeShade="80"/>
        </w:rPr>
        <w:t xml:space="preserve">, pursuant to Order 22, Rule 2 of the Companies Winding Up Rules, file </w:t>
      </w:r>
      <w:r w:rsidR="00B02532">
        <w:rPr>
          <w:rFonts w:ascii="Avenir Next" w:hAnsi="Avenir Next"/>
          <w:color w:val="808080" w:themeColor="background1" w:themeShade="80"/>
        </w:rPr>
        <w:t>the order with the Registrar.</w:t>
      </w:r>
    </w:p>
    <w:p w14:paraId="16C8E5F4" w14:textId="77777777" w:rsidR="00B02532" w:rsidRDefault="00B02532" w:rsidP="00272DBD">
      <w:pPr>
        <w:pStyle w:val="BodyText"/>
        <w:ind w:firstLine="0"/>
        <w:rPr>
          <w:rFonts w:ascii="Avenir Next" w:hAnsi="Avenir Next"/>
          <w:color w:val="808080" w:themeColor="background1" w:themeShade="80"/>
        </w:rPr>
      </w:pPr>
    </w:p>
    <w:p w14:paraId="52B176B8" w14:textId="269F160F" w:rsidR="00B20DBE" w:rsidRDefault="00B02532" w:rsidP="00272DBD">
      <w:pPr>
        <w:pStyle w:val="BodyText"/>
        <w:ind w:firstLine="0"/>
        <w:rPr>
          <w:rFonts w:ascii="Avenir Next" w:hAnsi="Avenir Next"/>
          <w:color w:val="808080" w:themeColor="background1" w:themeShade="80"/>
        </w:rPr>
      </w:pPr>
      <w:r>
        <w:rPr>
          <w:rFonts w:ascii="Avenir Next" w:hAnsi="Avenir Next"/>
          <w:color w:val="808080" w:themeColor="background1" w:themeShade="80"/>
        </w:rPr>
        <w:t>The</w:t>
      </w:r>
      <w:r w:rsidR="00272DBD">
        <w:rPr>
          <w:rFonts w:ascii="Avenir Next" w:hAnsi="Avenir Next"/>
          <w:color w:val="808080" w:themeColor="background1" w:themeShade="80"/>
        </w:rPr>
        <w:t xml:space="preserve"> Court must give directions, pursuant to Order 26, Rules 3(4) &amp; 3(6) of the Companies Winding Up Rules, with regards to </w:t>
      </w:r>
      <w:r w:rsidR="00272DBD" w:rsidRPr="00272DBD">
        <w:rPr>
          <w:rFonts w:ascii="Avenir Next" w:hAnsi="Avenir Next"/>
          <w:color w:val="808080" w:themeColor="background1" w:themeShade="80"/>
        </w:rPr>
        <w:t>the preservation, storage and destruction of the company’s books and records</w:t>
      </w:r>
      <w:r>
        <w:rPr>
          <w:rFonts w:ascii="Avenir Next" w:hAnsi="Avenir Next"/>
          <w:color w:val="808080" w:themeColor="background1" w:themeShade="80"/>
        </w:rPr>
        <w:t xml:space="preserve"> for which official liquidator will need to make the appropriate provisions and which must be retained for at least three years.</w:t>
      </w:r>
    </w:p>
    <w:p w14:paraId="72F7E85D" w14:textId="77777777" w:rsidR="00B02532" w:rsidRDefault="00B02532" w:rsidP="00272DBD">
      <w:pPr>
        <w:pStyle w:val="BodyText"/>
        <w:ind w:firstLine="0"/>
        <w:rPr>
          <w:rFonts w:ascii="Avenir Next" w:hAnsi="Avenir Next"/>
          <w:color w:val="808080" w:themeColor="background1" w:themeShade="80"/>
        </w:rPr>
      </w:pPr>
    </w:p>
    <w:p w14:paraId="5218A80F" w14:textId="29AB58A3" w:rsidR="00B02532" w:rsidRPr="00272DBD" w:rsidRDefault="00B02532" w:rsidP="00272DB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official liquidator’s duties cease upon the making of the order for dissolution; however, the </w:t>
      </w:r>
      <w:r>
        <w:rPr>
          <w:rFonts w:ascii="Avenir Next" w:hAnsi="Avenir Next"/>
          <w:color w:val="808080" w:themeColor="background1" w:themeShade="80"/>
        </w:rPr>
        <w:lastRenderedPageBreak/>
        <w:t>order may contain residual duties for which steps will need to be taken.</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6229223F" w:rsidR="00D44BFA" w:rsidRDefault="00A4006A"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102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provides the official liquidator with the following investigative powers:</w:t>
      </w:r>
    </w:p>
    <w:p w14:paraId="3D15A417" w14:textId="77777777" w:rsidR="00A4006A" w:rsidRDefault="00A4006A" w:rsidP="00ED248F">
      <w:pPr>
        <w:pStyle w:val="BodyText"/>
        <w:ind w:firstLine="0"/>
        <w:rPr>
          <w:rFonts w:ascii="Avenir Next" w:hAnsi="Avenir Next"/>
          <w:color w:val="808080" w:themeColor="background1" w:themeShade="80"/>
        </w:rPr>
      </w:pPr>
    </w:p>
    <w:p w14:paraId="2642DC62" w14:textId="19C1C34F" w:rsidR="00A4006A" w:rsidRPr="00A4006A" w:rsidRDefault="00A4006A" w:rsidP="00A4006A">
      <w:pPr>
        <w:pStyle w:val="BodyText"/>
        <w:numPr>
          <w:ilvl w:val="0"/>
          <w:numId w:val="46"/>
        </w:numPr>
        <w:rPr>
          <w:rFonts w:ascii="Avenir Next" w:hAnsi="Avenir Next"/>
          <w:color w:val="808080" w:themeColor="background1" w:themeShade="80"/>
        </w:rPr>
      </w:pPr>
      <w:r w:rsidRPr="00A4006A">
        <w:rPr>
          <w:rFonts w:ascii="Avenir Next" w:hAnsi="Avenir Next"/>
          <w:color w:val="808080" w:themeColor="background1" w:themeShade="80"/>
        </w:rPr>
        <w:t>If a company has failed,</w:t>
      </w:r>
      <w:r w:rsidR="004B5E05">
        <w:rPr>
          <w:rFonts w:ascii="Avenir Next" w:hAnsi="Avenir Next"/>
          <w:color w:val="808080" w:themeColor="background1" w:themeShade="80"/>
        </w:rPr>
        <w:t xml:space="preserve"> the</w:t>
      </w:r>
      <w:r w:rsidRPr="00A4006A">
        <w:rPr>
          <w:rFonts w:ascii="Avenir Next" w:hAnsi="Avenir Next"/>
          <w:color w:val="808080" w:themeColor="background1" w:themeShade="80"/>
        </w:rPr>
        <w:t xml:space="preserve"> power to investigate the causes of its failure; and</w:t>
      </w:r>
    </w:p>
    <w:p w14:paraId="7C66DBD0" w14:textId="71296C6B" w:rsidR="00A4006A" w:rsidRDefault="00A4006A" w:rsidP="00A4006A">
      <w:pPr>
        <w:pStyle w:val="BodyText"/>
        <w:numPr>
          <w:ilvl w:val="0"/>
          <w:numId w:val="46"/>
        </w:numPr>
        <w:rPr>
          <w:rFonts w:ascii="Avenir Next" w:hAnsi="Avenir Next"/>
          <w:color w:val="808080" w:themeColor="background1" w:themeShade="80"/>
        </w:rPr>
      </w:pPr>
      <w:r w:rsidRPr="00A4006A">
        <w:rPr>
          <w:rFonts w:ascii="Avenir Next" w:hAnsi="Avenir Next"/>
          <w:color w:val="808080" w:themeColor="background1" w:themeShade="80"/>
        </w:rPr>
        <w:t>Powers to investigate generally the promotion, business, dealings and affairs of the company.</w:t>
      </w:r>
    </w:p>
    <w:p w14:paraId="74A36661" w14:textId="03D61A60" w:rsidR="00A4006A" w:rsidRDefault="00A4006A" w:rsidP="00A4006A">
      <w:pPr>
        <w:pStyle w:val="BodyText"/>
        <w:ind w:firstLine="0"/>
        <w:rPr>
          <w:rFonts w:ascii="Avenir Next" w:hAnsi="Avenir Next"/>
          <w:color w:val="808080" w:themeColor="background1" w:themeShade="80"/>
        </w:rPr>
      </w:pPr>
    </w:p>
    <w:p w14:paraId="75B23D25" w14:textId="25340C77" w:rsidR="00A4006A" w:rsidRDefault="00A4006A" w:rsidP="00A4006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official liquidator may, as they see fit, report these investigations to the court. </w:t>
      </w:r>
    </w:p>
    <w:p w14:paraId="15B57395" w14:textId="77777777" w:rsidR="00A4006A" w:rsidRDefault="00A4006A" w:rsidP="00A4006A">
      <w:pPr>
        <w:pStyle w:val="BodyText"/>
        <w:ind w:firstLine="0"/>
        <w:rPr>
          <w:rFonts w:ascii="Avenir Next" w:hAnsi="Avenir Next"/>
          <w:color w:val="808080" w:themeColor="background1" w:themeShade="80"/>
        </w:rPr>
      </w:pPr>
    </w:p>
    <w:p w14:paraId="7937571D" w14:textId="52C28C8C" w:rsidR="00A4006A" w:rsidRDefault="00A4006A" w:rsidP="00A4006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official liquidator may also, </w:t>
      </w:r>
      <w:r>
        <w:rPr>
          <w:rFonts w:ascii="Avenir Next" w:hAnsi="Avenir Next"/>
          <w:color w:val="808080" w:themeColor="background1" w:themeShade="80"/>
        </w:rPr>
        <w:t>in accordance with Section 10</w:t>
      </w:r>
      <w:r>
        <w:rPr>
          <w:rFonts w:ascii="Avenir Next" w:hAnsi="Avenir Next"/>
          <w:color w:val="808080" w:themeColor="background1" w:themeShade="80"/>
        </w:rPr>
        <w:t>1</w:t>
      </w:r>
      <w:r>
        <w:rPr>
          <w:rFonts w:ascii="Avenir Next" w:hAnsi="Avenir Next"/>
          <w:color w:val="808080" w:themeColor="background1" w:themeShade="80"/>
        </w:rPr>
        <w:t xml:space="preserve">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w:t>
      </w:r>
      <w:r>
        <w:rPr>
          <w:rFonts w:ascii="Avenir Next" w:hAnsi="Avenir Next"/>
          <w:color w:val="808080" w:themeColor="background1" w:themeShade="80"/>
        </w:rPr>
        <w:t>, require relevant individuals, by way of a properly executed affidavit, to furnish statements as to the affairs of the company. Additionally, the official liquidator may, in accordance with Section 103 of the Companies Act (</w:t>
      </w:r>
      <w:r w:rsidR="001D45A7">
        <w:rPr>
          <w:rFonts w:ascii="Avenir Next" w:hAnsi="Avenir Next"/>
          <w:color w:val="808080" w:themeColor="background1" w:themeShade="80"/>
        </w:rPr>
        <w:t>2023 Revision</w:t>
      </w:r>
      <w:r>
        <w:rPr>
          <w:rFonts w:ascii="Avenir Next" w:hAnsi="Avenir Next"/>
          <w:color w:val="808080" w:themeColor="background1" w:themeShade="80"/>
        </w:rPr>
        <w:t>), seek the sanction of the Court to examine persons or demand delivery of any property or documents belonging to the company.</w:t>
      </w:r>
    </w:p>
    <w:p w14:paraId="0F78BAF4" w14:textId="77777777" w:rsidR="009B45FF" w:rsidRDefault="009B45FF" w:rsidP="00A4006A">
      <w:pPr>
        <w:pStyle w:val="BodyText"/>
        <w:ind w:firstLine="0"/>
        <w:rPr>
          <w:rFonts w:ascii="Avenir Next" w:hAnsi="Avenir Next"/>
          <w:color w:val="808080" w:themeColor="background1" w:themeShade="80"/>
        </w:rPr>
      </w:pPr>
    </w:p>
    <w:p w14:paraId="5BDFCF67" w14:textId="3F13307E" w:rsidR="009B45FF" w:rsidRDefault="009B45FF" w:rsidP="00A4006A">
      <w:pPr>
        <w:pStyle w:val="BodyText"/>
        <w:ind w:firstLine="0"/>
        <w:rPr>
          <w:rFonts w:ascii="Avenir Next" w:hAnsi="Avenir Next"/>
          <w:color w:val="808080" w:themeColor="background1" w:themeShade="80"/>
        </w:rPr>
      </w:pPr>
      <w:r>
        <w:rPr>
          <w:rFonts w:ascii="Avenir Next" w:hAnsi="Avenir Next"/>
          <w:color w:val="808080" w:themeColor="background1" w:themeShade="80"/>
        </w:rPr>
        <w:t>The official liquidator’s duties, or their function, is provided for under Section 110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These duties are a dual function pertaining the recovery of assets and reporting obligations, being:</w:t>
      </w:r>
    </w:p>
    <w:p w14:paraId="183B424A" w14:textId="77777777" w:rsidR="009B45FF" w:rsidRDefault="009B45FF" w:rsidP="00A4006A">
      <w:pPr>
        <w:pStyle w:val="BodyText"/>
        <w:ind w:firstLine="0"/>
        <w:rPr>
          <w:rFonts w:ascii="Avenir Next" w:hAnsi="Avenir Next"/>
          <w:color w:val="808080" w:themeColor="background1" w:themeShade="80"/>
        </w:rPr>
      </w:pPr>
    </w:p>
    <w:p w14:paraId="028B061A" w14:textId="0E802290" w:rsidR="009B45FF" w:rsidRDefault="009B45FF" w:rsidP="009B45FF">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The collection, realization and distribution of the company’s assets to creditors, and contributories should a surplus exist; and</w:t>
      </w:r>
    </w:p>
    <w:p w14:paraId="6542868C" w14:textId="023CDB36" w:rsidR="009B45FF" w:rsidRPr="00A4006A" w:rsidRDefault="009B45FF" w:rsidP="009B45FF">
      <w:pPr>
        <w:pStyle w:val="BodyText"/>
        <w:numPr>
          <w:ilvl w:val="0"/>
          <w:numId w:val="47"/>
        </w:numPr>
        <w:rPr>
          <w:rFonts w:ascii="Avenir Next" w:hAnsi="Avenir Next"/>
          <w:color w:val="808080" w:themeColor="background1" w:themeShade="80"/>
        </w:rPr>
      </w:pPr>
      <w:r>
        <w:rPr>
          <w:rFonts w:ascii="Avenir Next" w:hAnsi="Avenir Next"/>
          <w:color w:val="808080" w:themeColor="background1" w:themeShade="80"/>
        </w:rPr>
        <w:t>Reporting to the company’s stakeholders (creditors and contributories) upon the affairs of the company and the manner in which it has been wound up.</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2BD20B62" w:rsidR="00D44BFA" w:rsidRDefault="009B45FF"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The definition of “relevant date” for the purposes of a Section 101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xml:space="preserve">) notice varies depending on the circumstances of each </w:t>
      </w:r>
      <w:r w:rsidR="00730A9D">
        <w:rPr>
          <w:rFonts w:ascii="Avenir Next" w:hAnsi="Avenir Next"/>
          <w:color w:val="808080" w:themeColor="background1" w:themeShade="80"/>
        </w:rPr>
        <w:t>company.</w:t>
      </w:r>
    </w:p>
    <w:p w14:paraId="62C896CD" w14:textId="77777777" w:rsidR="00730A9D" w:rsidRDefault="00730A9D" w:rsidP="00D44BFA">
      <w:pPr>
        <w:pStyle w:val="BodyText"/>
        <w:ind w:firstLine="0"/>
        <w:rPr>
          <w:rFonts w:ascii="Avenir Next" w:hAnsi="Avenir Next"/>
          <w:color w:val="808080" w:themeColor="background1" w:themeShade="80"/>
        </w:rPr>
      </w:pPr>
    </w:p>
    <w:p w14:paraId="03B78903" w14:textId="2CB0664F" w:rsidR="00730A9D" w:rsidRDefault="00730A9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101, the relevant date is deemed to be the commencement of the winding up, which is ordinarily the date on which the winding up petition was presented to the court, or should a provisional liquidator be appointed, the date of such an appointment.</w:t>
      </w:r>
    </w:p>
    <w:p w14:paraId="08E7E73B" w14:textId="77777777" w:rsidR="00730A9D" w:rsidRDefault="00730A9D" w:rsidP="00D44BFA">
      <w:pPr>
        <w:pStyle w:val="BodyText"/>
        <w:ind w:firstLine="0"/>
        <w:rPr>
          <w:rFonts w:ascii="Avenir Next" w:hAnsi="Avenir Next"/>
          <w:color w:val="808080" w:themeColor="background1" w:themeShade="80"/>
        </w:rPr>
      </w:pPr>
    </w:p>
    <w:p w14:paraId="32185211" w14:textId="2651AF5B" w:rsidR="00730A9D" w:rsidRDefault="00730A9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100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expands on the definition of the commencement of the winding up of a company and provides for instances whereby a winding up is deemed to have commenced prior to the presentation of a petition for the winding up. These are instances whereby:</w:t>
      </w:r>
    </w:p>
    <w:p w14:paraId="57D341B5" w14:textId="77777777" w:rsidR="00730A9D" w:rsidRDefault="00730A9D" w:rsidP="00D44BFA">
      <w:pPr>
        <w:pStyle w:val="BodyText"/>
        <w:ind w:firstLine="0"/>
        <w:rPr>
          <w:rFonts w:ascii="Avenir Next" w:hAnsi="Avenir Next"/>
          <w:color w:val="808080" w:themeColor="background1" w:themeShade="80"/>
        </w:rPr>
      </w:pPr>
    </w:p>
    <w:p w14:paraId="53EA0656" w14:textId="3C8AE199" w:rsidR="00730A9D" w:rsidRPr="00730A9D" w:rsidRDefault="00730A9D" w:rsidP="00730A9D">
      <w:pPr>
        <w:pStyle w:val="BodyText"/>
        <w:numPr>
          <w:ilvl w:val="0"/>
          <w:numId w:val="48"/>
        </w:numPr>
        <w:rPr>
          <w:rFonts w:ascii="Avenir Next" w:hAnsi="Avenir Next"/>
          <w:color w:val="808080" w:themeColor="background1" w:themeShade="80"/>
        </w:rPr>
      </w:pPr>
      <w:r w:rsidRPr="00730A9D">
        <w:rPr>
          <w:rFonts w:ascii="Avenir Next" w:hAnsi="Avenir Next"/>
          <w:color w:val="808080" w:themeColor="background1" w:themeShade="80"/>
        </w:rPr>
        <w:t>A resolution has been passed by the company to be wound up voluntarily;</w:t>
      </w:r>
    </w:p>
    <w:p w14:paraId="35F65E9B" w14:textId="26002323" w:rsidR="00730A9D" w:rsidRPr="00730A9D" w:rsidRDefault="00730A9D" w:rsidP="00730A9D">
      <w:pPr>
        <w:pStyle w:val="BodyText"/>
        <w:numPr>
          <w:ilvl w:val="0"/>
          <w:numId w:val="48"/>
        </w:numPr>
        <w:rPr>
          <w:rFonts w:ascii="Avenir Next" w:hAnsi="Avenir Next"/>
          <w:color w:val="808080" w:themeColor="background1" w:themeShade="80"/>
        </w:rPr>
      </w:pPr>
      <w:r w:rsidRPr="00730A9D">
        <w:rPr>
          <w:rFonts w:ascii="Avenir Next" w:hAnsi="Avenir Next"/>
          <w:color w:val="808080" w:themeColor="background1" w:themeShade="80"/>
        </w:rPr>
        <w:t>A fixed period, as provided for in the company’s articles of association has expired;</w:t>
      </w:r>
    </w:p>
    <w:p w14:paraId="2C0F3994" w14:textId="74355D8D" w:rsidR="00730A9D" w:rsidRDefault="00730A9D" w:rsidP="00730A9D">
      <w:pPr>
        <w:pStyle w:val="BodyText"/>
        <w:numPr>
          <w:ilvl w:val="0"/>
          <w:numId w:val="48"/>
        </w:numPr>
        <w:rPr>
          <w:rFonts w:ascii="Avenir Next" w:hAnsi="Avenir Next"/>
          <w:color w:val="808080" w:themeColor="background1" w:themeShade="80"/>
        </w:rPr>
      </w:pPr>
      <w:r w:rsidRPr="00730A9D">
        <w:rPr>
          <w:rFonts w:ascii="Avenir Next" w:hAnsi="Avenir Next"/>
          <w:color w:val="808080" w:themeColor="background1" w:themeShade="80"/>
        </w:rPr>
        <w:lastRenderedPageBreak/>
        <w:t>Following the occurrence of an event provided for in the company’s articles of association; or</w:t>
      </w:r>
    </w:p>
    <w:p w14:paraId="05D6A11C" w14:textId="77777777" w:rsidR="00730A9D" w:rsidRPr="00730A9D" w:rsidRDefault="00730A9D" w:rsidP="00730A9D">
      <w:pPr>
        <w:pStyle w:val="BodyText"/>
        <w:numPr>
          <w:ilvl w:val="0"/>
          <w:numId w:val="48"/>
        </w:numPr>
        <w:rPr>
          <w:rFonts w:ascii="Avenir Next" w:hAnsi="Avenir Next"/>
          <w:color w:val="808080" w:themeColor="background1" w:themeShade="80"/>
        </w:rPr>
      </w:pPr>
      <w:r w:rsidRPr="00730A9D">
        <w:rPr>
          <w:rFonts w:ascii="Avenir Next" w:hAnsi="Avenir Next"/>
          <w:color w:val="808080" w:themeColor="background1" w:themeShade="80"/>
        </w:rPr>
        <w:t>A restructuring officer has been appointed and an order for their discharge has not yet been made.</w:t>
      </w:r>
    </w:p>
    <w:p w14:paraId="1CD72C99" w14:textId="77777777" w:rsidR="00730A9D" w:rsidRDefault="00730A9D" w:rsidP="00262092">
      <w:pPr>
        <w:pStyle w:val="BodyText"/>
        <w:ind w:left="360" w:firstLine="0"/>
        <w:rPr>
          <w:rFonts w:ascii="Avenir Next" w:hAnsi="Avenir Next"/>
          <w:color w:val="808080" w:themeColor="background1" w:themeShade="80"/>
        </w:rPr>
      </w:pPr>
    </w:p>
    <w:p w14:paraId="40A3FC25" w14:textId="69481A27" w:rsidR="00262092" w:rsidRPr="00730A9D" w:rsidRDefault="00262092" w:rsidP="00262092">
      <w:pPr>
        <w:pStyle w:val="BodyText"/>
        <w:ind w:left="360" w:firstLine="0"/>
        <w:rPr>
          <w:rFonts w:ascii="Avenir Next" w:hAnsi="Avenir Next"/>
          <w:color w:val="808080" w:themeColor="background1" w:themeShade="80"/>
        </w:rPr>
      </w:pPr>
      <w:r>
        <w:rPr>
          <w:rFonts w:ascii="Avenir Next" w:hAnsi="Avenir Next"/>
          <w:color w:val="808080" w:themeColor="background1" w:themeShade="80"/>
        </w:rPr>
        <w:t>In these instances, the official liquidator’s scope to require a statement of affairs can vary as the relevant date will be impacted by the above factors.</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53DE8672" w:rsidR="00080EDC" w:rsidRDefault="00262092"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SMB Tech’s chosen provisional liquidator is notably located in Hong Kong. Whilst the </w:t>
      </w:r>
      <w:r w:rsidR="00483DB0">
        <w:rPr>
          <w:rFonts w:ascii="Avenir Next" w:hAnsi="Avenir Next"/>
          <w:color w:val="808080" w:themeColor="background1" w:themeShade="80"/>
        </w:rPr>
        <w:t>appointment of a foreign practitioner is permitted, the appointment must be made jointly with a proposed provisional liquidator who is resident in the Cayman Islands and meets the requirements set out in the Insolvency Practitioners’ Regulations.</w:t>
      </w:r>
    </w:p>
    <w:p w14:paraId="066E31C0" w14:textId="77777777" w:rsidR="00483DB0" w:rsidRDefault="00483DB0" w:rsidP="00080EDC">
      <w:pPr>
        <w:pStyle w:val="BodyText"/>
        <w:ind w:firstLine="0"/>
        <w:rPr>
          <w:rFonts w:ascii="Avenir Next" w:hAnsi="Avenir Next"/>
          <w:color w:val="808080" w:themeColor="background1" w:themeShade="80"/>
        </w:rPr>
      </w:pPr>
    </w:p>
    <w:p w14:paraId="16AB724C" w14:textId="30A1315C" w:rsidR="00483DB0" w:rsidRDefault="00483DB0"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Assuming the consent for a joint resident appointee can be </w:t>
      </w:r>
      <w:r w:rsidR="004B5E05">
        <w:rPr>
          <w:rFonts w:ascii="Avenir Next" w:hAnsi="Avenir Next"/>
          <w:color w:val="808080" w:themeColor="background1" w:themeShade="80"/>
        </w:rPr>
        <w:t>obtained, the</w:t>
      </w:r>
      <w:r>
        <w:rPr>
          <w:rFonts w:ascii="Avenir Next" w:hAnsi="Avenir Next"/>
          <w:color w:val="808080" w:themeColor="background1" w:themeShade="80"/>
        </w:rPr>
        <w:t xml:space="preserve"> foreign practitioner must then ensure they meet the professional indemnity requirements of the Insolvency Practitioners’ </w:t>
      </w:r>
      <w:r>
        <w:rPr>
          <w:rFonts w:ascii="Avenir Next" w:hAnsi="Avenir Next"/>
          <w:color w:val="808080" w:themeColor="background1" w:themeShade="80"/>
        </w:rPr>
        <w:lastRenderedPageBreak/>
        <w:t xml:space="preserve">Regulations. Regulation 7 requires that professional indemnity insurance be maintained by the practitioner, up to a limit of at least US$10 million in respect of each claim, and at least $20 million in aggregate, with a deductible of not more than US$100,000. </w:t>
      </w:r>
    </w:p>
    <w:p w14:paraId="06F2979F" w14:textId="77777777" w:rsidR="00483DB0" w:rsidRDefault="00483DB0" w:rsidP="00080EDC">
      <w:pPr>
        <w:pStyle w:val="BodyText"/>
        <w:ind w:firstLine="0"/>
        <w:rPr>
          <w:rFonts w:ascii="Avenir Next" w:hAnsi="Avenir Next"/>
          <w:color w:val="808080" w:themeColor="background1" w:themeShade="80"/>
        </w:rPr>
      </w:pPr>
    </w:p>
    <w:p w14:paraId="19EB54C0" w14:textId="38582DA0" w:rsidR="00483DB0" w:rsidRPr="00486A0B" w:rsidRDefault="00483DB0" w:rsidP="00080EDC">
      <w:pPr>
        <w:pStyle w:val="BodyText"/>
        <w:ind w:firstLine="0"/>
        <w:rPr>
          <w:rFonts w:ascii="Avenir Next" w:hAnsi="Avenir Next"/>
          <w:b/>
          <w:bCs/>
        </w:rPr>
      </w:pPr>
      <w:r>
        <w:rPr>
          <w:rFonts w:ascii="Avenir Next" w:hAnsi="Avenir Next"/>
          <w:color w:val="808080" w:themeColor="background1" w:themeShade="80"/>
        </w:rPr>
        <w:t xml:space="preserve">As the chosen provisional liquidator is unwilling to increase their insurance liability limited, they would be unwilling to take the appointment as their current cover is </w:t>
      </w:r>
      <w:r w:rsidR="00003866">
        <w:rPr>
          <w:rFonts w:ascii="Avenir Next" w:hAnsi="Avenir Next"/>
          <w:color w:val="808080" w:themeColor="background1" w:themeShade="80"/>
        </w:rPr>
        <w:t>below the amounts required, irrespective of whether a resident was to consent to act as a joint appointee.</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51BE08F7" w:rsidR="00662A8E" w:rsidRDefault="00B831E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Before the Court will appoint a restructuring officer, the company must demonstrate, pursuant to Section 91B(1)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that:</w:t>
      </w:r>
    </w:p>
    <w:p w14:paraId="1FB890C9" w14:textId="77777777" w:rsidR="00B831E2" w:rsidRDefault="00B831E2" w:rsidP="00662A8E">
      <w:pPr>
        <w:pStyle w:val="BodyText"/>
        <w:ind w:firstLine="0"/>
        <w:rPr>
          <w:rFonts w:ascii="Avenir Next" w:hAnsi="Avenir Next"/>
          <w:color w:val="808080" w:themeColor="background1" w:themeShade="80"/>
        </w:rPr>
      </w:pPr>
    </w:p>
    <w:p w14:paraId="6F07B453" w14:textId="76C9D872" w:rsidR="00B831E2" w:rsidRPr="00B831E2" w:rsidRDefault="00B831E2" w:rsidP="00B831E2">
      <w:pPr>
        <w:pStyle w:val="BodyText"/>
        <w:numPr>
          <w:ilvl w:val="0"/>
          <w:numId w:val="50"/>
        </w:numPr>
        <w:rPr>
          <w:rFonts w:ascii="Avenir Next" w:hAnsi="Avenir Next"/>
          <w:color w:val="808080" w:themeColor="background1" w:themeShade="80"/>
        </w:rPr>
      </w:pPr>
      <w:r w:rsidRPr="00B831E2">
        <w:rPr>
          <w:rFonts w:ascii="Avenir Next" w:hAnsi="Avenir Next"/>
          <w:color w:val="808080" w:themeColor="background1" w:themeShade="80"/>
        </w:rPr>
        <w:t>The company is, or is likely, to become unable to pay its debts; and</w:t>
      </w:r>
    </w:p>
    <w:p w14:paraId="58FE07F1" w14:textId="3A188C26" w:rsidR="00B831E2" w:rsidRPr="00B831E2" w:rsidRDefault="00B831E2" w:rsidP="00B831E2">
      <w:pPr>
        <w:pStyle w:val="BodyText"/>
        <w:numPr>
          <w:ilvl w:val="0"/>
          <w:numId w:val="50"/>
        </w:numPr>
        <w:rPr>
          <w:rFonts w:ascii="Avenir Next" w:hAnsi="Avenir Next"/>
          <w:color w:val="808080" w:themeColor="background1" w:themeShade="80"/>
        </w:rPr>
      </w:pPr>
      <w:r w:rsidRPr="00B831E2">
        <w:rPr>
          <w:rFonts w:ascii="Avenir Next" w:hAnsi="Avenir Next"/>
          <w:color w:val="808080" w:themeColor="background1" w:themeShade="80"/>
        </w:rPr>
        <w:t>It intends to present a compromise or arrangement to its creditors.</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3D7C75E3" w14:textId="23537272" w:rsidR="00003866" w:rsidRDefault="00003866"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Unless ordered otherwise by the Court, upon the presentation of a restructuring petition, advertisement is required in accordance with CWR Form No 3A. This notice</w:t>
      </w:r>
      <w:r w:rsidR="00B831E2">
        <w:rPr>
          <w:rFonts w:ascii="Avenir Next" w:hAnsi="Avenir Next"/>
          <w:color w:val="808080" w:themeColor="background1" w:themeShade="80"/>
        </w:rPr>
        <w:t>, in accordance with Rule 1A of the Companies Winding Up Rules,</w:t>
      </w:r>
      <w:r>
        <w:rPr>
          <w:rFonts w:ascii="Avenir Next" w:hAnsi="Avenir Next"/>
          <w:color w:val="808080" w:themeColor="background1" w:themeShade="80"/>
        </w:rPr>
        <w:t xml:space="preserve"> shall be advertised:</w:t>
      </w:r>
    </w:p>
    <w:p w14:paraId="65A773EF" w14:textId="77777777" w:rsidR="00003866" w:rsidRDefault="00003866" w:rsidP="00662A8E">
      <w:pPr>
        <w:pStyle w:val="BodyText"/>
        <w:ind w:firstLine="0"/>
        <w:rPr>
          <w:rFonts w:ascii="Avenir Next" w:hAnsi="Avenir Next"/>
          <w:color w:val="808080" w:themeColor="background1" w:themeShade="80"/>
        </w:rPr>
      </w:pPr>
    </w:p>
    <w:p w14:paraId="1E2303C0" w14:textId="77777777" w:rsidR="00B831E2" w:rsidRDefault="00003866" w:rsidP="00B831E2">
      <w:pPr>
        <w:pStyle w:val="BodyText"/>
        <w:numPr>
          <w:ilvl w:val="0"/>
          <w:numId w:val="49"/>
        </w:numPr>
        <w:rPr>
          <w:rFonts w:ascii="Avenir Next" w:hAnsi="Avenir Next"/>
          <w:color w:val="808080" w:themeColor="background1" w:themeShade="80"/>
        </w:rPr>
      </w:pPr>
      <w:r w:rsidRPr="00B831E2">
        <w:rPr>
          <w:rFonts w:ascii="Avenir Next" w:hAnsi="Avenir Next"/>
          <w:color w:val="808080" w:themeColor="background1" w:themeShade="80"/>
        </w:rPr>
        <w:t>Once in a newspaper having circulation in the Cayman Islands; and</w:t>
      </w:r>
    </w:p>
    <w:p w14:paraId="463F87EC" w14:textId="7DEC53E7" w:rsidR="00B831E2" w:rsidRDefault="00B831E2" w:rsidP="00B831E2">
      <w:pPr>
        <w:pStyle w:val="BodyText"/>
        <w:numPr>
          <w:ilvl w:val="0"/>
          <w:numId w:val="49"/>
        </w:numPr>
        <w:rPr>
          <w:rFonts w:ascii="Avenir Next" w:hAnsi="Avenir Next"/>
          <w:color w:val="808080" w:themeColor="background1" w:themeShade="80"/>
        </w:rPr>
      </w:pPr>
      <w:r w:rsidRPr="00B831E2">
        <w:rPr>
          <w:rFonts w:ascii="Avenir Next" w:hAnsi="Avenir Next"/>
          <w:color w:val="808080" w:themeColor="background1" w:themeShade="80"/>
        </w:rPr>
        <w:t>In a newspaper having circulation in a country (countries) in which the petition is most likely to come to the attention of the company’s creditors and contributorie</w:t>
      </w:r>
      <w:r>
        <w:rPr>
          <w:rFonts w:ascii="Avenir Next" w:hAnsi="Avenir Next"/>
          <w:color w:val="808080" w:themeColor="background1" w:themeShade="80"/>
        </w:rPr>
        <w:t>s.</w:t>
      </w:r>
    </w:p>
    <w:p w14:paraId="4E47AECE" w14:textId="77777777" w:rsidR="00B831E2" w:rsidRDefault="00B831E2" w:rsidP="00B831E2">
      <w:pPr>
        <w:pStyle w:val="BodyText"/>
        <w:ind w:firstLine="0"/>
        <w:rPr>
          <w:rFonts w:ascii="Avenir Next" w:hAnsi="Avenir Next"/>
          <w:color w:val="808080" w:themeColor="background1" w:themeShade="80"/>
        </w:rPr>
      </w:pPr>
    </w:p>
    <w:p w14:paraId="2D609A23" w14:textId="68C7ADF2" w:rsidR="00B831E2" w:rsidRPr="00B831E2" w:rsidRDefault="00B831E2" w:rsidP="00B831E2">
      <w:pPr>
        <w:pStyle w:val="BodyText"/>
        <w:ind w:firstLine="0"/>
        <w:rPr>
          <w:rFonts w:ascii="Avenir Next" w:hAnsi="Avenir Next"/>
          <w:color w:val="808080" w:themeColor="background1" w:themeShade="80"/>
        </w:rPr>
      </w:pPr>
      <w:r>
        <w:rPr>
          <w:rFonts w:ascii="Avenir Next" w:hAnsi="Avenir Next"/>
          <w:color w:val="808080" w:themeColor="background1" w:themeShade="80"/>
        </w:rPr>
        <w:t>These advertisements are to appear no later than seven business days after the filing of the petition and no less than seven business days before the hearing date.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12434712" w14:textId="2CF8CC0F" w:rsidR="00A550EF" w:rsidRDefault="00A550EF"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new restructuring officer regime and the appointment of a restructuring officer offers a multitude of ways in which the interests of creditors are safeguarded. These are as follows:</w:t>
      </w:r>
    </w:p>
    <w:p w14:paraId="37D2CC6A" w14:textId="77777777" w:rsidR="00A550EF" w:rsidRDefault="00A550EF" w:rsidP="00662A8E">
      <w:pPr>
        <w:pStyle w:val="BodyText"/>
        <w:ind w:firstLine="0"/>
        <w:rPr>
          <w:rFonts w:ascii="Avenir Next" w:hAnsi="Avenir Next"/>
          <w:color w:val="808080" w:themeColor="background1" w:themeShade="80"/>
        </w:rPr>
      </w:pPr>
    </w:p>
    <w:p w14:paraId="53321FBD" w14:textId="56558C07" w:rsidR="00662A8E" w:rsidRDefault="00A550EF" w:rsidP="00A550EF">
      <w:pPr>
        <w:pStyle w:val="BodyText"/>
        <w:numPr>
          <w:ilvl w:val="0"/>
          <w:numId w:val="51"/>
        </w:numPr>
        <w:rPr>
          <w:rFonts w:ascii="Avenir Next" w:hAnsi="Avenir Next"/>
          <w:color w:val="808080" w:themeColor="background1" w:themeShade="80"/>
        </w:rPr>
      </w:pPr>
      <w:r w:rsidRPr="00A550EF">
        <w:rPr>
          <w:rFonts w:ascii="Avenir Next" w:hAnsi="Avenir Next"/>
          <w:color w:val="808080" w:themeColor="background1" w:themeShade="80"/>
        </w:rPr>
        <w:t xml:space="preserve">The appointment of a restructuring officer, being a qualified insolvency practitioner, is an officer of the Court. Therefore, their appointment </w:t>
      </w:r>
      <w:r>
        <w:rPr>
          <w:rFonts w:ascii="Avenir Next" w:hAnsi="Avenir Next"/>
          <w:color w:val="808080" w:themeColor="background1" w:themeShade="80"/>
        </w:rPr>
        <w:t>ensure</w:t>
      </w:r>
      <w:r w:rsidR="00392663">
        <w:rPr>
          <w:rFonts w:ascii="Avenir Next" w:hAnsi="Avenir Next"/>
          <w:color w:val="808080" w:themeColor="background1" w:themeShade="80"/>
        </w:rPr>
        <w:t>s appropriate oversight, independence and professionalism.</w:t>
      </w:r>
    </w:p>
    <w:p w14:paraId="63FAFF7A" w14:textId="16F50E88" w:rsidR="00A550EF" w:rsidRDefault="00A550EF"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 xml:space="preserve">The restructuring officer, throughout their appointment, will provide reports pertaining to the financial condition of the company and will provide creditors with information which they may not previously have been privy to. This will afford greater transparency to </w:t>
      </w:r>
      <w:r>
        <w:rPr>
          <w:rFonts w:ascii="Avenir Next" w:hAnsi="Avenir Next"/>
          <w:color w:val="808080" w:themeColor="background1" w:themeShade="80"/>
        </w:rPr>
        <w:lastRenderedPageBreak/>
        <w:t>creditors and allow for a more informed decision-making process on their part.</w:t>
      </w:r>
    </w:p>
    <w:p w14:paraId="0C91914E" w14:textId="4735BC20" w:rsidR="00A550EF" w:rsidRDefault="00A550EF"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The restructuring officer, depending on the order made by the Court, may be required to validate certain transactions. This will provide protection for creditors insofar as ensuring they have not been prejudiced.</w:t>
      </w:r>
    </w:p>
    <w:p w14:paraId="694CC507" w14:textId="7F256188" w:rsidR="00A550EF" w:rsidRDefault="00A550EF"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 xml:space="preserve">Creditors may, by way of summons in the form of CWR Form No 16B, apply for a variation or discharge of an order. </w:t>
      </w:r>
      <w:r w:rsidR="00392663">
        <w:rPr>
          <w:rFonts w:ascii="Avenir Next" w:hAnsi="Avenir Next"/>
          <w:color w:val="808080" w:themeColor="background1" w:themeShade="80"/>
        </w:rPr>
        <w:t xml:space="preserve">Similarly, creditors may, </w:t>
      </w:r>
      <w:r w:rsidR="00392663">
        <w:rPr>
          <w:rFonts w:ascii="Avenir Next" w:hAnsi="Avenir Next"/>
          <w:color w:val="808080" w:themeColor="background1" w:themeShade="80"/>
        </w:rPr>
        <w:t>by way of summons in the form of CWR Form No 16</w:t>
      </w:r>
      <w:r w:rsidR="00392663">
        <w:rPr>
          <w:rFonts w:ascii="Avenir Next" w:hAnsi="Avenir Next"/>
          <w:color w:val="808080" w:themeColor="background1" w:themeShade="80"/>
        </w:rPr>
        <w:t>C, apply for the removal or replacement of a restructuring officer. This ensures that may pursue variations to the restructuring officer’s appointment should they deem necessary.</w:t>
      </w:r>
    </w:p>
    <w:p w14:paraId="1C639D8C" w14:textId="24F2A95E" w:rsidR="00392663" w:rsidRDefault="00392663"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In accordance with Section 91H of the Companies Act (</w:t>
      </w:r>
      <w:r w:rsidR="004B5E05">
        <w:rPr>
          <w:rFonts w:ascii="Avenir Next" w:hAnsi="Avenir Next"/>
          <w:color w:val="808080" w:themeColor="background1" w:themeShade="80"/>
        </w:rPr>
        <w:t>2023 Revision</w:t>
      </w:r>
      <w:r>
        <w:rPr>
          <w:rFonts w:ascii="Avenir Next" w:hAnsi="Avenir Next"/>
          <w:color w:val="808080" w:themeColor="background1" w:themeShade="80"/>
        </w:rPr>
        <w:t>), secured creditors will remain entitled to enforce their security without leave of the court and without reference to the restructuring officer.</w:t>
      </w:r>
    </w:p>
    <w:p w14:paraId="68008DAD" w14:textId="42F11B06" w:rsidR="00392663" w:rsidRDefault="00392663"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 xml:space="preserve">The restructuring officer regime provides a path for a company to emerge as a going concern. Creditors in many circumstances rely on the debtor companies for the performance of their own business and ensuring that the debtor company is not impacted reputationally, for example by the appointment of a provisional liquidator, helps protect the business interests of </w:t>
      </w:r>
      <w:r w:rsidR="001A46B7">
        <w:rPr>
          <w:rFonts w:ascii="Avenir Next" w:hAnsi="Avenir Next"/>
          <w:color w:val="808080" w:themeColor="background1" w:themeShade="80"/>
        </w:rPr>
        <w:t>the creditor.</w:t>
      </w:r>
    </w:p>
    <w:p w14:paraId="306491FF" w14:textId="0D63B7C9" w:rsidR="001A46B7" w:rsidRPr="00A550EF" w:rsidRDefault="001A46B7" w:rsidP="00A550EF">
      <w:pPr>
        <w:pStyle w:val="BodyText"/>
        <w:numPr>
          <w:ilvl w:val="0"/>
          <w:numId w:val="51"/>
        </w:numPr>
        <w:rPr>
          <w:rFonts w:ascii="Avenir Next" w:hAnsi="Avenir Next"/>
          <w:color w:val="808080" w:themeColor="background1" w:themeShade="80"/>
        </w:rPr>
      </w:pPr>
      <w:r>
        <w:rPr>
          <w:rFonts w:ascii="Avenir Next" w:hAnsi="Avenir Next"/>
          <w:color w:val="808080" w:themeColor="background1" w:themeShade="80"/>
        </w:rPr>
        <w:t>Creditors may still make a winding up petition following the presentation of a winding up petition, albeit with the leave of the Court.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5EB2AEC4" w14:textId="5171C24B" w:rsidR="001A46B7" w:rsidRDefault="001A46B7"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w:t>
      </w:r>
      <w:r>
        <w:rPr>
          <w:rFonts w:ascii="Avenir Next" w:hAnsi="Avenir Next"/>
          <w:color w:val="808080" w:themeColor="background1" w:themeShade="80"/>
        </w:rPr>
        <w:t>pon the making of a restructuring petition, the Court may, pursuant to Section 91B(3) of the 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w:t>
      </w:r>
      <w:r>
        <w:rPr>
          <w:rFonts w:ascii="Avenir Next" w:hAnsi="Avenir Next"/>
          <w:color w:val="808080" w:themeColor="background1" w:themeShade="80"/>
        </w:rPr>
        <w:t>:</w:t>
      </w:r>
    </w:p>
    <w:p w14:paraId="04500F9D" w14:textId="77777777" w:rsidR="001A46B7" w:rsidRDefault="001A46B7" w:rsidP="00662A8E">
      <w:pPr>
        <w:pStyle w:val="BodyText"/>
        <w:ind w:firstLine="0"/>
        <w:rPr>
          <w:rFonts w:ascii="Avenir Next" w:hAnsi="Avenir Next"/>
          <w:color w:val="808080" w:themeColor="background1" w:themeShade="80"/>
        </w:rPr>
      </w:pPr>
    </w:p>
    <w:p w14:paraId="0738E7BD" w14:textId="3802203E" w:rsidR="001A46B7" w:rsidRDefault="001A46B7" w:rsidP="001A46B7">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Make an order appointing a restructuring officer;</w:t>
      </w:r>
    </w:p>
    <w:p w14:paraId="236A9C42" w14:textId="0667623F" w:rsidR="001A46B7" w:rsidRDefault="001A46B7" w:rsidP="001A46B7">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Adjourn the hearing conditionally or unconditionally;</w:t>
      </w:r>
    </w:p>
    <w:p w14:paraId="7E463EAB" w14:textId="6C229E69" w:rsidR="001A46B7" w:rsidRDefault="001A46B7" w:rsidP="001A46B7">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Dismiss the petition; or</w:t>
      </w:r>
    </w:p>
    <w:p w14:paraId="0B4FFB3F" w14:textId="515C143E" w:rsidR="001A46B7" w:rsidRPr="001A46B7" w:rsidRDefault="001A46B7" w:rsidP="001A46B7">
      <w:pPr>
        <w:pStyle w:val="BodyText"/>
        <w:numPr>
          <w:ilvl w:val="0"/>
          <w:numId w:val="52"/>
        </w:numPr>
        <w:rPr>
          <w:rFonts w:ascii="Avenir Next" w:hAnsi="Avenir Next"/>
          <w:color w:val="808080" w:themeColor="background1" w:themeShade="80"/>
        </w:rPr>
      </w:pPr>
      <w:r>
        <w:rPr>
          <w:rFonts w:ascii="Avenir Next" w:hAnsi="Avenir Next"/>
          <w:color w:val="808080" w:themeColor="background1" w:themeShade="80"/>
        </w:rPr>
        <w:t>Make any order as the Court sees fit.</w:t>
      </w:r>
    </w:p>
    <w:p w14:paraId="5550F986" w14:textId="77777777" w:rsidR="001A46B7" w:rsidRDefault="001A46B7" w:rsidP="00662A8E">
      <w:pPr>
        <w:pStyle w:val="BodyText"/>
        <w:ind w:firstLine="0"/>
        <w:rPr>
          <w:rFonts w:ascii="Avenir Next" w:hAnsi="Avenir Next"/>
          <w:color w:val="808080" w:themeColor="background1" w:themeShade="80"/>
        </w:rPr>
      </w:pPr>
    </w:p>
    <w:p w14:paraId="4254ABCD" w14:textId="355AECEC" w:rsidR="00662A8E" w:rsidRPr="007D4146" w:rsidRDefault="001A46B7" w:rsidP="00662A8E">
      <w:pPr>
        <w:pStyle w:val="BodyText"/>
        <w:ind w:firstLine="0"/>
        <w:rPr>
          <w:rFonts w:ascii="Avenir Next" w:hAnsi="Avenir Next"/>
          <w:b/>
          <w:bCs/>
        </w:rPr>
      </w:pPr>
      <w:r>
        <w:rPr>
          <w:rFonts w:ascii="Avenir Next" w:hAnsi="Avenir Next"/>
          <w:color w:val="808080" w:themeColor="background1" w:themeShade="80"/>
        </w:rPr>
        <w:t>However, the Court may not, pursuant to Section 91B(3) of the 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 place the company into official liquidation.</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461D7793" w:rsidR="006D7C44" w:rsidRPr="00486A0B" w:rsidRDefault="00BB056A" w:rsidP="00F3705F">
      <w:pPr>
        <w:pStyle w:val="BodyText"/>
        <w:ind w:firstLine="0"/>
        <w:rPr>
          <w:rFonts w:ascii="Avenir Next" w:hAnsi="Avenir Next"/>
          <w:b/>
          <w:bCs/>
        </w:rPr>
      </w:pPr>
      <w:r>
        <w:rPr>
          <w:rFonts w:ascii="Avenir Next" w:hAnsi="Avenir Next"/>
          <w:color w:val="808080" w:themeColor="background1" w:themeShade="80"/>
        </w:rPr>
        <w:t xml:space="preserve">In addition to the LPA, ELPs are governed by the Partnership Act (2013 Revision) and the Exempted Limited Partnership Act (2021 Revision). Further, as it relates to the liquidation of ELP’s, Section 36(1) of the </w:t>
      </w:r>
      <w:r>
        <w:rPr>
          <w:rFonts w:ascii="Avenir Next" w:hAnsi="Avenir Next"/>
          <w:color w:val="808080" w:themeColor="background1" w:themeShade="80"/>
        </w:rPr>
        <w:t>Exempted Limited Partnership Act (2021 Revision)</w:t>
      </w:r>
      <w:r>
        <w:rPr>
          <w:rFonts w:ascii="Avenir Next" w:hAnsi="Avenir Next"/>
          <w:color w:val="808080" w:themeColor="background1" w:themeShade="80"/>
        </w:rPr>
        <w:t xml:space="preserve"> renders Part V of the 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 applicable to ELP’s</w:t>
      </w:r>
      <w:r w:rsidR="00CE0132">
        <w:rPr>
          <w:rFonts w:ascii="Avenir Next" w:hAnsi="Avenir Next"/>
          <w:color w:val="808080" w:themeColor="background1" w:themeShade="80"/>
        </w:rPr>
        <w:t xml:space="preserve"> and by extension, the Companies Winding Up Rules</w:t>
      </w:r>
      <w:r>
        <w:rPr>
          <w:rFonts w:ascii="Avenir Next" w:hAnsi="Avenir Next"/>
          <w:color w:val="808080" w:themeColor="background1" w:themeShade="80"/>
        </w:rPr>
        <w:t xml:space="preserve">; however, in the event of any inconsistency with the </w:t>
      </w:r>
      <w:r>
        <w:rPr>
          <w:rFonts w:ascii="Avenir Next" w:hAnsi="Avenir Next"/>
          <w:color w:val="808080" w:themeColor="background1" w:themeShade="80"/>
        </w:rPr>
        <w:t>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w:t>
      </w:r>
      <w:r>
        <w:rPr>
          <w:rFonts w:ascii="Avenir Next" w:hAnsi="Avenir Next"/>
          <w:color w:val="808080" w:themeColor="background1" w:themeShade="80"/>
        </w:rPr>
        <w:t xml:space="preserve">, the </w:t>
      </w:r>
      <w:r>
        <w:rPr>
          <w:rFonts w:ascii="Avenir Next" w:hAnsi="Avenir Next"/>
          <w:color w:val="808080" w:themeColor="background1" w:themeShade="80"/>
        </w:rPr>
        <w:t>Exempted Limited Partnership Act (2021 Revision)</w:t>
      </w:r>
      <w:r>
        <w:rPr>
          <w:rFonts w:ascii="Avenir Next" w:hAnsi="Avenir Next"/>
          <w:color w:val="808080" w:themeColor="background1" w:themeShade="80"/>
        </w:rPr>
        <w:t xml:space="preserve"> will prevail.</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6C0074CA" w:rsidR="00712982" w:rsidRDefault="00CE013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has jurisdiction to wind to wind up a foreign company in the following circumstances, pursuant to Section 91(D) of the 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w:t>
      </w:r>
    </w:p>
    <w:p w14:paraId="48DFABF7" w14:textId="77777777" w:rsidR="00CE0132" w:rsidRDefault="00CE0132" w:rsidP="00F3705F">
      <w:pPr>
        <w:pStyle w:val="BodyText"/>
        <w:ind w:firstLine="0"/>
        <w:rPr>
          <w:rFonts w:ascii="Avenir Next" w:hAnsi="Avenir Next"/>
          <w:color w:val="808080" w:themeColor="background1" w:themeShade="80"/>
        </w:rPr>
      </w:pPr>
    </w:p>
    <w:p w14:paraId="5248EEEF" w14:textId="59A2A68F" w:rsidR="00CE0132" w:rsidRDefault="00CE0132" w:rsidP="00CE0132">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The foreign company has property located in the Cayman Islands;</w:t>
      </w:r>
    </w:p>
    <w:p w14:paraId="5C0F3C31" w14:textId="39ED35B5" w:rsidR="00CE0132" w:rsidRDefault="00CE0132" w:rsidP="00CE0132">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The foreign company is carrying on business in the Caymans Islands;</w:t>
      </w:r>
    </w:p>
    <w:p w14:paraId="0BD103FC" w14:textId="2DD87AEC" w:rsidR="00CE0132" w:rsidRDefault="00CE0132" w:rsidP="00CE0132">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The foreign company is a general partner of an ordinary limited partnership or an ELP; or</w:t>
      </w:r>
    </w:p>
    <w:p w14:paraId="1DF53DDC" w14:textId="1CF841C6" w:rsidR="00712982" w:rsidRPr="00CE0132" w:rsidRDefault="00CE0132" w:rsidP="00F3705F">
      <w:pPr>
        <w:pStyle w:val="BodyText"/>
        <w:numPr>
          <w:ilvl w:val="0"/>
          <w:numId w:val="53"/>
        </w:numPr>
        <w:rPr>
          <w:rFonts w:ascii="Avenir Next" w:hAnsi="Avenir Next"/>
          <w:color w:val="808080" w:themeColor="background1" w:themeShade="80"/>
        </w:rPr>
      </w:pPr>
      <w:r>
        <w:rPr>
          <w:rFonts w:ascii="Avenir Next" w:hAnsi="Avenir Next"/>
          <w:color w:val="808080" w:themeColor="background1" w:themeShade="80"/>
        </w:rPr>
        <w:t>The foreign company is registered under Part IX of the Companies Act (</w:t>
      </w:r>
      <w:r w:rsidR="008A76EB">
        <w:rPr>
          <w:rFonts w:ascii="Avenir Next" w:hAnsi="Avenir Next"/>
          <w:color w:val="808080" w:themeColor="background1" w:themeShade="80"/>
        </w:rPr>
        <w:t>2023 Revision</w:t>
      </w:r>
      <w:r>
        <w:rPr>
          <w:rFonts w:ascii="Avenir Next" w:hAnsi="Avenir Next"/>
          <w:color w:val="808080" w:themeColor="background1" w:themeShade="80"/>
        </w:rPr>
        <w:t>).</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3DAB0E90" w14:textId="77777777" w:rsidR="00F512AD" w:rsidRDefault="00F512AD" w:rsidP="00F3705F">
      <w:pPr>
        <w:pStyle w:val="BodyText"/>
        <w:ind w:firstLine="0"/>
        <w:rPr>
          <w:rFonts w:ascii="Avenir Next" w:hAnsi="Avenir Next"/>
          <w:color w:val="808080" w:themeColor="background1" w:themeShade="80"/>
        </w:rPr>
      </w:pPr>
    </w:p>
    <w:p w14:paraId="388FA939" w14:textId="4B34FFED" w:rsidR="00F512AD" w:rsidRPr="00486A0B" w:rsidRDefault="00F512AD" w:rsidP="00F3705F">
      <w:pPr>
        <w:pStyle w:val="BodyText"/>
        <w:ind w:firstLine="0"/>
        <w:rPr>
          <w:rFonts w:ascii="Avenir Next" w:hAnsi="Avenir Next"/>
          <w:b/>
          <w:bCs/>
        </w:rPr>
      </w:pPr>
      <w:r>
        <w:rPr>
          <w:rFonts w:ascii="Avenir Next" w:hAnsi="Avenir Next"/>
          <w:color w:val="808080" w:themeColor="background1" w:themeShade="80"/>
        </w:rPr>
        <w:t>Judgements of a foreign court have no legal standing or direct effect in the Cayman Islands and are not automatically enforceable, with steps required to have the judgement enforced. However, any judgement which is final, conclusive on the merits, and not impeachable, is entitled to recognition at common law and may be relied upon in Cayman Islands proceedings. This was confirmed by Kawaley J</w:t>
      </w:r>
      <w:r w:rsidR="00402FBB">
        <w:rPr>
          <w:rFonts w:ascii="Avenir Next" w:hAnsi="Avenir Next"/>
          <w:color w:val="808080" w:themeColor="background1" w:themeShade="80"/>
        </w:rPr>
        <w:t xml:space="preserve"> in the matter of Guoan International Limited, whereby it was confirmed that a creditor may rely on a foreign judgment as its basis for the seeking of a winding up order, without first obtaining recognition or enforcement of the judgement by the Court.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53FF7195" w:rsidR="00F3705F" w:rsidRDefault="00402FB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main statutory powers and duties of the trustee in bankruptcy are as follows:</w:t>
      </w:r>
    </w:p>
    <w:p w14:paraId="086A905B" w14:textId="77777777" w:rsidR="00402FBB" w:rsidRDefault="00402FBB" w:rsidP="00F3705F">
      <w:pPr>
        <w:pStyle w:val="BodyText"/>
        <w:ind w:firstLine="0"/>
        <w:rPr>
          <w:rFonts w:ascii="Avenir Next" w:hAnsi="Avenir Next"/>
          <w:color w:val="808080" w:themeColor="background1" w:themeShade="80"/>
        </w:rPr>
      </w:pPr>
    </w:p>
    <w:p w14:paraId="153ADE64" w14:textId="29ADB040" w:rsidR="00402FBB" w:rsidRDefault="00402FBB" w:rsidP="00402FBB">
      <w:pPr>
        <w:pStyle w:val="BodyText"/>
        <w:numPr>
          <w:ilvl w:val="0"/>
          <w:numId w:val="54"/>
        </w:numPr>
        <w:rPr>
          <w:rFonts w:ascii="Avenir Next" w:hAnsi="Avenir Next"/>
          <w:color w:val="808080" w:themeColor="background1" w:themeShade="80"/>
        </w:rPr>
      </w:pPr>
      <w:r w:rsidRPr="00402FBB">
        <w:rPr>
          <w:rFonts w:ascii="Avenir Next" w:hAnsi="Avenir Next"/>
          <w:color w:val="808080" w:themeColor="background1" w:themeShade="80"/>
        </w:rPr>
        <w:t>The trustee must</w:t>
      </w:r>
      <w:r>
        <w:rPr>
          <w:rFonts w:ascii="Avenir Next" w:hAnsi="Avenir Next"/>
          <w:color w:val="808080" w:themeColor="background1" w:themeShade="80"/>
        </w:rPr>
        <w:t>, until the provisional order is absolute,</w:t>
      </w:r>
      <w:r w:rsidRPr="00402FBB">
        <w:rPr>
          <w:rFonts w:ascii="Avenir Next" w:hAnsi="Avenir Next"/>
          <w:color w:val="808080" w:themeColor="background1" w:themeShade="80"/>
        </w:rPr>
        <w:t xml:space="preserve"> </w:t>
      </w:r>
      <w:r>
        <w:rPr>
          <w:rFonts w:ascii="Avenir Next" w:hAnsi="Avenir Next"/>
          <w:color w:val="808080" w:themeColor="background1" w:themeShade="80"/>
        </w:rPr>
        <w:t xml:space="preserve">preserve the property of the debtor </w:t>
      </w:r>
      <w:r>
        <w:rPr>
          <w:rFonts w:ascii="Avenir Next" w:hAnsi="Avenir Next"/>
          <w:color w:val="808080" w:themeColor="background1" w:themeShade="80"/>
        </w:rPr>
        <w:lastRenderedPageBreak/>
        <w:t>so that in the event the provisional order is revoked, the property may be returned to the debtor.</w:t>
      </w:r>
    </w:p>
    <w:p w14:paraId="0A77CA9A" w14:textId="4E1EE53A" w:rsidR="00402FBB" w:rsidRDefault="00402FBB" w:rsidP="00402FBB">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The trustee may carry on the business of the debtor should it be necessary for the beneficial winding up / sale of the debtor’s business.</w:t>
      </w:r>
    </w:p>
    <w:p w14:paraId="4F716A30" w14:textId="595495E0" w:rsidR="00402FBB" w:rsidRDefault="00402FBB" w:rsidP="00402FBB">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The trustee has the power to bring and or defend any legal proceedings relating to the property of the debtor.</w:t>
      </w:r>
    </w:p>
    <w:p w14:paraId="212C5569" w14:textId="58BC91D1" w:rsidR="00402FBB" w:rsidRDefault="00402FBB" w:rsidP="00402FBB">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The trustee must receive and adjudicate proof of debts, filed in accordance with the Grand Court (Bankruptcy) Rules 2021.</w:t>
      </w:r>
    </w:p>
    <w:p w14:paraId="19C6F37B" w14:textId="27A7BF55" w:rsidR="00402FBB" w:rsidRDefault="00402FBB" w:rsidP="00402FBB">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Following the making of an absolute order, the trustee must administer the estate of the debtor for the benefit of its creditors.</w:t>
      </w:r>
    </w:p>
    <w:p w14:paraId="4AE33EFB" w14:textId="77842083" w:rsidR="00CF5E51" w:rsidRPr="00402FBB" w:rsidRDefault="00CF5E51" w:rsidP="00402FBB">
      <w:pPr>
        <w:pStyle w:val="BodyText"/>
        <w:numPr>
          <w:ilvl w:val="0"/>
          <w:numId w:val="54"/>
        </w:numPr>
        <w:rPr>
          <w:rFonts w:ascii="Avenir Next" w:hAnsi="Avenir Next"/>
          <w:color w:val="808080" w:themeColor="background1" w:themeShade="80"/>
        </w:rPr>
      </w:pPr>
      <w:r>
        <w:rPr>
          <w:rFonts w:ascii="Avenir Next" w:hAnsi="Avenir Next"/>
          <w:color w:val="808080" w:themeColor="background1" w:themeShade="80"/>
        </w:rPr>
        <w:t>In accordance with Section 67(1) of The Bankruptcy Act (1997 Revision), the trustee must, as soon as possible, following the close of the public examination of the debtor, prepare a report which states the debtor’s affairs, in addition to the conduct of the debtor before and during the bankruptcy.</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headerReference w:type="even" r:id="rId15"/>
      <w:headerReference w:type="default" r:id="rId16"/>
      <w:footerReference w:type="even" r:id="rId17"/>
      <w:footerReference w:type="default" r:id="rId18"/>
      <w:headerReference w:type="first" r:id="rId19"/>
      <w:footerReference w:type="first" r:id="rId20"/>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CA2D" w14:textId="77777777" w:rsidR="00B20133" w:rsidRDefault="00B20133" w:rsidP="001016B0">
      <w:r>
        <w:separator/>
      </w:r>
    </w:p>
  </w:endnote>
  <w:endnote w:type="continuationSeparator" w:id="0">
    <w:p w14:paraId="140404E0" w14:textId="77777777" w:rsidR="00B20133" w:rsidRDefault="00B20133" w:rsidP="001016B0">
      <w:r>
        <w:continuationSeparator/>
      </w:r>
    </w:p>
  </w:endnote>
  <w:endnote w:type="continuationNotice" w:id="1">
    <w:p w14:paraId="02B97A2C" w14:textId="77777777" w:rsidR="00B20133" w:rsidRDefault="00B20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8526E81" w:rsidR="003D2C0D" w:rsidRDefault="00BD71C0" w:rsidP="008A20AC">
    <w:pPr>
      <w:pStyle w:val="Footer"/>
      <w:ind w:right="360"/>
    </w:pPr>
    <w:r>
      <w:t>202324-1189</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2E07" w14:textId="77777777" w:rsidR="00B20133" w:rsidRDefault="00B20133" w:rsidP="001016B0">
      <w:r>
        <w:separator/>
      </w:r>
    </w:p>
  </w:footnote>
  <w:footnote w:type="continuationSeparator" w:id="0">
    <w:p w14:paraId="7F6CE8E6" w14:textId="77777777" w:rsidR="00B20133" w:rsidRDefault="00B20133" w:rsidP="001016B0">
      <w:r>
        <w:continuationSeparator/>
      </w:r>
    </w:p>
  </w:footnote>
  <w:footnote w:type="continuationNotice" w:id="1">
    <w:p w14:paraId="1412B942" w14:textId="77777777" w:rsidR="00B20133" w:rsidRDefault="00B20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CB78" w14:textId="77777777" w:rsidR="00BD71C0" w:rsidRDefault="00BD7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E97" w14:textId="77777777" w:rsidR="00BD71C0" w:rsidRDefault="00BD7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AE4" w14:textId="77777777" w:rsidR="00BD71C0" w:rsidRDefault="00BD7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0464D"/>
    <w:multiLevelType w:val="hybridMultilevel"/>
    <w:tmpl w:val="8D940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8F5C80"/>
    <w:multiLevelType w:val="hybridMultilevel"/>
    <w:tmpl w:val="D1D8F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164D3"/>
    <w:multiLevelType w:val="hybridMultilevel"/>
    <w:tmpl w:val="953E0ED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2CC24D31"/>
    <w:multiLevelType w:val="hybridMultilevel"/>
    <w:tmpl w:val="418C1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0570F3C"/>
    <w:multiLevelType w:val="hybridMultilevel"/>
    <w:tmpl w:val="5FAA512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12119B2"/>
    <w:multiLevelType w:val="hybridMultilevel"/>
    <w:tmpl w:val="CF081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A59B8"/>
    <w:multiLevelType w:val="hybridMultilevel"/>
    <w:tmpl w:val="5CB05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43411A9"/>
    <w:multiLevelType w:val="hybridMultilevel"/>
    <w:tmpl w:val="5CB61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ECE5D36"/>
    <w:multiLevelType w:val="hybridMultilevel"/>
    <w:tmpl w:val="5E84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AA1F49"/>
    <w:multiLevelType w:val="hybridMultilevel"/>
    <w:tmpl w:val="CE982220"/>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0"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92E5AA8"/>
    <w:multiLevelType w:val="hybridMultilevel"/>
    <w:tmpl w:val="41688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A424C1"/>
    <w:multiLevelType w:val="hybridMultilevel"/>
    <w:tmpl w:val="6F601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FE9043D"/>
    <w:multiLevelType w:val="hybridMultilevel"/>
    <w:tmpl w:val="72A0C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5C5E02"/>
    <w:multiLevelType w:val="hybridMultilevel"/>
    <w:tmpl w:val="58FE6702"/>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9" w15:restartNumberingAfterBreak="0">
    <w:nsid w:val="74151A87"/>
    <w:multiLevelType w:val="hybridMultilevel"/>
    <w:tmpl w:val="D67251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B91657"/>
    <w:multiLevelType w:val="hybridMultilevel"/>
    <w:tmpl w:val="6306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258753">
    <w:abstractNumId w:val="34"/>
  </w:num>
  <w:num w:numId="2" w16cid:durableId="44331568">
    <w:abstractNumId w:val="28"/>
  </w:num>
  <w:num w:numId="3" w16cid:durableId="2021816017">
    <w:abstractNumId w:val="24"/>
  </w:num>
  <w:num w:numId="4" w16cid:durableId="1670155">
    <w:abstractNumId w:val="30"/>
  </w:num>
  <w:num w:numId="5" w16cid:durableId="916355687">
    <w:abstractNumId w:val="0"/>
  </w:num>
  <w:num w:numId="6" w16cid:durableId="1374302958">
    <w:abstractNumId w:val="1"/>
  </w:num>
  <w:num w:numId="7" w16cid:durableId="1974212503">
    <w:abstractNumId w:val="33"/>
  </w:num>
  <w:num w:numId="8" w16cid:durableId="872155714">
    <w:abstractNumId w:val="2"/>
  </w:num>
  <w:num w:numId="9" w16cid:durableId="744450719">
    <w:abstractNumId w:val="46"/>
  </w:num>
  <w:num w:numId="10" w16cid:durableId="1866819663">
    <w:abstractNumId w:val="51"/>
  </w:num>
  <w:num w:numId="11" w16cid:durableId="1294019454">
    <w:abstractNumId w:val="7"/>
  </w:num>
  <w:num w:numId="12" w16cid:durableId="1397631884">
    <w:abstractNumId w:val="52"/>
  </w:num>
  <w:num w:numId="13" w16cid:durableId="937520283">
    <w:abstractNumId w:val="36"/>
  </w:num>
  <w:num w:numId="14" w16cid:durableId="1961187407">
    <w:abstractNumId w:val="20"/>
  </w:num>
  <w:num w:numId="15" w16cid:durableId="1239485090">
    <w:abstractNumId w:val="19"/>
  </w:num>
  <w:num w:numId="16" w16cid:durableId="1388645746">
    <w:abstractNumId w:val="44"/>
  </w:num>
  <w:num w:numId="17" w16cid:durableId="1814902375">
    <w:abstractNumId w:val="17"/>
  </w:num>
  <w:num w:numId="18" w16cid:durableId="446002377">
    <w:abstractNumId w:val="12"/>
  </w:num>
  <w:num w:numId="19" w16cid:durableId="1128864951">
    <w:abstractNumId w:val="25"/>
  </w:num>
  <w:num w:numId="20" w16cid:durableId="1672876803">
    <w:abstractNumId w:val="8"/>
  </w:num>
  <w:num w:numId="21" w16cid:durableId="23136350">
    <w:abstractNumId w:val="10"/>
  </w:num>
  <w:num w:numId="22" w16cid:durableId="1091127198">
    <w:abstractNumId w:val="40"/>
  </w:num>
  <w:num w:numId="23" w16cid:durableId="164519196">
    <w:abstractNumId w:val="21"/>
  </w:num>
  <w:num w:numId="24" w16cid:durableId="820464109">
    <w:abstractNumId w:val="18"/>
  </w:num>
  <w:num w:numId="25" w16cid:durableId="1972443468">
    <w:abstractNumId w:val="53"/>
  </w:num>
  <w:num w:numId="26" w16cid:durableId="1433165280">
    <w:abstractNumId w:val="41"/>
  </w:num>
  <w:num w:numId="27" w16cid:durableId="216934215">
    <w:abstractNumId w:val="27"/>
  </w:num>
  <w:num w:numId="28" w16cid:durableId="2086801188">
    <w:abstractNumId w:val="42"/>
  </w:num>
  <w:num w:numId="29" w16cid:durableId="2119059687">
    <w:abstractNumId w:val="16"/>
  </w:num>
  <w:num w:numId="30" w16cid:durableId="623586352">
    <w:abstractNumId w:val="4"/>
  </w:num>
  <w:num w:numId="31" w16cid:durableId="1580826554">
    <w:abstractNumId w:val="37"/>
  </w:num>
  <w:num w:numId="32" w16cid:durableId="587352678">
    <w:abstractNumId w:val="26"/>
  </w:num>
  <w:num w:numId="33" w16cid:durableId="2135173453">
    <w:abstractNumId w:val="11"/>
  </w:num>
  <w:num w:numId="34" w16cid:durableId="1466659616">
    <w:abstractNumId w:val="22"/>
  </w:num>
  <w:num w:numId="35" w16cid:durableId="2072537830">
    <w:abstractNumId w:val="29"/>
  </w:num>
  <w:num w:numId="36" w16cid:durableId="456338535">
    <w:abstractNumId w:val="9"/>
  </w:num>
  <w:num w:numId="37" w16cid:durableId="1003967533">
    <w:abstractNumId w:val="15"/>
  </w:num>
  <w:num w:numId="38" w16cid:durableId="400182655">
    <w:abstractNumId w:val="6"/>
  </w:num>
  <w:num w:numId="39" w16cid:durableId="1454401148">
    <w:abstractNumId w:val="38"/>
  </w:num>
  <w:num w:numId="40" w16cid:durableId="531767946">
    <w:abstractNumId w:val="31"/>
  </w:num>
  <w:num w:numId="41" w16cid:durableId="789014451">
    <w:abstractNumId w:val="5"/>
  </w:num>
  <w:num w:numId="42" w16cid:durableId="1820032694">
    <w:abstractNumId w:val="48"/>
  </w:num>
  <w:num w:numId="43" w16cid:durableId="1188837018">
    <w:abstractNumId w:val="43"/>
  </w:num>
  <w:num w:numId="44" w16cid:durableId="1367754432">
    <w:abstractNumId w:val="49"/>
  </w:num>
  <w:num w:numId="45" w16cid:durableId="363868872">
    <w:abstractNumId w:val="39"/>
  </w:num>
  <w:num w:numId="46" w16cid:durableId="768280854">
    <w:abstractNumId w:val="35"/>
  </w:num>
  <w:num w:numId="47" w16cid:durableId="865365473">
    <w:abstractNumId w:val="14"/>
  </w:num>
  <w:num w:numId="48" w16cid:durableId="2134253579">
    <w:abstractNumId w:val="45"/>
  </w:num>
  <w:num w:numId="49" w16cid:durableId="819730454">
    <w:abstractNumId w:val="23"/>
  </w:num>
  <w:num w:numId="50" w16cid:durableId="217593087">
    <w:abstractNumId w:val="32"/>
  </w:num>
  <w:num w:numId="51" w16cid:durableId="570769679">
    <w:abstractNumId w:val="13"/>
  </w:num>
  <w:num w:numId="52" w16cid:durableId="1460764230">
    <w:abstractNumId w:val="3"/>
  </w:num>
  <w:num w:numId="53" w16cid:durableId="1335569456">
    <w:abstractNumId w:val="47"/>
  </w:num>
  <w:num w:numId="54" w16cid:durableId="227494505">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866"/>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4368"/>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B1A9A"/>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46B7"/>
    <w:rsid w:val="001A7553"/>
    <w:rsid w:val="001B11DA"/>
    <w:rsid w:val="001B4CC3"/>
    <w:rsid w:val="001B6BA2"/>
    <w:rsid w:val="001C14BF"/>
    <w:rsid w:val="001C667C"/>
    <w:rsid w:val="001C6B3B"/>
    <w:rsid w:val="001C7A25"/>
    <w:rsid w:val="001D2111"/>
    <w:rsid w:val="001D45A7"/>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1139"/>
    <w:rsid w:val="00244935"/>
    <w:rsid w:val="0025049F"/>
    <w:rsid w:val="00252A4F"/>
    <w:rsid w:val="002532D9"/>
    <w:rsid w:val="00255630"/>
    <w:rsid w:val="00257792"/>
    <w:rsid w:val="00260E4A"/>
    <w:rsid w:val="00262092"/>
    <w:rsid w:val="00263733"/>
    <w:rsid w:val="002665D8"/>
    <w:rsid w:val="00267E08"/>
    <w:rsid w:val="00270263"/>
    <w:rsid w:val="00270334"/>
    <w:rsid w:val="00271721"/>
    <w:rsid w:val="00272DBD"/>
    <w:rsid w:val="00274A8A"/>
    <w:rsid w:val="00282844"/>
    <w:rsid w:val="00283584"/>
    <w:rsid w:val="00293095"/>
    <w:rsid w:val="0029770B"/>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E658F"/>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6619"/>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2663"/>
    <w:rsid w:val="003931B0"/>
    <w:rsid w:val="00393EC9"/>
    <w:rsid w:val="00393F1C"/>
    <w:rsid w:val="0039709A"/>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2FBB"/>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247"/>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2E8B"/>
    <w:rsid w:val="00473869"/>
    <w:rsid w:val="004743E7"/>
    <w:rsid w:val="00474723"/>
    <w:rsid w:val="00481019"/>
    <w:rsid w:val="00483DB0"/>
    <w:rsid w:val="0048719D"/>
    <w:rsid w:val="0049287D"/>
    <w:rsid w:val="00497732"/>
    <w:rsid w:val="00497863"/>
    <w:rsid w:val="004A11A1"/>
    <w:rsid w:val="004A6C29"/>
    <w:rsid w:val="004B2B93"/>
    <w:rsid w:val="004B2D12"/>
    <w:rsid w:val="004B491D"/>
    <w:rsid w:val="004B5E05"/>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66EAC"/>
    <w:rsid w:val="00574AA7"/>
    <w:rsid w:val="005750D6"/>
    <w:rsid w:val="00576BA2"/>
    <w:rsid w:val="005777F7"/>
    <w:rsid w:val="00582076"/>
    <w:rsid w:val="005823CF"/>
    <w:rsid w:val="0058441E"/>
    <w:rsid w:val="00585164"/>
    <w:rsid w:val="00586B0F"/>
    <w:rsid w:val="00591D1D"/>
    <w:rsid w:val="00592A8D"/>
    <w:rsid w:val="00595D22"/>
    <w:rsid w:val="005A0E4B"/>
    <w:rsid w:val="005A61E3"/>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50DC"/>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0761"/>
    <w:rsid w:val="00730A9D"/>
    <w:rsid w:val="00733777"/>
    <w:rsid w:val="00733B70"/>
    <w:rsid w:val="00734547"/>
    <w:rsid w:val="00737CFC"/>
    <w:rsid w:val="007410BD"/>
    <w:rsid w:val="00741AA9"/>
    <w:rsid w:val="007474DA"/>
    <w:rsid w:val="00747A99"/>
    <w:rsid w:val="007557B3"/>
    <w:rsid w:val="00755F63"/>
    <w:rsid w:val="00757F63"/>
    <w:rsid w:val="00760D1F"/>
    <w:rsid w:val="00761B0C"/>
    <w:rsid w:val="0076255D"/>
    <w:rsid w:val="0077169C"/>
    <w:rsid w:val="007747E8"/>
    <w:rsid w:val="007818BA"/>
    <w:rsid w:val="0078450B"/>
    <w:rsid w:val="00785836"/>
    <w:rsid w:val="00785937"/>
    <w:rsid w:val="00786914"/>
    <w:rsid w:val="0078723E"/>
    <w:rsid w:val="00790583"/>
    <w:rsid w:val="0079130C"/>
    <w:rsid w:val="00791CF2"/>
    <w:rsid w:val="00792FB4"/>
    <w:rsid w:val="00794E5B"/>
    <w:rsid w:val="007A0F49"/>
    <w:rsid w:val="007A1000"/>
    <w:rsid w:val="007A19CF"/>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157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6EB"/>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00D"/>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45FF"/>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006A"/>
    <w:rsid w:val="00A42C60"/>
    <w:rsid w:val="00A46438"/>
    <w:rsid w:val="00A47AC5"/>
    <w:rsid w:val="00A50BE2"/>
    <w:rsid w:val="00A51058"/>
    <w:rsid w:val="00A514C8"/>
    <w:rsid w:val="00A515A5"/>
    <w:rsid w:val="00A52660"/>
    <w:rsid w:val="00A53A45"/>
    <w:rsid w:val="00A54890"/>
    <w:rsid w:val="00A550EF"/>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2532"/>
    <w:rsid w:val="00B036A1"/>
    <w:rsid w:val="00B04824"/>
    <w:rsid w:val="00B0737C"/>
    <w:rsid w:val="00B10876"/>
    <w:rsid w:val="00B10DD9"/>
    <w:rsid w:val="00B11277"/>
    <w:rsid w:val="00B154D5"/>
    <w:rsid w:val="00B17707"/>
    <w:rsid w:val="00B20098"/>
    <w:rsid w:val="00B20133"/>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31E2"/>
    <w:rsid w:val="00B856C0"/>
    <w:rsid w:val="00B857E6"/>
    <w:rsid w:val="00B969FB"/>
    <w:rsid w:val="00BA24B1"/>
    <w:rsid w:val="00BA451C"/>
    <w:rsid w:val="00BA53E7"/>
    <w:rsid w:val="00BA6F72"/>
    <w:rsid w:val="00BB056A"/>
    <w:rsid w:val="00BB0F71"/>
    <w:rsid w:val="00BB1EBB"/>
    <w:rsid w:val="00BB6FE0"/>
    <w:rsid w:val="00BC163A"/>
    <w:rsid w:val="00BC2902"/>
    <w:rsid w:val="00BD0975"/>
    <w:rsid w:val="00BD0DC2"/>
    <w:rsid w:val="00BD1E8D"/>
    <w:rsid w:val="00BD2DF8"/>
    <w:rsid w:val="00BD2F4B"/>
    <w:rsid w:val="00BD71C0"/>
    <w:rsid w:val="00BE35A9"/>
    <w:rsid w:val="00BE669E"/>
    <w:rsid w:val="00BE6826"/>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5E3"/>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0132"/>
    <w:rsid w:val="00CE3683"/>
    <w:rsid w:val="00CE3F26"/>
    <w:rsid w:val="00CF3421"/>
    <w:rsid w:val="00CF4EEF"/>
    <w:rsid w:val="00CF5E51"/>
    <w:rsid w:val="00CF5F19"/>
    <w:rsid w:val="00CF6645"/>
    <w:rsid w:val="00CF79F9"/>
    <w:rsid w:val="00D00885"/>
    <w:rsid w:val="00D0089A"/>
    <w:rsid w:val="00D054B9"/>
    <w:rsid w:val="00D06582"/>
    <w:rsid w:val="00D106DD"/>
    <w:rsid w:val="00D203DA"/>
    <w:rsid w:val="00D20C81"/>
    <w:rsid w:val="00D23D4C"/>
    <w:rsid w:val="00D31451"/>
    <w:rsid w:val="00D31F0C"/>
    <w:rsid w:val="00D35C64"/>
    <w:rsid w:val="00D44BFA"/>
    <w:rsid w:val="00D47E91"/>
    <w:rsid w:val="00D5060B"/>
    <w:rsid w:val="00D50D0C"/>
    <w:rsid w:val="00D60CCA"/>
    <w:rsid w:val="00D61824"/>
    <w:rsid w:val="00D61C26"/>
    <w:rsid w:val="00D62745"/>
    <w:rsid w:val="00D62D6D"/>
    <w:rsid w:val="00D640B7"/>
    <w:rsid w:val="00D65F41"/>
    <w:rsid w:val="00D66209"/>
    <w:rsid w:val="00D670FD"/>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4522A"/>
    <w:rsid w:val="00E5074A"/>
    <w:rsid w:val="00E5236A"/>
    <w:rsid w:val="00E56F95"/>
    <w:rsid w:val="00E6022A"/>
    <w:rsid w:val="00E62F1E"/>
    <w:rsid w:val="00E63A8F"/>
    <w:rsid w:val="00E64F45"/>
    <w:rsid w:val="00E70808"/>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AD"/>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6523"/>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23</Pages>
  <Words>7095</Words>
  <Characters>40444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Connolly, David</cp:lastModifiedBy>
  <cp:revision>13</cp:revision>
  <cp:lastPrinted>2022-09-29T12:20:00Z</cp:lastPrinted>
  <dcterms:created xsi:type="dcterms:W3CDTF">2023-11-23T23:00:00Z</dcterms:created>
  <dcterms:modified xsi:type="dcterms:W3CDTF">2023-11-24T15:17:00Z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