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318C7442"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2F183081">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7F13A4" w:rsidRDefault="00C3318F" w:rsidP="00BD0DC2">
      <w:pPr>
        <w:pStyle w:val="BodyText"/>
        <w:widowControl/>
        <w:numPr>
          <w:ilvl w:val="0"/>
          <w:numId w:val="24"/>
        </w:numPr>
        <w:autoSpaceDE/>
        <w:autoSpaceDN/>
        <w:rPr>
          <w:rFonts w:ascii="Avenir Next" w:hAnsi="Avenir Next"/>
          <w:highlight w:val="yellow"/>
        </w:rPr>
      </w:pPr>
      <w:r w:rsidRPr="007F13A4">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7F13A4" w:rsidRDefault="00957995" w:rsidP="00BD0DC2">
      <w:pPr>
        <w:pStyle w:val="BodyText"/>
        <w:widowControl/>
        <w:numPr>
          <w:ilvl w:val="0"/>
          <w:numId w:val="25"/>
        </w:numPr>
        <w:autoSpaceDE/>
        <w:autoSpaceDN/>
        <w:rPr>
          <w:rFonts w:ascii="Avenir Next" w:hAnsi="Avenir Next"/>
          <w:highlight w:val="yellow"/>
        </w:rPr>
      </w:pPr>
      <w:r w:rsidRPr="007F13A4">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7F13A4" w:rsidRDefault="001F2690" w:rsidP="00BD0DC2">
      <w:pPr>
        <w:pStyle w:val="BodyText"/>
        <w:widowControl/>
        <w:numPr>
          <w:ilvl w:val="0"/>
          <w:numId w:val="7"/>
        </w:numPr>
        <w:autoSpaceDE/>
        <w:autoSpaceDN/>
        <w:ind w:left="709" w:hanging="709"/>
        <w:rPr>
          <w:rFonts w:ascii="Avenir Next" w:hAnsi="Avenir Next"/>
          <w:highlight w:val="yellow"/>
        </w:rPr>
      </w:pPr>
      <w:r w:rsidRPr="007F13A4">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7F13A4"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7F13A4">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7F13A4"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7F13A4">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7F13A4"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7F13A4">
        <w:rPr>
          <w:rFonts w:ascii="Avenir Next" w:hAnsi="Avenir Next"/>
          <w:highlight w:val="yellow"/>
          <w:lang w:val="en-GB"/>
        </w:rPr>
        <w:t>W</w:t>
      </w:r>
      <w:r w:rsidR="004A11A1" w:rsidRPr="007F13A4">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7F13A4"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7F13A4">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7F13A4"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7F13A4">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7F13A4"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7F13A4">
        <w:rPr>
          <w:rFonts w:ascii="Avenir Next" w:hAnsi="Avenir Next"/>
          <w:highlight w:val="yellow"/>
          <w:lang w:val="en-GB"/>
        </w:rPr>
        <w:t>within 21 days of the petition being filed</w:t>
      </w:r>
      <w:r w:rsidR="003721B7" w:rsidRPr="007F13A4">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F52370" w:rsidRDefault="003721B7" w:rsidP="00BD2F4B">
      <w:pPr>
        <w:pStyle w:val="ListParagraph"/>
        <w:numPr>
          <w:ilvl w:val="1"/>
          <w:numId w:val="10"/>
        </w:numPr>
        <w:spacing w:after="0" w:line="240" w:lineRule="auto"/>
        <w:ind w:left="709" w:hanging="709"/>
        <w:jc w:val="left"/>
        <w:rPr>
          <w:rFonts w:ascii="Avenir Next" w:hAnsi="Avenir Next"/>
          <w:lang w:val="en-GB"/>
        </w:rPr>
      </w:pPr>
      <w:r w:rsidRPr="00F52370">
        <w:rPr>
          <w:rFonts w:ascii="Avenir Next" w:hAnsi="Avenir Next"/>
          <w:lang w:val="en-GB"/>
        </w:rPr>
        <w:t>c</w:t>
      </w:r>
      <w:r w:rsidR="004A11A1" w:rsidRPr="00F52370">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F52370" w:rsidRDefault="003721B7" w:rsidP="00BD2F4B">
      <w:pPr>
        <w:pStyle w:val="ListParagraph"/>
        <w:numPr>
          <w:ilvl w:val="1"/>
          <w:numId w:val="10"/>
        </w:numPr>
        <w:spacing w:after="0" w:line="240" w:lineRule="auto"/>
        <w:ind w:left="709" w:hanging="709"/>
        <w:jc w:val="left"/>
        <w:rPr>
          <w:rFonts w:ascii="Avenir Next" w:hAnsi="Avenir Next"/>
          <w:color w:val="00B0F0"/>
          <w:highlight w:val="yellow"/>
          <w:lang w:val="en-GB"/>
        </w:rPr>
      </w:pPr>
      <w:r w:rsidRPr="00F52370">
        <w:rPr>
          <w:rFonts w:ascii="Avenir Next" w:hAnsi="Avenir Next"/>
          <w:highlight w:val="yellow"/>
          <w:lang w:val="en-GB"/>
        </w:rPr>
        <w:t>c</w:t>
      </w:r>
      <w:r w:rsidR="004A11A1" w:rsidRPr="00F52370">
        <w:rPr>
          <w:rFonts w:ascii="Avenir Next" w:hAnsi="Avenir Next"/>
          <w:highlight w:val="yellow"/>
          <w:lang w:val="en-GB"/>
        </w:rPr>
        <w:t>an only proceed if there are shareholders / creditors who may not agree with it</w:t>
      </w:r>
      <w:r w:rsidR="004A11A1" w:rsidRPr="00F52370">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4F65A6"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4F65A6">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4F65A6"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4F65A6">
        <w:rPr>
          <w:rFonts w:ascii="Avenir Next" w:hAnsi="Avenir Next"/>
          <w:highlight w:val="yellow"/>
          <w:lang w:val="en-GB"/>
        </w:rPr>
        <w:t xml:space="preserve">The Cayman Islands </w:t>
      </w:r>
      <w:r w:rsidR="00512319" w:rsidRPr="004F65A6">
        <w:rPr>
          <w:rFonts w:ascii="Avenir Next" w:hAnsi="Avenir Next"/>
          <w:highlight w:val="yellow"/>
          <w:lang w:val="en-GB"/>
        </w:rPr>
        <w:t>C</w:t>
      </w:r>
      <w:r w:rsidRPr="004F65A6">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4F65A6" w:rsidRDefault="00BD0DC2" w:rsidP="00BD2F4B">
      <w:pPr>
        <w:numPr>
          <w:ilvl w:val="0"/>
          <w:numId w:val="27"/>
        </w:numPr>
        <w:ind w:left="709" w:hanging="709"/>
        <w:rPr>
          <w:rFonts w:cs="Calibri"/>
          <w:color w:val="000000"/>
          <w:highlight w:val="yellow"/>
          <w:lang w:val="en-ZA" w:eastAsia="en-GB"/>
        </w:rPr>
      </w:pPr>
      <w:r w:rsidRPr="004F65A6">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4F65A6">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4F65A6" w:rsidRDefault="00BD0DC2" w:rsidP="00BD2F4B">
      <w:pPr>
        <w:numPr>
          <w:ilvl w:val="0"/>
          <w:numId w:val="28"/>
        </w:numPr>
        <w:ind w:left="709" w:hanging="709"/>
        <w:rPr>
          <w:rFonts w:cs="Calibri"/>
          <w:color w:val="000000"/>
          <w:highlight w:val="yellow"/>
          <w:lang w:val="en-ZA" w:eastAsia="en-GB"/>
        </w:rPr>
      </w:pPr>
      <w:r w:rsidRPr="004F65A6">
        <w:rPr>
          <w:rFonts w:cs="Calibri"/>
          <w:color w:val="000000"/>
          <w:highlight w:val="yellow"/>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4F65A6" w:rsidRDefault="00BD0DC2" w:rsidP="00BD2F4B">
      <w:pPr>
        <w:numPr>
          <w:ilvl w:val="0"/>
          <w:numId w:val="29"/>
        </w:numPr>
        <w:ind w:left="709" w:hanging="709"/>
        <w:rPr>
          <w:rFonts w:cs="Calibri"/>
          <w:color w:val="000000"/>
          <w:highlight w:val="yellow"/>
          <w:lang w:val="en-ZA" w:eastAsia="en-GB"/>
        </w:rPr>
      </w:pPr>
      <w:r w:rsidRPr="004F65A6">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4F65A6" w:rsidRDefault="00BD0DC2" w:rsidP="00BD2F4B">
      <w:pPr>
        <w:numPr>
          <w:ilvl w:val="0"/>
          <w:numId w:val="30"/>
        </w:numPr>
        <w:ind w:left="709" w:hanging="709"/>
        <w:rPr>
          <w:rFonts w:cs="Calibri"/>
          <w:color w:val="000000"/>
          <w:highlight w:val="yellow"/>
          <w:lang w:val="en-ZA" w:eastAsia="en-GB"/>
        </w:rPr>
      </w:pPr>
      <w:r w:rsidRPr="004F65A6">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4F65A6" w:rsidRDefault="00BD0DC2" w:rsidP="00BD2F4B">
      <w:pPr>
        <w:numPr>
          <w:ilvl w:val="0"/>
          <w:numId w:val="31"/>
        </w:numPr>
        <w:ind w:left="709" w:hanging="709"/>
        <w:rPr>
          <w:rFonts w:cs="Calibri"/>
          <w:color w:val="000000"/>
          <w:highlight w:val="yellow"/>
          <w:lang w:val="en-ZA" w:eastAsia="en-GB"/>
        </w:rPr>
      </w:pPr>
      <w:r w:rsidRPr="004F65A6">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4F65A6" w:rsidRDefault="00BD0DC2" w:rsidP="00BD2F4B">
      <w:pPr>
        <w:numPr>
          <w:ilvl w:val="0"/>
          <w:numId w:val="32"/>
        </w:numPr>
        <w:ind w:left="709" w:hanging="709"/>
        <w:rPr>
          <w:rFonts w:cs="Calibri"/>
          <w:color w:val="000000"/>
          <w:highlight w:val="yellow"/>
          <w:lang w:val="en-ZA" w:eastAsia="en-GB"/>
        </w:rPr>
      </w:pPr>
      <w:r w:rsidRPr="006E060C">
        <w:rPr>
          <w:rFonts w:cs="Calibri"/>
          <w:color w:val="000000"/>
          <w:lang w:val="en-ZA" w:eastAsia="en-GB"/>
        </w:rPr>
        <w:t xml:space="preserve">There is a worldwide moratorium (stay) upon the presentation of the provisional liquidation </w:t>
      </w:r>
      <w:r w:rsidRPr="004F65A6">
        <w:rPr>
          <w:rFonts w:cs="Calibri"/>
          <w:color w:val="000000"/>
          <w:highlight w:val="yellow"/>
          <w:lang w:val="en-ZA" w:eastAsia="en-GB"/>
        </w:rPr>
        <w:t>application</w:t>
      </w:r>
      <w:r w:rsidR="00BD2F4B" w:rsidRPr="004F65A6">
        <w:rPr>
          <w:rFonts w:cs="Calibri"/>
          <w:color w:val="000000"/>
          <w:highlight w:val="yellow"/>
          <w:lang w:val="en-ZA" w:eastAsia="en-GB"/>
        </w:rPr>
        <w:t>.</w:t>
      </w:r>
    </w:p>
    <w:p w14:paraId="6FEC49F5" w14:textId="77777777" w:rsidR="000F15D4" w:rsidRPr="004F65A6" w:rsidRDefault="000F15D4" w:rsidP="00BD2F4B">
      <w:pPr>
        <w:pStyle w:val="ListParagraph"/>
        <w:spacing w:after="0" w:line="240" w:lineRule="auto"/>
        <w:rPr>
          <w:rFonts w:cs="Calibri"/>
          <w:color w:val="000000"/>
          <w:highlight w:val="yellow"/>
          <w:lang w:val="en-ZA" w:eastAsia="en-GB"/>
        </w:rPr>
      </w:pPr>
    </w:p>
    <w:p w14:paraId="6B1A2323" w14:textId="3268B408" w:rsidR="00BD0DC2" w:rsidRPr="004F65A6" w:rsidRDefault="00BD0DC2" w:rsidP="00BD2F4B">
      <w:pPr>
        <w:numPr>
          <w:ilvl w:val="0"/>
          <w:numId w:val="32"/>
        </w:numPr>
        <w:ind w:left="709" w:hanging="709"/>
        <w:rPr>
          <w:rFonts w:cs="Calibri"/>
          <w:color w:val="000000"/>
          <w:highlight w:val="yellow"/>
          <w:lang w:val="en-ZA" w:eastAsia="en-GB"/>
        </w:rPr>
      </w:pPr>
      <w:r w:rsidRPr="004F65A6">
        <w:rPr>
          <w:rFonts w:cs="Calibri"/>
          <w:color w:val="000000"/>
          <w:highlight w:val="yellow"/>
          <w:lang w:val="en-ZA" w:eastAsia="en-GB"/>
        </w:rPr>
        <w:t>A winding up petition must be presented as a precursor to the application for the provisional liquidation</w:t>
      </w:r>
      <w:r w:rsidR="00BD2F4B" w:rsidRPr="004F65A6">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4F65A6" w:rsidRDefault="00BD0DC2" w:rsidP="00BD2F4B">
      <w:pPr>
        <w:numPr>
          <w:ilvl w:val="0"/>
          <w:numId w:val="34"/>
        </w:numPr>
        <w:ind w:left="709" w:hanging="709"/>
        <w:jc w:val="left"/>
        <w:rPr>
          <w:rFonts w:cs="Calibri"/>
          <w:color w:val="000000"/>
          <w:highlight w:val="yellow"/>
          <w:lang w:val="en-ZA" w:eastAsia="en-GB"/>
        </w:rPr>
      </w:pPr>
      <w:r w:rsidRPr="004F65A6">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4F65A6" w:rsidRDefault="00BD0DC2" w:rsidP="00BD2F4B">
      <w:pPr>
        <w:numPr>
          <w:ilvl w:val="0"/>
          <w:numId w:val="33"/>
        </w:numPr>
        <w:ind w:left="709" w:hanging="709"/>
        <w:jc w:val="left"/>
        <w:rPr>
          <w:rFonts w:cs="Calibri"/>
          <w:color w:val="000000"/>
          <w:highlight w:val="yellow"/>
          <w:lang w:val="en-ZA" w:eastAsia="en-GB"/>
        </w:rPr>
      </w:pPr>
      <w:r w:rsidRPr="004F65A6">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4BD62E60" w14:textId="205EAD56" w:rsidR="004D2410" w:rsidRDefault="00A51058" w:rsidP="00A51058">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4D2410">
        <w:rPr>
          <w:rFonts w:ascii="Avenir Next" w:hAnsi="Avenir Next"/>
          <w:color w:val="808080" w:themeColor="background1" w:themeShade="80"/>
        </w:rPr>
        <w:t xml:space="preserve">The required consent to act that is signed by the proposed official liquidator(s) are </w:t>
      </w:r>
      <w:r w:rsidR="008D76BB">
        <w:rPr>
          <w:rFonts w:ascii="Avenir Next" w:hAnsi="Avenir Next"/>
          <w:color w:val="808080" w:themeColor="background1" w:themeShade="80"/>
        </w:rPr>
        <w:t>provided</w:t>
      </w:r>
      <w:r w:rsidR="004D2410">
        <w:rPr>
          <w:rFonts w:ascii="Avenir Next" w:hAnsi="Avenir Next"/>
          <w:color w:val="808080" w:themeColor="background1" w:themeShade="80"/>
        </w:rPr>
        <w:t xml:space="preserve"> in the Companies Winding up Rules (the “CWR”) Order 3, rule 4, and must be prepared in the CWR Form No 20.</w:t>
      </w:r>
    </w:p>
    <w:p w14:paraId="3EF2382F" w14:textId="77777777" w:rsidR="004D2410" w:rsidRDefault="004D2410"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The content of the consent to act will state the following:</w:t>
      </w:r>
    </w:p>
    <w:p w14:paraId="334FC4A8" w14:textId="29C87967" w:rsidR="004D2410" w:rsidRPr="004D2410" w:rsidRDefault="004D2410" w:rsidP="004D2410">
      <w:pPr>
        <w:pStyle w:val="BodyText"/>
        <w:numPr>
          <w:ilvl w:val="0"/>
          <w:numId w:val="41"/>
        </w:numPr>
        <w:rPr>
          <w:rFonts w:ascii="Avenir Next" w:hAnsi="Avenir Next"/>
          <w:b/>
          <w:bCs/>
        </w:rPr>
      </w:pPr>
      <w:r>
        <w:rPr>
          <w:rFonts w:ascii="Avenir Next" w:hAnsi="Avenir Next"/>
          <w:color w:val="808080" w:themeColor="background1" w:themeShade="80"/>
        </w:rPr>
        <w:t>That the person(s) is a qualified insolvency practitioner and meets the residency requirement</w:t>
      </w:r>
      <w:r w:rsidR="008D76BB">
        <w:rPr>
          <w:rFonts w:ascii="Avenir Next" w:hAnsi="Avenir Next"/>
          <w:color w:val="808080" w:themeColor="background1" w:themeShade="80"/>
        </w:rPr>
        <w:t xml:space="preserve"> as per Regulation 5 of the Insolvency Practitioners Rules (the “IPR”)</w:t>
      </w:r>
      <w:r>
        <w:rPr>
          <w:rFonts w:ascii="Avenir Next" w:hAnsi="Avenir Next"/>
          <w:color w:val="808080" w:themeColor="background1" w:themeShade="80"/>
        </w:rPr>
        <w:t>,</w:t>
      </w:r>
    </w:p>
    <w:p w14:paraId="6E60A6EC" w14:textId="3B041E8F" w:rsidR="008D76BB" w:rsidRPr="008D76BB" w:rsidRDefault="008D76BB" w:rsidP="004D2410">
      <w:pPr>
        <w:pStyle w:val="BodyText"/>
        <w:numPr>
          <w:ilvl w:val="0"/>
          <w:numId w:val="41"/>
        </w:numPr>
        <w:rPr>
          <w:rFonts w:ascii="Avenir Next" w:hAnsi="Avenir Next"/>
          <w:b/>
          <w:bCs/>
        </w:rPr>
      </w:pPr>
      <w:r>
        <w:rPr>
          <w:rFonts w:ascii="Avenir Next" w:hAnsi="Avenir Next"/>
          <w:color w:val="808080" w:themeColor="background1" w:themeShade="80"/>
        </w:rPr>
        <w:t>That the person(s) or their firm meets the independence requirement as per Regulation 6 of the IPR,</w:t>
      </w:r>
    </w:p>
    <w:p w14:paraId="461ECA6A" w14:textId="1A246DA3" w:rsidR="008D76BB" w:rsidRPr="008D76BB" w:rsidRDefault="008D76BB" w:rsidP="004D2410">
      <w:pPr>
        <w:pStyle w:val="BodyText"/>
        <w:numPr>
          <w:ilvl w:val="0"/>
          <w:numId w:val="41"/>
        </w:numPr>
        <w:rPr>
          <w:rFonts w:ascii="Avenir Next" w:hAnsi="Avenir Next"/>
          <w:b/>
          <w:bCs/>
        </w:rPr>
      </w:pPr>
      <w:r>
        <w:rPr>
          <w:rFonts w:ascii="Avenir Next" w:hAnsi="Avenir Next"/>
          <w:color w:val="808080" w:themeColor="background1" w:themeShade="80"/>
        </w:rPr>
        <w:t>That the person(s) or their firm are compliant with the insurance requirement as per Regulation 7 of the IPR, and</w:t>
      </w:r>
    </w:p>
    <w:p w14:paraId="2C8F5386" w14:textId="494AA1A0" w:rsidR="00A51058" w:rsidRPr="008D76BB" w:rsidRDefault="008D76BB" w:rsidP="008D76BB">
      <w:pPr>
        <w:pStyle w:val="BodyText"/>
        <w:numPr>
          <w:ilvl w:val="0"/>
          <w:numId w:val="41"/>
        </w:numPr>
        <w:rPr>
          <w:rFonts w:ascii="Avenir Next" w:hAnsi="Avenir Next"/>
          <w:b/>
          <w:bCs/>
        </w:rPr>
      </w:pPr>
      <w:r>
        <w:rPr>
          <w:rFonts w:ascii="Avenir Next" w:hAnsi="Avenir Next"/>
          <w:color w:val="808080" w:themeColor="background1" w:themeShade="80"/>
        </w:rPr>
        <w:t>That the person(s) is willing to act as an official liquidator if appointed.</w:t>
      </w:r>
      <w:r w:rsidR="00A51058" w:rsidRPr="008D76BB">
        <w:rPr>
          <w:rFonts w:ascii="Avenir Next" w:hAnsi="Avenir Next"/>
          <w:color w:val="808080" w:themeColor="background1" w:themeShade="80"/>
        </w:rPr>
        <w:t>]</w:t>
      </w:r>
    </w:p>
    <w:p w14:paraId="3CF6764C" w14:textId="77777777" w:rsidR="002A2B0D" w:rsidRPr="002A2B0D" w:rsidRDefault="002A2B0D" w:rsidP="007E7DF1">
      <w:pPr>
        <w:pStyle w:val="BodyText"/>
        <w:ind w:firstLine="0"/>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7452921D" w14:textId="77777777" w:rsidR="00AB47A8" w:rsidRDefault="00A51058" w:rsidP="00A51058">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373B34">
        <w:rPr>
          <w:rFonts w:ascii="Avenir Next" w:hAnsi="Avenir Next"/>
          <w:color w:val="808080" w:themeColor="background1" w:themeShade="80"/>
        </w:rPr>
        <w:t>Regulation 6</w:t>
      </w:r>
      <w:r w:rsidR="00AB47A8">
        <w:rPr>
          <w:rFonts w:ascii="Avenir Next" w:hAnsi="Avenir Next"/>
          <w:color w:val="808080" w:themeColor="background1" w:themeShade="80"/>
        </w:rPr>
        <w:t xml:space="preserve"> of the IPR stipulates that a qualified IP will not be appointed by the Court unless they are independent in relation to the company. As part of the independence requirement, IP’s or their firm must not have acted as an auditor of the company that they are seeking appointment over 3 years preceding the commencement of the liquidation.</w:t>
      </w:r>
    </w:p>
    <w:p w14:paraId="3941FFB8" w14:textId="77777777" w:rsidR="00AB47A8" w:rsidRDefault="00AB47A8" w:rsidP="00A51058">
      <w:pPr>
        <w:pStyle w:val="BodyText"/>
        <w:ind w:firstLine="0"/>
        <w:rPr>
          <w:rFonts w:ascii="Avenir Next" w:hAnsi="Avenir Next"/>
          <w:color w:val="808080" w:themeColor="background1" w:themeShade="80"/>
        </w:rPr>
      </w:pPr>
    </w:p>
    <w:p w14:paraId="32A22B1B" w14:textId="77777777" w:rsidR="00A05CF9" w:rsidRDefault="00AB47A8"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As per the fact pattern Bodden &amp; Ebanks Limited acted as auditors of Bluesea in 2021, thus it has falls with</w:t>
      </w:r>
      <w:r w:rsidR="00A05CF9">
        <w:rPr>
          <w:rFonts w:ascii="Avenir Next" w:hAnsi="Avenir Next"/>
          <w:color w:val="808080" w:themeColor="background1" w:themeShade="80"/>
        </w:rPr>
        <w:t>in the 3 preceding years. As a result, it fails the independence requirement. Considering this, they would not be able to act as the liquidators of Bluesea.</w:t>
      </w:r>
    </w:p>
    <w:p w14:paraId="01489244" w14:textId="77777777" w:rsidR="00A05CF9" w:rsidRDefault="00A05CF9" w:rsidP="00A51058">
      <w:pPr>
        <w:pStyle w:val="BodyText"/>
        <w:ind w:firstLine="0"/>
        <w:rPr>
          <w:rFonts w:ascii="Avenir Next" w:hAnsi="Avenir Next"/>
          <w:color w:val="808080" w:themeColor="background1" w:themeShade="80"/>
        </w:rPr>
      </w:pPr>
    </w:p>
    <w:p w14:paraId="6AA12516" w14:textId="08C9788E" w:rsidR="00A51058" w:rsidRPr="002A2B0D" w:rsidRDefault="00A05CF9" w:rsidP="007E7DF1">
      <w:pPr>
        <w:pStyle w:val="BodyText"/>
        <w:ind w:firstLine="0"/>
        <w:rPr>
          <w:rFonts w:ascii="Avenir Next" w:hAnsi="Avenir Next"/>
          <w:b/>
          <w:bCs/>
        </w:rPr>
      </w:pPr>
      <w:r>
        <w:rPr>
          <w:rFonts w:ascii="Avenir Next" w:hAnsi="Avenir Next"/>
          <w:color w:val="808080" w:themeColor="background1" w:themeShade="80"/>
        </w:rPr>
        <w:t xml:space="preserve">In my opinion, this independence failure should have been identified prior to the provision of the consent to act. However, as they have now identified that they are not able to act due to the lack of independence they </w:t>
      </w:r>
      <w:r w:rsidR="002D094C">
        <w:rPr>
          <w:rFonts w:ascii="Avenir Next" w:hAnsi="Avenir Next"/>
          <w:color w:val="808080" w:themeColor="background1" w:themeShade="80"/>
        </w:rPr>
        <w:t xml:space="preserve">should submit an updated affidavit or notification to the Court </w:t>
      </w:r>
      <w:r w:rsidR="00A92340">
        <w:rPr>
          <w:rFonts w:ascii="Avenir Next" w:hAnsi="Avenir Next"/>
          <w:color w:val="808080" w:themeColor="background1" w:themeShade="80"/>
        </w:rPr>
        <w:t>identifying their lack of independence and their inability to act as the liquidator</w:t>
      </w:r>
      <w:r w:rsidR="00AB47A8">
        <w:rPr>
          <w:rFonts w:ascii="Avenir Next" w:hAnsi="Avenir Next"/>
          <w:color w:val="808080" w:themeColor="background1" w:themeShade="80"/>
        </w:rPr>
        <w:t>.</w:t>
      </w:r>
      <w:r w:rsidR="00A51058" w:rsidRPr="00486A0B">
        <w:rPr>
          <w:rFonts w:ascii="Avenir Next" w:hAnsi="Avenir Next"/>
          <w:color w:val="808080" w:themeColor="background1" w:themeShade="80"/>
        </w:rPr>
        <w:t>]</w:t>
      </w: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691781E3" w14:textId="77777777" w:rsidR="00092089"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lastRenderedPageBreak/>
        <w:t>[</w:t>
      </w:r>
      <w:r w:rsidR="00092089">
        <w:rPr>
          <w:rFonts w:ascii="Avenir Next" w:hAnsi="Avenir Next"/>
          <w:color w:val="808080" w:themeColor="background1" w:themeShade="80"/>
        </w:rPr>
        <w:t>The qualifications for Tom and Jerry to act as Voluntary Liquidator as per the IPR include:</w:t>
      </w:r>
    </w:p>
    <w:p w14:paraId="1F3ACD0E" w14:textId="3C975235" w:rsidR="00092089" w:rsidRPr="00092089" w:rsidRDefault="00092089" w:rsidP="00092089">
      <w:pPr>
        <w:pStyle w:val="BodyText"/>
        <w:numPr>
          <w:ilvl w:val="0"/>
          <w:numId w:val="41"/>
        </w:numPr>
        <w:rPr>
          <w:rFonts w:ascii="Avenir Next" w:hAnsi="Avenir Next"/>
          <w:b/>
          <w:bCs/>
        </w:rPr>
      </w:pPr>
      <w:r>
        <w:rPr>
          <w:rFonts w:ascii="Avenir Next" w:hAnsi="Avenir Next"/>
          <w:color w:val="808080" w:themeColor="background1" w:themeShade="80"/>
        </w:rPr>
        <w:t>Professional Qualifications as it pertains to acting as an Insolvency Practitioner (the “IP”),</w:t>
      </w:r>
    </w:p>
    <w:p w14:paraId="741D2DFB" w14:textId="77777777" w:rsidR="00092089" w:rsidRPr="00092089" w:rsidRDefault="00092089" w:rsidP="00092089">
      <w:pPr>
        <w:pStyle w:val="BodyText"/>
        <w:numPr>
          <w:ilvl w:val="0"/>
          <w:numId w:val="41"/>
        </w:numPr>
        <w:rPr>
          <w:rFonts w:ascii="Avenir Next" w:hAnsi="Avenir Next"/>
          <w:b/>
          <w:bCs/>
        </w:rPr>
      </w:pPr>
      <w:r>
        <w:rPr>
          <w:rFonts w:ascii="Avenir Next" w:hAnsi="Avenir Next"/>
          <w:color w:val="808080" w:themeColor="background1" w:themeShade="80"/>
        </w:rPr>
        <w:t>Residency requirement,</w:t>
      </w:r>
    </w:p>
    <w:p w14:paraId="4CF828E8" w14:textId="436A6470" w:rsidR="00092089" w:rsidRPr="00092089" w:rsidRDefault="00092089" w:rsidP="00092089">
      <w:pPr>
        <w:pStyle w:val="BodyText"/>
        <w:numPr>
          <w:ilvl w:val="0"/>
          <w:numId w:val="41"/>
        </w:numPr>
        <w:rPr>
          <w:rFonts w:ascii="Avenir Next" w:hAnsi="Avenir Next"/>
          <w:b/>
          <w:bCs/>
        </w:rPr>
      </w:pPr>
      <w:r>
        <w:rPr>
          <w:rFonts w:ascii="Avenir Next" w:hAnsi="Avenir Next"/>
          <w:color w:val="808080" w:themeColor="background1" w:themeShade="80"/>
        </w:rPr>
        <w:t>Independence requirement,</w:t>
      </w:r>
    </w:p>
    <w:p w14:paraId="05232DFB" w14:textId="61950C01" w:rsidR="00092089" w:rsidRPr="00092089" w:rsidRDefault="00092089" w:rsidP="00092089">
      <w:pPr>
        <w:pStyle w:val="BodyText"/>
        <w:numPr>
          <w:ilvl w:val="0"/>
          <w:numId w:val="41"/>
        </w:numPr>
        <w:rPr>
          <w:rFonts w:ascii="Avenir Next" w:hAnsi="Avenir Next"/>
          <w:b/>
          <w:bCs/>
        </w:rPr>
      </w:pPr>
      <w:r>
        <w:rPr>
          <w:rFonts w:ascii="Avenir Next" w:hAnsi="Avenir Next"/>
          <w:color w:val="808080" w:themeColor="background1" w:themeShade="80"/>
        </w:rPr>
        <w:t>Insurance requirement,</w:t>
      </w:r>
    </w:p>
    <w:p w14:paraId="21C37FA2" w14:textId="722B78E2" w:rsidR="00586B0F" w:rsidRPr="007E7DF1" w:rsidRDefault="00586B0F" w:rsidP="00586B0F">
      <w:pPr>
        <w:pStyle w:val="BodyText"/>
        <w:numPr>
          <w:ilvl w:val="0"/>
          <w:numId w:val="41"/>
        </w:numPr>
        <w:rPr>
          <w:rFonts w:ascii="Avenir Next" w:hAnsi="Avenir Next"/>
          <w:b/>
          <w:bCs/>
        </w:rPr>
      </w:pPr>
      <w:r w:rsidRPr="00486A0B">
        <w:rPr>
          <w:rFonts w:ascii="Avenir Next" w:hAnsi="Avenir Next"/>
          <w:color w:val="808080" w:themeColor="background1" w:themeShade="80"/>
        </w:rPr>
        <w:t>Type your answer here]</w:t>
      </w:r>
    </w:p>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7C0949F4" w14:textId="77777777" w:rsidR="00AA00CE"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[T</w:t>
      </w:r>
      <w:r w:rsidR="00D26A6D">
        <w:rPr>
          <w:rFonts w:ascii="Avenir Next" w:hAnsi="Avenir Next"/>
          <w:color w:val="808080" w:themeColor="background1" w:themeShade="80"/>
        </w:rPr>
        <w:t xml:space="preserve">he </w:t>
      </w:r>
      <w:r w:rsidR="00A9675A">
        <w:rPr>
          <w:rFonts w:ascii="Avenir Next" w:hAnsi="Avenir Next"/>
          <w:color w:val="808080" w:themeColor="background1" w:themeShade="80"/>
        </w:rPr>
        <w:t xml:space="preserve">statutory steps that must be taken by Tom and Jerry </w:t>
      </w:r>
      <w:r w:rsidR="00AA00CE">
        <w:rPr>
          <w:rFonts w:ascii="Avenir Next" w:hAnsi="Avenir Next"/>
          <w:color w:val="808080" w:themeColor="background1" w:themeShade="80"/>
        </w:rPr>
        <w:t>within 28 days of their appointment include:</w:t>
      </w:r>
    </w:p>
    <w:p w14:paraId="3DFB03F1" w14:textId="77777777" w:rsidR="00AA00CE" w:rsidRPr="00AA00CE" w:rsidRDefault="00AA00CE" w:rsidP="00AA00CE">
      <w:pPr>
        <w:pStyle w:val="BodyText"/>
        <w:numPr>
          <w:ilvl w:val="0"/>
          <w:numId w:val="41"/>
        </w:numPr>
        <w:rPr>
          <w:rFonts w:ascii="Avenir Next" w:hAnsi="Avenir Next"/>
          <w:b/>
          <w:bCs/>
        </w:rPr>
      </w:pPr>
      <w:r>
        <w:rPr>
          <w:rFonts w:ascii="Avenir Next" w:hAnsi="Avenir Next"/>
          <w:color w:val="808080" w:themeColor="background1" w:themeShade="80"/>
        </w:rPr>
        <w:t>Notice of winding up must be filed with the Registrar of Companies (the “Registrar”),</w:t>
      </w:r>
    </w:p>
    <w:p w14:paraId="6A4D429A" w14:textId="77777777" w:rsidR="00AA00CE" w:rsidRPr="00AA00CE" w:rsidRDefault="00AA00CE" w:rsidP="00AA00CE">
      <w:pPr>
        <w:pStyle w:val="BodyText"/>
        <w:numPr>
          <w:ilvl w:val="0"/>
          <w:numId w:val="41"/>
        </w:numPr>
        <w:rPr>
          <w:rFonts w:ascii="Avenir Next" w:hAnsi="Avenir Next"/>
          <w:b/>
          <w:bCs/>
        </w:rPr>
      </w:pPr>
      <w:r>
        <w:rPr>
          <w:rFonts w:ascii="Avenir Next" w:hAnsi="Avenir Next"/>
          <w:color w:val="808080" w:themeColor="background1" w:themeShade="80"/>
        </w:rPr>
        <w:t>The consent to act of the liquidators’ must be filed with the Registrar,</w:t>
      </w:r>
    </w:p>
    <w:p w14:paraId="2886AD4E" w14:textId="77777777" w:rsidR="00AA00CE" w:rsidRPr="00AA00CE" w:rsidRDefault="00AA00CE" w:rsidP="00AA00CE">
      <w:pPr>
        <w:pStyle w:val="BodyText"/>
        <w:numPr>
          <w:ilvl w:val="0"/>
          <w:numId w:val="41"/>
        </w:numPr>
        <w:rPr>
          <w:rFonts w:ascii="Avenir Next" w:hAnsi="Avenir Next"/>
          <w:b/>
          <w:bCs/>
        </w:rPr>
      </w:pPr>
      <w:r>
        <w:rPr>
          <w:rFonts w:ascii="Avenir Next" w:hAnsi="Avenir Next"/>
          <w:color w:val="808080" w:themeColor="background1" w:themeShade="80"/>
        </w:rPr>
        <w:t>The declaration of solvency of the directors of the company must be filed with the Registrar. Failure to do this would result in the filing of a supervision petition to place the company in Official Liquidation,</w:t>
      </w:r>
    </w:p>
    <w:p w14:paraId="3A0A11A4" w14:textId="77777777" w:rsidR="00AA00CE" w:rsidRPr="00AA00CE" w:rsidRDefault="00AA00CE" w:rsidP="00AA00CE">
      <w:pPr>
        <w:pStyle w:val="BodyText"/>
        <w:numPr>
          <w:ilvl w:val="0"/>
          <w:numId w:val="41"/>
        </w:numPr>
        <w:rPr>
          <w:rFonts w:ascii="Avenir Next" w:hAnsi="Avenir Next"/>
          <w:b/>
          <w:bCs/>
        </w:rPr>
      </w:pPr>
      <w:r>
        <w:rPr>
          <w:rFonts w:ascii="Avenir Next" w:hAnsi="Avenir Next"/>
          <w:color w:val="808080" w:themeColor="background1" w:themeShade="80"/>
        </w:rPr>
        <w:t xml:space="preserve">Notice of winding up must be published in the Gazette, and </w:t>
      </w:r>
    </w:p>
    <w:p w14:paraId="6A18A7A2" w14:textId="2CAD5ED6" w:rsidR="00586B0F" w:rsidRPr="00486A0B" w:rsidRDefault="00AA00CE" w:rsidP="00AA00CE">
      <w:pPr>
        <w:pStyle w:val="BodyText"/>
        <w:numPr>
          <w:ilvl w:val="0"/>
          <w:numId w:val="41"/>
        </w:numPr>
        <w:rPr>
          <w:rFonts w:ascii="Avenir Next" w:hAnsi="Avenir Next"/>
          <w:b/>
          <w:bCs/>
        </w:rPr>
      </w:pPr>
      <w:r>
        <w:rPr>
          <w:rFonts w:ascii="Avenir Next" w:hAnsi="Avenir Next"/>
          <w:color w:val="808080" w:themeColor="background1" w:themeShade="80"/>
        </w:rPr>
        <w:t>Notice of winding up must be provided to the Cayman Islands Monetary Authority (the “CIMA”) if the company is a regulated company in the Cayman Islands.</w:t>
      </w:r>
      <w:r w:rsidR="00586B0F" w:rsidRPr="00486A0B">
        <w:rPr>
          <w:rFonts w:ascii="Avenir Next" w:hAnsi="Avenir Next"/>
          <w:color w:val="808080" w:themeColor="background1" w:themeShade="80"/>
        </w:rPr>
        <w:t>]</w:t>
      </w:r>
    </w:p>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5EE21C2F" w14:textId="77777777" w:rsidR="001F6B87"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AA00CE">
        <w:rPr>
          <w:rFonts w:ascii="Avenir Next" w:hAnsi="Avenir Next"/>
          <w:color w:val="808080" w:themeColor="background1" w:themeShade="80"/>
        </w:rPr>
        <w:t xml:space="preserve">Section 126 of the Companies </w:t>
      </w:r>
      <w:r w:rsidR="001F6B87">
        <w:rPr>
          <w:rFonts w:ascii="Avenir Next" w:hAnsi="Avenir Next"/>
          <w:color w:val="808080" w:themeColor="background1" w:themeShade="80"/>
        </w:rPr>
        <w:t>Act stipulates that if the liquidation is continuing for a period in excess of one year, they would be required to convene an Annual General Meeting. At the meeting the liquidators would provide an account of the liquidation in the functional currency of the liquidation and a resolution of the company for the approval of their fees for voting by the attendees of the meeting that have the ability to vote.</w:t>
      </w:r>
    </w:p>
    <w:p w14:paraId="37367587" w14:textId="77777777" w:rsidR="001F6B87" w:rsidRDefault="001F6B87" w:rsidP="00586B0F">
      <w:pPr>
        <w:pStyle w:val="BodyText"/>
        <w:ind w:firstLine="0"/>
        <w:rPr>
          <w:rFonts w:ascii="Avenir Next" w:hAnsi="Avenir Next"/>
          <w:color w:val="808080" w:themeColor="background1" w:themeShade="80"/>
        </w:rPr>
      </w:pPr>
    </w:p>
    <w:p w14:paraId="484695F9" w14:textId="34229C34" w:rsidR="00586B0F" w:rsidRPr="007E7DF1" w:rsidRDefault="001F6B87" w:rsidP="007E7DF1">
      <w:pPr>
        <w:pStyle w:val="BodyText"/>
        <w:ind w:firstLine="0"/>
        <w:rPr>
          <w:rFonts w:ascii="Avenir Next" w:hAnsi="Avenir Next"/>
          <w:b/>
          <w:bCs/>
        </w:rPr>
      </w:pPr>
      <w:r>
        <w:rPr>
          <w:rFonts w:ascii="Avenir Next" w:hAnsi="Avenir Next"/>
          <w:color w:val="808080" w:themeColor="background1" w:themeShade="80"/>
        </w:rPr>
        <w:t>The same is true for the final general meeting before winding up the company.</w:t>
      </w:r>
      <w:r w:rsidR="00586B0F" w:rsidRPr="00486A0B">
        <w:rPr>
          <w:rFonts w:ascii="Avenir Next" w:hAnsi="Avenir Next"/>
          <w:color w:val="808080" w:themeColor="background1" w:themeShade="80"/>
        </w:rPr>
        <w:t>]</w:t>
      </w: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1BA919A4" w14:textId="77777777" w:rsidR="008014E7"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8014E7">
        <w:rPr>
          <w:rFonts w:ascii="Avenir Next" w:hAnsi="Avenir Next"/>
          <w:color w:val="808080" w:themeColor="background1" w:themeShade="80"/>
        </w:rPr>
        <w:t>The Court has the ability to do the following upon hearing the winding up petition:</w:t>
      </w:r>
    </w:p>
    <w:p w14:paraId="0AEB7B06" w14:textId="77777777" w:rsidR="008014E7" w:rsidRPr="008014E7" w:rsidRDefault="008014E7" w:rsidP="008014E7">
      <w:pPr>
        <w:pStyle w:val="BodyText"/>
        <w:numPr>
          <w:ilvl w:val="0"/>
          <w:numId w:val="41"/>
        </w:numPr>
        <w:rPr>
          <w:rFonts w:ascii="Avenir Next" w:hAnsi="Avenir Next"/>
          <w:b/>
          <w:bCs/>
        </w:rPr>
      </w:pPr>
      <w:r>
        <w:rPr>
          <w:rFonts w:ascii="Avenir Next" w:hAnsi="Avenir Next"/>
          <w:color w:val="808080" w:themeColor="background1" w:themeShade="80"/>
        </w:rPr>
        <w:t>Dismiss the petition,</w:t>
      </w:r>
    </w:p>
    <w:p w14:paraId="1B2404BF" w14:textId="77777777" w:rsidR="008014E7" w:rsidRPr="008014E7" w:rsidRDefault="008014E7" w:rsidP="008014E7">
      <w:pPr>
        <w:pStyle w:val="BodyText"/>
        <w:numPr>
          <w:ilvl w:val="0"/>
          <w:numId w:val="41"/>
        </w:numPr>
        <w:rPr>
          <w:rFonts w:ascii="Avenir Next" w:hAnsi="Avenir Next"/>
          <w:b/>
          <w:bCs/>
        </w:rPr>
      </w:pPr>
      <w:r>
        <w:rPr>
          <w:rFonts w:ascii="Avenir Next" w:hAnsi="Avenir Next"/>
          <w:color w:val="808080" w:themeColor="background1" w:themeShade="80"/>
        </w:rPr>
        <w:t>Adjourn the winding up hearing,</w:t>
      </w:r>
    </w:p>
    <w:p w14:paraId="22CEDEB4" w14:textId="77777777" w:rsidR="008014E7" w:rsidRPr="008014E7" w:rsidRDefault="008014E7" w:rsidP="008014E7">
      <w:pPr>
        <w:pStyle w:val="BodyText"/>
        <w:numPr>
          <w:ilvl w:val="0"/>
          <w:numId w:val="41"/>
        </w:numPr>
        <w:rPr>
          <w:rFonts w:ascii="Avenir Next" w:hAnsi="Avenir Next"/>
          <w:b/>
          <w:bCs/>
        </w:rPr>
      </w:pPr>
      <w:r>
        <w:rPr>
          <w:rFonts w:ascii="Avenir Next" w:hAnsi="Avenir Next"/>
          <w:color w:val="808080" w:themeColor="background1" w:themeShade="80"/>
        </w:rPr>
        <w:t>Make a provisional order,</w:t>
      </w:r>
    </w:p>
    <w:p w14:paraId="62FE7FC7" w14:textId="51ABC8D4" w:rsidR="00586B0F" w:rsidRPr="00486A0B" w:rsidRDefault="008014E7" w:rsidP="008014E7">
      <w:pPr>
        <w:pStyle w:val="BodyText"/>
        <w:numPr>
          <w:ilvl w:val="0"/>
          <w:numId w:val="41"/>
        </w:numPr>
        <w:rPr>
          <w:rFonts w:ascii="Avenir Next" w:hAnsi="Avenir Next"/>
          <w:b/>
          <w:bCs/>
        </w:rPr>
      </w:pPr>
      <w:r>
        <w:rPr>
          <w:rFonts w:ascii="Avenir Next" w:hAnsi="Avenir Next"/>
          <w:color w:val="808080" w:themeColor="background1" w:themeShade="80"/>
        </w:rPr>
        <w:t>Make any other order that the Court thinks is reasonable</w:t>
      </w:r>
      <w:r w:rsidR="00586B0F" w:rsidRPr="00486A0B">
        <w:rPr>
          <w:rFonts w:ascii="Avenir Next" w:hAnsi="Avenir Next"/>
          <w:color w:val="808080" w:themeColor="background1" w:themeShade="80"/>
        </w:rPr>
        <w:t>]</w:t>
      </w: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1299C02D" w14:textId="5DEA4300" w:rsidR="00A04017"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A04017">
        <w:rPr>
          <w:rFonts w:ascii="Avenir Next" w:hAnsi="Avenir Next"/>
          <w:color w:val="808080" w:themeColor="background1" w:themeShade="80"/>
        </w:rPr>
        <w:t xml:space="preserve">Section 107 of the Companies Act and Order 5, rule 6 of the CWR state that an order of the Court can be made to remove liquidators following an application of a creditor or contributory of the company. This application is made by summons that are known as removal summons that are served on the official liquidator, each member of the liquidation committee, counsel for the liquidation committee and any creditors or contributories that the Court may direct. </w:t>
      </w:r>
    </w:p>
    <w:p w14:paraId="335767DB" w14:textId="77777777" w:rsidR="00A04017" w:rsidRDefault="00A04017" w:rsidP="00586B0F">
      <w:pPr>
        <w:pStyle w:val="BodyText"/>
        <w:ind w:firstLine="0"/>
        <w:rPr>
          <w:rFonts w:ascii="Avenir Next" w:hAnsi="Avenir Next"/>
          <w:color w:val="808080" w:themeColor="background1" w:themeShade="80"/>
        </w:rPr>
      </w:pPr>
    </w:p>
    <w:p w14:paraId="6BACA4DA" w14:textId="49EB25D3" w:rsidR="00A04017" w:rsidRDefault="00A04017"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The removal summons will be accompanied by an affidavit from the creditors or contributory containing the facts and matters that justify their desire for the removal of the liquidators and must also include a replacement liquidator.</w:t>
      </w:r>
    </w:p>
    <w:p w14:paraId="1CFE0615" w14:textId="77777777" w:rsidR="00A04017" w:rsidRDefault="00A04017" w:rsidP="00586B0F">
      <w:pPr>
        <w:pStyle w:val="BodyText"/>
        <w:ind w:firstLine="0"/>
        <w:rPr>
          <w:rFonts w:ascii="Avenir Next" w:hAnsi="Avenir Next"/>
          <w:color w:val="808080" w:themeColor="background1" w:themeShade="80"/>
        </w:rPr>
      </w:pPr>
    </w:p>
    <w:p w14:paraId="40B0C13C" w14:textId="3CF86051" w:rsidR="00586B0F" w:rsidRPr="006069FE" w:rsidRDefault="00A04017"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task of providing a good reason for the removal falls on the creditors and contributories. Some circumstances that in which the removal summons </w:t>
      </w:r>
      <w:r w:rsidR="006069FE">
        <w:rPr>
          <w:rFonts w:ascii="Avenir Next" w:hAnsi="Avenir Next"/>
          <w:color w:val="808080" w:themeColor="background1" w:themeShade="80"/>
        </w:rPr>
        <w:t>is</w:t>
      </w:r>
      <w:r>
        <w:rPr>
          <w:rFonts w:ascii="Avenir Next" w:hAnsi="Avenir Next"/>
          <w:color w:val="808080" w:themeColor="background1" w:themeShade="80"/>
        </w:rPr>
        <w:t xml:space="preserve"> made include, a conflict of interest, the </w:t>
      </w:r>
      <w:r w:rsidR="00EA3CA4">
        <w:rPr>
          <w:rFonts w:ascii="Avenir Next" w:hAnsi="Avenir Next"/>
          <w:color w:val="808080" w:themeColor="background1" w:themeShade="80"/>
        </w:rPr>
        <w:t>liquidators</w:t>
      </w:r>
      <w:r>
        <w:rPr>
          <w:rFonts w:ascii="Avenir Next" w:hAnsi="Avenir Next"/>
          <w:color w:val="808080" w:themeColor="background1" w:themeShade="80"/>
        </w:rPr>
        <w:t xml:space="preserve"> are acting against the wishes of the creditor/contributory, </w:t>
      </w:r>
      <w:r w:rsidR="00EA3CA4">
        <w:rPr>
          <w:rFonts w:ascii="Avenir Next" w:hAnsi="Avenir Next"/>
          <w:color w:val="808080" w:themeColor="background1" w:themeShade="80"/>
        </w:rPr>
        <w:t>misconduct,</w:t>
      </w:r>
      <w:r>
        <w:rPr>
          <w:rFonts w:ascii="Avenir Next" w:hAnsi="Avenir Next"/>
          <w:color w:val="808080" w:themeColor="background1" w:themeShade="80"/>
        </w:rPr>
        <w:t xml:space="preserve"> </w:t>
      </w:r>
      <w:r w:rsidR="006069FE">
        <w:rPr>
          <w:rFonts w:ascii="Avenir Next" w:hAnsi="Avenir Next"/>
          <w:color w:val="808080" w:themeColor="background1" w:themeShade="80"/>
        </w:rPr>
        <w:t>and failure of the liquidator to investigate the former director matters and affairs sufficiently.</w:t>
      </w:r>
      <w:r w:rsidR="00586B0F" w:rsidRPr="00486A0B">
        <w:rPr>
          <w:rFonts w:ascii="Avenir Next" w:hAnsi="Avenir Next"/>
          <w:color w:val="808080" w:themeColor="background1" w:themeShade="80"/>
        </w:rPr>
        <w:t>]</w:t>
      </w:r>
    </w:p>
    <w:p w14:paraId="1590B1F2" w14:textId="51DDB8B8" w:rsidR="00586B0F" w:rsidRPr="00EA3CA4" w:rsidRDefault="00586B0F" w:rsidP="00EA3CA4">
      <w:pPr>
        <w:rPr>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12837008" w14:textId="77777777" w:rsidR="00EA3CA4"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EA3CA4">
        <w:rPr>
          <w:rFonts w:ascii="Avenir Next" w:hAnsi="Avenir Next"/>
          <w:color w:val="808080" w:themeColor="background1" w:themeShade="80"/>
        </w:rPr>
        <w:t>The class of potential application varies in accordance with the solvency of the company. In circumstances whereby the company is solvent the potential applicant would be that of contributories, whereas in doubtful solvency or insolvency the applicant would be a creditor.</w:t>
      </w:r>
    </w:p>
    <w:p w14:paraId="257099C5" w14:textId="77777777" w:rsidR="00EA3CA4" w:rsidRDefault="00EA3CA4" w:rsidP="00586B0F">
      <w:pPr>
        <w:pStyle w:val="BodyText"/>
        <w:ind w:firstLine="0"/>
        <w:rPr>
          <w:rFonts w:ascii="Avenir Next" w:hAnsi="Avenir Next"/>
          <w:color w:val="808080" w:themeColor="background1" w:themeShade="80"/>
        </w:rPr>
      </w:pPr>
    </w:p>
    <w:p w14:paraId="7A67FF39" w14:textId="77777777" w:rsidR="00EA3CA4" w:rsidRDefault="00EA3CA4"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The reason for this classification is to facilitate the ranking/order of priority for stakeholders and creditors. Based on how the applicants are classed would impact the ranking in which they would be paid.</w:t>
      </w:r>
    </w:p>
    <w:p w14:paraId="44E27E00" w14:textId="77777777" w:rsidR="00EA3CA4" w:rsidRDefault="00EA3CA4" w:rsidP="00586B0F">
      <w:pPr>
        <w:pStyle w:val="BodyText"/>
        <w:ind w:firstLine="0"/>
        <w:rPr>
          <w:rFonts w:ascii="Avenir Next" w:hAnsi="Avenir Next"/>
          <w:color w:val="808080" w:themeColor="background1" w:themeShade="80"/>
        </w:rPr>
      </w:pPr>
    </w:p>
    <w:p w14:paraId="5535D870" w14:textId="305576B8" w:rsidR="001F1E22" w:rsidRPr="00EA3CA4" w:rsidRDefault="00EA3CA4" w:rsidP="00EA3CA4">
      <w:pPr>
        <w:pStyle w:val="BodyText"/>
        <w:ind w:firstLine="0"/>
        <w:rPr>
          <w:rFonts w:ascii="Avenir Next" w:hAnsi="Avenir Next"/>
          <w:b/>
          <w:bCs/>
        </w:rPr>
      </w:pPr>
      <w:r>
        <w:rPr>
          <w:rFonts w:ascii="Avenir Next" w:hAnsi="Avenir Next"/>
          <w:color w:val="808080" w:themeColor="background1" w:themeShade="80"/>
        </w:rPr>
        <w:t>In solvent liquidations all affected parties will be paid in full, whereas in the insolvent liquidation not all affected parties would be settled in full. Considering this, the ranking/priority of payment would aid in determining the amount that would be provided to the creditor.</w:t>
      </w:r>
      <w:r w:rsidR="00586B0F" w:rsidRPr="00486A0B">
        <w:rPr>
          <w:rFonts w:ascii="Avenir Next" w:hAnsi="Avenir Next"/>
          <w:color w:val="808080" w:themeColor="background1" w:themeShade="80"/>
        </w:rPr>
        <w:t>]</w:t>
      </w: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6A3EB288" w14:textId="77777777" w:rsidR="00DD2413" w:rsidRDefault="00B20DBE" w:rsidP="00B20DBE">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DD2413">
        <w:rPr>
          <w:rFonts w:ascii="Avenir Next" w:hAnsi="Avenir Next"/>
          <w:color w:val="808080" w:themeColor="background1" w:themeShade="80"/>
        </w:rPr>
        <w:t>Order 9, rule 3 of the CWR provides guidance as it pertains to the reconstitution of the Liquidation Committees. According to the CWR, the liquidator shall take the following steps to reconstitute the liquidation committee:</w:t>
      </w:r>
    </w:p>
    <w:p w14:paraId="48007CF5" w14:textId="67E7E7EE" w:rsidR="00DD2413" w:rsidRPr="00DD2413" w:rsidRDefault="00DD2413" w:rsidP="00DD2413">
      <w:pPr>
        <w:pStyle w:val="BodyText"/>
        <w:numPr>
          <w:ilvl w:val="0"/>
          <w:numId w:val="41"/>
        </w:numPr>
        <w:rPr>
          <w:rFonts w:ascii="Avenir Next" w:hAnsi="Avenir Next"/>
          <w:b/>
          <w:bCs/>
        </w:rPr>
      </w:pPr>
      <w:r>
        <w:rPr>
          <w:rFonts w:ascii="Avenir Next" w:hAnsi="Avenir Next"/>
          <w:color w:val="808080" w:themeColor="background1" w:themeShade="80"/>
        </w:rPr>
        <w:t xml:space="preserve">Any creditors that are </w:t>
      </w:r>
      <w:r w:rsidR="00853DA5">
        <w:rPr>
          <w:rFonts w:ascii="Avenir Next" w:hAnsi="Avenir Next"/>
          <w:color w:val="808080" w:themeColor="background1" w:themeShade="80"/>
        </w:rPr>
        <w:t>a part</w:t>
      </w:r>
      <w:r>
        <w:rPr>
          <w:rFonts w:ascii="Avenir Next" w:hAnsi="Avenir Next"/>
          <w:color w:val="808080" w:themeColor="background1" w:themeShade="80"/>
        </w:rPr>
        <w:t xml:space="preserve"> of the liquidation committee shall cease to be members immediately upon the company being certified to be solvent. </w:t>
      </w:r>
    </w:p>
    <w:p w14:paraId="1783A22E" w14:textId="63BF24FE" w:rsidR="00B20DBE" w:rsidRPr="00A80A08" w:rsidRDefault="00DD2413" w:rsidP="00A80A08">
      <w:pPr>
        <w:pStyle w:val="BodyText"/>
        <w:numPr>
          <w:ilvl w:val="0"/>
          <w:numId w:val="41"/>
        </w:numPr>
        <w:rPr>
          <w:rFonts w:ascii="Avenir Next" w:hAnsi="Avenir Next"/>
          <w:b/>
          <w:bCs/>
        </w:rPr>
      </w:pPr>
      <w:r>
        <w:rPr>
          <w:rFonts w:ascii="Avenir Next" w:hAnsi="Avenir Next"/>
          <w:color w:val="808080" w:themeColor="background1" w:themeShade="80"/>
        </w:rPr>
        <w:t xml:space="preserve">The liquidator will then convene a meeting of contributories in order to appoint new members </w:t>
      </w:r>
      <w:r w:rsidR="00853DA5">
        <w:rPr>
          <w:rFonts w:ascii="Avenir Next" w:hAnsi="Avenir Next"/>
          <w:color w:val="808080" w:themeColor="background1" w:themeShade="80"/>
        </w:rPr>
        <w:t>from</w:t>
      </w:r>
      <w:r>
        <w:rPr>
          <w:rFonts w:ascii="Avenir Next" w:hAnsi="Avenir Next"/>
          <w:color w:val="808080" w:themeColor="background1" w:themeShade="80"/>
        </w:rPr>
        <w:t xml:space="preserve"> the contributories to </w:t>
      </w:r>
      <w:r w:rsidR="00853DA5">
        <w:rPr>
          <w:rFonts w:ascii="Avenir Next" w:hAnsi="Avenir Next"/>
          <w:color w:val="808080" w:themeColor="background1" w:themeShade="80"/>
        </w:rPr>
        <w:t>replace any creditors that were removed.</w:t>
      </w: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lastRenderedPageBreak/>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4CD64211" w14:textId="76F1C87C" w:rsidR="00B20DBE" w:rsidRPr="00C524A8" w:rsidRDefault="00B20DBE" w:rsidP="00C524A8">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67924D93" w14:textId="77777777" w:rsidR="00C524A8" w:rsidRDefault="00B20DBE" w:rsidP="00B20DBE">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C524A8">
        <w:rPr>
          <w:rFonts w:ascii="Avenir Next" w:hAnsi="Avenir Next"/>
          <w:color w:val="808080" w:themeColor="background1" w:themeShade="80"/>
        </w:rPr>
        <w:t>The steps that a liquidator will need to take following the making of an order for dissolution are covered by Order 22, rule 2 of the CWR. According to the CWR the liquidator shall:</w:t>
      </w:r>
    </w:p>
    <w:p w14:paraId="5BD2131B" w14:textId="77777777" w:rsidR="00C524A8" w:rsidRPr="00C524A8" w:rsidRDefault="00C524A8" w:rsidP="00C524A8">
      <w:pPr>
        <w:pStyle w:val="BodyText"/>
        <w:numPr>
          <w:ilvl w:val="0"/>
          <w:numId w:val="41"/>
        </w:numPr>
        <w:rPr>
          <w:rFonts w:ascii="Avenir Next" w:hAnsi="Avenir Next"/>
          <w:b/>
          <w:bCs/>
        </w:rPr>
      </w:pPr>
      <w:r>
        <w:rPr>
          <w:rFonts w:ascii="Avenir Next" w:hAnsi="Avenir Next"/>
          <w:color w:val="808080" w:themeColor="background1" w:themeShade="80"/>
        </w:rPr>
        <w:t>File the order for dissolution with the Registrar of companies within 14 days from the date upon which the order was perfected.</w:t>
      </w:r>
    </w:p>
    <w:p w14:paraId="7E5EB83D" w14:textId="77777777" w:rsidR="0069102F" w:rsidRPr="0069102F" w:rsidRDefault="00C524A8" w:rsidP="00C524A8">
      <w:pPr>
        <w:pStyle w:val="BodyText"/>
        <w:numPr>
          <w:ilvl w:val="0"/>
          <w:numId w:val="41"/>
        </w:numPr>
        <w:rPr>
          <w:rFonts w:ascii="Avenir Next" w:hAnsi="Avenir Next"/>
          <w:b/>
          <w:bCs/>
        </w:rPr>
      </w:pPr>
      <w:r>
        <w:rPr>
          <w:rFonts w:ascii="Avenir Next" w:hAnsi="Avenir Next"/>
          <w:color w:val="808080" w:themeColor="background1" w:themeShade="80"/>
        </w:rPr>
        <w:t>The liquidator shall then retain the books and records of the liquidation in whole or part for a minimum of 3 years or a time frame stipulated by the Court, after which the liquidator will destroy the books and records pursuant to Order 25, rule 2 of the CWR.</w:t>
      </w:r>
    </w:p>
    <w:p w14:paraId="3D5D999E" w14:textId="77777777" w:rsidR="0069102F" w:rsidRPr="0069102F" w:rsidRDefault="0069102F" w:rsidP="00C524A8">
      <w:pPr>
        <w:pStyle w:val="BodyText"/>
        <w:numPr>
          <w:ilvl w:val="0"/>
          <w:numId w:val="41"/>
        </w:numPr>
        <w:rPr>
          <w:rFonts w:ascii="Avenir Next" w:hAnsi="Avenir Next"/>
          <w:b/>
          <w:bCs/>
        </w:rPr>
      </w:pPr>
      <w:r>
        <w:rPr>
          <w:rFonts w:ascii="Avenir Next" w:hAnsi="Avenir Next"/>
          <w:color w:val="808080" w:themeColor="background1" w:themeShade="80"/>
        </w:rPr>
        <w:t>In the event that there are unclaimed dividends the liquidator may act as Trustee of the unclaimed dividend and provide the terms for the remuneration.</w:t>
      </w:r>
    </w:p>
    <w:p w14:paraId="7D2443F0" w14:textId="790B8B2B" w:rsidR="00B20DBE" w:rsidRPr="0069102F" w:rsidRDefault="0069102F" w:rsidP="00B20DBE">
      <w:pPr>
        <w:pStyle w:val="BodyText"/>
        <w:numPr>
          <w:ilvl w:val="0"/>
          <w:numId w:val="41"/>
        </w:numPr>
        <w:rPr>
          <w:rFonts w:ascii="Avenir Next" w:hAnsi="Avenir Next"/>
          <w:b/>
          <w:bCs/>
        </w:rPr>
      </w:pPr>
      <w:r>
        <w:rPr>
          <w:rFonts w:ascii="Avenir Next" w:hAnsi="Avenir Next"/>
          <w:color w:val="808080" w:themeColor="background1" w:themeShade="80"/>
        </w:rPr>
        <w:t>The liquidator shall act as Trustee for one year and provide unclaimed dividends less their fees to any party that is identified during the trust period. Any unclaimed dividends after the Trust period of one year will be termed over to the Cayman Islands government.</w:t>
      </w:r>
      <w:r w:rsidR="00B20DBE" w:rsidRPr="0069102F">
        <w:rPr>
          <w:rFonts w:ascii="Avenir Next" w:hAnsi="Avenir Next"/>
          <w:color w:val="808080" w:themeColor="background1" w:themeShade="80"/>
        </w:rPr>
        <w:t>]</w:t>
      </w: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5F0B7CAB" w14:textId="77777777" w:rsidR="006D25BB" w:rsidRDefault="00D44BFA" w:rsidP="00ED248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6D25BB">
        <w:rPr>
          <w:rFonts w:ascii="Avenir Next" w:hAnsi="Avenir Next"/>
          <w:color w:val="808080" w:themeColor="background1" w:themeShade="80"/>
        </w:rPr>
        <w:t>Liquidators are granted powers to investigate upon a winding up order being made. This is pursuant to Section 102 of the Companies Act. Per the Act, the general powers and duties of the liquidator include an investigation of the causes of a company’s failure, and the promotion and affairs of the company. Any findings made can be can then be provided to the Court as a report.</w:t>
      </w:r>
    </w:p>
    <w:p w14:paraId="4F6C809D" w14:textId="77777777" w:rsidR="006D25BB" w:rsidRDefault="006D25BB" w:rsidP="00ED248F">
      <w:pPr>
        <w:pStyle w:val="BodyText"/>
        <w:ind w:firstLine="0"/>
        <w:rPr>
          <w:rFonts w:ascii="Avenir Next" w:hAnsi="Avenir Next"/>
          <w:color w:val="808080" w:themeColor="background1" w:themeShade="80"/>
        </w:rPr>
      </w:pPr>
    </w:p>
    <w:p w14:paraId="65CB0F5D" w14:textId="77777777" w:rsidR="006D25BB" w:rsidRDefault="006D25BB"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The Court can also grant the liquidator power to perform the following:</w:t>
      </w:r>
    </w:p>
    <w:p w14:paraId="55DE45A6" w14:textId="3DE4DCED" w:rsidR="00475393" w:rsidRPr="00475393" w:rsidRDefault="006D25BB" w:rsidP="006D25BB">
      <w:pPr>
        <w:pStyle w:val="BodyText"/>
        <w:numPr>
          <w:ilvl w:val="0"/>
          <w:numId w:val="41"/>
        </w:numPr>
        <w:rPr>
          <w:rFonts w:ascii="Avenir Next" w:hAnsi="Avenir Next"/>
          <w:b/>
          <w:bCs/>
        </w:rPr>
      </w:pPr>
      <w:r>
        <w:rPr>
          <w:rFonts w:ascii="Avenir Next" w:hAnsi="Avenir Next"/>
          <w:color w:val="808080" w:themeColor="background1" w:themeShade="80"/>
        </w:rPr>
        <w:t xml:space="preserve">Assist the Royal Cayman Islands Police service </w:t>
      </w:r>
      <w:r w:rsidR="00475393">
        <w:rPr>
          <w:rFonts w:ascii="Avenir Next" w:hAnsi="Avenir Next"/>
          <w:color w:val="808080" w:themeColor="background1" w:themeShade="80"/>
        </w:rPr>
        <w:t>to investigate the conduct of persons mentioned in section 101(3) of the Companies Act, and</w:t>
      </w:r>
    </w:p>
    <w:p w14:paraId="48B88793" w14:textId="60CA067D" w:rsidR="00D44BFA" w:rsidRPr="00475393" w:rsidRDefault="00475393" w:rsidP="00ED248F">
      <w:pPr>
        <w:pStyle w:val="BodyText"/>
        <w:numPr>
          <w:ilvl w:val="0"/>
          <w:numId w:val="41"/>
        </w:numPr>
        <w:rPr>
          <w:rFonts w:ascii="Avenir Next" w:hAnsi="Avenir Next"/>
          <w:b/>
          <w:bCs/>
        </w:rPr>
      </w:pPr>
      <w:r>
        <w:rPr>
          <w:rFonts w:ascii="Avenir Next" w:hAnsi="Avenir Next"/>
          <w:color w:val="808080" w:themeColor="background1" w:themeShade="80"/>
        </w:rPr>
        <w:t>Conduct a prosecution of persons mentioned in section 101(3) of the Companies Act.</w:t>
      </w:r>
      <w:r w:rsidR="00D44BFA" w:rsidRPr="00486A0B">
        <w:rPr>
          <w:rFonts w:ascii="Avenir Next" w:hAnsi="Avenir Next"/>
          <w:color w:val="808080" w:themeColor="background1" w:themeShade="80"/>
        </w:rPr>
        <w:t>]</w:t>
      </w: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D144CA1" w14:textId="77777777" w:rsidR="00A80A08" w:rsidRDefault="00D44BFA" w:rsidP="00D44BFA">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475393">
        <w:rPr>
          <w:rFonts w:ascii="Avenir Next" w:hAnsi="Avenir Next"/>
          <w:color w:val="808080" w:themeColor="background1" w:themeShade="80"/>
        </w:rPr>
        <w:t>Pursuant to Section 101</w:t>
      </w:r>
      <w:r w:rsidR="00A80A08">
        <w:rPr>
          <w:rFonts w:ascii="Avenir Next" w:hAnsi="Avenir Next"/>
          <w:color w:val="808080" w:themeColor="background1" w:themeShade="80"/>
        </w:rPr>
        <w:t>(3) the relevant date is the commencement date of the winding up. In most cases this is upon presentation of the winding up petition. However, it is the earlier date of the following:</w:t>
      </w:r>
    </w:p>
    <w:p w14:paraId="60B59D2C" w14:textId="77777777" w:rsidR="00A80A08" w:rsidRPr="00A80A08" w:rsidRDefault="00A80A08" w:rsidP="00A80A08">
      <w:pPr>
        <w:pStyle w:val="BodyText"/>
        <w:numPr>
          <w:ilvl w:val="0"/>
          <w:numId w:val="41"/>
        </w:numPr>
        <w:rPr>
          <w:rFonts w:ascii="Avenir Next" w:hAnsi="Avenir Next"/>
          <w:b/>
          <w:bCs/>
        </w:rPr>
      </w:pPr>
      <w:r>
        <w:rPr>
          <w:rFonts w:ascii="Avenir Next" w:hAnsi="Avenir Next"/>
          <w:color w:val="808080" w:themeColor="background1" w:themeShade="80"/>
        </w:rPr>
        <w:t>The resolution for winding up being passed,</w:t>
      </w:r>
    </w:p>
    <w:p w14:paraId="235DA0F6" w14:textId="157541A5" w:rsidR="00A80A08" w:rsidRPr="00A80A08" w:rsidRDefault="00A80A08" w:rsidP="00A80A08">
      <w:pPr>
        <w:pStyle w:val="BodyText"/>
        <w:numPr>
          <w:ilvl w:val="0"/>
          <w:numId w:val="41"/>
        </w:numPr>
        <w:rPr>
          <w:rFonts w:ascii="Avenir Next" w:hAnsi="Avenir Next"/>
          <w:b/>
          <w:bCs/>
        </w:rPr>
      </w:pPr>
      <w:r>
        <w:rPr>
          <w:rFonts w:ascii="Avenir Next" w:hAnsi="Avenir Next"/>
          <w:color w:val="808080" w:themeColor="background1" w:themeShade="80"/>
        </w:rPr>
        <w:t>Period fixed in the Articles of Association of the company,</w:t>
      </w:r>
    </w:p>
    <w:p w14:paraId="704C25C1" w14:textId="77777777" w:rsidR="00A80A08" w:rsidRPr="00A80A08" w:rsidRDefault="00A80A08" w:rsidP="00A80A08">
      <w:pPr>
        <w:pStyle w:val="BodyText"/>
        <w:numPr>
          <w:ilvl w:val="0"/>
          <w:numId w:val="41"/>
        </w:numPr>
        <w:rPr>
          <w:rFonts w:ascii="Avenir Next" w:hAnsi="Avenir Next"/>
          <w:b/>
          <w:bCs/>
        </w:rPr>
      </w:pPr>
      <w:r>
        <w:rPr>
          <w:rFonts w:ascii="Avenir Next" w:hAnsi="Avenir Next"/>
          <w:color w:val="808080" w:themeColor="background1" w:themeShade="80"/>
        </w:rPr>
        <w:t>Event that gives rise to the requirement of winding up in the Articles of Association of the company, or</w:t>
      </w:r>
    </w:p>
    <w:p w14:paraId="6F872724" w14:textId="77777777" w:rsidR="00A80A08" w:rsidRPr="00A80A08" w:rsidRDefault="00A80A08" w:rsidP="00A80A08">
      <w:pPr>
        <w:pStyle w:val="BodyText"/>
        <w:numPr>
          <w:ilvl w:val="0"/>
          <w:numId w:val="41"/>
        </w:numPr>
        <w:rPr>
          <w:rFonts w:ascii="Avenir Next" w:hAnsi="Avenir Next"/>
          <w:b/>
          <w:bCs/>
        </w:rPr>
      </w:pPr>
      <w:r>
        <w:rPr>
          <w:rFonts w:ascii="Avenir Next" w:hAnsi="Avenir Next"/>
          <w:color w:val="808080" w:themeColor="background1" w:themeShade="80"/>
        </w:rPr>
        <w:t>The appointment of a restructuring officer.</w:t>
      </w:r>
    </w:p>
    <w:p w14:paraId="66EA85D9" w14:textId="77777777" w:rsidR="00A80A08" w:rsidRDefault="00A80A08" w:rsidP="00A80A08">
      <w:pPr>
        <w:pStyle w:val="BodyText"/>
        <w:ind w:firstLine="0"/>
        <w:rPr>
          <w:rFonts w:ascii="Avenir Next" w:hAnsi="Avenir Next"/>
          <w:color w:val="808080" w:themeColor="background1" w:themeShade="80"/>
        </w:rPr>
      </w:pPr>
    </w:p>
    <w:p w14:paraId="1B32AD02" w14:textId="36FB2048" w:rsidR="00EB3E2A" w:rsidRPr="00A80A08" w:rsidRDefault="00A80A08" w:rsidP="00A80A08">
      <w:pPr>
        <w:pStyle w:val="BodyText"/>
        <w:ind w:firstLine="0"/>
        <w:rPr>
          <w:rFonts w:ascii="Avenir Next" w:hAnsi="Avenir Next"/>
          <w:b/>
          <w:bCs/>
        </w:rPr>
      </w:pPr>
      <w:r>
        <w:rPr>
          <w:rFonts w:ascii="Avenir Next" w:hAnsi="Avenir Next"/>
          <w:color w:val="808080" w:themeColor="background1" w:themeShade="80"/>
        </w:rPr>
        <w:t>As it pertains to provisional liquidation, it shall be the date of the provisional liquidator’s appointment.</w:t>
      </w:r>
      <w:r w:rsidR="00D44BFA" w:rsidRPr="00A80A08">
        <w:rPr>
          <w:rFonts w:ascii="Avenir Next" w:hAnsi="Avenir Next"/>
          <w:color w:val="808080" w:themeColor="background1" w:themeShade="80"/>
        </w:rPr>
        <w:t>]</w:t>
      </w: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6F20D938" w:rsidR="00080EDC" w:rsidRDefault="00080EDC" w:rsidP="00080EDC">
      <w:pPr>
        <w:pStyle w:val="BodyText"/>
        <w:rPr>
          <w:rFonts w:ascii="Avenir Next" w:hAnsi="Avenir Next"/>
        </w:rPr>
      </w:pPr>
    </w:p>
    <w:p w14:paraId="24BAC594" w14:textId="77777777" w:rsidR="00E57846" w:rsidRDefault="00080EDC" w:rsidP="00E57846">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A35A17">
        <w:rPr>
          <w:rFonts w:ascii="Avenir Next" w:hAnsi="Avenir Next"/>
          <w:color w:val="808080" w:themeColor="background1" w:themeShade="80"/>
        </w:rPr>
        <w:t xml:space="preserve">According to the fact pattern </w:t>
      </w:r>
      <w:r w:rsidR="00E57846">
        <w:rPr>
          <w:rFonts w:ascii="Avenir Next" w:hAnsi="Avenir Next"/>
          <w:color w:val="808080" w:themeColor="background1" w:themeShade="80"/>
        </w:rPr>
        <w:t>the chosen Provisional Liquidator (the “PL”) is based in Hong Kong, as a result of this he would not be able to be appointed as the PL in his sole capacity. This is due to the fact that he does not meet the requirements to be appointed as a PL.</w:t>
      </w:r>
    </w:p>
    <w:p w14:paraId="1396CB8E" w14:textId="77777777" w:rsidR="00E57846" w:rsidRDefault="00E57846" w:rsidP="00E57846">
      <w:pPr>
        <w:pStyle w:val="BodyText"/>
        <w:ind w:firstLine="0"/>
        <w:rPr>
          <w:rFonts w:ascii="Avenir Next" w:hAnsi="Avenir Next"/>
          <w:color w:val="808080" w:themeColor="background1" w:themeShade="80"/>
        </w:rPr>
      </w:pPr>
    </w:p>
    <w:p w14:paraId="2E4F2E12" w14:textId="1B5AE3F0" w:rsidR="00E57846" w:rsidRDefault="00E57846" w:rsidP="00E57846">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order to be appointed as PL in the Cayman Islands the residency requirement must be met in order for the Insolvency Practitioner (the “IP”) to be appointed in their sole capacity. Since the chosen IP is based in Hong Kong, he does not meet this requirement and as such cannot be </w:t>
      </w:r>
      <w:r>
        <w:rPr>
          <w:rFonts w:ascii="Avenir Next" w:hAnsi="Avenir Next"/>
          <w:color w:val="808080" w:themeColor="background1" w:themeShade="80"/>
        </w:rPr>
        <w:lastRenderedPageBreak/>
        <w:t>appointed in his sole capacity.</w:t>
      </w:r>
    </w:p>
    <w:p w14:paraId="5E340D08" w14:textId="77777777" w:rsidR="00E57846" w:rsidRDefault="00E57846" w:rsidP="00E57846">
      <w:pPr>
        <w:pStyle w:val="BodyText"/>
        <w:ind w:firstLine="0"/>
        <w:rPr>
          <w:rFonts w:ascii="Avenir Next" w:hAnsi="Avenir Next"/>
          <w:color w:val="808080" w:themeColor="background1" w:themeShade="80"/>
        </w:rPr>
      </w:pPr>
    </w:p>
    <w:p w14:paraId="6FFC7101" w14:textId="5C876E24" w:rsidR="00E57846" w:rsidRDefault="00E57846" w:rsidP="00E57846">
      <w:pPr>
        <w:pStyle w:val="BodyText"/>
        <w:ind w:firstLine="0"/>
        <w:rPr>
          <w:rFonts w:ascii="Avenir Next" w:hAnsi="Avenir Next"/>
          <w:color w:val="808080" w:themeColor="background1" w:themeShade="80"/>
        </w:rPr>
      </w:pPr>
      <w:r>
        <w:rPr>
          <w:rFonts w:ascii="Avenir Next" w:hAnsi="Avenir Next"/>
          <w:color w:val="808080" w:themeColor="background1" w:themeShade="80"/>
        </w:rPr>
        <w:t>The chosen IP can be appointed as PL jointly with a Cayman Islands qualified insolvency practitioner and approved by the court</w:t>
      </w:r>
      <w:r w:rsidR="00F97329">
        <w:rPr>
          <w:rFonts w:ascii="Avenir Next" w:hAnsi="Avenir Next"/>
          <w:color w:val="808080" w:themeColor="background1" w:themeShade="80"/>
        </w:rPr>
        <w:t xml:space="preserve"> as per Section 108 (1) of the Companies Act.</w:t>
      </w:r>
    </w:p>
    <w:p w14:paraId="7BEA6D8B" w14:textId="77777777" w:rsidR="00E57846" w:rsidRDefault="00E57846" w:rsidP="00E57846">
      <w:pPr>
        <w:pStyle w:val="BodyText"/>
        <w:ind w:firstLine="0"/>
        <w:rPr>
          <w:rFonts w:ascii="Avenir Next" w:hAnsi="Avenir Next"/>
          <w:color w:val="808080" w:themeColor="background1" w:themeShade="80"/>
        </w:rPr>
      </w:pPr>
    </w:p>
    <w:p w14:paraId="219C8F50" w14:textId="77777777" w:rsidR="00F97329" w:rsidRDefault="00E57846" w:rsidP="00E57846">
      <w:pPr>
        <w:pStyle w:val="BodyText"/>
        <w:ind w:firstLine="0"/>
        <w:rPr>
          <w:rFonts w:ascii="Avenir Next" w:hAnsi="Avenir Next"/>
          <w:color w:val="808080" w:themeColor="background1" w:themeShade="80"/>
        </w:rPr>
      </w:pPr>
      <w:r>
        <w:rPr>
          <w:rFonts w:ascii="Avenir Next" w:hAnsi="Avenir Next"/>
          <w:color w:val="808080" w:themeColor="background1" w:themeShade="80"/>
        </w:rPr>
        <w:t>Regulation 8 of the Insolvency Practitioner’s Regulations (the “IPR”) indicates that foreign practitioners can be appointed once they meet the independence and insurance requirements set out in regulation 6 and 7 of the IPR. Based on the case facts these are met. However, since the residency requirement is not the chosen IP must be appointed jointly.</w:t>
      </w:r>
    </w:p>
    <w:p w14:paraId="4AFD312C" w14:textId="77777777" w:rsidR="00F97329" w:rsidRDefault="00F97329" w:rsidP="00E57846">
      <w:pPr>
        <w:pStyle w:val="BodyText"/>
        <w:ind w:firstLine="0"/>
        <w:rPr>
          <w:rFonts w:ascii="Avenir Next" w:hAnsi="Avenir Next"/>
          <w:color w:val="808080" w:themeColor="background1" w:themeShade="80"/>
        </w:rPr>
      </w:pPr>
    </w:p>
    <w:p w14:paraId="0278307F" w14:textId="7A451992" w:rsidR="00080EDC" w:rsidRPr="00486A0B" w:rsidRDefault="00F97329" w:rsidP="00E57846">
      <w:pPr>
        <w:pStyle w:val="BodyText"/>
        <w:ind w:firstLine="0"/>
        <w:rPr>
          <w:rFonts w:ascii="Avenir Next" w:hAnsi="Avenir Next"/>
          <w:b/>
          <w:bCs/>
        </w:rPr>
      </w:pPr>
      <w:r>
        <w:rPr>
          <w:rFonts w:ascii="Avenir Next" w:hAnsi="Avenir Next"/>
          <w:color w:val="808080" w:themeColor="background1" w:themeShade="80"/>
        </w:rPr>
        <w:t>The Cayman Islands IP must be a qualified insolvency practitioner. This is someone that has the qualifications specified in the regulations made by the Insolvency Rules Committee under section 155 or such other qualifications that the Court considers appropriate for winding up a Company.</w:t>
      </w:r>
      <w:r w:rsidR="00080EDC" w:rsidRPr="00486A0B">
        <w:rPr>
          <w:rFonts w:ascii="Avenir Next" w:hAnsi="Avenir Next"/>
          <w:color w:val="808080" w:themeColor="background1" w:themeShade="80"/>
        </w:rPr>
        <w:t>]</w:t>
      </w: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36CDEADB" w14:textId="77777777" w:rsidR="007A59FE" w:rsidRDefault="00662A8E" w:rsidP="00662A8E">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7A59FE">
        <w:rPr>
          <w:rFonts w:ascii="Avenir Next" w:hAnsi="Avenir Next"/>
          <w:color w:val="808080" w:themeColor="background1" w:themeShade="80"/>
        </w:rPr>
        <w:t>Pursuant to Section 91B (1) of the Companies Act, the company would be required to demonstrate the following:</w:t>
      </w:r>
    </w:p>
    <w:p w14:paraId="01E9921B" w14:textId="69820B3F" w:rsidR="007A59FE" w:rsidRPr="007A59FE" w:rsidRDefault="007A59FE" w:rsidP="007A59FE">
      <w:pPr>
        <w:pStyle w:val="BodyText"/>
        <w:numPr>
          <w:ilvl w:val="0"/>
          <w:numId w:val="40"/>
        </w:numPr>
        <w:rPr>
          <w:rFonts w:ascii="Avenir Next" w:hAnsi="Avenir Next"/>
          <w:b/>
          <w:bCs/>
        </w:rPr>
      </w:pPr>
      <w:r>
        <w:rPr>
          <w:rFonts w:ascii="Avenir Next" w:hAnsi="Avenir Next"/>
          <w:color w:val="808080" w:themeColor="background1" w:themeShade="80"/>
        </w:rPr>
        <w:t>It is or is likely to become unable to settle its debts, and</w:t>
      </w:r>
    </w:p>
    <w:p w14:paraId="1FAFB0DC" w14:textId="5AAA8893" w:rsidR="00662A8E" w:rsidRPr="00486A0B" w:rsidRDefault="007A59FE" w:rsidP="007A59FE">
      <w:pPr>
        <w:pStyle w:val="BodyText"/>
        <w:numPr>
          <w:ilvl w:val="0"/>
          <w:numId w:val="40"/>
        </w:numPr>
        <w:rPr>
          <w:rFonts w:ascii="Avenir Next" w:hAnsi="Avenir Next"/>
          <w:b/>
          <w:bCs/>
        </w:rPr>
      </w:pPr>
      <w:r>
        <w:rPr>
          <w:rFonts w:ascii="Avenir Next" w:hAnsi="Avenir Next"/>
          <w:color w:val="808080" w:themeColor="background1" w:themeShade="80"/>
        </w:rPr>
        <w:t>There is an intention to propose a restructuring petition to its creditors.</w:t>
      </w:r>
      <w:r w:rsidR="00662A8E" w:rsidRPr="00486A0B">
        <w:rPr>
          <w:rFonts w:ascii="Avenir Next" w:hAnsi="Avenir Next"/>
          <w:color w:val="808080" w:themeColor="background1" w:themeShade="80"/>
        </w:rPr>
        <w:t>]</w:t>
      </w: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7FA38903" w14:textId="77777777" w:rsidR="007A59FE" w:rsidRDefault="00662A8E" w:rsidP="00662A8E">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7A59FE">
        <w:rPr>
          <w:rFonts w:ascii="Avenir Next" w:hAnsi="Avenir Next"/>
          <w:color w:val="808080" w:themeColor="background1" w:themeShade="80"/>
        </w:rPr>
        <w:t>Upon the presentation of the Restructuring Petition, there is a requirement to advertise the Restructuring Petition in accordance with Form 3A of the Companies Winding Up Rules (“CWR”), unless instructed by the Grand Court to do otherwise.</w:t>
      </w:r>
    </w:p>
    <w:p w14:paraId="3499FA9B" w14:textId="77777777" w:rsidR="007A59FE" w:rsidRDefault="007A59FE" w:rsidP="00662A8E">
      <w:pPr>
        <w:pStyle w:val="BodyText"/>
        <w:ind w:firstLine="0"/>
        <w:rPr>
          <w:rFonts w:ascii="Avenir Next" w:hAnsi="Avenir Next"/>
          <w:color w:val="808080" w:themeColor="background1" w:themeShade="80"/>
        </w:rPr>
      </w:pPr>
    </w:p>
    <w:p w14:paraId="609C5444" w14:textId="77777777" w:rsidR="007A59FE" w:rsidRDefault="007A59FE"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According to the CWR, the advertisement would be done as follows:</w:t>
      </w:r>
    </w:p>
    <w:p w14:paraId="664D23D7" w14:textId="77777777" w:rsidR="007A59FE" w:rsidRPr="007A59FE" w:rsidRDefault="007A59FE" w:rsidP="007A59FE">
      <w:pPr>
        <w:pStyle w:val="BodyText"/>
        <w:numPr>
          <w:ilvl w:val="0"/>
          <w:numId w:val="40"/>
        </w:numPr>
        <w:rPr>
          <w:rFonts w:ascii="Avenir Next" w:hAnsi="Avenir Next"/>
          <w:b/>
          <w:bCs/>
        </w:rPr>
      </w:pPr>
      <w:r>
        <w:rPr>
          <w:rFonts w:ascii="Avenir Next" w:hAnsi="Avenir Next"/>
          <w:color w:val="808080" w:themeColor="background1" w:themeShade="80"/>
        </w:rPr>
        <w:t xml:space="preserve">Once in a newspaper that is circulated in the Cayman Islands, and </w:t>
      </w:r>
    </w:p>
    <w:p w14:paraId="64BE2672" w14:textId="189784F8" w:rsidR="00476031" w:rsidRPr="00476031" w:rsidRDefault="007A59FE" w:rsidP="007A59FE">
      <w:pPr>
        <w:pStyle w:val="BodyText"/>
        <w:numPr>
          <w:ilvl w:val="0"/>
          <w:numId w:val="40"/>
        </w:numPr>
        <w:rPr>
          <w:rFonts w:ascii="Avenir Next" w:hAnsi="Avenir Next"/>
          <w:b/>
          <w:bCs/>
        </w:rPr>
      </w:pPr>
      <w:r>
        <w:rPr>
          <w:rFonts w:ascii="Avenir Next" w:hAnsi="Avenir Next"/>
          <w:color w:val="808080" w:themeColor="background1" w:themeShade="80"/>
        </w:rPr>
        <w:t>In a newspaper</w:t>
      </w:r>
      <w:r w:rsidR="00476031">
        <w:rPr>
          <w:rFonts w:ascii="Avenir Next" w:hAnsi="Avenir Next"/>
          <w:color w:val="808080" w:themeColor="background1" w:themeShade="80"/>
        </w:rPr>
        <w:t xml:space="preserve"> in the country or countries that the petition is most likely to come to the attention of most creditors and contributories.</w:t>
      </w:r>
    </w:p>
    <w:p w14:paraId="0BDFEF8C" w14:textId="77777777" w:rsidR="00476031" w:rsidRDefault="00476031" w:rsidP="00476031">
      <w:pPr>
        <w:pStyle w:val="BodyText"/>
        <w:ind w:firstLine="0"/>
        <w:rPr>
          <w:rFonts w:ascii="Avenir Next" w:hAnsi="Avenir Next"/>
          <w:color w:val="808080" w:themeColor="background1" w:themeShade="80"/>
        </w:rPr>
      </w:pPr>
    </w:p>
    <w:p w14:paraId="23E342D8" w14:textId="56F49B67" w:rsidR="00662A8E" w:rsidRPr="00476031" w:rsidRDefault="00476031" w:rsidP="00476031">
      <w:pPr>
        <w:pStyle w:val="BodyText"/>
        <w:ind w:firstLine="0"/>
        <w:rPr>
          <w:rFonts w:ascii="Avenir Next" w:hAnsi="Avenir Next"/>
          <w:b/>
          <w:bCs/>
        </w:rPr>
      </w:pPr>
      <w:r>
        <w:rPr>
          <w:rFonts w:ascii="Avenir Next" w:hAnsi="Avenir Next"/>
          <w:color w:val="808080" w:themeColor="background1" w:themeShade="80"/>
        </w:rPr>
        <w:t>The CWR Order 1A, rule 1(6) stipulates that the advertisement must appear in the newspapers no more than seven business days after the Restructuring Petition was filed and no less than seven business days before the hearing date.</w:t>
      </w:r>
      <w:r w:rsidR="00662A8E" w:rsidRPr="00476031">
        <w:rPr>
          <w:rFonts w:ascii="Avenir Next" w:hAnsi="Avenir Next"/>
          <w:color w:val="808080" w:themeColor="background1" w:themeShade="80"/>
        </w:rPr>
        <w:t>]</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Pr="00476031" w:rsidRDefault="00662A8E" w:rsidP="00662A8E">
      <w:pPr>
        <w:jc w:val="left"/>
        <w:rPr>
          <w:rFonts w:ascii="Avenir Next Demi Bold" w:hAnsi="Avenir Next Demi Bold"/>
          <w:b/>
          <w:bCs/>
          <w:highlight w:val="yellow"/>
        </w:rPr>
      </w:pPr>
      <w:r w:rsidRPr="00476031">
        <w:rPr>
          <w:rFonts w:ascii="Avenir Next Demi Bold" w:hAnsi="Avenir Next Demi Bold"/>
          <w:b/>
          <w:bCs/>
          <w:highlight w:val="yellow"/>
        </w:rPr>
        <w:t xml:space="preserve">Question </w:t>
      </w:r>
      <w:r w:rsidR="00FC4B3C" w:rsidRPr="00476031">
        <w:rPr>
          <w:rFonts w:ascii="Avenir Next Demi Bold" w:hAnsi="Avenir Next Demi Bold"/>
          <w:b/>
          <w:bCs/>
          <w:highlight w:val="yellow"/>
        </w:rPr>
        <w:t>3.4</w:t>
      </w:r>
    </w:p>
    <w:p w14:paraId="68A955A7" w14:textId="77777777" w:rsidR="00662A8E" w:rsidRPr="00476031" w:rsidRDefault="00662A8E" w:rsidP="00662A8E">
      <w:pPr>
        <w:rPr>
          <w:rFonts w:ascii="Avenir Next LT Pro" w:hAnsi="Avenir Next LT Pro"/>
          <w:b/>
          <w:bCs/>
          <w:i/>
          <w:iCs/>
          <w:highlight w:val="yellow"/>
        </w:rPr>
      </w:pPr>
    </w:p>
    <w:p w14:paraId="4347DE6E" w14:textId="22442A1D" w:rsidR="00662A8E" w:rsidRPr="007D4146" w:rsidRDefault="00662A8E" w:rsidP="00662A8E">
      <w:pPr>
        <w:tabs>
          <w:tab w:val="right" w:pos="9021"/>
        </w:tabs>
        <w:rPr>
          <w:rFonts w:ascii="Avenir Next LT Pro" w:hAnsi="Avenir Next LT Pro"/>
        </w:rPr>
      </w:pPr>
      <w:r w:rsidRPr="00476031">
        <w:rPr>
          <w:highlight w:val="yellow"/>
        </w:rPr>
        <w:t xml:space="preserve">Describe </w:t>
      </w:r>
      <w:r w:rsidR="008913A7" w:rsidRPr="00476031">
        <w:rPr>
          <w:highlight w:val="yellow"/>
        </w:rPr>
        <w:t xml:space="preserve">at least six (6) </w:t>
      </w:r>
      <w:r w:rsidRPr="00476031">
        <w:rPr>
          <w:highlight w:val="yellow"/>
        </w:rPr>
        <w:t xml:space="preserve">elements of the new restructuring officer regime </w:t>
      </w:r>
      <w:r w:rsidR="00FC4B3C" w:rsidRPr="00476031">
        <w:rPr>
          <w:highlight w:val="yellow"/>
        </w:rPr>
        <w:t>that</w:t>
      </w:r>
      <w:r w:rsidRPr="00476031">
        <w:rPr>
          <w:highlight w:val="yellow"/>
        </w:rPr>
        <w:t xml:space="preserve"> assist in safeguarding the interests of creditors.</w:t>
      </w:r>
      <w:r w:rsidRPr="00476031">
        <w:rPr>
          <w:rFonts w:ascii="Avenir Next LT Pro" w:hAnsi="Avenir Next LT Pro"/>
          <w:highlight w:val="yellow"/>
        </w:rPr>
        <w:tab/>
      </w:r>
      <w:r w:rsidRPr="00476031">
        <w:rPr>
          <w:rFonts w:ascii="Avenir Next Demi Bold" w:hAnsi="Avenir Next Demi Bold"/>
          <w:b/>
          <w:bCs/>
          <w:highlight w:val="yellow"/>
        </w:rPr>
        <w:t>(</w:t>
      </w:r>
      <w:r w:rsidR="008913A7" w:rsidRPr="00476031">
        <w:rPr>
          <w:rFonts w:ascii="Avenir Next Demi Bold" w:hAnsi="Avenir Next Demi Bold"/>
          <w:b/>
          <w:bCs/>
          <w:highlight w:val="yellow"/>
        </w:rPr>
        <w:t>6</w:t>
      </w:r>
      <w:r w:rsidR="005E20A3" w:rsidRPr="00476031">
        <w:rPr>
          <w:rFonts w:ascii="Avenir Next Demi Bold" w:hAnsi="Avenir Next Demi Bold"/>
          <w:b/>
          <w:bCs/>
          <w:highlight w:val="yellow"/>
        </w:rPr>
        <w:t>)</w:t>
      </w:r>
    </w:p>
    <w:p w14:paraId="372CF7FB" w14:textId="77777777" w:rsidR="00662A8E" w:rsidRDefault="00662A8E" w:rsidP="00662A8E">
      <w:pPr>
        <w:rPr>
          <w:rFonts w:ascii="Avenir Next LT Pro" w:hAnsi="Avenir Next LT Pro"/>
        </w:rPr>
      </w:pPr>
    </w:p>
    <w:p w14:paraId="191673F4" w14:textId="77777777" w:rsidR="007F5E8D" w:rsidRDefault="00662A8E" w:rsidP="00662A8E">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7F5E8D">
        <w:rPr>
          <w:rFonts w:ascii="Avenir Next" w:hAnsi="Avenir Next"/>
          <w:color w:val="808080" w:themeColor="background1" w:themeShade="80"/>
        </w:rPr>
        <w:t>The various elements of the new restructuring officer regime that assist in safeguarding the interest of the creditors are as follows:</w:t>
      </w:r>
    </w:p>
    <w:p w14:paraId="0D199F43" w14:textId="6EF479D4" w:rsidR="007F5E8D" w:rsidRPr="007F5E8D" w:rsidRDefault="007F5E8D" w:rsidP="007F5E8D">
      <w:pPr>
        <w:pStyle w:val="BodyText"/>
        <w:numPr>
          <w:ilvl w:val="0"/>
          <w:numId w:val="40"/>
        </w:numPr>
        <w:rPr>
          <w:rFonts w:ascii="Avenir Next" w:hAnsi="Avenir Next"/>
          <w:b/>
          <w:bCs/>
        </w:rPr>
      </w:pPr>
      <w:r>
        <w:rPr>
          <w:rFonts w:ascii="Avenir Next" w:hAnsi="Avenir Next"/>
          <w:color w:val="808080" w:themeColor="background1" w:themeShade="80"/>
        </w:rPr>
        <w:t>Moratoriums which serve as a stay of proceedings</w:t>
      </w:r>
      <w:r w:rsidR="00201B72">
        <w:rPr>
          <w:rFonts w:ascii="Avenir Next" w:hAnsi="Avenir Next"/>
          <w:color w:val="808080" w:themeColor="background1" w:themeShade="80"/>
        </w:rPr>
        <w:t xml:space="preserve"> that allow the company some breathing space to effectively restructure the company without the threat of further or additional </w:t>
      </w:r>
      <w:r w:rsidR="00201B72">
        <w:rPr>
          <w:rFonts w:ascii="Avenir Next" w:hAnsi="Avenir Next"/>
          <w:color w:val="808080" w:themeColor="background1" w:themeShade="80"/>
        </w:rPr>
        <w:lastRenderedPageBreak/>
        <w:t>litigation against the company that may be to the detriment of the creditors.</w:t>
      </w:r>
      <w:r>
        <w:rPr>
          <w:rFonts w:ascii="Avenir Next" w:hAnsi="Avenir Next"/>
          <w:color w:val="808080" w:themeColor="background1" w:themeShade="80"/>
        </w:rPr>
        <w:t xml:space="preserve"> </w:t>
      </w:r>
    </w:p>
    <w:p w14:paraId="58C5D2A5" w14:textId="0CD6FF98" w:rsidR="007F5E8D" w:rsidRPr="007F5E8D" w:rsidRDefault="007F5E8D" w:rsidP="007F5E8D">
      <w:pPr>
        <w:pStyle w:val="BodyText"/>
        <w:numPr>
          <w:ilvl w:val="0"/>
          <w:numId w:val="40"/>
        </w:numPr>
        <w:rPr>
          <w:rFonts w:ascii="Avenir Next" w:hAnsi="Avenir Next"/>
          <w:b/>
          <w:bCs/>
        </w:rPr>
      </w:pPr>
      <w:r>
        <w:rPr>
          <w:rFonts w:ascii="Avenir Next" w:hAnsi="Avenir Next"/>
          <w:color w:val="808080" w:themeColor="background1" w:themeShade="80"/>
        </w:rPr>
        <w:t>Advertising of the restructuring officer appointment allows for the maximum number of creditors to be made aware of the circumstances.</w:t>
      </w:r>
    </w:p>
    <w:p w14:paraId="5FC4241E" w14:textId="7A36B465" w:rsidR="007F5E8D" w:rsidRPr="007F5E8D" w:rsidRDefault="007F5E8D" w:rsidP="007F5E8D">
      <w:pPr>
        <w:pStyle w:val="BodyText"/>
        <w:numPr>
          <w:ilvl w:val="0"/>
          <w:numId w:val="40"/>
        </w:numPr>
        <w:rPr>
          <w:rFonts w:ascii="Avenir Next" w:hAnsi="Avenir Next"/>
          <w:b/>
          <w:bCs/>
        </w:rPr>
      </w:pPr>
      <w:r>
        <w:rPr>
          <w:rFonts w:ascii="Avenir Next" w:hAnsi="Avenir Next"/>
          <w:color w:val="808080" w:themeColor="background1" w:themeShade="80"/>
        </w:rPr>
        <w:t>Creditors with security over the whole or part of the assets of the company will remain entitled to enforce their security without leave of the Court.</w:t>
      </w:r>
      <w:r w:rsidR="00201B72">
        <w:rPr>
          <w:rFonts w:ascii="Avenir Next" w:hAnsi="Avenir Next"/>
          <w:color w:val="808080" w:themeColor="background1" w:themeShade="80"/>
        </w:rPr>
        <w:t xml:space="preserve"> However, they would not be able to do this on an individual basis and would need to benefit of the majority of the group of secured creditors which allows the entire creditor body to benefit.</w:t>
      </w:r>
    </w:p>
    <w:p w14:paraId="093C10F5" w14:textId="7A3A7759" w:rsidR="007F5E8D" w:rsidRPr="007F5E8D" w:rsidRDefault="007F5E8D" w:rsidP="007F5E8D">
      <w:pPr>
        <w:pStyle w:val="BodyText"/>
        <w:numPr>
          <w:ilvl w:val="0"/>
          <w:numId w:val="40"/>
        </w:numPr>
        <w:rPr>
          <w:rFonts w:ascii="Avenir Next" w:hAnsi="Avenir Next"/>
          <w:b/>
          <w:bCs/>
        </w:rPr>
      </w:pPr>
      <w:r>
        <w:rPr>
          <w:rFonts w:ascii="Avenir Next" w:hAnsi="Avenir Next"/>
          <w:color w:val="808080" w:themeColor="background1" w:themeShade="80"/>
        </w:rPr>
        <w:t>A scheme of arrangements that can be customized to suit the needs of the company specifically as opposed to the general liquidation process and terms can result in more benefits being earned by the creditors than under a liquidation.</w:t>
      </w:r>
    </w:p>
    <w:p w14:paraId="08708DD7" w14:textId="77777777" w:rsidR="00201B72" w:rsidRPr="00201B72" w:rsidRDefault="00201B72" w:rsidP="007F5E8D">
      <w:pPr>
        <w:pStyle w:val="BodyText"/>
        <w:numPr>
          <w:ilvl w:val="0"/>
          <w:numId w:val="40"/>
        </w:numPr>
        <w:rPr>
          <w:rFonts w:ascii="Avenir Next" w:hAnsi="Avenir Next"/>
          <w:b/>
          <w:bCs/>
        </w:rPr>
      </w:pPr>
      <w:r>
        <w:rPr>
          <w:rFonts w:ascii="Avenir Next" w:hAnsi="Avenir Next"/>
          <w:color w:val="808080" w:themeColor="background1" w:themeShade="80"/>
        </w:rPr>
        <w:t>The new regime can allow the company to continue as a going concern as opposed to being wound up. Considering this, the refinancing and/or sale of the company at that stage is more beneficial to creditors than a liquidation as it may result in higher returns.</w:t>
      </w:r>
    </w:p>
    <w:p w14:paraId="53321FBD" w14:textId="211059AE" w:rsidR="00662A8E" w:rsidRPr="00486A0B" w:rsidRDefault="00662A8E" w:rsidP="00DB473C">
      <w:pPr>
        <w:pStyle w:val="BodyText"/>
        <w:ind w:left="720" w:firstLine="0"/>
        <w:rPr>
          <w:rFonts w:ascii="Avenir Next" w:hAnsi="Avenir Next"/>
          <w:b/>
          <w:bCs/>
        </w:rPr>
      </w:pPr>
      <w:r w:rsidRPr="00486A0B">
        <w:rPr>
          <w:rFonts w:ascii="Avenir Next" w:hAnsi="Avenir Next"/>
          <w:color w:val="808080" w:themeColor="background1" w:themeShade="80"/>
        </w:rPr>
        <w:t>]</w:t>
      </w:r>
    </w:p>
    <w:p w14:paraId="44F88168" w14:textId="77777777"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AF69A47" w14:textId="77777777" w:rsidR="00476031" w:rsidRDefault="00662A8E" w:rsidP="00662A8E">
      <w:pPr>
        <w:pStyle w:val="BodyText"/>
        <w:ind w:firstLine="0"/>
        <w:rPr>
          <w:rFonts w:ascii="Avenir Next" w:hAnsi="Avenir Next"/>
          <w:color w:val="808080" w:themeColor="background1" w:themeShade="80"/>
        </w:rPr>
      </w:pPr>
      <w:r w:rsidRPr="007D4146">
        <w:rPr>
          <w:rFonts w:ascii="Avenir Next" w:hAnsi="Avenir Next"/>
          <w:color w:val="808080" w:themeColor="background1" w:themeShade="80"/>
        </w:rPr>
        <w:t>[</w:t>
      </w:r>
      <w:r w:rsidR="00476031">
        <w:rPr>
          <w:rFonts w:ascii="Avenir Next" w:hAnsi="Avenir Next"/>
          <w:color w:val="808080" w:themeColor="background1" w:themeShade="80"/>
        </w:rPr>
        <w:t>The relief that is available to the Court upon a restructuring petition is provided in the Companies Act Section 91B(3). According to the act the Court may:</w:t>
      </w:r>
    </w:p>
    <w:p w14:paraId="579C1EDD" w14:textId="77777777" w:rsidR="00F52370" w:rsidRPr="00F52370" w:rsidRDefault="00F52370" w:rsidP="00476031">
      <w:pPr>
        <w:pStyle w:val="BodyText"/>
        <w:numPr>
          <w:ilvl w:val="0"/>
          <w:numId w:val="40"/>
        </w:numPr>
        <w:rPr>
          <w:rFonts w:ascii="Avenir Next" w:hAnsi="Avenir Next"/>
          <w:b/>
          <w:bCs/>
        </w:rPr>
      </w:pPr>
      <w:r>
        <w:rPr>
          <w:rFonts w:ascii="Avenir Next" w:hAnsi="Avenir Next"/>
          <w:color w:val="808080" w:themeColor="background1" w:themeShade="80"/>
        </w:rPr>
        <w:t>Appoint a restructuring order through a Court Order,</w:t>
      </w:r>
    </w:p>
    <w:p w14:paraId="403862FB" w14:textId="77777777" w:rsidR="00F52370" w:rsidRPr="00F52370" w:rsidRDefault="00F52370" w:rsidP="00476031">
      <w:pPr>
        <w:pStyle w:val="BodyText"/>
        <w:numPr>
          <w:ilvl w:val="0"/>
          <w:numId w:val="40"/>
        </w:numPr>
        <w:rPr>
          <w:rFonts w:ascii="Avenir Next" w:hAnsi="Avenir Next"/>
          <w:b/>
          <w:bCs/>
        </w:rPr>
      </w:pPr>
      <w:r>
        <w:rPr>
          <w:rFonts w:ascii="Avenir Next" w:hAnsi="Avenir Next"/>
          <w:color w:val="808080" w:themeColor="background1" w:themeShade="80"/>
        </w:rPr>
        <w:t xml:space="preserve">Adjourn the hearing, </w:t>
      </w:r>
    </w:p>
    <w:p w14:paraId="4AC6BAEE" w14:textId="77777777" w:rsidR="00F52370" w:rsidRPr="00F52370" w:rsidRDefault="00F52370" w:rsidP="00476031">
      <w:pPr>
        <w:pStyle w:val="BodyText"/>
        <w:numPr>
          <w:ilvl w:val="0"/>
          <w:numId w:val="40"/>
        </w:numPr>
        <w:rPr>
          <w:rFonts w:ascii="Avenir Next" w:hAnsi="Avenir Next"/>
          <w:b/>
          <w:bCs/>
        </w:rPr>
      </w:pPr>
      <w:r>
        <w:rPr>
          <w:rFonts w:ascii="Avenir Next" w:hAnsi="Avenir Next"/>
          <w:color w:val="808080" w:themeColor="background1" w:themeShade="80"/>
        </w:rPr>
        <w:t xml:space="preserve">Dismiss the petition, or </w:t>
      </w:r>
    </w:p>
    <w:p w14:paraId="2BB9CF6D" w14:textId="77777777" w:rsidR="00F52370" w:rsidRPr="00F52370" w:rsidRDefault="00F52370" w:rsidP="00476031">
      <w:pPr>
        <w:pStyle w:val="BodyText"/>
        <w:numPr>
          <w:ilvl w:val="0"/>
          <w:numId w:val="40"/>
        </w:numPr>
        <w:rPr>
          <w:rFonts w:ascii="Avenir Next" w:hAnsi="Avenir Next"/>
          <w:b/>
          <w:bCs/>
        </w:rPr>
      </w:pPr>
      <w:r>
        <w:rPr>
          <w:rFonts w:ascii="Avenir Next" w:hAnsi="Avenir Next"/>
          <w:color w:val="808080" w:themeColor="background1" w:themeShade="80"/>
        </w:rPr>
        <w:t>Make another order that the Court believes is fit except place the company into official liquidation.</w:t>
      </w:r>
    </w:p>
    <w:p w14:paraId="4254ABCD" w14:textId="338218F7" w:rsidR="00662A8E" w:rsidRPr="00F52370" w:rsidRDefault="00F52370" w:rsidP="00F52370">
      <w:pPr>
        <w:pStyle w:val="BodyText"/>
        <w:ind w:firstLine="0"/>
        <w:rPr>
          <w:rFonts w:ascii="Avenir Next" w:hAnsi="Avenir Next"/>
          <w:b/>
          <w:bCs/>
        </w:rPr>
      </w:pPr>
      <w:r>
        <w:rPr>
          <w:rFonts w:ascii="Avenir Next" w:hAnsi="Avenir Next"/>
          <w:color w:val="808080" w:themeColor="background1" w:themeShade="80"/>
        </w:rPr>
        <w:t>The Court has no power to initiate the winding up of the Company through the Restructuring Petition.</w:t>
      </w:r>
      <w:r w:rsidR="00662A8E" w:rsidRPr="00F52370">
        <w:rPr>
          <w:rFonts w:ascii="Avenir Next" w:hAnsi="Avenir Next"/>
          <w:color w:val="808080" w:themeColor="background1" w:themeShade="80"/>
        </w:rPr>
        <w:t>]</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01F17AFD" w:rsidR="006D7C44" w:rsidRPr="00620512" w:rsidRDefault="006D7C44" w:rsidP="00F3705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620512">
        <w:rPr>
          <w:rFonts w:ascii="Avenir Next" w:hAnsi="Avenir Next"/>
          <w:color w:val="808080" w:themeColor="background1" w:themeShade="80"/>
        </w:rPr>
        <w:t>In addition to the Limited Partnership Agreement, the operations of ELPs are also governed by the Partnership Act (2013 Revision) and the Exempted Limited Partnership Act (2021 Revision) (the “ELP Act”). The ELP Act was drafted with the Delaware limited partnership legislation as a basis and has no English counterpart. The ELP Act stipulates that some powers are subject to provisions included in the Limited Partnership Agreement.</w:t>
      </w:r>
      <w:r w:rsidRPr="00486A0B">
        <w:rPr>
          <w:rFonts w:ascii="Avenir Next" w:hAnsi="Avenir Next"/>
          <w:color w:val="808080" w:themeColor="background1" w:themeShade="80"/>
        </w:rPr>
        <w:t>]</w:t>
      </w:r>
    </w:p>
    <w:p w14:paraId="252BDA73" w14:textId="77777777"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1D88B531" w14:textId="59034995" w:rsidR="005A172B" w:rsidRDefault="00712982" w:rsidP="00F3705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5A172B">
        <w:rPr>
          <w:rFonts w:ascii="Avenir Next" w:hAnsi="Avenir Next"/>
          <w:color w:val="808080" w:themeColor="background1" w:themeShade="80"/>
        </w:rPr>
        <w:t>The Cayman Islands court has jurisdiction to wind up a foreign company according to Section 91(d) of the Companies Act in the following circumstances:</w:t>
      </w:r>
    </w:p>
    <w:p w14:paraId="3517EE83" w14:textId="4033C22B" w:rsidR="005A172B" w:rsidRPr="005A172B" w:rsidRDefault="005A172B" w:rsidP="005A172B">
      <w:pPr>
        <w:pStyle w:val="BodyText"/>
        <w:numPr>
          <w:ilvl w:val="0"/>
          <w:numId w:val="39"/>
        </w:numPr>
        <w:rPr>
          <w:rFonts w:ascii="Avenir Next" w:hAnsi="Avenir Next"/>
          <w:b/>
          <w:bCs/>
        </w:rPr>
      </w:pPr>
      <w:r>
        <w:rPr>
          <w:rFonts w:ascii="Avenir Next" w:hAnsi="Avenir Next"/>
          <w:color w:val="808080" w:themeColor="background1" w:themeShade="80"/>
        </w:rPr>
        <w:t>The foreign company has property located in the Cayman Islands,</w:t>
      </w:r>
    </w:p>
    <w:p w14:paraId="3C60ED94" w14:textId="77777777" w:rsidR="005A172B" w:rsidRPr="005A172B" w:rsidRDefault="005A172B" w:rsidP="005A172B">
      <w:pPr>
        <w:pStyle w:val="BodyText"/>
        <w:numPr>
          <w:ilvl w:val="0"/>
          <w:numId w:val="39"/>
        </w:numPr>
        <w:rPr>
          <w:rFonts w:ascii="Avenir Next" w:hAnsi="Avenir Next"/>
          <w:b/>
          <w:bCs/>
        </w:rPr>
      </w:pPr>
      <w:r>
        <w:rPr>
          <w:rFonts w:ascii="Avenir Next" w:hAnsi="Avenir Next"/>
          <w:color w:val="808080" w:themeColor="background1" w:themeShade="80"/>
        </w:rPr>
        <w:t>The foreign company is carrying on business in the Cayman Islands,</w:t>
      </w:r>
    </w:p>
    <w:p w14:paraId="534495DF" w14:textId="77777777" w:rsidR="005A172B" w:rsidRPr="005A172B" w:rsidRDefault="005A172B" w:rsidP="005A172B">
      <w:pPr>
        <w:pStyle w:val="BodyText"/>
        <w:numPr>
          <w:ilvl w:val="0"/>
          <w:numId w:val="39"/>
        </w:numPr>
        <w:rPr>
          <w:rFonts w:ascii="Avenir Next" w:hAnsi="Avenir Next"/>
          <w:b/>
          <w:bCs/>
        </w:rPr>
      </w:pPr>
      <w:r>
        <w:rPr>
          <w:rFonts w:ascii="Avenir Next" w:hAnsi="Avenir Next"/>
          <w:color w:val="808080" w:themeColor="background1" w:themeShade="80"/>
        </w:rPr>
        <w:t xml:space="preserve">The foreign company is the general partner of a limited partnership, or </w:t>
      </w:r>
    </w:p>
    <w:p w14:paraId="5BF9EC90" w14:textId="4996FB4E" w:rsidR="00712982" w:rsidRPr="00486A0B" w:rsidRDefault="005A172B" w:rsidP="005A172B">
      <w:pPr>
        <w:pStyle w:val="BodyText"/>
        <w:numPr>
          <w:ilvl w:val="0"/>
          <w:numId w:val="39"/>
        </w:numPr>
        <w:rPr>
          <w:rFonts w:ascii="Avenir Next" w:hAnsi="Avenir Next"/>
          <w:b/>
          <w:bCs/>
        </w:rPr>
      </w:pPr>
      <w:r>
        <w:rPr>
          <w:rFonts w:ascii="Avenir Next" w:hAnsi="Avenir Next"/>
          <w:color w:val="808080" w:themeColor="background1" w:themeShade="80"/>
        </w:rPr>
        <w:t>The foreign company is registered as a overseas company under Part IX of the Companies act. This requires the foreign company to register its place of business in the Cayman Islands or start carrying on business in the Cayman Islands.</w:t>
      </w:r>
      <w:r w:rsidR="00712982" w:rsidRPr="00486A0B">
        <w:rPr>
          <w:rFonts w:ascii="Avenir Next" w:hAnsi="Avenir Next"/>
          <w:color w:val="808080" w:themeColor="background1" w:themeShade="80"/>
        </w:rPr>
        <w:t>]</w:t>
      </w: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0072C0EF" w14:textId="1D389057" w:rsidR="008C0BC7" w:rsidRDefault="00712982" w:rsidP="00F3705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8C0BC7">
        <w:rPr>
          <w:rFonts w:ascii="Avenir Next" w:hAnsi="Avenir Next"/>
          <w:color w:val="808080" w:themeColor="background1" w:themeShade="80"/>
        </w:rPr>
        <w:t>The judgement of a foreign court does not need to be registered and/or enforced within the Cayman Islands before it can be relied upon as the basis for seeking a winding up order. This is due to the fact that foreign court judgements have no direct legal effect in the Cayman Islands and are not enforceable. There are steps that can be taken to have them legally enforced though.</w:t>
      </w:r>
    </w:p>
    <w:p w14:paraId="7E51D05D" w14:textId="77777777" w:rsidR="008C0BC7" w:rsidRDefault="008C0BC7" w:rsidP="00F3705F">
      <w:pPr>
        <w:pStyle w:val="BodyText"/>
        <w:ind w:firstLine="0"/>
        <w:rPr>
          <w:rFonts w:ascii="Avenir Next" w:hAnsi="Avenir Next"/>
          <w:color w:val="808080" w:themeColor="background1" w:themeShade="80"/>
        </w:rPr>
      </w:pPr>
    </w:p>
    <w:p w14:paraId="1E1BC559" w14:textId="112B7F1B" w:rsidR="00712982" w:rsidRPr="00486A0B" w:rsidRDefault="008C0BC7" w:rsidP="00F3705F">
      <w:pPr>
        <w:pStyle w:val="BodyText"/>
        <w:ind w:firstLine="0"/>
        <w:rPr>
          <w:rFonts w:ascii="Avenir Next" w:hAnsi="Avenir Next"/>
          <w:b/>
          <w:bCs/>
        </w:rPr>
      </w:pPr>
      <w:r>
        <w:rPr>
          <w:rFonts w:ascii="Avenir Next" w:hAnsi="Avenir Next"/>
          <w:color w:val="808080" w:themeColor="background1" w:themeShade="80"/>
        </w:rPr>
        <w:t>In the matter of Guoan International Limited (29 October 2021) it was determined that creditors are able to rely on foreign judgements when seeking a winding up order without having them recognized or enforced in the Cayman Islands.</w:t>
      </w:r>
      <w:r w:rsidR="00712982" w:rsidRPr="00486A0B">
        <w:rPr>
          <w:rFonts w:ascii="Avenir Next" w:hAnsi="Avenir Next"/>
          <w:color w:val="808080" w:themeColor="background1" w:themeShade="80"/>
        </w:rPr>
        <w:t>]</w:t>
      </w: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BC0868B" w14:textId="08F8C0B1" w:rsidR="00F3705F" w:rsidRPr="00486A0B" w:rsidRDefault="00F3705F" w:rsidP="00F3705F">
      <w:pPr>
        <w:pStyle w:val="BodyText"/>
        <w:ind w:firstLine="0"/>
        <w:rPr>
          <w:rFonts w:ascii="Avenir Next" w:hAnsi="Avenir Next"/>
          <w:b/>
          <w:bCs/>
        </w:rPr>
      </w:pPr>
      <w:r w:rsidRPr="00486A0B">
        <w:rPr>
          <w:rFonts w:ascii="Avenir Next" w:hAnsi="Avenir Next"/>
          <w:color w:val="808080" w:themeColor="background1" w:themeShade="80"/>
        </w:rPr>
        <w:t>[</w:t>
      </w:r>
      <w:r w:rsidR="008C0BC7">
        <w:rPr>
          <w:rFonts w:ascii="Avenir Next" w:hAnsi="Avenir Next"/>
          <w:color w:val="808080" w:themeColor="background1" w:themeShade="80"/>
        </w:rPr>
        <w:t xml:space="preserve">The main statutory powers and duties of the Trustee pursuant to the Bankruptcy Act Section 37 the </w:t>
      </w:r>
      <w:r w:rsidR="008C0BC7">
        <w:rPr>
          <w:rFonts w:ascii="Avenir Next" w:hAnsi="Avenir Next"/>
          <w:color w:val="808080" w:themeColor="background1" w:themeShade="80"/>
        </w:rPr>
        <w:lastRenderedPageBreak/>
        <w:t xml:space="preserve">debtor’s property is passed to, and vests with the Trustee, who will then </w:t>
      </w:r>
      <w:r w:rsidR="00E26507">
        <w:rPr>
          <w:rFonts w:ascii="Avenir Next" w:hAnsi="Avenir Next"/>
          <w:color w:val="808080" w:themeColor="background1" w:themeShade="80"/>
        </w:rPr>
        <w:t>administer the property. Section 80 of the Bankruptcy Act allows the Trustee to commence and partake in legal proceedings that relate to the property of the debtor which they was passed onto the Trustee.</w:t>
      </w:r>
      <w:r w:rsidRPr="00486A0B">
        <w:rPr>
          <w:rFonts w:ascii="Avenir Next" w:hAnsi="Avenir Next"/>
          <w:color w:val="808080" w:themeColor="background1" w:themeShade="80"/>
        </w:rPr>
        <w:t>]</w:t>
      </w: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1A66" w14:textId="77777777" w:rsidR="00CF31D5" w:rsidRDefault="00CF31D5" w:rsidP="001016B0">
      <w:r>
        <w:separator/>
      </w:r>
    </w:p>
  </w:endnote>
  <w:endnote w:type="continuationSeparator" w:id="0">
    <w:p w14:paraId="566823E7" w14:textId="77777777" w:rsidR="00CF31D5" w:rsidRDefault="00CF31D5" w:rsidP="001016B0">
      <w:r>
        <w:continuationSeparator/>
      </w:r>
    </w:p>
  </w:endnote>
  <w:endnote w:type="continuationNotice" w:id="1">
    <w:p w14:paraId="61ABEC1B" w14:textId="77777777" w:rsidR="00CF31D5" w:rsidRDefault="00CF3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15EF8251" w:rsidR="003D2C0D" w:rsidRDefault="007F13A4" w:rsidP="008A20AC">
    <w:pPr>
      <w:pStyle w:val="Footer"/>
      <w:ind w:right="360"/>
    </w:pPr>
    <w:r w:rsidRPr="007F13A4">
      <w:t>202324-1137</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4A32" w14:textId="77777777" w:rsidR="00CF31D5" w:rsidRDefault="00CF31D5" w:rsidP="001016B0">
      <w:r>
        <w:separator/>
      </w:r>
    </w:p>
  </w:footnote>
  <w:footnote w:type="continuationSeparator" w:id="0">
    <w:p w14:paraId="5D0FC297" w14:textId="77777777" w:rsidR="00CF31D5" w:rsidRDefault="00CF31D5" w:rsidP="001016B0">
      <w:r>
        <w:continuationSeparator/>
      </w:r>
    </w:p>
  </w:footnote>
  <w:footnote w:type="continuationNotice" w:id="1">
    <w:p w14:paraId="2E0AB377" w14:textId="77777777" w:rsidR="00CF31D5" w:rsidRDefault="00CF31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033238E"/>
    <w:multiLevelType w:val="hybridMultilevel"/>
    <w:tmpl w:val="D3864E82"/>
    <w:lvl w:ilvl="0" w:tplc="09348EB2">
      <w:start w:val="1"/>
      <w:numFmt w:val="bullet"/>
      <w:lvlText w:val="-"/>
      <w:lvlJc w:val="left"/>
      <w:pPr>
        <w:ind w:left="720" w:hanging="360"/>
      </w:pPr>
      <w:rPr>
        <w:rFonts w:ascii="Avenir Next" w:eastAsia="Arial" w:hAnsi="Avenir Next" w:cs="Arial" w:hint="default"/>
        <w:b w:val="0"/>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52970"/>
    <w:multiLevelType w:val="hybridMultilevel"/>
    <w:tmpl w:val="8B666184"/>
    <w:lvl w:ilvl="0" w:tplc="E1CAACB8">
      <w:start w:val="1"/>
      <w:numFmt w:val="bullet"/>
      <w:lvlText w:val="-"/>
      <w:lvlJc w:val="left"/>
      <w:pPr>
        <w:ind w:left="720" w:hanging="360"/>
      </w:pPr>
      <w:rPr>
        <w:rFonts w:ascii="Avenir Next" w:eastAsia="Arial" w:hAnsi="Avenir Next" w:cs="Arial" w:hint="default"/>
        <w:b w:val="0"/>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6"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8"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0" w15:restartNumberingAfterBreak="0">
    <w:nsid w:val="576C2548"/>
    <w:multiLevelType w:val="hybridMultilevel"/>
    <w:tmpl w:val="6E029F1C"/>
    <w:lvl w:ilvl="0" w:tplc="36D88A62">
      <w:start w:val="1"/>
      <w:numFmt w:val="bullet"/>
      <w:lvlText w:val="-"/>
      <w:lvlJc w:val="left"/>
      <w:pPr>
        <w:ind w:left="720" w:hanging="360"/>
      </w:pPr>
      <w:rPr>
        <w:rFonts w:ascii="Avenir Next" w:eastAsia="Arial" w:hAnsi="Avenir Next" w:cs="Arial" w:hint="default"/>
        <w:b w:val="0"/>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4191810">
    <w:abstractNumId w:val="29"/>
  </w:num>
  <w:num w:numId="2" w16cid:durableId="919102102">
    <w:abstractNumId w:val="25"/>
  </w:num>
  <w:num w:numId="3" w16cid:durableId="1414856738">
    <w:abstractNumId w:val="21"/>
  </w:num>
  <w:num w:numId="4" w16cid:durableId="2110812245">
    <w:abstractNumId w:val="27"/>
  </w:num>
  <w:num w:numId="5" w16cid:durableId="1034235382">
    <w:abstractNumId w:val="0"/>
  </w:num>
  <w:num w:numId="6" w16cid:durableId="1517235846">
    <w:abstractNumId w:val="1"/>
  </w:num>
  <w:num w:numId="7" w16cid:durableId="1558393758">
    <w:abstractNumId w:val="28"/>
  </w:num>
  <w:num w:numId="8" w16cid:durableId="1954943961">
    <w:abstractNumId w:val="2"/>
  </w:num>
  <w:num w:numId="9" w16cid:durableId="1824003859">
    <w:abstractNumId w:val="37"/>
  </w:num>
  <w:num w:numId="10" w16cid:durableId="63770857">
    <w:abstractNumId w:val="38"/>
  </w:num>
  <w:num w:numId="11" w16cid:durableId="383330951">
    <w:abstractNumId w:val="5"/>
  </w:num>
  <w:num w:numId="12" w16cid:durableId="2021619540">
    <w:abstractNumId w:val="39"/>
  </w:num>
  <w:num w:numId="13" w16cid:durableId="534270959">
    <w:abstractNumId w:val="31"/>
  </w:num>
  <w:num w:numId="14" w16cid:durableId="1504511593">
    <w:abstractNumId w:val="16"/>
  </w:num>
  <w:num w:numId="15" w16cid:durableId="1892492689">
    <w:abstractNumId w:val="15"/>
  </w:num>
  <w:num w:numId="16" w16cid:durableId="229115843">
    <w:abstractNumId w:val="36"/>
  </w:num>
  <w:num w:numId="17" w16cid:durableId="1147667042">
    <w:abstractNumId w:val="13"/>
  </w:num>
  <w:num w:numId="18" w16cid:durableId="271522456">
    <w:abstractNumId w:val="10"/>
  </w:num>
  <w:num w:numId="19" w16cid:durableId="960770953">
    <w:abstractNumId w:val="22"/>
  </w:num>
  <w:num w:numId="20" w16cid:durableId="1036656791">
    <w:abstractNumId w:val="6"/>
  </w:num>
  <w:num w:numId="21" w16cid:durableId="688725704">
    <w:abstractNumId w:val="8"/>
  </w:num>
  <w:num w:numId="22" w16cid:durableId="2010331270">
    <w:abstractNumId w:val="33"/>
  </w:num>
  <w:num w:numId="23" w16cid:durableId="1548371236">
    <w:abstractNumId w:val="17"/>
  </w:num>
  <w:num w:numId="24" w16cid:durableId="746804985">
    <w:abstractNumId w:val="14"/>
  </w:num>
  <w:num w:numId="25" w16cid:durableId="1990941518">
    <w:abstractNumId w:val="40"/>
  </w:num>
  <w:num w:numId="26" w16cid:durableId="168764222">
    <w:abstractNumId w:val="34"/>
  </w:num>
  <w:num w:numId="27" w16cid:durableId="515196422">
    <w:abstractNumId w:val="24"/>
  </w:num>
  <w:num w:numId="28" w16cid:durableId="33046855">
    <w:abstractNumId w:val="35"/>
  </w:num>
  <w:num w:numId="29" w16cid:durableId="1446196268">
    <w:abstractNumId w:val="12"/>
  </w:num>
  <w:num w:numId="30" w16cid:durableId="256836819">
    <w:abstractNumId w:val="3"/>
  </w:num>
  <w:num w:numId="31" w16cid:durableId="1847865895">
    <w:abstractNumId w:val="32"/>
  </w:num>
  <w:num w:numId="32" w16cid:durableId="431555259">
    <w:abstractNumId w:val="23"/>
  </w:num>
  <w:num w:numId="33" w16cid:durableId="1739279621">
    <w:abstractNumId w:val="9"/>
  </w:num>
  <w:num w:numId="34" w16cid:durableId="94521867">
    <w:abstractNumId w:val="18"/>
  </w:num>
  <w:num w:numId="35" w16cid:durableId="125007732">
    <w:abstractNumId w:val="26"/>
  </w:num>
  <w:num w:numId="36" w16cid:durableId="1532649305">
    <w:abstractNumId w:val="7"/>
  </w:num>
  <w:num w:numId="37" w16cid:durableId="1557811290">
    <w:abstractNumId w:val="11"/>
  </w:num>
  <w:num w:numId="38" w16cid:durableId="1053307143">
    <w:abstractNumId w:val="4"/>
  </w:num>
  <w:num w:numId="39" w16cid:durableId="1687634427">
    <w:abstractNumId w:val="19"/>
  </w:num>
  <w:num w:numId="40" w16cid:durableId="136340910">
    <w:abstractNumId w:val="30"/>
  </w:num>
  <w:num w:numId="41" w16cid:durableId="1424375190">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mirrorMargi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089"/>
    <w:rsid w:val="000922D6"/>
    <w:rsid w:val="000943C5"/>
    <w:rsid w:val="00094C09"/>
    <w:rsid w:val="00097A42"/>
    <w:rsid w:val="000C0827"/>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10D0"/>
    <w:rsid w:val="00124ECF"/>
    <w:rsid w:val="00132E0E"/>
    <w:rsid w:val="001336C3"/>
    <w:rsid w:val="001525EB"/>
    <w:rsid w:val="00152954"/>
    <w:rsid w:val="00154A4B"/>
    <w:rsid w:val="00155357"/>
    <w:rsid w:val="00157455"/>
    <w:rsid w:val="0016475E"/>
    <w:rsid w:val="0016596F"/>
    <w:rsid w:val="00166CC9"/>
    <w:rsid w:val="00171BCA"/>
    <w:rsid w:val="00175F03"/>
    <w:rsid w:val="00177E01"/>
    <w:rsid w:val="00192D14"/>
    <w:rsid w:val="00192FD4"/>
    <w:rsid w:val="00193626"/>
    <w:rsid w:val="00194D76"/>
    <w:rsid w:val="001954DE"/>
    <w:rsid w:val="00196A05"/>
    <w:rsid w:val="001A1043"/>
    <w:rsid w:val="001A20D0"/>
    <w:rsid w:val="001A370C"/>
    <w:rsid w:val="001A7553"/>
    <w:rsid w:val="001B11DA"/>
    <w:rsid w:val="001B4CC3"/>
    <w:rsid w:val="001B6BA2"/>
    <w:rsid w:val="001C14BF"/>
    <w:rsid w:val="001C667C"/>
    <w:rsid w:val="001C6B3B"/>
    <w:rsid w:val="001C7A25"/>
    <w:rsid w:val="001D2111"/>
    <w:rsid w:val="001E2D89"/>
    <w:rsid w:val="001E34E2"/>
    <w:rsid w:val="001E5BE7"/>
    <w:rsid w:val="001E6FD1"/>
    <w:rsid w:val="001E72C8"/>
    <w:rsid w:val="001F1E22"/>
    <w:rsid w:val="001F2690"/>
    <w:rsid w:val="001F65C0"/>
    <w:rsid w:val="001F6B87"/>
    <w:rsid w:val="00200F4C"/>
    <w:rsid w:val="00201B72"/>
    <w:rsid w:val="002044FB"/>
    <w:rsid w:val="00207497"/>
    <w:rsid w:val="002116A3"/>
    <w:rsid w:val="00211EE8"/>
    <w:rsid w:val="00213DA5"/>
    <w:rsid w:val="0021508C"/>
    <w:rsid w:val="00216818"/>
    <w:rsid w:val="002168D9"/>
    <w:rsid w:val="00217A56"/>
    <w:rsid w:val="00221041"/>
    <w:rsid w:val="00222127"/>
    <w:rsid w:val="00226490"/>
    <w:rsid w:val="002264AD"/>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3095"/>
    <w:rsid w:val="002A082B"/>
    <w:rsid w:val="002A0F8E"/>
    <w:rsid w:val="002A2B0D"/>
    <w:rsid w:val="002A2C16"/>
    <w:rsid w:val="002B15BA"/>
    <w:rsid w:val="002B6609"/>
    <w:rsid w:val="002B6B18"/>
    <w:rsid w:val="002B7150"/>
    <w:rsid w:val="002D006E"/>
    <w:rsid w:val="002D094C"/>
    <w:rsid w:val="002D2D8F"/>
    <w:rsid w:val="002D3211"/>
    <w:rsid w:val="002E0235"/>
    <w:rsid w:val="002E125B"/>
    <w:rsid w:val="002E60D1"/>
    <w:rsid w:val="002F2E23"/>
    <w:rsid w:val="002F49CF"/>
    <w:rsid w:val="002F7820"/>
    <w:rsid w:val="00300343"/>
    <w:rsid w:val="00300368"/>
    <w:rsid w:val="003005A4"/>
    <w:rsid w:val="00300A1C"/>
    <w:rsid w:val="0030119E"/>
    <w:rsid w:val="00303C2F"/>
    <w:rsid w:val="003047C8"/>
    <w:rsid w:val="00315FB1"/>
    <w:rsid w:val="00320A18"/>
    <w:rsid w:val="0032119E"/>
    <w:rsid w:val="00325F61"/>
    <w:rsid w:val="0033007B"/>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6194"/>
    <w:rsid w:val="003721B7"/>
    <w:rsid w:val="00373930"/>
    <w:rsid w:val="00373B34"/>
    <w:rsid w:val="00375DE0"/>
    <w:rsid w:val="003845E5"/>
    <w:rsid w:val="003864CC"/>
    <w:rsid w:val="003931B0"/>
    <w:rsid w:val="00393EC9"/>
    <w:rsid w:val="00393F1C"/>
    <w:rsid w:val="003A06A0"/>
    <w:rsid w:val="003A2F2C"/>
    <w:rsid w:val="003A40DF"/>
    <w:rsid w:val="003A70E6"/>
    <w:rsid w:val="003B06BB"/>
    <w:rsid w:val="003B1A90"/>
    <w:rsid w:val="003B3DEE"/>
    <w:rsid w:val="003B4199"/>
    <w:rsid w:val="003B54BE"/>
    <w:rsid w:val="003C02C7"/>
    <w:rsid w:val="003C5D82"/>
    <w:rsid w:val="003C6E0A"/>
    <w:rsid w:val="003D0550"/>
    <w:rsid w:val="003D15EA"/>
    <w:rsid w:val="003D2C0D"/>
    <w:rsid w:val="003D6FCF"/>
    <w:rsid w:val="003D7B8D"/>
    <w:rsid w:val="003E0049"/>
    <w:rsid w:val="003E2B2B"/>
    <w:rsid w:val="003F5CB9"/>
    <w:rsid w:val="003F62D2"/>
    <w:rsid w:val="004031E2"/>
    <w:rsid w:val="00405310"/>
    <w:rsid w:val="00406425"/>
    <w:rsid w:val="0041025E"/>
    <w:rsid w:val="004140B5"/>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75393"/>
    <w:rsid w:val="00476031"/>
    <w:rsid w:val="00481019"/>
    <w:rsid w:val="0048719D"/>
    <w:rsid w:val="0049287D"/>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2410"/>
    <w:rsid w:val="004D6B14"/>
    <w:rsid w:val="004F54FD"/>
    <w:rsid w:val="004F5D43"/>
    <w:rsid w:val="004F65A6"/>
    <w:rsid w:val="004F67CE"/>
    <w:rsid w:val="00504A64"/>
    <w:rsid w:val="005055F9"/>
    <w:rsid w:val="0050751B"/>
    <w:rsid w:val="00512319"/>
    <w:rsid w:val="00513012"/>
    <w:rsid w:val="00514A53"/>
    <w:rsid w:val="005200BF"/>
    <w:rsid w:val="00520EFB"/>
    <w:rsid w:val="0052140A"/>
    <w:rsid w:val="00525CD4"/>
    <w:rsid w:val="00525EBB"/>
    <w:rsid w:val="00531586"/>
    <w:rsid w:val="0053572E"/>
    <w:rsid w:val="005416EC"/>
    <w:rsid w:val="0054257F"/>
    <w:rsid w:val="00542B4C"/>
    <w:rsid w:val="005524EC"/>
    <w:rsid w:val="005538FB"/>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91D1D"/>
    <w:rsid w:val="00592A8D"/>
    <w:rsid w:val="00595D22"/>
    <w:rsid w:val="005A0E4B"/>
    <w:rsid w:val="005A172B"/>
    <w:rsid w:val="005A640E"/>
    <w:rsid w:val="005A7724"/>
    <w:rsid w:val="005C0FF6"/>
    <w:rsid w:val="005C3DA9"/>
    <w:rsid w:val="005C6146"/>
    <w:rsid w:val="005C7EB6"/>
    <w:rsid w:val="005D171C"/>
    <w:rsid w:val="005D54CF"/>
    <w:rsid w:val="005D6817"/>
    <w:rsid w:val="005E20A3"/>
    <w:rsid w:val="005E2C7E"/>
    <w:rsid w:val="005E45BD"/>
    <w:rsid w:val="005E62D2"/>
    <w:rsid w:val="005F1DE9"/>
    <w:rsid w:val="005F5BDF"/>
    <w:rsid w:val="0060275A"/>
    <w:rsid w:val="006027A2"/>
    <w:rsid w:val="00604564"/>
    <w:rsid w:val="0060661E"/>
    <w:rsid w:val="006069FE"/>
    <w:rsid w:val="00612137"/>
    <w:rsid w:val="00614528"/>
    <w:rsid w:val="00620512"/>
    <w:rsid w:val="006278B5"/>
    <w:rsid w:val="0063766F"/>
    <w:rsid w:val="00640BC9"/>
    <w:rsid w:val="006424E1"/>
    <w:rsid w:val="00643725"/>
    <w:rsid w:val="00644DCE"/>
    <w:rsid w:val="00647006"/>
    <w:rsid w:val="006471BC"/>
    <w:rsid w:val="006478BE"/>
    <w:rsid w:val="00657222"/>
    <w:rsid w:val="0066147F"/>
    <w:rsid w:val="00662A8E"/>
    <w:rsid w:val="006638D6"/>
    <w:rsid w:val="006659FD"/>
    <w:rsid w:val="006674D6"/>
    <w:rsid w:val="00671ADC"/>
    <w:rsid w:val="006731C8"/>
    <w:rsid w:val="00674C6B"/>
    <w:rsid w:val="00680169"/>
    <w:rsid w:val="00684B6B"/>
    <w:rsid w:val="006902DF"/>
    <w:rsid w:val="006907D9"/>
    <w:rsid w:val="0069102F"/>
    <w:rsid w:val="0069113C"/>
    <w:rsid w:val="0069468A"/>
    <w:rsid w:val="0069671C"/>
    <w:rsid w:val="006A1B37"/>
    <w:rsid w:val="006A2381"/>
    <w:rsid w:val="006A75FE"/>
    <w:rsid w:val="006B4C64"/>
    <w:rsid w:val="006B5166"/>
    <w:rsid w:val="006B582B"/>
    <w:rsid w:val="006C0B78"/>
    <w:rsid w:val="006C1935"/>
    <w:rsid w:val="006C44C0"/>
    <w:rsid w:val="006D25BB"/>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5108"/>
    <w:rsid w:val="00710451"/>
    <w:rsid w:val="00710A26"/>
    <w:rsid w:val="00710E3F"/>
    <w:rsid w:val="007120A0"/>
    <w:rsid w:val="00712982"/>
    <w:rsid w:val="007130E9"/>
    <w:rsid w:val="00715982"/>
    <w:rsid w:val="00721E7F"/>
    <w:rsid w:val="00723334"/>
    <w:rsid w:val="00726CA6"/>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7169C"/>
    <w:rsid w:val="007747E8"/>
    <w:rsid w:val="007818BA"/>
    <w:rsid w:val="0078450B"/>
    <w:rsid w:val="00785836"/>
    <w:rsid w:val="00785937"/>
    <w:rsid w:val="0078723E"/>
    <w:rsid w:val="00790583"/>
    <w:rsid w:val="0079130C"/>
    <w:rsid w:val="00791CF2"/>
    <w:rsid w:val="00792FB4"/>
    <w:rsid w:val="00794E5B"/>
    <w:rsid w:val="007A0F49"/>
    <w:rsid w:val="007A1000"/>
    <w:rsid w:val="007A1E90"/>
    <w:rsid w:val="007A46D6"/>
    <w:rsid w:val="007A59FE"/>
    <w:rsid w:val="007B0A80"/>
    <w:rsid w:val="007B178D"/>
    <w:rsid w:val="007B1B03"/>
    <w:rsid w:val="007B2BB6"/>
    <w:rsid w:val="007B435F"/>
    <w:rsid w:val="007B607D"/>
    <w:rsid w:val="007B6DD3"/>
    <w:rsid w:val="007B7692"/>
    <w:rsid w:val="007C04CB"/>
    <w:rsid w:val="007C1BDB"/>
    <w:rsid w:val="007C5F0B"/>
    <w:rsid w:val="007D0061"/>
    <w:rsid w:val="007D215F"/>
    <w:rsid w:val="007E7DF1"/>
    <w:rsid w:val="007F02EC"/>
    <w:rsid w:val="007F085D"/>
    <w:rsid w:val="007F13A4"/>
    <w:rsid w:val="007F5739"/>
    <w:rsid w:val="007F5E8D"/>
    <w:rsid w:val="007F67A0"/>
    <w:rsid w:val="00801379"/>
    <w:rsid w:val="008014E7"/>
    <w:rsid w:val="00803983"/>
    <w:rsid w:val="00804FC8"/>
    <w:rsid w:val="00805A2D"/>
    <w:rsid w:val="00812BFB"/>
    <w:rsid w:val="00813CB4"/>
    <w:rsid w:val="00815D39"/>
    <w:rsid w:val="00816B32"/>
    <w:rsid w:val="00817EB4"/>
    <w:rsid w:val="008201D7"/>
    <w:rsid w:val="00820BFA"/>
    <w:rsid w:val="00822A4C"/>
    <w:rsid w:val="00831A22"/>
    <w:rsid w:val="00831F21"/>
    <w:rsid w:val="008431D7"/>
    <w:rsid w:val="0084350B"/>
    <w:rsid w:val="00844DEE"/>
    <w:rsid w:val="00850236"/>
    <w:rsid w:val="00853DA5"/>
    <w:rsid w:val="008664DC"/>
    <w:rsid w:val="00867EF8"/>
    <w:rsid w:val="008735A4"/>
    <w:rsid w:val="008753CD"/>
    <w:rsid w:val="0087601E"/>
    <w:rsid w:val="00877583"/>
    <w:rsid w:val="008865F3"/>
    <w:rsid w:val="008913A7"/>
    <w:rsid w:val="00895CDF"/>
    <w:rsid w:val="00897EA7"/>
    <w:rsid w:val="008A1E6D"/>
    <w:rsid w:val="008A20AC"/>
    <w:rsid w:val="008A2BE4"/>
    <w:rsid w:val="008A3781"/>
    <w:rsid w:val="008A5F6D"/>
    <w:rsid w:val="008A78B2"/>
    <w:rsid w:val="008A7BA0"/>
    <w:rsid w:val="008B18AE"/>
    <w:rsid w:val="008B2794"/>
    <w:rsid w:val="008B74A9"/>
    <w:rsid w:val="008B7C0A"/>
    <w:rsid w:val="008C0BC7"/>
    <w:rsid w:val="008C202B"/>
    <w:rsid w:val="008C52C5"/>
    <w:rsid w:val="008D0D58"/>
    <w:rsid w:val="008D2586"/>
    <w:rsid w:val="008D289A"/>
    <w:rsid w:val="008D2D34"/>
    <w:rsid w:val="008D68E2"/>
    <w:rsid w:val="008D7189"/>
    <w:rsid w:val="008D76BB"/>
    <w:rsid w:val="008E3552"/>
    <w:rsid w:val="008E394D"/>
    <w:rsid w:val="008E3D06"/>
    <w:rsid w:val="008E623E"/>
    <w:rsid w:val="008E6B76"/>
    <w:rsid w:val="008F2BE2"/>
    <w:rsid w:val="009004D4"/>
    <w:rsid w:val="0090300F"/>
    <w:rsid w:val="0090576D"/>
    <w:rsid w:val="00912F92"/>
    <w:rsid w:val="00913123"/>
    <w:rsid w:val="009143EA"/>
    <w:rsid w:val="00917205"/>
    <w:rsid w:val="0092725A"/>
    <w:rsid w:val="00930A74"/>
    <w:rsid w:val="00934980"/>
    <w:rsid w:val="00941F3D"/>
    <w:rsid w:val="00944436"/>
    <w:rsid w:val="00944A47"/>
    <w:rsid w:val="00954CBE"/>
    <w:rsid w:val="00957995"/>
    <w:rsid w:val="00957A2E"/>
    <w:rsid w:val="00960066"/>
    <w:rsid w:val="00960617"/>
    <w:rsid w:val="00960B8D"/>
    <w:rsid w:val="009621D7"/>
    <w:rsid w:val="00972B13"/>
    <w:rsid w:val="009733E8"/>
    <w:rsid w:val="00973B2E"/>
    <w:rsid w:val="009803AC"/>
    <w:rsid w:val="00982CE2"/>
    <w:rsid w:val="0098311F"/>
    <w:rsid w:val="009857FC"/>
    <w:rsid w:val="00987044"/>
    <w:rsid w:val="00987B82"/>
    <w:rsid w:val="009928E9"/>
    <w:rsid w:val="009B0913"/>
    <w:rsid w:val="009B5CFD"/>
    <w:rsid w:val="009B6ADA"/>
    <w:rsid w:val="009B7D40"/>
    <w:rsid w:val="009C1EC6"/>
    <w:rsid w:val="009C6019"/>
    <w:rsid w:val="009C7A87"/>
    <w:rsid w:val="009C7BB4"/>
    <w:rsid w:val="009D0718"/>
    <w:rsid w:val="009D1F99"/>
    <w:rsid w:val="009D27B4"/>
    <w:rsid w:val="009D6CB8"/>
    <w:rsid w:val="009E2AEB"/>
    <w:rsid w:val="009E549B"/>
    <w:rsid w:val="009F3508"/>
    <w:rsid w:val="009F45C7"/>
    <w:rsid w:val="009F49C2"/>
    <w:rsid w:val="009F4C3A"/>
    <w:rsid w:val="009F6007"/>
    <w:rsid w:val="00A04017"/>
    <w:rsid w:val="00A05CF9"/>
    <w:rsid w:val="00A06708"/>
    <w:rsid w:val="00A07356"/>
    <w:rsid w:val="00A225FD"/>
    <w:rsid w:val="00A22F78"/>
    <w:rsid w:val="00A2519A"/>
    <w:rsid w:val="00A27554"/>
    <w:rsid w:val="00A27D7D"/>
    <w:rsid w:val="00A322BC"/>
    <w:rsid w:val="00A3289A"/>
    <w:rsid w:val="00A32AB4"/>
    <w:rsid w:val="00A34167"/>
    <w:rsid w:val="00A3508F"/>
    <w:rsid w:val="00A35A17"/>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C38"/>
    <w:rsid w:val="00A7630B"/>
    <w:rsid w:val="00A80A08"/>
    <w:rsid w:val="00A81BF9"/>
    <w:rsid w:val="00A82E83"/>
    <w:rsid w:val="00A86A52"/>
    <w:rsid w:val="00A87868"/>
    <w:rsid w:val="00A879AC"/>
    <w:rsid w:val="00A91D16"/>
    <w:rsid w:val="00A9204E"/>
    <w:rsid w:val="00A9217C"/>
    <w:rsid w:val="00A92340"/>
    <w:rsid w:val="00A92CBC"/>
    <w:rsid w:val="00A95393"/>
    <w:rsid w:val="00A9675A"/>
    <w:rsid w:val="00A97787"/>
    <w:rsid w:val="00A97DED"/>
    <w:rsid w:val="00AA00CE"/>
    <w:rsid w:val="00AA70F7"/>
    <w:rsid w:val="00AA7144"/>
    <w:rsid w:val="00AB47A8"/>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7612E"/>
    <w:rsid w:val="00B827C6"/>
    <w:rsid w:val="00B856C0"/>
    <w:rsid w:val="00B857E6"/>
    <w:rsid w:val="00BA24B1"/>
    <w:rsid w:val="00BA451C"/>
    <w:rsid w:val="00BA53E7"/>
    <w:rsid w:val="00BA6F72"/>
    <w:rsid w:val="00BB0F71"/>
    <w:rsid w:val="00BB1EBB"/>
    <w:rsid w:val="00BB6FE0"/>
    <w:rsid w:val="00BC163A"/>
    <w:rsid w:val="00BC2902"/>
    <w:rsid w:val="00BD0975"/>
    <w:rsid w:val="00BD0DC2"/>
    <w:rsid w:val="00BD1E8D"/>
    <w:rsid w:val="00BD2DF8"/>
    <w:rsid w:val="00BD2F4B"/>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3096"/>
    <w:rsid w:val="00C30838"/>
    <w:rsid w:val="00C30AE9"/>
    <w:rsid w:val="00C3318F"/>
    <w:rsid w:val="00C33FE0"/>
    <w:rsid w:val="00C37EE1"/>
    <w:rsid w:val="00C45C67"/>
    <w:rsid w:val="00C524A8"/>
    <w:rsid w:val="00C546F7"/>
    <w:rsid w:val="00C56E18"/>
    <w:rsid w:val="00C615A1"/>
    <w:rsid w:val="00C63919"/>
    <w:rsid w:val="00C63AAA"/>
    <w:rsid w:val="00C6466A"/>
    <w:rsid w:val="00C672FE"/>
    <w:rsid w:val="00C7098F"/>
    <w:rsid w:val="00C735DC"/>
    <w:rsid w:val="00C75BA5"/>
    <w:rsid w:val="00C77709"/>
    <w:rsid w:val="00C777B1"/>
    <w:rsid w:val="00C86426"/>
    <w:rsid w:val="00C9018E"/>
    <w:rsid w:val="00C92E9B"/>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F31D5"/>
    <w:rsid w:val="00CF3421"/>
    <w:rsid w:val="00CF4EEF"/>
    <w:rsid w:val="00CF5F19"/>
    <w:rsid w:val="00CF6645"/>
    <w:rsid w:val="00CF79F9"/>
    <w:rsid w:val="00D00885"/>
    <w:rsid w:val="00D0089A"/>
    <w:rsid w:val="00D106DD"/>
    <w:rsid w:val="00D1414C"/>
    <w:rsid w:val="00D203DA"/>
    <w:rsid w:val="00D20C81"/>
    <w:rsid w:val="00D23D4C"/>
    <w:rsid w:val="00D26A6D"/>
    <w:rsid w:val="00D31451"/>
    <w:rsid w:val="00D31F0C"/>
    <w:rsid w:val="00D35C64"/>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A386F"/>
    <w:rsid w:val="00DA38FF"/>
    <w:rsid w:val="00DB473C"/>
    <w:rsid w:val="00DC024D"/>
    <w:rsid w:val="00DC07C1"/>
    <w:rsid w:val="00DC0E33"/>
    <w:rsid w:val="00DC1566"/>
    <w:rsid w:val="00DC1D77"/>
    <w:rsid w:val="00DC20CF"/>
    <w:rsid w:val="00DC2585"/>
    <w:rsid w:val="00DD2413"/>
    <w:rsid w:val="00DD5BD4"/>
    <w:rsid w:val="00DE0233"/>
    <w:rsid w:val="00DE23CF"/>
    <w:rsid w:val="00DE6FDB"/>
    <w:rsid w:val="00DE7898"/>
    <w:rsid w:val="00DF4D25"/>
    <w:rsid w:val="00DF64E1"/>
    <w:rsid w:val="00E024A7"/>
    <w:rsid w:val="00E03AD1"/>
    <w:rsid w:val="00E04EAD"/>
    <w:rsid w:val="00E1059F"/>
    <w:rsid w:val="00E1098F"/>
    <w:rsid w:val="00E10BE3"/>
    <w:rsid w:val="00E12660"/>
    <w:rsid w:val="00E17027"/>
    <w:rsid w:val="00E20604"/>
    <w:rsid w:val="00E2315E"/>
    <w:rsid w:val="00E23AAE"/>
    <w:rsid w:val="00E2466A"/>
    <w:rsid w:val="00E26507"/>
    <w:rsid w:val="00E30785"/>
    <w:rsid w:val="00E36270"/>
    <w:rsid w:val="00E40A16"/>
    <w:rsid w:val="00E44FA9"/>
    <w:rsid w:val="00E5074A"/>
    <w:rsid w:val="00E5236A"/>
    <w:rsid w:val="00E56F95"/>
    <w:rsid w:val="00E57846"/>
    <w:rsid w:val="00E6022A"/>
    <w:rsid w:val="00E62F1E"/>
    <w:rsid w:val="00E63A8F"/>
    <w:rsid w:val="00E64F45"/>
    <w:rsid w:val="00E7109B"/>
    <w:rsid w:val="00E755CA"/>
    <w:rsid w:val="00E81830"/>
    <w:rsid w:val="00E83556"/>
    <w:rsid w:val="00E87F7D"/>
    <w:rsid w:val="00E9506C"/>
    <w:rsid w:val="00E97FCF"/>
    <w:rsid w:val="00EA2A8C"/>
    <w:rsid w:val="00EA2B57"/>
    <w:rsid w:val="00EA390C"/>
    <w:rsid w:val="00EA3CA4"/>
    <w:rsid w:val="00EA6193"/>
    <w:rsid w:val="00EB3E2A"/>
    <w:rsid w:val="00EB6910"/>
    <w:rsid w:val="00EB6DA5"/>
    <w:rsid w:val="00EB7B1A"/>
    <w:rsid w:val="00ED248F"/>
    <w:rsid w:val="00ED335A"/>
    <w:rsid w:val="00ED76B9"/>
    <w:rsid w:val="00EE4A27"/>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44B9"/>
    <w:rsid w:val="00F45661"/>
    <w:rsid w:val="00F512FE"/>
    <w:rsid w:val="00F52370"/>
    <w:rsid w:val="00F52CE6"/>
    <w:rsid w:val="00F5465E"/>
    <w:rsid w:val="00F57033"/>
    <w:rsid w:val="00F57481"/>
    <w:rsid w:val="00F6436A"/>
    <w:rsid w:val="00F6582B"/>
    <w:rsid w:val="00F6622D"/>
    <w:rsid w:val="00F95A8E"/>
    <w:rsid w:val="00F97329"/>
    <w:rsid w:val="00FA596D"/>
    <w:rsid w:val="00FA602E"/>
    <w:rsid w:val="00FA63F5"/>
    <w:rsid w:val="00FB07CE"/>
    <w:rsid w:val="00FB2F3F"/>
    <w:rsid w:val="00FB7F81"/>
    <w:rsid w:val="00FC074E"/>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88E94"/>
  <w15:docId w15:val="{0557DAFE-D384-4B35-BD32-570B409F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5851</Words>
  <Characters>33352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Taj Lee</cp:lastModifiedBy>
  <cp:revision>16</cp:revision>
  <cp:lastPrinted>2022-09-29T12:20:00Z</cp:lastPrinted>
  <dcterms:created xsi:type="dcterms:W3CDTF">2023-11-24T00:28:00Z</dcterms:created>
  <dcterms:modified xsi:type="dcterms:W3CDTF">2023-11-24T13:00:00Z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