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CC4FA3"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CC4FA3">
        <w:rPr>
          <w:rFonts w:ascii="Avenir Next" w:hAnsi="Avenir Next"/>
          <w:color w:val="000000" w:themeColor="text1"/>
          <w:highlight w:val="yellow"/>
          <w:lang w:val="en-GB"/>
        </w:rPr>
        <w:t>A debtor w</w:t>
      </w:r>
      <w:r w:rsidR="005408DA" w:rsidRPr="00CC4FA3">
        <w:rPr>
          <w:rFonts w:ascii="Avenir Next" w:hAnsi="Avenir Next"/>
          <w:color w:val="000000" w:themeColor="text1"/>
          <w:highlight w:val="yellow"/>
          <w:lang w:val="en-GB"/>
        </w:rPr>
        <w:t xml:space="preserve">ho is over-indebted and unable to pay his debts and has </w:t>
      </w:r>
      <w:r w:rsidR="002B4DCE" w:rsidRPr="00CC4FA3">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CC4FA3"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CC4FA3">
        <w:rPr>
          <w:rFonts w:ascii="Avenir Next" w:hAnsi="Avenir Next"/>
          <w:color w:val="000000" w:themeColor="text1"/>
          <w:highlight w:val="yellow"/>
          <w:lang w:val="en-GB"/>
        </w:rPr>
        <w:t>Local or Provincial Division of the High Court</w:t>
      </w:r>
      <w:r w:rsidR="00A84263" w:rsidRPr="00CC4FA3">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15751C"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15751C">
        <w:rPr>
          <w:rFonts w:ascii="Avenir Next" w:hAnsi="Avenir Next" w:cs="Arial"/>
          <w:bCs/>
          <w:highlight w:val="yellow"/>
          <w:lang w:val="en-GB"/>
        </w:rPr>
        <w:t>S</w:t>
      </w:r>
      <w:r w:rsidR="00CC42D8" w:rsidRPr="0015751C">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15751C"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15751C">
        <w:rPr>
          <w:rFonts w:ascii="Avenir Next" w:hAnsi="Avenir Next" w:cs="Arial"/>
          <w:highlight w:val="yellow"/>
          <w:lang w:val="en-GB"/>
        </w:rPr>
        <w:t>G</w:t>
      </w:r>
      <w:r w:rsidR="00E64E1A" w:rsidRPr="0015751C">
        <w:rPr>
          <w:rFonts w:ascii="Avenir Next" w:hAnsi="Avenir Next" w:cs="Arial"/>
          <w:highlight w:val="yellow"/>
          <w:lang w:val="en-GB"/>
        </w:rPr>
        <w:t>enerally</w:t>
      </w:r>
      <w:proofErr w:type="gramEnd"/>
      <w:r w:rsidR="00E64E1A" w:rsidRPr="0015751C">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590961"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590961">
        <w:rPr>
          <w:rFonts w:ascii="Avenir Next" w:hAnsi="Avenir Next" w:cs="Arial"/>
          <w:highlight w:val="yellow"/>
          <w:lang w:val="en-GB"/>
        </w:rPr>
        <w:t xml:space="preserve">The insolvent is not entitled to </w:t>
      </w:r>
      <w:proofErr w:type="gramStart"/>
      <w:r w:rsidRPr="00590961">
        <w:rPr>
          <w:rFonts w:ascii="Avenir Next" w:hAnsi="Avenir Next" w:cs="Arial"/>
          <w:highlight w:val="yellow"/>
          <w:lang w:val="en-GB"/>
        </w:rPr>
        <w:t>enter into</w:t>
      </w:r>
      <w:proofErr w:type="gramEnd"/>
      <w:r w:rsidRPr="00590961">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E206A2"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E206A2">
        <w:rPr>
          <w:rFonts w:ascii="Avenir Next" w:hAnsi="Avenir Next"/>
          <w:highlight w:val="yellow"/>
          <w:lang w:val="en-GB"/>
        </w:rPr>
        <w:t xml:space="preserve">The Court in </w:t>
      </w:r>
      <w:r w:rsidR="0089051C" w:rsidRPr="00E206A2">
        <w:rPr>
          <w:rFonts w:ascii="Avenir Next" w:hAnsi="Avenir Next"/>
          <w:i/>
          <w:iCs/>
          <w:highlight w:val="yellow"/>
          <w:lang w:val="en-GB"/>
        </w:rPr>
        <w:t xml:space="preserve">City of Johannesburg v Kaplan NO </w:t>
      </w:r>
      <w:r w:rsidR="0089051C" w:rsidRPr="00E206A2">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52499A" w:rsidRDefault="00CC7F79" w:rsidP="00E37136">
      <w:pPr>
        <w:pStyle w:val="NoSpacing"/>
        <w:numPr>
          <w:ilvl w:val="0"/>
          <w:numId w:val="6"/>
        </w:numPr>
        <w:ind w:left="709" w:hanging="709"/>
        <w:jc w:val="both"/>
        <w:rPr>
          <w:rFonts w:ascii="Avenir Next" w:hAnsi="Avenir Next"/>
          <w:highlight w:val="yellow"/>
          <w:lang w:val="en-GB"/>
        </w:rPr>
      </w:pPr>
      <w:r w:rsidRPr="0052499A">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83342C"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83342C">
        <w:rPr>
          <w:rFonts w:ascii="Avenir Next" w:hAnsi="Avenir Next"/>
          <w:i/>
          <w:iCs/>
          <w:color w:val="000000" w:themeColor="text1"/>
          <w:highlight w:val="yellow"/>
          <w:lang w:val="en-GB"/>
        </w:rPr>
        <w:t xml:space="preserve">Mayo v De </w:t>
      </w:r>
      <w:proofErr w:type="spellStart"/>
      <w:proofErr w:type="gramStart"/>
      <w:r w:rsidRPr="0083342C">
        <w:rPr>
          <w:rFonts w:ascii="Avenir Next" w:hAnsi="Avenir Next"/>
          <w:i/>
          <w:iCs/>
          <w:color w:val="000000" w:themeColor="text1"/>
          <w:highlight w:val="yellow"/>
          <w:lang w:val="en-GB"/>
        </w:rPr>
        <w:t>Monthlehu</w:t>
      </w:r>
      <w:proofErr w:type="spellEnd"/>
      <w:r w:rsidRPr="0083342C">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83342C" w:rsidRDefault="001C3B78" w:rsidP="00E37136">
      <w:pPr>
        <w:pStyle w:val="ListParagraph"/>
        <w:numPr>
          <w:ilvl w:val="0"/>
          <w:numId w:val="1"/>
        </w:numPr>
        <w:spacing w:after="0" w:line="240" w:lineRule="auto"/>
        <w:ind w:left="709" w:hanging="709"/>
        <w:rPr>
          <w:rFonts w:ascii="Avenir Next" w:hAnsi="Avenir Next"/>
          <w:lang w:val="en-GB"/>
        </w:rPr>
      </w:pPr>
      <w:r w:rsidRPr="0083342C">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83342C"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83342C">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F338E3"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F338E3">
        <w:rPr>
          <w:rFonts w:ascii="Avenir Next" w:hAnsi="Avenir Next"/>
          <w:highlight w:val="yellow"/>
          <w:lang w:val="en-GB"/>
        </w:rPr>
        <w:t>V</w:t>
      </w:r>
      <w:r w:rsidR="00F96E42" w:rsidRPr="00F338E3">
        <w:rPr>
          <w:rFonts w:ascii="Avenir Next" w:hAnsi="Avenir Next"/>
          <w:highlight w:val="yellow"/>
          <w:lang w:val="en-GB"/>
        </w:rPr>
        <w:t>est</w:t>
      </w:r>
      <w:r w:rsidR="006418DE" w:rsidRPr="00F338E3">
        <w:rPr>
          <w:rFonts w:ascii="Avenir Next" w:hAnsi="Avenir Next"/>
          <w:highlight w:val="yellow"/>
          <w:lang w:val="en-GB"/>
        </w:rPr>
        <w:t>s</w:t>
      </w:r>
      <w:r w:rsidR="00F96E42" w:rsidRPr="00F338E3">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F338E3"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F338E3">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F338E3"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F338E3">
        <w:rPr>
          <w:rFonts w:ascii="Avenir Next" w:hAnsi="Avenir Next"/>
          <w:color w:val="000000" w:themeColor="text1"/>
          <w:highlight w:val="yellow"/>
          <w:lang w:val="en-GB"/>
        </w:rPr>
        <w:t>Special meeting</w:t>
      </w:r>
      <w:r w:rsidR="0052745C" w:rsidRPr="00F338E3">
        <w:rPr>
          <w:rFonts w:ascii="Avenir Next" w:hAnsi="Avenir Next"/>
          <w:color w:val="000000" w:themeColor="text1"/>
          <w:highlight w:val="yellow"/>
          <w:lang w:val="en-GB"/>
        </w:rPr>
        <w:t>s</w:t>
      </w:r>
      <w:r w:rsidRPr="00F338E3">
        <w:rPr>
          <w:rFonts w:ascii="Avenir Next" w:hAnsi="Avenir Next"/>
          <w:color w:val="000000" w:themeColor="text1"/>
          <w:highlight w:val="yellow"/>
          <w:lang w:val="en-GB"/>
        </w:rPr>
        <w:t xml:space="preserve"> are convened for creditors to prove their claims</w:t>
      </w:r>
      <w:r w:rsidR="00851AFE" w:rsidRPr="00F338E3">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70458A">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676A9C" w:rsidRDefault="00A74AB2" w:rsidP="00F10C2B">
      <w:pPr>
        <w:pStyle w:val="ListParagraph"/>
        <w:numPr>
          <w:ilvl w:val="0"/>
          <w:numId w:val="8"/>
        </w:numPr>
        <w:spacing w:after="0" w:line="240" w:lineRule="auto"/>
        <w:ind w:left="709" w:hanging="709"/>
        <w:rPr>
          <w:rFonts w:ascii="Avenir Next" w:hAnsi="Avenir Next"/>
          <w:lang w:val="en-GB"/>
        </w:rPr>
      </w:pPr>
      <w:r w:rsidRPr="00676A9C">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3A7E66" w:rsidRDefault="00CD65D6" w:rsidP="00E37136">
      <w:pPr>
        <w:pStyle w:val="ListParagraph"/>
        <w:numPr>
          <w:ilvl w:val="0"/>
          <w:numId w:val="8"/>
        </w:numPr>
        <w:spacing w:after="0" w:line="240" w:lineRule="auto"/>
        <w:ind w:left="709" w:hanging="709"/>
        <w:jc w:val="left"/>
        <w:rPr>
          <w:rFonts w:ascii="Avenir Next" w:hAnsi="Avenir Next"/>
          <w:lang w:val="en-GB"/>
        </w:rPr>
      </w:pPr>
      <w:r w:rsidRPr="003A7E66">
        <w:rPr>
          <w:rFonts w:ascii="Avenir Next" w:hAnsi="Avenir Next"/>
          <w:lang w:val="en-GB"/>
        </w:rPr>
        <w:t xml:space="preserve">Paragraphs </w:t>
      </w:r>
      <w:r w:rsidR="00A74AB2" w:rsidRPr="003A7E66">
        <w:rPr>
          <w:rFonts w:ascii="Avenir Next" w:hAnsi="Avenir Next"/>
          <w:lang w:val="en-GB"/>
        </w:rPr>
        <w:t xml:space="preserve">(a) and (c) </w:t>
      </w:r>
      <w:r w:rsidRPr="003A7E66">
        <w:rPr>
          <w:rFonts w:ascii="Avenir Next" w:hAnsi="Avenir Next"/>
          <w:lang w:val="en-GB"/>
        </w:rPr>
        <w:t>are correct</w:t>
      </w:r>
      <w:r w:rsidR="00A74AB2" w:rsidRPr="003A7E66">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676A9C"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676A9C">
        <w:rPr>
          <w:rFonts w:ascii="Avenir Next" w:hAnsi="Avenir Next"/>
          <w:highlight w:val="yellow"/>
          <w:lang w:val="en-GB"/>
        </w:rPr>
        <w:t>Paragraphs (</w:t>
      </w:r>
      <w:r w:rsidR="001E1EC6" w:rsidRPr="00676A9C">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975245">
        <w:rPr>
          <w:rFonts w:ascii="Avenir Next Demi Bold" w:hAnsi="Avenir Next Demi Bold"/>
          <w:b/>
          <w:bCs/>
          <w:color w:val="000000" w:themeColor="text1"/>
          <w:lang w:val="en-GB"/>
        </w:rPr>
        <w:t>Question 1.</w:t>
      </w:r>
      <w:r w:rsidR="00C65ECB" w:rsidRPr="00975245">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F375A5"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F375A5">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F375A5">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F375A5"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F375A5">
        <w:rPr>
          <w:rFonts w:ascii="Avenir Next" w:hAnsi="Avenir Next"/>
          <w:highlight w:val="yellow"/>
          <w:lang w:val="en-GB"/>
        </w:rPr>
        <w:t xml:space="preserve">Paragraphs </w:t>
      </w:r>
      <w:r w:rsidR="0054190F" w:rsidRPr="00F375A5">
        <w:rPr>
          <w:rFonts w:ascii="Avenir Next" w:hAnsi="Avenir Next"/>
          <w:highlight w:val="yellow"/>
          <w:lang w:val="en-GB"/>
        </w:rPr>
        <w:t xml:space="preserve">(a), (b) and (c) are </w:t>
      </w:r>
      <w:r w:rsidR="007122F3" w:rsidRPr="00F375A5">
        <w:rPr>
          <w:rFonts w:ascii="Avenir Next" w:hAnsi="Avenir Next"/>
          <w:highlight w:val="yellow"/>
          <w:lang w:val="en-GB"/>
        </w:rPr>
        <w:t>corre</w:t>
      </w:r>
      <w:r w:rsidRPr="00F375A5">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F31FDA"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F31FDA">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F31FDA"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F31FDA">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F31FDA"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F31FDA">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65037A"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65037A">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bookmarkStart w:id="0" w:name="_Hlk151648484"/>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bookmarkEnd w:id="0"/>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594AA375" w14:textId="10953394" w:rsidR="007F0225" w:rsidRPr="00D979D4" w:rsidRDefault="00D34260" w:rsidP="00E37136">
      <w:pPr>
        <w:rPr>
          <w:rFonts w:ascii="Arial" w:hAnsi="Arial"/>
          <w:lang w:val="en-GB"/>
        </w:rPr>
      </w:pPr>
      <w:r>
        <w:rPr>
          <w:rFonts w:ascii="Arial" w:hAnsi="Arial"/>
          <w:i/>
          <w:iCs/>
          <w:color w:val="808080" w:themeColor="background1" w:themeShade="80"/>
          <w:lang w:val="en-GB"/>
        </w:rPr>
        <w:t>C</w:t>
      </w:r>
      <w:r w:rsidRPr="00D34260">
        <w:rPr>
          <w:rFonts w:ascii="Arial" w:hAnsi="Arial"/>
          <w:i/>
          <w:iCs/>
          <w:color w:val="808080" w:themeColor="background1" w:themeShade="80"/>
          <w:lang w:val="en-GB"/>
        </w:rPr>
        <w:t xml:space="preserve">oncursus </w:t>
      </w:r>
      <w:r>
        <w:rPr>
          <w:rFonts w:ascii="Arial" w:hAnsi="Arial"/>
          <w:i/>
          <w:iCs/>
          <w:color w:val="808080" w:themeColor="background1" w:themeShade="80"/>
          <w:lang w:val="en-GB"/>
        </w:rPr>
        <w:t>C</w:t>
      </w:r>
      <w:r w:rsidRPr="00D34260">
        <w:rPr>
          <w:rFonts w:ascii="Arial" w:hAnsi="Arial"/>
          <w:i/>
          <w:iCs/>
          <w:color w:val="808080" w:themeColor="background1" w:themeShade="80"/>
          <w:lang w:val="en-GB"/>
        </w:rPr>
        <w:t>reditorum</w:t>
      </w:r>
      <w:r w:rsidRPr="00D34260">
        <w:rPr>
          <w:rFonts w:ascii="Arial" w:hAnsi="Arial"/>
          <w:color w:val="808080" w:themeColor="background1" w:themeShade="80"/>
          <w:lang w:val="en-GB"/>
        </w:rPr>
        <w:t xml:space="preserve"> </w:t>
      </w:r>
      <w:r>
        <w:rPr>
          <w:rFonts w:ascii="Arial" w:hAnsi="Arial"/>
          <w:color w:val="808080" w:themeColor="background1" w:themeShade="80"/>
          <w:lang w:val="en-GB"/>
        </w:rPr>
        <w:t xml:space="preserve">is a </w:t>
      </w:r>
      <w:proofErr w:type="spellStart"/>
      <w:r>
        <w:rPr>
          <w:rFonts w:ascii="Arial" w:hAnsi="Arial"/>
          <w:color w:val="808080" w:themeColor="background1" w:themeShade="80"/>
          <w:lang w:val="en-GB"/>
        </w:rPr>
        <w:t>latin</w:t>
      </w:r>
      <w:proofErr w:type="spellEnd"/>
      <w:r>
        <w:rPr>
          <w:rFonts w:ascii="Arial" w:hAnsi="Arial"/>
          <w:color w:val="808080" w:themeColor="background1" w:themeShade="80"/>
          <w:lang w:val="en-GB"/>
        </w:rPr>
        <w:t xml:space="preserve"> maxim meaning the creditors “come together”. </w:t>
      </w:r>
      <w:proofErr w:type="gramStart"/>
      <w:r w:rsidR="00F72A9F">
        <w:rPr>
          <w:rFonts w:ascii="Arial" w:hAnsi="Arial"/>
          <w:color w:val="808080" w:themeColor="background1" w:themeShade="80"/>
          <w:lang w:val="en-GB"/>
        </w:rPr>
        <w:t>In</w:t>
      </w:r>
      <w:proofErr w:type="gramEnd"/>
      <w:r w:rsidR="00F72A9F">
        <w:rPr>
          <w:rFonts w:ascii="Arial" w:hAnsi="Arial"/>
          <w:color w:val="808080" w:themeColor="background1" w:themeShade="80"/>
          <w:lang w:val="en-GB"/>
        </w:rPr>
        <w:t xml:space="preserve"> </w:t>
      </w:r>
      <w:r w:rsidR="00F72A9F">
        <w:rPr>
          <w:rFonts w:ascii="Arial" w:hAnsi="Arial"/>
          <w:i/>
          <w:iCs/>
          <w:color w:val="808080" w:themeColor="background1" w:themeShade="80"/>
          <w:lang w:val="en-GB"/>
        </w:rPr>
        <w:t xml:space="preserve">Walker v </w:t>
      </w:r>
      <w:proofErr w:type="spellStart"/>
      <w:r w:rsidR="00F72A9F">
        <w:rPr>
          <w:rFonts w:ascii="Arial" w:hAnsi="Arial"/>
          <w:i/>
          <w:iCs/>
          <w:color w:val="808080" w:themeColor="background1" w:themeShade="80"/>
          <w:lang w:val="en-GB"/>
        </w:rPr>
        <w:t>Syfret</w:t>
      </w:r>
      <w:proofErr w:type="spellEnd"/>
      <w:r w:rsidR="00D979D4">
        <w:rPr>
          <w:rFonts w:ascii="Arial" w:hAnsi="Arial"/>
          <w:i/>
          <w:iCs/>
          <w:color w:val="808080" w:themeColor="background1" w:themeShade="80"/>
          <w:lang w:val="en-GB"/>
        </w:rPr>
        <w:t xml:space="preserve"> </w:t>
      </w:r>
      <w:r w:rsidR="00502F6B">
        <w:rPr>
          <w:rFonts w:ascii="Arial" w:hAnsi="Arial"/>
          <w:color w:val="808080" w:themeColor="background1" w:themeShade="80"/>
          <w:lang w:val="en-GB"/>
        </w:rPr>
        <w:t xml:space="preserve">the Court </w:t>
      </w:r>
      <w:r w:rsidR="00D979D4">
        <w:rPr>
          <w:rFonts w:ascii="Arial" w:hAnsi="Arial"/>
          <w:color w:val="808080" w:themeColor="background1" w:themeShade="80"/>
          <w:lang w:val="en-GB"/>
        </w:rPr>
        <w:t xml:space="preserve">described the concept as follows, </w:t>
      </w:r>
      <w:r w:rsidR="00502F6B">
        <w:rPr>
          <w:rFonts w:ascii="Arial" w:hAnsi="Arial"/>
          <w:color w:val="808080" w:themeColor="background1" w:themeShade="80"/>
          <w:lang w:val="en-GB"/>
        </w:rPr>
        <w:t xml:space="preserve">the sequestration order solidifies the insolvents status. As a consequence </w:t>
      </w:r>
      <w:r w:rsidR="00D979D4">
        <w:rPr>
          <w:rFonts w:ascii="Arial" w:hAnsi="Arial"/>
          <w:color w:val="808080" w:themeColor="background1" w:themeShade="80"/>
          <w:lang w:val="en-GB"/>
        </w:rPr>
        <w:t xml:space="preserve">the legal authority is imposed upon the estate and immediately acknowledges the interests of the overall group of </w:t>
      </w:r>
      <w:proofErr w:type="gramStart"/>
      <w:r w:rsidR="00D979D4">
        <w:rPr>
          <w:rFonts w:ascii="Arial" w:hAnsi="Arial"/>
          <w:color w:val="808080" w:themeColor="background1" w:themeShade="80"/>
          <w:lang w:val="en-GB"/>
        </w:rPr>
        <w:t>creditors .</w:t>
      </w:r>
      <w:proofErr w:type="gramEnd"/>
      <w:r w:rsidR="00D979D4">
        <w:rPr>
          <w:rFonts w:ascii="Arial" w:hAnsi="Arial"/>
          <w:color w:val="808080" w:themeColor="background1" w:themeShade="80"/>
          <w:lang w:val="en-GB"/>
        </w:rPr>
        <w:t xml:space="preserve"> The effect of this is that no individual creditor </w:t>
      </w:r>
      <w:r w:rsidR="00502F6B">
        <w:rPr>
          <w:rFonts w:ascii="Arial" w:hAnsi="Arial"/>
          <w:color w:val="808080" w:themeColor="background1" w:themeShade="80"/>
          <w:lang w:val="en-GB"/>
        </w:rPr>
        <w:t xml:space="preserve">can engage in transactions regarding estate matters that would harm the collective body of creditors. Each creditors claim must be addressed based on its status at the time the order was granted. The process of winding-up of an estate is </w:t>
      </w:r>
      <w:r w:rsidR="00502F6B" w:rsidRPr="00502F6B">
        <w:rPr>
          <w:rFonts w:ascii="Arial" w:hAnsi="Arial"/>
          <w:color w:val="808080" w:themeColor="background1" w:themeShade="80"/>
          <w:lang w:val="en-GB"/>
        </w:rPr>
        <w:t>predominantly</w:t>
      </w:r>
      <w:r w:rsidR="00502F6B">
        <w:rPr>
          <w:rFonts w:ascii="Arial" w:hAnsi="Arial"/>
          <w:color w:val="808080" w:themeColor="background1" w:themeShade="80"/>
          <w:lang w:val="en-GB"/>
        </w:rPr>
        <w:t xml:space="preserve"> creditor driven </w:t>
      </w:r>
      <w:r>
        <w:rPr>
          <w:rFonts w:ascii="Arial" w:hAnsi="Arial"/>
          <w:color w:val="808080" w:themeColor="background1" w:themeShade="80"/>
          <w:lang w:val="en-GB"/>
        </w:rPr>
        <w:t>with the Master overseeing the process</w:t>
      </w:r>
      <w:r w:rsidR="00473E63">
        <w:rPr>
          <w:rFonts w:ascii="Arial" w:hAnsi="Arial"/>
          <w:color w:val="808080" w:themeColor="background1" w:themeShade="80"/>
          <w:lang w:val="en-GB"/>
        </w:rPr>
        <w:t xml:space="preserve"> at hand</w:t>
      </w:r>
      <w:r w:rsidR="00502F6B">
        <w:rPr>
          <w:rFonts w:ascii="Arial" w:hAnsi="Arial"/>
          <w:color w:val="808080" w:themeColor="background1" w:themeShade="80"/>
          <w:lang w:val="en-GB"/>
        </w:rPr>
        <w:t>.</w:t>
      </w: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75F2005" w14:textId="59FABFAA" w:rsidR="005755EA" w:rsidRPr="00FB5BE0" w:rsidRDefault="00003419" w:rsidP="00E37136">
      <w:pPr>
        <w:tabs>
          <w:tab w:val="right" w:pos="9021"/>
        </w:tabs>
        <w:rPr>
          <w:rFonts w:ascii="Arial" w:hAnsi="Arial"/>
          <w:lang w:val="en-GB"/>
        </w:rPr>
      </w:pPr>
      <w:r w:rsidRPr="00FB5BE0">
        <w:rPr>
          <w:rFonts w:ascii="Arial" w:hAnsi="Arial"/>
          <w:color w:val="808080" w:themeColor="background1" w:themeShade="80"/>
          <w:lang w:val="en-GB"/>
        </w:rPr>
        <w:t xml:space="preserve">The </w:t>
      </w:r>
      <w:r w:rsidRPr="00FB5BE0">
        <w:rPr>
          <w:rFonts w:ascii="Arial" w:hAnsi="Arial"/>
          <w:color w:val="808080" w:themeColor="background1" w:themeShade="80"/>
          <w:lang w:val="en-GB"/>
        </w:rPr>
        <w:t>antique</w:t>
      </w:r>
      <w:r w:rsidRPr="00FB5BE0">
        <w:rPr>
          <w:rFonts w:ascii="Arial" w:hAnsi="Arial"/>
          <w:color w:val="808080" w:themeColor="background1" w:themeShade="80"/>
          <w:lang w:val="en-GB"/>
        </w:rPr>
        <w:t xml:space="preserve"> clock, being a luxurious item, will be considered part of the estate and listed as an asset despite the exception outlined in S82(6) of the Insolvency Act, which typically excludes certain household furniture from the sale of movable property. Given the compulsory nature of the sequestration, the calculation for the statutory impeachable disposition will rely on the date of 15 January 2023. </w:t>
      </w:r>
      <w:proofErr w:type="gramStart"/>
      <w:r w:rsidRPr="00FB5BE0">
        <w:rPr>
          <w:rFonts w:ascii="Arial" w:hAnsi="Arial"/>
          <w:color w:val="808080" w:themeColor="background1" w:themeShade="80"/>
          <w:lang w:val="en-GB"/>
        </w:rPr>
        <w:t>In light of</w:t>
      </w:r>
      <w:proofErr w:type="gramEnd"/>
      <w:r w:rsidRPr="00FB5BE0">
        <w:rPr>
          <w:rFonts w:ascii="Arial" w:hAnsi="Arial"/>
          <w:color w:val="808080" w:themeColor="background1" w:themeShade="80"/>
          <w:lang w:val="en-GB"/>
        </w:rPr>
        <w:t xml:space="preserve"> these circumstances, the most pertinent recourse available to Ms. Abel, in seeking to invalidate Mr. Solar's disposition, would be under S29 of the Insolvency Act. The disposition could be set aside as a voidable preference since Mr. Solar appeared to </w:t>
      </w:r>
      <w:proofErr w:type="spellStart"/>
      <w:r w:rsidRPr="00FB5BE0">
        <w:rPr>
          <w:rFonts w:ascii="Arial" w:hAnsi="Arial"/>
          <w:color w:val="808080" w:themeColor="background1" w:themeShade="80"/>
          <w:lang w:val="en-GB"/>
        </w:rPr>
        <w:t>favor</w:t>
      </w:r>
      <w:proofErr w:type="spellEnd"/>
      <w:r w:rsidRPr="00FB5BE0">
        <w:rPr>
          <w:rFonts w:ascii="Arial" w:hAnsi="Arial"/>
          <w:color w:val="808080" w:themeColor="background1" w:themeShade="80"/>
          <w:lang w:val="en-GB"/>
        </w:rPr>
        <w:t xml:space="preserve"> a specific creditor when unable to settle all his debts in full. To successfully challenge the disposition, Ms. Abel must demonstrate that Mr. Solar made the disposition within six months prior to sequestration, that it resulted in preferential treatment of one creditor over others, thereby treating creditors unequally, and finally, that after such disposition, Mr. Solar's liabilities exceeded the value of his assets.</w:t>
      </w:r>
      <w:r w:rsidRPr="00FB5BE0">
        <w:rPr>
          <w:rFonts w:ascii="Arial" w:hAnsi="Arial"/>
          <w:color w:val="808080" w:themeColor="background1" w:themeShade="80"/>
          <w:lang w:val="en-GB"/>
        </w:rPr>
        <w:t xml:space="preserve"> All of which are present in the above set of facts.</w:t>
      </w:r>
      <w:r w:rsidRPr="00FB5BE0">
        <w:rPr>
          <w:rFonts w:ascii="Arial" w:hAnsi="Arial"/>
          <w:color w:val="808080" w:themeColor="background1" w:themeShade="80"/>
          <w:lang w:val="en-GB"/>
        </w:rPr>
        <w:br/>
      </w: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AC26CF3" w14:textId="53630C55" w:rsidR="007F0225" w:rsidRPr="005D49B4" w:rsidRDefault="000977E0" w:rsidP="00E37136">
      <w:pPr>
        <w:tabs>
          <w:tab w:val="right" w:pos="9021"/>
        </w:tabs>
        <w:rPr>
          <w:lang w:val="en-GB"/>
        </w:rPr>
      </w:pPr>
      <w:proofErr w:type="spellStart"/>
      <w:r w:rsidRPr="000977E0">
        <w:rPr>
          <w:rFonts w:ascii="Arial" w:hAnsi="Arial"/>
          <w:color w:val="808080" w:themeColor="background1" w:themeShade="80"/>
          <w:lang w:val="en-GB"/>
        </w:rPr>
        <w:lastRenderedPageBreak/>
        <w:t>Axit</w:t>
      </w:r>
      <w:proofErr w:type="spellEnd"/>
      <w:r w:rsidRPr="000977E0">
        <w:rPr>
          <w:rFonts w:ascii="Arial" w:hAnsi="Arial"/>
          <w:color w:val="808080" w:themeColor="background1" w:themeShade="80"/>
          <w:lang w:val="en-GB"/>
        </w:rPr>
        <w:t xml:space="preserve"> Finance is required, under Section 10 of the Insolvency Act, to initially establish a prima facie case demonstrating that they qualify as a creditor eligible to initiate such proceedings. This entails having a liquidated claim of at least R100, establishing that Mr. Solar is either factually insolvent or has committed an act of insolvency</w:t>
      </w:r>
      <w:r w:rsidR="00B437AB">
        <w:rPr>
          <w:rFonts w:ascii="Arial" w:hAnsi="Arial"/>
          <w:color w:val="808080" w:themeColor="background1" w:themeShade="80"/>
          <w:lang w:val="en-GB"/>
        </w:rPr>
        <w:t xml:space="preserve"> by being una</w:t>
      </w:r>
      <w:r w:rsidR="008A609A">
        <w:rPr>
          <w:rFonts w:ascii="Arial" w:hAnsi="Arial"/>
          <w:color w:val="808080" w:themeColor="background1" w:themeShade="80"/>
          <w:lang w:val="en-GB"/>
        </w:rPr>
        <w:t>b</w:t>
      </w:r>
      <w:r w:rsidR="00B437AB">
        <w:rPr>
          <w:rFonts w:ascii="Arial" w:hAnsi="Arial"/>
          <w:color w:val="808080" w:themeColor="background1" w:themeShade="80"/>
          <w:lang w:val="en-GB"/>
        </w:rPr>
        <w:t>le to settle the li</w:t>
      </w:r>
      <w:r w:rsidR="008A609A">
        <w:rPr>
          <w:rFonts w:ascii="Arial" w:hAnsi="Arial"/>
          <w:color w:val="808080" w:themeColor="background1" w:themeShade="80"/>
          <w:lang w:val="en-GB"/>
        </w:rPr>
        <w:t>quidated claim of the creditor</w:t>
      </w:r>
      <w:r w:rsidRPr="000977E0">
        <w:rPr>
          <w:rFonts w:ascii="Arial" w:hAnsi="Arial"/>
          <w:color w:val="808080" w:themeColor="background1" w:themeShade="80"/>
          <w:lang w:val="en-GB"/>
        </w:rPr>
        <w:t xml:space="preserve">, and finally, indicating that there is a reasonable basis to believe that sequestration would benefit creditors. Given the circumstances, Mr. Solar's inability to </w:t>
      </w:r>
      <w:proofErr w:type="spellStart"/>
      <w:r w:rsidRPr="000977E0">
        <w:rPr>
          <w:rFonts w:ascii="Arial" w:hAnsi="Arial"/>
          <w:color w:val="808080" w:themeColor="background1" w:themeShade="80"/>
          <w:lang w:val="en-GB"/>
        </w:rPr>
        <w:t>fulfill</w:t>
      </w:r>
      <w:proofErr w:type="spellEnd"/>
      <w:r w:rsidRPr="000977E0">
        <w:rPr>
          <w:rFonts w:ascii="Arial" w:hAnsi="Arial"/>
          <w:color w:val="808080" w:themeColor="background1" w:themeShade="80"/>
          <w:lang w:val="en-GB"/>
        </w:rPr>
        <w:t xml:space="preserve"> an outstanding personal loan with </w:t>
      </w:r>
      <w:proofErr w:type="spellStart"/>
      <w:r w:rsidRPr="000977E0">
        <w:rPr>
          <w:rFonts w:ascii="Arial" w:hAnsi="Arial"/>
          <w:color w:val="808080" w:themeColor="background1" w:themeShade="80"/>
          <w:lang w:val="en-GB"/>
        </w:rPr>
        <w:t>Axit</w:t>
      </w:r>
      <w:proofErr w:type="spellEnd"/>
      <w:r w:rsidRPr="000977E0">
        <w:rPr>
          <w:rFonts w:ascii="Arial" w:hAnsi="Arial"/>
          <w:color w:val="808080" w:themeColor="background1" w:themeShade="80"/>
          <w:lang w:val="en-GB"/>
        </w:rPr>
        <w:t xml:space="preserve"> Finance satisfies the prerequisite, and considering the outlined facts, there is a compelling indication that the sequestration of Mr. Solar would be advantageous to creditors.</w:t>
      </w:r>
      <w:r>
        <w:rPr>
          <w:rFonts w:ascii="Arial" w:hAnsi="Arial"/>
          <w:color w:val="808080" w:themeColor="background1" w:themeShade="80"/>
          <w:lang w:val="en-GB"/>
        </w:rPr>
        <w:br/>
      </w: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4D08253C" w14:textId="63FE5F57" w:rsidR="007F0225" w:rsidRPr="000977E0" w:rsidRDefault="000977E0" w:rsidP="00E37136">
      <w:pPr>
        <w:rPr>
          <w:rFonts w:ascii="Arial" w:hAnsi="Arial"/>
          <w:color w:val="808080" w:themeColor="background1" w:themeShade="80"/>
          <w:lang w:val="en-GB"/>
        </w:rPr>
      </w:pPr>
      <w:r>
        <w:rPr>
          <w:color w:val="808080" w:themeColor="background1" w:themeShade="80"/>
          <w:lang w:val="en-GB"/>
        </w:rPr>
        <w:br/>
      </w:r>
      <w:r w:rsidRPr="000977E0">
        <w:rPr>
          <w:rFonts w:ascii="Arial" w:hAnsi="Arial"/>
          <w:color w:val="808080" w:themeColor="background1" w:themeShade="80"/>
          <w:lang w:val="en-GB"/>
        </w:rPr>
        <w:t>If a right of inheritance arises prior to the rehabilitation of the insolvent, it immediately becomes the property of the trustee overseeing the insolvent estate.</w:t>
      </w:r>
      <w:r>
        <w:rPr>
          <w:rFonts w:ascii="Arial" w:hAnsi="Arial"/>
          <w:color w:val="808080" w:themeColor="background1" w:themeShade="80"/>
          <w:lang w:val="en-GB"/>
        </w:rPr>
        <w:t xml:space="preserve"> </w:t>
      </w:r>
      <w:r w:rsidRPr="000977E0">
        <w:rPr>
          <w:rFonts w:ascii="Arial" w:hAnsi="Arial"/>
          <w:color w:val="808080" w:themeColor="background1" w:themeShade="80"/>
          <w:lang w:val="en-GB"/>
        </w:rPr>
        <w:t xml:space="preserve">In the case of </w:t>
      </w:r>
      <w:r w:rsidRPr="000977E0">
        <w:rPr>
          <w:rFonts w:ascii="Arial" w:hAnsi="Arial"/>
          <w:i/>
          <w:iCs/>
          <w:color w:val="808080" w:themeColor="background1" w:themeShade="80"/>
          <w:lang w:val="en-GB"/>
        </w:rPr>
        <w:t>Vorster v Steyn</w:t>
      </w:r>
      <w:r w:rsidRPr="000977E0">
        <w:rPr>
          <w:rFonts w:ascii="Arial" w:hAnsi="Arial"/>
          <w:color w:val="808080" w:themeColor="background1" w:themeShade="80"/>
          <w:lang w:val="en-GB"/>
        </w:rPr>
        <w:t xml:space="preserve">, the will </w:t>
      </w:r>
      <w:proofErr w:type="gramStart"/>
      <w:r w:rsidRPr="000977E0">
        <w:rPr>
          <w:rFonts w:ascii="Arial" w:hAnsi="Arial"/>
          <w:color w:val="808080" w:themeColor="background1" w:themeShade="80"/>
          <w:lang w:val="en-GB"/>
        </w:rPr>
        <w:t>specified</w:t>
      </w:r>
      <w:proofErr w:type="gramEnd"/>
      <w:r w:rsidRPr="000977E0">
        <w:rPr>
          <w:rFonts w:ascii="Arial" w:hAnsi="Arial"/>
          <w:color w:val="808080" w:themeColor="background1" w:themeShade="80"/>
          <w:lang w:val="en-GB"/>
        </w:rPr>
        <w:t xml:space="preserve"> that if the son, who was the sole heir of the entire estate, became insolvent at the time of his death, the estate's proceeds should be placed in a trust until the son's rehabilitation. The court determined that this provision amounted to a </w:t>
      </w:r>
      <w:r w:rsidRPr="000977E0">
        <w:rPr>
          <w:rFonts w:ascii="Arial" w:hAnsi="Arial"/>
          <w:i/>
          <w:iCs/>
          <w:color w:val="808080" w:themeColor="background1" w:themeShade="80"/>
          <w:lang w:val="en-GB"/>
        </w:rPr>
        <w:t xml:space="preserve">nudum </w:t>
      </w:r>
      <w:proofErr w:type="spellStart"/>
      <w:r w:rsidRPr="000977E0">
        <w:rPr>
          <w:rFonts w:ascii="Arial" w:hAnsi="Arial"/>
          <w:i/>
          <w:iCs/>
          <w:color w:val="808080" w:themeColor="background1" w:themeShade="80"/>
          <w:lang w:val="en-GB"/>
        </w:rPr>
        <w:t>praeceptum</w:t>
      </w:r>
      <w:proofErr w:type="spellEnd"/>
      <w:r w:rsidRPr="000977E0">
        <w:rPr>
          <w:rFonts w:ascii="Arial" w:hAnsi="Arial"/>
          <w:color w:val="808080" w:themeColor="background1" w:themeShade="80"/>
          <w:lang w:val="en-GB"/>
        </w:rPr>
        <w:t>, and as a result, the inheritance became the property of the insolvent estate.</w:t>
      </w: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4ECCAAF1" w14:textId="26E1DCB1" w:rsidR="00171089" w:rsidRPr="005D49B4" w:rsidRDefault="00AD3913" w:rsidP="00C33BC7">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3FF7DD7B" w14:textId="77777777" w:rsidR="00C33BC7" w:rsidRPr="00C33BC7" w:rsidRDefault="00C33BC7" w:rsidP="00C33BC7">
      <w:pPr>
        <w:rPr>
          <w:rFonts w:ascii="Arial" w:hAnsi="Arial"/>
          <w:color w:val="808080" w:themeColor="background1" w:themeShade="80"/>
          <w:lang w:val="en-GB"/>
        </w:rPr>
      </w:pPr>
    </w:p>
    <w:p w14:paraId="39B29FD9" w14:textId="6D46377E" w:rsidR="007F0225" w:rsidRPr="005D49B4" w:rsidRDefault="00C33BC7" w:rsidP="00C33BC7">
      <w:pPr>
        <w:rPr>
          <w:rFonts w:ascii="Avenir Book" w:hAnsi="Avenir Book"/>
          <w:color w:val="FF0000"/>
          <w:lang w:val="en-GB"/>
        </w:rPr>
      </w:pPr>
      <w:r w:rsidRPr="00C33BC7">
        <w:rPr>
          <w:rFonts w:ascii="Arial" w:hAnsi="Arial"/>
          <w:color w:val="808080" w:themeColor="background1" w:themeShade="80"/>
          <w:lang w:val="en-GB"/>
        </w:rPr>
        <w:t>According to section 23(7) of the Insolvency Act, the insolvent individual is permitted to recover any pension due for services rendered, for their own benefit. Therefore, the pension benefits</w:t>
      </w:r>
      <w:r w:rsidR="009F2F2A">
        <w:rPr>
          <w:rFonts w:ascii="Arial" w:hAnsi="Arial"/>
          <w:color w:val="808080" w:themeColor="background1" w:themeShade="80"/>
          <w:lang w:val="en-GB"/>
        </w:rPr>
        <w:t xml:space="preserve"> </w:t>
      </w:r>
      <w:r w:rsidRPr="00C33BC7">
        <w:rPr>
          <w:rFonts w:ascii="Arial" w:hAnsi="Arial"/>
          <w:color w:val="808080" w:themeColor="background1" w:themeShade="80"/>
          <w:lang w:val="en-GB"/>
        </w:rPr>
        <w:t xml:space="preserve">will not be considered part of the </w:t>
      </w:r>
      <w:r w:rsidR="00065CA5">
        <w:rPr>
          <w:rFonts w:ascii="Arial" w:hAnsi="Arial"/>
          <w:color w:val="808080" w:themeColor="background1" w:themeShade="80"/>
          <w:lang w:val="en-GB"/>
        </w:rPr>
        <w:t>joint</w:t>
      </w:r>
      <w:r w:rsidRPr="00C33BC7">
        <w:rPr>
          <w:rFonts w:ascii="Arial" w:hAnsi="Arial"/>
          <w:color w:val="808080" w:themeColor="background1" w:themeShade="80"/>
          <w:lang w:val="en-GB"/>
        </w:rPr>
        <w:t xml:space="preserve"> insolvent </w:t>
      </w:r>
      <w:proofErr w:type="gramStart"/>
      <w:r w:rsidRPr="00C33BC7">
        <w:rPr>
          <w:rFonts w:ascii="Arial" w:hAnsi="Arial"/>
          <w:color w:val="808080" w:themeColor="background1" w:themeShade="80"/>
          <w:lang w:val="en-GB"/>
        </w:rPr>
        <w:t>estate</w:t>
      </w:r>
      <w:proofErr w:type="gramEnd"/>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6C1078A6" w14:textId="4427FF4C" w:rsidR="007F0225" w:rsidRPr="004978FF" w:rsidRDefault="004978FF" w:rsidP="00E37136">
      <w:pPr>
        <w:rPr>
          <w:rFonts w:ascii="Arial" w:hAnsi="Arial"/>
          <w:color w:val="808080" w:themeColor="background1" w:themeShade="80"/>
          <w:lang w:val="en-GB"/>
        </w:rPr>
      </w:pPr>
      <w:r w:rsidRPr="004978FF">
        <w:rPr>
          <w:rFonts w:ascii="Arial" w:hAnsi="Arial"/>
          <w:color w:val="808080" w:themeColor="background1" w:themeShade="80"/>
          <w:lang w:val="en-GB"/>
        </w:rPr>
        <w:t xml:space="preserve">The mentioned sale was a credit sale involving movable property. However, as the transaction does not qualify as an </w:t>
      </w:r>
      <w:proofErr w:type="spellStart"/>
      <w:r w:rsidRPr="004978FF">
        <w:rPr>
          <w:rFonts w:ascii="Arial" w:hAnsi="Arial"/>
          <w:color w:val="808080" w:themeColor="background1" w:themeShade="80"/>
          <w:lang w:val="en-GB"/>
        </w:rPr>
        <w:t>installment</w:t>
      </w:r>
      <w:proofErr w:type="spellEnd"/>
      <w:r w:rsidRPr="004978FF">
        <w:rPr>
          <w:rFonts w:ascii="Arial" w:hAnsi="Arial"/>
          <w:color w:val="808080" w:themeColor="background1" w:themeShade="80"/>
          <w:lang w:val="en-GB"/>
        </w:rPr>
        <w:t xml:space="preserve"> agreement under the National Credit Act, Section 84 of the Insolvency Act is not applicable. Consequently, the transaction is considered a standard credit sale under common law. In a credit sale, ownership of the property transfers to the buyer upon delivery. Therefore, the vehicle now belongs to </w:t>
      </w:r>
      <w:r w:rsidR="00E72DE4">
        <w:rPr>
          <w:rFonts w:ascii="Arial" w:hAnsi="Arial"/>
          <w:color w:val="808080" w:themeColor="background1" w:themeShade="80"/>
          <w:lang w:val="en-GB"/>
        </w:rPr>
        <w:t>Mrs</w:t>
      </w:r>
      <w:r w:rsidR="00BF1FE1">
        <w:rPr>
          <w:rFonts w:ascii="Arial" w:hAnsi="Arial"/>
          <w:color w:val="808080" w:themeColor="background1" w:themeShade="80"/>
          <w:lang w:val="en-GB"/>
        </w:rPr>
        <w:t>. Solar’s</w:t>
      </w:r>
      <w:r w:rsidRPr="004978FF">
        <w:rPr>
          <w:rFonts w:ascii="Arial" w:hAnsi="Arial"/>
          <w:color w:val="808080" w:themeColor="background1" w:themeShade="80"/>
          <w:lang w:val="en-GB"/>
        </w:rPr>
        <w:t xml:space="preserve"> insolvent estate, with </w:t>
      </w:r>
      <w:r w:rsidR="00BF1FE1">
        <w:rPr>
          <w:rFonts w:ascii="Arial" w:hAnsi="Arial"/>
          <w:color w:val="808080" w:themeColor="background1" w:themeShade="80"/>
          <w:lang w:val="en-GB"/>
        </w:rPr>
        <w:t>Mr. Green</w:t>
      </w:r>
      <w:r w:rsidRPr="004978FF">
        <w:rPr>
          <w:rFonts w:ascii="Arial" w:hAnsi="Arial"/>
          <w:color w:val="808080" w:themeColor="background1" w:themeShade="80"/>
          <w:lang w:val="en-GB"/>
        </w:rPr>
        <w:t xml:space="preserve"> having a concurrent claim solely for the outstanding purchase price owed to him</w:t>
      </w:r>
      <w:r w:rsidR="00BF1FE1">
        <w:rPr>
          <w:rFonts w:ascii="Arial" w:hAnsi="Arial"/>
          <w:color w:val="808080" w:themeColor="background1" w:themeShade="80"/>
          <w:lang w:val="en-GB"/>
        </w:rPr>
        <w:t>, being R40 000.00</w:t>
      </w:r>
      <w:r w:rsidRPr="004978FF">
        <w:rPr>
          <w:rFonts w:ascii="Arial" w:hAnsi="Arial"/>
          <w:color w:val="808080" w:themeColor="background1" w:themeShade="80"/>
          <w:lang w:val="en-GB"/>
        </w:rPr>
        <w:t>.</w:t>
      </w: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7EF4050" w14:textId="18C60E03" w:rsidR="007F0225" w:rsidRPr="00C11C0A" w:rsidRDefault="000550AE" w:rsidP="00E37136">
      <w:pPr>
        <w:rPr>
          <w:rFonts w:ascii="Arial" w:hAnsi="Arial"/>
          <w:lang w:val="en-GB"/>
        </w:rPr>
      </w:pPr>
      <w:r w:rsidRPr="00C11C0A">
        <w:rPr>
          <w:rFonts w:ascii="Arial" w:hAnsi="Arial"/>
          <w:color w:val="808080" w:themeColor="background1" w:themeShade="80"/>
          <w:lang w:val="en-GB"/>
        </w:rPr>
        <w:lastRenderedPageBreak/>
        <w:t>T</w:t>
      </w:r>
      <w:r w:rsidRPr="00C11C0A">
        <w:rPr>
          <w:rFonts w:ascii="Arial" w:hAnsi="Arial"/>
          <w:color w:val="808080" w:themeColor="background1" w:themeShade="80"/>
          <w:lang w:val="en-GB"/>
        </w:rPr>
        <w:t xml:space="preserve">ypically, the Master arranges the </w:t>
      </w:r>
      <w:r w:rsidR="000562FC">
        <w:rPr>
          <w:rFonts w:ascii="Arial" w:hAnsi="Arial"/>
          <w:color w:val="808080" w:themeColor="background1" w:themeShade="80"/>
          <w:lang w:val="en-GB"/>
        </w:rPr>
        <w:t>first</w:t>
      </w:r>
      <w:r w:rsidRPr="00C11C0A">
        <w:rPr>
          <w:rFonts w:ascii="Arial" w:hAnsi="Arial"/>
          <w:color w:val="808080" w:themeColor="background1" w:themeShade="80"/>
          <w:lang w:val="en-GB"/>
        </w:rPr>
        <w:t xml:space="preserve"> meeting in the district where the insolvent lived</w:t>
      </w:r>
      <w:r w:rsidR="003C1B23" w:rsidRPr="00C11C0A">
        <w:rPr>
          <w:rFonts w:ascii="Arial" w:hAnsi="Arial"/>
          <w:color w:val="808080" w:themeColor="background1" w:themeShade="80"/>
          <w:lang w:val="en-GB"/>
        </w:rPr>
        <w:t xml:space="preserve">, </w:t>
      </w:r>
      <w:r w:rsidR="003C1B23" w:rsidRPr="00C11C0A">
        <w:rPr>
          <w:rFonts w:ascii="Arial" w:hAnsi="Arial"/>
          <w:color w:val="808080" w:themeColor="background1" w:themeShade="80"/>
          <w:lang w:val="en-GB"/>
        </w:rPr>
        <w:t xml:space="preserve">at a venue deemed most convenient for all </w:t>
      </w:r>
      <w:r w:rsidR="003C1B23" w:rsidRPr="00C11C0A">
        <w:rPr>
          <w:rFonts w:ascii="Arial" w:hAnsi="Arial"/>
          <w:color w:val="808080" w:themeColor="background1" w:themeShade="80"/>
          <w:lang w:val="en-GB"/>
        </w:rPr>
        <w:t>interested</w:t>
      </w:r>
      <w:r w:rsidR="003C1B23" w:rsidRPr="00C11C0A">
        <w:rPr>
          <w:rFonts w:ascii="Arial" w:hAnsi="Arial"/>
          <w:color w:val="808080" w:themeColor="background1" w:themeShade="80"/>
          <w:lang w:val="en-GB"/>
        </w:rPr>
        <w:t xml:space="preserve"> parties</w:t>
      </w:r>
      <w:r w:rsidR="003C1B23" w:rsidRPr="00C11C0A">
        <w:rPr>
          <w:rFonts w:ascii="Arial" w:hAnsi="Arial"/>
          <w:color w:val="808080" w:themeColor="background1" w:themeShade="80"/>
          <w:lang w:val="en-GB"/>
        </w:rPr>
        <w:t xml:space="preserve"> in the opinion of the Master</w:t>
      </w:r>
      <w:r w:rsidR="00F3206C">
        <w:rPr>
          <w:rFonts w:ascii="Arial" w:hAnsi="Arial"/>
          <w:color w:val="808080" w:themeColor="background1" w:themeShade="80"/>
          <w:lang w:val="en-GB"/>
        </w:rPr>
        <w:t xml:space="preserve"> by notice to all the creditors</w:t>
      </w:r>
      <w:r w:rsidR="003C1B23" w:rsidRPr="00C11C0A">
        <w:rPr>
          <w:rFonts w:ascii="Arial" w:hAnsi="Arial"/>
          <w:color w:val="808080" w:themeColor="background1" w:themeShade="80"/>
          <w:lang w:val="en-GB"/>
        </w:rPr>
        <w:t>.</w:t>
      </w: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5A1069CA" w14:textId="3B4545B0" w:rsidR="007F0225" w:rsidRPr="005D49B4" w:rsidRDefault="005E1619" w:rsidP="00E37136">
      <w:pPr>
        <w:rPr>
          <w:rFonts w:ascii="Avenir Book" w:hAnsi="Avenir Book"/>
          <w:lang w:val="en-GB"/>
        </w:rPr>
      </w:pPr>
      <w:r w:rsidRPr="00817E36">
        <w:rPr>
          <w:rFonts w:ascii="Arial" w:hAnsi="Arial"/>
          <w:color w:val="808080" w:themeColor="background1" w:themeShade="80"/>
          <w:lang w:val="en-GB"/>
        </w:rPr>
        <w:t>Ms. Abel</w:t>
      </w:r>
      <w:r w:rsidRPr="00817E36">
        <w:rPr>
          <w:rFonts w:ascii="Arial" w:hAnsi="Arial"/>
          <w:color w:val="808080" w:themeColor="background1" w:themeShade="80"/>
          <w:lang w:val="en-GB"/>
        </w:rPr>
        <w:t xml:space="preserve"> is prohibited from selling the assets unless granted prior approval by the Master. To request permission for the sale, an application must be submitted to the Master in accordance with section 80bis of the Insolvency Act. In cases where the property is under the rights of a secured creditor, the application must include the creditor's consent to the sale. If the Master approves the sale, they have the authority to set conditions regarding the sale and specify the </w:t>
      </w:r>
      <w:proofErr w:type="gramStart"/>
      <w:r w:rsidRPr="00817E36">
        <w:rPr>
          <w:rFonts w:ascii="Arial" w:hAnsi="Arial"/>
          <w:color w:val="808080" w:themeColor="background1" w:themeShade="80"/>
          <w:lang w:val="en-GB"/>
        </w:rPr>
        <w:t>manner in which</w:t>
      </w:r>
      <w:proofErr w:type="gramEnd"/>
      <w:r w:rsidRPr="00817E36">
        <w:rPr>
          <w:rFonts w:ascii="Arial" w:hAnsi="Arial"/>
          <w:color w:val="808080" w:themeColor="background1" w:themeShade="80"/>
          <w:lang w:val="en-GB"/>
        </w:rPr>
        <w:t xml:space="preserve"> it should be conducted</w:t>
      </w:r>
      <w:r w:rsidRPr="005E1619">
        <w:rPr>
          <w:color w:val="808080" w:themeColor="background1" w:themeShade="80"/>
          <w:lang w:val="en-GB"/>
        </w:rPr>
        <w:t>.</w:t>
      </w: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41E01E0D" w14:textId="3C3F68A2" w:rsidR="007F0225" w:rsidRPr="005D49B4" w:rsidRDefault="002B3D9E" w:rsidP="002702EF">
      <w:pPr>
        <w:rPr>
          <w:rFonts w:ascii="Avenir Book" w:hAnsi="Avenir Book"/>
          <w:color w:val="000000" w:themeColor="text1"/>
          <w:lang w:val="en-GB"/>
        </w:rPr>
      </w:pPr>
      <w:r>
        <w:rPr>
          <w:rFonts w:ascii="Arial" w:hAnsi="Arial"/>
          <w:color w:val="808080" w:themeColor="background1" w:themeShade="80"/>
          <w:lang w:val="en-GB"/>
        </w:rPr>
        <w:t xml:space="preserve">Immovable property is </w:t>
      </w:r>
      <w:r w:rsidRPr="002B3D9E">
        <w:rPr>
          <w:rFonts w:ascii="Arial" w:hAnsi="Arial"/>
          <w:color w:val="808080" w:themeColor="background1" w:themeShade="80"/>
          <w:lang w:val="en-GB"/>
        </w:rPr>
        <w:t xml:space="preserve">managed according to the </w:t>
      </w:r>
      <w:r w:rsidRPr="002B3D9E">
        <w:rPr>
          <w:rFonts w:ascii="Arial" w:hAnsi="Arial"/>
          <w:i/>
          <w:iCs/>
          <w:color w:val="808080" w:themeColor="background1" w:themeShade="80"/>
          <w:lang w:val="en-GB"/>
        </w:rPr>
        <w:t xml:space="preserve">lex rei </w:t>
      </w:r>
      <w:proofErr w:type="spellStart"/>
      <w:r w:rsidRPr="002B3D9E">
        <w:rPr>
          <w:rFonts w:ascii="Arial" w:hAnsi="Arial"/>
          <w:i/>
          <w:iCs/>
          <w:color w:val="808080" w:themeColor="background1" w:themeShade="80"/>
          <w:lang w:val="en-GB"/>
        </w:rPr>
        <w:t>sitae</w:t>
      </w:r>
      <w:proofErr w:type="spellEnd"/>
      <w:r w:rsidRPr="002B3D9E">
        <w:rPr>
          <w:rFonts w:ascii="Arial" w:hAnsi="Arial"/>
          <w:color w:val="808080" w:themeColor="background1" w:themeShade="80"/>
          <w:lang w:val="en-GB"/>
        </w:rPr>
        <w:t>, which refers to the law of the jurisdiction where the property is located</w:t>
      </w:r>
      <w:r w:rsidR="00A172F0">
        <w:rPr>
          <w:rFonts w:ascii="Arial" w:hAnsi="Arial"/>
          <w:color w:val="808080" w:themeColor="background1" w:themeShade="80"/>
          <w:lang w:val="en-GB"/>
        </w:rPr>
        <w:t>.</w:t>
      </w:r>
      <w:r w:rsidRPr="002B3D9E">
        <w:rPr>
          <w:rFonts w:ascii="Arial" w:hAnsi="Arial"/>
          <w:color w:val="808080" w:themeColor="background1" w:themeShade="80"/>
          <w:lang w:val="en-GB"/>
        </w:rPr>
        <w:t xml:space="preserve"> </w:t>
      </w:r>
      <w:proofErr w:type="gramStart"/>
      <w:r w:rsidR="002702EF" w:rsidRPr="002702EF">
        <w:rPr>
          <w:rFonts w:ascii="Arial" w:hAnsi="Arial"/>
          <w:color w:val="808080" w:themeColor="background1" w:themeShade="80"/>
          <w:lang w:val="en-GB"/>
        </w:rPr>
        <w:t>The</w:t>
      </w:r>
      <w:proofErr w:type="gramEnd"/>
      <w:r w:rsidR="002702EF" w:rsidRPr="002702EF">
        <w:rPr>
          <w:rFonts w:ascii="Arial" w:hAnsi="Arial"/>
          <w:color w:val="808080" w:themeColor="background1" w:themeShade="80"/>
          <w:lang w:val="en-GB"/>
        </w:rPr>
        <w:t xml:space="preserve"> definition of "property" in Section 2 of the Insolvency Act explicitly encompasses only property located within the Republic.</w:t>
      </w:r>
      <w:r w:rsidR="002702EF">
        <w:rPr>
          <w:rFonts w:ascii="Arial" w:hAnsi="Arial"/>
          <w:color w:val="808080" w:themeColor="background1" w:themeShade="80"/>
          <w:lang w:val="en-GB"/>
        </w:rPr>
        <w:t xml:space="preserve"> </w:t>
      </w:r>
      <w:r w:rsidR="00133B8D" w:rsidRPr="00133B8D">
        <w:rPr>
          <w:rFonts w:ascii="Arial" w:hAnsi="Arial"/>
          <w:color w:val="808080" w:themeColor="background1" w:themeShade="80"/>
          <w:lang w:val="en-GB"/>
        </w:rPr>
        <w:t xml:space="preserve">Ms. Abel can take control of the </w:t>
      </w:r>
      <w:r w:rsidR="00133B8D">
        <w:rPr>
          <w:rFonts w:ascii="Arial" w:hAnsi="Arial"/>
          <w:color w:val="808080" w:themeColor="background1" w:themeShade="80"/>
          <w:lang w:val="en-GB"/>
        </w:rPr>
        <w:t>immovable property</w:t>
      </w:r>
      <w:r w:rsidR="00133B8D" w:rsidRPr="00133B8D">
        <w:rPr>
          <w:rFonts w:ascii="Arial" w:hAnsi="Arial"/>
          <w:color w:val="808080" w:themeColor="background1" w:themeShade="80"/>
          <w:lang w:val="en-GB"/>
        </w:rPr>
        <w:t xml:space="preserve"> in Italy by securing acknowledgment of her appointment as trustee from the pertinent foreign court, following the applicable principles of that </w:t>
      </w:r>
      <w:proofErr w:type="gramStart"/>
      <w:r w:rsidR="00133B8D" w:rsidRPr="00133B8D">
        <w:rPr>
          <w:rFonts w:ascii="Arial" w:hAnsi="Arial"/>
          <w:color w:val="808080" w:themeColor="background1" w:themeShade="80"/>
          <w:lang w:val="en-GB"/>
        </w:rPr>
        <w:t>particular foreign</w:t>
      </w:r>
      <w:proofErr w:type="gramEnd"/>
      <w:r w:rsidR="00133B8D" w:rsidRPr="00133B8D">
        <w:rPr>
          <w:rFonts w:ascii="Arial" w:hAnsi="Arial"/>
          <w:color w:val="808080" w:themeColor="background1" w:themeShade="80"/>
          <w:lang w:val="en-GB"/>
        </w:rPr>
        <w:t xml:space="preserve"> jurisdiction.</w:t>
      </w:r>
      <w:r w:rsidR="009B4B18">
        <w:rPr>
          <w:rFonts w:ascii="Arial" w:hAnsi="Arial"/>
          <w:color w:val="808080" w:themeColor="background1" w:themeShade="80"/>
          <w:lang w:val="en-GB"/>
        </w:rPr>
        <w:t xml:space="preserve"> Therefore, the immovable property situated in Italy will not automatically ves</w:t>
      </w:r>
      <w:r w:rsidR="002C6017">
        <w:rPr>
          <w:rFonts w:ascii="Arial" w:hAnsi="Arial"/>
          <w:color w:val="808080" w:themeColor="background1" w:themeShade="80"/>
          <w:lang w:val="en-GB"/>
        </w:rPr>
        <w:t>t</w:t>
      </w:r>
      <w:r w:rsidR="009B4B18">
        <w:rPr>
          <w:rFonts w:ascii="Arial" w:hAnsi="Arial"/>
          <w:color w:val="808080" w:themeColor="background1" w:themeShade="80"/>
          <w:lang w:val="en-GB"/>
        </w:rPr>
        <w:t xml:space="preserve"> in the insolvent estate </w:t>
      </w:r>
      <w:r w:rsidR="002C6017">
        <w:rPr>
          <w:rFonts w:ascii="Arial" w:hAnsi="Arial"/>
          <w:color w:val="808080" w:themeColor="background1" w:themeShade="80"/>
          <w:lang w:val="en-GB"/>
        </w:rPr>
        <w:t>of Mr Solar.</w:t>
      </w: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1C2C6F25" w:rsidR="007F0225" w:rsidRPr="000854D8" w:rsidRDefault="008103AD" w:rsidP="00E37136">
      <w:pPr>
        <w:rPr>
          <w:rFonts w:ascii="Arial" w:hAnsi="Arial"/>
          <w:lang w:val="en-GB"/>
        </w:rPr>
      </w:pPr>
      <w:r w:rsidRPr="000854D8">
        <w:rPr>
          <w:rFonts w:ascii="Arial" w:hAnsi="Arial"/>
          <w:color w:val="808080" w:themeColor="background1" w:themeShade="80"/>
          <w:lang w:val="en-GB"/>
        </w:rPr>
        <w:t xml:space="preserve">Yes, </w:t>
      </w:r>
      <w:r w:rsidR="00A421DA" w:rsidRPr="000854D8">
        <w:rPr>
          <w:rFonts w:ascii="Arial" w:hAnsi="Arial"/>
          <w:color w:val="808080" w:themeColor="background1" w:themeShade="80"/>
          <w:lang w:val="en-GB"/>
        </w:rPr>
        <w:t>as t</w:t>
      </w:r>
      <w:r w:rsidR="00A421DA" w:rsidRPr="000854D8">
        <w:rPr>
          <w:rFonts w:ascii="Arial" w:hAnsi="Arial"/>
          <w:color w:val="808080" w:themeColor="background1" w:themeShade="80"/>
          <w:lang w:val="en-GB"/>
        </w:rPr>
        <w:t xml:space="preserve">he application of international private law </w:t>
      </w:r>
      <w:r w:rsidR="00A421DA" w:rsidRPr="000854D8">
        <w:rPr>
          <w:rFonts w:ascii="Arial" w:hAnsi="Arial"/>
          <w:color w:val="808080" w:themeColor="background1" w:themeShade="80"/>
          <w:lang w:val="en-GB"/>
        </w:rPr>
        <w:t xml:space="preserve">is </w:t>
      </w:r>
      <w:r w:rsidR="00A421DA" w:rsidRPr="000854D8">
        <w:rPr>
          <w:rFonts w:ascii="Arial" w:hAnsi="Arial"/>
          <w:color w:val="808080" w:themeColor="background1" w:themeShade="80"/>
          <w:lang w:val="en-GB"/>
        </w:rPr>
        <w:t>involve</w:t>
      </w:r>
      <w:r w:rsidR="00A421DA" w:rsidRPr="000854D8">
        <w:rPr>
          <w:rFonts w:ascii="Arial" w:hAnsi="Arial"/>
          <w:color w:val="808080" w:themeColor="background1" w:themeShade="80"/>
          <w:lang w:val="en-GB"/>
        </w:rPr>
        <w:t>d</w:t>
      </w:r>
      <w:r w:rsidR="000854D8">
        <w:rPr>
          <w:rFonts w:ascii="Arial" w:hAnsi="Arial"/>
          <w:color w:val="808080" w:themeColor="background1" w:themeShade="80"/>
          <w:lang w:val="en-GB"/>
        </w:rPr>
        <w:t xml:space="preserve">. </w:t>
      </w:r>
      <w:proofErr w:type="gramStart"/>
      <w:r w:rsidR="00A421DA" w:rsidRPr="000854D8">
        <w:rPr>
          <w:rFonts w:ascii="Arial" w:hAnsi="Arial"/>
          <w:color w:val="808080" w:themeColor="background1" w:themeShade="80"/>
          <w:lang w:val="en-GB"/>
        </w:rPr>
        <w:t>In</w:t>
      </w:r>
      <w:proofErr w:type="gramEnd"/>
      <w:r w:rsidR="00A421DA" w:rsidRPr="000854D8">
        <w:rPr>
          <w:rFonts w:ascii="Arial" w:hAnsi="Arial"/>
          <w:color w:val="808080" w:themeColor="background1" w:themeShade="80"/>
          <w:lang w:val="en-GB"/>
        </w:rPr>
        <w:t xml:space="preserve"> other words, it is governed by the law applicable to the individual's domicile. According to a legal fiction, the insolvent's movable property is deemed to be located at </w:t>
      </w:r>
      <w:r w:rsidR="00FE2315">
        <w:rPr>
          <w:rFonts w:ascii="Arial" w:hAnsi="Arial"/>
          <w:color w:val="808080" w:themeColor="background1" w:themeShade="80"/>
          <w:lang w:val="en-GB"/>
        </w:rPr>
        <w:t>his</w:t>
      </w:r>
      <w:r w:rsidR="00A421DA" w:rsidRPr="000854D8">
        <w:rPr>
          <w:rFonts w:ascii="Arial" w:hAnsi="Arial"/>
          <w:color w:val="808080" w:themeColor="background1" w:themeShade="80"/>
          <w:lang w:val="en-GB"/>
        </w:rPr>
        <w:t xml:space="preserve"> domicile.</w:t>
      </w:r>
      <w:r w:rsidR="00FE2315">
        <w:rPr>
          <w:rFonts w:ascii="Arial" w:hAnsi="Arial"/>
          <w:color w:val="808080" w:themeColor="background1" w:themeShade="80"/>
          <w:lang w:val="en-GB"/>
        </w:rPr>
        <w:t xml:space="preserve"> </w:t>
      </w:r>
      <w:r w:rsidR="0098382A">
        <w:rPr>
          <w:rFonts w:ascii="Arial" w:hAnsi="Arial"/>
          <w:color w:val="808080" w:themeColor="background1" w:themeShade="80"/>
          <w:lang w:val="en-GB"/>
        </w:rPr>
        <w:t>It will therefore automatically form part of the insol</w:t>
      </w:r>
      <w:r w:rsidR="00B666EE">
        <w:rPr>
          <w:rFonts w:ascii="Arial" w:hAnsi="Arial"/>
          <w:color w:val="808080" w:themeColor="background1" w:themeShade="80"/>
          <w:lang w:val="en-GB"/>
        </w:rPr>
        <w:t>vent's estate.</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lastRenderedPageBreak/>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12CDBF08" w14:textId="6E82A009" w:rsidR="006128C0" w:rsidRPr="006128C0" w:rsidRDefault="006128C0" w:rsidP="006128C0">
      <w:pPr>
        <w:rPr>
          <w:rFonts w:ascii="Arial" w:hAnsi="Arial"/>
          <w:color w:val="808080" w:themeColor="background1" w:themeShade="80"/>
          <w:lang w:val="en-GB"/>
        </w:rPr>
      </w:pPr>
      <w:r w:rsidRPr="006128C0">
        <w:rPr>
          <w:rFonts w:ascii="Arial" w:hAnsi="Arial"/>
          <w:color w:val="808080" w:themeColor="background1" w:themeShade="80"/>
          <w:lang w:val="en-GB"/>
        </w:rPr>
        <w:t xml:space="preserve">The insolvency </w:t>
      </w:r>
      <w:r w:rsidRPr="006128C0">
        <w:rPr>
          <w:rFonts w:ascii="Arial" w:hAnsi="Arial"/>
          <w:color w:val="808080" w:themeColor="background1" w:themeShade="80"/>
          <w:lang w:val="en-GB"/>
        </w:rPr>
        <w:t>of a partner within a partnership leads to the dissolution of the partnership, but it does not result in the sequestration of the partnership estate.</w:t>
      </w:r>
    </w:p>
    <w:p w14:paraId="7A2642CA" w14:textId="77777777" w:rsidR="006128C0" w:rsidRPr="006128C0" w:rsidRDefault="006128C0" w:rsidP="006128C0">
      <w:pPr>
        <w:rPr>
          <w:color w:val="808080" w:themeColor="background1" w:themeShade="80"/>
          <w:lang w:val="en-GB"/>
        </w:rPr>
      </w:pP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5495E32A" w:rsidR="007F0225" w:rsidRPr="00FF2374" w:rsidRDefault="00FF2374" w:rsidP="00E37136">
      <w:pPr>
        <w:rPr>
          <w:rFonts w:ascii="Arial" w:hAnsi="Arial"/>
          <w:lang w:val="en-GB"/>
        </w:rPr>
      </w:pPr>
      <w:r w:rsidRPr="00FF2374">
        <w:rPr>
          <w:rFonts w:ascii="Arial" w:hAnsi="Arial"/>
          <w:color w:val="808080" w:themeColor="background1" w:themeShade="80"/>
          <w:lang w:val="en-GB"/>
        </w:rPr>
        <w:t>The partnership will be terminated.</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4D036E71" w14:textId="43E53902" w:rsidR="007F0225" w:rsidRPr="00EA0313" w:rsidRDefault="00EA0313" w:rsidP="00E37136">
      <w:pPr>
        <w:rPr>
          <w:rFonts w:ascii="Arial" w:hAnsi="Arial"/>
          <w:color w:val="000000" w:themeColor="text1"/>
          <w:lang w:val="en-GB"/>
        </w:rPr>
      </w:pPr>
      <w:proofErr w:type="gramStart"/>
      <w:r w:rsidRPr="00EA0313">
        <w:rPr>
          <w:rFonts w:ascii="Arial" w:hAnsi="Arial"/>
          <w:color w:val="808080" w:themeColor="background1" w:themeShade="80"/>
          <w:lang w:val="en-GB"/>
        </w:rPr>
        <w:t>Factual insolvency,</w:t>
      </w:r>
      <w:proofErr w:type="gramEnd"/>
      <w:r w:rsidRPr="00EA0313">
        <w:rPr>
          <w:rFonts w:ascii="Arial" w:hAnsi="Arial"/>
          <w:color w:val="808080" w:themeColor="background1" w:themeShade="80"/>
          <w:lang w:val="en-GB"/>
        </w:rPr>
        <w:t xml:space="preserve"> </w:t>
      </w:r>
      <w:r>
        <w:rPr>
          <w:rFonts w:ascii="Arial" w:hAnsi="Arial"/>
          <w:color w:val="808080" w:themeColor="background1" w:themeShade="80"/>
          <w:lang w:val="en-GB"/>
        </w:rPr>
        <w:t>is</w:t>
      </w:r>
      <w:r w:rsidRPr="00EA0313">
        <w:rPr>
          <w:rFonts w:ascii="Arial" w:hAnsi="Arial"/>
          <w:color w:val="808080" w:themeColor="background1" w:themeShade="80"/>
          <w:lang w:val="en-GB"/>
        </w:rPr>
        <w:t xml:space="preserve"> when a company's </w:t>
      </w:r>
      <w:r>
        <w:rPr>
          <w:rFonts w:ascii="Arial" w:hAnsi="Arial"/>
          <w:color w:val="808080" w:themeColor="background1" w:themeShade="80"/>
          <w:lang w:val="en-GB"/>
        </w:rPr>
        <w:t>liabilities exceeds</w:t>
      </w:r>
      <w:r w:rsidRPr="00EA0313">
        <w:rPr>
          <w:rFonts w:ascii="Arial" w:hAnsi="Arial"/>
          <w:color w:val="808080" w:themeColor="background1" w:themeShade="80"/>
          <w:lang w:val="en-GB"/>
        </w:rPr>
        <w:t xml:space="preserve"> its assets, and commercial insolvency, </w:t>
      </w:r>
      <w:r>
        <w:rPr>
          <w:rFonts w:ascii="Arial" w:hAnsi="Arial"/>
          <w:color w:val="808080" w:themeColor="background1" w:themeShade="80"/>
          <w:lang w:val="en-GB"/>
        </w:rPr>
        <w:t>is when</w:t>
      </w:r>
      <w:r w:rsidRPr="00EA0313">
        <w:rPr>
          <w:rFonts w:ascii="Arial" w:hAnsi="Arial"/>
          <w:color w:val="808080" w:themeColor="background1" w:themeShade="80"/>
          <w:lang w:val="en-GB"/>
        </w:rPr>
        <w:t xml:space="preserve"> a company faces severe liquidity issues, making it unable to settle its debts, despite having assets that might exceed its liabilities</w:t>
      </w:r>
      <w:r w:rsidR="00463A42">
        <w:rPr>
          <w:rFonts w:ascii="Arial" w:hAnsi="Arial"/>
          <w:color w:val="808080" w:themeColor="background1" w:themeShade="80"/>
          <w:lang w:val="en-GB"/>
        </w:rPr>
        <w:t xml:space="preserve">. In respect of the above </w:t>
      </w:r>
      <w:r w:rsidR="00216961">
        <w:rPr>
          <w:rFonts w:ascii="Arial" w:hAnsi="Arial"/>
          <w:color w:val="808080" w:themeColor="background1" w:themeShade="80"/>
          <w:lang w:val="en-GB"/>
        </w:rPr>
        <w:t xml:space="preserve">set of facts </w:t>
      </w:r>
      <w:r w:rsidR="00FA3068">
        <w:rPr>
          <w:rFonts w:ascii="Arial" w:hAnsi="Arial"/>
          <w:color w:val="808080" w:themeColor="background1" w:themeShade="80"/>
          <w:lang w:val="en-GB"/>
        </w:rPr>
        <w:t xml:space="preserve">RNH is commercially </w:t>
      </w:r>
      <w:r w:rsidR="00764FCF">
        <w:rPr>
          <w:rFonts w:ascii="Arial" w:hAnsi="Arial"/>
          <w:color w:val="808080" w:themeColor="background1" w:themeShade="80"/>
          <w:lang w:val="en-GB"/>
        </w:rPr>
        <w:t xml:space="preserve">insolvent as we are unable to ascertain whether their liabilities </w:t>
      </w:r>
      <w:proofErr w:type="gramStart"/>
      <w:r w:rsidR="00764FCF">
        <w:rPr>
          <w:rFonts w:ascii="Arial" w:hAnsi="Arial"/>
          <w:color w:val="808080" w:themeColor="background1" w:themeShade="80"/>
          <w:lang w:val="en-GB"/>
        </w:rPr>
        <w:t>exceeds</w:t>
      </w:r>
      <w:proofErr w:type="gramEnd"/>
      <w:r w:rsidR="00764FCF">
        <w:rPr>
          <w:rFonts w:ascii="Arial" w:hAnsi="Arial"/>
          <w:color w:val="808080" w:themeColor="background1" w:themeShade="80"/>
          <w:lang w:val="en-GB"/>
        </w:rPr>
        <w:t xml:space="preserve"> its assets but we can ascertain that they are unable to </w:t>
      </w:r>
      <w:proofErr w:type="spellStart"/>
      <w:r w:rsidR="00764FCF">
        <w:rPr>
          <w:rFonts w:ascii="Arial" w:hAnsi="Arial"/>
          <w:color w:val="808080" w:themeColor="background1" w:themeShade="80"/>
          <w:lang w:val="en-GB"/>
        </w:rPr>
        <w:t>setlle</w:t>
      </w:r>
      <w:proofErr w:type="spellEnd"/>
      <w:r w:rsidR="00764FCF">
        <w:rPr>
          <w:rFonts w:ascii="Arial" w:hAnsi="Arial"/>
          <w:color w:val="808080" w:themeColor="background1" w:themeShade="80"/>
          <w:lang w:val="en-GB"/>
        </w:rPr>
        <w:t xml:space="preserve"> its debts as they become due and payable</w:t>
      </w:r>
      <w:r w:rsidR="00F77B9D">
        <w:rPr>
          <w:rFonts w:ascii="Arial" w:hAnsi="Arial"/>
          <w:color w:val="808080" w:themeColor="background1" w:themeShade="80"/>
          <w:lang w:val="en-GB"/>
        </w:rPr>
        <w:t xml:space="preserve"> as is evident from the </w:t>
      </w:r>
      <w:r w:rsidR="009770F2">
        <w:rPr>
          <w:rFonts w:ascii="Arial" w:hAnsi="Arial"/>
          <w:color w:val="808080" w:themeColor="background1" w:themeShade="80"/>
          <w:lang w:val="en-GB"/>
        </w:rPr>
        <w:t>debt</w:t>
      </w:r>
      <w:r w:rsidR="009770F2">
        <w:rPr>
          <w:rFonts w:ascii="Arial" w:hAnsi="Arial"/>
          <w:color w:val="808080" w:themeColor="background1" w:themeShade="80"/>
          <w:lang w:val="en-GB"/>
        </w:rPr>
        <w:t xml:space="preserve"> </w:t>
      </w:r>
      <w:r w:rsidR="00F77B9D">
        <w:rPr>
          <w:rFonts w:ascii="Arial" w:hAnsi="Arial"/>
          <w:color w:val="808080" w:themeColor="background1" w:themeShade="80"/>
          <w:lang w:val="en-GB"/>
        </w:rPr>
        <w:t>Judgment</w:t>
      </w:r>
      <w:r w:rsidR="00764FCF">
        <w:rPr>
          <w:rFonts w:ascii="Arial" w:hAnsi="Arial"/>
          <w:color w:val="808080" w:themeColor="background1" w:themeShade="80"/>
          <w:lang w:val="en-GB"/>
        </w:rPr>
        <w:t>.</w:t>
      </w: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1C5C64F8" w:rsidR="007F0225" w:rsidRPr="000F2294" w:rsidRDefault="000F2294" w:rsidP="00E37136">
      <w:pPr>
        <w:rPr>
          <w:rFonts w:ascii="Arial" w:hAnsi="Arial"/>
          <w:lang w:val="en-GB"/>
        </w:rPr>
      </w:pPr>
      <w:r w:rsidRPr="000F2294">
        <w:rPr>
          <w:rFonts w:ascii="Arial" w:hAnsi="Arial"/>
          <w:color w:val="808080" w:themeColor="background1" w:themeShade="80"/>
          <w:lang w:val="en-GB"/>
        </w:rPr>
        <w:t>It will be placed in the hands of the Master of the High Court.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335C26F8" w14:textId="196DA242" w:rsidR="00E92D69" w:rsidRPr="0085046A" w:rsidRDefault="0085046A" w:rsidP="00E37136">
      <w:pPr>
        <w:rPr>
          <w:rFonts w:ascii="Avenir Next Demi Bold" w:hAnsi="Avenir Next Demi Bold"/>
          <w:b/>
          <w:bCs/>
          <w:color w:val="000000" w:themeColor="text1"/>
          <w:lang w:val="en-GB"/>
        </w:rPr>
      </w:pPr>
      <w:r w:rsidRPr="0085046A">
        <w:rPr>
          <w:rFonts w:ascii="Arial" w:hAnsi="Arial"/>
          <w:color w:val="808080" w:themeColor="background1" w:themeShade="80"/>
          <w:lang w:val="en-GB"/>
        </w:rPr>
        <w:t>A liquidator planning to keep RNH's employees should clearly communicate that their employment is temporary, either on a monthly or another basis, with no guarantee of continuous regular employment. As an alternative, the liquidator has the option to suspend employment contracts under section 38 of the Insolvency Act. In this scenario, the employee is relieved of the obligation to provide services but retains the right to UIF benefits</w:t>
      </w:r>
      <w:r w:rsidRPr="0085046A">
        <w:rPr>
          <w:rFonts w:ascii="Arial" w:hAnsi="Arial"/>
          <w:color w:val="808080" w:themeColor="background1" w:themeShade="80"/>
          <w:lang w:val="en-GB"/>
        </w:rPr>
        <w:t>.</w:t>
      </w:r>
      <w:r w:rsidRPr="0085046A">
        <w:rPr>
          <w:rFonts w:ascii="Avenir Next Demi Bold" w:hAnsi="Avenir Next Demi Bold"/>
          <w:b/>
          <w:bCs/>
          <w:color w:val="000000" w:themeColor="text1"/>
          <w:lang w:val="en-GB"/>
        </w:rPr>
        <w:br/>
      </w: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7DAB5025" w14:textId="42266E0C" w:rsidR="007F0225" w:rsidRPr="00A458B5" w:rsidRDefault="00A458B5" w:rsidP="00E37136">
      <w:pPr>
        <w:rPr>
          <w:rFonts w:ascii="Arial" w:hAnsi="Arial"/>
          <w:color w:val="000000" w:themeColor="text1"/>
          <w:lang w:val="en-GB"/>
        </w:rPr>
      </w:pPr>
      <w:r w:rsidRPr="00A458B5">
        <w:rPr>
          <w:rFonts w:ascii="Arial" w:hAnsi="Arial"/>
          <w:color w:val="808080" w:themeColor="background1" w:themeShade="80"/>
          <w:lang w:val="en-GB"/>
        </w:rPr>
        <w:t xml:space="preserve">The liquidator has the option, under Section 386(4)(g) of the Companies Act, in conjunction with section 37 of the Insolvency Act to either maintain a lease agreement or terminate it by providing written notice to the </w:t>
      </w:r>
      <w:proofErr w:type="spellStart"/>
      <w:proofErr w:type="gramStart"/>
      <w:r w:rsidRPr="00A458B5">
        <w:rPr>
          <w:rFonts w:ascii="Arial" w:hAnsi="Arial"/>
          <w:color w:val="808080" w:themeColor="background1" w:themeShade="80"/>
          <w:lang w:val="en-GB"/>
        </w:rPr>
        <w:t>landlord.</w:t>
      </w:r>
      <w:r w:rsidR="000863AC" w:rsidRPr="00A458B5">
        <w:rPr>
          <w:rFonts w:ascii="Arial" w:hAnsi="Arial"/>
          <w:color w:val="808080" w:themeColor="background1" w:themeShade="80"/>
          <w:lang w:val="en-GB"/>
        </w:rPr>
        <w:t>The</w:t>
      </w:r>
      <w:proofErr w:type="spellEnd"/>
      <w:proofErr w:type="gramEnd"/>
      <w:r w:rsidR="000863AC" w:rsidRPr="00A458B5">
        <w:rPr>
          <w:rFonts w:ascii="Arial" w:hAnsi="Arial"/>
          <w:color w:val="808080" w:themeColor="background1" w:themeShade="80"/>
          <w:lang w:val="en-GB"/>
        </w:rPr>
        <w:t xml:space="preserve"> Willow Trust’s claim will be subject to </w:t>
      </w:r>
      <w:r w:rsidR="00B544F5" w:rsidRPr="00A458B5">
        <w:rPr>
          <w:rFonts w:ascii="Arial" w:hAnsi="Arial"/>
          <w:color w:val="808080" w:themeColor="background1" w:themeShade="80"/>
          <w:lang w:val="en-GB"/>
        </w:rPr>
        <w:t>s</w:t>
      </w:r>
      <w:r w:rsidR="00395803" w:rsidRPr="00A458B5">
        <w:rPr>
          <w:rFonts w:ascii="Arial" w:hAnsi="Arial"/>
          <w:color w:val="808080" w:themeColor="background1" w:themeShade="80"/>
          <w:lang w:val="en-GB"/>
        </w:rPr>
        <w:t xml:space="preserve">ection 85 </w:t>
      </w:r>
      <w:r w:rsidR="00395803" w:rsidRPr="00A458B5">
        <w:rPr>
          <w:rFonts w:ascii="Arial" w:hAnsi="Arial"/>
          <w:color w:val="808080" w:themeColor="background1" w:themeShade="80"/>
          <w:lang w:val="en-GB"/>
        </w:rPr>
        <w:t xml:space="preserve">of the Insolvency Act </w:t>
      </w:r>
      <w:r w:rsidR="00B544F5" w:rsidRPr="00A458B5">
        <w:rPr>
          <w:rFonts w:ascii="Arial" w:hAnsi="Arial"/>
          <w:color w:val="808080" w:themeColor="background1" w:themeShade="80"/>
          <w:lang w:val="en-GB"/>
        </w:rPr>
        <w:t xml:space="preserve">which </w:t>
      </w:r>
      <w:r w:rsidR="00395803" w:rsidRPr="00A458B5">
        <w:rPr>
          <w:rFonts w:ascii="Arial" w:hAnsi="Arial"/>
          <w:color w:val="808080" w:themeColor="background1" w:themeShade="80"/>
          <w:lang w:val="en-GB"/>
        </w:rPr>
        <w:t xml:space="preserve">restricts the secured claim of a landlord. Only the arrear rent, outstanding up to and until </w:t>
      </w:r>
      <w:r w:rsidR="004E48CB" w:rsidRPr="00A458B5">
        <w:rPr>
          <w:rFonts w:ascii="Arial" w:hAnsi="Arial"/>
          <w:color w:val="808080" w:themeColor="background1" w:themeShade="80"/>
          <w:lang w:val="en-GB"/>
        </w:rPr>
        <w:t>liquidation</w:t>
      </w:r>
      <w:r w:rsidR="00395803" w:rsidRPr="00A458B5">
        <w:rPr>
          <w:rFonts w:ascii="Arial" w:hAnsi="Arial"/>
          <w:color w:val="808080" w:themeColor="background1" w:themeShade="80"/>
          <w:lang w:val="en-GB"/>
        </w:rPr>
        <w:t xml:space="preserve">, can be asserted by the </w:t>
      </w:r>
      <w:r w:rsidR="00C73C5C">
        <w:rPr>
          <w:rFonts w:ascii="Arial" w:hAnsi="Arial"/>
          <w:color w:val="808080" w:themeColor="background1" w:themeShade="80"/>
          <w:lang w:val="en-GB"/>
        </w:rPr>
        <w:t>landlord</w:t>
      </w:r>
      <w:r w:rsidR="00395803" w:rsidRPr="00A458B5">
        <w:rPr>
          <w:rFonts w:ascii="Arial" w:hAnsi="Arial"/>
          <w:color w:val="808080" w:themeColor="background1" w:themeShade="80"/>
          <w:lang w:val="en-GB"/>
        </w:rPr>
        <w:t xml:space="preserve"> as a secured claim</w:t>
      </w:r>
      <w:r w:rsidR="004E48CB" w:rsidRPr="00A458B5">
        <w:rPr>
          <w:rFonts w:ascii="Arial" w:hAnsi="Arial"/>
          <w:color w:val="808080" w:themeColor="background1" w:themeShade="80"/>
          <w:lang w:val="en-GB"/>
        </w:rPr>
        <w:t>.</w:t>
      </w: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8B52454" w14:textId="2137997C" w:rsidR="00983C9C" w:rsidRPr="006607CB" w:rsidRDefault="00F22492" w:rsidP="00E37136">
      <w:pPr>
        <w:rPr>
          <w:rFonts w:ascii="Arial" w:hAnsi="Arial"/>
          <w:lang w:val="en-GB"/>
        </w:rPr>
      </w:pPr>
      <w:r w:rsidRPr="006607CB">
        <w:rPr>
          <w:rFonts w:ascii="Arial" w:hAnsi="Arial"/>
          <w:color w:val="808080" w:themeColor="background1" w:themeShade="80"/>
          <w:lang w:val="en-GB"/>
        </w:rPr>
        <w:t>Section 359(1)</w:t>
      </w:r>
      <w:r w:rsidRPr="006607CB">
        <w:rPr>
          <w:rFonts w:ascii="Arial" w:hAnsi="Arial"/>
          <w:color w:val="808080" w:themeColor="background1" w:themeShade="80"/>
          <w:lang w:val="en-GB"/>
        </w:rPr>
        <w:t xml:space="preserve"> </w:t>
      </w:r>
      <w:r w:rsidRPr="006607CB">
        <w:rPr>
          <w:rFonts w:ascii="Arial" w:hAnsi="Arial"/>
          <w:color w:val="808080" w:themeColor="background1" w:themeShade="80"/>
          <w:lang w:val="en-GB"/>
        </w:rPr>
        <w:t xml:space="preserve">of the Companies Act states that the issuance of the liquidation order, typically the provisional order, halts all civil proceedings involving or against the company until a </w:t>
      </w:r>
      <w:r w:rsidRPr="006607CB">
        <w:rPr>
          <w:rFonts w:ascii="Arial" w:hAnsi="Arial"/>
          <w:color w:val="808080" w:themeColor="background1" w:themeShade="80"/>
          <w:lang w:val="en-GB"/>
        </w:rPr>
        <w:lastRenderedPageBreak/>
        <w:t>liquidator is appointed</w:t>
      </w:r>
      <w:r w:rsidRPr="006607CB">
        <w:rPr>
          <w:rFonts w:ascii="Arial" w:hAnsi="Arial"/>
          <w:color w:val="808080" w:themeColor="background1" w:themeShade="80"/>
          <w:lang w:val="en-GB"/>
        </w:rPr>
        <w:t>.</w:t>
      </w:r>
      <w:r w:rsidR="00CD233F" w:rsidRPr="00CD233F">
        <w:t xml:space="preserve"> </w:t>
      </w:r>
      <w:r w:rsidR="00CD233F" w:rsidRPr="00CD233F">
        <w:rPr>
          <w:rFonts w:ascii="Arial" w:hAnsi="Arial"/>
          <w:color w:val="808080" w:themeColor="background1" w:themeShade="80"/>
          <w:lang w:val="en-GB"/>
        </w:rPr>
        <w:t>If anyone wishes to pursue legal actions, they must notify the liquidator of their intention within four weeks after the final liquidator's appointment, providing three weeks' notice.</w:t>
      </w: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77DA0549" w:rsidR="00AA28AD" w:rsidRPr="002F3376" w:rsidRDefault="0000491F" w:rsidP="002F3376">
      <w:pPr>
        <w:pStyle w:val="ListParagraph"/>
        <w:numPr>
          <w:ilvl w:val="0"/>
          <w:numId w:val="22"/>
        </w:numPr>
        <w:rPr>
          <w:color w:val="808080" w:themeColor="background1" w:themeShade="80"/>
          <w:lang w:val="en-GB"/>
        </w:rPr>
      </w:pPr>
      <w:r w:rsidRPr="002F3376">
        <w:rPr>
          <w:color w:val="808080" w:themeColor="background1" w:themeShade="80"/>
          <w:lang w:val="en-GB"/>
        </w:rPr>
        <w:t xml:space="preserve">Causes of the failure </w:t>
      </w:r>
      <w:r w:rsidR="009B1EB9" w:rsidRPr="002F3376">
        <w:rPr>
          <w:color w:val="808080" w:themeColor="background1" w:themeShade="80"/>
          <w:lang w:val="en-GB"/>
        </w:rPr>
        <w:t>of the Company</w:t>
      </w:r>
      <w:r w:rsidR="002F3376" w:rsidRPr="002F3376">
        <w:rPr>
          <w:color w:val="808080" w:themeColor="background1" w:themeShade="80"/>
          <w:lang w:val="en-GB"/>
        </w:rPr>
        <w:t>:</w:t>
      </w:r>
      <w:r w:rsidR="002F3376" w:rsidRPr="002F3376">
        <w:rPr>
          <w:color w:val="808080" w:themeColor="background1" w:themeShade="80"/>
          <w:lang w:val="en-GB"/>
        </w:rPr>
        <w:br/>
      </w:r>
      <w:r w:rsidR="002F3376" w:rsidRPr="002F3376">
        <w:rPr>
          <w:color w:val="808080" w:themeColor="background1" w:themeShade="80"/>
          <w:lang w:val="en-GB"/>
        </w:rPr>
        <w:t>Presently, South Africa is grappling with a significant energy crisis that is substantially affecting the manufacturing operations of RNH.</w:t>
      </w:r>
    </w:p>
    <w:p w14:paraId="0018829C" w14:textId="77777777" w:rsidR="009B1EB9" w:rsidRDefault="009B1EB9" w:rsidP="00AA28AD">
      <w:pPr>
        <w:rPr>
          <w:color w:val="808080" w:themeColor="background1" w:themeShade="80"/>
          <w:lang w:val="en-GB"/>
        </w:rPr>
      </w:pPr>
    </w:p>
    <w:p w14:paraId="514A65D8" w14:textId="08FE7B75" w:rsidR="009B1EB9" w:rsidRPr="00AE0188" w:rsidRDefault="009B1EB9" w:rsidP="00AA28AD">
      <w:pPr>
        <w:pStyle w:val="ListParagraph"/>
        <w:numPr>
          <w:ilvl w:val="0"/>
          <w:numId w:val="22"/>
        </w:numPr>
        <w:rPr>
          <w:color w:val="808080" w:themeColor="background1" w:themeShade="80"/>
          <w:lang w:val="en-GB"/>
        </w:rPr>
      </w:pPr>
      <w:r w:rsidRPr="002F3376">
        <w:rPr>
          <w:color w:val="808080" w:themeColor="background1" w:themeShade="80"/>
          <w:lang w:val="en-GB"/>
        </w:rPr>
        <w:t>Books and record</w:t>
      </w:r>
      <w:r w:rsidR="00AE0188">
        <w:rPr>
          <w:color w:val="808080" w:themeColor="background1" w:themeShade="80"/>
          <w:lang w:val="en-GB"/>
        </w:rPr>
        <w:t>:</w:t>
      </w:r>
      <w:r w:rsidR="00AE0188">
        <w:rPr>
          <w:color w:val="808080" w:themeColor="background1" w:themeShade="80"/>
          <w:lang w:val="en-GB"/>
        </w:rPr>
        <w:br/>
      </w:r>
      <w:r w:rsidR="00F74EB9">
        <w:rPr>
          <w:color w:val="808080" w:themeColor="background1" w:themeShade="80"/>
          <w:lang w:val="en-GB"/>
        </w:rPr>
        <w:t>Whether the</w:t>
      </w:r>
      <w:r w:rsidR="00AE0188" w:rsidRPr="00AE0188">
        <w:rPr>
          <w:color w:val="808080" w:themeColor="background1" w:themeShade="80"/>
          <w:lang w:val="en-GB"/>
        </w:rPr>
        <w:t xml:space="preserve"> company fulfilled all its accounting responsibilities.</w:t>
      </w:r>
      <w:r w:rsidR="00AE0188">
        <w:rPr>
          <w:color w:val="808080" w:themeColor="background1" w:themeShade="80"/>
          <w:lang w:val="en-GB"/>
        </w:rPr>
        <w:br/>
      </w:r>
    </w:p>
    <w:p w14:paraId="539EEFF0" w14:textId="11076519" w:rsidR="004744D3" w:rsidRPr="00636CA3" w:rsidRDefault="009B1EB9" w:rsidP="00AA28AD">
      <w:pPr>
        <w:pStyle w:val="ListParagraph"/>
        <w:numPr>
          <w:ilvl w:val="0"/>
          <w:numId w:val="22"/>
        </w:numPr>
        <w:rPr>
          <w:color w:val="808080" w:themeColor="background1" w:themeShade="80"/>
          <w:lang w:val="en-GB"/>
        </w:rPr>
      </w:pPr>
      <w:r w:rsidRPr="002F3376">
        <w:rPr>
          <w:color w:val="808080" w:themeColor="background1" w:themeShade="80"/>
          <w:lang w:val="en-GB"/>
        </w:rPr>
        <w:t>Legal proceedings</w:t>
      </w:r>
      <w:r w:rsidR="004916A1">
        <w:rPr>
          <w:color w:val="808080" w:themeColor="background1" w:themeShade="80"/>
          <w:lang w:val="en-GB"/>
        </w:rPr>
        <w:t>:</w:t>
      </w:r>
      <w:r w:rsidR="00636CA3">
        <w:rPr>
          <w:color w:val="808080" w:themeColor="background1" w:themeShade="80"/>
          <w:lang w:val="en-GB"/>
        </w:rPr>
        <w:br/>
      </w:r>
      <w:r w:rsidR="00636CA3" w:rsidRPr="00636CA3">
        <w:rPr>
          <w:color w:val="808080" w:themeColor="background1" w:themeShade="80"/>
          <w:lang w:val="en-GB"/>
        </w:rPr>
        <w:t>Cash shortages have impeded RNH's capacity to settle debts with creditors and suppliers, leading to legal actions and judgments against the company.</w:t>
      </w:r>
      <w:r w:rsidR="00636CA3">
        <w:rPr>
          <w:color w:val="808080" w:themeColor="background1" w:themeShade="80"/>
          <w:lang w:val="en-GB"/>
        </w:rPr>
        <w:br/>
      </w:r>
    </w:p>
    <w:p w14:paraId="08B0A1DE" w14:textId="51CFD4E4" w:rsidR="004744D3" w:rsidRPr="002F3376" w:rsidRDefault="004744D3" w:rsidP="002F3376">
      <w:pPr>
        <w:pStyle w:val="ListParagraph"/>
        <w:numPr>
          <w:ilvl w:val="0"/>
          <w:numId w:val="22"/>
        </w:numPr>
        <w:rPr>
          <w:color w:val="808080" w:themeColor="background1" w:themeShade="80"/>
          <w:lang w:val="en-GB"/>
        </w:rPr>
      </w:pPr>
      <w:r w:rsidRPr="002F3376">
        <w:rPr>
          <w:color w:val="808080" w:themeColor="background1" w:themeShade="80"/>
          <w:lang w:val="en-GB"/>
        </w:rPr>
        <w:t>Progress and prospects of the winding – up</w:t>
      </w:r>
      <w:r w:rsidR="00DE1CF7">
        <w:rPr>
          <w:color w:val="808080" w:themeColor="background1" w:themeShade="80"/>
          <w:lang w:val="en-GB"/>
        </w:rPr>
        <w:t>:</w:t>
      </w:r>
      <w:r w:rsidR="00DE1CF7">
        <w:rPr>
          <w:color w:val="808080" w:themeColor="background1" w:themeShade="80"/>
          <w:lang w:val="en-GB"/>
        </w:rPr>
        <w:br/>
      </w:r>
      <w:r w:rsidR="0035361C">
        <w:rPr>
          <w:color w:val="808080" w:themeColor="background1" w:themeShade="80"/>
          <w:lang w:val="en-GB"/>
        </w:rPr>
        <w:t>Whether t</w:t>
      </w:r>
      <w:r w:rsidR="00DE1CF7" w:rsidRPr="00DE1CF7">
        <w:rPr>
          <w:color w:val="808080" w:themeColor="background1" w:themeShade="80"/>
          <w:lang w:val="en-GB"/>
        </w:rPr>
        <w:t xml:space="preserve">he company's assets will be liquidated following the second creditors' meeting, adhering to the creditors' instructions. Subsequently, </w:t>
      </w:r>
      <w:r w:rsidR="0035361C">
        <w:rPr>
          <w:color w:val="808080" w:themeColor="background1" w:themeShade="80"/>
          <w:lang w:val="en-GB"/>
        </w:rPr>
        <w:t>you</w:t>
      </w:r>
      <w:r w:rsidR="00DE1CF7" w:rsidRPr="00DE1CF7">
        <w:rPr>
          <w:color w:val="808080" w:themeColor="background1" w:themeShade="80"/>
          <w:lang w:val="en-GB"/>
        </w:rPr>
        <w:t xml:space="preserve"> will proceed with the preparation of a final liquidation and distribution </w:t>
      </w:r>
      <w:proofErr w:type="gramStart"/>
      <w:r w:rsidR="00DE1CF7" w:rsidRPr="00DE1CF7">
        <w:rPr>
          <w:color w:val="808080" w:themeColor="background1" w:themeShade="80"/>
          <w:lang w:val="en-GB"/>
        </w:rPr>
        <w:t>account</w:t>
      </w:r>
      <w:proofErr w:type="gramEnd"/>
    </w:p>
    <w:p w14:paraId="69007A5C" w14:textId="77777777" w:rsidR="004744D3" w:rsidRDefault="004744D3" w:rsidP="00AA28AD">
      <w:pPr>
        <w:rPr>
          <w:color w:val="808080" w:themeColor="background1" w:themeShade="80"/>
          <w:lang w:val="en-GB"/>
        </w:rPr>
      </w:pPr>
    </w:p>
    <w:p w14:paraId="3B009368" w14:textId="79243851" w:rsidR="00DB5B66" w:rsidRPr="00961E3F" w:rsidRDefault="00441AC3" w:rsidP="00AA28AD">
      <w:pPr>
        <w:pStyle w:val="ListParagraph"/>
        <w:numPr>
          <w:ilvl w:val="0"/>
          <w:numId w:val="22"/>
        </w:numPr>
        <w:rPr>
          <w:color w:val="808080" w:themeColor="background1" w:themeShade="80"/>
          <w:lang w:val="en-GB"/>
        </w:rPr>
      </w:pPr>
      <w:r w:rsidRPr="00441AC3">
        <w:rPr>
          <w:color w:val="808080" w:themeColor="background1" w:themeShade="80"/>
          <w:lang w:val="en-GB"/>
        </w:rPr>
        <w:t>P</w:t>
      </w:r>
      <w:r w:rsidRPr="00441AC3">
        <w:rPr>
          <w:color w:val="808080" w:themeColor="background1" w:themeShade="80"/>
          <w:lang w:val="en-GB"/>
        </w:rPr>
        <w:t>ersonal liabilities of the directors and/or former</w:t>
      </w:r>
      <w:r>
        <w:rPr>
          <w:color w:val="808080" w:themeColor="background1" w:themeShade="80"/>
          <w:lang w:val="en-GB"/>
        </w:rPr>
        <w:t xml:space="preserve"> </w:t>
      </w:r>
      <w:r w:rsidRPr="00441AC3">
        <w:rPr>
          <w:color w:val="808080" w:themeColor="background1" w:themeShade="80"/>
          <w:lang w:val="en-GB"/>
        </w:rPr>
        <w:t>directors and/or former officers of the company</w:t>
      </w:r>
      <w:r>
        <w:rPr>
          <w:color w:val="808080" w:themeColor="background1" w:themeShade="80"/>
          <w:lang w:val="en-GB"/>
        </w:rPr>
        <w:t>:</w:t>
      </w:r>
      <w:r>
        <w:rPr>
          <w:color w:val="808080" w:themeColor="background1" w:themeShade="80"/>
          <w:lang w:val="en-GB"/>
        </w:rPr>
        <w:br/>
      </w:r>
      <w:r w:rsidR="00847060">
        <w:rPr>
          <w:color w:val="808080" w:themeColor="background1" w:themeShade="80"/>
          <w:lang w:val="en-GB"/>
        </w:rPr>
        <w:t>Whether</w:t>
      </w:r>
      <w:r w:rsidR="00961E3F" w:rsidRPr="00961E3F">
        <w:rPr>
          <w:color w:val="808080" w:themeColor="background1" w:themeShade="80"/>
          <w:lang w:val="en-GB"/>
        </w:rPr>
        <w:t xml:space="preserve"> there is </w:t>
      </w:r>
      <w:r w:rsidR="00847060">
        <w:rPr>
          <w:color w:val="808080" w:themeColor="background1" w:themeShade="80"/>
          <w:lang w:val="en-GB"/>
        </w:rPr>
        <w:t>a</w:t>
      </w:r>
      <w:r w:rsidR="00961E3F" w:rsidRPr="00961E3F">
        <w:rPr>
          <w:color w:val="808080" w:themeColor="background1" w:themeShade="80"/>
          <w:lang w:val="en-GB"/>
        </w:rPr>
        <w:t xml:space="preserve"> basis to suspect that the directors and/or former directors can or should be personally accountable for any actions undertaken by the company</w:t>
      </w:r>
      <w:r w:rsidR="00847060">
        <w:rPr>
          <w:color w:val="808080" w:themeColor="background1" w:themeShade="80"/>
          <w:lang w:val="en-GB"/>
        </w:rPr>
        <w:t>.</w:t>
      </w:r>
      <w:r w:rsidR="00961E3F">
        <w:rPr>
          <w:color w:val="808080" w:themeColor="background1" w:themeShade="80"/>
          <w:lang w:val="en-GB"/>
        </w:rPr>
        <w:br/>
      </w:r>
    </w:p>
    <w:p w14:paraId="1B96D04C" w14:textId="16A9AF6C" w:rsidR="00DB5B66" w:rsidRPr="002F3376" w:rsidRDefault="00272E3C" w:rsidP="002F3376">
      <w:pPr>
        <w:pStyle w:val="ListParagraph"/>
        <w:numPr>
          <w:ilvl w:val="0"/>
          <w:numId w:val="22"/>
        </w:numPr>
        <w:rPr>
          <w:color w:val="808080" w:themeColor="background1" w:themeShade="80"/>
          <w:lang w:val="en-GB"/>
        </w:rPr>
      </w:pPr>
      <w:r w:rsidRPr="002F3376">
        <w:rPr>
          <w:color w:val="808080" w:themeColor="background1" w:themeShade="80"/>
          <w:lang w:val="en-GB"/>
        </w:rPr>
        <w:t xml:space="preserve">Enquiry into the promotion, </w:t>
      </w:r>
      <w:proofErr w:type="gramStart"/>
      <w:r w:rsidRPr="002F3376">
        <w:rPr>
          <w:color w:val="808080" w:themeColor="background1" w:themeShade="80"/>
          <w:lang w:val="en-GB"/>
        </w:rPr>
        <w:t>formation</w:t>
      </w:r>
      <w:proofErr w:type="gramEnd"/>
      <w:r w:rsidRPr="002F3376">
        <w:rPr>
          <w:color w:val="808080" w:themeColor="background1" w:themeShade="80"/>
          <w:lang w:val="en-GB"/>
        </w:rPr>
        <w:t xml:space="preserve"> or failure of the company</w:t>
      </w:r>
      <w:r w:rsidRPr="002F3376">
        <w:rPr>
          <w:color w:val="808080" w:themeColor="background1" w:themeShade="80"/>
          <w:lang w:val="en-GB"/>
        </w:rPr>
        <w:cr/>
      </w:r>
      <w:r w:rsidR="002B3D99" w:rsidRPr="002B3D99">
        <w:rPr>
          <w:color w:val="808080" w:themeColor="background1" w:themeShade="80"/>
          <w:lang w:val="en-GB"/>
        </w:rPr>
        <w:t xml:space="preserve">In </w:t>
      </w:r>
      <w:r w:rsidR="00847060">
        <w:rPr>
          <w:color w:val="808080" w:themeColor="background1" w:themeShade="80"/>
          <w:lang w:val="en-GB"/>
        </w:rPr>
        <w:t>your</w:t>
      </w:r>
      <w:r w:rsidR="002B3D99" w:rsidRPr="002B3D99">
        <w:rPr>
          <w:color w:val="808080" w:themeColor="background1" w:themeShade="80"/>
          <w:lang w:val="en-GB"/>
        </w:rPr>
        <w:t xml:space="preserve"> opinion, </w:t>
      </w:r>
      <w:r w:rsidR="00847060">
        <w:rPr>
          <w:color w:val="808080" w:themeColor="background1" w:themeShade="80"/>
          <w:lang w:val="en-GB"/>
        </w:rPr>
        <w:t xml:space="preserve">is </w:t>
      </w:r>
      <w:r w:rsidR="002B3D99" w:rsidRPr="002B3D99">
        <w:rPr>
          <w:color w:val="808080" w:themeColor="background1" w:themeShade="80"/>
          <w:lang w:val="en-GB"/>
        </w:rPr>
        <w:t xml:space="preserve">there </w:t>
      </w:r>
      <w:r w:rsidR="00847060">
        <w:rPr>
          <w:color w:val="808080" w:themeColor="background1" w:themeShade="80"/>
          <w:lang w:val="en-GB"/>
        </w:rPr>
        <w:t>a</w:t>
      </w:r>
      <w:r w:rsidR="002B3D99" w:rsidRPr="002B3D99">
        <w:rPr>
          <w:color w:val="808080" w:themeColor="background1" w:themeShade="80"/>
          <w:lang w:val="en-GB"/>
        </w:rPr>
        <w:t xml:space="preserve"> reason to hold an enquiry in this matter.</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16053781" w14:textId="7E330193" w:rsidR="006A20E1" w:rsidRPr="006A20E1" w:rsidRDefault="00E92D69" w:rsidP="006A20E1">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r w:rsidR="00FB39EA">
        <w:rPr>
          <w:rFonts w:ascii="Avenir Book" w:hAnsi="Avenir Book"/>
          <w:color w:val="000000" w:themeColor="text1"/>
          <w:lang w:val="en-GB"/>
        </w:rPr>
        <w:br/>
      </w:r>
    </w:p>
    <w:p w14:paraId="0C4F3C60" w14:textId="05D0668F" w:rsidR="007F0225" w:rsidRPr="00FB39EA" w:rsidRDefault="006A20E1" w:rsidP="006A20E1">
      <w:pPr>
        <w:rPr>
          <w:rFonts w:ascii="Arial" w:hAnsi="Arial"/>
          <w:color w:val="000000" w:themeColor="text1"/>
          <w:lang w:val="en-GB"/>
        </w:rPr>
      </w:pPr>
      <w:r w:rsidRPr="00FB39EA">
        <w:rPr>
          <w:rFonts w:ascii="Arial" w:hAnsi="Arial"/>
          <w:color w:val="808080" w:themeColor="background1" w:themeShade="80"/>
          <w:lang w:val="en-GB"/>
        </w:rPr>
        <w:t xml:space="preserve">Employees hold a preferential claim, at a maximum of R12,000, for salary or wages not exceeding three months' salary or wages that are owed before the date of </w:t>
      </w:r>
      <w:r w:rsidR="00FB39EA" w:rsidRPr="00FB39EA">
        <w:rPr>
          <w:rFonts w:ascii="Arial" w:hAnsi="Arial"/>
          <w:color w:val="808080" w:themeColor="background1" w:themeShade="80"/>
          <w:lang w:val="en-GB"/>
        </w:rPr>
        <w:t>liquidation</w:t>
      </w:r>
      <w:r w:rsidRPr="00FB39EA">
        <w:rPr>
          <w:rFonts w:ascii="Arial" w:hAnsi="Arial"/>
          <w:color w:val="808080" w:themeColor="background1" w:themeShade="80"/>
          <w:lang w:val="en-GB"/>
        </w:rPr>
        <w:t>. This claim extends to payment for any accrued leave or holiday due to the employee, resulting from employment in the year of insolvency or the preceding year. However, it's important to note that the payout should not exceed R4,000</w:t>
      </w:r>
      <w:r w:rsidR="00FB39EA" w:rsidRPr="00FB39EA">
        <w:rPr>
          <w:rFonts w:ascii="Arial" w:hAnsi="Arial"/>
          <w:color w:val="808080" w:themeColor="background1" w:themeShade="80"/>
          <w:lang w:val="en-GB"/>
        </w:rPr>
        <w:t>.</w:t>
      </w: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lastRenderedPageBreak/>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8B24936" w14:textId="4F6BD1E9" w:rsidR="00DC44E0" w:rsidRPr="00DC44E0" w:rsidRDefault="00DC44E0" w:rsidP="00DC44E0">
      <w:pPr>
        <w:rPr>
          <w:rFonts w:ascii="Arial" w:hAnsi="Arial"/>
          <w:color w:val="808080" w:themeColor="background1" w:themeShade="80"/>
          <w:lang w:val="en-GB"/>
        </w:rPr>
      </w:pPr>
      <w:r>
        <w:rPr>
          <w:rFonts w:ascii="Arial" w:hAnsi="Arial"/>
          <w:color w:val="808080" w:themeColor="background1" w:themeShade="80"/>
          <w:lang w:val="en-GB"/>
        </w:rPr>
        <w:t>Firstly, t</w:t>
      </w:r>
      <w:r w:rsidRPr="00DC44E0">
        <w:rPr>
          <w:rFonts w:ascii="Arial" w:hAnsi="Arial"/>
          <w:color w:val="808080" w:themeColor="background1" w:themeShade="80"/>
          <w:lang w:val="en-GB"/>
        </w:rPr>
        <w:t>he bond must undergo registration in accordance with the Deeds Registries Act</w:t>
      </w:r>
      <w:r w:rsidR="007D41B3">
        <w:rPr>
          <w:rFonts w:ascii="Arial" w:hAnsi="Arial"/>
          <w:color w:val="808080" w:themeColor="background1" w:themeShade="80"/>
          <w:lang w:val="en-GB"/>
        </w:rPr>
        <w:t>.</w:t>
      </w:r>
      <w:r w:rsidRPr="00DC44E0">
        <w:rPr>
          <w:rFonts w:ascii="Arial" w:hAnsi="Arial"/>
          <w:color w:val="808080" w:themeColor="background1" w:themeShade="80"/>
          <w:lang w:val="en-GB"/>
        </w:rPr>
        <w:t xml:space="preserve"> </w:t>
      </w:r>
      <w:r>
        <w:rPr>
          <w:rFonts w:ascii="Arial" w:hAnsi="Arial"/>
          <w:color w:val="808080" w:themeColor="background1" w:themeShade="80"/>
          <w:lang w:val="en-GB"/>
        </w:rPr>
        <w:t>Secondly</w:t>
      </w:r>
      <w:r w:rsidR="007D41B3">
        <w:rPr>
          <w:rFonts w:ascii="Arial" w:hAnsi="Arial"/>
          <w:color w:val="808080" w:themeColor="background1" w:themeShade="80"/>
          <w:lang w:val="en-GB"/>
        </w:rPr>
        <w:t>,</w:t>
      </w:r>
      <w:r w:rsidRPr="00DC44E0">
        <w:rPr>
          <w:rFonts w:ascii="Arial" w:hAnsi="Arial"/>
          <w:color w:val="808080" w:themeColor="background1" w:themeShade="80"/>
          <w:lang w:val="en-GB"/>
        </w:rPr>
        <w:t xml:space="preserve"> </w:t>
      </w:r>
      <w:r w:rsidR="007D41B3">
        <w:rPr>
          <w:rFonts w:ascii="Arial" w:hAnsi="Arial"/>
          <w:color w:val="808080" w:themeColor="background1" w:themeShade="80"/>
          <w:lang w:val="en-GB"/>
        </w:rPr>
        <w:t>t</w:t>
      </w:r>
      <w:r w:rsidRPr="00DC44E0">
        <w:rPr>
          <w:rFonts w:ascii="Arial" w:hAnsi="Arial"/>
          <w:color w:val="808080" w:themeColor="background1" w:themeShade="80"/>
          <w:lang w:val="en-GB"/>
        </w:rPr>
        <w:t>he movable property must possess tangibility</w:t>
      </w:r>
      <w:r w:rsidR="007D41B3">
        <w:rPr>
          <w:rFonts w:ascii="Arial" w:hAnsi="Arial"/>
          <w:color w:val="808080" w:themeColor="background1" w:themeShade="80"/>
          <w:lang w:val="en-GB"/>
        </w:rPr>
        <w:t>.</w:t>
      </w:r>
      <w:r w:rsidRPr="00DC44E0">
        <w:rPr>
          <w:rFonts w:ascii="Arial" w:hAnsi="Arial"/>
          <w:color w:val="808080" w:themeColor="background1" w:themeShade="80"/>
          <w:lang w:val="en-GB"/>
        </w:rPr>
        <w:t xml:space="preserve"> </w:t>
      </w:r>
      <w:r w:rsidR="007D41B3">
        <w:rPr>
          <w:rFonts w:ascii="Arial" w:hAnsi="Arial"/>
          <w:color w:val="808080" w:themeColor="background1" w:themeShade="80"/>
          <w:lang w:val="en-GB"/>
        </w:rPr>
        <w:t>Thirdly,</w:t>
      </w:r>
      <w:r w:rsidRPr="00DC44E0">
        <w:rPr>
          <w:rFonts w:ascii="Arial" w:hAnsi="Arial"/>
          <w:color w:val="808080" w:themeColor="background1" w:themeShade="80"/>
          <w:lang w:val="en-GB"/>
        </w:rPr>
        <w:t xml:space="preserve"> </w:t>
      </w:r>
      <w:r w:rsidR="007D41B3">
        <w:rPr>
          <w:rFonts w:ascii="Arial" w:hAnsi="Arial"/>
          <w:color w:val="808080" w:themeColor="background1" w:themeShade="80"/>
          <w:lang w:val="en-GB"/>
        </w:rPr>
        <w:t>t</w:t>
      </w:r>
      <w:r w:rsidRPr="00DC44E0">
        <w:rPr>
          <w:rFonts w:ascii="Arial" w:hAnsi="Arial"/>
          <w:color w:val="808080" w:themeColor="background1" w:themeShade="80"/>
          <w:lang w:val="en-GB"/>
        </w:rPr>
        <w:t>he bond must detail and describe the movable property in a manner that makes it easily identifiable.</w:t>
      </w:r>
    </w:p>
    <w:p w14:paraId="4AAF74A8" w14:textId="77777777" w:rsidR="00DC44E0" w:rsidRPr="00DC44E0" w:rsidRDefault="00DC44E0" w:rsidP="00DC44E0">
      <w:pPr>
        <w:rPr>
          <w:color w:val="808080" w:themeColor="background1" w:themeShade="80"/>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1716361D" w14:textId="339E41A8" w:rsidR="007F0225" w:rsidRPr="009C0B3E" w:rsidRDefault="00301454" w:rsidP="00301454">
      <w:pPr>
        <w:rPr>
          <w:rFonts w:ascii="Arial" w:hAnsi="Arial"/>
          <w:color w:val="808080" w:themeColor="background1" w:themeShade="80"/>
          <w:lang w:val="en-GB"/>
        </w:rPr>
      </w:pPr>
      <w:r w:rsidRPr="009C0B3E">
        <w:rPr>
          <w:rFonts w:ascii="Arial" w:hAnsi="Arial"/>
          <w:color w:val="808080" w:themeColor="background1" w:themeShade="80"/>
          <w:lang w:val="en-GB"/>
        </w:rPr>
        <w:t>Section 114 of the Customs and Excise Act 1964 grants the South African Revenue Service (SARS) a special security right, termed a "lien," to ensure payment of import taxes. SARS can detain imported property related to these taxes, establishing a lien until the debt is settled. This can be done by various means such as sealing or relocating the property. SARS becomes a secured creditor for the detained assets. It's crucial to note that SARS's lien is limited to the customs debtor's property, a restriction imposed by a Constitutional Court ruling.</w:t>
      </w:r>
      <w:r w:rsidR="00011515" w:rsidRPr="009C0B3E">
        <w:rPr>
          <w:rFonts w:ascii="Arial" w:hAnsi="Arial"/>
          <w:color w:val="808080" w:themeColor="background1" w:themeShade="80"/>
          <w:lang w:val="en-GB"/>
        </w:rPr>
        <w:t xml:space="preserve"> </w:t>
      </w:r>
      <w:r w:rsidRPr="009C0B3E">
        <w:rPr>
          <w:rFonts w:ascii="Arial" w:hAnsi="Arial"/>
          <w:color w:val="808080" w:themeColor="background1" w:themeShade="80"/>
          <w:lang w:val="en-GB"/>
        </w:rPr>
        <w:t>If a lien isn't established pre-</w:t>
      </w:r>
      <w:r w:rsidR="00011515" w:rsidRPr="009C0B3E">
        <w:rPr>
          <w:rFonts w:ascii="Arial" w:hAnsi="Arial"/>
          <w:color w:val="808080" w:themeColor="background1" w:themeShade="80"/>
          <w:lang w:val="en-GB"/>
        </w:rPr>
        <w:t>liquidation</w:t>
      </w:r>
      <w:r w:rsidRPr="009C0B3E">
        <w:rPr>
          <w:rFonts w:ascii="Arial" w:hAnsi="Arial"/>
          <w:color w:val="808080" w:themeColor="background1" w:themeShade="80"/>
          <w:lang w:val="en-GB"/>
        </w:rPr>
        <w:t xml:space="preserve"> or the detained assets don't cover the full claim, SARS is not a concurrent creditor but is compensated as a statutory preferent creditor from the available residue.</w:t>
      </w: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7F7A6687" w14:textId="43CA0E87" w:rsidR="007F0225" w:rsidRPr="009C0B3E" w:rsidRDefault="00B26A22" w:rsidP="00E37136">
      <w:pPr>
        <w:rPr>
          <w:rFonts w:ascii="Arial" w:hAnsi="Arial"/>
          <w:color w:val="808080" w:themeColor="background1" w:themeShade="80"/>
          <w:lang w:val="en-GB"/>
        </w:rPr>
      </w:pPr>
      <w:r w:rsidRPr="009C0B3E">
        <w:rPr>
          <w:rFonts w:ascii="Arial" w:hAnsi="Arial"/>
          <w:color w:val="808080" w:themeColor="background1" w:themeShade="80"/>
          <w:lang w:val="en-GB"/>
        </w:rPr>
        <w:t xml:space="preserve">In the case of Nel and Others NNO v The Master and Others, the court established that the formal submission of an application occurs precisely when the documents are filed with the Registrar of the court. When </w:t>
      </w:r>
      <w:proofErr w:type="spellStart"/>
      <w:proofErr w:type="gramStart"/>
      <w:r w:rsidRPr="009C0B3E">
        <w:rPr>
          <w:rFonts w:ascii="Arial" w:hAnsi="Arial"/>
          <w:color w:val="808080" w:themeColor="background1" w:themeShade="80"/>
          <w:lang w:val="en-GB"/>
        </w:rPr>
        <w:t>a</w:t>
      </w:r>
      <w:proofErr w:type="spellEnd"/>
      <w:proofErr w:type="gramEnd"/>
      <w:r w:rsidRPr="009C0B3E">
        <w:rPr>
          <w:rFonts w:ascii="Arial" w:hAnsi="Arial"/>
          <w:color w:val="808080" w:themeColor="background1" w:themeShade="80"/>
          <w:lang w:val="en-GB"/>
        </w:rPr>
        <w:t xml:space="preserve"> </w:t>
      </w:r>
      <w:r w:rsidR="00D676A3" w:rsidRPr="009C0B3E">
        <w:rPr>
          <w:rFonts w:ascii="Arial" w:hAnsi="Arial"/>
          <w:color w:val="808080" w:themeColor="background1" w:themeShade="80"/>
          <w:lang w:val="en-GB"/>
        </w:rPr>
        <w:t>order</w:t>
      </w:r>
      <w:r w:rsidRPr="009C0B3E">
        <w:rPr>
          <w:rFonts w:ascii="Arial" w:hAnsi="Arial"/>
          <w:color w:val="808080" w:themeColor="background1" w:themeShade="80"/>
          <w:lang w:val="en-GB"/>
        </w:rPr>
        <w:t xml:space="preserve"> is issued, initiating provisional winding-up for a company, the commencement of the winding-up process is deemed to be at the moment when the application for provisional winding-up is officially submitted to the court. It's crucial to note that the term "presentation to the court" specifically pertains to the time when the application is lodged with the Registrar of the Court, not when it is heard by the judge</w:t>
      </w:r>
      <w:r w:rsidR="00981A91" w:rsidRPr="009C0B3E">
        <w:rPr>
          <w:rFonts w:ascii="Arial" w:hAnsi="Arial"/>
          <w:color w:val="808080" w:themeColor="background1" w:themeShade="80"/>
          <w:lang w:val="en-GB"/>
        </w:rPr>
        <w:t xml:space="preserve"> being 11 February </w:t>
      </w:r>
      <w:r w:rsidR="00D13034" w:rsidRPr="009C0B3E">
        <w:rPr>
          <w:rFonts w:ascii="Arial" w:hAnsi="Arial"/>
          <w:color w:val="808080" w:themeColor="background1" w:themeShade="80"/>
          <w:lang w:val="en-GB"/>
        </w:rPr>
        <w:t xml:space="preserve">2023. </w:t>
      </w:r>
    </w:p>
    <w:p w14:paraId="3862238C" w14:textId="77777777" w:rsidR="00D13034" w:rsidRPr="009C0B3E" w:rsidRDefault="00D13034" w:rsidP="00E37136">
      <w:pPr>
        <w:rPr>
          <w:rFonts w:ascii="Arial" w:hAnsi="Arial"/>
          <w:color w:val="808080" w:themeColor="background1" w:themeShade="80"/>
          <w:lang w:val="en-GB"/>
        </w:rPr>
      </w:pPr>
    </w:p>
    <w:p w14:paraId="10CC84B4" w14:textId="10636D6E" w:rsidR="00CD7E28" w:rsidRPr="009C0B3E" w:rsidRDefault="00286E3B" w:rsidP="00E37136">
      <w:pPr>
        <w:tabs>
          <w:tab w:val="right" w:pos="9021"/>
        </w:tabs>
        <w:rPr>
          <w:rFonts w:ascii="Arial" w:hAnsi="Arial"/>
          <w:b/>
          <w:bCs/>
          <w:lang w:val="en-GB"/>
        </w:rPr>
      </w:pPr>
      <w:r w:rsidRPr="009C0B3E">
        <w:rPr>
          <w:rFonts w:ascii="Arial" w:hAnsi="Arial"/>
          <w:color w:val="808080" w:themeColor="background1" w:themeShade="80"/>
          <w:lang w:val="en-GB"/>
        </w:rPr>
        <w:t xml:space="preserve">Concerning Business Rescue and in accordance with the </w:t>
      </w:r>
      <w:proofErr w:type="gramStart"/>
      <w:r w:rsidRPr="009C0B3E">
        <w:rPr>
          <w:rFonts w:ascii="Arial" w:hAnsi="Arial"/>
          <w:color w:val="808080" w:themeColor="background1" w:themeShade="80"/>
          <w:lang w:val="en-GB"/>
        </w:rPr>
        <w:t>aforementioned details</w:t>
      </w:r>
      <w:proofErr w:type="gramEnd"/>
      <w:r w:rsidRPr="009C0B3E">
        <w:rPr>
          <w:rFonts w:ascii="Arial" w:hAnsi="Arial"/>
          <w:color w:val="808080" w:themeColor="background1" w:themeShade="80"/>
          <w:lang w:val="en-GB"/>
        </w:rPr>
        <w:t xml:space="preserve">, RNH's board of directors </w:t>
      </w:r>
      <w:proofErr w:type="spellStart"/>
      <w:r w:rsidRPr="009C0B3E">
        <w:rPr>
          <w:rFonts w:ascii="Arial" w:hAnsi="Arial"/>
          <w:color w:val="808080" w:themeColor="background1" w:themeShade="80"/>
          <w:lang w:val="en-GB"/>
        </w:rPr>
        <w:t>endeavored</w:t>
      </w:r>
      <w:proofErr w:type="spellEnd"/>
      <w:r w:rsidRPr="009C0B3E">
        <w:rPr>
          <w:rFonts w:ascii="Arial" w:hAnsi="Arial"/>
          <w:color w:val="808080" w:themeColor="background1" w:themeShade="80"/>
          <w:lang w:val="en-GB"/>
        </w:rPr>
        <w:t xml:space="preserve"> to initiate business rescue for the company. They pursued this through the submission of a resolution under S129(1) of the Companies Act. It's crucial to emphasize that this resolution takes effect only upon formal filing and submission with CIPC, which occurred on 14 February 2023—</w:t>
      </w:r>
      <w:proofErr w:type="gramStart"/>
      <w:r w:rsidRPr="009C0B3E">
        <w:rPr>
          <w:rFonts w:ascii="Arial" w:hAnsi="Arial"/>
          <w:color w:val="808080" w:themeColor="background1" w:themeShade="80"/>
          <w:lang w:val="en-GB"/>
        </w:rPr>
        <w:t>subsequent to</w:t>
      </w:r>
      <w:proofErr w:type="gramEnd"/>
      <w:r w:rsidRPr="009C0B3E">
        <w:rPr>
          <w:rFonts w:ascii="Arial" w:hAnsi="Arial"/>
          <w:color w:val="808080" w:themeColor="background1" w:themeShade="80"/>
          <w:lang w:val="en-GB"/>
        </w:rPr>
        <w:t xml:space="preserve"> the initiation of liquidation proceedings. It is noteworthy that the adoption of such a resolution is impermissible if liquidation proceedings are already underway, whether initiated by or against the company. This restriction is in place to prevent boards of companies from inappropriately hindering legitimate liquidation applications by cynically adopting resolutions to commence business rescue.</w:t>
      </w:r>
      <w:r w:rsidRPr="009C0B3E">
        <w:rPr>
          <w:rFonts w:ascii="Arial" w:hAnsi="Arial"/>
          <w:color w:val="808080" w:themeColor="background1" w:themeShade="80"/>
          <w:lang w:val="en-GB"/>
        </w:rPr>
        <w:t xml:space="preserve"> I am therefore of the opinion that they will not succeed in placing the company into business rescue, especially when considering the insolvent status of RNH.</w:t>
      </w: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lastRenderedPageBreak/>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FBA2" w14:textId="77777777" w:rsidR="00596EAD" w:rsidRDefault="00596EAD" w:rsidP="001016B0">
      <w:r>
        <w:separator/>
      </w:r>
    </w:p>
  </w:endnote>
  <w:endnote w:type="continuationSeparator" w:id="0">
    <w:p w14:paraId="6740C29F" w14:textId="77777777" w:rsidR="00596EAD" w:rsidRDefault="00596EAD"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6A6AF35E" w:rsidR="00CD366B" w:rsidRDefault="00CD7F2E" w:rsidP="008A20AC">
    <w:pPr>
      <w:pStyle w:val="Footer"/>
      <w:ind w:right="360"/>
    </w:pPr>
    <w:r w:rsidRPr="00CD7F2E">
      <w:t>202324-1233</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0C63" w14:textId="77777777" w:rsidR="00596EAD" w:rsidRDefault="00596EAD" w:rsidP="001016B0">
      <w:r>
        <w:separator/>
      </w:r>
    </w:p>
  </w:footnote>
  <w:footnote w:type="continuationSeparator" w:id="0">
    <w:p w14:paraId="0F2A4AEE" w14:textId="77777777" w:rsidR="00596EAD" w:rsidRDefault="00596EAD"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B96655"/>
    <w:multiLevelType w:val="hybridMultilevel"/>
    <w:tmpl w:val="9550A1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1030710">
    <w:abstractNumId w:val="13"/>
  </w:num>
  <w:num w:numId="2" w16cid:durableId="1213611726">
    <w:abstractNumId w:val="20"/>
  </w:num>
  <w:num w:numId="3" w16cid:durableId="1096250743">
    <w:abstractNumId w:val="0"/>
  </w:num>
  <w:num w:numId="4" w16cid:durableId="1575551104">
    <w:abstractNumId w:val="6"/>
  </w:num>
  <w:num w:numId="5" w16cid:durableId="1342006828">
    <w:abstractNumId w:val="14"/>
  </w:num>
  <w:num w:numId="6" w16cid:durableId="724370809">
    <w:abstractNumId w:val="19"/>
  </w:num>
  <w:num w:numId="7" w16cid:durableId="1508865863">
    <w:abstractNumId w:val="18"/>
  </w:num>
  <w:num w:numId="8" w16cid:durableId="945844014">
    <w:abstractNumId w:val="12"/>
  </w:num>
  <w:num w:numId="9" w16cid:durableId="1025867015">
    <w:abstractNumId w:val="9"/>
  </w:num>
  <w:num w:numId="10" w16cid:durableId="1376584940">
    <w:abstractNumId w:val="16"/>
  </w:num>
  <w:num w:numId="11" w16cid:durableId="1470199530">
    <w:abstractNumId w:val="3"/>
  </w:num>
  <w:num w:numId="12" w16cid:durableId="1174568885">
    <w:abstractNumId w:val="21"/>
  </w:num>
  <w:num w:numId="13" w16cid:durableId="511453770">
    <w:abstractNumId w:val="15"/>
  </w:num>
  <w:num w:numId="14" w16cid:durableId="2014137655">
    <w:abstractNumId w:val="7"/>
  </w:num>
  <w:num w:numId="15" w16cid:durableId="991984372">
    <w:abstractNumId w:val="5"/>
  </w:num>
  <w:num w:numId="16" w16cid:durableId="1513763711">
    <w:abstractNumId w:val="10"/>
  </w:num>
  <w:num w:numId="17" w16cid:durableId="1296839232">
    <w:abstractNumId w:val="8"/>
  </w:num>
  <w:num w:numId="18" w16cid:durableId="1524050820">
    <w:abstractNumId w:val="11"/>
  </w:num>
  <w:num w:numId="19" w16cid:durableId="1740246952">
    <w:abstractNumId w:val="4"/>
  </w:num>
  <w:num w:numId="20" w16cid:durableId="872575575">
    <w:abstractNumId w:val="2"/>
  </w:num>
  <w:num w:numId="21" w16cid:durableId="694888338">
    <w:abstractNumId w:val="1"/>
  </w:num>
  <w:num w:numId="22" w16cid:durableId="178973911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419"/>
    <w:rsid w:val="00003912"/>
    <w:rsid w:val="0000491F"/>
    <w:rsid w:val="00004D83"/>
    <w:rsid w:val="00005328"/>
    <w:rsid w:val="0000587E"/>
    <w:rsid w:val="00011515"/>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1CDC"/>
    <w:rsid w:val="00052C0A"/>
    <w:rsid w:val="00053A2F"/>
    <w:rsid w:val="000547B4"/>
    <w:rsid w:val="000550AE"/>
    <w:rsid w:val="000562FC"/>
    <w:rsid w:val="0006065B"/>
    <w:rsid w:val="00060756"/>
    <w:rsid w:val="0006093C"/>
    <w:rsid w:val="0006320B"/>
    <w:rsid w:val="000644A0"/>
    <w:rsid w:val="0006553B"/>
    <w:rsid w:val="00065CA5"/>
    <w:rsid w:val="000672ED"/>
    <w:rsid w:val="00067E80"/>
    <w:rsid w:val="00071EFD"/>
    <w:rsid w:val="000727CF"/>
    <w:rsid w:val="00073862"/>
    <w:rsid w:val="000807FB"/>
    <w:rsid w:val="0008363E"/>
    <w:rsid w:val="00083AF3"/>
    <w:rsid w:val="000854D8"/>
    <w:rsid w:val="000863AC"/>
    <w:rsid w:val="00087A4E"/>
    <w:rsid w:val="00091667"/>
    <w:rsid w:val="000943C5"/>
    <w:rsid w:val="00094C09"/>
    <w:rsid w:val="000969D2"/>
    <w:rsid w:val="000969D6"/>
    <w:rsid w:val="00096F3C"/>
    <w:rsid w:val="000977E0"/>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042F"/>
    <w:rsid w:val="000E18E1"/>
    <w:rsid w:val="000E4C6C"/>
    <w:rsid w:val="000E64DB"/>
    <w:rsid w:val="000F1349"/>
    <w:rsid w:val="000F1620"/>
    <w:rsid w:val="000F1B04"/>
    <w:rsid w:val="000F229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33B8D"/>
    <w:rsid w:val="001401AF"/>
    <w:rsid w:val="001403CD"/>
    <w:rsid w:val="00143AF3"/>
    <w:rsid w:val="00144606"/>
    <w:rsid w:val="00152954"/>
    <w:rsid w:val="00155357"/>
    <w:rsid w:val="00157455"/>
    <w:rsid w:val="0015751C"/>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41AD"/>
    <w:rsid w:val="0021508C"/>
    <w:rsid w:val="00216818"/>
    <w:rsid w:val="00216961"/>
    <w:rsid w:val="00217A56"/>
    <w:rsid w:val="00221041"/>
    <w:rsid w:val="00222127"/>
    <w:rsid w:val="002226DF"/>
    <w:rsid w:val="002264AD"/>
    <w:rsid w:val="00232B3B"/>
    <w:rsid w:val="00234313"/>
    <w:rsid w:val="00244935"/>
    <w:rsid w:val="00251F70"/>
    <w:rsid w:val="00252529"/>
    <w:rsid w:val="00252A4F"/>
    <w:rsid w:val="002532D9"/>
    <w:rsid w:val="00255630"/>
    <w:rsid w:val="00256DA6"/>
    <w:rsid w:val="00257792"/>
    <w:rsid w:val="0026126D"/>
    <w:rsid w:val="00263733"/>
    <w:rsid w:val="00264D75"/>
    <w:rsid w:val="002665D8"/>
    <w:rsid w:val="002670D8"/>
    <w:rsid w:val="00270263"/>
    <w:rsid w:val="002702EF"/>
    <w:rsid w:val="0027032B"/>
    <w:rsid w:val="00270334"/>
    <w:rsid w:val="0027248A"/>
    <w:rsid w:val="00272E3C"/>
    <w:rsid w:val="00273139"/>
    <w:rsid w:val="002747AA"/>
    <w:rsid w:val="002748CA"/>
    <w:rsid w:val="002811D3"/>
    <w:rsid w:val="00283584"/>
    <w:rsid w:val="00283880"/>
    <w:rsid w:val="00286E3B"/>
    <w:rsid w:val="002944A6"/>
    <w:rsid w:val="00294CF4"/>
    <w:rsid w:val="0029590F"/>
    <w:rsid w:val="002A082B"/>
    <w:rsid w:val="002A2C16"/>
    <w:rsid w:val="002B15BA"/>
    <w:rsid w:val="002B3470"/>
    <w:rsid w:val="002B3D99"/>
    <w:rsid w:val="002B3D9E"/>
    <w:rsid w:val="002B4DCE"/>
    <w:rsid w:val="002B602A"/>
    <w:rsid w:val="002B7150"/>
    <w:rsid w:val="002B79AD"/>
    <w:rsid w:val="002C6017"/>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376"/>
    <w:rsid w:val="002F3F96"/>
    <w:rsid w:val="002F49CF"/>
    <w:rsid w:val="003001BA"/>
    <w:rsid w:val="00300343"/>
    <w:rsid w:val="00300368"/>
    <w:rsid w:val="00300A1C"/>
    <w:rsid w:val="00301454"/>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361C"/>
    <w:rsid w:val="003572EE"/>
    <w:rsid w:val="00357EE1"/>
    <w:rsid w:val="00361ECF"/>
    <w:rsid w:val="00362356"/>
    <w:rsid w:val="00365762"/>
    <w:rsid w:val="00367E69"/>
    <w:rsid w:val="00371CD3"/>
    <w:rsid w:val="00373930"/>
    <w:rsid w:val="003845E5"/>
    <w:rsid w:val="00391215"/>
    <w:rsid w:val="003931D1"/>
    <w:rsid w:val="00393565"/>
    <w:rsid w:val="00393EC9"/>
    <w:rsid w:val="00395803"/>
    <w:rsid w:val="00397E2B"/>
    <w:rsid w:val="003A2AEE"/>
    <w:rsid w:val="003A40DF"/>
    <w:rsid w:val="003A5871"/>
    <w:rsid w:val="003A7E66"/>
    <w:rsid w:val="003B06BB"/>
    <w:rsid w:val="003B0BBB"/>
    <w:rsid w:val="003B4199"/>
    <w:rsid w:val="003B54BE"/>
    <w:rsid w:val="003B68BD"/>
    <w:rsid w:val="003B6E4C"/>
    <w:rsid w:val="003B7C3F"/>
    <w:rsid w:val="003C02C7"/>
    <w:rsid w:val="003C1B23"/>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583A"/>
    <w:rsid w:val="004367D9"/>
    <w:rsid w:val="00436CC3"/>
    <w:rsid w:val="00441AC3"/>
    <w:rsid w:val="0044207D"/>
    <w:rsid w:val="004449DE"/>
    <w:rsid w:val="00444CA2"/>
    <w:rsid w:val="00446A9D"/>
    <w:rsid w:val="00447FBC"/>
    <w:rsid w:val="004522BB"/>
    <w:rsid w:val="00453D83"/>
    <w:rsid w:val="00454E81"/>
    <w:rsid w:val="00457AC8"/>
    <w:rsid w:val="00463A42"/>
    <w:rsid w:val="004708C4"/>
    <w:rsid w:val="00470B76"/>
    <w:rsid w:val="00472555"/>
    <w:rsid w:val="00472927"/>
    <w:rsid w:val="00473869"/>
    <w:rsid w:val="00473E63"/>
    <w:rsid w:val="004740D5"/>
    <w:rsid w:val="004744D3"/>
    <w:rsid w:val="00474723"/>
    <w:rsid w:val="00482D10"/>
    <w:rsid w:val="0048719D"/>
    <w:rsid w:val="00490DAF"/>
    <w:rsid w:val="004916A1"/>
    <w:rsid w:val="00492697"/>
    <w:rsid w:val="00497863"/>
    <w:rsid w:val="004978FF"/>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E48CB"/>
    <w:rsid w:val="004F266B"/>
    <w:rsid w:val="004F4C5E"/>
    <w:rsid w:val="004F5D43"/>
    <w:rsid w:val="004F67CE"/>
    <w:rsid w:val="00502F6B"/>
    <w:rsid w:val="00504A64"/>
    <w:rsid w:val="00511ADF"/>
    <w:rsid w:val="00512916"/>
    <w:rsid w:val="00513012"/>
    <w:rsid w:val="00514A53"/>
    <w:rsid w:val="0051697F"/>
    <w:rsid w:val="005200BF"/>
    <w:rsid w:val="00520EFB"/>
    <w:rsid w:val="005212C2"/>
    <w:rsid w:val="0052140A"/>
    <w:rsid w:val="0052499A"/>
    <w:rsid w:val="00527335"/>
    <w:rsid w:val="0052745C"/>
    <w:rsid w:val="00527F67"/>
    <w:rsid w:val="00530412"/>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2612"/>
    <w:rsid w:val="005750D6"/>
    <w:rsid w:val="005755EA"/>
    <w:rsid w:val="00575620"/>
    <w:rsid w:val="00576B81"/>
    <w:rsid w:val="00576BA2"/>
    <w:rsid w:val="005823CF"/>
    <w:rsid w:val="0058387D"/>
    <w:rsid w:val="0058388F"/>
    <w:rsid w:val="00583968"/>
    <w:rsid w:val="00585758"/>
    <w:rsid w:val="00585C2B"/>
    <w:rsid w:val="00587421"/>
    <w:rsid w:val="005905F9"/>
    <w:rsid w:val="00590961"/>
    <w:rsid w:val="00590B3D"/>
    <w:rsid w:val="00592A8D"/>
    <w:rsid w:val="00595D22"/>
    <w:rsid w:val="00596EAD"/>
    <w:rsid w:val="005978F4"/>
    <w:rsid w:val="005A66C0"/>
    <w:rsid w:val="005A7724"/>
    <w:rsid w:val="005B188A"/>
    <w:rsid w:val="005B2096"/>
    <w:rsid w:val="005B26DC"/>
    <w:rsid w:val="005B3C91"/>
    <w:rsid w:val="005C0FF6"/>
    <w:rsid w:val="005C4765"/>
    <w:rsid w:val="005C4837"/>
    <w:rsid w:val="005C4FDA"/>
    <w:rsid w:val="005C5514"/>
    <w:rsid w:val="005C6146"/>
    <w:rsid w:val="005D171C"/>
    <w:rsid w:val="005D1DDF"/>
    <w:rsid w:val="005D49B4"/>
    <w:rsid w:val="005D56BB"/>
    <w:rsid w:val="005D59D2"/>
    <w:rsid w:val="005D6817"/>
    <w:rsid w:val="005E1619"/>
    <w:rsid w:val="005E20D8"/>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28C0"/>
    <w:rsid w:val="00614528"/>
    <w:rsid w:val="006150B4"/>
    <w:rsid w:val="00616652"/>
    <w:rsid w:val="006278B5"/>
    <w:rsid w:val="00631462"/>
    <w:rsid w:val="00631491"/>
    <w:rsid w:val="00634240"/>
    <w:rsid w:val="006369FA"/>
    <w:rsid w:val="00636CA3"/>
    <w:rsid w:val="0063766F"/>
    <w:rsid w:val="00640BC9"/>
    <w:rsid w:val="006418DE"/>
    <w:rsid w:val="00643725"/>
    <w:rsid w:val="00643B00"/>
    <w:rsid w:val="00645AC2"/>
    <w:rsid w:val="00645B45"/>
    <w:rsid w:val="006461FA"/>
    <w:rsid w:val="00647006"/>
    <w:rsid w:val="006478BE"/>
    <w:rsid w:val="0065037A"/>
    <w:rsid w:val="00651C41"/>
    <w:rsid w:val="00652AD4"/>
    <w:rsid w:val="006607CB"/>
    <w:rsid w:val="0066147F"/>
    <w:rsid w:val="006656AB"/>
    <w:rsid w:val="006659FD"/>
    <w:rsid w:val="006674D6"/>
    <w:rsid w:val="00671ADC"/>
    <w:rsid w:val="00672E7E"/>
    <w:rsid w:val="006731C8"/>
    <w:rsid w:val="00673F7D"/>
    <w:rsid w:val="00674C6B"/>
    <w:rsid w:val="00675235"/>
    <w:rsid w:val="00676A9C"/>
    <w:rsid w:val="00680E56"/>
    <w:rsid w:val="00682B8C"/>
    <w:rsid w:val="00684B6B"/>
    <w:rsid w:val="0069022D"/>
    <w:rsid w:val="006902DF"/>
    <w:rsid w:val="00690954"/>
    <w:rsid w:val="0069113C"/>
    <w:rsid w:val="0069468A"/>
    <w:rsid w:val="0069625E"/>
    <w:rsid w:val="006A18DB"/>
    <w:rsid w:val="006A1B37"/>
    <w:rsid w:val="006A20E1"/>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458A"/>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3E9B"/>
    <w:rsid w:val="00745CFF"/>
    <w:rsid w:val="007474A1"/>
    <w:rsid w:val="007474DA"/>
    <w:rsid w:val="00752984"/>
    <w:rsid w:val="00752EF7"/>
    <w:rsid w:val="00755F63"/>
    <w:rsid w:val="007562BB"/>
    <w:rsid w:val="00764FCF"/>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93833"/>
    <w:rsid w:val="007A0F49"/>
    <w:rsid w:val="007A1000"/>
    <w:rsid w:val="007A1E90"/>
    <w:rsid w:val="007A2C95"/>
    <w:rsid w:val="007A5699"/>
    <w:rsid w:val="007A5D0F"/>
    <w:rsid w:val="007B0A80"/>
    <w:rsid w:val="007B1B03"/>
    <w:rsid w:val="007B2BB6"/>
    <w:rsid w:val="007B435F"/>
    <w:rsid w:val="007B44FF"/>
    <w:rsid w:val="007B5B02"/>
    <w:rsid w:val="007B607D"/>
    <w:rsid w:val="007B6DD3"/>
    <w:rsid w:val="007B70A8"/>
    <w:rsid w:val="007C2F53"/>
    <w:rsid w:val="007C3B85"/>
    <w:rsid w:val="007C3C81"/>
    <w:rsid w:val="007C72DF"/>
    <w:rsid w:val="007D3619"/>
    <w:rsid w:val="007D3D49"/>
    <w:rsid w:val="007D41B3"/>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3AD"/>
    <w:rsid w:val="00810FC5"/>
    <w:rsid w:val="00812BFB"/>
    <w:rsid w:val="00813CB4"/>
    <w:rsid w:val="00815A09"/>
    <w:rsid w:val="00817E36"/>
    <w:rsid w:val="00817EB4"/>
    <w:rsid w:val="008201D7"/>
    <w:rsid w:val="00820BFA"/>
    <w:rsid w:val="00822A4C"/>
    <w:rsid w:val="00823418"/>
    <w:rsid w:val="00831837"/>
    <w:rsid w:val="00831F21"/>
    <w:rsid w:val="0083342C"/>
    <w:rsid w:val="00840D8E"/>
    <w:rsid w:val="0084350B"/>
    <w:rsid w:val="00847060"/>
    <w:rsid w:val="00850236"/>
    <w:rsid w:val="0085046A"/>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609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8F34AB"/>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1E3F"/>
    <w:rsid w:val="009621D7"/>
    <w:rsid w:val="00967B62"/>
    <w:rsid w:val="00970351"/>
    <w:rsid w:val="00975245"/>
    <w:rsid w:val="009770F2"/>
    <w:rsid w:val="009803AC"/>
    <w:rsid w:val="00981A91"/>
    <w:rsid w:val="00981DAF"/>
    <w:rsid w:val="0098311F"/>
    <w:rsid w:val="0098329C"/>
    <w:rsid w:val="0098382A"/>
    <w:rsid w:val="00983C9C"/>
    <w:rsid w:val="00985108"/>
    <w:rsid w:val="009857FC"/>
    <w:rsid w:val="00985CA4"/>
    <w:rsid w:val="00995DDC"/>
    <w:rsid w:val="00995F04"/>
    <w:rsid w:val="009A2BB2"/>
    <w:rsid w:val="009B0913"/>
    <w:rsid w:val="009B1EB9"/>
    <w:rsid w:val="009B20B2"/>
    <w:rsid w:val="009B4B18"/>
    <w:rsid w:val="009B6ADA"/>
    <w:rsid w:val="009B7D40"/>
    <w:rsid w:val="009C0B3E"/>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2F2A"/>
    <w:rsid w:val="009F3508"/>
    <w:rsid w:val="009F45C7"/>
    <w:rsid w:val="009F49C2"/>
    <w:rsid w:val="009F4C3A"/>
    <w:rsid w:val="009F7536"/>
    <w:rsid w:val="009F76ED"/>
    <w:rsid w:val="00A03648"/>
    <w:rsid w:val="00A055F5"/>
    <w:rsid w:val="00A0647A"/>
    <w:rsid w:val="00A06708"/>
    <w:rsid w:val="00A07356"/>
    <w:rsid w:val="00A07E02"/>
    <w:rsid w:val="00A15BBF"/>
    <w:rsid w:val="00A172F0"/>
    <w:rsid w:val="00A21B88"/>
    <w:rsid w:val="00A22F88"/>
    <w:rsid w:val="00A23FB7"/>
    <w:rsid w:val="00A2519A"/>
    <w:rsid w:val="00A322BC"/>
    <w:rsid w:val="00A37802"/>
    <w:rsid w:val="00A421DA"/>
    <w:rsid w:val="00A42C60"/>
    <w:rsid w:val="00A43084"/>
    <w:rsid w:val="00A458B5"/>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188"/>
    <w:rsid w:val="00AE0ADA"/>
    <w:rsid w:val="00AE5040"/>
    <w:rsid w:val="00AF146A"/>
    <w:rsid w:val="00AF2C38"/>
    <w:rsid w:val="00AF51D0"/>
    <w:rsid w:val="00B010D8"/>
    <w:rsid w:val="00B01803"/>
    <w:rsid w:val="00B01B28"/>
    <w:rsid w:val="00B04824"/>
    <w:rsid w:val="00B04FA2"/>
    <w:rsid w:val="00B0561A"/>
    <w:rsid w:val="00B060D3"/>
    <w:rsid w:val="00B06B4E"/>
    <w:rsid w:val="00B0737C"/>
    <w:rsid w:val="00B10DD9"/>
    <w:rsid w:val="00B15B02"/>
    <w:rsid w:val="00B17707"/>
    <w:rsid w:val="00B20098"/>
    <w:rsid w:val="00B22A54"/>
    <w:rsid w:val="00B22F49"/>
    <w:rsid w:val="00B23068"/>
    <w:rsid w:val="00B24704"/>
    <w:rsid w:val="00B257BF"/>
    <w:rsid w:val="00B26A22"/>
    <w:rsid w:val="00B274AF"/>
    <w:rsid w:val="00B321C1"/>
    <w:rsid w:val="00B337EF"/>
    <w:rsid w:val="00B34E70"/>
    <w:rsid w:val="00B354EE"/>
    <w:rsid w:val="00B40A75"/>
    <w:rsid w:val="00B429C8"/>
    <w:rsid w:val="00B434DE"/>
    <w:rsid w:val="00B437AB"/>
    <w:rsid w:val="00B45BAE"/>
    <w:rsid w:val="00B4738D"/>
    <w:rsid w:val="00B50AE0"/>
    <w:rsid w:val="00B518BA"/>
    <w:rsid w:val="00B544F5"/>
    <w:rsid w:val="00B546E9"/>
    <w:rsid w:val="00B54927"/>
    <w:rsid w:val="00B56420"/>
    <w:rsid w:val="00B607EA"/>
    <w:rsid w:val="00B612E9"/>
    <w:rsid w:val="00B62FFC"/>
    <w:rsid w:val="00B666EE"/>
    <w:rsid w:val="00B709B8"/>
    <w:rsid w:val="00B75CF9"/>
    <w:rsid w:val="00B7612E"/>
    <w:rsid w:val="00B76F6E"/>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1FE1"/>
    <w:rsid w:val="00BF2342"/>
    <w:rsid w:val="00BF243A"/>
    <w:rsid w:val="00BF49A0"/>
    <w:rsid w:val="00BF69CF"/>
    <w:rsid w:val="00C00531"/>
    <w:rsid w:val="00C03A2E"/>
    <w:rsid w:val="00C11C0A"/>
    <w:rsid w:val="00C12DB9"/>
    <w:rsid w:val="00C22CF8"/>
    <w:rsid w:val="00C23096"/>
    <w:rsid w:val="00C30AE9"/>
    <w:rsid w:val="00C332DC"/>
    <w:rsid w:val="00C33BC7"/>
    <w:rsid w:val="00C4588D"/>
    <w:rsid w:val="00C47DDE"/>
    <w:rsid w:val="00C519C1"/>
    <w:rsid w:val="00C5482A"/>
    <w:rsid w:val="00C563D7"/>
    <w:rsid w:val="00C632E2"/>
    <w:rsid w:val="00C639FF"/>
    <w:rsid w:val="00C65ECB"/>
    <w:rsid w:val="00C663A2"/>
    <w:rsid w:val="00C67AA4"/>
    <w:rsid w:val="00C70801"/>
    <w:rsid w:val="00C7098F"/>
    <w:rsid w:val="00C72DFD"/>
    <w:rsid w:val="00C735DC"/>
    <w:rsid w:val="00C7394A"/>
    <w:rsid w:val="00C73C5C"/>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4FA3"/>
    <w:rsid w:val="00CC527B"/>
    <w:rsid w:val="00CC7331"/>
    <w:rsid w:val="00CC7F79"/>
    <w:rsid w:val="00CD0EA6"/>
    <w:rsid w:val="00CD1349"/>
    <w:rsid w:val="00CD233F"/>
    <w:rsid w:val="00CD366B"/>
    <w:rsid w:val="00CD618E"/>
    <w:rsid w:val="00CD65D6"/>
    <w:rsid w:val="00CD7216"/>
    <w:rsid w:val="00CD7E28"/>
    <w:rsid w:val="00CD7F2E"/>
    <w:rsid w:val="00CE0F57"/>
    <w:rsid w:val="00CE30D2"/>
    <w:rsid w:val="00CE3F26"/>
    <w:rsid w:val="00CF0A4E"/>
    <w:rsid w:val="00CF3421"/>
    <w:rsid w:val="00CF4EEF"/>
    <w:rsid w:val="00CF6645"/>
    <w:rsid w:val="00CF79F9"/>
    <w:rsid w:val="00D00885"/>
    <w:rsid w:val="00D02FF8"/>
    <w:rsid w:val="00D04941"/>
    <w:rsid w:val="00D10CFE"/>
    <w:rsid w:val="00D13034"/>
    <w:rsid w:val="00D15CC8"/>
    <w:rsid w:val="00D16050"/>
    <w:rsid w:val="00D17B89"/>
    <w:rsid w:val="00D23D4C"/>
    <w:rsid w:val="00D24A18"/>
    <w:rsid w:val="00D27B54"/>
    <w:rsid w:val="00D3358E"/>
    <w:rsid w:val="00D34260"/>
    <w:rsid w:val="00D3698F"/>
    <w:rsid w:val="00D43D89"/>
    <w:rsid w:val="00D44EDA"/>
    <w:rsid w:val="00D462C1"/>
    <w:rsid w:val="00D47E91"/>
    <w:rsid w:val="00D56D38"/>
    <w:rsid w:val="00D60CCA"/>
    <w:rsid w:val="00D61824"/>
    <w:rsid w:val="00D61C26"/>
    <w:rsid w:val="00D62745"/>
    <w:rsid w:val="00D640B7"/>
    <w:rsid w:val="00D64CDA"/>
    <w:rsid w:val="00D676A3"/>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979D4"/>
    <w:rsid w:val="00DA0ACD"/>
    <w:rsid w:val="00DA38FF"/>
    <w:rsid w:val="00DA71C4"/>
    <w:rsid w:val="00DB1B06"/>
    <w:rsid w:val="00DB40EC"/>
    <w:rsid w:val="00DB5B66"/>
    <w:rsid w:val="00DB5DC1"/>
    <w:rsid w:val="00DB751C"/>
    <w:rsid w:val="00DC024D"/>
    <w:rsid w:val="00DC07C1"/>
    <w:rsid w:val="00DC0E33"/>
    <w:rsid w:val="00DC1D77"/>
    <w:rsid w:val="00DC20CF"/>
    <w:rsid w:val="00DC2585"/>
    <w:rsid w:val="00DC2B2E"/>
    <w:rsid w:val="00DC44E0"/>
    <w:rsid w:val="00DD272E"/>
    <w:rsid w:val="00DE0233"/>
    <w:rsid w:val="00DE1CF7"/>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06A2"/>
    <w:rsid w:val="00E215FF"/>
    <w:rsid w:val="00E21FB1"/>
    <w:rsid w:val="00E2315E"/>
    <w:rsid w:val="00E23AAE"/>
    <w:rsid w:val="00E30785"/>
    <w:rsid w:val="00E36270"/>
    <w:rsid w:val="00E37136"/>
    <w:rsid w:val="00E40513"/>
    <w:rsid w:val="00E40A16"/>
    <w:rsid w:val="00E44FA9"/>
    <w:rsid w:val="00E45600"/>
    <w:rsid w:val="00E47823"/>
    <w:rsid w:val="00E50A66"/>
    <w:rsid w:val="00E5236A"/>
    <w:rsid w:val="00E56A99"/>
    <w:rsid w:val="00E56F95"/>
    <w:rsid w:val="00E64E1A"/>
    <w:rsid w:val="00E64F45"/>
    <w:rsid w:val="00E71705"/>
    <w:rsid w:val="00E72DE4"/>
    <w:rsid w:val="00E73676"/>
    <w:rsid w:val="00E755CA"/>
    <w:rsid w:val="00E83556"/>
    <w:rsid w:val="00E92D69"/>
    <w:rsid w:val="00E94A79"/>
    <w:rsid w:val="00E9506C"/>
    <w:rsid w:val="00E957E2"/>
    <w:rsid w:val="00E97FCF"/>
    <w:rsid w:val="00EA0313"/>
    <w:rsid w:val="00EA13C4"/>
    <w:rsid w:val="00EA2B57"/>
    <w:rsid w:val="00EA2CA3"/>
    <w:rsid w:val="00EA390C"/>
    <w:rsid w:val="00EA6193"/>
    <w:rsid w:val="00EB4A18"/>
    <w:rsid w:val="00EB62B8"/>
    <w:rsid w:val="00EB6910"/>
    <w:rsid w:val="00EB6DA5"/>
    <w:rsid w:val="00EB7521"/>
    <w:rsid w:val="00EB7B1A"/>
    <w:rsid w:val="00EC3D2E"/>
    <w:rsid w:val="00EC75AA"/>
    <w:rsid w:val="00EC762D"/>
    <w:rsid w:val="00ED6C40"/>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2492"/>
    <w:rsid w:val="00F254AF"/>
    <w:rsid w:val="00F31D20"/>
    <w:rsid w:val="00F31E20"/>
    <w:rsid w:val="00F31FDA"/>
    <w:rsid w:val="00F3206C"/>
    <w:rsid w:val="00F321C6"/>
    <w:rsid w:val="00F32BD6"/>
    <w:rsid w:val="00F33144"/>
    <w:rsid w:val="00F338E3"/>
    <w:rsid w:val="00F375A5"/>
    <w:rsid w:val="00F44D73"/>
    <w:rsid w:val="00F451C1"/>
    <w:rsid w:val="00F512FE"/>
    <w:rsid w:val="00F57033"/>
    <w:rsid w:val="00F57481"/>
    <w:rsid w:val="00F6582B"/>
    <w:rsid w:val="00F65E0A"/>
    <w:rsid w:val="00F70057"/>
    <w:rsid w:val="00F72A9F"/>
    <w:rsid w:val="00F74EB9"/>
    <w:rsid w:val="00F7538D"/>
    <w:rsid w:val="00F77B9D"/>
    <w:rsid w:val="00F87838"/>
    <w:rsid w:val="00F92F0C"/>
    <w:rsid w:val="00F94343"/>
    <w:rsid w:val="00F9561B"/>
    <w:rsid w:val="00F96E42"/>
    <w:rsid w:val="00FA09E3"/>
    <w:rsid w:val="00FA3068"/>
    <w:rsid w:val="00FA596D"/>
    <w:rsid w:val="00FA602E"/>
    <w:rsid w:val="00FA67A9"/>
    <w:rsid w:val="00FA7980"/>
    <w:rsid w:val="00FB39EA"/>
    <w:rsid w:val="00FB5422"/>
    <w:rsid w:val="00FB5BE0"/>
    <w:rsid w:val="00FC074E"/>
    <w:rsid w:val="00FC2377"/>
    <w:rsid w:val="00FC43F9"/>
    <w:rsid w:val="00FC5217"/>
    <w:rsid w:val="00FD011B"/>
    <w:rsid w:val="00FD5834"/>
    <w:rsid w:val="00FD5E4A"/>
    <w:rsid w:val="00FE1E69"/>
    <w:rsid w:val="00FE20E4"/>
    <w:rsid w:val="00FE2315"/>
    <w:rsid w:val="00FE5D09"/>
    <w:rsid w:val="00FE6BB9"/>
    <w:rsid w:val="00FF076D"/>
    <w:rsid w:val="00FF18A4"/>
    <w:rsid w:val="00FF18BA"/>
    <w:rsid w:val="00FF236F"/>
    <w:rsid w:val="00FF2374"/>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6148</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Dylan Ellis</cp:lastModifiedBy>
  <cp:revision>5</cp:revision>
  <cp:lastPrinted>2022-09-29T12:20:00Z</cp:lastPrinted>
  <dcterms:created xsi:type="dcterms:W3CDTF">2023-11-24T07:19:00Z</dcterms:created>
  <dcterms:modified xsi:type="dcterms:W3CDTF">2023-11-24T07:22:00Z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