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32EE7865">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D76B5A"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D76B5A">
        <w:rPr>
          <w:rFonts w:ascii="Avenir Next" w:hAnsi="Avenir Next"/>
          <w:color w:val="000000" w:themeColor="text1"/>
          <w:highlight w:val="yellow"/>
          <w:lang w:val="en-GB"/>
        </w:rPr>
        <w:t>A debtor w</w:t>
      </w:r>
      <w:r w:rsidR="005408DA" w:rsidRPr="00D76B5A">
        <w:rPr>
          <w:rFonts w:ascii="Avenir Next" w:hAnsi="Avenir Next"/>
          <w:color w:val="000000" w:themeColor="text1"/>
          <w:highlight w:val="yellow"/>
          <w:lang w:val="en-GB"/>
        </w:rPr>
        <w:t xml:space="preserve">ho is over-indebted and unable to pay his debts and has </w:t>
      </w:r>
      <w:r w:rsidR="002B4DCE" w:rsidRPr="00D76B5A">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D76B5A"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D76B5A">
        <w:rPr>
          <w:rFonts w:ascii="Avenir Next" w:hAnsi="Avenir Next"/>
          <w:color w:val="000000" w:themeColor="text1"/>
          <w:highlight w:val="yellow"/>
          <w:lang w:val="en-GB"/>
        </w:rPr>
        <w:t>Local or Provincial Division of the High Court</w:t>
      </w:r>
      <w:r w:rsidR="00A84263" w:rsidRPr="00D76B5A">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D76B5A"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D76B5A">
        <w:rPr>
          <w:rFonts w:ascii="Avenir Next" w:hAnsi="Avenir Next" w:cs="Arial"/>
          <w:bCs/>
          <w:highlight w:val="yellow"/>
          <w:lang w:val="en-GB"/>
        </w:rPr>
        <w:t>S</w:t>
      </w:r>
      <w:r w:rsidR="00CC42D8" w:rsidRPr="00D76B5A">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354691"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354691">
        <w:rPr>
          <w:rFonts w:ascii="Avenir Next" w:hAnsi="Avenir Next" w:cs="Arial"/>
          <w:highlight w:val="yellow"/>
          <w:lang w:val="en-GB"/>
        </w:rPr>
        <w:t>G</w:t>
      </w:r>
      <w:r w:rsidR="00E64E1A" w:rsidRPr="00354691">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Default="00E64E1A" w:rsidP="00E37136">
      <w:pPr>
        <w:rPr>
          <w:b/>
          <w:bCs/>
          <w:color w:val="000000" w:themeColor="text1"/>
          <w:lang w:val="en-GB"/>
        </w:rPr>
      </w:pPr>
    </w:p>
    <w:p w14:paraId="42EB08FE" w14:textId="77777777" w:rsidR="00354691" w:rsidRPr="00D976ED" w:rsidRDefault="00354691"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F7251B"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F7251B">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16AC12A2" w14:textId="77777777" w:rsidR="00354691" w:rsidRPr="00354691" w:rsidRDefault="00354691" w:rsidP="00354691">
      <w:pPr>
        <w:pStyle w:val="ListParagraph"/>
        <w:rPr>
          <w:rFonts w:ascii="Avenir Next" w:hAnsi="Avenir Next"/>
          <w:lang w:val="en-GB"/>
        </w:rPr>
      </w:pPr>
    </w:p>
    <w:p w14:paraId="68977D3A" w14:textId="77777777" w:rsidR="00354691" w:rsidRPr="00D976ED" w:rsidRDefault="00354691" w:rsidP="00354691">
      <w:pPr>
        <w:pStyle w:val="ListParagraph"/>
        <w:spacing w:after="0" w:line="240" w:lineRule="auto"/>
        <w:ind w:left="709"/>
        <w:rPr>
          <w:rFonts w:ascii="Avenir Next" w:hAnsi="Avenir Next"/>
          <w:lang w:val="en-GB"/>
        </w:rPr>
      </w:pP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653D6A"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653D6A">
        <w:rPr>
          <w:rFonts w:ascii="Avenir Next" w:hAnsi="Avenir Next"/>
          <w:highlight w:val="yellow"/>
          <w:lang w:val="en-GB"/>
        </w:rPr>
        <w:t xml:space="preserve">The Court in </w:t>
      </w:r>
      <w:r w:rsidR="0089051C" w:rsidRPr="00653D6A">
        <w:rPr>
          <w:rFonts w:ascii="Avenir Next" w:hAnsi="Avenir Next"/>
          <w:i/>
          <w:iCs/>
          <w:highlight w:val="yellow"/>
          <w:lang w:val="en-GB"/>
        </w:rPr>
        <w:t xml:space="preserve">City of Johannesburg v Kaplan NO </w:t>
      </w:r>
      <w:r w:rsidR="0089051C" w:rsidRPr="00653D6A">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653D6A" w:rsidRDefault="00CC7F79" w:rsidP="00E37136">
      <w:pPr>
        <w:pStyle w:val="NoSpacing"/>
        <w:numPr>
          <w:ilvl w:val="0"/>
          <w:numId w:val="6"/>
        </w:numPr>
        <w:ind w:left="709" w:hanging="709"/>
        <w:jc w:val="both"/>
        <w:rPr>
          <w:rFonts w:ascii="Avenir Next" w:hAnsi="Avenir Next"/>
          <w:highlight w:val="yellow"/>
          <w:lang w:val="en-GB"/>
        </w:rPr>
      </w:pPr>
      <w:r w:rsidRPr="00653D6A">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Mayo v De Monthlehu;</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3D08A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3D08AD">
        <w:rPr>
          <w:rFonts w:ascii="Avenir Next" w:hAnsi="Avenir Next"/>
          <w:color w:val="000000" w:themeColor="text1"/>
          <w:highlight w:val="yellow"/>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AB2ED1"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AB2ED1">
        <w:rPr>
          <w:rFonts w:ascii="Avenir Next" w:hAnsi="Avenir Next"/>
          <w:highlight w:val="yellow"/>
          <w:lang w:val="en-GB"/>
        </w:rPr>
        <w:t>True</w:t>
      </w:r>
    </w:p>
    <w:p w14:paraId="20BACCFF" w14:textId="77777777" w:rsidR="001C3B78" w:rsidRPr="00D976ED" w:rsidRDefault="001C3B78" w:rsidP="00E37136">
      <w:pPr>
        <w:ind w:left="709" w:hanging="709"/>
        <w:rPr>
          <w:lang w:val="en-GB"/>
        </w:rPr>
      </w:pPr>
    </w:p>
    <w:p w14:paraId="39570823"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AB2ED1"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AB2ED1">
        <w:rPr>
          <w:rFonts w:ascii="Avenir Next" w:hAnsi="Avenir Next"/>
          <w:highlight w:val="yellow"/>
          <w:lang w:val="en-GB"/>
        </w:rPr>
        <w:t>V</w:t>
      </w:r>
      <w:r w:rsidR="00F96E42" w:rsidRPr="00AB2ED1">
        <w:rPr>
          <w:rFonts w:ascii="Avenir Next" w:hAnsi="Avenir Next"/>
          <w:highlight w:val="yellow"/>
          <w:lang w:val="en-GB"/>
        </w:rPr>
        <w:t>est</w:t>
      </w:r>
      <w:r w:rsidR="006418DE" w:rsidRPr="00AB2ED1">
        <w:rPr>
          <w:rFonts w:ascii="Avenir Next" w:hAnsi="Avenir Next"/>
          <w:highlight w:val="yellow"/>
          <w:lang w:val="en-GB"/>
        </w:rPr>
        <w:t>s</w:t>
      </w:r>
      <w:r w:rsidR="00F96E42" w:rsidRPr="00AB2ED1">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AB2ED1"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AB2ED1">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AB2ED1"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AB2ED1">
        <w:rPr>
          <w:rFonts w:ascii="Avenir Next" w:hAnsi="Avenir Next"/>
          <w:color w:val="000000" w:themeColor="text1"/>
          <w:highlight w:val="yellow"/>
          <w:lang w:val="en-GB"/>
        </w:rPr>
        <w:t>Special meeting</w:t>
      </w:r>
      <w:r w:rsidR="0052745C" w:rsidRPr="00AB2ED1">
        <w:rPr>
          <w:rFonts w:ascii="Avenir Next" w:hAnsi="Avenir Next"/>
          <w:color w:val="000000" w:themeColor="text1"/>
          <w:highlight w:val="yellow"/>
          <w:lang w:val="en-GB"/>
        </w:rPr>
        <w:t>s</w:t>
      </w:r>
      <w:r w:rsidRPr="00AB2ED1">
        <w:rPr>
          <w:rFonts w:ascii="Avenir Next" w:hAnsi="Avenir Next"/>
          <w:color w:val="000000" w:themeColor="text1"/>
          <w:highlight w:val="yellow"/>
          <w:lang w:val="en-GB"/>
        </w:rPr>
        <w:t xml:space="preserve"> are convened for creditors to prove their claims</w:t>
      </w:r>
      <w:r w:rsidR="00851AFE" w:rsidRPr="00AB2ED1">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9B70EC"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9B70EC">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9B70EC"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9B70EC">
        <w:rPr>
          <w:rFonts w:ascii="Avenir Next" w:hAnsi="Avenir Next"/>
          <w:color w:val="000000" w:themeColor="text1"/>
          <w:highlight w:val="yellow"/>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7A7431" w:rsidRDefault="00A74AB2" w:rsidP="00F10C2B">
      <w:pPr>
        <w:pStyle w:val="ListParagraph"/>
        <w:numPr>
          <w:ilvl w:val="0"/>
          <w:numId w:val="8"/>
        </w:numPr>
        <w:spacing w:after="0" w:line="240" w:lineRule="auto"/>
        <w:ind w:left="709" w:hanging="709"/>
        <w:rPr>
          <w:rFonts w:ascii="Avenir Next" w:hAnsi="Avenir Next"/>
          <w:lang w:val="en-GB"/>
        </w:rPr>
      </w:pPr>
      <w:r w:rsidRPr="007A7431">
        <w:rPr>
          <w:rFonts w:ascii="Avenir Next" w:hAnsi="Avenir Next"/>
          <w:lang w:val="en-GB"/>
        </w:rPr>
        <w:t>Section 155 does not apply where a company is under business rescue proceedings.</w:t>
      </w:r>
    </w:p>
    <w:p w14:paraId="493FAB6F" w14:textId="77777777" w:rsidR="003E71C9" w:rsidRPr="003E71C9" w:rsidRDefault="003E71C9" w:rsidP="003E71C9">
      <w:pPr>
        <w:rPr>
          <w:lang w:val="en-GB"/>
        </w:rPr>
      </w:pP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7A7431"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7A7431">
        <w:rPr>
          <w:rFonts w:ascii="Avenir Next" w:hAnsi="Avenir Next"/>
          <w:highlight w:val="yellow"/>
          <w:lang w:val="en-GB"/>
        </w:rPr>
        <w:t>Paragraphs (</w:t>
      </w:r>
      <w:r w:rsidR="001E1EC6" w:rsidRPr="007A7431">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3E71C9"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3E71C9">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3E71C9">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E47190">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2D4374A2" w14:textId="77777777" w:rsidR="00E47190" w:rsidRPr="00E47190" w:rsidRDefault="00E47190" w:rsidP="00E47190">
      <w:pPr>
        <w:pStyle w:val="ListParagraph"/>
        <w:rPr>
          <w:rFonts w:ascii="Avenir Next" w:hAnsi="Avenir Next"/>
          <w:color w:val="000000" w:themeColor="text1"/>
          <w:lang w:val="en-GB"/>
        </w:rPr>
      </w:pPr>
    </w:p>
    <w:p w14:paraId="29293783" w14:textId="77777777" w:rsidR="00E47190" w:rsidRPr="00E47190" w:rsidRDefault="00E47190" w:rsidP="00E47190">
      <w:pPr>
        <w:pStyle w:val="ListParagraph"/>
        <w:spacing w:after="0" w:line="240" w:lineRule="auto"/>
        <w:ind w:left="709"/>
        <w:rPr>
          <w:rFonts w:ascii="Avenir Next" w:hAnsi="Avenir Next"/>
          <w:color w:val="000000" w:themeColor="text1"/>
          <w:lang w:val="en-GB"/>
        </w:rPr>
      </w:pP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AD6736"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AD6736">
        <w:rPr>
          <w:rFonts w:ascii="Avenir Next" w:hAnsi="Avenir Next"/>
          <w:highlight w:val="yellow"/>
          <w:lang w:val="en-GB"/>
        </w:rPr>
        <w:t xml:space="preserve">Paragraphs </w:t>
      </w:r>
      <w:r w:rsidR="0054190F" w:rsidRPr="00AD6736">
        <w:rPr>
          <w:rFonts w:ascii="Avenir Next" w:hAnsi="Avenir Next"/>
          <w:highlight w:val="yellow"/>
          <w:lang w:val="en-GB"/>
        </w:rPr>
        <w:t xml:space="preserve">(a), (b) and (c) are </w:t>
      </w:r>
      <w:r w:rsidR="007122F3" w:rsidRPr="00AD6736">
        <w:rPr>
          <w:rFonts w:ascii="Avenir Next" w:hAnsi="Avenir Next"/>
          <w:highlight w:val="yellow"/>
          <w:lang w:val="en-GB"/>
        </w:rPr>
        <w:t>corre</w:t>
      </w:r>
      <w:r w:rsidRPr="00AD6736">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AD6736"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AD6736">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1134FA"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1134FA">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28AD185" w14:textId="77777777" w:rsidR="001134FA" w:rsidRDefault="001134FA" w:rsidP="00E37136">
      <w:pPr>
        <w:rPr>
          <w:rFonts w:ascii="Avenir Next Demi Bold" w:hAnsi="Avenir Next Demi Bold"/>
          <w:b/>
          <w:bCs/>
          <w:color w:val="000000" w:themeColor="text1"/>
          <w:lang w:val="en-GB"/>
        </w:rPr>
      </w:pPr>
    </w:p>
    <w:p w14:paraId="7EDF66B9" w14:textId="77777777" w:rsidR="001134FA" w:rsidRDefault="001134FA" w:rsidP="00E37136">
      <w:pPr>
        <w:rPr>
          <w:rFonts w:ascii="Avenir Next Demi Bold" w:hAnsi="Avenir Next Demi Bold"/>
          <w:b/>
          <w:bCs/>
          <w:color w:val="000000" w:themeColor="text1"/>
          <w:lang w:val="en-GB"/>
        </w:rPr>
      </w:pPr>
    </w:p>
    <w:p w14:paraId="2BB965F5" w14:textId="77777777" w:rsidR="001134FA" w:rsidRDefault="001134FA" w:rsidP="00E37136">
      <w:pPr>
        <w:rPr>
          <w:rFonts w:ascii="Avenir Next Demi Bold" w:hAnsi="Avenir Next Demi Bold"/>
          <w:b/>
          <w:bCs/>
          <w:color w:val="000000" w:themeColor="text1"/>
          <w:lang w:val="en-GB"/>
        </w:rPr>
      </w:pPr>
    </w:p>
    <w:p w14:paraId="497982CC" w14:textId="5B74D26C"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1134FA"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1134FA">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1134FA"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1134FA">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2A1B657D" w:rsidR="007F0225" w:rsidRDefault="00C8368C" w:rsidP="00E37136">
      <w:pPr>
        <w:rPr>
          <w:color w:val="808080" w:themeColor="background1" w:themeShade="80"/>
          <w:lang w:val="en-GB"/>
        </w:rPr>
      </w:pPr>
      <w:r>
        <w:rPr>
          <w:color w:val="808080" w:themeColor="background1" w:themeShade="80"/>
          <w:lang w:val="en-GB"/>
        </w:rPr>
        <w:t xml:space="preserve">The principle of </w:t>
      </w:r>
      <w:r w:rsidRPr="00C8368C">
        <w:rPr>
          <w:i/>
          <w:iCs/>
          <w:color w:val="808080" w:themeColor="background1" w:themeShade="80"/>
          <w:lang w:val="en-GB"/>
        </w:rPr>
        <w:t xml:space="preserve">concursus creditorum </w:t>
      </w:r>
      <w:r>
        <w:rPr>
          <w:color w:val="808080" w:themeColor="background1" w:themeShade="80"/>
          <w:lang w:val="en-GB"/>
        </w:rPr>
        <w:t>is derived from latin which in essence relates to the “coming together of creditors” or forming the general body of creditors</w:t>
      </w:r>
      <w:r w:rsidR="00E37495">
        <w:rPr>
          <w:color w:val="808080" w:themeColor="background1" w:themeShade="80"/>
          <w:lang w:val="en-GB"/>
        </w:rPr>
        <w:t>. The winding up of an estate is overseen by the Master of the High Court and facilitated by the Trustee or Liquidator, the process is highly creditor driven</w:t>
      </w:r>
      <w:r>
        <w:rPr>
          <w:color w:val="808080" w:themeColor="background1" w:themeShade="80"/>
          <w:lang w:val="en-GB"/>
        </w:rPr>
        <w:t>. This affects the creditors of the</w:t>
      </w:r>
      <w:r w:rsidR="00E37495">
        <w:rPr>
          <w:color w:val="808080" w:themeColor="background1" w:themeShade="80"/>
          <w:lang w:val="en-GB"/>
        </w:rPr>
        <w:t xml:space="preserve"> insolvent</w:t>
      </w:r>
      <w:r>
        <w:rPr>
          <w:color w:val="808080" w:themeColor="background1" w:themeShade="80"/>
          <w:lang w:val="en-GB"/>
        </w:rPr>
        <w:t xml:space="preserve"> estate by:</w:t>
      </w:r>
    </w:p>
    <w:p w14:paraId="4E9060F4" w14:textId="265F1640" w:rsidR="00C8368C" w:rsidRDefault="00C8368C" w:rsidP="00C8368C">
      <w:pPr>
        <w:pStyle w:val="ListParagraph"/>
        <w:numPr>
          <w:ilvl w:val="0"/>
          <w:numId w:val="23"/>
        </w:numPr>
        <w:rPr>
          <w:color w:val="808080" w:themeColor="background1" w:themeShade="80"/>
          <w:lang w:val="en-GB"/>
        </w:rPr>
      </w:pPr>
      <w:r w:rsidRPr="00C8368C">
        <w:rPr>
          <w:color w:val="808080" w:themeColor="background1" w:themeShade="80"/>
          <w:lang w:val="en-GB"/>
        </w:rPr>
        <w:t xml:space="preserve">All creditors with proven claims against the estate will be treated equally and will share in the distribution of available assets according to their ranking determined. </w:t>
      </w:r>
    </w:p>
    <w:p w14:paraId="4A07FC89" w14:textId="77777777" w:rsidR="00B21827" w:rsidRDefault="00B21827" w:rsidP="00C8368C">
      <w:pPr>
        <w:pStyle w:val="ListParagraph"/>
        <w:numPr>
          <w:ilvl w:val="0"/>
          <w:numId w:val="23"/>
        </w:numPr>
        <w:rPr>
          <w:color w:val="808080" w:themeColor="background1" w:themeShade="80"/>
          <w:lang w:val="en-GB"/>
        </w:rPr>
      </w:pPr>
      <w:r>
        <w:rPr>
          <w:color w:val="808080" w:themeColor="background1" w:themeShade="80"/>
          <w:lang w:val="en-GB"/>
        </w:rPr>
        <w:t>In Walker v Syfret, the Court emphasized that no transaction can be entered into with regard to estate matters by a single creditor to prejudice the general body. This, also, outlays the principle of no set-offs to be applied.</w:t>
      </w:r>
    </w:p>
    <w:p w14:paraId="531C61F9" w14:textId="6E7C25D9" w:rsidR="00C8368C" w:rsidRDefault="00B21827" w:rsidP="00C8368C">
      <w:pPr>
        <w:pStyle w:val="ListParagraph"/>
        <w:numPr>
          <w:ilvl w:val="0"/>
          <w:numId w:val="23"/>
        </w:numPr>
        <w:rPr>
          <w:color w:val="808080" w:themeColor="background1" w:themeShade="80"/>
          <w:lang w:val="en-GB"/>
        </w:rPr>
      </w:pPr>
      <w:r>
        <w:rPr>
          <w:color w:val="808080" w:themeColor="background1" w:themeShade="80"/>
          <w:lang w:val="en-GB"/>
        </w:rPr>
        <w:t xml:space="preserve"> The application of the principle ensures that no particular creditor receives preferential treatment and all creditors have to stand in line to receive their share of the estate’s assets based on the legal hierarchy</w:t>
      </w:r>
      <w:r w:rsidR="00B75D3E">
        <w:rPr>
          <w:color w:val="808080" w:themeColor="background1" w:themeShade="80"/>
          <w:lang w:val="en-GB"/>
        </w:rPr>
        <w:t xml:space="preserve"> at the date the order was granted</w:t>
      </w:r>
      <w:r>
        <w:rPr>
          <w:color w:val="808080" w:themeColor="background1" w:themeShade="80"/>
          <w:lang w:val="en-GB"/>
        </w:rPr>
        <w:t>.</w:t>
      </w:r>
    </w:p>
    <w:p w14:paraId="6A9899AA" w14:textId="6542C739" w:rsidR="00B21827" w:rsidRPr="00C8368C" w:rsidRDefault="00B75D3E" w:rsidP="00C8368C">
      <w:pPr>
        <w:pStyle w:val="ListParagraph"/>
        <w:numPr>
          <w:ilvl w:val="0"/>
          <w:numId w:val="23"/>
        </w:numPr>
        <w:rPr>
          <w:color w:val="808080" w:themeColor="background1" w:themeShade="80"/>
          <w:lang w:val="en-GB"/>
        </w:rPr>
      </w:pPr>
      <w:r>
        <w:rPr>
          <w:color w:val="808080" w:themeColor="background1" w:themeShade="80"/>
          <w:lang w:val="en-GB"/>
        </w:rPr>
        <w:t xml:space="preserve">In Nedbank v Chance 2008, the Court mentioned that though rectification of a contract is possible after concursus creditorum, a creditor is not entitled to rectification of a contract after insolvency which would increase the preferent claim of that creditor. </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6A6E0E4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53601D">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155324C8" w14:textId="5A2E8A52" w:rsidR="00F213AC" w:rsidRPr="00F213AC" w:rsidRDefault="003200F0" w:rsidP="00F213AC">
      <w:pPr>
        <w:rPr>
          <w:color w:val="808080" w:themeColor="background1" w:themeShade="80"/>
          <w:lang w:val="en-GB"/>
        </w:rPr>
      </w:pPr>
      <w:r>
        <w:rPr>
          <w:color w:val="808080" w:themeColor="background1" w:themeShade="80"/>
          <w:lang w:val="en-GB"/>
        </w:rPr>
        <w:t xml:space="preserve">Although section 82(6) of the Insolvency Act excepted certain movable assets from the estate, this does not include luxury items and antique furniture. </w:t>
      </w:r>
      <w:r w:rsidR="00F213AC">
        <w:rPr>
          <w:color w:val="808080" w:themeColor="background1" w:themeShade="80"/>
          <w:lang w:val="en-GB"/>
        </w:rPr>
        <w:t xml:space="preserve">Therefore, this will result in a disposition which arguably diminished a portion of the value of the estate assets. Ms Abel has a possible remedy of a voidable preference as envisaged in s 29 of the Insolvency Act, in which she can argue that the asset must be returned to the estate and the transaction set aside. The transaction has met the requirements to apply the remedy due to firstly, the pre-requisite of sequestration taking place. Secondly, preference was awarded to Mr Hasty who was an unsecured creditor at the time of the transaction. Thirdly, Mr Solar was insolvent at the time or it can be argued that he became insolvent as a result of the disposition of the asset. Lastly, the asset was disposed of within 6 months of the </w:t>
      </w:r>
      <w:r w:rsidR="00F213AC">
        <w:rPr>
          <w:color w:val="808080" w:themeColor="background1" w:themeShade="80"/>
          <w:lang w:val="en-GB"/>
        </w:rPr>
        <w:lastRenderedPageBreak/>
        <w:t xml:space="preserve">provisional sequestration order. </w:t>
      </w:r>
      <w:r w:rsidR="00F221FE">
        <w:rPr>
          <w:color w:val="808080" w:themeColor="background1" w:themeShade="80"/>
          <w:lang w:val="en-GB"/>
        </w:rPr>
        <w:t>Furthermore, the transaction did not occur within the ordinary course of business nor was Mr Solar liquid to satisfy the debt without prejudicing the estate creditors.</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608588C"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44FEF668" w:rsidR="007F0225" w:rsidRPr="005D49B4" w:rsidRDefault="004C6871" w:rsidP="00E37136">
      <w:pPr>
        <w:rPr>
          <w:lang w:val="en-GB"/>
        </w:rPr>
      </w:pPr>
      <w:r>
        <w:rPr>
          <w:color w:val="808080" w:themeColor="background1" w:themeShade="80"/>
          <w:lang w:val="en-GB"/>
        </w:rPr>
        <w:t xml:space="preserve">Axit Finance must prima facie prove that firstly, they qualify as a creditor who may bring such application as they owed a minimum of at least R 100. Secondly, Axit Finance must prove that the debtor is factually insolvent or has committed an act of insolvency. Lastly, Axit Finance must prove that the sequestration order would be to the advantage of the creditors. </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4A3237E8"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18C0D14D" w:rsidR="007F0225" w:rsidRPr="005D49B4" w:rsidRDefault="00293EA5" w:rsidP="00E37136">
      <w:pPr>
        <w:rPr>
          <w:lang w:val="en-GB"/>
        </w:rPr>
      </w:pPr>
      <w:r>
        <w:rPr>
          <w:color w:val="808080" w:themeColor="background1" w:themeShade="80"/>
          <w:lang w:val="en-GB"/>
        </w:rPr>
        <w:t xml:space="preserve">The inheritance will vest in the estate. In Brown v Oosthuizen the Court held that in respect of inheritance accruing to an unrehabilitated insolvent, the right immediately vests in the trustee of the estate. Should </w:t>
      </w:r>
      <w:proofErr w:type="gramStart"/>
      <w:r>
        <w:rPr>
          <w:color w:val="808080" w:themeColor="background1" w:themeShade="80"/>
          <w:lang w:val="en-GB"/>
        </w:rPr>
        <w:t>the</w:t>
      </w:r>
      <w:proofErr w:type="gramEnd"/>
      <w:r>
        <w:rPr>
          <w:color w:val="808080" w:themeColor="background1" w:themeShade="80"/>
          <w:lang w:val="en-GB"/>
        </w:rPr>
        <w:t xml:space="preserve"> will make mention or indicate that it should not form part of Mr Solar’s estate (due to the insolvency)</w:t>
      </w:r>
      <w:r w:rsidR="008443FB">
        <w:rPr>
          <w:color w:val="808080" w:themeColor="background1" w:themeShade="80"/>
          <w:lang w:val="en-GB"/>
        </w:rPr>
        <w:t>, it will regardless vest in the trustee and form part of the assets of the insolvent estate</w:t>
      </w:r>
      <w:r>
        <w:rPr>
          <w:color w:val="808080" w:themeColor="background1" w:themeShade="80"/>
          <w:lang w:val="en-GB"/>
        </w:rPr>
        <w:t xml:space="preserve"> due to the findings of the Court in Vorster v Steyn which held that s</w:t>
      </w:r>
      <w:r w:rsidR="008443FB">
        <w:rPr>
          <w:color w:val="808080" w:themeColor="background1" w:themeShade="80"/>
          <w:lang w:val="en-GB"/>
        </w:rPr>
        <w:t>uch a provision is not reco</w:t>
      </w:r>
      <w:r w:rsidR="00472E85">
        <w:rPr>
          <w:color w:val="808080" w:themeColor="background1" w:themeShade="80"/>
          <w:lang w:val="en-GB"/>
        </w:rPr>
        <w:t>gnized.</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680860E2"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70178B5B" w:rsidR="007F0225" w:rsidRPr="005D49B4" w:rsidRDefault="00472E85" w:rsidP="00E37136">
      <w:pPr>
        <w:rPr>
          <w:lang w:val="en-GB"/>
        </w:rPr>
      </w:pPr>
      <w:proofErr w:type="gramStart"/>
      <w:r>
        <w:rPr>
          <w:color w:val="808080" w:themeColor="background1" w:themeShade="80"/>
          <w:lang w:val="en-GB"/>
        </w:rPr>
        <w:t>No</w:t>
      </w:r>
      <w:proofErr w:type="gramEnd"/>
      <w:r>
        <w:rPr>
          <w:color w:val="808080" w:themeColor="background1" w:themeShade="80"/>
          <w:lang w:val="en-GB"/>
        </w:rPr>
        <w:t xml:space="preserve"> it will not form part of the joint insolvent estate as per section 23(7) of the Insolvency Act.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6A05B05B"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43E02C20" w:rsidR="007F0225" w:rsidRPr="005D49B4" w:rsidRDefault="004C2F16" w:rsidP="00E37136">
      <w:pPr>
        <w:rPr>
          <w:lang w:val="en-GB"/>
        </w:rPr>
      </w:pPr>
      <w:r>
        <w:rPr>
          <w:color w:val="808080" w:themeColor="background1" w:themeShade="80"/>
          <w:lang w:val="en-GB"/>
        </w:rPr>
        <w:t>Section 84 of the Insolvency Act will not apply due to the transaction being an instalment sale agreement in terms of the National Credit Act</w:t>
      </w:r>
      <w:r w:rsidR="00E96D4A">
        <w:rPr>
          <w:color w:val="808080" w:themeColor="background1" w:themeShade="80"/>
          <w:lang w:val="en-GB"/>
        </w:rPr>
        <w:t xml:space="preserve">. The sale was a credit sale of movable property </w:t>
      </w:r>
      <w:r w:rsidR="009377C6">
        <w:rPr>
          <w:color w:val="808080" w:themeColor="background1" w:themeShade="80"/>
          <w:lang w:val="en-GB"/>
        </w:rPr>
        <w:t xml:space="preserve">and </w:t>
      </w:r>
      <w:proofErr w:type="gramStart"/>
      <w:r w:rsidR="00AF1CD9">
        <w:rPr>
          <w:color w:val="808080" w:themeColor="background1" w:themeShade="80"/>
          <w:lang w:val="en-GB"/>
        </w:rPr>
        <w:t>in order for</w:t>
      </w:r>
      <w:proofErr w:type="gramEnd"/>
      <w:r w:rsidR="00AF1CD9">
        <w:rPr>
          <w:color w:val="808080" w:themeColor="background1" w:themeShade="80"/>
          <w:lang w:val="en-GB"/>
        </w:rPr>
        <w:t xml:space="preserve"> the ownership to pass to Mr Solar, delivery has to occur</w:t>
      </w:r>
      <w:r w:rsidR="00340424">
        <w:rPr>
          <w:color w:val="808080" w:themeColor="background1" w:themeShade="80"/>
          <w:lang w:val="en-GB"/>
        </w:rPr>
        <w:t xml:space="preserve">. It will therefore form part of the insolvent estate and Mr Green will have a concurrent </w:t>
      </w:r>
      <w:r w:rsidR="00A2559C">
        <w:rPr>
          <w:color w:val="808080" w:themeColor="background1" w:themeShade="80"/>
          <w:lang w:val="en-GB"/>
        </w:rPr>
        <w:t>claim for outstanding purchase price.</w:t>
      </w:r>
      <w:r w:rsidR="00E96D4A">
        <w:rPr>
          <w:color w:val="808080" w:themeColor="background1" w:themeShade="80"/>
          <w:lang w:val="en-GB"/>
        </w:rPr>
        <w:t xml:space="preserve"> </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68323DD" w:rsidR="00BD65D4" w:rsidRPr="005D49B4" w:rsidRDefault="00BD65D4" w:rsidP="00E37136">
      <w:pPr>
        <w:tabs>
          <w:tab w:val="right" w:pos="9021"/>
        </w:tabs>
        <w:rPr>
          <w:b/>
          <w:bCs/>
          <w:lang w:val="en-GB"/>
        </w:rPr>
      </w:pPr>
      <w:r w:rsidRPr="005D49B4">
        <w:rPr>
          <w:rFonts w:ascii="Avenir Next Demi Bold" w:hAnsi="Avenir Next Demi Bold"/>
          <w:b/>
          <w:bCs/>
          <w:lang w:val="en-GB"/>
        </w:rPr>
        <w:lastRenderedPageBreak/>
        <w:t>Question 2.</w:t>
      </w:r>
      <w:r w:rsidR="0053601D">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76A78FBB" w:rsidR="007F0225" w:rsidRPr="005D49B4" w:rsidRDefault="00AD1664" w:rsidP="00E37136">
      <w:pPr>
        <w:rPr>
          <w:lang w:val="en-GB"/>
        </w:rPr>
      </w:pPr>
      <w:r>
        <w:rPr>
          <w:color w:val="808080" w:themeColor="background1" w:themeShade="80"/>
          <w:lang w:val="en-GB"/>
        </w:rPr>
        <w:t xml:space="preserve">The Master of the High Court </w:t>
      </w:r>
      <w:r w:rsidR="005C52EE">
        <w:rPr>
          <w:color w:val="808080" w:themeColor="background1" w:themeShade="80"/>
          <w:lang w:val="en-GB"/>
        </w:rPr>
        <w:t xml:space="preserve">usually convenes the first meeting in the district where the insolvent resided. </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7434E067"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40D60829" w14:textId="75F93BB5" w:rsidR="007F0225" w:rsidRPr="005D49B4" w:rsidRDefault="00A84301" w:rsidP="00E37136">
      <w:pPr>
        <w:rPr>
          <w:lang w:val="en-GB"/>
        </w:rPr>
      </w:pPr>
      <w:r>
        <w:rPr>
          <w:color w:val="808080" w:themeColor="background1" w:themeShade="80"/>
          <w:lang w:val="en-GB"/>
        </w:rPr>
        <w:t>The Master may at any time before the second meeting</w:t>
      </w:r>
      <w:r w:rsidR="00CF76E0">
        <w:rPr>
          <w:color w:val="808080" w:themeColor="background1" w:themeShade="80"/>
          <w:lang w:val="en-GB"/>
        </w:rPr>
        <w:t xml:space="preserve"> </w:t>
      </w:r>
      <w:r w:rsidR="007A5612">
        <w:rPr>
          <w:color w:val="808080" w:themeColor="background1" w:themeShade="80"/>
          <w:lang w:val="en-GB"/>
        </w:rPr>
        <w:t xml:space="preserve">authorise the sale of property </w:t>
      </w:r>
      <w:r w:rsidR="00910739">
        <w:rPr>
          <w:color w:val="808080" w:themeColor="background1" w:themeShade="80"/>
          <w:lang w:val="en-GB"/>
        </w:rPr>
        <w:t xml:space="preserve">subject to conditions and in a manner the Master may direct. </w:t>
      </w:r>
      <w:r w:rsidR="00654DB9">
        <w:rPr>
          <w:color w:val="808080" w:themeColor="background1" w:themeShade="80"/>
          <w:lang w:val="en-GB"/>
        </w:rPr>
        <w:t xml:space="preserve">According to section 80 of the Insolvency Act, </w:t>
      </w:r>
      <w:r w:rsidR="0085791A">
        <w:rPr>
          <w:color w:val="808080" w:themeColor="background1" w:themeShade="80"/>
          <w:lang w:val="en-GB"/>
        </w:rPr>
        <w:t xml:space="preserve">Ms Abel </w:t>
      </w:r>
      <w:proofErr w:type="gramStart"/>
      <w:r w:rsidR="0085791A">
        <w:rPr>
          <w:color w:val="808080" w:themeColor="background1" w:themeShade="80"/>
          <w:lang w:val="en-GB"/>
        </w:rPr>
        <w:t>has to</w:t>
      </w:r>
      <w:proofErr w:type="gramEnd"/>
      <w:r w:rsidR="0085791A">
        <w:rPr>
          <w:color w:val="808080" w:themeColor="background1" w:themeShade="80"/>
          <w:lang w:val="en-GB"/>
        </w:rPr>
        <w:t xml:space="preserve"> prepare an application </w:t>
      </w:r>
      <w:r w:rsidR="008E1523">
        <w:rPr>
          <w:color w:val="808080" w:themeColor="background1" w:themeShade="80"/>
          <w:lang w:val="en-GB"/>
        </w:rPr>
        <w:t>to sell the assets</w:t>
      </w:r>
      <w:r w:rsidR="00895354">
        <w:rPr>
          <w:color w:val="808080" w:themeColor="background1" w:themeShade="80"/>
          <w:lang w:val="en-GB"/>
        </w:rPr>
        <w:t xml:space="preserve">. However, should the </w:t>
      </w:r>
      <w:r w:rsidR="000F1DCF">
        <w:rPr>
          <w:color w:val="808080" w:themeColor="background1" w:themeShade="80"/>
          <w:lang w:val="en-GB"/>
        </w:rPr>
        <w:t xml:space="preserve">asset be encumbered, permission by the secured </w:t>
      </w:r>
      <w:r w:rsidR="00651942">
        <w:rPr>
          <w:color w:val="808080" w:themeColor="background1" w:themeShade="80"/>
          <w:lang w:val="en-GB"/>
        </w:rPr>
        <w:t>creditor must be provided together with the application submitted to the Master.</w:t>
      </w:r>
    </w:p>
    <w:p w14:paraId="1217551E" w14:textId="77777777" w:rsidR="00752984" w:rsidRDefault="00752984" w:rsidP="00E37136">
      <w:pPr>
        <w:tabs>
          <w:tab w:val="right" w:pos="9021"/>
        </w:tabs>
        <w:rPr>
          <w:rFonts w:ascii="Avenir Next Demi Bold" w:hAnsi="Avenir Next Demi Bold"/>
          <w:b/>
          <w:bCs/>
          <w:lang w:val="en-GB"/>
        </w:rPr>
      </w:pPr>
    </w:p>
    <w:p w14:paraId="40C1F9E9" w14:textId="138C1BE0"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46CDC653"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3A48ED04" w:rsidR="007F0225" w:rsidRPr="005D49B4" w:rsidRDefault="00A57EF0" w:rsidP="00E37136">
      <w:pPr>
        <w:rPr>
          <w:lang w:val="en-GB"/>
        </w:rPr>
      </w:pPr>
      <w:r>
        <w:rPr>
          <w:color w:val="808080" w:themeColor="background1" w:themeShade="80"/>
          <w:lang w:val="en-GB"/>
        </w:rPr>
        <w:t xml:space="preserve">Ms Abel </w:t>
      </w:r>
      <w:proofErr w:type="gramStart"/>
      <w:r>
        <w:rPr>
          <w:color w:val="808080" w:themeColor="background1" w:themeShade="80"/>
          <w:lang w:val="en-GB"/>
        </w:rPr>
        <w:t>has to</w:t>
      </w:r>
      <w:proofErr w:type="gramEnd"/>
      <w:r>
        <w:rPr>
          <w:color w:val="808080" w:themeColor="background1" w:themeShade="80"/>
          <w:lang w:val="en-GB"/>
        </w:rPr>
        <w:t xml:space="preserve"> first obtain recognition</w:t>
      </w:r>
      <w:r w:rsidR="00657BD6">
        <w:rPr>
          <w:color w:val="808080" w:themeColor="background1" w:themeShade="80"/>
          <w:lang w:val="en-GB"/>
        </w:rPr>
        <w:t xml:space="preserve"> of the appointment as trustee from the relevant Italian court. </w:t>
      </w:r>
      <w:r w:rsidR="00776E97">
        <w:rPr>
          <w:color w:val="808080" w:themeColor="background1" w:themeShade="80"/>
          <w:lang w:val="en-GB"/>
        </w:rPr>
        <w:t xml:space="preserve">Should she fail to obtain this recognition, </w:t>
      </w:r>
      <w:r w:rsidR="002A6FAF">
        <w:rPr>
          <w:color w:val="808080" w:themeColor="background1" w:themeShade="80"/>
          <w:lang w:val="en-GB"/>
        </w:rPr>
        <w:t xml:space="preserve">the property </w:t>
      </w:r>
      <w:r w:rsidR="0062694E">
        <w:rPr>
          <w:color w:val="808080" w:themeColor="background1" w:themeShade="80"/>
          <w:lang w:val="en-GB"/>
        </w:rPr>
        <w:t>remains vested in Mr Solar. In terms of the South African</w:t>
      </w:r>
      <w:r w:rsidR="007271B9">
        <w:rPr>
          <w:color w:val="808080" w:themeColor="background1" w:themeShade="80"/>
          <w:lang w:val="en-GB"/>
        </w:rPr>
        <w:t xml:space="preserve"> law, the </w:t>
      </w:r>
      <w:r w:rsidR="004F34F4">
        <w:rPr>
          <w:color w:val="808080" w:themeColor="background1" w:themeShade="80"/>
          <w:lang w:val="en-GB"/>
        </w:rPr>
        <w:t xml:space="preserve">local property automatically </w:t>
      </w:r>
      <w:proofErr w:type="gramStart"/>
      <w:r w:rsidR="004F34F4">
        <w:rPr>
          <w:color w:val="808080" w:themeColor="background1" w:themeShade="80"/>
          <w:lang w:val="en-GB"/>
        </w:rPr>
        <w:t>form</w:t>
      </w:r>
      <w:proofErr w:type="gramEnd"/>
      <w:r w:rsidR="004F34F4">
        <w:rPr>
          <w:color w:val="808080" w:themeColor="background1" w:themeShade="80"/>
          <w:lang w:val="en-GB"/>
        </w:rPr>
        <w:t xml:space="preserve"> part of the estate.</w:t>
      </w:r>
      <w:r w:rsidR="00657BD6">
        <w:rPr>
          <w:color w:val="808080" w:themeColor="background1" w:themeShade="80"/>
          <w:lang w:val="en-GB"/>
        </w:rPr>
        <w:t xml:space="preserve"> </w:t>
      </w:r>
      <w:r>
        <w:rPr>
          <w:color w:val="808080" w:themeColor="background1" w:themeShade="80"/>
          <w:lang w:val="en-GB"/>
        </w:rPr>
        <w:t xml:space="preserve"> </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71220677"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14F03EB4" w:rsidR="007F0225" w:rsidRPr="005D49B4" w:rsidRDefault="00664BB4" w:rsidP="00E37136">
      <w:pPr>
        <w:rPr>
          <w:lang w:val="en-GB"/>
        </w:rPr>
      </w:pPr>
      <w:r>
        <w:rPr>
          <w:color w:val="808080" w:themeColor="background1" w:themeShade="80"/>
          <w:lang w:val="en-GB"/>
        </w:rPr>
        <w:t xml:space="preserve">Yes, in accordance with common law the element of recognition is not necessary. Movable property in a foreign country will form part of the insolvent estate </w:t>
      </w:r>
      <w:r w:rsidR="00966A77">
        <w:rPr>
          <w:color w:val="808080" w:themeColor="background1" w:themeShade="80"/>
          <w:lang w:val="en-GB"/>
        </w:rPr>
        <w:t xml:space="preserve">if the estate is sequestrated by the court where the insolvent is domiciled. </w:t>
      </w:r>
      <w:r w:rsidR="005A6757">
        <w:rPr>
          <w:color w:val="808080" w:themeColor="background1" w:themeShade="80"/>
          <w:lang w:val="en-GB"/>
        </w:rPr>
        <w:t>However, Mr Solar is currently domiciled in Gauteng and the order was granted in Kwa Zulu Natal.</w:t>
      </w:r>
    </w:p>
    <w:p w14:paraId="59C67EBA" w14:textId="77777777" w:rsidR="007F0225" w:rsidRDefault="007F0225" w:rsidP="00E37136">
      <w:pPr>
        <w:rPr>
          <w:rFonts w:ascii="Avenir Book" w:hAnsi="Avenir Book"/>
          <w:color w:val="000000" w:themeColor="text1"/>
          <w:lang w:val="en-GB"/>
        </w:rPr>
      </w:pPr>
    </w:p>
    <w:p w14:paraId="1DBE2062" w14:textId="77777777" w:rsidR="00267A5E" w:rsidRDefault="00267A5E" w:rsidP="00E37136">
      <w:pPr>
        <w:rPr>
          <w:rFonts w:ascii="Avenir Book" w:hAnsi="Avenir Book"/>
          <w:color w:val="000000" w:themeColor="text1"/>
          <w:lang w:val="en-GB"/>
        </w:rPr>
      </w:pPr>
    </w:p>
    <w:p w14:paraId="1E7BF258" w14:textId="77777777" w:rsidR="00267A5E" w:rsidRDefault="00267A5E" w:rsidP="00E37136">
      <w:pPr>
        <w:rPr>
          <w:rFonts w:ascii="Avenir Book" w:hAnsi="Avenir Book"/>
          <w:color w:val="000000" w:themeColor="text1"/>
          <w:lang w:val="en-GB"/>
        </w:rPr>
      </w:pPr>
    </w:p>
    <w:p w14:paraId="4A7A3CDA" w14:textId="77777777" w:rsidR="00267A5E" w:rsidRDefault="00267A5E" w:rsidP="00E37136">
      <w:pPr>
        <w:rPr>
          <w:rFonts w:ascii="Avenir Book" w:hAnsi="Avenir Book"/>
          <w:color w:val="000000" w:themeColor="text1"/>
          <w:lang w:val="en-GB"/>
        </w:rPr>
      </w:pPr>
    </w:p>
    <w:p w14:paraId="3A5823E6" w14:textId="77777777" w:rsidR="00267A5E" w:rsidRDefault="00267A5E" w:rsidP="00E37136">
      <w:pPr>
        <w:rPr>
          <w:rFonts w:ascii="Avenir Book" w:hAnsi="Avenir Book"/>
          <w:color w:val="000000" w:themeColor="text1"/>
          <w:lang w:val="en-GB"/>
        </w:rPr>
      </w:pPr>
    </w:p>
    <w:p w14:paraId="7B8E6834" w14:textId="77777777" w:rsidR="00267A5E" w:rsidRDefault="00267A5E" w:rsidP="00E37136">
      <w:pPr>
        <w:rPr>
          <w:rFonts w:ascii="Avenir Book" w:hAnsi="Avenir Book"/>
          <w:color w:val="000000" w:themeColor="text1"/>
          <w:lang w:val="en-GB"/>
        </w:rPr>
      </w:pPr>
    </w:p>
    <w:p w14:paraId="41EB18FC" w14:textId="77777777" w:rsidR="00267A5E" w:rsidRPr="005D49B4" w:rsidRDefault="00267A5E"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1572A47F" w:rsidR="004B6D5F" w:rsidRPr="005D49B4" w:rsidRDefault="00BA7355" w:rsidP="00E37136">
      <w:pPr>
        <w:tabs>
          <w:tab w:val="right" w:pos="9021"/>
        </w:tabs>
        <w:rPr>
          <w:b/>
          <w:bCs/>
          <w:lang w:val="en-GB"/>
        </w:rPr>
      </w:pPr>
      <w:r w:rsidRPr="005D49B4">
        <w:rPr>
          <w:rFonts w:ascii="Avenir Next Demi Bold" w:hAnsi="Avenir Next Demi Bold"/>
          <w:b/>
          <w:bCs/>
          <w:lang w:val="en-GB"/>
        </w:rPr>
        <w:lastRenderedPageBreak/>
        <w:t>Question 2.</w:t>
      </w:r>
      <w:r w:rsidR="0053601D">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644F818"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71C8A532" w:rsidR="007F0225" w:rsidRPr="005E539A" w:rsidRDefault="002C3F82" w:rsidP="00E37136">
      <w:pPr>
        <w:rPr>
          <w:color w:val="808080" w:themeColor="background1" w:themeShade="80"/>
          <w:lang w:val="en-GB"/>
        </w:rPr>
      </w:pPr>
      <w:r w:rsidRPr="005E539A">
        <w:rPr>
          <w:color w:val="808080" w:themeColor="background1" w:themeShade="80"/>
          <w:lang w:val="en-GB"/>
        </w:rPr>
        <w:t xml:space="preserve">The sequestration order does not follow the </w:t>
      </w:r>
      <w:proofErr w:type="spellStart"/>
      <w:r w:rsidRPr="005E539A">
        <w:rPr>
          <w:color w:val="808080" w:themeColor="background1" w:themeShade="80"/>
          <w:lang w:val="en-GB"/>
        </w:rPr>
        <w:t>the</w:t>
      </w:r>
      <w:proofErr w:type="spellEnd"/>
      <w:r w:rsidRPr="005E539A">
        <w:rPr>
          <w:color w:val="808080" w:themeColor="background1" w:themeShade="80"/>
          <w:lang w:val="en-GB"/>
        </w:rPr>
        <w:t xml:space="preserve"> partnership estate </w:t>
      </w:r>
      <w:r w:rsidR="009E2844" w:rsidRPr="005E539A">
        <w:rPr>
          <w:color w:val="808080" w:themeColor="background1" w:themeShade="80"/>
          <w:lang w:val="en-GB"/>
        </w:rPr>
        <w:t>or the individual estates of the remaining partners. The partnership will</w:t>
      </w:r>
      <w:r w:rsidR="005E539A" w:rsidRPr="005E539A">
        <w:rPr>
          <w:color w:val="808080" w:themeColor="background1" w:themeShade="80"/>
          <w:lang w:val="en-GB"/>
        </w:rPr>
        <w:t xml:space="preserve"> also</w:t>
      </w:r>
      <w:r w:rsidR="009E2844" w:rsidRPr="005E539A">
        <w:rPr>
          <w:color w:val="808080" w:themeColor="background1" w:themeShade="80"/>
          <w:lang w:val="en-GB"/>
        </w:rPr>
        <w:t xml:space="preserve"> </w:t>
      </w:r>
      <w:r w:rsidR="005E539A" w:rsidRPr="005E539A">
        <w:rPr>
          <w:color w:val="808080" w:themeColor="background1" w:themeShade="80"/>
          <w:lang w:val="en-GB"/>
        </w:rPr>
        <w:t>be terminated.</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528D74C5"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53601D">
        <w:rPr>
          <w:rFonts w:ascii="Avenir Next Demi Bold" w:hAnsi="Avenir Next Demi Bold"/>
          <w:b/>
          <w:bCs/>
          <w:lang w:val="en-GB"/>
        </w:rPr>
        <w:t>9</w:t>
      </w:r>
      <w:r w:rsidR="00B22F49" w:rsidRPr="005D49B4">
        <w:rPr>
          <w:rFonts w:ascii="Avenir Next Demi Bold" w:hAnsi="Avenir Next Demi Bold"/>
          <w:b/>
          <w:bCs/>
          <w:lang w:val="en-GB"/>
        </w:rPr>
        <w:t>.2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10FF0883" w:rsidR="007F0225" w:rsidRPr="005D49B4" w:rsidRDefault="000F7D37" w:rsidP="00E37136">
      <w:pPr>
        <w:rPr>
          <w:lang w:val="en-GB"/>
        </w:rPr>
      </w:pPr>
      <w:r>
        <w:rPr>
          <w:color w:val="808080" w:themeColor="background1" w:themeShade="80"/>
          <w:lang w:val="en-GB"/>
        </w:rPr>
        <w:t>The partnership will be terminated.</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6707FE6" w14:textId="5DCB8C74" w:rsidR="007F0225" w:rsidRPr="005D49B4" w:rsidRDefault="00B06FDD" w:rsidP="00E37136">
      <w:pPr>
        <w:rPr>
          <w:lang w:val="en-GB"/>
        </w:rPr>
      </w:pPr>
      <w:r>
        <w:rPr>
          <w:color w:val="808080" w:themeColor="background1" w:themeShade="80"/>
          <w:lang w:val="en-GB"/>
        </w:rPr>
        <w:t>Firstly, factual insolvency stems from the principle of liabilities outweigh</w:t>
      </w:r>
      <w:r w:rsidR="00D87C7D">
        <w:rPr>
          <w:color w:val="808080" w:themeColor="background1" w:themeShade="80"/>
          <w:lang w:val="en-GB"/>
        </w:rPr>
        <w:t>ing</w:t>
      </w:r>
      <w:r>
        <w:rPr>
          <w:color w:val="808080" w:themeColor="background1" w:themeShade="80"/>
          <w:lang w:val="en-GB"/>
        </w:rPr>
        <w:t xml:space="preserve"> the assets. Commercial insolvency </w:t>
      </w:r>
      <w:r w:rsidR="00FB5044">
        <w:rPr>
          <w:color w:val="808080" w:themeColor="background1" w:themeShade="80"/>
          <w:lang w:val="en-GB"/>
        </w:rPr>
        <w:t xml:space="preserve">relates to the inability to pay debts as they become due and payable. </w:t>
      </w:r>
      <w:r w:rsidR="00A97504">
        <w:rPr>
          <w:color w:val="808080" w:themeColor="background1" w:themeShade="80"/>
          <w:lang w:val="en-GB"/>
        </w:rPr>
        <w:t>In respect of RNH</w:t>
      </w:r>
      <w:r w:rsidR="00966782">
        <w:rPr>
          <w:color w:val="808080" w:themeColor="background1" w:themeShade="80"/>
          <w:lang w:val="en-GB"/>
        </w:rPr>
        <w:t xml:space="preserve">, </w:t>
      </w:r>
      <w:r w:rsidR="00620861">
        <w:rPr>
          <w:color w:val="808080" w:themeColor="background1" w:themeShade="80"/>
          <w:lang w:val="en-GB"/>
        </w:rPr>
        <w:t xml:space="preserve">it is unclear whether </w:t>
      </w:r>
      <w:r w:rsidR="00B41AEA">
        <w:rPr>
          <w:color w:val="808080" w:themeColor="background1" w:themeShade="80"/>
          <w:lang w:val="en-GB"/>
        </w:rPr>
        <w:t xml:space="preserve">their liabilities exceed their assets, however it is apparent that they are struggling to meet their financial obligations as they become due and </w:t>
      </w:r>
      <w:proofErr w:type="gramStart"/>
      <w:r w:rsidR="00B41AEA">
        <w:rPr>
          <w:color w:val="808080" w:themeColor="background1" w:themeShade="80"/>
          <w:lang w:val="en-GB"/>
        </w:rPr>
        <w:t>payable</w:t>
      </w:r>
      <w:proofErr w:type="gramEnd"/>
      <w:r w:rsidR="0087124B">
        <w:rPr>
          <w:color w:val="808080" w:themeColor="background1" w:themeShade="80"/>
          <w:lang w:val="en-GB"/>
        </w:rPr>
        <w:t xml:space="preserve"> so they are therefore commercially insolvent</w:t>
      </w:r>
      <w:r w:rsidR="00B41AEA">
        <w:rPr>
          <w:color w:val="808080" w:themeColor="background1" w:themeShade="80"/>
          <w:lang w:val="en-GB"/>
        </w:rPr>
        <w:t>.</w:t>
      </w:r>
      <w:r w:rsidR="0087124B">
        <w:rPr>
          <w:color w:val="808080" w:themeColor="background1" w:themeShade="80"/>
          <w:lang w:val="en-GB"/>
        </w:rPr>
        <w:t xml:space="preserve"> </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1468E26F" w:rsidR="007F0225" w:rsidRPr="005D49B4" w:rsidRDefault="00223EB9" w:rsidP="00E37136">
      <w:pPr>
        <w:rPr>
          <w:lang w:val="en-GB"/>
        </w:rPr>
      </w:pPr>
      <w:r>
        <w:rPr>
          <w:color w:val="808080" w:themeColor="background1" w:themeShade="80"/>
          <w:lang w:val="en-GB"/>
        </w:rPr>
        <w:t>The Master of the High Court.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2A9E386E" w:rsidR="007F0225" w:rsidRPr="00EE3755" w:rsidRDefault="000A0E44" w:rsidP="00E37136">
      <w:pPr>
        <w:rPr>
          <w:color w:val="808080" w:themeColor="background1" w:themeShade="80"/>
          <w:lang w:val="en-GB"/>
        </w:rPr>
      </w:pPr>
      <w:r>
        <w:rPr>
          <w:color w:val="808080" w:themeColor="background1" w:themeShade="80"/>
          <w:lang w:val="en-GB"/>
        </w:rPr>
        <w:t xml:space="preserve">Employees should </w:t>
      </w:r>
      <w:r w:rsidR="000A2525">
        <w:rPr>
          <w:color w:val="808080" w:themeColor="background1" w:themeShade="80"/>
          <w:lang w:val="en-GB"/>
        </w:rPr>
        <w:t xml:space="preserve">be informed clearly that their position is either temporary or on a </w:t>
      </w:r>
      <w:proofErr w:type="gramStart"/>
      <w:r w:rsidR="000A2525">
        <w:rPr>
          <w:color w:val="808080" w:themeColor="background1" w:themeShade="80"/>
          <w:lang w:val="en-GB"/>
        </w:rPr>
        <w:t>month to month</w:t>
      </w:r>
      <w:proofErr w:type="gramEnd"/>
      <w:r w:rsidR="000A2525">
        <w:rPr>
          <w:color w:val="808080" w:themeColor="background1" w:themeShade="80"/>
          <w:lang w:val="en-GB"/>
        </w:rPr>
        <w:t xml:space="preserve"> basis and create no expectation </w:t>
      </w:r>
      <w:r w:rsidR="00813BFA">
        <w:rPr>
          <w:color w:val="808080" w:themeColor="background1" w:themeShade="80"/>
          <w:lang w:val="en-GB"/>
        </w:rPr>
        <w:t xml:space="preserve">should be created for certain or regular employment. </w:t>
      </w:r>
      <w:proofErr w:type="gramStart"/>
      <w:r>
        <w:rPr>
          <w:color w:val="808080" w:themeColor="background1" w:themeShade="80"/>
          <w:lang w:val="en-GB"/>
        </w:rPr>
        <w:t>Alternatively</w:t>
      </w:r>
      <w:proofErr w:type="gramEnd"/>
      <w:r>
        <w:rPr>
          <w:color w:val="808080" w:themeColor="background1" w:themeShade="80"/>
          <w:lang w:val="en-GB"/>
        </w:rPr>
        <w:t>, t</w:t>
      </w:r>
      <w:r w:rsidR="00A14BD8" w:rsidRPr="00EE3755">
        <w:rPr>
          <w:color w:val="808080" w:themeColor="background1" w:themeShade="80"/>
          <w:lang w:val="en-GB"/>
        </w:rPr>
        <w:t>he empl</w:t>
      </w:r>
      <w:r w:rsidR="00A41DDB" w:rsidRPr="00EE3755">
        <w:rPr>
          <w:color w:val="808080" w:themeColor="background1" w:themeShade="80"/>
          <w:lang w:val="en-GB"/>
        </w:rPr>
        <w:t>oyment contracts will be suspended in terms of section 38 of the Insolvency Act</w:t>
      </w:r>
      <w:r w:rsidR="00E54D9C" w:rsidRPr="00EE3755">
        <w:rPr>
          <w:color w:val="808080" w:themeColor="background1" w:themeShade="80"/>
          <w:lang w:val="en-GB"/>
        </w:rPr>
        <w:t xml:space="preserve">. Employees will be no longer be obliged to offer services but will be entitled to UIF. </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CD5B40E" w14:textId="6FB7406D" w:rsidR="007F0225" w:rsidRPr="005D49B4" w:rsidRDefault="0048232F" w:rsidP="00E37136">
      <w:pPr>
        <w:rPr>
          <w:lang w:val="en-GB"/>
        </w:rPr>
      </w:pPr>
      <w:r>
        <w:rPr>
          <w:color w:val="808080" w:themeColor="background1" w:themeShade="80"/>
          <w:lang w:val="en-GB"/>
        </w:rPr>
        <w:t xml:space="preserve">In terms of section 386(2) of the Companies Act of 1973, </w:t>
      </w:r>
      <w:r w:rsidR="00C368D7">
        <w:rPr>
          <w:color w:val="808080" w:themeColor="background1" w:themeShade="80"/>
          <w:lang w:val="en-GB"/>
        </w:rPr>
        <w:t>the liquidator, with consent from the Master, may at any time before the general meeting is convened for the first time</w:t>
      </w:r>
      <w:r w:rsidR="00872DA6">
        <w:rPr>
          <w:color w:val="808080" w:themeColor="background1" w:themeShade="80"/>
          <w:lang w:val="en-GB"/>
        </w:rPr>
        <w:t>, terminate any lease agreement</w:t>
      </w:r>
      <w:r w:rsidR="00935EA0">
        <w:rPr>
          <w:color w:val="808080" w:themeColor="background1" w:themeShade="80"/>
          <w:lang w:val="en-GB"/>
        </w:rPr>
        <w:t xml:space="preserve">. Should the liquidator wish to continue with the lease, he/she will be </w:t>
      </w:r>
      <w:r w:rsidR="004E655B">
        <w:rPr>
          <w:color w:val="808080" w:themeColor="background1" w:themeShade="80"/>
          <w:lang w:val="en-GB"/>
        </w:rPr>
        <w:t>bound to all the conditions pertainin</w:t>
      </w:r>
      <w:r w:rsidR="00B44AEE">
        <w:rPr>
          <w:color w:val="808080" w:themeColor="background1" w:themeShade="80"/>
          <w:lang w:val="en-GB"/>
        </w:rPr>
        <w:t>g</w:t>
      </w:r>
      <w:r w:rsidR="004E655B">
        <w:rPr>
          <w:color w:val="808080" w:themeColor="background1" w:themeShade="80"/>
          <w:lang w:val="en-GB"/>
        </w:rPr>
        <w:t xml:space="preserve"> to the prohibition o</w:t>
      </w:r>
      <w:r w:rsidR="00B44AEE">
        <w:rPr>
          <w:color w:val="808080" w:themeColor="background1" w:themeShade="80"/>
          <w:lang w:val="en-GB"/>
        </w:rPr>
        <w:t>f</w:t>
      </w:r>
      <w:r w:rsidR="004E655B">
        <w:rPr>
          <w:color w:val="808080" w:themeColor="background1" w:themeShade="80"/>
          <w:lang w:val="en-GB"/>
        </w:rPr>
        <w:t xml:space="preserve"> the transfer </w:t>
      </w:r>
      <w:r w:rsidR="0075133B">
        <w:rPr>
          <w:color w:val="808080" w:themeColor="background1" w:themeShade="80"/>
          <w:lang w:val="en-GB"/>
        </w:rPr>
        <w:t xml:space="preserve">of the lessee’s rights in terms of the lease. </w:t>
      </w:r>
      <w:r w:rsidR="00B607F2" w:rsidRPr="00E841DD">
        <w:rPr>
          <w:color w:val="808080" w:themeColor="background1" w:themeShade="80"/>
          <w:lang w:val="en-GB"/>
        </w:rPr>
        <w:t xml:space="preserve">According to the landlord’s </w:t>
      </w:r>
      <w:proofErr w:type="spellStart"/>
      <w:r w:rsidR="00B607F2" w:rsidRPr="00E841DD">
        <w:rPr>
          <w:color w:val="808080" w:themeColor="background1" w:themeShade="80"/>
          <w:lang w:val="en-GB"/>
        </w:rPr>
        <w:t>hypothic</w:t>
      </w:r>
      <w:proofErr w:type="spellEnd"/>
      <w:r w:rsidR="00B607F2" w:rsidRPr="00E841DD">
        <w:rPr>
          <w:color w:val="808080" w:themeColor="background1" w:themeShade="80"/>
          <w:lang w:val="en-GB"/>
        </w:rPr>
        <w:t xml:space="preserve">, </w:t>
      </w:r>
      <w:r w:rsidR="00EB76E4" w:rsidRPr="00E841DD">
        <w:rPr>
          <w:color w:val="808080" w:themeColor="background1" w:themeShade="80"/>
          <w:lang w:val="en-GB"/>
        </w:rPr>
        <w:t xml:space="preserve">The Willow Family Trust will </w:t>
      </w:r>
      <w:r w:rsidR="000E5324" w:rsidRPr="00E841DD">
        <w:rPr>
          <w:color w:val="808080" w:themeColor="background1" w:themeShade="80"/>
          <w:lang w:val="en-GB"/>
        </w:rPr>
        <w:t xml:space="preserve">have a secured claim </w:t>
      </w:r>
      <w:r w:rsidR="00FC049D" w:rsidRPr="00E841DD">
        <w:rPr>
          <w:color w:val="808080" w:themeColor="background1" w:themeShade="80"/>
          <w:lang w:val="en-GB"/>
        </w:rPr>
        <w:t>in respect of the arrear rental but subject to the limitations</w:t>
      </w:r>
      <w:r w:rsidR="00FC049D">
        <w:rPr>
          <w:color w:val="808080" w:themeColor="background1" w:themeShade="80"/>
          <w:lang w:val="en-GB"/>
        </w:rPr>
        <w:t xml:space="preserve"> set out in section 85. </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1FB5036E" w:rsidR="007F0225" w:rsidRDefault="00C2113C" w:rsidP="00E37136">
      <w:pPr>
        <w:rPr>
          <w:color w:val="808080" w:themeColor="background1" w:themeShade="80"/>
          <w:lang w:val="en-GB"/>
        </w:rPr>
      </w:pPr>
      <w:r>
        <w:rPr>
          <w:color w:val="808080" w:themeColor="background1" w:themeShade="80"/>
          <w:lang w:val="en-GB"/>
        </w:rPr>
        <w:t xml:space="preserve">Section </w:t>
      </w:r>
      <w:r w:rsidR="004B71EE">
        <w:rPr>
          <w:color w:val="808080" w:themeColor="background1" w:themeShade="80"/>
          <w:lang w:val="en-GB"/>
        </w:rPr>
        <w:t xml:space="preserve">359(1)(a) </w:t>
      </w:r>
      <w:r w:rsidR="00FD64D2">
        <w:rPr>
          <w:color w:val="808080" w:themeColor="background1" w:themeShade="80"/>
          <w:lang w:val="en-GB"/>
        </w:rPr>
        <w:t xml:space="preserve">and (b) </w:t>
      </w:r>
      <w:r w:rsidR="004B71EE">
        <w:rPr>
          <w:color w:val="808080" w:themeColor="background1" w:themeShade="80"/>
          <w:lang w:val="en-GB"/>
        </w:rPr>
        <w:t xml:space="preserve">of the Companies Act suspends all civil proceedings </w:t>
      </w:r>
      <w:r w:rsidR="00FD64D2">
        <w:rPr>
          <w:color w:val="808080" w:themeColor="background1" w:themeShade="80"/>
          <w:lang w:val="en-GB"/>
        </w:rPr>
        <w:t>until the appointment of a liquidator and any attachment</w:t>
      </w:r>
      <w:r w:rsidR="00165F84">
        <w:rPr>
          <w:color w:val="808080" w:themeColor="background1" w:themeShade="80"/>
          <w:lang w:val="en-GB"/>
        </w:rPr>
        <w:t xml:space="preserve"> or execution put in force after the commencement of the wind-up is void</w:t>
      </w:r>
      <w:r w:rsidR="00165F84" w:rsidRPr="002C2C2C">
        <w:rPr>
          <w:color w:val="808080" w:themeColor="background1" w:themeShade="80"/>
          <w:lang w:val="en-GB"/>
        </w:rPr>
        <w:t>.</w:t>
      </w:r>
      <w:r w:rsidR="002C2C2C" w:rsidRPr="002C2C2C">
        <w:rPr>
          <w:color w:val="808080" w:themeColor="background1" w:themeShade="80"/>
          <w:lang w:val="en-GB"/>
        </w:rPr>
        <w:t xml:space="preserve"> </w:t>
      </w:r>
      <w:r w:rsidR="002C2C2C" w:rsidRPr="002C2C2C">
        <w:rPr>
          <w:color w:val="808080" w:themeColor="background1" w:themeShade="80"/>
          <w:lang w:val="en-GB"/>
        </w:rPr>
        <w:t>The liquidation order for RNH, under Section 359(2) of the 1973 Companies Act, requires individuals in civil proceedings against the company to notify the liquidator within four weeks of appointment. This ensures coordination and transparency, allowing the liquidator to manage legal actions effectively during the liquidation process.</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78173E2" w14:textId="34700637" w:rsidR="00AA28AD" w:rsidRDefault="00430E43" w:rsidP="00430E43">
      <w:pPr>
        <w:pStyle w:val="ListParagraph"/>
        <w:numPr>
          <w:ilvl w:val="0"/>
          <w:numId w:val="23"/>
        </w:numPr>
        <w:rPr>
          <w:color w:val="808080" w:themeColor="background1" w:themeShade="80"/>
          <w:lang w:val="en-GB"/>
        </w:rPr>
      </w:pPr>
      <w:r>
        <w:rPr>
          <w:color w:val="808080" w:themeColor="background1" w:themeShade="80"/>
          <w:lang w:val="en-GB"/>
        </w:rPr>
        <w:t>Causes of the failure of the company</w:t>
      </w:r>
      <w:r w:rsidR="007B122C">
        <w:rPr>
          <w:color w:val="808080" w:themeColor="background1" w:themeShade="80"/>
          <w:lang w:val="en-GB"/>
        </w:rPr>
        <w:t>. Discuss all aspects in respect of the</w:t>
      </w:r>
      <w:r w:rsidR="004B3BA5">
        <w:rPr>
          <w:color w:val="808080" w:themeColor="background1" w:themeShade="80"/>
          <w:lang w:val="en-GB"/>
        </w:rPr>
        <w:t xml:space="preserve"> </w:t>
      </w:r>
      <w:r w:rsidR="00402738">
        <w:rPr>
          <w:color w:val="808080" w:themeColor="background1" w:themeShade="80"/>
          <w:lang w:val="en-GB"/>
        </w:rPr>
        <w:t xml:space="preserve">liabilities and reduction of work due to the energy crisis experienced by RNH in their </w:t>
      </w:r>
      <w:proofErr w:type="gramStart"/>
      <w:r w:rsidR="00402738">
        <w:rPr>
          <w:color w:val="808080" w:themeColor="background1" w:themeShade="80"/>
          <w:lang w:val="en-GB"/>
        </w:rPr>
        <w:t>production</w:t>
      </w:r>
      <w:r>
        <w:rPr>
          <w:color w:val="808080" w:themeColor="background1" w:themeShade="80"/>
          <w:lang w:val="en-GB"/>
        </w:rPr>
        <w:t>;</w:t>
      </w:r>
      <w:proofErr w:type="gramEnd"/>
    </w:p>
    <w:p w14:paraId="0037DE9B" w14:textId="291076C7" w:rsidR="00430E43" w:rsidRDefault="007B122C" w:rsidP="00430E43">
      <w:pPr>
        <w:pStyle w:val="ListParagraph"/>
        <w:numPr>
          <w:ilvl w:val="0"/>
          <w:numId w:val="23"/>
        </w:numPr>
        <w:rPr>
          <w:color w:val="808080" w:themeColor="background1" w:themeShade="80"/>
          <w:lang w:val="en-GB"/>
        </w:rPr>
      </w:pPr>
      <w:r>
        <w:rPr>
          <w:color w:val="808080" w:themeColor="background1" w:themeShade="80"/>
          <w:lang w:val="en-GB"/>
        </w:rPr>
        <w:t>Personal liabilities of the directors</w:t>
      </w:r>
      <w:r w:rsidR="0065304D">
        <w:rPr>
          <w:color w:val="808080" w:themeColor="background1" w:themeShade="80"/>
          <w:lang w:val="en-GB"/>
        </w:rPr>
        <w:t xml:space="preserve"> and/or former directors. Should any director </w:t>
      </w:r>
      <w:r w:rsidR="0055726C">
        <w:rPr>
          <w:color w:val="808080" w:themeColor="background1" w:themeShade="80"/>
          <w:lang w:val="en-GB"/>
        </w:rPr>
        <w:t xml:space="preserve">be indebted to the company and if there </w:t>
      </w:r>
      <w:proofErr w:type="gramStart"/>
      <w:r w:rsidR="0055726C">
        <w:rPr>
          <w:color w:val="808080" w:themeColor="background1" w:themeShade="80"/>
          <w:lang w:val="en-GB"/>
        </w:rPr>
        <w:t>is</w:t>
      </w:r>
      <w:proofErr w:type="gramEnd"/>
      <w:r w:rsidR="0055726C">
        <w:rPr>
          <w:color w:val="808080" w:themeColor="background1" w:themeShade="80"/>
          <w:lang w:val="en-GB"/>
        </w:rPr>
        <w:t xml:space="preserve"> prospects of recovery by the company from the directors</w:t>
      </w:r>
      <w:r>
        <w:rPr>
          <w:color w:val="808080" w:themeColor="background1" w:themeShade="80"/>
          <w:lang w:val="en-GB"/>
        </w:rPr>
        <w:t>;</w:t>
      </w:r>
    </w:p>
    <w:p w14:paraId="3C61C054" w14:textId="691E9D7F" w:rsidR="0055726C" w:rsidRDefault="00847B76" w:rsidP="00430E43">
      <w:pPr>
        <w:pStyle w:val="ListParagraph"/>
        <w:numPr>
          <w:ilvl w:val="0"/>
          <w:numId w:val="23"/>
        </w:numPr>
        <w:rPr>
          <w:color w:val="808080" w:themeColor="background1" w:themeShade="80"/>
          <w:lang w:val="en-GB"/>
        </w:rPr>
      </w:pPr>
      <w:r>
        <w:rPr>
          <w:color w:val="808080" w:themeColor="background1" w:themeShade="80"/>
          <w:lang w:val="en-GB"/>
        </w:rPr>
        <w:t>Legal proceedings. Discuss all the legal action suffered by the company and all the judgement debt which is currently pending</w:t>
      </w:r>
      <w:r w:rsidR="00712E34">
        <w:rPr>
          <w:color w:val="808080" w:themeColor="background1" w:themeShade="80"/>
          <w:lang w:val="en-GB"/>
        </w:rPr>
        <w:t xml:space="preserve"> and the quantum </w:t>
      </w:r>
      <w:proofErr w:type="gramStart"/>
      <w:r w:rsidR="00712E34">
        <w:rPr>
          <w:color w:val="808080" w:themeColor="background1" w:themeShade="80"/>
          <w:lang w:val="en-GB"/>
        </w:rPr>
        <w:t>thereof</w:t>
      </w:r>
      <w:r>
        <w:rPr>
          <w:color w:val="808080" w:themeColor="background1" w:themeShade="80"/>
          <w:lang w:val="en-GB"/>
        </w:rPr>
        <w:t>;</w:t>
      </w:r>
      <w:proofErr w:type="gramEnd"/>
    </w:p>
    <w:p w14:paraId="445ADC5D" w14:textId="7A872F0A" w:rsidR="00847B76" w:rsidRDefault="009A1F5D" w:rsidP="00430E43">
      <w:pPr>
        <w:pStyle w:val="ListParagraph"/>
        <w:numPr>
          <w:ilvl w:val="0"/>
          <w:numId w:val="23"/>
        </w:numPr>
        <w:rPr>
          <w:color w:val="808080" w:themeColor="background1" w:themeShade="80"/>
          <w:lang w:val="en-GB"/>
        </w:rPr>
      </w:pPr>
      <w:r>
        <w:rPr>
          <w:color w:val="808080" w:themeColor="background1" w:themeShade="80"/>
          <w:lang w:val="en-GB"/>
        </w:rPr>
        <w:t xml:space="preserve">Books and records. Provide information about all book debts and all current </w:t>
      </w:r>
      <w:proofErr w:type="gramStart"/>
      <w:r>
        <w:rPr>
          <w:color w:val="808080" w:themeColor="background1" w:themeShade="80"/>
          <w:lang w:val="en-GB"/>
        </w:rPr>
        <w:t>liabilities;</w:t>
      </w:r>
      <w:proofErr w:type="gramEnd"/>
    </w:p>
    <w:p w14:paraId="3C84B2A9" w14:textId="77777777" w:rsidR="00E527C2" w:rsidRDefault="00781769" w:rsidP="00430E43">
      <w:pPr>
        <w:pStyle w:val="ListParagraph"/>
        <w:numPr>
          <w:ilvl w:val="0"/>
          <w:numId w:val="23"/>
        </w:numPr>
        <w:rPr>
          <w:color w:val="808080" w:themeColor="background1" w:themeShade="80"/>
          <w:lang w:val="en-GB"/>
        </w:rPr>
      </w:pPr>
      <w:r>
        <w:rPr>
          <w:color w:val="808080" w:themeColor="background1" w:themeShade="80"/>
          <w:lang w:val="en-GB"/>
        </w:rPr>
        <w:t>Progress and prospects of the winding-up. Inform the creditors of the status</w:t>
      </w:r>
      <w:r w:rsidR="00566E02">
        <w:rPr>
          <w:color w:val="808080" w:themeColor="background1" w:themeShade="80"/>
          <w:lang w:val="en-GB"/>
        </w:rPr>
        <w:t xml:space="preserve"> in the proceedings, realisation of assets and </w:t>
      </w:r>
      <w:r w:rsidR="00E527C2">
        <w:rPr>
          <w:color w:val="808080" w:themeColor="background1" w:themeShade="80"/>
          <w:lang w:val="en-GB"/>
        </w:rPr>
        <w:t xml:space="preserve">the progress made in respect of prospective auctions or </w:t>
      </w:r>
      <w:proofErr w:type="gramStart"/>
      <w:r w:rsidR="00E527C2">
        <w:rPr>
          <w:color w:val="808080" w:themeColor="background1" w:themeShade="80"/>
          <w:lang w:val="en-GB"/>
        </w:rPr>
        <w:t>sales;</w:t>
      </w:r>
      <w:proofErr w:type="gramEnd"/>
    </w:p>
    <w:p w14:paraId="2969CA2F" w14:textId="5B69BDAB" w:rsidR="009A1F5D" w:rsidRPr="00430E43" w:rsidRDefault="00E527C2" w:rsidP="00430E43">
      <w:pPr>
        <w:pStyle w:val="ListParagraph"/>
        <w:numPr>
          <w:ilvl w:val="0"/>
          <w:numId w:val="23"/>
        </w:numPr>
        <w:rPr>
          <w:color w:val="808080" w:themeColor="background1" w:themeShade="80"/>
          <w:lang w:val="en-GB"/>
        </w:rPr>
      </w:pPr>
      <w:r>
        <w:rPr>
          <w:color w:val="808080" w:themeColor="background1" w:themeShade="80"/>
          <w:lang w:val="en-GB"/>
        </w:rPr>
        <w:t xml:space="preserve">Matters requiring further directions of the creditors. Whether the creditors </w:t>
      </w:r>
      <w:r w:rsidR="009621F2">
        <w:rPr>
          <w:color w:val="808080" w:themeColor="background1" w:themeShade="80"/>
          <w:lang w:val="en-GB"/>
        </w:rPr>
        <w:t xml:space="preserve">can provide authority of secured assets or special directives </w:t>
      </w:r>
      <w:proofErr w:type="gramStart"/>
      <w:r w:rsidR="009621F2">
        <w:rPr>
          <w:color w:val="808080" w:themeColor="background1" w:themeShade="80"/>
          <w:lang w:val="en-GB"/>
        </w:rPr>
        <w:t>in order to</w:t>
      </w:r>
      <w:proofErr w:type="gramEnd"/>
      <w:r w:rsidR="009621F2">
        <w:rPr>
          <w:color w:val="808080" w:themeColor="background1" w:themeShade="80"/>
          <w:lang w:val="en-GB"/>
        </w:rPr>
        <w:t xml:space="preserve"> realise the notarial bonded assets and how best to sell them.</w:t>
      </w:r>
      <w:r w:rsidR="00781769">
        <w:rPr>
          <w:color w:val="808080" w:themeColor="background1" w:themeShade="80"/>
          <w:lang w:val="en-GB"/>
        </w:rPr>
        <w:t xml:space="preserve"> </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0DF88023" w:rsidR="007F0225" w:rsidRPr="005D49B4" w:rsidRDefault="003E625D" w:rsidP="00E37136">
      <w:pPr>
        <w:rPr>
          <w:lang w:val="en-GB"/>
        </w:rPr>
      </w:pPr>
      <w:r>
        <w:rPr>
          <w:color w:val="808080" w:themeColor="background1" w:themeShade="80"/>
          <w:lang w:val="en-GB"/>
        </w:rPr>
        <w:t xml:space="preserve">They have a statutory </w:t>
      </w:r>
      <w:proofErr w:type="spellStart"/>
      <w:r>
        <w:rPr>
          <w:color w:val="808080" w:themeColor="background1" w:themeShade="80"/>
          <w:lang w:val="en-GB"/>
        </w:rPr>
        <w:t>preferencial</w:t>
      </w:r>
      <w:proofErr w:type="spellEnd"/>
      <w:r>
        <w:rPr>
          <w:color w:val="808080" w:themeColor="background1" w:themeShade="80"/>
          <w:lang w:val="en-GB"/>
        </w:rPr>
        <w:t xml:space="preserve"> claim </w:t>
      </w:r>
      <w:r w:rsidR="009F64B3">
        <w:rPr>
          <w:color w:val="808080" w:themeColor="background1" w:themeShade="80"/>
          <w:lang w:val="en-GB"/>
        </w:rPr>
        <w:t xml:space="preserve">up to R 12 000 </w:t>
      </w:r>
      <w:r w:rsidR="000D446E">
        <w:rPr>
          <w:color w:val="808080" w:themeColor="background1" w:themeShade="80"/>
          <w:lang w:val="en-GB"/>
        </w:rPr>
        <w:t xml:space="preserve">not exceeding three </w:t>
      </w:r>
      <w:proofErr w:type="spellStart"/>
      <w:r w:rsidR="000D446E">
        <w:rPr>
          <w:color w:val="808080" w:themeColor="background1" w:themeShade="80"/>
          <w:lang w:val="en-GB"/>
        </w:rPr>
        <w:t>months</w:t>
      </w:r>
      <w:proofErr w:type="spellEnd"/>
      <w:r w:rsidR="000D446E">
        <w:rPr>
          <w:color w:val="808080" w:themeColor="background1" w:themeShade="80"/>
          <w:lang w:val="en-GB"/>
        </w:rPr>
        <w:t xml:space="preserve"> salary owing prior to sequestration </w:t>
      </w:r>
      <w:r w:rsidR="009F64B3">
        <w:rPr>
          <w:color w:val="808080" w:themeColor="background1" w:themeShade="80"/>
          <w:lang w:val="en-GB"/>
        </w:rPr>
        <w:t xml:space="preserve">and a concurrent claim for the balance. </w:t>
      </w:r>
      <w:r w:rsidR="00B50C61">
        <w:rPr>
          <w:color w:val="808080" w:themeColor="background1" w:themeShade="80"/>
          <w:lang w:val="en-GB"/>
        </w:rPr>
        <w:t xml:space="preserve">Payment in respect of any period of leave </w:t>
      </w:r>
      <w:r w:rsidR="008B5B3B">
        <w:rPr>
          <w:color w:val="808080" w:themeColor="background1" w:themeShade="80"/>
          <w:lang w:val="en-GB"/>
        </w:rPr>
        <w:t xml:space="preserve">or holiday due for the previous year (prior to sequestration) and not more than R 4 000 shall be paid out. </w:t>
      </w:r>
      <w:r w:rsidR="008E2893">
        <w:rPr>
          <w:color w:val="808080" w:themeColor="background1" w:themeShade="80"/>
          <w:lang w:val="en-GB"/>
        </w:rPr>
        <w:t xml:space="preserve">Payment in </w:t>
      </w:r>
      <w:r w:rsidR="00872560">
        <w:rPr>
          <w:color w:val="808080" w:themeColor="background1" w:themeShade="80"/>
          <w:lang w:val="en-GB"/>
        </w:rPr>
        <w:t>the form of any form of absence not exceeding three months prior to sequestration and not more than R 4 000</w:t>
      </w:r>
      <w:r w:rsidR="00B60920">
        <w:rPr>
          <w:color w:val="808080" w:themeColor="background1" w:themeShade="80"/>
          <w:lang w:val="en-GB"/>
        </w:rPr>
        <w:t>. They are also entitled to claim for severance or retrenchment pay not exceeding R 12 000.</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16A9912B" w:rsidR="007F0225" w:rsidRPr="005D49B4" w:rsidRDefault="00F72CAF" w:rsidP="00E37136">
      <w:pPr>
        <w:rPr>
          <w:lang w:val="en-GB"/>
        </w:rPr>
      </w:pPr>
      <w:r>
        <w:rPr>
          <w:color w:val="808080" w:themeColor="background1" w:themeShade="80"/>
          <w:lang w:val="en-GB"/>
        </w:rPr>
        <w:lastRenderedPageBreak/>
        <w:t xml:space="preserve">Firstly, the bond must be registered </w:t>
      </w:r>
      <w:r w:rsidR="00C70E06">
        <w:rPr>
          <w:color w:val="808080" w:themeColor="background1" w:themeShade="80"/>
          <w:lang w:val="en-GB"/>
        </w:rPr>
        <w:t xml:space="preserve">in terms of the </w:t>
      </w:r>
      <w:r>
        <w:rPr>
          <w:color w:val="808080" w:themeColor="background1" w:themeShade="80"/>
          <w:lang w:val="en-GB"/>
        </w:rPr>
        <w:t xml:space="preserve">Deeds </w:t>
      </w:r>
      <w:proofErr w:type="spellStart"/>
      <w:r>
        <w:rPr>
          <w:color w:val="808080" w:themeColor="background1" w:themeShade="80"/>
          <w:lang w:val="en-GB"/>
        </w:rPr>
        <w:t>R</w:t>
      </w:r>
      <w:r w:rsidR="00C70E06">
        <w:rPr>
          <w:color w:val="808080" w:themeColor="background1" w:themeShade="80"/>
          <w:lang w:val="en-GB"/>
        </w:rPr>
        <w:t>eg</w:t>
      </w:r>
      <w:r w:rsidR="000B7613">
        <w:rPr>
          <w:color w:val="808080" w:themeColor="background1" w:themeShade="80"/>
          <w:lang w:val="en-GB"/>
        </w:rPr>
        <w:t>isteries</w:t>
      </w:r>
      <w:proofErr w:type="spellEnd"/>
      <w:r w:rsidR="00C70E06">
        <w:rPr>
          <w:color w:val="808080" w:themeColor="background1" w:themeShade="80"/>
          <w:lang w:val="en-GB"/>
        </w:rPr>
        <w:t xml:space="preserve"> Act. Secondly, the movable property must be corporeal</w:t>
      </w:r>
      <w:r w:rsidR="007D04C8">
        <w:rPr>
          <w:color w:val="808080" w:themeColor="background1" w:themeShade="80"/>
          <w:lang w:val="en-GB"/>
        </w:rPr>
        <w:t xml:space="preserve">. Lastly, the movable property must be specified and described in the bond in a manner that </w:t>
      </w:r>
      <w:r w:rsidR="00563F84">
        <w:rPr>
          <w:color w:val="808080" w:themeColor="background1" w:themeShade="80"/>
          <w:lang w:val="en-GB"/>
        </w:rPr>
        <w:t xml:space="preserve">regards it as recognizable. </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08500E0E" w:rsidR="007F0225" w:rsidRPr="005D49B4" w:rsidRDefault="00E2320C" w:rsidP="00E37136">
      <w:pPr>
        <w:rPr>
          <w:lang w:val="en-GB"/>
        </w:rPr>
      </w:pPr>
      <w:r>
        <w:rPr>
          <w:color w:val="808080" w:themeColor="background1" w:themeShade="80"/>
          <w:lang w:val="en-GB"/>
        </w:rPr>
        <w:t xml:space="preserve">In accordance with section 114 of the Customs and Excise Act of 1964, SARS </w:t>
      </w:r>
      <w:r w:rsidR="00355E4F">
        <w:rPr>
          <w:color w:val="808080" w:themeColor="background1" w:themeShade="80"/>
          <w:lang w:val="en-GB"/>
        </w:rPr>
        <w:t>has a special security right to secure payment of certain import taxes</w:t>
      </w:r>
      <w:r w:rsidR="00102461">
        <w:rPr>
          <w:color w:val="808080" w:themeColor="background1" w:themeShade="80"/>
          <w:lang w:val="en-GB"/>
        </w:rPr>
        <w:t xml:space="preserve">. SARS can enforce their lien over their assets by detaining the property </w:t>
      </w:r>
      <w:r w:rsidR="002C2E39">
        <w:rPr>
          <w:color w:val="808080" w:themeColor="background1" w:themeShade="80"/>
          <w:lang w:val="en-GB"/>
        </w:rPr>
        <w:t xml:space="preserve">or impounding it. </w:t>
      </w:r>
      <w:r w:rsidR="00FB2592">
        <w:rPr>
          <w:color w:val="808080" w:themeColor="background1" w:themeShade="80"/>
          <w:lang w:val="en-GB"/>
        </w:rPr>
        <w:t>This will result in SARS being a secured creditor in respect of the hierarchy of creditors.</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68D2857B" w:rsidR="007F0225" w:rsidRPr="005D49B4" w:rsidRDefault="00AA0D59" w:rsidP="00E37136">
      <w:pPr>
        <w:rPr>
          <w:lang w:val="en-GB"/>
        </w:rPr>
      </w:pPr>
      <w:r>
        <w:rPr>
          <w:color w:val="808080" w:themeColor="background1" w:themeShade="80"/>
          <w:lang w:val="en-GB"/>
        </w:rPr>
        <w:t xml:space="preserve">The Business Rescue </w:t>
      </w:r>
      <w:r w:rsidR="00097941">
        <w:rPr>
          <w:color w:val="808080" w:themeColor="background1" w:themeShade="80"/>
          <w:lang w:val="en-GB"/>
        </w:rPr>
        <w:t xml:space="preserve">application might be successful due to the principle of the application suspending the pending liquidation proceedings against the company. </w:t>
      </w:r>
      <w:r w:rsidR="00B82B30">
        <w:rPr>
          <w:color w:val="808080" w:themeColor="background1" w:themeShade="80"/>
          <w:lang w:val="en-GB"/>
        </w:rPr>
        <w:t xml:space="preserve">In addition, the current assessment of the financial affairs of the company </w:t>
      </w:r>
      <w:proofErr w:type="gramStart"/>
      <w:r w:rsidR="00B82B30">
        <w:rPr>
          <w:color w:val="808080" w:themeColor="background1" w:themeShade="80"/>
          <w:lang w:val="en-GB"/>
        </w:rPr>
        <w:t>indicate</w:t>
      </w:r>
      <w:proofErr w:type="gramEnd"/>
      <w:r w:rsidR="00B82B30">
        <w:rPr>
          <w:color w:val="808080" w:themeColor="background1" w:themeShade="80"/>
          <w:lang w:val="en-GB"/>
        </w:rPr>
        <w:t xml:space="preserve"> that there would not be any reasonable prospect of rescue due to the </w:t>
      </w:r>
      <w:r w:rsidR="00E53003">
        <w:rPr>
          <w:color w:val="808080" w:themeColor="background1" w:themeShade="80"/>
          <w:lang w:val="en-GB"/>
        </w:rPr>
        <w:t xml:space="preserve">affairs unable to be restructured. </w:t>
      </w:r>
      <w:proofErr w:type="gramStart"/>
      <w:r w:rsidR="001F36DA">
        <w:rPr>
          <w:color w:val="808080" w:themeColor="background1" w:themeShade="80"/>
          <w:lang w:val="en-GB"/>
        </w:rPr>
        <w:t>Commentaries</w:t>
      </w:r>
      <w:proofErr w:type="gramEnd"/>
      <w:r w:rsidR="001F36DA">
        <w:rPr>
          <w:color w:val="808080" w:themeColor="background1" w:themeShade="80"/>
          <w:lang w:val="en-GB"/>
        </w:rPr>
        <w:t xml:space="preserve"> often describe the process as open to abuse. </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1C9F" w14:textId="77777777" w:rsidR="00CD366B" w:rsidRDefault="00CD366B" w:rsidP="001016B0">
      <w:r>
        <w:separator/>
      </w:r>
    </w:p>
  </w:endnote>
  <w:endnote w:type="continuationSeparator" w:id="0">
    <w:p w14:paraId="0812DED5" w14:textId="77777777" w:rsidR="00CD366B" w:rsidRDefault="00CD366B"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36D767B6" w:rsidR="00CD366B" w:rsidRDefault="007615F3" w:rsidP="008A20AC">
    <w:pPr>
      <w:pStyle w:val="Footer"/>
      <w:ind w:right="360"/>
    </w:pPr>
    <w:r>
      <w:rPr>
        <w:rFonts w:ascii="Calibri" w:hAnsi="Calibri" w:cs="Calibri"/>
        <w:color w:val="979797"/>
        <w:shd w:val="clear" w:color="auto" w:fill="FFFFFF"/>
      </w:rPr>
      <w:t>202324-1234</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7A35" w14:textId="77777777" w:rsidR="00CD366B" w:rsidRDefault="00CD366B" w:rsidP="001016B0">
      <w:r>
        <w:separator/>
      </w:r>
    </w:p>
  </w:footnote>
  <w:footnote w:type="continuationSeparator" w:id="0">
    <w:p w14:paraId="4A65F28B" w14:textId="77777777" w:rsidR="00CD366B" w:rsidRDefault="00CD366B"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1272AB"/>
    <w:multiLevelType w:val="hybridMultilevel"/>
    <w:tmpl w:val="B8DC3FAA"/>
    <w:lvl w:ilvl="0" w:tplc="1FC89FEC">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57C1DBB"/>
    <w:multiLevelType w:val="hybridMultilevel"/>
    <w:tmpl w:val="8E468468"/>
    <w:lvl w:ilvl="0" w:tplc="7EEA7840">
      <w:numFmt w:val="bullet"/>
      <w:lvlText w:val="-"/>
      <w:lvlJc w:val="left"/>
      <w:pPr>
        <w:ind w:left="410" w:hanging="360"/>
      </w:pPr>
      <w:rPr>
        <w:rFonts w:ascii="Avenir Next" w:eastAsia="Times New Roman" w:hAnsi="Avenir Next" w:cs="Arial" w:hint="default"/>
        <w:color w:val="808080" w:themeColor="background1" w:themeShade="80"/>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9"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1339158">
    <w:abstractNumId w:val="14"/>
  </w:num>
  <w:num w:numId="2" w16cid:durableId="1005786742">
    <w:abstractNumId w:val="21"/>
  </w:num>
  <w:num w:numId="3" w16cid:durableId="1432434089">
    <w:abstractNumId w:val="0"/>
  </w:num>
  <w:num w:numId="4" w16cid:durableId="134106231">
    <w:abstractNumId w:val="7"/>
  </w:num>
  <w:num w:numId="5" w16cid:durableId="1964968539">
    <w:abstractNumId w:val="15"/>
  </w:num>
  <w:num w:numId="6" w16cid:durableId="936013463">
    <w:abstractNumId w:val="20"/>
  </w:num>
  <w:num w:numId="7" w16cid:durableId="2050639682">
    <w:abstractNumId w:val="19"/>
  </w:num>
  <w:num w:numId="8" w16cid:durableId="692078523">
    <w:abstractNumId w:val="13"/>
  </w:num>
  <w:num w:numId="9" w16cid:durableId="1991591368">
    <w:abstractNumId w:val="10"/>
  </w:num>
  <w:num w:numId="10" w16cid:durableId="1723019952">
    <w:abstractNumId w:val="17"/>
  </w:num>
  <w:num w:numId="11" w16cid:durableId="1967853133">
    <w:abstractNumId w:val="4"/>
  </w:num>
  <w:num w:numId="12" w16cid:durableId="1126043474">
    <w:abstractNumId w:val="22"/>
  </w:num>
  <w:num w:numId="13" w16cid:durableId="1770848548">
    <w:abstractNumId w:val="16"/>
  </w:num>
  <w:num w:numId="14" w16cid:durableId="956563458">
    <w:abstractNumId w:val="8"/>
  </w:num>
  <w:num w:numId="15" w16cid:durableId="1043291584">
    <w:abstractNumId w:val="6"/>
  </w:num>
  <w:num w:numId="16" w16cid:durableId="251011698">
    <w:abstractNumId w:val="11"/>
  </w:num>
  <w:num w:numId="17" w16cid:durableId="531185008">
    <w:abstractNumId w:val="9"/>
  </w:num>
  <w:num w:numId="18" w16cid:durableId="1217813240">
    <w:abstractNumId w:val="12"/>
  </w:num>
  <w:num w:numId="19" w16cid:durableId="1144738626">
    <w:abstractNumId w:val="5"/>
  </w:num>
  <w:num w:numId="20" w16cid:durableId="1160315862">
    <w:abstractNumId w:val="2"/>
  </w:num>
  <w:num w:numId="21" w16cid:durableId="1973973509">
    <w:abstractNumId w:val="1"/>
  </w:num>
  <w:num w:numId="22" w16cid:durableId="1083182672">
    <w:abstractNumId w:val="18"/>
  </w:num>
  <w:num w:numId="23" w16cid:durableId="17466824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97941"/>
    <w:rsid w:val="000A0E44"/>
    <w:rsid w:val="000A2525"/>
    <w:rsid w:val="000A2B3F"/>
    <w:rsid w:val="000A4A49"/>
    <w:rsid w:val="000A58A8"/>
    <w:rsid w:val="000A6016"/>
    <w:rsid w:val="000A6767"/>
    <w:rsid w:val="000B431C"/>
    <w:rsid w:val="000B7214"/>
    <w:rsid w:val="000B7613"/>
    <w:rsid w:val="000C0827"/>
    <w:rsid w:val="000C1F09"/>
    <w:rsid w:val="000C2E81"/>
    <w:rsid w:val="000C3B6B"/>
    <w:rsid w:val="000C7DF5"/>
    <w:rsid w:val="000D0367"/>
    <w:rsid w:val="000D134F"/>
    <w:rsid w:val="000D1745"/>
    <w:rsid w:val="000D234F"/>
    <w:rsid w:val="000D340C"/>
    <w:rsid w:val="000D446E"/>
    <w:rsid w:val="000D4786"/>
    <w:rsid w:val="000D5B7A"/>
    <w:rsid w:val="000D600B"/>
    <w:rsid w:val="000E18E1"/>
    <w:rsid w:val="000E4C6C"/>
    <w:rsid w:val="000E5324"/>
    <w:rsid w:val="000E64DB"/>
    <w:rsid w:val="000F1349"/>
    <w:rsid w:val="000F1620"/>
    <w:rsid w:val="000F1B04"/>
    <w:rsid w:val="000F1DCF"/>
    <w:rsid w:val="000F71B4"/>
    <w:rsid w:val="000F7D37"/>
    <w:rsid w:val="000F7E2C"/>
    <w:rsid w:val="0010016E"/>
    <w:rsid w:val="001001B2"/>
    <w:rsid w:val="001016B0"/>
    <w:rsid w:val="00101841"/>
    <w:rsid w:val="00102461"/>
    <w:rsid w:val="001134FA"/>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5F84"/>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15BC"/>
    <w:rsid w:val="001C250F"/>
    <w:rsid w:val="001C3B78"/>
    <w:rsid w:val="001C667C"/>
    <w:rsid w:val="001C6B3B"/>
    <w:rsid w:val="001C7A25"/>
    <w:rsid w:val="001D2111"/>
    <w:rsid w:val="001D66A0"/>
    <w:rsid w:val="001D6C6C"/>
    <w:rsid w:val="001E11E8"/>
    <w:rsid w:val="001E1EC6"/>
    <w:rsid w:val="001E30EE"/>
    <w:rsid w:val="001E6FD1"/>
    <w:rsid w:val="001E72C8"/>
    <w:rsid w:val="001F36DA"/>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3EB9"/>
    <w:rsid w:val="002264AD"/>
    <w:rsid w:val="00232B3B"/>
    <w:rsid w:val="00234313"/>
    <w:rsid w:val="00244935"/>
    <w:rsid w:val="00251F70"/>
    <w:rsid w:val="00252A4F"/>
    <w:rsid w:val="002532D9"/>
    <w:rsid w:val="00255630"/>
    <w:rsid w:val="00256DA6"/>
    <w:rsid w:val="00257792"/>
    <w:rsid w:val="0026126D"/>
    <w:rsid w:val="00262DD3"/>
    <w:rsid w:val="00263733"/>
    <w:rsid w:val="00264D75"/>
    <w:rsid w:val="002665D8"/>
    <w:rsid w:val="002670D8"/>
    <w:rsid w:val="00267A5E"/>
    <w:rsid w:val="00270263"/>
    <w:rsid w:val="0027032B"/>
    <w:rsid w:val="00270334"/>
    <w:rsid w:val="00273139"/>
    <w:rsid w:val="002747AA"/>
    <w:rsid w:val="002748CA"/>
    <w:rsid w:val="002811D3"/>
    <w:rsid w:val="00283584"/>
    <w:rsid w:val="00283880"/>
    <w:rsid w:val="002845B7"/>
    <w:rsid w:val="00293EA5"/>
    <w:rsid w:val="002944A6"/>
    <w:rsid w:val="00294CF4"/>
    <w:rsid w:val="0029590F"/>
    <w:rsid w:val="002A082B"/>
    <w:rsid w:val="002A2C16"/>
    <w:rsid w:val="002A6FAF"/>
    <w:rsid w:val="002B15BA"/>
    <w:rsid w:val="002B3470"/>
    <w:rsid w:val="002B4DCE"/>
    <w:rsid w:val="002B602A"/>
    <w:rsid w:val="002B7150"/>
    <w:rsid w:val="002B79AD"/>
    <w:rsid w:val="002C2C2C"/>
    <w:rsid w:val="002C2E39"/>
    <w:rsid w:val="002C3F82"/>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00F0"/>
    <w:rsid w:val="0032119E"/>
    <w:rsid w:val="00323F04"/>
    <w:rsid w:val="00324BA5"/>
    <w:rsid w:val="0033007B"/>
    <w:rsid w:val="003324F8"/>
    <w:rsid w:val="00337E93"/>
    <w:rsid w:val="00340424"/>
    <w:rsid w:val="00342DDB"/>
    <w:rsid w:val="00343065"/>
    <w:rsid w:val="003445CA"/>
    <w:rsid w:val="00345071"/>
    <w:rsid w:val="003456D8"/>
    <w:rsid w:val="00345A22"/>
    <w:rsid w:val="00347063"/>
    <w:rsid w:val="00347074"/>
    <w:rsid w:val="00347EA3"/>
    <w:rsid w:val="00350E32"/>
    <w:rsid w:val="00354691"/>
    <w:rsid w:val="00355E4F"/>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08AD"/>
    <w:rsid w:val="003D15EA"/>
    <w:rsid w:val="003D4389"/>
    <w:rsid w:val="003D6998"/>
    <w:rsid w:val="003D6FCF"/>
    <w:rsid w:val="003D71CD"/>
    <w:rsid w:val="003E0049"/>
    <w:rsid w:val="003E1354"/>
    <w:rsid w:val="003E2B2B"/>
    <w:rsid w:val="003E3D6C"/>
    <w:rsid w:val="003E625D"/>
    <w:rsid w:val="003E6B88"/>
    <w:rsid w:val="003E71C9"/>
    <w:rsid w:val="003F5CB9"/>
    <w:rsid w:val="00402738"/>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0E43"/>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168E"/>
    <w:rsid w:val="00472555"/>
    <w:rsid w:val="00472927"/>
    <w:rsid w:val="00472E85"/>
    <w:rsid w:val="00473869"/>
    <w:rsid w:val="004740D5"/>
    <w:rsid w:val="00474723"/>
    <w:rsid w:val="0048232F"/>
    <w:rsid w:val="00482D10"/>
    <w:rsid w:val="0048719D"/>
    <w:rsid w:val="00490DAF"/>
    <w:rsid w:val="00492697"/>
    <w:rsid w:val="00497863"/>
    <w:rsid w:val="004A1C4D"/>
    <w:rsid w:val="004A53C3"/>
    <w:rsid w:val="004A6C29"/>
    <w:rsid w:val="004B00EA"/>
    <w:rsid w:val="004B19E1"/>
    <w:rsid w:val="004B2B93"/>
    <w:rsid w:val="004B2D12"/>
    <w:rsid w:val="004B3BA5"/>
    <w:rsid w:val="004B491D"/>
    <w:rsid w:val="004B5873"/>
    <w:rsid w:val="004B6D5F"/>
    <w:rsid w:val="004B71EE"/>
    <w:rsid w:val="004C206D"/>
    <w:rsid w:val="004C2F16"/>
    <w:rsid w:val="004C57ED"/>
    <w:rsid w:val="004C6871"/>
    <w:rsid w:val="004C68A7"/>
    <w:rsid w:val="004C7945"/>
    <w:rsid w:val="004D1602"/>
    <w:rsid w:val="004D69E2"/>
    <w:rsid w:val="004E2B9D"/>
    <w:rsid w:val="004E368D"/>
    <w:rsid w:val="004E4739"/>
    <w:rsid w:val="004E655B"/>
    <w:rsid w:val="004F266B"/>
    <w:rsid w:val="004F34F4"/>
    <w:rsid w:val="004F4C5E"/>
    <w:rsid w:val="004F5D43"/>
    <w:rsid w:val="004F6237"/>
    <w:rsid w:val="004F67CE"/>
    <w:rsid w:val="00504A64"/>
    <w:rsid w:val="00511ADF"/>
    <w:rsid w:val="00512916"/>
    <w:rsid w:val="00513012"/>
    <w:rsid w:val="00514A53"/>
    <w:rsid w:val="0052002F"/>
    <w:rsid w:val="005200BF"/>
    <w:rsid w:val="00520EFB"/>
    <w:rsid w:val="0052140A"/>
    <w:rsid w:val="00527335"/>
    <w:rsid w:val="0052745C"/>
    <w:rsid w:val="00527F67"/>
    <w:rsid w:val="00531586"/>
    <w:rsid w:val="0053209E"/>
    <w:rsid w:val="0053572E"/>
    <w:rsid w:val="0053601D"/>
    <w:rsid w:val="005408DA"/>
    <w:rsid w:val="0054190F"/>
    <w:rsid w:val="00541E5D"/>
    <w:rsid w:val="00542B4C"/>
    <w:rsid w:val="00551383"/>
    <w:rsid w:val="00552ECD"/>
    <w:rsid w:val="00554C2B"/>
    <w:rsid w:val="00555525"/>
    <w:rsid w:val="0055726C"/>
    <w:rsid w:val="00557949"/>
    <w:rsid w:val="00563BD8"/>
    <w:rsid w:val="00563F78"/>
    <w:rsid w:val="00563F84"/>
    <w:rsid w:val="0056458D"/>
    <w:rsid w:val="00564D27"/>
    <w:rsid w:val="00565740"/>
    <w:rsid w:val="00566E02"/>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78F4"/>
    <w:rsid w:val="005A66C0"/>
    <w:rsid w:val="005A6757"/>
    <w:rsid w:val="005A7724"/>
    <w:rsid w:val="005B188A"/>
    <w:rsid w:val="005B2096"/>
    <w:rsid w:val="005B3C91"/>
    <w:rsid w:val="005C0FF6"/>
    <w:rsid w:val="005C4765"/>
    <w:rsid w:val="005C4837"/>
    <w:rsid w:val="005C4FDA"/>
    <w:rsid w:val="005C52EE"/>
    <w:rsid w:val="005C5514"/>
    <w:rsid w:val="005C6146"/>
    <w:rsid w:val="005D171C"/>
    <w:rsid w:val="005D1DDF"/>
    <w:rsid w:val="005D49B4"/>
    <w:rsid w:val="005D56BB"/>
    <w:rsid w:val="005D59D2"/>
    <w:rsid w:val="005D6817"/>
    <w:rsid w:val="005E2AB8"/>
    <w:rsid w:val="005E45BD"/>
    <w:rsid w:val="005E539A"/>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0861"/>
    <w:rsid w:val="0062694E"/>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942"/>
    <w:rsid w:val="00651C41"/>
    <w:rsid w:val="00652AD4"/>
    <w:rsid w:val="0065304D"/>
    <w:rsid w:val="00653D6A"/>
    <w:rsid w:val="00654DB9"/>
    <w:rsid w:val="00657BD6"/>
    <w:rsid w:val="0066147F"/>
    <w:rsid w:val="00664BB4"/>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2B93"/>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2E34"/>
    <w:rsid w:val="007130E9"/>
    <w:rsid w:val="0071394D"/>
    <w:rsid w:val="00715982"/>
    <w:rsid w:val="00723334"/>
    <w:rsid w:val="00726AF5"/>
    <w:rsid w:val="007271B9"/>
    <w:rsid w:val="00731A70"/>
    <w:rsid w:val="00733777"/>
    <w:rsid w:val="00733B70"/>
    <w:rsid w:val="00736383"/>
    <w:rsid w:val="00737CFC"/>
    <w:rsid w:val="00741608"/>
    <w:rsid w:val="00743E9B"/>
    <w:rsid w:val="00745CFF"/>
    <w:rsid w:val="007474A1"/>
    <w:rsid w:val="007474DA"/>
    <w:rsid w:val="0075133B"/>
    <w:rsid w:val="00752984"/>
    <w:rsid w:val="00752EF7"/>
    <w:rsid w:val="00755F63"/>
    <w:rsid w:val="007562BB"/>
    <w:rsid w:val="007615F3"/>
    <w:rsid w:val="0077169C"/>
    <w:rsid w:val="00773409"/>
    <w:rsid w:val="007747E8"/>
    <w:rsid w:val="00775485"/>
    <w:rsid w:val="00775A9A"/>
    <w:rsid w:val="00775C6D"/>
    <w:rsid w:val="00776D03"/>
    <w:rsid w:val="00776E7D"/>
    <w:rsid w:val="00776E97"/>
    <w:rsid w:val="00781769"/>
    <w:rsid w:val="007818BA"/>
    <w:rsid w:val="00784ABC"/>
    <w:rsid w:val="00786D9D"/>
    <w:rsid w:val="00790583"/>
    <w:rsid w:val="0079130C"/>
    <w:rsid w:val="00791BF6"/>
    <w:rsid w:val="00792A12"/>
    <w:rsid w:val="00792FB4"/>
    <w:rsid w:val="007A0F49"/>
    <w:rsid w:val="007A1000"/>
    <w:rsid w:val="007A1E90"/>
    <w:rsid w:val="007A2C95"/>
    <w:rsid w:val="007A5612"/>
    <w:rsid w:val="007A5699"/>
    <w:rsid w:val="007A5D0F"/>
    <w:rsid w:val="007A7431"/>
    <w:rsid w:val="007B0A80"/>
    <w:rsid w:val="007B122C"/>
    <w:rsid w:val="007B1B03"/>
    <w:rsid w:val="007B2BB6"/>
    <w:rsid w:val="007B435F"/>
    <w:rsid w:val="007B5B02"/>
    <w:rsid w:val="007B607D"/>
    <w:rsid w:val="007B6DD3"/>
    <w:rsid w:val="007B70A8"/>
    <w:rsid w:val="007C2F53"/>
    <w:rsid w:val="007C3B85"/>
    <w:rsid w:val="007C3C81"/>
    <w:rsid w:val="007C72DF"/>
    <w:rsid w:val="007D04C8"/>
    <w:rsid w:val="007D078E"/>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BFA"/>
    <w:rsid w:val="00813CB4"/>
    <w:rsid w:val="00815A09"/>
    <w:rsid w:val="00817EB4"/>
    <w:rsid w:val="008201D7"/>
    <w:rsid w:val="00820BFA"/>
    <w:rsid w:val="00822A4C"/>
    <w:rsid w:val="00823418"/>
    <w:rsid w:val="00831837"/>
    <w:rsid w:val="00831F21"/>
    <w:rsid w:val="00840D8E"/>
    <w:rsid w:val="008430DF"/>
    <w:rsid w:val="0084350B"/>
    <w:rsid w:val="008443FB"/>
    <w:rsid w:val="00847B76"/>
    <w:rsid w:val="00850236"/>
    <w:rsid w:val="00850A59"/>
    <w:rsid w:val="00851AFE"/>
    <w:rsid w:val="00854C2A"/>
    <w:rsid w:val="0085776A"/>
    <w:rsid w:val="0085791A"/>
    <w:rsid w:val="00857AE3"/>
    <w:rsid w:val="0086374F"/>
    <w:rsid w:val="00865E7E"/>
    <w:rsid w:val="008664DC"/>
    <w:rsid w:val="0087124B"/>
    <w:rsid w:val="00872560"/>
    <w:rsid w:val="00872DA6"/>
    <w:rsid w:val="008735A4"/>
    <w:rsid w:val="008751B8"/>
    <w:rsid w:val="00880704"/>
    <w:rsid w:val="008832C3"/>
    <w:rsid w:val="0089027E"/>
    <w:rsid w:val="0089051C"/>
    <w:rsid w:val="00893EB4"/>
    <w:rsid w:val="00895354"/>
    <w:rsid w:val="00895CDF"/>
    <w:rsid w:val="00896CB1"/>
    <w:rsid w:val="008A1E6D"/>
    <w:rsid w:val="008A20AC"/>
    <w:rsid w:val="008A2936"/>
    <w:rsid w:val="008A2BE4"/>
    <w:rsid w:val="008A3C6A"/>
    <w:rsid w:val="008A7BA0"/>
    <w:rsid w:val="008B12CB"/>
    <w:rsid w:val="008B18AE"/>
    <w:rsid w:val="008B2794"/>
    <w:rsid w:val="008B2E79"/>
    <w:rsid w:val="008B5B3B"/>
    <w:rsid w:val="008B5C1E"/>
    <w:rsid w:val="008B6005"/>
    <w:rsid w:val="008B74A9"/>
    <w:rsid w:val="008B77C1"/>
    <w:rsid w:val="008B7C0A"/>
    <w:rsid w:val="008C52C5"/>
    <w:rsid w:val="008C66A2"/>
    <w:rsid w:val="008C7739"/>
    <w:rsid w:val="008D2586"/>
    <w:rsid w:val="008D289A"/>
    <w:rsid w:val="008D3007"/>
    <w:rsid w:val="008D6CBC"/>
    <w:rsid w:val="008D7189"/>
    <w:rsid w:val="008E0A4A"/>
    <w:rsid w:val="008E1523"/>
    <w:rsid w:val="008E2893"/>
    <w:rsid w:val="008E644F"/>
    <w:rsid w:val="008E6B76"/>
    <w:rsid w:val="008F2BE2"/>
    <w:rsid w:val="0090300F"/>
    <w:rsid w:val="0091072A"/>
    <w:rsid w:val="00910739"/>
    <w:rsid w:val="009143EA"/>
    <w:rsid w:val="00914B32"/>
    <w:rsid w:val="00917205"/>
    <w:rsid w:val="009201F4"/>
    <w:rsid w:val="00927104"/>
    <w:rsid w:val="0092725A"/>
    <w:rsid w:val="00930975"/>
    <w:rsid w:val="00930A74"/>
    <w:rsid w:val="00934223"/>
    <w:rsid w:val="00934980"/>
    <w:rsid w:val="00935EA0"/>
    <w:rsid w:val="00936368"/>
    <w:rsid w:val="00936EBC"/>
    <w:rsid w:val="00937479"/>
    <w:rsid w:val="009377C6"/>
    <w:rsid w:val="00941E0F"/>
    <w:rsid w:val="009420D4"/>
    <w:rsid w:val="00944436"/>
    <w:rsid w:val="00944A47"/>
    <w:rsid w:val="00947165"/>
    <w:rsid w:val="00954CBE"/>
    <w:rsid w:val="00957A2E"/>
    <w:rsid w:val="00960617"/>
    <w:rsid w:val="00960B8D"/>
    <w:rsid w:val="009621D7"/>
    <w:rsid w:val="009621F2"/>
    <w:rsid w:val="00966782"/>
    <w:rsid w:val="00966A77"/>
    <w:rsid w:val="00967B62"/>
    <w:rsid w:val="009803AC"/>
    <w:rsid w:val="00981DAF"/>
    <w:rsid w:val="0098311F"/>
    <w:rsid w:val="0098329C"/>
    <w:rsid w:val="00983C9C"/>
    <w:rsid w:val="009857FC"/>
    <w:rsid w:val="00985CA4"/>
    <w:rsid w:val="00995DDC"/>
    <w:rsid w:val="00995F04"/>
    <w:rsid w:val="009A1F5D"/>
    <w:rsid w:val="009A2BB2"/>
    <w:rsid w:val="009B0913"/>
    <w:rsid w:val="009B6ADA"/>
    <w:rsid w:val="009B70EC"/>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844"/>
    <w:rsid w:val="009E2AEB"/>
    <w:rsid w:val="009E4B4D"/>
    <w:rsid w:val="009E549B"/>
    <w:rsid w:val="009F1C2F"/>
    <w:rsid w:val="009F3508"/>
    <w:rsid w:val="009F45C7"/>
    <w:rsid w:val="009F49C2"/>
    <w:rsid w:val="009F4C3A"/>
    <w:rsid w:val="009F64B3"/>
    <w:rsid w:val="009F7536"/>
    <w:rsid w:val="009F76ED"/>
    <w:rsid w:val="00A03648"/>
    <w:rsid w:val="00A055F5"/>
    <w:rsid w:val="00A0647A"/>
    <w:rsid w:val="00A06708"/>
    <w:rsid w:val="00A07356"/>
    <w:rsid w:val="00A07E02"/>
    <w:rsid w:val="00A14BD8"/>
    <w:rsid w:val="00A15BBF"/>
    <w:rsid w:val="00A21B88"/>
    <w:rsid w:val="00A22F88"/>
    <w:rsid w:val="00A23FB7"/>
    <w:rsid w:val="00A2519A"/>
    <w:rsid w:val="00A2559C"/>
    <w:rsid w:val="00A322BC"/>
    <w:rsid w:val="00A37802"/>
    <w:rsid w:val="00A41DDB"/>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57EF0"/>
    <w:rsid w:val="00A60249"/>
    <w:rsid w:val="00A6605E"/>
    <w:rsid w:val="00A6763B"/>
    <w:rsid w:val="00A70406"/>
    <w:rsid w:val="00A71C38"/>
    <w:rsid w:val="00A74AB2"/>
    <w:rsid w:val="00A75046"/>
    <w:rsid w:val="00A7630B"/>
    <w:rsid w:val="00A8131F"/>
    <w:rsid w:val="00A81BF9"/>
    <w:rsid w:val="00A82E83"/>
    <w:rsid w:val="00A84263"/>
    <w:rsid w:val="00A84301"/>
    <w:rsid w:val="00A875F7"/>
    <w:rsid w:val="00A87868"/>
    <w:rsid w:val="00A90CB4"/>
    <w:rsid w:val="00A91D16"/>
    <w:rsid w:val="00A9217C"/>
    <w:rsid w:val="00A92CBC"/>
    <w:rsid w:val="00A95393"/>
    <w:rsid w:val="00A97504"/>
    <w:rsid w:val="00A97787"/>
    <w:rsid w:val="00A97DED"/>
    <w:rsid w:val="00AA0D59"/>
    <w:rsid w:val="00AA28AD"/>
    <w:rsid w:val="00AA4ACA"/>
    <w:rsid w:val="00AA70F7"/>
    <w:rsid w:val="00AB29F3"/>
    <w:rsid w:val="00AB2ED1"/>
    <w:rsid w:val="00AB5A74"/>
    <w:rsid w:val="00AC2CB5"/>
    <w:rsid w:val="00AC37E2"/>
    <w:rsid w:val="00AC39C3"/>
    <w:rsid w:val="00AC3A2B"/>
    <w:rsid w:val="00AC48C3"/>
    <w:rsid w:val="00AD1664"/>
    <w:rsid w:val="00AD2D09"/>
    <w:rsid w:val="00AD3913"/>
    <w:rsid w:val="00AD3A1F"/>
    <w:rsid w:val="00AD4F03"/>
    <w:rsid w:val="00AD5EFB"/>
    <w:rsid w:val="00AD6736"/>
    <w:rsid w:val="00AE0ADA"/>
    <w:rsid w:val="00AE5040"/>
    <w:rsid w:val="00AE79AB"/>
    <w:rsid w:val="00AF146A"/>
    <w:rsid w:val="00AF1CD9"/>
    <w:rsid w:val="00AF2C38"/>
    <w:rsid w:val="00AF51D0"/>
    <w:rsid w:val="00B010D8"/>
    <w:rsid w:val="00B01803"/>
    <w:rsid w:val="00B01B28"/>
    <w:rsid w:val="00B04824"/>
    <w:rsid w:val="00B04FA2"/>
    <w:rsid w:val="00B0561A"/>
    <w:rsid w:val="00B06B4E"/>
    <w:rsid w:val="00B06FDD"/>
    <w:rsid w:val="00B06FFA"/>
    <w:rsid w:val="00B0737C"/>
    <w:rsid w:val="00B10DD9"/>
    <w:rsid w:val="00B15B02"/>
    <w:rsid w:val="00B17707"/>
    <w:rsid w:val="00B20098"/>
    <w:rsid w:val="00B21827"/>
    <w:rsid w:val="00B22A54"/>
    <w:rsid w:val="00B22F49"/>
    <w:rsid w:val="00B23068"/>
    <w:rsid w:val="00B24704"/>
    <w:rsid w:val="00B257BF"/>
    <w:rsid w:val="00B274AF"/>
    <w:rsid w:val="00B321C1"/>
    <w:rsid w:val="00B337EF"/>
    <w:rsid w:val="00B34E70"/>
    <w:rsid w:val="00B354EE"/>
    <w:rsid w:val="00B40A75"/>
    <w:rsid w:val="00B41AEA"/>
    <w:rsid w:val="00B429C8"/>
    <w:rsid w:val="00B434DE"/>
    <w:rsid w:val="00B44AEE"/>
    <w:rsid w:val="00B4738D"/>
    <w:rsid w:val="00B50AE0"/>
    <w:rsid w:val="00B50C61"/>
    <w:rsid w:val="00B518BA"/>
    <w:rsid w:val="00B546E9"/>
    <w:rsid w:val="00B54927"/>
    <w:rsid w:val="00B56420"/>
    <w:rsid w:val="00B607EA"/>
    <w:rsid w:val="00B607F2"/>
    <w:rsid w:val="00B60920"/>
    <w:rsid w:val="00B612E9"/>
    <w:rsid w:val="00B62FFC"/>
    <w:rsid w:val="00B709B8"/>
    <w:rsid w:val="00B75CF9"/>
    <w:rsid w:val="00B75D3E"/>
    <w:rsid w:val="00B7612E"/>
    <w:rsid w:val="00B76F6E"/>
    <w:rsid w:val="00B82B30"/>
    <w:rsid w:val="00B857E6"/>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BF7CAE"/>
    <w:rsid w:val="00C00531"/>
    <w:rsid w:val="00C03A2E"/>
    <w:rsid w:val="00C12DB9"/>
    <w:rsid w:val="00C2113C"/>
    <w:rsid w:val="00C22CF8"/>
    <w:rsid w:val="00C23096"/>
    <w:rsid w:val="00C30AE9"/>
    <w:rsid w:val="00C332DC"/>
    <w:rsid w:val="00C368D7"/>
    <w:rsid w:val="00C412ED"/>
    <w:rsid w:val="00C4588D"/>
    <w:rsid w:val="00C47DDE"/>
    <w:rsid w:val="00C519C1"/>
    <w:rsid w:val="00C5482A"/>
    <w:rsid w:val="00C563D7"/>
    <w:rsid w:val="00C639FF"/>
    <w:rsid w:val="00C65ECB"/>
    <w:rsid w:val="00C663A2"/>
    <w:rsid w:val="00C67AA4"/>
    <w:rsid w:val="00C70801"/>
    <w:rsid w:val="00C7098F"/>
    <w:rsid w:val="00C70E06"/>
    <w:rsid w:val="00C72DFD"/>
    <w:rsid w:val="00C735DC"/>
    <w:rsid w:val="00C7394A"/>
    <w:rsid w:val="00C75BA5"/>
    <w:rsid w:val="00C7667A"/>
    <w:rsid w:val="00C77709"/>
    <w:rsid w:val="00C827B7"/>
    <w:rsid w:val="00C8368C"/>
    <w:rsid w:val="00C847EF"/>
    <w:rsid w:val="00C9018E"/>
    <w:rsid w:val="00C92E9B"/>
    <w:rsid w:val="00CA26F0"/>
    <w:rsid w:val="00CA3020"/>
    <w:rsid w:val="00CA387F"/>
    <w:rsid w:val="00CA61A0"/>
    <w:rsid w:val="00CB0536"/>
    <w:rsid w:val="00CB07A2"/>
    <w:rsid w:val="00CB4F67"/>
    <w:rsid w:val="00CB7C08"/>
    <w:rsid w:val="00CC3938"/>
    <w:rsid w:val="00CC42D8"/>
    <w:rsid w:val="00CC434F"/>
    <w:rsid w:val="00CC4E18"/>
    <w:rsid w:val="00CC527B"/>
    <w:rsid w:val="00CC7331"/>
    <w:rsid w:val="00CC7F79"/>
    <w:rsid w:val="00CD0B5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6E0"/>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1F0F"/>
    <w:rsid w:val="00D62745"/>
    <w:rsid w:val="00D640B7"/>
    <w:rsid w:val="00D64CDA"/>
    <w:rsid w:val="00D72DF7"/>
    <w:rsid w:val="00D7312A"/>
    <w:rsid w:val="00D73BB0"/>
    <w:rsid w:val="00D757A8"/>
    <w:rsid w:val="00D758A3"/>
    <w:rsid w:val="00D76B5A"/>
    <w:rsid w:val="00D76F1F"/>
    <w:rsid w:val="00D77D1A"/>
    <w:rsid w:val="00D80AB0"/>
    <w:rsid w:val="00D8146A"/>
    <w:rsid w:val="00D82BC8"/>
    <w:rsid w:val="00D82D88"/>
    <w:rsid w:val="00D82FEB"/>
    <w:rsid w:val="00D833AF"/>
    <w:rsid w:val="00D85DAC"/>
    <w:rsid w:val="00D87451"/>
    <w:rsid w:val="00D87912"/>
    <w:rsid w:val="00D87C7D"/>
    <w:rsid w:val="00D90E69"/>
    <w:rsid w:val="00D918FA"/>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058B"/>
    <w:rsid w:val="00DF1DFE"/>
    <w:rsid w:val="00DF3EF4"/>
    <w:rsid w:val="00DF4830"/>
    <w:rsid w:val="00DF64E1"/>
    <w:rsid w:val="00DF7706"/>
    <w:rsid w:val="00E024A7"/>
    <w:rsid w:val="00E03AD1"/>
    <w:rsid w:val="00E04EAD"/>
    <w:rsid w:val="00E075FF"/>
    <w:rsid w:val="00E12592"/>
    <w:rsid w:val="00E12660"/>
    <w:rsid w:val="00E17027"/>
    <w:rsid w:val="00E17E65"/>
    <w:rsid w:val="00E20604"/>
    <w:rsid w:val="00E215FF"/>
    <w:rsid w:val="00E21EB2"/>
    <w:rsid w:val="00E21FB1"/>
    <w:rsid w:val="00E2315E"/>
    <w:rsid w:val="00E2320C"/>
    <w:rsid w:val="00E23AAE"/>
    <w:rsid w:val="00E30785"/>
    <w:rsid w:val="00E36270"/>
    <w:rsid w:val="00E37136"/>
    <w:rsid w:val="00E37495"/>
    <w:rsid w:val="00E40513"/>
    <w:rsid w:val="00E40A16"/>
    <w:rsid w:val="00E44FA9"/>
    <w:rsid w:val="00E45600"/>
    <w:rsid w:val="00E47190"/>
    <w:rsid w:val="00E50A66"/>
    <w:rsid w:val="00E5236A"/>
    <w:rsid w:val="00E527C2"/>
    <w:rsid w:val="00E53003"/>
    <w:rsid w:val="00E54D9C"/>
    <w:rsid w:val="00E56A99"/>
    <w:rsid w:val="00E56F95"/>
    <w:rsid w:val="00E64E1A"/>
    <w:rsid w:val="00E64F45"/>
    <w:rsid w:val="00E71705"/>
    <w:rsid w:val="00E755CA"/>
    <w:rsid w:val="00E83556"/>
    <w:rsid w:val="00E841DD"/>
    <w:rsid w:val="00E92D69"/>
    <w:rsid w:val="00E94A79"/>
    <w:rsid w:val="00E9506C"/>
    <w:rsid w:val="00E957E2"/>
    <w:rsid w:val="00E96D4A"/>
    <w:rsid w:val="00E97FCF"/>
    <w:rsid w:val="00EA13C4"/>
    <w:rsid w:val="00EA2B57"/>
    <w:rsid w:val="00EA2CA3"/>
    <w:rsid w:val="00EA390C"/>
    <w:rsid w:val="00EA6193"/>
    <w:rsid w:val="00EB4A18"/>
    <w:rsid w:val="00EB62B8"/>
    <w:rsid w:val="00EB6910"/>
    <w:rsid w:val="00EB6DA5"/>
    <w:rsid w:val="00EB7521"/>
    <w:rsid w:val="00EB76E4"/>
    <w:rsid w:val="00EB7B1A"/>
    <w:rsid w:val="00EC3D2E"/>
    <w:rsid w:val="00EC75AA"/>
    <w:rsid w:val="00EE0A76"/>
    <w:rsid w:val="00EE3755"/>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13AC"/>
    <w:rsid w:val="00F221FE"/>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251B"/>
    <w:rsid w:val="00F72CAF"/>
    <w:rsid w:val="00F7538D"/>
    <w:rsid w:val="00F87838"/>
    <w:rsid w:val="00F92F0C"/>
    <w:rsid w:val="00F9561B"/>
    <w:rsid w:val="00F96E42"/>
    <w:rsid w:val="00FA09E3"/>
    <w:rsid w:val="00FA596D"/>
    <w:rsid w:val="00FA602E"/>
    <w:rsid w:val="00FA67A9"/>
    <w:rsid w:val="00FA7980"/>
    <w:rsid w:val="00FB2592"/>
    <w:rsid w:val="00FB5044"/>
    <w:rsid w:val="00FB5422"/>
    <w:rsid w:val="00FC049D"/>
    <w:rsid w:val="00FC074E"/>
    <w:rsid w:val="00FC2377"/>
    <w:rsid w:val="00FC43F9"/>
    <w:rsid w:val="00FC5217"/>
    <w:rsid w:val="00FD011B"/>
    <w:rsid w:val="00FD5834"/>
    <w:rsid w:val="00FD5E4A"/>
    <w:rsid w:val="00FD64D2"/>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5:docId w15:val="{FBEB3C50-DF7F-417A-A642-12091343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612f66ad-72bb-4b79-b69e-c3800ca531fd"/>
    <ds:schemaRef ds:uri="http://purl.org/dc/dcmitype/"/>
    <ds:schemaRef ds:uri="dac9a443-8d88-4550-8b1d-ec98a50d73a1"/>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Rameez Cassim (ZA)</cp:lastModifiedBy>
  <cp:revision>2</cp:revision>
  <cp:lastPrinted>2023-11-23T20:22:00Z</cp:lastPrinted>
  <dcterms:created xsi:type="dcterms:W3CDTF">2023-11-23T20:24:00Z</dcterms:created>
  <dcterms:modified xsi:type="dcterms:W3CDTF">2023-11-23T20:24:00Z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4d7e46fc-7da6-4861-b6af-2416c1fa99ae_Enabled">
    <vt:lpwstr>true</vt:lpwstr>
  </property>
  <property fmtid="{D5CDD505-2E9C-101B-9397-08002B2CF9AE}" pid="4" name="MSIP_Label_4d7e46fc-7da6-4861-b6af-2416c1fa99ae_SetDate">
    <vt:lpwstr>2023-11-23T17:09:55Z</vt:lpwstr>
  </property>
  <property fmtid="{D5CDD505-2E9C-101B-9397-08002B2CF9AE}" pid="5" name="MSIP_Label_4d7e46fc-7da6-4861-b6af-2416c1fa99ae_Method">
    <vt:lpwstr>Standard</vt:lpwstr>
  </property>
  <property fmtid="{D5CDD505-2E9C-101B-9397-08002B2CF9AE}" pid="6" name="MSIP_Label_4d7e46fc-7da6-4861-b6af-2416c1fa99ae_Name">
    <vt:lpwstr>Restricted Internal</vt:lpwstr>
  </property>
  <property fmtid="{D5CDD505-2E9C-101B-9397-08002B2CF9AE}" pid="7" name="MSIP_Label_4d7e46fc-7da6-4861-b6af-2416c1fa99ae_SiteId">
    <vt:lpwstr>5be1f46d-495f-465b-9507-996e8c8cdcb6</vt:lpwstr>
  </property>
  <property fmtid="{D5CDD505-2E9C-101B-9397-08002B2CF9AE}" pid="8" name="MSIP_Label_4d7e46fc-7da6-4861-b6af-2416c1fa99ae_ActionId">
    <vt:lpwstr>d60812bf-1615-45a6-8cec-c4e389a4d0b3</vt:lpwstr>
  </property>
  <property fmtid="{D5CDD505-2E9C-101B-9397-08002B2CF9AE}" pid="9" name="MSIP_Label_4d7e46fc-7da6-4861-b6af-2416c1fa99ae_ContentBits">
    <vt:lpwstr>0</vt:lpwstr>
  </property>
</Properties>
</file>