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7846A3" w:rsidRDefault="00806382" w:rsidP="00806382">
      <w:pPr>
        <w:pStyle w:val="ListParagraph"/>
        <w:numPr>
          <w:ilvl w:val="0"/>
          <w:numId w:val="15"/>
        </w:numPr>
        <w:ind w:left="425" w:hanging="357"/>
        <w:jc w:val="both"/>
        <w:rPr>
          <w:rFonts w:ascii="Avenir Next" w:hAnsi="Avenir Next" w:cs="Arial"/>
          <w:sz w:val="22"/>
          <w:szCs w:val="22"/>
          <w:highlight w:val="yellow"/>
        </w:rPr>
      </w:pPr>
      <w:r w:rsidRPr="007846A3">
        <w:rPr>
          <w:rFonts w:ascii="Avenir Next" w:hAnsi="Avenir Next" w:cs="Arial"/>
          <w:sz w:val="22"/>
          <w:szCs w:val="22"/>
          <w:highlight w:val="yellow"/>
        </w:rPr>
        <w:t xml:space="preserve">The statement is true and the phrase </w:t>
      </w:r>
      <w:r w:rsidR="00823AB4" w:rsidRPr="007846A3">
        <w:rPr>
          <w:rFonts w:ascii="Avenir Next" w:hAnsi="Avenir Next" w:cs="Arial"/>
          <w:sz w:val="22"/>
          <w:szCs w:val="22"/>
          <w:highlight w:val="yellow"/>
        </w:rPr>
        <w:t>“</w:t>
      </w:r>
      <w:r w:rsidRPr="007846A3">
        <w:rPr>
          <w:rFonts w:ascii="Avenir Next" w:hAnsi="Avenir Next" w:cs="Arial"/>
          <w:sz w:val="22"/>
          <w:szCs w:val="22"/>
          <w:highlight w:val="yellow"/>
        </w:rPr>
        <w:t>bankruptcy</w:t>
      </w:r>
      <w:r w:rsidR="00823AB4" w:rsidRPr="007846A3">
        <w:rPr>
          <w:rFonts w:ascii="Avenir Next" w:hAnsi="Avenir Next" w:cs="Arial"/>
          <w:sz w:val="22"/>
          <w:szCs w:val="22"/>
          <w:highlight w:val="yellow"/>
        </w:rPr>
        <w:t>”</w:t>
      </w:r>
      <w:r w:rsidRPr="007846A3">
        <w:rPr>
          <w:rFonts w:ascii="Avenir Next" w:hAnsi="Avenir Next" w:cs="Arial"/>
          <w:sz w:val="22"/>
          <w:szCs w:val="22"/>
          <w:highlight w:val="yellow"/>
        </w:rPr>
        <w:t xml:space="preserve"> is believed to have been first adopted in England in the 12</w:t>
      </w:r>
      <w:r w:rsidRPr="007846A3">
        <w:rPr>
          <w:rFonts w:ascii="Avenir Next" w:hAnsi="Avenir Next" w:cs="Arial"/>
          <w:sz w:val="22"/>
          <w:szCs w:val="22"/>
          <w:highlight w:val="yellow"/>
          <w:vertAlign w:val="superscript"/>
        </w:rPr>
        <w:t>th</w:t>
      </w:r>
      <w:r w:rsidRPr="007846A3">
        <w:rPr>
          <w:rFonts w:ascii="Avenir Next" w:hAnsi="Avenir Next" w:cs="Arial"/>
          <w:sz w:val="22"/>
          <w:szCs w:val="22"/>
          <w:highlight w:val="yellow"/>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D54D0" w:rsidRDefault="001211E6" w:rsidP="001211E6">
      <w:pPr>
        <w:pStyle w:val="ListParagraph"/>
        <w:numPr>
          <w:ilvl w:val="0"/>
          <w:numId w:val="16"/>
        </w:numPr>
        <w:ind w:left="426"/>
        <w:jc w:val="both"/>
        <w:rPr>
          <w:rFonts w:ascii="Avenir Next" w:hAnsi="Avenir Next" w:cs="Arial"/>
          <w:sz w:val="22"/>
          <w:szCs w:val="22"/>
          <w:highlight w:val="yellow"/>
        </w:rPr>
      </w:pPr>
      <w:r w:rsidRPr="007D54D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872EC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872EC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B215AB"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B215AB">
        <w:rPr>
          <w:rFonts w:ascii="Avenir Next" w:hAnsi="Avenir Next" w:cs="Arial"/>
          <w:sz w:val="22"/>
          <w:szCs w:val="22"/>
          <w:highlight w:val="yellow"/>
          <w:lang w:val="en-GB"/>
        </w:rPr>
        <w:t xml:space="preserve">This statement is incorrect since a statutory discharge of debt was only introduced in 1705 in England.    </w:t>
      </w:r>
      <w:r w:rsidRPr="00B215AB">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AC42EF" w:rsidRDefault="006514CD" w:rsidP="006514CD">
      <w:pPr>
        <w:pStyle w:val="ListParagraph"/>
        <w:numPr>
          <w:ilvl w:val="0"/>
          <w:numId w:val="19"/>
        </w:numPr>
        <w:ind w:left="425" w:hanging="357"/>
        <w:jc w:val="both"/>
        <w:rPr>
          <w:rFonts w:ascii="Avenir Next" w:hAnsi="Avenir Next" w:cs="Arial"/>
          <w:sz w:val="22"/>
          <w:szCs w:val="22"/>
          <w:highlight w:val="yellow"/>
        </w:rPr>
      </w:pPr>
      <w:r w:rsidRPr="00AC42E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CC275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C275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3E09D5" w:rsidRDefault="00AD76EF" w:rsidP="00AD76EF">
      <w:pPr>
        <w:pStyle w:val="ListParagraph"/>
        <w:numPr>
          <w:ilvl w:val="0"/>
          <w:numId w:val="17"/>
        </w:numPr>
        <w:ind w:left="426"/>
        <w:jc w:val="both"/>
        <w:rPr>
          <w:rFonts w:ascii="Avenir Next" w:hAnsi="Avenir Next" w:cs="Arial"/>
          <w:sz w:val="22"/>
          <w:szCs w:val="22"/>
          <w:highlight w:val="yellow"/>
        </w:rPr>
      </w:pPr>
      <w:r w:rsidRPr="003E09D5">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764F2"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764F2">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5B28E3" w:rsidRDefault="009661DE" w:rsidP="009661DE">
      <w:pPr>
        <w:pStyle w:val="ListParagraph"/>
        <w:numPr>
          <w:ilvl w:val="0"/>
          <w:numId w:val="23"/>
        </w:numPr>
        <w:ind w:left="426"/>
        <w:jc w:val="both"/>
        <w:rPr>
          <w:rFonts w:ascii="Avenir Next" w:hAnsi="Avenir Next" w:cs="Arial"/>
          <w:sz w:val="22"/>
          <w:szCs w:val="22"/>
          <w:highlight w:val="yellow"/>
        </w:rPr>
      </w:pPr>
      <w:r w:rsidRPr="005B28E3">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003255" w:rsidRDefault="003B3A0D" w:rsidP="003B3A0D">
      <w:pPr>
        <w:pStyle w:val="ListParagraph"/>
        <w:numPr>
          <w:ilvl w:val="0"/>
          <w:numId w:val="24"/>
        </w:numPr>
        <w:ind w:left="426"/>
        <w:jc w:val="both"/>
        <w:rPr>
          <w:rFonts w:ascii="Avenir Next" w:hAnsi="Avenir Next" w:cs="Arial"/>
          <w:sz w:val="22"/>
          <w:szCs w:val="22"/>
          <w:highlight w:val="yellow"/>
        </w:rPr>
      </w:pPr>
      <w:r w:rsidRPr="00003255">
        <w:rPr>
          <w:rFonts w:ascii="Avenir Next" w:hAnsi="Avenir Next" w:cs="Arial"/>
          <w:sz w:val="22"/>
          <w:szCs w:val="22"/>
          <w:highlight w:val="yellow"/>
        </w:rPr>
        <w:t xml:space="preserve">This statement is true because modified universalism enables a </w:t>
      </w:r>
      <w:r w:rsidRPr="00003255">
        <w:rPr>
          <w:rFonts w:ascii="Avenir Next" w:hAnsi="Avenir Next"/>
          <w:sz w:val="22"/>
          <w:szCs w:val="22"/>
          <w:highlight w:val="yellow"/>
        </w:rPr>
        <w:t xml:space="preserve">“main proceeding” to be opened in the State where the </w:t>
      </w:r>
      <w:r w:rsidR="004A2B2C" w:rsidRPr="00003255">
        <w:rPr>
          <w:rFonts w:ascii="Avenir Next" w:hAnsi="Avenir Next"/>
          <w:sz w:val="22"/>
          <w:szCs w:val="22"/>
          <w:highlight w:val="yellow"/>
        </w:rPr>
        <w:t>centre</w:t>
      </w:r>
      <w:r w:rsidRPr="00003255">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9AA7054" w14:textId="707107E8" w:rsidR="008400D6" w:rsidRDefault="00CC2B46" w:rsidP="00CC2B46">
      <w:pPr>
        <w:jc w:val="both"/>
        <w:rPr>
          <w:rFonts w:ascii="Avenir Next" w:hAnsi="Avenir Next" w:cs="Arial"/>
          <w:sz w:val="22"/>
          <w:szCs w:val="22"/>
          <w:highlight w:val="yellow"/>
        </w:rPr>
      </w:pPr>
      <w:r>
        <w:rPr>
          <w:rFonts w:ascii="Avenir Next" w:hAnsi="Avenir Next" w:cs="Arial"/>
          <w:sz w:val="22"/>
          <w:szCs w:val="22"/>
          <w:highlight w:val="yellow"/>
        </w:rPr>
        <w:t>Comparison as follows:</w:t>
      </w:r>
    </w:p>
    <w:tbl>
      <w:tblPr>
        <w:tblStyle w:val="TableGrid"/>
        <w:tblW w:w="0" w:type="auto"/>
        <w:tblInd w:w="720" w:type="dxa"/>
        <w:tblLook w:val="04A0" w:firstRow="1" w:lastRow="0" w:firstColumn="1" w:lastColumn="0" w:noHBand="0" w:noVBand="1"/>
      </w:tblPr>
      <w:tblGrid>
        <w:gridCol w:w="2748"/>
        <w:gridCol w:w="2761"/>
        <w:gridCol w:w="2787"/>
      </w:tblGrid>
      <w:tr w:rsidR="00132E29" w14:paraId="24E6295F" w14:textId="77777777" w:rsidTr="008400D6">
        <w:tc>
          <w:tcPr>
            <w:tcW w:w="3005" w:type="dxa"/>
          </w:tcPr>
          <w:p w14:paraId="790F3087" w14:textId="369507F0" w:rsidR="008400D6" w:rsidRDefault="00A02E92" w:rsidP="00692852">
            <w:pPr>
              <w:jc w:val="both"/>
              <w:rPr>
                <w:rFonts w:ascii="Avenir Next" w:hAnsi="Avenir Next" w:cs="Arial"/>
                <w:sz w:val="22"/>
                <w:szCs w:val="22"/>
                <w:highlight w:val="yellow"/>
              </w:rPr>
            </w:pPr>
            <w:r>
              <w:rPr>
                <w:rFonts w:ascii="Avenir Next" w:hAnsi="Avenir Next" w:cs="Arial"/>
                <w:sz w:val="22"/>
                <w:szCs w:val="22"/>
                <w:highlight w:val="yellow"/>
              </w:rPr>
              <w:t>Countries whose insolvency law systems have historical roots in</w:t>
            </w:r>
            <w:r w:rsidR="00E17DEF">
              <w:rPr>
                <w:rFonts w:ascii="Avenir Next" w:hAnsi="Avenir Next" w:cs="Arial"/>
                <w:sz w:val="22"/>
                <w:szCs w:val="22"/>
                <w:highlight w:val="yellow"/>
              </w:rPr>
              <w:t>..</w:t>
            </w:r>
          </w:p>
        </w:tc>
        <w:tc>
          <w:tcPr>
            <w:tcW w:w="3005" w:type="dxa"/>
          </w:tcPr>
          <w:p w14:paraId="56C59B49" w14:textId="46FCC90A" w:rsidR="008400D6" w:rsidRDefault="00E17DEF" w:rsidP="00692852">
            <w:pPr>
              <w:jc w:val="both"/>
              <w:rPr>
                <w:rFonts w:ascii="Avenir Next" w:hAnsi="Avenir Next" w:cs="Arial"/>
                <w:sz w:val="22"/>
                <w:szCs w:val="22"/>
                <w:highlight w:val="yellow"/>
              </w:rPr>
            </w:pPr>
            <w:r>
              <w:rPr>
                <w:rFonts w:ascii="Avenir Next" w:hAnsi="Avenir Next" w:cs="Arial"/>
                <w:sz w:val="22"/>
                <w:szCs w:val="22"/>
                <w:highlight w:val="yellow"/>
              </w:rPr>
              <w:t>Civil Law</w:t>
            </w:r>
          </w:p>
        </w:tc>
        <w:tc>
          <w:tcPr>
            <w:tcW w:w="3006" w:type="dxa"/>
          </w:tcPr>
          <w:p w14:paraId="75E31D40" w14:textId="5C7E4AD8" w:rsidR="008400D6" w:rsidRDefault="00E17DEF" w:rsidP="00692852">
            <w:pPr>
              <w:jc w:val="both"/>
              <w:rPr>
                <w:rFonts w:ascii="Avenir Next" w:hAnsi="Avenir Next" w:cs="Arial"/>
                <w:sz w:val="22"/>
                <w:szCs w:val="22"/>
                <w:highlight w:val="yellow"/>
              </w:rPr>
            </w:pPr>
            <w:r>
              <w:rPr>
                <w:rFonts w:ascii="Avenir Next" w:hAnsi="Avenir Next" w:cs="Arial"/>
                <w:sz w:val="22"/>
                <w:szCs w:val="22"/>
                <w:highlight w:val="yellow"/>
              </w:rPr>
              <w:t>English Law</w:t>
            </w:r>
          </w:p>
        </w:tc>
      </w:tr>
      <w:tr w:rsidR="00132E29" w14:paraId="1B2036CB" w14:textId="77777777" w:rsidTr="008400D6">
        <w:tc>
          <w:tcPr>
            <w:tcW w:w="3005" w:type="dxa"/>
          </w:tcPr>
          <w:p w14:paraId="2CCDE493" w14:textId="1B9194D9" w:rsidR="008400D6" w:rsidRDefault="00E51B74" w:rsidP="00692852">
            <w:pPr>
              <w:jc w:val="both"/>
              <w:rPr>
                <w:rFonts w:ascii="Avenir Next" w:hAnsi="Avenir Next" w:cs="Arial"/>
                <w:sz w:val="22"/>
                <w:szCs w:val="22"/>
                <w:highlight w:val="yellow"/>
              </w:rPr>
            </w:pPr>
            <w:r>
              <w:rPr>
                <w:rFonts w:ascii="Avenir Next" w:hAnsi="Avenir Next" w:cs="Arial"/>
                <w:sz w:val="22"/>
                <w:szCs w:val="22"/>
                <w:highlight w:val="yellow"/>
              </w:rPr>
              <w:t>Law &amp; regulations</w:t>
            </w:r>
          </w:p>
        </w:tc>
        <w:tc>
          <w:tcPr>
            <w:tcW w:w="3005" w:type="dxa"/>
          </w:tcPr>
          <w:p w14:paraId="71C6A4AE" w14:textId="7656A2B6" w:rsidR="008400D6" w:rsidRDefault="00D6719B" w:rsidP="00692852">
            <w:pPr>
              <w:jc w:val="both"/>
              <w:rPr>
                <w:rFonts w:ascii="Avenir Next" w:hAnsi="Avenir Next" w:cs="Arial"/>
                <w:sz w:val="22"/>
                <w:szCs w:val="22"/>
                <w:highlight w:val="yellow"/>
              </w:rPr>
            </w:pPr>
            <w:r>
              <w:rPr>
                <w:rFonts w:ascii="Avenir Next" w:hAnsi="Avenir Next" w:cs="Arial"/>
                <w:sz w:val="22"/>
                <w:szCs w:val="22"/>
                <w:highlight w:val="yellow"/>
              </w:rPr>
              <w:t xml:space="preserve">Jurisdictions adopting Civil Law </w:t>
            </w:r>
            <w:r w:rsidR="003B01BC">
              <w:rPr>
                <w:rFonts w:ascii="Avenir Next" w:hAnsi="Avenir Next" w:cs="Arial"/>
                <w:sz w:val="22"/>
                <w:szCs w:val="22"/>
                <w:highlight w:val="yellow"/>
              </w:rPr>
              <w:t xml:space="preserve">tend to </w:t>
            </w:r>
            <w:r w:rsidR="009C55FE">
              <w:rPr>
                <w:rFonts w:ascii="Avenir Next" w:hAnsi="Avenir Next" w:cs="Arial"/>
                <w:sz w:val="22"/>
                <w:szCs w:val="22"/>
                <w:highlight w:val="yellow"/>
              </w:rPr>
              <w:t>have</w:t>
            </w:r>
            <w:r w:rsidR="003B01BC">
              <w:rPr>
                <w:rFonts w:ascii="Avenir Next" w:hAnsi="Avenir Next" w:cs="Arial"/>
                <w:sz w:val="22"/>
                <w:szCs w:val="22"/>
                <w:highlight w:val="yellow"/>
              </w:rPr>
              <w:t xml:space="preserve"> more </w:t>
            </w:r>
            <w:r w:rsidR="009C55FE">
              <w:rPr>
                <w:rFonts w:ascii="Avenir Next" w:hAnsi="Avenir Next" w:cs="Arial"/>
                <w:sz w:val="22"/>
                <w:szCs w:val="22"/>
                <w:highlight w:val="yellow"/>
              </w:rPr>
              <w:t xml:space="preserve">prescriptive insolvency laws which offer more detailed and </w:t>
            </w:r>
            <w:r w:rsidR="00316D6A">
              <w:rPr>
                <w:rFonts w:ascii="Avenir Next" w:hAnsi="Avenir Next" w:cs="Arial"/>
                <w:sz w:val="22"/>
                <w:szCs w:val="22"/>
                <w:highlight w:val="yellow"/>
              </w:rPr>
              <w:t>specific rules and procedures.</w:t>
            </w:r>
          </w:p>
        </w:tc>
        <w:tc>
          <w:tcPr>
            <w:tcW w:w="3006" w:type="dxa"/>
          </w:tcPr>
          <w:p w14:paraId="6CA899C6" w14:textId="5ABB364B" w:rsidR="008400D6" w:rsidRDefault="00185F52" w:rsidP="00692852">
            <w:pPr>
              <w:jc w:val="both"/>
              <w:rPr>
                <w:rFonts w:ascii="Avenir Next" w:hAnsi="Avenir Next" w:cs="Arial"/>
                <w:sz w:val="22"/>
                <w:szCs w:val="22"/>
                <w:highlight w:val="yellow"/>
              </w:rPr>
            </w:pPr>
            <w:r>
              <w:rPr>
                <w:rFonts w:ascii="Avenir Next" w:hAnsi="Avenir Next" w:cs="Arial"/>
                <w:sz w:val="22"/>
                <w:szCs w:val="22"/>
                <w:highlight w:val="yellow"/>
              </w:rPr>
              <w:t xml:space="preserve">Jurisdictions adopting </w:t>
            </w:r>
            <w:r w:rsidR="00D6719B">
              <w:rPr>
                <w:rFonts w:ascii="Avenir Next" w:hAnsi="Avenir Next" w:cs="Arial"/>
                <w:sz w:val="22"/>
                <w:szCs w:val="22"/>
                <w:highlight w:val="yellow"/>
              </w:rPr>
              <w:t xml:space="preserve">English </w:t>
            </w:r>
            <w:r>
              <w:rPr>
                <w:rFonts w:ascii="Avenir Next" w:hAnsi="Avenir Next" w:cs="Arial"/>
                <w:sz w:val="22"/>
                <w:szCs w:val="22"/>
                <w:highlight w:val="yellow"/>
              </w:rPr>
              <w:t xml:space="preserve">Common Law </w:t>
            </w:r>
            <w:r w:rsidR="001107F0">
              <w:rPr>
                <w:rFonts w:ascii="Avenir Next" w:hAnsi="Avenir Next" w:cs="Arial"/>
                <w:sz w:val="22"/>
                <w:szCs w:val="22"/>
                <w:highlight w:val="yellow"/>
              </w:rPr>
              <w:t xml:space="preserve">tend to have insolvency laws </w:t>
            </w:r>
            <w:r w:rsidR="001716B9">
              <w:rPr>
                <w:rFonts w:ascii="Avenir Next" w:hAnsi="Avenir Next" w:cs="Arial"/>
                <w:sz w:val="22"/>
                <w:szCs w:val="22"/>
                <w:highlight w:val="yellow"/>
              </w:rPr>
              <w:t>with more f</w:t>
            </w:r>
            <w:r w:rsidR="001107F0">
              <w:rPr>
                <w:rFonts w:ascii="Avenir Next" w:hAnsi="Avenir Next" w:cs="Arial"/>
                <w:sz w:val="22"/>
                <w:szCs w:val="22"/>
                <w:highlight w:val="yellow"/>
              </w:rPr>
              <w:t>lexibility</w:t>
            </w:r>
            <w:r w:rsidR="00025DBA">
              <w:rPr>
                <w:rFonts w:ascii="Avenir Next" w:hAnsi="Avenir Next" w:cs="Arial"/>
                <w:sz w:val="22"/>
                <w:szCs w:val="22"/>
                <w:highlight w:val="yellow"/>
              </w:rPr>
              <w:t>. This allows</w:t>
            </w:r>
            <w:r w:rsidR="00132E29">
              <w:rPr>
                <w:rFonts w:ascii="Avenir Next" w:hAnsi="Avenir Next" w:cs="Arial"/>
                <w:sz w:val="22"/>
                <w:szCs w:val="22"/>
                <w:highlight w:val="yellow"/>
              </w:rPr>
              <w:t xml:space="preserve"> for development and adaptability </w:t>
            </w:r>
            <w:r w:rsidR="001902A0">
              <w:rPr>
                <w:rFonts w:ascii="Avenir Next" w:hAnsi="Avenir Next" w:cs="Arial"/>
                <w:sz w:val="22"/>
                <w:szCs w:val="22"/>
                <w:highlight w:val="yellow"/>
              </w:rPr>
              <w:t>as the case and economy develops.</w:t>
            </w:r>
          </w:p>
        </w:tc>
      </w:tr>
      <w:tr w:rsidR="00132E29" w14:paraId="15B660BD" w14:textId="77777777" w:rsidTr="008400D6">
        <w:tc>
          <w:tcPr>
            <w:tcW w:w="3005" w:type="dxa"/>
          </w:tcPr>
          <w:p w14:paraId="3DE2D8F2" w14:textId="009C3B65" w:rsidR="008400D6" w:rsidRDefault="00657BD6" w:rsidP="00692852">
            <w:pPr>
              <w:jc w:val="both"/>
              <w:rPr>
                <w:rFonts w:ascii="Avenir Next" w:hAnsi="Avenir Next" w:cs="Arial"/>
                <w:sz w:val="22"/>
                <w:szCs w:val="22"/>
                <w:highlight w:val="yellow"/>
              </w:rPr>
            </w:pPr>
            <w:r>
              <w:rPr>
                <w:rFonts w:ascii="Avenir Next" w:hAnsi="Avenir Next" w:cs="Arial"/>
                <w:sz w:val="22"/>
                <w:szCs w:val="22"/>
                <w:highlight w:val="yellow"/>
              </w:rPr>
              <w:t>Pro-Creditor or Pro-Debtor</w:t>
            </w:r>
          </w:p>
        </w:tc>
        <w:tc>
          <w:tcPr>
            <w:tcW w:w="3005" w:type="dxa"/>
          </w:tcPr>
          <w:p w14:paraId="42A99587" w14:textId="7D108832" w:rsidR="008400D6" w:rsidRDefault="00274276" w:rsidP="00692852">
            <w:pPr>
              <w:jc w:val="both"/>
              <w:rPr>
                <w:rFonts w:ascii="Avenir Next" w:hAnsi="Avenir Next" w:cs="Arial"/>
                <w:sz w:val="22"/>
                <w:szCs w:val="22"/>
                <w:highlight w:val="yellow"/>
              </w:rPr>
            </w:pPr>
            <w:r>
              <w:rPr>
                <w:rFonts w:ascii="Avenir Next" w:hAnsi="Avenir Next" w:cs="Arial"/>
                <w:sz w:val="22"/>
                <w:szCs w:val="22"/>
                <w:highlight w:val="yellow"/>
              </w:rPr>
              <w:t>The system is likely to b</w:t>
            </w:r>
            <w:r w:rsidR="00F722D2">
              <w:rPr>
                <w:rFonts w:ascii="Avenir Next" w:hAnsi="Avenir Next" w:cs="Arial"/>
                <w:sz w:val="22"/>
                <w:szCs w:val="22"/>
                <w:highlight w:val="yellow"/>
              </w:rPr>
              <w:t xml:space="preserve">e pro-creditor, placing emphasis on the interest of the </w:t>
            </w:r>
            <w:r w:rsidR="001C61BC">
              <w:rPr>
                <w:rFonts w:ascii="Avenir Next" w:hAnsi="Avenir Next" w:cs="Arial"/>
                <w:sz w:val="22"/>
                <w:szCs w:val="22"/>
                <w:highlight w:val="yellow"/>
              </w:rPr>
              <w:t>creditors</w:t>
            </w:r>
          </w:p>
        </w:tc>
        <w:tc>
          <w:tcPr>
            <w:tcW w:w="3006" w:type="dxa"/>
          </w:tcPr>
          <w:p w14:paraId="7EDA3F2B" w14:textId="29685F62" w:rsidR="008400D6" w:rsidRDefault="001C61BC" w:rsidP="00692852">
            <w:pPr>
              <w:jc w:val="both"/>
              <w:rPr>
                <w:rFonts w:ascii="Avenir Next" w:hAnsi="Avenir Next" w:cs="Arial"/>
                <w:sz w:val="22"/>
                <w:szCs w:val="22"/>
                <w:highlight w:val="yellow"/>
              </w:rPr>
            </w:pPr>
            <w:r>
              <w:rPr>
                <w:rFonts w:ascii="Avenir Next" w:hAnsi="Avenir Next" w:cs="Arial"/>
                <w:sz w:val="22"/>
                <w:szCs w:val="22"/>
                <w:highlight w:val="yellow"/>
              </w:rPr>
              <w:t xml:space="preserve">The system </w:t>
            </w:r>
            <w:r w:rsidR="00C4757B">
              <w:rPr>
                <w:rFonts w:ascii="Avenir Next" w:hAnsi="Avenir Next" w:cs="Arial"/>
                <w:sz w:val="22"/>
                <w:szCs w:val="22"/>
                <w:highlight w:val="yellow"/>
              </w:rPr>
              <w:t xml:space="preserve">recognizes the </w:t>
            </w:r>
            <w:r w:rsidR="008B11AF">
              <w:rPr>
                <w:rFonts w:ascii="Avenir Next" w:hAnsi="Avenir Next" w:cs="Arial"/>
                <w:sz w:val="22"/>
                <w:szCs w:val="22"/>
                <w:highlight w:val="yellow"/>
              </w:rPr>
              <w:t>rights of debtor and balance it</w:t>
            </w:r>
            <w:r w:rsidR="00DC1EAB">
              <w:rPr>
                <w:rFonts w:ascii="Avenir Next" w:hAnsi="Avenir Next" w:cs="Arial"/>
                <w:sz w:val="22"/>
                <w:szCs w:val="22"/>
                <w:highlight w:val="yellow"/>
              </w:rPr>
              <w:t xml:space="preserve"> with the rights of the creditors. This allows for flexibility by allowing negotiation </w:t>
            </w:r>
            <w:r w:rsidR="005770D6">
              <w:rPr>
                <w:rFonts w:ascii="Avenir Next" w:hAnsi="Avenir Next" w:cs="Arial"/>
                <w:sz w:val="22"/>
                <w:szCs w:val="22"/>
                <w:highlight w:val="yellow"/>
              </w:rPr>
              <w:t>between the parties in the insolvency proceeding.</w:t>
            </w:r>
          </w:p>
        </w:tc>
      </w:tr>
      <w:tr w:rsidR="00132E29" w14:paraId="26AED80A" w14:textId="77777777" w:rsidTr="008400D6">
        <w:tc>
          <w:tcPr>
            <w:tcW w:w="3005" w:type="dxa"/>
          </w:tcPr>
          <w:p w14:paraId="10A9FFEA" w14:textId="136EA527" w:rsidR="008400D6" w:rsidRDefault="004208BB" w:rsidP="00692852">
            <w:pPr>
              <w:jc w:val="both"/>
              <w:rPr>
                <w:rFonts w:ascii="Avenir Next" w:hAnsi="Avenir Next" w:cs="Arial"/>
                <w:sz w:val="22"/>
                <w:szCs w:val="22"/>
                <w:highlight w:val="yellow"/>
              </w:rPr>
            </w:pPr>
            <w:r>
              <w:rPr>
                <w:rFonts w:ascii="Avenir Next" w:hAnsi="Avenir Next" w:cs="Arial"/>
                <w:sz w:val="22"/>
                <w:szCs w:val="22"/>
                <w:highlight w:val="yellow"/>
              </w:rPr>
              <w:t>Court Discretion</w:t>
            </w:r>
          </w:p>
        </w:tc>
        <w:tc>
          <w:tcPr>
            <w:tcW w:w="3005" w:type="dxa"/>
          </w:tcPr>
          <w:p w14:paraId="64CB71E6" w14:textId="69B3CB9D" w:rsidR="008400D6" w:rsidRDefault="004208BB" w:rsidP="00692852">
            <w:pPr>
              <w:jc w:val="both"/>
              <w:rPr>
                <w:rFonts w:ascii="Avenir Next" w:hAnsi="Avenir Next" w:cs="Arial"/>
                <w:sz w:val="22"/>
                <w:szCs w:val="22"/>
                <w:highlight w:val="yellow"/>
              </w:rPr>
            </w:pPr>
            <w:r>
              <w:rPr>
                <w:rFonts w:ascii="Avenir Next" w:hAnsi="Avenir Next" w:cs="Arial"/>
                <w:sz w:val="22"/>
                <w:szCs w:val="22"/>
                <w:highlight w:val="yellow"/>
              </w:rPr>
              <w:t>Due to the prescriptive ru</w:t>
            </w:r>
            <w:r w:rsidR="008B1F79">
              <w:rPr>
                <w:rFonts w:ascii="Avenir Next" w:hAnsi="Avenir Next" w:cs="Arial"/>
                <w:sz w:val="22"/>
                <w:szCs w:val="22"/>
                <w:highlight w:val="yellow"/>
              </w:rPr>
              <w:t xml:space="preserve">les nature of Civil Law, the court discretion </w:t>
            </w:r>
            <w:r w:rsidR="00BC195B">
              <w:rPr>
                <w:rFonts w:ascii="Avenir Next" w:hAnsi="Avenir Next" w:cs="Arial"/>
                <w:sz w:val="22"/>
                <w:szCs w:val="22"/>
                <w:highlight w:val="yellow"/>
              </w:rPr>
              <w:t>may be more limited as compared to the English Law</w:t>
            </w:r>
            <w:r>
              <w:rPr>
                <w:rFonts w:ascii="Avenir Next" w:hAnsi="Avenir Next" w:cs="Arial"/>
                <w:sz w:val="22"/>
                <w:szCs w:val="22"/>
                <w:highlight w:val="yellow"/>
              </w:rPr>
              <w:t xml:space="preserve"> </w:t>
            </w:r>
          </w:p>
        </w:tc>
        <w:tc>
          <w:tcPr>
            <w:tcW w:w="3006" w:type="dxa"/>
          </w:tcPr>
          <w:p w14:paraId="6BDD5FBD" w14:textId="45AC82DC" w:rsidR="008400D6" w:rsidRDefault="00AC29F7" w:rsidP="00692852">
            <w:pPr>
              <w:jc w:val="both"/>
              <w:rPr>
                <w:rFonts w:ascii="Avenir Next" w:hAnsi="Avenir Next" w:cs="Arial"/>
                <w:sz w:val="22"/>
                <w:szCs w:val="22"/>
                <w:highlight w:val="yellow"/>
              </w:rPr>
            </w:pPr>
            <w:r>
              <w:rPr>
                <w:rFonts w:ascii="Avenir Next" w:hAnsi="Avenir Next" w:cs="Arial"/>
                <w:sz w:val="22"/>
                <w:szCs w:val="22"/>
                <w:highlight w:val="yellow"/>
              </w:rPr>
              <w:t>Due to the flexibilities offered within the English Law, this require</w:t>
            </w:r>
            <w:r w:rsidR="009162E1">
              <w:rPr>
                <w:rFonts w:ascii="Avenir Next" w:hAnsi="Avenir Next" w:cs="Arial"/>
                <w:sz w:val="22"/>
                <w:szCs w:val="22"/>
                <w:highlight w:val="yellow"/>
              </w:rPr>
              <w:t>s</w:t>
            </w:r>
            <w:r>
              <w:rPr>
                <w:rFonts w:ascii="Avenir Next" w:hAnsi="Avenir Next" w:cs="Arial"/>
                <w:sz w:val="22"/>
                <w:szCs w:val="22"/>
                <w:highlight w:val="yellow"/>
              </w:rPr>
              <w:t xml:space="preserve"> </w:t>
            </w:r>
            <w:r w:rsidR="009162E1">
              <w:rPr>
                <w:rFonts w:ascii="Avenir Next" w:hAnsi="Avenir Next" w:cs="Arial"/>
                <w:sz w:val="22"/>
                <w:szCs w:val="22"/>
                <w:highlight w:val="yellow"/>
              </w:rPr>
              <w:t xml:space="preserve">greater discretion by the court by considering </w:t>
            </w:r>
            <w:r w:rsidR="00A75F0A">
              <w:rPr>
                <w:rFonts w:ascii="Avenir Next" w:hAnsi="Avenir Next" w:cs="Arial"/>
                <w:sz w:val="22"/>
                <w:szCs w:val="22"/>
                <w:highlight w:val="yellow"/>
              </w:rPr>
              <w:t>the bigger picture with the ongoing economic circumstances</w:t>
            </w:r>
          </w:p>
        </w:tc>
      </w:tr>
    </w:tbl>
    <w:p w14:paraId="0FDFB9FF" w14:textId="57D7BBB8" w:rsidR="00604F95" w:rsidRDefault="00604F95" w:rsidP="00CC2B46">
      <w:pPr>
        <w:jc w:val="both"/>
        <w:rPr>
          <w:rFonts w:ascii="Avenir Next" w:hAnsi="Avenir Next" w:cs="Arial"/>
          <w:sz w:val="22"/>
          <w:szCs w:val="22"/>
        </w:rPr>
      </w:pPr>
    </w:p>
    <w:p w14:paraId="1EBDC9DD" w14:textId="77777777" w:rsidR="00604F95" w:rsidRDefault="00604F95"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5D68411" w14:textId="536249A4" w:rsidR="00CC2B46" w:rsidRDefault="00CC2B46" w:rsidP="00CC2B46">
      <w:pPr>
        <w:jc w:val="both"/>
        <w:rPr>
          <w:rFonts w:ascii="Avenir Next" w:hAnsi="Avenir Next" w:cs="Arial"/>
          <w:sz w:val="22"/>
          <w:szCs w:val="22"/>
          <w:highlight w:val="yellow"/>
        </w:rPr>
      </w:pPr>
      <w:r>
        <w:rPr>
          <w:rFonts w:ascii="Avenir Next" w:hAnsi="Avenir Next" w:cs="Arial"/>
          <w:sz w:val="22"/>
          <w:szCs w:val="22"/>
          <w:highlight w:val="yellow"/>
        </w:rPr>
        <w:t>Difference</w:t>
      </w:r>
      <w:r w:rsidR="004D05BA">
        <w:rPr>
          <w:rFonts w:ascii="Avenir Next" w:hAnsi="Avenir Next" w:cs="Arial"/>
          <w:sz w:val="22"/>
          <w:szCs w:val="22"/>
          <w:highlight w:val="yellow"/>
        </w:rPr>
        <w:t>s</w:t>
      </w:r>
      <w:r>
        <w:rPr>
          <w:rFonts w:ascii="Avenir Next" w:hAnsi="Avenir Next" w:cs="Arial"/>
          <w:sz w:val="22"/>
          <w:szCs w:val="22"/>
          <w:highlight w:val="yellow"/>
        </w:rPr>
        <w:t xml:space="preserve"> as follows:</w:t>
      </w:r>
    </w:p>
    <w:p w14:paraId="2095786C" w14:textId="6FFCFF36" w:rsidR="005E7F47" w:rsidRDefault="005E7F47" w:rsidP="00CC2B46">
      <w:pPr>
        <w:jc w:val="both"/>
        <w:rPr>
          <w:rFonts w:ascii="Avenir Next" w:hAnsi="Avenir Next" w:cs="Arial"/>
          <w:sz w:val="22"/>
          <w:szCs w:val="22"/>
          <w:highlight w:val="yellow"/>
        </w:rPr>
      </w:pPr>
    </w:p>
    <w:tbl>
      <w:tblPr>
        <w:tblStyle w:val="TableGrid"/>
        <w:tblW w:w="0" w:type="auto"/>
        <w:tblInd w:w="720" w:type="dxa"/>
        <w:tblLook w:val="04A0" w:firstRow="1" w:lastRow="0" w:firstColumn="1" w:lastColumn="0" w:noHBand="0" w:noVBand="1"/>
      </w:tblPr>
      <w:tblGrid>
        <w:gridCol w:w="1726"/>
        <w:gridCol w:w="2130"/>
        <w:gridCol w:w="2177"/>
        <w:gridCol w:w="2263"/>
      </w:tblGrid>
      <w:tr w:rsidR="005E7F47" w14:paraId="166F003D" w14:textId="77777777" w:rsidTr="005E7F47">
        <w:tc>
          <w:tcPr>
            <w:tcW w:w="1726" w:type="dxa"/>
          </w:tcPr>
          <w:p w14:paraId="4E9B0E60" w14:textId="77777777" w:rsidR="005E7F47" w:rsidRPr="00A6439F" w:rsidRDefault="005E7F47" w:rsidP="003713DC">
            <w:pPr>
              <w:jc w:val="both"/>
              <w:rPr>
                <w:rFonts w:ascii="Avenir Next" w:hAnsi="Avenir Next" w:cs="Arial"/>
                <w:sz w:val="22"/>
                <w:szCs w:val="22"/>
                <w:highlight w:val="yellow"/>
              </w:rPr>
            </w:pPr>
          </w:p>
        </w:tc>
        <w:tc>
          <w:tcPr>
            <w:tcW w:w="2130" w:type="dxa"/>
          </w:tcPr>
          <w:p w14:paraId="213997EF" w14:textId="7E92A2A3"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Universalism</w:t>
            </w:r>
          </w:p>
        </w:tc>
        <w:tc>
          <w:tcPr>
            <w:tcW w:w="2177" w:type="dxa"/>
          </w:tcPr>
          <w:p w14:paraId="3986775A" w14:textId="510FF167"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Modified Universalism</w:t>
            </w:r>
          </w:p>
        </w:tc>
        <w:tc>
          <w:tcPr>
            <w:tcW w:w="2263" w:type="dxa"/>
          </w:tcPr>
          <w:p w14:paraId="769D9521" w14:textId="2500FEFB"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Territorialism</w:t>
            </w:r>
          </w:p>
        </w:tc>
      </w:tr>
      <w:tr w:rsidR="005E7F47" w14:paraId="31FF78C1" w14:textId="77777777" w:rsidTr="005E7F47">
        <w:tc>
          <w:tcPr>
            <w:tcW w:w="1726" w:type="dxa"/>
          </w:tcPr>
          <w:p w14:paraId="238D16B2" w14:textId="30003165" w:rsidR="005E7F47" w:rsidRPr="00A6439F" w:rsidRDefault="00A6439F" w:rsidP="003713DC">
            <w:pPr>
              <w:jc w:val="both"/>
              <w:rPr>
                <w:rFonts w:ascii="Avenir Next" w:hAnsi="Avenir Next" w:cs="Arial"/>
                <w:sz w:val="22"/>
                <w:szCs w:val="22"/>
                <w:highlight w:val="yellow"/>
              </w:rPr>
            </w:pPr>
            <w:r w:rsidRPr="00A6439F">
              <w:rPr>
                <w:rFonts w:ascii="Avenir Next" w:hAnsi="Avenir Next" w:cs="Arial"/>
                <w:sz w:val="22"/>
                <w:szCs w:val="22"/>
                <w:highlight w:val="yellow"/>
              </w:rPr>
              <w:t>Principle &amp; Approach</w:t>
            </w:r>
          </w:p>
        </w:tc>
        <w:tc>
          <w:tcPr>
            <w:tcW w:w="2130" w:type="dxa"/>
          </w:tcPr>
          <w:p w14:paraId="3B68D158" w14:textId="6E402E2D"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The principle of universalism emphasizes a global or universal approach to the resolution of cross-border insolvency cases.</w:t>
            </w:r>
          </w:p>
        </w:tc>
        <w:tc>
          <w:tcPr>
            <w:tcW w:w="2177" w:type="dxa"/>
          </w:tcPr>
          <w:p w14:paraId="3F33E4C0" w14:textId="3D5A4EEC"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Modified universalism represents a more flexible approach that acknowledges the need for coordination among different jurisdictions but allows for certain localized or ancillary proceedings.</w:t>
            </w:r>
          </w:p>
        </w:tc>
        <w:tc>
          <w:tcPr>
            <w:tcW w:w="2263" w:type="dxa"/>
          </w:tcPr>
          <w:p w14:paraId="44DB740A" w14:textId="0AFAEF89"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Territorialism, in contrast to universalism, emphasizes the importance of each jurisdiction dealing independently with insolvency matters based on the location of the debtor's assets.</w:t>
            </w:r>
          </w:p>
        </w:tc>
      </w:tr>
      <w:tr w:rsidR="005E7F47" w14:paraId="5F706D3C" w14:textId="77777777" w:rsidTr="005E7F47">
        <w:tc>
          <w:tcPr>
            <w:tcW w:w="1726" w:type="dxa"/>
          </w:tcPr>
          <w:p w14:paraId="50701C8C" w14:textId="77777777" w:rsidR="005E7F47" w:rsidRPr="00A6439F" w:rsidRDefault="005E7F47" w:rsidP="003713DC">
            <w:pPr>
              <w:jc w:val="both"/>
              <w:rPr>
                <w:rFonts w:ascii="Avenir Next" w:hAnsi="Avenir Next" w:cs="Arial"/>
                <w:sz w:val="22"/>
                <w:szCs w:val="22"/>
                <w:highlight w:val="yellow"/>
              </w:rPr>
            </w:pPr>
          </w:p>
        </w:tc>
        <w:tc>
          <w:tcPr>
            <w:tcW w:w="2130" w:type="dxa"/>
          </w:tcPr>
          <w:p w14:paraId="30C844C7" w14:textId="52EBC912"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Under universalism, there is a preference for a single, main insolvency proceeding that applies universally to the entire debtor's estate, regardless of its location.</w:t>
            </w:r>
          </w:p>
        </w:tc>
        <w:tc>
          <w:tcPr>
            <w:tcW w:w="2177" w:type="dxa"/>
          </w:tcPr>
          <w:p w14:paraId="0E0356C5" w14:textId="04DE8B8E"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It recognizes a "main proceeding" in the state where the debtor's center of main interests (COMI) is located, supported by secondary or ancillary proceedings in other states where the debtor has assets.</w:t>
            </w:r>
          </w:p>
        </w:tc>
        <w:tc>
          <w:tcPr>
            <w:tcW w:w="2263" w:type="dxa"/>
          </w:tcPr>
          <w:p w14:paraId="31247A31" w14:textId="7736F5FE"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In a territorial approach, each jurisdiction may conduct its own insolvency proceedings without necessarily coordinating with other jurisdictions.</w:t>
            </w:r>
          </w:p>
        </w:tc>
      </w:tr>
      <w:tr w:rsidR="005E7F47" w14:paraId="38D0F813" w14:textId="77777777" w:rsidTr="005E7F47">
        <w:tc>
          <w:tcPr>
            <w:tcW w:w="1726" w:type="dxa"/>
          </w:tcPr>
          <w:p w14:paraId="4E0014AA" w14:textId="7DC8FE73" w:rsidR="005E7F47" w:rsidRPr="00A6439F" w:rsidRDefault="002450BC" w:rsidP="003713DC">
            <w:pPr>
              <w:jc w:val="both"/>
              <w:rPr>
                <w:rFonts w:ascii="Avenir Next" w:hAnsi="Avenir Next" w:cs="Arial"/>
                <w:sz w:val="22"/>
                <w:szCs w:val="22"/>
                <w:highlight w:val="yellow"/>
              </w:rPr>
            </w:pPr>
            <w:r>
              <w:rPr>
                <w:rFonts w:ascii="Avenir Next" w:hAnsi="Avenir Next" w:cs="Arial"/>
                <w:sz w:val="22"/>
                <w:szCs w:val="22"/>
                <w:highlight w:val="yellow"/>
              </w:rPr>
              <w:t>Application &amp; Proceeding</w:t>
            </w:r>
          </w:p>
        </w:tc>
        <w:tc>
          <w:tcPr>
            <w:tcW w:w="2130" w:type="dxa"/>
          </w:tcPr>
          <w:p w14:paraId="771B82EA" w14:textId="2A9A7C8F"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It requires recognition and cooperation among different jurisdictions to ensure the effectiveness of the insolvency process on an international scale.</w:t>
            </w:r>
          </w:p>
        </w:tc>
        <w:tc>
          <w:tcPr>
            <w:tcW w:w="2177" w:type="dxa"/>
          </w:tcPr>
          <w:p w14:paraId="757A4F54" w14:textId="3064832E"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While the main proceeding is given primary importance, there is room for cooperation and recognition of ancillary proceedings to address specific local concerns or assets.</w:t>
            </w:r>
          </w:p>
        </w:tc>
        <w:tc>
          <w:tcPr>
            <w:tcW w:w="2263" w:type="dxa"/>
          </w:tcPr>
          <w:p w14:paraId="70424153" w14:textId="16459264"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The focus is on protecting the interests of local creditors and managing assets within the jurisdiction where they are located.</w:t>
            </w:r>
          </w:p>
        </w:tc>
      </w:tr>
      <w:tr w:rsidR="005E7F47" w14:paraId="48F260B0" w14:textId="77777777" w:rsidTr="005E7F47">
        <w:tc>
          <w:tcPr>
            <w:tcW w:w="1726" w:type="dxa"/>
          </w:tcPr>
          <w:p w14:paraId="1795B258" w14:textId="0B98E78C" w:rsidR="005E7F47" w:rsidRPr="00A6439F" w:rsidRDefault="00CF40BC" w:rsidP="003713DC">
            <w:pPr>
              <w:jc w:val="both"/>
              <w:rPr>
                <w:rFonts w:ascii="Avenir Next" w:hAnsi="Avenir Next" w:cs="Arial"/>
                <w:sz w:val="22"/>
                <w:szCs w:val="22"/>
                <w:highlight w:val="yellow"/>
              </w:rPr>
            </w:pPr>
            <w:r w:rsidRPr="00A6439F">
              <w:rPr>
                <w:rFonts w:ascii="Avenir Next" w:hAnsi="Avenir Next" w:cs="Arial"/>
                <w:sz w:val="22"/>
                <w:szCs w:val="22"/>
                <w:highlight w:val="yellow"/>
              </w:rPr>
              <w:t>Example</w:t>
            </w:r>
          </w:p>
        </w:tc>
        <w:tc>
          <w:tcPr>
            <w:tcW w:w="2130" w:type="dxa"/>
          </w:tcPr>
          <w:p w14:paraId="64E799F5" w14:textId="313D053E"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The UNCITRAL Model Law on Cross-Border Insolvency reflects a universalist approach by providing a framework for the recognition of foreign insolvency proceedings.</w:t>
            </w:r>
          </w:p>
        </w:tc>
        <w:tc>
          <w:tcPr>
            <w:tcW w:w="2177" w:type="dxa"/>
          </w:tcPr>
          <w:p w14:paraId="240A2A7E" w14:textId="1A933480"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The UNCITRAL Model Law also incorporates elements of modified universalism by providing a framework for the recognition of both main and ancillary proceedings.</w:t>
            </w:r>
          </w:p>
        </w:tc>
        <w:tc>
          <w:tcPr>
            <w:tcW w:w="2263" w:type="dxa"/>
          </w:tcPr>
          <w:p w14:paraId="350CD920" w14:textId="4678B3FB" w:rsidR="005E7F47" w:rsidRPr="00A6439F" w:rsidRDefault="005E7F47" w:rsidP="003713DC">
            <w:pPr>
              <w:jc w:val="both"/>
              <w:rPr>
                <w:rFonts w:ascii="Avenir Next" w:hAnsi="Avenir Next" w:cs="Arial"/>
                <w:sz w:val="22"/>
                <w:szCs w:val="22"/>
                <w:highlight w:val="yellow"/>
              </w:rPr>
            </w:pPr>
            <w:r w:rsidRPr="00A6439F">
              <w:rPr>
                <w:rFonts w:ascii="Avenir Next" w:hAnsi="Avenir Next" w:cs="Arial"/>
                <w:sz w:val="22"/>
                <w:szCs w:val="22"/>
                <w:highlight w:val="yellow"/>
              </w:rPr>
              <w:t>Some jurisdictions may adopt a more territorial approach when dealing with insolvency cases, particularly if they prioritize the protection of local creditors' interests over international coordination.</w:t>
            </w:r>
          </w:p>
        </w:tc>
      </w:tr>
    </w:tbl>
    <w:p w14:paraId="43C9D289" w14:textId="77777777" w:rsidR="005E7F47" w:rsidRDefault="005E7F47" w:rsidP="005E7F47">
      <w:pPr>
        <w:ind w:left="720" w:hanging="720"/>
        <w:jc w:val="both"/>
        <w:rPr>
          <w:rFonts w:ascii="Avenir Next" w:hAnsi="Avenir Next" w:cs="Arial"/>
          <w:sz w:val="22"/>
          <w:szCs w:val="22"/>
        </w:rPr>
      </w:pPr>
      <w:r>
        <w:rPr>
          <w:rFonts w:ascii="Avenir Next" w:hAnsi="Avenir Next" w:cs="Arial"/>
          <w:sz w:val="22"/>
          <w:szCs w:val="22"/>
          <w:highlight w:val="yellow"/>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A803E53" w14:textId="15EEB8C9" w:rsidR="004417C1" w:rsidRPr="00C96184" w:rsidRDefault="006B5681" w:rsidP="006B5681">
      <w:pPr>
        <w:ind w:left="720" w:hanging="720"/>
        <w:jc w:val="both"/>
        <w:rPr>
          <w:rFonts w:ascii="Avenir Next" w:hAnsi="Avenir Next" w:cs="Arial"/>
          <w:sz w:val="22"/>
          <w:szCs w:val="22"/>
          <w:highlight w:val="yellow"/>
        </w:rPr>
      </w:pPr>
      <w:r w:rsidRPr="00C96184">
        <w:rPr>
          <w:rFonts w:ascii="Avenir Next" w:hAnsi="Avenir Next" w:cs="Arial"/>
          <w:sz w:val="22"/>
          <w:szCs w:val="22"/>
          <w:highlight w:val="yellow"/>
        </w:rPr>
        <w:t>One initiative taken is the adoption of multilateral agreements/treaties</w:t>
      </w:r>
      <w:r w:rsidR="00DD461D" w:rsidRPr="00C96184">
        <w:rPr>
          <w:rFonts w:ascii="Avenir Next" w:hAnsi="Avenir Next" w:cs="Arial"/>
          <w:sz w:val="22"/>
          <w:szCs w:val="22"/>
          <w:highlight w:val="yellow"/>
        </w:rPr>
        <w:t xml:space="preserve"> to facilitate cooperation in cross-border insolvency matters</w:t>
      </w:r>
      <w:r w:rsidR="008E1091" w:rsidRPr="00C96184">
        <w:rPr>
          <w:rFonts w:ascii="Avenir Next" w:hAnsi="Avenir Next" w:cs="Arial"/>
          <w:sz w:val="22"/>
          <w:szCs w:val="22"/>
          <w:highlight w:val="yellow"/>
        </w:rPr>
        <w:t xml:space="preserve"> and allows for simultaneous proceedings</w:t>
      </w:r>
      <w:r w:rsidRPr="00C96184">
        <w:rPr>
          <w:rFonts w:ascii="Avenir Next" w:hAnsi="Avenir Next" w:cs="Arial"/>
          <w:sz w:val="22"/>
          <w:szCs w:val="22"/>
          <w:highlight w:val="yellow"/>
        </w:rPr>
        <w:t>. Examples include:</w:t>
      </w:r>
    </w:p>
    <w:p w14:paraId="794B77B3" w14:textId="404D23FE" w:rsidR="006B5681" w:rsidRPr="00C96184" w:rsidRDefault="006B5681" w:rsidP="006B5681">
      <w:pPr>
        <w:pStyle w:val="ListParagraph"/>
        <w:numPr>
          <w:ilvl w:val="0"/>
          <w:numId w:val="35"/>
        </w:numPr>
        <w:jc w:val="both"/>
        <w:rPr>
          <w:rFonts w:ascii="Avenir Next" w:hAnsi="Avenir Next" w:cs="Arial"/>
          <w:sz w:val="22"/>
          <w:szCs w:val="22"/>
          <w:highlight w:val="yellow"/>
        </w:rPr>
      </w:pPr>
      <w:r w:rsidRPr="00C96184">
        <w:rPr>
          <w:rFonts w:ascii="Avenir Next" w:hAnsi="Avenir Next" w:cs="Arial"/>
          <w:sz w:val="22"/>
          <w:szCs w:val="22"/>
          <w:highlight w:val="yellow"/>
        </w:rPr>
        <w:t>Montevideo Treaties 1889;</w:t>
      </w:r>
    </w:p>
    <w:p w14:paraId="4C88412A" w14:textId="30453A00" w:rsidR="006049C3" w:rsidRPr="00C96184" w:rsidRDefault="006B5681" w:rsidP="006B5681">
      <w:pPr>
        <w:pStyle w:val="ListParagraph"/>
        <w:numPr>
          <w:ilvl w:val="0"/>
          <w:numId w:val="35"/>
        </w:numPr>
        <w:jc w:val="both"/>
        <w:rPr>
          <w:rFonts w:ascii="Avenir Next" w:hAnsi="Avenir Next" w:cs="Arial"/>
          <w:sz w:val="22"/>
          <w:szCs w:val="22"/>
          <w:highlight w:val="yellow"/>
        </w:rPr>
      </w:pPr>
      <w:r w:rsidRPr="00C96184">
        <w:rPr>
          <w:rFonts w:ascii="Avenir Next" w:hAnsi="Avenir Next" w:cs="Arial"/>
          <w:sz w:val="22"/>
          <w:szCs w:val="22"/>
          <w:highlight w:val="yellow"/>
        </w:rPr>
        <w:t>Montevideo Treaties 1940</w:t>
      </w:r>
      <w:r w:rsidR="00DD461D" w:rsidRPr="00C96184">
        <w:rPr>
          <w:rFonts w:ascii="Avenir Next" w:hAnsi="Avenir Next" w:cs="Arial"/>
          <w:sz w:val="22"/>
          <w:szCs w:val="22"/>
          <w:highlight w:val="yellow"/>
        </w:rPr>
        <w:t>;</w:t>
      </w:r>
    </w:p>
    <w:p w14:paraId="1BED4ECD" w14:textId="1550BE64" w:rsidR="00DD461D" w:rsidRPr="00C96184" w:rsidRDefault="00DD461D" w:rsidP="006B5681">
      <w:pPr>
        <w:pStyle w:val="ListParagraph"/>
        <w:numPr>
          <w:ilvl w:val="0"/>
          <w:numId w:val="35"/>
        </w:numPr>
        <w:jc w:val="both"/>
        <w:rPr>
          <w:rFonts w:ascii="Avenir Next" w:hAnsi="Avenir Next" w:cs="Arial"/>
          <w:sz w:val="22"/>
          <w:szCs w:val="22"/>
          <w:highlight w:val="yellow"/>
        </w:rPr>
      </w:pPr>
      <w:r w:rsidRPr="00C96184">
        <w:rPr>
          <w:rFonts w:ascii="Avenir Next" w:hAnsi="Avenir Next" w:cs="Arial"/>
          <w:sz w:val="22"/>
          <w:szCs w:val="22"/>
          <w:highlight w:val="yellow"/>
        </w:rPr>
        <w:t>Havana Convention on Private International Law 1928.</w:t>
      </w:r>
    </w:p>
    <w:p w14:paraId="1DD144C6" w14:textId="77777777" w:rsidR="006049C3" w:rsidRPr="00C96184" w:rsidRDefault="006049C3" w:rsidP="006049C3">
      <w:pPr>
        <w:jc w:val="both"/>
        <w:rPr>
          <w:rFonts w:ascii="Avenir Next" w:hAnsi="Avenir Next" w:cs="Arial"/>
          <w:sz w:val="22"/>
          <w:szCs w:val="22"/>
          <w:highlight w:val="yellow"/>
        </w:rPr>
      </w:pPr>
    </w:p>
    <w:p w14:paraId="07A9C707" w14:textId="24884D9B" w:rsidR="006049C3" w:rsidRPr="00C96184" w:rsidRDefault="006049C3" w:rsidP="006049C3">
      <w:pPr>
        <w:jc w:val="both"/>
        <w:rPr>
          <w:rFonts w:ascii="Avenir Next" w:hAnsi="Avenir Next" w:cs="Arial"/>
          <w:sz w:val="22"/>
          <w:szCs w:val="22"/>
          <w:highlight w:val="yellow"/>
        </w:rPr>
      </w:pPr>
      <w:r w:rsidRPr="00C96184">
        <w:rPr>
          <w:rFonts w:ascii="Avenir Next" w:hAnsi="Avenir Next" w:cs="Arial"/>
          <w:sz w:val="22"/>
          <w:szCs w:val="22"/>
          <w:highlight w:val="yellow"/>
        </w:rPr>
        <w:t xml:space="preserve">Difference between </w:t>
      </w:r>
      <w:r w:rsidRPr="00C96184">
        <w:rPr>
          <w:rFonts w:ascii="Avenir Next" w:hAnsi="Avenir Next" w:cs="Arial"/>
          <w:sz w:val="22"/>
          <w:szCs w:val="22"/>
          <w:highlight w:val="yellow"/>
        </w:rPr>
        <w:t>Montevideo Treaties 1889</w:t>
      </w:r>
      <w:r w:rsidRPr="00C96184">
        <w:rPr>
          <w:rFonts w:ascii="Avenir Next" w:hAnsi="Avenir Next" w:cs="Arial"/>
          <w:sz w:val="22"/>
          <w:szCs w:val="22"/>
          <w:highlight w:val="yellow"/>
        </w:rPr>
        <w:t xml:space="preserve"> and </w:t>
      </w:r>
      <w:r w:rsidRPr="00C96184">
        <w:rPr>
          <w:rFonts w:ascii="Avenir Next" w:hAnsi="Avenir Next" w:cs="Arial"/>
          <w:sz w:val="22"/>
          <w:szCs w:val="22"/>
          <w:highlight w:val="yellow"/>
        </w:rPr>
        <w:t>Montevideo Treaties 1940</w:t>
      </w:r>
      <w:r w:rsidRPr="00C96184">
        <w:rPr>
          <w:rFonts w:ascii="Avenir Next" w:hAnsi="Avenir Next" w:cs="Arial"/>
          <w:sz w:val="22"/>
          <w:szCs w:val="22"/>
          <w:highlight w:val="yellow"/>
        </w:rPr>
        <w:t>:</w:t>
      </w:r>
    </w:p>
    <w:p w14:paraId="13513002" w14:textId="1F4931F0" w:rsidR="006049C3" w:rsidRPr="00C96184" w:rsidRDefault="006049C3" w:rsidP="006049C3">
      <w:pPr>
        <w:pStyle w:val="ListParagraph"/>
        <w:numPr>
          <w:ilvl w:val="0"/>
          <w:numId w:val="36"/>
        </w:numPr>
        <w:jc w:val="both"/>
        <w:rPr>
          <w:rFonts w:ascii="Avenir Next" w:hAnsi="Avenir Next" w:cs="Arial"/>
          <w:sz w:val="22"/>
          <w:szCs w:val="22"/>
          <w:highlight w:val="yellow"/>
        </w:rPr>
      </w:pPr>
      <w:r w:rsidRPr="00C96184">
        <w:rPr>
          <w:rFonts w:ascii="Avenir Next" w:hAnsi="Avenir Next" w:cs="Arial"/>
          <w:sz w:val="22"/>
          <w:szCs w:val="22"/>
          <w:highlight w:val="yellow"/>
        </w:rPr>
        <w:t xml:space="preserve">1889 treaty is </w:t>
      </w:r>
      <w:r w:rsidRPr="00C96184">
        <w:rPr>
          <w:rFonts w:ascii="Avenir Next" w:hAnsi="Avenir Next" w:cs="Arial"/>
          <w:sz w:val="22"/>
          <w:szCs w:val="22"/>
          <w:highlight w:val="yellow"/>
        </w:rPr>
        <w:t>ratified by 6 Latin American States</w:t>
      </w:r>
      <w:r w:rsidRPr="00C96184">
        <w:rPr>
          <w:rFonts w:ascii="Avenir Next" w:hAnsi="Avenir Next" w:cs="Arial"/>
          <w:sz w:val="22"/>
          <w:szCs w:val="22"/>
          <w:highlight w:val="yellow"/>
        </w:rPr>
        <w:t xml:space="preserve"> whereas 1940 treaty is ratified by </w:t>
      </w:r>
      <w:r w:rsidR="00DD461D" w:rsidRPr="00C96184">
        <w:rPr>
          <w:rFonts w:ascii="Avenir Next" w:hAnsi="Avenir Next" w:cs="Arial"/>
          <w:sz w:val="22"/>
          <w:szCs w:val="22"/>
          <w:highlight w:val="yellow"/>
        </w:rPr>
        <w:t xml:space="preserve">3 </w:t>
      </w:r>
      <w:r w:rsidRPr="00C96184">
        <w:rPr>
          <w:rFonts w:ascii="Avenir Next" w:hAnsi="Avenir Next" w:cs="Arial"/>
          <w:sz w:val="22"/>
          <w:szCs w:val="22"/>
          <w:highlight w:val="yellow"/>
        </w:rPr>
        <w:t>Latin American States</w:t>
      </w:r>
      <w:r w:rsidR="00DD461D" w:rsidRPr="00C96184">
        <w:rPr>
          <w:rFonts w:ascii="Avenir Next" w:hAnsi="Avenir Next" w:cs="Arial"/>
          <w:sz w:val="22"/>
          <w:szCs w:val="22"/>
          <w:highlight w:val="yellow"/>
        </w:rPr>
        <w:t xml:space="preserve">. </w:t>
      </w:r>
    </w:p>
    <w:p w14:paraId="07D3AC20" w14:textId="49D11EBA" w:rsidR="008E1091" w:rsidRPr="00C96184" w:rsidRDefault="00DD461D" w:rsidP="008E1091">
      <w:pPr>
        <w:pStyle w:val="ListParagraph"/>
        <w:numPr>
          <w:ilvl w:val="0"/>
          <w:numId w:val="36"/>
        </w:numPr>
        <w:jc w:val="both"/>
        <w:rPr>
          <w:rFonts w:ascii="Avenir Next" w:hAnsi="Avenir Next" w:cs="Arial"/>
          <w:sz w:val="22"/>
          <w:szCs w:val="22"/>
          <w:highlight w:val="yellow"/>
        </w:rPr>
      </w:pPr>
      <w:r w:rsidRPr="00C96184">
        <w:rPr>
          <w:rFonts w:ascii="Avenir Next" w:hAnsi="Avenir Next" w:cs="Arial"/>
          <w:sz w:val="22"/>
          <w:szCs w:val="22"/>
          <w:highlight w:val="yellow"/>
        </w:rPr>
        <w:t>1889 treaty covers for personal and corporate insolvency whereas 1940 treaty covers additionally for bankruptcy and civil meetings of creditors.</w:t>
      </w:r>
    </w:p>
    <w:p w14:paraId="1CF7FC4C" w14:textId="454FA006" w:rsidR="00DD461D" w:rsidRPr="00C96184" w:rsidRDefault="008E1091" w:rsidP="00DD461D">
      <w:pPr>
        <w:jc w:val="both"/>
        <w:rPr>
          <w:rFonts w:ascii="Avenir Next" w:hAnsi="Avenir Next" w:cs="Arial"/>
          <w:sz w:val="22"/>
          <w:szCs w:val="22"/>
          <w:highlight w:val="yellow"/>
        </w:rPr>
      </w:pPr>
      <w:r w:rsidRPr="00C96184">
        <w:rPr>
          <w:rFonts w:ascii="Avenir Next" w:hAnsi="Avenir Next" w:cs="Arial"/>
          <w:sz w:val="22"/>
          <w:szCs w:val="22"/>
          <w:highlight w:val="yellow"/>
        </w:rPr>
        <w:t>Distinction between Havana Convention and the treaties:</w:t>
      </w:r>
    </w:p>
    <w:p w14:paraId="3DD6A3AD" w14:textId="34CFC810" w:rsidR="008E1091" w:rsidRPr="00C96184" w:rsidRDefault="008E1091" w:rsidP="008E1091">
      <w:pPr>
        <w:pStyle w:val="ListParagraph"/>
        <w:numPr>
          <w:ilvl w:val="0"/>
          <w:numId w:val="37"/>
        </w:numPr>
        <w:jc w:val="both"/>
        <w:rPr>
          <w:rFonts w:ascii="Avenir Next" w:hAnsi="Avenir Next" w:cs="Arial"/>
          <w:sz w:val="22"/>
          <w:szCs w:val="22"/>
          <w:highlight w:val="yellow"/>
        </w:rPr>
      </w:pPr>
      <w:r w:rsidRPr="00C96184">
        <w:rPr>
          <w:rFonts w:ascii="Avenir Next" w:hAnsi="Avenir Next" w:cs="Arial"/>
          <w:sz w:val="22"/>
          <w:szCs w:val="22"/>
          <w:highlight w:val="yellow"/>
        </w:rPr>
        <w:lastRenderedPageBreak/>
        <w:t>Havana Convention’s approach facilitates for a single proceeding to have extraterritorial effect in the region but does not cover the procedures for co-operation or co-ordination of concurrent proceedings</w:t>
      </w:r>
    </w:p>
    <w:p w14:paraId="134A1EB8" w14:textId="77777777" w:rsidR="006B5681" w:rsidRPr="006B5681" w:rsidRDefault="006B5681" w:rsidP="006B5681">
      <w:pPr>
        <w:ind w:left="720" w:hanging="720"/>
        <w:jc w:val="both"/>
        <w:rPr>
          <w:rFonts w:ascii="Avenir Next" w:hAnsi="Avenir Next" w:cs="Arial"/>
          <w:sz w:val="22"/>
          <w:szCs w:val="22"/>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1EC1E999" w14:textId="77777777" w:rsidR="00780D67" w:rsidRDefault="00780D67" w:rsidP="003A00FE">
      <w:pPr>
        <w:jc w:val="both"/>
        <w:rPr>
          <w:rFonts w:ascii="Avenir Next" w:hAnsi="Avenir Next" w:cs="Arial"/>
          <w:sz w:val="22"/>
          <w:szCs w:val="22"/>
          <w:lang w:val="en-GB"/>
        </w:rPr>
      </w:pPr>
    </w:p>
    <w:p w14:paraId="6800358C" w14:textId="1E65F5E2" w:rsidR="00780D67" w:rsidRPr="00A34A03" w:rsidRDefault="00780D67" w:rsidP="003A00FE">
      <w:pPr>
        <w:jc w:val="both"/>
        <w:rPr>
          <w:rFonts w:ascii="Avenir Next" w:hAnsi="Avenir Next" w:cs="Arial"/>
          <w:sz w:val="22"/>
          <w:szCs w:val="22"/>
          <w:highlight w:val="yellow"/>
          <w:lang w:val="en-GB"/>
        </w:rPr>
      </w:pPr>
      <w:r w:rsidRPr="00A34A03">
        <w:rPr>
          <w:rFonts w:ascii="Avenir Next" w:hAnsi="Avenir Next" w:cs="Arial"/>
          <w:sz w:val="22"/>
          <w:szCs w:val="22"/>
          <w:highlight w:val="yellow"/>
          <w:lang w:val="en-GB"/>
        </w:rPr>
        <w:t>In the context of Malaysia, I do not agree with the statement. The factors distinguishing the term from the other are as follows:</w:t>
      </w:r>
    </w:p>
    <w:p w14:paraId="76C423F1" w14:textId="188B4277" w:rsidR="008E3ADC" w:rsidRPr="00A34A03" w:rsidRDefault="008E3ADC" w:rsidP="00692852">
      <w:pPr>
        <w:jc w:val="both"/>
        <w:rPr>
          <w:rFonts w:ascii="Avenir Next" w:hAnsi="Avenir Next" w:cs="Arial"/>
          <w:sz w:val="22"/>
          <w:szCs w:val="22"/>
          <w:highlight w:val="yellow"/>
          <w:lang w:val="en-GB"/>
        </w:rPr>
      </w:pPr>
    </w:p>
    <w:tbl>
      <w:tblPr>
        <w:tblStyle w:val="TableGrid"/>
        <w:tblW w:w="0" w:type="auto"/>
        <w:tblInd w:w="720" w:type="dxa"/>
        <w:tblLook w:val="04A0" w:firstRow="1" w:lastRow="0" w:firstColumn="1" w:lastColumn="0" w:noHBand="0" w:noVBand="1"/>
      </w:tblPr>
      <w:tblGrid>
        <w:gridCol w:w="2226"/>
        <w:gridCol w:w="2678"/>
        <w:gridCol w:w="3392"/>
      </w:tblGrid>
      <w:tr w:rsidR="00BB4755" w:rsidRPr="00A34A03" w14:paraId="4B0D8BB4" w14:textId="77777777" w:rsidTr="00A34A03">
        <w:tc>
          <w:tcPr>
            <w:tcW w:w="0" w:type="auto"/>
          </w:tcPr>
          <w:p w14:paraId="4C91548C" w14:textId="4A76814C" w:rsidR="00BB4755" w:rsidRPr="00A34A03" w:rsidRDefault="00BB4755" w:rsidP="003713DC">
            <w:pPr>
              <w:jc w:val="both"/>
              <w:rPr>
                <w:rFonts w:ascii="Avenir Next" w:hAnsi="Avenir Next" w:cs="Arial"/>
                <w:sz w:val="22"/>
                <w:szCs w:val="22"/>
                <w:highlight w:val="yellow"/>
              </w:rPr>
            </w:pPr>
          </w:p>
        </w:tc>
        <w:tc>
          <w:tcPr>
            <w:tcW w:w="0" w:type="auto"/>
          </w:tcPr>
          <w:p w14:paraId="7E656C7A" w14:textId="163F2527" w:rsidR="00BB4755" w:rsidRPr="00A34A03" w:rsidRDefault="00BB4755" w:rsidP="003713DC">
            <w:pPr>
              <w:jc w:val="both"/>
              <w:rPr>
                <w:rFonts w:ascii="Avenir Next" w:hAnsi="Avenir Next" w:cs="Arial"/>
                <w:sz w:val="22"/>
                <w:szCs w:val="22"/>
                <w:highlight w:val="yellow"/>
              </w:rPr>
            </w:pPr>
            <w:r w:rsidRPr="00A34A03">
              <w:rPr>
                <w:rFonts w:ascii="Avenir Next" w:hAnsi="Avenir Next" w:cs="Arial"/>
                <w:sz w:val="22"/>
                <w:szCs w:val="22"/>
                <w:highlight w:val="yellow"/>
              </w:rPr>
              <w:t>Bankruptcy</w:t>
            </w:r>
          </w:p>
        </w:tc>
        <w:tc>
          <w:tcPr>
            <w:tcW w:w="0" w:type="auto"/>
          </w:tcPr>
          <w:p w14:paraId="13FF7A8F" w14:textId="584AD913" w:rsidR="00BB4755" w:rsidRPr="00A34A03" w:rsidRDefault="00BB4755" w:rsidP="003713DC">
            <w:pPr>
              <w:jc w:val="both"/>
              <w:rPr>
                <w:rFonts w:ascii="Avenir Next" w:hAnsi="Avenir Next" w:cs="Arial"/>
                <w:sz w:val="22"/>
                <w:szCs w:val="22"/>
                <w:highlight w:val="yellow"/>
              </w:rPr>
            </w:pPr>
            <w:r w:rsidRPr="00A34A03">
              <w:rPr>
                <w:rFonts w:ascii="Avenir Next" w:hAnsi="Avenir Next" w:cs="Arial"/>
                <w:sz w:val="22"/>
                <w:szCs w:val="22"/>
                <w:highlight w:val="yellow"/>
              </w:rPr>
              <w:t>Insolvency</w:t>
            </w:r>
          </w:p>
        </w:tc>
      </w:tr>
      <w:tr w:rsidR="00BB4755" w:rsidRPr="00A34A03" w14:paraId="0F70F93F" w14:textId="77777777" w:rsidTr="00A34A03">
        <w:tc>
          <w:tcPr>
            <w:tcW w:w="0" w:type="auto"/>
          </w:tcPr>
          <w:p w14:paraId="61B5445E" w14:textId="0420F417" w:rsidR="00BB4755" w:rsidRPr="00A34A03" w:rsidRDefault="00BB4755" w:rsidP="003713DC">
            <w:pPr>
              <w:jc w:val="both"/>
              <w:rPr>
                <w:rFonts w:ascii="Avenir Next" w:hAnsi="Avenir Next" w:cs="Arial"/>
                <w:sz w:val="22"/>
                <w:szCs w:val="22"/>
                <w:highlight w:val="yellow"/>
              </w:rPr>
            </w:pPr>
            <w:r w:rsidRPr="00A34A03">
              <w:rPr>
                <w:rFonts w:ascii="Avenir Next" w:hAnsi="Avenir Next" w:cs="Arial"/>
                <w:sz w:val="22"/>
                <w:szCs w:val="22"/>
                <w:highlight w:val="yellow"/>
              </w:rPr>
              <w:t>Meaning may be ascribed</w:t>
            </w:r>
          </w:p>
        </w:tc>
        <w:tc>
          <w:tcPr>
            <w:tcW w:w="0" w:type="auto"/>
          </w:tcPr>
          <w:p w14:paraId="020CAB09" w14:textId="58288EEF" w:rsidR="00BB4755" w:rsidRPr="00A34A03" w:rsidRDefault="00BB4755" w:rsidP="003713DC">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Bankruptcy tends </w:t>
            </w:r>
            <w:r w:rsidR="00D17C10" w:rsidRPr="00A34A03">
              <w:rPr>
                <w:rFonts w:ascii="Avenir Next" w:hAnsi="Avenir Next" w:cs="Arial"/>
                <w:sz w:val="22"/>
                <w:szCs w:val="22"/>
                <w:highlight w:val="yellow"/>
              </w:rPr>
              <w:t xml:space="preserve">to refer to an individual (natural person) failing to meet his/her personal financial obligations. </w:t>
            </w:r>
          </w:p>
        </w:tc>
        <w:tc>
          <w:tcPr>
            <w:tcW w:w="0" w:type="auto"/>
          </w:tcPr>
          <w:p w14:paraId="28CB3852" w14:textId="77777777" w:rsidR="007142DD" w:rsidRDefault="00BB4755" w:rsidP="007142DD">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Insolvency tends to refer to the financial </w:t>
            </w:r>
            <w:r w:rsidR="00D17C10" w:rsidRPr="00A34A03">
              <w:rPr>
                <w:rFonts w:ascii="Avenir Next" w:hAnsi="Avenir Next" w:cs="Arial"/>
                <w:sz w:val="22"/>
                <w:szCs w:val="22"/>
                <w:highlight w:val="yellow"/>
              </w:rPr>
              <w:t xml:space="preserve">distress </w:t>
            </w:r>
            <w:r w:rsidRPr="00A34A03">
              <w:rPr>
                <w:rFonts w:ascii="Avenir Next" w:hAnsi="Avenir Next" w:cs="Arial"/>
                <w:sz w:val="22"/>
                <w:szCs w:val="22"/>
                <w:highlight w:val="yellow"/>
              </w:rPr>
              <w:t xml:space="preserve">state of </w:t>
            </w:r>
            <w:r w:rsidR="00D17C10" w:rsidRPr="00A34A03">
              <w:rPr>
                <w:rFonts w:ascii="Avenir Next" w:hAnsi="Avenir Next" w:cs="Arial"/>
                <w:sz w:val="22"/>
                <w:szCs w:val="22"/>
                <w:highlight w:val="yellow"/>
              </w:rPr>
              <w:t>an entity</w:t>
            </w:r>
            <w:r w:rsidRPr="00A34A03">
              <w:rPr>
                <w:rFonts w:ascii="Avenir Next" w:hAnsi="Avenir Next" w:cs="Arial"/>
                <w:sz w:val="22"/>
                <w:szCs w:val="22"/>
                <w:highlight w:val="yellow"/>
              </w:rPr>
              <w:t>.</w:t>
            </w:r>
            <w:r w:rsidR="007142DD">
              <w:rPr>
                <w:rFonts w:ascii="Avenir Next" w:hAnsi="Avenir Next" w:cs="Arial"/>
                <w:sz w:val="22"/>
                <w:szCs w:val="22"/>
                <w:highlight w:val="yellow"/>
              </w:rPr>
              <w:t xml:space="preserve"> </w:t>
            </w:r>
          </w:p>
          <w:p w14:paraId="011E5DB0" w14:textId="77777777" w:rsidR="007142DD" w:rsidRDefault="007142DD" w:rsidP="007142DD">
            <w:pPr>
              <w:jc w:val="both"/>
              <w:rPr>
                <w:rFonts w:ascii="Avenir Next" w:hAnsi="Avenir Next" w:cs="Arial"/>
                <w:sz w:val="22"/>
                <w:szCs w:val="22"/>
                <w:highlight w:val="yellow"/>
              </w:rPr>
            </w:pPr>
          </w:p>
          <w:p w14:paraId="7A12DE33" w14:textId="04FCE675" w:rsidR="00780D67" w:rsidRDefault="007142DD" w:rsidP="003713DC">
            <w:pPr>
              <w:jc w:val="both"/>
              <w:rPr>
                <w:rFonts w:ascii="Avenir Next" w:hAnsi="Avenir Next" w:cs="Arial"/>
                <w:sz w:val="22"/>
                <w:szCs w:val="22"/>
                <w:highlight w:val="yellow"/>
              </w:rPr>
            </w:pPr>
            <w:r w:rsidRPr="00A34A03">
              <w:rPr>
                <w:rFonts w:ascii="Avenir Next" w:hAnsi="Avenir Next" w:cs="Arial"/>
                <w:sz w:val="22"/>
                <w:szCs w:val="22"/>
                <w:highlight w:val="yellow"/>
              </w:rPr>
              <w:t>The general rule apply would be either the balance sheet insolvency where the liabilities exceed the assets or commercial cash flow insolvency, failing to repay debt when due.</w:t>
            </w:r>
          </w:p>
          <w:p w14:paraId="2D5CC711" w14:textId="77777777" w:rsidR="001E182D" w:rsidRDefault="001E182D" w:rsidP="003713DC">
            <w:pPr>
              <w:jc w:val="both"/>
              <w:rPr>
                <w:rFonts w:ascii="Avenir Next" w:hAnsi="Avenir Next" w:cs="Arial"/>
                <w:sz w:val="22"/>
                <w:szCs w:val="22"/>
                <w:highlight w:val="yellow"/>
              </w:rPr>
            </w:pPr>
          </w:p>
          <w:p w14:paraId="4AD26310" w14:textId="577A3E4C" w:rsidR="001E182D" w:rsidRPr="00A34A03" w:rsidRDefault="001E182D" w:rsidP="003713DC">
            <w:pPr>
              <w:jc w:val="both"/>
              <w:rPr>
                <w:rFonts w:ascii="Avenir Next" w:hAnsi="Avenir Next" w:cs="Arial"/>
                <w:sz w:val="22"/>
                <w:szCs w:val="22"/>
                <w:highlight w:val="yellow"/>
              </w:rPr>
            </w:pPr>
            <w:r>
              <w:rPr>
                <w:rFonts w:ascii="Avenir Next" w:hAnsi="Avenir Next" w:cs="Arial"/>
                <w:sz w:val="22"/>
                <w:szCs w:val="22"/>
                <w:highlight w:val="yellow"/>
              </w:rPr>
              <w:t>As Friman say, a liquidity crisis (i.e. a short term inability to service debts) is sometimes considered sufficient for the commencement of insolvency proveedings</w:t>
            </w:r>
          </w:p>
          <w:p w14:paraId="3B0A266D" w14:textId="35A0859D" w:rsidR="00BB4755" w:rsidRPr="00A34A03" w:rsidRDefault="00BB4755" w:rsidP="003713DC">
            <w:pPr>
              <w:jc w:val="both"/>
              <w:rPr>
                <w:rFonts w:ascii="Avenir Next" w:hAnsi="Avenir Next" w:cs="Arial"/>
                <w:sz w:val="22"/>
                <w:szCs w:val="22"/>
                <w:highlight w:val="yellow"/>
              </w:rPr>
            </w:pPr>
          </w:p>
        </w:tc>
      </w:tr>
      <w:tr w:rsidR="00BB4755" w:rsidRPr="00A34A03" w14:paraId="18E058B9" w14:textId="77777777" w:rsidTr="00A34A03">
        <w:tc>
          <w:tcPr>
            <w:tcW w:w="0" w:type="auto"/>
          </w:tcPr>
          <w:p w14:paraId="7C16A19A" w14:textId="5CAB4F71" w:rsidR="00BB4755" w:rsidRPr="00A34A03" w:rsidRDefault="00BB4755" w:rsidP="003713DC">
            <w:pPr>
              <w:jc w:val="both"/>
              <w:rPr>
                <w:rFonts w:ascii="Avenir Next" w:hAnsi="Avenir Next" w:cs="Arial"/>
                <w:sz w:val="22"/>
                <w:szCs w:val="22"/>
                <w:highlight w:val="yellow"/>
              </w:rPr>
            </w:pPr>
            <w:r w:rsidRPr="00A34A03">
              <w:rPr>
                <w:rFonts w:ascii="Avenir Next" w:hAnsi="Avenir Next" w:cs="Arial"/>
                <w:sz w:val="22"/>
                <w:szCs w:val="22"/>
                <w:highlight w:val="yellow"/>
              </w:rPr>
              <w:t>E</w:t>
            </w:r>
            <w:r w:rsidRPr="00A34A03">
              <w:rPr>
                <w:rFonts w:ascii="Avenir Next" w:hAnsi="Avenir Next" w:cs="Arial"/>
                <w:sz w:val="22"/>
                <w:szCs w:val="22"/>
                <w:highlight w:val="yellow"/>
              </w:rPr>
              <w:t>ssential characteristics</w:t>
            </w:r>
          </w:p>
        </w:tc>
        <w:tc>
          <w:tcPr>
            <w:tcW w:w="0" w:type="auto"/>
          </w:tcPr>
          <w:p w14:paraId="2886181A" w14:textId="77777777" w:rsidR="006639E0" w:rsidRPr="00A34A03" w:rsidRDefault="00E53792" w:rsidP="003713DC">
            <w:pPr>
              <w:jc w:val="both"/>
              <w:rPr>
                <w:rFonts w:ascii="Avenir Next" w:hAnsi="Avenir Next" w:cs="Arial"/>
                <w:sz w:val="22"/>
                <w:szCs w:val="22"/>
                <w:highlight w:val="yellow"/>
              </w:rPr>
            </w:pPr>
            <w:r w:rsidRPr="00A34A03">
              <w:rPr>
                <w:rFonts w:ascii="Avenir Next" w:hAnsi="Avenir Next" w:cs="Arial"/>
                <w:sz w:val="22"/>
                <w:szCs w:val="22"/>
                <w:highlight w:val="yellow"/>
              </w:rPr>
              <w:t>Bankruptcy typically involves court-supervised proceedings, providing a structured and legal framework for the resolution of financial difficulties</w:t>
            </w:r>
            <w:r w:rsidRPr="00A34A03">
              <w:rPr>
                <w:rFonts w:ascii="Avenir Next" w:hAnsi="Avenir Next" w:cs="Arial"/>
                <w:sz w:val="22"/>
                <w:szCs w:val="22"/>
                <w:highlight w:val="yellow"/>
              </w:rPr>
              <w:t xml:space="preserve">. </w:t>
            </w:r>
          </w:p>
          <w:p w14:paraId="24E15BB2" w14:textId="77777777" w:rsidR="006639E0" w:rsidRPr="00A34A03" w:rsidRDefault="006639E0" w:rsidP="003713DC">
            <w:pPr>
              <w:jc w:val="both"/>
              <w:rPr>
                <w:rFonts w:ascii="Avenir Next" w:hAnsi="Avenir Next" w:cs="Arial"/>
                <w:sz w:val="22"/>
                <w:szCs w:val="22"/>
                <w:highlight w:val="yellow"/>
              </w:rPr>
            </w:pPr>
          </w:p>
          <w:p w14:paraId="74253306" w14:textId="77777777" w:rsidR="006639E0" w:rsidRPr="00A34A03" w:rsidRDefault="00E53792" w:rsidP="003713DC">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This tends to include </w:t>
            </w:r>
            <w:r w:rsidRPr="00A34A03">
              <w:rPr>
                <w:rFonts w:ascii="Avenir Next" w:hAnsi="Avenir Next" w:cs="Arial"/>
                <w:sz w:val="22"/>
                <w:szCs w:val="22"/>
                <w:highlight w:val="yellow"/>
              </w:rPr>
              <w:t>provisions to protect debtors from aggressive creditor actions during the bankruptcy process.</w:t>
            </w:r>
            <w:r w:rsidR="00166F0E" w:rsidRPr="00A34A03">
              <w:rPr>
                <w:rFonts w:ascii="Avenir Next" w:hAnsi="Avenir Next" w:cs="Arial"/>
                <w:sz w:val="22"/>
                <w:szCs w:val="22"/>
                <w:highlight w:val="yellow"/>
              </w:rPr>
              <w:t xml:space="preserve"> </w:t>
            </w:r>
          </w:p>
          <w:p w14:paraId="2FFACA75" w14:textId="77777777" w:rsidR="006639E0" w:rsidRPr="00A34A03" w:rsidRDefault="006639E0" w:rsidP="003713DC">
            <w:pPr>
              <w:jc w:val="both"/>
              <w:rPr>
                <w:rFonts w:ascii="Avenir Next" w:hAnsi="Avenir Next" w:cs="Arial"/>
                <w:sz w:val="22"/>
                <w:szCs w:val="22"/>
                <w:highlight w:val="yellow"/>
              </w:rPr>
            </w:pPr>
          </w:p>
          <w:p w14:paraId="0B42883C" w14:textId="52235182" w:rsidR="00BB4755" w:rsidRPr="00A34A03" w:rsidRDefault="00166F0E" w:rsidP="003713DC">
            <w:pPr>
              <w:jc w:val="both"/>
              <w:rPr>
                <w:rFonts w:ascii="Avenir Next" w:hAnsi="Avenir Next" w:cs="Arial"/>
                <w:sz w:val="22"/>
                <w:szCs w:val="22"/>
                <w:highlight w:val="yellow"/>
              </w:rPr>
            </w:pPr>
            <w:r w:rsidRPr="00A34A03">
              <w:rPr>
                <w:rFonts w:ascii="Avenir Next" w:hAnsi="Avenir Next" w:cs="Arial"/>
                <w:sz w:val="22"/>
                <w:szCs w:val="22"/>
                <w:highlight w:val="yellow"/>
              </w:rPr>
              <w:t>T</w:t>
            </w:r>
            <w:r w:rsidRPr="00A34A03">
              <w:rPr>
                <w:rFonts w:ascii="Avenir Next" w:hAnsi="Avenir Next" w:cs="Arial"/>
                <w:sz w:val="22"/>
                <w:szCs w:val="22"/>
                <w:highlight w:val="yellow"/>
              </w:rPr>
              <w:t xml:space="preserve">he debtor's personal assets are typically </w:t>
            </w:r>
            <w:r w:rsidRPr="00A34A03">
              <w:rPr>
                <w:rFonts w:ascii="Avenir Next" w:hAnsi="Avenir Next" w:cs="Arial"/>
                <w:sz w:val="22"/>
                <w:szCs w:val="22"/>
                <w:highlight w:val="yellow"/>
              </w:rPr>
              <w:lastRenderedPageBreak/>
              <w:t>considered in bankruptcy proceedings.</w:t>
            </w:r>
          </w:p>
        </w:tc>
        <w:tc>
          <w:tcPr>
            <w:tcW w:w="0" w:type="auto"/>
          </w:tcPr>
          <w:p w14:paraId="6B34F635" w14:textId="77777777" w:rsidR="00696A08" w:rsidRPr="00A34A03" w:rsidRDefault="00957F1F" w:rsidP="003713DC">
            <w:pPr>
              <w:jc w:val="both"/>
              <w:rPr>
                <w:rFonts w:ascii="Avenir Next" w:hAnsi="Avenir Next" w:cs="Arial"/>
                <w:sz w:val="22"/>
                <w:szCs w:val="22"/>
                <w:highlight w:val="yellow"/>
              </w:rPr>
            </w:pPr>
            <w:r w:rsidRPr="00A34A03">
              <w:rPr>
                <w:rFonts w:ascii="Avenir Next" w:hAnsi="Avenir Next" w:cs="Arial"/>
                <w:sz w:val="22"/>
                <w:szCs w:val="22"/>
                <w:highlight w:val="yellow"/>
              </w:rPr>
              <w:lastRenderedPageBreak/>
              <w:t>While court proceedings</w:t>
            </w:r>
            <w:r w:rsidRPr="00A34A03">
              <w:rPr>
                <w:rFonts w:ascii="Avenir Next" w:hAnsi="Avenir Next" w:cs="Arial"/>
                <w:sz w:val="22"/>
                <w:szCs w:val="22"/>
                <w:highlight w:val="yellow"/>
              </w:rPr>
              <w:t xml:space="preserve"> may not </w:t>
            </w:r>
            <w:r w:rsidRPr="00A34A03">
              <w:rPr>
                <w:rFonts w:ascii="Avenir Next" w:hAnsi="Avenir Next" w:cs="Arial"/>
                <w:sz w:val="22"/>
                <w:szCs w:val="22"/>
                <w:highlight w:val="yellow"/>
              </w:rPr>
              <w:t>necessarily</w:t>
            </w:r>
            <w:r w:rsidRPr="00A34A03">
              <w:rPr>
                <w:rFonts w:ascii="Avenir Next" w:hAnsi="Avenir Next" w:cs="Arial"/>
                <w:sz w:val="22"/>
                <w:szCs w:val="22"/>
                <w:highlight w:val="yellow"/>
              </w:rPr>
              <w:t xml:space="preserve"> be </w:t>
            </w:r>
            <w:r w:rsidRPr="00A34A03">
              <w:rPr>
                <w:rFonts w:ascii="Avenir Next" w:hAnsi="Avenir Next" w:cs="Arial"/>
                <w:sz w:val="22"/>
                <w:szCs w:val="22"/>
                <w:highlight w:val="yellow"/>
              </w:rPr>
              <w:t xml:space="preserve"> involv</w:t>
            </w:r>
            <w:r w:rsidRPr="00A34A03">
              <w:rPr>
                <w:rFonts w:ascii="Avenir Next" w:hAnsi="Avenir Next" w:cs="Arial"/>
                <w:sz w:val="22"/>
                <w:szCs w:val="22"/>
                <w:highlight w:val="yellow"/>
              </w:rPr>
              <w:t>ed,</w:t>
            </w:r>
            <w:r w:rsidRPr="00A34A03">
              <w:rPr>
                <w:rFonts w:ascii="Avenir Next" w:hAnsi="Avenir Next" w:cs="Arial"/>
                <w:sz w:val="22"/>
                <w:szCs w:val="22"/>
                <w:highlight w:val="yellow"/>
              </w:rPr>
              <w:t xml:space="preserve"> insolvency may prompt creditors to take legal actions to recover outstanding debts</w:t>
            </w:r>
            <w:r w:rsidRPr="00A34A03">
              <w:rPr>
                <w:rFonts w:ascii="Avenir Next" w:hAnsi="Avenir Next" w:cs="Arial"/>
                <w:sz w:val="22"/>
                <w:szCs w:val="22"/>
                <w:highlight w:val="yellow"/>
              </w:rPr>
              <w:t>.</w:t>
            </w:r>
            <w:r w:rsidR="00696A08" w:rsidRPr="00A34A03">
              <w:rPr>
                <w:rFonts w:ascii="Avenir Next" w:hAnsi="Avenir Next" w:cs="Arial"/>
                <w:sz w:val="22"/>
                <w:szCs w:val="22"/>
                <w:highlight w:val="yellow"/>
              </w:rPr>
              <w:t xml:space="preserve"> The law also provide avenues for the corporation to negotiate and restructure for a win/win situation.</w:t>
            </w:r>
          </w:p>
          <w:p w14:paraId="59BC5AFA" w14:textId="77777777" w:rsidR="00302B69" w:rsidRPr="00A34A03" w:rsidRDefault="00302B69" w:rsidP="003713DC">
            <w:pPr>
              <w:jc w:val="both"/>
              <w:rPr>
                <w:rFonts w:ascii="Avenir Next" w:hAnsi="Avenir Next" w:cs="Arial"/>
                <w:sz w:val="22"/>
                <w:szCs w:val="22"/>
                <w:highlight w:val="yellow"/>
              </w:rPr>
            </w:pPr>
          </w:p>
          <w:p w14:paraId="12711FDF" w14:textId="7101F83D" w:rsidR="00302B69" w:rsidRPr="00A34A03" w:rsidRDefault="00302B69" w:rsidP="003713DC">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Unless fraudulent acts is to be pursued or the corporation is not a private limited, the assets involved tend to be limited to that of corporation and not the officer of the corporation. </w:t>
            </w:r>
          </w:p>
        </w:tc>
      </w:tr>
      <w:tr w:rsidR="00BB4755" w:rsidRPr="00A34A03" w14:paraId="555AC293" w14:textId="77777777" w:rsidTr="00A34A03">
        <w:tc>
          <w:tcPr>
            <w:tcW w:w="0" w:type="auto"/>
          </w:tcPr>
          <w:p w14:paraId="71B87936" w14:textId="78D305B6" w:rsidR="00BB4755" w:rsidRPr="00A34A03" w:rsidRDefault="00BB4755" w:rsidP="003713DC">
            <w:pPr>
              <w:jc w:val="both"/>
              <w:rPr>
                <w:rFonts w:ascii="Avenir Next" w:hAnsi="Avenir Next" w:cs="Arial"/>
                <w:sz w:val="22"/>
                <w:szCs w:val="22"/>
                <w:highlight w:val="yellow"/>
              </w:rPr>
            </w:pPr>
            <w:r w:rsidRPr="00A34A03">
              <w:rPr>
                <w:rFonts w:ascii="Avenir Next" w:hAnsi="Avenir Next" w:cs="Arial"/>
                <w:sz w:val="22"/>
                <w:szCs w:val="22"/>
                <w:highlight w:val="yellow"/>
              </w:rPr>
              <w:t>D</w:t>
            </w:r>
            <w:r w:rsidRPr="00A34A03">
              <w:rPr>
                <w:rFonts w:ascii="Avenir Next" w:hAnsi="Avenir Next" w:cs="Arial"/>
                <w:sz w:val="22"/>
                <w:szCs w:val="22"/>
                <w:highlight w:val="yellow"/>
              </w:rPr>
              <w:t>ifferences that may arise when a “bankruptcy” / “insolvency” involves a corporation rather than an individual</w:t>
            </w:r>
          </w:p>
        </w:tc>
        <w:tc>
          <w:tcPr>
            <w:tcW w:w="0" w:type="auto"/>
          </w:tcPr>
          <w:p w14:paraId="61613012" w14:textId="77777777" w:rsidR="00BB4755" w:rsidRPr="00A34A03" w:rsidRDefault="00D17C10" w:rsidP="003713DC">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Applicable Malaysian law for </w:t>
            </w:r>
            <w:r w:rsidRPr="00A34A03">
              <w:rPr>
                <w:rFonts w:ascii="Avenir Next" w:hAnsi="Avenir Next" w:cs="Arial"/>
                <w:sz w:val="22"/>
                <w:szCs w:val="22"/>
                <w:highlight w:val="yellow"/>
              </w:rPr>
              <w:t>bankruptcy</w:t>
            </w:r>
            <w:r w:rsidR="00EE6386" w:rsidRPr="00A34A03">
              <w:rPr>
                <w:rFonts w:ascii="Avenir Next" w:hAnsi="Avenir Next" w:cs="Arial"/>
                <w:sz w:val="22"/>
                <w:szCs w:val="22"/>
                <w:highlight w:val="yellow"/>
              </w:rPr>
              <w:t xml:space="preserve"> is </w:t>
            </w:r>
            <w:r w:rsidR="00360DCA" w:rsidRPr="00A34A03">
              <w:rPr>
                <w:rFonts w:ascii="Avenir Next" w:hAnsi="Avenir Next" w:cs="Arial"/>
                <w:sz w:val="22"/>
                <w:szCs w:val="22"/>
                <w:highlight w:val="yellow"/>
              </w:rPr>
              <w:t xml:space="preserve">the </w:t>
            </w:r>
            <w:r w:rsidRPr="00A34A03">
              <w:rPr>
                <w:rFonts w:ascii="Avenir Next" w:hAnsi="Avenir Next" w:cs="Arial"/>
                <w:sz w:val="22"/>
                <w:szCs w:val="22"/>
                <w:highlight w:val="yellow"/>
              </w:rPr>
              <w:t>Bankruptcy Act 1967</w:t>
            </w:r>
            <w:r w:rsidR="00C84C00" w:rsidRPr="00A34A03">
              <w:rPr>
                <w:rFonts w:ascii="Avenir Next" w:hAnsi="Avenir Next" w:cs="Arial"/>
                <w:sz w:val="22"/>
                <w:szCs w:val="22"/>
                <w:highlight w:val="yellow"/>
              </w:rPr>
              <w:t>.</w:t>
            </w:r>
          </w:p>
          <w:p w14:paraId="4475E4D7" w14:textId="77777777" w:rsidR="00C84C00" w:rsidRPr="00A34A03" w:rsidRDefault="00C84C00" w:rsidP="003713DC">
            <w:pPr>
              <w:jc w:val="both"/>
              <w:rPr>
                <w:rFonts w:ascii="Avenir Next" w:hAnsi="Avenir Next" w:cs="Arial"/>
                <w:sz w:val="22"/>
                <w:szCs w:val="22"/>
                <w:highlight w:val="yellow"/>
              </w:rPr>
            </w:pPr>
          </w:p>
          <w:p w14:paraId="4D0EFBCF" w14:textId="2291F126" w:rsidR="00C84C00" w:rsidRPr="00A34A03" w:rsidRDefault="005158E9" w:rsidP="003713DC">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The implication on credit rating/score on an individual may be more severe if the person is declared bankrupt </w:t>
            </w:r>
            <w:r w:rsidR="00543D32" w:rsidRPr="00A34A03">
              <w:rPr>
                <w:rFonts w:ascii="Avenir Next" w:hAnsi="Avenir Next" w:cs="Arial"/>
                <w:sz w:val="22"/>
                <w:szCs w:val="22"/>
                <w:highlight w:val="yellow"/>
              </w:rPr>
              <w:t>as compared to</w:t>
            </w:r>
            <w:r w:rsidRPr="00A34A03">
              <w:rPr>
                <w:rFonts w:ascii="Avenir Next" w:hAnsi="Avenir Next" w:cs="Arial"/>
                <w:sz w:val="22"/>
                <w:szCs w:val="22"/>
                <w:highlight w:val="yellow"/>
              </w:rPr>
              <w:t xml:space="preserve"> an officer of a corporation undergoing insolvency proceedings</w:t>
            </w:r>
          </w:p>
        </w:tc>
        <w:tc>
          <w:tcPr>
            <w:tcW w:w="0" w:type="auto"/>
          </w:tcPr>
          <w:p w14:paraId="1C721CAC" w14:textId="0EB017D5" w:rsidR="00D17C10" w:rsidRPr="00A34A03" w:rsidRDefault="00D17C10" w:rsidP="00D17C10">
            <w:pPr>
              <w:jc w:val="both"/>
              <w:rPr>
                <w:rFonts w:ascii="Avenir Next" w:hAnsi="Avenir Next" w:cs="Arial"/>
                <w:sz w:val="22"/>
                <w:szCs w:val="22"/>
                <w:highlight w:val="yellow"/>
              </w:rPr>
            </w:pPr>
            <w:r w:rsidRPr="00A34A03">
              <w:rPr>
                <w:rFonts w:ascii="Avenir Next" w:hAnsi="Avenir Next" w:cs="Arial"/>
                <w:sz w:val="22"/>
                <w:szCs w:val="22"/>
                <w:highlight w:val="yellow"/>
              </w:rPr>
              <w:t xml:space="preserve">Applicable </w:t>
            </w:r>
            <w:r w:rsidRPr="00A34A03">
              <w:rPr>
                <w:rFonts w:ascii="Avenir Next" w:hAnsi="Avenir Next" w:cs="Arial"/>
                <w:sz w:val="22"/>
                <w:szCs w:val="22"/>
                <w:highlight w:val="yellow"/>
              </w:rPr>
              <w:t>Malaysian law for insolvency:</w:t>
            </w:r>
          </w:p>
          <w:p w14:paraId="08123B98" w14:textId="171F0792" w:rsidR="00D17C10" w:rsidRPr="00A34A03" w:rsidRDefault="00D17C10" w:rsidP="00D17C10">
            <w:pPr>
              <w:jc w:val="both"/>
              <w:rPr>
                <w:rFonts w:ascii="Avenir Next" w:hAnsi="Avenir Next" w:cs="Arial"/>
                <w:sz w:val="22"/>
                <w:szCs w:val="22"/>
                <w:highlight w:val="yellow"/>
              </w:rPr>
            </w:pPr>
            <w:r w:rsidRPr="00A34A03">
              <w:rPr>
                <w:rFonts w:ascii="Avenir Next" w:hAnsi="Avenir Next" w:cs="Arial"/>
                <w:sz w:val="22"/>
                <w:szCs w:val="22"/>
                <w:highlight w:val="yellow"/>
              </w:rPr>
              <w:t>i. Companies Act 2016</w:t>
            </w:r>
          </w:p>
          <w:p w14:paraId="52DF2351" w14:textId="3E84DE4E" w:rsidR="00BB4755" w:rsidRPr="00A34A03" w:rsidRDefault="00D17C10" w:rsidP="00D17C10">
            <w:pPr>
              <w:jc w:val="both"/>
              <w:rPr>
                <w:rFonts w:ascii="Avenir Next" w:hAnsi="Avenir Next" w:cs="Arial"/>
                <w:sz w:val="22"/>
                <w:szCs w:val="22"/>
                <w:highlight w:val="yellow"/>
              </w:rPr>
            </w:pPr>
            <w:r w:rsidRPr="00A34A03">
              <w:rPr>
                <w:rFonts w:ascii="Avenir Next" w:hAnsi="Avenir Next" w:cs="Arial"/>
                <w:sz w:val="22"/>
                <w:szCs w:val="22"/>
                <w:highlight w:val="yellow"/>
              </w:rPr>
              <w:t>ii. Companies (Winding Up) Rules 1972</w:t>
            </w:r>
          </w:p>
        </w:tc>
      </w:tr>
    </w:tbl>
    <w:p w14:paraId="55ED3589" w14:textId="77777777" w:rsidR="00BB4755" w:rsidRPr="00BB4755" w:rsidRDefault="00BB4755" w:rsidP="00692852">
      <w:pPr>
        <w:jc w:val="both"/>
        <w:rPr>
          <w:rFonts w:ascii="Avenir Next" w:hAnsi="Avenir Next" w:cs="Arial"/>
          <w:color w:val="808080" w:themeColor="background1" w:themeShade="80"/>
          <w:sz w:val="22"/>
          <w:szCs w:val="22"/>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0CC52E9C" w14:textId="6BE4E4DE" w:rsidR="006B7C40" w:rsidRPr="005E0E1F" w:rsidRDefault="006B7C40" w:rsidP="006B7C40">
      <w:pPr>
        <w:jc w:val="both"/>
        <w:rPr>
          <w:rFonts w:ascii="Avenir Next" w:hAnsi="Avenir Next"/>
          <w:sz w:val="22"/>
          <w:szCs w:val="22"/>
          <w:highlight w:val="yellow"/>
        </w:rPr>
      </w:pPr>
      <w:r w:rsidRPr="005E0E1F">
        <w:rPr>
          <w:rFonts w:ascii="Avenir Next" w:hAnsi="Avenir Next"/>
          <w:sz w:val="22"/>
          <w:szCs w:val="22"/>
          <w:highlight w:val="yellow"/>
        </w:rPr>
        <w:t>The legal systems, rules, procedures and principles regarding the insolvency are unique for every country. Complexity in determining which country’s legal system holds jurisdiction over cross</w:t>
      </w:r>
      <w:r w:rsidRPr="005E0E1F">
        <w:rPr>
          <w:rFonts w:ascii="Avenir Next" w:hAnsi="Avenir Next"/>
          <w:sz w:val="22"/>
          <w:szCs w:val="22"/>
          <w:highlight w:val="yellow"/>
        </w:rPr>
        <w:t>border insolvency matter. Claims from different countries may compete and result in</w:t>
      </w:r>
      <w:r w:rsidRPr="005E0E1F">
        <w:rPr>
          <w:rFonts w:ascii="Avenir Next" w:hAnsi="Avenir Next"/>
          <w:sz w:val="22"/>
          <w:szCs w:val="22"/>
          <w:highlight w:val="yellow"/>
        </w:rPr>
        <w:t xml:space="preserve"> </w:t>
      </w:r>
      <w:r w:rsidRPr="005E0E1F">
        <w:rPr>
          <w:rFonts w:ascii="Avenir Next" w:hAnsi="Avenir Next"/>
          <w:sz w:val="22"/>
          <w:szCs w:val="22"/>
          <w:highlight w:val="yellow"/>
        </w:rPr>
        <w:t>legal hearings on deciding where the proceedings should be held. These tend to be time-consuming and adding to legal costs</w:t>
      </w:r>
      <w:r w:rsidRPr="005E0E1F">
        <w:rPr>
          <w:rFonts w:ascii="Avenir Next" w:hAnsi="Avenir Next"/>
          <w:sz w:val="22"/>
          <w:szCs w:val="22"/>
          <w:highlight w:val="yellow"/>
        </w:rPr>
        <w:t xml:space="preserve">. </w:t>
      </w:r>
    </w:p>
    <w:p w14:paraId="3BCABE0D" w14:textId="77777777" w:rsidR="006B7C40" w:rsidRPr="005E0E1F" w:rsidRDefault="006B7C40" w:rsidP="006B7C40">
      <w:pPr>
        <w:jc w:val="both"/>
        <w:rPr>
          <w:rFonts w:ascii="Avenir Next" w:hAnsi="Avenir Next"/>
          <w:sz w:val="22"/>
          <w:szCs w:val="22"/>
          <w:highlight w:val="yellow"/>
        </w:rPr>
      </w:pPr>
    </w:p>
    <w:p w14:paraId="06DF674F" w14:textId="0399BBEA" w:rsidR="006B7C40" w:rsidRPr="005E0E1F" w:rsidRDefault="006B7C40" w:rsidP="006B7C40">
      <w:pPr>
        <w:jc w:val="both"/>
        <w:rPr>
          <w:rFonts w:ascii="Avenir Next" w:hAnsi="Avenir Next"/>
          <w:sz w:val="22"/>
          <w:szCs w:val="22"/>
          <w:highlight w:val="yellow"/>
        </w:rPr>
      </w:pPr>
      <w:r w:rsidRPr="005E0E1F">
        <w:rPr>
          <w:rFonts w:ascii="Avenir Next" w:hAnsi="Avenir Next"/>
          <w:sz w:val="22"/>
          <w:szCs w:val="22"/>
          <w:highlight w:val="yellow"/>
        </w:rPr>
        <w:t>There is also the recognition concern. An insolvency order issued by a court in one country may not be recognised in another jurisdiction. The consistent framework for recognition and enforcement would help this and making the process more efficient.</w:t>
      </w:r>
    </w:p>
    <w:p w14:paraId="41367E39" w14:textId="77777777" w:rsidR="006B7C40" w:rsidRPr="005E0E1F" w:rsidRDefault="006B7C40" w:rsidP="006B7C40">
      <w:pPr>
        <w:jc w:val="both"/>
        <w:rPr>
          <w:rFonts w:ascii="Avenir Next" w:hAnsi="Avenir Next"/>
          <w:sz w:val="22"/>
          <w:szCs w:val="22"/>
          <w:highlight w:val="yellow"/>
        </w:rPr>
      </w:pPr>
    </w:p>
    <w:p w14:paraId="59B44E4B" w14:textId="7DF52918" w:rsidR="006B7C40" w:rsidRPr="005E0E1F" w:rsidRDefault="006B7C40" w:rsidP="006B7C40">
      <w:pPr>
        <w:jc w:val="both"/>
        <w:rPr>
          <w:rFonts w:ascii="Avenir Next" w:hAnsi="Avenir Next"/>
          <w:sz w:val="22"/>
          <w:szCs w:val="22"/>
          <w:highlight w:val="yellow"/>
        </w:rPr>
      </w:pPr>
      <w:r w:rsidRPr="005E0E1F">
        <w:rPr>
          <w:rFonts w:ascii="Avenir Next" w:hAnsi="Avenir Next"/>
          <w:sz w:val="22"/>
          <w:szCs w:val="22"/>
          <w:highlight w:val="yellow"/>
        </w:rPr>
        <w:t>The qualifications and responsibilities of insolvency practitioners may differ from each other in every jurisdiction. This may result in disagreements on the appointment and duties of practitioners in cross-border proceedings.</w:t>
      </w:r>
    </w:p>
    <w:p w14:paraId="7ACF4E20" w14:textId="77777777" w:rsidR="006B7C40" w:rsidRPr="005E0E1F" w:rsidRDefault="006B7C40" w:rsidP="006B7C40">
      <w:pPr>
        <w:jc w:val="both"/>
        <w:rPr>
          <w:rFonts w:ascii="Avenir Next" w:hAnsi="Avenir Next"/>
          <w:sz w:val="22"/>
          <w:szCs w:val="22"/>
          <w:highlight w:val="yellow"/>
        </w:rPr>
      </w:pPr>
    </w:p>
    <w:p w14:paraId="6B5CF002" w14:textId="02470D21" w:rsidR="00DA42DA" w:rsidRPr="005E0E1F" w:rsidRDefault="006B7C40" w:rsidP="006B7C40">
      <w:pPr>
        <w:jc w:val="both"/>
        <w:rPr>
          <w:rFonts w:ascii="Avenir Next" w:hAnsi="Avenir Next"/>
          <w:sz w:val="22"/>
          <w:szCs w:val="22"/>
        </w:rPr>
      </w:pPr>
      <w:r w:rsidRPr="005E0E1F">
        <w:rPr>
          <w:rFonts w:ascii="Avenir Next" w:hAnsi="Avenir Next"/>
          <w:sz w:val="22"/>
          <w:szCs w:val="22"/>
          <w:highlight w:val="yellow"/>
        </w:rPr>
        <w:t>Regulatory reporting obligations and requirements may differ among the countries. This complicates the sharing of information and increase compliance cos</w:t>
      </w:r>
      <w:r w:rsidRPr="005E0E1F">
        <w:rPr>
          <w:rFonts w:ascii="Avenir Next" w:hAnsi="Avenir Next"/>
          <w:sz w:val="22"/>
          <w:szCs w:val="22"/>
          <w:highlight w:val="yellow"/>
        </w:rPr>
        <w:t>t.</w:t>
      </w:r>
    </w:p>
    <w:p w14:paraId="60DF781F" w14:textId="77777777" w:rsidR="00001008" w:rsidRPr="005E0E1F" w:rsidRDefault="00001008" w:rsidP="006B7C40">
      <w:pPr>
        <w:jc w:val="both"/>
        <w:rPr>
          <w:rFonts w:ascii="Avenir Next" w:hAnsi="Avenir Next"/>
          <w:sz w:val="22"/>
          <w:szCs w:val="22"/>
        </w:rPr>
      </w:pPr>
    </w:p>
    <w:p w14:paraId="1D6705B4" w14:textId="1C39BCAB" w:rsidR="00001008" w:rsidRPr="005E0E1F" w:rsidRDefault="00B27F73" w:rsidP="00001008">
      <w:pPr>
        <w:jc w:val="both"/>
        <w:rPr>
          <w:rFonts w:ascii="Avenir Next" w:hAnsi="Avenir Next"/>
          <w:sz w:val="22"/>
          <w:szCs w:val="22"/>
          <w:highlight w:val="yellow"/>
        </w:rPr>
      </w:pPr>
      <w:r w:rsidRPr="005E0E1F">
        <w:rPr>
          <w:rFonts w:ascii="Avenir Next" w:hAnsi="Avenir Next"/>
          <w:sz w:val="22"/>
          <w:szCs w:val="22"/>
          <w:highlight w:val="yellow"/>
        </w:rPr>
        <w:t>To simplify, a</w:t>
      </w:r>
      <w:r w:rsidR="00FB0BEB" w:rsidRPr="005E0E1F">
        <w:rPr>
          <w:rFonts w:ascii="Avenir Next" w:hAnsi="Avenir Next"/>
          <w:sz w:val="22"/>
          <w:szCs w:val="22"/>
          <w:highlight w:val="yellow"/>
        </w:rPr>
        <w:t xml:space="preserve">ccording to </w:t>
      </w:r>
      <w:r w:rsidR="00001008" w:rsidRPr="005E0E1F">
        <w:rPr>
          <w:rFonts w:ascii="Avenir Next" w:hAnsi="Avenir Next"/>
          <w:sz w:val="22"/>
          <w:szCs w:val="22"/>
          <w:highlight w:val="yellow"/>
        </w:rPr>
        <w:t>Westbrook</w:t>
      </w:r>
      <w:r w:rsidR="00FB0BEB" w:rsidRPr="005E0E1F">
        <w:rPr>
          <w:rFonts w:ascii="Avenir Next" w:hAnsi="Avenir Next"/>
          <w:sz w:val="22"/>
          <w:szCs w:val="22"/>
          <w:highlight w:val="yellow"/>
        </w:rPr>
        <w:t>, there are nine key issues for universalism:</w:t>
      </w:r>
    </w:p>
    <w:p w14:paraId="1BD71D32" w14:textId="4963900A"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standing for recognition of) the foreign representative (as covered above);</w:t>
      </w:r>
    </w:p>
    <w:p w14:paraId="2321436F" w14:textId="17E394B8"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moratorium on creditor actions;</w:t>
      </w:r>
    </w:p>
    <w:p w14:paraId="256DB953" w14:textId="09722399"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 xml:space="preserve">creditor participation </w:t>
      </w:r>
      <w:r w:rsidRPr="005E0E1F">
        <w:rPr>
          <w:rFonts w:ascii="Avenir Next" w:hAnsi="Avenir Next"/>
          <w:sz w:val="22"/>
          <w:szCs w:val="22"/>
          <w:highlight w:val="yellow"/>
        </w:rPr>
        <w:t>(as covered above)</w:t>
      </w:r>
      <w:r w:rsidRPr="005E0E1F">
        <w:rPr>
          <w:rFonts w:ascii="Avenir Next" w:hAnsi="Avenir Next"/>
          <w:sz w:val="22"/>
          <w:szCs w:val="22"/>
          <w:highlight w:val="yellow"/>
        </w:rPr>
        <w:t>;</w:t>
      </w:r>
    </w:p>
    <w:p w14:paraId="0D57FDBE" w14:textId="6B5E36A3"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executory contracts;</w:t>
      </w:r>
    </w:p>
    <w:p w14:paraId="284CF58E" w14:textId="6F6ECE6C"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coordinated claims procedures</w:t>
      </w:r>
      <w:r w:rsidR="00FD26AA" w:rsidRPr="005E0E1F">
        <w:rPr>
          <w:rFonts w:ascii="Avenir Next" w:hAnsi="Avenir Next"/>
          <w:sz w:val="22"/>
          <w:szCs w:val="22"/>
          <w:highlight w:val="yellow"/>
        </w:rPr>
        <w:t xml:space="preserve"> </w:t>
      </w:r>
    </w:p>
    <w:p w14:paraId="712B71CD" w14:textId="43F204AF"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priorities and preferences</w:t>
      </w:r>
    </w:p>
    <w:p w14:paraId="47A3B8F9" w14:textId="28D1EDC9"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avoidance provision powers</w:t>
      </w:r>
    </w:p>
    <w:p w14:paraId="367A15B0" w14:textId="22649DA6"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discharges; and</w:t>
      </w:r>
    </w:p>
    <w:p w14:paraId="77633823" w14:textId="7DA34D74" w:rsidR="00FB0BEB" w:rsidRPr="005E0E1F" w:rsidRDefault="00FB0BEB" w:rsidP="00FB0BEB">
      <w:pPr>
        <w:pStyle w:val="ListParagraph"/>
        <w:numPr>
          <w:ilvl w:val="0"/>
          <w:numId w:val="38"/>
        </w:numPr>
        <w:jc w:val="both"/>
        <w:rPr>
          <w:rFonts w:ascii="Avenir Next" w:hAnsi="Avenir Next"/>
          <w:sz w:val="22"/>
          <w:szCs w:val="22"/>
          <w:highlight w:val="yellow"/>
        </w:rPr>
      </w:pPr>
      <w:r w:rsidRPr="005E0E1F">
        <w:rPr>
          <w:rFonts w:ascii="Avenir Next" w:hAnsi="Avenir Next"/>
          <w:sz w:val="22"/>
          <w:szCs w:val="22"/>
          <w:highlight w:val="yellow"/>
        </w:rPr>
        <w:t>conflict of law issues</w:t>
      </w:r>
      <w:r w:rsidR="00040B71" w:rsidRPr="005E0E1F">
        <w:rPr>
          <w:rFonts w:ascii="Avenir Next" w:hAnsi="Avenir Next"/>
          <w:sz w:val="22"/>
          <w:szCs w:val="22"/>
          <w:highlight w:val="yellow"/>
        </w:rPr>
        <w:t xml:space="preserve"> </w:t>
      </w:r>
      <w:r w:rsidR="00040B71" w:rsidRPr="005E0E1F">
        <w:rPr>
          <w:rFonts w:ascii="Avenir Next" w:hAnsi="Avenir Next"/>
          <w:sz w:val="22"/>
          <w:szCs w:val="22"/>
          <w:highlight w:val="yellow"/>
        </w:rPr>
        <w:t xml:space="preserve"> (as covered above)</w:t>
      </w:r>
    </w:p>
    <w:p w14:paraId="262F429A" w14:textId="7E1AC311" w:rsidR="00C952A2" w:rsidRPr="00FB0BEB" w:rsidRDefault="00C952A2" w:rsidP="00692852">
      <w:pPr>
        <w:jc w:val="both"/>
        <w:rPr>
          <w:rFonts w:ascii="Avenir Next" w:hAnsi="Avenir Next" w:cs="Arial"/>
          <w:color w:val="808080" w:themeColor="background1" w:themeShade="80"/>
          <w:sz w:val="22"/>
          <w:szCs w:val="22"/>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w:t>
      </w:r>
      <w:r>
        <w:rPr>
          <w:rFonts w:ascii="Avenir Next" w:hAnsi="Avenir Next"/>
        </w:rPr>
        <w:lastRenderedPageBreak/>
        <w:t xml:space="preserve">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37A4250" w14:textId="197219C3" w:rsidR="00C952A2" w:rsidRDefault="007B3AE0" w:rsidP="007B3AE0">
      <w:pPr>
        <w:jc w:val="both"/>
        <w:rPr>
          <w:rFonts w:ascii="Avenir Next" w:hAnsi="Avenir Next"/>
          <w:sz w:val="22"/>
          <w:szCs w:val="22"/>
          <w:highlight w:val="yellow"/>
        </w:rPr>
      </w:pPr>
      <w:r w:rsidRPr="007B3AE0">
        <w:rPr>
          <w:rFonts w:ascii="Avenir Next" w:hAnsi="Avenir Next"/>
          <w:sz w:val="22"/>
          <w:szCs w:val="22"/>
          <w:highlight w:val="yellow"/>
        </w:rPr>
        <w:t>Hard law refers to legally binding rules and regulations that are enforceable through the legal system</w:t>
      </w:r>
      <w:r w:rsidR="006474FC">
        <w:rPr>
          <w:rFonts w:ascii="Avenir Next" w:hAnsi="Avenir Next"/>
          <w:sz w:val="22"/>
          <w:szCs w:val="22"/>
          <w:highlight w:val="yellow"/>
        </w:rPr>
        <w:t xml:space="preserve"> for insolvency proceedings</w:t>
      </w:r>
      <w:r w:rsidRPr="007B3AE0">
        <w:rPr>
          <w:rFonts w:ascii="Avenir Next" w:hAnsi="Avenir Next"/>
          <w:sz w:val="22"/>
          <w:szCs w:val="22"/>
          <w:highlight w:val="yellow"/>
        </w:rPr>
        <w:t>. These rules are typically codified in treaties, statutes, and regulations.</w:t>
      </w:r>
      <w:r w:rsidR="006474FC">
        <w:rPr>
          <w:rFonts w:ascii="Avenir Next" w:hAnsi="Avenir Next"/>
          <w:sz w:val="22"/>
          <w:szCs w:val="22"/>
          <w:highlight w:val="yellow"/>
        </w:rPr>
        <w:t xml:space="preserve"> Examples include European Insolvency Regulation (EIR) 2000 which allowed multilateral developments in international insolvency law and applies in all European Union member states except Denmark and United Kingdom; and </w:t>
      </w:r>
      <w:r w:rsidR="006474FC" w:rsidRPr="00C96184">
        <w:rPr>
          <w:rFonts w:ascii="Avenir Next" w:hAnsi="Avenir Next" w:cs="Arial"/>
          <w:sz w:val="22"/>
          <w:szCs w:val="22"/>
          <w:highlight w:val="yellow"/>
        </w:rPr>
        <w:t>Havana Convention on Private International Law 1928</w:t>
      </w:r>
      <w:r w:rsidR="006474FC">
        <w:rPr>
          <w:rFonts w:ascii="Avenir Next" w:hAnsi="Avenir Next" w:cs="Arial"/>
          <w:sz w:val="22"/>
          <w:szCs w:val="22"/>
          <w:highlight w:val="yellow"/>
        </w:rPr>
        <w:t xml:space="preserve"> in facilitating </w:t>
      </w:r>
      <w:r w:rsidR="006474FC" w:rsidRPr="00C96184">
        <w:rPr>
          <w:rFonts w:ascii="Avenir Next" w:hAnsi="Avenir Next" w:cs="Arial"/>
          <w:sz w:val="22"/>
          <w:szCs w:val="22"/>
          <w:highlight w:val="yellow"/>
        </w:rPr>
        <w:t>cross-border insolvency matters</w:t>
      </w:r>
      <w:r w:rsidR="006474FC">
        <w:rPr>
          <w:rFonts w:ascii="Avenir Next" w:hAnsi="Avenir Next" w:cs="Arial"/>
          <w:sz w:val="22"/>
          <w:szCs w:val="22"/>
          <w:highlight w:val="yellow"/>
        </w:rPr>
        <w:t xml:space="preserve"> for Latin and Middle American States.</w:t>
      </w:r>
    </w:p>
    <w:p w14:paraId="7EF23266" w14:textId="77777777" w:rsidR="006474FC" w:rsidRDefault="006474FC" w:rsidP="007B3AE0">
      <w:pPr>
        <w:jc w:val="both"/>
        <w:rPr>
          <w:rFonts w:ascii="Avenir Next" w:hAnsi="Avenir Next"/>
          <w:sz w:val="22"/>
          <w:szCs w:val="22"/>
          <w:highlight w:val="yellow"/>
        </w:rPr>
      </w:pPr>
    </w:p>
    <w:p w14:paraId="0128E8B5" w14:textId="22B013BE" w:rsidR="005A23ED" w:rsidRPr="00884602" w:rsidRDefault="005A23ED" w:rsidP="007B3AE0">
      <w:pPr>
        <w:jc w:val="both"/>
        <w:rPr>
          <w:rFonts w:ascii="Avenir Next" w:hAnsi="Avenir Next"/>
          <w:sz w:val="22"/>
          <w:szCs w:val="22"/>
          <w:highlight w:val="yellow"/>
        </w:rPr>
      </w:pPr>
      <w:r w:rsidRPr="00884602">
        <w:rPr>
          <w:rFonts w:ascii="Avenir Next" w:hAnsi="Avenir Next"/>
          <w:sz w:val="22"/>
          <w:szCs w:val="22"/>
          <w:highlight w:val="yellow"/>
        </w:rPr>
        <w:t>Soft law refers to non-binding principles, guidelines, or recommendations that lack the force of law. While not legally enforceable, soft law can influence behavior, foster cooperation, and provide guidance in the absence of strict legal obligations.</w:t>
      </w:r>
      <w:r w:rsidR="00884602" w:rsidRPr="00884602">
        <w:rPr>
          <w:rFonts w:ascii="Avenir Next" w:hAnsi="Avenir Next"/>
          <w:sz w:val="22"/>
          <w:szCs w:val="22"/>
          <w:highlight w:val="yellow"/>
        </w:rPr>
        <w:t xml:space="preserve"> </w:t>
      </w:r>
      <w:r w:rsidR="00AE7615">
        <w:rPr>
          <w:rFonts w:ascii="Avenir Next" w:hAnsi="Avenir Next"/>
          <w:sz w:val="22"/>
          <w:szCs w:val="22"/>
          <w:highlight w:val="yellow"/>
        </w:rPr>
        <w:t>Example includes Model Law on Cross-border Insolvency (MLCBI)</w:t>
      </w:r>
      <w:r w:rsidR="00EB1EA2">
        <w:rPr>
          <w:rFonts w:ascii="Avenir Next" w:hAnsi="Avenir Next"/>
          <w:sz w:val="22"/>
          <w:szCs w:val="22"/>
          <w:highlight w:val="yellow"/>
        </w:rPr>
        <w:t xml:space="preserve"> which may harmonise various domestic insolvency laws in addressing international insolvency issues and as a result, may form a better outlook to foreign investors in doing business </w:t>
      </w:r>
      <w:r w:rsidR="00325B16">
        <w:rPr>
          <w:rFonts w:ascii="Avenir Next" w:hAnsi="Avenir Next"/>
          <w:sz w:val="22"/>
          <w:szCs w:val="22"/>
          <w:highlight w:val="yellow"/>
        </w:rPr>
        <w:t xml:space="preserve">in the states </w:t>
      </w:r>
      <w:r w:rsidR="00EB1EA2">
        <w:rPr>
          <w:rFonts w:ascii="Avenir Next" w:hAnsi="Avenir Next"/>
          <w:sz w:val="22"/>
          <w:szCs w:val="22"/>
          <w:highlight w:val="yellow"/>
        </w:rPr>
        <w:t>and seeking creditor protection.</w:t>
      </w:r>
    </w:p>
    <w:p w14:paraId="6EBCAE83" w14:textId="77777777" w:rsidR="006474FC" w:rsidRPr="007B3AE0" w:rsidRDefault="006474FC" w:rsidP="007B3AE0">
      <w:pPr>
        <w:jc w:val="both"/>
        <w:rPr>
          <w:rFonts w:ascii="Avenir Next" w:hAnsi="Avenir Next"/>
          <w:sz w:val="22"/>
          <w:szCs w:val="22"/>
          <w:highlight w:val="yellow"/>
        </w:rPr>
      </w:pPr>
    </w:p>
    <w:p w14:paraId="58FF4856" w14:textId="77777777" w:rsidR="007B3AE0" w:rsidRPr="004216EA" w:rsidRDefault="007B3AE0"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2D505C45" w:rsidR="002253D8" w:rsidRPr="002253D8" w:rsidRDefault="00E512CD" w:rsidP="00DB5A5A">
      <w:pPr>
        <w:jc w:val="both"/>
        <w:rPr>
          <w:rFonts w:ascii="Avenir Next" w:hAnsi="Avenir Next" w:cs="Arial"/>
          <w:color w:val="808080" w:themeColor="background1" w:themeShade="80"/>
          <w:sz w:val="22"/>
          <w:szCs w:val="22"/>
          <w:lang w:val="en-GB"/>
        </w:rPr>
      </w:pPr>
      <w:r w:rsidRPr="00E512CD">
        <w:rPr>
          <w:rFonts w:ascii="Avenir Next" w:hAnsi="Avenir Next"/>
          <w:sz w:val="22"/>
          <w:szCs w:val="22"/>
          <w:highlight w:val="yellow"/>
        </w:rPr>
        <w:t>The relevant cross-border source for recognition in England is likely to be the UNCITRAL Model Law on Cross-</w:t>
      </w:r>
      <w:r w:rsidRPr="00B669A2">
        <w:rPr>
          <w:rFonts w:ascii="Avenir Next" w:hAnsi="Avenir Next"/>
          <w:sz w:val="22"/>
          <w:szCs w:val="22"/>
          <w:highlight w:val="yellow"/>
        </w:rPr>
        <w:t>Border Insolvency</w:t>
      </w:r>
      <w:r w:rsidRPr="00B669A2">
        <w:rPr>
          <w:rFonts w:ascii="Avenir Next" w:hAnsi="Avenir Next"/>
          <w:sz w:val="22"/>
          <w:szCs w:val="22"/>
          <w:highlight w:val="yellow"/>
        </w:rPr>
        <w:t>. T</w:t>
      </w:r>
      <w:r w:rsidRPr="00B669A2">
        <w:rPr>
          <w:rFonts w:ascii="Avenir Next" w:hAnsi="Avenir Next"/>
          <w:sz w:val="22"/>
          <w:szCs w:val="22"/>
          <w:highlight w:val="yellow"/>
        </w:rPr>
        <w:t xml:space="preserve">he American insolvent estate representative may use the Cross-Border Insolvency Regulations 2006 to </w:t>
      </w:r>
      <w:r w:rsidRPr="00B669A2">
        <w:rPr>
          <w:rFonts w:ascii="Avenir Next" w:hAnsi="Avenir Next"/>
          <w:sz w:val="22"/>
          <w:szCs w:val="22"/>
          <w:highlight w:val="yellow"/>
        </w:rPr>
        <w:t>seek</w:t>
      </w:r>
      <w:r w:rsidRPr="00B669A2">
        <w:rPr>
          <w:rFonts w:ascii="Avenir Next" w:hAnsi="Avenir Next"/>
          <w:sz w:val="22"/>
          <w:szCs w:val="22"/>
          <w:highlight w:val="yellow"/>
        </w:rPr>
        <w:t xml:space="preserve"> recognition </w:t>
      </w:r>
      <w:r w:rsidRPr="00B669A2">
        <w:rPr>
          <w:rFonts w:ascii="Avenir Next" w:hAnsi="Avenir Next"/>
          <w:sz w:val="22"/>
          <w:szCs w:val="22"/>
          <w:highlight w:val="yellow"/>
        </w:rPr>
        <w:t xml:space="preserve">and assistance in coordination of the insolvency proceedings including dealing with the assets of Norton Cars Inc </w:t>
      </w:r>
      <w:r w:rsidRPr="00B669A2">
        <w:rPr>
          <w:rFonts w:ascii="Avenir Next" w:hAnsi="Avenir Next"/>
          <w:sz w:val="22"/>
          <w:szCs w:val="22"/>
          <w:highlight w:val="yellow"/>
        </w:rPr>
        <w:t>in England</w:t>
      </w:r>
      <w:r w:rsidRPr="00B669A2">
        <w:rPr>
          <w:rFonts w:ascii="Avenir Next" w:hAnsi="Avenir Next"/>
          <w:sz w:val="22"/>
          <w:szCs w:val="22"/>
          <w:highlight w:val="yellow"/>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44DFCCFD" w14:textId="4EF94F35" w:rsidR="00B669A2" w:rsidRPr="002253D8" w:rsidRDefault="00B669A2" w:rsidP="00B669A2">
      <w:pPr>
        <w:jc w:val="both"/>
        <w:rPr>
          <w:rFonts w:ascii="Avenir Next" w:hAnsi="Avenir Next" w:cs="Arial"/>
          <w:color w:val="808080" w:themeColor="background1" w:themeShade="80"/>
          <w:sz w:val="22"/>
          <w:szCs w:val="22"/>
          <w:lang w:val="en-GB"/>
        </w:rPr>
      </w:pPr>
      <w:r w:rsidRPr="00B669A2">
        <w:rPr>
          <w:rFonts w:ascii="Avenir Next" w:hAnsi="Avenir Next"/>
          <w:sz w:val="22"/>
          <w:szCs w:val="22"/>
          <w:highlight w:val="yellow"/>
        </w:rPr>
        <w:t>In this case, t</w:t>
      </w:r>
      <w:r w:rsidRPr="00B669A2">
        <w:rPr>
          <w:rFonts w:ascii="Avenir Next" w:hAnsi="Avenir Next"/>
          <w:sz w:val="22"/>
          <w:szCs w:val="22"/>
          <w:highlight w:val="yellow"/>
        </w:rPr>
        <w:t xml:space="preserve">he American insolvent estate representative may </w:t>
      </w:r>
      <w:r w:rsidRPr="006D7DDE">
        <w:rPr>
          <w:rFonts w:ascii="Avenir Next" w:hAnsi="Avenir Next"/>
          <w:sz w:val="22"/>
          <w:szCs w:val="22"/>
          <w:highlight w:val="yellow"/>
        </w:rPr>
        <w:t>refer to</w:t>
      </w:r>
      <w:r w:rsidRPr="006D7DDE">
        <w:rPr>
          <w:rFonts w:ascii="Avenir Next" w:hAnsi="Avenir Next"/>
          <w:sz w:val="22"/>
          <w:szCs w:val="22"/>
          <w:highlight w:val="yellow"/>
        </w:rPr>
        <w:t xml:space="preserve"> the </w:t>
      </w:r>
      <w:r w:rsidR="006D7DDE" w:rsidRPr="006D7DDE">
        <w:rPr>
          <w:rFonts w:ascii="Avenir Next" w:hAnsi="Avenir Next"/>
          <w:sz w:val="22"/>
          <w:szCs w:val="22"/>
          <w:highlight w:val="yellow"/>
        </w:rPr>
        <w:t>E</w:t>
      </w:r>
      <w:r w:rsidR="00B1710D">
        <w:rPr>
          <w:rFonts w:ascii="Avenir Next" w:hAnsi="Avenir Next"/>
          <w:sz w:val="22"/>
          <w:szCs w:val="22"/>
          <w:highlight w:val="yellow"/>
        </w:rPr>
        <w:t>uropean</w:t>
      </w:r>
      <w:r w:rsidR="006D7DDE" w:rsidRPr="006D7DDE">
        <w:rPr>
          <w:rFonts w:ascii="Avenir Next" w:hAnsi="Avenir Next"/>
          <w:sz w:val="22"/>
          <w:szCs w:val="22"/>
          <w:highlight w:val="yellow"/>
        </w:rPr>
        <w:t xml:space="preserve"> Insolvency Regulation</w:t>
      </w:r>
      <w:r w:rsidRPr="006D7DDE">
        <w:rPr>
          <w:rFonts w:ascii="Avenir Next" w:hAnsi="Avenir Next"/>
          <w:sz w:val="22"/>
          <w:szCs w:val="22"/>
          <w:highlight w:val="yellow"/>
        </w:rPr>
        <w:t xml:space="preserve"> </w:t>
      </w:r>
      <w:r w:rsidR="00B1710D" w:rsidRPr="006D7DDE">
        <w:rPr>
          <w:rFonts w:ascii="Avenir Next" w:hAnsi="Avenir Next"/>
          <w:sz w:val="22"/>
          <w:szCs w:val="22"/>
          <w:highlight w:val="yellow"/>
        </w:rPr>
        <w:t>(Recast)</w:t>
      </w:r>
      <w:r w:rsidR="00B1710D">
        <w:rPr>
          <w:rFonts w:ascii="Avenir Next" w:hAnsi="Avenir Next"/>
          <w:sz w:val="22"/>
          <w:szCs w:val="22"/>
          <w:highlight w:val="yellow"/>
        </w:rPr>
        <w:t xml:space="preserve"> </w:t>
      </w:r>
      <w:r w:rsidRPr="006D7DDE">
        <w:rPr>
          <w:rFonts w:ascii="Avenir Next" w:hAnsi="Avenir Next"/>
          <w:sz w:val="22"/>
          <w:szCs w:val="22"/>
          <w:highlight w:val="yellow"/>
        </w:rPr>
        <w:t>which g</w:t>
      </w:r>
      <w:r w:rsidRPr="006D7DDE">
        <w:rPr>
          <w:rFonts w:ascii="Avenir Next" w:hAnsi="Avenir Next"/>
          <w:sz w:val="22"/>
          <w:szCs w:val="22"/>
          <w:highlight w:val="yellow"/>
        </w:rPr>
        <w:t>overns cross-border insolvency proceedings involving member states</w:t>
      </w:r>
      <w:r w:rsidRPr="006D7DDE">
        <w:rPr>
          <w:rFonts w:ascii="Avenir Next" w:hAnsi="Avenir Next"/>
          <w:sz w:val="22"/>
          <w:szCs w:val="22"/>
          <w:highlight w:val="yellow"/>
        </w:rPr>
        <w:t xml:space="preserve"> within the European Union. In terms of the dealing of assets (if any) in England</w:t>
      </w:r>
      <w:r w:rsidR="00866DC9" w:rsidRPr="006D7DDE">
        <w:rPr>
          <w:rFonts w:ascii="Avenir Next" w:hAnsi="Avenir Next"/>
          <w:sz w:val="22"/>
          <w:szCs w:val="22"/>
          <w:highlight w:val="yellow"/>
        </w:rPr>
        <w:t xml:space="preserve"> during the insolvency proceedings</w:t>
      </w:r>
      <w:r w:rsidRPr="006D7DDE">
        <w:rPr>
          <w:rFonts w:ascii="Avenir Next" w:hAnsi="Avenir Next"/>
          <w:sz w:val="22"/>
          <w:szCs w:val="22"/>
          <w:highlight w:val="yellow"/>
        </w:rPr>
        <w:t>,</w:t>
      </w:r>
      <w:r w:rsidR="006D7DDE" w:rsidRPr="006D7DDE">
        <w:rPr>
          <w:rFonts w:ascii="Avenir Next" w:hAnsi="Avenir Next"/>
          <w:sz w:val="22"/>
          <w:szCs w:val="22"/>
          <w:highlight w:val="yellow"/>
        </w:rPr>
        <w:t xml:space="preserve"> as England is no longer part of the European Union hence EIR (Recast) is not applicable,</w:t>
      </w:r>
      <w:r w:rsidRPr="006D7DDE">
        <w:rPr>
          <w:rFonts w:ascii="Avenir Next" w:hAnsi="Avenir Next"/>
          <w:sz w:val="22"/>
          <w:szCs w:val="22"/>
          <w:highlight w:val="yellow"/>
        </w:rPr>
        <w:t xml:space="preserve"> </w:t>
      </w:r>
      <w:r w:rsidRPr="006D7DDE">
        <w:rPr>
          <w:rFonts w:ascii="Avenir Next" w:hAnsi="Avenir Next"/>
          <w:sz w:val="22"/>
          <w:szCs w:val="22"/>
          <w:highlight w:val="yellow"/>
        </w:rPr>
        <w:t xml:space="preserve">the American insolvent estate representative </w:t>
      </w:r>
      <w:r w:rsidR="00866DC9" w:rsidRPr="006D7DDE">
        <w:rPr>
          <w:rFonts w:ascii="Avenir Next" w:hAnsi="Avenir Next"/>
          <w:sz w:val="22"/>
          <w:szCs w:val="22"/>
          <w:highlight w:val="yellow"/>
        </w:rPr>
        <w:t>may use the Cross-Border Insolvency Regulations 2006</w:t>
      </w:r>
      <w:r w:rsidR="00866DC9" w:rsidRPr="006D7DDE">
        <w:rPr>
          <w:rFonts w:ascii="Avenir Next" w:hAnsi="Avenir Next"/>
          <w:sz w:val="22"/>
          <w:szCs w:val="22"/>
          <w:highlight w:val="yellow"/>
        </w:rPr>
        <w:t>.</w:t>
      </w:r>
    </w:p>
    <w:p w14:paraId="0D3B1D18" w14:textId="77777777" w:rsidR="004E1D03" w:rsidRPr="00B669A2" w:rsidRDefault="004E1D03" w:rsidP="00692852">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58DD72D" w14:textId="23881F1B" w:rsidR="004E1D03" w:rsidRDefault="006D7DDE" w:rsidP="00933B1A">
      <w:pPr>
        <w:jc w:val="both"/>
        <w:rPr>
          <w:rFonts w:ascii="Avenir Next" w:hAnsi="Avenir Next"/>
          <w:sz w:val="22"/>
          <w:szCs w:val="22"/>
          <w:highlight w:val="yellow"/>
        </w:rPr>
      </w:pPr>
      <w:r>
        <w:rPr>
          <w:rFonts w:ascii="Avenir Next" w:hAnsi="Avenir Next"/>
          <w:sz w:val="22"/>
          <w:szCs w:val="22"/>
          <w:highlight w:val="yellow"/>
        </w:rPr>
        <w:t xml:space="preserve">No as EIR (Recast) apples only to the member states in European </w:t>
      </w:r>
      <w:r w:rsidRPr="00C80F05">
        <w:rPr>
          <w:rFonts w:ascii="Avenir Next" w:hAnsi="Avenir Next"/>
          <w:sz w:val="22"/>
          <w:szCs w:val="22"/>
          <w:highlight w:val="yellow"/>
        </w:rPr>
        <w:t>Union. The</w:t>
      </w:r>
      <w:r w:rsidR="00C80F05" w:rsidRPr="00C80F05">
        <w:rPr>
          <w:rFonts w:ascii="Avenir Next" w:hAnsi="Avenir Next"/>
          <w:sz w:val="22"/>
          <w:szCs w:val="22"/>
          <w:highlight w:val="yellow"/>
        </w:rPr>
        <w:t xml:space="preserve"> </w:t>
      </w:r>
      <w:r w:rsidR="00C80F05" w:rsidRPr="00C80F05">
        <w:rPr>
          <w:rFonts w:ascii="Avenir Next" w:hAnsi="Avenir Next"/>
          <w:sz w:val="22"/>
          <w:szCs w:val="22"/>
          <w:highlight w:val="yellow"/>
        </w:rPr>
        <w:t>domestic legal frameworks or procedures for recognizing and dealing with foreign insolvency representatives</w:t>
      </w:r>
      <w:r w:rsidR="00C80F05" w:rsidRPr="00C80F05">
        <w:rPr>
          <w:rFonts w:ascii="Avenir Next" w:hAnsi="Avenir Next"/>
          <w:sz w:val="22"/>
          <w:szCs w:val="22"/>
          <w:highlight w:val="yellow"/>
        </w:rPr>
        <w:t xml:space="preserve"> for each of the  </w:t>
      </w:r>
      <w:r w:rsidRPr="00C80F05">
        <w:rPr>
          <w:rFonts w:ascii="Avenir Next" w:hAnsi="Avenir Next"/>
          <w:sz w:val="22"/>
          <w:szCs w:val="22"/>
          <w:highlight w:val="yellow"/>
        </w:rPr>
        <w:t xml:space="preserve">Indian, South African </w:t>
      </w:r>
      <w:r w:rsidR="00C80F05" w:rsidRPr="00C80F05">
        <w:rPr>
          <w:rFonts w:ascii="Avenir Next" w:hAnsi="Avenir Next"/>
          <w:sz w:val="22"/>
          <w:szCs w:val="22"/>
          <w:highlight w:val="yellow"/>
        </w:rPr>
        <w:t>or</w:t>
      </w:r>
      <w:r w:rsidRPr="00C80F05">
        <w:rPr>
          <w:rFonts w:ascii="Avenir Next" w:hAnsi="Avenir Next"/>
          <w:sz w:val="22"/>
          <w:szCs w:val="22"/>
          <w:highlight w:val="yellow"/>
        </w:rPr>
        <w:t xml:space="preserve"> Australian court</w:t>
      </w:r>
      <w:r w:rsidR="00C80F05" w:rsidRPr="00C80F05">
        <w:rPr>
          <w:rFonts w:ascii="Avenir Next" w:hAnsi="Avenir Next"/>
          <w:sz w:val="22"/>
          <w:szCs w:val="22"/>
          <w:highlight w:val="yellow"/>
        </w:rPr>
        <w:t xml:space="preserve"> will need to be observed.</w:t>
      </w:r>
    </w:p>
    <w:p w14:paraId="2D12F328" w14:textId="77777777" w:rsidR="006D7DDE" w:rsidRPr="00933B1A" w:rsidRDefault="006D7DDE" w:rsidP="00933B1A">
      <w:pPr>
        <w:jc w:val="both"/>
        <w:rPr>
          <w:rFonts w:ascii="Avenir Next" w:hAnsi="Avenir Next"/>
          <w:sz w:val="22"/>
          <w:szCs w:val="22"/>
          <w:highlight w:val="yellow"/>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A474656" w:rsidR="002253D8" w:rsidRDefault="00192598" w:rsidP="00983985">
      <w:pPr>
        <w:ind w:left="426"/>
        <w:jc w:val="both"/>
        <w:rPr>
          <w:rFonts w:ascii="Avenir Next" w:hAnsi="Avenir Next"/>
          <w:sz w:val="22"/>
          <w:szCs w:val="22"/>
          <w:highlight w:val="yellow"/>
        </w:rPr>
      </w:pPr>
      <w:r w:rsidRPr="00933B1A">
        <w:rPr>
          <w:rFonts w:ascii="Avenir Next" w:hAnsi="Avenir Next"/>
          <w:sz w:val="22"/>
          <w:szCs w:val="22"/>
          <w:highlight w:val="yellow"/>
        </w:rPr>
        <w:t>EIR (Recast)</w:t>
      </w:r>
      <w:r w:rsidRPr="00933B1A">
        <w:rPr>
          <w:rFonts w:ascii="Avenir Next" w:hAnsi="Avenir Next"/>
          <w:sz w:val="22"/>
          <w:szCs w:val="22"/>
          <w:highlight w:val="yellow"/>
        </w:rPr>
        <w:t xml:space="preserve"> </w:t>
      </w:r>
      <w:r w:rsidRPr="00933B1A">
        <w:rPr>
          <w:rFonts w:ascii="Avenir Next" w:hAnsi="Avenir Next"/>
          <w:sz w:val="22"/>
          <w:szCs w:val="22"/>
          <w:highlight w:val="yellow"/>
        </w:rPr>
        <w:t xml:space="preserve">applies here. </w:t>
      </w:r>
      <w:r w:rsidR="00B801B4">
        <w:rPr>
          <w:rFonts w:ascii="Avenir Next" w:hAnsi="Avenir Next"/>
          <w:sz w:val="22"/>
          <w:szCs w:val="22"/>
          <w:highlight w:val="yellow"/>
        </w:rPr>
        <w:t>The regulation</w:t>
      </w:r>
      <w:r w:rsidRPr="00933B1A">
        <w:rPr>
          <w:rFonts w:ascii="Avenir Next" w:hAnsi="Avenir Next"/>
          <w:sz w:val="22"/>
          <w:szCs w:val="22"/>
          <w:highlight w:val="yellow"/>
        </w:rPr>
        <w:t xml:space="preserve"> </w:t>
      </w:r>
      <w:r w:rsidRPr="00933B1A">
        <w:rPr>
          <w:rFonts w:ascii="Avenir Next" w:hAnsi="Avenir Next"/>
          <w:sz w:val="22"/>
          <w:szCs w:val="22"/>
          <w:highlight w:val="yellow"/>
        </w:rPr>
        <w:t>provides a framework for determining the applicable law to the insolvency proceeding</w:t>
      </w:r>
      <w:r w:rsidRPr="00933B1A">
        <w:rPr>
          <w:rFonts w:ascii="Avenir Next" w:hAnsi="Avenir Next"/>
          <w:sz w:val="22"/>
          <w:szCs w:val="22"/>
          <w:highlight w:val="yellow"/>
        </w:rPr>
        <w:t>. As t</w:t>
      </w:r>
      <w:r w:rsidRPr="00933B1A">
        <w:rPr>
          <w:rFonts w:ascii="Avenir Next" w:hAnsi="Avenir Next"/>
          <w:sz w:val="22"/>
          <w:szCs w:val="22"/>
          <w:highlight w:val="yellow"/>
        </w:rPr>
        <w:t>he main insolvency proceeding is subject to the law of the member state</w:t>
      </w:r>
      <w:r w:rsidRPr="00933B1A">
        <w:rPr>
          <w:rFonts w:ascii="Avenir Next" w:hAnsi="Avenir Next"/>
          <w:sz w:val="22"/>
          <w:szCs w:val="22"/>
          <w:highlight w:val="yellow"/>
        </w:rPr>
        <w:t xml:space="preserve"> </w:t>
      </w:r>
      <w:r w:rsidRPr="00933B1A">
        <w:rPr>
          <w:rFonts w:ascii="Avenir Next" w:hAnsi="Avenir Next"/>
          <w:sz w:val="22"/>
          <w:szCs w:val="22"/>
          <w:highlight w:val="yellow"/>
        </w:rPr>
        <w:t>where the debtor's Center of Main Interests (COMI) is located</w:t>
      </w:r>
      <w:r w:rsidRPr="00933B1A">
        <w:rPr>
          <w:rFonts w:ascii="Avenir Next" w:hAnsi="Avenir Next"/>
          <w:sz w:val="22"/>
          <w:szCs w:val="22"/>
          <w:highlight w:val="yellow"/>
        </w:rPr>
        <w:t xml:space="preserve"> (i.e. Italy) hence the Italian law would apply to the proceeding</w:t>
      </w:r>
      <w:r w:rsidRPr="00933B1A">
        <w:rPr>
          <w:rFonts w:ascii="Avenir Next" w:hAnsi="Avenir Next"/>
          <w:sz w:val="22"/>
          <w:szCs w:val="22"/>
          <w:highlight w:val="yellow"/>
        </w:rPr>
        <w:t>.</w:t>
      </w:r>
    </w:p>
    <w:p w14:paraId="686FE6C7" w14:textId="77777777" w:rsidR="00FD3DA6" w:rsidRDefault="00FD3DA6" w:rsidP="00983985">
      <w:pPr>
        <w:ind w:left="426"/>
        <w:jc w:val="both"/>
        <w:rPr>
          <w:rFonts w:ascii="Avenir Next" w:hAnsi="Avenir Next"/>
          <w:sz w:val="22"/>
          <w:szCs w:val="22"/>
          <w:highlight w:val="yellow"/>
        </w:rPr>
      </w:pPr>
    </w:p>
    <w:p w14:paraId="07FA428D" w14:textId="2BD1F452" w:rsidR="00FD3DA6" w:rsidRPr="00F63237" w:rsidRDefault="00FD3DA6" w:rsidP="00983985">
      <w:pPr>
        <w:ind w:left="426"/>
        <w:jc w:val="both"/>
        <w:rPr>
          <w:rFonts w:ascii="Avenir Next" w:hAnsi="Avenir Next"/>
          <w:sz w:val="22"/>
          <w:szCs w:val="22"/>
          <w:highlight w:val="yellow"/>
        </w:rPr>
      </w:pPr>
      <w:r w:rsidRPr="00F63237">
        <w:rPr>
          <w:rFonts w:ascii="Avenir Next" w:hAnsi="Avenir Next"/>
          <w:sz w:val="22"/>
          <w:szCs w:val="22"/>
          <w:highlight w:val="yellow"/>
        </w:rPr>
        <w:t xml:space="preserve">Under the </w:t>
      </w:r>
      <w:r w:rsidRPr="00F63237">
        <w:rPr>
          <w:rFonts w:ascii="Avenir Next" w:hAnsi="Avenir Next"/>
          <w:sz w:val="22"/>
          <w:szCs w:val="22"/>
          <w:highlight w:val="yellow"/>
        </w:rPr>
        <w:t xml:space="preserve">same </w:t>
      </w:r>
      <w:r w:rsidRPr="00F63237">
        <w:rPr>
          <w:rFonts w:ascii="Avenir Next" w:hAnsi="Avenir Next"/>
          <w:sz w:val="22"/>
          <w:szCs w:val="22"/>
          <w:highlight w:val="yellow"/>
        </w:rPr>
        <w:t xml:space="preserve">regulation, the law governing rights </w:t>
      </w:r>
      <w:r w:rsidRPr="00F63237">
        <w:rPr>
          <w:rFonts w:ascii="Avenir Next" w:hAnsi="Avenir Next"/>
          <w:sz w:val="22"/>
          <w:szCs w:val="22"/>
          <w:highlight w:val="yellow"/>
        </w:rPr>
        <w:t>would be</w:t>
      </w:r>
      <w:r w:rsidRPr="00F63237">
        <w:rPr>
          <w:rFonts w:ascii="Avenir Next" w:hAnsi="Avenir Next"/>
          <w:sz w:val="22"/>
          <w:szCs w:val="22"/>
          <w:highlight w:val="yellow"/>
        </w:rPr>
        <w:t xml:space="preserve"> the law of the state where the property is located. In this case, the real rights of security on assets in the Netherlands would be subject to Dutch law.</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69DAD07" w14:textId="3FAB5B14" w:rsidR="00983985" w:rsidRPr="00933B1A" w:rsidRDefault="003861CD" w:rsidP="00983985">
      <w:pPr>
        <w:ind w:left="426"/>
        <w:jc w:val="both"/>
        <w:rPr>
          <w:rFonts w:ascii="Avenir Next" w:hAnsi="Avenir Next"/>
          <w:sz w:val="22"/>
          <w:szCs w:val="22"/>
          <w:highlight w:val="yellow"/>
        </w:rPr>
      </w:pPr>
      <w:r>
        <w:rPr>
          <w:rFonts w:ascii="Avenir Next" w:hAnsi="Avenir Next"/>
          <w:sz w:val="22"/>
          <w:szCs w:val="22"/>
          <w:highlight w:val="yellow"/>
        </w:rPr>
        <w:lastRenderedPageBreak/>
        <w:t>Australian law</w:t>
      </w:r>
      <w:r w:rsidR="00983985" w:rsidRPr="00933B1A">
        <w:rPr>
          <w:rFonts w:ascii="Avenir Next" w:hAnsi="Avenir Next"/>
          <w:sz w:val="22"/>
          <w:szCs w:val="22"/>
          <w:highlight w:val="yellow"/>
        </w:rPr>
        <w:t xml:space="preserve"> applies </w:t>
      </w:r>
      <w:r w:rsidR="00983985" w:rsidRPr="0007461D">
        <w:rPr>
          <w:rFonts w:ascii="Avenir Next" w:hAnsi="Avenir Next"/>
          <w:sz w:val="22"/>
          <w:szCs w:val="22"/>
          <w:highlight w:val="yellow"/>
        </w:rPr>
        <w:t>here</w:t>
      </w:r>
      <w:r w:rsidR="00631B39">
        <w:rPr>
          <w:rFonts w:ascii="Avenir Next" w:hAnsi="Avenir Next"/>
          <w:sz w:val="22"/>
          <w:szCs w:val="22"/>
          <w:highlight w:val="yellow"/>
        </w:rPr>
        <w:t xml:space="preserve"> for insolvency proceeding and the real rights of security</w:t>
      </w:r>
      <w:r w:rsidR="00983985" w:rsidRPr="0007461D">
        <w:rPr>
          <w:rFonts w:ascii="Avenir Next" w:hAnsi="Avenir Next"/>
          <w:sz w:val="22"/>
          <w:szCs w:val="22"/>
          <w:highlight w:val="yellow"/>
        </w:rPr>
        <w:t xml:space="preserve">. </w:t>
      </w:r>
      <w:r w:rsidR="0051392F">
        <w:rPr>
          <w:rFonts w:ascii="Avenir Next" w:hAnsi="Avenir Next"/>
          <w:sz w:val="22"/>
          <w:szCs w:val="22"/>
          <w:highlight w:val="yellow"/>
        </w:rPr>
        <w:t>However t</w:t>
      </w:r>
      <w:r w:rsidRPr="0007461D">
        <w:rPr>
          <w:rFonts w:ascii="Avenir Next" w:hAnsi="Avenir Next"/>
          <w:sz w:val="22"/>
          <w:szCs w:val="22"/>
          <w:highlight w:val="yellow"/>
        </w:rPr>
        <w:t>he Italian insolvency procedure may seek recognition and cooperation with the Australian courts</w:t>
      </w:r>
      <w:r w:rsidR="0007461D" w:rsidRPr="0007461D">
        <w:rPr>
          <w:rFonts w:ascii="Avenir Next" w:hAnsi="Avenir Next"/>
          <w:sz w:val="22"/>
          <w:szCs w:val="22"/>
          <w:highlight w:val="yellow"/>
        </w:rPr>
        <w:t xml:space="preserve"> </w:t>
      </w:r>
      <w:r w:rsidR="0051392F">
        <w:rPr>
          <w:rFonts w:ascii="Avenir Next" w:hAnsi="Avenir Next"/>
          <w:sz w:val="22"/>
          <w:szCs w:val="22"/>
          <w:highlight w:val="yellow"/>
        </w:rPr>
        <w:t>using UNCITRAL Model Law on Cross-Border Insolvency</w:t>
      </w:r>
      <w:r w:rsidR="0007461D" w:rsidRPr="0007461D">
        <w:rPr>
          <w:rFonts w:ascii="Avenir Next" w:hAnsi="Avenir Next"/>
          <w:sz w:val="22"/>
          <w:szCs w:val="22"/>
          <w:highlight w:val="yellow"/>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0148" w14:textId="77777777" w:rsidR="001F3EBF" w:rsidRDefault="001F3EBF" w:rsidP="00241B44">
      <w:r>
        <w:separator/>
      </w:r>
    </w:p>
  </w:endnote>
  <w:endnote w:type="continuationSeparator" w:id="0">
    <w:p w14:paraId="3EACEE63" w14:textId="77777777" w:rsidR="001F3EBF" w:rsidRDefault="001F3E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54F6AC7C"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37D93BF" w:rsidR="00B64A85" w:rsidRPr="00297BDF" w:rsidRDefault="0068271A" w:rsidP="0052732A">
    <w:pPr>
      <w:pStyle w:val="Footer"/>
      <w:ind w:right="360"/>
      <w:rPr>
        <w:rFonts w:ascii="Avenir Next" w:hAnsi="Avenir Next" w:cs="Arial"/>
        <w:sz w:val="22"/>
        <w:szCs w:val="22"/>
      </w:rPr>
    </w:pPr>
    <w:r w:rsidRPr="0068271A">
      <w:rPr>
        <w:rFonts w:ascii="Avenir Next" w:hAnsi="Avenir Next" w:cs="Arial"/>
        <w:sz w:val="22"/>
        <w:szCs w:val="22"/>
      </w:rPr>
      <w:t>FC202324-1266.assessment1summative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5688" w14:textId="77777777" w:rsidR="001F3EBF" w:rsidRDefault="001F3EBF" w:rsidP="00241B44">
      <w:r>
        <w:separator/>
      </w:r>
    </w:p>
  </w:footnote>
  <w:footnote w:type="continuationSeparator" w:id="0">
    <w:p w14:paraId="5EF49309" w14:textId="77777777" w:rsidR="001F3EBF" w:rsidRDefault="001F3E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E6430F"/>
    <w:multiLevelType w:val="hybridMultilevel"/>
    <w:tmpl w:val="5DB2F24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D4D58AE"/>
    <w:multiLevelType w:val="hybridMultilevel"/>
    <w:tmpl w:val="35BCD1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5E236E2"/>
    <w:multiLevelType w:val="hybridMultilevel"/>
    <w:tmpl w:val="71AC77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60F4D"/>
    <w:multiLevelType w:val="hybridMultilevel"/>
    <w:tmpl w:val="33A6E9BA"/>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4"/>
  </w:num>
  <w:num w:numId="6" w16cid:durableId="415711827">
    <w:abstractNumId w:val="30"/>
  </w:num>
  <w:num w:numId="7" w16cid:durableId="1401949473">
    <w:abstractNumId w:val="16"/>
  </w:num>
  <w:num w:numId="8" w16cid:durableId="269552992">
    <w:abstractNumId w:val="35"/>
  </w:num>
  <w:num w:numId="9" w16cid:durableId="1367413161">
    <w:abstractNumId w:val="15"/>
  </w:num>
  <w:num w:numId="10" w16cid:durableId="220823057">
    <w:abstractNumId w:val="31"/>
  </w:num>
  <w:num w:numId="11" w16cid:durableId="858086195">
    <w:abstractNumId w:val="12"/>
  </w:num>
  <w:num w:numId="12" w16cid:durableId="2144808366">
    <w:abstractNumId w:val="32"/>
  </w:num>
  <w:num w:numId="13" w16cid:durableId="1139104618">
    <w:abstractNumId w:val="23"/>
  </w:num>
  <w:num w:numId="14" w16cid:durableId="1203787949">
    <w:abstractNumId w:val="22"/>
  </w:num>
  <w:num w:numId="15" w16cid:durableId="1140149903">
    <w:abstractNumId w:val="7"/>
  </w:num>
  <w:num w:numId="16" w16cid:durableId="1714226930">
    <w:abstractNumId w:val="25"/>
  </w:num>
  <w:num w:numId="17" w16cid:durableId="1711415350">
    <w:abstractNumId w:val="20"/>
  </w:num>
  <w:num w:numId="18" w16cid:durableId="35542391">
    <w:abstractNumId w:val="21"/>
  </w:num>
  <w:num w:numId="19" w16cid:durableId="2050493181">
    <w:abstractNumId w:val="28"/>
  </w:num>
  <w:num w:numId="20" w16cid:durableId="1469859581">
    <w:abstractNumId w:val="11"/>
  </w:num>
  <w:num w:numId="21" w16cid:durableId="408573765">
    <w:abstractNumId w:val="18"/>
  </w:num>
  <w:num w:numId="22" w16cid:durableId="482936912">
    <w:abstractNumId w:val="0"/>
  </w:num>
  <w:num w:numId="23" w16cid:durableId="1308701288">
    <w:abstractNumId w:val="27"/>
  </w:num>
  <w:num w:numId="24" w16cid:durableId="1716081525">
    <w:abstractNumId w:val="1"/>
  </w:num>
  <w:num w:numId="25" w16cid:durableId="797064315">
    <w:abstractNumId w:val="33"/>
  </w:num>
  <w:num w:numId="26" w16cid:durableId="824904852">
    <w:abstractNumId w:val="37"/>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4"/>
  </w:num>
  <w:num w:numId="32" w16cid:durableId="684208392">
    <w:abstractNumId w:val="17"/>
  </w:num>
  <w:num w:numId="33" w16cid:durableId="732118212">
    <w:abstractNumId w:val="26"/>
  </w:num>
  <w:num w:numId="34" w16cid:durableId="1912503881">
    <w:abstractNumId w:val="14"/>
  </w:num>
  <w:num w:numId="35" w16cid:durableId="1780484460">
    <w:abstractNumId w:val="36"/>
  </w:num>
  <w:num w:numId="36" w16cid:durableId="949430031">
    <w:abstractNumId w:val="6"/>
  </w:num>
  <w:num w:numId="37" w16cid:durableId="248269496">
    <w:abstractNumId w:val="2"/>
  </w:num>
  <w:num w:numId="38" w16cid:durableId="69751166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008"/>
    <w:rsid w:val="00003255"/>
    <w:rsid w:val="00003D8F"/>
    <w:rsid w:val="0000420A"/>
    <w:rsid w:val="00004AE7"/>
    <w:rsid w:val="00010BA0"/>
    <w:rsid w:val="00011F69"/>
    <w:rsid w:val="00015EE6"/>
    <w:rsid w:val="00020557"/>
    <w:rsid w:val="0002322B"/>
    <w:rsid w:val="000250C7"/>
    <w:rsid w:val="00025C83"/>
    <w:rsid w:val="00025DBA"/>
    <w:rsid w:val="00031918"/>
    <w:rsid w:val="000329A6"/>
    <w:rsid w:val="00034C0C"/>
    <w:rsid w:val="00037621"/>
    <w:rsid w:val="00040B7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46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91D"/>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861"/>
    <w:rsid w:val="00105CBD"/>
    <w:rsid w:val="001107F0"/>
    <w:rsid w:val="001107F2"/>
    <w:rsid w:val="00110E0C"/>
    <w:rsid w:val="001131C6"/>
    <w:rsid w:val="0011473D"/>
    <w:rsid w:val="00115C85"/>
    <w:rsid w:val="001174E6"/>
    <w:rsid w:val="00120B4D"/>
    <w:rsid w:val="001211E6"/>
    <w:rsid w:val="0012303D"/>
    <w:rsid w:val="00123855"/>
    <w:rsid w:val="00124B70"/>
    <w:rsid w:val="00125A7C"/>
    <w:rsid w:val="00126A4D"/>
    <w:rsid w:val="00127AF9"/>
    <w:rsid w:val="00131D42"/>
    <w:rsid w:val="0013278B"/>
    <w:rsid w:val="00132E29"/>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6F0E"/>
    <w:rsid w:val="001677CC"/>
    <w:rsid w:val="001716B9"/>
    <w:rsid w:val="00173647"/>
    <w:rsid w:val="00180548"/>
    <w:rsid w:val="00180AC4"/>
    <w:rsid w:val="00180B1E"/>
    <w:rsid w:val="00180CCE"/>
    <w:rsid w:val="00181438"/>
    <w:rsid w:val="0018267A"/>
    <w:rsid w:val="001826E6"/>
    <w:rsid w:val="00182779"/>
    <w:rsid w:val="001829DA"/>
    <w:rsid w:val="001830DF"/>
    <w:rsid w:val="00183285"/>
    <w:rsid w:val="001833C2"/>
    <w:rsid w:val="00185F52"/>
    <w:rsid w:val="001902A0"/>
    <w:rsid w:val="00192598"/>
    <w:rsid w:val="00193AB3"/>
    <w:rsid w:val="00193AD3"/>
    <w:rsid w:val="00193F39"/>
    <w:rsid w:val="001966D9"/>
    <w:rsid w:val="00197963"/>
    <w:rsid w:val="001A620B"/>
    <w:rsid w:val="001A716A"/>
    <w:rsid w:val="001A7E9A"/>
    <w:rsid w:val="001A7ECF"/>
    <w:rsid w:val="001B0F70"/>
    <w:rsid w:val="001B5016"/>
    <w:rsid w:val="001B6CEE"/>
    <w:rsid w:val="001B7835"/>
    <w:rsid w:val="001C45FC"/>
    <w:rsid w:val="001C594A"/>
    <w:rsid w:val="001C61BC"/>
    <w:rsid w:val="001D1BF7"/>
    <w:rsid w:val="001D4862"/>
    <w:rsid w:val="001D632F"/>
    <w:rsid w:val="001D7EF2"/>
    <w:rsid w:val="001E182D"/>
    <w:rsid w:val="001E1FB4"/>
    <w:rsid w:val="001E23FD"/>
    <w:rsid w:val="001E25B9"/>
    <w:rsid w:val="001E392F"/>
    <w:rsid w:val="001E49E0"/>
    <w:rsid w:val="001E7B5A"/>
    <w:rsid w:val="001F0BCF"/>
    <w:rsid w:val="001F1478"/>
    <w:rsid w:val="001F2AF5"/>
    <w:rsid w:val="001F3EBF"/>
    <w:rsid w:val="001F5204"/>
    <w:rsid w:val="001F603D"/>
    <w:rsid w:val="001F7412"/>
    <w:rsid w:val="001F7C77"/>
    <w:rsid w:val="00201386"/>
    <w:rsid w:val="002028D0"/>
    <w:rsid w:val="00202C2B"/>
    <w:rsid w:val="00205B31"/>
    <w:rsid w:val="0020725B"/>
    <w:rsid w:val="0020730B"/>
    <w:rsid w:val="00212B14"/>
    <w:rsid w:val="00216499"/>
    <w:rsid w:val="002164C0"/>
    <w:rsid w:val="00216CB4"/>
    <w:rsid w:val="002173C5"/>
    <w:rsid w:val="00223780"/>
    <w:rsid w:val="002253D8"/>
    <w:rsid w:val="00226222"/>
    <w:rsid w:val="0022719C"/>
    <w:rsid w:val="00231611"/>
    <w:rsid w:val="00231CAE"/>
    <w:rsid w:val="00231F38"/>
    <w:rsid w:val="002362AB"/>
    <w:rsid w:val="002400DB"/>
    <w:rsid w:val="002406A4"/>
    <w:rsid w:val="0024116D"/>
    <w:rsid w:val="00241B44"/>
    <w:rsid w:val="002450BC"/>
    <w:rsid w:val="00245EFB"/>
    <w:rsid w:val="002526C5"/>
    <w:rsid w:val="002529D2"/>
    <w:rsid w:val="0025386E"/>
    <w:rsid w:val="00254AB3"/>
    <w:rsid w:val="00261F6B"/>
    <w:rsid w:val="002638B0"/>
    <w:rsid w:val="0026510C"/>
    <w:rsid w:val="0026647A"/>
    <w:rsid w:val="002668D3"/>
    <w:rsid w:val="00266F17"/>
    <w:rsid w:val="002672D0"/>
    <w:rsid w:val="00270D04"/>
    <w:rsid w:val="0027242B"/>
    <w:rsid w:val="0027299F"/>
    <w:rsid w:val="00274276"/>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2B69"/>
    <w:rsid w:val="00303C2F"/>
    <w:rsid w:val="0030558B"/>
    <w:rsid w:val="00306E87"/>
    <w:rsid w:val="00310FC2"/>
    <w:rsid w:val="00311845"/>
    <w:rsid w:val="003134B4"/>
    <w:rsid w:val="003144EF"/>
    <w:rsid w:val="00316D6A"/>
    <w:rsid w:val="0032538A"/>
    <w:rsid w:val="00325B16"/>
    <w:rsid w:val="00326292"/>
    <w:rsid w:val="00326415"/>
    <w:rsid w:val="00330937"/>
    <w:rsid w:val="00330F31"/>
    <w:rsid w:val="003326F0"/>
    <w:rsid w:val="00334648"/>
    <w:rsid w:val="003361EB"/>
    <w:rsid w:val="00336CA6"/>
    <w:rsid w:val="0033768C"/>
    <w:rsid w:val="00337938"/>
    <w:rsid w:val="00340769"/>
    <w:rsid w:val="00341A65"/>
    <w:rsid w:val="00341AA6"/>
    <w:rsid w:val="00342E57"/>
    <w:rsid w:val="003500E5"/>
    <w:rsid w:val="00355B57"/>
    <w:rsid w:val="00360DCA"/>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861CD"/>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01BC"/>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9D5"/>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08BB"/>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05BA"/>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4F7DE6"/>
    <w:rsid w:val="0050156C"/>
    <w:rsid w:val="00504AFA"/>
    <w:rsid w:val="005059A4"/>
    <w:rsid w:val="0051392F"/>
    <w:rsid w:val="00515756"/>
    <w:rsid w:val="005158E9"/>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3D32"/>
    <w:rsid w:val="00544127"/>
    <w:rsid w:val="005508BB"/>
    <w:rsid w:val="00553EB2"/>
    <w:rsid w:val="00555C4D"/>
    <w:rsid w:val="00560534"/>
    <w:rsid w:val="0056391B"/>
    <w:rsid w:val="005650E2"/>
    <w:rsid w:val="00566D80"/>
    <w:rsid w:val="00567AD7"/>
    <w:rsid w:val="005701A1"/>
    <w:rsid w:val="005716C3"/>
    <w:rsid w:val="00573594"/>
    <w:rsid w:val="00575B2D"/>
    <w:rsid w:val="005770D6"/>
    <w:rsid w:val="005800D0"/>
    <w:rsid w:val="00582FD1"/>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40F"/>
    <w:rsid w:val="005966E3"/>
    <w:rsid w:val="005A0CCA"/>
    <w:rsid w:val="005A2152"/>
    <w:rsid w:val="005A2194"/>
    <w:rsid w:val="005A23ED"/>
    <w:rsid w:val="005A2628"/>
    <w:rsid w:val="005A383D"/>
    <w:rsid w:val="005A43F4"/>
    <w:rsid w:val="005A5ACB"/>
    <w:rsid w:val="005A726D"/>
    <w:rsid w:val="005B0BB2"/>
    <w:rsid w:val="005B1440"/>
    <w:rsid w:val="005B28E3"/>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0E1F"/>
    <w:rsid w:val="005E1B79"/>
    <w:rsid w:val="005E1EA8"/>
    <w:rsid w:val="005E2B20"/>
    <w:rsid w:val="005E5A66"/>
    <w:rsid w:val="005E605E"/>
    <w:rsid w:val="005E645E"/>
    <w:rsid w:val="005E7F47"/>
    <w:rsid w:val="005F026D"/>
    <w:rsid w:val="005F0764"/>
    <w:rsid w:val="005F19FA"/>
    <w:rsid w:val="005F244F"/>
    <w:rsid w:val="005F2D0B"/>
    <w:rsid w:val="005F453F"/>
    <w:rsid w:val="005F4B31"/>
    <w:rsid w:val="005F508B"/>
    <w:rsid w:val="005F5449"/>
    <w:rsid w:val="005F6059"/>
    <w:rsid w:val="0060397D"/>
    <w:rsid w:val="00604723"/>
    <w:rsid w:val="006049C3"/>
    <w:rsid w:val="00604F95"/>
    <w:rsid w:val="00610388"/>
    <w:rsid w:val="00612092"/>
    <w:rsid w:val="00612CA5"/>
    <w:rsid w:val="00614858"/>
    <w:rsid w:val="006153EC"/>
    <w:rsid w:val="00616E52"/>
    <w:rsid w:val="006208BB"/>
    <w:rsid w:val="006219CE"/>
    <w:rsid w:val="00621A17"/>
    <w:rsid w:val="0062260C"/>
    <w:rsid w:val="00627CC9"/>
    <w:rsid w:val="00627E7B"/>
    <w:rsid w:val="00630542"/>
    <w:rsid w:val="00630727"/>
    <w:rsid w:val="00631B39"/>
    <w:rsid w:val="00631E7B"/>
    <w:rsid w:val="00632E44"/>
    <w:rsid w:val="0063316D"/>
    <w:rsid w:val="00633DC9"/>
    <w:rsid w:val="00634622"/>
    <w:rsid w:val="00636808"/>
    <w:rsid w:val="0064043F"/>
    <w:rsid w:val="00641515"/>
    <w:rsid w:val="0064169B"/>
    <w:rsid w:val="00643ABE"/>
    <w:rsid w:val="00646108"/>
    <w:rsid w:val="006474FC"/>
    <w:rsid w:val="006514CD"/>
    <w:rsid w:val="00651E87"/>
    <w:rsid w:val="006521CD"/>
    <w:rsid w:val="00652A22"/>
    <w:rsid w:val="00653584"/>
    <w:rsid w:val="00654C2F"/>
    <w:rsid w:val="00655438"/>
    <w:rsid w:val="00657087"/>
    <w:rsid w:val="0065715A"/>
    <w:rsid w:val="006578EC"/>
    <w:rsid w:val="00657BD6"/>
    <w:rsid w:val="00663465"/>
    <w:rsid w:val="006639E0"/>
    <w:rsid w:val="006643E7"/>
    <w:rsid w:val="006661EF"/>
    <w:rsid w:val="006746CB"/>
    <w:rsid w:val="00677AEB"/>
    <w:rsid w:val="00680EF2"/>
    <w:rsid w:val="00682663"/>
    <w:rsid w:val="0068271A"/>
    <w:rsid w:val="00682A3E"/>
    <w:rsid w:val="006850AE"/>
    <w:rsid w:val="00686C53"/>
    <w:rsid w:val="00687A1D"/>
    <w:rsid w:val="00692852"/>
    <w:rsid w:val="00695A40"/>
    <w:rsid w:val="00696A08"/>
    <w:rsid w:val="00697EA1"/>
    <w:rsid w:val="006A051A"/>
    <w:rsid w:val="006A2646"/>
    <w:rsid w:val="006A44B2"/>
    <w:rsid w:val="006A6530"/>
    <w:rsid w:val="006A695F"/>
    <w:rsid w:val="006A6D1D"/>
    <w:rsid w:val="006B2893"/>
    <w:rsid w:val="006B37B2"/>
    <w:rsid w:val="006B435A"/>
    <w:rsid w:val="006B4539"/>
    <w:rsid w:val="006B4C64"/>
    <w:rsid w:val="006B5681"/>
    <w:rsid w:val="006B5AE8"/>
    <w:rsid w:val="006B7C40"/>
    <w:rsid w:val="006C5CE2"/>
    <w:rsid w:val="006D0529"/>
    <w:rsid w:val="006D0605"/>
    <w:rsid w:val="006D176A"/>
    <w:rsid w:val="006D564C"/>
    <w:rsid w:val="006D6BD5"/>
    <w:rsid w:val="006D7DDE"/>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DD"/>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2F34"/>
    <w:rsid w:val="00764DB0"/>
    <w:rsid w:val="00765D82"/>
    <w:rsid w:val="007671EB"/>
    <w:rsid w:val="0076764D"/>
    <w:rsid w:val="0076766F"/>
    <w:rsid w:val="00770DF5"/>
    <w:rsid w:val="0077498C"/>
    <w:rsid w:val="00777070"/>
    <w:rsid w:val="00780D67"/>
    <w:rsid w:val="007815D1"/>
    <w:rsid w:val="00782B3F"/>
    <w:rsid w:val="00784128"/>
    <w:rsid w:val="007846A3"/>
    <w:rsid w:val="007849D8"/>
    <w:rsid w:val="0078662F"/>
    <w:rsid w:val="00790B4C"/>
    <w:rsid w:val="0079206E"/>
    <w:rsid w:val="00793173"/>
    <w:rsid w:val="007958F0"/>
    <w:rsid w:val="00797E1B"/>
    <w:rsid w:val="007A12A4"/>
    <w:rsid w:val="007B1E13"/>
    <w:rsid w:val="007B3AE0"/>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54D0"/>
    <w:rsid w:val="007D7C92"/>
    <w:rsid w:val="007D7E30"/>
    <w:rsid w:val="007E1154"/>
    <w:rsid w:val="007E1212"/>
    <w:rsid w:val="007E3AA5"/>
    <w:rsid w:val="007E3ADF"/>
    <w:rsid w:val="007E41A0"/>
    <w:rsid w:val="007E43C3"/>
    <w:rsid w:val="007E530F"/>
    <w:rsid w:val="007E6BA4"/>
    <w:rsid w:val="007F19A2"/>
    <w:rsid w:val="007F21A1"/>
    <w:rsid w:val="007F2CF9"/>
    <w:rsid w:val="007F41F8"/>
    <w:rsid w:val="007F5B4C"/>
    <w:rsid w:val="00801B30"/>
    <w:rsid w:val="00803BE9"/>
    <w:rsid w:val="00804000"/>
    <w:rsid w:val="0080454E"/>
    <w:rsid w:val="00804C32"/>
    <w:rsid w:val="00806302"/>
    <w:rsid w:val="00806382"/>
    <w:rsid w:val="00807119"/>
    <w:rsid w:val="008071D5"/>
    <w:rsid w:val="00807FE8"/>
    <w:rsid w:val="00811865"/>
    <w:rsid w:val="00812BB1"/>
    <w:rsid w:val="00814A55"/>
    <w:rsid w:val="0081547D"/>
    <w:rsid w:val="00823AB4"/>
    <w:rsid w:val="0082483F"/>
    <w:rsid w:val="00827849"/>
    <w:rsid w:val="008279C0"/>
    <w:rsid w:val="008400D6"/>
    <w:rsid w:val="00841E70"/>
    <w:rsid w:val="00843016"/>
    <w:rsid w:val="00845226"/>
    <w:rsid w:val="008473AA"/>
    <w:rsid w:val="00851A7A"/>
    <w:rsid w:val="00852883"/>
    <w:rsid w:val="00852F37"/>
    <w:rsid w:val="00856644"/>
    <w:rsid w:val="008571F6"/>
    <w:rsid w:val="00857A02"/>
    <w:rsid w:val="00861E51"/>
    <w:rsid w:val="00866DC9"/>
    <w:rsid w:val="00870B96"/>
    <w:rsid w:val="008723F3"/>
    <w:rsid w:val="00872EC0"/>
    <w:rsid w:val="00873246"/>
    <w:rsid w:val="00875E2E"/>
    <w:rsid w:val="00880F99"/>
    <w:rsid w:val="00881DA8"/>
    <w:rsid w:val="00881DE6"/>
    <w:rsid w:val="008837A6"/>
    <w:rsid w:val="008841E5"/>
    <w:rsid w:val="00884602"/>
    <w:rsid w:val="00884D7C"/>
    <w:rsid w:val="00885307"/>
    <w:rsid w:val="00887CF1"/>
    <w:rsid w:val="0089145D"/>
    <w:rsid w:val="00896FD7"/>
    <w:rsid w:val="00897428"/>
    <w:rsid w:val="008A15DA"/>
    <w:rsid w:val="008A185F"/>
    <w:rsid w:val="008A30C3"/>
    <w:rsid w:val="008A30EE"/>
    <w:rsid w:val="008A4DF2"/>
    <w:rsid w:val="008A6841"/>
    <w:rsid w:val="008A6CFE"/>
    <w:rsid w:val="008B11AF"/>
    <w:rsid w:val="008B1F79"/>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1091"/>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62E1"/>
    <w:rsid w:val="009173D1"/>
    <w:rsid w:val="0092350E"/>
    <w:rsid w:val="00923CCC"/>
    <w:rsid w:val="00926D10"/>
    <w:rsid w:val="009275FE"/>
    <w:rsid w:val="00933B1A"/>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7F1F"/>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3985"/>
    <w:rsid w:val="00984680"/>
    <w:rsid w:val="00990F04"/>
    <w:rsid w:val="00991272"/>
    <w:rsid w:val="00991428"/>
    <w:rsid w:val="00992676"/>
    <w:rsid w:val="00997A85"/>
    <w:rsid w:val="009A0501"/>
    <w:rsid w:val="009A10FC"/>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55FE"/>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3DF"/>
    <w:rsid w:val="009E44C0"/>
    <w:rsid w:val="009E4DE3"/>
    <w:rsid w:val="009E50C1"/>
    <w:rsid w:val="009F0C29"/>
    <w:rsid w:val="009F0C5A"/>
    <w:rsid w:val="00A02198"/>
    <w:rsid w:val="00A02E92"/>
    <w:rsid w:val="00A047EE"/>
    <w:rsid w:val="00A057CA"/>
    <w:rsid w:val="00A136AF"/>
    <w:rsid w:val="00A13F8F"/>
    <w:rsid w:val="00A149B7"/>
    <w:rsid w:val="00A177BC"/>
    <w:rsid w:val="00A17930"/>
    <w:rsid w:val="00A2274A"/>
    <w:rsid w:val="00A235B7"/>
    <w:rsid w:val="00A23F0A"/>
    <w:rsid w:val="00A249AC"/>
    <w:rsid w:val="00A27A7A"/>
    <w:rsid w:val="00A301D1"/>
    <w:rsid w:val="00A31881"/>
    <w:rsid w:val="00A34A03"/>
    <w:rsid w:val="00A40529"/>
    <w:rsid w:val="00A407EF"/>
    <w:rsid w:val="00A411B7"/>
    <w:rsid w:val="00A42023"/>
    <w:rsid w:val="00A45800"/>
    <w:rsid w:val="00A46B4C"/>
    <w:rsid w:val="00A5117B"/>
    <w:rsid w:val="00A560B6"/>
    <w:rsid w:val="00A566E3"/>
    <w:rsid w:val="00A56CF7"/>
    <w:rsid w:val="00A56DBC"/>
    <w:rsid w:val="00A60074"/>
    <w:rsid w:val="00A63B9D"/>
    <w:rsid w:val="00A641E0"/>
    <w:rsid w:val="00A6439F"/>
    <w:rsid w:val="00A646E2"/>
    <w:rsid w:val="00A651A9"/>
    <w:rsid w:val="00A6627C"/>
    <w:rsid w:val="00A71019"/>
    <w:rsid w:val="00A73B60"/>
    <w:rsid w:val="00A75F0A"/>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29F7"/>
    <w:rsid w:val="00AC3075"/>
    <w:rsid w:val="00AC36E5"/>
    <w:rsid w:val="00AC3839"/>
    <w:rsid w:val="00AC42EF"/>
    <w:rsid w:val="00AC7082"/>
    <w:rsid w:val="00AD0662"/>
    <w:rsid w:val="00AD1B6B"/>
    <w:rsid w:val="00AD331C"/>
    <w:rsid w:val="00AD57A5"/>
    <w:rsid w:val="00AD65A8"/>
    <w:rsid w:val="00AD74AD"/>
    <w:rsid w:val="00AD76EF"/>
    <w:rsid w:val="00AD7A9A"/>
    <w:rsid w:val="00AE027F"/>
    <w:rsid w:val="00AE4D6F"/>
    <w:rsid w:val="00AE7615"/>
    <w:rsid w:val="00AF228E"/>
    <w:rsid w:val="00AF455B"/>
    <w:rsid w:val="00AF5899"/>
    <w:rsid w:val="00B0123F"/>
    <w:rsid w:val="00B04004"/>
    <w:rsid w:val="00B12F13"/>
    <w:rsid w:val="00B14819"/>
    <w:rsid w:val="00B1710D"/>
    <w:rsid w:val="00B17AA9"/>
    <w:rsid w:val="00B20235"/>
    <w:rsid w:val="00B215AB"/>
    <w:rsid w:val="00B221FF"/>
    <w:rsid w:val="00B2292D"/>
    <w:rsid w:val="00B246B1"/>
    <w:rsid w:val="00B26B31"/>
    <w:rsid w:val="00B27F73"/>
    <w:rsid w:val="00B30420"/>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669A2"/>
    <w:rsid w:val="00B7193E"/>
    <w:rsid w:val="00B72999"/>
    <w:rsid w:val="00B72FD7"/>
    <w:rsid w:val="00B736DF"/>
    <w:rsid w:val="00B74FBD"/>
    <w:rsid w:val="00B801B4"/>
    <w:rsid w:val="00B80356"/>
    <w:rsid w:val="00B82586"/>
    <w:rsid w:val="00B829A3"/>
    <w:rsid w:val="00B838B1"/>
    <w:rsid w:val="00B84CE9"/>
    <w:rsid w:val="00B86537"/>
    <w:rsid w:val="00B86DB1"/>
    <w:rsid w:val="00B87869"/>
    <w:rsid w:val="00B87A61"/>
    <w:rsid w:val="00B92D5B"/>
    <w:rsid w:val="00B9417E"/>
    <w:rsid w:val="00B948AE"/>
    <w:rsid w:val="00BA1648"/>
    <w:rsid w:val="00BA2637"/>
    <w:rsid w:val="00BA2919"/>
    <w:rsid w:val="00BA2C60"/>
    <w:rsid w:val="00BA35FF"/>
    <w:rsid w:val="00BB09FD"/>
    <w:rsid w:val="00BB0F2B"/>
    <w:rsid w:val="00BB4755"/>
    <w:rsid w:val="00BB5A37"/>
    <w:rsid w:val="00BB6955"/>
    <w:rsid w:val="00BB6F7A"/>
    <w:rsid w:val="00BC1043"/>
    <w:rsid w:val="00BC195B"/>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7044"/>
    <w:rsid w:val="00C00231"/>
    <w:rsid w:val="00C01017"/>
    <w:rsid w:val="00C02F29"/>
    <w:rsid w:val="00C04632"/>
    <w:rsid w:val="00C0557C"/>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4757B"/>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0F05"/>
    <w:rsid w:val="00C82D87"/>
    <w:rsid w:val="00C84C00"/>
    <w:rsid w:val="00C8712A"/>
    <w:rsid w:val="00C92A0D"/>
    <w:rsid w:val="00C952A2"/>
    <w:rsid w:val="00C96184"/>
    <w:rsid w:val="00C963D3"/>
    <w:rsid w:val="00CA0B50"/>
    <w:rsid w:val="00CA1802"/>
    <w:rsid w:val="00CA6E99"/>
    <w:rsid w:val="00CB262C"/>
    <w:rsid w:val="00CB2CBB"/>
    <w:rsid w:val="00CB3EB6"/>
    <w:rsid w:val="00CB7283"/>
    <w:rsid w:val="00CB7CAC"/>
    <w:rsid w:val="00CC275B"/>
    <w:rsid w:val="00CC2B46"/>
    <w:rsid w:val="00CC467D"/>
    <w:rsid w:val="00CC5051"/>
    <w:rsid w:val="00CC5335"/>
    <w:rsid w:val="00CC579C"/>
    <w:rsid w:val="00CC5BA4"/>
    <w:rsid w:val="00CC5ECB"/>
    <w:rsid w:val="00CC7728"/>
    <w:rsid w:val="00CD0E2B"/>
    <w:rsid w:val="00CD0FFE"/>
    <w:rsid w:val="00CD34DB"/>
    <w:rsid w:val="00CD377A"/>
    <w:rsid w:val="00CD4998"/>
    <w:rsid w:val="00CD499F"/>
    <w:rsid w:val="00CD6319"/>
    <w:rsid w:val="00CD7DBC"/>
    <w:rsid w:val="00CE1035"/>
    <w:rsid w:val="00CE62CA"/>
    <w:rsid w:val="00CF01D6"/>
    <w:rsid w:val="00CF2819"/>
    <w:rsid w:val="00CF40BC"/>
    <w:rsid w:val="00CF4F9D"/>
    <w:rsid w:val="00CF5AD8"/>
    <w:rsid w:val="00CF70DC"/>
    <w:rsid w:val="00CF717B"/>
    <w:rsid w:val="00D068C5"/>
    <w:rsid w:val="00D07F87"/>
    <w:rsid w:val="00D148DC"/>
    <w:rsid w:val="00D1688E"/>
    <w:rsid w:val="00D17C10"/>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19B"/>
    <w:rsid w:val="00D676F1"/>
    <w:rsid w:val="00D714E4"/>
    <w:rsid w:val="00D761ED"/>
    <w:rsid w:val="00D764F2"/>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1EAB"/>
    <w:rsid w:val="00DC2A3F"/>
    <w:rsid w:val="00DC2BEC"/>
    <w:rsid w:val="00DC2FDB"/>
    <w:rsid w:val="00DC3089"/>
    <w:rsid w:val="00DC38CC"/>
    <w:rsid w:val="00DC4420"/>
    <w:rsid w:val="00DC6681"/>
    <w:rsid w:val="00DD01DA"/>
    <w:rsid w:val="00DD0802"/>
    <w:rsid w:val="00DD0B2C"/>
    <w:rsid w:val="00DD19C6"/>
    <w:rsid w:val="00DD2E11"/>
    <w:rsid w:val="00DD461D"/>
    <w:rsid w:val="00DD4E68"/>
    <w:rsid w:val="00DD526C"/>
    <w:rsid w:val="00DD59B5"/>
    <w:rsid w:val="00DD6923"/>
    <w:rsid w:val="00DD7AD7"/>
    <w:rsid w:val="00DE03AF"/>
    <w:rsid w:val="00DE097E"/>
    <w:rsid w:val="00DE121C"/>
    <w:rsid w:val="00DE475E"/>
    <w:rsid w:val="00DE6633"/>
    <w:rsid w:val="00DF056D"/>
    <w:rsid w:val="00DF2C99"/>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17DEF"/>
    <w:rsid w:val="00E22DE4"/>
    <w:rsid w:val="00E25FB8"/>
    <w:rsid w:val="00E26E19"/>
    <w:rsid w:val="00E31DF3"/>
    <w:rsid w:val="00E37049"/>
    <w:rsid w:val="00E4126D"/>
    <w:rsid w:val="00E450A4"/>
    <w:rsid w:val="00E506BE"/>
    <w:rsid w:val="00E512CD"/>
    <w:rsid w:val="00E518B6"/>
    <w:rsid w:val="00E51B74"/>
    <w:rsid w:val="00E525B9"/>
    <w:rsid w:val="00E53792"/>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1EA2"/>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86"/>
    <w:rsid w:val="00EE6390"/>
    <w:rsid w:val="00EE7278"/>
    <w:rsid w:val="00EF090E"/>
    <w:rsid w:val="00EF16B6"/>
    <w:rsid w:val="00EF179D"/>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237"/>
    <w:rsid w:val="00F63720"/>
    <w:rsid w:val="00F65FB6"/>
    <w:rsid w:val="00F66AFF"/>
    <w:rsid w:val="00F71433"/>
    <w:rsid w:val="00F71CE8"/>
    <w:rsid w:val="00F722D2"/>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0BEB"/>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26AA"/>
    <w:rsid w:val="00FD36C5"/>
    <w:rsid w:val="00FD3DA6"/>
    <w:rsid w:val="00FD5B6F"/>
    <w:rsid w:val="00FD6126"/>
    <w:rsid w:val="00FD614A"/>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8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table" w:styleId="TableGrid">
    <w:name w:val="Table Grid"/>
    <w:basedOn w:val="TableNormal"/>
    <w:uiPriority w:val="39"/>
    <w:rsid w:val="0084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Ler</cp:lastModifiedBy>
  <cp:revision>140</cp:revision>
  <cp:lastPrinted>2020-06-12T02:43:00Z</cp:lastPrinted>
  <dcterms:created xsi:type="dcterms:W3CDTF">2023-07-14T10:19:00Z</dcterms:created>
  <dcterms:modified xsi:type="dcterms:W3CDTF">2023-11-15T22:34:00Z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