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Pr="006B2934" w:rsidRDefault="00E93993" w:rsidP="00592F82">
      <w:pPr>
        <w:jc w:val="center"/>
        <w:rPr>
          <w:rFonts w:ascii="Arial" w:hAnsi="Arial" w:cs="Arial"/>
          <w:b/>
          <w:sz w:val="22"/>
          <w:szCs w:val="22"/>
          <w:lang w:val="en-SG"/>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252930" w:rsidRDefault="00806382" w:rsidP="00806382">
      <w:pPr>
        <w:pStyle w:val="ListParagraph"/>
        <w:numPr>
          <w:ilvl w:val="0"/>
          <w:numId w:val="15"/>
        </w:numPr>
        <w:ind w:left="425" w:hanging="357"/>
        <w:jc w:val="both"/>
        <w:rPr>
          <w:rFonts w:ascii="Avenir Next" w:hAnsi="Avenir Next" w:cs="Arial"/>
          <w:sz w:val="22"/>
          <w:szCs w:val="22"/>
          <w:highlight w:val="yellow"/>
        </w:rPr>
      </w:pPr>
      <w:r w:rsidRPr="00252930">
        <w:rPr>
          <w:rFonts w:ascii="Avenir Next" w:hAnsi="Avenir Next" w:cs="Arial"/>
          <w:sz w:val="22"/>
          <w:szCs w:val="22"/>
          <w:highlight w:val="yellow"/>
        </w:rPr>
        <w:t xml:space="preserve">This statement is untrue since the word </w:t>
      </w:r>
      <w:r w:rsidR="00823AB4" w:rsidRPr="00252930">
        <w:rPr>
          <w:rFonts w:ascii="Avenir Next" w:hAnsi="Avenir Next" w:cs="Arial"/>
          <w:sz w:val="22"/>
          <w:szCs w:val="22"/>
          <w:highlight w:val="yellow"/>
        </w:rPr>
        <w:t>“</w:t>
      </w:r>
      <w:r w:rsidRPr="00252930">
        <w:rPr>
          <w:rFonts w:ascii="Avenir Next" w:hAnsi="Avenir Next" w:cs="Arial"/>
          <w:sz w:val="22"/>
          <w:szCs w:val="22"/>
          <w:highlight w:val="yellow"/>
        </w:rPr>
        <w:t>bankruptcy</w:t>
      </w:r>
      <w:r w:rsidR="00823AB4" w:rsidRPr="00252930">
        <w:rPr>
          <w:rFonts w:ascii="Avenir Next" w:hAnsi="Avenir Next" w:cs="Arial"/>
          <w:sz w:val="22"/>
          <w:szCs w:val="22"/>
          <w:highlight w:val="yellow"/>
        </w:rPr>
        <w:t>”</w:t>
      </w:r>
      <w:r w:rsidRPr="00252930">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4952C4" w:rsidRDefault="001211E6" w:rsidP="001211E6">
      <w:pPr>
        <w:pStyle w:val="ListParagraph"/>
        <w:numPr>
          <w:ilvl w:val="0"/>
          <w:numId w:val="16"/>
        </w:numPr>
        <w:ind w:left="426"/>
        <w:jc w:val="both"/>
        <w:rPr>
          <w:rFonts w:ascii="Avenir Next" w:hAnsi="Avenir Next" w:cs="Arial"/>
          <w:sz w:val="22"/>
          <w:szCs w:val="22"/>
          <w:highlight w:val="yellow"/>
        </w:rPr>
      </w:pPr>
      <w:r w:rsidRPr="004952C4">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A42DA" w:rsidRDefault="000977DC" w:rsidP="006A5DD0">
      <w:pPr>
        <w:pStyle w:val="ListParagraph"/>
        <w:numPr>
          <w:ilvl w:val="0"/>
          <w:numId w:val="21"/>
        </w:numPr>
        <w:shd w:val="clear" w:color="auto" w:fill="FFFF00"/>
        <w:ind w:left="426"/>
        <w:jc w:val="both"/>
        <w:rPr>
          <w:rFonts w:ascii="Avenir Next" w:eastAsiaTheme="minorHAnsi" w:hAnsi="Avenir Next" w:cs="Arial"/>
          <w:sz w:val="22"/>
          <w:szCs w:val="22"/>
          <w:lang w:val="en-GB"/>
        </w:rPr>
      </w:pPr>
      <w:r w:rsidRPr="00227D84">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r w:rsidRPr="00DA42DA">
        <w:rPr>
          <w:rFonts w:ascii="Avenir Next" w:eastAsiaTheme="minorHAnsi" w:hAnsi="Avenir Next" w:cs="Arial"/>
          <w:sz w:val="22"/>
          <w:szCs w:val="22"/>
          <w:lang w:val="en-GB"/>
        </w:rPr>
        <w:t>.</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252930"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252930">
        <w:rPr>
          <w:rFonts w:ascii="Avenir Next" w:hAnsi="Avenir Next" w:cs="Arial"/>
          <w:sz w:val="22"/>
          <w:szCs w:val="22"/>
          <w:highlight w:val="yellow"/>
          <w:lang w:val="en-GB"/>
        </w:rPr>
        <w:t xml:space="preserve">This statement is incorrect since a statutory discharge of debt was only introduced in 1705 in England.    </w:t>
      </w:r>
      <w:r w:rsidRPr="00252930">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6A5DD0" w:rsidRDefault="006514CD" w:rsidP="006A5DD0">
      <w:pPr>
        <w:pStyle w:val="ListParagraph"/>
        <w:numPr>
          <w:ilvl w:val="0"/>
          <w:numId w:val="19"/>
        </w:numPr>
        <w:ind w:left="425" w:hanging="357"/>
        <w:jc w:val="both"/>
        <w:rPr>
          <w:rFonts w:ascii="Avenir Next" w:hAnsi="Avenir Next" w:cs="Arial"/>
          <w:sz w:val="22"/>
          <w:szCs w:val="22"/>
          <w:highlight w:val="yellow"/>
        </w:rPr>
      </w:pPr>
      <w:r w:rsidRPr="006A5DD0">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6A5DD0" w:rsidRDefault="006514CD" w:rsidP="006514CD">
      <w:pPr>
        <w:pStyle w:val="ListParagraph"/>
        <w:numPr>
          <w:ilvl w:val="0"/>
          <w:numId w:val="19"/>
        </w:numPr>
        <w:ind w:left="425" w:hanging="357"/>
        <w:jc w:val="both"/>
        <w:rPr>
          <w:rFonts w:ascii="Avenir Next" w:hAnsi="Avenir Next" w:cs="Arial"/>
          <w:sz w:val="22"/>
          <w:szCs w:val="22"/>
        </w:rPr>
      </w:pPr>
      <w:r w:rsidRPr="006A5DD0">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BB2C89"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BB2C89">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BB2C89" w:rsidRDefault="00AD76EF" w:rsidP="00AD76EF">
      <w:pPr>
        <w:pStyle w:val="ListParagraph"/>
        <w:numPr>
          <w:ilvl w:val="0"/>
          <w:numId w:val="17"/>
        </w:numPr>
        <w:ind w:left="426"/>
        <w:jc w:val="both"/>
        <w:rPr>
          <w:rFonts w:ascii="Avenir Next" w:hAnsi="Avenir Next" w:cs="Arial"/>
          <w:sz w:val="22"/>
          <w:szCs w:val="22"/>
          <w:highlight w:val="yellow"/>
        </w:rPr>
      </w:pPr>
      <w:r w:rsidRPr="00BB2C89">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BB2C89"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BB2C89">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B65E8E" w:rsidRDefault="009661DE" w:rsidP="009661DE">
      <w:pPr>
        <w:pStyle w:val="ListParagraph"/>
        <w:numPr>
          <w:ilvl w:val="0"/>
          <w:numId w:val="23"/>
        </w:numPr>
        <w:ind w:left="426"/>
        <w:jc w:val="both"/>
        <w:rPr>
          <w:rFonts w:ascii="Avenir Next" w:hAnsi="Avenir Next" w:cs="Arial"/>
          <w:sz w:val="22"/>
          <w:szCs w:val="22"/>
          <w:highlight w:val="yellow"/>
        </w:rPr>
      </w:pPr>
      <w:r w:rsidRPr="00B65E8E">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724652" w:rsidRDefault="003B3A0D" w:rsidP="003B3A0D">
      <w:pPr>
        <w:pStyle w:val="ListParagraph"/>
        <w:numPr>
          <w:ilvl w:val="0"/>
          <w:numId w:val="24"/>
        </w:numPr>
        <w:ind w:left="426"/>
        <w:jc w:val="both"/>
        <w:rPr>
          <w:rFonts w:ascii="Avenir Next" w:hAnsi="Avenir Next" w:cs="Arial"/>
          <w:sz w:val="22"/>
          <w:szCs w:val="22"/>
          <w:highlight w:val="yellow"/>
        </w:rPr>
      </w:pPr>
      <w:r w:rsidRPr="00724652">
        <w:rPr>
          <w:rFonts w:ascii="Avenir Next" w:hAnsi="Avenir Next" w:cs="Arial"/>
          <w:sz w:val="22"/>
          <w:szCs w:val="22"/>
          <w:highlight w:val="yellow"/>
        </w:rPr>
        <w:t>This statement is untrue because universalism corresponds well to globali</w:t>
      </w:r>
      <w:r w:rsidR="00142E15" w:rsidRPr="00724652">
        <w:rPr>
          <w:rFonts w:ascii="Avenir Next" w:hAnsi="Avenir Next" w:cs="Arial"/>
          <w:sz w:val="22"/>
          <w:szCs w:val="22"/>
          <w:highlight w:val="yellow"/>
        </w:rPr>
        <w:t>s</w:t>
      </w:r>
      <w:r w:rsidRPr="00724652">
        <w:rPr>
          <w:rFonts w:ascii="Avenir Next" w:hAnsi="Avenir Next" w:cs="Arial"/>
          <w:sz w:val="22"/>
          <w:szCs w:val="22"/>
          <w:highlight w:val="yellow"/>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1674CAB7" w14:textId="526A250A" w:rsidR="00B36EE3" w:rsidRDefault="00DA42DA" w:rsidP="00692852">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B36EE3">
        <w:rPr>
          <w:rFonts w:ascii="Avenir Next" w:hAnsi="Avenir Next" w:cs="Arial"/>
          <w:color w:val="808080" w:themeColor="background1" w:themeShade="80"/>
          <w:sz w:val="22"/>
          <w:szCs w:val="22"/>
          <w:lang w:val="en-GB"/>
        </w:rPr>
        <w:t xml:space="preserve">Countries whose insolvency law systems have historical roots in civil law </w:t>
      </w:r>
      <w:r w:rsidR="001B73BE">
        <w:rPr>
          <w:rFonts w:ascii="Avenir Next" w:hAnsi="Avenir Next" w:cs="Arial"/>
          <w:color w:val="808080" w:themeColor="background1" w:themeShade="80"/>
          <w:sz w:val="22"/>
          <w:szCs w:val="22"/>
          <w:lang w:val="en-GB"/>
        </w:rPr>
        <w:t xml:space="preserve">include </w:t>
      </w:r>
      <w:r w:rsidR="0029520A">
        <w:rPr>
          <w:rFonts w:ascii="Avenir Next" w:hAnsi="Avenir Next" w:cs="Arial"/>
          <w:color w:val="808080" w:themeColor="background1" w:themeShade="80"/>
          <w:sz w:val="22"/>
          <w:szCs w:val="22"/>
          <w:lang w:val="en-GB"/>
        </w:rPr>
        <w:t xml:space="preserve">the Netherlands and France. </w:t>
      </w:r>
    </w:p>
    <w:p w14:paraId="7F55B89C" w14:textId="77777777" w:rsidR="00B36EE3" w:rsidRDefault="00B36EE3" w:rsidP="00692852">
      <w:pPr>
        <w:jc w:val="both"/>
        <w:rPr>
          <w:rFonts w:ascii="Avenir Next" w:hAnsi="Avenir Next" w:cs="Arial"/>
          <w:color w:val="808080" w:themeColor="background1" w:themeShade="80"/>
          <w:sz w:val="22"/>
          <w:szCs w:val="22"/>
          <w:lang w:val="en-GB"/>
        </w:rPr>
      </w:pPr>
    </w:p>
    <w:p w14:paraId="7C093C0C" w14:textId="105DD40A" w:rsidR="00D30AA8" w:rsidRDefault="00B0444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Countries whose insolvency law systems have historical roots in English law include</w:t>
      </w:r>
      <w:r w:rsidR="005A4B73">
        <w:rPr>
          <w:rFonts w:ascii="Avenir Next" w:hAnsi="Avenir Next" w:cs="Arial"/>
          <w:color w:val="808080" w:themeColor="background1" w:themeShade="80"/>
          <w:sz w:val="22"/>
          <w:szCs w:val="22"/>
          <w:lang w:val="en-GB"/>
        </w:rPr>
        <w:t xml:space="preserve"> </w:t>
      </w:r>
      <w:r w:rsidR="00863B67">
        <w:rPr>
          <w:rFonts w:ascii="Avenir Next" w:hAnsi="Avenir Next" w:cs="Arial"/>
          <w:color w:val="808080" w:themeColor="background1" w:themeShade="80"/>
          <w:sz w:val="22"/>
          <w:szCs w:val="22"/>
          <w:lang w:val="en-GB"/>
        </w:rPr>
        <w:t xml:space="preserve">Australia, </w:t>
      </w:r>
      <w:r w:rsidR="005A4B73">
        <w:rPr>
          <w:rFonts w:ascii="Avenir Next" w:hAnsi="Avenir Next" w:cs="Arial"/>
          <w:color w:val="808080" w:themeColor="background1" w:themeShade="80"/>
          <w:sz w:val="22"/>
          <w:szCs w:val="22"/>
          <w:lang w:val="en-GB"/>
        </w:rPr>
        <w:t>India,</w:t>
      </w:r>
      <w:r w:rsidR="00007CB3">
        <w:rPr>
          <w:rFonts w:ascii="Avenir Next" w:hAnsi="Avenir Next" w:cs="Arial"/>
          <w:color w:val="808080" w:themeColor="background1" w:themeShade="80"/>
          <w:sz w:val="22"/>
          <w:szCs w:val="22"/>
          <w:lang w:val="en-GB"/>
        </w:rPr>
        <w:t xml:space="preserve"> and certain African nations such as</w:t>
      </w:r>
      <w:r w:rsidR="005A4B73">
        <w:rPr>
          <w:rFonts w:ascii="Avenir Next" w:hAnsi="Avenir Next" w:cs="Arial"/>
          <w:color w:val="808080" w:themeColor="background1" w:themeShade="80"/>
          <w:sz w:val="22"/>
          <w:szCs w:val="22"/>
          <w:lang w:val="en-GB"/>
        </w:rPr>
        <w:t xml:space="preserve"> </w:t>
      </w:r>
      <w:r w:rsidR="004A015E">
        <w:rPr>
          <w:rFonts w:ascii="Avenir Next" w:hAnsi="Avenir Next" w:cs="Arial"/>
          <w:color w:val="808080" w:themeColor="background1" w:themeShade="80"/>
          <w:sz w:val="22"/>
          <w:szCs w:val="22"/>
          <w:lang w:val="en-GB"/>
        </w:rPr>
        <w:t>Nigeria</w:t>
      </w:r>
      <w:r w:rsidR="00EE023C">
        <w:rPr>
          <w:rFonts w:ascii="Avenir Next" w:hAnsi="Avenir Next" w:cs="Arial"/>
          <w:color w:val="808080" w:themeColor="background1" w:themeShade="80"/>
          <w:sz w:val="22"/>
          <w:szCs w:val="22"/>
          <w:lang w:val="en-GB"/>
        </w:rPr>
        <w:t>, Kenya and Zambia</w:t>
      </w:r>
      <w:r w:rsidR="00B36EE3">
        <w:rPr>
          <w:rFonts w:ascii="Avenir Next" w:hAnsi="Avenir Next" w:cs="Arial"/>
          <w:color w:val="808080" w:themeColor="background1" w:themeShade="80"/>
          <w:sz w:val="22"/>
          <w:szCs w:val="22"/>
          <w:lang w:val="en-GB"/>
        </w:rPr>
        <w:t>.</w:t>
      </w:r>
      <w:r w:rsidR="00555B38">
        <w:rPr>
          <w:rFonts w:ascii="Avenir Next" w:hAnsi="Avenir Next" w:cs="Arial"/>
          <w:color w:val="808080" w:themeColor="background1" w:themeShade="80"/>
          <w:sz w:val="22"/>
          <w:szCs w:val="22"/>
          <w:lang w:val="en-GB"/>
        </w:rPr>
        <w:t xml:space="preserve"> </w:t>
      </w:r>
    </w:p>
    <w:p w14:paraId="33545177" w14:textId="77777777" w:rsidR="00097337" w:rsidRDefault="00097337" w:rsidP="00692852">
      <w:pPr>
        <w:jc w:val="both"/>
        <w:rPr>
          <w:rFonts w:ascii="Avenir Next" w:hAnsi="Avenir Next" w:cs="Arial"/>
          <w:color w:val="808080" w:themeColor="background1" w:themeShade="80"/>
          <w:sz w:val="22"/>
          <w:szCs w:val="22"/>
          <w:lang w:val="en-GB"/>
        </w:rPr>
      </w:pPr>
    </w:p>
    <w:p w14:paraId="7ADA2221" w14:textId="5723C89B" w:rsidR="00097337" w:rsidRDefault="00097337"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common factor between the insolvency law systems based on civil law and those insolvency law systems based on English law is that both systems were historically pro-creditor with harsh consequences imposed on debtors. For example, under the previous 1807 code under French insolvency law, it allow</w:t>
      </w:r>
      <w:r w:rsidR="00397081">
        <w:rPr>
          <w:rFonts w:ascii="Avenir Next" w:hAnsi="Avenir Next" w:cs="Arial"/>
          <w:color w:val="808080" w:themeColor="background1" w:themeShade="80"/>
          <w:sz w:val="22"/>
          <w:szCs w:val="22"/>
          <w:lang w:val="en-GB"/>
        </w:rPr>
        <w:t>ed</w:t>
      </w:r>
      <w:r>
        <w:rPr>
          <w:rFonts w:ascii="Avenir Next" w:hAnsi="Avenir Next" w:cs="Arial"/>
          <w:color w:val="808080" w:themeColor="background1" w:themeShade="80"/>
          <w:sz w:val="22"/>
          <w:szCs w:val="22"/>
          <w:lang w:val="en-GB"/>
        </w:rPr>
        <w:t xml:space="preserve"> for severe consequences to be imposed on debtors such and their arrest and detention. Historically, insolvency in English law was also pro-creditor as it did not initially provide for the discharge of debts for a debtor and harsh sentences could be imposed on debtors such as committing them to prison</w:t>
      </w:r>
      <w:r w:rsidR="00397081">
        <w:rPr>
          <w:rFonts w:ascii="Avenir Next" w:hAnsi="Avenir Next" w:cs="Arial"/>
          <w:color w:val="808080" w:themeColor="background1" w:themeShade="80"/>
          <w:sz w:val="22"/>
          <w:szCs w:val="22"/>
          <w:lang w:val="en-GB"/>
        </w:rPr>
        <w:t xml:space="preserve">. </w:t>
      </w:r>
    </w:p>
    <w:p w14:paraId="19C6E487" w14:textId="77777777" w:rsidR="00D30AA8" w:rsidRDefault="00D30AA8" w:rsidP="00692852">
      <w:pPr>
        <w:jc w:val="both"/>
        <w:rPr>
          <w:rFonts w:ascii="Avenir Next" w:hAnsi="Avenir Next" w:cs="Arial"/>
          <w:color w:val="808080" w:themeColor="background1" w:themeShade="80"/>
          <w:sz w:val="22"/>
          <w:szCs w:val="22"/>
          <w:lang w:val="en-GB"/>
        </w:rPr>
      </w:pPr>
    </w:p>
    <w:p w14:paraId="0E7A983D" w14:textId="13CDC5C3" w:rsidR="00D30AA8" w:rsidRDefault="00E3273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Generally, countries with</w:t>
      </w:r>
      <w:r w:rsidR="00F8645A">
        <w:rPr>
          <w:rFonts w:ascii="Avenir Next" w:hAnsi="Avenir Next" w:cs="Arial"/>
          <w:color w:val="808080" w:themeColor="background1" w:themeShade="80"/>
          <w:sz w:val="22"/>
          <w:szCs w:val="22"/>
          <w:lang w:val="en-GB"/>
        </w:rPr>
        <w:t xml:space="preserve"> historical roots in English law are based on</w:t>
      </w:r>
      <w:r w:rsidR="00B71AA5">
        <w:rPr>
          <w:rFonts w:ascii="Avenir Next" w:hAnsi="Avenir Next" w:cs="Arial"/>
          <w:color w:val="808080" w:themeColor="background1" w:themeShade="80"/>
          <w:sz w:val="22"/>
          <w:szCs w:val="22"/>
          <w:lang w:val="en-GB"/>
        </w:rPr>
        <w:t xml:space="preserve"> the</w:t>
      </w:r>
      <w:r>
        <w:rPr>
          <w:rFonts w:ascii="Avenir Next" w:hAnsi="Avenir Next" w:cs="Arial"/>
          <w:color w:val="808080" w:themeColor="background1" w:themeShade="80"/>
          <w:sz w:val="22"/>
          <w:szCs w:val="22"/>
          <w:lang w:val="en-GB"/>
        </w:rPr>
        <w:t xml:space="preserve"> common law</w:t>
      </w:r>
      <w:r w:rsidR="00B71AA5">
        <w:rPr>
          <w:rFonts w:ascii="Avenir Next" w:hAnsi="Avenir Next" w:cs="Arial"/>
          <w:color w:val="808080" w:themeColor="background1" w:themeShade="80"/>
          <w:sz w:val="22"/>
          <w:szCs w:val="22"/>
          <w:lang w:val="en-GB"/>
        </w:rPr>
        <w:t xml:space="preserve">, and </w:t>
      </w:r>
      <w:r w:rsidR="007627CC">
        <w:rPr>
          <w:rFonts w:ascii="Avenir Next" w:hAnsi="Avenir Next" w:cs="Arial"/>
          <w:color w:val="808080" w:themeColor="background1" w:themeShade="80"/>
          <w:sz w:val="22"/>
          <w:szCs w:val="22"/>
          <w:lang w:val="en-GB"/>
        </w:rPr>
        <w:t>will have legislation or statutes as one of the main sources of insolvency law</w:t>
      </w:r>
      <w:r w:rsidR="007045E5">
        <w:rPr>
          <w:rFonts w:ascii="Avenir Next" w:hAnsi="Avenir Next" w:cs="Arial"/>
          <w:color w:val="808080" w:themeColor="background1" w:themeShade="80"/>
          <w:sz w:val="22"/>
          <w:szCs w:val="22"/>
          <w:lang w:val="en-GB"/>
        </w:rPr>
        <w:t>, but may also</w:t>
      </w:r>
      <w:r w:rsidR="007627CC">
        <w:rPr>
          <w:rFonts w:ascii="Avenir Next" w:hAnsi="Avenir Next" w:cs="Arial"/>
          <w:color w:val="808080" w:themeColor="background1" w:themeShade="80"/>
          <w:sz w:val="22"/>
          <w:szCs w:val="22"/>
          <w:lang w:val="en-GB"/>
        </w:rPr>
        <w:t xml:space="preserve"> </w:t>
      </w:r>
      <w:r w:rsidR="0063099F">
        <w:rPr>
          <w:rFonts w:ascii="Avenir Next" w:hAnsi="Avenir Next" w:cs="Arial"/>
          <w:color w:val="808080" w:themeColor="background1" w:themeShade="80"/>
          <w:sz w:val="22"/>
          <w:szCs w:val="22"/>
          <w:lang w:val="en-GB"/>
        </w:rPr>
        <w:t>rely on</w:t>
      </w:r>
      <w:r w:rsidR="00FF7EC5">
        <w:rPr>
          <w:rFonts w:ascii="Avenir Next" w:hAnsi="Avenir Next" w:cs="Arial"/>
          <w:color w:val="808080" w:themeColor="background1" w:themeShade="80"/>
          <w:sz w:val="22"/>
          <w:szCs w:val="22"/>
          <w:lang w:val="en-GB"/>
        </w:rPr>
        <w:t xml:space="preserve"> common law </w:t>
      </w:r>
      <w:r w:rsidR="0063099F">
        <w:rPr>
          <w:rFonts w:ascii="Avenir Next" w:hAnsi="Avenir Next" w:cs="Arial"/>
          <w:color w:val="808080" w:themeColor="background1" w:themeShade="80"/>
          <w:sz w:val="22"/>
          <w:szCs w:val="22"/>
          <w:lang w:val="en-GB"/>
        </w:rPr>
        <w:t xml:space="preserve">principles </w:t>
      </w:r>
      <w:r w:rsidR="00161DC8">
        <w:rPr>
          <w:rFonts w:ascii="Avenir Next" w:hAnsi="Avenir Next" w:cs="Arial"/>
          <w:color w:val="808080" w:themeColor="background1" w:themeShade="80"/>
          <w:sz w:val="22"/>
          <w:szCs w:val="22"/>
          <w:lang w:val="en-GB"/>
        </w:rPr>
        <w:t xml:space="preserve">that </w:t>
      </w:r>
      <w:r w:rsidR="00983783">
        <w:rPr>
          <w:rFonts w:ascii="Avenir Next" w:hAnsi="Avenir Next" w:cs="Arial"/>
          <w:color w:val="808080" w:themeColor="background1" w:themeShade="80"/>
          <w:sz w:val="22"/>
          <w:szCs w:val="22"/>
          <w:lang w:val="en-GB"/>
        </w:rPr>
        <w:t>has been</w:t>
      </w:r>
      <w:r w:rsidR="00161DC8">
        <w:rPr>
          <w:rFonts w:ascii="Avenir Next" w:hAnsi="Avenir Next" w:cs="Arial"/>
          <w:color w:val="808080" w:themeColor="background1" w:themeShade="80"/>
          <w:sz w:val="22"/>
          <w:szCs w:val="22"/>
          <w:lang w:val="en-GB"/>
        </w:rPr>
        <w:t xml:space="preserve"> developed through case law and jurisprudence to fill any </w:t>
      </w:r>
      <w:r w:rsidR="00983783">
        <w:rPr>
          <w:rFonts w:ascii="Avenir Next" w:hAnsi="Avenir Next" w:cs="Arial"/>
          <w:color w:val="808080" w:themeColor="background1" w:themeShade="80"/>
          <w:sz w:val="22"/>
          <w:szCs w:val="22"/>
          <w:lang w:val="en-GB"/>
        </w:rPr>
        <w:t>gaps in the existing insolvency legislation</w:t>
      </w:r>
      <w:r w:rsidR="000436A6">
        <w:rPr>
          <w:rFonts w:ascii="Avenir Next" w:hAnsi="Avenir Next" w:cs="Arial"/>
          <w:color w:val="808080" w:themeColor="background1" w:themeShade="80"/>
          <w:sz w:val="22"/>
          <w:szCs w:val="22"/>
          <w:lang w:val="en-GB"/>
        </w:rPr>
        <w:t xml:space="preserve"> which has not been explicitly provided for. On the other hand, countries with civil law systems </w:t>
      </w:r>
      <w:r w:rsidR="005E4F96">
        <w:rPr>
          <w:rFonts w:ascii="Avenir Next" w:hAnsi="Avenir Next" w:cs="Arial"/>
          <w:color w:val="808080" w:themeColor="background1" w:themeShade="80"/>
          <w:sz w:val="22"/>
          <w:szCs w:val="22"/>
          <w:lang w:val="en-GB"/>
        </w:rPr>
        <w:t xml:space="preserve">generally </w:t>
      </w:r>
      <w:r w:rsidR="00621B70">
        <w:rPr>
          <w:rFonts w:ascii="Avenir Next" w:hAnsi="Avenir Next" w:cs="Arial"/>
          <w:color w:val="808080" w:themeColor="background1" w:themeShade="80"/>
          <w:sz w:val="22"/>
          <w:szCs w:val="22"/>
          <w:lang w:val="en-GB"/>
        </w:rPr>
        <w:t xml:space="preserve">do not </w:t>
      </w:r>
      <w:r w:rsidR="006C1FB4">
        <w:rPr>
          <w:rFonts w:ascii="Avenir Next" w:hAnsi="Avenir Next" w:cs="Arial"/>
          <w:color w:val="808080" w:themeColor="background1" w:themeShade="80"/>
          <w:sz w:val="22"/>
          <w:szCs w:val="22"/>
          <w:lang w:val="en-GB"/>
        </w:rPr>
        <w:t>rely on decided case law to develop the law as such cases do not operate as binding precedents</w:t>
      </w:r>
      <w:r w:rsidR="00BD5C1D">
        <w:rPr>
          <w:rFonts w:ascii="Avenir Next" w:hAnsi="Avenir Next" w:cs="Arial"/>
          <w:color w:val="808080" w:themeColor="background1" w:themeShade="80"/>
          <w:sz w:val="22"/>
          <w:szCs w:val="22"/>
          <w:lang w:val="en-GB"/>
        </w:rPr>
        <w:t xml:space="preserve"> for future decisions</w:t>
      </w:r>
      <w:r w:rsidR="006C1FB4">
        <w:rPr>
          <w:rFonts w:ascii="Avenir Next" w:hAnsi="Avenir Next" w:cs="Arial"/>
          <w:color w:val="808080" w:themeColor="background1" w:themeShade="80"/>
          <w:sz w:val="22"/>
          <w:szCs w:val="22"/>
          <w:lang w:val="en-GB"/>
        </w:rPr>
        <w:t xml:space="preserve">, </w:t>
      </w:r>
      <w:r w:rsidR="00BD5C1D">
        <w:rPr>
          <w:rFonts w:ascii="Avenir Next" w:hAnsi="Avenir Next" w:cs="Arial"/>
          <w:color w:val="808080" w:themeColor="background1" w:themeShade="80"/>
          <w:sz w:val="22"/>
          <w:szCs w:val="22"/>
          <w:lang w:val="en-GB"/>
        </w:rPr>
        <w:t xml:space="preserve">and </w:t>
      </w:r>
      <w:r w:rsidR="006C1FB4">
        <w:rPr>
          <w:rFonts w:ascii="Avenir Next" w:hAnsi="Avenir Next" w:cs="Arial"/>
          <w:color w:val="808080" w:themeColor="background1" w:themeShade="80"/>
          <w:sz w:val="22"/>
          <w:szCs w:val="22"/>
          <w:lang w:val="en-GB"/>
        </w:rPr>
        <w:t xml:space="preserve">the main sources of insolvency law for such legal systems will be found in legislation or codes. </w:t>
      </w:r>
    </w:p>
    <w:p w14:paraId="0C04762B" w14:textId="77777777" w:rsidR="00D30AA8" w:rsidRDefault="00D30AA8" w:rsidP="00692852">
      <w:pPr>
        <w:jc w:val="both"/>
        <w:rPr>
          <w:rFonts w:ascii="Avenir Next" w:hAnsi="Avenir Next" w:cs="Arial"/>
          <w:color w:val="808080" w:themeColor="background1" w:themeShade="80"/>
          <w:sz w:val="22"/>
          <w:szCs w:val="22"/>
          <w:lang w:val="en-GB"/>
        </w:rPr>
      </w:pPr>
    </w:p>
    <w:p w14:paraId="304C2FB2" w14:textId="42F9B0B6" w:rsidR="00CC7728" w:rsidRPr="00DA42DA" w:rsidRDefault="0005577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said, </w:t>
      </w:r>
      <w:r w:rsidR="00E30831">
        <w:rPr>
          <w:rFonts w:ascii="Avenir Next" w:hAnsi="Avenir Next" w:cs="Arial"/>
          <w:color w:val="808080" w:themeColor="background1" w:themeShade="80"/>
          <w:sz w:val="22"/>
          <w:szCs w:val="22"/>
          <w:lang w:val="en-GB"/>
        </w:rPr>
        <w:t xml:space="preserve">even within </w:t>
      </w:r>
      <w:r w:rsidR="00F1539F">
        <w:rPr>
          <w:rFonts w:ascii="Avenir Next" w:hAnsi="Avenir Next" w:cs="Arial"/>
          <w:color w:val="808080" w:themeColor="background1" w:themeShade="80"/>
          <w:sz w:val="22"/>
          <w:szCs w:val="22"/>
          <w:lang w:val="en-GB"/>
        </w:rPr>
        <w:t>insolvency law</w:t>
      </w:r>
      <w:r w:rsidR="00E30831">
        <w:rPr>
          <w:rFonts w:ascii="Avenir Next" w:hAnsi="Avenir Next" w:cs="Arial"/>
          <w:color w:val="808080" w:themeColor="background1" w:themeShade="80"/>
          <w:sz w:val="22"/>
          <w:szCs w:val="22"/>
          <w:lang w:val="en-GB"/>
        </w:rPr>
        <w:t xml:space="preserve"> systems </w:t>
      </w:r>
      <w:r w:rsidR="00F1539F">
        <w:rPr>
          <w:rFonts w:ascii="Avenir Next" w:hAnsi="Avenir Next" w:cs="Arial"/>
          <w:color w:val="808080" w:themeColor="background1" w:themeShade="80"/>
          <w:sz w:val="22"/>
          <w:szCs w:val="22"/>
          <w:lang w:val="en-GB"/>
        </w:rPr>
        <w:t xml:space="preserve">based on English law / common law </w:t>
      </w:r>
      <w:r w:rsidR="00E30831">
        <w:rPr>
          <w:rFonts w:ascii="Avenir Next" w:hAnsi="Avenir Next" w:cs="Arial"/>
          <w:color w:val="808080" w:themeColor="background1" w:themeShade="80"/>
          <w:sz w:val="22"/>
          <w:szCs w:val="22"/>
          <w:lang w:val="en-GB"/>
        </w:rPr>
        <w:t xml:space="preserve">there exist differences. </w:t>
      </w:r>
      <w:r w:rsidR="00054ACC">
        <w:rPr>
          <w:rFonts w:ascii="Avenir Next" w:hAnsi="Avenir Next" w:cs="Arial"/>
          <w:color w:val="808080" w:themeColor="background1" w:themeShade="80"/>
          <w:sz w:val="22"/>
          <w:szCs w:val="22"/>
          <w:lang w:val="en-GB"/>
        </w:rPr>
        <w:t xml:space="preserve">For example, countries such that the USA and </w:t>
      </w:r>
      <w:r w:rsidR="00AE19AD">
        <w:rPr>
          <w:rFonts w:ascii="Avenir Next" w:hAnsi="Avenir Next" w:cs="Arial"/>
          <w:color w:val="808080" w:themeColor="background1" w:themeShade="80"/>
          <w:sz w:val="22"/>
          <w:szCs w:val="22"/>
          <w:lang w:val="en-GB"/>
        </w:rPr>
        <w:t>United Kingdom</w:t>
      </w:r>
      <w:r w:rsidR="00054ACC">
        <w:rPr>
          <w:rFonts w:ascii="Avenir Next" w:hAnsi="Avenir Next" w:cs="Arial"/>
          <w:color w:val="808080" w:themeColor="background1" w:themeShade="80"/>
          <w:sz w:val="22"/>
          <w:szCs w:val="22"/>
          <w:lang w:val="en-GB"/>
        </w:rPr>
        <w:t xml:space="preserve"> have a single, unified piece of insolvency legislation covering all aspects of insolvency</w:t>
      </w:r>
      <w:r w:rsidR="00787718">
        <w:rPr>
          <w:rFonts w:ascii="Avenir Next" w:hAnsi="Avenir Next" w:cs="Arial"/>
          <w:color w:val="808080" w:themeColor="background1" w:themeShade="80"/>
          <w:sz w:val="22"/>
          <w:szCs w:val="22"/>
          <w:lang w:val="en-GB"/>
        </w:rPr>
        <w:t>, including the insolvency of both natural persons and corporations</w:t>
      </w:r>
      <w:r w:rsidR="00AE19AD">
        <w:rPr>
          <w:rFonts w:ascii="Avenir Next" w:hAnsi="Avenir Next" w:cs="Arial"/>
          <w:color w:val="808080" w:themeColor="background1" w:themeShade="80"/>
          <w:sz w:val="22"/>
          <w:szCs w:val="22"/>
          <w:lang w:val="en-GB"/>
        </w:rPr>
        <w:t>, being the Bankruptcy Code 1978 and Insolvency Act 1986 (UK). On</w:t>
      </w:r>
      <w:r w:rsidR="00C958ED">
        <w:rPr>
          <w:rFonts w:ascii="Avenir Next" w:hAnsi="Avenir Next" w:cs="Arial"/>
          <w:color w:val="808080" w:themeColor="background1" w:themeShade="80"/>
          <w:sz w:val="22"/>
          <w:szCs w:val="22"/>
          <w:lang w:val="en-GB"/>
        </w:rPr>
        <w:t xml:space="preserve"> the other</w:t>
      </w:r>
      <w:r w:rsidR="00787718">
        <w:rPr>
          <w:rFonts w:ascii="Avenir Next" w:hAnsi="Avenir Next" w:cs="Arial"/>
          <w:color w:val="808080" w:themeColor="background1" w:themeShade="80"/>
          <w:sz w:val="22"/>
          <w:szCs w:val="22"/>
          <w:lang w:val="en-GB"/>
        </w:rPr>
        <w:t xml:space="preserve"> hand, </w:t>
      </w:r>
      <w:r w:rsidR="00F3717F">
        <w:rPr>
          <w:rFonts w:ascii="Avenir Next" w:hAnsi="Avenir Next" w:cs="Arial"/>
          <w:color w:val="808080" w:themeColor="background1" w:themeShade="80"/>
          <w:sz w:val="22"/>
          <w:szCs w:val="22"/>
          <w:lang w:val="en-GB"/>
        </w:rPr>
        <w:t>even though Australia</w:t>
      </w:r>
      <w:r w:rsidR="00C821C4">
        <w:rPr>
          <w:rFonts w:ascii="Avenir Next" w:hAnsi="Avenir Next" w:cs="Arial"/>
          <w:color w:val="808080" w:themeColor="background1" w:themeShade="80"/>
          <w:sz w:val="22"/>
          <w:szCs w:val="22"/>
          <w:lang w:val="en-GB"/>
        </w:rPr>
        <w:t>’s insolvency law</w:t>
      </w:r>
      <w:r w:rsidR="00F3717F">
        <w:rPr>
          <w:rFonts w:ascii="Avenir Next" w:hAnsi="Avenir Next" w:cs="Arial"/>
          <w:color w:val="808080" w:themeColor="background1" w:themeShade="80"/>
          <w:sz w:val="22"/>
          <w:szCs w:val="22"/>
          <w:lang w:val="en-GB"/>
        </w:rPr>
        <w:t xml:space="preserve"> is based on the English law, it has a number of acts dealing with insolvency rather than a single unified act</w:t>
      </w:r>
      <w:r w:rsidR="006A351D">
        <w:rPr>
          <w:rFonts w:ascii="Avenir Next" w:hAnsi="Avenir Next" w:cs="Arial"/>
          <w:color w:val="808080" w:themeColor="background1" w:themeShade="80"/>
          <w:sz w:val="22"/>
          <w:szCs w:val="22"/>
          <w:lang w:val="en-GB"/>
        </w:rPr>
        <w:t>. For instance,</w:t>
      </w:r>
      <w:r w:rsidR="00F3717F">
        <w:rPr>
          <w:rFonts w:ascii="Avenir Next" w:hAnsi="Avenir Next" w:cs="Arial"/>
          <w:color w:val="808080" w:themeColor="background1" w:themeShade="80"/>
          <w:sz w:val="22"/>
          <w:szCs w:val="22"/>
          <w:lang w:val="en-GB"/>
        </w:rPr>
        <w:t xml:space="preserve"> the Corporations Act 2001 regulates corporate insolvency whilst the Bankruptcy Act 1966 regulates the insolvency of individuals.</w:t>
      </w:r>
      <w:r w:rsidR="00DA42DA" w:rsidRPr="00DA42DA">
        <w:rPr>
          <w:rFonts w:ascii="Avenir Next" w:hAnsi="Avenir Next" w:cs="Arial"/>
          <w:color w:val="808080" w:themeColor="background1" w:themeShade="80"/>
          <w:sz w:val="22"/>
          <w:szCs w:val="22"/>
          <w:lang w:val="en-GB"/>
        </w:rPr>
        <w:t>]</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40A6E945" w14:textId="5B051BC3" w:rsidR="0098014A"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871151">
        <w:rPr>
          <w:rFonts w:ascii="Avenir Next" w:hAnsi="Avenir Next" w:cs="Arial"/>
          <w:color w:val="808080" w:themeColor="background1" w:themeShade="80"/>
          <w:sz w:val="22"/>
          <w:szCs w:val="22"/>
          <w:lang w:val="en-GB"/>
        </w:rPr>
        <w:t>The principle of universalism entails an approach</w:t>
      </w:r>
      <w:r w:rsidR="00742F94">
        <w:rPr>
          <w:rFonts w:ascii="Avenir Next" w:hAnsi="Avenir Next" w:cs="Arial"/>
          <w:color w:val="808080" w:themeColor="background1" w:themeShade="80"/>
          <w:sz w:val="22"/>
          <w:szCs w:val="22"/>
          <w:lang w:val="en-GB"/>
        </w:rPr>
        <w:t xml:space="preserve"> </w:t>
      </w:r>
      <w:r w:rsidR="00DF3D16">
        <w:rPr>
          <w:rFonts w:ascii="Avenir Next" w:hAnsi="Avenir Next" w:cs="Arial"/>
          <w:color w:val="808080" w:themeColor="background1" w:themeShade="80"/>
          <w:sz w:val="22"/>
          <w:szCs w:val="22"/>
          <w:lang w:val="en-GB"/>
        </w:rPr>
        <w:t xml:space="preserve">that permits more than one insolvency proceeding </w:t>
      </w:r>
      <w:r w:rsidR="003B6D60">
        <w:rPr>
          <w:rFonts w:ascii="Avenir Next" w:hAnsi="Avenir Next" w:cs="Arial"/>
          <w:color w:val="808080" w:themeColor="background1" w:themeShade="80"/>
          <w:sz w:val="22"/>
          <w:szCs w:val="22"/>
          <w:lang w:val="en-GB"/>
        </w:rPr>
        <w:t>pending or commenced in different States to be governed by the provisions of one insolvency law, for instance, the State where the debtor has its centre of main interests (COMI)</w:t>
      </w:r>
      <w:r w:rsidR="00E977BC">
        <w:rPr>
          <w:rFonts w:ascii="Avenir Next" w:hAnsi="Avenir Next" w:cs="Arial"/>
          <w:color w:val="808080" w:themeColor="background1" w:themeShade="80"/>
          <w:sz w:val="22"/>
          <w:szCs w:val="22"/>
          <w:lang w:val="en-GB"/>
        </w:rPr>
        <w:t>.</w:t>
      </w:r>
      <w:r w:rsidR="003B6D60">
        <w:rPr>
          <w:rFonts w:ascii="Avenir Next" w:hAnsi="Avenir Next" w:cs="Arial"/>
          <w:color w:val="808080" w:themeColor="background1" w:themeShade="80"/>
          <w:sz w:val="22"/>
          <w:szCs w:val="22"/>
          <w:lang w:val="en-GB"/>
        </w:rPr>
        <w:t xml:space="preserve"> </w:t>
      </w:r>
      <w:r w:rsidR="00D966A2">
        <w:rPr>
          <w:rFonts w:ascii="Avenir Next" w:hAnsi="Avenir Next" w:cs="Arial"/>
          <w:color w:val="808080" w:themeColor="background1" w:themeShade="80"/>
          <w:sz w:val="22"/>
          <w:szCs w:val="22"/>
          <w:lang w:val="en-GB"/>
        </w:rPr>
        <w:t>This means that the law of the “main proceeding” will have extraterritorial effect extending beyond the territorial juris</w:t>
      </w:r>
      <w:r w:rsidR="007833E6">
        <w:rPr>
          <w:rFonts w:ascii="Avenir Next" w:hAnsi="Avenir Next" w:cs="Arial"/>
          <w:color w:val="808080" w:themeColor="background1" w:themeShade="80"/>
          <w:sz w:val="22"/>
          <w:szCs w:val="22"/>
          <w:lang w:val="en-GB"/>
        </w:rPr>
        <w:t xml:space="preserve">diction of the State where the “main proceeding” has been opened. </w:t>
      </w:r>
      <w:r w:rsidR="003B6D60">
        <w:rPr>
          <w:rFonts w:ascii="Avenir Next" w:hAnsi="Avenir Next" w:cs="Arial"/>
          <w:color w:val="808080" w:themeColor="background1" w:themeShade="80"/>
          <w:sz w:val="22"/>
          <w:szCs w:val="22"/>
          <w:lang w:val="en-GB"/>
        </w:rPr>
        <w:t>Under this approach, there will</w:t>
      </w:r>
      <w:r w:rsidR="00E15842">
        <w:rPr>
          <w:rFonts w:ascii="Avenir Next" w:hAnsi="Avenir Next" w:cs="Arial"/>
          <w:color w:val="808080" w:themeColor="background1" w:themeShade="80"/>
          <w:sz w:val="22"/>
          <w:szCs w:val="22"/>
          <w:lang w:val="en-GB"/>
        </w:rPr>
        <w:t xml:space="preserve"> only one insolvency officeholder being appointed to administer the</w:t>
      </w:r>
      <w:r w:rsidR="00BF1AA6">
        <w:rPr>
          <w:rFonts w:ascii="Avenir Next" w:hAnsi="Avenir Next" w:cs="Arial"/>
          <w:color w:val="808080" w:themeColor="background1" w:themeShade="80"/>
          <w:sz w:val="22"/>
          <w:szCs w:val="22"/>
          <w:lang w:val="en-GB"/>
        </w:rPr>
        <w:t xml:space="preserve"> debtor’s liquidation</w:t>
      </w:r>
      <w:r w:rsidR="001869CD">
        <w:rPr>
          <w:rFonts w:ascii="Avenir Next" w:hAnsi="Avenir Next" w:cs="Arial"/>
          <w:color w:val="808080" w:themeColor="background1" w:themeShade="80"/>
          <w:sz w:val="22"/>
          <w:szCs w:val="22"/>
          <w:lang w:val="en-GB"/>
        </w:rPr>
        <w:t xml:space="preserve">. </w:t>
      </w:r>
      <w:r w:rsidR="002E4984">
        <w:rPr>
          <w:rFonts w:ascii="Avenir Next" w:hAnsi="Avenir Next" w:cs="Arial"/>
          <w:color w:val="808080" w:themeColor="background1" w:themeShade="80"/>
          <w:sz w:val="22"/>
          <w:szCs w:val="22"/>
          <w:lang w:val="en-GB"/>
        </w:rPr>
        <w:t xml:space="preserve">All creditors </w:t>
      </w:r>
      <w:r w:rsidR="00366688">
        <w:rPr>
          <w:rFonts w:ascii="Avenir Next" w:hAnsi="Avenir Next" w:cs="Arial"/>
          <w:color w:val="808080" w:themeColor="background1" w:themeShade="80"/>
          <w:sz w:val="22"/>
          <w:szCs w:val="22"/>
          <w:lang w:val="en-GB"/>
        </w:rPr>
        <w:t>located across the world would have the chance to participate in the insolvency proceedings with their claims being treated</w:t>
      </w:r>
      <w:r w:rsidR="0019354B">
        <w:rPr>
          <w:rFonts w:ascii="Avenir Next" w:hAnsi="Avenir Next" w:cs="Arial"/>
          <w:color w:val="808080" w:themeColor="background1" w:themeShade="80"/>
          <w:sz w:val="22"/>
          <w:szCs w:val="22"/>
          <w:lang w:val="en-GB"/>
        </w:rPr>
        <w:t xml:space="preserve"> on a</w:t>
      </w:r>
      <w:r w:rsidR="00366688">
        <w:rPr>
          <w:rFonts w:ascii="Avenir Next" w:hAnsi="Avenir Next" w:cs="Arial"/>
          <w:color w:val="808080" w:themeColor="background1" w:themeShade="80"/>
          <w:sz w:val="22"/>
          <w:szCs w:val="22"/>
          <w:lang w:val="en-GB"/>
        </w:rPr>
        <w:t xml:space="preserve"> </w:t>
      </w:r>
      <w:r w:rsidR="00366688">
        <w:rPr>
          <w:rFonts w:ascii="Avenir Next" w:hAnsi="Avenir Next" w:cs="Arial"/>
          <w:i/>
          <w:iCs/>
          <w:color w:val="808080" w:themeColor="background1" w:themeShade="80"/>
          <w:sz w:val="22"/>
          <w:szCs w:val="22"/>
          <w:lang w:val="en-GB"/>
        </w:rPr>
        <w:t>pari passu</w:t>
      </w:r>
      <w:r w:rsidR="0019354B">
        <w:rPr>
          <w:rFonts w:ascii="Avenir Next" w:hAnsi="Avenir Next" w:cs="Arial"/>
          <w:i/>
          <w:iCs/>
          <w:color w:val="808080" w:themeColor="background1" w:themeShade="80"/>
          <w:sz w:val="22"/>
          <w:szCs w:val="22"/>
          <w:lang w:val="en-GB"/>
        </w:rPr>
        <w:t xml:space="preserve"> </w:t>
      </w:r>
      <w:r w:rsidR="0019354B">
        <w:rPr>
          <w:rFonts w:ascii="Avenir Next" w:hAnsi="Avenir Next" w:cs="Arial"/>
          <w:color w:val="808080" w:themeColor="background1" w:themeShade="80"/>
          <w:sz w:val="22"/>
          <w:szCs w:val="22"/>
          <w:lang w:val="en-GB"/>
        </w:rPr>
        <w:t>basis</w:t>
      </w:r>
      <w:r w:rsidR="0098014A">
        <w:rPr>
          <w:rFonts w:ascii="Avenir Next" w:hAnsi="Avenir Next" w:cs="Arial"/>
          <w:color w:val="808080" w:themeColor="background1" w:themeShade="80"/>
          <w:sz w:val="22"/>
          <w:szCs w:val="22"/>
          <w:lang w:val="en-GB"/>
        </w:rPr>
        <w:t xml:space="preserve">. </w:t>
      </w:r>
    </w:p>
    <w:p w14:paraId="19B45B00" w14:textId="77777777" w:rsidR="00663575" w:rsidRDefault="00663575" w:rsidP="00DA42DA">
      <w:pPr>
        <w:jc w:val="both"/>
        <w:rPr>
          <w:rFonts w:ascii="Avenir Next" w:hAnsi="Avenir Next" w:cs="Arial"/>
          <w:color w:val="808080" w:themeColor="background1" w:themeShade="80"/>
          <w:sz w:val="22"/>
          <w:szCs w:val="22"/>
          <w:lang w:val="en-GB"/>
        </w:rPr>
      </w:pPr>
    </w:p>
    <w:p w14:paraId="0D746459" w14:textId="4269A123" w:rsidR="00663575" w:rsidRDefault="00A4778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principle of territorialism lies on the opposite end of the spectrum of universalism</w:t>
      </w:r>
      <w:r w:rsidR="00447E1D">
        <w:rPr>
          <w:rFonts w:ascii="Avenir Next" w:hAnsi="Avenir Next" w:cs="Arial"/>
          <w:color w:val="808080" w:themeColor="background1" w:themeShade="80"/>
          <w:sz w:val="22"/>
          <w:szCs w:val="22"/>
          <w:lang w:val="en-GB"/>
        </w:rPr>
        <w:t>. Instead of a single</w:t>
      </w:r>
      <w:r w:rsidR="00540A00">
        <w:rPr>
          <w:rFonts w:ascii="Avenir Next" w:hAnsi="Avenir Next" w:cs="Arial"/>
          <w:color w:val="808080" w:themeColor="background1" w:themeShade="80"/>
          <w:sz w:val="22"/>
          <w:szCs w:val="22"/>
          <w:lang w:val="en-GB"/>
        </w:rPr>
        <w:t xml:space="preserve"> </w:t>
      </w:r>
      <w:r w:rsidR="00170E38">
        <w:rPr>
          <w:rFonts w:ascii="Avenir Next" w:hAnsi="Avenir Next" w:cs="Arial"/>
          <w:color w:val="808080" w:themeColor="background1" w:themeShade="80"/>
          <w:sz w:val="22"/>
          <w:szCs w:val="22"/>
          <w:lang w:val="en-GB"/>
        </w:rPr>
        <w:t>insolvency law</w:t>
      </w:r>
      <w:r w:rsidR="00447E1D">
        <w:rPr>
          <w:rFonts w:ascii="Avenir Next" w:hAnsi="Avenir Next" w:cs="Arial"/>
          <w:color w:val="808080" w:themeColor="background1" w:themeShade="80"/>
          <w:sz w:val="22"/>
          <w:szCs w:val="22"/>
          <w:lang w:val="en-GB"/>
        </w:rPr>
        <w:t xml:space="preserve"> </w:t>
      </w:r>
      <w:r w:rsidR="00A92BF1">
        <w:rPr>
          <w:rFonts w:ascii="Avenir Next" w:hAnsi="Avenir Next" w:cs="Arial"/>
          <w:color w:val="808080" w:themeColor="background1" w:themeShade="80"/>
          <w:sz w:val="22"/>
          <w:szCs w:val="22"/>
          <w:lang w:val="en-GB"/>
        </w:rPr>
        <w:t>applying to</w:t>
      </w:r>
      <w:r w:rsidR="00540A00">
        <w:rPr>
          <w:rFonts w:ascii="Avenir Next" w:hAnsi="Avenir Next" w:cs="Arial"/>
          <w:color w:val="808080" w:themeColor="background1" w:themeShade="80"/>
          <w:sz w:val="22"/>
          <w:szCs w:val="22"/>
          <w:lang w:val="en-GB"/>
        </w:rPr>
        <w:t xml:space="preserve"> all of the debtor’s assets and debts</w:t>
      </w:r>
      <w:r w:rsidR="00E07B1A">
        <w:rPr>
          <w:rFonts w:ascii="Avenir Next" w:hAnsi="Avenir Next" w:cs="Arial"/>
          <w:color w:val="808080" w:themeColor="background1" w:themeShade="80"/>
          <w:sz w:val="22"/>
          <w:szCs w:val="22"/>
          <w:lang w:val="en-GB"/>
        </w:rPr>
        <w:t xml:space="preserve"> on a global basis</w:t>
      </w:r>
      <w:r w:rsidR="00D80A45">
        <w:rPr>
          <w:rFonts w:ascii="Avenir Next" w:hAnsi="Avenir Next" w:cs="Arial"/>
          <w:color w:val="808080" w:themeColor="background1" w:themeShade="80"/>
          <w:sz w:val="22"/>
          <w:szCs w:val="22"/>
          <w:lang w:val="en-GB"/>
        </w:rPr>
        <w:t>,</w:t>
      </w:r>
      <w:r w:rsidR="00E07B1A">
        <w:rPr>
          <w:rFonts w:ascii="Avenir Next" w:hAnsi="Avenir Next" w:cs="Arial"/>
          <w:color w:val="808080" w:themeColor="background1" w:themeShade="80"/>
          <w:sz w:val="22"/>
          <w:szCs w:val="22"/>
          <w:lang w:val="en-GB"/>
        </w:rPr>
        <w:t xml:space="preserve"> it </w:t>
      </w:r>
      <w:r w:rsidR="00D90302">
        <w:rPr>
          <w:rFonts w:ascii="Avenir Next" w:hAnsi="Avenir Next" w:cs="Arial"/>
          <w:color w:val="808080" w:themeColor="background1" w:themeShade="80"/>
          <w:sz w:val="22"/>
          <w:szCs w:val="22"/>
          <w:lang w:val="en-GB"/>
        </w:rPr>
        <w:t>envisages the commencement of multiple concurrent</w:t>
      </w:r>
      <w:r w:rsidR="00E07B1A">
        <w:rPr>
          <w:rFonts w:ascii="Avenir Next" w:hAnsi="Avenir Next" w:cs="Arial"/>
          <w:color w:val="808080" w:themeColor="background1" w:themeShade="80"/>
          <w:sz w:val="22"/>
          <w:szCs w:val="22"/>
          <w:lang w:val="en-GB"/>
        </w:rPr>
        <w:t xml:space="preserve"> insolvency proceedings be</w:t>
      </w:r>
      <w:r w:rsidR="00D90302">
        <w:rPr>
          <w:rFonts w:ascii="Avenir Next" w:hAnsi="Avenir Next" w:cs="Arial"/>
          <w:color w:val="808080" w:themeColor="background1" w:themeShade="80"/>
          <w:sz w:val="22"/>
          <w:szCs w:val="22"/>
          <w:lang w:val="en-GB"/>
        </w:rPr>
        <w:t>ing</w:t>
      </w:r>
      <w:r w:rsidR="00E07B1A">
        <w:rPr>
          <w:rFonts w:ascii="Avenir Next" w:hAnsi="Avenir Next" w:cs="Arial"/>
          <w:color w:val="808080" w:themeColor="background1" w:themeShade="80"/>
          <w:sz w:val="22"/>
          <w:szCs w:val="22"/>
          <w:lang w:val="en-GB"/>
        </w:rPr>
        <w:t xml:space="preserve"> commenced in any State where </w:t>
      </w:r>
      <w:r w:rsidR="00E07B1A">
        <w:rPr>
          <w:rFonts w:ascii="Avenir Next" w:hAnsi="Avenir Next" w:cs="Arial"/>
          <w:color w:val="808080" w:themeColor="background1" w:themeShade="80"/>
          <w:sz w:val="22"/>
          <w:szCs w:val="22"/>
          <w:lang w:val="en-GB"/>
        </w:rPr>
        <w:lastRenderedPageBreak/>
        <w:t xml:space="preserve">the debtor holds assets, </w:t>
      </w:r>
      <w:r w:rsidR="00D90302">
        <w:rPr>
          <w:rFonts w:ascii="Avenir Next" w:hAnsi="Avenir Next" w:cs="Arial"/>
          <w:color w:val="808080" w:themeColor="background1" w:themeShade="80"/>
          <w:sz w:val="22"/>
          <w:szCs w:val="22"/>
          <w:lang w:val="en-GB"/>
        </w:rPr>
        <w:t xml:space="preserve">but that </w:t>
      </w:r>
      <w:r w:rsidR="009B63F9">
        <w:rPr>
          <w:rFonts w:ascii="Avenir Next" w:hAnsi="Avenir Next" w:cs="Arial"/>
          <w:color w:val="808080" w:themeColor="background1" w:themeShade="80"/>
          <w:sz w:val="22"/>
          <w:szCs w:val="22"/>
          <w:lang w:val="en-GB"/>
        </w:rPr>
        <w:t xml:space="preserve">the consequences of </w:t>
      </w:r>
      <w:r w:rsidR="00D90302">
        <w:rPr>
          <w:rFonts w:ascii="Avenir Next" w:hAnsi="Avenir Next" w:cs="Arial"/>
          <w:color w:val="808080" w:themeColor="background1" w:themeShade="80"/>
          <w:sz w:val="22"/>
          <w:szCs w:val="22"/>
          <w:lang w:val="en-GB"/>
        </w:rPr>
        <w:t xml:space="preserve">such </w:t>
      </w:r>
      <w:r w:rsidR="009B63F9">
        <w:rPr>
          <w:rFonts w:ascii="Avenir Next" w:hAnsi="Avenir Next" w:cs="Arial"/>
          <w:color w:val="808080" w:themeColor="background1" w:themeShade="80"/>
          <w:sz w:val="22"/>
          <w:szCs w:val="22"/>
          <w:lang w:val="en-GB"/>
        </w:rPr>
        <w:t xml:space="preserve">insolvency </w:t>
      </w:r>
      <w:r w:rsidR="00D90302">
        <w:rPr>
          <w:rFonts w:ascii="Avenir Next" w:hAnsi="Avenir Next" w:cs="Arial"/>
          <w:color w:val="808080" w:themeColor="background1" w:themeShade="80"/>
          <w:sz w:val="22"/>
          <w:szCs w:val="22"/>
          <w:lang w:val="en-GB"/>
        </w:rPr>
        <w:t xml:space="preserve">proceedings only apply to the State </w:t>
      </w:r>
      <w:r w:rsidR="003363A8">
        <w:rPr>
          <w:rFonts w:ascii="Avenir Next" w:hAnsi="Avenir Next" w:cs="Arial"/>
          <w:color w:val="808080" w:themeColor="background1" w:themeShade="80"/>
          <w:sz w:val="22"/>
          <w:szCs w:val="22"/>
          <w:lang w:val="en-GB"/>
        </w:rPr>
        <w:t>where</w:t>
      </w:r>
      <w:r w:rsidR="00D90302">
        <w:rPr>
          <w:rFonts w:ascii="Avenir Next" w:hAnsi="Avenir Next" w:cs="Arial"/>
          <w:color w:val="808080" w:themeColor="background1" w:themeShade="80"/>
          <w:sz w:val="22"/>
          <w:szCs w:val="22"/>
          <w:lang w:val="en-GB"/>
        </w:rPr>
        <w:t xml:space="preserve"> the insolvency proceeding has been opened</w:t>
      </w:r>
      <w:r w:rsidR="00B44928">
        <w:rPr>
          <w:rFonts w:ascii="Avenir Next" w:hAnsi="Avenir Next" w:cs="Arial"/>
          <w:color w:val="808080" w:themeColor="background1" w:themeShade="80"/>
          <w:sz w:val="22"/>
          <w:szCs w:val="22"/>
          <w:lang w:val="en-GB"/>
        </w:rPr>
        <w:t xml:space="preserve">. </w:t>
      </w:r>
    </w:p>
    <w:p w14:paraId="395AA51B" w14:textId="77777777" w:rsidR="0098014A" w:rsidRDefault="0098014A" w:rsidP="00DA42DA">
      <w:pPr>
        <w:jc w:val="both"/>
        <w:rPr>
          <w:rFonts w:ascii="Avenir Next" w:hAnsi="Avenir Next" w:cs="Arial"/>
          <w:color w:val="808080" w:themeColor="background1" w:themeShade="80"/>
          <w:sz w:val="22"/>
          <w:szCs w:val="22"/>
          <w:lang w:val="en-GB"/>
        </w:rPr>
      </w:pPr>
    </w:p>
    <w:p w14:paraId="216D3C8D" w14:textId="2694180B" w:rsidR="00DA42DA" w:rsidRPr="00DA42DA" w:rsidRDefault="00181C4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principle of modified uni</w:t>
      </w:r>
      <w:r w:rsidR="00663575">
        <w:rPr>
          <w:rFonts w:ascii="Avenir Next" w:hAnsi="Avenir Next" w:cs="Arial"/>
          <w:color w:val="808080" w:themeColor="background1" w:themeShade="80"/>
          <w:sz w:val="22"/>
          <w:szCs w:val="22"/>
          <w:lang w:val="en-GB"/>
        </w:rPr>
        <w:t>versalism</w:t>
      </w:r>
      <w:r w:rsidR="008B1F1F">
        <w:rPr>
          <w:rFonts w:ascii="Avenir Next" w:hAnsi="Avenir Next" w:cs="Arial"/>
          <w:color w:val="808080" w:themeColor="background1" w:themeShade="80"/>
          <w:sz w:val="22"/>
          <w:szCs w:val="22"/>
          <w:lang w:val="en-GB"/>
        </w:rPr>
        <w:t xml:space="preserve"> </w:t>
      </w:r>
      <w:r w:rsidR="008F2E3C">
        <w:rPr>
          <w:rFonts w:ascii="Avenir Next" w:hAnsi="Avenir Next" w:cs="Arial"/>
          <w:color w:val="808080" w:themeColor="background1" w:themeShade="80"/>
          <w:sz w:val="22"/>
          <w:szCs w:val="22"/>
          <w:lang w:val="en-GB"/>
        </w:rPr>
        <w:t>lies somewhere along the middle of the spectrum</w:t>
      </w:r>
      <w:r w:rsidR="003B6A82">
        <w:rPr>
          <w:rFonts w:ascii="Avenir Next" w:hAnsi="Avenir Next" w:cs="Arial"/>
          <w:color w:val="808080" w:themeColor="background1" w:themeShade="80"/>
          <w:sz w:val="22"/>
          <w:szCs w:val="22"/>
          <w:lang w:val="en-GB"/>
        </w:rPr>
        <w:t>, by</w:t>
      </w:r>
      <w:r w:rsidR="006E45EE">
        <w:rPr>
          <w:rFonts w:ascii="Avenir Next" w:hAnsi="Avenir Next" w:cs="Arial"/>
          <w:color w:val="808080" w:themeColor="background1" w:themeShade="80"/>
          <w:sz w:val="22"/>
          <w:szCs w:val="22"/>
          <w:lang w:val="en-GB"/>
        </w:rPr>
        <w:t xml:space="preserve"> still recognising the concept of a “main proceeding” </w:t>
      </w:r>
      <w:r w:rsidR="008B730C">
        <w:rPr>
          <w:rFonts w:ascii="Avenir Next" w:hAnsi="Avenir Next" w:cs="Arial"/>
          <w:color w:val="808080" w:themeColor="background1" w:themeShade="80"/>
          <w:sz w:val="22"/>
          <w:szCs w:val="22"/>
          <w:lang w:val="en-GB"/>
        </w:rPr>
        <w:t xml:space="preserve">opened </w:t>
      </w:r>
      <w:r w:rsidR="00080FF6">
        <w:rPr>
          <w:rFonts w:ascii="Avenir Next" w:hAnsi="Avenir Next" w:cs="Arial"/>
          <w:color w:val="808080" w:themeColor="background1" w:themeShade="80"/>
          <w:sz w:val="22"/>
          <w:szCs w:val="22"/>
          <w:lang w:val="en-GB"/>
        </w:rPr>
        <w:t>in</w:t>
      </w:r>
      <w:r w:rsidR="006E45EE">
        <w:rPr>
          <w:rFonts w:ascii="Avenir Next" w:hAnsi="Avenir Next" w:cs="Arial"/>
          <w:color w:val="808080" w:themeColor="background1" w:themeShade="80"/>
          <w:sz w:val="22"/>
          <w:szCs w:val="22"/>
          <w:lang w:val="en-GB"/>
        </w:rPr>
        <w:t xml:space="preserve"> the debtor’s COMI</w:t>
      </w:r>
      <w:r w:rsidR="00DD3B18">
        <w:rPr>
          <w:rFonts w:ascii="Avenir Next" w:hAnsi="Avenir Next" w:cs="Arial"/>
          <w:color w:val="808080" w:themeColor="background1" w:themeShade="80"/>
          <w:sz w:val="22"/>
          <w:szCs w:val="22"/>
          <w:lang w:val="en-GB"/>
        </w:rPr>
        <w:t>. However, the law of the “main proceeding” will not apply to govern</w:t>
      </w:r>
      <w:r w:rsidR="00BD3591">
        <w:rPr>
          <w:rFonts w:ascii="Avenir Next" w:hAnsi="Avenir Next" w:cs="Arial"/>
          <w:color w:val="808080" w:themeColor="background1" w:themeShade="80"/>
          <w:sz w:val="22"/>
          <w:szCs w:val="22"/>
          <w:lang w:val="en-GB"/>
        </w:rPr>
        <w:t xml:space="preserve"> other foreign “non-main” proceedings that have been</w:t>
      </w:r>
      <w:r w:rsidR="00E87E6E">
        <w:rPr>
          <w:rFonts w:ascii="Avenir Next" w:hAnsi="Avenir Next" w:cs="Arial"/>
          <w:color w:val="808080" w:themeColor="background1" w:themeShade="80"/>
          <w:sz w:val="22"/>
          <w:szCs w:val="22"/>
          <w:lang w:val="en-GB"/>
        </w:rPr>
        <w:t xml:space="preserve"> commenced in other jurisdictions. Instead, </w:t>
      </w:r>
      <w:r w:rsidR="00744E67">
        <w:rPr>
          <w:rFonts w:ascii="Avenir Next" w:hAnsi="Avenir Next" w:cs="Arial"/>
          <w:color w:val="808080" w:themeColor="background1" w:themeShade="80"/>
          <w:sz w:val="22"/>
          <w:szCs w:val="22"/>
          <w:lang w:val="en-GB"/>
        </w:rPr>
        <w:t xml:space="preserve">the “main proceeding” will be supported by secondary </w:t>
      </w:r>
      <w:r w:rsidR="007750FA">
        <w:rPr>
          <w:rFonts w:ascii="Avenir Next" w:hAnsi="Avenir Next" w:cs="Arial"/>
          <w:color w:val="808080" w:themeColor="background1" w:themeShade="80"/>
          <w:sz w:val="22"/>
          <w:szCs w:val="22"/>
          <w:lang w:val="en-GB"/>
        </w:rPr>
        <w:t>or ancillary proceedings in another State where the debtor may have assets or creditors</w:t>
      </w:r>
      <w:r w:rsidR="00597531">
        <w:rPr>
          <w:rFonts w:ascii="Avenir Next" w:hAnsi="Avenir Next" w:cs="Arial"/>
          <w:color w:val="808080" w:themeColor="background1" w:themeShade="80"/>
          <w:sz w:val="22"/>
          <w:szCs w:val="22"/>
          <w:lang w:val="en-GB"/>
        </w:rPr>
        <w:t>,</w:t>
      </w:r>
      <w:r w:rsidR="007750FA">
        <w:rPr>
          <w:rFonts w:ascii="Avenir Next" w:hAnsi="Avenir Next" w:cs="Arial"/>
          <w:color w:val="808080" w:themeColor="background1" w:themeShade="80"/>
          <w:sz w:val="22"/>
          <w:szCs w:val="22"/>
          <w:lang w:val="en-GB"/>
        </w:rPr>
        <w:t xml:space="preserve"> and</w:t>
      </w:r>
      <w:r w:rsidR="00CE2E4B">
        <w:rPr>
          <w:rFonts w:ascii="Avenir Next" w:hAnsi="Avenir Next" w:cs="Arial"/>
          <w:color w:val="808080" w:themeColor="background1" w:themeShade="80"/>
          <w:sz w:val="22"/>
          <w:szCs w:val="22"/>
          <w:lang w:val="en-GB"/>
        </w:rPr>
        <w:t xml:space="preserve"> the courts</w:t>
      </w:r>
      <w:r w:rsidR="00557608">
        <w:rPr>
          <w:rFonts w:ascii="Avenir Next" w:hAnsi="Avenir Next" w:cs="Arial"/>
          <w:color w:val="808080" w:themeColor="background1" w:themeShade="80"/>
          <w:sz w:val="22"/>
          <w:szCs w:val="22"/>
          <w:lang w:val="en-GB"/>
        </w:rPr>
        <w:t xml:space="preserve"> administering the respective proceedings are </w:t>
      </w:r>
      <w:r w:rsidR="00011171">
        <w:rPr>
          <w:rFonts w:ascii="Avenir Next" w:hAnsi="Avenir Next" w:cs="Arial"/>
          <w:color w:val="808080" w:themeColor="background1" w:themeShade="80"/>
          <w:sz w:val="22"/>
          <w:szCs w:val="22"/>
          <w:lang w:val="en-GB"/>
        </w:rPr>
        <w:t>to co-operate with each other.</w:t>
      </w:r>
      <w:r w:rsidR="00DA42DA" w:rsidRPr="00DA42DA">
        <w:rPr>
          <w:rFonts w:ascii="Avenir Next" w:hAnsi="Avenir Next" w:cs="Arial"/>
          <w:color w:val="808080" w:themeColor="background1" w:themeShade="80"/>
          <w:sz w:val="22"/>
          <w:szCs w:val="22"/>
          <w:lang w:val="en-GB"/>
        </w:rPr>
        <w:t>]</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7503EF4F" w14:textId="79789823" w:rsidR="00A56DEB"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B21F2C">
        <w:rPr>
          <w:rFonts w:ascii="Avenir Next" w:hAnsi="Avenir Next" w:cs="Arial"/>
          <w:color w:val="808080" w:themeColor="background1" w:themeShade="80"/>
          <w:sz w:val="22"/>
          <w:szCs w:val="22"/>
          <w:lang w:val="en-GB"/>
        </w:rPr>
        <w:t xml:space="preserve">The Latin American States have </w:t>
      </w:r>
      <w:r w:rsidR="00A063CD">
        <w:rPr>
          <w:rFonts w:ascii="Avenir Next" w:hAnsi="Avenir Next" w:cs="Arial"/>
          <w:color w:val="808080" w:themeColor="background1" w:themeShade="80"/>
          <w:sz w:val="22"/>
          <w:szCs w:val="22"/>
          <w:lang w:val="en-GB"/>
        </w:rPr>
        <w:t xml:space="preserve">implemented multilateral agreements to </w:t>
      </w:r>
      <w:r w:rsidR="00585E90">
        <w:rPr>
          <w:rFonts w:ascii="Avenir Next" w:hAnsi="Avenir Next" w:cs="Arial"/>
          <w:color w:val="808080" w:themeColor="background1" w:themeShade="80"/>
          <w:sz w:val="22"/>
          <w:szCs w:val="22"/>
          <w:lang w:val="en-GB"/>
        </w:rPr>
        <w:t xml:space="preserve">resolve international insolvency issues, such as treaties on private international law and commerce that includes provisions relating to bankruptcy or insolvency. </w:t>
      </w:r>
      <w:r w:rsidR="00A56DEB">
        <w:rPr>
          <w:rFonts w:ascii="Avenir Next" w:hAnsi="Avenir Next" w:cs="Arial"/>
          <w:color w:val="808080" w:themeColor="background1" w:themeShade="80"/>
          <w:sz w:val="22"/>
          <w:szCs w:val="22"/>
          <w:lang w:val="en-GB"/>
        </w:rPr>
        <w:t>These treaties are: (1) The Montevideo Treat</w:t>
      </w:r>
      <w:r w:rsidR="00CB7A4A">
        <w:rPr>
          <w:rFonts w:ascii="Avenir Next" w:hAnsi="Avenir Next" w:cs="Arial"/>
          <w:color w:val="808080" w:themeColor="background1" w:themeShade="80"/>
          <w:sz w:val="22"/>
          <w:szCs w:val="22"/>
          <w:lang w:val="en-GB"/>
        </w:rPr>
        <w:t>y on International Commercial Law</w:t>
      </w:r>
      <w:r w:rsidR="00A56DEB">
        <w:rPr>
          <w:rFonts w:ascii="Avenir Next" w:hAnsi="Avenir Next" w:cs="Arial"/>
          <w:color w:val="808080" w:themeColor="background1" w:themeShade="80"/>
          <w:sz w:val="22"/>
          <w:szCs w:val="22"/>
          <w:lang w:val="en-GB"/>
        </w:rPr>
        <w:t xml:space="preserve"> (1889)</w:t>
      </w:r>
      <w:r w:rsidR="002F0724">
        <w:rPr>
          <w:rFonts w:ascii="Avenir Next" w:hAnsi="Avenir Next" w:cs="Arial"/>
          <w:color w:val="808080" w:themeColor="background1" w:themeShade="80"/>
          <w:sz w:val="22"/>
          <w:szCs w:val="22"/>
          <w:lang w:val="en-GB"/>
        </w:rPr>
        <w:t xml:space="preserve"> (the “</w:t>
      </w:r>
      <w:r w:rsidR="002F0724">
        <w:rPr>
          <w:rFonts w:ascii="Avenir Next" w:hAnsi="Avenir Next" w:cs="Arial"/>
          <w:b/>
          <w:bCs/>
          <w:color w:val="808080" w:themeColor="background1" w:themeShade="80"/>
          <w:sz w:val="22"/>
          <w:szCs w:val="22"/>
          <w:lang w:val="en-GB"/>
        </w:rPr>
        <w:t>1889 Treaty</w:t>
      </w:r>
      <w:r w:rsidR="002F0724">
        <w:rPr>
          <w:rFonts w:ascii="Avenir Next" w:hAnsi="Avenir Next" w:cs="Arial"/>
          <w:color w:val="808080" w:themeColor="background1" w:themeShade="80"/>
          <w:sz w:val="22"/>
          <w:szCs w:val="22"/>
          <w:lang w:val="en-GB"/>
        </w:rPr>
        <w:t>”)</w:t>
      </w:r>
      <w:r w:rsidR="00CB7A4A">
        <w:rPr>
          <w:rFonts w:ascii="Avenir Next" w:hAnsi="Avenir Next" w:cs="Arial"/>
          <w:color w:val="808080" w:themeColor="background1" w:themeShade="80"/>
          <w:sz w:val="22"/>
          <w:szCs w:val="22"/>
          <w:lang w:val="en-GB"/>
        </w:rPr>
        <w:t xml:space="preserve">; </w:t>
      </w:r>
      <w:r w:rsidR="003D7A3A">
        <w:rPr>
          <w:rFonts w:ascii="Avenir Next" w:hAnsi="Avenir Next" w:cs="Arial"/>
          <w:color w:val="808080" w:themeColor="background1" w:themeShade="80"/>
          <w:sz w:val="22"/>
          <w:szCs w:val="22"/>
          <w:lang w:val="en-GB"/>
        </w:rPr>
        <w:t xml:space="preserve">(2) </w:t>
      </w:r>
      <w:r w:rsidR="00CB7A4A">
        <w:rPr>
          <w:rFonts w:ascii="Avenir Next" w:hAnsi="Avenir Next" w:cs="Arial"/>
          <w:color w:val="808080" w:themeColor="background1" w:themeShade="80"/>
          <w:sz w:val="22"/>
          <w:szCs w:val="22"/>
          <w:lang w:val="en-GB"/>
        </w:rPr>
        <w:t>The Montevideo Treaty on International Commercial Terres</w:t>
      </w:r>
      <w:r w:rsidR="003D7A3A">
        <w:rPr>
          <w:rFonts w:ascii="Avenir Next" w:hAnsi="Avenir Next" w:cs="Arial"/>
          <w:color w:val="808080" w:themeColor="background1" w:themeShade="80"/>
          <w:sz w:val="22"/>
          <w:szCs w:val="22"/>
          <w:lang w:val="en-GB"/>
        </w:rPr>
        <w:t xml:space="preserve">trial Law </w:t>
      </w:r>
      <w:r w:rsidR="00A56DEB">
        <w:rPr>
          <w:rFonts w:ascii="Avenir Next" w:hAnsi="Avenir Next" w:cs="Arial"/>
          <w:color w:val="808080" w:themeColor="background1" w:themeShade="80"/>
          <w:sz w:val="22"/>
          <w:szCs w:val="22"/>
          <w:lang w:val="en-GB"/>
        </w:rPr>
        <w:t>(1940)</w:t>
      </w:r>
      <w:r w:rsidR="002F0724">
        <w:rPr>
          <w:rFonts w:ascii="Avenir Next" w:hAnsi="Avenir Next" w:cs="Arial"/>
          <w:color w:val="808080" w:themeColor="background1" w:themeShade="80"/>
          <w:sz w:val="22"/>
          <w:szCs w:val="22"/>
          <w:lang w:val="en-GB"/>
        </w:rPr>
        <w:t xml:space="preserve"> (the “</w:t>
      </w:r>
      <w:r w:rsidR="002F0724">
        <w:rPr>
          <w:rFonts w:ascii="Avenir Next" w:hAnsi="Avenir Next" w:cs="Arial"/>
          <w:b/>
          <w:bCs/>
          <w:color w:val="808080" w:themeColor="background1" w:themeShade="80"/>
          <w:sz w:val="22"/>
          <w:szCs w:val="22"/>
          <w:lang w:val="en-GB"/>
        </w:rPr>
        <w:t>1940 Treaty</w:t>
      </w:r>
      <w:r w:rsidR="002F0724">
        <w:rPr>
          <w:rFonts w:ascii="Avenir Next" w:hAnsi="Avenir Next" w:cs="Arial"/>
          <w:color w:val="808080" w:themeColor="background1" w:themeShade="80"/>
          <w:sz w:val="22"/>
          <w:szCs w:val="22"/>
          <w:lang w:val="en-GB"/>
        </w:rPr>
        <w:t>”)</w:t>
      </w:r>
      <w:r w:rsidR="00C17E9C">
        <w:rPr>
          <w:rFonts w:ascii="Avenir Next" w:hAnsi="Avenir Next" w:cs="Arial"/>
          <w:color w:val="808080" w:themeColor="background1" w:themeShade="80"/>
          <w:sz w:val="22"/>
          <w:szCs w:val="22"/>
          <w:lang w:val="en-GB"/>
        </w:rPr>
        <w:t xml:space="preserve"> (collectively, the “</w:t>
      </w:r>
      <w:r w:rsidR="00C17E9C">
        <w:rPr>
          <w:rFonts w:ascii="Avenir Next" w:hAnsi="Avenir Next" w:cs="Arial"/>
          <w:b/>
          <w:bCs/>
          <w:color w:val="808080" w:themeColor="background1" w:themeShade="80"/>
          <w:sz w:val="22"/>
          <w:szCs w:val="22"/>
          <w:lang w:val="en-GB"/>
        </w:rPr>
        <w:t>Montevideo Treaties</w:t>
      </w:r>
      <w:r w:rsidR="00C17E9C">
        <w:rPr>
          <w:rFonts w:ascii="Avenir Next" w:hAnsi="Avenir Next" w:cs="Arial"/>
          <w:color w:val="808080" w:themeColor="background1" w:themeShade="80"/>
          <w:sz w:val="22"/>
          <w:szCs w:val="22"/>
          <w:lang w:val="en-GB"/>
        </w:rPr>
        <w:t>”)</w:t>
      </w:r>
      <w:r w:rsidR="00A56DEB">
        <w:rPr>
          <w:rFonts w:ascii="Avenir Next" w:hAnsi="Avenir Next" w:cs="Arial"/>
          <w:color w:val="808080" w:themeColor="background1" w:themeShade="80"/>
          <w:sz w:val="22"/>
          <w:szCs w:val="22"/>
          <w:lang w:val="en-GB"/>
        </w:rPr>
        <w:t>; and (</w:t>
      </w:r>
      <w:r w:rsidR="003D7A3A">
        <w:rPr>
          <w:rFonts w:ascii="Avenir Next" w:hAnsi="Avenir Next" w:cs="Arial"/>
          <w:color w:val="808080" w:themeColor="background1" w:themeShade="80"/>
          <w:sz w:val="22"/>
          <w:szCs w:val="22"/>
          <w:lang w:val="en-GB"/>
        </w:rPr>
        <w:t>3</w:t>
      </w:r>
      <w:r w:rsidR="00A56DEB">
        <w:rPr>
          <w:rFonts w:ascii="Avenir Next" w:hAnsi="Avenir Next" w:cs="Arial"/>
          <w:color w:val="808080" w:themeColor="background1" w:themeShade="80"/>
          <w:sz w:val="22"/>
          <w:szCs w:val="22"/>
          <w:lang w:val="en-GB"/>
        </w:rPr>
        <w:t>) Havana Convention on Private International Law (1928) (Bustamante Code)</w:t>
      </w:r>
      <w:r w:rsidR="004645DE">
        <w:rPr>
          <w:rFonts w:ascii="Avenir Next" w:hAnsi="Avenir Next" w:cs="Arial"/>
          <w:color w:val="808080" w:themeColor="background1" w:themeShade="80"/>
          <w:sz w:val="22"/>
          <w:szCs w:val="22"/>
          <w:lang w:val="en-GB"/>
        </w:rPr>
        <w:t xml:space="preserve"> (the “</w:t>
      </w:r>
      <w:r w:rsidR="004645DE">
        <w:rPr>
          <w:rFonts w:ascii="Avenir Next" w:hAnsi="Avenir Next" w:cs="Arial"/>
          <w:b/>
          <w:bCs/>
          <w:color w:val="808080" w:themeColor="background1" w:themeShade="80"/>
          <w:sz w:val="22"/>
          <w:szCs w:val="22"/>
          <w:lang w:val="en-GB"/>
        </w:rPr>
        <w:t>Havana Convention</w:t>
      </w:r>
      <w:r w:rsidR="004645DE">
        <w:rPr>
          <w:rFonts w:ascii="Avenir Next" w:hAnsi="Avenir Next" w:cs="Arial"/>
          <w:color w:val="808080" w:themeColor="background1" w:themeShade="80"/>
          <w:sz w:val="22"/>
          <w:szCs w:val="22"/>
          <w:lang w:val="en-GB"/>
        </w:rPr>
        <w:t>”)</w:t>
      </w:r>
      <w:r w:rsidR="00A52C47">
        <w:rPr>
          <w:rFonts w:ascii="Avenir Next" w:hAnsi="Avenir Next" w:cs="Arial"/>
          <w:color w:val="808080" w:themeColor="background1" w:themeShade="80"/>
          <w:sz w:val="22"/>
          <w:szCs w:val="22"/>
          <w:lang w:val="en-GB"/>
        </w:rPr>
        <w:t xml:space="preserve">. </w:t>
      </w:r>
      <w:r w:rsidR="00A56DEB">
        <w:rPr>
          <w:rFonts w:ascii="Avenir Next" w:hAnsi="Avenir Next" w:cs="Arial"/>
          <w:color w:val="808080" w:themeColor="background1" w:themeShade="80"/>
          <w:sz w:val="22"/>
          <w:szCs w:val="22"/>
          <w:lang w:val="en-GB"/>
        </w:rPr>
        <w:t xml:space="preserve"> </w:t>
      </w:r>
    </w:p>
    <w:p w14:paraId="03983FB1" w14:textId="77777777" w:rsidR="00FD50F6" w:rsidRDefault="00FD50F6" w:rsidP="00DA42DA">
      <w:pPr>
        <w:jc w:val="both"/>
        <w:rPr>
          <w:rFonts w:ascii="Avenir Next" w:hAnsi="Avenir Next" w:cs="Arial"/>
          <w:color w:val="808080" w:themeColor="background1" w:themeShade="80"/>
          <w:sz w:val="22"/>
          <w:szCs w:val="22"/>
          <w:lang w:val="en-GB"/>
        </w:rPr>
      </w:pPr>
    </w:p>
    <w:p w14:paraId="04F20562" w14:textId="5A6B2A59" w:rsidR="007F2DB0" w:rsidRPr="005F2320" w:rsidRDefault="005842FF" w:rsidP="005F23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first difference </w:t>
      </w:r>
      <w:r w:rsidR="00B346B8">
        <w:rPr>
          <w:rFonts w:ascii="Avenir Next" w:hAnsi="Avenir Next" w:cs="Arial"/>
          <w:color w:val="808080" w:themeColor="background1" w:themeShade="80"/>
          <w:sz w:val="22"/>
          <w:szCs w:val="22"/>
          <w:lang w:val="en-GB"/>
        </w:rPr>
        <w:t xml:space="preserve">between these initiatives </w:t>
      </w:r>
      <w:r>
        <w:rPr>
          <w:rFonts w:ascii="Avenir Next" w:hAnsi="Avenir Next" w:cs="Arial"/>
          <w:color w:val="808080" w:themeColor="background1" w:themeShade="80"/>
          <w:sz w:val="22"/>
          <w:szCs w:val="22"/>
          <w:lang w:val="en-GB"/>
        </w:rPr>
        <w:t>is the States that are members of the</w:t>
      </w:r>
      <w:r w:rsidR="0089572B">
        <w:rPr>
          <w:rFonts w:ascii="Avenir Next" w:hAnsi="Avenir Next" w:cs="Arial"/>
          <w:color w:val="808080" w:themeColor="background1" w:themeShade="80"/>
          <w:sz w:val="22"/>
          <w:szCs w:val="22"/>
          <w:lang w:val="en-GB"/>
        </w:rPr>
        <w:t xml:space="preserve"> 1889 Treaty, the 1940 Treaty and the </w:t>
      </w:r>
      <w:r w:rsidR="004645DE">
        <w:rPr>
          <w:rFonts w:ascii="Avenir Next" w:hAnsi="Avenir Next" w:cs="Arial"/>
          <w:color w:val="808080" w:themeColor="background1" w:themeShade="80"/>
          <w:sz w:val="22"/>
          <w:szCs w:val="22"/>
          <w:lang w:val="en-GB"/>
        </w:rPr>
        <w:t>Havana Convention</w:t>
      </w:r>
      <w:r w:rsidR="005F2320">
        <w:rPr>
          <w:rFonts w:ascii="Avenir Next" w:hAnsi="Avenir Next" w:cs="Arial"/>
          <w:color w:val="808080" w:themeColor="background1" w:themeShade="80"/>
          <w:sz w:val="22"/>
          <w:szCs w:val="22"/>
          <w:lang w:val="en-GB"/>
        </w:rPr>
        <w:t xml:space="preserve">. </w:t>
      </w:r>
      <w:r w:rsidR="007F2DB0" w:rsidRPr="005F2320">
        <w:rPr>
          <w:rFonts w:ascii="Avenir Next" w:hAnsi="Avenir Next" w:cs="Arial"/>
          <w:color w:val="808080" w:themeColor="background1" w:themeShade="80"/>
          <w:sz w:val="22"/>
          <w:szCs w:val="22"/>
          <w:lang w:val="en-GB"/>
        </w:rPr>
        <w:t xml:space="preserve">Argentina, Paraguay and Uruguay are the only three original treaty States that ratified the 1889 Treaty and the 1940 Treaty thereafter. Bolivia and Peru are parties to both the 1889 Treaty and the Havana Convention, but Argentina, Colombia, Mexico, Paraguay and Uruguay did not ratify the Havana Convention. </w:t>
      </w:r>
    </w:p>
    <w:p w14:paraId="3133BCE0" w14:textId="77777777" w:rsidR="00A52C47" w:rsidRDefault="00A52C47" w:rsidP="00DA42DA">
      <w:pPr>
        <w:jc w:val="both"/>
        <w:rPr>
          <w:rFonts w:ascii="Avenir Next" w:hAnsi="Avenir Next" w:cs="Arial"/>
          <w:color w:val="808080" w:themeColor="background1" w:themeShade="80"/>
          <w:sz w:val="22"/>
          <w:szCs w:val="22"/>
          <w:lang w:val="en-GB"/>
        </w:rPr>
      </w:pPr>
    </w:p>
    <w:p w14:paraId="4DF0815F" w14:textId="77777777" w:rsidR="005F2320" w:rsidRDefault="00A52C47" w:rsidP="005F23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treaties also differ in the extent to which they allow for a single proceeding with un</w:t>
      </w:r>
      <w:r w:rsidR="00326975">
        <w:rPr>
          <w:rFonts w:ascii="Avenir Next" w:hAnsi="Avenir Next" w:cs="Arial"/>
          <w:color w:val="808080" w:themeColor="background1" w:themeShade="80"/>
          <w:sz w:val="22"/>
          <w:szCs w:val="22"/>
          <w:lang w:val="en-GB"/>
        </w:rPr>
        <w:t xml:space="preserve">iversal effect that applies throughout the member States.  </w:t>
      </w:r>
    </w:p>
    <w:p w14:paraId="7B234FFF" w14:textId="77777777" w:rsidR="005F2320" w:rsidRDefault="005F2320" w:rsidP="005F2320">
      <w:pPr>
        <w:jc w:val="both"/>
        <w:rPr>
          <w:rFonts w:ascii="Avenir Next" w:hAnsi="Avenir Next" w:cs="Arial"/>
          <w:color w:val="808080" w:themeColor="background1" w:themeShade="80"/>
          <w:sz w:val="22"/>
          <w:szCs w:val="22"/>
          <w:lang w:val="en-GB"/>
        </w:rPr>
      </w:pPr>
    </w:p>
    <w:p w14:paraId="69D5E5A9" w14:textId="1E9FFFC1" w:rsidR="005F2320" w:rsidRDefault="00326975" w:rsidP="005F2320">
      <w:pPr>
        <w:jc w:val="both"/>
        <w:rPr>
          <w:rFonts w:ascii="Avenir Next" w:hAnsi="Avenir Next" w:cs="Arial"/>
          <w:color w:val="808080" w:themeColor="background1" w:themeShade="80"/>
          <w:sz w:val="22"/>
          <w:szCs w:val="22"/>
          <w:lang w:val="en-GB"/>
        </w:rPr>
      </w:pPr>
      <w:r w:rsidRPr="005F2320">
        <w:rPr>
          <w:rFonts w:ascii="Avenir Next" w:hAnsi="Avenir Next" w:cs="Arial"/>
          <w:color w:val="808080" w:themeColor="background1" w:themeShade="80"/>
          <w:sz w:val="22"/>
          <w:szCs w:val="22"/>
          <w:lang w:val="en-GB"/>
        </w:rPr>
        <w:t>Under the 1889 Treaty,</w:t>
      </w:r>
      <w:r w:rsidR="00767AED" w:rsidRPr="005F2320">
        <w:rPr>
          <w:rFonts w:ascii="Avenir Next" w:hAnsi="Avenir Next" w:cs="Arial"/>
          <w:color w:val="808080" w:themeColor="background1" w:themeShade="80"/>
          <w:sz w:val="22"/>
          <w:szCs w:val="22"/>
          <w:lang w:val="en-GB"/>
        </w:rPr>
        <w:t xml:space="preserve"> </w:t>
      </w:r>
      <w:r w:rsidRPr="005F2320">
        <w:rPr>
          <w:rFonts w:ascii="Avenir Next" w:hAnsi="Avenir Next" w:cs="Arial"/>
          <w:color w:val="808080" w:themeColor="background1" w:themeShade="80"/>
          <w:sz w:val="22"/>
          <w:szCs w:val="22"/>
          <w:lang w:val="en-GB"/>
        </w:rPr>
        <w:t>w</w:t>
      </w:r>
      <w:r w:rsidR="00767AED" w:rsidRPr="005F2320">
        <w:rPr>
          <w:rFonts w:ascii="Avenir Next" w:hAnsi="Avenir Next" w:cs="Arial"/>
          <w:color w:val="808080" w:themeColor="background1" w:themeShade="80"/>
          <w:sz w:val="22"/>
          <w:szCs w:val="22"/>
          <w:lang w:val="en-GB"/>
        </w:rPr>
        <w:t>here the debtor’s commercial domicile is only in one treaty State, the 1889 Treaty provides for one set of insolvency proceedings to take place</w:t>
      </w:r>
      <w:r w:rsidR="00AD1340" w:rsidRPr="005F2320">
        <w:rPr>
          <w:rFonts w:ascii="Avenir Next" w:hAnsi="Avenir Next" w:cs="Arial"/>
          <w:color w:val="808080" w:themeColor="background1" w:themeShade="80"/>
          <w:sz w:val="22"/>
          <w:szCs w:val="22"/>
          <w:lang w:val="en-GB"/>
        </w:rPr>
        <w:t xml:space="preserve"> within the commercial domicile. However, if the debtor has multiple economically autonomous business located in different treaty States, it</w:t>
      </w:r>
      <w:r w:rsidR="00566AFE" w:rsidRPr="005F2320">
        <w:rPr>
          <w:rFonts w:ascii="Avenir Next" w:hAnsi="Avenir Next" w:cs="Arial"/>
          <w:color w:val="808080" w:themeColor="background1" w:themeShade="80"/>
          <w:sz w:val="22"/>
          <w:szCs w:val="22"/>
          <w:lang w:val="en-GB"/>
        </w:rPr>
        <w:t xml:space="preserve"> envisages the possibility for multiple concurrent insolvency proceedings to be opened by creditors in each </w:t>
      </w:r>
      <w:r w:rsidR="00A20A6F" w:rsidRPr="005F2320">
        <w:rPr>
          <w:rFonts w:ascii="Avenir Next" w:hAnsi="Avenir Next" w:cs="Arial"/>
          <w:color w:val="808080" w:themeColor="background1" w:themeShade="80"/>
          <w:sz w:val="22"/>
          <w:szCs w:val="22"/>
          <w:lang w:val="en-GB"/>
        </w:rPr>
        <w:t xml:space="preserve">treaty State. </w:t>
      </w:r>
    </w:p>
    <w:p w14:paraId="0172EC29" w14:textId="77777777" w:rsidR="005F2320" w:rsidRDefault="005F2320" w:rsidP="005F2320">
      <w:pPr>
        <w:jc w:val="both"/>
        <w:rPr>
          <w:rFonts w:ascii="Avenir Next" w:hAnsi="Avenir Next" w:cs="Arial"/>
          <w:color w:val="808080" w:themeColor="background1" w:themeShade="80"/>
          <w:sz w:val="22"/>
          <w:szCs w:val="22"/>
          <w:lang w:val="en-GB"/>
        </w:rPr>
      </w:pPr>
    </w:p>
    <w:p w14:paraId="61900735" w14:textId="1FB25F28" w:rsidR="00DA42DA" w:rsidRPr="00DA42DA" w:rsidRDefault="00345DF5" w:rsidP="00DA42DA">
      <w:pPr>
        <w:jc w:val="both"/>
        <w:rPr>
          <w:rFonts w:ascii="Avenir Next" w:hAnsi="Avenir Next" w:cs="Arial"/>
          <w:color w:val="808080" w:themeColor="background1" w:themeShade="80"/>
          <w:sz w:val="22"/>
          <w:szCs w:val="22"/>
          <w:lang w:val="en-GB"/>
        </w:rPr>
      </w:pPr>
      <w:r w:rsidRPr="005F2320">
        <w:rPr>
          <w:rFonts w:ascii="Avenir Next" w:hAnsi="Avenir Next" w:cs="Arial"/>
          <w:color w:val="808080" w:themeColor="background1" w:themeShade="80"/>
          <w:sz w:val="22"/>
          <w:szCs w:val="22"/>
          <w:lang w:val="en-GB"/>
        </w:rPr>
        <w:t xml:space="preserve">The Havana Convention </w:t>
      </w:r>
      <w:r w:rsidR="00D45AE1" w:rsidRPr="005F2320">
        <w:rPr>
          <w:rFonts w:ascii="Avenir Next" w:hAnsi="Avenir Next" w:cs="Arial"/>
          <w:color w:val="808080" w:themeColor="background1" w:themeShade="80"/>
          <w:sz w:val="22"/>
          <w:szCs w:val="22"/>
          <w:lang w:val="en-GB"/>
        </w:rPr>
        <w:t xml:space="preserve">provide more support </w:t>
      </w:r>
      <w:r w:rsidR="00B91941" w:rsidRPr="005F2320">
        <w:rPr>
          <w:rFonts w:ascii="Avenir Next" w:hAnsi="Avenir Next" w:cs="Arial"/>
          <w:color w:val="808080" w:themeColor="background1" w:themeShade="80"/>
          <w:sz w:val="22"/>
          <w:szCs w:val="22"/>
          <w:lang w:val="en-GB"/>
        </w:rPr>
        <w:t xml:space="preserve">for universalism </w:t>
      </w:r>
      <w:r w:rsidR="00D45AE1" w:rsidRPr="005F2320">
        <w:rPr>
          <w:rFonts w:ascii="Avenir Next" w:hAnsi="Avenir Next" w:cs="Arial"/>
          <w:color w:val="808080" w:themeColor="background1" w:themeShade="80"/>
          <w:sz w:val="22"/>
          <w:szCs w:val="22"/>
          <w:lang w:val="en-GB"/>
        </w:rPr>
        <w:t xml:space="preserve">than the Montevideo Treaties </w:t>
      </w:r>
      <w:r w:rsidR="003622B2" w:rsidRPr="005F2320">
        <w:rPr>
          <w:rFonts w:ascii="Avenir Next" w:hAnsi="Avenir Next" w:cs="Arial"/>
          <w:color w:val="808080" w:themeColor="background1" w:themeShade="80"/>
          <w:sz w:val="22"/>
          <w:szCs w:val="22"/>
          <w:lang w:val="en-GB"/>
        </w:rPr>
        <w:t xml:space="preserve">by </w:t>
      </w:r>
      <w:r w:rsidR="00F658F7" w:rsidRPr="005F2320">
        <w:rPr>
          <w:rFonts w:ascii="Avenir Next" w:hAnsi="Avenir Next" w:cs="Arial"/>
          <w:color w:val="808080" w:themeColor="background1" w:themeShade="80"/>
          <w:sz w:val="22"/>
          <w:szCs w:val="22"/>
          <w:lang w:val="en-GB"/>
        </w:rPr>
        <w:t xml:space="preserve">mandating </w:t>
      </w:r>
      <w:r w:rsidR="002B1DEB">
        <w:rPr>
          <w:rFonts w:ascii="Avenir Next" w:hAnsi="Avenir Next" w:cs="Arial"/>
          <w:color w:val="808080" w:themeColor="background1" w:themeShade="80"/>
          <w:sz w:val="22"/>
          <w:szCs w:val="22"/>
          <w:lang w:val="en-GB"/>
        </w:rPr>
        <w:t>that there can only be</w:t>
      </w:r>
      <w:r w:rsidR="00D25498" w:rsidRPr="005F2320">
        <w:rPr>
          <w:rFonts w:ascii="Avenir Next" w:hAnsi="Avenir Next" w:cs="Arial"/>
          <w:color w:val="808080" w:themeColor="background1" w:themeShade="80"/>
          <w:sz w:val="22"/>
          <w:szCs w:val="22"/>
          <w:lang w:val="en-GB"/>
        </w:rPr>
        <w:t xml:space="preserve"> </w:t>
      </w:r>
      <w:r w:rsidR="003622B2" w:rsidRPr="005F2320">
        <w:rPr>
          <w:rFonts w:ascii="Avenir Next" w:hAnsi="Avenir Next" w:cs="Arial"/>
          <w:color w:val="808080" w:themeColor="background1" w:themeShade="80"/>
          <w:sz w:val="22"/>
          <w:szCs w:val="22"/>
          <w:lang w:val="en-GB"/>
        </w:rPr>
        <w:t xml:space="preserve">a single </w:t>
      </w:r>
      <w:r w:rsidR="00F658F7" w:rsidRPr="005F2320">
        <w:rPr>
          <w:rFonts w:ascii="Avenir Next" w:hAnsi="Avenir Next" w:cs="Arial"/>
          <w:color w:val="808080" w:themeColor="background1" w:themeShade="80"/>
          <w:sz w:val="22"/>
          <w:szCs w:val="22"/>
          <w:lang w:val="en-GB"/>
        </w:rPr>
        <w:t xml:space="preserve">insolvency </w:t>
      </w:r>
      <w:r w:rsidR="003622B2" w:rsidRPr="005F2320">
        <w:rPr>
          <w:rFonts w:ascii="Avenir Next" w:hAnsi="Avenir Next" w:cs="Arial"/>
          <w:color w:val="808080" w:themeColor="background1" w:themeShade="80"/>
          <w:sz w:val="22"/>
          <w:szCs w:val="22"/>
          <w:lang w:val="en-GB"/>
        </w:rPr>
        <w:t xml:space="preserve">proceeding with universal effect </w:t>
      </w:r>
      <w:r w:rsidR="00D25498" w:rsidRPr="005F2320">
        <w:rPr>
          <w:rFonts w:ascii="Avenir Next" w:hAnsi="Avenir Next" w:cs="Arial"/>
          <w:color w:val="808080" w:themeColor="background1" w:themeShade="80"/>
          <w:sz w:val="22"/>
          <w:szCs w:val="22"/>
          <w:lang w:val="en-GB"/>
        </w:rPr>
        <w:t>applying to</w:t>
      </w:r>
      <w:r w:rsidR="003622B2" w:rsidRPr="005F2320">
        <w:rPr>
          <w:rFonts w:ascii="Avenir Next" w:hAnsi="Avenir Next" w:cs="Arial"/>
          <w:color w:val="808080" w:themeColor="background1" w:themeShade="80"/>
          <w:sz w:val="22"/>
          <w:szCs w:val="22"/>
          <w:lang w:val="en-GB"/>
        </w:rPr>
        <w:t xml:space="preserve"> </w:t>
      </w:r>
      <w:r w:rsidR="00D25498" w:rsidRPr="005F2320">
        <w:rPr>
          <w:rFonts w:ascii="Avenir Next" w:hAnsi="Avenir Next" w:cs="Arial"/>
          <w:color w:val="808080" w:themeColor="background1" w:themeShade="80"/>
          <w:sz w:val="22"/>
          <w:szCs w:val="22"/>
          <w:lang w:val="en-GB"/>
        </w:rPr>
        <w:t>the contracting States</w:t>
      </w:r>
      <w:r w:rsidR="003960AE" w:rsidRPr="005F2320">
        <w:rPr>
          <w:rFonts w:ascii="Avenir Next" w:hAnsi="Avenir Next" w:cs="Arial"/>
          <w:color w:val="808080" w:themeColor="background1" w:themeShade="80"/>
          <w:sz w:val="22"/>
          <w:szCs w:val="22"/>
          <w:lang w:val="en-GB"/>
        </w:rPr>
        <w:t xml:space="preserve"> if the debtor has</w:t>
      </w:r>
      <w:r w:rsidR="000D5053">
        <w:rPr>
          <w:rFonts w:ascii="Avenir Next" w:hAnsi="Avenir Next" w:cs="Arial"/>
          <w:color w:val="808080" w:themeColor="background1" w:themeShade="80"/>
          <w:sz w:val="22"/>
          <w:szCs w:val="22"/>
          <w:lang w:val="en-GB"/>
        </w:rPr>
        <w:t xml:space="preserve"> only</w:t>
      </w:r>
      <w:r w:rsidR="003960AE" w:rsidRPr="005F2320">
        <w:rPr>
          <w:rFonts w:ascii="Avenir Next" w:hAnsi="Avenir Next" w:cs="Arial"/>
          <w:color w:val="808080" w:themeColor="background1" w:themeShade="80"/>
          <w:sz w:val="22"/>
          <w:szCs w:val="22"/>
          <w:lang w:val="en-GB"/>
        </w:rPr>
        <w:t xml:space="preserve"> one commercial domicile.</w:t>
      </w:r>
      <w:r w:rsidR="000E7F65">
        <w:rPr>
          <w:rFonts w:ascii="Avenir Next" w:hAnsi="Avenir Next" w:cs="Arial"/>
          <w:color w:val="808080" w:themeColor="background1" w:themeShade="80"/>
          <w:sz w:val="22"/>
          <w:szCs w:val="22"/>
          <w:lang w:val="en-GB"/>
        </w:rPr>
        <w:t xml:space="preserve"> However, in the event </w:t>
      </w:r>
      <w:r w:rsidR="00186C0D">
        <w:rPr>
          <w:rFonts w:ascii="Avenir Next" w:hAnsi="Avenir Next" w:cs="Arial"/>
          <w:color w:val="808080" w:themeColor="background1" w:themeShade="80"/>
          <w:sz w:val="22"/>
          <w:szCs w:val="22"/>
          <w:lang w:val="en-GB"/>
        </w:rPr>
        <w:t>a debtor</w:t>
      </w:r>
      <w:r w:rsidR="00095E4A">
        <w:rPr>
          <w:rFonts w:ascii="Avenir Next" w:hAnsi="Avenir Next" w:cs="Arial"/>
          <w:color w:val="808080" w:themeColor="background1" w:themeShade="80"/>
          <w:sz w:val="22"/>
          <w:szCs w:val="22"/>
          <w:lang w:val="en-GB"/>
        </w:rPr>
        <w:t xml:space="preserve"> independently</w:t>
      </w:r>
      <w:r w:rsidR="00186C0D">
        <w:rPr>
          <w:rFonts w:ascii="Avenir Next" w:hAnsi="Avenir Next" w:cs="Arial"/>
          <w:color w:val="808080" w:themeColor="background1" w:themeShade="80"/>
          <w:sz w:val="22"/>
          <w:szCs w:val="22"/>
          <w:lang w:val="en-GB"/>
        </w:rPr>
        <w:t xml:space="preserve"> </w:t>
      </w:r>
      <w:r w:rsidR="00095E4A">
        <w:rPr>
          <w:rFonts w:ascii="Avenir Next" w:hAnsi="Avenir Next" w:cs="Arial"/>
          <w:color w:val="808080" w:themeColor="background1" w:themeShade="80"/>
          <w:sz w:val="22"/>
          <w:szCs w:val="22"/>
          <w:lang w:val="en-GB"/>
        </w:rPr>
        <w:t xml:space="preserve">operates commercial establishments across </w:t>
      </w:r>
      <w:r w:rsidR="008059BB">
        <w:rPr>
          <w:rFonts w:ascii="Avenir Next" w:hAnsi="Avenir Next" w:cs="Arial"/>
          <w:color w:val="808080" w:themeColor="background1" w:themeShade="80"/>
          <w:sz w:val="22"/>
          <w:szCs w:val="22"/>
          <w:lang w:val="en-GB"/>
        </w:rPr>
        <w:t>various member States,</w:t>
      </w:r>
      <w:r w:rsidR="00095E4A">
        <w:rPr>
          <w:rFonts w:ascii="Avenir Next" w:hAnsi="Avenir Next" w:cs="Arial"/>
          <w:color w:val="808080" w:themeColor="background1" w:themeShade="80"/>
          <w:sz w:val="22"/>
          <w:szCs w:val="22"/>
          <w:lang w:val="en-GB"/>
        </w:rPr>
        <w:t xml:space="preserve"> </w:t>
      </w:r>
      <w:r w:rsidR="000E7F65">
        <w:rPr>
          <w:rFonts w:ascii="Avenir Next" w:hAnsi="Avenir Next" w:cs="Arial"/>
          <w:color w:val="808080" w:themeColor="background1" w:themeShade="80"/>
          <w:sz w:val="22"/>
          <w:szCs w:val="22"/>
          <w:lang w:val="en-GB"/>
        </w:rPr>
        <w:t xml:space="preserve">there </w:t>
      </w:r>
      <w:r w:rsidR="008059BB">
        <w:rPr>
          <w:rFonts w:ascii="Avenir Next" w:hAnsi="Avenir Next" w:cs="Arial"/>
          <w:color w:val="808080" w:themeColor="background1" w:themeShade="80"/>
          <w:sz w:val="22"/>
          <w:szCs w:val="22"/>
          <w:lang w:val="en-GB"/>
        </w:rPr>
        <w:t>may be</w:t>
      </w:r>
      <w:r w:rsidR="000E7F65">
        <w:rPr>
          <w:rFonts w:ascii="Avenir Next" w:hAnsi="Avenir Next" w:cs="Arial"/>
          <w:color w:val="808080" w:themeColor="background1" w:themeShade="80"/>
          <w:sz w:val="22"/>
          <w:szCs w:val="22"/>
          <w:lang w:val="en-GB"/>
        </w:rPr>
        <w:t xml:space="preserve"> concurrent proceedings,</w:t>
      </w:r>
      <w:r w:rsidR="008059BB">
        <w:rPr>
          <w:rFonts w:ascii="Avenir Next" w:hAnsi="Avenir Next" w:cs="Arial"/>
          <w:color w:val="808080" w:themeColor="background1" w:themeShade="80"/>
          <w:sz w:val="22"/>
          <w:szCs w:val="22"/>
          <w:lang w:val="en-GB"/>
        </w:rPr>
        <w:t xml:space="preserve"> and the Havana Convention does not provide </w:t>
      </w:r>
      <w:r w:rsidR="00A15745">
        <w:rPr>
          <w:rFonts w:ascii="Avenir Next" w:hAnsi="Avenir Next" w:cs="Arial"/>
          <w:color w:val="808080" w:themeColor="background1" w:themeShade="80"/>
          <w:sz w:val="22"/>
          <w:szCs w:val="22"/>
          <w:lang w:val="en-GB"/>
        </w:rPr>
        <w:t>procedures for co-operation or co-ordination of any concurrent proceedings in other member Stat</w:t>
      </w:r>
      <w:r w:rsidR="00643A46">
        <w:rPr>
          <w:rFonts w:ascii="Avenir Next" w:hAnsi="Avenir Next" w:cs="Arial"/>
          <w:color w:val="808080" w:themeColor="background1" w:themeShade="80"/>
          <w:sz w:val="22"/>
          <w:szCs w:val="22"/>
          <w:lang w:val="en-GB"/>
        </w:rPr>
        <w:t>es</w:t>
      </w:r>
      <w:r w:rsidR="003F7963">
        <w:rPr>
          <w:rFonts w:ascii="Avenir Next" w:hAnsi="Avenir Next" w:cs="Arial"/>
          <w:color w:val="808080" w:themeColor="background1" w:themeShade="80"/>
          <w:sz w:val="22"/>
          <w:szCs w:val="22"/>
          <w:lang w:val="en-GB"/>
        </w:rPr>
        <w:t xml:space="preserve"> (</w:t>
      </w:r>
      <w:r w:rsidR="00D662C6">
        <w:rPr>
          <w:rFonts w:ascii="Avenir Next" w:hAnsi="Avenir Next" w:cs="Arial"/>
          <w:color w:val="808080" w:themeColor="background1" w:themeShade="80"/>
          <w:sz w:val="22"/>
          <w:szCs w:val="22"/>
          <w:lang w:val="en-GB"/>
        </w:rPr>
        <w:t xml:space="preserve">I F </w:t>
      </w:r>
      <w:r w:rsidR="003F7963">
        <w:rPr>
          <w:rFonts w:ascii="Avenir Next" w:hAnsi="Avenir Next" w:cs="Arial"/>
          <w:color w:val="808080" w:themeColor="background1" w:themeShade="80"/>
          <w:sz w:val="22"/>
          <w:szCs w:val="22"/>
          <w:lang w:val="en-GB"/>
        </w:rPr>
        <w:t xml:space="preserve">Fletcher, </w:t>
      </w:r>
      <w:r w:rsidR="00A60DC6">
        <w:rPr>
          <w:rFonts w:ascii="Avenir Next" w:hAnsi="Avenir Next" w:cs="Arial"/>
          <w:i/>
          <w:iCs/>
          <w:color w:val="808080" w:themeColor="background1" w:themeShade="80"/>
          <w:sz w:val="22"/>
          <w:szCs w:val="22"/>
          <w:lang w:val="en-GB"/>
        </w:rPr>
        <w:t xml:space="preserve">Insolvency in Private International Law – National and International Approaches </w:t>
      </w:r>
      <w:r w:rsidR="00A60DC6">
        <w:rPr>
          <w:rFonts w:ascii="Avenir Next" w:hAnsi="Avenir Next" w:cs="Arial"/>
          <w:color w:val="808080" w:themeColor="background1" w:themeShade="80"/>
          <w:sz w:val="22"/>
          <w:szCs w:val="22"/>
          <w:lang w:val="en-GB"/>
        </w:rPr>
        <w:t xml:space="preserve">(Oxford: Oxford University Press, </w:t>
      </w:r>
      <w:r w:rsidR="000326C8">
        <w:rPr>
          <w:rFonts w:ascii="Avenir Next" w:hAnsi="Avenir Next" w:cs="Arial"/>
          <w:color w:val="808080" w:themeColor="background1" w:themeShade="80"/>
          <w:sz w:val="22"/>
          <w:szCs w:val="22"/>
          <w:lang w:val="en-GB"/>
        </w:rPr>
        <w:t>2</w:t>
      </w:r>
      <w:r w:rsidR="000326C8" w:rsidRPr="000326C8">
        <w:rPr>
          <w:rFonts w:ascii="Avenir Next" w:hAnsi="Avenir Next" w:cs="Arial"/>
          <w:color w:val="808080" w:themeColor="background1" w:themeShade="80"/>
          <w:sz w:val="22"/>
          <w:szCs w:val="22"/>
          <w:vertAlign w:val="superscript"/>
          <w:lang w:val="en-GB"/>
        </w:rPr>
        <w:t>nd</w:t>
      </w:r>
      <w:r w:rsidR="000326C8">
        <w:rPr>
          <w:rFonts w:ascii="Avenir Next" w:hAnsi="Avenir Next" w:cs="Arial"/>
          <w:color w:val="808080" w:themeColor="background1" w:themeShade="80"/>
          <w:sz w:val="22"/>
          <w:szCs w:val="22"/>
          <w:lang w:val="en-GB"/>
        </w:rPr>
        <w:t xml:space="preserve"> ed, 2005, </w:t>
      </w:r>
      <w:r w:rsidR="00D662C6">
        <w:rPr>
          <w:rFonts w:ascii="Avenir Next" w:hAnsi="Avenir Next" w:cs="Arial"/>
          <w:color w:val="808080" w:themeColor="background1" w:themeShade="80"/>
          <w:sz w:val="22"/>
          <w:szCs w:val="22"/>
          <w:lang w:val="en-GB"/>
        </w:rPr>
        <w:t>[5.23]</w:t>
      </w:r>
      <w:r w:rsidR="000326C8">
        <w:rPr>
          <w:rFonts w:ascii="Avenir Next" w:hAnsi="Avenir Next" w:cs="Arial"/>
          <w:color w:val="808080" w:themeColor="background1" w:themeShade="80"/>
          <w:sz w:val="22"/>
          <w:szCs w:val="22"/>
          <w:lang w:val="en-GB"/>
        </w:rPr>
        <w:t>)</w:t>
      </w:r>
      <w:r w:rsidR="00643A46">
        <w:rPr>
          <w:rFonts w:ascii="Avenir Next" w:hAnsi="Avenir Next" w:cs="Arial"/>
          <w:color w:val="808080" w:themeColor="background1" w:themeShade="80"/>
          <w:sz w:val="22"/>
          <w:szCs w:val="22"/>
          <w:lang w:val="en-GB"/>
        </w:rPr>
        <w:t>.</w:t>
      </w:r>
      <w:r w:rsidR="00DA42DA" w:rsidRPr="00DA42DA">
        <w:rPr>
          <w:rFonts w:ascii="Avenir Next" w:hAnsi="Avenir Next" w:cs="Arial"/>
          <w:color w:val="808080" w:themeColor="background1" w:themeShade="80"/>
          <w:sz w:val="22"/>
          <w:szCs w:val="22"/>
          <w:lang w:val="en-GB"/>
        </w:rPr>
        <w:t>]</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lastRenderedPageBreak/>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1E29F4C8" w14:textId="026F8316" w:rsidR="00D80FB1"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2D26B3">
        <w:rPr>
          <w:rFonts w:ascii="Avenir Next" w:hAnsi="Avenir Next" w:cs="Arial"/>
          <w:color w:val="808080" w:themeColor="background1" w:themeShade="80"/>
          <w:sz w:val="22"/>
          <w:szCs w:val="22"/>
          <w:lang w:val="en-GB"/>
        </w:rPr>
        <w:t xml:space="preserve">I </w:t>
      </w:r>
      <w:r w:rsidR="000474B0">
        <w:rPr>
          <w:rFonts w:ascii="Avenir Next" w:hAnsi="Avenir Next" w:cs="Arial"/>
          <w:color w:val="808080" w:themeColor="background1" w:themeShade="80"/>
          <w:sz w:val="22"/>
          <w:szCs w:val="22"/>
          <w:lang w:val="en-GB"/>
        </w:rPr>
        <w:t>agree</w:t>
      </w:r>
      <w:r w:rsidR="00ED665D">
        <w:rPr>
          <w:rFonts w:ascii="Avenir Next" w:hAnsi="Avenir Next" w:cs="Arial"/>
          <w:color w:val="808080" w:themeColor="background1" w:themeShade="80"/>
          <w:sz w:val="22"/>
          <w:szCs w:val="22"/>
          <w:lang w:val="en-GB"/>
        </w:rPr>
        <w:t xml:space="preserve"> with the statement</w:t>
      </w:r>
      <w:r w:rsidR="003338D9">
        <w:rPr>
          <w:rFonts w:ascii="Avenir Next" w:hAnsi="Avenir Next" w:cs="Arial"/>
          <w:color w:val="808080" w:themeColor="background1" w:themeShade="80"/>
          <w:sz w:val="22"/>
          <w:szCs w:val="22"/>
          <w:lang w:val="en-GB"/>
        </w:rPr>
        <w:t xml:space="preserve"> that the terms “bankruptcy” and “insolvency” may be used interchangeably. </w:t>
      </w:r>
    </w:p>
    <w:p w14:paraId="4C330AE1" w14:textId="77777777" w:rsidR="0042688E" w:rsidRDefault="0042688E" w:rsidP="00DA42DA">
      <w:pPr>
        <w:jc w:val="both"/>
        <w:rPr>
          <w:rFonts w:ascii="Avenir Next" w:hAnsi="Avenir Next" w:cs="Arial"/>
          <w:color w:val="808080" w:themeColor="background1" w:themeShade="80"/>
          <w:sz w:val="22"/>
          <w:szCs w:val="22"/>
          <w:lang w:val="en-GB"/>
        </w:rPr>
      </w:pPr>
    </w:p>
    <w:p w14:paraId="48F957AF" w14:textId="7C7E7B87" w:rsidR="006C3096" w:rsidRDefault="003338D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the </w:t>
      </w:r>
      <w:r w:rsidR="004D26B0">
        <w:rPr>
          <w:rFonts w:ascii="Avenir Next" w:hAnsi="Avenir Next" w:cs="Arial"/>
          <w:color w:val="808080" w:themeColor="background1" w:themeShade="80"/>
          <w:sz w:val="22"/>
          <w:szCs w:val="22"/>
          <w:lang w:val="en-GB"/>
        </w:rPr>
        <w:t xml:space="preserve">outset, </w:t>
      </w:r>
      <w:r w:rsidR="006C3096">
        <w:rPr>
          <w:rFonts w:ascii="Avenir Next" w:hAnsi="Avenir Next" w:cs="Arial"/>
          <w:color w:val="808080" w:themeColor="background1" w:themeShade="80"/>
          <w:sz w:val="22"/>
          <w:szCs w:val="22"/>
          <w:lang w:val="en-GB"/>
        </w:rPr>
        <w:t xml:space="preserve">while </w:t>
      </w:r>
      <w:r w:rsidR="004F2492">
        <w:rPr>
          <w:rFonts w:ascii="Avenir Next" w:hAnsi="Avenir Next" w:cs="Arial"/>
          <w:color w:val="808080" w:themeColor="background1" w:themeShade="80"/>
          <w:sz w:val="22"/>
          <w:szCs w:val="22"/>
          <w:lang w:val="en-GB"/>
        </w:rPr>
        <w:t>both terms are used interchangeably across many systems</w:t>
      </w:r>
      <w:r w:rsidR="002413B8">
        <w:rPr>
          <w:rFonts w:ascii="Avenir Next" w:hAnsi="Avenir Next" w:cs="Arial"/>
          <w:color w:val="808080" w:themeColor="background1" w:themeShade="80"/>
          <w:sz w:val="22"/>
          <w:szCs w:val="22"/>
          <w:lang w:val="en-GB"/>
        </w:rPr>
        <w:t xml:space="preserve"> (</w:t>
      </w:r>
      <w:r w:rsidR="007F0144">
        <w:rPr>
          <w:rFonts w:ascii="Avenir Next" w:hAnsi="Avenir Next" w:cs="Arial"/>
          <w:color w:val="808080" w:themeColor="background1" w:themeShade="80"/>
          <w:sz w:val="22"/>
          <w:szCs w:val="22"/>
          <w:lang w:val="en-GB"/>
        </w:rPr>
        <w:t xml:space="preserve">I F </w:t>
      </w:r>
      <w:r w:rsidR="002413B8">
        <w:rPr>
          <w:rFonts w:ascii="Avenir Next" w:hAnsi="Avenir Next" w:cs="Arial"/>
          <w:color w:val="808080" w:themeColor="background1" w:themeShade="80"/>
          <w:sz w:val="22"/>
          <w:szCs w:val="22"/>
          <w:lang w:val="en-GB"/>
        </w:rPr>
        <w:t>Fletcher,</w:t>
      </w:r>
      <w:r w:rsidR="00BE5589">
        <w:rPr>
          <w:rFonts w:ascii="Avenir Next" w:hAnsi="Avenir Next" w:cs="Arial"/>
          <w:color w:val="808080" w:themeColor="background1" w:themeShade="80"/>
          <w:sz w:val="22"/>
          <w:szCs w:val="22"/>
          <w:lang w:val="en-GB"/>
        </w:rPr>
        <w:t xml:space="preserve"> </w:t>
      </w:r>
      <w:r w:rsidR="00BE5589">
        <w:rPr>
          <w:rFonts w:ascii="Avenir Next" w:hAnsi="Avenir Next" w:cs="Arial"/>
          <w:i/>
          <w:iCs/>
          <w:color w:val="808080" w:themeColor="background1" w:themeShade="80"/>
          <w:sz w:val="22"/>
          <w:szCs w:val="22"/>
          <w:lang w:val="en-GB"/>
        </w:rPr>
        <w:t>The Law of Insolvency</w:t>
      </w:r>
      <w:r w:rsidR="00BE5589">
        <w:rPr>
          <w:rFonts w:ascii="Avenir Next" w:hAnsi="Avenir Next" w:cs="Arial"/>
          <w:color w:val="808080" w:themeColor="background1" w:themeShade="80"/>
          <w:sz w:val="22"/>
          <w:szCs w:val="22"/>
          <w:lang w:val="en-GB"/>
        </w:rPr>
        <w:t>, London (Sweet &amp; Maxwell, 5</w:t>
      </w:r>
      <w:r w:rsidR="00BE5589" w:rsidRPr="00BE5589">
        <w:rPr>
          <w:rFonts w:ascii="Avenir Next" w:hAnsi="Avenir Next" w:cs="Arial"/>
          <w:color w:val="808080" w:themeColor="background1" w:themeShade="80"/>
          <w:sz w:val="22"/>
          <w:szCs w:val="22"/>
          <w:vertAlign w:val="superscript"/>
          <w:lang w:val="en-GB"/>
        </w:rPr>
        <w:t>th</w:t>
      </w:r>
      <w:r w:rsidR="00BE5589">
        <w:rPr>
          <w:rFonts w:ascii="Avenir Next" w:hAnsi="Avenir Next" w:cs="Arial"/>
          <w:color w:val="808080" w:themeColor="background1" w:themeShade="80"/>
          <w:sz w:val="22"/>
          <w:szCs w:val="22"/>
          <w:lang w:val="en-GB"/>
        </w:rPr>
        <w:t xml:space="preserve"> ed, 2017)</w:t>
      </w:r>
      <w:r w:rsidR="00780599">
        <w:rPr>
          <w:rFonts w:ascii="Avenir Next" w:hAnsi="Avenir Next" w:cs="Arial"/>
          <w:color w:val="808080" w:themeColor="background1" w:themeShade="80"/>
          <w:sz w:val="22"/>
          <w:szCs w:val="22"/>
          <w:lang w:val="en-GB"/>
        </w:rPr>
        <w:t xml:space="preserve"> (“</w:t>
      </w:r>
      <w:r w:rsidR="00780599">
        <w:rPr>
          <w:rFonts w:ascii="Avenir Next" w:hAnsi="Avenir Next" w:cs="Arial"/>
          <w:b/>
          <w:bCs/>
          <w:color w:val="808080" w:themeColor="background1" w:themeShade="80"/>
          <w:sz w:val="22"/>
          <w:szCs w:val="22"/>
          <w:lang w:val="en-GB"/>
        </w:rPr>
        <w:t>Fletcher</w:t>
      </w:r>
      <w:r w:rsidR="00780599">
        <w:rPr>
          <w:rFonts w:ascii="Avenir Next" w:hAnsi="Avenir Next" w:cs="Arial"/>
          <w:color w:val="808080" w:themeColor="background1" w:themeShade="80"/>
          <w:sz w:val="22"/>
          <w:szCs w:val="22"/>
          <w:lang w:val="en-GB"/>
        </w:rPr>
        <w:t>”)</w:t>
      </w:r>
      <w:r w:rsidR="002413B8">
        <w:rPr>
          <w:rFonts w:ascii="Avenir Next" w:hAnsi="Avenir Next" w:cs="Arial"/>
          <w:color w:val="808080" w:themeColor="background1" w:themeShade="80"/>
          <w:sz w:val="22"/>
          <w:szCs w:val="22"/>
          <w:lang w:val="en-GB"/>
        </w:rPr>
        <w:t>, Ch 1)</w:t>
      </w:r>
      <w:r w:rsidR="004F2492">
        <w:rPr>
          <w:rFonts w:ascii="Avenir Next" w:hAnsi="Avenir Next" w:cs="Arial"/>
          <w:color w:val="808080" w:themeColor="background1" w:themeShade="80"/>
          <w:sz w:val="22"/>
          <w:szCs w:val="22"/>
          <w:lang w:val="en-GB"/>
        </w:rPr>
        <w:t>, it has been suggested that “</w:t>
      </w:r>
      <w:r w:rsidR="004B62C8">
        <w:rPr>
          <w:rFonts w:ascii="Avenir Next" w:hAnsi="Avenir Next" w:cs="Arial"/>
          <w:color w:val="808080" w:themeColor="background1" w:themeShade="80"/>
          <w:sz w:val="22"/>
          <w:szCs w:val="22"/>
          <w:lang w:val="en-GB"/>
        </w:rPr>
        <w:t>insolvency” is sometimes used to mean the state of financial of affairs of a debtor</w:t>
      </w:r>
      <w:r w:rsidR="00900007">
        <w:rPr>
          <w:rFonts w:ascii="Avenir Next" w:hAnsi="Avenir Next" w:cs="Arial"/>
          <w:color w:val="808080" w:themeColor="background1" w:themeShade="80"/>
          <w:sz w:val="22"/>
          <w:szCs w:val="22"/>
          <w:lang w:val="en-GB"/>
        </w:rPr>
        <w:t xml:space="preserve"> </w:t>
      </w:r>
      <w:r w:rsidR="005277A0">
        <w:rPr>
          <w:rFonts w:ascii="Avenir Next" w:hAnsi="Avenir Next" w:cs="Arial"/>
          <w:color w:val="808080" w:themeColor="background1" w:themeShade="80"/>
          <w:sz w:val="22"/>
          <w:szCs w:val="22"/>
          <w:lang w:val="en-GB"/>
        </w:rPr>
        <w:t>whereby the debtor’s liabilities exceed the assets of the debtor or where the debtor cannot repay debts as they fall due by virtue of a cash flow problem</w:t>
      </w:r>
      <w:r w:rsidR="004B62C8">
        <w:rPr>
          <w:rFonts w:ascii="Avenir Next" w:hAnsi="Avenir Next" w:cs="Arial"/>
          <w:color w:val="808080" w:themeColor="background1" w:themeShade="80"/>
          <w:sz w:val="22"/>
          <w:szCs w:val="22"/>
          <w:lang w:val="en-GB"/>
        </w:rPr>
        <w:t xml:space="preserve">, while the term “bankruptcy” </w:t>
      </w:r>
      <w:r w:rsidR="005B2E5E">
        <w:rPr>
          <w:rFonts w:ascii="Avenir Next" w:hAnsi="Avenir Next" w:cs="Arial"/>
          <w:color w:val="808080" w:themeColor="background1" w:themeShade="80"/>
          <w:sz w:val="22"/>
          <w:szCs w:val="22"/>
          <w:lang w:val="en-GB"/>
        </w:rPr>
        <w:t xml:space="preserve">refers to the formal state of being put into a formal bankruptcy / insolvency proceeding. </w:t>
      </w:r>
    </w:p>
    <w:p w14:paraId="0E8DF4C4" w14:textId="77777777" w:rsidR="006C3096" w:rsidRDefault="006C3096" w:rsidP="00DA42DA">
      <w:pPr>
        <w:jc w:val="both"/>
        <w:rPr>
          <w:rFonts w:ascii="Avenir Next" w:hAnsi="Avenir Next" w:cs="Arial"/>
          <w:color w:val="808080" w:themeColor="background1" w:themeShade="80"/>
          <w:sz w:val="22"/>
          <w:szCs w:val="22"/>
          <w:lang w:val="en-GB"/>
        </w:rPr>
      </w:pPr>
    </w:p>
    <w:p w14:paraId="53E81B17" w14:textId="4B75BCEC" w:rsidR="00933390" w:rsidRDefault="00F46B45"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also worth noting that certain</w:t>
      </w:r>
      <w:r w:rsidR="005C65CB">
        <w:rPr>
          <w:rFonts w:ascii="Avenir Next" w:hAnsi="Avenir Next" w:cs="Arial"/>
          <w:color w:val="808080" w:themeColor="background1" w:themeShade="80"/>
          <w:sz w:val="22"/>
          <w:szCs w:val="22"/>
          <w:lang w:val="en-GB"/>
        </w:rPr>
        <w:t xml:space="preserve"> jurisdictions </w:t>
      </w:r>
      <w:r>
        <w:rPr>
          <w:rFonts w:ascii="Avenir Next" w:hAnsi="Avenir Next" w:cs="Arial"/>
          <w:color w:val="808080" w:themeColor="background1" w:themeShade="80"/>
          <w:sz w:val="22"/>
          <w:szCs w:val="22"/>
          <w:lang w:val="en-GB"/>
        </w:rPr>
        <w:t>have used</w:t>
      </w:r>
      <w:r w:rsidR="005E30FE">
        <w:rPr>
          <w:rFonts w:ascii="Avenir Next" w:hAnsi="Avenir Next" w:cs="Arial"/>
          <w:color w:val="808080" w:themeColor="background1" w:themeShade="80"/>
          <w:sz w:val="22"/>
          <w:szCs w:val="22"/>
          <w:lang w:val="en-GB"/>
        </w:rPr>
        <w:t xml:space="preserve"> both terms to mean different things. </w:t>
      </w:r>
      <w:r>
        <w:rPr>
          <w:rFonts w:ascii="Avenir Next" w:hAnsi="Avenir Next" w:cs="Arial"/>
          <w:color w:val="808080" w:themeColor="background1" w:themeShade="80"/>
          <w:sz w:val="22"/>
          <w:szCs w:val="22"/>
          <w:lang w:val="en-GB"/>
        </w:rPr>
        <w:t>For instance</w:t>
      </w:r>
      <w:r w:rsidR="005E30FE">
        <w:rPr>
          <w:rFonts w:ascii="Avenir Next" w:hAnsi="Avenir Next" w:cs="Arial"/>
          <w:color w:val="808080" w:themeColor="background1" w:themeShade="80"/>
          <w:sz w:val="22"/>
          <w:szCs w:val="22"/>
          <w:lang w:val="en-GB"/>
        </w:rPr>
        <w:t xml:space="preserve">, </w:t>
      </w:r>
      <w:r w:rsidR="008D7478">
        <w:rPr>
          <w:rFonts w:ascii="Avenir Next" w:hAnsi="Avenir Next" w:cs="Arial"/>
          <w:color w:val="808080" w:themeColor="background1" w:themeShade="80"/>
          <w:sz w:val="22"/>
          <w:szCs w:val="22"/>
          <w:lang w:val="en-GB"/>
        </w:rPr>
        <w:t xml:space="preserve">jurisdictions </w:t>
      </w:r>
      <w:r w:rsidR="008073BB">
        <w:rPr>
          <w:rFonts w:ascii="Avenir Next" w:hAnsi="Avenir Next" w:cs="Arial"/>
          <w:color w:val="808080" w:themeColor="background1" w:themeShade="80"/>
          <w:sz w:val="22"/>
          <w:szCs w:val="22"/>
          <w:lang w:val="en-GB"/>
        </w:rPr>
        <w:t>such as</w:t>
      </w:r>
      <w:r w:rsidR="008D7478">
        <w:rPr>
          <w:rFonts w:ascii="Avenir Next" w:hAnsi="Avenir Next" w:cs="Arial"/>
          <w:color w:val="808080" w:themeColor="background1" w:themeShade="80"/>
          <w:sz w:val="22"/>
          <w:szCs w:val="22"/>
          <w:lang w:val="en-GB"/>
        </w:rPr>
        <w:t xml:space="preserve"> Singapore and Australia </w:t>
      </w:r>
      <w:r w:rsidR="007C18D7">
        <w:rPr>
          <w:rFonts w:ascii="Avenir Next" w:hAnsi="Avenir Next" w:cs="Arial"/>
          <w:color w:val="808080" w:themeColor="background1" w:themeShade="80"/>
          <w:sz w:val="22"/>
          <w:szCs w:val="22"/>
          <w:lang w:val="en-GB"/>
        </w:rPr>
        <w:t xml:space="preserve">which </w:t>
      </w:r>
      <w:r w:rsidR="008D7478">
        <w:rPr>
          <w:rFonts w:ascii="Avenir Next" w:hAnsi="Avenir Next" w:cs="Arial"/>
          <w:color w:val="808080" w:themeColor="background1" w:themeShade="80"/>
          <w:sz w:val="22"/>
          <w:szCs w:val="22"/>
          <w:lang w:val="en-GB"/>
        </w:rPr>
        <w:t xml:space="preserve">use “insolvency” to refer </w:t>
      </w:r>
      <w:r w:rsidR="00F141E8">
        <w:rPr>
          <w:rFonts w:ascii="Avenir Next" w:hAnsi="Avenir Next" w:cs="Arial"/>
          <w:color w:val="808080" w:themeColor="background1" w:themeShade="80"/>
          <w:sz w:val="22"/>
          <w:szCs w:val="22"/>
          <w:lang w:val="en-GB"/>
        </w:rPr>
        <w:t xml:space="preserve">to the insolvency of a </w:t>
      </w:r>
      <w:r w:rsidR="007C18D7">
        <w:rPr>
          <w:rFonts w:ascii="Avenir Next" w:hAnsi="Avenir Next" w:cs="Arial"/>
          <w:color w:val="808080" w:themeColor="background1" w:themeShade="80"/>
          <w:sz w:val="22"/>
          <w:szCs w:val="22"/>
          <w:lang w:val="en-GB"/>
        </w:rPr>
        <w:t xml:space="preserve">corporation whilst the term </w:t>
      </w:r>
      <w:r w:rsidR="00F141E8">
        <w:rPr>
          <w:rFonts w:ascii="Avenir Next" w:hAnsi="Avenir Next" w:cs="Arial"/>
          <w:color w:val="808080" w:themeColor="background1" w:themeShade="80"/>
          <w:sz w:val="22"/>
          <w:szCs w:val="22"/>
          <w:lang w:val="en-GB"/>
        </w:rPr>
        <w:t xml:space="preserve">“bankruptcy” </w:t>
      </w:r>
      <w:r w:rsidR="007C18D7">
        <w:rPr>
          <w:rFonts w:ascii="Avenir Next" w:hAnsi="Avenir Next" w:cs="Arial"/>
          <w:color w:val="808080" w:themeColor="background1" w:themeShade="80"/>
          <w:sz w:val="22"/>
          <w:szCs w:val="22"/>
          <w:lang w:val="en-GB"/>
        </w:rPr>
        <w:t xml:space="preserve">is used </w:t>
      </w:r>
      <w:r w:rsidR="00F141E8">
        <w:rPr>
          <w:rFonts w:ascii="Avenir Next" w:hAnsi="Avenir Next" w:cs="Arial"/>
          <w:color w:val="808080" w:themeColor="background1" w:themeShade="80"/>
          <w:sz w:val="22"/>
          <w:szCs w:val="22"/>
          <w:lang w:val="en-GB"/>
        </w:rPr>
        <w:t xml:space="preserve">to refer </w:t>
      </w:r>
      <w:r w:rsidR="00933390">
        <w:rPr>
          <w:rFonts w:ascii="Avenir Next" w:hAnsi="Avenir Next" w:cs="Arial"/>
          <w:color w:val="808080" w:themeColor="background1" w:themeShade="80"/>
          <w:sz w:val="22"/>
          <w:szCs w:val="22"/>
          <w:lang w:val="en-GB"/>
        </w:rPr>
        <w:t xml:space="preserve">to the insolvency of an individual natural person. </w:t>
      </w:r>
    </w:p>
    <w:p w14:paraId="4A6B3079" w14:textId="77777777" w:rsidR="000E16FB" w:rsidRDefault="000E16FB" w:rsidP="00DA42DA">
      <w:pPr>
        <w:jc w:val="both"/>
        <w:rPr>
          <w:rFonts w:ascii="Avenir Next" w:hAnsi="Avenir Next" w:cs="Arial"/>
          <w:color w:val="808080" w:themeColor="background1" w:themeShade="80"/>
          <w:sz w:val="22"/>
          <w:szCs w:val="22"/>
          <w:lang w:val="en-GB"/>
        </w:rPr>
      </w:pPr>
    </w:p>
    <w:p w14:paraId="48A83FD8" w14:textId="0079E7FF" w:rsidR="008A4FAF" w:rsidRDefault="008A4FA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there are also</w:t>
      </w:r>
      <w:r w:rsidR="000E16FB">
        <w:rPr>
          <w:rFonts w:ascii="Avenir Next" w:hAnsi="Avenir Next" w:cs="Arial"/>
          <w:color w:val="808080" w:themeColor="background1" w:themeShade="80"/>
          <w:sz w:val="22"/>
          <w:szCs w:val="22"/>
          <w:lang w:val="en-GB"/>
        </w:rPr>
        <w:t xml:space="preserve"> </w:t>
      </w:r>
      <w:r w:rsidR="008056EB">
        <w:rPr>
          <w:rFonts w:ascii="Avenir Next" w:hAnsi="Avenir Next" w:cs="Arial"/>
          <w:color w:val="808080" w:themeColor="background1" w:themeShade="80"/>
          <w:sz w:val="22"/>
          <w:szCs w:val="22"/>
          <w:lang w:val="en-GB"/>
        </w:rPr>
        <w:t xml:space="preserve">a number of </w:t>
      </w:r>
      <w:r w:rsidR="009A23DD">
        <w:rPr>
          <w:rFonts w:ascii="Avenir Next" w:hAnsi="Avenir Next" w:cs="Arial"/>
          <w:color w:val="808080" w:themeColor="background1" w:themeShade="80"/>
          <w:sz w:val="22"/>
          <w:szCs w:val="22"/>
          <w:lang w:val="en-GB"/>
        </w:rPr>
        <w:t xml:space="preserve">differences between the bankruptcy / insolvency of </w:t>
      </w:r>
      <w:r>
        <w:rPr>
          <w:rFonts w:ascii="Avenir Next" w:hAnsi="Avenir Next" w:cs="Arial"/>
          <w:color w:val="808080" w:themeColor="background1" w:themeShade="80"/>
          <w:sz w:val="22"/>
          <w:szCs w:val="22"/>
          <w:lang w:val="en-GB"/>
        </w:rPr>
        <w:t>individuals and corporations</w:t>
      </w:r>
      <w:r w:rsidR="00677D0A">
        <w:rPr>
          <w:rFonts w:ascii="Avenir Next" w:hAnsi="Avenir Next" w:cs="Arial"/>
          <w:color w:val="808080" w:themeColor="background1" w:themeShade="80"/>
          <w:sz w:val="22"/>
          <w:szCs w:val="22"/>
          <w:lang w:val="en-GB"/>
        </w:rPr>
        <w:t xml:space="preserve">, including the following: </w:t>
      </w:r>
    </w:p>
    <w:p w14:paraId="52A40F20" w14:textId="51CFB5E4" w:rsidR="00677D0A" w:rsidRDefault="009F5958" w:rsidP="00677D0A">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 the</w:t>
      </w:r>
      <w:r w:rsidR="00677D0A">
        <w:rPr>
          <w:rFonts w:ascii="Avenir Next" w:hAnsi="Avenir Next" w:cs="Arial"/>
          <w:color w:val="808080" w:themeColor="background1" w:themeShade="80"/>
          <w:sz w:val="22"/>
          <w:szCs w:val="22"/>
          <w:lang w:val="en-GB"/>
        </w:rPr>
        <w:t xml:space="preserve"> objectives of </w:t>
      </w:r>
      <w:r w:rsidR="007C18CE">
        <w:rPr>
          <w:rFonts w:ascii="Avenir Next" w:hAnsi="Avenir Next" w:cs="Arial"/>
          <w:color w:val="808080" w:themeColor="background1" w:themeShade="80"/>
          <w:sz w:val="22"/>
          <w:szCs w:val="22"/>
          <w:lang w:val="en-GB"/>
        </w:rPr>
        <w:t xml:space="preserve">individual </w:t>
      </w:r>
      <w:r w:rsidR="00D35C66">
        <w:rPr>
          <w:rFonts w:ascii="Avenir Next" w:hAnsi="Avenir Next" w:cs="Arial"/>
          <w:color w:val="808080" w:themeColor="background1" w:themeShade="80"/>
          <w:sz w:val="22"/>
          <w:szCs w:val="22"/>
          <w:lang w:val="en-GB"/>
        </w:rPr>
        <w:t xml:space="preserve">insolvency </w:t>
      </w:r>
      <w:r>
        <w:rPr>
          <w:rFonts w:ascii="Avenir Next" w:hAnsi="Avenir Next" w:cs="Arial"/>
          <w:color w:val="808080" w:themeColor="background1" w:themeShade="80"/>
          <w:sz w:val="22"/>
          <w:szCs w:val="22"/>
          <w:lang w:val="en-GB"/>
        </w:rPr>
        <w:t>and corporate insolvency are different.</w:t>
      </w:r>
      <w:r w:rsidR="00D35C66">
        <w:rPr>
          <w:rFonts w:ascii="Avenir Next" w:hAnsi="Avenir Next" w:cs="Arial"/>
          <w:color w:val="808080" w:themeColor="background1" w:themeShade="80"/>
          <w:sz w:val="22"/>
          <w:szCs w:val="22"/>
          <w:lang w:val="en-GB"/>
        </w:rPr>
        <w:t xml:space="preserve"> </w:t>
      </w:r>
      <w:r w:rsidR="00E12E8A">
        <w:rPr>
          <w:rFonts w:ascii="Avenir Next" w:hAnsi="Avenir Next" w:cs="Arial"/>
          <w:color w:val="808080" w:themeColor="background1" w:themeShade="80"/>
          <w:sz w:val="22"/>
          <w:szCs w:val="22"/>
          <w:lang w:val="en-GB"/>
        </w:rPr>
        <w:t xml:space="preserve">The objective of individual insolvency law </w:t>
      </w:r>
      <w:r w:rsidR="00D35C66">
        <w:rPr>
          <w:rFonts w:ascii="Avenir Next" w:hAnsi="Avenir Next" w:cs="Arial"/>
          <w:color w:val="808080" w:themeColor="background1" w:themeShade="80"/>
          <w:sz w:val="22"/>
          <w:szCs w:val="22"/>
          <w:lang w:val="en-GB"/>
        </w:rPr>
        <w:t>includes protecting the debtor from harassment by his creditors</w:t>
      </w:r>
      <w:r w:rsidR="00F077A9">
        <w:rPr>
          <w:rFonts w:ascii="Avenir Next" w:hAnsi="Avenir Next" w:cs="Arial"/>
          <w:color w:val="808080" w:themeColor="background1" w:themeShade="80"/>
          <w:sz w:val="22"/>
          <w:szCs w:val="22"/>
          <w:lang w:val="en-GB"/>
        </w:rPr>
        <w:t xml:space="preserve">, to enable the debtor to eventually make a fresh start and to reduce indebtedness by making contributions from present and future income to the estate while concurrently taking the debtor’s personal circumstances into consideration. On the other hand, </w:t>
      </w:r>
      <w:r w:rsidR="007C18CE">
        <w:rPr>
          <w:rFonts w:ascii="Avenir Next" w:hAnsi="Avenir Next" w:cs="Arial"/>
          <w:color w:val="808080" w:themeColor="background1" w:themeShade="80"/>
          <w:sz w:val="22"/>
          <w:szCs w:val="22"/>
          <w:lang w:val="en-GB"/>
        </w:rPr>
        <w:t xml:space="preserve">the objectives of corporate insolvency law is less focused on protection </w:t>
      </w:r>
      <w:r w:rsidR="00FF399D">
        <w:rPr>
          <w:rFonts w:ascii="Avenir Next" w:hAnsi="Avenir Next" w:cs="Arial"/>
          <w:color w:val="808080" w:themeColor="background1" w:themeShade="80"/>
          <w:sz w:val="22"/>
          <w:szCs w:val="22"/>
          <w:lang w:val="en-GB"/>
        </w:rPr>
        <w:t xml:space="preserve">of the debtor and giving the debtor a chance for a fresh start, and there is a greater emphasis on preservation of the business’ value </w:t>
      </w:r>
      <w:r w:rsidR="004773A4">
        <w:rPr>
          <w:rFonts w:ascii="Avenir Next" w:hAnsi="Avenir Next" w:cs="Arial"/>
          <w:color w:val="808080" w:themeColor="background1" w:themeShade="80"/>
          <w:sz w:val="22"/>
          <w:szCs w:val="22"/>
          <w:lang w:val="en-GB"/>
        </w:rPr>
        <w:t xml:space="preserve">or its viable parts (which may not necessarily include the company itself), and to impose personal liability </w:t>
      </w:r>
      <w:r>
        <w:rPr>
          <w:rFonts w:ascii="Avenir Next" w:hAnsi="Avenir Next" w:cs="Arial"/>
          <w:color w:val="808080" w:themeColor="background1" w:themeShade="80"/>
          <w:sz w:val="22"/>
          <w:szCs w:val="22"/>
          <w:lang w:val="en-GB"/>
        </w:rPr>
        <w:t>on responsible persons where there has been an abuse of the corporate vehicle</w:t>
      </w:r>
      <w:r w:rsidR="00AD3575">
        <w:rPr>
          <w:rFonts w:ascii="Avenir Next" w:hAnsi="Avenir Next" w:cs="Arial"/>
          <w:color w:val="808080" w:themeColor="background1" w:themeShade="80"/>
          <w:sz w:val="22"/>
          <w:szCs w:val="22"/>
          <w:lang w:val="en-GB"/>
        </w:rPr>
        <w:t xml:space="preserve"> (</w:t>
      </w:r>
      <w:r w:rsidR="008C6146">
        <w:rPr>
          <w:rFonts w:ascii="Avenir Next" w:hAnsi="Avenir Next" w:cs="Arial"/>
          <w:color w:val="808080" w:themeColor="background1" w:themeShade="80"/>
          <w:sz w:val="22"/>
          <w:szCs w:val="22"/>
          <w:lang w:val="en-GB"/>
        </w:rPr>
        <w:t xml:space="preserve">In M A Clarke </w:t>
      </w:r>
      <w:r w:rsidR="008C6146">
        <w:rPr>
          <w:rFonts w:ascii="Avenir Next" w:hAnsi="Avenir Next" w:cs="Arial"/>
          <w:i/>
          <w:iCs/>
          <w:color w:val="808080" w:themeColor="background1" w:themeShade="80"/>
          <w:sz w:val="22"/>
          <w:szCs w:val="22"/>
          <w:lang w:val="en-GB"/>
        </w:rPr>
        <w:t>et al</w:t>
      </w:r>
      <w:r w:rsidR="008C6146">
        <w:rPr>
          <w:rFonts w:ascii="Avenir Next" w:hAnsi="Avenir Next" w:cs="Arial"/>
          <w:color w:val="808080" w:themeColor="background1" w:themeShade="80"/>
          <w:sz w:val="22"/>
          <w:szCs w:val="22"/>
          <w:lang w:val="en-GB"/>
        </w:rPr>
        <w:t xml:space="preserve">, </w:t>
      </w:r>
      <w:r w:rsidR="008C6146">
        <w:rPr>
          <w:rFonts w:ascii="Avenir Next" w:hAnsi="Avenir Next" w:cs="Arial"/>
          <w:i/>
          <w:iCs/>
          <w:color w:val="808080" w:themeColor="background1" w:themeShade="80"/>
          <w:sz w:val="22"/>
          <w:szCs w:val="22"/>
          <w:lang w:val="en-GB"/>
        </w:rPr>
        <w:t xml:space="preserve">Commercial Law </w:t>
      </w:r>
      <w:r w:rsidR="008C6146">
        <w:rPr>
          <w:rFonts w:ascii="Avenir Next" w:hAnsi="Avenir Next" w:cs="Arial"/>
          <w:color w:val="808080" w:themeColor="background1" w:themeShade="80"/>
          <w:sz w:val="22"/>
          <w:szCs w:val="22"/>
          <w:lang w:val="en-GB"/>
        </w:rPr>
        <w:t>(Oxford University Press, 2017), chap 28).</w:t>
      </w:r>
    </w:p>
    <w:p w14:paraId="7D1D66AA" w14:textId="2881D268" w:rsidR="00F9712A" w:rsidRDefault="00F9712A" w:rsidP="00677D0A">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 </w:t>
      </w:r>
      <w:r w:rsidR="004D7716">
        <w:rPr>
          <w:rFonts w:ascii="Avenir Next" w:hAnsi="Avenir Next" w:cs="Arial"/>
          <w:color w:val="808080" w:themeColor="background1" w:themeShade="80"/>
          <w:sz w:val="22"/>
          <w:szCs w:val="22"/>
          <w:lang w:val="en-GB"/>
        </w:rPr>
        <w:t xml:space="preserve">the notion of exempt or excluded assets </w:t>
      </w:r>
      <w:r w:rsidR="004E57FA">
        <w:rPr>
          <w:rFonts w:ascii="Avenir Next" w:hAnsi="Avenir Next" w:cs="Arial"/>
          <w:color w:val="808080" w:themeColor="background1" w:themeShade="80"/>
          <w:sz w:val="22"/>
          <w:szCs w:val="22"/>
          <w:lang w:val="en-GB"/>
        </w:rPr>
        <w:t xml:space="preserve">(by allowing an insolvent individual to keep certain assets required to maintain him or herself and his or her dependents) </w:t>
      </w:r>
      <w:r w:rsidR="00742C8B">
        <w:rPr>
          <w:rFonts w:ascii="Avenir Next" w:hAnsi="Avenir Next" w:cs="Arial"/>
          <w:color w:val="808080" w:themeColor="background1" w:themeShade="80"/>
          <w:sz w:val="22"/>
          <w:szCs w:val="22"/>
          <w:lang w:val="en-GB"/>
        </w:rPr>
        <w:t>only applies to individuals and not corporations</w:t>
      </w:r>
      <w:r w:rsidR="004E57FA">
        <w:rPr>
          <w:rFonts w:ascii="Avenir Next" w:hAnsi="Avenir Next" w:cs="Arial"/>
          <w:color w:val="808080" w:themeColor="background1" w:themeShade="80"/>
          <w:sz w:val="22"/>
          <w:szCs w:val="22"/>
          <w:lang w:val="en-GB"/>
        </w:rPr>
        <w:t xml:space="preserve"> (Fletcher, </w:t>
      </w:r>
      <w:r w:rsidR="00780599">
        <w:rPr>
          <w:rFonts w:ascii="Avenir Next" w:hAnsi="Avenir Next" w:cs="Arial"/>
          <w:color w:val="808080" w:themeColor="background1" w:themeShade="80"/>
          <w:sz w:val="22"/>
          <w:szCs w:val="22"/>
          <w:lang w:val="en-GB"/>
        </w:rPr>
        <w:t>Ch 1)</w:t>
      </w:r>
      <w:r w:rsidR="008C6146">
        <w:rPr>
          <w:rFonts w:ascii="Avenir Next" w:hAnsi="Avenir Next" w:cs="Arial"/>
          <w:color w:val="808080" w:themeColor="background1" w:themeShade="80"/>
          <w:sz w:val="22"/>
          <w:szCs w:val="22"/>
          <w:lang w:val="en-GB"/>
        </w:rPr>
        <w:t>.</w:t>
      </w:r>
    </w:p>
    <w:p w14:paraId="2284E69C" w14:textId="33B73D93" w:rsidR="006E060F" w:rsidRPr="00677D0A" w:rsidRDefault="006E060F" w:rsidP="00677D0A">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Third, individ</w:t>
      </w:r>
      <w:r w:rsidR="000A155B">
        <w:rPr>
          <w:rFonts w:ascii="Avenir Next" w:hAnsi="Avenir Next" w:cs="Arial"/>
          <w:color w:val="808080" w:themeColor="background1" w:themeShade="80"/>
          <w:sz w:val="22"/>
          <w:szCs w:val="22"/>
          <w:lang w:val="en-GB"/>
        </w:rPr>
        <w:t>uals are not dissolved after the conclusion of a bankruptcy</w:t>
      </w:r>
      <w:r w:rsidR="000B6043">
        <w:rPr>
          <w:rFonts w:ascii="Avenir Next" w:hAnsi="Avenir Next" w:cs="Arial"/>
          <w:color w:val="808080" w:themeColor="background1" w:themeShade="80"/>
          <w:sz w:val="22"/>
          <w:szCs w:val="22"/>
          <w:lang w:val="en-GB"/>
        </w:rPr>
        <w:t xml:space="preserve">, unlike </w:t>
      </w:r>
      <w:r w:rsidR="000A155B">
        <w:rPr>
          <w:rFonts w:ascii="Avenir Next" w:hAnsi="Avenir Next" w:cs="Arial"/>
          <w:color w:val="808080" w:themeColor="background1" w:themeShade="80"/>
          <w:sz w:val="22"/>
          <w:szCs w:val="22"/>
          <w:lang w:val="en-GB"/>
        </w:rPr>
        <w:t xml:space="preserve">a company </w:t>
      </w:r>
      <w:r w:rsidR="000B6043">
        <w:rPr>
          <w:rFonts w:ascii="Avenir Next" w:hAnsi="Avenir Next" w:cs="Arial"/>
          <w:color w:val="808080" w:themeColor="background1" w:themeShade="80"/>
          <w:sz w:val="22"/>
          <w:szCs w:val="22"/>
          <w:lang w:val="en-GB"/>
        </w:rPr>
        <w:t xml:space="preserve">which </w:t>
      </w:r>
      <w:r w:rsidR="000A155B">
        <w:rPr>
          <w:rFonts w:ascii="Avenir Next" w:hAnsi="Avenir Next" w:cs="Arial"/>
          <w:color w:val="808080" w:themeColor="background1" w:themeShade="80"/>
          <w:sz w:val="22"/>
          <w:szCs w:val="22"/>
          <w:lang w:val="en-GB"/>
        </w:rPr>
        <w:t>is dissolved after its affairs have been wound up.</w:t>
      </w:r>
    </w:p>
    <w:p w14:paraId="34C48A66" w14:textId="77777777" w:rsidR="00B371B3" w:rsidRDefault="00B371B3" w:rsidP="00DA42DA">
      <w:pPr>
        <w:jc w:val="both"/>
        <w:rPr>
          <w:rFonts w:ascii="Avenir Next" w:hAnsi="Avenir Next" w:cs="Arial"/>
          <w:color w:val="808080" w:themeColor="background1" w:themeShade="80"/>
          <w:sz w:val="22"/>
          <w:szCs w:val="22"/>
          <w:lang w:val="en-GB"/>
        </w:rPr>
      </w:pPr>
    </w:p>
    <w:p w14:paraId="3C128EBE" w14:textId="5586C984" w:rsidR="00933390" w:rsidRDefault="00B371B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w:t>
      </w:r>
      <w:r w:rsidR="006D4EF5">
        <w:rPr>
          <w:rFonts w:ascii="Avenir Next" w:hAnsi="Avenir Next" w:cs="Arial"/>
          <w:color w:val="808080" w:themeColor="background1" w:themeShade="80"/>
          <w:sz w:val="22"/>
          <w:szCs w:val="22"/>
          <w:lang w:val="en-GB"/>
        </w:rPr>
        <w:t xml:space="preserve"> notwithstanding the fact that different meanings may be ascribed to both terms,</w:t>
      </w:r>
      <w:r>
        <w:rPr>
          <w:rFonts w:ascii="Avenir Next" w:hAnsi="Avenir Next" w:cs="Arial"/>
          <w:color w:val="808080" w:themeColor="background1" w:themeShade="80"/>
          <w:sz w:val="22"/>
          <w:szCs w:val="22"/>
          <w:lang w:val="en-GB"/>
        </w:rPr>
        <w:t xml:space="preserve"> I would posit that </w:t>
      </w:r>
      <w:r w:rsidR="00B63B9B">
        <w:rPr>
          <w:rFonts w:ascii="Avenir Next" w:hAnsi="Avenir Next" w:cs="Arial"/>
          <w:color w:val="808080" w:themeColor="background1" w:themeShade="80"/>
          <w:sz w:val="22"/>
          <w:szCs w:val="22"/>
          <w:lang w:val="en-GB"/>
        </w:rPr>
        <w:t>these</w:t>
      </w:r>
      <w:r w:rsidR="00522BD6">
        <w:rPr>
          <w:rFonts w:ascii="Avenir Next" w:hAnsi="Avenir Next" w:cs="Arial"/>
          <w:color w:val="808080" w:themeColor="background1" w:themeShade="80"/>
          <w:sz w:val="22"/>
          <w:szCs w:val="22"/>
          <w:lang w:val="en-GB"/>
        </w:rPr>
        <w:t xml:space="preserve"> terms</w:t>
      </w:r>
      <w:r w:rsidR="00B63B9B">
        <w:rPr>
          <w:rFonts w:ascii="Avenir Next" w:hAnsi="Avenir Next" w:cs="Arial"/>
          <w:color w:val="808080" w:themeColor="background1" w:themeShade="80"/>
          <w:sz w:val="22"/>
          <w:szCs w:val="22"/>
          <w:lang w:val="en-GB"/>
        </w:rPr>
        <w:t xml:space="preserve"> are just a matter of semantics</w:t>
      </w:r>
      <w:r w:rsidR="00AE2CC5">
        <w:rPr>
          <w:rFonts w:ascii="Avenir Next" w:hAnsi="Avenir Next" w:cs="Arial"/>
          <w:color w:val="808080" w:themeColor="background1" w:themeShade="80"/>
          <w:sz w:val="22"/>
          <w:szCs w:val="22"/>
          <w:lang w:val="en-GB"/>
        </w:rPr>
        <w:t>. At</w:t>
      </w:r>
      <w:r w:rsidR="00AB7791">
        <w:rPr>
          <w:rFonts w:ascii="Avenir Next" w:hAnsi="Avenir Next" w:cs="Arial"/>
          <w:color w:val="808080" w:themeColor="background1" w:themeShade="80"/>
          <w:sz w:val="22"/>
          <w:szCs w:val="22"/>
          <w:lang w:val="en-GB"/>
        </w:rPr>
        <w:t xml:space="preserve"> </w:t>
      </w:r>
      <w:r w:rsidR="005C73CA">
        <w:rPr>
          <w:rFonts w:ascii="Avenir Next" w:hAnsi="Avenir Next" w:cs="Arial"/>
          <w:color w:val="808080" w:themeColor="background1" w:themeShade="80"/>
          <w:sz w:val="22"/>
          <w:szCs w:val="22"/>
          <w:lang w:val="en-GB"/>
        </w:rPr>
        <w:t>their</w:t>
      </w:r>
      <w:r w:rsidR="00AB7791">
        <w:rPr>
          <w:rFonts w:ascii="Avenir Next" w:hAnsi="Avenir Next" w:cs="Arial"/>
          <w:color w:val="808080" w:themeColor="background1" w:themeShade="80"/>
          <w:sz w:val="22"/>
          <w:szCs w:val="22"/>
          <w:lang w:val="en-GB"/>
        </w:rPr>
        <w:t xml:space="preserve"> core</w:t>
      </w:r>
      <w:r w:rsidR="00AE2CC5">
        <w:rPr>
          <w:rFonts w:ascii="Avenir Next" w:hAnsi="Avenir Next" w:cs="Arial"/>
          <w:color w:val="808080" w:themeColor="background1" w:themeShade="80"/>
          <w:sz w:val="22"/>
          <w:szCs w:val="22"/>
          <w:lang w:val="en-GB"/>
        </w:rPr>
        <w:t>,</w:t>
      </w:r>
      <w:r w:rsidR="00F74D5E">
        <w:rPr>
          <w:rFonts w:ascii="Avenir Next" w:hAnsi="Avenir Next" w:cs="Arial"/>
          <w:color w:val="808080" w:themeColor="background1" w:themeShade="80"/>
          <w:sz w:val="22"/>
          <w:szCs w:val="22"/>
          <w:lang w:val="en-GB"/>
        </w:rPr>
        <w:t xml:space="preserve"> both terms ultimately </w:t>
      </w:r>
      <w:r w:rsidR="00522BD6">
        <w:rPr>
          <w:rFonts w:ascii="Avenir Next" w:hAnsi="Avenir Next" w:cs="Arial"/>
          <w:color w:val="808080" w:themeColor="background1" w:themeShade="80"/>
          <w:sz w:val="22"/>
          <w:szCs w:val="22"/>
          <w:lang w:val="en-GB"/>
        </w:rPr>
        <w:t xml:space="preserve">seek to describe </w:t>
      </w:r>
      <w:r w:rsidR="00E35204">
        <w:rPr>
          <w:rFonts w:ascii="Avenir Next" w:hAnsi="Avenir Next" w:cs="Arial"/>
          <w:color w:val="808080" w:themeColor="background1" w:themeShade="80"/>
          <w:sz w:val="22"/>
          <w:szCs w:val="22"/>
          <w:lang w:val="en-GB"/>
        </w:rPr>
        <w:t xml:space="preserve">the </w:t>
      </w:r>
      <w:r w:rsidR="00D4123E">
        <w:rPr>
          <w:rFonts w:ascii="Avenir Next" w:hAnsi="Avenir Next" w:cs="Arial"/>
          <w:color w:val="808080" w:themeColor="background1" w:themeShade="80"/>
          <w:sz w:val="22"/>
          <w:szCs w:val="22"/>
          <w:lang w:val="en-GB"/>
        </w:rPr>
        <w:t xml:space="preserve">financial </w:t>
      </w:r>
      <w:r w:rsidR="00E35204">
        <w:rPr>
          <w:rFonts w:ascii="Avenir Next" w:hAnsi="Avenir Next" w:cs="Arial"/>
          <w:color w:val="808080" w:themeColor="background1" w:themeShade="80"/>
          <w:sz w:val="22"/>
          <w:szCs w:val="22"/>
          <w:lang w:val="en-GB"/>
        </w:rPr>
        <w:t xml:space="preserve">status of a </w:t>
      </w:r>
      <w:r w:rsidR="00D4123E">
        <w:rPr>
          <w:rFonts w:ascii="Avenir Next" w:hAnsi="Avenir Next" w:cs="Arial"/>
          <w:color w:val="808080" w:themeColor="background1" w:themeShade="80"/>
          <w:sz w:val="22"/>
          <w:szCs w:val="22"/>
          <w:lang w:val="en-GB"/>
        </w:rPr>
        <w:t xml:space="preserve">person (whether natural or a corporate entity) </w:t>
      </w:r>
      <w:r w:rsidR="00252610">
        <w:rPr>
          <w:rFonts w:ascii="Avenir Next" w:hAnsi="Avenir Next" w:cs="Arial"/>
          <w:color w:val="808080" w:themeColor="background1" w:themeShade="80"/>
          <w:sz w:val="22"/>
          <w:szCs w:val="22"/>
          <w:lang w:val="en-GB"/>
        </w:rPr>
        <w:t xml:space="preserve">as being </w:t>
      </w:r>
      <w:r w:rsidR="00832851">
        <w:rPr>
          <w:rFonts w:ascii="Avenir Next" w:hAnsi="Avenir Next" w:cs="Arial"/>
          <w:color w:val="808080" w:themeColor="background1" w:themeShade="80"/>
          <w:sz w:val="22"/>
          <w:szCs w:val="22"/>
          <w:lang w:val="en-GB"/>
        </w:rPr>
        <w:t>in a position of great financial distress and</w:t>
      </w:r>
      <w:r w:rsidR="00482337">
        <w:rPr>
          <w:rFonts w:ascii="Avenir Next" w:hAnsi="Avenir Next" w:cs="Arial"/>
          <w:color w:val="808080" w:themeColor="background1" w:themeShade="80"/>
          <w:sz w:val="22"/>
          <w:szCs w:val="22"/>
          <w:lang w:val="en-GB"/>
        </w:rPr>
        <w:t xml:space="preserve"> consequently</w:t>
      </w:r>
      <w:r w:rsidR="00832851">
        <w:rPr>
          <w:rFonts w:ascii="Avenir Next" w:hAnsi="Avenir Next" w:cs="Arial"/>
          <w:color w:val="808080" w:themeColor="background1" w:themeShade="80"/>
          <w:sz w:val="22"/>
          <w:szCs w:val="22"/>
          <w:lang w:val="en-GB"/>
        </w:rPr>
        <w:t xml:space="preserve"> being unable to satisfy liabilities owed to creditors. </w:t>
      </w:r>
    </w:p>
    <w:p w14:paraId="141774A2" w14:textId="77777777" w:rsidR="00E172A4" w:rsidRDefault="00E172A4" w:rsidP="00DA42DA">
      <w:pPr>
        <w:jc w:val="both"/>
        <w:rPr>
          <w:rFonts w:ascii="Avenir Next" w:hAnsi="Avenir Next" w:cs="Arial"/>
          <w:color w:val="808080" w:themeColor="background1" w:themeShade="80"/>
          <w:sz w:val="22"/>
          <w:szCs w:val="22"/>
          <w:lang w:val="en-GB"/>
        </w:rPr>
      </w:pPr>
    </w:p>
    <w:p w14:paraId="1B3BC574" w14:textId="4A916F00" w:rsidR="00E172A4" w:rsidRPr="00E172A4" w:rsidRDefault="00E172A4" w:rsidP="00DA42DA">
      <w:pPr>
        <w:jc w:val="both"/>
        <w:rPr>
          <w:i/>
          <w:iCs/>
        </w:rPr>
      </w:pPr>
      <w:r>
        <w:rPr>
          <w:rFonts w:ascii="Avenir Next" w:hAnsi="Avenir Next" w:cs="Arial"/>
          <w:color w:val="808080" w:themeColor="background1" w:themeShade="80"/>
          <w:sz w:val="22"/>
          <w:szCs w:val="22"/>
          <w:lang w:val="en-GB"/>
        </w:rPr>
        <w:t xml:space="preserve">In this regard, P R Wood has set out the following possible essential characteristics of bankruptcy and insolvency law: (P R Wood, </w:t>
      </w:r>
      <w:r>
        <w:rPr>
          <w:rFonts w:ascii="Avenir Next" w:hAnsi="Avenir Next" w:cs="Arial"/>
          <w:i/>
          <w:iCs/>
          <w:color w:val="808080" w:themeColor="background1" w:themeShade="80"/>
          <w:sz w:val="22"/>
          <w:szCs w:val="22"/>
          <w:lang w:val="en-GB"/>
        </w:rPr>
        <w:t xml:space="preserve">Principles of International Insolvency </w:t>
      </w:r>
      <w:r>
        <w:rPr>
          <w:rFonts w:ascii="Avenir Next" w:hAnsi="Avenir Next" w:cs="Arial"/>
          <w:color w:val="808080" w:themeColor="background1" w:themeShade="80"/>
          <w:sz w:val="22"/>
          <w:szCs w:val="22"/>
          <w:lang w:val="en-GB"/>
        </w:rPr>
        <w:t xml:space="preserve">(Sweet &amp; Maxwell Ltd, 2007), </w:t>
      </w:r>
      <w:r w:rsidR="007F0144">
        <w:rPr>
          <w:rFonts w:ascii="Avenir Next" w:hAnsi="Avenir Next" w:cs="Arial"/>
          <w:color w:val="808080" w:themeColor="background1" w:themeShade="80"/>
          <w:sz w:val="22"/>
          <w:szCs w:val="22"/>
          <w:lang w:val="en-GB"/>
        </w:rPr>
        <w:t>p 3)</w:t>
      </w:r>
      <w:r>
        <w:rPr>
          <w:i/>
          <w:iCs/>
        </w:rPr>
        <w:t xml:space="preserve"> </w:t>
      </w:r>
    </w:p>
    <w:p w14:paraId="027A545B" w14:textId="32D0ECA3" w:rsidR="002C084D" w:rsidRDefault="00020F50" w:rsidP="00B3149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w:t>
      </w:r>
      <w:r w:rsidR="00814FDA">
        <w:rPr>
          <w:rFonts w:ascii="Avenir Next" w:hAnsi="Avenir Next" w:cs="Arial"/>
          <w:color w:val="808080" w:themeColor="background1" w:themeShade="80"/>
          <w:sz w:val="22"/>
          <w:szCs w:val="22"/>
          <w:lang w:val="en-GB"/>
        </w:rPr>
        <w:t xml:space="preserve">ursuit of actions by individual creditors are stayed or frozen </w:t>
      </w:r>
      <w:r w:rsidR="00806E92">
        <w:rPr>
          <w:rFonts w:ascii="Avenir Next" w:hAnsi="Avenir Next" w:cs="Arial"/>
          <w:color w:val="808080" w:themeColor="background1" w:themeShade="80"/>
          <w:sz w:val="22"/>
          <w:szCs w:val="22"/>
          <w:lang w:val="en-GB"/>
        </w:rPr>
        <w:t>upon the commencement of an insolvency proceeding, also known as the stay or moratorium on individual debt enforcement</w:t>
      </w:r>
      <w:r>
        <w:rPr>
          <w:rFonts w:ascii="Avenir Next" w:hAnsi="Avenir Next" w:cs="Arial"/>
          <w:color w:val="808080" w:themeColor="background1" w:themeShade="80"/>
          <w:sz w:val="22"/>
          <w:szCs w:val="22"/>
          <w:lang w:val="en-GB"/>
        </w:rPr>
        <w:t>;</w:t>
      </w:r>
    </w:p>
    <w:p w14:paraId="6064F209" w14:textId="0F71C9AB" w:rsidR="00806E92" w:rsidRDefault="00020F50" w:rsidP="00B3149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pooling of the debtor’s assets which become available to pay off creditors, replacing the piecemeal seizure of assets by individual creditors. </w:t>
      </w:r>
    </w:p>
    <w:p w14:paraId="39AB627C" w14:textId="515D7F96" w:rsidR="00342CB2" w:rsidRDefault="00E449DF" w:rsidP="00342CB2">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c</w:t>
      </w:r>
      <w:r w:rsidR="003B254A">
        <w:rPr>
          <w:rFonts w:ascii="Avenir Next" w:hAnsi="Avenir Next" w:cs="Arial"/>
          <w:color w:val="808080" w:themeColor="background1" w:themeShade="80"/>
          <w:sz w:val="22"/>
          <w:szCs w:val="22"/>
          <w:lang w:val="en-GB"/>
        </w:rPr>
        <w:t xml:space="preserve">reditors are to be paid </w:t>
      </w:r>
      <w:r w:rsidR="003B254A">
        <w:rPr>
          <w:rFonts w:ascii="Avenir Next" w:hAnsi="Avenir Next" w:cs="Arial"/>
          <w:i/>
          <w:iCs/>
          <w:color w:val="808080" w:themeColor="background1" w:themeShade="80"/>
          <w:sz w:val="22"/>
          <w:szCs w:val="22"/>
          <w:lang w:val="en-GB"/>
        </w:rPr>
        <w:t>pari passu</w:t>
      </w:r>
      <w:r w:rsidR="003B254A">
        <w:rPr>
          <w:rFonts w:ascii="Avenir Next" w:hAnsi="Avenir Next" w:cs="Arial"/>
          <w:color w:val="808080" w:themeColor="background1" w:themeShade="80"/>
          <w:sz w:val="22"/>
          <w:szCs w:val="22"/>
          <w:lang w:val="en-GB"/>
        </w:rPr>
        <w:t xml:space="preserve">, </w:t>
      </w:r>
      <w:r w:rsidR="005C5846">
        <w:rPr>
          <w:rFonts w:ascii="Avenir Next" w:hAnsi="Avenir Next" w:cs="Arial"/>
          <w:color w:val="808080" w:themeColor="background1" w:themeShade="80"/>
          <w:sz w:val="22"/>
          <w:szCs w:val="22"/>
          <w:lang w:val="en-GB"/>
        </w:rPr>
        <w:t xml:space="preserve">such </w:t>
      </w:r>
      <w:r w:rsidR="00DC752C">
        <w:rPr>
          <w:rFonts w:ascii="Avenir Next" w:hAnsi="Avenir Next" w:cs="Arial"/>
          <w:color w:val="808080" w:themeColor="background1" w:themeShade="80"/>
          <w:sz w:val="22"/>
          <w:szCs w:val="22"/>
          <w:lang w:val="en-GB"/>
        </w:rPr>
        <w:t>that they are paid on a proportionate basis out of the available assets of the debtor based on claims which have been proved</w:t>
      </w:r>
      <w:r w:rsidR="00482337">
        <w:rPr>
          <w:rFonts w:ascii="Avenir Next" w:hAnsi="Avenir Next" w:cs="Arial"/>
          <w:color w:val="808080" w:themeColor="background1" w:themeShade="80"/>
          <w:sz w:val="22"/>
          <w:szCs w:val="22"/>
          <w:lang w:val="en-GB"/>
        </w:rPr>
        <w:t>.</w:t>
      </w:r>
    </w:p>
    <w:p w14:paraId="29AC81BC" w14:textId="77777777" w:rsidR="00342CB2" w:rsidRDefault="00342CB2" w:rsidP="00342CB2">
      <w:pPr>
        <w:jc w:val="both"/>
        <w:rPr>
          <w:rFonts w:ascii="Avenir Next" w:hAnsi="Avenir Next" w:cs="Arial"/>
          <w:color w:val="808080" w:themeColor="background1" w:themeShade="80"/>
          <w:sz w:val="22"/>
          <w:szCs w:val="22"/>
          <w:lang w:val="en-GB"/>
        </w:rPr>
      </w:pPr>
    </w:p>
    <w:p w14:paraId="5E25EAD5" w14:textId="51E3350F" w:rsidR="00342CB2" w:rsidRPr="00342CB2" w:rsidRDefault="00342CB2" w:rsidP="00342C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also similar principles that extend and apply to both individual and corporate insolvency, such as </w:t>
      </w:r>
      <w:r w:rsidR="006978CB">
        <w:rPr>
          <w:rFonts w:ascii="Avenir Next" w:hAnsi="Avenir Next" w:cs="Arial"/>
          <w:color w:val="808080" w:themeColor="background1" w:themeShade="80"/>
          <w:sz w:val="22"/>
          <w:szCs w:val="22"/>
          <w:lang w:val="en-GB"/>
        </w:rPr>
        <w:t xml:space="preserve">ensuring that secured creditors deal fairly towards the debtor and other creditors, investigate reasons for failure and reclaiming voidable dispositions where the insolvent debtor dealt improperly with assets (In M A Clarke </w:t>
      </w:r>
      <w:r w:rsidR="006978CB">
        <w:rPr>
          <w:rFonts w:ascii="Avenir Next" w:hAnsi="Avenir Next" w:cs="Arial"/>
          <w:i/>
          <w:iCs/>
          <w:color w:val="808080" w:themeColor="background1" w:themeShade="80"/>
          <w:sz w:val="22"/>
          <w:szCs w:val="22"/>
          <w:lang w:val="en-GB"/>
        </w:rPr>
        <w:t>et al</w:t>
      </w:r>
      <w:r w:rsidR="006978CB">
        <w:rPr>
          <w:rFonts w:ascii="Avenir Next" w:hAnsi="Avenir Next" w:cs="Arial"/>
          <w:color w:val="808080" w:themeColor="background1" w:themeShade="80"/>
          <w:sz w:val="22"/>
          <w:szCs w:val="22"/>
          <w:lang w:val="en-GB"/>
        </w:rPr>
        <w:t xml:space="preserve">, </w:t>
      </w:r>
      <w:r w:rsidR="006978CB">
        <w:rPr>
          <w:rFonts w:ascii="Avenir Next" w:hAnsi="Avenir Next" w:cs="Arial"/>
          <w:i/>
          <w:iCs/>
          <w:color w:val="808080" w:themeColor="background1" w:themeShade="80"/>
          <w:sz w:val="22"/>
          <w:szCs w:val="22"/>
          <w:lang w:val="en-GB"/>
        </w:rPr>
        <w:t xml:space="preserve">Commercial Law </w:t>
      </w:r>
      <w:r w:rsidR="006978CB">
        <w:rPr>
          <w:rFonts w:ascii="Avenir Next" w:hAnsi="Avenir Next" w:cs="Arial"/>
          <w:color w:val="808080" w:themeColor="background1" w:themeShade="80"/>
          <w:sz w:val="22"/>
          <w:szCs w:val="22"/>
          <w:lang w:val="en-GB"/>
        </w:rPr>
        <w:t xml:space="preserve">(Oxford University Press, 2017), chap 28). </w:t>
      </w:r>
    </w:p>
    <w:p w14:paraId="1F45B3FC" w14:textId="77777777" w:rsidR="00C1627C" w:rsidRDefault="00C1627C" w:rsidP="00C1627C">
      <w:pPr>
        <w:jc w:val="both"/>
        <w:rPr>
          <w:rFonts w:ascii="Avenir Next" w:hAnsi="Avenir Next" w:cs="Arial"/>
          <w:color w:val="808080" w:themeColor="background1" w:themeShade="80"/>
          <w:sz w:val="22"/>
          <w:szCs w:val="22"/>
          <w:lang w:val="en-GB"/>
        </w:rPr>
      </w:pPr>
    </w:p>
    <w:p w14:paraId="71773D47" w14:textId="5CDAF6E9" w:rsidR="00DA42DA" w:rsidRPr="00DA42DA" w:rsidRDefault="00BD3BF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Accordingly, </w:t>
      </w:r>
      <w:r w:rsidR="00EB092D">
        <w:rPr>
          <w:rFonts w:ascii="Avenir Next" w:hAnsi="Avenir Next" w:cs="Arial"/>
          <w:color w:val="808080" w:themeColor="background1" w:themeShade="80"/>
          <w:sz w:val="22"/>
          <w:szCs w:val="22"/>
          <w:lang w:val="en-GB"/>
        </w:rPr>
        <w:t xml:space="preserve">given that use of </w:t>
      </w:r>
      <w:r w:rsidR="00C1627C">
        <w:rPr>
          <w:rFonts w:ascii="Avenir Next" w:hAnsi="Avenir Next" w:cs="Arial"/>
          <w:color w:val="808080" w:themeColor="background1" w:themeShade="80"/>
          <w:sz w:val="22"/>
          <w:szCs w:val="22"/>
          <w:lang w:val="en-GB"/>
        </w:rPr>
        <w:t xml:space="preserve">the terms </w:t>
      </w:r>
      <w:r w:rsidR="00EB092D">
        <w:rPr>
          <w:rFonts w:ascii="Avenir Next" w:hAnsi="Avenir Next" w:cs="Arial"/>
          <w:color w:val="808080" w:themeColor="background1" w:themeShade="80"/>
          <w:sz w:val="22"/>
          <w:szCs w:val="22"/>
          <w:lang w:val="en-GB"/>
        </w:rPr>
        <w:t xml:space="preserve">“insolvency” and “bankruptcy” </w:t>
      </w:r>
      <w:r w:rsidR="00C1627C">
        <w:rPr>
          <w:rFonts w:ascii="Avenir Next" w:hAnsi="Avenir Next" w:cs="Arial"/>
          <w:color w:val="808080" w:themeColor="background1" w:themeShade="80"/>
          <w:sz w:val="22"/>
          <w:szCs w:val="22"/>
          <w:lang w:val="en-GB"/>
        </w:rPr>
        <w:t xml:space="preserve">are </w:t>
      </w:r>
      <w:r>
        <w:rPr>
          <w:rFonts w:ascii="Avenir Next" w:hAnsi="Avenir Next" w:cs="Arial"/>
          <w:color w:val="808080" w:themeColor="background1" w:themeShade="80"/>
          <w:sz w:val="22"/>
          <w:szCs w:val="22"/>
          <w:lang w:val="en-GB"/>
        </w:rPr>
        <w:t>simply meant</w:t>
      </w:r>
      <w:r w:rsidR="00C1627C">
        <w:rPr>
          <w:rFonts w:ascii="Avenir Next" w:hAnsi="Avenir Next" w:cs="Arial"/>
          <w:color w:val="808080" w:themeColor="background1" w:themeShade="80"/>
          <w:sz w:val="22"/>
          <w:szCs w:val="22"/>
          <w:lang w:val="en-GB"/>
        </w:rPr>
        <w:t xml:space="preserve"> to </w:t>
      </w:r>
      <w:r w:rsidR="004D3BE3">
        <w:rPr>
          <w:rFonts w:ascii="Avenir Next" w:hAnsi="Avenir Next" w:cs="Arial"/>
          <w:color w:val="808080" w:themeColor="background1" w:themeShade="80"/>
          <w:sz w:val="22"/>
          <w:szCs w:val="22"/>
          <w:lang w:val="en-GB"/>
        </w:rPr>
        <w:t xml:space="preserve">describe </w:t>
      </w:r>
      <w:r>
        <w:rPr>
          <w:rFonts w:ascii="Avenir Next" w:hAnsi="Avenir Next" w:cs="Arial"/>
          <w:color w:val="808080" w:themeColor="background1" w:themeShade="80"/>
          <w:sz w:val="22"/>
          <w:szCs w:val="22"/>
          <w:lang w:val="en-GB"/>
        </w:rPr>
        <w:t>status</w:t>
      </w:r>
      <w:r w:rsidR="004D3BE3">
        <w:rPr>
          <w:rFonts w:ascii="Avenir Next" w:hAnsi="Avenir Next" w:cs="Arial"/>
          <w:color w:val="808080" w:themeColor="background1" w:themeShade="80"/>
          <w:sz w:val="22"/>
          <w:szCs w:val="22"/>
          <w:lang w:val="en-GB"/>
        </w:rPr>
        <w:t xml:space="preserve"> of a debtor</w:t>
      </w:r>
      <w:r>
        <w:rPr>
          <w:rFonts w:ascii="Avenir Next" w:hAnsi="Avenir Next" w:cs="Arial"/>
          <w:color w:val="808080" w:themeColor="background1" w:themeShade="80"/>
          <w:sz w:val="22"/>
          <w:szCs w:val="22"/>
          <w:lang w:val="en-GB"/>
        </w:rPr>
        <w:t xml:space="preserve">’s financial </w:t>
      </w:r>
      <w:r w:rsidR="005A12B2">
        <w:rPr>
          <w:rFonts w:ascii="Avenir Next" w:hAnsi="Avenir Next" w:cs="Arial"/>
          <w:color w:val="808080" w:themeColor="background1" w:themeShade="80"/>
          <w:sz w:val="22"/>
          <w:szCs w:val="22"/>
          <w:lang w:val="en-GB"/>
        </w:rPr>
        <w:t>affairs and have</w:t>
      </w:r>
      <w:r w:rsidR="005B5135">
        <w:rPr>
          <w:rFonts w:ascii="Avenir Next" w:hAnsi="Avenir Next" w:cs="Arial"/>
          <w:color w:val="808080" w:themeColor="background1" w:themeShade="80"/>
          <w:sz w:val="22"/>
          <w:szCs w:val="22"/>
          <w:lang w:val="en-GB"/>
        </w:rPr>
        <w:t xml:space="preserve"> the same essential characteristics undergirding them</w:t>
      </w:r>
      <w:r w:rsidR="005A12B2">
        <w:rPr>
          <w:rFonts w:ascii="Avenir Next" w:hAnsi="Avenir Next" w:cs="Arial"/>
          <w:color w:val="808080" w:themeColor="background1" w:themeShade="80"/>
          <w:sz w:val="22"/>
          <w:szCs w:val="22"/>
          <w:lang w:val="en-GB"/>
        </w:rPr>
        <w:t xml:space="preserve">, the fact that </w:t>
      </w:r>
      <w:r w:rsidR="004D3BE3">
        <w:rPr>
          <w:rFonts w:ascii="Avenir Next" w:hAnsi="Avenir Next" w:cs="Arial"/>
          <w:color w:val="808080" w:themeColor="background1" w:themeShade="80"/>
          <w:sz w:val="22"/>
          <w:szCs w:val="22"/>
          <w:lang w:val="en-GB"/>
        </w:rPr>
        <w:t xml:space="preserve">there </w:t>
      </w:r>
      <w:r w:rsidR="00EB092D">
        <w:rPr>
          <w:rFonts w:ascii="Avenir Next" w:hAnsi="Avenir Next" w:cs="Arial"/>
          <w:color w:val="808080" w:themeColor="background1" w:themeShade="80"/>
          <w:sz w:val="22"/>
          <w:szCs w:val="22"/>
          <w:lang w:val="en-GB"/>
        </w:rPr>
        <w:t>exist some</w:t>
      </w:r>
      <w:r w:rsidR="004D3BE3">
        <w:rPr>
          <w:rFonts w:ascii="Avenir Next" w:hAnsi="Avenir Next" w:cs="Arial"/>
          <w:color w:val="808080" w:themeColor="background1" w:themeShade="80"/>
          <w:sz w:val="22"/>
          <w:szCs w:val="22"/>
          <w:lang w:val="en-GB"/>
        </w:rPr>
        <w:t xml:space="preserve"> difference</w:t>
      </w:r>
      <w:r w:rsidR="001211B5">
        <w:rPr>
          <w:rFonts w:ascii="Avenir Next" w:hAnsi="Avenir Next" w:cs="Arial"/>
          <w:color w:val="808080" w:themeColor="background1" w:themeShade="80"/>
          <w:sz w:val="22"/>
          <w:szCs w:val="22"/>
          <w:lang w:val="en-GB"/>
        </w:rPr>
        <w:t>s</w:t>
      </w:r>
      <w:r w:rsidR="004D3BE3">
        <w:rPr>
          <w:rFonts w:ascii="Avenir Next" w:hAnsi="Avenir Next" w:cs="Arial"/>
          <w:color w:val="808080" w:themeColor="background1" w:themeShade="80"/>
          <w:sz w:val="22"/>
          <w:szCs w:val="22"/>
          <w:lang w:val="en-GB"/>
        </w:rPr>
        <w:t xml:space="preserve"> between the objectives of individual and corporate insolvency</w:t>
      </w:r>
      <w:r w:rsidR="00D51153">
        <w:rPr>
          <w:rFonts w:ascii="Avenir Next" w:hAnsi="Avenir Next" w:cs="Arial"/>
          <w:color w:val="808080" w:themeColor="background1" w:themeShade="80"/>
          <w:sz w:val="22"/>
          <w:szCs w:val="22"/>
          <w:lang w:val="en-GB"/>
        </w:rPr>
        <w:t xml:space="preserve"> should not detract from the possibility of these terms may be used interchangeably</w:t>
      </w:r>
      <w:r w:rsidR="004D3BE3">
        <w:rPr>
          <w:rFonts w:ascii="Avenir Next" w:hAnsi="Avenir Next" w:cs="Arial"/>
          <w:color w:val="808080" w:themeColor="background1" w:themeShade="80"/>
          <w:sz w:val="22"/>
          <w:szCs w:val="22"/>
          <w:lang w:val="en-GB"/>
        </w:rPr>
        <w:t>.</w:t>
      </w:r>
      <w:r w:rsidR="00DA42DA" w:rsidRPr="00DA42DA">
        <w:rPr>
          <w:rFonts w:ascii="Avenir Next" w:hAnsi="Avenir Next" w:cs="Arial"/>
          <w:color w:val="808080" w:themeColor="background1" w:themeShade="80"/>
          <w:sz w:val="22"/>
          <w:szCs w:val="22"/>
          <w:lang w:val="en-GB"/>
        </w:rPr>
        <w:t>]</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0C7D7BBF" w14:textId="6FE3E047" w:rsidR="00976B18"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135CFA">
        <w:rPr>
          <w:rFonts w:ascii="Avenir Next" w:hAnsi="Avenir Next" w:cs="Arial"/>
          <w:color w:val="808080" w:themeColor="background1" w:themeShade="80"/>
          <w:sz w:val="22"/>
          <w:szCs w:val="22"/>
          <w:lang w:val="en-GB"/>
        </w:rPr>
        <w:t>One of the challenges which arises in developing a single unified global cross-border insolvency dispensation is the fact that</w:t>
      </w:r>
      <w:r w:rsidR="00A86374">
        <w:rPr>
          <w:rFonts w:ascii="Avenir Next" w:hAnsi="Avenir Next" w:cs="Arial"/>
          <w:color w:val="808080" w:themeColor="background1" w:themeShade="80"/>
          <w:sz w:val="22"/>
          <w:szCs w:val="22"/>
          <w:lang w:val="en-GB"/>
        </w:rPr>
        <w:t xml:space="preserve"> </w:t>
      </w:r>
      <w:r w:rsidR="00C32230">
        <w:rPr>
          <w:rFonts w:ascii="Avenir Next" w:hAnsi="Avenir Next" w:cs="Arial"/>
          <w:color w:val="808080" w:themeColor="background1" w:themeShade="80"/>
          <w:sz w:val="22"/>
          <w:szCs w:val="22"/>
          <w:lang w:val="en-GB"/>
        </w:rPr>
        <w:t>the certain jurisdictions have adopted</w:t>
      </w:r>
      <w:r w:rsidR="00DE6996">
        <w:rPr>
          <w:rFonts w:ascii="Avenir Next" w:hAnsi="Avenir Next" w:cs="Arial"/>
          <w:color w:val="808080" w:themeColor="background1" w:themeShade="80"/>
          <w:sz w:val="22"/>
          <w:szCs w:val="22"/>
          <w:lang w:val="en-GB"/>
        </w:rPr>
        <w:t xml:space="preserve"> a</w:t>
      </w:r>
      <w:r w:rsidR="00C32230">
        <w:rPr>
          <w:rFonts w:ascii="Avenir Next" w:hAnsi="Avenir Next" w:cs="Arial"/>
          <w:color w:val="808080" w:themeColor="background1" w:themeShade="80"/>
          <w:sz w:val="22"/>
          <w:szCs w:val="22"/>
          <w:lang w:val="en-GB"/>
        </w:rPr>
        <w:t xml:space="preserve"> civil law </w:t>
      </w:r>
      <w:r w:rsidR="00DE6996">
        <w:rPr>
          <w:rFonts w:ascii="Avenir Next" w:hAnsi="Avenir Next" w:cs="Arial"/>
          <w:color w:val="808080" w:themeColor="background1" w:themeShade="80"/>
          <w:sz w:val="22"/>
          <w:szCs w:val="22"/>
          <w:lang w:val="en-GB"/>
        </w:rPr>
        <w:t>orientated foundation,</w:t>
      </w:r>
      <w:r w:rsidR="00C32230">
        <w:rPr>
          <w:rFonts w:ascii="Avenir Next" w:hAnsi="Avenir Next" w:cs="Arial"/>
          <w:color w:val="808080" w:themeColor="background1" w:themeShade="80"/>
          <w:sz w:val="22"/>
          <w:szCs w:val="22"/>
          <w:lang w:val="en-GB"/>
        </w:rPr>
        <w:t xml:space="preserve"> whilst others have adopted </w:t>
      </w:r>
      <w:r w:rsidR="00DE6996">
        <w:rPr>
          <w:rFonts w:ascii="Avenir Next" w:hAnsi="Avenir Next" w:cs="Arial"/>
          <w:color w:val="808080" w:themeColor="background1" w:themeShade="80"/>
          <w:sz w:val="22"/>
          <w:szCs w:val="22"/>
          <w:lang w:val="en-GB"/>
        </w:rPr>
        <w:t xml:space="preserve">a common law (or English law) orientated foundation. </w:t>
      </w:r>
      <w:r w:rsidR="00605BDC">
        <w:rPr>
          <w:rFonts w:ascii="Avenir Next" w:hAnsi="Avenir Next" w:cs="Arial"/>
          <w:color w:val="808080" w:themeColor="background1" w:themeShade="80"/>
          <w:sz w:val="22"/>
          <w:szCs w:val="22"/>
          <w:lang w:val="en-GB"/>
        </w:rPr>
        <w:t xml:space="preserve">The differences in the manner in which these two broad families of legal systems operate, with common law legal systems </w:t>
      </w:r>
      <w:r w:rsidR="004318E5">
        <w:rPr>
          <w:rFonts w:ascii="Avenir Next" w:hAnsi="Avenir Next" w:cs="Arial"/>
          <w:color w:val="808080" w:themeColor="background1" w:themeShade="80"/>
          <w:sz w:val="22"/>
          <w:szCs w:val="22"/>
          <w:lang w:val="en-GB"/>
        </w:rPr>
        <w:t xml:space="preserve">also relying on judicial precedents and case law to fill any gaps in the existing legislation as opposed to civil law jurisdictions whose main sources of law stem from </w:t>
      </w:r>
      <w:r w:rsidR="0087294A">
        <w:rPr>
          <w:rFonts w:ascii="Avenir Next" w:hAnsi="Avenir Next" w:cs="Arial"/>
          <w:color w:val="808080" w:themeColor="background1" w:themeShade="80"/>
          <w:sz w:val="22"/>
          <w:szCs w:val="22"/>
          <w:lang w:val="en-GB"/>
        </w:rPr>
        <w:t xml:space="preserve">legislation and codes, make it difficult for a single uniform set of laws to apply to govern </w:t>
      </w:r>
      <w:r w:rsidR="00552A73">
        <w:rPr>
          <w:rFonts w:ascii="Avenir Next" w:hAnsi="Avenir Next" w:cs="Arial"/>
          <w:color w:val="808080" w:themeColor="background1" w:themeShade="80"/>
          <w:sz w:val="22"/>
          <w:szCs w:val="22"/>
          <w:lang w:val="en-GB"/>
        </w:rPr>
        <w:t xml:space="preserve">all cross-order insolvency proceedings. </w:t>
      </w:r>
    </w:p>
    <w:p w14:paraId="0144D9E5" w14:textId="77777777" w:rsidR="00245317" w:rsidRDefault="00245317" w:rsidP="00DA42DA">
      <w:pPr>
        <w:jc w:val="both"/>
        <w:rPr>
          <w:rFonts w:ascii="Avenir Next" w:hAnsi="Avenir Next" w:cs="Arial"/>
          <w:color w:val="808080" w:themeColor="background1" w:themeShade="80"/>
          <w:sz w:val="22"/>
          <w:szCs w:val="22"/>
          <w:lang w:val="en-GB"/>
        </w:rPr>
      </w:pPr>
    </w:p>
    <w:p w14:paraId="2EBD5651" w14:textId="11E9B4E2" w:rsidR="00245317" w:rsidRPr="00B07EAD" w:rsidRDefault="000451A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 it has been suggested that civil law countries are more inclined to take a </w:t>
      </w:r>
      <w:r w:rsidR="00C81736">
        <w:rPr>
          <w:rFonts w:ascii="Avenir Next" w:hAnsi="Avenir Next" w:cs="Arial"/>
          <w:color w:val="808080" w:themeColor="background1" w:themeShade="80"/>
          <w:sz w:val="22"/>
          <w:szCs w:val="22"/>
          <w:lang w:val="en-GB"/>
        </w:rPr>
        <w:t>territorial</w:t>
      </w:r>
      <w:r>
        <w:rPr>
          <w:rFonts w:ascii="Avenir Next" w:hAnsi="Avenir Next" w:cs="Arial"/>
          <w:color w:val="808080" w:themeColor="background1" w:themeShade="80"/>
          <w:sz w:val="22"/>
          <w:szCs w:val="22"/>
          <w:lang w:val="en-GB"/>
        </w:rPr>
        <w:t xml:space="preserve"> approach to jurisdiction, and common law countries are </w:t>
      </w:r>
      <w:r w:rsidR="00C81736">
        <w:rPr>
          <w:rFonts w:ascii="Avenir Next" w:hAnsi="Avenir Next" w:cs="Arial"/>
          <w:color w:val="808080" w:themeColor="background1" w:themeShade="80"/>
          <w:sz w:val="22"/>
          <w:szCs w:val="22"/>
          <w:lang w:val="en-GB"/>
        </w:rPr>
        <w:t xml:space="preserve">more closely aligned with universalism (P J Omar, “A Panorama of International Insolvency Law: Part 1”, (2002) </w:t>
      </w:r>
      <w:r w:rsidR="00C81736">
        <w:rPr>
          <w:rFonts w:ascii="Avenir Next" w:hAnsi="Avenir Next" w:cs="Arial"/>
          <w:i/>
          <w:iCs/>
          <w:color w:val="808080" w:themeColor="background1" w:themeShade="80"/>
          <w:sz w:val="22"/>
          <w:szCs w:val="22"/>
          <w:lang w:val="en-GB"/>
        </w:rPr>
        <w:t xml:space="preserve">International Company and Commercial Law Review </w:t>
      </w:r>
      <w:r w:rsidR="008919E6">
        <w:rPr>
          <w:rFonts w:ascii="Avenir Next" w:hAnsi="Avenir Next" w:cs="Arial"/>
          <w:i/>
          <w:iCs/>
          <w:color w:val="808080" w:themeColor="background1" w:themeShade="80"/>
          <w:sz w:val="22"/>
          <w:szCs w:val="22"/>
          <w:lang w:val="en-GB"/>
        </w:rPr>
        <w:t xml:space="preserve">366, </w:t>
      </w:r>
      <w:r w:rsidR="008919E6" w:rsidRPr="008919E6">
        <w:rPr>
          <w:rFonts w:ascii="Avenir Next" w:hAnsi="Avenir Next" w:cs="Arial"/>
          <w:color w:val="808080" w:themeColor="background1" w:themeShade="80"/>
          <w:sz w:val="22"/>
          <w:szCs w:val="22"/>
          <w:lang w:val="en-GB"/>
        </w:rPr>
        <w:t>p 366-376</w:t>
      </w:r>
      <w:r w:rsidR="008919E6">
        <w:rPr>
          <w:rFonts w:ascii="Avenir Next" w:hAnsi="Avenir Next" w:cs="Arial"/>
          <w:i/>
          <w:iCs/>
          <w:color w:val="808080" w:themeColor="background1" w:themeShade="80"/>
          <w:sz w:val="22"/>
          <w:szCs w:val="22"/>
          <w:lang w:val="en-GB"/>
        </w:rPr>
        <w:t>)</w:t>
      </w:r>
      <w:r w:rsidR="00B07EAD">
        <w:rPr>
          <w:rFonts w:ascii="Avenir Next" w:hAnsi="Avenir Next" w:cs="Arial"/>
          <w:color w:val="808080" w:themeColor="background1" w:themeShade="80"/>
          <w:sz w:val="22"/>
          <w:szCs w:val="22"/>
          <w:lang w:val="en-GB"/>
        </w:rPr>
        <w:t xml:space="preserve">, which has in turn led to the creation of alternative theories such as “modified universalism” </w:t>
      </w:r>
      <w:r w:rsidR="006559BB">
        <w:rPr>
          <w:rFonts w:ascii="Avenir Next" w:hAnsi="Avenir Next" w:cs="Arial"/>
          <w:color w:val="808080" w:themeColor="background1" w:themeShade="80"/>
          <w:sz w:val="22"/>
          <w:szCs w:val="22"/>
          <w:lang w:val="en-GB"/>
        </w:rPr>
        <w:t>and “modified territorialism</w:t>
      </w:r>
      <w:r w:rsidR="00E14A38">
        <w:rPr>
          <w:rFonts w:ascii="Avenir Next" w:hAnsi="Avenir Next" w:cs="Arial"/>
          <w:color w:val="808080" w:themeColor="background1" w:themeShade="80"/>
          <w:sz w:val="22"/>
          <w:szCs w:val="22"/>
          <w:lang w:val="en-GB"/>
        </w:rPr>
        <w:t xml:space="preserve">”. The fundamental difference between the two approaches and ideologies makes it difficult to </w:t>
      </w:r>
      <w:r w:rsidR="0002485D">
        <w:rPr>
          <w:rFonts w:ascii="Avenir Next" w:hAnsi="Avenir Next" w:cs="Arial"/>
          <w:color w:val="808080" w:themeColor="background1" w:themeShade="80"/>
          <w:sz w:val="22"/>
          <w:szCs w:val="22"/>
          <w:lang w:val="en-GB"/>
        </w:rPr>
        <w:t xml:space="preserve">develop </w:t>
      </w:r>
      <w:r w:rsidR="00151E35">
        <w:rPr>
          <w:rFonts w:ascii="Avenir Next" w:hAnsi="Avenir Next" w:cs="Arial"/>
          <w:color w:val="808080" w:themeColor="background1" w:themeShade="80"/>
          <w:sz w:val="22"/>
          <w:szCs w:val="22"/>
          <w:lang w:val="en-GB"/>
        </w:rPr>
        <w:t xml:space="preserve">with a single global cross-border insolvency </w:t>
      </w:r>
      <w:r w:rsidR="0002485D">
        <w:rPr>
          <w:rFonts w:ascii="Avenir Next" w:hAnsi="Avenir Next" w:cs="Arial"/>
          <w:color w:val="808080" w:themeColor="background1" w:themeShade="80"/>
          <w:sz w:val="22"/>
          <w:szCs w:val="22"/>
          <w:lang w:val="en-GB"/>
        </w:rPr>
        <w:t>dispensation</w:t>
      </w:r>
      <w:r w:rsidR="00151E35">
        <w:rPr>
          <w:rFonts w:ascii="Avenir Next" w:hAnsi="Avenir Next" w:cs="Arial"/>
          <w:color w:val="808080" w:themeColor="background1" w:themeShade="80"/>
          <w:sz w:val="22"/>
          <w:szCs w:val="22"/>
          <w:lang w:val="en-GB"/>
        </w:rPr>
        <w:t>.</w:t>
      </w:r>
      <w:r w:rsidR="006559BB">
        <w:rPr>
          <w:rFonts w:ascii="Avenir Next" w:hAnsi="Avenir Next" w:cs="Arial"/>
          <w:color w:val="808080" w:themeColor="background1" w:themeShade="80"/>
          <w:sz w:val="22"/>
          <w:szCs w:val="22"/>
          <w:lang w:val="en-GB"/>
        </w:rPr>
        <w:t xml:space="preserve"> </w:t>
      </w:r>
    </w:p>
    <w:p w14:paraId="5554CE90" w14:textId="77777777" w:rsidR="00976B18" w:rsidRDefault="00976B18" w:rsidP="00DA42DA">
      <w:pPr>
        <w:jc w:val="both"/>
        <w:rPr>
          <w:rFonts w:ascii="Avenir Next" w:hAnsi="Avenir Next" w:cs="Arial"/>
          <w:color w:val="808080" w:themeColor="background1" w:themeShade="80"/>
          <w:sz w:val="22"/>
          <w:szCs w:val="22"/>
          <w:lang w:val="en-GB"/>
        </w:rPr>
      </w:pPr>
    </w:p>
    <w:p w14:paraId="6AE7EA5F" w14:textId="7C3735AD" w:rsidR="00DE6996" w:rsidRDefault="000451A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Third</w:t>
      </w:r>
      <w:r w:rsidR="00DE6996">
        <w:rPr>
          <w:rFonts w:ascii="Avenir Next" w:hAnsi="Avenir Next" w:cs="Arial"/>
          <w:color w:val="808080" w:themeColor="background1" w:themeShade="80"/>
          <w:sz w:val="22"/>
          <w:szCs w:val="22"/>
          <w:lang w:val="en-GB"/>
        </w:rPr>
        <w:t>, it is d</w:t>
      </w:r>
      <w:r w:rsidR="008F32AE">
        <w:rPr>
          <w:rFonts w:ascii="Avenir Next" w:hAnsi="Avenir Next" w:cs="Arial"/>
          <w:color w:val="808080" w:themeColor="background1" w:themeShade="80"/>
          <w:sz w:val="22"/>
          <w:szCs w:val="22"/>
          <w:lang w:val="en-GB"/>
        </w:rPr>
        <w:t xml:space="preserve">ifficult to </w:t>
      </w:r>
      <w:r w:rsidR="00ED3BAD">
        <w:rPr>
          <w:rFonts w:ascii="Avenir Next" w:hAnsi="Avenir Next" w:cs="Arial"/>
          <w:color w:val="808080" w:themeColor="background1" w:themeShade="80"/>
          <w:sz w:val="22"/>
          <w:szCs w:val="22"/>
          <w:lang w:val="en-GB"/>
        </w:rPr>
        <w:t xml:space="preserve">achieve uniform laws that can be applied </w:t>
      </w:r>
      <w:r w:rsidR="0088778D">
        <w:rPr>
          <w:rFonts w:ascii="Avenir Next" w:hAnsi="Avenir Next" w:cs="Arial"/>
          <w:color w:val="808080" w:themeColor="background1" w:themeShade="80"/>
          <w:sz w:val="22"/>
          <w:szCs w:val="22"/>
          <w:lang w:val="en-GB"/>
        </w:rPr>
        <w:t xml:space="preserve">across </w:t>
      </w:r>
      <w:r w:rsidR="00F11277">
        <w:rPr>
          <w:rFonts w:ascii="Avenir Next" w:hAnsi="Avenir Next" w:cs="Arial"/>
          <w:color w:val="808080" w:themeColor="background1" w:themeShade="80"/>
          <w:sz w:val="22"/>
          <w:szCs w:val="22"/>
          <w:lang w:val="en-GB"/>
        </w:rPr>
        <w:t>all jurisdictions</w:t>
      </w:r>
      <w:r w:rsidR="0088778D">
        <w:rPr>
          <w:rFonts w:ascii="Avenir Next" w:hAnsi="Avenir Next" w:cs="Arial"/>
          <w:color w:val="808080" w:themeColor="background1" w:themeShade="80"/>
          <w:sz w:val="22"/>
          <w:szCs w:val="22"/>
          <w:lang w:val="en-GB"/>
        </w:rPr>
        <w:t xml:space="preserve"> </w:t>
      </w:r>
      <w:r w:rsidR="00ED3BAD">
        <w:rPr>
          <w:rFonts w:ascii="Avenir Next" w:hAnsi="Avenir Next" w:cs="Arial"/>
          <w:color w:val="808080" w:themeColor="background1" w:themeShade="80"/>
          <w:sz w:val="22"/>
          <w:szCs w:val="22"/>
          <w:lang w:val="en-GB"/>
        </w:rPr>
        <w:t xml:space="preserve">given </w:t>
      </w:r>
      <w:r w:rsidR="00DE6996">
        <w:rPr>
          <w:rFonts w:ascii="Avenir Next" w:hAnsi="Avenir Next" w:cs="Arial"/>
          <w:color w:val="808080" w:themeColor="background1" w:themeShade="80"/>
          <w:sz w:val="22"/>
          <w:szCs w:val="22"/>
          <w:lang w:val="en-GB"/>
        </w:rPr>
        <w:t>that certain aspects of insolvency law will be affected by local legal culture, basic rights and the way in which a system deals with related matters such as the security rights provided for or the approach to labour issues.</w:t>
      </w:r>
    </w:p>
    <w:p w14:paraId="37B79EE3" w14:textId="77777777" w:rsidR="00DE6996" w:rsidRDefault="00DE6996" w:rsidP="00DA42DA">
      <w:pPr>
        <w:jc w:val="both"/>
        <w:rPr>
          <w:rFonts w:ascii="Avenir Next" w:hAnsi="Avenir Next" w:cs="Arial"/>
          <w:color w:val="808080" w:themeColor="background1" w:themeShade="80"/>
          <w:sz w:val="22"/>
          <w:szCs w:val="22"/>
          <w:lang w:val="en-GB"/>
        </w:rPr>
      </w:pPr>
    </w:p>
    <w:p w14:paraId="71724163" w14:textId="0180F1D4" w:rsidR="004D744C" w:rsidRDefault="000451A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Fourth</w:t>
      </w:r>
      <w:r w:rsidR="00DE6996">
        <w:rPr>
          <w:rFonts w:ascii="Avenir Next" w:hAnsi="Avenir Next" w:cs="Arial"/>
          <w:color w:val="808080" w:themeColor="background1" w:themeShade="80"/>
          <w:sz w:val="22"/>
          <w:szCs w:val="22"/>
          <w:lang w:val="en-GB"/>
        </w:rPr>
        <w:t>,</w:t>
      </w:r>
      <w:r w:rsidR="00093FDA">
        <w:rPr>
          <w:rFonts w:ascii="Avenir Next" w:hAnsi="Avenir Next" w:cs="Arial"/>
          <w:color w:val="808080" w:themeColor="background1" w:themeShade="80"/>
          <w:sz w:val="22"/>
          <w:szCs w:val="22"/>
          <w:lang w:val="en-GB"/>
        </w:rPr>
        <w:t xml:space="preserve"> the</w:t>
      </w:r>
      <w:r w:rsidR="00A9585D">
        <w:rPr>
          <w:rFonts w:ascii="Avenir Next" w:hAnsi="Avenir Next" w:cs="Arial"/>
          <w:color w:val="808080" w:themeColor="background1" w:themeShade="80"/>
          <w:sz w:val="22"/>
          <w:szCs w:val="22"/>
          <w:lang w:val="en-GB"/>
        </w:rPr>
        <w:t xml:space="preserve"> different meanings ascribed to certain terminology by different jurisdictions. </w:t>
      </w:r>
      <w:r w:rsidR="004B5407">
        <w:rPr>
          <w:rFonts w:ascii="Avenir Next" w:hAnsi="Avenir Next" w:cs="Arial"/>
          <w:color w:val="808080" w:themeColor="background1" w:themeShade="80"/>
          <w:sz w:val="22"/>
          <w:szCs w:val="22"/>
          <w:lang w:val="en-GB"/>
        </w:rPr>
        <w:t>For instance, different jurisdictions ascribe different meanings to the words “insolvency” and “bankruptcy”</w:t>
      </w:r>
      <w:r w:rsidR="002B01BB">
        <w:rPr>
          <w:rFonts w:ascii="Avenir Next" w:hAnsi="Avenir Next" w:cs="Arial"/>
          <w:color w:val="808080" w:themeColor="background1" w:themeShade="80"/>
          <w:sz w:val="22"/>
          <w:szCs w:val="22"/>
          <w:lang w:val="en-GB"/>
        </w:rPr>
        <w:t xml:space="preserve"> </w:t>
      </w:r>
      <w:r w:rsidR="004D744C">
        <w:rPr>
          <w:rFonts w:ascii="Avenir Next" w:hAnsi="Avenir Next" w:cs="Arial"/>
          <w:color w:val="808080" w:themeColor="background1" w:themeShade="80"/>
          <w:sz w:val="22"/>
          <w:szCs w:val="22"/>
          <w:lang w:val="en-GB"/>
        </w:rPr>
        <w:t>(which has bee</w:t>
      </w:r>
      <w:r w:rsidR="00F92009">
        <w:rPr>
          <w:rFonts w:ascii="Avenir Next" w:hAnsi="Avenir Next" w:cs="Arial"/>
          <w:color w:val="808080" w:themeColor="background1" w:themeShade="80"/>
          <w:sz w:val="22"/>
          <w:szCs w:val="22"/>
          <w:lang w:val="en-GB"/>
        </w:rPr>
        <w:t>n</w:t>
      </w:r>
      <w:r w:rsidR="004D744C">
        <w:rPr>
          <w:rFonts w:ascii="Avenir Next" w:hAnsi="Avenir Next" w:cs="Arial"/>
          <w:color w:val="808080" w:themeColor="background1" w:themeShade="80"/>
          <w:sz w:val="22"/>
          <w:szCs w:val="22"/>
          <w:lang w:val="en-GB"/>
        </w:rPr>
        <w:t xml:space="preserve"> used to refer to the insolvency of individuals instead of corporations), making it difficult to standardise </w:t>
      </w:r>
      <w:r w:rsidR="008340E5">
        <w:rPr>
          <w:rFonts w:ascii="Avenir Next" w:hAnsi="Avenir Next" w:cs="Arial"/>
          <w:color w:val="808080" w:themeColor="background1" w:themeShade="80"/>
          <w:sz w:val="22"/>
          <w:szCs w:val="22"/>
          <w:lang w:val="en-GB"/>
        </w:rPr>
        <w:t xml:space="preserve">and </w:t>
      </w:r>
      <w:r w:rsidR="004D744C">
        <w:rPr>
          <w:rFonts w:ascii="Avenir Next" w:hAnsi="Avenir Next" w:cs="Arial"/>
          <w:color w:val="808080" w:themeColor="background1" w:themeShade="80"/>
          <w:sz w:val="22"/>
          <w:szCs w:val="22"/>
          <w:lang w:val="en-GB"/>
        </w:rPr>
        <w:t xml:space="preserve">the </w:t>
      </w:r>
      <w:r w:rsidR="008340E5">
        <w:rPr>
          <w:rFonts w:ascii="Avenir Next" w:hAnsi="Avenir Next" w:cs="Arial"/>
          <w:color w:val="808080" w:themeColor="background1" w:themeShade="80"/>
          <w:sz w:val="22"/>
          <w:szCs w:val="22"/>
          <w:lang w:val="en-GB"/>
        </w:rPr>
        <w:t xml:space="preserve">definitions of </w:t>
      </w:r>
      <w:r w:rsidR="004D744C">
        <w:rPr>
          <w:rFonts w:ascii="Avenir Next" w:hAnsi="Avenir Next" w:cs="Arial"/>
          <w:color w:val="808080" w:themeColor="background1" w:themeShade="80"/>
          <w:sz w:val="22"/>
          <w:szCs w:val="22"/>
          <w:lang w:val="en-GB"/>
        </w:rPr>
        <w:t>terminology</w:t>
      </w:r>
      <w:r w:rsidR="00E5583C">
        <w:rPr>
          <w:rFonts w:ascii="Avenir Next" w:hAnsi="Avenir Next" w:cs="Arial"/>
          <w:color w:val="808080" w:themeColor="background1" w:themeShade="80"/>
          <w:sz w:val="22"/>
          <w:szCs w:val="22"/>
          <w:lang w:val="en-GB"/>
        </w:rPr>
        <w:t xml:space="preserve"> at an international level. </w:t>
      </w:r>
      <w:r w:rsidR="004D744C">
        <w:rPr>
          <w:rFonts w:ascii="Avenir Next" w:hAnsi="Avenir Next" w:cs="Arial"/>
          <w:color w:val="808080" w:themeColor="background1" w:themeShade="80"/>
          <w:sz w:val="22"/>
          <w:szCs w:val="22"/>
          <w:lang w:val="en-GB"/>
        </w:rPr>
        <w:t xml:space="preserve"> </w:t>
      </w:r>
    </w:p>
    <w:p w14:paraId="01838BED" w14:textId="77777777" w:rsidR="004D744C" w:rsidRDefault="004D744C" w:rsidP="00DA42DA">
      <w:pPr>
        <w:jc w:val="both"/>
        <w:rPr>
          <w:rFonts w:ascii="Avenir Next" w:hAnsi="Avenir Next" w:cs="Arial"/>
          <w:color w:val="808080" w:themeColor="background1" w:themeShade="80"/>
          <w:sz w:val="22"/>
          <w:szCs w:val="22"/>
          <w:lang w:val="en-GB"/>
        </w:rPr>
      </w:pPr>
    </w:p>
    <w:p w14:paraId="6B5CF002" w14:textId="4AC9F635" w:rsidR="00DA42DA" w:rsidRPr="00DA42DA" w:rsidRDefault="000451A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Fifth</w:t>
      </w:r>
      <w:r w:rsidR="00305342">
        <w:rPr>
          <w:rFonts w:ascii="Avenir Next" w:hAnsi="Avenir Next" w:cs="Arial"/>
          <w:color w:val="808080" w:themeColor="background1" w:themeShade="80"/>
          <w:sz w:val="22"/>
          <w:szCs w:val="22"/>
          <w:lang w:val="en-GB"/>
        </w:rPr>
        <w:t>, St</w:t>
      </w:r>
      <w:r w:rsidR="001849B2">
        <w:rPr>
          <w:rFonts w:ascii="Avenir Next" w:hAnsi="Avenir Next" w:cs="Arial"/>
          <w:color w:val="808080" w:themeColor="background1" w:themeShade="80"/>
          <w:sz w:val="22"/>
          <w:szCs w:val="22"/>
          <w:lang w:val="en-GB"/>
        </w:rPr>
        <w:t xml:space="preserve">ates are unlikely to agree on fundamental issues such as the State which is to exercise jurisdiction over an insolvent corporate debtor whose activities </w:t>
      </w:r>
      <w:r w:rsidR="0088356A">
        <w:rPr>
          <w:rFonts w:ascii="Avenir Next" w:hAnsi="Avenir Next" w:cs="Arial"/>
          <w:color w:val="808080" w:themeColor="background1" w:themeShade="80"/>
          <w:sz w:val="22"/>
          <w:szCs w:val="22"/>
          <w:lang w:val="en-GB"/>
        </w:rPr>
        <w:t xml:space="preserve">cross borders and the </w:t>
      </w:r>
      <w:r w:rsidR="00980EE4">
        <w:rPr>
          <w:rFonts w:ascii="Avenir Next" w:hAnsi="Avenir Next" w:cs="Arial"/>
          <w:color w:val="808080" w:themeColor="background1" w:themeShade="80"/>
          <w:sz w:val="22"/>
          <w:szCs w:val="22"/>
          <w:lang w:val="en-GB"/>
        </w:rPr>
        <w:t xml:space="preserve">where </w:t>
      </w:r>
      <w:r w:rsidR="0088356A">
        <w:rPr>
          <w:rFonts w:ascii="Avenir Next" w:hAnsi="Avenir Next" w:cs="Arial"/>
          <w:color w:val="808080" w:themeColor="background1" w:themeShade="80"/>
          <w:sz w:val="22"/>
          <w:szCs w:val="22"/>
          <w:lang w:val="en-GB"/>
        </w:rPr>
        <w:t xml:space="preserve">assets located in a particular State. </w:t>
      </w:r>
      <w:r w:rsidR="00C67A14">
        <w:rPr>
          <w:rFonts w:ascii="Avenir Next" w:hAnsi="Avenir Next" w:cs="Arial"/>
          <w:color w:val="808080" w:themeColor="background1" w:themeShade="80"/>
          <w:sz w:val="22"/>
          <w:szCs w:val="22"/>
          <w:lang w:val="en-GB"/>
        </w:rPr>
        <w:t xml:space="preserve">This is because States are likely to want to </w:t>
      </w:r>
      <w:r w:rsidR="000516FB">
        <w:rPr>
          <w:rFonts w:ascii="Avenir Next" w:hAnsi="Avenir Next" w:cs="Arial"/>
          <w:color w:val="808080" w:themeColor="background1" w:themeShade="80"/>
          <w:sz w:val="22"/>
          <w:szCs w:val="22"/>
          <w:lang w:val="en-GB"/>
        </w:rPr>
        <w:t xml:space="preserve">maintain </w:t>
      </w:r>
      <w:r w:rsidR="00105B31">
        <w:rPr>
          <w:rFonts w:ascii="Avenir Next" w:hAnsi="Avenir Next" w:cs="Arial"/>
          <w:color w:val="808080" w:themeColor="background1" w:themeShade="80"/>
          <w:sz w:val="22"/>
          <w:szCs w:val="22"/>
          <w:lang w:val="en-GB"/>
        </w:rPr>
        <w:t>their control and jurisdiction over assets located within their</w:t>
      </w:r>
      <w:r w:rsidR="00FA053B">
        <w:rPr>
          <w:rFonts w:ascii="Avenir Next" w:hAnsi="Avenir Next" w:cs="Arial"/>
          <w:color w:val="808080" w:themeColor="background1" w:themeShade="80"/>
          <w:sz w:val="22"/>
          <w:szCs w:val="22"/>
          <w:lang w:val="en-GB"/>
        </w:rPr>
        <w:t xml:space="preserve"> </w:t>
      </w:r>
      <w:r w:rsidR="00F95549">
        <w:rPr>
          <w:rFonts w:ascii="Avenir Next" w:hAnsi="Avenir Next" w:cs="Arial"/>
          <w:color w:val="808080" w:themeColor="background1" w:themeShade="80"/>
          <w:sz w:val="22"/>
          <w:szCs w:val="22"/>
          <w:lang w:val="en-GB"/>
        </w:rPr>
        <w:t>own territory</w:t>
      </w:r>
      <w:r w:rsidR="004D744C">
        <w:rPr>
          <w:rFonts w:ascii="Avenir Next" w:hAnsi="Avenir Next" w:cs="Arial"/>
          <w:color w:val="808080" w:themeColor="background1" w:themeShade="80"/>
          <w:sz w:val="22"/>
          <w:szCs w:val="22"/>
          <w:lang w:val="en-GB"/>
        </w:rPr>
        <w:t>.</w:t>
      </w:r>
      <w:r w:rsidR="00E5583C">
        <w:rPr>
          <w:rFonts w:ascii="Avenir Next" w:hAnsi="Avenir Next" w:cs="Arial"/>
          <w:color w:val="808080" w:themeColor="background1" w:themeShade="80"/>
          <w:sz w:val="22"/>
          <w:szCs w:val="22"/>
          <w:lang w:val="en-GB"/>
        </w:rPr>
        <w:t>]</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lastRenderedPageBreak/>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B6533E5" w14:textId="3264B486" w:rsidR="00A304C9" w:rsidRDefault="006A44B2" w:rsidP="006A44B2">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160989">
        <w:rPr>
          <w:rFonts w:ascii="Avenir Next" w:hAnsi="Avenir Next" w:cs="Arial"/>
          <w:color w:val="808080" w:themeColor="background1" w:themeShade="80"/>
          <w:sz w:val="22"/>
          <w:szCs w:val="22"/>
          <w:lang w:val="en-GB"/>
        </w:rPr>
        <w:t xml:space="preserve">In the context of international insolvency, </w:t>
      </w:r>
      <w:r w:rsidR="00A304C9">
        <w:rPr>
          <w:rFonts w:ascii="Avenir Next" w:hAnsi="Avenir Next" w:cs="Arial"/>
          <w:color w:val="808080" w:themeColor="background1" w:themeShade="80"/>
          <w:sz w:val="22"/>
          <w:szCs w:val="22"/>
          <w:lang w:val="en-GB"/>
        </w:rPr>
        <w:t>“</w:t>
      </w:r>
      <w:r w:rsidR="00C17E23">
        <w:rPr>
          <w:rFonts w:ascii="Avenir Next" w:hAnsi="Avenir Next" w:cs="Arial"/>
          <w:color w:val="808080" w:themeColor="background1" w:themeShade="80"/>
          <w:sz w:val="22"/>
          <w:szCs w:val="22"/>
          <w:lang w:val="en-GB"/>
        </w:rPr>
        <w:t>h</w:t>
      </w:r>
      <w:r w:rsidR="00A304C9">
        <w:rPr>
          <w:rFonts w:ascii="Avenir Next" w:hAnsi="Avenir Next" w:cs="Arial"/>
          <w:color w:val="808080" w:themeColor="background1" w:themeShade="80"/>
          <w:sz w:val="22"/>
          <w:szCs w:val="22"/>
          <w:lang w:val="en-GB"/>
        </w:rPr>
        <w:t>ard law” generally</w:t>
      </w:r>
      <w:r w:rsidR="004C041A">
        <w:rPr>
          <w:rFonts w:ascii="Avenir Next" w:hAnsi="Avenir Next" w:cs="Arial"/>
          <w:color w:val="808080" w:themeColor="background1" w:themeShade="80"/>
          <w:sz w:val="22"/>
          <w:szCs w:val="22"/>
          <w:lang w:val="en-GB"/>
        </w:rPr>
        <w:t xml:space="preserve"> means legally binding </w:t>
      </w:r>
      <w:r w:rsidR="00293E1C">
        <w:rPr>
          <w:rFonts w:ascii="Avenir Next" w:hAnsi="Avenir Next" w:cs="Arial"/>
          <w:color w:val="808080" w:themeColor="background1" w:themeShade="80"/>
          <w:sz w:val="22"/>
          <w:szCs w:val="22"/>
          <w:lang w:val="en-GB"/>
        </w:rPr>
        <w:t>public international instruments that States have ratified and acceded to</w:t>
      </w:r>
      <w:r w:rsidR="00A21672">
        <w:rPr>
          <w:rFonts w:ascii="Avenir Next" w:hAnsi="Avenir Next" w:cs="Arial"/>
          <w:color w:val="808080" w:themeColor="background1" w:themeShade="80"/>
          <w:sz w:val="22"/>
          <w:szCs w:val="22"/>
          <w:lang w:val="en-GB"/>
        </w:rPr>
        <w:t>, such as</w:t>
      </w:r>
      <w:r w:rsidR="004F7091">
        <w:rPr>
          <w:rFonts w:ascii="Avenir Next" w:hAnsi="Avenir Next" w:cs="Arial"/>
          <w:color w:val="808080" w:themeColor="background1" w:themeShade="80"/>
          <w:sz w:val="22"/>
          <w:szCs w:val="22"/>
          <w:lang w:val="en-GB"/>
        </w:rPr>
        <w:t xml:space="preserve"> bilateral or multilateral</w:t>
      </w:r>
      <w:r w:rsidR="00A21672">
        <w:rPr>
          <w:rFonts w:ascii="Avenir Next" w:hAnsi="Avenir Next" w:cs="Arial"/>
          <w:color w:val="808080" w:themeColor="background1" w:themeShade="80"/>
          <w:sz w:val="22"/>
          <w:szCs w:val="22"/>
          <w:lang w:val="en-GB"/>
        </w:rPr>
        <w:t xml:space="preserve"> treaties and </w:t>
      </w:r>
      <w:r w:rsidR="005C236F">
        <w:rPr>
          <w:rFonts w:ascii="Avenir Next" w:hAnsi="Avenir Next" w:cs="Arial"/>
          <w:color w:val="808080" w:themeColor="background1" w:themeShade="80"/>
          <w:sz w:val="22"/>
          <w:szCs w:val="22"/>
          <w:lang w:val="en-GB"/>
        </w:rPr>
        <w:t>conventions</w:t>
      </w:r>
      <w:r w:rsidR="00071DA4">
        <w:rPr>
          <w:rFonts w:ascii="Avenir Next" w:hAnsi="Avenir Next" w:cs="Arial"/>
          <w:color w:val="808080" w:themeColor="background1" w:themeShade="80"/>
          <w:sz w:val="22"/>
          <w:szCs w:val="22"/>
          <w:lang w:val="en-GB"/>
        </w:rPr>
        <w:t xml:space="preserve"> on jurisdiction, recognition and enforcement</w:t>
      </w:r>
      <w:r w:rsidR="009B75DA">
        <w:rPr>
          <w:rFonts w:ascii="Avenir Next" w:hAnsi="Avenir Next" w:cs="Arial"/>
          <w:color w:val="808080" w:themeColor="background1" w:themeShade="80"/>
          <w:sz w:val="22"/>
          <w:szCs w:val="22"/>
          <w:lang w:val="en-GB"/>
        </w:rPr>
        <w:t xml:space="preserve"> regarding</w:t>
      </w:r>
      <w:r w:rsidR="00292FE3">
        <w:rPr>
          <w:rFonts w:ascii="Avenir Next" w:hAnsi="Avenir Next" w:cs="Arial"/>
          <w:color w:val="808080" w:themeColor="background1" w:themeShade="80"/>
          <w:sz w:val="22"/>
          <w:szCs w:val="22"/>
          <w:lang w:val="en-GB"/>
        </w:rPr>
        <w:t xml:space="preserve"> insolvency</w:t>
      </w:r>
      <w:r w:rsidR="00C302CB">
        <w:rPr>
          <w:rFonts w:ascii="Avenir Next" w:hAnsi="Avenir Next" w:cs="Arial"/>
          <w:color w:val="808080" w:themeColor="background1" w:themeShade="80"/>
          <w:sz w:val="22"/>
          <w:szCs w:val="22"/>
          <w:lang w:val="en-GB"/>
        </w:rPr>
        <w:t>, bankruptcy and corporate rescue</w:t>
      </w:r>
      <w:r w:rsidR="004F7091">
        <w:rPr>
          <w:rFonts w:ascii="Avenir Next" w:hAnsi="Avenir Next" w:cs="Arial"/>
          <w:color w:val="808080" w:themeColor="background1" w:themeShade="80"/>
          <w:sz w:val="22"/>
          <w:szCs w:val="22"/>
          <w:lang w:val="en-GB"/>
        </w:rPr>
        <w:t>, the provisions of which</w:t>
      </w:r>
      <w:r w:rsidR="005C236F">
        <w:rPr>
          <w:rFonts w:ascii="Avenir Next" w:hAnsi="Avenir Next" w:cs="Arial"/>
          <w:color w:val="808080" w:themeColor="background1" w:themeShade="80"/>
          <w:sz w:val="22"/>
          <w:szCs w:val="22"/>
          <w:lang w:val="en-GB"/>
        </w:rPr>
        <w:t xml:space="preserve"> </w:t>
      </w:r>
      <w:r w:rsidR="004F7091">
        <w:rPr>
          <w:rFonts w:ascii="Avenir Next" w:hAnsi="Avenir Next" w:cs="Arial"/>
          <w:color w:val="808080" w:themeColor="background1" w:themeShade="80"/>
          <w:sz w:val="22"/>
          <w:szCs w:val="22"/>
          <w:lang w:val="en-GB"/>
        </w:rPr>
        <w:t>are</w:t>
      </w:r>
      <w:r w:rsidR="005C236F">
        <w:rPr>
          <w:rFonts w:ascii="Avenir Next" w:hAnsi="Avenir Next" w:cs="Arial"/>
          <w:color w:val="808080" w:themeColor="background1" w:themeShade="80"/>
          <w:sz w:val="22"/>
          <w:szCs w:val="22"/>
          <w:lang w:val="en-GB"/>
        </w:rPr>
        <w:t xml:space="preserve"> then imported into a State</w:t>
      </w:r>
      <w:r w:rsidR="004F7091">
        <w:rPr>
          <w:rFonts w:ascii="Avenir Next" w:hAnsi="Avenir Next" w:cs="Arial"/>
          <w:color w:val="808080" w:themeColor="background1" w:themeShade="80"/>
          <w:sz w:val="22"/>
          <w:szCs w:val="22"/>
          <w:lang w:val="en-GB"/>
        </w:rPr>
        <w:t>’</w:t>
      </w:r>
      <w:r w:rsidR="005C236F">
        <w:rPr>
          <w:rFonts w:ascii="Avenir Next" w:hAnsi="Avenir Next" w:cs="Arial"/>
          <w:color w:val="808080" w:themeColor="background1" w:themeShade="80"/>
          <w:sz w:val="22"/>
          <w:szCs w:val="22"/>
          <w:lang w:val="en-GB"/>
        </w:rPr>
        <w:t>s domestic laws</w:t>
      </w:r>
      <w:r w:rsidR="009B75DA">
        <w:rPr>
          <w:rFonts w:ascii="Avenir Next" w:hAnsi="Avenir Next" w:cs="Arial"/>
          <w:color w:val="808080" w:themeColor="background1" w:themeShade="80"/>
          <w:sz w:val="22"/>
          <w:szCs w:val="22"/>
          <w:lang w:val="en-GB"/>
        </w:rPr>
        <w:t xml:space="preserve">. </w:t>
      </w:r>
      <w:r w:rsidR="00F74329">
        <w:rPr>
          <w:rFonts w:ascii="Avenir Next" w:hAnsi="Avenir Next" w:cs="Arial"/>
          <w:color w:val="808080" w:themeColor="background1" w:themeShade="80"/>
          <w:sz w:val="22"/>
          <w:szCs w:val="22"/>
          <w:lang w:val="en-GB"/>
        </w:rPr>
        <w:t>Examples</w:t>
      </w:r>
      <w:r w:rsidR="007E5ED5">
        <w:rPr>
          <w:rFonts w:ascii="Avenir Next" w:hAnsi="Avenir Next" w:cs="Arial"/>
          <w:color w:val="808080" w:themeColor="background1" w:themeShade="80"/>
          <w:sz w:val="22"/>
          <w:szCs w:val="22"/>
          <w:lang w:val="en-GB"/>
        </w:rPr>
        <w:t xml:space="preserve"> of “hard law” includes </w:t>
      </w:r>
      <w:r w:rsidR="00EC64C0">
        <w:rPr>
          <w:rFonts w:ascii="Avenir Next" w:hAnsi="Avenir Next" w:cs="Arial"/>
          <w:color w:val="808080" w:themeColor="background1" w:themeShade="80"/>
          <w:sz w:val="22"/>
          <w:szCs w:val="22"/>
          <w:lang w:val="en-GB"/>
        </w:rPr>
        <w:t>the Nordic Convention (1933)</w:t>
      </w:r>
      <w:r w:rsidR="00F74329">
        <w:rPr>
          <w:rFonts w:ascii="Avenir Next" w:hAnsi="Avenir Next" w:cs="Arial"/>
          <w:color w:val="808080" w:themeColor="background1" w:themeShade="80"/>
          <w:sz w:val="22"/>
          <w:szCs w:val="22"/>
          <w:lang w:val="en-GB"/>
        </w:rPr>
        <w:t xml:space="preserve"> and </w:t>
      </w:r>
      <w:r w:rsidR="00AF7710">
        <w:rPr>
          <w:rFonts w:ascii="Avenir Next" w:hAnsi="Avenir Next" w:cs="Arial"/>
          <w:color w:val="808080" w:themeColor="background1" w:themeShade="80"/>
          <w:sz w:val="22"/>
          <w:szCs w:val="22"/>
          <w:lang w:val="en-GB"/>
        </w:rPr>
        <w:t xml:space="preserve">European Insolvency Regulation (EIR) (2000) which has since </w:t>
      </w:r>
      <w:r w:rsidR="00287AA8">
        <w:rPr>
          <w:rFonts w:ascii="Avenir Next" w:hAnsi="Avenir Next" w:cs="Arial"/>
          <w:color w:val="808080" w:themeColor="background1" w:themeShade="80"/>
          <w:sz w:val="22"/>
          <w:szCs w:val="22"/>
          <w:lang w:val="en-GB"/>
        </w:rPr>
        <w:t xml:space="preserve">been amended to </w:t>
      </w:r>
      <w:r w:rsidR="000F07C4">
        <w:rPr>
          <w:rFonts w:ascii="Avenir Next" w:hAnsi="Avenir Next" w:cs="Arial"/>
          <w:color w:val="808080" w:themeColor="background1" w:themeShade="80"/>
          <w:sz w:val="22"/>
          <w:szCs w:val="22"/>
          <w:lang w:val="en-GB"/>
        </w:rPr>
        <w:t xml:space="preserve">Regulation (EU) 2015/848 of the European Parliament and </w:t>
      </w:r>
      <w:r w:rsidR="00C17E23">
        <w:rPr>
          <w:rFonts w:ascii="Avenir Next" w:hAnsi="Avenir Next" w:cs="Arial"/>
          <w:color w:val="808080" w:themeColor="background1" w:themeShade="80"/>
          <w:sz w:val="22"/>
          <w:szCs w:val="22"/>
          <w:lang w:val="en-GB"/>
        </w:rPr>
        <w:t xml:space="preserve">of </w:t>
      </w:r>
      <w:r w:rsidR="000F07C4">
        <w:rPr>
          <w:rFonts w:ascii="Avenir Next" w:hAnsi="Avenir Next" w:cs="Arial"/>
          <w:color w:val="808080" w:themeColor="background1" w:themeShade="80"/>
          <w:sz w:val="22"/>
          <w:szCs w:val="22"/>
          <w:lang w:val="en-GB"/>
        </w:rPr>
        <w:t>the Council of 20 May 2015 on Insolvency Proceedings (Recast)</w:t>
      </w:r>
      <w:r w:rsidR="00481088">
        <w:rPr>
          <w:rFonts w:ascii="Avenir Next" w:hAnsi="Avenir Next" w:cs="Arial"/>
          <w:color w:val="808080" w:themeColor="background1" w:themeShade="80"/>
          <w:sz w:val="22"/>
          <w:szCs w:val="22"/>
          <w:lang w:val="en-GB"/>
        </w:rPr>
        <w:t>, with a more recent amendment</w:t>
      </w:r>
      <w:r w:rsidR="00DE17FA">
        <w:rPr>
          <w:rFonts w:ascii="Avenir Next" w:hAnsi="Avenir Next" w:cs="Arial"/>
          <w:color w:val="808080" w:themeColor="background1" w:themeShade="80"/>
          <w:sz w:val="22"/>
          <w:szCs w:val="22"/>
          <w:lang w:val="en-GB"/>
        </w:rPr>
        <w:t xml:space="preserve"> on 15 December 2021 under</w:t>
      </w:r>
      <w:r w:rsidR="00481088">
        <w:rPr>
          <w:rFonts w:ascii="Avenir Next" w:hAnsi="Avenir Next" w:cs="Arial"/>
          <w:color w:val="808080" w:themeColor="background1" w:themeShade="80"/>
          <w:sz w:val="22"/>
          <w:szCs w:val="22"/>
          <w:lang w:val="en-GB"/>
        </w:rPr>
        <w:t xml:space="preserve"> Regulation 2021/2260. </w:t>
      </w:r>
    </w:p>
    <w:p w14:paraId="6AD11B4C" w14:textId="77777777" w:rsidR="009B75DA" w:rsidRDefault="009B75DA" w:rsidP="006A44B2">
      <w:pPr>
        <w:jc w:val="both"/>
        <w:rPr>
          <w:rFonts w:ascii="Avenir Next" w:hAnsi="Avenir Next" w:cs="Arial"/>
          <w:color w:val="808080" w:themeColor="background1" w:themeShade="80"/>
          <w:sz w:val="22"/>
          <w:szCs w:val="22"/>
          <w:lang w:val="en-GB"/>
        </w:rPr>
      </w:pPr>
    </w:p>
    <w:p w14:paraId="5416BE0D" w14:textId="1F0C7FBA" w:rsidR="009D7E3E" w:rsidRDefault="009B75DA"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“Soft law” generally means </w:t>
      </w:r>
      <w:r w:rsidR="007E6F02">
        <w:rPr>
          <w:rFonts w:ascii="Avenir Next" w:hAnsi="Avenir Next" w:cs="Arial"/>
          <w:color w:val="808080" w:themeColor="background1" w:themeShade="80"/>
          <w:sz w:val="22"/>
          <w:szCs w:val="22"/>
          <w:lang w:val="en-GB"/>
        </w:rPr>
        <w:t xml:space="preserve">instruments which are non-binding on a State, </w:t>
      </w:r>
      <w:r w:rsidR="000F4BB4">
        <w:rPr>
          <w:rFonts w:ascii="Avenir Next" w:hAnsi="Avenir Next" w:cs="Arial"/>
          <w:color w:val="808080" w:themeColor="background1" w:themeShade="80"/>
          <w:sz w:val="22"/>
          <w:szCs w:val="22"/>
          <w:lang w:val="en-GB"/>
        </w:rPr>
        <w:t xml:space="preserve">and are instead put forth as either guidelines or recommendations that a State may </w:t>
      </w:r>
      <w:r w:rsidR="00481088">
        <w:rPr>
          <w:rFonts w:ascii="Avenir Next" w:hAnsi="Avenir Next" w:cs="Arial"/>
          <w:color w:val="808080" w:themeColor="background1" w:themeShade="80"/>
          <w:sz w:val="22"/>
          <w:szCs w:val="22"/>
          <w:lang w:val="en-GB"/>
        </w:rPr>
        <w:t xml:space="preserve">choose to </w:t>
      </w:r>
      <w:r w:rsidR="000F4BB4">
        <w:rPr>
          <w:rFonts w:ascii="Avenir Next" w:hAnsi="Avenir Next" w:cs="Arial"/>
          <w:color w:val="808080" w:themeColor="background1" w:themeShade="80"/>
          <w:sz w:val="22"/>
          <w:szCs w:val="22"/>
          <w:lang w:val="en-GB"/>
        </w:rPr>
        <w:t xml:space="preserve">adopt. </w:t>
      </w:r>
      <w:r w:rsidR="00063A6B">
        <w:rPr>
          <w:rFonts w:ascii="Avenir Next" w:hAnsi="Avenir Next" w:cs="Arial"/>
          <w:color w:val="808080" w:themeColor="background1" w:themeShade="80"/>
          <w:sz w:val="22"/>
          <w:szCs w:val="22"/>
          <w:lang w:val="en-GB"/>
        </w:rPr>
        <w:t>For example, the Model Law on Cross-border Insolvency</w:t>
      </w:r>
      <w:r w:rsidR="009D7E3E">
        <w:rPr>
          <w:rFonts w:ascii="Avenir Next" w:hAnsi="Avenir Next" w:cs="Arial"/>
          <w:color w:val="808080" w:themeColor="background1" w:themeShade="80"/>
          <w:sz w:val="22"/>
          <w:szCs w:val="22"/>
          <w:lang w:val="en-GB"/>
        </w:rPr>
        <w:t xml:space="preserve"> (“</w:t>
      </w:r>
      <w:r w:rsidR="009D7E3E">
        <w:rPr>
          <w:rFonts w:ascii="Avenir Next" w:hAnsi="Avenir Next" w:cs="Arial"/>
          <w:b/>
          <w:bCs/>
          <w:color w:val="808080" w:themeColor="background1" w:themeShade="80"/>
          <w:sz w:val="22"/>
          <w:szCs w:val="22"/>
          <w:lang w:val="en-GB"/>
        </w:rPr>
        <w:t>MLCBI</w:t>
      </w:r>
      <w:r w:rsidR="009D7E3E">
        <w:rPr>
          <w:rFonts w:ascii="Avenir Next" w:hAnsi="Avenir Next" w:cs="Arial"/>
          <w:color w:val="808080" w:themeColor="background1" w:themeShade="80"/>
          <w:sz w:val="22"/>
          <w:szCs w:val="22"/>
          <w:lang w:val="en-GB"/>
        </w:rPr>
        <w:t>”)</w:t>
      </w:r>
      <w:r w:rsidR="00063A6B">
        <w:rPr>
          <w:rFonts w:ascii="Avenir Next" w:hAnsi="Avenir Next" w:cs="Arial"/>
          <w:color w:val="808080" w:themeColor="background1" w:themeShade="80"/>
          <w:sz w:val="22"/>
          <w:szCs w:val="22"/>
          <w:lang w:val="en-GB"/>
        </w:rPr>
        <w:t xml:space="preserve"> developed by UNCITRAL which </w:t>
      </w:r>
      <w:r w:rsidR="00C37A08">
        <w:rPr>
          <w:rFonts w:ascii="Avenir Next" w:hAnsi="Avenir Next" w:cs="Arial"/>
          <w:color w:val="808080" w:themeColor="background1" w:themeShade="80"/>
          <w:sz w:val="22"/>
          <w:szCs w:val="22"/>
          <w:lang w:val="en-GB"/>
        </w:rPr>
        <w:t xml:space="preserve">takes the form of a draft legislation that member states may choose to adopt with modifications (if any). </w:t>
      </w:r>
    </w:p>
    <w:p w14:paraId="342DCD03" w14:textId="77777777" w:rsidR="009D7E3E" w:rsidRDefault="009D7E3E" w:rsidP="006A44B2">
      <w:pPr>
        <w:jc w:val="both"/>
        <w:rPr>
          <w:rFonts w:ascii="Avenir Next" w:hAnsi="Avenir Next" w:cs="Arial"/>
          <w:color w:val="808080" w:themeColor="background1" w:themeShade="80"/>
          <w:sz w:val="22"/>
          <w:szCs w:val="22"/>
          <w:lang w:val="en-GB"/>
        </w:rPr>
      </w:pPr>
    </w:p>
    <w:p w14:paraId="774AB1EE" w14:textId="5266160D" w:rsidR="006A44B2" w:rsidRPr="00DA42DA" w:rsidRDefault="009D7E3E"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Generally, </w:t>
      </w:r>
      <w:r w:rsidR="00965CB1">
        <w:rPr>
          <w:rFonts w:ascii="Avenir Next" w:hAnsi="Avenir Next" w:cs="Arial"/>
          <w:color w:val="808080" w:themeColor="background1" w:themeShade="80"/>
          <w:sz w:val="22"/>
          <w:szCs w:val="22"/>
          <w:lang w:val="en-GB"/>
        </w:rPr>
        <w:t xml:space="preserve">“soft law” options appear to be more successful than </w:t>
      </w:r>
      <w:r w:rsidR="000A1DA2">
        <w:rPr>
          <w:rFonts w:ascii="Avenir Next" w:hAnsi="Avenir Next" w:cs="Arial"/>
          <w:color w:val="808080" w:themeColor="background1" w:themeShade="80"/>
          <w:sz w:val="22"/>
          <w:szCs w:val="22"/>
          <w:lang w:val="en-GB"/>
        </w:rPr>
        <w:t xml:space="preserve">“hard law” solutions to address the challenges of international insolvency. For instance, </w:t>
      </w:r>
      <w:r w:rsidR="002800F2">
        <w:rPr>
          <w:rFonts w:ascii="Avenir Next" w:hAnsi="Avenir Next" w:cs="Arial"/>
          <w:color w:val="808080" w:themeColor="background1" w:themeShade="80"/>
          <w:sz w:val="22"/>
          <w:szCs w:val="22"/>
          <w:lang w:val="en-GB"/>
        </w:rPr>
        <w:t xml:space="preserve">it </w:t>
      </w:r>
      <w:r w:rsidR="00B7796F">
        <w:rPr>
          <w:rFonts w:ascii="Avenir Next" w:hAnsi="Avenir Next" w:cs="Arial"/>
          <w:color w:val="808080" w:themeColor="background1" w:themeShade="80"/>
          <w:sz w:val="22"/>
          <w:szCs w:val="22"/>
          <w:lang w:val="en-GB"/>
        </w:rPr>
        <w:t xml:space="preserve">has been rare for States to ratify treaties </w:t>
      </w:r>
      <w:r w:rsidR="00AD6DF3">
        <w:rPr>
          <w:rFonts w:ascii="Avenir Next" w:hAnsi="Avenir Next" w:cs="Arial"/>
          <w:color w:val="808080" w:themeColor="background1" w:themeShade="80"/>
          <w:sz w:val="22"/>
          <w:szCs w:val="22"/>
          <w:lang w:val="en-GB"/>
        </w:rPr>
        <w:t>or conventions pertaining to international insolvencies, with the Istanbul Convention</w:t>
      </w:r>
      <w:r w:rsidR="00D91AA3">
        <w:rPr>
          <w:rFonts w:ascii="Avenir Next" w:hAnsi="Avenir Next" w:cs="Arial"/>
          <w:color w:val="808080" w:themeColor="background1" w:themeShade="80"/>
          <w:sz w:val="22"/>
          <w:szCs w:val="22"/>
          <w:lang w:val="en-GB"/>
        </w:rPr>
        <w:t>, Council of Europe Treaty Series Number 136</w:t>
      </w:r>
      <w:r w:rsidR="00AD6DF3">
        <w:rPr>
          <w:rFonts w:ascii="Avenir Next" w:hAnsi="Avenir Next" w:cs="Arial"/>
          <w:color w:val="808080" w:themeColor="background1" w:themeShade="80"/>
          <w:sz w:val="22"/>
          <w:szCs w:val="22"/>
          <w:lang w:val="en-GB"/>
        </w:rPr>
        <w:t xml:space="preserve"> failing </w:t>
      </w:r>
      <w:r w:rsidR="00D91AA3">
        <w:rPr>
          <w:rFonts w:ascii="Avenir Next" w:hAnsi="Avenir Next" w:cs="Arial"/>
          <w:color w:val="808080" w:themeColor="background1" w:themeShade="80"/>
          <w:sz w:val="22"/>
          <w:szCs w:val="22"/>
          <w:lang w:val="en-GB"/>
        </w:rPr>
        <w:t xml:space="preserve">to enter into force </w:t>
      </w:r>
      <w:r w:rsidR="003235FF">
        <w:rPr>
          <w:rFonts w:ascii="Avenir Next" w:hAnsi="Avenir Next" w:cs="Arial"/>
          <w:color w:val="808080" w:themeColor="background1" w:themeShade="80"/>
          <w:sz w:val="22"/>
          <w:szCs w:val="22"/>
          <w:lang w:val="en-GB"/>
        </w:rPr>
        <w:t>because insufficient member states in the European Union agreed to</w:t>
      </w:r>
      <w:r w:rsidR="0043286F">
        <w:rPr>
          <w:rFonts w:ascii="Avenir Next" w:hAnsi="Avenir Next" w:cs="Arial"/>
          <w:color w:val="808080" w:themeColor="background1" w:themeShade="80"/>
          <w:sz w:val="22"/>
          <w:szCs w:val="22"/>
          <w:lang w:val="en-GB"/>
        </w:rPr>
        <w:t xml:space="preserve"> ratify the convention. </w:t>
      </w:r>
      <w:r w:rsidR="000F3E45">
        <w:rPr>
          <w:rFonts w:ascii="Avenir Next" w:hAnsi="Avenir Next" w:cs="Arial"/>
          <w:color w:val="808080" w:themeColor="background1" w:themeShade="80"/>
          <w:sz w:val="22"/>
          <w:szCs w:val="22"/>
          <w:lang w:val="en-GB"/>
        </w:rPr>
        <w:t>On the other hand,</w:t>
      </w:r>
      <w:r w:rsidR="00276675">
        <w:rPr>
          <w:rFonts w:ascii="Avenir Next" w:hAnsi="Avenir Next" w:cs="Arial"/>
          <w:color w:val="808080" w:themeColor="background1" w:themeShade="80"/>
          <w:sz w:val="22"/>
          <w:szCs w:val="22"/>
          <w:lang w:val="en-GB"/>
        </w:rPr>
        <w:t xml:space="preserve"> legislation based on or influenced by the MLCBI has been adopted in 59 States in a total of 62 jurisdictions</w:t>
      </w:r>
      <w:r w:rsidR="00D639F6">
        <w:rPr>
          <w:rFonts w:ascii="Avenir Next" w:hAnsi="Avenir Next" w:cs="Arial"/>
          <w:color w:val="808080" w:themeColor="background1" w:themeShade="80"/>
          <w:sz w:val="22"/>
          <w:szCs w:val="22"/>
          <w:lang w:val="en-GB"/>
        </w:rPr>
        <w:t xml:space="preserve">, which includes </w:t>
      </w:r>
      <w:r w:rsidR="008D1B4C">
        <w:rPr>
          <w:rFonts w:ascii="Avenir Next" w:hAnsi="Avenir Next" w:cs="Arial"/>
          <w:color w:val="808080" w:themeColor="background1" w:themeShade="80"/>
          <w:sz w:val="22"/>
          <w:szCs w:val="22"/>
          <w:lang w:val="en-GB"/>
        </w:rPr>
        <w:t>major</w:t>
      </w:r>
      <w:r w:rsidR="00FF6BEE">
        <w:rPr>
          <w:rFonts w:ascii="Avenir Next" w:hAnsi="Avenir Next" w:cs="Arial"/>
          <w:color w:val="808080" w:themeColor="background1" w:themeShade="80"/>
          <w:sz w:val="22"/>
          <w:szCs w:val="22"/>
          <w:lang w:val="en-GB"/>
        </w:rPr>
        <w:t xml:space="preserve"> commercial jurisdictions </w:t>
      </w:r>
      <w:r w:rsidR="003235FF">
        <w:rPr>
          <w:rFonts w:ascii="Avenir Next" w:hAnsi="Avenir Next" w:cs="Arial"/>
          <w:color w:val="808080" w:themeColor="background1" w:themeShade="80"/>
          <w:sz w:val="22"/>
          <w:szCs w:val="22"/>
          <w:lang w:val="en-GB"/>
        </w:rPr>
        <w:t xml:space="preserve"> </w:t>
      </w:r>
      <w:r w:rsidR="008D1B4C">
        <w:rPr>
          <w:rFonts w:ascii="Avenir Next" w:hAnsi="Avenir Next" w:cs="Arial"/>
          <w:color w:val="808080" w:themeColor="background1" w:themeShade="80"/>
          <w:sz w:val="22"/>
          <w:szCs w:val="22"/>
          <w:lang w:val="en-GB"/>
        </w:rPr>
        <w:t>such as the United Kingdom of Great Britain and Northern Ireland and the United States of America (</w:t>
      </w:r>
      <w:r w:rsidR="00D44DF4">
        <w:rPr>
          <w:rFonts w:ascii="Avenir Next" w:hAnsi="Avenir Next" w:cs="Arial"/>
          <w:color w:val="808080" w:themeColor="background1" w:themeShade="80"/>
          <w:sz w:val="22"/>
          <w:szCs w:val="22"/>
          <w:lang w:val="en-GB"/>
        </w:rPr>
        <w:t xml:space="preserve">see </w:t>
      </w:r>
      <w:r w:rsidR="00625A54">
        <w:rPr>
          <w:rFonts w:ascii="Avenir Next" w:hAnsi="Avenir Next" w:cs="Arial"/>
          <w:color w:val="808080" w:themeColor="background1" w:themeShade="80"/>
          <w:sz w:val="22"/>
          <w:szCs w:val="22"/>
          <w:lang w:val="en-GB"/>
        </w:rPr>
        <w:t>Status: UNCITRAL Model Law on Cross-Border Insolvency at &lt;&lt;</w:t>
      </w:r>
      <w:r w:rsidR="00625A54" w:rsidRPr="00625A54">
        <w:t xml:space="preserve"> </w:t>
      </w:r>
      <w:hyperlink r:id="rId12" w:history="1">
        <w:r w:rsidR="00D44DF4" w:rsidRPr="00D557A7">
          <w:rPr>
            <w:rStyle w:val="Hyperlink"/>
            <w:rFonts w:ascii="Avenir Next" w:hAnsi="Avenir Next" w:cs="Arial"/>
            <w:sz w:val="22"/>
            <w:szCs w:val="22"/>
            <w:lang w:val="en-GB"/>
          </w:rPr>
          <w:t>https://uncitral.un.org/en/texts/insolvency/modellaw/cross-border_insolvency/status</w:t>
        </w:r>
      </w:hyperlink>
      <w:r w:rsidR="00625A54">
        <w:rPr>
          <w:rFonts w:ascii="Avenir Next" w:hAnsi="Avenir Next" w:cs="Arial"/>
          <w:color w:val="808080" w:themeColor="background1" w:themeShade="80"/>
          <w:sz w:val="22"/>
          <w:szCs w:val="22"/>
          <w:lang w:val="en-GB"/>
        </w:rPr>
        <w:t>&gt;&gt;</w:t>
      </w:r>
      <w:r w:rsidR="00D44DF4">
        <w:rPr>
          <w:rFonts w:ascii="Avenir Next" w:hAnsi="Avenir Next" w:cs="Arial"/>
          <w:color w:val="808080" w:themeColor="background1" w:themeShade="80"/>
          <w:sz w:val="22"/>
          <w:szCs w:val="22"/>
          <w:lang w:val="en-GB"/>
        </w:rPr>
        <w:t>, accessed 15 November 2023).</w:t>
      </w:r>
      <w:r w:rsidR="006A44B2" w:rsidRPr="00DA42DA">
        <w:rPr>
          <w:rFonts w:ascii="Avenir Next" w:hAnsi="Avenir Next" w:cs="Arial"/>
          <w:color w:val="808080" w:themeColor="background1" w:themeShade="80"/>
          <w:sz w:val="22"/>
          <w:szCs w:val="22"/>
          <w:lang w:val="en-GB"/>
        </w:rPr>
        <w:t>]</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38F982C8"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lastRenderedPageBreak/>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115F683C" w14:textId="6B23B0EA" w:rsidR="0080207A" w:rsidRPr="000D42FA" w:rsidRDefault="002253D8" w:rsidP="00DB5A5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241AF4">
        <w:rPr>
          <w:rFonts w:ascii="Avenir Next" w:hAnsi="Avenir Next" w:cs="Arial"/>
          <w:color w:val="808080" w:themeColor="background1" w:themeShade="80"/>
          <w:sz w:val="22"/>
          <w:szCs w:val="22"/>
          <w:lang w:val="en-GB"/>
        </w:rPr>
        <w:t xml:space="preserve">The American insolvent estate representative may seek recognition of the </w:t>
      </w:r>
      <w:r w:rsidR="0052073E">
        <w:rPr>
          <w:rFonts w:ascii="Avenir Next" w:hAnsi="Avenir Next" w:cs="Arial"/>
          <w:color w:val="808080" w:themeColor="background1" w:themeShade="80"/>
          <w:sz w:val="22"/>
          <w:szCs w:val="22"/>
          <w:lang w:val="en-GB"/>
        </w:rPr>
        <w:t>American liquidation</w:t>
      </w:r>
      <w:r w:rsidR="00AE2D96">
        <w:rPr>
          <w:rFonts w:ascii="Avenir Next" w:hAnsi="Avenir Next" w:cs="Arial"/>
          <w:color w:val="808080" w:themeColor="background1" w:themeShade="80"/>
          <w:sz w:val="22"/>
          <w:szCs w:val="22"/>
          <w:lang w:val="en-GB"/>
        </w:rPr>
        <w:t xml:space="preserve"> as a foreign non-main proceeding</w:t>
      </w:r>
      <w:r w:rsidR="004E77E0">
        <w:rPr>
          <w:rFonts w:ascii="Avenir Next" w:hAnsi="Avenir Next" w:cs="Arial"/>
          <w:color w:val="808080" w:themeColor="background1" w:themeShade="80"/>
          <w:sz w:val="22"/>
          <w:szCs w:val="22"/>
          <w:lang w:val="en-GB"/>
        </w:rPr>
        <w:t xml:space="preserve"> (assuming that </w:t>
      </w:r>
      <w:r w:rsidR="00993F8F">
        <w:rPr>
          <w:rFonts w:ascii="Avenir Next" w:hAnsi="Avenir Next" w:cs="Arial"/>
          <w:color w:val="808080" w:themeColor="background1" w:themeShade="80"/>
          <w:sz w:val="22"/>
          <w:szCs w:val="22"/>
          <w:lang w:val="en-GB"/>
        </w:rPr>
        <w:t>Norton Cars Inc’s COMI is England)</w:t>
      </w:r>
      <w:r w:rsidR="0052073E">
        <w:rPr>
          <w:rFonts w:ascii="Avenir Next" w:hAnsi="Avenir Next" w:cs="Arial"/>
          <w:color w:val="808080" w:themeColor="background1" w:themeShade="80"/>
          <w:sz w:val="22"/>
          <w:szCs w:val="22"/>
          <w:lang w:val="en-GB"/>
        </w:rPr>
        <w:t xml:space="preserve"> and her appointment</w:t>
      </w:r>
      <w:r w:rsidR="00AE2D96">
        <w:rPr>
          <w:rFonts w:ascii="Avenir Next" w:hAnsi="Avenir Next" w:cs="Arial"/>
          <w:color w:val="808080" w:themeColor="background1" w:themeShade="80"/>
          <w:sz w:val="22"/>
          <w:szCs w:val="22"/>
          <w:lang w:val="en-GB"/>
        </w:rPr>
        <w:t xml:space="preserve"> as a foreign representative</w:t>
      </w:r>
      <w:r w:rsidR="00FA7BC8">
        <w:rPr>
          <w:rFonts w:ascii="Avenir Next" w:hAnsi="Avenir Next" w:cs="Arial"/>
          <w:color w:val="808080" w:themeColor="background1" w:themeShade="80"/>
          <w:sz w:val="22"/>
          <w:szCs w:val="22"/>
          <w:lang w:val="en-GB"/>
        </w:rPr>
        <w:t xml:space="preserve"> before the English Courts</w:t>
      </w:r>
      <w:r w:rsidR="0052073E">
        <w:rPr>
          <w:rFonts w:ascii="Avenir Next" w:hAnsi="Avenir Next" w:cs="Arial"/>
          <w:color w:val="808080" w:themeColor="background1" w:themeShade="80"/>
          <w:sz w:val="22"/>
          <w:szCs w:val="22"/>
          <w:lang w:val="en-GB"/>
        </w:rPr>
        <w:t xml:space="preserve"> </w:t>
      </w:r>
      <w:r w:rsidR="000D42FA">
        <w:rPr>
          <w:rFonts w:ascii="Avenir Next" w:hAnsi="Avenir Next" w:cs="Arial"/>
          <w:color w:val="808080" w:themeColor="background1" w:themeShade="80"/>
          <w:sz w:val="22"/>
          <w:szCs w:val="22"/>
          <w:lang w:val="en-GB"/>
        </w:rPr>
        <w:t>under the Cross-Border Insolvency Regulations 2006</w:t>
      </w:r>
      <w:r w:rsidR="00E62986">
        <w:rPr>
          <w:rFonts w:ascii="Avenir Next" w:hAnsi="Avenir Next" w:cs="Arial"/>
          <w:color w:val="808080" w:themeColor="background1" w:themeShade="80"/>
          <w:sz w:val="22"/>
          <w:szCs w:val="22"/>
          <w:lang w:val="en-GB"/>
        </w:rPr>
        <w:t xml:space="preserve">. </w:t>
      </w:r>
    </w:p>
    <w:p w14:paraId="3A0F70AC" w14:textId="77777777" w:rsidR="00DE633C" w:rsidRDefault="00DE633C" w:rsidP="00DB5A5A">
      <w:pPr>
        <w:jc w:val="both"/>
        <w:rPr>
          <w:rFonts w:ascii="Avenir Next" w:hAnsi="Avenir Next" w:cs="Arial"/>
          <w:color w:val="808080" w:themeColor="background1" w:themeShade="80"/>
          <w:sz w:val="22"/>
          <w:szCs w:val="22"/>
          <w:lang w:val="en-GB"/>
        </w:rPr>
      </w:pPr>
    </w:p>
    <w:p w14:paraId="67087AC4" w14:textId="7738AE42" w:rsidR="0080207A" w:rsidRDefault="00DE633C"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w:t>
      </w:r>
      <w:r w:rsidR="00044FAF">
        <w:rPr>
          <w:rFonts w:ascii="Avenir Next" w:hAnsi="Avenir Next" w:cs="Arial"/>
          <w:color w:val="808080" w:themeColor="background1" w:themeShade="80"/>
          <w:sz w:val="22"/>
          <w:szCs w:val="22"/>
          <w:lang w:val="en-GB"/>
        </w:rPr>
        <w:t xml:space="preserve"> </w:t>
      </w:r>
      <w:r w:rsidR="006715E9">
        <w:rPr>
          <w:rFonts w:ascii="Avenir Next" w:hAnsi="Avenir Next" w:cs="Arial"/>
          <w:color w:val="808080" w:themeColor="background1" w:themeShade="80"/>
          <w:sz w:val="22"/>
          <w:szCs w:val="22"/>
          <w:lang w:val="en-GB"/>
        </w:rPr>
        <w:t xml:space="preserve">English </w:t>
      </w:r>
      <w:r w:rsidR="00044FAF">
        <w:rPr>
          <w:rFonts w:ascii="Avenir Next" w:hAnsi="Avenir Next" w:cs="Arial"/>
          <w:color w:val="808080" w:themeColor="background1" w:themeShade="80"/>
          <w:sz w:val="22"/>
          <w:szCs w:val="22"/>
          <w:lang w:val="en-GB"/>
        </w:rPr>
        <w:t xml:space="preserve">cross-border source the American insolvent estate representative may </w:t>
      </w:r>
      <w:r w:rsidR="00772072">
        <w:rPr>
          <w:rFonts w:ascii="Avenir Next" w:hAnsi="Avenir Next" w:cs="Arial"/>
          <w:color w:val="808080" w:themeColor="background1" w:themeShade="80"/>
          <w:sz w:val="22"/>
          <w:szCs w:val="22"/>
          <w:lang w:val="en-GB"/>
        </w:rPr>
        <w:t>rely on is section 426</w:t>
      </w:r>
      <w:r w:rsidR="002E648A">
        <w:rPr>
          <w:rFonts w:ascii="Avenir Next" w:hAnsi="Avenir Next" w:cs="Arial"/>
          <w:color w:val="808080" w:themeColor="background1" w:themeShade="80"/>
          <w:sz w:val="22"/>
          <w:szCs w:val="22"/>
          <w:lang w:val="en-GB"/>
        </w:rPr>
        <w:t xml:space="preserve"> </w:t>
      </w:r>
      <w:r w:rsidR="00772072">
        <w:rPr>
          <w:rFonts w:ascii="Avenir Next" w:hAnsi="Avenir Next" w:cs="Arial"/>
          <w:color w:val="808080" w:themeColor="background1" w:themeShade="80"/>
          <w:sz w:val="22"/>
          <w:szCs w:val="22"/>
          <w:lang w:val="en-GB"/>
        </w:rPr>
        <w:t xml:space="preserve">of the Insolvency Act </w:t>
      </w:r>
      <w:r w:rsidR="00D80FBD">
        <w:rPr>
          <w:rFonts w:ascii="Avenir Next" w:hAnsi="Avenir Next" w:cs="Arial"/>
          <w:color w:val="808080" w:themeColor="background1" w:themeShade="80"/>
          <w:sz w:val="22"/>
          <w:szCs w:val="22"/>
          <w:lang w:val="en-GB"/>
        </w:rPr>
        <w:t>1986</w:t>
      </w:r>
      <w:r w:rsidR="00772072">
        <w:rPr>
          <w:rFonts w:ascii="Avenir Next" w:hAnsi="Avenir Next" w:cs="Arial"/>
          <w:color w:val="808080" w:themeColor="background1" w:themeShade="80"/>
          <w:sz w:val="22"/>
          <w:szCs w:val="22"/>
          <w:lang w:val="en-GB"/>
        </w:rPr>
        <w:t xml:space="preserve"> (UK)</w:t>
      </w:r>
      <w:r w:rsidR="00C163EF">
        <w:rPr>
          <w:rFonts w:ascii="Avenir Next" w:hAnsi="Avenir Next" w:cs="Arial"/>
          <w:color w:val="808080" w:themeColor="background1" w:themeShade="80"/>
          <w:sz w:val="22"/>
          <w:szCs w:val="22"/>
          <w:lang w:val="en-GB"/>
        </w:rPr>
        <w:t xml:space="preserve">, which </w:t>
      </w:r>
      <w:r w:rsidR="00FF1C43">
        <w:rPr>
          <w:rFonts w:ascii="Avenir Next" w:hAnsi="Avenir Next" w:cs="Arial"/>
          <w:color w:val="808080" w:themeColor="background1" w:themeShade="80"/>
          <w:sz w:val="22"/>
          <w:szCs w:val="22"/>
          <w:lang w:val="en-GB"/>
        </w:rPr>
        <w:t>allows</w:t>
      </w:r>
      <w:r w:rsidR="00C163EF">
        <w:rPr>
          <w:rFonts w:ascii="Avenir Next" w:hAnsi="Avenir Next" w:cs="Arial"/>
          <w:color w:val="808080" w:themeColor="background1" w:themeShade="80"/>
          <w:sz w:val="22"/>
          <w:szCs w:val="22"/>
          <w:lang w:val="en-GB"/>
        </w:rPr>
        <w:t xml:space="preserve"> the </w:t>
      </w:r>
      <w:r w:rsidR="00AB0141">
        <w:rPr>
          <w:rFonts w:ascii="Avenir Next" w:hAnsi="Avenir Next" w:cs="Arial"/>
          <w:color w:val="808080" w:themeColor="background1" w:themeShade="80"/>
          <w:sz w:val="22"/>
          <w:szCs w:val="22"/>
          <w:lang w:val="en-GB"/>
        </w:rPr>
        <w:t>English Court to co-operate with the American Court</w:t>
      </w:r>
      <w:r>
        <w:rPr>
          <w:rFonts w:ascii="Avenir Next" w:hAnsi="Avenir Next" w:cs="Arial"/>
          <w:color w:val="808080" w:themeColor="background1" w:themeShade="80"/>
          <w:sz w:val="22"/>
          <w:szCs w:val="22"/>
          <w:lang w:val="en-GB"/>
        </w:rPr>
        <w:t xml:space="preserve"> and thereby allow the American insolvent estate representative to seek assistance from the English Court to deal with the assets of Norton Cars Inc located in England</w:t>
      </w:r>
      <w:r w:rsidR="00D669BB">
        <w:rPr>
          <w:rFonts w:ascii="Avenir Next" w:hAnsi="Avenir Next" w:cs="Arial"/>
          <w:color w:val="808080" w:themeColor="background1" w:themeShade="80"/>
          <w:sz w:val="22"/>
          <w:szCs w:val="22"/>
          <w:lang w:val="en-GB"/>
        </w:rPr>
        <w:t xml:space="preserve"> (</w:t>
      </w:r>
      <w:r w:rsidR="00D669BB">
        <w:rPr>
          <w:rFonts w:ascii="Avenir Next" w:hAnsi="Avenir Next" w:cs="Arial"/>
          <w:i/>
          <w:iCs/>
          <w:color w:val="808080" w:themeColor="background1" w:themeShade="80"/>
          <w:sz w:val="22"/>
          <w:szCs w:val="22"/>
          <w:lang w:val="en-GB"/>
        </w:rPr>
        <w:t xml:space="preserve">McGrath v Riddel </w:t>
      </w:r>
      <w:r w:rsidR="00D669BB">
        <w:rPr>
          <w:rFonts w:ascii="Avenir Next" w:hAnsi="Avenir Next" w:cs="Arial"/>
          <w:color w:val="808080" w:themeColor="background1" w:themeShade="80"/>
          <w:sz w:val="22"/>
          <w:szCs w:val="22"/>
          <w:lang w:val="en-GB"/>
        </w:rPr>
        <w:t>[2008] UKHL 21</w:t>
      </w:r>
      <w:r w:rsidR="00B56144">
        <w:rPr>
          <w:rFonts w:ascii="Avenir Next" w:hAnsi="Avenir Next" w:cs="Arial"/>
          <w:color w:val="808080" w:themeColor="background1" w:themeShade="80"/>
          <w:sz w:val="22"/>
          <w:szCs w:val="22"/>
          <w:lang w:val="en-GB"/>
        </w:rPr>
        <w:t xml:space="preserve"> (“</w:t>
      </w:r>
      <w:r w:rsidR="00B56144">
        <w:rPr>
          <w:rFonts w:ascii="Avenir Next" w:hAnsi="Avenir Next" w:cs="Arial"/>
          <w:b/>
          <w:bCs/>
          <w:i/>
          <w:iCs/>
          <w:color w:val="808080" w:themeColor="background1" w:themeShade="80"/>
          <w:sz w:val="22"/>
          <w:szCs w:val="22"/>
          <w:lang w:val="en-GB"/>
        </w:rPr>
        <w:t>McGrath</w:t>
      </w:r>
      <w:r w:rsidR="00B56144">
        <w:rPr>
          <w:rFonts w:ascii="Avenir Next" w:hAnsi="Avenir Next" w:cs="Arial"/>
          <w:color w:val="808080" w:themeColor="background1" w:themeShade="80"/>
          <w:sz w:val="22"/>
          <w:szCs w:val="22"/>
          <w:lang w:val="en-GB"/>
        </w:rPr>
        <w:t>”)</w:t>
      </w:r>
      <w:r w:rsidR="00D669BB">
        <w:rPr>
          <w:rFonts w:ascii="Avenir Next" w:hAnsi="Avenir Next" w:cs="Arial"/>
          <w:i/>
          <w:iCs/>
          <w:color w:val="808080" w:themeColor="background1" w:themeShade="80"/>
          <w:sz w:val="22"/>
          <w:szCs w:val="22"/>
          <w:lang w:val="en-GB"/>
        </w:rPr>
        <w:t xml:space="preserve"> </w:t>
      </w:r>
      <w:r w:rsidR="00D669BB">
        <w:rPr>
          <w:rFonts w:ascii="Avenir Next" w:hAnsi="Avenir Next" w:cs="Arial"/>
          <w:color w:val="808080" w:themeColor="background1" w:themeShade="80"/>
          <w:sz w:val="22"/>
          <w:szCs w:val="22"/>
          <w:lang w:val="en-GB"/>
        </w:rPr>
        <w:t>at [62])</w:t>
      </w:r>
      <w:r w:rsidR="0080207A">
        <w:rPr>
          <w:rFonts w:ascii="Avenir Next" w:hAnsi="Avenir Next" w:cs="Arial"/>
          <w:color w:val="808080" w:themeColor="background1" w:themeShade="80"/>
          <w:sz w:val="22"/>
          <w:szCs w:val="22"/>
          <w:lang w:val="en-GB"/>
        </w:rPr>
        <w:t>.</w:t>
      </w:r>
    </w:p>
    <w:p w14:paraId="6E8EB465" w14:textId="77777777" w:rsidR="0080207A" w:rsidRDefault="0080207A" w:rsidP="00DB5A5A">
      <w:pPr>
        <w:jc w:val="both"/>
        <w:rPr>
          <w:rFonts w:ascii="Avenir Next" w:hAnsi="Avenir Next" w:cs="Arial"/>
          <w:color w:val="808080" w:themeColor="background1" w:themeShade="80"/>
          <w:sz w:val="22"/>
          <w:szCs w:val="22"/>
          <w:lang w:val="en-GB"/>
        </w:rPr>
      </w:pPr>
    </w:p>
    <w:p w14:paraId="4184BAFC" w14:textId="2BE59BC1" w:rsidR="002253D8" w:rsidRPr="002253D8" w:rsidRDefault="00270BD0"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Alternatively, </w:t>
      </w:r>
      <w:r w:rsidR="00B56144">
        <w:rPr>
          <w:rFonts w:ascii="Avenir Next" w:hAnsi="Avenir Next" w:cs="Arial"/>
          <w:color w:val="808080" w:themeColor="background1" w:themeShade="80"/>
          <w:sz w:val="22"/>
          <w:szCs w:val="22"/>
          <w:lang w:val="en-GB"/>
        </w:rPr>
        <w:t xml:space="preserve">following Lord Hoffman’s decision in </w:t>
      </w:r>
      <w:r w:rsidR="00B56144">
        <w:rPr>
          <w:rFonts w:ascii="Avenir Next" w:hAnsi="Avenir Next" w:cs="Arial"/>
          <w:i/>
          <w:iCs/>
          <w:color w:val="808080" w:themeColor="background1" w:themeShade="80"/>
          <w:sz w:val="22"/>
          <w:szCs w:val="22"/>
          <w:lang w:val="en-GB"/>
        </w:rPr>
        <w:t>McGrath</w:t>
      </w:r>
      <w:r w:rsidR="000165C8">
        <w:rPr>
          <w:rFonts w:ascii="Avenir Next" w:hAnsi="Avenir Next" w:cs="Arial"/>
          <w:i/>
          <w:iCs/>
          <w:color w:val="808080" w:themeColor="background1" w:themeShade="80"/>
          <w:sz w:val="22"/>
          <w:szCs w:val="22"/>
          <w:lang w:val="en-GB"/>
        </w:rPr>
        <w:t xml:space="preserve"> </w:t>
      </w:r>
      <w:r w:rsidR="000165C8">
        <w:rPr>
          <w:rFonts w:ascii="Avenir Next" w:hAnsi="Avenir Next" w:cs="Arial"/>
          <w:color w:val="808080" w:themeColor="background1" w:themeShade="80"/>
          <w:sz w:val="22"/>
          <w:szCs w:val="22"/>
          <w:lang w:val="en-GB"/>
        </w:rPr>
        <w:t>at [30]</w:t>
      </w:r>
      <w:r w:rsidR="00B56144">
        <w:rPr>
          <w:rFonts w:ascii="Avenir Next" w:hAnsi="Avenir Next" w:cs="Arial"/>
          <w:color w:val="808080" w:themeColor="background1" w:themeShade="80"/>
          <w:sz w:val="22"/>
          <w:szCs w:val="22"/>
          <w:lang w:val="en-GB"/>
        </w:rPr>
        <w:t>,</w:t>
      </w:r>
      <w:r w:rsidR="00B56144">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American insolvent estate representative may consider relying on </w:t>
      </w:r>
      <w:r w:rsidR="000165C8">
        <w:rPr>
          <w:rFonts w:ascii="Avenir Next" w:hAnsi="Avenir Next" w:cs="Arial"/>
          <w:color w:val="808080" w:themeColor="background1" w:themeShade="80"/>
          <w:sz w:val="22"/>
          <w:szCs w:val="22"/>
          <w:lang w:val="en-GB"/>
        </w:rPr>
        <w:t xml:space="preserve">the court’s inherent jurisdiction at common law </w:t>
      </w:r>
      <w:r w:rsidR="00570325">
        <w:rPr>
          <w:rFonts w:ascii="Avenir Next" w:hAnsi="Avenir Next" w:cs="Arial"/>
          <w:color w:val="808080" w:themeColor="background1" w:themeShade="80"/>
          <w:sz w:val="22"/>
          <w:szCs w:val="22"/>
          <w:lang w:val="en-GB"/>
        </w:rPr>
        <w:t xml:space="preserve">to co-operate with the courts in the country of the principal liquidation </w:t>
      </w:r>
      <w:r w:rsidR="00CF73BE">
        <w:rPr>
          <w:rFonts w:ascii="Avenir Next" w:hAnsi="Avenir Next" w:cs="Arial"/>
          <w:color w:val="808080" w:themeColor="background1" w:themeShade="80"/>
          <w:sz w:val="22"/>
          <w:szCs w:val="22"/>
          <w:lang w:val="en-GB"/>
        </w:rPr>
        <w:t>to the extent that it is consistent with justice and UK public policy to seek assistance from the English Courts to deal with the assets of Norton Cars Inc in England.</w:t>
      </w:r>
      <w:r w:rsidR="002253D8" w:rsidRPr="00DA42DA">
        <w:rPr>
          <w:rFonts w:ascii="Avenir Next" w:hAnsi="Avenir Next" w:cs="Arial"/>
          <w:color w:val="808080" w:themeColor="background1" w:themeShade="80"/>
          <w:sz w:val="22"/>
          <w:szCs w:val="22"/>
          <w:lang w:val="en-GB"/>
        </w:rPr>
        <w:t>]</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79EC1B1E" w14:textId="5FC62D19" w:rsidR="0010086D" w:rsidRDefault="002253D8" w:rsidP="002253D8">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DF0D81">
        <w:rPr>
          <w:rFonts w:ascii="Avenir Next" w:hAnsi="Avenir Next" w:cs="Arial"/>
          <w:color w:val="808080" w:themeColor="background1" w:themeShade="80"/>
          <w:sz w:val="22"/>
          <w:szCs w:val="22"/>
          <w:lang w:val="en-GB"/>
        </w:rPr>
        <w:t xml:space="preserve">Since both Italy and Germany are part of the European Union, </w:t>
      </w:r>
      <w:r w:rsidR="001B3456">
        <w:rPr>
          <w:rFonts w:ascii="Avenir Next" w:hAnsi="Avenir Next" w:cs="Arial"/>
          <w:color w:val="808080" w:themeColor="background1" w:themeShade="80"/>
          <w:sz w:val="22"/>
          <w:szCs w:val="22"/>
          <w:lang w:val="en-GB"/>
        </w:rPr>
        <w:t xml:space="preserve">the relevant legal source would be the multilateral instrument on </w:t>
      </w:r>
      <w:r w:rsidR="00F025F7">
        <w:rPr>
          <w:rFonts w:ascii="Avenir Next" w:hAnsi="Avenir Next" w:cs="Arial"/>
          <w:color w:val="808080" w:themeColor="background1" w:themeShade="80"/>
          <w:sz w:val="22"/>
          <w:szCs w:val="22"/>
          <w:lang w:val="en-GB"/>
        </w:rPr>
        <w:t xml:space="preserve">international insolvencies, being </w:t>
      </w:r>
      <w:r w:rsidR="00F77968">
        <w:rPr>
          <w:rFonts w:ascii="Avenir Next" w:hAnsi="Avenir Next" w:cs="Arial"/>
          <w:color w:val="808080" w:themeColor="background1" w:themeShade="80"/>
          <w:sz w:val="22"/>
          <w:szCs w:val="22"/>
          <w:lang w:val="en-GB"/>
        </w:rPr>
        <w:t xml:space="preserve">the </w:t>
      </w:r>
      <w:r w:rsidR="00F025F7">
        <w:rPr>
          <w:rFonts w:ascii="Avenir Next" w:hAnsi="Avenir Next" w:cs="Arial"/>
          <w:color w:val="808080" w:themeColor="background1" w:themeShade="80"/>
          <w:sz w:val="22"/>
          <w:szCs w:val="22"/>
          <w:lang w:val="en-GB"/>
        </w:rPr>
        <w:t>Regulation (EU) 2015/848 of the European Parliamen</w:t>
      </w:r>
      <w:r w:rsidR="002B6FA8">
        <w:rPr>
          <w:rFonts w:ascii="Avenir Next" w:hAnsi="Avenir Next" w:cs="Arial"/>
          <w:color w:val="808080" w:themeColor="background1" w:themeShade="80"/>
          <w:sz w:val="22"/>
          <w:szCs w:val="22"/>
          <w:lang w:val="en-GB"/>
        </w:rPr>
        <w:t>t and of</w:t>
      </w:r>
      <w:r w:rsidR="00F025F7">
        <w:rPr>
          <w:rFonts w:ascii="Avenir Next" w:hAnsi="Avenir Next" w:cs="Arial"/>
          <w:color w:val="808080" w:themeColor="background1" w:themeShade="80"/>
          <w:sz w:val="22"/>
          <w:szCs w:val="22"/>
          <w:lang w:val="en-GB"/>
        </w:rPr>
        <w:t xml:space="preserve"> the Council of 20 May 2015 on Insolvency Proceedings (Recast)</w:t>
      </w:r>
      <w:r w:rsidR="000B27D0">
        <w:rPr>
          <w:rFonts w:ascii="Avenir Next" w:hAnsi="Avenir Next" w:cs="Arial"/>
          <w:color w:val="808080" w:themeColor="background1" w:themeShade="80"/>
          <w:sz w:val="22"/>
          <w:szCs w:val="22"/>
          <w:lang w:val="en-GB"/>
        </w:rPr>
        <w:t xml:space="preserve"> (“</w:t>
      </w:r>
      <w:r w:rsidR="000B27D0">
        <w:rPr>
          <w:rFonts w:ascii="Avenir Next" w:hAnsi="Avenir Next" w:cs="Arial"/>
          <w:b/>
          <w:bCs/>
          <w:color w:val="808080" w:themeColor="background1" w:themeShade="80"/>
          <w:sz w:val="22"/>
          <w:szCs w:val="22"/>
          <w:lang w:val="en-GB"/>
        </w:rPr>
        <w:t>EIR Recast</w:t>
      </w:r>
      <w:r w:rsidR="000B27D0">
        <w:rPr>
          <w:rFonts w:ascii="Avenir Next" w:hAnsi="Avenir Next" w:cs="Arial"/>
          <w:color w:val="808080" w:themeColor="background1" w:themeShade="80"/>
          <w:sz w:val="22"/>
          <w:szCs w:val="22"/>
          <w:lang w:val="en-GB"/>
        </w:rPr>
        <w:t>”)</w:t>
      </w:r>
      <w:r w:rsidR="00A57531">
        <w:rPr>
          <w:rFonts w:ascii="Avenir Next" w:hAnsi="Avenir Next" w:cs="Arial"/>
          <w:color w:val="808080" w:themeColor="background1" w:themeShade="80"/>
          <w:sz w:val="22"/>
          <w:szCs w:val="22"/>
          <w:lang w:val="en-GB"/>
        </w:rPr>
        <w:t xml:space="preserve">, and </w:t>
      </w:r>
      <w:r w:rsidR="0010086D">
        <w:rPr>
          <w:rFonts w:ascii="Avenir Next" w:hAnsi="Avenir Next" w:cs="Arial"/>
          <w:color w:val="808080" w:themeColor="background1" w:themeShade="80"/>
          <w:sz w:val="22"/>
          <w:szCs w:val="22"/>
          <w:lang w:val="en-GB"/>
        </w:rPr>
        <w:t xml:space="preserve">Regulation 2021/2260 of 15 December 2021. </w:t>
      </w:r>
    </w:p>
    <w:p w14:paraId="34C4B92A" w14:textId="77777777" w:rsidR="0010086D" w:rsidRDefault="0010086D" w:rsidP="002253D8">
      <w:pPr>
        <w:jc w:val="both"/>
        <w:rPr>
          <w:rFonts w:ascii="Avenir Next" w:hAnsi="Avenir Next" w:cs="Arial"/>
          <w:color w:val="808080" w:themeColor="background1" w:themeShade="80"/>
          <w:sz w:val="22"/>
          <w:szCs w:val="22"/>
          <w:lang w:val="en-GB"/>
        </w:rPr>
      </w:pPr>
    </w:p>
    <w:p w14:paraId="0D3B1D18" w14:textId="25CB9967" w:rsidR="004E1D03" w:rsidRDefault="0054659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Norton Cars Inc’s </w:t>
      </w:r>
      <w:r w:rsidR="009C2CA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main proceeding</w:t>
      </w:r>
      <w:r w:rsidR="009C2CA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should be opened </w:t>
      </w:r>
      <w:r w:rsidR="00150E39">
        <w:rPr>
          <w:rFonts w:ascii="Avenir Next" w:hAnsi="Avenir Next" w:cs="Arial"/>
          <w:color w:val="808080" w:themeColor="background1" w:themeShade="80"/>
          <w:sz w:val="22"/>
          <w:szCs w:val="22"/>
          <w:lang w:val="en-GB"/>
        </w:rPr>
        <w:t>before</w:t>
      </w:r>
      <w:r>
        <w:rPr>
          <w:rFonts w:ascii="Avenir Next" w:hAnsi="Avenir Next" w:cs="Arial"/>
          <w:color w:val="808080" w:themeColor="background1" w:themeShade="80"/>
          <w:sz w:val="22"/>
          <w:szCs w:val="22"/>
          <w:lang w:val="en-GB"/>
        </w:rPr>
        <w:t xml:space="preserve"> </w:t>
      </w:r>
      <w:r w:rsidR="00150E39">
        <w:rPr>
          <w:rFonts w:ascii="Avenir Next" w:hAnsi="Avenir Next" w:cs="Arial"/>
          <w:color w:val="808080" w:themeColor="background1" w:themeShade="80"/>
          <w:sz w:val="22"/>
          <w:szCs w:val="22"/>
          <w:lang w:val="en-GB"/>
        </w:rPr>
        <w:t xml:space="preserve">the Courts in </w:t>
      </w:r>
      <w:r>
        <w:rPr>
          <w:rFonts w:ascii="Avenir Next" w:hAnsi="Avenir Next" w:cs="Arial"/>
          <w:color w:val="808080" w:themeColor="background1" w:themeShade="80"/>
          <w:sz w:val="22"/>
          <w:szCs w:val="22"/>
          <w:lang w:val="en-GB"/>
        </w:rPr>
        <w:t>Italy</w:t>
      </w:r>
      <w:r w:rsidR="00150E39">
        <w:rPr>
          <w:rFonts w:ascii="Avenir Next" w:hAnsi="Avenir Next" w:cs="Arial"/>
          <w:color w:val="808080" w:themeColor="background1" w:themeShade="80"/>
          <w:sz w:val="22"/>
          <w:szCs w:val="22"/>
          <w:lang w:val="en-GB"/>
        </w:rPr>
        <w:t xml:space="preserve"> under Italian law</w:t>
      </w:r>
      <w:r w:rsidR="009C2CA3">
        <w:rPr>
          <w:rFonts w:ascii="Avenir Next" w:hAnsi="Avenir Next" w:cs="Arial"/>
          <w:color w:val="808080" w:themeColor="background1" w:themeShade="80"/>
          <w:sz w:val="22"/>
          <w:szCs w:val="22"/>
          <w:lang w:val="en-GB"/>
        </w:rPr>
        <w:t xml:space="preserve"> </w:t>
      </w:r>
      <w:r w:rsidR="003A7AA7">
        <w:rPr>
          <w:rFonts w:ascii="Avenir Next" w:hAnsi="Avenir Next" w:cs="Arial"/>
          <w:color w:val="808080" w:themeColor="background1" w:themeShade="80"/>
          <w:sz w:val="22"/>
          <w:szCs w:val="22"/>
          <w:lang w:val="en-GB"/>
        </w:rPr>
        <w:t>because</w:t>
      </w:r>
      <w:r w:rsidR="00AB2C95">
        <w:rPr>
          <w:rFonts w:ascii="Avenir Next" w:hAnsi="Avenir Next" w:cs="Arial"/>
          <w:color w:val="808080" w:themeColor="background1" w:themeShade="80"/>
          <w:sz w:val="22"/>
          <w:szCs w:val="22"/>
          <w:lang w:val="en-GB"/>
        </w:rPr>
        <w:t xml:space="preserve"> Italy has been determined </w:t>
      </w:r>
      <w:r w:rsidR="004E3B70">
        <w:rPr>
          <w:rFonts w:ascii="Avenir Next" w:hAnsi="Avenir Next" w:cs="Arial"/>
          <w:color w:val="808080" w:themeColor="background1" w:themeShade="80"/>
          <w:sz w:val="22"/>
          <w:szCs w:val="22"/>
          <w:lang w:val="en-GB"/>
        </w:rPr>
        <w:t xml:space="preserve">to be the company’s centre of main interests (COMI). </w:t>
      </w:r>
      <w:r w:rsidR="0089322C">
        <w:rPr>
          <w:rFonts w:ascii="Avenir Next" w:hAnsi="Avenir Next" w:cs="Arial"/>
          <w:color w:val="808080" w:themeColor="background1" w:themeShade="80"/>
          <w:sz w:val="22"/>
          <w:szCs w:val="22"/>
          <w:lang w:val="en-GB"/>
        </w:rPr>
        <w:t>T</w:t>
      </w:r>
      <w:r w:rsidR="001350C0">
        <w:rPr>
          <w:rFonts w:ascii="Avenir Next" w:hAnsi="Avenir Next" w:cs="Arial"/>
          <w:color w:val="808080" w:themeColor="background1" w:themeShade="80"/>
          <w:sz w:val="22"/>
          <w:szCs w:val="22"/>
          <w:lang w:val="en-GB"/>
        </w:rPr>
        <w:t>he EIR Recast regulates the applicable</w:t>
      </w:r>
      <w:r w:rsidR="006D79E4">
        <w:rPr>
          <w:rFonts w:ascii="Avenir Next" w:hAnsi="Avenir Next" w:cs="Arial"/>
          <w:color w:val="808080" w:themeColor="background1" w:themeShade="80"/>
          <w:sz w:val="22"/>
          <w:szCs w:val="22"/>
          <w:lang w:val="en-GB"/>
        </w:rPr>
        <w:t xml:space="preserve"> laws</w:t>
      </w:r>
      <w:r w:rsidR="001350C0">
        <w:rPr>
          <w:rFonts w:ascii="Avenir Next" w:hAnsi="Avenir Next" w:cs="Arial"/>
          <w:color w:val="808080" w:themeColor="background1" w:themeShade="80"/>
          <w:sz w:val="22"/>
          <w:szCs w:val="22"/>
          <w:lang w:val="en-GB"/>
        </w:rPr>
        <w:t xml:space="preserve"> in proceeding</w:t>
      </w:r>
      <w:r w:rsidR="006D79E4">
        <w:rPr>
          <w:rFonts w:ascii="Avenir Next" w:hAnsi="Avenir Next" w:cs="Arial"/>
          <w:color w:val="808080" w:themeColor="background1" w:themeShade="80"/>
          <w:sz w:val="22"/>
          <w:szCs w:val="22"/>
          <w:lang w:val="en-GB"/>
        </w:rPr>
        <w:t>s</w:t>
      </w:r>
      <w:r w:rsidR="001350C0">
        <w:rPr>
          <w:rFonts w:ascii="Avenir Next" w:hAnsi="Avenir Next" w:cs="Arial"/>
          <w:color w:val="808080" w:themeColor="background1" w:themeShade="80"/>
          <w:sz w:val="22"/>
          <w:szCs w:val="22"/>
          <w:lang w:val="en-GB"/>
        </w:rPr>
        <w:t xml:space="preserve"> subject to the Regulation, and Article 7.1 </w:t>
      </w:r>
      <w:r w:rsidR="003E6BD0">
        <w:rPr>
          <w:rFonts w:ascii="Avenir Next" w:hAnsi="Avenir Next" w:cs="Arial"/>
          <w:color w:val="808080" w:themeColor="background1" w:themeShade="80"/>
          <w:sz w:val="22"/>
          <w:szCs w:val="22"/>
          <w:lang w:val="en-GB"/>
        </w:rPr>
        <w:t>provides that “</w:t>
      </w:r>
      <w:r w:rsidR="003E6BD0">
        <w:rPr>
          <w:rFonts w:ascii="Avenir Next" w:hAnsi="Avenir Next" w:cs="Arial"/>
          <w:i/>
          <w:iCs/>
          <w:color w:val="808080" w:themeColor="background1" w:themeShade="80"/>
          <w:sz w:val="22"/>
          <w:szCs w:val="22"/>
          <w:lang w:val="en-GB"/>
        </w:rPr>
        <w:t xml:space="preserve">the law applicable to insolvency proceedings and their effects shall be that of … the ‘State of </w:t>
      </w:r>
      <w:r w:rsidR="00311057">
        <w:rPr>
          <w:rFonts w:ascii="Avenir Next" w:hAnsi="Avenir Next" w:cs="Arial"/>
          <w:i/>
          <w:iCs/>
          <w:color w:val="808080" w:themeColor="background1" w:themeShade="80"/>
          <w:sz w:val="22"/>
          <w:szCs w:val="22"/>
          <w:lang w:val="en-GB"/>
        </w:rPr>
        <w:t xml:space="preserve">opening of </w:t>
      </w:r>
      <w:r w:rsidR="00311057" w:rsidRPr="00311057">
        <w:rPr>
          <w:rFonts w:ascii="Avenir Next" w:hAnsi="Avenir Next" w:cs="Arial"/>
          <w:color w:val="808080" w:themeColor="background1" w:themeShade="80"/>
          <w:sz w:val="22"/>
          <w:szCs w:val="22"/>
          <w:lang w:val="en-GB"/>
        </w:rPr>
        <w:t>proceedings</w:t>
      </w:r>
      <w:r w:rsidR="00311057">
        <w:rPr>
          <w:rFonts w:ascii="Avenir Next" w:hAnsi="Avenir Next" w:cs="Arial"/>
          <w:color w:val="808080" w:themeColor="background1" w:themeShade="80"/>
          <w:sz w:val="22"/>
          <w:szCs w:val="22"/>
          <w:lang w:val="en-GB"/>
        </w:rPr>
        <w:t>”.</w:t>
      </w:r>
      <w:r w:rsidR="00306FF4">
        <w:rPr>
          <w:rFonts w:ascii="Avenir Next" w:hAnsi="Avenir Next" w:cs="Arial"/>
          <w:color w:val="808080" w:themeColor="background1" w:themeShade="80"/>
          <w:sz w:val="22"/>
          <w:szCs w:val="22"/>
          <w:lang w:val="en-GB"/>
        </w:rPr>
        <w:t xml:space="preserve"> Consequently, </w:t>
      </w:r>
      <w:r w:rsidR="00E071ED">
        <w:rPr>
          <w:rFonts w:ascii="Avenir Next" w:hAnsi="Avenir Next" w:cs="Arial"/>
          <w:color w:val="808080" w:themeColor="background1" w:themeShade="80"/>
          <w:sz w:val="22"/>
          <w:szCs w:val="22"/>
          <w:lang w:val="en-GB"/>
        </w:rPr>
        <w:t xml:space="preserve">the applicable law that would apply to </w:t>
      </w:r>
      <w:r w:rsidR="009A795E">
        <w:rPr>
          <w:rFonts w:ascii="Avenir Next" w:hAnsi="Avenir Next" w:cs="Arial"/>
          <w:color w:val="808080" w:themeColor="background1" w:themeShade="80"/>
          <w:sz w:val="22"/>
          <w:szCs w:val="22"/>
          <w:lang w:val="en-GB"/>
        </w:rPr>
        <w:t xml:space="preserve">govern the “main proceeding” </w:t>
      </w:r>
      <w:r w:rsidR="00486A37">
        <w:rPr>
          <w:rFonts w:ascii="Avenir Next" w:hAnsi="Avenir Next" w:cs="Arial"/>
          <w:color w:val="808080" w:themeColor="background1" w:themeShade="80"/>
          <w:sz w:val="22"/>
          <w:szCs w:val="22"/>
          <w:lang w:val="en-GB"/>
        </w:rPr>
        <w:t xml:space="preserve">opened in Italy </w:t>
      </w:r>
      <w:r w:rsidR="009A795E">
        <w:rPr>
          <w:rFonts w:ascii="Avenir Next" w:hAnsi="Avenir Next" w:cs="Arial"/>
          <w:color w:val="808080" w:themeColor="background1" w:themeShade="80"/>
          <w:sz w:val="22"/>
          <w:szCs w:val="22"/>
          <w:lang w:val="en-GB"/>
        </w:rPr>
        <w:t xml:space="preserve">would be </w:t>
      </w:r>
      <w:r w:rsidR="00D2006A">
        <w:rPr>
          <w:rFonts w:ascii="Avenir Next" w:hAnsi="Avenir Next" w:cs="Arial"/>
          <w:color w:val="808080" w:themeColor="background1" w:themeShade="80"/>
          <w:sz w:val="22"/>
          <w:szCs w:val="22"/>
          <w:lang w:val="en-GB"/>
        </w:rPr>
        <w:t>Italian law.</w:t>
      </w:r>
      <w:r w:rsidR="00566449">
        <w:rPr>
          <w:rFonts w:ascii="Avenir Next" w:hAnsi="Avenir Next" w:cs="Arial"/>
          <w:color w:val="808080" w:themeColor="background1" w:themeShade="80"/>
          <w:sz w:val="22"/>
          <w:szCs w:val="22"/>
          <w:lang w:val="en-GB"/>
        </w:rPr>
        <w:t>]</w:t>
      </w:r>
    </w:p>
    <w:p w14:paraId="3CABFE96" w14:textId="77777777" w:rsidR="00566449" w:rsidRPr="009F0C5A" w:rsidRDefault="00566449"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34451CB1" w:rsidR="002253D8" w:rsidRPr="002253D8" w:rsidRDefault="002253D8" w:rsidP="007815D1">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ED6B4F">
        <w:rPr>
          <w:rFonts w:ascii="Avenir Next" w:hAnsi="Avenir Next" w:cs="Arial"/>
          <w:color w:val="808080" w:themeColor="background1" w:themeShade="80"/>
          <w:sz w:val="22"/>
          <w:szCs w:val="22"/>
          <w:lang w:val="en-GB"/>
        </w:rPr>
        <w:t>No</w:t>
      </w:r>
      <w:r w:rsidR="0001649B">
        <w:rPr>
          <w:rFonts w:ascii="Avenir Next" w:hAnsi="Avenir Next" w:cs="Arial"/>
          <w:color w:val="808080" w:themeColor="background1" w:themeShade="80"/>
          <w:sz w:val="22"/>
          <w:szCs w:val="22"/>
          <w:lang w:val="en-GB"/>
        </w:rPr>
        <w:t>, the Indian, South African and Australian courts will not be eligible to apply the EU (Recast Insolvency Regulation</w:t>
      </w:r>
      <w:r w:rsidR="00ED6B4F">
        <w:rPr>
          <w:rFonts w:ascii="Avenir Next" w:hAnsi="Avenir Next" w:cs="Arial"/>
          <w:color w:val="808080" w:themeColor="background1" w:themeShade="80"/>
          <w:sz w:val="22"/>
          <w:szCs w:val="22"/>
          <w:lang w:val="en-GB"/>
        </w:rPr>
        <w:t xml:space="preserve">. The EU (Recast) Insolvency Regulation only applies to </w:t>
      </w:r>
      <w:r w:rsidR="002B0547">
        <w:rPr>
          <w:rFonts w:ascii="Avenir Next" w:hAnsi="Avenir Next" w:cs="Arial"/>
          <w:color w:val="808080" w:themeColor="background1" w:themeShade="80"/>
          <w:sz w:val="22"/>
          <w:szCs w:val="22"/>
          <w:lang w:val="en-GB"/>
        </w:rPr>
        <w:t>international insolvenc</w:t>
      </w:r>
      <w:r w:rsidR="007D4691">
        <w:rPr>
          <w:rFonts w:ascii="Avenir Next" w:hAnsi="Avenir Next" w:cs="Arial"/>
          <w:color w:val="808080" w:themeColor="background1" w:themeShade="80"/>
          <w:sz w:val="22"/>
          <w:szCs w:val="22"/>
          <w:lang w:val="en-GB"/>
        </w:rPr>
        <w:t>y proceedings</w:t>
      </w:r>
      <w:r w:rsidR="002B0547">
        <w:rPr>
          <w:rFonts w:ascii="Avenir Next" w:hAnsi="Avenir Next" w:cs="Arial"/>
          <w:color w:val="808080" w:themeColor="background1" w:themeShade="80"/>
          <w:sz w:val="22"/>
          <w:szCs w:val="22"/>
          <w:lang w:val="en-GB"/>
        </w:rPr>
        <w:t xml:space="preserve"> </w:t>
      </w:r>
      <w:r w:rsidR="00417A8D">
        <w:rPr>
          <w:rFonts w:ascii="Avenir Next" w:hAnsi="Avenir Next" w:cs="Arial"/>
          <w:color w:val="808080" w:themeColor="background1" w:themeShade="80"/>
          <w:sz w:val="22"/>
          <w:szCs w:val="22"/>
          <w:lang w:val="en-GB"/>
        </w:rPr>
        <w:t xml:space="preserve">commenced </w:t>
      </w:r>
      <w:r w:rsidR="002B0547">
        <w:rPr>
          <w:rFonts w:ascii="Avenir Next" w:hAnsi="Avenir Next" w:cs="Arial"/>
          <w:color w:val="808080" w:themeColor="background1" w:themeShade="80"/>
          <w:sz w:val="22"/>
          <w:szCs w:val="22"/>
          <w:lang w:val="en-GB"/>
        </w:rPr>
        <w:t xml:space="preserve">within </w:t>
      </w:r>
      <w:r w:rsidR="008A38F2">
        <w:rPr>
          <w:rFonts w:ascii="Avenir Next" w:hAnsi="Avenir Next" w:cs="Arial"/>
          <w:color w:val="808080" w:themeColor="background1" w:themeShade="80"/>
          <w:sz w:val="22"/>
          <w:szCs w:val="22"/>
          <w:lang w:val="en-GB"/>
        </w:rPr>
        <w:t>one of the</w:t>
      </w:r>
      <w:r w:rsidR="002B0547">
        <w:rPr>
          <w:rFonts w:ascii="Avenir Next" w:hAnsi="Avenir Next" w:cs="Arial"/>
          <w:color w:val="808080" w:themeColor="background1" w:themeShade="80"/>
          <w:sz w:val="22"/>
          <w:szCs w:val="22"/>
          <w:lang w:val="en-GB"/>
        </w:rPr>
        <w:t xml:space="preserve"> European Union</w:t>
      </w:r>
      <w:r w:rsidR="008A38F2">
        <w:rPr>
          <w:rFonts w:ascii="Avenir Next" w:hAnsi="Avenir Next" w:cs="Arial"/>
          <w:color w:val="808080" w:themeColor="background1" w:themeShade="80"/>
          <w:sz w:val="22"/>
          <w:szCs w:val="22"/>
          <w:lang w:val="en-GB"/>
        </w:rPr>
        <w:t>’s member states</w:t>
      </w:r>
      <w:r w:rsidR="00F5544C">
        <w:rPr>
          <w:rFonts w:ascii="Avenir Next" w:hAnsi="Avenir Next" w:cs="Arial"/>
          <w:color w:val="808080" w:themeColor="background1" w:themeShade="80"/>
          <w:sz w:val="22"/>
          <w:szCs w:val="22"/>
          <w:lang w:val="en-GB"/>
        </w:rPr>
        <w:t>, and can therefore only be applied by a member State of the European Union.</w:t>
      </w:r>
      <w:r w:rsidRPr="00DA42DA">
        <w:rPr>
          <w:rFonts w:ascii="Avenir Next" w:hAnsi="Avenir Next" w:cs="Arial"/>
          <w:color w:val="808080" w:themeColor="background1" w:themeShade="80"/>
          <w:sz w:val="22"/>
          <w:szCs w:val="22"/>
          <w:lang w:val="en-GB"/>
        </w:rPr>
        <w:t>]</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5E214883" w14:textId="2628370E" w:rsidR="0068346B" w:rsidRDefault="002253D8" w:rsidP="002253D8">
      <w:pPr>
        <w:ind w:firstLine="426"/>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EA25CA">
        <w:rPr>
          <w:rFonts w:ascii="Avenir Next" w:hAnsi="Avenir Next" w:cs="Arial"/>
          <w:color w:val="808080" w:themeColor="background1" w:themeShade="80"/>
          <w:sz w:val="22"/>
          <w:szCs w:val="22"/>
          <w:lang w:val="en-GB"/>
        </w:rPr>
        <w:t>Italian law will continue to apply to the insolvency proceeding opened in Italy</w:t>
      </w:r>
      <w:r w:rsidR="006210C2">
        <w:rPr>
          <w:rFonts w:ascii="Avenir Next" w:hAnsi="Avenir Next" w:cs="Arial"/>
          <w:color w:val="808080" w:themeColor="background1" w:themeShade="80"/>
          <w:sz w:val="22"/>
          <w:szCs w:val="22"/>
          <w:lang w:val="en-GB"/>
        </w:rPr>
        <w:t>. However, Italian</w:t>
      </w:r>
      <w:r w:rsidR="00461E42">
        <w:rPr>
          <w:rFonts w:ascii="Avenir Next" w:hAnsi="Avenir Next" w:cs="Arial"/>
          <w:color w:val="808080" w:themeColor="background1" w:themeShade="80"/>
          <w:sz w:val="22"/>
          <w:szCs w:val="22"/>
          <w:lang w:val="en-GB"/>
        </w:rPr>
        <w:t xml:space="preserve"> law does not have extraterritorial effect, and cannot</w:t>
      </w:r>
      <w:r w:rsidR="00167E8A">
        <w:rPr>
          <w:rFonts w:ascii="Avenir Next" w:hAnsi="Avenir Next" w:cs="Arial"/>
          <w:color w:val="808080" w:themeColor="background1" w:themeShade="80"/>
          <w:sz w:val="22"/>
          <w:szCs w:val="22"/>
          <w:lang w:val="en-GB"/>
        </w:rPr>
        <w:t xml:space="preserve"> govern the rights of security established under Dutch law in respect of the assets located in </w:t>
      </w:r>
      <w:r w:rsidR="00C11B34">
        <w:rPr>
          <w:rFonts w:ascii="Avenir Next" w:hAnsi="Avenir Next" w:cs="Arial"/>
          <w:color w:val="808080" w:themeColor="background1" w:themeShade="80"/>
          <w:sz w:val="22"/>
          <w:szCs w:val="22"/>
          <w:lang w:val="en-GB"/>
        </w:rPr>
        <w:t xml:space="preserve">Netherlands respectively. </w:t>
      </w:r>
    </w:p>
    <w:p w14:paraId="7B94F7B2" w14:textId="77777777" w:rsidR="0068346B" w:rsidRDefault="0068346B" w:rsidP="002253D8">
      <w:pPr>
        <w:ind w:firstLine="426"/>
        <w:jc w:val="both"/>
        <w:rPr>
          <w:rFonts w:ascii="Avenir Next" w:hAnsi="Avenir Next" w:cs="Arial"/>
          <w:color w:val="808080" w:themeColor="background1" w:themeShade="80"/>
          <w:sz w:val="22"/>
          <w:szCs w:val="22"/>
          <w:lang w:val="en-GB"/>
        </w:rPr>
      </w:pPr>
    </w:p>
    <w:p w14:paraId="13039970" w14:textId="6A01128C" w:rsidR="002253D8" w:rsidRPr="00DA42DA" w:rsidRDefault="00C11B34" w:rsidP="00EE07E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Consequently, </w:t>
      </w:r>
      <w:r w:rsidR="0068346B">
        <w:rPr>
          <w:rFonts w:ascii="Avenir Next" w:hAnsi="Avenir Next" w:cs="Arial"/>
          <w:color w:val="808080" w:themeColor="background1" w:themeShade="80"/>
          <w:sz w:val="22"/>
          <w:szCs w:val="22"/>
          <w:lang w:val="en-GB"/>
        </w:rPr>
        <w:t>Dutch law</w:t>
      </w:r>
      <w:r w:rsidR="00387C80">
        <w:rPr>
          <w:rFonts w:ascii="Avenir Next" w:hAnsi="Avenir Next" w:cs="Arial"/>
          <w:color w:val="808080" w:themeColor="background1" w:themeShade="80"/>
          <w:sz w:val="22"/>
          <w:szCs w:val="22"/>
          <w:lang w:val="en-GB"/>
        </w:rPr>
        <w:t xml:space="preserve"> as the </w:t>
      </w:r>
      <w:r w:rsidR="00387C80">
        <w:rPr>
          <w:rFonts w:ascii="Avenir Next" w:hAnsi="Avenir Next" w:cs="Arial"/>
          <w:i/>
          <w:iCs/>
          <w:color w:val="808080" w:themeColor="background1" w:themeShade="80"/>
          <w:sz w:val="22"/>
          <w:szCs w:val="22"/>
          <w:lang w:val="en-GB"/>
        </w:rPr>
        <w:t>lex rei situs</w:t>
      </w:r>
      <w:r w:rsidR="0068346B">
        <w:rPr>
          <w:rFonts w:ascii="Avenir Next" w:hAnsi="Avenir Next" w:cs="Arial"/>
          <w:color w:val="808080" w:themeColor="background1" w:themeShade="80"/>
          <w:sz w:val="22"/>
          <w:szCs w:val="22"/>
          <w:lang w:val="en-GB"/>
        </w:rPr>
        <w:t xml:space="preserve"> would apply in relation to</w:t>
      </w:r>
      <w:r w:rsidR="00B45EDB">
        <w:rPr>
          <w:rFonts w:ascii="Avenir Next" w:hAnsi="Avenir Next" w:cs="Arial"/>
          <w:color w:val="808080" w:themeColor="background1" w:themeShade="80"/>
          <w:sz w:val="22"/>
          <w:szCs w:val="22"/>
          <w:lang w:val="en-GB"/>
        </w:rPr>
        <w:t xml:space="preserve"> real</w:t>
      </w:r>
      <w:r w:rsidR="00B10FBB">
        <w:rPr>
          <w:rFonts w:ascii="Avenir Next" w:hAnsi="Avenir Next" w:cs="Arial"/>
          <w:color w:val="808080" w:themeColor="background1" w:themeShade="80"/>
          <w:sz w:val="22"/>
          <w:szCs w:val="22"/>
          <w:lang w:val="en-GB"/>
        </w:rPr>
        <w:t xml:space="preserve"> </w:t>
      </w:r>
      <w:r w:rsidR="0068346B">
        <w:rPr>
          <w:rFonts w:ascii="Avenir Next" w:hAnsi="Avenir Next" w:cs="Arial"/>
          <w:color w:val="808080" w:themeColor="background1" w:themeShade="80"/>
          <w:sz w:val="22"/>
          <w:szCs w:val="22"/>
          <w:lang w:val="en-GB"/>
        </w:rPr>
        <w:t>rights of</w:t>
      </w:r>
      <w:r w:rsidR="00B10FBB">
        <w:rPr>
          <w:rFonts w:ascii="Avenir Next" w:hAnsi="Avenir Next" w:cs="Arial"/>
          <w:color w:val="808080" w:themeColor="background1" w:themeShade="80"/>
          <w:sz w:val="22"/>
          <w:szCs w:val="22"/>
          <w:lang w:val="en-GB"/>
        </w:rPr>
        <w:t xml:space="preserve"> security </w:t>
      </w:r>
      <w:r w:rsidR="00DF3030">
        <w:rPr>
          <w:rFonts w:ascii="Avenir Next" w:hAnsi="Avenir Next" w:cs="Arial"/>
          <w:color w:val="808080" w:themeColor="background1" w:themeShade="80"/>
          <w:sz w:val="22"/>
          <w:szCs w:val="22"/>
          <w:lang w:val="en-GB"/>
        </w:rPr>
        <w:t xml:space="preserve">of assets </w:t>
      </w:r>
      <w:r w:rsidR="00EE07E8">
        <w:rPr>
          <w:rFonts w:ascii="Avenir Next" w:hAnsi="Avenir Next" w:cs="Arial"/>
          <w:color w:val="808080" w:themeColor="background1" w:themeShade="80"/>
          <w:sz w:val="22"/>
          <w:szCs w:val="22"/>
          <w:lang w:val="en-GB"/>
        </w:rPr>
        <w:t>located in</w:t>
      </w:r>
      <w:r w:rsidR="00B10FBB">
        <w:rPr>
          <w:rFonts w:ascii="Avenir Next" w:hAnsi="Avenir Next" w:cs="Arial"/>
          <w:color w:val="808080" w:themeColor="background1" w:themeShade="80"/>
          <w:sz w:val="22"/>
          <w:szCs w:val="22"/>
          <w:lang w:val="en-GB"/>
        </w:rPr>
        <w:t xml:space="preserve"> Netherlands</w:t>
      </w:r>
      <w:r w:rsidR="00214208">
        <w:rPr>
          <w:rFonts w:ascii="Avenir Next" w:hAnsi="Avenir Next" w:cs="Arial"/>
          <w:color w:val="808080" w:themeColor="background1" w:themeShade="80"/>
          <w:sz w:val="22"/>
          <w:szCs w:val="22"/>
          <w:lang w:val="en-GB"/>
        </w:rPr>
        <w:t>.</w:t>
      </w:r>
      <w:r w:rsidR="002253D8" w:rsidRPr="00DA42DA">
        <w:rPr>
          <w:rFonts w:ascii="Avenir Next" w:hAnsi="Avenir Next" w:cs="Arial"/>
          <w:color w:val="808080" w:themeColor="background1" w:themeShade="80"/>
          <w:sz w:val="22"/>
          <w:szCs w:val="22"/>
          <w:lang w:val="en-GB"/>
        </w:rPr>
        <w:t>]</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3C90A1DA" w14:textId="0E3F0EF3" w:rsidR="00162A1B" w:rsidRDefault="002253D8" w:rsidP="002253D8">
      <w:pPr>
        <w:ind w:firstLine="426"/>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4E5F64">
        <w:rPr>
          <w:rFonts w:ascii="Avenir Next" w:hAnsi="Avenir Next" w:cs="Arial"/>
          <w:color w:val="808080" w:themeColor="background1" w:themeShade="80"/>
          <w:sz w:val="22"/>
          <w:szCs w:val="22"/>
          <w:lang w:val="en-GB"/>
        </w:rPr>
        <w:t>If an insolvency proceeding is commenced in Australia,</w:t>
      </w:r>
      <w:r w:rsidR="00162A1B">
        <w:rPr>
          <w:rFonts w:ascii="Avenir Next" w:hAnsi="Avenir Next" w:cs="Arial"/>
          <w:color w:val="808080" w:themeColor="background1" w:themeShade="80"/>
          <w:sz w:val="22"/>
          <w:szCs w:val="22"/>
          <w:lang w:val="en-GB"/>
        </w:rPr>
        <w:t xml:space="preserve"> Australian law</w:t>
      </w:r>
      <w:r w:rsidR="0072154A">
        <w:rPr>
          <w:rFonts w:ascii="Avenir Next" w:hAnsi="Avenir Next" w:cs="Arial"/>
          <w:color w:val="808080" w:themeColor="background1" w:themeShade="80"/>
          <w:sz w:val="22"/>
          <w:szCs w:val="22"/>
          <w:lang w:val="en-GB"/>
        </w:rPr>
        <w:t xml:space="preserve"> would apply with regards to the insolvency proceeding. </w:t>
      </w:r>
    </w:p>
    <w:p w14:paraId="2EAFD13B" w14:textId="77777777" w:rsidR="00162A1B" w:rsidRDefault="00162A1B" w:rsidP="002253D8">
      <w:pPr>
        <w:ind w:firstLine="426"/>
        <w:jc w:val="both"/>
        <w:rPr>
          <w:rFonts w:ascii="Avenir Next" w:hAnsi="Avenir Next" w:cs="Arial"/>
          <w:color w:val="808080" w:themeColor="background1" w:themeShade="80"/>
          <w:sz w:val="22"/>
          <w:szCs w:val="22"/>
          <w:lang w:val="en-GB"/>
        </w:rPr>
      </w:pPr>
    </w:p>
    <w:p w14:paraId="5156B24B" w14:textId="6A9A0F54" w:rsidR="002253D8" w:rsidRPr="00DA42DA" w:rsidRDefault="00162A1B"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real rights of security</w:t>
      </w:r>
      <w:r w:rsidR="00387C80">
        <w:rPr>
          <w:rFonts w:ascii="Avenir Next" w:hAnsi="Avenir Next" w:cs="Arial"/>
          <w:color w:val="808080" w:themeColor="background1" w:themeShade="80"/>
          <w:sz w:val="22"/>
          <w:szCs w:val="22"/>
          <w:lang w:val="en-GB"/>
        </w:rPr>
        <w:t xml:space="preserve"> of assets</w:t>
      </w:r>
      <w:r>
        <w:rPr>
          <w:rFonts w:ascii="Avenir Next" w:hAnsi="Avenir Next" w:cs="Arial"/>
          <w:color w:val="808080" w:themeColor="background1" w:themeShade="80"/>
          <w:sz w:val="22"/>
          <w:szCs w:val="22"/>
          <w:lang w:val="en-GB"/>
        </w:rPr>
        <w:t xml:space="preserve"> situated in </w:t>
      </w:r>
      <w:r w:rsidR="00127540">
        <w:rPr>
          <w:rFonts w:ascii="Avenir Next" w:hAnsi="Avenir Next" w:cs="Arial"/>
          <w:color w:val="808080" w:themeColor="background1" w:themeShade="80"/>
          <w:sz w:val="22"/>
          <w:szCs w:val="22"/>
          <w:lang w:val="en-GB"/>
        </w:rPr>
        <w:t>Australia</w:t>
      </w:r>
      <w:r>
        <w:rPr>
          <w:rFonts w:ascii="Avenir Next" w:hAnsi="Avenir Next" w:cs="Arial"/>
          <w:color w:val="808080" w:themeColor="background1" w:themeShade="80"/>
          <w:sz w:val="22"/>
          <w:szCs w:val="22"/>
          <w:lang w:val="en-GB"/>
        </w:rPr>
        <w:t xml:space="preserve"> would </w:t>
      </w:r>
      <w:r w:rsidR="00B31B44">
        <w:rPr>
          <w:rFonts w:ascii="Avenir Next" w:hAnsi="Avenir Next" w:cs="Arial"/>
          <w:color w:val="808080" w:themeColor="background1" w:themeShade="80"/>
          <w:sz w:val="22"/>
          <w:szCs w:val="22"/>
          <w:lang w:val="en-GB"/>
        </w:rPr>
        <w:t>be</w:t>
      </w:r>
      <w:r w:rsidR="00387C80">
        <w:rPr>
          <w:rFonts w:ascii="Avenir Next" w:hAnsi="Avenir Next" w:cs="Arial"/>
          <w:color w:val="808080" w:themeColor="background1" w:themeShade="80"/>
          <w:sz w:val="22"/>
          <w:szCs w:val="22"/>
          <w:lang w:val="en-GB"/>
        </w:rPr>
        <w:t xml:space="preserve"> governed by</w:t>
      </w:r>
      <w:r w:rsidR="00B31B44">
        <w:rPr>
          <w:rFonts w:ascii="Avenir Next" w:hAnsi="Avenir Next" w:cs="Arial"/>
          <w:color w:val="808080" w:themeColor="background1" w:themeShade="80"/>
          <w:sz w:val="22"/>
          <w:szCs w:val="22"/>
          <w:lang w:val="en-GB"/>
        </w:rPr>
        <w:t xml:space="preserve"> Australian law, as the </w:t>
      </w:r>
      <w:r w:rsidR="00B31B44">
        <w:rPr>
          <w:rFonts w:ascii="Avenir Next" w:hAnsi="Avenir Next" w:cs="Arial"/>
          <w:i/>
          <w:iCs/>
          <w:color w:val="808080" w:themeColor="background1" w:themeShade="80"/>
          <w:sz w:val="22"/>
          <w:szCs w:val="22"/>
          <w:lang w:val="en-GB"/>
        </w:rPr>
        <w:t xml:space="preserve">lex </w:t>
      </w:r>
      <w:r w:rsidR="006032DC">
        <w:rPr>
          <w:rFonts w:ascii="Avenir Next" w:hAnsi="Avenir Next" w:cs="Arial"/>
          <w:i/>
          <w:iCs/>
          <w:color w:val="808080" w:themeColor="background1" w:themeShade="80"/>
          <w:sz w:val="22"/>
          <w:szCs w:val="22"/>
          <w:lang w:val="en-GB"/>
        </w:rPr>
        <w:t>rei situs</w:t>
      </w:r>
      <w:r w:rsidR="001D0F18">
        <w:rPr>
          <w:rFonts w:ascii="Avenir Next" w:hAnsi="Avenir Next" w:cs="Arial"/>
          <w:i/>
          <w:iCs/>
          <w:color w:val="808080" w:themeColor="background1" w:themeShade="80"/>
          <w:sz w:val="22"/>
          <w:szCs w:val="22"/>
          <w:lang w:val="en-GB"/>
        </w:rPr>
        <w:t>.</w:t>
      </w:r>
      <w:r w:rsidR="002253D8" w:rsidRPr="00DA42DA">
        <w:rPr>
          <w:rFonts w:ascii="Avenir Next" w:hAnsi="Avenir Next" w:cs="Arial"/>
          <w:color w:val="808080" w:themeColor="background1" w:themeShade="80"/>
          <w:sz w:val="22"/>
          <w:szCs w:val="22"/>
          <w:lang w:val="en-GB"/>
        </w:rPr>
        <w:t>]</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2B4E" w14:textId="77777777" w:rsidR="003739B6" w:rsidRDefault="003739B6" w:rsidP="00241B44">
      <w:r>
        <w:separator/>
      </w:r>
    </w:p>
  </w:endnote>
  <w:endnote w:type="continuationSeparator" w:id="0">
    <w:p w14:paraId="3B017708" w14:textId="77777777" w:rsidR="003739B6" w:rsidRDefault="003739B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00C66C03" w:rsidR="00B64A85" w:rsidRPr="00297BDF" w:rsidRDefault="0014646A" w:rsidP="0052732A">
    <w:pPr>
      <w:pStyle w:val="Footer"/>
      <w:ind w:right="360"/>
      <w:rPr>
        <w:rFonts w:ascii="Avenir Next" w:hAnsi="Avenir Next" w:cs="Arial"/>
        <w:sz w:val="22"/>
        <w:szCs w:val="22"/>
      </w:rPr>
    </w:pPr>
    <w:r>
      <w:rPr>
        <w:rFonts w:ascii="Avenir Next" w:hAnsi="Avenir Next" w:cs="Arial"/>
        <w:sz w:val="22"/>
        <w:szCs w:val="22"/>
      </w:rPr>
      <w:t>FC</w:t>
    </w:r>
    <w:r w:rsidR="00990E2D" w:rsidRPr="008D0F39">
      <w:rPr>
        <w:rFonts w:ascii="Avenir Next" w:hAnsi="Avenir Next" w:cs="Arial"/>
        <w:sz w:val="22"/>
        <w:szCs w:val="22"/>
      </w:rPr>
      <w:t>202324-1437</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C34C" w14:textId="77777777" w:rsidR="003739B6" w:rsidRDefault="003739B6" w:rsidP="00241B44">
      <w:r>
        <w:separator/>
      </w:r>
    </w:p>
  </w:footnote>
  <w:footnote w:type="continuationSeparator" w:id="0">
    <w:p w14:paraId="3D829C1C" w14:textId="77777777" w:rsidR="003739B6" w:rsidRDefault="003739B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656424"/>
    <w:multiLevelType w:val="hybridMultilevel"/>
    <w:tmpl w:val="0A06D7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1515EF8"/>
    <w:multiLevelType w:val="hybridMultilevel"/>
    <w:tmpl w:val="7FDA42BC"/>
    <w:lvl w:ilvl="0" w:tplc="1EBC5D9C">
      <w:start w:val="5"/>
      <w:numFmt w:val="bullet"/>
      <w:lvlText w:val="-"/>
      <w:lvlJc w:val="left"/>
      <w:pPr>
        <w:ind w:left="720" w:hanging="360"/>
      </w:pPr>
      <w:rPr>
        <w:rFonts w:ascii="Avenir Next" w:eastAsia="Times New Roman" w:hAnsi="Avenir Next"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26F27B0"/>
    <w:multiLevelType w:val="hybridMultilevel"/>
    <w:tmpl w:val="67BE4022"/>
    <w:lvl w:ilvl="0" w:tplc="5F3AC014">
      <w:start w:val="5"/>
      <w:numFmt w:val="bullet"/>
      <w:lvlText w:val="-"/>
      <w:lvlJc w:val="left"/>
      <w:pPr>
        <w:ind w:left="720" w:hanging="360"/>
      </w:pPr>
      <w:rPr>
        <w:rFonts w:ascii="Avenir Next" w:eastAsia="Times New Roman" w:hAnsi="Avenir Next"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2ECB540C"/>
    <w:multiLevelType w:val="hybridMultilevel"/>
    <w:tmpl w:val="E1D67DDA"/>
    <w:lvl w:ilvl="0" w:tplc="50D0B0AA">
      <w:start w:val="5"/>
      <w:numFmt w:val="bullet"/>
      <w:lvlText w:val="-"/>
      <w:lvlJc w:val="left"/>
      <w:pPr>
        <w:ind w:left="720" w:hanging="360"/>
      </w:pPr>
      <w:rPr>
        <w:rFonts w:ascii="Avenir Next" w:eastAsia="Times New Roman" w:hAnsi="Avenir Next"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7B15A9"/>
    <w:multiLevelType w:val="hybridMultilevel"/>
    <w:tmpl w:val="502C1C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30"/>
  </w:num>
  <w:num w:numId="2" w16cid:durableId="460732777">
    <w:abstractNumId w:val="36"/>
  </w:num>
  <w:num w:numId="3" w16cid:durableId="1558668659">
    <w:abstractNumId w:val="2"/>
  </w:num>
  <w:num w:numId="4" w16cid:durableId="737018892">
    <w:abstractNumId w:val="5"/>
  </w:num>
  <w:num w:numId="5" w16cid:durableId="1158809076">
    <w:abstractNumId w:val="25"/>
  </w:num>
  <w:num w:numId="6" w16cid:durableId="415711827">
    <w:abstractNumId w:val="32"/>
  </w:num>
  <w:num w:numId="7" w16cid:durableId="1401949473">
    <w:abstractNumId w:val="18"/>
  </w:num>
  <w:num w:numId="8" w16cid:durableId="269552992">
    <w:abstractNumId w:val="37"/>
  </w:num>
  <w:num w:numId="9" w16cid:durableId="1367413161">
    <w:abstractNumId w:val="17"/>
  </w:num>
  <w:num w:numId="10" w16cid:durableId="220823057">
    <w:abstractNumId w:val="33"/>
  </w:num>
  <w:num w:numId="11" w16cid:durableId="858086195">
    <w:abstractNumId w:val="14"/>
  </w:num>
  <w:num w:numId="12" w16cid:durableId="2144808366">
    <w:abstractNumId w:val="34"/>
  </w:num>
  <w:num w:numId="13" w16cid:durableId="1139104618">
    <w:abstractNumId w:val="24"/>
  </w:num>
  <w:num w:numId="14" w16cid:durableId="1203787949">
    <w:abstractNumId w:val="23"/>
  </w:num>
  <w:num w:numId="15" w16cid:durableId="1140149903">
    <w:abstractNumId w:val="8"/>
  </w:num>
  <w:num w:numId="16" w16cid:durableId="1714226930">
    <w:abstractNumId w:val="26"/>
  </w:num>
  <w:num w:numId="17" w16cid:durableId="1711415350">
    <w:abstractNumId w:val="21"/>
  </w:num>
  <w:num w:numId="18" w16cid:durableId="35542391">
    <w:abstractNumId w:val="22"/>
  </w:num>
  <w:num w:numId="19" w16cid:durableId="2050493181">
    <w:abstractNumId w:val="29"/>
  </w:num>
  <w:num w:numId="20" w16cid:durableId="1469859581">
    <w:abstractNumId w:val="12"/>
  </w:num>
  <w:num w:numId="21" w16cid:durableId="408573765">
    <w:abstractNumId w:val="20"/>
  </w:num>
  <w:num w:numId="22" w16cid:durableId="482936912">
    <w:abstractNumId w:val="0"/>
  </w:num>
  <w:num w:numId="23" w16cid:durableId="1308701288">
    <w:abstractNumId w:val="28"/>
  </w:num>
  <w:num w:numId="24" w16cid:durableId="1716081525">
    <w:abstractNumId w:val="1"/>
  </w:num>
  <w:num w:numId="25" w16cid:durableId="797064315">
    <w:abstractNumId w:val="35"/>
  </w:num>
  <w:num w:numId="26" w16cid:durableId="824904852">
    <w:abstractNumId w:val="38"/>
  </w:num>
  <w:num w:numId="27" w16cid:durableId="372002461">
    <w:abstractNumId w:val="11"/>
  </w:num>
  <w:num w:numId="28" w16cid:durableId="1256015074">
    <w:abstractNumId w:val="10"/>
  </w:num>
  <w:num w:numId="29" w16cid:durableId="1376738983">
    <w:abstractNumId w:val="9"/>
  </w:num>
  <w:num w:numId="30" w16cid:durableId="1903177138">
    <w:abstractNumId w:val="15"/>
  </w:num>
  <w:num w:numId="31" w16cid:durableId="1164859915">
    <w:abstractNumId w:val="4"/>
  </w:num>
  <w:num w:numId="32" w16cid:durableId="684208392">
    <w:abstractNumId w:val="19"/>
  </w:num>
  <w:num w:numId="33" w16cid:durableId="732118212">
    <w:abstractNumId w:val="27"/>
  </w:num>
  <w:num w:numId="34" w16cid:durableId="1912503881">
    <w:abstractNumId w:val="16"/>
  </w:num>
  <w:num w:numId="35" w16cid:durableId="1552887681">
    <w:abstractNumId w:val="7"/>
  </w:num>
  <w:num w:numId="36" w16cid:durableId="992371252">
    <w:abstractNumId w:val="13"/>
  </w:num>
  <w:num w:numId="37" w16cid:durableId="1144159667">
    <w:abstractNumId w:val="6"/>
  </w:num>
  <w:num w:numId="38" w16cid:durableId="996109226">
    <w:abstractNumId w:val="3"/>
  </w:num>
  <w:num w:numId="39" w16cid:durableId="222568955">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0EAD"/>
    <w:rsid w:val="00003D8F"/>
    <w:rsid w:val="0000420A"/>
    <w:rsid w:val="00004AE7"/>
    <w:rsid w:val="00007CB3"/>
    <w:rsid w:val="00010BA0"/>
    <w:rsid w:val="00011171"/>
    <w:rsid w:val="00011629"/>
    <w:rsid w:val="00012340"/>
    <w:rsid w:val="00015EE6"/>
    <w:rsid w:val="0001649B"/>
    <w:rsid w:val="000165C8"/>
    <w:rsid w:val="00020557"/>
    <w:rsid w:val="00020F50"/>
    <w:rsid w:val="0002322B"/>
    <w:rsid w:val="0002485D"/>
    <w:rsid w:val="000250C7"/>
    <w:rsid w:val="00025C83"/>
    <w:rsid w:val="00031918"/>
    <w:rsid w:val="000326C8"/>
    <w:rsid w:val="000329A6"/>
    <w:rsid w:val="00034C0C"/>
    <w:rsid w:val="00037621"/>
    <w:rsid w:val="000419D4"/>
    <w:rsid w:val="00043365"/>
    <w:rsid w:val="000436A6"/>
    <w:rsid w:val="000436F0"/>
    <w:rsid w:val="00043960"/>
    <w:rsid w:val="00044D46"/>
    <w:rsid w:val="00044FAF"/>
    <w:rsid w:val="00045088"/>
    <w:rsid w:val="000451AC"/>
    <w:rsid w:val="00045904"/>
    <w:rsid w:val="00045DC7"/>
    <w:rsid w:val="00046789"/>
    <w:rsid w:val="000474B0"/>
    <w:rsid w:val="00051062"/>
    <w:rsid w:val="000516FB"/>
    <w:rsid w:val="00051742"/>
    <w:rsid w:val="000521C4"/>
    <w:rsid w:val="00052A5E"/>
    <w:rsid w:val="0005310B"/>
    <w:rsid w:val="00054ACC"/>
    <w:rsid w:val="00054EC2"/>
    <w:rsid w:val="0005577F"/>
    <w:rsid w:val="00055EB9"/>
    <w:rsid w:val="00057BF2"/>
    <w:rsid w:val="0006130F"/>
    <w:rsid w:val="00062D42"/>
    <w:rsid w:val="00062E85"/>
    <w:rsid w:val="00063A6B"/>
    <w:rsid w:val="000649D1"/>
    <w:rsid w:val="00064C44"/>
    <w:rsid w:val="00065166"/>
    <w:rsid w:val="00066AE7"/>
    <w:rsid w:val="0007091D"/>
    <w:rsid w:val="00071DA4"/>
    <w:rsid w:val="00076483"/>
    <w:rsid w:val="00076C8B"/>
    <w:rsid w:val="00080757"/>
    <w:rsid w:val="00080FF6"/>
    <w:rsid w:val="0008155B"/>
    <w:rsid w:val="000815BB"/>
    <w:rsid w:val="00081A63"/>
    <w:rsid w:val="00082609"/>
    <w:rsid w:val="0008457E"/>
    <w:rsid w:val="000851CC"/>
    <w:rsid w:val="00085349"/>
    <w:rsid w:val="00085D4B"/>
    <w:rsid w:val="00086BDD"/>
    <w:rsid w:val="00090933"/>
    <w:rsid w:val="00091AC4"/>
    <w:rsid w:val="00092224"/>
    <w:rsid w:val="00092378"/>
    <w:rsid w:val="0009245C"/>
    <w:rsid w:val="00093BE8"/>
    <w:rsid w:val="00093FDA"/>
    <w:rsid w:val="00093FE2"/>
    <w:rsid w:val="0009471C"/>
    <w:rsid w:val="0009504E"/>
    <w:rsid w:val="00095E4A"/>
    <w:rsid w:val="00097337"/>
    <w:rsid w:val="000977DC"/>
    <w:rsid w:val="000A01B9"/>
    <w:rsid w:val="000A0C1B"/>
    <w:rsid w:val="000A155B"/>
    <w:rsid w:val="000A1DA2"/>
    <w:rsid w:val="000A68ED"/>
    <w:rsid w:val="000A74CA"/>
    <w:rsid w:val="000A74D4"/>
    <w:rsid w:val="000B27D0"/>
    <w:rsid w:val="000B5B93"/>
    <w:rsid w:val="000B5FF1"/>
    <w:rsid w:val="000B6043"/>
    <w:rsid w:val="000B609F"/>
    <w:rsid w:val="000B6B56"/>
    <w:rsid w:val="000C37F4"/>
    <w:rsid w:val="000D0C9F"/>
    <w:rsid w:val="000D42FA"/>
    <w:rsid w:val="000D5053"/>
    <w:rsid w:val="000D55A8"/>
    <w:rsid w:val="000D57BE"/>
    <w:rsid w:val="000D6876"/>
    <w:rsid w:val="000E0165"/>
    <w:rsid w:val="000E16FB"/>
    <w:rsid w:val="000E3A82"/>
    <w:rsid w:val="000E3C5A"/>
    <w:rsid w:val="000E406D"/>
    <w:rsid w:val="000E4841"/>
    <w:rsid w:val="000E5CB4"/>
    <w:rsid w:val="000E7F65"/>
    <w:rsid w:val="000F07C4"/>
    <w:rsid w:val="000F0DC0"/>
    <w:rsid w:val="000F0FFF"/>
    <w:rsid w:val="000F1677"/>
    <w:rsid w:val="000F3387"/>
    <w:rsid w:val="000F3D6C"/>
    <w:rsid w:val="000F3E45"/>
    <w:rsid w:val="000F4BB4"/>
    <w:rsid w:val="000F58B0"/>
    <w:rsid w:val="000F6359"/>
    <w:rsid w:val="0010086D"/>
    <w:rsid w:val="00100A77"/>
    <w:rsid w:val="00101707"/>
    <w:rsid w:val="00102F47"/>
    <w:rsid w:val="00105B31"/>
    <w:rsid w:val="00105CBD"/>
    <w:rsid w:val="00105E83"/>
    <w:rsid w:val="001107F2"/>
    <w:rsid w:val="00110E0C"/>
    <w:rsid w:val="001131C6"/>
    <w:rsid w:val="0011473D"/>
    <w:rsid w:val="00114A1A"/>
    <w:rsid w:val="00115C85"/>
    <w:rsid w:val="001174E6"/>
    <w:rsid w:val="00120AFD"/>
    <w:rsid w:val="00120B4D"/>
    <w:rsid w:val="001211B5"/>
    <w:rsid w:val="001211E6"/>
    <w:rsid w:val="0012303D"/>
    <w:rsid w:val="00123855"/>
    <w:rsid w:val="00124B70"/>
    <w:rsid w:val="00125A7C"/>
    <w:rsid w:val="00126A4D"/>
    <w:rsid w:val="00127540"/>
    <w:rsid w:val="00131D42"/>
    <w:rsid w:val="0013278B"/>
    <w:rsid w:val="001350C0"/>
    <w:rsid w:val="00135CFA"/>
    <w:rsid w:val="00135FFC"/>
    <w:rsid w:val="00136505"/>
    <w:rsid w:val="00137AC1"/>
    <w:rsid w:val="0014171F"/>
    <w:rsid w:val="00142E15"/>
    <w:rsid w:val="0014622C"/>
    <w:rsid w:val="0014646A"/>
    <w:rsid w:val="0015028F"/>
    <w:rsid w:val="00150E39"/>
    <w:rsid w:val="00150F6C"/>
    <w:rsid w:val="00151E35"/>
    <w:rsid w:val="00152348"/>
    <w:rsid w:val="0015328F"/>
    <w:rsid w:val="0015456D"/>
    <w:rsid w:val="00160989"/>
    <w:rsid w:val="00161DC8"/>
    <w:rsid w:val="00161F1B"/>
    <w:rsid w:val="001620AF"/>
    <w:rsid w:val="00162829"/>
    <w:rsid w:val="00162A1B"/>
    <w:rsid w:val="0016472D"/>
    <w:rsid w:val="00164B28"/>
    <w:rsid w:val="001677CC"/>
    <w:rsid w:val="00167E8A"/>
    <w:rsid w:val="001707D6"/>
    <w:rsid w:val="00170E38"/>
    <w:rsid w:val="0017117E"/>
    <w:rsid w:val="00173647"/>
    <w:rsid w:val="00180548"/>
    <w:rsid w:val="00180AC4"/>
    <w:rsid w:val="00180B1E"/>
    <w:rsid w:val="00180CCE"/>
    <w:rsid w:val="00181438"/>
    <w:rsid w:val="00181C44"/>
    <w:rsid w:val="0018267A"/>
    <w:rsid w:val="001826E6"/>
    <w:rsid w:val="00182779"/>
    <w:rsid w:val="001830DF"/>
    <w:rsid w:val="00183285"/>
    <w:rsid w:val="001833C2"/>
    <w:rsid w:val="001849B2"/>
    <w:rsid w:val="001869CD"/>
    <w:rsid w:val="00186C0D"/>
    <w:rsid w:val="0019354B"/>
    <w:rsid w:val="00193AB3"/>
    <w:rsid w:val="00193AD3"/>
    <w:rsid w:val="001966D9"/>
    <w:rsid w:val="00197963"/>
    <w:rsid w:val="001A620B"/>
    <w:rsid w:val="001A716A"/>
    <w:rsid w:val="001A7E9A"/>
    <w:rsid w:val="001A7ECF"/>
    <w:rsid w:val="001B0F70"/>
    <w:rsid w:val="001B3456"/>
    <w:rsid w:val="001B5016"/>
    <w:rsid w:val="001B6CEE"/>
    <w:rsid w:val="001B73BE"/>
    <w:rsid w:val="001C45FC"/>
    <w:rsid w:val="001C594A"/>
    <w:rsid w:val="001D0F18"/>
    <w:rsid w:val="001D1BF7"/>
    <w:rsid w:val="001D4862"/>
    <w:rsid w:val="001D632F"/>
    <w:rsid w:val="001D6829"/>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1E7"/>
    <w:rsid w:val="00202C2B"/>
    <w:rsid w:val="00205B31"/>
    <w:rsid w:val="00206B79"/>
    <w:rsid w:val="0020725B"/>
    <w:rsid w:val="0020730B"/>
    <w:rsid w:val="00212B14"/>
    <w:rsid w:val="00214208"/>
    <w:rsid w:val="00216499"/>
    <w:rsid w:val="002164B0"/>
    <w:rsid w:val="002164C0"/>
    <w:rsid w:val="00216CB4"/>
    <w:rsid w:val="002173C5"/>
    <w:rsid w:val="00222918"/>
    <w:rsid w:val="00223780"/>
    <w:rsid w:val="00224555"/>
    <w:rsid w:val="002253D8"/>
    <w:rsid w:val="0022719C"/>
    <w:rsid w:val="00227D84"/>
    <w:rsid w:val="00231611"/>
    <w:rsid w:val="00231CAE"/>
    <w:rsid w:val="00231F38"/>
    <w:rsid w:val="002362AB"/>
    <w:rsid w:val="002400DB"/>
    <w:rsid w:val="002406A4"/>
    <w:rsid w:val="0024116D"/>
    <w:rsid w:val="002413B8"/>
    <w:rsid w:val="00241AF4"/>
    <w:rsid w:val="00241B44"/>
    <w:rsid w:val="0024385B"/>
    <w:rsid w:val="00245317"/>
    <w:rsid w:val="00245EFB"/>
    <w:rsid w:val="00252610"/>
    <w:rsid w:val="002526C5"/>
    <w:rsid w:val="00252930"/>
    <w:rsid w:val="002529D2"/>
    <w:rsid w:val="0025386E"/>
    <w:rsid w:val="00254AB3"/>
    <w:rsid w:val="00255966"/>
    <w:rsid w:val="002638B0"/>
    <w:rsid w:val="0026510C"/>
    <w:rsid w:val="0026647A"/>
    <w:rsid w:val="002668D3"/>
    <w:rsid w:val="00266F17"/>
    <w:rsid w:val="002672D0"/>
    <w:rsid w:val="00270BD0"/>
    <w:rsid w:val="00270D04"/>
    <w:rsid w:val="0027242B"/>
    <w:rsid w:val="0027299F"/>
    <w:rsid w:val="00275182"/>
    <w:rsid w:val="00275946"/>
    <w:rsid w:val="00276414"/>
    <w:rsid w:val="00276675"/>
    <w:rsid w:val="00276FEA"/>
    <w:rsid w:val="002800F2"/>
    <w:rsid w:val="0028252D"/>
    <w:rsid w:val="00284EBE"/>
    <w:rsid w:val="00286720"/>
    <w:rsid w:val="002872E1"/>
    <w:rsid w:val="00287AA8"/>
    <w:rsid w:val="00287B2E"/>
    <w:rsid w:val="00287D4D"/>
    <w:rsid w:val="00290116"/>
    <w:rsid w:val="00292FE3"/>
    <w:rsid w:val="00293E1C"/>
    <w:rsid w:val="0029433F"/>
    <w:rsid w:val="00294829"/>
    <w:rsid w:val="0029520A"/>
    <w:rsid w:val="00295742"/>
    <w:rsid w:val="0029690F"/>
    <w:rsid w:val="00297288"/>
    <w:rsid w:val="00297BDF"/>
    <w:rsid w:val="002A1020"/>
    <w:rsid w:val="002A225B"/>
    <w:rsid w:val="002A2A60"/>
    <w:rsid w:val="002A3815"/>
    <w:rsid w:val="002A6646"/>
    <w:rsid w:val="002A74AB"/>
    <w:rsid w:val="002A7ECE"/>
    <w:rsid w:val="002B01BB"/>
    <w:rsid w:val="002B0496"/>
    <w:rsid w:val="002B0547"/>
    <w:rsid w:val="002B1C45"/>
    <w:rsid w:val="002B1DEB"/>
    <w:rsid w:val="002B2970"/>
    <w:rsid w:val="002B6FA8"/>
    <w:rsid w:val="002C084D"/>
    <w:rsid w:val="002C1227"/>
    <w:rsid w:val="002C13C8"/>
    <w:rsid w:val="002C259C"/>
    <w:rsid w:val="002C3547"/>
    <w:rsid w:val="002D0021"/>
    <w:rsid w:val="002D10A3"/>
    <w:rsid w:val="002D2356"/>
    <w:rsid w:val="002D26B3"/>
    <w:rsid w:val="002D295D"/>
    <w:rsid w:val="002D3473"/>
    <w:rsid w:val="002D3F43"/>
    <w:rsid w:val="002D7E0D"/>
    <w:rsid w:val="002E37B7"/>
    <w:rsid w:val="002E4984"/>
    <w:rsid w:val="002E4A02"/>
    <w:rsid w:val="002E4A1F"/>
    <w:rsid w:val="002E648A"/>
    <w:rsid w:val="002E66F4"/>
    <w:rsid w:val="002E7223"/>
    <w:rsid w:val="002F0724"/>
    <w:rsid w:val="002F14C5"/>
    <w:rsid w:val="002F1956"/>
    <w:rsid w:val="002F2B8D"/>
    <w:rsid w:val="002F3440"/>
    <w:rsid w:val="002F3B17"/>
    <w:rsid w:val="002F5876"/>
    <w:rsid w:val="002F5DD8"/>
    <w:rsid w:val="002F75A3"/>
    <w:rsid w:val="002F75CD"/>
    <w:rsid w:val="002F7EB5"/>
    <w:rsid w:val="0030201F"/>
    <w:rsid w:val="00303C2F"/>
    <w:rsid w:val="00305342"/>
    <w:rsid w:val="0030558B"/>
    <w:rsid w:val="00306E87"/>
    <w:rsid w:val="00306FF4"/>
    <w:rsid w:val="00310FC2"/>
    <w:rsid w:val="00311057"/>
    <w:rsid w:val="003134B4"/>
    <w:rsid w:val="003144EF"/>
    <w:rsid w:val="003235FF"/>
    <w:rsid w:val="0032538A"/>
    <w:rsid w:val="00326292"/>
    <w:rsid w:val="00326415"/>
    <w:rsid w:val="00326975"/>
    <w:rsid w:val="00330937"/>
    <w:rsid w:val="00330F31"/>
    <w:rsid w:val="003326F0"/>
    <w:rsid w:val="003338D9"/>
    <w:rsid w:val="00334648"/>
    <w:rsid w:val="003363A8"/>
    <w:rsid w:val="00336CA6"/>
    <w:rsid w:val="0033768C"/>
    <w:rsid w:val="00337938"/>
    <w:rsid w:val="00340769"/>
    <w:rsid w:val="00341A65"/>
    <w:rsid w:val="00341AA6"/>
    <w:rsid w:val="00342CB2"/>
    <w:rsid w:val="00342E57"/>
    <w:rsid w:val="00345DF5"/>
    <w:rsid w:val="003500E5"/>
    <w:rsid w:val="00355B57"/>
    <w:rsid w:val="00361A0A"/>
    <w:rsid w:val="00361DF9"/>
    <w:rsid w:val="003622B2"/>
    <w:rsid w:val="00363D71"/>
    <w:rsid w:val="0036565C"/>
    <w:rsid w:val="0036625E"/>
    <w:rsid w:val="00366688"/>
    <w:rsid w:val="00367162"/>
    <w:rsid w:val="00372CD4"/>
    <w:rsid w:val="0037386C"/>
    <w:rsid w:val="003739B6"/>
    <w:rsid w:val="0037465A"/>
    <w:rsid w:val="0038011F"/>
    <w:rsid w:val="0038255B"/>
    <w:rsid w:val="00382C98"/>
    <w:rsid w:val="0038325E"/>
    <w:rsid w:val="00384604"/>
    <w:rsid w:val="00384E3D"/>
    <w:rsid w:val="00384F24"/>
    <w:rsid w:val="00385041"/>
    <w:rsid w:val="0038533C"/>
    <w:rsid w:val="00385D73"/>
    <w:rsid w:val="00387C80"/>
    <w:rsid w:val="00391B12"/>
    <w:rsid w:val="003937B9"/>
    <w:rsid w:val="003948D5"/>
    <w:rsid w:val="003957FD"/>
    <w:rsid w:val="003960AE"/>
    <w:rsid w:val="00396821"/>
    <w:rsid w:val="00396CE5"/>
    <w:rsid w:val="00397081"/>
    <w:rsid w:val="003979A3"/>
    <w:rsid w:val="00397D3A"/>
    <w:rsid w:val="003A00FE"/>
    <w:rsid w:val="003A051E"/>
    <w:rsid w:val="003A0BBE"/>
    <w:rsid w:val="003A2448"/>
    <w:rsid w:val="003A2F5D"/>
    <w:rsid w:val="003A3128"/>
    <w:rsid w:val="003A5AD1"/>
    <w:rsid w:val="003A60FF"/>
    <w:rsid w:val="003A696A"/>
    <w:rsid w:val="003A7AA7"/>
    <w:rsid w:val="003B170F"/>
    <w:rsid w:val="003B254A"/>
    <w:rsid w:val="003B3A0D"/>
    <w:rsid w:val="003B3C5F"/>
    <w:rsid w:val="003B6A82"/>
    <w:rsid w:val="003B6D60"/>
    <w:rsid w:val="003C1451"/>
    <w:rsid w:val="003C2017"/>
    <w:rsid w:val="003C4471"/>
    <w:rsid w:val="003C473E"/>
    <w:rsid w:val="003C7CE3"/>
    <w:rsid w:val="003D0A6D"/>
    <w:rsid w:val="003D100A"/>
    <w:rsid w:val="003D3045"/>
    <w:rsid w:val="003D3410"/>
    <w:rsid w:val="003D37DA"/>
    <w:rsid w:val="003D4300"/>
    <w:rsid w:val="003D485F"/>
    <w:rsid w:val="003D6AC4"/>
    <w:rsid w:val="003D7A3A"/>
    <w:rsid w:val="003D7B57"/>
    <w:rsid w:val="003E004D"/>
    <w:rsid w:val="003E064D"/>
    <w:rsid w:val="003E0B16"/>
    <w:rsid w:val="003E20F9"/>
    <w:rsid w:val="003E2D1B"/>
    <w:rsid w:val="003E2E7C"/>
    <w:rsid w:val="003E67D1"/>
    <w:rsid w:val="003E6BD0"/>
    <w:rsid w:val="003F0B80"/>
    <w:rsid w:val="003F500E"/>
    <w:rsid w:val="003F655E"/>
    <w:rsid w:val="003F74D9"/>
    <w:rsid w:val="003F7963"/>
    <w:rsid w:val="00400920"/>
    <w:rsid w:val="00403F09"/>
    <w:rsid w:val="00404210"/>
    <w:rsid w:val="00404EF7"/>
    <w:rsid w:val="00405DC1"/>
    <w:rsid w:val="00411E1B"/>
    <w:rsid w:val="00414BF9"/>
    <w:rsid w:val="00415DFF"/>
    <w:rsid w:val="00415F1F"/>
    <w:rsid w:val="0041676B"/>
    <w:rsid w:val="004174FA"/>
    <w:rsid w:val="00417A8D"/>
    <w:rsid w:val="0042108F"/>
    <w:rsid w:val="004214D4"/>
    <w:rsid w:val="004216EA"/>
    <w:rsid w:val="004235F4"/>
    <w:rsid w:val="004265EF"/>
    <w:rsid w:val="0042688E"/>
    <w:rsid w:val="00426969"/>
    <w:rsid w:val="00426A9B"/>
    <w:rsid w:val="00426B64"/>
    <w:rsid w:val="00430FED"/>
    <w:rsid w:val="004318E5"/>
    <w:rsid w:val="0043286F"/>
    <w:rsid w:val="00434A8C"/>
    <w:rsid w:val="00437297"/>
    <w:rsid w:val="00437ABE"/>
    <w:rsid w:val="00440AC5"/>
    <w:rsid w:val="00440EDD"/>
    <w:rsid w:val="004417C1"/>
    <w:rsid w:val="00444284"/>
    <w:rsid w:val="004442F1"/>
    <w:rsid w:val="00445514"/>
    <w:rsid w:val="00445CE6"/>
    <w:rsid w:val="00446987"/>
    <w:rsid w:val="00447E1D"/>
    <w:rsid w:val="004534C2"/>
    <w:rsid w:val="00453967"/>
    <w:rsid w:val="0045446F"/>
    <w:rsid w:val="00454C9D"/>
    <w:rsid w:val="0045683E"/>
    <w:rsid w:val="00457931"/>
    <w:rsid w:val="0046142D"/>
    <w:rsid w:val="00461E42"/>
    <w:rsid w:val="0046274F"/>
    <w:rsid w:val="0046298C"/>
    <w:rsid w:val="00463259"/>
    <w:rsid w:val="004645DE"/>
    <w:rsid w:val="00464F21"/>
    <w:rsid w:val="004659E0"/>
    <w:rsid w:val="00466ED6"/>
    <w:rsid w:val="00467C71"/>
    <w:rsid w:val="0047084C"/>
    <w:rsid w:val="00470A63"/>
    <w:rsid w:val="00470C55"/>
    <w:rsid w:val="004715C1"/>
    <w:rsid w:val="004731F4"/>
    <w:rsid w:val="004773A4"/>
    <w:rsid w:val="00481088"/>
    <w:rsid w:val="00481FC8"/>
    <w:rsid w:val="00482337"/>
    <w:rsid w:val="0048258B"/>
    <w:rsid w:val="004827A3"/>
    <w:rsid w:val="00482FE3"/>
    <w:rsid w:val="00484689"/>
    <w:rsid w:val="004859A1"/>
    <w:rsid w:val="00485F46"/>
    <w:rsid w:val="00486065"/>
    <w:rsid w:val="00486776"/>
    <w:rsid w:val="004868BB"/>
    <w:rsid w:val="00486A37"/>
    <w:rsid w:val="00491675"/>
    <w:rsid w:val="00493855"/>
    <w:rsid w:val="004952C4"/>
    <w:rsid w:val="00497558"/>
    <w:rsid w:val="00497CF9"/>
    <w:rsid w:val="004A015E"/>
    <w:rsid w:val="004A27CB"/>
    <w:rsid w:val="004A2B2C"/>
    <w:rsid w:val="004A57DD"/>
    <w:rsid w:val="004A7B51"/>
    <w:rsid w:val="004A7D71"/>
    <w:rsid w:val="004A7EF3"/>
    <w:rsid w:val="004B0EBE"/>
    <w:rsid w:val="004B10C5"/>
    <w:rsid w:val="004B11FD"/>
    <w:rsid w:val="004B23A2"/>
    <w:rsid w:val="004B25E4"/>
    <w:rsid w:val="004B428D"/>
    <w:rsid w:val="004B5407"/>
    <w:rsid w:val="004B607C"/>
    <w:rsid w:val="004B62C8"/>
    <w:rsid w:val="004C041A"/>
    <w:rsid w:val="004C1DA6"/>
    <w:rsid w:val="004C1FCA"/>
    <w:rsid w:val="004C25B4"/>
    <w:rsid w:val="004C5E4F"/>
    <w:rsid w:val="004C7030"/>
    <w:rsid w:val="004D1A5A"/>
    <w:rsid w:val="004D26B0"/>
    <w:rsid w:val="004D2E7E"/>
    <w:rsid w:val="004D2FFF"/>
    <w:rsid w:val="004D3721"/>
    <w:rsid w:val="004D3BE3"/>
    <w:rsid w:val="004D64F9"/>
    <w:rsid w:val="004D687E"/>
    <w:rsid w:val="004D744C"/>
    <w:rsid w:val="004D7716"/>
    <w:rsid w:val="004E1D03"/>
    <w:rsid w:val="004E23BE"/>
    <w:rsid w:val="004E3528"/>
    <w:rsid w:val="004E3B70"/>
    <w:rsid w:val="004E4224"/>
    <w:rsid w:val="004E57FA"/>
    <w:rsid w:val="004E5A14"/>
    <w:rsid w:val="004E5F64"/>
    <w:rsid w:val="004E622C"/>
    <w:rsid w:val="004E64DB"/>
    <w:rsid w:val="004E77E0"/>
    <w:rsid w:val="004F1534"/>
    <w:rsid w:val="004F2492"/>
    <w:rsid w:val="004F2DD1"/>
    <w:rsid w:val="004F301B"/>
    <w:rsid w:val="004F3375"/>
    <w:rsid w:val="004F3F1F"/>
    <w:rsid w:val="004F55F1"/>
    <w:rsid w:val="004F5FDF"/>
    <w:rsid w:val="004F7091"/>
    <w:rsid w:val="0050156C"/>
    <w:rsid w:val="00501EA5"/>
    <w:rsid w:val="00504AFA"/>
    <w:rsid w:val="005059A4"/>
    <w:rsid w:val="00515756"/>
    <w:rsid w:val="00515F63"/>
    <w:rsid w:val="005177FE"/>
    <w:rsid w:val="0052073E"/>
    <w:rsid w:val="0052263B"/>
    <w:rsid w:val="00522BD6"/>
    <w:rsid w:val="00524728"/>
    <w:rsid w:val="00524840"/>
    <w:rsid w:val="00525459"/>
    <w:rsid w:val="00525C99"/>
    <w:rsid w:val="0052732A"/>
    <w:rsid w:val="00527527"/>
    <w:rsid w:val="005277A0"/>
    <w:rsid w:val="00530010"/>
    <w:rsid w:val="00530CA0"/>
    <w:rsid w:val="00532283"/>
    <w:rsid w:val="005323A7"/>
    <w:rsid w:val="005331CA"/>
    <w:rsid w:val="005337E0"/>
    <w:rsid w:val="0053523A"/>
    <w:rsid w:val="00537970"/>
    <w:rsid w:val="00540A00"/>
    <w:rsid w:val="00540E3A"/>
    <w:rsid w:val="00542E08"/>
    <w:rsid w:val="005433D7"/>
    <w:rsid w:val="00543941"/>
    <w:rsid w:val="00544127"/>
    <w:rsid w:val="0054659A"/>
    <w:rsid w:val="005508BB"/>
    <w:rsid w:val="00552A73"/>
    <w:rsid w:val="00553EB2"/>
    <w:rsid w:val="00555B38"/>
    <w:rsid w:val="00555C4D"/>
    <w:rsid w:val="00556F86"/>
    <w:rsid w:val="00557608"/>
    <w:rsid w:val="00560534"/>
    <w:rsid w:val="0056391B"/>
    <w:rsid w:val="005650E2"/>
    <w:rsid w:val="00565EC3"/>
    <w:rsid w:val="00566449"/>
    <w:rsid w:val="00566AFE"/>
    <w:rsid w:val="00566D80"/>
    <w:rsid w:val="00567AD7"/>
    <w:rsid w:val="00570325"/>
    <w:rsid w:val="005716C3"/>
    <w:rsid w:val="00571A04"/>
    <w:rsid w:val="00573594"/>
    <w:rsid w:val="00575B2D"/>
    <w:rsid w:val="005800D0"/>
    <w:rsid w:val="0058254A"/>
    <w:rsid w:val="005833D0"/>
    <w:rsid w:val="005842FF"/>
    <w:rsid w:val="005846F3"/>
    <w:rsid w:val="005859D2"/>
    <w:rsid w:val="00585E90"/>
    <w:rsid w:val="0058622F"/>
    <w:rsid w:val="005865D6"/>
    <w:rsid w:val="00586968"/>
    <w:rsid w:val="00590880"/>
    <w:rsid w:val="00590FE6"/>
    <w:rsid w:val="00591631"/>
    <w:rsid w:val="00592E7F"/>
    <w:rsid w:val="00592F82"/>
    <w:rsid w:val="005936B3"/>
    <w:rsid w:val="005953ED"/>
    <w:rsid w:val="00595B58"/>
    <w:rsid w:val="005966E3"/>
    <w:rsid w:val="00597531"/>
    <w:rsid w:val="005A0CCA"/>
    <w:rsid w:val="005A12B2"/>
    <w:rsid w:val="005A2152"/>
    <w:rsid w:val="005A2194"/>
    <w:rsid w:val="005A2628"/>
    <w:rsid w:val="005A383D"/>
    <w:rsid w:val="005A43F4"/>
    <w:rsid w:val="005A4B73"/>
    <w:rsid w:val="005A5ACB"/>
    <w:rsid w:val="005A726D"/>
    <w:rsid w:val="005B0BB2"/>
    <w:rsid w:val="005B1440"/>
    <w:rsid w:val="005B2AA0"/>
    <w:rsid w:val="005B2E5E"/>
    <w:rsid w:val="005B503A"/>
    <w:rsid w:val="005B5135"/>
    <w:rsid w:val="005B67AC"/>
    <w:rsid w:val="005C01B0"/>
    <w:rsid w:val="005C1DC0"/>
    <w:rsid w:val="005C236F"/>
    <w:rsid w:val="005C2790"/>
    <w:rsid w:val="005C36E9"/>
    <w:rsid w:val="005C3B3A"/>
    <w:rsid w:val="005C41CF"/>
    <w:rsid w:val="005C4FF2"/>
    <w:rsid w:val="005C5793"/>
    <w:rsid w:val="005C5846"/>
    <w:rsid w:val="005C65CB"/>
    <w:rsid w:val="005C6778"/>
    <w:rsid w:val="005C73CA"/>
    <w:rsid w:val="005D0511"/>
    <w:rsid w:val="005D0F40"/>
    <w:rsid w:val="005D3437"/>
    <w:rsid w:val="005D43E0"/>
    <w:rsid w:val="005D5579"/>
    <w:rsid w:val="005D58A3"/>
    <w:rsid w:val="005D5FD0"/>
    <w:rsid w:val="005D72F3"/>
    <w:rsid w:val="005E1B79"/>
    <w:rsid w:val="005E1EA8"/>
    <w:rsid w:val="005E2B20"/>
    <w:rsid w:val="005E30FE"/>
    <w:rsid w:val="005E4F96"/>
    <w:rsid w:val="005E5A66"/>
    <w:rsid w:val="005E605E"/>
    <w:rsid w:val="005E645E"/>
    <w:rsid w:val="005F026D"/>
    <w:rsid w:val="005F0764"/>
    <w:rsid w:val="005F19FA"/>
    <w:rsid w:val="005F2320"/>
    <w:rsid w:val="005F244F"/>
    <w:rsid w:val="005F2D0B"/>
    <w:rsid w:val="005F4184"/>
    <w:rsid w:val="005F453F"/>
    <w:rsid w:val="005F4B31"/>
    <w:rsid w:val="005F5449"/>
    <w:rsid w:val="005F6059"/>
    <w:rsid w:val="006032DC"/>
    <w:rsid w:val="0060397D"/>
    <w:rsid w:val="00604723"/>
    <w:rsid w:val="00605BDC"/>
    <w:rsid w:val="00610388"/>
    <w:rsid w:val="00612092"/>
    <w:rsid w:val="00612CA5"/>
    <w:rsid w:val="00614858"/>
    <w:rsid w:val="006153EC"/>
    <w:rsid w:val="00616E52"/>
    <w:rsid w:val="006208BB"/>
    <w:rsid w:val="006210C2"/>
    <w:rsid w:val="00621A17"/>
    <w:rsid w:val="00621B70"/>
    <w:rsid w:val="0062260C"/>
    <w:rsid w:val="00625A54"/>
    <w:rsid w:val="00627CC9"/>
    <w:rsid w:val="00627E7B"/>
    <w:rsid w:val="00630542"/>
    <w:rsid w:val="00630727"/>
    <w:rsid w:val="0063099F"/>
    <w:rsid w:val="00631E7B"/>
    <w:rsid w:val="00632E44"/>
    <w:rsid w:val="0063316D"/>
    <w:rsid w:val="00633DC9"/>
    <w:rsid w:val="00634622"/>
    <w:rsid w:val="00636808"/>
    <w:rsid w:val="00636D95"/>
    <w:rsid w:val="0064043F"/>
    <w:rsid w:val="00641515"/>
    <w:rsid w:val="0064169B"/>
    <w:rsid w:val="00643A46"/>
    <w:rsid w:val="00643ABE"/>
    <w:rsid w:val="00646108"/>
    <w:rsid w:val="006514CD"/>
    <w:rsid w:val="00651E87"/>
    <w:rsid w:val="006521CD"/>
    <w:rsid w:val="00652A22"/>
    <w:rsid w:val="00653584"/>
    <w:rsid w:val="00654C2F"/>
    <w:rsid w:val="00655438"/>
    <w:rsid w:val="006559BB"/>
    <w:rsid w:val="00657087"/>
    <w:rsid w:val="0065715A"/>
    <w:rsid w:val="006578EC"/>
    <w:rsid w:val="00663575"/>
    <w:rsid w:val="006643E7"/>
    <w:rsid w:val="006661EF"/>
    <w:rsid w:val="006715E9"/>
    <w:rsid w:val="006746CB"/>
    <w:rsid w:val="00677AEB"/>
    <w:rsid w:val="00677D0A"/>
    <w:rsid w:val="00680EF2"/>
    <w:rsid w:val="00682663"/>
    <w:rsid w:val="00682A3E"/>
    <w:rsid w:val="0068346B"/>
    <w:rsid w:val="006850AE"/>
    <w:rsid w:val="00686C53"/>
    <w:rsid w:val="00687A1D"/>
    <w:rsid w:val="00690F51"/>
    <w:rsid w:val="00692852"/>
    <w:rsid w:val="00694D35"/>
    <w:rsid w:val="00695A40"/>
    <w:rsid w:val="006978CB"/>
    <w:rsid w:val="00697EA1"/>
    <w:rsid w:val="006A051A"/>
    <w:rsid w:val="006A2646"/>
    <w:rsid w:val="006A351D"/>
    <w:rsid w:val="006A44B2"/>
    <w:rsid w:val="006A5DD0"/>
    <w:rsid w:val="006A6530"/>
    <w:rsid w:val="006A695F"/>
    <w:rsid w:val="006A6D1D"/>
    <w:rsid w:val="006B2893"/>
    <w:rsid w:val="006B2934"/>
    <w:rsid w:val="006B37B2"/>
    <w:rsid w:val="006B435A"/>
    <w:rsid w:val="006B4539"/>
    <w:rsid w:val="006B4C64"/>
    <w:rsid w:val="006B5AE8"/>
    <w:rsid w:val="006C1FB4"/>
    <w:rsid w:val="006C3096"/>
    <w:rsid w:val="006C5CE2"/>
    <w:rsid w:val="006D03F7"/>
    <w:rsid w:val="006D0529"/>
    <w:rsid w:val="006D0605"/>
    <w:rsid w:val="006D176A"/>
    <w:rsid w:val="006D4EF5"/>
    <w:rsid w:val="006D564C"/>
    <w:rsid w:val="006D6BD5"/>
    <w:rsid w:val="006D79E4"/>
    <w:rsid w:val="006E060F"/>
    <w:rsid w:val="006E1CB0"/>
    <w:rsid w:val="006E254C"/>
    <w:rsid w:val="006E2974"/>
    <w:rsid w:val="006E45EE"/>
    <w:rsid w:val="006E481A"/>
    <w:rsid w:val="006E5298"/>
    <w:rsid w:val="006E6A1F"/>
    <w:rsid w:val="006E6A6A"/>
    <w:rsid w:val="006E77B0"/>
    <w:rsid w:val="006F18EB"/>
    <w:rsid w:val="006F2E9B"/>
    <w:rsid w:val="006F6B2E"/>
    <w:rsid w:val="006F734A"/>
    <w:rsid w:val="00700D83"/>
    <w:rsid w:val="007045E5"/>
    <w:rsid w:val="00704852"/>
    <w:rsid w:val="00704C24"/>
    <w:rsid w:val="00705A77"/>
    <w:rsid w:val="00707321"/>
    <w:rsid w:val="007074E9"/>
    <w:rsid w:val="00707954"/>
    <w:rsid w:val="00707BC5"/>
    <w:rsid w:val="00710367"/>
    <w:rsid w:val="00713CA6"/>
    <w:rsid w:val="00713DA4"/>
    <w:rsid w:val="007142FA"/>
    <w:rsid w:val="00714BF1"/>
    <w:rsid w:val="00714EB3"/>
    <w:rsid w:val="00721137"/>
    <w:rsid w:val="00721383"/>
    <w:rsid w:val="0072154A"/>
    <w:rsid w:val="007216AD"/>
    <w:rsid w:val="00724652"/>
    <w:rsid w:val="00726E9A"/>
    <w:rsid w:val="00727864"/>
    <w:rsid w:val="007333CC"/>
    <w:rsid w:val="007335D8"/>
    <w:rsid w:val="0073399A"/>
    <w:rsid w:val="00734FD4"/>
    <w:rsid w:val="007369C7"/>
    <w:rsid w:val="00741BCD"/>
    <w:rsid w:val="00741D74"/>
    <w:rsid w:val="00742C8B"/>
    <w:rsid w:val="00742F94"/>
    <w:rsid w:val="00743531"/>
    <w:rsid w:val="00744E67"/>
    <w:rsid w:val="007452BB"/>
    <w:rsid w:val="00745A5B"/>
    <w:rsid w:val="007462D9"/>
    <w:rsid w:val="00746A22"/>
    <w:rsid w:val="00747E02"/>
    <w:rsid w:val="00751986"/>
    <w:rsid w:val="00752767"/>
    <w:rsid w:val="0075428A"/>
    <w:rsid w:val="00756ABD"/>
    <w:rsid w:val="007576A3"/>
    <w:rsid w:val="007603F5"/>
    <w:rsid w:val="00760A70"/>
    <w:rsid w:val="00760BB2"/>
    <w:rsid w:val="0076181C"/>
    <w:rsid w:val="007627CC"/>
    <w:rsid w:val="00764DB0"/>
    <w:rsid w:val="00765D82"/>
    <w:rsid w:val="007671EB"/>
    <w:rsid w:val="0076764D"/>
    <w:rsid w:val="0076766F"/>
    <w:rsid w:val="00767AED"/>
    <w:rsid w:val="00770DF5"/>
    <w:rsid w:val="00772072"/>
    <w:rsid w:val="0077498C"/>
    <w:rsid w:val="007750FA"/>
    <w:rsid w:val="00777070"/>
    <w:rsid w:val="00780599"/>
    <w:rsid w:val="007815D1"/>
    <w:rsid w:val="00782B3F"/>
    <w:rsid w:val="007833E6"/>
    <w:rsid w:val="00784128"/>
    <w:rsid w:val="007849D8"/>
    <w:rsid w:val="0078662F"/>
    <w:rsid w:val="00787718"/>
    <w:rsid w:val="00787E80"/>
    <w:rsid w:val="00790B4C"/>
    <w:rsid w:val="0079206E"/>
    <w:rsid w:val="00793173"/>
    <w:rsid w:val="007958F0"/>
    <w:rsid w:val="00797E1B"/>
    <w:rsid w:val="007A12A4"/>
    <w:rsid w:val="007A3F11"/>
    <w:rsid w:val="007B1E13"/>
    <w:rsid w:val="007B3B1B"/>
    <w:rsid w:val="007B5180"/>
    <w:rsid w:val="007B5F0B"/>
    <w:rsid w:val="007C0111"/>
    <w:rsid w:val="007C0260"/>
    <w:rsid w:val="007C0663"/>
    <w:rsid w:val="007C18CE"/>
    <w:rsid w:val="007C18D7"/>
    <w:rsid w:val="007C1FCC"/>
    <w:rsid w:val="007C2831"/>
    <w:rsid w:val="007C2AA1"/>
    <w:rsid w:val="007C2BE7"/>
    <w:rsid w:val="007C3439"/>
    <w:rsid w:val="007C6201"/>
    <w:rsid w:val="007D0348"/>
    <w:rsid w:val="007D03E9"/>
    <w:rsid w:val="007D13C6"/>
    <w:rsid w:val="007D1E28"/>
    <w:rsid w:val="007D4691"/>
    <w:rsid w:val="007D47FB"/>
    <w:rsid w:val="007D7C92"/>
    <w:rsid w:val="007D7E30"/>
    <w:rsid w:val="007E1154"/>
    <w:rsid w:val="007E1212"/>
    <w:rsid w:val="007E251F"/>
    <w:rsid w:val="007E3AA5"/>
    <w:rsid w:val="007E3ADF"/>
    <w:rsid w:val="007E41A0"/>
    <w:rsid w:val="007E43C3"/>
    <w:rsid w:val="007E530F"/>
    <w:rsid w:val="007E5ED5"/>
    <w:rsid w:val="007E6BA4"/>
    <w:rsid w:val="007E6F02"/>
    <w:rsid w:val="007F0144"/>
    <w:rsid w:val="007F19A2"/>
    <w:rsid w:val="007F21A1"/>
    <w:rsid w:val="007F28BB"/>
    <w:rsid w:val="007F2DB0"/>
    <w:rsid w:val="007F41F8"/>
    <w:rsid w:val="007F5B4C"/>
    <w:rsid w:val="00801B30"/>
    <w:rsid w:val="0080207A"/>
    <w:rsid w:val="00803BE9"/>
    <w:rsid w:val="00804000"/>
    <w:rsid w:val="0080454E"/>
    <w:rsid w:val="00804C32"/>
    <w:rsid w:val="008056EB"/>
    <w:rsid w:val="008059BB"/>
    <w:rsid w:val="00806302"/>
    <w:rsid w:val="00806382"/>
    <w:rsid w:val="00806E92"/>
    <w:rsid w:val="00807119"/>
    <w:rsid w:val="008071D5"/>
    <w:rsid w:val="008073BB"/>
    <w:rsid w:val="00807FE8"/>
    <w:rsid w:val="00811865"/>
    <w:rsid w:val="00814A55"/>
    <w:rsid w:val="00814FDA"/>
    <w:rsid w:val="0081547D"/>
    <w:rsid w:val="00823AB4"/>
    <w:rsid w:val="0082483F"/>
    <w:rsid w:val="00827777"/>
    <w:rsid w:val="00827849"/>
    <w:rsid w:val="008279C0"/>
    <w:rsid w:val="00832851"/>
    <w:rsid w:val="008340E5"/>
    <w:rsid w:val="00841E70"/>
    <w:rsid w:val="00845226"/>
    <w:rsid w:val="008473AA"/>
    <w:rsid w:val="00851A7A"/>
    <w:rsid w:val="00852883"/>
    <w:rsid w:val="00852F37"/>
    <w:rsid w:val="008571F6"/>
    <w:rsid w:val="00857A02"/>
    <w:rsid w:val="00861E51"/>
    <w:rsid w:val="00863B67"/>
    <w:rsid w:val="00870B96"/>
    <w:rsid w:val="00871151"/>
    <w:rsid w:val="008723F3"/>
    <w:rsid w:val="0087294A"/>
    <w:rsid w:val="00873246"/>
    <w:rsid w:val="00875E2E"/>
    <w:rsid w:val="00880F99"/>
    <w:rsid w:val="00881DA8"/>
    <w:rsid w:val="00881DE6"/>
    <w:rsid w:val="0088356A"/>
    <w:rsid w:val="008837A6"/>
    <w:rsid w:val="008841E5"/>
    <w:rsid w:val="00884D7C"/>
    <w:rsid w:val="0088778D"/>
    <w:rsid w:val="0089145D"/>
    <w:rsid w:val="008919E6"/>
    <w:rsid w:val="0089322C"/>
    <w:rsid w:val="0089572B"/>
    <w:rsid w:val="00896FD7"/>
    <w:rsid w:val="00897428"/>
    <w:rsid w:val="008A03C4"/>
    <w:rsid w:val="008A15DA"/>
    <w:rsid w:val="008A30C3"/>
    <w:rsid w:val="008A30EE"/>
    <w:rsid w:val="008A38F2"/>
    <w:rsid w:val="008A4DF2"/>
    <w:rsid w:val="008A4FAF"/>
    <w:rsid w:val="008A6841"/>
    <w:rsid w:val="008A6CFE"/>
    <w:rsid w:val="008B1F1F"/>
    <w:rsid w:val="008B40E7"/>
    <w:rsid w:val="008B4681"/>
    <w:rsid w:val="008B4B58"/>
    <w:rsid w:val="008B5333"/>
    <w:rsid w:val="008B5476"/>
    <w:rsid w:val="008B6223"/>
    <w:rsid w:val="008B730C"/>
    <w:rsid w:val="008C0772"/>
    <w:rsid w:val="008C165D"/>
    <w:rsid w:val="008C4066"/>
    <w:rsid w:val="008C6146"/>
    <w:rsid w:val="008C66E0"/>
    <w:rsid w:val="008D0122"/>
    <w:rsid w:val="008D0F20"/>
    <w:rsid w:val="008D1B4C"/>
    <w:rsid w:val="008D3E17"/>
    <w:rsid w:val="008D5D34"/>
    <w:rsid w:val="008D7478"/>
    <w:rsid w:val="008D7718"/>
    <w:rsid w:val="008E220E"/>
    <w:rsid w:val="008E30D5"/>
    <w:rsid w:val="008E3339"/>
    <w:rsid w:val="008E3ADC"/>
    <w:rsid w:val="008E4F14"/>
    <w:rsid w:val="008E5941"/>
    <w:rsid w:val="008E5C17"/>
    <w:rsid w:val="008E64D3"/>
    <w:rsid w:val="008E6F11"/>
    <w:rsid w:val="008F20FC"/>
    <w:rsid w:val="008F2E3C"/>
    <w:rsid w:val="008F3248"/>
    <w:rsid w:val="008F32AE"/>
    <w:rsid w:val="008F3418"/>
    <w:rsid w:val="008F50C4"/>
    <w:rsid w:val="008F5FFE"/>
    <w:rsid w:val="00900007"/>
    <w:rsid w:val="0090037B"/>
    <w:rsid w:val="00905A43"/>
    <w:rsid w:val="009064FE"/>
    <w:rsid w:val="009078CE"/>
    <w:rsid w:val="009078FC"/>
    <w:rsid w:val="009108EF"/>
    <w:rsid w:val="00911C23"/>
    <w:rsid w:val="00912C79"/>
    <w:rsid w:val="00913FB9"/>
    <w:rsid w:val="00915010"/>
    <w:rsid w:val="0091528C"/>
    <w:rsid w:val="00916660"/>
    <w:rsid w:val="009173D1"/>
    <w:rsid w:val="0092350E"/>
    <w:rsid w:val="00923CCC"/>
    <w:rsid w:val="00926D10"/>
    <w:rsid w:val="009275FE"/>
    <w:rsid w:val="00931C8D"/>
    <w:rsid w:val="00933390"/>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5CB1"/>
    <w:rsid w:val="009661DE"/>
    <w:rsid w:val="00966E44"/>
    <w:rsid w:val="00966EAE"/>
    <w:rsid w:val="009703BD"/>
    <w:rsid w:val="009708BB"/>
    <w:rsid w:val="009727DF"/>
    <w:rsid w:val="009729E8"/>
    <w:rsid w:val="00975009"/>
    <w:rsid w:val="00975640"/>
    <w:rsid w:val="00975B29"/>
    <w:rsid w:val="00976B18"/>
    <w:rsid w:val="00976DA5"/>
    <w:rsid w:val="009773BA"/>
    <w:rsid w:val="0098014A"/>
    <w:rsid w:val="00980DF0"/>
    <w:rsid w:val="00980EE4"/>
    <w:rsid w:val="00980FBA"/>
    <w:rsid w:val="00981608"/>
    <w:rsid w:val="00983783"/>
    <w:rsid w:val="00984680"/>
    <w:rsid w:val="00986EF5"/>
    <w:rsid w:val="00990E2D"/>
    <w:rsid w:val="00990F04"/>
    <w:rsid w:val="00991272"/>
    <w:rsid w:val="00991428"/>
    <w:rsid w:val="00992676"/>
    <w:rsid w:val="00993F8F"/>
    <w:rsid w:val="0099755E"/>
    <w:rsid w:val="00997A85"/>
    <w:rsid w:val="009A0501"/>
    <w:rsid w:val="009A23DD"/>
    <w:rsid w:val="009A2BCA"/>
    <w:rsid w:val="009A4050"/>
    <w:rsid w:val="009A5354"/>
    <w:rsid w:val="009A6A10"/>
    <w:rsid w:val="009A7172"/>
    <w:rsid w:val="009A795E"/>
    <w:rsid w:val="009B0723"/>
    <w:rsid w:val="009B07AD"/>
    <w:rsid w:val="009B0864"/>
    <w:rsid w:val="009B0883"/>
    <w:rsid w:val="009B15E2"/>
    <w:rsid w:val="009B63F9"/>
    <w:rsid w:val="009B75DA"/>
    <w:rsid w:val="009C0B8E"/>
    <w:rsid w:val="009C1527"/>
    <w:rsid w:val="009C1BC8"/>
    <w:rsid w:val="009C2442"/>
    <w:rsid w:val="009C2628"/>
    <w:rsid w:val="009C26AB"/>
    <w:rsid w:val="009C27B1"/>
    <w:rsid w:val="009C2CA3"/>
    <w:rsid w:val="009C5201"/>
    <w:rsid w:val="009C687D"/>
    <w:rsid w:val="009C7F17"/>
    <w:rsid w:val="009D0811"/>
    <w:rsid w:val="009D0E12"/>
    <w:rsid w:val="009D0EE1"/>
    <w:rsid w:val="009D382E"/>
    <w:rsid w:val="009D43D0"/>
    <w:rsid w:val="009D510C"/>
    <w:rsid w:val="009D5CDB"/>
    <w:rsid w:val="009D6709"/>
    <w:rsid w:val="009D7E3E"/>
    <w:rsid w:val="009E13C1"/>
    <w:rsid w:val="009E2A9C"/>
    <w:rsid w:val="009E2AEB"/>
    <w:rsid w:val="009E2E27"/>
    <w:rsid w:val="009E44C0"/>
    <w:rsid w:val="009E4DE3"/>
    <w:rsid w:val="009E50C1"/>
    <w:rsid w:val="009F0ACB"/>
    <w:rsid w:val="009F0C29"/>
    <w:rsid w:val="009F0C5A"/>
    <w:rsid w:val="009F5958"/>
    <w:rsid w:val="00A02198"/>
    <w:rsid w:val="00A047EE"/>
    <w:rsid w:val="00A057CA"/>
    <w:rsid w:val="00A063CD"/>
    <w:rsid w:val="00A136AF"/>
    <w:rsid w:val="00A13F8F"/>
    <w:rsid w:val="00A149B7"/>
    <w:rsid w:val="00A15745"/>
    <w:rsid w:val="00A177BC"/>
    <w:rsid w:val="00A17930"/>
    <w:rsid w:val="00A20A6F"/>
    <w:rsid w:val="00A21672"/>
    <w:rsid w:val="00A2274A"/>
    <w:rsid w:val="00A235B7"/>
    <w:rsid w:val="00A2412D"/>
    <w:rsid w:val="00A249AC"/>
    <w:rsid w:val="00A24FA4"/>
    <w:rsid w:val="00A27A7A"/>
    <w:rsid w:val="00A301D1"/>
    <w:rsid w:val="00A304C9"/>
    <w:rsid w:val="00A31881"/>
    <w:rsid w:val="00A37200"/>
    <w:rsid w:val="00A37B6E"/>
    <w:rsid w:val="00A40529"/>
    <w:rsid w:val="00A407EF"/>
    <w:rsid w:val="00A411B7"/>
    <w:rsid w:val="00A42023"/>
    <w:rsid w:val="00A45800"/>
    <w:rsid w:val="00A46B4C"/>
    <w:rsid w:val="00A4778B"/>
    <w:rsid w:val="00A5117B"/>
    <w:rsid w:val="00A52C47"/>
    <w:rsid w:val="00A560B6"/>
    <w:rsid w:val="00A566E3"/>
    <w:rsid w:val="00A56CF7"/>
    <w:rsid w:val="00A56DBC"/>
    <w:rsid w:val="00A56DEB"/>
    <w:rsid w:val="00A57531"/>
    <w:rsid w:val="00A60074"/>
    <w:rsid w:val="00A60DC6"/>
    <w:rsid w:val="00A641E0"/>
    <w:rsid w:val="00A646E2"/>
    <w:rsid w:val="00A651A9"/>
    <w:rsid w:val="00A6627C"/>
    <w:rsid w:val="00A71019"/>
    <w:rsid w:val="00A73B60"/>
    <w:rsid w:val="00A81029"/>
    <w:rsid w:val="00A816E1"/>
    <w:rsid w:val="00A82AFB"/>
    <w:rsid w:val="00A8485D"/>
    <w:rsid w:val="00A86374"/>
    <w:rsid w:val="00A86584"/>
    <w:rsid w:val="00A86B29"/>
    <w:rsid w:val="00A90BDB"/>
    <w:rsid w:val="00A92BF1"/>
    <w:rsid w:val="00A94F10"/>
    <w:rsid w:val="00A9585D"/>
    <w:rsid w:val="00A96062"/>
    <w:rsid w:val="00A96489"/>
    <w:rsid w:val="00A96BB0"/>
    <w:rsid w:val="00A97D88"/>
    <w:rsid w:val="00AA0E39"/>
    <w:rsid w:val="00AA1F76"/>
    <w:rsid w:val="00AA23CE"/>
    <w:rsid w:val="00AA2CBD"/>
    <w:rsid w:val="00AA504F"/>
    <w:rsid w:val="00AA5A58"/>
    <w:rsid w:val="00AA670C"/>
    <w:rsid w:val="00AB0141"/>
    <w:rsid w:val="00AB1B60"/>
    <w:rsid w:val="00AB2C95"/>
    <w:rsid w:val="00AB5A37"/>
    <w:rsid w:val="00AB61D6"/>
    <w:rsid w:val="00AB685C"/>
    <w:rsid w:val="00AB6C2D"/>
    <w:rsid w:val="00AB7791"/>
    <w:rsid w:val="00AC08F7"/>
    <w:rsid w:val="00AC126D"/>
    <w:rsid w:val="00AC3075"/>
    <w:rsid w:val="00AC36E5"/>
    <w:rsid w:val="00AC3839"/>
    <w:rsid w:val="00AC7082"/>
    <w:rsid w:val="00AD0662"/>
    <w:rsid w:val="00AD1340"/>
    <w:rsid w:val="00AD1B6B"/>
    <w:rsid w:val="00AD331C"/>
    <w:rsid w:val="00AD3575"/>
    <w:rsid w:val="00AD57A5"/>
    <w:rsid w:val="00AD65A8"/>
    <w:rsid w:val="00AD6DF3"/>
    <w:rsid w:val="00AD74AD"/>
    <w:rsid w:val="00AD76EF"/>
    <w:rsid w:val="00AD7A9A"/>
    <w:rsid w:val="00AE027F"/>
    <w:rsid w:val="00AE19AD"/>
    <w:rsid w:val="00AE2CC5"/>
    <w:rsid w:val="00AE2D96"/>
    <w:rsid w:val="00AE4BC7"/>
    <w:rsid w:val="00AE4D6F"/>
    <w:rsid w:val="00AF228E"/>
    <w:rsid w:val="00AF455B"/>
    <w:rsid w:val="00AF5899"/>
    <w:rsid w:val="00AF7710"/>
    <w:rsid w:val="00B000DA"/>
    <w:rsid w:val="00B0123F"/>
    <w:rsid w:val="00B04004"/>
    <w:rsid w:val="00B0444F"/>
    <w:rsid w:val="00B04A71"/>
    <w:rsid w:val="00B07EAD"/>
    <w:rsid w:val="00B10FBB"/>
    <w:rsid w:val="00B12F13"/>
    <w:rsid w:val="00B14819"/>
    <w:rsid w:val="00B17AA9"/>
    <w:rsid w:val="00B20235"/>
    <w:rsid w:val="00B21F2C"/>
    <w:rsid w:val="00B221FF"/>
    <w:rsid w:val="00B2292D"/>
    <w:rsid w:val="00B246B1"/>
    <w:rsid w:val="00B26B31"/>
    <w:rsid w:val="00B30A70"/>
    <w:rsid w:val="00B31495"/>
    <w:rsid w:val="00B31B44"/>
    <w:rsid w:val="00B32674"/>
    <w:rsid w:val="00B333FE"/>
    <w:rsid w:val="00B346B8"/>
    <w:rsid w:val="00B34C33"/>
    <w:rsid w:val="00B3503B"/>
    <w:rsid w:val="00B366EC"/>
    <w:rsid w:val="00B36EE3"/>
    <w:rsid w:val="00B371B3"/>
    <w:rsid w:val="00B378FA"/>
    <w:rsid w:val="00B42352"/>
    <w:rsid w:val="00B44078"/>
    <w:rsid w:val="00B44928"/>
    <w:rsid w:val="00B45EDB"/>
    <w:rsid w:val="00B51227"/>
    <w:rsid w:val="00B51975"/>
    <w:rsid w:val="00B52231"/>
    <w:rsid w:val="00B52E4D"/>
    <w:rsid w:val="00B538F7"/>
    <w:rsid w:val="00B54F90"/>
    <w:rsid w:val="00B55C9E"/>
    <w:rsid w:val="00B56144"/>
    <w:rsid w:val="00B56B95"/>
    <w:rsid w:val="00B607DF"/>
    <w:rsid w:val="00B63B9B"/>
    <w:rsid w:val="00B6409C"/>
    <w:rsid w:val="00B64845"/>
    <w:rsid w:val="00B64A85"/>
    <w:rsid w:val="00B65E8E"/>
    <w:rsid w:val="00B66053"/>
    <w:rsid w:val="00B7193E"/>
    <w:rsid w:val="00B71AA5"/>
    <w:rsid w:val="00B72999"/>
    <w:rsid w:val="00B72FD7"/>
    <w:rsid w:val="00B736DF"/>
    <w:rsid w:val="00B74FBD"/>
    <w:rsid w:val="00B76CFC"/>
    <w:rsid w:val="00B7796F"/>
    <w:rsid w:val="00B82586"/>
    <w:rsid w:val="00B829A3"/>
    <w:rsid w:val="00B84CE9"/>
    <w:rsid w:val="00B86537"/>
    <w:rsid w:val="00B86DB1"/>
    <w:rsid w:val="00B877C5"/>
    <w:rsid w:val="00B87869"/>
    <w:rsid w:val="00B87A61"/>
    <w:rsid w:val="00B91941"/>
    <w:rsid w:val="00B92D5B"/>
    <w:rsid w:val="00B9417E"/>
    <w:rsid w:val="00B9445B"/>
    <w:rsid w:val="00B948AE"/>
    <w:rsid w:val="00B949C6"/>
    <w:rsid w:val="00BA1648"/>
    <w:rsid w:val="00BA2637"/>
    <w:rsid w:val="00BA2919"/>
    <w:rsid w:val="00BA35FF"/>
    <w:rsid w:val="00BB09FD"/>
    <w:rsid w:val="00BB0F2B"/>
    <w:rsid w:val="00BB2C89"/>
    <w:rsid w:val="00BB5A37"/>
    <w:rsid w:val="00BB6955"/>
    <w:rsid w:val="00BB6F7A"/>
    <w:rsid w:val="00BC1043"/>
    <w:rsid w:val="00BC3FD8"/>
    <w:rsid w:val="00BC48EB"/>
    <w:rsid w:val="00BC4A7D"/>
    <w:rsid w:val="00BC585F"/>
    <w:rsid w:val="00BC5898"/>
    <w:rsid w:val="00BC5D7D"/>
    <w:rsid w:val="00BC6BCE"/>
    <w:rsid w:val="00BC7F2E"/>
    <w:rsid w:val="00BD0299"/>
    <w:rsid w:val="00BD0AB9"/>
    <w:rsid w:val="00BD0F7F"/>
    <w:rsid w:val="00BD23B4"/>
    <w:rsid w:val="00BD288F"/>
    <w:rsid w:val="00BD3363"/>
    <w:rsid w:val="00BD3591"/>
    <w:rsid w:val="00BD3BF0"/>
    <w:rsid w:val="00BD3F18"/>
    <w:rsid w:val="00BD5C1D"/>
    <w:rsid w:val="00BD64FB"/>
    <w:rsid w:val="00BD71D7"/>
    <w:rsid w:val="00BD7D49"/>
    <w:rsid w:val="00BE2464"/>
    <w:rsid w:val="00BE5589"/>
    <w:rsid w:val="00BF1AA6"/>
    <w:rsid w:val="00BF2B49"/>
    <w:rsid w:val="00BF2E7A"/>
    <w:rsid w:val="00BF3D02"/>
    <w:rsid w:val="00BF40B9"/>
    <w:rsid w:val="00BF50F7"/>
    <w:rsid w:val="00BF5D90"/>
    <w:rsid w:val="00C00231"/>
    <w:rsid w:val="00C01017"/>
    <w:rsid w:val="00C02F29"/>
    <w:rsid w:val="00C04632"/>
    <w:rsid w:val="00C060E6"/>
    <w:rsid w:val="00C0667D"/>
    <w:rsid w:val="00C07B0B"/>
    <w:rsid w:val="00C11B34"/>
    <w:rsid w:val="00C15A16"/>
    <w:rsid w:val="00C1627C"/>
    <w:rsid w:val="00C163EF"/>
    <w:rsid w:val="00C1724E"/>
    <w:rsid w:val="00C17E23"/>
    <w:rsid w:val="00C17E9C"/>
    <w:rsid w:val="00C20337"/>
    <w:rsid w:val="00C20AFE"/>
    <w:rsid w:val="00C22A25"/>
    <w:rsid w:val="00C23E2E"/>
    <w:rsid w:val="00C26E4B"/>
    <w:rsid w:val="00C27CF8"/>
    <w:rsid w:val="00C302CB"/>
    <w:rsid w:val="00C31102"/>
    <w:rsid w:val="00C31145"/>
    <w:rsid w:val="00C31C63"/>
    <w:rsid w:val="00C31E3D"/>
    <w:rsid w:val="00C32230"/>
    <w:rsid w:val="00C33C84"/>
    <w:rsid w:val="00C3453F"/>
    <w:rsid w:val="00C34A50"/>
    <w:rsid w:val="00C35026"/>
    <w:rsid w:val="00C35671"/>
    <w:rsid w:val="00C35B77"/>
    <w:rsid w:val="00C376EB"/>
    <w:rsid w:val="00C37A08"/>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67A14"/>
    <w:rsid w:val="00C71F4F"/>
    <w:rsid w:val="00C72848"/>
    <w:rsid w:val="00C750BA"/>
    <w:rsid w:val="00C7736C"/>
    <w:rsid w:val="00C80272"/>
    <w:rsid w:val="00C81736"/>
    <w:rsid w:val="00C821C4"/>
    <w:rsid w:val="00C82D87"/>
    <w:rsid w:val="00C8712A"/>
    <w:rsid w:val="00C92A0D"/>
    <w:rsid w:val="00C952A2"/>
    <w:rsid w:val="00C958ED"/>
    <w:rsid w:val="00C963D3"/>
    <w:rsid w:val="00CA0B50"/>
    <w:rsid w:val="00CA1802"/>
    <w:rsid w:val="00CA6E99"/>
    <w:rsid w:val="00CB262C"/>
    <w:rsid w:val="00CB2CBB"/>
    <w:rsid w:val="00CB3EB6"/>
    <w:rsid w:val="00CB7283"/>
    <w:rsid w:val="00CB7A4A"/>
    <w:rsid w:val="00CB7CAC"/>
    <w:rsid w:val="00CC3345"/>
    <w:rsid w:val="00CC467D"/>
    <w:rsid w:val="00CC5051"/>
    <w:rsid w:val="00CC5335"/>
    <w:rsid w:val="00CC579C"/>
    <w:rsid w:val="00CC5BA4"/>
    <w:rsid w:val="00CC5ECB"/>
    <w:rsid w:val="00CC7728"/>
    <w:rsid w:val="00CC7F8F"/>
    <w:rsid w:val="00CD0E2B"/>
    <w:rsid w:val="00CD0FFE"/>
    <w:rsid w:val="00CD34DB"/>
    <w:rsid w:val="00CD377A"/>
    <w:rsid w:val="00CD451D"/>
    <w:rsid w:val="00CD4998"/>
    <w:rsid w:val="00CD499F"/>
    <w:rsid w:val="00CD7DBC"/>
    <w:rsid w:val="00CE1035"/>
    <w:rsid w:val="00CE2E4B"/>
    <w:rsid w:val="00CE62CA"/>
    <w:rsid w:val="00CF01D6"/>
    <w:rsid w:val="00CF2819"/>
    <w:rsid w:val="00CF4F9D"/>
    <w:rsid w:val="00CF5AD8"/>
    <w:rsid w:val="00CF70DC"/>
    <w:rsid w:val="00CF717B"/>
    <w:rsid w:val="00CF73BE"/>
    <w:rsid w:val="00CF78B9"/>
    <w:rsid w:val="00D068C5"/>
    <w:rsid w:val="00D07F87"/>
    <w:rsid w:val="00D148DC"/>
    <w:rsid w:val="00D1688E"/>
    <w:rsid w:val="00D17FDC"/>
    <w:rsid w:val="00D2006A"/>
    <w:rsid w:val="00D223E4"/>
    <w:rsid w:val="00D25498"/>
    <w:rsid w:val="00D2550E"/>
    <w:rsid w:val="00D256C6"/>
    <w:rsid w:val="00D256E9"/>
    <w:rsid w:val="00D25F51"/>
    <w:rsid w:val="00D30AA8"/>
    <w:rsid w:val="00D35229"/>
    <w:rsid w:val="00D35ADE"/>
    <w:rsid w:val="00D35C66"/>
    <w:rsid w:val="00D35EAE"/>
    <w:rsid w:val="00D40C6F"/>
    <w:rsid w:val="00D4123E"/>
    <w:rsid w:val="00D44DF4"/>
    <w:rsid w:val="00D45AE1"/>
    <w:rsid w:val="00D4685B"/>
    <w:rsid w:val="00D51153"/>
    <w:rsid w:val="00D5192B"/>
    <w:rsid w:val="00D55715"/>
    <w:rsid w:val="00D56D4D"/>
    <w:rsid w:val="00D57C59"/>
    <w:rsid w:val="00D60215"/>
    <w:rsid w:val="00D60874"/>
    <w:rsid w:val="00D639F6"/>
    <w:rsid w:val="00D63EFD"/>
    <w:rsid w:val="00D642C5"/>
    <w:rsid w:val="00D6588F"/>
    <w:rsid w:val="00D662C6"/>
    <w:rsid w:val="00D669BB"/>
    <w:rsid w:val="00D676F1"/>
    <w:rsid w:val="00D714E4"/>
    <w:rsid w:val="00D72316"/>
    <w:rsid w:val="00D761ED"/>
    <w:rsid w:val="00D80A45"/>
    <w:rsid w:val="00D80FB1"/>
    <w:rsid w:val="00D80FBD"/>
    <w:rsid w:val="00D829EB"/>
    <w:rsid w:val="00D84752"/>
    <w:rsid w:val="00D86851"/>
    <w:rsid w:val="00D86A74"/>
    <w:rsid w:val="00D86B3B"/>
    <w:rsid w:val="00D8748A"/>
    <w:rsid w:val="00D90302"/>
    <w:rsid w:val="00D905E4"/>
    <w:rsid w:val="00D910D5"/>
    <w:rsid w:val="00D91AA3"/>
    <w:rsid w:val="00D93196"/>
    <w:rsid w:val="00D931A2"/>
    <w:rsid w:val="00D94610"/>
    <w:rsid w:val="00D966A2"/>
    <w:rsid w:val="00D97393"/>
    <w:rsid w:val="00DA42DA"/>
    <w:rsid w:val="00DA42EF"/>
    <w:rsid w:val="00DB1A35"/>
    <w:rsid w:val="00DB243C"/>
    <w:rsid w:val="00DB482A"/>
    <w:rsid w:val="00DB56F2"/>
    <w:rsid w:val="00DB5A5A"/>
    <w:rsid w:val="00DB5D9B"/>
    <w:rsid w:val="00DB5DD2"/>
    <w:rsid w:val="00DB6EF5"/>
    <w:rsid w:val="00DC2A3F"/>
    <w:rsid w:val="00DC2BEC"/>
    <w:rsid w:val="00DC2FDB"/>
    <w:rsid w:val="00DC3089"/>
    <w:rsid w:val="00DC38CC"/>
    <w:rsid w:val="00DC4420"/>
    <w:rsid w:val="00DC6681"/>
    <w:rsid w:val="00DC752C"/>
    <w:rsid w:val="00DD01DA"/>
    <w:rsid w:val="00DD0802"/>
    <w:rsid w:val="00DD0B2C"/>
    <w:rsid w:val="00DD19C6"/>
    <w:rsid w:val="00DD2E11"/>
    <w:rsid w:val="00DD3B18"/>
    <w:rsid w:val="00DD4E68"/>
    <w:rsid w:val="00DD526C"/>
    <w:rsid w:val="00DD59B5"/>
    <w:rsid w:val="00DD6923"/>
    <w:rsid w:val="00DD7AD7"/>
    <w:rsid w:val="00DE03AF"/>
    <w:rsid w:val="00DE097E"/>
    <w:rsid w:val="00DE121C"/>
    <w:rsid w:val="00DE17FA"/>
    <w:rsid w:val="00DE475E"/>
    <w:rsid w:val="00DE633C"/>
    <w:rsid w:val="00DE6633"/>
    <w:rsid w:val="00DE6996"/>
    <w:rsid w:val="00DF056D"/>
    <w:rsid w:val="00DF0D81"/>
    <w:rsid w:val="00DF3030"/>
    <w:rsid w:val="00DF3573"/>
    <w:rsid w:val="00DF3D16"/>
    <w:rsid w:val="00DF4D51"/>
    <w:rsid w:val="00DF687B"/>
    <w:rsid w:val="00DF75F8"/>
    <w:rsid w:val="00DF7A3A"/>
    <w:rsid w:val="00DF7AD4"/>
    <w:rsid w:val="00E009E1"/>
    <w:rsid w:val="00E00C00"/>
    <w:rsid w:val="00E00E54"/>
    <w:rsid w:val="00E01C69"/>
    <w:rsid w:val="00E041F9"/>
    <w:rsid w:val="00E05837"/>
    <w:rsid w:val="00E071ED"/>
    <w:rsid w:val="00E07B1A"/>
    <w:rsid w:val="00E07C5A"/>
    <w:rsid w:val="00E10A73"/>
    <w:rsid w:val="00E12C13"/>
    <w:rsid w:val="00E12E8A"/>
    <w:rsid w:val="00E14A38"/>
    <w:rsid w:val="00E15842"/>
    <w:rsid w:val="00E15BA9"/>
    <w:rsid w:val="00E161D2"/>
    <w:rsid w:val="00E16BBD"/>
    <w:rsid w:val="00E172A2"/>
    <w:rsid w:val="00E172A4"/>
    <w:rsid w:val="00E177E2"/>
    <w:rsid w:val="00E17BF1"/>
    <w:rsid w:val="00E22DE4"/>
    <w:rsid w:val="00E25FB8"/>
    <w:rsid w:val="00E26E19"/>
    <w:rsid w:val="00E30831"/>
    <w:rsid w:val="00E31DF3"/>
    <w:rsid w:val="00E3273F"/>
    <w:rsid w:val="00E35204"/>
    <w:rsid w:val="00E37049"/>
    <w:rsid w:val="00E4126D"/>
    <w:rsid w:val="00E4297B"/>
    <w:rsid w:val="00E449DF"/>
    <w:rsid w:val="00E450A4"/>
    <w:rsid w:val="00E506BE"/>
    <w:rsid w:val="00E518B6"/>
    <w:rsid w:val="00E525B9"/>
    <w:rsid w:val="00E53AE9"/>
    <w:rsid w:val="00E54ADD"/>
    <w:rsid w:val="00E55547"/>
    <w:rsid w:val="00E5583C"/>
    <w:rsid w:val="00E55E9B"/>
    <w:rsid w:val="00E6211B"/>
    <w:rsid w:val="00E62986"/>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87E6E"/>
    <w:rsid w:val="00E909F0"/>
    <w:rsid w:val="00E90B4B"/>
    <w:rsid w:val="00E90D47"/>
    <w:rsid w:val="00E91BE6"/>
    <w:rsid w:val="00E92DA7"/>
    <w:rsid w:val="00E93993"/>
    <w:rsid w:val="00E950C0"/>
    <w:rsid w:val="00E9597C"/>
    <w:rsid w:val="00E977BC"/>
    <w:rsid w:val="00EA0879"/>
    <w:rsid w:val="00EA0913"/>
    <w:rsid w:val="00EA25CA"/>
    <w:rsid w:val="00EA4D77"/>
    <w:rsid w:val="00EA5317"/>
    <w:rsid w:val="00EA6550"/>
    <w:rsid w:val="00EA7BAB"/>
    <w:rsid w:val="00EB02BE"/>
    <w:rsid w:val="00EB092D"/>
    <w:rsid w:val="00EB146B"/>
    <w:rsid w:val="00EB21D4"/>
    <w:rsid w:val="00EB2845"/>
    <w:rsid w:val="00EB45AC"/>
    <w:rsid w:val="00EB488B"/>
    <w:rsid w:val="00EB6668"/>
    <w:rsid w:val="00EB6A2F"/>
    <w:rsid w:val="00EC3875"/>
    <w:rsid w:val="00EC549E"/>
    <w:rsid w:val="00EC64C0"/>
    <w:rsid w:val="00EC6E55"/>
    <w:rsid w:val="00ED0BC4"/>
    <w:rsid w:val="00ED151E"/>
    <w:rsid w:val="00ED3BAD"/>
    <w:rsid w:val="00ED3CDA"/>
    <w:rsid w:val="00ED617A"/>
    <w:rsid w:val="00ED665D"/>
    <w:rsid w:val="00ED6B4F"/>
    <w:rsid w:val="00EE023C"/>
    <w:rsid w:val="00EE07E8"/>
    <w:rsid w:val="00EE1A0E"/>
    <w:rsid w:val="00EE4971"/>
    <w:rsid w:val="00EE5A48"/>
    <w:rsid w:val="00EE5F7D"/>
    <w:rsid w:val="00EE6390"/>
    <w:rsid w:val="00EE6811"/>
    <w:rsid w:val="00EE7278"/>
    <w:rsid w:val="00EF090E"/>
    <w:rsid w:val="00EF16B6"/>
    <w:rsid w:val="00EF1B1A"/>
    <w:rsid w:val="00EF1FB4"/>
    <w:rsid w:val="00EF2D08"/>
    <w:rsid w:val="00EF5705"/>
    <w:rsid w:val="00EF6653"/>
    <w:rsid w:val="00F025F7"/>
    <w:rsid w:val="00F033DA"/>
    <w:rsid w:val="00F0424E"/>
    <w:rsid w:val="00F0748F"/>
    <w:rsid w:val="00F077A9"/>
    <w:rsid w:val="00F106CE"/>
    <w:rsid w:val="00F1096A"/>
    <w:rsid w:val="00F11277"/>
    <w:rsid w:val="00F12AA4"/>
    <w:rsid w:val="00F12F7B"/>
    <w:rsid w:val="00F13FB1"/>
    <w:rsid w:val="00F141E8"/>
    <w:rsid w:val="00F15181"/>
    <w:rsid w:val="00F1539F"/>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3717F"/>
    <w:rsid w:val="00F42B4B"/>
    <w:rsid w:val="00F4376C"/>
    <w:rsid w:val="00F44D8C"/>
    <w:rsid w:val="00F45599"/>
    <w:rsid w:val="00F46B45"/>
    <w:rsid w:val="00F50D48"/>
    <w:rsid w:val="00F5239B"/>
    <w:rsid w:val="00F52552"/>
    <w:rsid w:val="00F52E31"/>
    <w:rsid w:val="00F54776"/>
    <w:rsid w:val="00F5524B"/>
    <w:rsid w:val="00F5544C"/>
    <w:rsid w:val="00F5710B"/>
    <w:rsid w:val="00F61DD2"/>
    <w:rsid w:val="00F62000"/>
    <w:rsid w:val="00F63720"/>
    <w:rsid w:val="00F64E46"/>
    <w:rsid w:val="00F65758"/>
    <w:rsid w:val="00F658F7"/>
    <w:rsid w:val="00F65FB6"/>
    <w:rsid w:val="00F66AFF"/>
    <w:rsid w:val="00F71433"/>
    <w:rsid w:val="00F71CE8"/>
    <w:rsid w:val="00F738B0"/>
    <w:rsid w:val="00F74329"/>
    <w:rsid w:val="00F74D5E"/>
    <w:rsid w:val="00F77968"/>
    <w:rsid w:val="00F801C5"/>
    <w:rsid w:val="00F83231"/>
    <w:rsid w:val="00F85A51"/>
    <w:rsid w:val="00F85C0B"/>
    <w:rsid w:val="00F85DB2"/>
    <w:rsid w:val="00F8645A"/>
    <w:rsid w:val="00F91FA7"/>
    <w:rsid w:val="00F92009"/>
    <w:rsid w:val="00F95549"/>
    <w:rsid w:val="00F95955"/>
    <w:rsid w:val="00F96AF1"/>
    <w:rsid w:val="00F9712A"/>
    <w:rsid w:val="00F97C5B"/>
    <w:rsid w:val="00FA053B"/>
    <w:rsid w:val="00FA29FD"/>
    <w:rsid w:val="00FA2A46"/>
    <w:rsid w:val="00FA3739"/>
    <w:rsid w:val="00FA3D50"/>
    <w:rsid w:val="00FA43E7"/>
    <w:rsid w:val="00FA46B8"/>
    <w:rsid w:val="00FA7BC8"/>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00E"/>
    <w:rsid w:val="00FD1240"/>
    <w:rsid w:val="00FD1A35"/>
    <w:rsid w:val="00FD2992"/>
    <w:rsid w:val="00FD36C5"/>
    <w:rsid w:val="00FD3C0A"/>
    <w:rsid w:val="00FD4ECB"/>
    <w:rsid w:val="00FD50F6"/>
    <w:rsid w:val="00FD5B6F"/>
    <w:rsid w:val="00FD6126"/>
    <w:rsid w:val="00FD6310"/>
    <w:rsid w:val="00FD719B"/>
    <w:rsid w:val="00FD7C7B"/>
    <w:rsid w:val="00FE1D12"/>
    <w:rsid w:val="00FE2122"/>
    <w:rsid w:val="00FE2A86"/>
    <w:rsid w:val="00FE5706"/>
    <w:rsid w:val="00FE6330"/>
    <w:rsid w:val="00FF0BFE"/>
    <w:rsid w:val="00FF0D81"/>
    <w:rsid w:val="00FF1C43"/>
    <w:rsid w:val="00FF22DC"/>
    <w:rsid w:val="00FF296F"/>
    <w:rsid w:val="00FF332F"/>
    <w:rsid w:val="00FF3529"/>
    <w:rsid w:val="00FF374B"/>
    <w:rsid w:val="00FF399D"/>
    <w:rsid w:val="00FF549A"/>
    <w:rsid w:val="00FF5E23"/>
    <w:rsid w:val="00FF64CE"/>
    <w:rsid w:val="00FF6BEE"/>
    <w:rsid w:val="00FF7578"/>
    <w:rsid w:val="00FF7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character" w:styleId="UnresolvedMention">
    <w:name w:val="Unresolved Mention"/>
    <w:basedOn w:val="DefaultParagraphFont"/>
    <w:uiPriority w:val="99"/>
    <w:semiHidden/>
    <w:unhideWhenUsed/>
    <w:rsid w:val="00D44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citral.un.org/en/texts/insolvency/modellaw/cross-border_insolvency/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13</Pages>
  <Words>5338</Words>
  <Characters>30428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Setia Law LLC</cp:lastModifiedBy>
  <cp:revision>518</cp:revision>
  <cp:lastPrinted>2020-06-12T02:43:00Z</cp:lastPrinted>
  <dcterms:created xsi:type="dcterms:W3CDTF">2023-11-13T22:50:00Z</dcterms:created>
  <dcterms:modified xsi:type="dcterms:W3CDTF">2023-11-15T19:02:00Z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