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7F0DC796">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2451CB" w:rsidRDefault="00806382" w:rsidP="00806382">
      <w:pPr>
        <w:pStyle w:val="ListParagraph"/>
        <w:numPr>
          <w:ilvl w:val="0"/>
          <w:numId w:val="15"/>
        </w:numPr>
        <w:ind w:left="425" w:hanging="357"/>
        <w:jc w:val="both"/>
        <w:rPr>
          <w:rFonts w:ascii="Avenir Next" w:hAnsi="Avenir Next" w:cs="Arial"/>
          <w:sz w:val="22"/>
          <w:szCs w:val="22"/>
          <w:highlight w:val="yellow"/>
        </w:rPr>
      </w:pPr>
      <w:r w:rsidRPr="002451CB">
        <w:rPr>
          <w:rFonts w:ascii="Avenir Next" w:hAnsi="Avenir Next" w:cs="Arial"/>
          <w:sz w:val="22"/>
          <w:szCs w:val="22"/>
          <w:highlight w:val="yellow"/>
        </w:rPr>
        <w:t xml:space="preserve">This statement is untrue since the word </w:t>
      </w:r>
      <w:r w:rsidR="00823AB4" w:rsidRPr="002451CB">
        <w:rPr>
          <w:rFonts w:ascii="Avenir Next" w:hAnsi="Avenir Next" w:cs="Arial"/>
          <w:sz w:val="22"/>
          <w:szCs w:val="22"/>
          <w:highlight w:val="yellow"/>
        </w:rPr>
        <w:t>“</w:t>
      </w:r>
      <w:r w:rsidRPr="002451CB">
        <w:rPr>
          <w:rFonts w:ascii="Avenir Next" w:hAnsi="Avenir Next" w:cs="Arial"/>
          <w:sz w:val="22"/>
          <w:szCs w:val="22"/>
          <w:highlight w:val="yellow"/>
        </w:rPr>
        <w:t>bankruptcy</w:t>
      </w:r>
      <w:r w:rsidR="00823AB4" w:rsidRPr="002451CB">
        <w:rPr>
          <w:rFonts w:ascii="Avenir Next" w:hAnsi="Avenir Next" w:cs="Arial"/>
          <w:sz w:val="22"/>
          <w:szCs w:val="22"/>
          <w:highlight w:val="yellow"/>
        </w:rPr>
        <w:t>”</w:t>
      </w:r>
      <w:r w:rsidRPr="002451CB">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2451CB" w:rsidRDefault="00806382" w:rsidP="00806382">
      <w:pPr>
        <w:pStyle w:val="ListParagraph"/>
        <w:numPr>
          <w:ilvl w:val="0"/>
          <w:numId w:val="15"/>
        </w:numPr>
        <w:ind w:left="425" w:hanging="357"/>
        <w:jc w:val="both"/>
        <w:rPr>
          <w:rFonts w:ascii="Avenir Next" w:hAnsi="Avenir Next" w:cs="Arial"/>
          <w:sz w:val="22"/>
          <w:szCs w:val="22"/>
        </w:rPr>
      </w:pPr>
      <w:r w:rsidRPr="002451CB">
        <w:rPr>
          <w:rFonts w:ascii="Avenir Next" w:hAnsi="Avenir Next" w:cs="Arial"/>
          <w:sz w:val="22"/>
          <w:szCs w:val="22"/>
        </w:rPr>
        <w:t xml:space="preserve">The statement is </w:t>
      </w:r>
      <w:proofErr w:type="gramStart"/>
      <w:r w:rsidRPr="002451CB">
        <w:rPr>
          <w:rFonts w:ascii="Avenir Next" w:hAnsi="Avenir Next" w:cs="Arial"/>
          <w:sz w:val="22"/>
          <w:szCs w:val="22"/>
        </w:rPr>
        <w:t>true</w:t>
      </w:r>
      <w:proofErr w:type="gramEnd"/>
      <w:r w:rsidRPr="002451CB">
        <w:rPr>
          <w:rFonts w:ascii="Avenir Next" w:hAnsi="Avenir Next" w:cs="Arial"/>
          <w:sz w:val="22"/>
          <w:szCs w:val="22"/>
        </w:rPr>
        <w:t xml:space="preserve"> and the phrase </w:t>
      </w:r>
      <w:r w:rsidR="00823AB4" w:rsidRPr="002451CB">
        <w:rPr>
          <w:rFonts w:ascii="Avenir Next" w:hAnsi="Avenir Next" w:cs="Arial"/>
          <w:sz w:val="22"/>
          <w:szCs w:val="22"/>
        </w:rPr>
        <w:t>“</w:t>
      </w:r>
      <w:r w:rsidRPr="002451CB">
        <w:rPr>
          <w:rFonts w:ascii="Avenir Next" w:hAnsi="Avenir Next" w:cs="Arial"/>
          <w:sz w:val="22"/>
          <w:szCs w:val="22"/>
        </w:rPr>
        <w:t>bankruptcy</w:t>
      </w:r>
      <w:r w:rsidR="00823AB4" w:rsidRPr="002451CB">
        <w:rPr>
          <w:rFonts w:ascii="Avenir Next" w:hAnsi="Avenir Next" w:cs="Arial"/>
          <w:sz w:val="22"/>
          <w:szCs w:val="22"/>
        </w:rPr>
        <w:t>”</w:t>
      </w:r>
      <w:r w:rsidRPr="002451CB">
        <w:rPr>
          <w:rFonts w:ascii="Avenir Next" w:hAnsi="Avenir Next" w:cs="Arial"/>
          <w:sz w:val="22"/>
          <w:szCs w:val="22"/>
        </w:rPr>
        <w:t xml:space="preserve"> is believed to have been first adopted in England in the 12</w:t>
      </w:r>
      <w:r w:rsidRPr="002451CB">
        <w:rPr>
          <w:rFonts w:ascii="Avenir Next" w:hAnsi="Avenir Next" w:cs="Arial"/>
          <w:sz w:val="22"/>
          <w:szCs w:val="22"/>
          <w:vertAlign w:val="superscript"/>
        </w:rPr>
        <w:t>th</w:t>
      </w:r>
      <w:r w:rsidRPr="002451CB">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51206" w:rsidRDefault="001211E6" w:rsidP="001211E6">
      <w:pPr>
        <w:pStyle w:val="ListParagraph"/>
        <w:numPr>
          <w:ilvl w:val="0"/>
          <w:numId w:val="16"/>
        </w:numPr>
        <w:ind w:left="426"/>
        <w:jc w:val="both"/>
        <w:rPr>
          <w:rFonts w:ascii="Avenir Next" w:hAnsi="Avenir Next" w:cs="Arial"/>
          <w:sz w:val="22"/>
          <w:szCs w:val="22"/>
          <w:highlight w:val="yellow"/>
        </w:rPr>
      </w:pPr>
      <w:r w:rsidRPr="00D51206">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6D4C11"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6D4C1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B6A79"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DB6A79">
        <w:rPr>
          <w:rFonts w:ascii="Avenir Next" w:hAnsi="Avenir Next" w:cs="Arial"/>
          <w:sz w:val="22"/>
          <w:szCs w:val="22"/>
          <w:highlight w:val="yellow"/>
          <w:lang w:val="en-GB"/>
        </w:rPr>
        <w:t xml:space="preserve">This statement is incorrect since a statutory discharge of debt was only introduced in 1705 in England.    </w:t>
      </w:r>
      <w:r w:rsidRPr="00DB6A79">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836926" w:rsidRDefault="006514CD" w:rsidP="006514CD">
      <w:pPr>
        <w:pStyle w:val="ListParagraph"/>
        <w:numPr>
          <w:ilvl w:val="0"/>
          <w:numId w:val="19"/>
        </w:numPr>
        <w:ind w:left="425" w:hanging="357"/>
        <w:jc w:val="both"/>
        <w:rPr>
          <w:rFonts w:ascii="Avenir Next" w:hAnsi="Avenir Next" w:cs="Arial"/>
          <w:sz w:val="22"/>
          <w:szCs w:val="22"/>
        </w:rPr>
      </w:pPr>
      <w:r w:rsidRPr="00836926">
        <w:rPr>
          <w:rFonts w:ascii="Avenir Next" w:hAnsi="Avenir Next" w:cs="Arial"/>
          <w:sz w:val="22"/>
          <w:szCs w:val="22"/>
        </w:rPr>
        <w:t xml:space="preserve">The statement is untrue since treaties and conventions are </w:t>
      </w:r>
      <w:r w:rsidR="00DA42DA" w:rsidRPr="00836926">
        <w:rPr>
          <w:rFonts w:ascii="Avenir Next" w:hAnsi="Avenir Next" w:cs="Arial"/>
          <w:sz w:val="22"/>
          <w:szCs w:val="22"/>
        </w:rPr>
        <w:t>“</w:t>
      </w:r>
      <w:r w:rsidRPr="00836926">
        <w:rPr>
          <w:rFonts w:ascii="Avenir Next" w:hAnsi="Avenir Next" w:cs="Arial"/>
          <w:sz w:val="22"/>
          <w:szCs w:val="22"/>
        </w:rPr>
        <w:t>soft law</w:t>
      </w:r>
      <w:r w:rsidR="00DA42DA" w:rsidRPr="00836926">
        <w:rPr>
          <w:rFonts w:ascii="Avenir Next" w:hAnsi="Avenir Next" w:cs="Arial"/>
          <w:sz w:val="22"/>
          <w:szCs w:val="22"/>
        </w:rPr>
        <w:t>”</w:t>
      </w:r>
      <w:r w:rsidRPr="00836926">
        <w:rPr>
          <w:rFonts w:ascii="Avenir Next" w:hAnsi="Avenir Next" w:cs="Arial"/>
          <w:sz w:val="22"/>
          <w:szCs w:val="22"/>
        </w:rPr>
        <w:t xml:space="preserve">, not </w:t>
      </w:r>
      <w:r w:rsidR="00DA42DA" w:rsidRPr="00836926">
        <w:rPr>
          <w:rFonts w:ascii="Avenir Next" w:hAnsi="Avenir Next" w:cs="Arial"/>
          <w:sz w:val="22"/>
          <w:szCs w:val="22"/>
        </w:rPr>
        <w:t>“</w:t>
      </w:r>
      <w:r w:rsidRPr="00836926">
        <w:rPr>
          <w:rFonts w:ascii="Avenir Next" w:hAnsi="Avenir Next" w:cs="Arial"/>
          <w:sz w:val="22"/>
          <w:szCs w:val="22"/>
        </w:rPr>
        <w:t>hard law</w:t>
      </w:r>
      <w:r w:rsidR="00DA42DA" w:rsidRPr="00836926">
        <w:rPr>
          <w:rFonts w:ascii="Avenir Next" w:hAnsi="Avenir Next" w:cs="Arial"/>
          <w:sz w:val="22"/>
          <w:szCs w:val="22"/>
        </w:rPr>
        <w:t>”</w:t>
      </w:r>
      <w:r w:rsidRPr="00836926">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lastRenderedPageBreak/>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6D4C11" w:rsidRDefault="006514CD" w:rsidP="006514CD">
      <w:pPr>
        <w:pStyle w:val="ListParagraph"/>
        <w:numPr>
          <w:ilvl w:val="0"/>
          <w:numId w:val="19"/>
        </w:numPr>
        <w:ind w:left="425" w:hanging="357"/>
        <w:jc w:val="both"/>
        <w:rPr>
          <w:rFonts w:ascii="Avenir Next" w:hAnsi="Avenir Next" w:cs="Arial"/>
          <w:sz w:val="22"/>
          <w:szCs w:val="22"/>
          <w:highlight w:val="yellow"/>
        </w:rPr>
      </w:pPr>
      <w:r w:rsidRPr="006D4C11">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A94224"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A94224">
        <w:rPr>
          <w:rFonts w:ascii="Avenir Next" w:eastAsiaTheme="minorHAnsi" w:hAnsi="Avenir Next" w:cs="Arial"/>
          <w:sz w:val="22"/>
          <w:szCs w:val="22"/>
          <w:lang w:val="en-GB"/>
        </w:rPr>
        <w:t xml:space="preserve"> </w:t>
      </w:r>
      <w:r w:rsidRPr="00A94224">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643DBE67" w14:textId="77777777" w:rsidR="00DB0A29" w:rsidRPr="00DB0A29" w:rsidRDefault="00DB0A29" w:rsidP="00DB0A29">
      <w:pPr>
        <w:pStyle w:val="ListParagraph"/>
        <w:rPr>
          <w:rFonts w:ascii="Avenir Next" w:eastAsiaTheme="minorHAnsi" w:hAnsi="Avenir Next" w:cs="Arial"/>
          <w:sz w:val="22"/>
          <w:szCs w:val="22"/>
          <w:lang w:val="en-GB"/>
        </w:rPr>
      </w:pPr>
    </w:p>
    <w:p w14:paraId="6E0F83BC" w14:textId="77777777" w:rsidR="00DB0A29" w:rsidRPr="00DA42DA" w:rsidRDefault="00DB0A29" w:rsidP="00DB0A29">
      <w:pPr>
        <w:pStyle w:val="ListParagraph"/>
        <w:ind w:left="426"/>
        <w:jc w:val="both"/>
        <w:rPr>
          <w:rFonts w:ascii="Avenir Next" w:eastAsiaTheme="minorHAnsi" w:hAnsi="Avenir Next" w:cs="Arial"/>
          <w:sz w:val="22"/>
          <w:szCs w:val="22"/>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373065" w:rsidRDefault="00AD76EF" w:rsidP="00AD76EF">
      <w:pPr>
        <w:pStyle w:val="ListParagraph"/>
        <w:numPr>
          <w:ilvl w:val="0"/>
          <w:numId w:val="17"/>
        </w:numPr>
        <w:ind w:left="426"/>
        <w:jc w:val="both"/>
        <w:rPr>
          <w:rFonts w:ascii="Avenir Next" w:hAnsi="Avenir Next" w:cs="Arial"/>
          <w:sz w:val="22"/>
          <w:szCs w:val="22"/>
        </w:rPr>
      </w:pPr>
      <w:r w:rsidRPr="00373065">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373065" w:rsidRDefault="00AD76EF" w:rsidP="00AD76EF">
      <w:pPr>
        <w:pStyle w:val="ListParagraph"/>
        <w:numPr>
          <w:ilvl w:val="0"/>
          <w:numId w:val="17"/>
        </w:numPr>
        <w:ind w:left="426"/>
        <w:jc w:val="both"/>
        <w:rPr>
          <w:rFonts w:ascii="Avenir Next" w:hAnsi="Avenir Next" w:cs="Arial"/>
          <w:sz w:val="22"/>
          <w:szCs w:val="22"/>
          <w:highlight w:val="yellow"/>
        </w:rPr>
      </w:pPr>
      <w:r w:rsidRPr="00373065">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lastRenderedPageBreak/>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6D4C11"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6D4C11">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6D4C11" w:rsidRDefault="009661DE" w:rsidP="009661DE">
      <w:pPr>
        <w:pStyle w:val="ListParagraph"/>
        <w:numPr>
          <w:ilvl w:val="0"/>
          <w:numId w:val="23"/>
        </w:numPr>
        <w:ind w:left="426"/>
        <w:jc w:val="both"/>
        <w:rPr>
          <w:rFonts w:ascii="Avenir Next" w:hAnsi="Avenir Next" w:cs="Arial"/>
          <w:sz w:val="22"/>
          <w:szCs w:val="22"/>
          <w:highlight w:val="yellow"/>
        </w:rPr>
      </w:pPr>
      <w:r w:rsidRPr="006D4C11">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1928B4" w:rsidRDefault="003B3A0D" w:rsidP="003B3A0D">
      <w:pPr>
        <w:pStyle w:val="ListParagraph"/>
        <w:numPr>
          <w:ilvl w:val="0"/>
          <w:numId w:val="24"/>
        </w:numPr>
        <w:ind w:left="426"/>
        <w:jc w:val="both"/>
        <w:rPr>
          <w:rFonts w:ascii="Avenir Next" w:hAnsi="Avenir Next" w:cs="Arial"/>
          <w:sz w:val="22"/>
          <w:szCs w:val="22"/>
          <w:highlight w:val="yellow"/>
        </w:rPr>
      </w:pPr>
      <w:r w:rsidRPr="001928B4">
        <w:rPr>
          <w:rFonts w:ascii="Avenir Next" w:hAnsi="Avenir Next" w:cs="Arial"/>
          <w:sz w:val="22"/>
          <w:szCs w:val="22"/>
          <w:highlight w:val="yellow"/>
        </w:rPr>
        <w:t xml:space="preserve">This statement is untrue because universalism corresponds well to </w:t>
      </w:r>
      <w:proofErr w:type="spellStart"/>
      <w:r w:rsidRPr="001928B4">
        <w:rPr>
          <w:rFonts w:ascii="Avenir Next" w:hAnsi="Avenir Next" w:cs="Arial"/>
          <w:sz w:val="22"/>
          <w:szCs w:val="22"/>
          <w:highlight w:val="yellow"/>
        </w:rPr>
        <w:t>globali</w:t>
      </w:r>
      <w:r w:rsidR="00142E15" w:rsidRPr="001928B4">
        <w:rPr>
          <w:rFonts w:ascii="Avenir Next" w:hAnsi="Avenir Next" w:cs="Arial"/>
          <w:sz w:val="22"/>
          <w:szCs w:val="22"/>
          <w:highlight w:val="yellow"/>
        </w:rPr>
        <w:t>s</w:t>
      </w:r>
      <w:r w:rsidRPr="001928B4">
        <w:rPr>
          <w:rFonts w:ascii="Avenir Next" w:hAnsi="Avenir Next" w:cs="Arial"/>
          <w:sz w:val="22"/>
          <w:szCs w:val="22"/>
          <w:highlight w:val="yellow"/>
        </w:rPr>
        <w:t>ation</w:t>
      </w:r>
      <w:proofErr w:type="spellEnd"/>
      <w:r w:rsidRPr="001928B4">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6A9E01B3" w:rsidR="00CC7728" w:rsidRPr="0053345C" w:rsidRDefault="008763F0" w:rsidP="00692852">
      <w:pPr>
        <w:jc w:val="both"/>
        <w:rPr>
          <w:rFonts w:ascii="Avenir Next" w:hAnsi="Avenir Next" w:cs="Arial"/>
          <w:color w:val="808080" w:themeColor="background1" w:themeShade="80"/>
          <w:sz w:val="22"/>
          <w:szCs w:val="22"/>
          <w:lang w:val="en-GB"/>
        </w:rPr>
      </w:pPr>
      <w:r w:rsidRPr="000B6EEC">
        <w:rPr>
          <w:rFonts w:ascii="Avenir Next" w:hAnsi="Avenir Next" w:cs="Arial"/>
          <w:color w:val="808080" w:themeColor="background1" w:themeShade="80"/>
          <w:sz w:val="22"/>
          <w:szCs w:val="22"/>
          <w:lang w:val="en-GB"/>
        </w:rPr>
        <w:t xml:space="preserve">Countries whose insolvency law systems which have their historical roots in English law include </w:t>
      </w:r>
      <w:r w:rsidR="00741DFA" w:rsidRPr="000B6EEC">
        <w:rPr>
          <w:rFonts w:ascii="Avenir Next" w:hAnsi="Avenir Next" w:cs="Arial"/>
          <w:color w:val="808080" w:themeColor="background1" w:themeShade="80"/>
          <w:sz w:val="22"/>
          <w:szCs w:val="22"/>
          <w:lang w:val="en-GB"/>
        </w:rPr>
        <w:t>England &amp; Wales, Australia</w:t>
      </w:r>
      <w:r w:rsidR="000B6EEC" w:rsidRPr="000B6EEC">
        <w:rPr>
          <w:rFonts w:ascii="Avenir Next" w:hAnsi="Avenir Next" w:cs="Arial"/>
          <w:color w:val="808080" w:themeColor="background1" w:themeShade="80"/>
          <w:sz w:val="22"/>
          <w:szCs w:val="22"/>
          <w:lang w:val="en-GB"/>
        </w:rPr>
        <w:t xml:space="preserve">, </w:t>
      </w:r>
      <w:proofErr w:type="gramStart"/>
      <w:r w:rsidR="00B55CAD" w:rsidRPr="000B6EEC">
        <w:rPr>
          <w:rFonts w:ascii="Avenir Next" w:hAnsi="Avenir Next" w:cs="Arial"/>
          <w:color w:val="808080" w:themeColor="background1" w:themeShade="80"/>
          <w:sz w:val="22"/>
          <w:szCs w:val="22"/>
          <w:lang w:val="en-GB"/>
        </w:rPr>
        <w:t>India</w:t>
      </w:r>
      <w:proofErr w:type="gramEnd"/>
      <w:r w:rsidR="000B6EEC" w:rsidRPr="000B6EEC">
        <w:rPr>
          <w:rFonts w:ascii="Avenir Next" w:hAnsi="Avenir Next" w:cs="Arial"/>
          <w:color w:val="808080" w:themeColor="background1" w:themeShade="80"/>
          <w:sz w:val="22"/>
          <w:szCs w:val="22"/>
          <w:lang w:val="en-GB"/>
        </w:rPr>
        <w:t xml:space="preserve"> and African countries such as Nigeria, Kenya, Botswana and </w:t>
      </w:r>
      <w:r w:rsidR="000B6EEC">
        <w:rPr>
          <w:rFonts w:ascii="Avenir Next" w:hAnsi="Avenir Next" w:cs="Arial"/>
          <w:color w:val="808080" w:themeColor="background1" w:themeShade="80"/>
          <w:sz w:val="22"/>
          <w:szCs w:val="22"/>
          <w:lang w:val="en-GB"/>
        </w:rPr>
        <w:t>Z</w:t>
      </w:r>
      <w:r w:rsidR="000B6EEC" w:rsidRPr="000B6EEC">
        <w:rPr>
          <w:rFonts w:ascii="Avenir Next" w:hAnsi="Avenir Next" w:cs="Arial"/>
          <w:color w:val="808080" w:themeColor="background1" w:themeShade="80"/>
          <w:sz w:val="22"/>
          <w:szCs w:val="22"/>
          <w:lang w:val="en-GB"/>
        </w:rPr>
        <w:t>ambia which were former English colonies</w:t>
      </w:r>
      <w:r w:rsidR="00B55CAD" w:rsidRPr="000B6EEC">
        <w:rPr>
          <w:rFonts w:ascii="Avenir Next" w:hAnsi="Avenir Next" w:cs="Arial"/>
          <w:color w:val="808080" w:themeColor="background1" w:themeShade="80"/>
          <w:sz w:val="22"/>
          <w:szCs w:val="22"/>
          <w:lang w:val="en-GB"/>
        </w:rPr>
        <w:t>. Whilst countries whose insolvency law systems have historical roots in civil law systems includ</w:t>
      </w:r>
      <w:r w:rsidR="000B6EEC">
        <w:rPr>
          <w:rFonts w:ascii="Avenir Next" w:hAnsi="Avenir Next" w:cs="Arial"/>
          <w:color w:val="808080" w:themeColor="background1" w:themeShade="80"/>
          <w:sz w:val="22"/>
          <w:szCs w:val="22"/>
          <w:lang w:val="en-GB"/>
        </w:rPr>
        <w:t xml:space="preserve">e European countries (Netherlands, France, Germany and Spain) and African countries such as Angola and Mozambique (which have a civil law tradition based on Portuguese law).  </w:t>
      </w:r>
      <w:r w:rsidR="00741DFA" w:rsidRPr="0053345C">
        <w:rPr>
          <w:rFonts w:ascii="Avenir Next" w:hAnsi="Avenir Next" w:cs="Arial"/>
          <w:color w:val="808080" w:themeColor="background1" w:themeShade="80"/>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14BA9310" w:rsidR="00DA42DA" w:rsidRDefault="0053345C" w:rsidP="00DA42DA">
      <w:pPr>
        <w:jc w:val="both"/>
        <w:rPr>
          <w:rFonts w:ascii="Avenir Next" w:hAnsi="Avenir Next" w:cs="Arial"/>
          <w:color w:val="808080" w:themeColor="background1" w:themeShade="80"/>
          <w:sz w:val="22"/>
          <w:szCs w:val="22"/>
          <w:lang w:val="en-GB"/>
        </w:rPr>
      </w:pPr>
      <w:r w:rsidRPr="0053345C">
        <w:rPr>
          <w:rFonts w:ascii="Avenir Next" w:hAnsi="Avenir Next" w:cs="Arial"/>
          <w:color w:val="808080" w:themeColor="background1" w:themeShade="80"/>
          <w:sz w:val="22"/>
          <w:szCs w:val="22"/>
          <w:lang w:val="en-GB"/>
        </w:rPr>
        <w:t xml:space="preserve">Universalism is </w:t>
      </w:r>
      <w:r>
        <w:rPr>
          <w:rFonts w:ascii="Avenir Next" w:hAnsi="Avenir Next" w:cs="Arial"/>
          <w:color w:val="808080" w:themeColor="background1" w:themeShade="80"/>
          <w:sz w:val="22"/>
          <w:szCs w:val="22"/>
          <w:lang w:val="en-GB"/>
        </w:rPr>
        <w:t>a principle</w:t>
      </w:r>
      <w:r w:rsidRPr="0053345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that allows for more than one insolvency proceeding pending / originating in different jurisdictions to be dealt with under the provisions of one insolvency law, for instance in the jurisdiction where the debtor has its centre of main interests</w:t>
      </w:r>
      <w:r w:rsidR="00DB6A79">
        <w:rPr>
          <w:rFonts w:ascii="Avenir Next" w:hAnsi="Avenir Next" w:cs="Arial"/>
          <w:color w:val="808080" w:themeColor="background1" w:themeShade="80"/>
          <w:sz w:val="22"/>
          <w:szCs w:val="22"/>
          <w:lang w:val="en-GB"/>
        </w:rPr>
        <w:t xml:space="preserve"> (COMI)</w:t>
      </w:r>
      <w:r w:rsidR="00B016F7">
        <w:rPr>
          <w:rFonts w:ascii="Avenir Next" w:hAnsi="Avenir Next" w:cs="Arial"/>
          <w:color w:val="808080" w:themeColor="background1" w:themeShade="80"/>
          <w:sz w:val="22"/>
          <w:szCs w:val="22"/>
          <w:lang w:val="en-GB"/>
        </w:rPr>
        <w:t xml:space="preserve"> (though there could be other approaches).  </w:t>
      </w:r>
      <w:r w:rsidR="00B016F7">
        <w:rPr>
          <w:rFonts w:ascii="Avenir Next" w:hAnsi="Avenir Next" w:cs="Arial"/>
          <w:color w:val="808080" w:themeColor="background1" w:themeShade="80"/>
          <w:sz w:val="22"/>
          <w:szCs w:val="22"/>
          <w:lang w:val="en-GB"/>
        </w:rPr>
        <w:t xml:space="preserve">This means that the law of the “main proceeding” will have worldwide effect, even outside the territorial jurisdiction of the State where the so-called main proceeding has been opened. It calls for so-called “unity of proceedings”, allowing the law of the State where the “main proceeding” is opened to regulate the matter. </w:t>
      </w:r>
      <w:r w:rsidR="00B016F7">
        <w:rPr>
          <w:rFonts w:ascii="Avenir Next" w:hAnsi="Avenir Next" w:cs="Arial"/>
          <w:color w:val="808080" w:themeColor="background1" w:themeShade="80"/>
          <w:sz w:val="22"/>
          <w:szCs w:val="22"/>
          <w:lang w:val="en-GB"/>
        </w:rPr>
        <w:t xml:space="preserve">                                                                                                                                                                </w:t>
      </w:r>
    </w:p>
    <w:p w14:paraId="3183E0E7" w14:textId="77777777" w:rsidR="0053345C" w:rsidRDefault="0053345C" w:rsidP="00DA42DA">
      <w:pPr>
        <w:jc w:val="both"/>
        <w:rPr>
          <w:rFonts w:ascii="Avenir Next" w:hAnsi="Avenir Next" w:cs="Arial"/>
          <w:color w:val="808080" w:themeColor="background1" w:themeShade="80"/>
          <w:sz w:val="22"/>
          <w:szCs w:val="22"/>
          <w:lang w:val="en-GB"/>
        </w:rPr>
      </w:pPr>
    </w:p>
    <w:p w14:paraId="187F44A7" w14:textId="741B7FD2" w:rsidR="0053345C" w:rsidRDefault="0053345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territorialism is a principle that prescribes that the consequences of an insolvency proceeding will only apply to the State where the insolvency proceeding has been opened and this can lead to a plurality or multiplicity of insolvency proceedings</w:t>
      </w:r>
      <w:r w:rsidR="00B016F7">
        <w:rPr>
          <w:rFonts w:ascii="Avenir Next" w:hAnsi="Avenir Next" w:cs="Arial"/>
          <w:color w:val="808080" w:themeColor="background1" w:themeShade="80"/>
          <w:sz w:val="22"/>
          <w:szCs w:val="22"/>
          <w:lang w:val="en-GB"/>
        </w:rPr>
        <w:t xml:space="preserve"> running concurrently in relation to the same debtor. </w:t>
      </w:r>
    </w:p>
    <w:p w14:paraId="11247E02" w14:textId="77777777" w:rsidR="00B016F7" w:rsidRDefault="00B016F7" w:rsidP="00DA42DA">
      <w:pPr>
        <w:jc w:val="both"/>
        <w:rPr>
          <w:rFonts w:ascii="Avenir Next" w:hAnsi="Avenir Next" w:cs="Arial"/>
          <w:color w:val="808080" w:themeColor="background1" w:themeShade="80"/>
          <w:sz w:val="22"/>
          <w:szCs w:val="22"/>
          <w:lang w:val="en-GB"/>
        </w:rPr>
      </w:pPr>
    </w:p>
    <w:p w14:paraId="22B4C159" w14:textId="1DA89131" w:rsidR="0053345C" w:rsidRDefault="00B016F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a global consensus regarding universalism has not been and is unlikely to be reached, most states are closer to the approach of modified universalism, where the “main proceeding” open</w:t>
      </w:r>
      <w:r w:rsidR="00DB6A79">
        <w:rPr>
          <w:rFonts w:ascii="Avenir Next" w:hAnsi="Avenir Next" w:cs="Arial"/>
          <w:color w:val="808080" w:themeColor="background1" w:themeShade="80"/>
          <w:sz w:val="22"/>
          <w:szCs w:val="22"/>
          <w:lang w:val="en-GB"/>
        </w:rPr>
        <w:t xml:space="preserve">ed in the State where the COMI has been determined, is supported by secondary or ancillary proceedings in another State.  In such instances, courts dealing with the respective proceedings are expected to co-operate with each other. </w:t>
      </w:r>
    </w:p>
    <w:p w14:paraId="039E27B5" w14:textId="656AD34F" w:rsidR="00C82D87" w:rsidRPr="0053345C" w:rsidRDefault="0053345C" w:rsidP="005334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3458ACD5" w:rsidR="00DA42DA" w:rsidRDefault="00DB6A7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Latin America </w:t>
      </w:r>
      <w:r w:rsidR="005B1D07">
        <w:rPr>
          <w:rFonts w:ascii="Avenir Next" w:hAnsi="Avenir Next" w:cs="Arial"/>
          <w:color w:val="808080" w:themeColor="background1" w:themeShade="80"/>
          <w:sz w:val="22"/>
          <w:szCs w:val="22"/>
          <w:lang w:val="en-GB"/>
        </w:rPr>
        <w:t>States</w:t>
      </w:r>
      <w:r>
        <w:rPr>
          <w:rFonts w:ascii="Avenir Next" w:hAnsi="Avenir Next" w:cs="Arial"/>
          <w:color w:val="808080" w:themeColor="background1" w:themeShade="80"/>
          <w:sz w:val="22"/>
          <w:szCs w:val="22"/>
          <w:lang w:val="en-GB"/>
        </w:rPr>
        <w:t xml:space="preserve"> </w:t>
      </w:r>
      <w:r w:rsidR="00A7519A">
        <w:rPr>
          <w:rFonts w:ascii="Avenir Next" w:hAnsi="Avenir Next" w:cs="Arial"/>
          <w:color w:val="808080" w:themeColor="background1" w:themeShade="80"/>
          <w:sz w:val="22"/>
          <w:szCs w:val="22"/>
          <w:lang w:val="en-GB"/>
        </w:rPr>
        <w:t>have adopted a series of general treaties to resolve international insolvency issues namely, the</w:t>
      </w:r>
      <w:r w:rsidR="00827EBC">
        <w:rPr>
          <w:rFonts w:ascii="Avenir Next" w:hAnsi="Avenir Next" w:cs="Arial"/>
          <w:color w:val="808080" w:themeColor="background1" w:themeShade="80"/>
          <w:sz w:val="22"/>
          <w:szCs w:val="22"/>
          <w:lang w:val="en-GB"/>
        </w:rPr>
        <w:t xml:space="preserve"> Montevideo Treaties (i.e., </w:t>
      </w:r>
      <w:r w:rsidR="00FB00EA">
        <w:rPr>
          <w:rFonts w:ascii="Avenir Next" w:hAnsi="Avenir Next" w:cs="Arial"/>
          <w:color w:val="808080" w:themeColor="background1" w:themeShade="80"/>
          <w:sz w:val="22"/>
          <w:szCs w:val="22"/>
          <w:lang w:val="en-GB"/>
        </w:rPr>
        <w:t>Montevideo Treaty on International Commercial Law (1889), the Montevideo Treaty on International Commercial Terrestrial Law (1940)</w:t>
      </w:r>
      <w:r w:rsidR="00827EBC">
        <w:rPr>
          <w:rFonts w:ascii="Avenir Next" w:hAnsi="Avenir Next" w:cs="Arial"/>
          <w:color w:val="808080" w:themeColor="background1" w:themeShade="80"/>
          <w:sz w:val="22"/>
          <w:szCs w:val="22"/>
          <w:lang w:val="en-GB"/>
        </w:rPr>
        <w:t xml:space="preserve"> and the Montevideo Treaty on International Procedural Law (</w:t>
      </w:r>
      <w:r w:rsidR="00A7519A">
        <w:rPr>
          <w:rFonts w:ascii="Avenir Next" w:hAnsi="Avenir Next" w:cs="Arial"/>
          <w:color w:val="808080" w:themeColor="background1" w:themeShade="80"/>
          <w:sz w:val="22"/>
          <w:szCs w:val="22"/>
          <w:lang w:val="en-GB"/>
        </w:rPr>
        <w:t>1940</w:t>
      </w:r>
      <w:r w:rsidR="00827EBC">
        <w:rPr>
          <w:rFonts w:ascii="Avenir Next" w:hAnsi="Avenir Next" w:cs="Arial"/>
          <w:color w:val="808080" w:themeColor="background1" w:themeShade="80"/>
          <w:sz w:val="22"/>
          <w:szCs w:val="22"/>
          <w:lang w:val="en-GB"/>
        </w:rPr>
        <w:t>))</w:t>
      </w:r>
      <w:r w:rsidR="00A7519A">
        <w:rPr>
          <w:rFonts w:ascii="Avenir Next" w:hAnsi="Avenir Next" w:cs="Arial"/>
          <w:color w:val="808080" w:themeColor="background1" w:themeShade="80"/>
          <w:sz w:val="22"/>
          <w:szCs w:val="22"/>
          <w:lang w:val="en-GB"/>
        </w:rPr>
        <w:t xml:space="preserve"> and the Havana Convention on Private International Law (1928) (Bus</w:t>
      </w:r>
      <w:r w:rsidR="00FB00EA">
        <w:rPr>
          <w:rFonts w:ascii="Avenir Next" w:hAnsi="Avenir Next" w:cs="Arial"/>
          <w:color w:val="808080" w:themeColor="background1" w:themeShade="80"/>
          <w:sz w:val="22"/>
          <w:szCs w:val="22"/>
          <w:lang w:val="en-GB"/>
        </w:rPr>
        <w:t>tamante Code)</w:t>
      </w:r>
      <w:r w:rsidR="00827EBC">
        <w:rPr>
          <w:rFonts w:ascii="Avenir Next" w:hAnsi="Avenir Next" w:cs="Arial"/>
          <w:color w:val="808080" w:themeColor="background1" w:themeShade="80"/>
          <w:sz w:val="22"/>
          <w:szCs w:val="22"/>
          <w:lang w:val="en-GB"/>
        </w:rPr>
        <w:t xml:space="preserve">. </w:t>
      </w:r>
    </w:p>
    <w:p w14:paraId="03547CFA" w14:textId="77777777" w:rsidR="00827EBC" w:rsidRDefault="00827EBC" w:rsidP="00DA42DA">
      <w:pPr>
        <w:jc w:val="both"/>
        <w:rPr>
          <w:rFonts w:ascii="Avenir Next" w:hAnsi="Avenir Next" w:cs="Arial"/>
          <w:color w:val="808080" w:themeColor="background1" w:themeShade="80"/>
          <w:sz w:val="22"/>
          <w:szCs w:val="22"/>
          <w:lang w:val="en-GB"/>
        </w:rPr>
      </w:pPr>
    </w:p>
    <w:p w14:paraId="70ED2215" w14:textId="6737D535" w:rsidR="00827EBC" w:rsidRPr="00DA42DA" w:rsidRDefault="006539C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One key</w:t>
      </w:r>
      <w:r w:rsidR="00827EBC">
        <w:rPr>
          <w:rFonts w:ascii="Avenir Next" w:hAnsi="Avenir Next" w:cs="Arial"/>
          <w:color w:val="808080" w:themeColor="background1" w:themeShade="80"/>
          <w:sz w:val="22"/>
          <w:szCs w:val="22"/>
          <w:lang w:val="en-GB"/>
        </w:rPr>
        <w:t xml:space="preserve"> difference between the Montevideo Treaties and the Havana Convention is that the Havana Convention is </w:t>
      </w:r>
      <w:r w:rsidR="00EB56E5">
        <w:rPr>
          <w:rFonts w:ascii="Avenir Next" w:hAnsi="Avenir Next" w:cs="Arial"/>
          <w:color w:val="808080" w:themeColor="background1" w:themeShade="80"/>
          <w:sz w:val="22"/>
          <w:szCs w:val="22"/>
          <w:lang w:val="en-GB"/>
        </w:rPr>
        <w:t xml:space="preserve">seen to be </w:t>
      </w:r>
      <w:r w:rsidR="00827EBC">
        <w:rPr>
          <w:rFonts w:ascii="Avenir Next" w:hAnsi="Avenir Next" w:cs="Arial"/>
          <w:color w:val="808080" w:themeColor="background1" w:themeShade="80"/>
          <w:sz w:val="22"/>
          <w:szCs w:val="22"/>
          <w:lang w:val="en-GB"/>
        </w:rPr>
        <w:t xml:space="preserve">more supportive of an approach which allows for a single proceeding with universal effect </w:t>
      </w:r>
      <w:r w:rsidR="00EB56E5">
        <w:rPr>
          <w:rFonts w:ascii="Avenir Next" w:hAnsi="Avenir Next" w:cs="Arial"/>
          <w:color w:val="808080" w:themeColor="background1" w:themeShade="80"/>
          <w:sz w:val="22"/>
          <w:szCs w:val="22"/>
          <w:lang w:val="en-GB"/>
        </w:rPr>
        <w:t>amongst the contracting States. The Havana Convention accepts that insolvency proceedings commenced in one member State will have extraterritorial effect in another member State. However, it should be noted that there may be concurrent proceedings in Havana Convention States that contain commercial establishments operating entirely separately economically</w:t>
      </w:r>
      <w:r>
        <w:rPr>
          <w:rFonts w:ascii="Avenir Next" w:hAnsi="Avenir Next" w:cs="Arial"/>
          <w:color w:val="808080" w:themeColor="background1" w:themeShade="80"/>
          <w:sz w:val="22"/>
          <w:szCs w:val="22"/>
          <w:lang w:val="en-GB"/>
        </w:rPr>
        <w:t xml:space="preserve">. In such a scenario, the Havana Convention unlike the Montevideo Treaties does not provide for judicial co-operation and coordination of any concurrent insolvency proceedings.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567B901C" w:rsidR="00DA42DA" w:rsidRDefault="00575A0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statement is accurate to the extent that the terms “bankruptcy” and “insolvency” are used as synonyms in many systems. </w:t>
      </w:r>
      <w:r w:rsidR="0083788A">
        <w:rPr>
          <w:rFonts w:ascii="Avenir Next" w:hAnsi="Avenir Next" w:cs="Arial"/>
          <w:color w:val="808080" w:themeColor="background1" w:themeShade="80"/>
          <w:sz w:val="22"/>
          <w:szCs w:val="22"/>
          <w:lang w:val="en-GB"/>
        </w:rPr>
        <w:t xml:space="preserve">However, it is noteworthy that this is not always the case and there may be distinctions between the way in which the terms are used. For one, some systems including Singapore and Australia use the term “insolvency” to refer to the insolvency of a corporation, whereas “bankruptcy” is often used to refer to the insolvency of an individual natural person. Additionally, in some contexts, “insolvency” may refer to the state of financial affairs of a debtor (i.e., balance sheet or cash flow insolvency), whilst “bankruptcy” refers to the formal state of being put into a formal bankruptcy proceeding. </w:t>
      </w:r>
    </w:p>
    <w:p w14:paraId="3DFD486D" w14:textId="77777777" w:rsidR="00831093" w:rsidRDefault="00831093" w:rsidP="00DA42DA">
      <w:pPr>
        <w:jc w:val="both"/>
        <w:rPr>
          <w:rFonts w:ascii="Avenir Next" w:hAnsi="Avenir Next" w:cs="Arial"/>
          <w:color w:val="808080" w:themeColor="background1" w:themeShade="80"/>
          <w:sz w:val="22"/>
          <w:szCs w:val="22"/>
          <w:lang w:val="en-GB"/>
        </w:rPr>
      </w:pPr>
    </w:p>
    <w:p w14:paraId="2DB3FE78" w14:textId="4485972A" w:rsidR="00831093" w:rsidRDefault="0083109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essential characteristics of insolvency or bankruptcy are as follows: 1) there is a moratorium against individual debt enforcement which means that actions by individual creditors against the bankrupt are frozen; 2) the assets of the bankrupt are typically pooled and become available to pay creditors (though different States have provided for exceptions to this rule); 3) creditors are paid </w:t>
      </w:r>
      <w:proofErr w:type="spellStart"/>
      <w:r w:rsidRPr="00831093">
        <w:rPr>
          <w:rFonts w:ascii="Avenir Next" w:hAnsi="Avenir Next" w:cs="Arial"/>
          <w:i/>
          <w:iCs/>
          <w:color w:val="808080" w:themeColor="background1" w:themeShade="80"/>
          <w:sz w:val="22"/>
          <w:szCs w:val="22"/>
          <w:lang w:val="en-GB"/>
        </w:rPr>
        <w:t>pari</w:t>
      </w:r>
      <w:proofErr w:type="spellEnd"/>
      <w:r w:rsidRPr="00831093">
        <w:rPr>
          <w:rFonts w:ascii="Avenir Next" w:hAnsi="Avenir Next" w:cs="Arial"/>
          <w:i/>
          <w:iCs/>
          <w:color w:val="808080" w:themeColor="background1" w:themeShade="80"/>
          <w:sz w:val="22"/>
          <w:szCs w:val="22"/>
          <w:lang w:val="en-GB"/>
        </w:rPr>
        <w:t xml:space="preserve"> passu</w:t>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(with the exception of priority creditors and secured creditors).</w:t>
      </w:r>
    </w:p>
    <w:p w14:paraId="5C522E3D" w14:textId="77777777" w:rsidR="00831093" w:rsidRDefault="00831093" w:rsidP="00DA42DA">
      <w:pPr>
        <w:jc w:val="both"/>
        <w:rPr>
          <w:rFonts w:ascii="Avenir Next" w:hAnsi="Avenir Next" w:cs="Arial"/>
          <w:color w:val="808080" w:themeColor="background1" w:themeShade="80"/>
          <w:sz w:val="22"/>
          <w:szCs w:val="22"/>
          <w:lang w:val="en-GB"/>
        </w:rPr>
      </w:pPr>
    </w:p>
    <w:p w14:paraId="688F52C4" w14:textId="56B3E0C7" w:rsidR="00831093" w:rsidRPr="00831093" w:rsidRDefault="00831093" w:rsidP="00831093">
      <w:pPr>
        <w:jc w:val="both"/>
        <w:rPr>
          <w:rFonts w:ascii="Avenir Next" w:hAnsi="Avenir Next" w:cs="Arial"/>
          <w:color w:val="808080" w:themeColor="background1" w:themeShade="80"/>
          <w:sz w:val="22"/>
          <w:szCs w:val="22"/>
          <w:lang w:val="en-GB"/>
        </w:rPr>
      </w:pPr>
      <w:r w:rsidRPr="00831093">
        <w:rPr>
          <w:rFonts w:ascii="Avenir Next" w:hAnsi="Avenir Next" w:cs="Arial"/>
          <w:color w:val="808080" w:themeColor="background1" w:themeShade="80"/>
          <w:sz w:val="22"/>
          <w:szCs w:val="22"/>
          <w:lang w:val="en-GB"/>
        </w:rPr>
        <w:t xml:space="preserve">In the case of insolvency for individuals, the general objective is to protect the debtor from harassment by creditors to enable the debtor to make a fresh start and to allow the debtor to reduce his indebtedness by making contributions from present and future income to the estate while at the same time taking his personal circumstances into consideration. On the other hand, in the case of corporations, the general objective is to preserve the business (or viable parts of it) and to impose personal liability on responsible persons (e.g., directors / officers of the company) where statutory or fiduciary duties have been breached. This fundamental difference in objectives results in the notion of exempt or excluded assets which applies in some jurisdictions exclusively in relation to individual insolvencies. </w:t>
      </w:r>
    </w:p>
    <w:p w14:paraId="32FD55DC" w14:textId="77777777" w:rsidR="00831093" w:rsidRPr="00831093" w:rsidRDefault="00831093" w:rsidP="00DA42DA">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309E4955" w14:textId="3AB27CAF" w:rsidR="0048504A" w:rsidRPr="0048504A" w:rsidRDefault="0048504A" w:rsidP="0048504A">
      <w:pPr>
        <w:jc w:val="both"/>
        <w:rPr>
          <w:rFonts w:ascii="Avenir Next" w:hAnsi="Avenir Next" w:cs="Arial"/>
          <w:color w:val="808080" w:themeColor="background1" w:themeShade="80"/>
          <w:sz w:val="22"/>
          <w:szCs w:val="22"/>
          <w:lang w:val="en-GB"/>
        </w:rPr>
      </w:pPr>
      <w:r w:rsidRPr="0048504A">
        <w:rPr>
          <w:rFonts w:ascii="Avenir Next" w:hAnsi="Avenir Next" w:cs="Arial"/>
          <w:b/>
          <w:bCs/>
          <w:color w:val="808080" w:themeColor="background1" w:themeShade="80"/>
          <w:sz w:val="22"/>
          <w:szCs w:val="22"/>
          <w:lang w:val="en-GB"/>
        </w:rPr>
        <w:lastRenderedPageBreak/>
        <w:t>First</w:t>
      </w:r>
      <w:r w:rsidRPr="0048504A">
        <w:rPr>
          <w:rFonts w:ascii="Avenir Next" w:hAnsi="Avenir Next" w:cs="Arial"/>
          <w:color w:val="808080" w:themeColor="background1" w:themeShade="80"/>
          <w:sz w:val="22"/>
          <w:szCs w:val="22"/>
          <w:lang w:val="en-GB"/>
        </w:rPr>
        <w:t xml:space="preserve">, both national and international laws on insolvency traditionally show a lack of structure, both formally and informally, to deal with cross-border insolvency cases. The standard of insolvency law in many countries is also relatively low. </w:t>
      </w:r>
    </w:p>
    <w:p w14:paraId="437019FF" w14:textId="77777777" w:rsidR="0048504A" w:rsidRPr="0048504A" w:rsidRDefault="0048504A" w:rsidP="0048504A">
      <w:pPr>
        <w:jc w:val="both"/>
        <w:rPr>
          <w:rFonts w:ascii="Avenir Next" w:hAnsi="Avenir Next" w:cs="Arial"/>
          <w:color w:val="808080" w:themeColor="background1" w:themeShade="80"/>
          <w:sz w:val="22"/>
          <w:szCs w:val="22"/>
          <w:lang w:val="en-GB"/>
        </w:rPr>
      </w:pPr>
    </w:p>
    <w:p w14:paraId="1FAF2C22" w14:textId="2F9061ED" w:rsidR="0048504A" w:rsidRDefault="0048504A" w:rsidP="0048504A">
      <w:pPr>
        <w:jc w:val="both"/>
        <w:rPr>
          <w:rFonts w:ascii="Avenir Next" w:hAnsi="Avenir Next" w:cs="Arial"/>
          <w:color w:val="808080" w:themeColor="background1" w:themeShade="80"/>
          <w:sz w:val="22"/>
          <w:szCs w:val="22"/>
          <w:lang w:val="en-GB"/>
        </w:rPr>
      </w:pPr>
      <w:r w:rsidRPr="0048504A">
        <w:rPr>
          <w:rFonts w:ascii="Avenir Next" w:hAnsi="Avenir Next" w:cs="Arial"/>
          <w:b/>
          <w:bCs/>
          <w:color w:val="808080" w:themeColor="background1" w:themeShade="80"/>
          <w:sz w:val="22"/>
          <w:szCs w:val="22"/>
          <w:lang w:val="en-GB"/>
        </w:rPr>
        <w:t>Second</w:t>
      </w:r>
      <w:r w:rsidRPr="0048504A">
        <w:rPr>
          <w:rFonts w:ascii="Avenir Next" w:hAnsi="Avenir Next" w:cs="Arial"/>
          <w:color w:val="808080" w:themeColor="background1" w:themeShade="80"/>
          <w:sz w:val="22"/>
          <w:szCs w:val="22"/>
          <w:lang w:val="en-GB"/>
        </w:rPr>
        <w:t xml:space="preserve">, it is difficult to reconcile the various national approaches to insolvency. For instance, whilst some jurisdictions are pro-creditor, others might be pro-debtor. Additionally, some systems may give more weight to certain interests over others (for example, labour rights) or show a reluctance to recognise the foreign claims (for taxes, social security etc) or a desire to protect local creditors. </w:t>
      </w:r>
      <w:r>
        <w:rPr>
          <w:rFonts w:ascii="Avenir Next" w:hAnsi="Avenir Next" w:cs="Arial"/>
          <w:color w:val="808080" w:themeColor="background1" w:themeShade="80"/>
          <w:sz w:val="22"/>
          <w:szCs w:val="22"/>
          <w:lang w:val="en-GB"/>
        </w:rPr>
        <w:t xml:space="preserve">Additionally, the differences between domestic insolvency laws also poses a significant challenge. For instance, there are various meanings of the term “insolvency” and a plethora of insolvency proceedings that may be encountered in different systems to deal with unpaid debt. </w:t>
      </w:r>
    </w:p>
    <w:p w14:paraId="7CE2C6FD" w14:textId="0FA4AB89" w:rsidR="0048504A" w:rsidRDefault="0048504A" w:rsidP="0048504A">
      <w:pPr>
        <w:jc w:val="both"/>
        <w:rPr>
          <w:rFonts w:ascii="Avenir Next" w:hAnsi="Avenir Next" w:cs="Arial"/>
          <w:color w:val="808080" w:themeColor="background1" w:themeShade="80"/>
          <w:sz w:val="22"/>
          <w:szCs w:val="22"/>
          <w:lang w:val="en-GB"/>
        </w:rPr>
      </w:pPr>
    </w:p>
    <w:p w14:paraId="541238F4" w14:textId="12994E46" w:rsidR="0048504A" w:rsidRDefault="0048504A" w:rsidP="0048504A">
      <w:pPr>
        <w:jc w:val="both"/>
        <w:rPr>
          <w:rFonts w:ascii="Avenir Next" w:hAnsi="Avenir Next" w:cs="Arial"/>
          <w:color w:val="808080" w:themeColor="background1" w:themeShade="80"/>
          <w:sz w:val="22"/>
          <w:szCs w:val="22"/>
          <w:lang w:val="en-GB"/>
        </w:rPr>
      </w:pPr>
      <w:r w:rsidRPr="0048504A">
        <w:rPr>
          <w:rFonts w:ascii="Avenir Next" w:hAnsi="Avenir Next" w:cs="Arial"/>
          <w:b/>
          <w:bCs/>
          <w:color w:val="808080" w:themeColor="background1" w:themeShade="80"/>
          <w:sz w:val="22"/>
          <w:szCs w:val="22"/>
          <w:lang w:val="en-GB"/>
        </w:rPr>
        <w:t>Third</w:t>
      </w:r>
      <w:r>
        <w:rPr>
          <w:rFonts w:ascii="Avenir Next" w:hAnsi="Avenir Next" w:cs="Arial"/>
          <w:color w:val="808080" w:themeColor="background1" w:themeShade="80"/>
          <w:sz w:val="22"/>
          <w:szCs w:val="22"/>
          <w:lang w:val="en-GB"/>
        </w:rPr>
        <w:t xml:space="preserve">, there are plethora of issues that regularly present themselves in cross-border cases including: standing for the foreign representative; moratorium on creditor actions; creditor participation; executory contracts; co-ordinated claims procedures; priorities and preferences; avoidance provision powers; discharges and conflict-of-law issues. </w:t>
      </w:r>
    </w:p>
    <w:p w14:paraId="1F43453D" w14:textId="77777777" w:rsidR="0048504A" w:rsidRDefault="0048504A" w:rsidP="0048504A">
      <w:pPr>
        <w:jc w:val="both"/>
        <w:rPr>
          <w:rFonts w:ascii="Avenir Next" w:hAnsi="Avenir Next" w:cs="Arial"/>
          <w:color w:val="808080" w:themeColor="background1" w:themeShade="80"/>
          <w:sz w:val="22"/>
          <w:szCs w:val="22"/>
          <w:lang w:val="en-GB"/>
        </w:rPr>
      </w:pPr>
    </w:p>
    <w:p w14:paraId="69D25187" w14:textId="1E5C7E24" w:rsidR="0048504A" w:rsidRPr="0048504A" w:rsidRDefault="0048504A" w:rsidP="004850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Pr="0048504A">
        <w:rPr>
          <w:rFonts w:ascii="Avenir Next" w:hAnsi="Avenir Next" w:cs="Arial"/>
          <w:b/>
          <w:bCs/>
          <w:color w:val="808080" w:themeColor="background1" w:themeShade="80"/>
          <w:sz w:val="22"/>
          <w:szCs w:val="22"/>
          <w:lang w:val="en-GB"/>
        </w:rPr>
        <w:t>Lastly</w:t>
      </w:r>
      <w:r w:rsidRPr="0048504A">
        <w:rPr>
          <w:rFonts w:ascii="Avenir Next" w:hAnsi="Avenir Next" w:cs="Arial"/>
          <w:color w:val="808080" w:themeColor="background1" w:themeShade="80"/>
          <w:sz w:val="22"/>
          <w:szCs w:val="22"/>
          <w:lang w:val="en-GB"/>
        </w:rPr>
        <w:t xml:space="preserve">, States are typically more willing to export than import insolvency proceedings.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0297A1B9" w:rsidR="006A44B2" w:rsidRDefault="006E046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international insolvency, “hard law” refers to legal binding instruments which seek to regulate international insolvencies whilst “soft law” refers to non-binding instruments which seek to influence the regulation of international insolvencies. </w:t>
      </w:r>
    </w:p>
    <w:p w14:paraId="1449DEEC" w14:textId="77777777" w:rsidR="006E046B" w:rsidRDefault="006E046B" w:rsidP="006A44B2">
      <w:pPr>
        <w:jc w:val="both"/>
        <w:rPr>
          <w:rFonts w:ascii="Avenir Next" w:hAnsi="Avenir Next" w:cs="Arial"/>
          <w:color w:val="808080" w:themeColor="background1" w:themeShade="80"/>
          <w:sz w:val="22"/>
          <w:szCs w:val="22"/>
          <w:lang w:val="en-GB"/>
        </w:rPr>
      </w:pPr>
    </w:p>
    <w:p w14:paraId="2367CB5D" w14:textId="0E25B8C3" w:rsidR="0083149F" w:rsidRPr="00DA42DA" w:rsidRDefault="006E046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Examples of “hard law” include </w:t>
      </w:r>
      <w:r w:rsidR="00752E8D">
        <w:rPr>
          <w:rFonts w:ascii="Avenir Next" w:hAnsi="Avenir Next" w:cs="Arial"/>
          <w:color w:val="808080" w:themeColor="background1" w:themeShade="80"/>
          <w:sz w:val="22"/>
          <w:szCs w:val="22"/>
          <w:lang w:val="en-GB"/>
        </w:rPr>
        <w:t xml:space="preserve">treaties and conventions to which States become signatories and thereby bind themselves and affect their domestic law accordingly. As the domestic law would then be enforceable in the courts, these would form part of the State’s “hard law” on insolvency. </w:t>
      </w:r>
      <w:r w:rsidR="0083149F">
        <w:rPr>
          <w:rFonts w:ascii="Avenir Next" w:hAnsi="Avenir Next" w:cs="Arial"/>
          <w:color w:val="808080" w:themeColor="background1" w:themeShade="80"/>
          <w:sz w:val="22"/>
          <w:szCs w:val="22"/>
          <w:lang w:val="en-GB"/>
        </w:rPr>
        <w:t xml:space="preserve">Successful examples of “hard law” include the Nordic Convention (1993) and the European Insolvency Regulation (EIR) (2000). The most successful example of “soft law” would be the Model Law on Cross-Border Insolvency, which was draft legislation that UNCITRAL recommended member States adopt, with or without modification. </w:t>
      </w:r>
    </w:p>
    <w:p w14:paraId="337A4250" w14:textId="2984A001"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26CCBCA3" w:rsidR="002253D8" w:rsidRPr="002253D8" w:rsidRDefault="0083149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0D246D">
        <w:rPr>
          <w:rFonts w:ascii="Avenir Next" w:hAnsi="Avenir Next" w:cs="Arial"/>
          <w:color w:val="808080" w:themeColor="background1" w:themeShade="80"/>
          <w:sz w:val="22"/>
          <w:szCs w:val="22"/>
          <w:lang w:val="en-GB"/>
        </w:rPr>
        <w:t xml:space="preserve">The American insolvent estate representative will be able to rely on the UNCITRAL Model Law on Cross-Border Insolvency as incorporated into UK law (with minor amendments) by the Cross Border Insolvency Regulations 2006 SI 2006/1030 (CBIR) to seek recognition of insolvent estate representative and the terms of the American liquidation order. The representative can also seek the assistance of the English Court to permit him to deal with the assets of Norton Cars situated in England under the </w:t>
      </w:r>
      <w:r w:rsidR="00334D62">
        <w:rPr>
          <w:rFonts w:ascii="Avenir Next" w:hAnsi="Avenir Next" w:cs="Arial"/>
          <w:color w:val="808080" w:themeColor="background1" w:themeShade="80"/>
          <w:sz w:val="22"/>
          <w:szCs w:val="22"/>
          <w:lang w:val="en-GB"/>
        </w:rPr>
        <w:t xml:space="preserve">CBIR.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69938086" w14:textId="4ACB984B" w:rsidR="002253D8" w:rsidRDefault="002253D8" w:rsidP="002253D8">
      <w:pPr>
        <w:jc w:val="both"/>
        <w:rPr>
          <w:rFonts w:ascii="Avenir Next" w:hAnsi="Avenir Next" w:cs="Arial"/>
          <w:sz w:val="22"/>
          <w:szCs w:val="28"/>
        </w:rPr>
      </w:pPr>
    </w:p>
    <w:p w14:paraId="775B3004" w14:textId="4F4B5404" w:rsidR="00334D62" w:rsidRPr="00DA42DA" w:rsidRDefault="00334D62" w:rsidP="002253D8">
      <w:pPr>
        <w:jc w:val="both"/>
        <w:rPr>
          <w:rFonts w:ascii="Avenir Next" w:hAnsi="Avenir Next" w:cs="Arial"/>
          <w:color w:val="808080" w:themeColor="background1" w:themeShade="80"/>
          <w:sz w:val="22"/>
          <w:szCs w:val="22"/>
          <w:lang w:val="en-GB"/>
        </w:rPr>
      </w:pPr>
      <w:r w:rsidRPr="00334D62">
        <w:rPr>
          <w:rFonts w:ascii="Avenir Next" w:hAnsi="Avenir Next" w:cs="Arial"/>
          <w:color w:val="808080" w:themeColor="background1" w:themeShade="80"/>
          <w:sz w:val="22"/>
          <w:szCs w:val="22"/>
          <w:lang w:val="en-GB"/>
        </w:rPr>
        <w:t xml:space="preserve">Regulation (EU) 2015/848 of the European Parliament and of the Council of 20 May 2015 on Insolvency Proceedings (Recast) (EIR Recast) would be the appropriate legal source here. </w:t>
      </w:r>
      <w:r>
        <w:rPr>
          <w:rFonts w:ascii="Avenir Next" w:hAnsi="Avenir Next" w:cs="Arial"/>
          <w:color w:val="808080" w:themeColor="background1" w:themeShade="80"/>
          <w:sz w:val="22"/>
          <w:szCs w:val="22"/>
          <w:lang w:val="en-GB"/>
        </w:rPr>
        <w:t xml:space="preserve">The EIR Recast provides for the recognition and enforcement of cross border insolvency proceedings between EU member states. </w:t>
      </w:r>
      <w:r w:rsidR="00AF5860">
        <w:rPr>
          <w:rFonts w:ascii="Avenir Next" w:hAnsi="Avenir Next" w:cs="Arial"/>
          <w:color w:val="808080" w:themeColor="background1" w:themeShade="80"/>
          <w:sz w:val="22"/>
          <w:szCs w:val="22"/>
          <w:lang w:val="en-GB"/>
        </w:rPr>
        <w:t xml:space="preserve">The main proceeding should be opened in Italy </w:t>
      </w:r>
      <w:r w:rsidR="00EF35CC">
        <w:rPr>
          <w:rFonts w:ascii="Avenir Next" w:hAnsi="Avenir Next" w:cs="Arial"/>
          <w:color w:val="808080" w:themeColor="background1" w:themeShade="80"/>
          <w:sz w:val="22"/>
          <w:szCs w:val="22"/>
          <w:lang w:val="en-GB"/>
        </w:rPr>
        <w:t>where the COMI of the debtor lies</w:t>
      </w:r>
      <w:r w:rsidR="00AF5860">
        <w:rPr>
          <w:rFonts w:ascii="Avenir Next" w:hAnsi="Avenir Next" w:cs="Arial"/>
          <w:color w:val="808080" w:themeColor="background1" w:themeShade="80"/>
          <w:sz w:val="22"/>
          <w:szCs w:val="22"/>
          <w:lang w:val="en-GB"/>
        </w:rPr>
        <w:t>)</w:t>
      </w:r>
      <w:r w:rsidR="00EF35CC">
        <w:rPr>
          <w:rFonts w:ascii="Avenir Next" w:hAnsi="Avenir Next" w:cs="Arial"/>
          <w:color w:val="808080" w:themeColor="background1" w:themeShade="80"/>
          <w:sz w:val="22"/>
          <w:szCs w:val="22"/>
          <w:lang w:val="en-GB"/>
        </w:rPr>
        <w:t xml:space="preserve">. </w:t>
      </w:r>
    </w:p>
    <w:p w14:paraId="0D3B1D18" w14:textId="77777777" w:rsidR="004E1D03" w:rsidRPr="00334D62" w:rsidRDefault="004E1D03" w:rsidP="00692852">
      <w:pPr>
        <w:jc w:val="both"/>
        <w:rPr>
          <w:rFonts w:ascii="Avenir Next" w:hAnsi="Avenir Next"/>
          <w:sz w:val="22"/>
          <w:szCs w:val="22"/>
          <w:lang w:val="en-GB"/>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325EEEF0" w:rsidR="002253D8" w:rsidRPr="002253D8" w:rsidRDefault="00EF35CC"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EIR Recast </w:t>
      </w:r>
      <w:r w:rsidR="00AF5860">
        <w:rPr>
          <w:rFonts w:ascii="Avenir Next" w:hAnsi="Avenir Next" w:cs="Arial"/>
          <w:color w:val="808080" w:themeColor="background1" w:themeShade="80"/>
          <w:sz w:val="22"/>
          <w:szCs w:val="22"/>
          <w:lang w:val="en-GB"/>
        </w:rPr>
        <w:t xml:space="preserve">is a binding piece of EU legislation and it is therefore only directly applicable in all Member States, </w:t>
      </w:r>
      <w:proofErr w:type="gramStart"/>
      <w:r w:rsidR="00AF5860">
        <w:rPr>
          <w:rFonts w:ascii="Avenir Next" w:hAnsi="Avenir Next" w:cs="Arial"/>
          <w:color w:val="808080" w:themeColor="background1" w:themeShade="80"/>
          <w:sz w:val="22"/>
          <w:szCs w:val="22"/>
          <w:lang w:val="en-GB"/>
        </w:rPr>
        <w:t>with the exception of</w:t>
      </w:r>
      <w:proofErr w:type="gramEnd"/>
      <w:r w:rsidR="00AF5860">
        <w:rPr>
          <w:rFonts w:ascii="Avenir Next" w:hAnsi="Avenir Next" w:cs="Arial"/>
          <w:color w:val="808080" w:themeColor="background1" w:themeShade="80"/>
          <w:sz w:val="22"/>
          <w:szCs w:val="22"/>
          <w:lang w:val="en-GB"/>
        </w:rPr>
        <w:t xml:space="preserve"> Denmark.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 xml:space="preserve">For purposes of this part question assume that an insolvency procedure has been opened in terms of Italian law and an Italian insolvent estate representative has been appointed. The representative </w:t>
      </w:r>
      <w:r w:rsidRPr="004827A3">
        <w:rPr>
          <w:rFonts w:ascii="Avenir Next" w:hAnsi="Avenir Next" w:cs="Arial"/>
          <w:sz w:val="22"/>
          <w:szCs w:val="28"/>
        </w:rPr>
        <w:lastRenderedPageBreak/>
        <w:t>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2D5F5708" w:rsidR="002253D8" w:rsidRPr="00DA42DA" w:rsidRDefault="00AF5860" w:rsidP="000B6EEC">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of Italy will apply to the insolvency proceeding whilst the law of Netherlands will apply </w:t>
      </w:r>
      <w:proofErr w:type="gramStart"/>
      <w:r w:rsidR="000B6EEC">
        <w:rPr>
          <w:rFonts w:ascii="Avenir Next" w:hAnsi="Avenir Next" w:cs="Arial"/>
          <w:color w:val="808080" w:themeColor="background1" w:themeShade="80"/>
          <w:sz w:val="22"/>
          <w:szCs w:val="22"/>
          <w:lang w:val="en-GB"/>
        </w:rPr>
        <w:t>with regard to</w:t>
      </w:r>
      <w:proofErr w:type="gramEnd"/>
      <w:r w:rsidR="000B6EEC">
        <w:rPr>
          <w:rFonts w:ascii="Avenir Next" w:hAnsi="Avenir Next" w:cs="Arial"/>
          <w:color w:val="808080" w:themeColor="background1" w:themeShade="80"/>
          <w:sz w:val="22"/>
          <w:szCs w:val="22"/>
          <w:lang w:val="en-GB"/>
        </w:rPr>
        <w:t xml:space="preserve"> the real rights of security situated in the Netherlands.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5D3D4C9E" w:rsidR="002253D8" w:rsidRPr="00DA42DA" w:rsidRDefault="000B6EEC"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Australian law will apply in both instances.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216526D" w:rsidR="00B64A85" w:rsidRPr="00297BDF" w:rsidRDefault="00D51206" w:rsidP="0052732A">
    <w:pPr>
      <w:pStyle w:val="Footer"/>
      <w:ind w:right="360"/>
      <w:rPr>
        <w:rFonts w:ascii="Avenir Next" w:hAnsi="Avenir Next" w:cs="Arial"/>
        <w:sz w:val="22"/>
        <w:szCs w:val="22"/>
      </w:rPr>
    </w:pPr>
    <w:r>
      <w:rPr>
        <w:rFonts w:ascii="Avenir Next" w:hAnsi="Avenir Next" w:cs="Arial"/>
        <w:sz w:val="22"/>
        <w:szCs w:val="22"/>
      </w:rPr>
      <w:t>202324-1248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684"/>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B6EEC"/>
    <w:rsid w:val="000D0C9F"/>
    <w:rsid w:val="000D246D"/>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28B4"/>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6896"/>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1CB"/>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4647"/>
    <w:rsid w:val="0030558B"/>
    <w:rsid w:val="00306E87"/>
    <w:rsid w:val="00310FC2"/>
    <w:rsid w:val="003134B4"/>
    <w:rsid w:val="003144EF"/>
    <w:rsid w:val="0032538A"/>
    <w:rsid w:val="00326292"/>
    <w:rsid w:val="00326415"/>
    <w:rsid w:val="00330937"/>
    <w:rsid w:val="00330F31"/>
    <w:rsid w:val="003326F0"/>
    <w:rsid w:val="00334648"/>
    <w:rsid w:val="00334D62"/>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065"/>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504A"/>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45C"/>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A0E"/>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1D07"/>
    <w:rsid w:val="005B2AA0"/>
    <w:rsid w:val="005B503A"/>
    <w:rsid w:val="005B67AC"/>
    <w:rsid w:val="005C01B0"/>
    <w:rsid w:val="005C0854"/>
    <w:rsid w:val="005C2790"/>
    <w:rsid w:val="005C36E9"/>
    <w:rsid w:val="005C3B3A"/>
    <w:rsid w:val="005C41CF"/>
    <w:rsid w:val="005C4FF2"/>
    <w:rsid w:val="005C6778"/>
    <w:rsid w:val="005D0511"/>
    <w:rsid w:val="005D3437"/>
    <w:rsid w:val="005D43E0"/>
    <w:rsid w:val="005D5579"/>
    <w:rsid w:val="005D58A3"/>
    <w:rsid w:val="005D5FD0"/>
    <w:rsid w:val="005D6C4E"/>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39C9"/>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4C11"/>
    <w:rsid w:val="006D564C"/>
    <w:rsid w:val="006D6BD5"/>
    <w:rsid w:val="006E046B"/>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1DFA"/>
    <w:rsid w:val="00743531"/>
    <w:rsid w:val="007452BB"/>
    <w:rsid w:val="00745A5B"/>
    <w:rsid w:val="007462D9"/>
    <w:rsid w:val="00746A22"/>
    <w:rsid w:val="00751986"/>
    <w:rsid w:val="00752E8D"/>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0578"/>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3DF3"/>
    <w:rsid w:val="0082483F"/>
    <w:rsid w:val="00827849"/>
    <w:rsid w:val="008279C0"/>
    <w:rsid w:val="00827EBC"/>
    <w:rsid w:val="00831093"/>
    <w:rsid w:val="0083149F"/>
    <w:rsid w:val="00836926"/>
    <w:rsid w:val="0083788A"/>
    <w:rsid w:val="00841E70"/>
    <w:rsid w:val="00845226"/>
    <w:rsid w:val="008473AA"/>
    <w:rsid w:val="00851A7A"/>
    <w:rsid w:val="00852883"/>
    <w:rsid w:val="00852F37"/>
    <w:rsid w:val="008571F6"/>
    <w:rsid w:val="00857A02"/>
    <w:rsid w:val="00861E51"/>
    <w:rsid w:val="00870B96"/>
    <w:rsid w:val="008723F3"/>
    <w:rsid w:val="00873246"/>
    <w:rsid w:val="00875E2E"/>
    <w:rsid w:val="008763F0"/>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077D"/>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3B41"/>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338F3"/>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7519A"/>
    <w:rsid w:val="00A81029"/>
    <w:rsid w:val="00A82AFB"/>
    <w:rsid w:val="00A8485D"/>
    <w:rsid w:val="00A86584"/>
    <w:rsid w:val="00A86B29"/>
    <w:rsid w:val="00A90BDB"/>
    <w:rsid w:val="00A94224"/>
    <w:rsid w:val="00A94F10"/>
    <w:rsid w:val="00A96062"/>
    <w:rsid w:val="00A96489"/>
    <w:rsid w:val="00A96BB0"/>
    <w:rsid w:val="00A97D88"/>
    <w:rsid w:val="00AA0E39"/>
    <w:rsid w:val="00AA1F76"/>
    <w:rsid w:val="00AA23CE"/>
    <w:rsid w:val="00AA2CBD"/>
    <w:rsid w:val="00AA5A58"/>
    <w:rsid w:val="00AA670C"/>
    <w:rsid w:val="00AB183D"/>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60"/>
    <w:rsid w:val="00AF5899"/>
    <w:rsid w:val="00AF7ECD"/>
    <w:rsid w:val="00B0123F"/>
    <w:rsid w:val="00B016F7"/>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5CAD"/>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6747"/>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206"/>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0A29"/>
    <w:rsid w:val="00DB1A35"/>
    <w:rsid w:val="00DB243C"/>
    <w:rsid w:val="00DB482A"/>
    <w:rsid w:val="00DB56F2"/>
    <w:rsid w:val="00DB5A5A"/>
    <w:rsid w:val="00DB5D9B"/>
    <w:rsid w:val="00DB6A79"/>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BEC"/>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56E5"/>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35CC"/>
    <w:rsid w:val="00EF5705"/>
    <w:rsid w:val="00EF6653"/>
    <w:rsid w:val="00F033DA"/>
    <w:rsid w:val="00F0424E"/>
    <w:rsid w:val="00F07463"/>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00EA"/>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CE3CD3E7-EA1D-41A3-B988-D3C1D885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11</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Harneys</cp:lastModifiedBy>
  <cp:revision>10</cp:revision>
  <cp:lastPrinted>2020-06-12T02:43:00Z</cp:lastPrinted>
  <dcterms:created xsi:type="dcterms:W3CDTF">2023-11-09T04:34:00Z</dcterms:created>
  <dcterms:modified xsi:type="dcterms:W3CDTF">2023-11-15T18:44:00Z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