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591393" w:rsidRDefault="00806382" w:rsidP="00806382">
      <w:pPr>
        <w:pStyle w:val="ListParagraph"/>
        <w:numPr>
          <w:ilvl w:val="0"/>
          <w:numId w:val="15"/>
        </w:numPr>
        <w:ind w:left="425" w:hanging="357"/>
        <w:jc w:val="both"/>
        <w:rPr>
          <w:rFonts w:ascii="Avenir Next" w:hAnsi="Avenir Next" w:cs="Arial"/>
          <w:sz w:val="22"/>
          <w:szCs w:val="22"/>
          <w:highlight w:val="yellow"/>
        </w:rPr>
      </w:pPr>
      <w:r w:rsidRPr="00591393">
        <w:rPr>
          <w:rFonts w:ascii="Avenir Next" w:hAnsi="Avenir Next" w:cs="Arial"/>
          <w:sz w:val="22"/>
          <w:szCs w:val="22"/>
          <w:highlight w:val="yellow"/>
        </w:rPr>
        <w:t xml:space="preserve">This statement is untrue since the word </w:t>
      </w:r>
      <w:r w:rsidR="00823AB4" w:rsidRPr="00591393">
        <w:rPr>
          <w:rFonts w:ascii="Avenir Next" w:hAnsi="Avenir Next" w:cs="Arial"/>
          <w:sz w:val="22"/>
          <w:szCs w:val="22"/>
          <w:highlight w:val="yellow"/>
        </w:rPr>
        <w:t>“</w:t>
      </w:r>
      <w:r w:rsidRPr="00591393">
        <w:rPr>
          <w:rFonts w:ascii="Avenir Next" w:hAnsi="Avenir Next" w:cs="Arial"/>
          <w:sz w:val="22"/>
          <w:szCs w:val="22"/>
          <w:highlight w:val="yellow"/>
        </w:rPr>
        <w:t>bankruptcy</w:t>
      </w:r>
      <w:r w:rsidR="00823AB4" w:rsidRPr="00591393">
        <w:rPr>
          <w:rFonts w:ascii="Avenir Next" w:hAnsi="Avenir Next" w:cs="Arial"/>
          <w:sz w:val="22"/>
          <w:szCs w:val="22"/>
          <w:highlight w:val="yellow"/>
        </w:rPr>
        <w:t>”</w:t>
      </w:r>
      <w:r w:rsidRPr="00591393">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01E8A" w:rsidRDefault="001211E6" w:rsidP="001211E6">
      <w:pPr>
        <w:pStyle w:val="ListParagraph"/>
        <w:numPr>
          <w:ilvl w:val="0"/>
          <w:numId w:val="16"/>
        </w:numPr>
        <w:ind w:left="426"/>
        <w:jc w:val="both"/>
        <w:rPr>
          <w:rFonts w:ascii="Avenir Next" w:hAnsi="Avenir Next" w:cs="Arial"/>
          <w:sz w:val="22"/>
          <w:szCs w:val="22"/>
          <w:highlight w:val="yellow"/>
        </w:rPr>
      </w:pPr>
      <w:r w:rsidRPr="00701E8A">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9F1E59">
        <w:rPr>
          <w:rFonts w:ascii="Avenir Next Demi Bold" w:hAnsi="Avenir Next Demi Bold" w:cs="Arial"/>
          <w:b/>
          <w:bCs/>
          <w:sz w:val="22"/>
          <w:szCs w:val="22"/>
        </w:rPr>
        <w:t>Question 1.3</w:t>
      </w:r>
      <w:r w:rsidRPr="00CC5ECB">
        <w:rPr>
          <w:rFonts w:ascii="Avenir Next Demi Bold" w:hAnsi="Avenir Next Demi Bold" w:cs="Arial"/>
          <w:b/>
          <w:bCs/>
          <w:sz w:val="22"/>
          <w:szCs w:val="22"/>
        </w:rPr>
        <w:t xml:space="preserve">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AD0C08"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AD0C0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0F6A87"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0F6A87">
        <w:rPr>
          <w:rFonts w:ascii="Avenir Next" w:hAnsi="Avenir Next" w:cs="Arial"/>
          <w:sz w:val="22"/>
          <w:szCs w:val="22"/>
          <w:highlight w:val="yellow"/>
          <w:lang w:val="en-GB"/>
        </w:rPr>
        <w:t xml:space="preserve">This statement is incorrect since a statutory discharge of debt was only introduced in 1705 in England.    </w:t>
      </w:r>
      <w:r w:rsidRPr="000F6A87">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DE2BF5">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8D0CF0" w:rsidRDefault="006514CD" w:rsidP="006514CD">
      <w:pPr>
        <w:pStyle w:val="ListParagraph"/>
        <w:numPr>
          <w:ilvl w:val="0"/>
          <w:numId w:val="19"/>
        </w:numPr>
        <w:ind w:left="425" w:hanging="357"/>
        <w:jc w:val="both"/>
        <w:rPr>
          <w:rFonts w:ascii="Avenir Next" w:hAnsi="Avenir Next" w:cs="Arial"/>
          <w:sz w:val="22"/>
          <w:szCs w:val="22"/>
          <w:highlight w:val="yellow"/>
        </w:rPr>
      </w:pPr>
      <w:r w:rsidRPr="008D0CF0">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B413F4">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376002" w:rsidRDefault="00AD76EF" w:rsidP="00AD76EF">
      <w:pPr>
        <w:pStyle w:val="ListParagraph"/>
        <w:numPr>
          <w:ilvl w:val="0"/>
          <w:numId w:val="17"/>
        </w:numPr>
        <w:ind w:left="426"/>
        <w:jc w:val="both"/>
        <w:rPr>
          <w:rFonts w:ascii="Avenir Next" w:hAnsi="Avenir Next" w:cs="Arial"/>
          <w:sz w:val="22"/>
          <w:szCs w:val="22"/>
          <w:highlight w:val="yellow"/>
        </w:rPr>
      </w:pPr>
      <w:r w:rsidRPr="00376002">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6E0D0E"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6E0D0E">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7C13C0" w:rsidRDefault="009661DE" w:rsidP="009661DE">
      <w:pPr>
        <w:pStyle w:val="ListParagraph"/>
        <w:numPr>
          <w:ilvl w:val="0"/>
          <w:numId w:val="23"/>
        </w:numPr>
        <w:ind w:left="426"/>
        <w:jc w:val="both"/>
        <w:rPr>
          <w:rFonts w:ascii="Avenir Next" w:hAnsi="Avenir Next" w:cs="Arial"/>
          <w:sz w:val="22"/>
          <w:szCs w:val="22"/>
          <w:highlight w:val="yellow"/>
        </w:rPr>
      </w:pPr>
      <w:r w:rsidRPr="007C13C0">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E40C93" w:rsidRDefault="003B3A0D" w:rsidP="003B3A0D">
      <w:pPr>
        <w:pStyle w:val="ListParagraph"/>
        <w:numPr>
          <w:ilvl w:val="0"/>
          <w:numId w:val="24"/>
        </w:numPr>
        <w:ind w:left="426"/>
        <w:jc w:val="both"/>
        <w:rPr>
          <w:rFonts w:ascii="Avenir Next" w:hAnsi="Avenir Next" w:cs="Arial"/>
          <w:sz w:val="22"/>
          <w:szCs w:val="22"/>
          <w:highlight w:val="yellow"/>
        </w:rPr>
      </w:pPr>
      <w:r w:rsidRPr="00E40C93">
        <w:rPr>
          <w:rFonts w:ascii="Avenir Next" w:hAnsi="Avenir Next" w:cs="Arial"/>
          <w:sz w:val="22"/>
          <w:szCs w:val="22"/>
          <w:highlight w:val="yellow"/>
        </w:rPr>
        <w:t xml:space="preserve">This statement is untrue because universalism corresponds well to </w:t>
      </w:r>
      <w:proofErr w:type="spellStart"/>
      <w:r w:rsidRPr="00E40C93">
        <w:rPr>
          <w:rFonts w:ascii="Avenir Next" w:hAnsi="Avenir Next" w:cs="Arial"/>
          <w:sz w:val="22"/>
          <w:szCs w:val="22"/>
          <w:highlight w:val="yellow"/>
        </w:rPr>
        <w:t>globali</w:t>
      </w:r>
      <w:r w:rsidR="00142E15" w:rsidRPr="00E40C93">
        <w:rPr>
          <w:rFonts w:ascii="Avenir Next" w:hAnsi="Avenir Next" w:cs="Arial"/>
          <w:sz w:val="22"/>
          <w:szCs w:val="22"/>
          <w:highlight w:val="yellow"/>
        </w:rPr>
        <w:t>s</w:t>
      </w:r>
      <w:r w:rsidRPr="00E40C93">
        <w:rPr>
          <w:rFonts w:ascii="Avenir Next" w:hAnsi="Avenir Next" w:cs="Arial"/>
          <w:sz w:val="22"/>
          <w:szCs w:val="22"/>
          <w:highlight w:val="yellow"/>
        </w:rPr>
        <w:t>ation</w:t>
      </w:r>
      <w:proofErr w:type="spellEnd"/>
      <w:r w:rsidRPr="00E40C93">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30DAD87" w14:textId="77777777" w:rsidR="005B447E" w:rsidRDefault="006C5AC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whose insolvency law systems have historical roots in civil law include the Netherlands, France, Germany, and Spain.</w:t>
      </w:r>
      <w:r w:rsidR="003B7EE3">
        <w:rPr>
          <w:rFonts w:ascii="Avenir Next" w:hAnsi="Avenir Next" w:cs="Arial"/>
          <w:color w:val="808080" w:themeColor="background1" w:themeShade="80"/>
          <w:sz w:val="22"/>
          <w:szCs w:val="22"/>
          <w:lang w:val="en-GB"/>
        </w:rPr>
        <w:t xml:space="preserve"> </w:t>
      </w:r>
    </w:p>
    <w:p w14:paraId="6BDDFF9C" w14:textId="77777777" w:rsidR="005B447E" w:rsidRDefault="005B447E" w:rsidP="00692852">
      <w:pPr>
        <w:jc w:val="both"/>
        <w:rPr>
          <w:rFonts w:ascii="Avenir Next" w:hAnsi="Avenir Next" w:cs="Arial"/>
          <w:color w:val="808080" w:themeColor="background1" w:themeShade="80"/>
          <w:sz w:val="22"/>
          <w:szCs w:val="22"/>
          <w:lang w:val="en-GB"/>
        </w:rPr>
      </w:pPr>
    </w:p>
    <w:p w14:paraId="79CFB2AD" w14:textId="3EC6CE1D" w:rsidR="006548CF" w:rsidRDefault="006548C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whose insolvency law systems have historical roots in common law include the United Kingdom</w:t>
      </w:r>
      <w:r w:rsidR="008F30B1">
        <w:rPr>
          <w:rFonts w:ascii="Avenir Next" w:hAnsi="Avenir Next" w:cs="Arial"/>
          <w:color w:val="808080" w:themeColor="background1" w:themeShade="80"/>
          <w:sz w:val="22"/>
          <w:szCs w:val="22"/>
          <w:lang w:val="en-GB"/>
        </w:rPr>
        <w:t xml:space="preserve"> (the “</w:t>
      </w:r>
      <w:r w:rsidR="008F30B1" w:rsidRPr="008F30B1">
        <w:rPr>
          <w:rFonts w:ascii="Avenir Next" w:hAnsi="Avenir Next" w:cs="Arial"/>
          <w:b/>
          <w:bCs/>
          <w:color w:val="808080" w:themeColor="background1" w:themeShade="80"/>
          <w:sz w:val="22"/>
          <w:szCs w:val="22"/>
          <w:lang w:val="en-GB"/>
        </w:rPr>
        <w:t>UK</w:t>
      </w:r>
      <w:r w:rsidR="008F30B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8F30B1">
        <w:rPr>
          <w:rFonts w:ascii="Avenir Next" w:hAnsi="Avenir Next" w:cs="Arial"/>
          <w:color w:val="808080" w:themeColor="background1" w:themeShade="80"/>
          <w:sz w:val="22"/>
          <w:szCs w:val="22"/>
          <w:lang w:val="en-GB"/>
        </w:rPr>
        <w:t>the United States of America (the “</w:t>
      </w:r>
      <w:r w:rsidR="008F30B1" w:rsidRPr="008F30B1">
        <w:rPr>
          <w:rFonts w:ascii="Avenir Next" w:hAnsi="Avenir Next" w:cs="Arial"/>
          <w:b/>
          <w:bCs/>
          <w:color w:val="808080" w:themeColor="background1" w:themeShade="80"/>
          <w:sz w:val="22"/>
          <w:szCs w:val="22"/>
          <w:lang w:val="en-GB"/>
        </w:rPr>
        <w:t>USA</w:t>
      </w:r>
      <w:r w:rsidR="008F30B1">
        <w:rPr>
          <w:rFonts w:ascii="Avenir Next" w:hAnsi="Avenir Next" w:cs="Arial"/>
          <w:color w:val="808080" w:themeColor="background1" w:themeShade="80"/>
          <w:sz w:val="22"/>
          <w:szCs w:val="22"/>
          <w:lang w:val="en-GB"/>
        </w:rPr>
        <w:t>”), Australia</w:t>
      </w:r>
      <w:r w:rsidR="00D1576B">
        <w:rPr>
          <w:rFonts w:ascii="Avenir Next" w:hAnsi="Avenir Next" w:cs="Arial"/>
          <w:color w:val="808080" w:themeColor="background1" w:themeShade="80"/>
          <w:sz w:val="22"/>
          <w:szCs w:val="22"/>
          <w:lang w:val="en-GB"/>
        </w:rPr>
        <w:t xml:space="preserve">, </w:t>
      </w:r>
      <w:r w:rsidR="00334FAE">
        <w:rPr>
          <w:rFonts w:ascii="Avenir Next" w:hAnsi="Avenir Next" w:cs="Arial"/>
          <w:color w:val="808080" w:themeColor="background1" w:themeShade="80"/>
          <w:sz w:val="22"/>
          <w:szCs w:val="22"/>
          <w:lang w:val="en-GB"/>
        </w:rPr>
        <w:t>India</w:t>
      </w:r>
      <w:r w:rsidR="00D1576B">
        <w:rPr>
          <w:rFonts w:ascii="Avenir Next" w:hAnsi="Avenir Next" w:cs="Arial"/>
          <w:color w:val="808080" w:themeColor="background1" w:themeShade="80"/>
          <w:sz w:val="22"/>
          <w:szCs w:val="22"/>
          <w:lang w:val="en-GB"/>
        </w:rPr>
        <w:t>, and Singapore.</w:t>
      </w:r>
    </w:p>
    <w:p w14:paraId="793839D3" w14:textId="77777777" w:rsidR="00DC054A" w:rsidRDefault="00DC054A" w:rsidP="00692852">
      <w:pPr>
        <w:jc w:val="both"/>
        <w:rPr>
          <w:rFonts w:ascii="Avenir Next" w:hAnsi="Avenir Next" w:cs="Arial"/>
          <w:color w:val="808080" w:themeColor="background1" w:themeShade="80"/>
          <w:sz w:val="22"/>
          <w:szCs w:val="22"/>
          <w:lang w:val="en-GB"/>
        </w:rPr>
      </w:pPr>
    </w:p>
    <w:p w14:paraId="50274D7D" w14:textId="251A25DA" w:rsidR="003B7EE3" w:rsidRDefault="00DC054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difference between the 2 groups of countries is that the </w:t>
      </w:r>
      <w:r w:rsidR="00DE6617">
        <w:rPr>
          <w:rFonts w:ascii="Avenir Next" w:hAnsi="Avenir Next" w:cs="Arial"/>
          <w:color w:val="808080" w:themeColor="background1" w:themeShade="80"/>
          <w:sz w:val="22"/>
          <w:szCs w:val="22"/>
          <w:lang w:val="en-GB"/>
        </w:rPr>
        <w:t xml:space="preserve">systems based on the common law </w:t>
      </w:r>
      <w:r w:rsidR="00AD4E0B">
        <w:rPr>
          <w:rFonts w:ascii="Avenir Next" w:hAnsi="Avenir Next" w:cs="Arial"/>
          <w:color w:val="808080" w:themeColor="background1" w:themeShade="80"/>
          <w:sz w:val="22"/>
          <w:szCs w:val="22"/>
          <w:lang w:val="en-GB"/>
        </w:rPr>
        <w:t xml:space="preserve">have case law </w:t>
      </w:r>
      <w:r w:rsidR="00D54B4C">
        <w:rPr>
          <w:rFonts w:ascii="Avenir Next" w:hAnsi="Avenir Next" w:cs="Arial"/>
          <w:color w:val="808080" w:themeColor="background1" w:themeShade="80"/>
          <w:sz w:val="22"/>
          <w:szCs w:val="22"/>
          <w:lang w:val="en-GB"/>
        </w:rPr>
        <w:t xml:space="preserve">that </w:t>
      </w:r>
      <w:r w:rsidR="00B4286F">
        <w:rPr>
          <w:rFonts w:ascii="Avenir Next" w:hAnsi="Avenir Next" w:cs="Arial"/>
          <w:color w:val="808080" w:themeColor="background1" w:themeShade="80"/>
          <w:sz w:val="22"/>
          <w:szCs w:val="22"/>
          <w:lang w:val="en-GB"/>
        </w:rPr>
        <w:t>serve as an additional source of law</w:t>
      </w:r>
      <w:r w:rsidR="006E64ED">
        <w:rPr>
          <w:rFonts w:ascii="Avenir Next" w:hAnsi="Avenir Next" w:cs="Arial"/>
          <w:color w:val="808080" w:themeColor="background1" w:themeShade="80"/>
          <w:sz w:val="22"/>
          <w:szCs w:val="22"/>
          <w:lang w:val="en-GB"/>
        </w:rPr>
        <w:t xml:space="preserve"> for insolvency matters. This is because decided cases in common law systems have binding effect</w:t>
      </w:r>
      <w:r w:rsidR="0078721E">
        <w:rPr>
          <w:rFonts w:ascii="Avenir Next" w:hAnsi="Avenir Next" w:cs="Arial"/>
          <w:color w:val="808080" w:themeColor="background1" w:themeShade="80"/>
          <w:sz w:val="22"/>
          <w:szCs w:val="22"/>
          <w:lang w:val="en-GB"/>
        </w:rPr>
        <w:t xml:space="preserve"> and can help to develop the law or fill legal lacunas in the existing insolvency legislation. </w:t>
      </w:r>
      <w:r w:rsidR="003D507C">
        <w:rPr>
          <w:rFonts w:ascii="Avenir Next" w:hAnsi="Avenir Next" w:cs="Arial"/>
          <w:color w:val="808080" w:themeColor="background1" w:themeShade="80"/>
          <w:sz w:val="22"/>
          <w:szCs w:val="22"/>
          <w:lang w:val="en-GB"/>
        </w:rPr>
        <w:t>Systems based on the civil law generally</w:t>
      </w:r>
      <w:r w:rsidR="003920E3">
        <w:rPr>
          <w:rFonts w:ascii="Avenir Next" w:hAnsi="Avenir Next" w:cs="Arial"/>
          <w:color w:val="808080" w:themeColor="background1" w:themeShade="80"/>
          <w:sz w:val="22"/>
          <w:szCs w:val="22"/>
          <w:lang w:val="en-GB"/>
        </w:rPr>
        <w:t xml:space="preserve"> do not </w:t>
      </w:r>
      <w:r w:rsidR="00612DCC">
        <w:rPr>
          <w:rFonts w:ascii="Avenir Next" w:hAnsi="Avenir Next" w:cs="Arial"/>
          <w:color w:val="808080" w:themeColor="background1" w:themeShade="80"/>
          <w:sz w:val="22"/>
          <w:szCs w:val="22"/>
          <w:lang w:val="en-GB"/>
        </w:rPr>
        <w:t>have such a system</w:t>
      </w:r>
      <w:r w:rsidR="004B6457">
        <w:rPr>
          <w:rFonts w:ascii="Avenir Next" w:hAnsi="Avenir Next" w:cs="Arial"/>
          <w:color w:val="808080" w:themeColor="background1" w:themeShade="80"/>
          <w:sz w:val="22"/>
          <w:szCs w:val="22"/>
          <w:lang w:val="en-GB"/>
        </w:rPr>
        <w:t xml:space="preserve">, </w:t>
      </w:r>
      <w:r w:rsidR="00612DCC">
        <w:rPr>
          <w:rFonts w:ascii="Avenir Next" w:hAnsi="Avenir Next" w:cs="Arial"/>
          <w:color w:val="808080" w:themeColor="background1" w:themeShade="80"/>
          <w:sz w:val="22"/>
          <w:szCs w:val="22"/>
          <w:lang w:val="en-GB"/>
        </w:rPr>
        <w:t xml:space="preserve">and </w:t>
      </w:r>
      <w:r w:rsidR="0078721E">
        <w:rPr>
          <w:rFonts w:ascii="Avenir Next" w:hAnsi="Avenir Next" w:cs="Arial"/>
          <w:color w:val="808080" w:themeColor="background1" w:themeShade="80"/>
          <w:sz w:val="22"/>
          <w:szCs w:val="22"/>
          <w:lang w:val="en-GB"/>
        </w:rPr>
        <w:t>legislation and codes are the</w:t>
      </w:r>
      <w:r w:rsidR="004B6457">
        <w:rPr>
          <w:rFonts w:ascii="Avenir Next" w:hAnsi="Avenir Next" w:cs="Arial"/>
          <w:color w:val="808080" w:themeColor="background1" w:themeShade="80"/>
          <w:sz w:val="22"/>
          <w:szCs w:val="22"/>
          <w:lang w:val="en-GB"/>
        </w:rPr>
        <w:t xml:space="preserve">ir main source </w:t>
      </w:r>
      <w:r w:rsidR="00612DCC">
        <w:rPr>
          <w:rFonts w:ascii="Avenir Next" w:hAnsi="Avenir Next" w:cs="Arial"/>
          <w:color w:val="808080" w:themeColor="background1" w:themeShade="80"/>
          <w:sz w:val="22"/>
          <w:szCs w:val="22"/>
          <w:lang w:val="en-GB"/>
        </w:rPr>
        <w:t>of law</w:t>
      </w:r>
      <w:r w:rsidR="0078721E">
        <w:rPr>
          <w:rFonts w:ascii="Avenir Next" w:hAnsi="Avenir Next" w:cs="Arial"/>
          <w:color w:val="808080" w:themeColor="background1" w:themeShade="80"/>
          <w:sz w:val="22"/>
          <w:szCs w:val="22"/>
          <w:lang w:val="en-GB"/>
        </w:rPr>
        <w:t>.</w:t>
      </w:r>
    </w:p>
    <w:p w14:paraId="2FB6F0F6" w14:textId="77777777" w:rsidR="00C9438F" w:rsidRDefault="00C9438F" w:rsidP="00692852">
      <w:pPr>
        <w:jc w:val="both"/>
        <w:rPr>
          <w:rFonts w:ascii="Avenir Next" w:hAnsi="Avenir Next" w:cs="Arial"/>
          <w:color w:val="808080" w:themeColor="background1" w:themeShade="80"/>
          <w:sz w:val="22"/>
          <w:szCs w:val="22"/>
          <w:lang w:val="en-GB"/>
        </w:rPr>
      </w:pPr>
    </w:p>
    <w:p w14:paraId="71211BF2" w14:textId="059A8BB4" w:rsidR="00C9438F" w:rsidRDefault="00C9438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also similarities between the 2 groups of countries. For example, </w:t>
      </w:r>
      <w:r w:rsidR="004551B0">
        <w:rPr>
          <w:rFonts w:ascii="Avenir Next" w:hAnsi="Avenir Next" w:cs="Arial"/>
          <w:color w:val="808080" w:themeColor="background1" w:themeShade="80"/>
          <w:sz w:val="22"/>
          <w:szCs w:val="22"/>
          <w:lang w:val="en-GB"/>
        </w:rPr>
        <w:t>countries in either insolvency law systems can be signatories to international treaties and conventions</w:t>
      </w:r>
      <w:r w:rsidR="00690A9B">
        <w:rPr>
          <w:rFonts w:ascii="Avenir Next" w:hAnsi="Avenir Next" w:cs="Arial"/>
          <w:color w:val="808080" w:themeColor="background1" w:themeShade="80"/>
          <w:sz w:val="22"/>
          <w:szCs w:val="22"/>
          <w:lang w:val="en-GB"/>
        </w:rPr>
        <w:t xml:space="preserve"> and bind themselves to them by </w:t>
      </w:r>
      <w:r w:rsidR="00A7500D">
        <w:rPr>
          <w:rFonts w:ascii="Avenir Next" w:hAnsi="Avenir Next" w:cs="Arial"/>
          <w:color w:val="808080" w:themeColor="background1" w:themeShade="80"/>
          <w:sz w:val="22"/>
          <w:szCs w:val="22"/>
          <w:lang w:val="en-GB"/>
        </w:rPr>
        <w:t>enacting local legislation in compliance with these international instruments.</w:t>
      </w:r>
      <w:r w:rsidR="00684CAC">
        <w:rPr>
          <w:rFonts w:ascii="Avenir Next" w:hAnsi="Avenir Next" w:cs="Arial"/>
          <w:color w:val="808080" w:themeColor="background1" w:themeShade="80"/>
          <w:sz w:val="22"/>
          <w:szCs w:val="22"/>
          <w:lang w:val="en-GB"/>
        </w:rPr>
        <w:t xml:space="preserve"> In this regard, </w:t>
      </w:r>
      <w:r w:rsidR="00FD23D7">
        <w:rPr>
          <w:rFonts w:ascii="Avenir Next" w:hAnsi="Avenir Next" w:cs="Arial"/>
          <w:color w:val="808080" w:themeColor="background1" w:themeShade="80"/>
          <w:sz w:val="22"/>
          <w:szCs w:val="22"/>
          <w:lang w:val="en-GB"/>
        </w:rPr>
        <w:t xml:space="preserve">Germany, Spain, </w:t>
      </w:r>
      <w:r w:rsidR="00875D76">
        <w:rPr>
          <w:rFonts w:ascii="Avenir Next" w:hAnsi="Avenir Next" w:cs="Arial"/>
          <w:color w:val="808080" w:themeColor="background1" w:themeShade="80"/>
          <w:sz w:val="22"/>
          <w:szCs w:val="22"/>
          <w:lang w:val="en-GB"/>
        </w:rPr>
        <w:t xml:space="preserve">the UK, Australia, India, Singapore, and various states in the USA are all signatories to the </w:t>
      </w:r>
      <w:r w:rsidR="003D0225">
        <w:rPr>
          <w:rFonts w:ascii="Avenir Next" w:hAnsi="Avenir Next" w:cs="Arial"/>
          <w:color w:val="808080" w:themeColor="background1" w:themeShade="80"/>
          <w:sz w:val="22"/>
          <w:szCs w:val="22"/>
          <w:lang w:val="en-GB"/>
        </w:rPr>
        <w:t>UNCITRAL Model Law on Cross-Border Insolvency (“</w:t>
      </w:r>
      <w:r w:rsidR="003D0225" w:rsidRPr="003D0225">
        <w:rPr>
          <w:rFonts w:ascii="Avenir Next" w:hAnsi="Avenir Next" w:cs="Arial"/>
          <w:b/>
          <w:bCs/>
          <w:color w:val="808080" w:themeColor="background1" w:themeShade="80"/>
          <w:sz w:val="22"/>
          <w:szCs w:val="22"/>
          <w:lang w:val="en-GB"/>
        </w:rPr>
        <w:t>Insolvency Model Law</w:t>
      </w:r>
      <w:r w:rsidR="003D0225">
        <w:rPr>
          <w:rFonts w:ascii="Avenir Next" w:hAnsi="Avenir Next" w:cs="Arial"/>
          <w:color w:val="808080" w:themeColor="background1" w:themeShade="80"/>
          <w:sz w:val="22"/>
          <w:szCs w:val="22"/>
          <w:lang w:val="en-GB"/>
        </w:rPr>
        <w:t>”).</w:t>
      </w:r>
    </w:p>
    <w:p w14:paraId="0D4D88CF" w14:textId="77777777" w:rsidR="003B7EE3" w:rsidRDefault="003B7EE3" w:rsidP="00692852">
      <w:pPr>
        <w:jc w:val="both"/>
        <w:rPr>
          <w:rFonts w:ascii="Avenir Next" w:hAnsi="Avenir Next" w:cs="Arial"/>
          <w:color w:val="808080" w:themeColor="background1" w:themeShade="80"/>
          <w:sz w:val="22"/>
          <w:szCs w:val="22"/>
          <w:lang w:val="en-GB"/>
        </w:rPr>
      </w:pPr>
    </w:p>
    <w:p w14:paraId="4C5B1255" w14:textId="13542876" w:rsidR="00B74836" w:rsidRPr="00DA42DA" w:rsidRDefault="0024117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w:t>
      </w:r>
      <w:r w:rsidR="00B74836">
        <w:rPr>
          <w:rFonts w:ascii="Avenir Next" w:hAnsi="Avenir Next" w:cs="Arial"/>
          <w:color w:val="808080" w:themeColor="background1" w:themeShade="80"/>
          <w:sz w:val="22"/>
          <w:szCs w:val="22"/>
          <w:lang w:val="en-GB"/>
        </w:rPr>
        <w:t xml:space="preserve"> should be noted </w:t>
      </w:r>
      <w:r w:rsidR="00DC054A">
        <w:rPr>
          <w:rFonts w:ascii="Avenir Next" w:hAnsi="Avenir Next" w:cs="Arial"/>
          <w:color w:val="808080" w:themeColor="background1" w:themeShade="80"/>
          <w:sz w:val="22"/>
          <w:szCs w:val="22"/>
          <w:lang w:val="en-GB"/>
        </w:rPr>
        <w:t>there are differences</w:t>
      </w:r>
      <w:r w:rsidR="00537204">
        <w:rPr>
          <w:rFonts w:ascii="Avenir Next" w:hAnsi="Avenir Next" w:cs="Arial"/>
          <w:color w:val="808080" w:themeColor="background1" w:themeShade="80"/>
          <w:sz w:val="22"/>
          <w:szCs w:val="22"/>
          <w:lang w:val="en-GB"/>
        </w:rPr>
        <w:t xml:space="preserve"> even within insolvency law systems with</w:t>
      </w:r>
      <w:r w:rsidR="00F86B0C">
        <w:rPr>
          <w:rFonts w:ascii="Avenir Next" w:hAnsi="Avenir Next" w:cs="Arial"/>
          <w:color w:val="808080" w:themeColor="background1" w:themeShade="80"/>
          <w:sz w:val="22"/>
          <w:szCs w:val="22"/>
          <w:lang w:val="en-GB"/>
        </w:rPr>
        <w:t xml:space="preserve"> similar historical roots. For example, even though</w:t>
      </w:r>
      <w:r w:rsidR="00396C0F">
        <w:rPr>
          <w:rFonts w:ascii="Avenir Next" w:hAnsi="Avenir Next" w:cs="Arial"/>
          <w:color w:val="808080" w:themeColor="background1" w:themeShade="80"/>
          <w:sz w:val="22"/>
          <w:szCs w:val="22"/>
          <w:lang w:val="en-GB"/>
        </w:rPr>
        <w:t xml:space="preserve"> the insolvency law systems of UK</w:t>
      </w:r>
      <w:r w:rsidR="00FA6560">
        <w:rPr>
          <w:rFonts w:ascii="Avenir Next" w:hAnsi="Avenir Next" w:cs="Arial"/>
          <w:color w:val="808080" w:themeColor="background1" w:themeShade="80"/>
          <w:sz w:val="22"/>
          <w:szCs w:val="22"/>
          <w:lang w:val="en-GB"/>
        </w:rPr>
        <w:t xml:space="preserve">, USA, and </w:t>
      </w:r>
      <w:r w:rsidR="00396C0F">
        <w:rPr>
          <w:rFonts w:ascii="Avenir Next" w:hAnsi="Avenir Next" w:cs="Arial"/>
          <w:color w:val="808080" w:themeColor="background1" w:themeShade="80"/>
          <w:sz w:val="22"/>
          <w:szCs w:val="22"/>
          <w:lang w:val="en-GB"/>
        </w:rPr>
        <w:t xml:space="preserve">Australia have historical roots in the common law, </w:t>
      </w:r>
      <w:r w:rsidR="00FA6560">
        <w:rPr>
          <w:rFonts w:ascii="Avenir Next" w:hAnsi="Avenir Next" w:cs="Arial"/>
          <w:color w:val="808080" w:themeColor="background1" w:themeShade="80"/>
          <w:sz w:val="22"/>
          <w:szCs w:val="22"/>
          <w:lang w:val="en-GB"/>
        </w:rPr>
        <w:t xml:space="preserve">there are notable differences </w:t>
      </w:r>
      <w:r w:rsidR="00A229DD">
        <w:rPr>
          <w:rFonts w:ascii="Avenir Next" w:hAnsi="Avenir Next" w:cs="Arial"/>
          <w:color w:val="808080" w:themeColor="background1" w:themeShade="80"/>
          <w:sz w:val="22"/>
          <w:szCs w:val="22"/>
          <w:lang w:val="en-GB"/>
        </w:rPr>
        <w:t xml:space="preserve">between these jurisdictions. In this regard, the UK </w:t>
      </w:r>
      <w:r w:rsidR="00181DFD">
        <w:rPr>
          <w:rFonts w:ascii="Avenir Next" w:hAnsi="Avenir Next" w:cs="Arial"/>
          <w:color w:val="808080" w:themeColor="background1" w:themeShade="80"/>
          <w:sz w:val="22"/>
          <w:szCs w:val="22"/>
          <w:lang w:val="en-GB"/>
        </w:rPr>
        <w:t xml:space="preserve">and the USA have </w:t>
      </w:r>
      <w:r w:rsidR="00396C0F">
        <w:rPr>
          <w:rFonts w:ascii="Avenir Next" w:hAnsi="Avenir Next" w:cs="Arial"/>
          <w:color w:val="808080" w:themeColor="background1" w:themeShade="80"/>
          <w:sz w:val="22"/>
          <w:szCs w:val="22"/>
          <w:lang w:val="en-GB"/>
        </w:rPr>
        <w:t>a single and unified piece of bankruptcy legislation covering all aspects of bankruptcy</w:t>
      </w:r>
      <w:r w:rsidR="00181DFD">
        <w:rPr>
          <w:rFonts w:ascii="Avenir Next" w:hAnsi="Avenir Next" w:cs="Arial"/>
          <w:color w:val="808080" w:themeColor="background1" w:themeShade="80"/>
          <w:sz w:val="22"/>
          <w:szCs w:val="22"/>
          <w:lang w:val="en-GB"/>
        </w:rPr>
        <w:t xml:space="preserve"> (</w:t>
      </w:r>
      <w:proofErr w:type="gramStart"/>
      <w:r w:rsidR="00181DFD">
        <w:rPr>
          <w:rFonts w:ascii="Avenir Next" w:hAnsi="Avenir Next" w:cs="Arial"/>
          <w:color w:val="808080" w:themeColor="background1" w:themeShade="80"/>
          <w:sz w:val="22"/>
          <w:szCs w:val="22"/>
          <w:lang w:val="en-GB"/>
        </w:rPr>
        <w:t>i.e.</w:t>
      </w:r>
      <w:proofErr w:type="gramEnd"/>
      <w:r w:rsidR="00181DFD">
        <w:rPr>
          <w:rFonts w:ascii="Avenir Next" w:hAnsi="Avenir Next" w:cs="Arial"/>
          <w:color w:val="808080" w:themeColor="background1" w:themeShade="80"/>
          <w:sz w:val="22"/>
          <w:szCs w:val="22"/>
          <w:lang w:val="en-GB"/>
        </w:rPr>
        <w:t xml:space="preserve"> the</w:t>
      </w:r>
      <w:r w:rsidR="00490ED6">
        <w:rPr>
          <w:rFonts w:ascii="Avenir Next" w:hAnsi="Avenir Next" w:cs="Arial"/>
          <w:color w:val="808080" w:themeColor="background1" w:themeShade="80"/>
          <w:sz w:val="22"/>
          <w:szCs w:val="22"/>
          <w:lang w:val="en-GB"/>
        </w:rPr>
        <w:t xml:space="preserve"> UK</w:t>
      </w:r>
      <w:r w:rsidR="00181DFD">
        <w:rPr>
          <w:rFonts w:ascii="Avenir Next" w:hAnsi="Avenir Next" w:cs="Arial"/>
          <w:color w:val="808080" w:themeColor="background1" w:themeShade="80"/>
          <w:sz w:val="22"/>
          <w:szCs w:val="22"/>
          <w:lang w:val="en-GB"/>
        </w:rPr>
        <w:t xml:space="preserve"> Insolvency Act of 1986 and the </w:t>
      </w:r>
      <w:r w:rsidR="00490ED6">
        <w:rPr>
          <w:rFonts w:ascii="Avenir Next" w:hAnsi="Avenir Next" w:cs="Arial"/>
          <w:color w:val="808080" w:themeColor="background1" w:themeShade="80"/>
          <w:sz w:val="22"/>
          <w:szCs w:val="22"/>
          <w:lang w:val="en-GB"/>
        </w:rPr>
        <w:t xml:space="preserve">USA </w:t>
      </w:r>
      <w:r w:rsidR="00181DFD">
        <w:rPr>
          <w:rFonts w:ascii="Avenir Next" w:hAnsi="Avenir Next" w:cs="Arial"/>
          <w:color w:val="808080" w:themeColor="background1" w:themeShade="80"/>
          <w:sz w:val="22"/>
          <w:szCs w:val="22"/>
          <w:lang w:val="en-GB"/>
        </w:rPr>
        <w:t>Bankruptcy Code 1978)</w:t>
      </w:r>
      <w:r w:rsidR="00396C0F">
        <w:rPr>
          <w:rFonts w:ascii="Avenir Next" w:hAnsi="Avenir Next" w:cs="Arial"/>
          <w:color w:val="808080" w:themeColor="background1" w:themeShade="80"/>
          <w:sz w:val="22"/>
          <w:szCs w:val="22"/>
          <w:lang w:val="en-GB"/>
        </w:rPr>
        <w:t>,</w:t>
      </w:r>
      <w:r w:rsidR="00C305A8">
        <w:rPr>
          <w:rFonts w:ascii="Avenir Next" w:hAnsi="Avenir Next" w:cs="Arial"/>
          <w:color w:val="808080" w:themeColor="background1" w:themeShade="80"/>
          <w:sz w:val="22"/>
          <w:szCs w:val="22"/>
          <w:lang w:val="en-GB"/>
        </w:rPr>
        <w:t xml:space="preserve"> whereas Australia</w:t>
      </w:r>
      <w:r w:rsidR="00B8087D">
        <w:rPr>
          <w:rFonts w:ascii="Avenir Next" w:hAnsi="Avenir Next" w:cs="Arial"/>
          <w:color w:val="808080" w:themeColor="background1" w:themeShade="80"/>
          <w:sz w:val="22"/>
          <w:szCs w:val="22"/>
          <w:lang w:val="en-GB"/>
        </w:rPr>
        <w:t xml:space="preserve"> has a number of statutes dealing with aspects of insolvency including separate statutes that deal with corporate insolvency (i.e. the Corporations Act 2001) and the insolvency of </w:t>
      </w:r>
      <w:r w:rsidR="00637951">
        <w:rPr>
          <w:rFonts w:ascii="Avenir Next" w:hAnsi="Avenir Next" w:cs="Arial"/>
          <w:color w:val="808080" w:themeColor="background1" w:themeShade="80"/>
          <w:sz w:val="22"/>
          <w:szCs w:val="22"/>
          <w:lang w:val="en-GB"/>
        </w:rPr>
        <w:t>natural persons</w:t>
      </w:r>
      <w:r w:rsidR="00B8087D">
        <w:rPr>
          <w:rFonts w:ascii="Avenir Next" w:hAnsi="Avenir Next" w:cs="Arial"/>
          <w:color w:val="808080" w:themeColor="background1" w:themeShade="80"/>
          <w:sz w:val="22"/>
          <w:szCs w:val="22"/>
          <w:lang w:val="en-GB"/>
        </w:rPr>
        <w:t xml:space="preserve"> (i.e. the Bankruptcy Act 1966).</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2AA2E1FA" w:rsidR="00DA42DA" w:rsidRDefault="005A2EC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universalism is that </w:t>
      </w:r>
      <w:r w:rsidR="00A23647">
        <w:rPr>
          <w:rFonts w:ascii="Avenir Next" w:hAnsi="Avenir Next" w:cs="Arial"/>
          <w:color w:val="808080" w:themeColor="background1" w:themeShade="80"/>
          <w:sz w:val="22"/>
          <w:szCs w:val="22"/>
          <w:lang w:val="en-GB"/>
        </w:rPr>
        <w:t>there should only be a single insolvency proceeding in a single jurisdictio</w:t>
      </w:r>
      <w:r w:rsidR="00A330E5">
        <w:rPr>
          <w:rFonts w:ascii="Avenir Next" w:hAnsi="Avenir Next" w:cs="Arial"/>
          <w:color w:val="808080" w:themeColor="background1" w:themeShade="80"/>
          <w:sz w:val="22"/>
          <w:szCs w:val="22"/>
          <w:lang w:val="en-GB"/>
        </w:rPr>
        <w:t xml:space="preserve">n that deal with all the debtor’s assets and debts, even if these assets and debts </w:t>
      </w:r>
      <w:r w:rsidR="001D1A0C">
        <w:rPr>
          <w:rFonts w:ascii="Avenir Next" w:hAnsi="Avenir Next" w:cs="Arial"/>
          <w:color w:val="808080" w:themeColor="background1" w:themeShade="80"/>
          <w:sz w:val="22"/>
          <w:szCs w:val="22"/>
          <w:lang w:val="en-GB"/>
        </w:rPr>
        <w:t>are in</w:t>
      </w:r>
      <w:r w:rsidR="00A330E5">
        <w:rPr>
          <w:rFonts w:ascii="Avenir Next" w:hAnsi="Avenir Next" w:cs="Arial"/>
          <w:color w:val="808080" w:themeColor="background1" w:themeShade="80"/>
          <w:sz w:val="22"/>
          <w:szCs w:val="22"/>
          <w:lang w:val="en-GB"/>
        </w:rPr>
        <w:t xml:space="preserve"> other jurisdictions.</w:t>
      </w:r>
      <w:r w:rsidR="003057A2">
        <w:rPr>
          <w:rFonts w:ascii="Avenir Next" w:hAnsi="Avenir Next" w:cs="Arial"/>
          <w:color w:val="808080" w:themeColor="background1" w:themeShade="80"/>
          <w:sz w:val="22"/>
          <w:szCs w:val="22"/>
          <w:lang w:val="en-GB"/>
        </w:rPr>
        <w:t xml:space="preserve"> The insolvency </w:t>
      </w:r>
      <w:r w:rsidR="006C378C">
        <w:rPr>
          <w:rFonts w:ascii="Avenir Next" w:hAnsi="Avenir Next" w:cs="Arial"/>
          <w:color w:val="808080" w:themeColor="background1" w:themeShade="80"/>
          <w:sz w:val="22"/>
          <w:szCs w:val="22"/>
          <w:lang w:val="en-GB"/>
        </w:rPr>
        <w:t>officeholder</w:t>
      </w:r>
      <w:r w:rsidR="003057A2">
        <w:rPr>
          <w:rFonts w:ascii="Avenir Next" w:hAnsi="Avenir Next" w:cs="Arial"/>
          <w:color w:val="808080" w:themeColor="background1" w:themeShade="80"/>
          <w:sz w:val="22"/>
          <w:szCs w:val="22"/>
          <w:lang w:val="en-GB"/>
        </w:rPr>
        <w:t xml:space="preserve"> should also be accorded the right to control and obtain all the debtor’s assets</w:t>
      </w:r>
      <w:r w:rsidR="00C519BA">
        <w:rPr>
          <w:rFonts w:ascii="Avenir Next" w:hAnsi="Avenir Next" w:cs="Arial"/>
          <w:color w:val="808080" w:themeColor="background1" w:themeShade="80"/>
          <w:sz w:val="22"/>
          <w:szCs w:val="22"/>
          <w:lang w:val="en-GB"/>
        </w:rPr>
        <w:t>, and the creditors should all also have an opportunity to participate in these proceedings</w:t>
      </w:r>
      <w:r w:rsidR="006C378C">
        <w:rPr>
          <w:rFonts w:ascii="Avenir Next" w:hAnsi="Avenir Next" w:cs="Arial"/>
          <w:color w:val="808080" w:themeColor="background1" w:themeShade="80"/>
          <w:sz w:val="22"/>
          <w:szCs w:val="22"/>
          <w:lang w:val="en-GB"/>
        </w:rPr>
        <w:t xml:space="preserve"> and have their claims treated equitably.</w:t>
      </w:r>
    </w:p>
    <w:p w14:paraId="2B10E956" w14:textId="77777777" w:rsidR="0061553D" w:rsidRDefault="0061553D" w:rsidP="00DA42DA">
      <w:pPr>
        <w:jc w:val="both"/>
        <w:rPr>
          <w:rFonts w:ascii="Avenir Next" w:hAnsi="Avenir Next" w:cs="Arial"/>
          <w:color w:val="808080" w:themeColor="background1" w:themeShade="80"/>
          <w:sz w:val="22"/>
          <w:szCs w:val="22"/>
          <w:lang w:val="en-GB"/>
        </w:rPr>
      </w:pPr>
    </w:p>
    <w:p w14:paraId="656817F8" w14:textId="3283C8AF" w:rsidR="0061553D" w:rsidRDefault="0061553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territorialism </w:t>
      </w:r>
      <w:r w:rsidR="00B959E2">
        <w:rPr>
          <w:rFonts w:ascii="Avenir Next" w:hAnsi="Avenir Next" w:cs="Arial"/>
          <w:color w:val="808080" w:themeColor="background1" w:themeShade="80"/>
          <w:sz w:val="22"/>
          <w:szCs w:val="22"/>
          <w:lang w:val="en-GB"/>
        </w:rPr>
        <w:t xml:space="preserve">is </w:t>
      </w:r>
      <w:r w:rsidR="00EE78FA">
        <w:rPr>
          <w:rFonts w:ascii="Avenir Next" w:hAnsi="Avenir Next" w:cs="Arial"/>
          <w:color w:val="808080" w:themeColor="background1" w:themeShade="80"/>
          <w:sz w:val="22"/>
          <w:szCs w:val="22"/>
          <w:lang w:val="en-GB"/>
        </w:rPr>
        <w:t>completely opposed to the</w:t>
      </w:r>
      <w:r w:rsidR="00B959E2">
        <w:rPr>
          <w:rFonts w:ascii="Avenir Next" w:hAnsi="Avenir Next" w:cs="Arial"/>
          <w:color w:val="808080" w:themeColor="background1" w:themeShade="80"/>
          <w:sz w:val="22"/>
          <w:szCs w:val="22"/>
          <w:lang w:val="en-GB"/>
        </w:rPr>
        <w:t xml:space="preserve"> principle of universalism</w:t>
      </w:r>
      <w:r w:rsidR="00EE78FA">
        <w:rPr>
          <w:rFonts w:ascii="Avenir Next" w:hAnsi="Avenir Next" w:cs="Arial"/>
          <w:color w:val="808080" w:themeColor="background1" w:themeShade="80"/>
          <w:sz w:val="22"/>
          <w:szCs w:val="22"/>
          <w:lang w:val="en-GB"/>
        </w:rPr>
        <w:t xml:space="preserve">. The principle of territorialism advocates for insolvency proceedings to be </w:t>
      </w:r>
      <w:r w:rsidR="005C276C">
        <w:rPr>
          <w:rFonts w:ascii="Avenir Next" w:hAnsi="Avenir Next" w:cs="Arial"/>
          <w:color w:val="808080" w:themeColor="background1" w:themeShade="80"/>
          <w:sz w:val="22"/>
          <w:szCs w:val="22"/>
          <w:lang w:val="en-GB"/>
        </w:rPr>
        <w:t>allowed to be commenced in every jurisdiction where the debtor holds assets,</w:t>
      </w:r>
      <w:r w:rsidR="000853E3">
        <w:rPr>
          <w:rFonts w:ascii="Avenir Next" w:hAnsi="Avenir Next" w:cs="Arial"/>
          <w:color w:val="808080" w:themeColor="background1" w:themeShade="80"/>
          <w:sz w:val="22"/>
          <w:szCs w:val="22"/>
          <w:lang w:val="en-GB"/>
        </w:rPr>
        <w:t xml:space="preserve"> and for these proceedings to be limited to dealing with assets</w:t>
      </w:r>
      <w:r w:rsidR="0054205E">
        <w:rPr>
          <w:rFonts w:ascii="Avenir Next" w:hAnsi="Avenir Next" w:cs="Arial"/>
          <w:color w:val="808080" w:themeColor="background1" w:themeShade="80"/>
          <w:sz w:val="22"/>
          <w:szCs w:val="22"/>
          <w:lang w:val="en-GB"/>
        </w:rPr>
        <w:t xml:space="preserve"> and creditors</w:t>
      </w:r>
      <w:r w:rsidR="000853E3">
        <w:rPr>
          <w:rFonts w:ascii="Avenir Next" w:hAnsi="Avenir Next" w:cs="Arial"/>
          <w:color w:val="808080" w:themeColor="background1" w:themeShade="80"/>
          <w:sz w:val="22"/>
          <w:szCs w:val="22"/>
          <w:lang w:val="en-GB"/>
        </w:rPr>
        <w:t xml:space="preserve"> within that jurisdiction.</w:t>
      </w:r>
      <w:r w:rsidR="00B950F0">
        <w:rPr>
          <w:rFonts w:ascii="Avenir Next" w:hAnsi="Avenir Next" w:cs="Arial"/>
          <w:color w:val="808080" w:themeColor="background1" w:themeShade="80"/>
          <w:sz w:val="22"/>
          <w:szCs w:val="22"/>
          <w:lang w:val="en-GB"/>
        </w:rPr>
        <w:t xml:space="preserve"> Although assets can be transferred </w:t>
      </w:r>
      <w:r w:rsidR="00195C15">
        <w:rPr>
          <w:rFonts w:ascii="Avenir Next" w:hAnsi="Avenir Next" w:cs="Arial"/>
          <w:color w:val="808080" w:themeColor="background1" w:themeShade="80"/>
          <w:sz w:val="22"/>
          <w:szCs w:val="22"/>
          <w:lang w:val="en-GB"/>
        </w:rPr>
        <w:t xml:space="preserve">overseas </w:t>
      </w:r>
      <w:r w:rsidR="00B950F0">
        <w:rPr>
          <w:rFonts w:ascii="Avenir Next" w:hAnsi="Avenir Next" w:cs="Arial"/>
          <w:color w:val="808080" w:themeColor="background1" w:themeShade="80"/>
          <w:sz w:val="22"/>
          <w:szCs w:val="22"/>
          <w:lang w:val="en-GB"/>
        </w:rPr>
        <w:t xml:space="preserve">to satisfy the claims of creditors outside the jurisdiction, </w:t>
      </w:r>
      <w:r w:rsidR="009545AD">
        <w:rPr>
          <w:rFonts w:ascii="Avenir Next" w:hAnsi="Avenir Next" w:cs="Arial"/>
          <w:color w:val="808080" w:themeColor="background1" w:themeShade="80"/>
          <w:sz w:val="22"/>
          <w:szCs w:val="22"/>
          <w:lang w:val="en-GB"/>
        </w:rPr>
        <w:t xml:space="preserve">the principle of territorialism </w:t>
      </w:r>
      <w:r w:rsidR="00340119">
        <w:rPr>
          <w:rFonts w:ascii="Avenir Next" w:hAnsi="Avenir Next" w:cs="Arial"/>
          <w:color w:val="808080" w:themeColor="background1" w:themeShade="80"/>
          <w:sz w:val="22"/>
          <w:szCs w:val="22"/>
          <w:lang w:val="en-GB"/>
        </w:rPr>
        <w:t xml:space="preserve">advances the view that the national interest of the </w:t>
      </w:r>
      <w:r w:rsidR="00CE5F0D">
        <w:rPr>
          <w:rFonts w:ascii="Avenir Next" w:hAnsi="Avenir Next" w:cs="Arial"/>
          <w:color w:val="808080" w:themeColor="background1" w:themeShade="80"/>
          <w:sz w:val="22"/>
          <w:szCs w:val="22"/>
          <w:lang w:val="en-GB"/>
        </w:rPr>
        <w:t xml:space="preserve">jurisdiction </w:t>
      </w:r>
      <w:r w:rsidR="003B1E50">
        <w:rPr>
          <w:rFonts w:ascii="Avenir Next" w:hAnsi="Avenir Next" w:cs="Arial"/>
          <w:color w:val="808080" w:themeColor="background1" w:themeShade="80"/>
          <w:sz w:val="22"/>
          <w:szCs w:val="22"/>
          <w:lang w:val="en-GB"/>
        </w:rPr>
        <w:t xml:space="preserve">in which proceedings have been commenced </w:t>
      </w:r>
      <w:r w:rsidR="00340119">
        <w:rPr>
          <w:rFonts w:ascii="Avenir Next" w:hAnsi="Avenir Next" w:cs="Arial"/>
          <w:color w:val="808080" w:themeColor="background1" w:themeShade="80"/>
          <w:sz w:val="22"/>
          <w:szCs w:val="22"/>
          <w:lang w:val="en-GB"/>
        </w:rPr>
        <w:t>should be protected before any assets are</w:t>
      </w:r>
      <w:r w:rsidR="003B1E50">
        <w:rPr>
          <w:rFonts w:ascii="Avenir Next" w:hAnsi="Avenir Next" w:cs="Arial"/>
          <w:color w:val="808080" w:themeColor="background1" w:themeShade="80"/>
          <w:sz w:val="22"/>
          <w:szCs w:val="22"/>
          <w:lang w:val="en-GB"/>
        </w:rPr>
        <w:t xml:space="preserve"> transmitted overseas</w:t>
      </w:r>
      <w:r w:rsidR="00340119">
        <w:rPr>
          <w:rFonts w:ascii="Avenir Next" w:hAnsi="Avenir Next" w:cs="Arial"/>
          <w:color w:val="808080" w:themeColor="background1" w:themeShade="80"/>
          <w:sz w:val="22"/>
          <w:szCs w:val="22"/>
          <w:lang w:val="en-GB"/>
        </w:rPr>
        <w:t>.</w:t>
      </w:r>
      <w:r w:rsidR="00C22673">
        <w:rPr>
          <w:rFonts w:ascii="Avenir Next" w:hAnsi="Avenir Next" w:cs="Arial"/>
          <w:color w:val="808080" w:themeColor="background1" w:themeShade="80"/>
          <w:sz w:val="22"/>
          <w:szCs w:val="22"/>
          <w:lang w:val="en-GB"/>
        </w:rPr>
        <w:t xml:space="preserve"> A</w:t>
      </w:r>
      <w:r w:rsidR="00151051">
        <w:rPr>
          <w:rFonts w:ascii="Avenir Next" w:hAnsi="Avenir Next" w:cs="Arial"/>
          <w:color w:val="808080" w:themeColor="background1" w:themeShade="80"/>
          <w:sz w:val="22"/>
          <w:szCs w:val="22"/>
          <w:lang w:val="en-GB"/>
        </w:rPr>
        <w:t>lthough a</w:t>
      </w:r>
      <w:r w:rsidR="00C22673">
        <w:rPr>
          <w:rFonts w:ascii="Avenir Next" w:hAnsi="Avenir Next" w:cs="Arial"/>
          <w:color w:val="808080" w:themeColor="background1" w:themeShade="80"/>
          <w:sz w:val="22"/>
          <w:szCs w:val="22"/>
          <w:lang w:val="en-GB"/>
        </w:rPr>
        <w:t xml:space="preserve"> key </w:t>
      </w:r>
      <w:r w:rsidR="00890104">
        <w:rPr>
          <w:rFonts w:ascii="Avenir Next" w:hAnsi="Avenir Next" w:cs="Arial"/>
          <w:color w:val="808080" w:themeColor="background1" w:themeShade="80"/>
          <w:sz w:val="22"/>
          <w:szCs w:val="22"/>
          <w:lang w:val="en-GB"/>
        </w:rPr>
        <w:t>problem</w:t>
      </w:r>
      <w:r w:rsidR="00C22673">
        <w:rPr>
          <w:rFonts w:ascii="Avenir Next" w:hAnsi="Avenir Next" w:cs="Arial"/>
          <w:color w:val="808080" w:themeColor="background1" w:themeShade="80"/>
          <w:sz w:val="22"/>
          <w:szCs w:val="22"/>
          <w:lang w:val="en-GB"/>
        </w:rPr>
        <w:t xml:space="preserve"> of the principle of territorialism</w:t>
      </w:r>
      <w:r w:rsidR="002A1039">
        <w:rPr>
          <w:rFonts w:ascii="Avenir Next" w:hAnsi="Avenir Next" w:cs="Arial"/>
          <w:color w:val="808080" w:themeColor="background1" w:themeShade="80"/>
          <w:sz w:val="22"/>
          <w:szCs w:val="22"/>
          <w:lang w:val="en-GB"/>
        </w:rPr>
        <w:t xml:space="preserve"> is that </w:t>
      </w:r>
      <w:r w:rsidR="000936CC">
        <w:rPr>
          <w:rFonts w:ascii="Avenir Next" w:hAnsi="Avenir Next" w:cs="Arial"/>
          <w:color w:val="808080" w:themeColor="background1" w:themeShade="80"/>
          <w:sz w:val="22"/>
          <w:szCs w:val="22"/>
          <w:lang w:val="en-GB"/>
        </w:rPr>
        <w:t>the debtor may be declared insolvent in one jurisdiction but not in another jurisdiction</w:t>
      </w:r>
      <w:r w:rsidR="00151051">
        <w:rPr>
          <w:rFonts w:ascii="Avenir Next" w:hAnsi="Avenir Next" w:cs="Arial"/>
          <w:color w:val="808080" w:themeColor="background1" w:themeShade="80"/>
          <w:sz w:val="22"/>
          <w:szCs w:val="22"/>
          <w:lang w:val="en-GB"/>
        </w:rPr>
        <w:t>,</w:t>
      </w:r>
      <w:r w:rsidR="00890104">
        <w:rPr>
          <w:rFonts w:ascii="Avenir Next" w:hAnsi="Avenir Next" w:cs="Arial"/>
          <w:color w:val="808080" w:themeColor="background1" w:themeShade="80"/>
          <w:sz w:val="22"/>
          <w:szCs w:val="22"/>
          <w:lang w:val="en-GB"/>
        </w:rPr>
        <w:t xml:space="preserve"> proponents of territorialism believe that the solution to this </w:t>
      </w:r>
      <w:r w:rsidR="00162513">
        <w:rPr>
          <w:rFonts w:ascii="Avenir Next" w:hAnsi="Avenir Next" w:cs="Arial"/>
          <w:color w:val="808080" w:themeColor="background1" w:themeShade="80"/>
          <w:sz w:val="22"/>
          <w:szCs w:val="22"/>
          <w:lang w:val="en-GB"/>
        </w:rPr>
        <w:t xml:space="preserve">is </w:t>
      </w:r>
      <w:r w:rsidR="00890104">
        <w:rPr>
          <w:rFonts w:ascii="Avenir Next" w:hAnsi="Avenir Next" w:cs="Arial"/>
          <w:color w:val="808080" w:themeColor="background1" w:themeShade="80"/>
          <w:sz w:val="22"/>
          <w:szCs w:val="22"/>
          <w:lang w:val="en-GB"/>
        </w:rPr>
        <w:t xml:space="preserve">a co-operative form of </w:t>
      </w:r>
      <w:r w:rsidR="00162513">
        <w:rPr>
          <w:rFonts w:ascii="Avenir Next" w:hAnsi="Avenir Next" w:cs="Arial"/>
          <w:color w:val="808080" w:themeColor="background1" w:themeShade="80"/>
          <w:sz w:val="22"/>
          <w:szCs w:val="22"/>
          <w:lang w:val="en-GB"/>
        </w:rPr>
        <w:t>territorialism</w:t>
      </w:r>
      <w:r w:rsidR="00890104">
        <w:rPr>
          <w:rFonts w:ascii="Avenir Next" w:hAnsi="Avenir Next" w:cs="Arial"/>
          <w:color w:val="808080" w:themeColor="background1" w:themeShade="80"/>
          <w:sz w:val="22"/>
          <w:szCs w:val="22"/>
          <w:lang w:val="en-GB"/>
        </w:rPr>
        <w:t>.</w:t>
      </w:r>
    </w:p>
    <w:p w14:paraId="6CE2306D" w14:textId="77777777" w:rsidR="005A2ECF" w:rsidRDefault="005A2ECF" w:rsidP="00DA42DA">
      <w:pPr>
        <w:jc w:val="both"/>
        <w:rPr>
          <w:rFonts w:ascii="Avenir Next" w:hAnsi="Avenir Next" w:cs="Arial"/>
          <w:color w:val="808080" w:themeColor="background1" w:themeShade="80"/>
          <w:sz w:val="22"/>
          <w:szCs w:val="22"/>
          <w:lang w:val="en-GB"/>
        </w:rPr>
      </w:pPr>
    </w:p>
    <w:p w14:paraId="1A95D9EE" w14:textId="196A7868" w:rsidR="005A2ECF" w:rsidRPr="00DA42DA" w:rsidRDefault="00F66B0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principle of modified universalism recognises </w:t>
      </w:r>
      <w:proofErr w:type="gramStart"/>
      <w:r>
        <w:rPr>
          <w:rFonts w:ascii="Avenir Next" w:hAnsi="Avenir Next" w:cs="Arial"/>
          <w:color w:val="808080" w:themeColor="background1" w:themeShade="80"/>
          <w:sz w:val="22"/>
          <w:szCs w:val="22"/>
          <w:lang w:val="en-GB"/>
        </w:rPr>
        <w:t>that</w:t>
      </w:r>
      <w:r w:rsidR="00161FAE">
        <w:rPr>
          <w:rFonts w:ascii="Avenir Next" w:hAnsi="Avenir Next" w:cs="Arial"/>
          <w:color w:val="808080" w:themeColor="background1" w:themeShade="80"/>
          <w:sz w:val="22"/>
          <w:szCs w:val="22"/>
          <w:lang w:val="en-GB"/>
        </w:rPr>
        <w:t xml:space="preserve"> in reality</w:t>
      </w:r>
      <w:r w:rsidR="00D2180F">
        <w:rPr>
          <w:rFonts w:ascii="Avenir Next" w:hAnsi="Avenir Next" w:cs="Arial"/>
          <w:color w:val="808080" w:themeColor="background1" w:themeShade="80"/>
          <w:sz w:val="22"/>
          <w:szCs w:val="22"/>
          <w:lang w:val="en-GB"/>
        </w:rPr>
        <w:t xml:space="preserve">, </w:t>
      </w:r>
      <w:r w:rsidR="00161FAE">
        <w:rPr>
          <w:rFonts w:ascii="Avenir Next" w:hAnsi="Avenir Next" w:cs="Arial"/>
          <w:color w:val="808080" w:themeColor="background1" w:themeShade="80"/>
          <w:sz w:val="22"/>
          <w:szCs w:val="22"/>
          <w:lang w:val="en-GB"/>
        </w:rPr>
        <w:t>no</w:t>
      </w:r>
      <w:proofErr w:type="gramEnd"/>
      <w:r w:rsidR="00161FAE">
        <w:rPr>
          <w:rFonts w:ascii="Avenir Next" w:hAnsi="Avenir Next" w:cs="Arial"/>
          <w:color w:val="808080" w:themeColor="background1" w:themeShade="80"/>
          <w:sz w:val="22"/>
          <w:szCs w:val="22"/>
          <w:lang w:val="en-GB"/>
        </w:rPr>
        <w:t xml:space="preserve"> jurisdiction adopts the principles of universalism </w:t>
      </w:r>
      <w:r w:rsidR="003F019E">
        <w:rPr>
          <w:rFonts w:ascii="Avenir Next" w:hAnsi="Avenir Next" w:cs="Arial"/>
          <w:color w:val="808080" w:themeColor="background1" w:themeShade="80"/>
          <w:sz w:val="22"/>
          <w:szCs w:val="22"/>
          <w:lang w:val="en-GB"/>
        </w:rPr>
        <w:t>or territorialism in their purest form.</w:t>
      </w:r>
      <w:r w:rsidR="00D2180F">
        <w:rPr>
          <w:rFonts w:ascii="Avenir Next" w:hAnsi="Avenir Next" w:cs="Arial"/>
          <w:color w:val="808080" w:themeColor="background1" w:themeShade="80"/>
          <w:sz w:val="22"/>
          <w:szCs w:val="22"/>
          <w:lang w:val="en-GB"/>
        </w:rPr>
        <w:t xml:space="preserve"> </w:t>
      </w:r>
      <w:r w:rsidR="00461796">
        <w:rPr>
          <w:rFonts w:ascii="Avenir Next" w:hAnsi="Avenir Next" w:cs="Arial"/>
          <w:color w:val="808080" w:themeColor="background1" w:themeShade="80"/>
          <w:sz w:val="22"/>
          <w:szCs w:val="22"/>
          <w:lang w:val="en-GB"/>
        </w:rPr>
        <w:t xml:space="preserve">This is because territorialism is too expensive where multiple proceedings </w:t>
      </w:r>
      <w:proofErr w:type="gramStart"/>
      <w:r w:rsidR="00461796">
        <w:rPr>
          <w:rFonts w:ascii="Avenir Next" w:hAnsi="Avenir Next" w:cs="Arial"/>
          <w:color w:val="808080" w:themeColor="background1" w:themeShade="80"/>
          <w:sz w:val="22"/>
          <w:szCs w:val="22"/>
          <w:lang w:val="en-GB"/>
        </w:rPr>
        <w:t>have to</w:t>
      </w:r>
      <w:proofErr w:type="gramEnd"/>
      <w:r w:rsidR="00461796">
        <w:rPr>
          <w:rFonts w:ascii="Avenir Next" w:hAnsi="Avenir Next" w:cs="Arial"/>
          <w:color w:val="808080" w:themeColor="background1" w:themeShade="80"/>
          <w:sz w:val="22"/>
          <w:szCs w:val="22"/>
          <w:lang w:val="en-GB"/>
        </w:rPr>
        <w:t xml:space="preserve"> be commenced, and universalism is too politically and practically difficult to achieve given the differing legal systems and national interests.</w:t>
      </w:r>
      <w:r w:rsidR="00EC1D5C">
        <w:rPr>
          <w:rFonts w:ascii="Avenir Next" w:hAnsi="Avenir Next" w:cs="Arial"/>
          <w:color w:val="808080" w:themeColor="background1" w:themeShade="80"/>
          <w:sz w:val="22"/>
          <w:szCs w:val="22"/>
          <w:lang w:val="en-GB"/>
        </w:rPr>
        <w:t xml:space="preserve"> The principle of modified universalism therefore </w:t>
      </w:r>
      <w:r w:rsidR="003C7505">
        <w:rPr>
          <w:rFonts w:ascii="Avenir Next" w:hAnsi="Avenir Next" w:cs="Arial"/>
          <w:color w:val="808080" w:themeColor="background1" w:themeShade="80"/>
          <w:sz w:val="22"/>
          <w:szCs w:val="22"/>
          <w:lang w:val="en-GB"/>
        </w:rPr>
        <w:t xml:space="preserve">advocates that there should be a “main proceeding” in the jurisdiction where the debtor’s centre of main interests is, </w:t>
      </w:r>
      <w:r w:rsidR="00DC670B">
        <w:rPr>
          <w:rFonts w:ascii="Avenir Next" w:hAnsi="Avenir Next" w:cs="Arial"/>
          <w:color w:val="808080" w:themeColor="background1" w:themeShade="80"/>
          <w:sz w:val="22"/>
          <w:szCs w:val="22"/>
          <w:lang w:val="en-GB"/>
        </w:rPr>
        <w:t>and this main proceeding can be supported by secondary or non-main proceedings in other jurisdictions. The principle of modified universalism also advocates for the respective main and non-main proceedings to co-operate with one another.</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39CE5ED2" w14:textId="446BE652" w:rsidR="00B623C4" w:rsidRDefault="0045148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Latin America states have concluded a series of treaties </w:t>
      </w:r>
      <w:r w:rsidR="003D7D3B">
        <w:rPr>
          <w:rFonts w:ascii="Avenir Next" w:hAnsi="Avenir Next" w:cs="Arial"/>
          <w:color w:val="808080" w:themeColor="background1" w:themeShade="80"/>
          <w:sz w:val="22"/>
          <w:szCs w:val="22"/>
          <w:lang w:val="en-GB"/>
        </w:rPr>
        <w:t>on private international law which include portions that deal with bankruptcy and insolvency</w:t>
      </w:r>
      <w:r w:rsidR="00B623C4">
        <w:rPr>
          <w:rFonts w:ascii="Avenir Next" w:hAnsi="Avenir Next" w:cs="Arial"/>
          <w:color w:val="808080" w:themeColor="background1" w:themeShade="80"/>
          <w:sz w:val="22"/>
          <w:szCs w:val="22"/>
          <w:lang w:val="en-GB"/>
        </w:rPr>
        <w:t>:</w:t>
      </w:r>
    </w:p>
    <w:p w14:paraId="09970C94" w14:textId="2AD1254C" w:rsidR="00B623C4" w:rsidRPr="00B623C4" w:rsidRDefault="00E136EB" w:rsidP="00B623C4">
      <w:pPr>
        <w:pStyle w:val="ListParagraph"/>
        <w:numPr>
          <w:ilvl w:val="0"/>
          <w:numId w:val="35"/>
        </w:numPr>
        <w:jc w:val="both"/>
        <w:rPr>
          <w:rFonts w:ascii="Avenir Next" w:hAnsi="Avenir Next" w:cs="Arial"/>
          <w:color w:val="808080" w:themeColor="background1" w:themeShade="80"/>
          <w:sz w:val="22"/>
          <w:szCs w:val="22"/>
          <w:lang w:val="en-GB"/>
        </w:rPr>
      </w:pPr>
      <w:r w:rsidRPr="00B623C4">
        <w:rPr>
          <w:rFonts w:ascii="Avenir Next" w:hAnsi="Avenir Next" w:cs="Arial"/>
          <w:color w:val="808080" w:themeColor="background1" w:themeShade="80"/>
          <w:sz w:val="22"/>
          <w:szCs w:val="22"/>
          <w:lang w:val="en-GB"/>
        </w:rPr>
        <w:t>the Montevideo Treat</w:t>
      </w:r>
      <w:r w:rsidR="00C83037" w:rsidRPr="00B623C4">
        <w:rPr>
          <w:rFonts w:ascii="Avenir Next" w:hAnsi="Avenir Next" w:cs="Arial"/>
          <w:color w:val="808080" w:themeColor="background1" w:themeShade="80"/>
          <w:sz w:val="22"/>
          <w:szCs w:val="22"/>
          <w:lang w:val="en-GB"/>
        </w:rPr>
        <w:t xml:space="preserve">y </w:t>
      </w:r>
      <w:r w:rsidR="0009037A" w:rsidRPr="00B623C4">
        <w:rPr>
          <w:rFonts w:ascii="Avenir Next" w:hAnsi="Avenir Next" w:cs="Arial"/>
          <w:color w:val="808080" w:themeColor="background1" w:themeShade="80"/>
          <w:sz w:val="22"/>
          <w:szCs w:val="22"/>
          <w:lang w:val="en-GB"/>
        </w:rPr>
        <w:t xml:space="preserve">on International Commercial Law </w:t>
      </w:r>
      <w:r w:rsidRPr="00B623C4">
        <w:rPr>
          <w:rFonts w:ascii="Avenir Next" w:hAnsi="Avenir Next" w:cs="Arial"/>
          <w:color w:val="808080" w:themeColor="background1" w:themeShade="80"/>
          <w:sz w:val="22"/>
          <w:szCs w:val="22"/>
          <w:lang w:val="en-GB"/>
        </w:rPr>
        <w:t>(1889)</w:t>
      </w:r>
      <w:r w:rsidR="00BC3440">
        <w:rPr>
          <w:rFonts w:ascii="Avenir Next" w:hAnsi="Avenir Next" w:cs="Arial"/>
          <w:color w:val="808080" w:themeColor="background1" w:themeShade="80"/>
          <w:sz w:val="22"/>
          <w:szCs w:val="22"/>
          <w:lang w:val="en-GB"/>
        </w:rPr>
        <w:t xml:space="preserve">. This Treaty has been ratified by Argentina, Bolivia, Columbia, Paraguay, Peru, and </w:t>
      </w:r>
      <w:proofErr w:type="gramStart"/>
      <w:r w:rsidR="00BC3440">
        <w:rPr>
          <w:rFonts w:ascii="Avenir Next" w:hAnsi="Avenir Next" w:cs="Arial"/>
          <w:color w:val="808080" w:themeColor="background1" w:themeShade="80"/>
          <w:sz w:val="22"/>
          <w:szCs w:val="22"/>
          <w:lang w:val="en-GB"/>
        </w:rPr>
        <w:t>Uruguay</w:t>
      </w:r>
      <w:r w:rsidR="00B623C4" w:rsidRPr="00B623C4">
        <w:rPr>
          <w:rFonts w:ascii="Avenir Next" w:hAnsi="Avenir Next" w:cs="Arial"/>
          <w:color w:val="808080" w:themeColor="background1" w:themeShade="80"/>
          <w:sz w:val="22"/>
          <w:szCs w:val="22"/>
          <w:lang w:val="en-GB"/>
        </w:rPr>
        <w:t>;</w:t>
      </w:r>
      <w:proofErr w:type="gramEnd"/>
    </w:p>
    <w:p w14:paraId="393B1139" w14:textId="18D96C6A" w:rsidR="00B623C4" w:rsidRPr="00DC7575" w:rsidRDefault="00433EA5" w:rsidP="00DC7575">
      <w:pPr>
        <w:pStyle w:val="ListParagraph"/>
        <w:numPr>
          <w:ilvl w:val="0"/>
          <w:numId w:val="35"/>
        </w:numPr>
        <w:jc w:val="both"/>
        <w:rPr>
          <w:rFonts w:ascii="Avenir Next" w:hAnsi="Avenir Next" w:cs="Arial"/>
          <w:color w:val="808080" w:themeColor="background1" w:themeShade="80"/>
          <w:sz w:val="22"/>
          <w:szCs w:val="22"/>
          <w:lang w:val="en-GB"/>
        </w:rPr>
      </w:pPr>
      <w:r w:rsidRPr="00B623C4">
        <w:rPr>
          <w:rFonts w:ascii="Avenir Next" w:hAnsi="Avenir Next" w:cs="Arial"/>
          <w:color w:val="808080" w:themeColor="background1" w:themeShade="80"/>
          <w:sz w:val="22"/>
          <w:szCs w:val="22"/>
          <w:lang w:val="en-GB"/>
        </w:rPr>
        <w:t>the Montevideo Tr</w:t>
      </w:r>
      <w:r w:rsidR="00C83037" w:rsidRPr="00B623C4">
        <w:rPr>
          <w:rFonts w:ascii="Avenir Next" w:hAnsi="Avenir Next" w:cs="Arial"/>
          <w:color w:val="808080" w:themeColor="background1" w:themeShade="80"/>
          <w:sz w:val="22"/>
          <w:szCs w:val="22"/>
          <w:lang w:val="en-GB"/>
        </w:rPr>
        <w:t xml:space="preserve">eaty </w:t>
      </w:r>
      <w:r w:rsidR="0009037A" w:rsidRPr="00B623C4">
        <w:rPr>
          <w:rFonts w:ascii="Avenir Next" w:hAnsi="Avenir Next" w:cs="Arial"/>
          <w:color w:val="808080" w:themeColor="background1" w:themeShade="80"/>
          <w:sz w:val="22"/>
          <w:szCs w:val="22"/>
          <w:lang w:val="en-GB"/>
        </w:rPr>
        <w:t xml:space="preserve">on International Commercial Terrestrial Law </w:t>
      </w:r>
      <w:r w:rsidR="00E136EB" w:rsidRPr="00B623C4">
        <w:rPr>
          <w:rFonts w:ascii="Avenir Next" w:hAnsi="Avenir Next" w:cs="Arial"/>
          <w:color w:val="808080" w:themeColor="background1" w:themeShade="80"/>
          <w:sz w:val="22"/>
          <w:szCs w:val="22"/>
          <w:lang w:val="en-GB"/>
        </w:rPr>
        <w:t>(1940)</w:t>
      </w:r>
      <w:r w:rsidR="00DC7575">
        <w:rPr>
          <w:rFonts w:ascii="Avenir Next" w:hAnsi="Avenir Next" w:cs="Arial"/>
          <w:color w:val="808080" w:themeColor="background1" w:themeShade="80"/>
          <w:sz w:val="22"/>
          <w:szCs w:val="22"/>
          <w:lang w:val="en-GB"/>
        </w:rPr>
        <w:t xml:space="preserve"> and the </w:t>
      </w:r>
      <w:r w:rsidR="00B623C4" w:rsidRPr="00DC7575">
        <w:rPr>
          <w:rFonts w:ascii="Avenir Next" w:hAnsi="Avenir Next" w:cs="Arial"/>
          <w:color w:val="808080" w:themeColor="background1" w:themeShade="80"/>
          <w:sz w:val="22"/>
          <w:szCs w:val="22"/>
          <w:lang w:val="en-GB"/>
        </w:rPr>
        <w:t>Montevideo Treaty on International Procedural Law containing Title IV on Civil Meetings of Creditors</w:t>
      </w:r>
      <w:r w:rsidR="00BC3440" w:rsidRPr="00DC7575">
        <w:rPr>
          <w:rFonts w:ascii="Avenir Next" w:hAnsi="Avenir Next" w:cs="Arial"/>
          <w:color w:val="808080" w:themeColor="background1" w:themeShade="80"/>
          <w:sz w:val="22"/>
          <w:szCs w:val="22"/>
          <w:lang w:val="en-GB"/>
        </w:rPr>
        <w:t xml:space="preserve"> (1940)</w:t>
      </w:r>
      <w:r w:rsidR="00DC7575">
        <w:rPr>
          <w:rFonts w:ascii="Avenir Next" w:hAnsi="Avenir Next" w:cs="Arial"/>
          <w:color w:val="808080" w:themeColor="background1" w:themeShade="80"/>
          <w:sz w:val="22"/>
          <w:szCs w:val="22"/>
          <w:lang w:val="en-GB"/>
        </w:rPr>
        <w:t>. These treaties have been ratified by Argentina, Paraguay, and Uruguay;</w:t>
      </w:r>
      <w:r w:rsidR="00B623C4" w:rsidRPr="00DC7575">
        <w:rPr>
          <w:rFonts w:ascii="Avenir Next" w:hAnsi="Avenir Next" w:cs="Arial"/>
          <w:color w:val="808080" w:themeColor="background1" w:themeShade="80"/>
          <w:sz w:val="22"/>
          <w:szCs w:val="22"/>
          <w:lang w:val="en-GB"/>
        </w:rPr>
        <w:t xml:space="preserve"> </w:t>
      </w:r>
      <w:r w:rsidR="00E136EB" w:rsidRPr="00DC7575">
        <w:rPr>
          <w:rFonts w:ascii="Avenir Next" w:hAnsi="Avenir Next" w:cs="Arial"/>
          <w:color w:val="808080" w:themeColor="background1" w:themeShade="80"/>
          <w:sz w:val="22"/>
          <w:szCs w:val="22"/>
          <w:lang w:val="en-GB"/>
        </w:rPr>
        <w:t xml:space="preserve">and </w:t>
      </w:r>
    </w:p>
    <w:p w14:paraId="61900735" w14:textId="3548A998" w:rsidR="00DA42DA" w:rsidRDefault="00E136EB" w:rsidP="00B623C4">
      <w:pPr>
        <w:pStyle w:val="ListParagraph"/>
        <w:numPr>
          <w:ilvl w:val="0"/>
          <w:numId w:val="35"/>
        </w:numPr>
        <w:jc w:val="both"/>
        <w:rPr>
          <w:rFonts w:ascii="Avenir Next" w:hAnsi="Avenir Next" w:cs="Arial"/>
          <w:color w:val="808080" w:themeColor="background1" w:themeShade="80"/>
          <w:sz w:val="22"/>
          <w:szCs w:val="22"/>
          <w:lang w:val="en-GB"/>
        </w:rPr>
      </w:pPr>
      <w:r w:rsidRPr="00B623C4">
        <w:rPr>
          <w:rFonts w:ascii="Avenir Next" w:hAnsi="Avenir Next" w:cs="Arial"/>
          <w:color w:val="808080" w:themeColor="background1" w:themeShade="80"/>
          <w:sz w:val="22"/>
          <w:szCs w:val="22"/>
          <w:lang w:val="en-GB"/>
        </w:rPr>
        <w:t>the Havana Convention on Private International Law (1928) (Bustamante Code)</w:t>
      </w:r>
      <w:r w:rsidR="006A593B">
        <w:rPr>
          <w:rFonts w:ascii="Avenir Next" w:hAnsi="Avenir Next" w:cs="Arial"/>
          <w:color w:val="808080" w:themeColor="background1" w:themeShade="80"/>
          <w:sz w:val="22"/>
          <w:szCs w:val="22"/>
          <w:lang w:val="en-GB"/>
        </w:rPr>
        <w:t xml:space="preserve"> (the</w:t>
      </w:r>
      <w:r w:rsidR="003F696A">
        <w:rPr>
          <w:rFonts w:ascii="Avenir Next" w:hAnsi="Avenir Next" w:cs="Arial"/>
          <w:color w:val="808080" w:themeColor="background1" w:themeShade="80"/>
          <w:sz w:val="22"/>
          <w:szCs w:val="22"/>
          <w:lang w:val="en-GB"/>
        </w:rPr>
        <w:t xml:space="preserve"> “</w:t>
      </w:r>
      <w:r w:rsidR="003F696A" w:rsidRPr="003F696A">
        <w:rPr>
          <w:rFonts w:ascii="Avenir Next" w:hAnsi="Avenir Next" w:cs="Arial"/>
          <w:b/>
          <w:bCs/>
          <w:color w:val="808080" w:themeColor="background1" w:themeShade="80"/>
          <w:sz w:val="22"/>
          <w:szCs w:val="22"/>
          <w:lang w:val="en-GB"/>
        </w:rPr>
        <w:t>Havana Convention (1928)</w:t>
      </w:r>
      <w:r w:rsidR="003F696A">
        <w:rPr>
          <w:rFonts w:ascii="Avenir Next" w:hAnsi="Avenir Next" w:cs="Arial"/>
          <w:color w:val="808080" w:themeColor="background1" w:themeShade="80"/>
          <w:sz w:val="22"/>
          <w:szCs w:val="22"/>
          <w:lang w:val="en-GB"/>
        </w:rPr>
        <w:t>”)</w:t>
      </w:r>
      <w:r w:rsidRPr="00B623C4">
        <w:rPr>
          <w:rFonts w:ascii="Avenir Next" w:hAnsi="Avenir Next" w:cs="Arial"/>
          <w:color w:val="808080" w:themeColor="background1" w:themeShade="80"/>
          <w:sz w:val="22"/>
          <w:szCs w:val="22"/>
          <w:lang w:val="en-GB"/>
        </w:rPr>
        <w:t>.</w:t>
      </w:r>
      <w:r w:rsidR="006A593B">
        <w:rPr>
          <w:rFonts w:ascii="Avenir Next" w:hAnsi="Avenir Next" w:cs="Arial"/>
          <w:color w:val="808080" w:themeColor="background1" w:themeShade="80"/>
          <w:sz w:val="22"/>
          <w:szCs w:val="22"/>
          <w:lang w:val="en-GB"/>
        </w:rPr>
        <w:t xml:space="preserve"> This treaty </w:t>
      </w:r>
      <w:r w:rsidR="003F696A">
        <w:rPr>
          <w:rFonts w:ascii="Avenir Next" w:hAnsi="Avenir Next" w:cs="Arial"/>
          <w:color w:val="808080" w:themeColor="background1" w:themeShade="80"/>
          <w:sz w:val="22"/>
          <w:szCs w:val="22"/>
          <w:lang w:val="en-GB"/>
        </w:rPr>
        <w:t xml:space="preserve">was concluded between Bolivia, Brazil, Chile, Costa Rica, Cuba, </w:t>
      </w:r>
      <w:r w:rsidR="008F041C">
        <w:rPr>
          <w:rFonts w:ascii="Avenir Next" w:hAnsi="Avenir Next" w:cs="Arial"/>
          <w:color w:val="808080" w:themeColor="background1" w:themeShade="80"/>
          <w:sz w:val="22"/>
          <w:szCs w:val="22"/>
          <w:lang w:val="en-GB"/>
        </w:rPr>
        <w:t>Dominican Republic, Ecuador, El Salvador, Guatemala, Haiti, Honduras, Nicaragua, Panama, Peru, and Venezuela.</w:t>
      </w:r>
    </w:p>
    <w:p w14:paraId="2F705CA1" w14:textId="77777777" w:rsidR="00B623C4" w:rsidRDefault="00B623C4" w:rsidP="00B623C4">
      <w:pPr>
        <w:jc w:val="both"/>
        <w:rPr>
          <w:rFonts w:ascii="Avenir Next" w:hAnsi="Avenir Next" w:cs="Arial"/>
          <w:color w:val="808080" w:themeColor="background1" w:themeShade="80"/>
          <w:sz w:val="22"/>
          <w:szCs w:val="22"/>
          <w:lang w:val="en-GB"/>
        </w:rPr>
      </w:pPr>
    </w:p>
    <w:p w14:paraId="51D74E32" w14:textId="191277E6" w:rsidR="00081573" w:rsidRDefault="00807B17" w:rsidP="00B623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w:t>
      </w:r>
      <w:r w:rsidR="003053CA">
        <w:rPr>
          <w:rFonts w:ascii="Avenir Next" w:hAnsi="Avenir Next" w:cs="Arial"/>
          <w:color w:val="808080" w:themeColor="background1" w:themeShade="80"/>
          <w:sz w:val="22"/>
          <w:szCs w:val="22"/>
          <w:lang w:val="en-GB"/>
        </w:rPr>
        <w:t>Treaties</w:t>
      </w:r>
      <w:r w:rsidR="00630904">
        <w:rPr>
          <w:rFonts w:ascii="Avenir Next" w:hAnsi="Avenir Next" w:cs="Arial"/>
          <w:color w:val="808080" w:themeColor="background1" w:themeShade="80"/>
          <w:sz w:val="22"/>
          <w:szCs w:val="22"/>
          <w:lang w:val="en-GB"/>
        </w:rPr>
        <w:t xml:space="preserve"> deals with individual and corporate insolvency, where it allocates bankruptcy jurisdiction based on the debtor’s commercial domicile.</w:t>
      </w:r>
      <w:r w:rsidR="00806F14">
        <w:rPr>
          <w:rFonts w:ascii="Avenir Next" w:hAnsi="Avenir Next" w:cs="Arial"/>
          <w:color w:val="808080" w:themeColor="background1" w:themeShade="80"/>
          <w:sz w:val="22"/>
          <w:szCs w:val="22"/>
          <w:lang w:val="en-GB"/>
        </w:rPr>
        <w:t xml:space="preserve"> </w:t>
      </w:r>
      <w:r w:rsidR="00081573">
        <w:rPr>
          <w:rFonts w:ascii="Avenir Next" w:hAnsi="Avenir Next" w:cs="Arial"/>
          <w:color w:val="808080" w:themeColor="background1" w:themeShade="80"/>
          <w:sz w:val="22"/>
          <w:szCs w:val="22"/>
          <w:lang w:val="en-GB"/>
        </w:rPr>
        <w:t>If the debtor only has a commercial domicile in one treaty state, this treaty provides for one set of proceedings in that commercial domicile even if the debtor occasionally trades in / has branches in / agents in other states.</w:t>
      </w:r>
      <w:r w:rsidR="00007FFD">
        <w:rPr>
          <w:rFonts w:ascii="Avenir Next" w:hAnsi="Avenir Next" w:cs="Arial"/>
          <w:color w:val="808080" w:themeColor="background1" w:themeShade="80"/>
          <w:sz w:val="22"/>
          <w:szCs w:val="22"/>
          <w:lang w:val="en-GB"/>
        </w:rPr>
        <w:t xml:space="preserve"> If the debtor has more than one economically autonomous businesses in different treaty states, the Montevideo Treaty (1889) allows for concurrent proceedings</w:t>
      </w:r>
      <w:r w:rsidR="00B72F24">
        <w:rPr>
          <w:rFonts w:ascii="Avenir Next" w:hAnsi="Avenir Next" w:cs="Arial"/>
          <w:color w:val="808080" w:themeColor="background1" w:themeShade="80"/>
          <w:sz w:val="22"/>
          <w:szCs w:val="22"/>
          <w:lang w:val="en-GB"/>
        </w:rPr>
        <w:t>.</w:t>
      </w:r>
    </w:p>
    <w:p w14:paraId="6CB2E9BF" w14:textId="77777777" w:rsidR="00F8671D" w:rsidRDefault="00F8671D" w:rsidP="00B623C4">
      <w:pPr>
        <w:jc w:val="both"/>
        <w:rPr>
          <w:rFonts w:ascii="Avenir Next" w:hAnsi="Avenir Next" w:cs="Arial"/>
          <w:color w:val="808080" w:themeColor="background1" w:themeShade="80"/>
          <w:sz w:val="22"/>
          <w:szCs w:val="22"/>
          <w:lang w:val="en-GB"/>
        </w:rPr>
      </w:pPr>
    </w:p>
    <w:p w14:paraId="31704DD3" w14:textId="3BF35461" w:rsidR="00807B17" w:rsidRDefault="00F8671D" w:rsidP="00B623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w:t>
      </w:r>
      <w:r w:rsidR="0012628A">
        <w:rPr>
          <w:rFonts w:ascii="Avenir Next" w:hAnsi="Avenir Next" w:cs="Arial"/>
          <w:color w:val="808080" w:themeColor="background1" w:themeShade="80"/>
          <w:sz w:val="22"/>
          <w:szCs w:val="22"/>
          <w:lang w:val="en-GB"/>
        </w:rPr>
        <w:t xml:space="preserve"> (1928) </w:t>
      </w:r>
      <w:r w:rsidR="00401DFA">
        <w:rPr>
          <w:rFonts w:ascii="Avenir Next" w:hAnsi="Avenir Next" w:cs="Arial"/>
          <w:color w:val="808080" w:themeColor="background1" w:themeShade="80"/>
          <w:sz w:val="22"/>
          <w:szCs w:val="22"/>
          <w:lang w:val="en-GB"/>
        </w:rPr>
        <w:t xml:space="preserve">also promotes </w:t>
      </w:r>
      <w:r w:rsidR="00CC2671">
        <w:rPr>
          <w:rFonts w:ascii="Avenir Next" w:hAnsi="Avenir Next" w:cs="Arial"/>
          <w:color w:val="808080" w:themeColor="background1" w:themeShade="80"/>
          <w:sz w:val="22"/>
          <w:szCs w:val="22"/>
          <w:lang w:val="en-GB"/>
        </w:rPr>
        <w:t>the ideal of a single insolvency proceeding</w:t>
      </w:r>
      <w:r w:rsidR="00E27B2A">
        <w:rPr>
          <w:rFonts w:ascii="Avenir Next" w:hAnsi="Avenir Next" w:cs="Arial"/>
          <w:color w:val="808080" w:themeColor="background1" w:themeShade="80"/>
          <w:sz w:val="22"/>
          <w:szCs w:val="22"/>
          <w:lang w:val="en-GB"/>
        </w:rPr>
        <w:t>, a</w:t>
      </w:r>
      <w:r w:rsidR="004A0C07">
        <w:rPr>
          <w:rFonts w:ascii="Avenir Next" w:hAnsi="Avenir Next" w:cs="Arial"/>
          <w:color w:val="808080" w:themeColor="background1" w:themeShade="80"/>
          <w:sz w:val="22"/>
          <w:szCs w:val="22"/>
          <w:lang w:val="en-GB"/>
        </w:rPr>
        <w:t xml:space="preserve">lthough it is possible for concurrent proceedings to take place if the debtor has </w:t>
      </w:r>
      <w:r w:rsidR="00892F91">
        <w:rPr>
          <w:rFonts w:ascii="Avenir Next" w:hAnsi="Avenir Next" w:cs="Arial"/>
          <w:color w:val="808080" w:themeColor="background1" w:themeShade="80"/>
          <w:sz w:val="22"/>
          <w:szCs w:val="22"/>
          <w:lang w:val="en-GB"/>
        </w:rPr>
        <w:t>commercial establishments that operate entirely separately economically</w:t>
      </w:r>
      <w:r w:rsidR="00EC7138">
        <w:rPr>
          <w:rFonts w:ascii="Avenir Next" w:hAnsi="Avenir Next" w:cs="Arial"/>
          <w:color w:val="808080" w:themeColor="background1" w:themeShade="80"/>
          <w:sz w:val="22"/>
          <w:szCs w:val="22"/>
          <w:lang w:val="en-GB"/>
        </w:rPr>
        <w:t xml:space="preserve">. </w:t>
      </w:r>
    </w:p>
    <w:p w14:paraId="030ECA84" w14:textId="77777777" w:rsidR="007D3AD8" w:rsidRDefault="007D3AD8" w:rsidP="00B623C4">
      <w:pPr>
        <w:jc w:val="both"/>
        <w:rPr>
          <w:rFonts w:ascii="Avenir Next" w:hAnsi="Avenir Next" w:cs="Arial"/>
          <w:color w:val="808080" w:themeColor="background1" w:themeShade="80"/>
          <w:sz w:val="22"/>
          <w:szCs w:val="22"/>
          <w:lang w:val="en-GB"/>
        </w:rPr>
      </w:pPr>
    </w:p>
    <w:p w14:paraId="4FD95769" w14:textId="543620F0" w:rsidR="007D3AD8" w:rsidRDefault="007D3AD8" w:rsidP="00B623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difference between the Montevideo Treaties and the Havana Convention (1928) is </w:t>
      </w:r>
      <w:r w:rsidR="009B2F54">
        <w:rPr>
          <w:rFonts w:ascii="Avenir Next" w:hAnsi="Avenir Next" w:cs="Arial"/>
          <w:color w:val="808080" w:themeColor="background1" w:themeShade="80"/>
          <w:sz w:val="22"/>
          <w:szCs w:val="22"/>
          <w:lang w:val="en-GB"/>
        </w:rPr>
        <w:t>the identities of their</w:t>
      </w:r>
      <w:r w:rsidR="005D00CF">
        <w:rPr>
          <w:rFonts w:ascii="Avenir Next" w:hAnsi="Avenir Next" w:cs="Arial"/>
          <w:color w:val="808080" w:themeColor="background1" w:themeShade="80"/>
          <w:sz w:val="22"/>
          <w:szCs w:val="22"/>
          <w:lang w:val="en-GB"/>
        </w:rPr>
        <w:t xml:space="preserve"> signatories as </w:t>
      </w:r>
      <w:r w:rsidR="00090364">
        <w:rPr>
          <w:rFonts w:ascii="Avenir Next" w:hAnsi="Avenir Next" w:cs="Arial"/>
          <w:color w:val="808080" w:themeColor="background1" w:themeShade="80"/>
          <w:sz w:val="22"/>
          <w:szCs w:val="22"/>
          <w:lang w:val="en-GB"/>
        </w:rPr>
        <w:t>stated</w:t>
      </w:r>
      <w:r w:rsidR="005D00CF">
        <w:rPr>
          <w:rFonts w:ascii="Avenir Next" w:hAnsi="Avenir Next" w:cs="Arial"/>
          <w:color w:val="808080" w:themeColor="background1" w:themeShade="80"/>
          <w:sz w:val="22"/>
          <w:szCs w:val="22"/>
          <w:lang w:val="en-GB"/>
        </w:rPr>
        <w:t xml:space="preserve"> above. </w:t>
      </w:r>
    </w:p>
    <w:p w14:paraId="18D29DE3" w14:textId="77777777" w:rsidR="005D00CF" w:rsidRDefault="005D00CF" w:rsidP="00B623C4">
      <w:pPr>
        <w:jc w:val="both"/>
        <w:rPr>
          <w:rFonts w:ascii="Avenir Next" w:hAnsi="Avenir Next" w:cs="Arial"/>
          <w:color w:val="808080" w:themeColor="background1" w:themeShade="80"/>
          <w:sz w:val="22"/>
          <w:szCs w:val="22"/>
          <w:lang w:val="en-GB"/>
        </w:rPr>
      </w:pPr>
    </w:p>
    <w:p w14:paraId="0A8AF8DA" w14:textId="00F8D6E6" w:rsidR="005D00CF" w:rsidRDefault="005D00CF" w:rsidP="00B623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w:t>
      </w:r>
      <w:r w:rsidR="009B2F54">
        <w:rPr>
          <w:rFonts w:ascii="Avenir Next" w:hAnsi="Avenir Next" w:cs="Arial"/>
          <w:color w:val="808080" w:themeColor="background1" w:themeShade="80"/>
          <w:sz w:val="22"/>
          <w:szCs w:val="22"/>
          <w:lang w:val="en-GB"/>
        </w:rPr>
        <w:t xml:space="preserve">difference between the </w:t>
      </w:r>
      <w:r w:rsidR="009B2F54">
        <w:rPr>
          <w:rFonts w:ascii="Avenir Next" w:hAnsi="Avenir Next" w:cs="Arial"/>
          <w:color w:val="808080" w:themeColor="background1" w:themeShade="80"/>
          <w:sz w:val="22"/>
          <w:szCs w:val="22"/>
          <w:lang w:val="en-GB"/>
        </w:rPr>
        <w:t>Montevideo Treaties and the Havana Convention (1928)</w:t>
      </w:r>
      <w:r w:rsidR="001B1A5F">
        <w:rPr>
          <w:rFonts w:ascii="Avenir Next" w:hAnsi="Avenir Next" w:cs="Arial"/>
          <w:color w:val="808080" w:themeColor="background1" w:themeShade="80"/>
          <w:sz w:val="22"/>
          <w:szCs w:val="22"/>
          <w:lang w:val="en-GB"/>
        </w:rPr>
        <w:t xml:space="preserve"> is that the </w:t>
      </w:r>
      <w:r w:rsidR="006F1A00">
        <w:rPr>
          <w:rFonts w:ascii="Avenir Next" w:hAnsi="Avenir Next" w:cs="Arial"/>
          <w:color w:val="808080" w:themeColor="background1" w:themeShade="80"/>
          <w:sz w:val="22"/>
          <w:szCs w:val="22"/>
          <w:lang w:val="en-GB"/>
        </w:rPr>
        <w:t>Havana Convention (1928)</w:t>
      </w:r>
      <w:r w:rsidR="006F1A00">
        <w:rPr>
          <w:rFonts w:ascii="Avenir Next" w:hAnsi="Avenir Next" w:cs="Arial"/>
          <w:color w:val="808080" w:themeColor="background1" w:themeShade="80"/>
          <w:sz w:val="22"/>
          <w:szCs w:val="22"/>
          <w:lang w:val="en-GB"/>
        </w:rPr>
        <w:t xml:space="preserve"> </w:t>
      </w:r>
      <w:r w:rsidR="001B1A5F">
        <w:rPr>
          <w:rFonts w:ascii="Avenir Next" w:hAnsi="Avenir Next" w:cs="Arial"/>
          <w:color w:val="808080" w:themeColor="background1" w:themeShade="80"/>
          <w:sz w:val="22"/>
          <w:szCs w:val="22"/>
          <w:lang w:val="en-GB"/>
        </w:rPr>
        <w:t xml:space="preserve">is more </w:t>
      </w:r>
      <w:r w:rsidR="00D86D42">
        <w:rPr>
          <w:rFonts w:ascii="Avenir Next" w:hAnsi="Avenir Next" w:cs="Arial"/>
          <w:color w:val="808080" w:themeColor="background1" w:themeShade="80"/>
          <w:sz w:val="22"/>
          <w:szCs w:val="22"/>
          <w:lang w:val="en-GB"/>
        </w:rPr>
        <w:t>supportive of having a single insolvency proceeding with universal effect</w:t>
      </w:r>
      <w:r w:rsidR="004A1D01">
        <w:rPr>
          <w:rFonts w:ascii="Avenir Next" w:hAnsi="Avenir Next" w:cs="Arial"/>
          <w:color w:val="808080" w:themeColor="background1" w:themeShade="80"/>
          <w:sz w:val="22"/>
          <w:szCs w:val="22"/>
          <w:lang w:val="en-GB"/>
        </w:rPr>
        <w:t xml:space="preserve"> than the </w:t>
      </w:r>
      <w:r w:rsidR="006F1A00">
        <w:rPr>
          <w:rFonts w:ascii="Avenir Next" w:hAnsi="Avenir Next" w:cs="Arial"/>
          <w:color w:val="808080" w:themeColor="background1" w:themeShade="80"/>
          <w:sz w:val="22"/>
          <w:szCs w:val="22"/>
          <w:lang w:val="en-GB"/>
        </w:rPr>
        <w:t>Montevideo Treaties</w:t>
      </w:r>
      <w:r w:rsidR="00102C39">
        <w:rPr>
          <w:rFonts w:ascii="Avenir Next" w:hAnsi="Avenir Next" w:cs="Arial"/>
          <w:color w:val="808080" w:themeColor="background1" w:themeShade="80"/>
          <w:sz w:val="22"/>
          <w:szCs w:val="22"/>
          <w:lang w:val="en-GB"/>
        </w:rPr>
        <w:t>. This can be seen from how</w:t>
      </w:r>
      <w:r w:rsidR="00D86D42">
        <w:rPr>
          <w:rFonts w:ascii="Avenir Next" w:hAnsi="Avenir Next" w:cs="Arial"/>
          <w:color w:val="808080" w:themeColor="background1" w:themeShade="80"/>
          <w:sz w:val="22"/>
          <w:szCs w:val="22"/>
          <w:lang w:val="en-GB"/>
        </w:rPr>
        <w:t xml:space="preserve"> </w:t>
      </w:r>
      <w:r w:rsidR="009C7DAF">
        <w:rPr>
          <w:rFonts w:ascii="Avenir Next" w:hAnsi="Avenir Next" w:cs="Arial"/>
          <w:color w:val="808080" w:themeColor="background1" w:themeShade="80"/>
          <w:sz w:val="22"/>
          <w:szCs w:val="22"/>
          <w:lang w:val="en-GB"/>
        </w:rPr>
        <w:t xml:space="preserve">Article </w:t>
      </w:r>
      <w:proofErr w:type="gramStart"/>
      <w:r w:rsidR="009C7DAF">
        <w:rPr>
          <w:rFonts w:ascii="Avenir Next" w:hAnsi="Avenir Next" w:cs="Arial"/>
          <w:color w:val="808080" w:themeColor="background1" w:themeShade="80"/>
          <w:sz w:val="22"/>
          <w:szCs w:val="22"/>
          <w:lang w:val="en-GB"/>
        </w:rPr>
        <w:t xml:space="preserve">414 </w:t>
      </w:r>
      <w:r w:rsidR="007B7B54">
        <w:rPr>
          <w:rFonts w:ascii="Avenir Next" w:hAnsi="Avenir Next" w:cs="Arial"/>
          <w:color w:val="808080" w:themeColor="background1" w:themeShade="80"/>
          <w:sz w:val="22"/>
          <w:szCs w:val="22"/>
          <w:lang w:val="en-GB"/>
        </w:rPr>
        <w:t xml:space="preserve"> of</w:t>
      </w:r>
      <w:proofErr w:type="gramEnd"/>
      <w:r w:rsidR="007B7B54">
        <w:rPr>
          <w:rFonts w:ascii="Avenir Next" w:hAnsi="Avenir Next" w:cs="Arial"/>
          <w:color w:val="808080" w:themeColor="background1" w:themeShade="80"/>
          <w:sz w:val="22"/>
          <w:szCs w:val="22"/>
          <w:lang w:val="en-GB"/>
        </w:rPr>
        <w:t xml:space="preserve"> the Havana Convention (1928) </w:t>
      </w:r>
      <w:r w:rsidR="009C7DAF">
        <w:rPr>
          <w:rFonts w:ascii="Avenir Next" w:hAnsi="Avenir Next" w:cs="Arial"/>
          <w:color w:val="808080" w:themeColor="background1" w:themeShade="80"/>
          <w:sz w:val="22"/>
          <w:szCs w:val="22"/>
          <w:lang w:val="en-GB"/>
        </w:rPr>
        <w:t>mandates that “</w:t>
      </w:r>
      <w:r w:rsidR="009C7DAF">
        <w:rPr>
          <w:rFonts w:ascii="Avenir Next" w:hAnsi="Avenir Next" w:cs="Arial"/>
          <w:i/>
          <w:iCs/>
          <w:color w:val="808080" w:themeColor="background1" w:themeShade="80"/>
          <w:sz w:val="22"/>
          <w:szCs w:val="22"/>
          <w:lang w:val="en-GB"/>
        </w:rPr>
        <w:t xml:space="preserve">if the </w:t>
      </w:r>
      <w:r w:rsidR="009C7DAF">
        <w:rPr>
          <w:rFonts w:ascii="Avenir Next" w:hAnsi="Avenir Next" w:cs="Arial"/>
          <w:i/>
          <w:iCs/>
          <w:color w:val="808080" w:themeColor="background1" w:themeShade="80"/>
          <w:sz w:val="22"/>
          <w:szCs w:val="22"/>
          <w:lang w:val="en-GB"/>
        </w:rPr>
        <w:t>insolvent or bankrupt debtor has only one civil or commercial domicile, there can be only one preventive proceeding in insolvency or bankruptcy, or one suspension of payments, or a composition (</w:t>
      </w:r>
      <w:proofErr w:type="spellStart"/>
      <w:r w:rsidR="009C7DAF">
        <w:rPr>
          <w:rFonts w:ascii="Avenir Next" w:hAnsi="Avenir Next" w:cs="Arial"/>
          <w:i/>
          <w:iCs/>
          <w:color w:val="808080" w:themeColor="background1" w:themeShade="80"/>
          <w:sz w:val="22"/>
          <w:szCs w:val="22"/>
          <w:lang w:val="en-GB"/>
        </w:rPr>
        <w:t>quita</w:t>
      </w:r>
      <w:proofErr w:type="spellEnd"/>
      <w:r w:rsidR="009C7DAF">
        <w:rPr>
          <w:rFonts w:ascii="Avenir Next" w:hAnsi="Avenir Next" w:cs="Arial"/>
          <w:i/>
          <w:iCs/>
          <w:color w:val="808080" w:themeColor="background1" w:themeShade="80"/>
          <w:sz w:val="22"/>
          <w:szCs w:val="22"/>
          <w:lang w:val="en-GB"/>
        </w:rPr>
        <w:t xml:space="preserve"> y </w:t>
      </w:r>
      <w:proofErr w:type="spellStart"/>
      <w:r w:rsidR="009C7DAF">
        <w:rPr>
          <w:rFonts w:ascii="Avenir Next" w:hAnsi="Avenir Next" w:cs="Arial"/>
          <w:i/>
          <w:iCs/>
          <w:color w:val="808080" w:themeColor="background1" w:themeShade="80"/>
          <w:sz w:val="22"/>
          <w:szCs w:val="22"/>
          <w:lang w:val="en-GB"/>
        </w:rPr>
        <w:t>espera</w:t>
      </w:r>
      <w:proofErr w:type="spellEnd"/>
      <w:r w:rsidR="009C7DAF">
        <w:rPr>
          <w:rFonts w:ascii="Avenir Next" w:hAnsi="Avenir Next" w:cs="Arial"/>
          <w:i/>
          <w:iCs/>
          <w:color w:val="808080" w:themeColor="background1" w:themeShade="80"/>
          <w:sz w:val="22"/>
          <w:szCs w:val="22"/>
          <w:lang w:val="en-GB"/>
        </w:rPr>
        <w:t>) in respect of all his assets and his liabilities in the contracting States</w:t>
      </w:r>
      <w:r w:rsidR="009C7DAF">
        <w:rPr>
          <w:rFonts w:ascii="Avenir Next" w:hAnsi="Avenir Next" w:cs="Arial"/>
          <w:color w:val="808080" w:themeColor="background1" w:themeShade="80"/>
          <w:sz w:val="22"/>
          <w:szCs w:val="22"/>
          <w:lang w:val="en-GB"/>
        </w:rPr>
        <w:t>.”</w:t>
      </w:r>
      <w:r w:rsidR="00725FE3">
        <w:rPr>
          <w:rFonts w:ascii="Avenir Next" w:hAnsi="Avenir Next" w:cs="Arial"/>
          <w:color w:val="808080" w:themeColor="background1" w:themeShade="80"/>
          <w:sz w:val="22"/>
          <w:szCs w:val="22"/>
          <w:lang w:val="en-GB"/>
        </w:rPr>
        <w:t xml:space="preserve"> </w:t>
      </w:r>
    </w:p>
    <w:p w14:paraId="1C5E6733" w14:textId="77777777" w:rsidR="00725FE3" w:rsidRDefault="00725FE3" w:rsidP="00B623C4">
      <w:pPr>
        <w:jc w:val="both"/>
        <w:rPr>
          <w:rFonts w:ascii="Avenir Next" w:hAnsi="Avenir Next" w:cs="Arial"/>
          <w:color w:val="808080" w:themeColor="background1" w:themeShade="80"/>
          <w:sz w:val="22"/>
          <w:szCs w:val="22"/>
          <w:lang w:val="en-GB"/>
        </w:rPr>
      </w:pPr>
    </w:p>
    <w:p w14:paraId="47041689" w14:textId="4C2BC2B9" w:rsidR="00725FE3" w:rsidRPr="009C7DAF" w:rsidRDefault="00725FE3" w:rsidP="00B623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Havana Convention (1928) </w:t>
      </w:r>
      <w:r>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does not provide procedures for co-operation or co-ordination of any concurrent proceedings</w:t>
      </w:r>
      <w:r w:rsidR="003B40FA">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097B1AE" w14:textId="7235BCFF" w:rsidR="007559B5" w:rsidRDefault="00065CF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I agree </w:t>
      </w:r>
      <w:r w:rsidR="0085636A">
        <w:rPr>
          <w:rFonts w:ascii="Avenir Next" w:hAnsi="Avenir Next" w:cs="Arial"/>
          <w:color w:val="808080" w:themeColor="background1" w:themeShade="80"/>
          <w:sz w:val="22"/>
          <w:szCs w:val="22"/>
          <w:lang w:val="en-GB"/>
        </w:rPr>
        <w:t xml:space="preserve">that the terms “bankruptcy” and “insolvency” may be used interchangeably </w:t>
      </w:r>
      <w:r w:rsidR="00624555">
        <w:rPr>
          <w:rFonts w:ascii="Avenir Next" w:hAnsi="Avenir Next" w:cs="Arial"/>
          <w:color w:val="808080" w:themeColor="background1" w:themeShade="80"/>
          <w:sz w:val="22"/>
          <w:szCs w:val="22"/>
          <w:lang w:val="en-GB"/>
        </w:rPr>
        <w:t xml:space="preserve">as both terms would </w:t>
      </w:r>
      <w:r w:rsidR="0031172D">
        <w:rPr>
          <w:rFonts w:ascii="Avenir Next" w:hAnsi="Avenir Next" w:cs="Arial"/>
          <w:color w:val="808080" w:themeColor="background1" w:themeShade="80"/>
          <w:sz w:val="22"/>
          <w:szCs w:val="22"/>
          <w:lang w:val="en-GB"/>
        </w:rPr>
        <w:t xml:space="preserve">be understood </w:t>
      </w:r>
      <w:r w:rsidR="0085636A">
        <w:rPr>
          <w:rFonts w:ascii="Avenir Next" w:hAnsi="Avenir Next" w:cs="Arial"/>
          <w:color w:val="808080" w:themeColor="background1" w:themeShade="80"/>
          <w:sz w:val="22"/>
          <w:szCs w:val="22"/>
          <w:lang w:val="en-GB"/>
        </w:rPr>
        <w:t xml:space="preserve">to refer to a situation where a debtor is unable to </w:t>
      </w:r>
      <w:r w:rsidR="00624555">
        <w:rPr>
          <w:rFonts w:ascii="Avenir Next" w:hAnsi="Avenir Next" w:cs="Arial"/>
          <w:color w:val="808080" w:themeColor="background1" w:themeShade="80"/>
          <w:sz w:val="22"/>
          <w:szCs w:val="22"/>
          <w:lang w:val="en-GB"/>
        </w:rPr>
        <w:t>pay his debts.</w:t>
      </w:r>
      <w:r w:rsidR="0031172D">
        <w:rPr>
          <w:rFonts w:ascii="Avenir Next" w:hAnsi="Avenir Next" w:cs="Arial"/>
          <w:color w:val="808080" w:themeColor="background1" w:themeShade="80"/>
          <w:sz w:val="22"/>
          <w:szCs w:val="22"/>
          <w:lang w:val="en-GB"/>
        </w:rPr>
        <w:t xml:space="preserve"> However, </w:t>
      </w:r>
      <w:r w:rsidR="000071D0">
        <w:rPr>
          <w:rFonts w:ascii="Avenir Next" w:hAnsi="Avenir Next" w:cs="Arial"/>
          <w:color w:val="808080" w:themeColor="background1" w:themeShade="80"/>
          <w:sz w:val="22"/>
          <w:szCs w:val="22"/>
          <w:lang w:val="en-GB"/>
        </w:rPr>
        <w:t xml:space="preserve">these terms </w:t>
      </w:r>
      <w:r w:rsidR="007559B5">
        <w:rPr>
          <w:rFonts w:ascii="Avenir Next" w:hAnsi="Avenir Next" w:cs="Arial"/>
          <w:color w:val="808080" w:themeColor="background1" w:themeShade="80"/>
          <w:sz w:val="22"/>
          <w:szCs w:val="22"/>
          <w:lang w:val="en-GB"/>
        </w:rPr>
        <w:t xml:space="preserve">should not </w:t>
      </w:r>
      <w:r w:rsidR="000071D0">
        <w:rPr>
          <w:rFonts w:ascii="Avenir Next" w:hAnsi="Avenir Next" w:cs="Arial"/>
          <w:color w:val="808080" w:themeColor="background1" w:themeShade="80"/>
          <w:sz w:val="22"/>
          <w:szCs w:val="22"/>
          <w:lang w:val="en-GB"/>
        </w:rPr>
        <w:t xml:space="preserve">be used interchangeably </w:t>
      </w:r>
      <w:r w:rsidR="00803AA7">
        <w:rPr>
          <w:rFonts w:ascii="Avenir Next" w:hAnsi="Avenir Next" w:cs="Arial"/>
          <w:color w:val="808080" w:themeColor="background1" w:themeShade="80"/>
          <w:sz w:val="22"/>
          <w:szCs w:val="22"/>
          <w:lang w:val="en-GB"/>
        </w:rPr>
        <w:t xml:space="preserve">in some jurisdictions (such as </w:t>
      </w:r>
      <w:r w:rsidR="00E941CB">
        <w:rPr>
          <w:rFonts w:ascii="Avenir Next" w:hAnsi="Avenir Next" w:cs="Arial"/>
          <w:color w:val="808080" w:themeColor="background1" w:themeShade="80"/>
          <w:sz w:val="22"/>
          <w:szCs w:val="22"/>
          <w:lang w:val="en-GB"/>
        </w:rPr>
        <w:t xml:space="preserve">Australia and </w:t>
      </w:r>
      <w:r w:rsidR="00803AA7">
        <w:rPr>
          <w:rFonts w:ascii="Avenir Next" w:hAnsi="Avenir Next" w:cs="Arial"/>
          <w:color w:val="808080" w:themeColor="background1" w:themeShade="80"/>
          <w:sz w:val="22"/>
          <w:szCs w:val="22"/>
          <w:lang w:val="en-GB"/>
        </w:rPr>
        <w:t xml:space="preserve">Singapore) </w:t>
      </w:r>
      <w:r w:rsidR="000071D0">
        <w:rPr>
          <w:rFonts w:ascii="Avenir Next" w:hAnsi="Avenir Next" w:cs="Arial"/>
          <w:color w:val="808080" w:themeColor="background1" w:themeShade="80"/>
          <w:sz w:val="22"/>
          <w:szCs w:val="22"/>
          <w:lang w:val="en-GB"/>
        </w:rPr>
        <w:t xml:space="preserve">as </w:t>
      </w:r>
      <w:r w:rsidR="00803AA7">
        <w:rPr>
          <w:rFonts w:ascii="Avenir Next" w:hAnsi="Avenir Next" w:cs="Arial"/>
          <w:color w:val="808080" w:themeColor="background1" w:themeShade="80"/>
          <w:sz w:val="22"/>
          <w:szCs w:val="22"/>
          <w:lang w:val="en-GB"/>
        </w:rPr>
        <w:t>the</w:t>
      </w:r>
      <w:r w:rsidR="00EB41D5">
        <w:rPr>
          <w:rFonts w:ascii="Avenir Next" w:hAnsi="Avenir Next" w:cs="Arial"/>
          <w:color w:val="808080" w:themeColor="background1" w:themeShade="80"/>
          <w:sz w:val="22"/>
          <w:szCs w:val="22"/>
          <w:lang w:val="en-GB"/>
        </w:rPr>
        <w:t xml:space="preserve"> laws </w:t>
      </w:r>
      <w:r w:rsidR="005876EC">
        <w:rPr>
          <w:rFonts w:ascii="Avenir Next" w:hAnsi="Avenir Next" w:cs="Arial"/>
          <w:color w:val="808080" w:themeColor="background1" w:themeShade="80"/>
          <w:sz w:val="22"/>
          <w:szCs w:val="22"/>
          <w:lang w:val="en-GB"/>
        </w:rPr>
        <w:t xml:space="preserve">there </w:t>
      </w:r>
      <w:r w:rsidR="00EB41D5">
        <w:rPr>
          <w:rFonts w:ascii="Avenir Next" w:hAnsi="Avenir Next" w:cs="Arial"/>
          <w:color w:val="808080" w:themeColor="background1" w:themeShade="80"/>
          <w:sz w:val="22"/>
          <w:szCs w:val="22"/>
          <w:lang w:val="en-GB"/>
        </w:rPr>
        <w:t xml:space="preserve">might only use the term </w:t>
      </w:r>
      <w:r w:rsidR="000071D0">
        <w:rPr>
          <w:rFonts w:ascii="Avenir Next" w:hAnsi="Avenir Next" w:cs="Arial"/>
          <w:color w:val="808080" w:themeColor="background1" w:themeShade="80"/>
          <w:sz w:val="22"/>
          <w:szCs w:val="22"/>
          <w:lang w:val="en-GB"/>
        </w:rPr>
        <w:t>“</w:t>
      </w:r>
      <w:r w:rsidR="000071D0" w:rsidRPr="00EB41D5">
        <w:rPr>
          <w:rFonts w:ascii="Avenir Next" w:hAnsi="Avenir Next" w:cs="Arial"/>
          <w:i/>
          <w:iCs/>
          <w:color w:val="808080" w:themeColor="background1" w:themeShade="80"/>
          <w:sz w:val="22"/>
          <w:szCs w:val="22"/>
          <w:lang w:val="en-GB"/>
        </w:rPr>
        <w:t>bankruptcy</w:t>
      </w:r>
      <w:r w:rsidR="000071D0">
        <w:rPr>
          <w:rFonts w:ascii="Avenir Next" w:hAnsi="Avenir Next" w:cs="Arial"/>
          <w:color w:val="808080" w:themeColor="background1" w:themeShade="80"/>
          <w:sz w:val="22"/>
          <w:szCs w:val="22"/>
          <w:lang w:val="en-GB"/>
        </w:rPr>
        <w:t xml:space="preserve">” </w:t>
      </w:r>
      <w:r w:rsidR="00EB41D5">
        <w:rPr>
          <w:rFonts w:ascii="Avenir Next" w:hAnsi="Avenir Next" w:cs="Arial"/>
          <w:color w:val="808080" w:themeColor="background1" w:themeShade="80"/>
          <w:sz w:val="22"/>
          <w:szCs w:val="22"/>
          <w:lang w:val="en-GB"/>
        </w:rPr>
        <w:t>for individuals</w:t>
      </w:r>
      <w:r w:rsidR="005876EC">
        <w:rPr>
          <w:rFonts w:ascii="Avenir Next" w:hAnsi="Avenir Next" w:cs="Arial"/>
          <w:color w:val="808080" w:themeColor="background1" w:themeShade="80"/>
          <w:sz w:val="22"/>
          <w:szCs w:val="22"/>
          <w:lang w:val="en-GB"/>
        </w:rPr>
        <w:t xml:space="preserve"> </w:t>
      </w:r>
      <w:r w:rsidR="00EB41D5">
        <w:rPr>
          <w:rFonts w:ascii="Avenir Next" w:hAnsi="Avenir Next" w:cs="Arial"/>
          <w:color w:val="808080" w:themeColor="background1" w:themeShade="80"/>
          <w:sz w:val="22"/>
          <w:szCs w:val="22"/>
          <w:lang w:val="en-GB"/>
        </w:rPr>
        <w:t>and the term “</w:t>
      </w:r>
      <w:r w:rsidR="00EB41D5" w:rsidRPr="00EB41D5">
        <w:rPr>
          <w:rFonts w:ascii="Avenir Next" w:hAnsi="Avenir Next" w:cs="Arial"/>
          <w:i/>
          <w:iCs/>
          <w:color w:val="808080" w:themeColor="background1" w:themeShade="80"/>
          <w:sz w:val="22"/>
          <w:szCs w:val="22"/>
          <w:lang w:val="en-GB"/>
        </w:rPr>
        <w:t>insolvency</w:t>
      </w:r>
      <w:r w:rsidR="00EB41D5">
        <w:rPr>
          <w:rFonts w:ascii="Avenir Next" w:hAnsi="Avenir Next" w:cs="Arial"/>
          <w:color w:val="808080" w:themeColor="background1" w:themeShade="80"/>
          <w:sz w:val="22"/>
          <w:szCs w:val="22"/>
          <w:lang w:val="en-GB"/>
        </w:rPr>
        <w:t xml:space="preserve">” </w:t>
      </w:r>
      <w:r w:rsidR="00B15CA6">
        <w:rPr>
          <w:rFonts w:ascii="Avenir Next" w:hAnsi="Avenir Next" w:cs="Arial"/>
          <w:color w:val="808080" w:themeColor="background1" w:themeShade="80"/>
          <w:sz w:val="22"/>
          <w:szCs w:val="22"/>
          <w:lang w:val="en-GB"/>
        </w:rPr>
        <w:t xml:space="preserve">for </w:t>
      </w:r>
      <w:r w:rsidR="00EB41D5">
        <w:rPr>
          <w:rFonts w:ascii="Avenir Next" w:hAnsi="Avenir Next" w:cs="Arial"/>
          <w:color w:val="808080" w:themeColor="background1" w:themeShade="80"/>
          <w:sz w:val="22"/>
          <w:szCs w:val="22"/>
          <w:lang w:val="en-GB"/>
        </w:rPr>
        <w:t>corporations who are unable to pay their debts.</w:t>
      </w:r>
    </w:p>
    <w:p w14:paraId="25D9B75C" w14:textId="77777777" w:rsidR="007559B5" w:rsidRDefault="007559B5" w:rsidP="00DA42DA">
      <w:pPr>
        <w:jc w:val="both"/>
        <w:rPr>
          <w:rFonts w:ascii="Avenir Next" w:hAnsi="Avenir Next" w:cs="Arial"/>
          <w:color w:val="808080" w:themeColor="background1" w:themeShade="80"/>
          <w:sz w:val="22"/>
          <w:szCs w:val="22"/>
          <w:lang w:val="en-GB"/>
        </w:rPr>
      </w:pPr>
    </w:p>
    <w:p w14:paraId="3AA7088E" w14:textId="31A4F3C5" w:rsidR="001E625C" w:rsidRDefault="00973D69" w:rsidP="00DA42DA">
      <w:pPr>
        <w:jc w:val="both"/>
        <w:rPr>
          <w:rFonts w:ascii="Avenir Next" w:hAnsi="Avenir Next" w:cs="Arial"/>
          <w:b/>
          <w:bCs/>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Although the terms “insolvency” and “bankruptcy” carry the same meaning in many legal systems,</w:t>
      </w:r>
      <w:r w:rsidR="002F59BB">
        <w:rPr>
          <w:rFonts w:ascii="Avenir Next" w:hAnsi="Avenir Next" w:cs="Arial"/>
          <w:color w:val="808080" w:themeColor="background1" w:themeShade="80"/>
          <w:sz w:val="22"/>
          <w:szCs w:val="22"/>
          <w:lang w:val="en-GB"/>
        </w:rPr>
        <w:t xml:space="preserve"> they can also have different meanings ascribed to them. For example, “insolvency” can sometimes refer to the state of the financial affairs of a debtor who is unable to pay his debts, whereas “bankruptcy” can sometimes refer to the formal state of being subject to a formal bankruptcy proceeding.</w:t>
      </w:r>
      <w:r w:rsidR="00925F16">
        <w:rPr>
          <w:rFonts w:ascii="Avenir Next" w:hAnsi="Avenir Next" w:cs="Arial"/>
          <w:color w:val="808080" w:themeColor="background1" w:themeShade="80"/>
          <w:sz w:val="22"/>
          <w:szCs w:val="22"/>
          <w:lang w:val="en-GB"/>
        </w:rPr>
        <w:t xml:space="preserve"> </w:t>
      </w:r>
      <w:r w:rsidR="00C25BCF">
        <w:rPr>
          <w:rFonts w:ascii="Avenir Next" w:hAnsi="Avenir Next" w:cs="Arial"/>
          <w:color w:val="808080" w:themeColor="background1" w:themeShade="80"/>
          <w:sz w:val="22"/>
          <w:szCs w:val="22"/>
          <w:lang w:val="en-GB"/>
        </w:rPr>
        <w:t xml:space="preserve">The term “insolvency” </w:t>
      </w:r>
      <w:r w:rsidR="00B61D41">
        <w:rPr>
          <w:rFonts w:ascii="Avenir Next" w:hAnsi="Avenir Next" w:cs="Arial"/>
          <w:color w:val="808080" w:themeColor="background1" w:themeShade="80"/>
          <w:sz w:val="22"/>
          <w:szCs w:val="22"/>
          <w:lang w:val="en-GB"/>
        </w:rPr>
        <w:t xml:space="preserve">can </w:t>
      </w:r>
      <w:r w:rsidR="001F71CC">
        <w:rPr>
          <w:rFonts w:ascii="Avenir Next" w:hAnsi="Avenir Next" w:cs="Arial"/>
          <w:color w:val="808080" w:themeColor="background1" w:themeShade="80"/>
          <w:sz w:val="22"/>
          <w:szCs w:val="22"/>
          <w:lang w:val="en-GB"/>
        </w:rPr>
        <w:t xml:space="preserve">also </w:t>
      </w:r>
      <w:r w:rsidR="005D3647">
        <w:rPr>
          <w:rFonts w:ascii="Avenir Next" w:hAnsi="Avenir Next" w:cs="Arial"/>
          <w:color w:val="808080" w:themeColor="background1" w:themeShade="80"/>
          <w:sz w:val="22"/>
          <w:szCs w:val="22"/>
          <w:lang w:val="en-GB"/>
        </w:rPr>
        <w:t xml:space="preserve">mean a situation where the </w:t>
      </w:r>
      <w:r w:rsidR="001F71CC">
        <w:rPr>
          <w:rFonts w:ascii="Avenir Next" w:hAnsi="Avenir Next" w:cs="Arial"/>
          <w:color w:val="808080" w:themeColor="background1" w:themeShade="80"/>
          <w:sz w:val="22"/>
          <w:szCs w:val="22"/>
          <w:lang w:val="en-GB"/>
        </w:rPr>
        <w:t>liabilities of a debtor exceed his assets (</w:t>
      </w:r>
      <w:proofErr w:type="gramStart"/>
      <w:r w:rsidR="001F71CC">
        <w:rPr>
          <w:rFonts w:ascii="Avenir Next" w:hAnsi="Avenir Next" w:cs="Arial"/>
          <w:color w:val="808080" w:themeColor="background1" w:themeShade="80"/>
          <w:sz w:val="22"/>
          <w:szCs w:val="22"/>
          <w:lang w:val="en-GB"/>
        </w:rPr>
        <w:t>i.e.</w:t>
      </w:r>
      <w:proofErr w:type="gramEnd"/>
      <w:r w:rsidR="001F71CC">
        <w:rPr>
          <w:rFonts w:ascii="Avenir Next" w:hAnsi="Avenir Next" w:cs="Arial"/>
          <w:color w:val="808080" w:themeColor="background1" w:themeShade="80"/>
          <w:sz w:val="22"/>
          <w:szCs w:val="22"/>
          <w:lang w:val="en-GB"/>
        </w:rPr>
        <w:t xml:space="preserve"> balance sheet insolvency)</w:t>
      </w:r>
      <w:r w:rsidR="00C25BCF">
        <w:rPr>
          <w:rFonts w:ascii="Avenir Next" w:hAnsi="Avenir Next" w:cs="Arial"/>
          <w:color w:val="808080" w:themeColor="background1" w:themeShade="80"/>
          <w:sz w:val="22"/>
          <w:szCs w:val="22"/>
          <w:lang w:val="en-GB"/>
        </w:rPr>
        <w:t xml:space="preserve"> or </w:t>
      </w:r>
      <w:r w:rsidR="00B61D41">
        <w:rPr>
          <w:rFonts w:ascii="Avenir Next" w:hAnsi="Avenir Next" w:cs="Arial"/>
          <w:color w:val="808080" w:themeColor="background1" w:themeShade="80"/>
          <w:sz w:val="22"/>
          <w:szCs w:val="22"/>
          <w:lang w:val="en-GB"/>
        </w:rPr>
        <w:t xml:space="preserve">a situation </w:t>
      </w:r>
      <w:r w:rsidR="00C25BCF">
        <w:rPr>
          <w:rFonts w:ascii="Avenir Next" w:hAnsi="Avenir Next" w:cs="Arial"/>
          <w:color w:val="808080" w:themeColor="background1" w:themeShade="80"/>
          <w:sz w:val="22"/>
          <w:szCs w:val="22"/>
          <w:lang w:val="en-GB"/>
        </w:rPr>
        <w:t>where the debtor cannot repay debts as they fall due by reason of a cash flow problem (i.e. cash flow insolvency).</w:t>
      </w:r>
      <w:r w:rsidR="001E625C" w:rsidRPr="001E625C">
        <w:rPr>
          <w:rFonts w:ascii="Avenir Next" w:hAnsi="Avenir Next" w:cs="Arial"/>
          <w:b/>
          <w:bCs/>
          <w:color w:val="808080" w:themeColor="background1" w:themeShade="80"/>
          <w:sz w:val="22"/>
          <w:szCs w:val="22"/>
          <w:highlight w:val="yellow"/>
          <w:u w:val="single"/>
          <w:lang w:val="en-GB"/>
        </w:rPr>
        <w:t xml:space="preserve"> </w:t>
      </w:r>
    </w:p>
    <w:p w14:paraId="4F0F5D49" w14:textId="77777777" w:rsidR="00925F16" w:rsidRDefault="00925F16" w:rsidP="00DA42DA">
      <w:pPr>
        <w:jc w:val="both"/>
        <w:rPr>
          <w:rFonts w:ascii="Avenir Next" w:hAnsi="Avenir Next" w:cs="Arial"/>
          <w:b/>
          <w:bCs/>
          <w:color w:val="808080" w:themeColor="background1" w:themeShade="80"/>
          <w:sz w:val="22"/>
          <w:szCs w:val="22"/>
          <w:u w:val="single"/>
          <w:lang w:val="en-GB"/>
        </w:rPr>
      </w:pPr>
    </w:p>
    <w:p w14:paraId="48E13D2E" w14:textId="5D17BF33" w:rsidR="00925F16" w:rsidRDefault="00925F1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t>
      </w:r>
      <w:r w:rsidR="00FC29D8">
        <w:rPr>
          <w:rFonts w:ascii="Avenir Next" w:hAnsi="Avenir Next" w:cs="Arial"/>
          <w:color w:val="808080" w:themeColor="background1" w:themeShade="80"/>
          <w:sz w:val="22"/>
          <w:szCs w:val="22"/>
          <w:lang w:val="en-GB"/>
        </w:rPr>
        <w:t xml:space="preserve">P R Wood, </w:t>
      </w:r>
      <w:r w:rsidR="00FC29D8">
        <w:rPr>
          <w:rFonts w:ascii="Avenir Next" w:hAnsi="Avenir Next" w:cs="Arial"/>
          <w:i/>
          <w:iCs/>
          <w:color w:val="808080" w:themeColor="background1" w:themeShade="80"/>
          <w:sz w:val="22"/>
          <w:szCs w:val="22"/>
          <w:lang w:val="en-GB"/>
        </w:rPr>
        <w:t xml:space="preserve">Principles of International Insolvency </w:t>
      </w:r>
      <w:r w:rsidR="00FC29D8">
        <w:rPr>
          <w:rFonts w:ascii="Avenir Next" w:hAnsi="Avenir Next" w:cs="Arial"/>
          <w:color w:val="808080" w:themeColor="background1" w:themeShade="80"/>
          <w:sz w:val="22"/>
          <w:szCs w:val="22"/>
          <w:lang w:val="en-GB"/>
        </w:rPr>
        <w:t xml:space="preserve">(Sweet and Maxwell Ltd, 2007), </w:t>
      </w:r>
      <w:r w:rsidR="005A54B3">
        <w:rPr>
          <w:rFonts w:ascii="Avenir Next" w:hAnsi="Avenir Next" w:cs="Arial"/>
          <w:color w:val="808080" w:themeColor="background1" w:themeShade="80"/>
          <w:sz w:val="22"/>
          <w:szCs w:val="22"/>
          <w:lang w:val="en-GB"/>
        </w:rPr>
        <w:t>the following are possible essential features of insolvency and bankruptcy:</w:t>
      </w:r>
    </w:p>
    <w:p w14:paraId="49EE6316" w14:textId="77777777" w:rsidR="005A54B3" w:rsidRDefault="005A54B3" w:rsidP="005A54B3">
      <w:pPr>
        <w:pStyle w:val="ListParagraph"/>
        <w:jc w:val="both"/>
        <w:rPr>
          <w:rFonts w:ascii="Avenir Next" w:hAnsi="Avenir Next" w:cs="Arial"/>
          <w:color w:val="808080" w:themeColor="background1" w:themeShade="80"/>
          <w:sz w:val="22"/>
          <w:szCs w:val="22"/>
          <w:lang w:val="en-GB"/>
        </w:rPr>
      </w:pPr>
    </w:p>
    <w:p w14:paraId="1D13C2E2" w14:textId="64CACBB9" w:rsidR="005A54B3" w:rsidRDefault="005A54B3" w:rsidP="005A54B3">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actions </w:t>
      </w:r>
      <w:r w:rsidR="00723DEE">
        <w:rPr>
          <w:rFonts w:ascii="Avenir Next" w:hAnsi="Avenir Next" w:cs="Arial"/>
          <w:color w:val="808080" w:themeColor="background1" w:themeShade="80"/>
          <w:sz w:val="22"/>
          <w:szCs w:val="22"/>
          <w:lang w:val="en-GB"/>
        </w:rPr>
        <w:t xml:space="preserve">by individual creditors against the insolvent debtor are frozen or </w:t>
      </w:r>
      <w:proofErr w:type="gramStart"/>
      <w:r w:rsidR="00723DEE">
        <w:rPr>
          <w:rFonts w:ascii="Avenir Next" w:hAnsi="Avenir Next" w:cs="Arial"/>
          <w:color w:val="808080" w:themeColor="background1" w:themeShade="80"/>
          <w:sz w:val="22"/>
          <w:szCs w:val="22"/>
          <w:lang w:val="en-GB"/>
        </w:rPr>
        <w:t>stayed;</w:t>
      </w:r>
      <w:proofErr w:type="gramEnd"/>
    </w:p>
    <w:p w14:paraId="576A2D96" w14:textId="77777777" w:rsidR="005A54B3" w:rsidRDefault="005A54B3" w:rsidP="005A54B3">
      <w:pPr>
        <w:pStyle w:val="ListParagraph"/>
        <w:jc w:val="both"/>
        <w:rPr>
          <w:rFonts w:ascii="Avenir Next" w:hAnsi="Avenir Next" w:cs="Arial"/>
          <w:color w:val="808080" w:themeColor="background1" w:themeShade="80"/>
          <w:sz w:val="22"/>
          <w:szCs w:val="22"/>
          <w:lang w:val="en-GB"/>
        </w:rPr>
      </w:pPr>
    </w:p>
    <w:p w14:paraId="57F1C0E8" w14:textId="0A94C5BA" w:rsidR="005A54B3" w:rsidRDefault="00723DEE" w:rsidP="005A54B3">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insolvent debtor’s assets are pooled and </w:t>
      </w:r>
      <w:r w:rsidR="004B1F0B">
        <w:rPr>
          <w:rFonts w:ascii="Avenir Next" w:hAnsi="Avenir Next" w:cs="Arial"/>
          <w:color w:val="808080" w:themeColor="background1" w:themeShade="80"/>
          <w:sz w:val="22"/>
          <w:szCs w:val="22"/>
          <w:lang w:val="en-GB"/>
        </w:rPr>
        <w:t xml:space="preserve">made available to pay creditors, though different states might have exceptions to this rule; and </w:t>
      </w:r>
    </w:p>
    <w:p w14:paraId="2C856680" w14:textId="77777777" w:rsidR="00723DEE" w:rsidRPr="00723DEE" w:rsidRDefault="00723DEE" w:rsidP="00723DEE">
      <w:pPr>
        <w:jc w:val="both"/>
        <w:rPr>
          <w:rFonts w:ascii="Avenir Next" w:hAnsi="Avenir Next" w:cs="Arial"/>
          <w:color w:val="808080" w:themeColor="background1" w:themeShade="80"/>
          <w:sz w:val="22"/>
          <w:szCs w:val="22"/>
          <w:lang w:val="en-GB"/>
        </w:rPr>
      </w:pPr>
    </w:p>
    <w:p w14:paraId="52DBA2C7" w14:textId="012F5CB3" w:rsidR="005A54B3" w:rsidRDefault="00627C78" w:rsidP="005A54B3">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w:t>
      </w:r>
      <w:r w:rsidR="007C63F5">
        <w:rPr>
          <w:rFonts w:ascii="Avenir Next" w:hAnsi="Avenir Next" w:cs="Arial"/>
          <w:color w:val="808080" w:themeColor="background1" w:themeShade="80"/>
          <w:sz w:val="22"/>
          <w:szCs w:val="22"/>
          <w:lang w:val="en-GB"/>
        </w:rPr>
        <w:t>creditors are</w:t>
      </w:r>
      <w:r w:rsidR="00C42F55">
        <w:rPr>
          <w:rFonts w:ascii="Avenir Next" w:hAnsi="Avenir Next" w:cs="Arial"/>
          <w:color w:val="808080" w:themeColor="background1" w:themeShade="80"/>
          <w:sz w:val="22"/>
          <w:szCs w:val="22"/>
          <w:lang w:val="en-GB"/>
        </w:rPr>
        <w:t xml:space="preserve"> paid on a </w:t>
      </w:r>
      <w:proofErr w:type="spellStart"/>
      <w:r w:rsidR="00C42F55">
        <w:rPr>
          <w:rFonts w:ascii="Avenir Next" w:hAnsi="Avenir Next" w:cs="Arial"/>
          <w:i/>
          <w:iCs/>
          <w:color w:val="808080" w:themeColor="background1" w:themeShade="80"/>
          <w:sz w:val="22"/>
          <w:szCs w:val="22"/>
          <w:lang w:val="en-GB"/>
        </w:rPr>
        <w:t>pari</w:t>
      </w:r>
      <w:proofErr w:type="spellEnd"/>
      <w:r w:rsidR="00C42F55">
        <w:rPr>
          <w:rFonts w:ascii="Avenir Next" w:hAnsi="Avenir Next" w:cs="Arial"/>
          <w:i/>
          <w:iCs/>
          <w:color w:val="808080" w:themeColor="background1" w:themeShade="80"/>
          <w:sz w:val="22"/>
          <w:szCs w:val="22"/>
          <w:lang w:val="en-GB"/>
        </w:rPr>
        <w:t xml:space="preserve"> passu </w:t>
      </w:r>
      <w:r w:rsidR="00C42F55">
        <w:rPr>
          <w:rFonts w:ascii="Avenir Next" w:hAnsi="Avenir Next" w:cs="Arial"/>
          <w:color w:val="808080" w:themeColor="background1" w:themeShade="80"/>
          <w:sz w:val="22"/>
          <w:szCs w:val="22"/>
          <w:lang w:val="en-GB"/>
        </w:rPr>
        <w:t>basis, though different states might similar</w:t>
      </w:r>
      <w:r w:rsidR="001304E3">
        <w:rPr>
          <w:rFonts w:ascii="Avenir Next" w:hAnsi="Avenir Next" w:cs="Arial"/>
          <w:color w:val="808080" w:themeColor="background1" w:themeShade="80"/>
          <w:sz w:val="22"/>
          <w:szCs w:val="22"/>
          <w:lang w:val="en-GB"/>
        </w:rPr>
        <w:t>ly</w:t>
      </w:r>
      <w:r w:rsidR="00C42F55">
        <w:rPr>
          <w:rFonts w:ascii="Avenir Next" w:hAnsi="Avenir Next" w:cs="Arial"/>
          <w:color w:val="808080" w:themeColor="background1" w:themeShade="80"/>
          <w:sz w:val="22"/>
          <w:szCs w:val="22"/>
          <w:lang w:val="en-GB"/>
        </w:rPr>
        <w:t xml:space="preserve"> have exceptions to this rule in the form of </w:t>
      </w:r>
      <w:proofErr w:type="gramStart"/>
      <w:r w:rsidR="00C42F55">
        <w:rPr>
          <w:rFonts w:ascii="Avenir Next" w:hAnsi="Avenir Next" w:cs="Arial"/>
          <w:color w:val="808080" w:themeColor="background1" w:themeShade="80"/>
          <w:sz w:val="22"/>
          <w:szCs w:val="22"/>
          <w:lang w:val="en-GB"/>
        </w:rPr>
        <w:t>according</w:t>
      </w:r>
      <w:proofErr w:type="gramEnd"/>
      <w:r w:rsidR="00C42F55">
        <w:rPr>
          <w:rFonts w:ascii="Avenir Next" w:hAnsi="Avenir Next" w:cs="Arial"/>
          <w:color w:val="808080" w:themeColor="background1" w:themeShade="80"/>
          <w:sz w:val="22"/>
          <w:szCs w:val="22"/>
          <w:lang w:val="en-GB"/>
        </w:rPr>
        <w:t xml:space="preserve"> priority to the debtor’s assets to certain classes of creditors</w:t>
      </w:r>
      <w:r>
        <w:rPr>
          <w:rFonts w:ascii="Avenir Next" w:hAnsi="Avenir Next" w:cs="Arial"/>
          <w:color w:val="808080" w:themeColor="background1" w:themeShade="80"/>
          <w:sz w:val="22"/>
          <w:szCs w:val="22"/>
          <w:lang w:val="en-GB"/>
        </w:rPr>
        <w:t>.</w:t>
      </w:r>
      <w:r w:rsidR="007C63F5">
        <w:rPr>
          <w:rFonts w:ascii="Avenir Next" w:hAnsi="Avenir Next" w:cs="Arial"/>
          <w:color w:val="808080" w:themeColor="background1" w:themeShade="80"/>
          <w:sz w:val="22"/>
          <w:szCs w:val="22"/>
          <w:lang w:val="en-GB"/>
        </w:rPr>
        <w:t xml:space="preserve"> </w:t>
      </w:r>
    </w:p>
    <w:p w14:paraId="412B4302" w14:textId="77777777" w:rsidR="00CB5B5A" w:rsidRDefault="00CB5B5A" w:rsidP="00DA42DA">
      <w:pPr>
        <w:jc w:val="both"/>
        <w:rPr>
          <w:rFonts w:ascii="Avenir Next" w:hAnsi="Avenir Next" w:cs="Arial"/>
          <w:color w:val="808080" w:themeColor="background1" w:themeShade="80"/>
          <w:sz w:val="22"/>
          <w:szCs w:val="22"/>
          <w:lang w:val="en-GB"/>
        </w:rPr>
      </w:pPr>
    </w:p>
    <w:p w14:paraId="790AABB8" w14:textId="7BC36625" w:rsidR="00CB5B5A" w:rsidRDefault="00CB5B5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several differences that may arise when a “bankruptcy” / “insolvency” involves a corporation rather than an individual. In this regard:</w:t>
      </w:r>
    </w:p>
    <w:p w14:paraId="229F246F" w14:textId="77777777" w:rsidR="00CB5B5A" w:rsidRDefault="00CB5B5A" w:rsidP="00DA42DA">
      <w:pPr>
        <w:jc w:val="both"/>
        <w:rPr>
          <w:rFonts w:ascii="Avenir Next" w:hAnsi="Avenir Next" w:cs="Arial"/>
          <w:color w:val="808080" w:themeColor="background1" w:themeShade="80"/>
          <w:sz w:val="22"/>
          <w:szCs w:val="22"/>
          <w:lang w:val="en-GB"/>
        </w:rPr>
      </w:pPr>
    </w:p>
    <w:p w14:paraId="10A9A45F" w14:textId="088CC761" w:rsidR="00CB5B5A" w:rsidRDefault="00627C78" w:rsidP="00CB5B5A">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4E1BBA">
        <w:rPr>
          <w:rFonts w:ascii="Avenir Next" w:hAnsi="Avenir Next" w:cs="Arial"/>
          <w:color w:val="808080" w:themeColor="background1" w:themeShade="80"/>
          <w:sz w:val="22"/>
          <w:szCs w:val="22"/>
          <w:lang w:val="en-GB"/>
        </w:rPr>
        <w:t>orporations generally cannot be “</w:t>
      </w:r>
      <w:r w:rsidR="004E1BBA" w:rsidRPr="00C50B72">
        <w:rPr>
          <w:rFonts w:ascii="Avenir Next" w:hAnsi="Avenir Next" w:cs="Arial"/>
          <w:i/>
          <w:iCs/>
          <w:color w:val="808080" w:themeColor="background1" w:themeShade="80"/>
          <w:sz w:val="22"/>
          <w:szCs w:val="22"/>
          <w:lang w:val="en-GB"/>
        </w:rPr>
        <w:t>discharged</w:t>
      </w:r>
      <w:r w:rsidR="004E1BBA">
        <w:rPr>
          <w:rFonts w:ascii="Avenir Next" w:hAnsi="Avenir Next" w:cs="Arial"/>
          <w:color w:val="808080" w:themeColor="background1" w:themeShade="80"/>
          <w:sz w:val="22"/>
          <w:szCs w:val="22"/>
          <w:lang w:val="en-GB"/>
        </w:rPr>
        <w:t xml:space="preserve">” from </w:t>
      </w:r>
      <w:r w:rsidR="00C50B72">
        <w:rPr>
          <w:rFonts w:ascii="Avenir Next" w:hAnsi="Avenir Next" w:cs="Arial"/>
          <w:color w:val="808080" w:themeColor="background1" w:themeShade="80"/>
          <w:sz w:val="22"/>
          <w:szCs w:val="22"/>
          <w:lang w:val="en-GB"/>
        </w:rPr>
        <w:t xml:space="preserve">bankruptcy and as a result corporations that are put into liquidated normally end up being dissolved after the winding up of its affairs has been concluded. </w:t>
      </w:r>
      <w:r w:rsidR="008E587A">
        <w:rPr>
          <w:rFonts w:ascii="Avenir Next" w:hAnsi="Avenir Next" w:cs="Arial"/>
          <w:color w:val="808080" w:themeColor="background1" w:themeShade="80"/>
          <w:sz w:val="22"/>
          <w:szCs w:val="22"/>
          <w:lang w:val="en-GB"/>
        </w:rPr>
        <w:t xml:space="preserve">While </w:t>
      </w:r>
      <w:r w:rsidR="00804651">
        <w:rPr>
          <w:rFonts w:ascii="Avenir Next" w:hAnsi="Avenir Next" w:cs="Arial"/>
          <w:color w:val="808080" w:themeColor="background1" w:themeShade="80"/>
          <w:sz w:val="22"/>
          <w:szCs w:val="22"/>
          <w:lang w:val="en-GB"/>
        </w:rPr>
        <w:t>individuals</w:t>
      </w:r>
      <w:r w:rsidR="008E587A">
        <w:rPr>
          <w:rFonts w:ascii="Avenir Next" w:hAnsi="Avenir Next" w:cs="Arial"/>
          <w:color w:val="808080" w:themeColor="background1" w:themeShade="80"/>
          <w:sz w:val="22"/>
          <w:szCs w:val="22"/>
          <w:lang w:val="en-GB"/>
        </w:rPr>
        <w:t xml:space="preserve"> obviously cannot be dissolved, they might</w:t>
      </w:r>
      <w:r w:rsidR="00804651">
        <w:rPr>
          <w:rFonts w:ascii="Avenir Next" w:hAnsi="Avenir Next" w:cs="Arial"/>
          <w:color w:val="808080" w:themeColor="background1" w:themeShade="80"/>
          <w:sz w:val="22"/>
          <w:szCs w:val="22"/>
          <w:lang w:val="en-GB"/>
        </w:rPr>
        <w:t xml:space="preserve"> under</w:t>
      </w:r>
      <w:r w:rsidR="00B05B77">
        <w:rPr>
          <w:rFonts w:ascii="Avenir Next" w:hAnsi="Avenir Next" w:cs="Arial"/>
          <w:color w:val="808080" w:themeColor="background1" w:themeShade="80"/>
          <w:sz w:val="22"/>
          <w:szCs w:val="22"/>
          <w:lang w:val="en-GB"/>
        </w:rPr>
        <w:t xml:space="preserve"> some</w:t>
      </w:r>
      <w:r w:rsidR="00804651">
        <w:rPr>
          <w:rFonts w:ascii="Avenir Next" w:hAnsi="Avenir Next" w:cs="Arial"/>
          <w:color w:val="808080" w:themeColor="background1" w:themeShade="80"/>
          <w:sz w:val="22"/>
          <w:szCs w:val="22"/>
          <w:lang w:val="en-GB"/>
        </w:rPr>
        <w:t xml:space="preserve"> insolvency laws, </w:t>
      </w:r>
      <w:r w:rsidR="008E587A">
        <w:rPr>
          <w:rFonts w:ascii="Avenir Next" w:hAnsi="Avenir Next" w:cs="Arial"/>
          <w:color w:val="808080" w:themeColor="background1" w:themeShade="80"/>
          <w:sz w:val="22"/>
          <w:szCs w:val="22"/>
          <w:lang w:val="en-GB"/>
        </w:rPr>
        <w:t xml:space="preserve">be eligible to </w:t>
      </w:r>
      <w:r w:rsidR="00804651">
        <w:rPr>
          <w:rFonts w:ascii="Avenir Next" w:hAnsi="Avenir Next" w:cs="Arial"/>
          <w:color w:val="808080" w:themeColor="background1" w:themeShade="80"/>
          <w:sz w:val="22"/>
          <w:szCs w:val="22"/>
          <w:lang w:val="en-GB"/>
        </w:rPr>
        <w:t>receive a discharge of unpaid debts</w:t>
      </w:r>
      <w:r w:rsidR="00D66F15">
        <w:rPr>
          <w:rFonts w:ascii="Avenir Next" w:hAnsi="Avenir Next" w:cs="Arial"/>
          <w:color w:val="808080" w:themeColor="background1" w:themeShade="80"/>
          <w:sz w:val="22"/>
          <w:szCs w:val="22"/>
          <w:lang w:val="en-GB"/>
        </w:rPr>
        <w:t xml:space="preserve"> where they would be allowed to continue without the</w:t>
      </w:r>
      <w:r w:rsidR="00EF44D7">
        <w:rPr>
          <w:rFonts w:ascii="Avenir Next" w:hAnsi="Avenir Next" w:cs="Arial"/>
          <w:color w:val="808080" w:themeColor="background1" w:themeShade="80"/>
          <w:sz w:val="22"/>
          <w:szCs w:val="22"/>
          <w:lang w:val="en-GB"/>
        </w:rPr>
        <w:t>ir pre-bankruptcy debt burdens</w:t>
      </w:r>
      <w:r w:rsidR="001C2838">
        <w:rPr>
          <w:rFonts w:ascii="Avenir Next" w:hAnsi="Avenir Next" w:cs="Arial"/>
          <w:color w:val="808080" w:themeColor="background1" w:themeShade="80"/>
          <w:sz w:val="22"/>
          <w:szCs w:val="22"/>
          <w:lang w:val="en-GB"/>
        </w:rPr>
        <w:t>. T</w:t>
      </w:r>
      <w:r w:rsidR="00ED1547">
        <w:rPr>
          <w:rFonts w:ascii="Avenir Next" w:hAnsi="Avenir Next" w:cs="Arial"/>
          <w:color w:val="808080" w:themeColor="background1" w:themeShade="80"/>
          <w:sz w:val="22"/>
          <w:szCs w:val="22"/>
          <w:lang w:val="en-GB"/>
        </w:rPr>
        <w:t>he underlying principles and conditions relating to such a discharge would differ</w:t>
      </w:r>
      <w:r w:rsidR="005B4BC9">
        <w:rPr>
          <w:rFonts w:ascii="Avenir Next" w:hAnsi="Avenir Next" w:cs="Arial"/>
          <w:color w:val="808080" w:themeColor="background1" w:themeShade="80"/>
          <w:sz w:val="22"/>
          <w:szCs w:val="22"/>
          <w:lang w:val="en-GB"/>
        </w:rPr>
        <w:t xml:space="preserve"> from jurisdiction to </w:t>
      </w:r>
      <w:proofErr w:type="gramStart"/>
      <w:r w:rsidR="005B4BC9">
        <w:rPr>
          <w:rFonts w:ascii="Avenir Next" w:hAnsi="Avenir Next" w:cs="Arial"/>
          <w:color w:val="808080" w:themeColor="background1" w:themeShade="80"/>
          <w:sz w:val="22"/>
          <w:szCs w:val="22"/>
          <w:lang w:val="en-GB"/>
        </w:rPr>
        <w:t>jurisdiction</w:t>
      </w:r>
      <w:r>
        <w:rPr>
          <w:rFonts w:ascii="Avenir Next" w:hAnsi="Avenir Next" w:cs="Arial"/>
          <w:color w:val="808080" w:themeColor="background1" w:themeShade="80"/>
          <w:sz w:val="22"/>
          <w:szCs w:val="22"/>
          <w:lang w:val="en-GB"/>
        </w:rPr>
        <w:t>;</w:t>
      </w:r>
      <w:proofErr w:type="gramEnd"/>
    </w:p>
    <w:p w14:paraId="3B43FBB4" w14:textId="77777777" w:rsidR="00627C78" w:rsidRDefault="00627C78" w:rsidP="00627C78">
      <w:pPr>
        <w:pStyle w:val="ListParagraph"/>
        <w:jc w:val="both"/>
        <w:rPr>
          <w:rFonts w:ascii="Avenir Next" w:hAnsi="Avenir Next" w:cs="Arial"/>
          <w:color w:val="808080" w:themeColor="background1" w:themeShade="80"/>
          <w:sz w:val="22"/>
          <w:szCs w:val="22"/>
          <w:lang w:val="en-GB"/>
        </w:rPr>
      </w:pPr>
    </w:p>
    <w:p w14:paraId="4824F6C5" w14:textId="7A5A1993" w:rsidR="00627C78" w:rsidRDefault="00671655" w:rsidP="00CB5B5A">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objectives of insolvency for </w:t>
      </w:r>
      <w:r w:rsidR="00D11369">
        <w:rPr>
          <w:rFonts w:ascii="Avenir Next" w:hAnsi="Avenir Next" w:cs="Arial"/>
          <w:color w:val="808080" w:themeColor="background1" w:themeShade="80"/>
          <w:sz w:val="22"/>
          <w:szCs w:val="22"/>
          <w:lang w:val="en-GB"/>
        </w:rPr>
        <w:t xml:space="preserve">individuals and corporations also differ according to Sealy and Hooley in M </w:t>
      </w:r>
      <w:proofErr w:type="gramStart"/>
      <w:r w:rsidR="00D11369">
        <w:rPr>
          <w:rFonts w:ascii="Avenir Next" w:hAnsi="Avenir Next" w:cs="Arial"/>
          <w:color w:val="808080" w:themeColor="background1" w:themeShade="80"/>
          <w:sz w:val="22"/>
          <w:szCs w:val="22"/>
          <w:lang w:val="en-GB"/>
        </w:rPr>
        <w:t>A</w:t>
      </w:r>
      <w:proofErr w:type="gramEnd"/>
      <w:r w:rsidR="00D11369">
        <w:rPr>
          <w:rFonts w:ascii="Avenir Next" w:hAnsi="Avenir Next" w:cs="Arial"/>
          <w:color w:val="808080" w:themeColor="background1" w:themeShade="80"/>
          <w:sz w:val="22"/>
          <w:szCs w:val="22"/>
          <w:lang w:val="en-GB"/>
        </w:rPr>
        <w:t xml:space="preserve"> Clarke </w:t>
      </w:r>
      <w:r w:rsidR="00D11369">
        <w:rPr>
          <w:rFonts w:ascii="Avenir Next" w:hAnsi="Avenir Next" w:cs="Arial"/>
          <w:i/>
          <w:iCs/>
          <w:color w:val="808080" w:themeColor="background1" w:themeShade="80"/>
          <w:sz w:val="22"/>
          <w:szCs w:val="22"/>
          <w:lang w:val="en-GB"/>
        </w:rPr>
        <w:t xml:space="preserve">et al, Commercial Law </w:t>
      </w:r>
      <w:r w:rsidR="00D11369">
        <w:rPr>
          <w:rFonts w:ascii="Avenir Next" w:hAnsi="Avenir Next" w:cs="Arial"/>
          <w:color w:val="808080" w:themeColor="background1" w:themeShade="80"/>
          <w:sz w:val="22"/>
          <w:szCs w:val="22"/>
          <w:lang w:val="en-GB"/>
        </w:rPr>
        <w:t xml:space="preserve">(Oxford University Press, 2017), chap 28. </w:t>
      </w:r>
      <w:r w:rsidR="007F5881">
        <w:rPr>
          <w:rFonts w:ascii="Avenir Next" w:hAnsi="Avenir Next" w:cs="Arial"/>
          <w:color w:val="808080" w:themeColor="background1" w:themeShade="80"/>
          <w:sz w:val="22"/>
          <w:szCs w:val="22"/>
          <w:lang w:val="en-GB"/>
        </w:rPr>
        <w:t>For individuals, the objective of insolvency proceedings is to protect the individual debtor from harassment by his creditors</w:t>
      </w:r>
      <w:r w:rsidR="00C25EA5">
        <w:rPr>
          <w:rFonts w:ascii="Avenir Next" w:hAnsi="Avenir Next" w:cs="Arial"/>
          <w:color w:val="808080" w:themeColor="background1" w:themeShade="80"/>
          <w:sz w:val="22"/>
          <w:szCs w:val="22"/>
          <w:lang w:val="en-GB"/>
        </w:rPr>
        <w:t xml:space="preserve">, </w:t>
      </w:r>
      <w:r w:rsidR="007F5881">
        <w:rPr>
          <w:rFonts w:ascii="Avenir Next" w:hAnsi="Avenir Next" w:cs="Arial"/>
          <w:color w:val="808080" w:themeColor="background1" w:themeShade="80"/>
          <w:sz w:val="22"/>
          <w:szCs w:val="22"/>
          <w:lang w:val="en-GB"/>
        </w:rPr>
        <w:t xml:space="preserve">to enable the debtor to make a fresh start especially in less </w:t>
      </w:r>
      <w:r w:rsidR="007F5881">
        <w:rPr>
          <w:rFonts w:ascii="Avenir Next" w:hAnsi="Avenir Next" w:cs="Arial"/>
          <w:color w:val="808080" w:themeColor="background1" w:themeShade="80"/>
          <w:sz w:val="22"/>
          <w:szCs w:val="22"/>
          <w:lang w:val="en-GB"/>
        </w:rPr>
        <w:lastRenderedPageBreak/>
        <w:t xml:space="preserve">blameworthy cases, </w:t>
      </w:r>
      <w:r w:rsidR="00E17B25">
        <w:rPr>
          <w:rFonts w:ascii="Avenir Next" w:hAnsi="Avenir Next" w:cs="Arial"/>
          <w:color w:val="808080" w:themeColor="background1" w:themeShade="80"/>
          <w:sz w:val="22"/>
          <w:szCs w:val="22"/>
          <w:lang w:val="en-GB"/>
        </w:rPr>
        <w:t xml:space="preserve">and </w:t>
      </w:r>
      <w:r w:rsidR="007F5881">
        <w:rPr>
          <w:rFonts w:ascii="Avenir Next" w:hAnsi="Avenir Next" w:cs="Arial"/>
          <w:color w:val="808080" w:themeColor="background1" w:themeShade="80"/>
          <w:sz w:val="22"/>
          <w:szCs w:val="22"/>
          <w:lang w:val="en-GB"/>
        </w:rPr>
        <w:t xml:space="preserve">to </w:t>
      </w:r>
      <w:r w:rsidR="00E17B25">
        <w:rPr>
          <w:rFonts w:ascii="Avenir Next" w:hAnsi="Avenir Next" w:cs="Arial"/>
          <w:color w:val="808080" w:themeColor="background1" w:themeShade="80"/>
          <w:sz w:val="22"/>
          <w:szCs w:val="22"/>
          <w:lang w:val="en-GB"/>
        </w:rPr>
        <w:t xml:space="preserve">also </w:t>
      </w:r>
      <w:r w:rsidR="007F5881">
        <w:rPr>
          <w:rFonts w:ascii="Avenir Next" w:hAnsi="Avenir Next" w:cs="Arial"/>
          <w:color w:val="808080" w:themeColor="background1" w:themeShade="80"/>
          <w:sz w:val="22"/>
          <w:szCs w:val="22"/>
          <w:lang w:val="en-GB"/>
        </w:rPr>
        <w:t xml:space="preserve">reduce </w:t>
      </w:r>
      <w:r w:rsidR="00C0229F">
        <w:rPr>
          <w:rFonts w:ascii="Avenir Next" w:hAnsi="Avenir Next" w:cs="Arial"/>
          <w:color w:val="808080" w:themeColor="background1" w:themeShade="80"/>
          <w:sz w:val="22"/>
          <w:szCs w:val="22"/>
          <w:lang w:val="en-GB"/>
        </w:rPr>
        <w:t xml:space="preserve">his </w:t>
      </w:r>
      <w:r w:rsidR="007F5881">
        <w:rPr>
          <w:rFonts w:ascii="Avenir Next" w:hAnsi="Avenir Next" w:cs="Arial"/>
          <w:color w:val="808080" w:themeColor="background1" w:themeShade="80"/>
          <w:sz w:val="22"/>
          <w:szCs w:val="22"/>
          <w:lang w:val="en-GB"/>
        </w:rPr>
        <w:t>indebtednes</w:t>
      </w:r>
      <w:r w:rsidR="00E17B25">
        <w:rPr>
          <w:rFonts w:ascii="Avenir Next" w:hAnsi="Avenir Next" w:cs="Arial"/>
          <w:color w:val="808080" w:themeColor="background1" w:themeShade="80"/>
          <w:sz w:val="22"/>
          <w:szCs w:val="22"/>
          <w:lang w:val="en-GB"/>
        </w:rPr>
        <w:t>s through</w:t>
      </w:r>
      <w:r w:rsidR="00C0229F">
        <w:rPr>
          <w:rFonts w:ascii="Avenir Next" w:hAnsi="Avenir Next" w:cs="Arial"/>
          <w:color w:val="808080" w:themeColor="background1" w:themeShade="80"/>
          <w:sz w:val="22"/>
          <w:szCs w:val="22"/>
          <w:lang w:val="en-GB"/>
        </w:rPr>
        <w:t xml:space="preserve"> contributions from his present and future income. For corporations, the objective is to preserve the business where possible, and to impose personal liability on responsible persons </w:t>
      </w:r>
      <w:r w:rsidR="00B35972">
        <w:rPr>
          <w:rFonts w:ascii="Avenir Next" w:hAnsi="Avenir Next" w:cs="Arial"/>
          <w:color w:val="808080" w:themeColor="background1" w:themeShade="80"/>
          <w:sz w:val="22"/>
          <w:szCs w:val="22"/>
          <w:lang w:val="en-GB"/>
        </w:rPr>
        <w:t>if there has been an abuse of the corporate form</w:t>
      </w:r>
      <w:r w:rsidR="005E5DEF">
        <w:rPr>
          <w:rFonts w:ascii="Avenir Next" w:hAnsi="Avenir Next" w:cs="Arial"/>
          <w:color w:val="808080" w:themeColor="background1" w:themeShade="80"/>
          <w:sz w:val="22"/>
          <w:szCs w:val="22"/>
          <w:lang w:val="en-GB"/>
        </w:rPr>
        <w:t xml:space="preserve">; and </w:t>
      </w:r>
    </w:p>
    <w:p w14:paraId="2DD2C522" w14:textId="77777777" w:rsidR="005E5DEF" w:rsidRPr="005E5DEF" w:rsidRDefault="005E5DEF" w:rsidP="005E5DEF">
      <w:pPr>
        <w:pStyle w:val="ListParagraph"/>
        <w:rPr>
          <w:rFonts w:ascii="Avenir Next" w:hAnsi="Avenir Next" w:cs="Arial"/>
          <w:color w:val="808080" w:themeColor="background1" w:themeShade="80"/>
          <w:sz w:val="22"/>
          <w:szCs w:val="22"/>
          <w:lang w:val="en-GB"/>
        </w:rPr>
      </w:pPr>
    </w:p>
    <w:p w14:paraId="31FF6502" w14:textId="7EC32509" w:rsidR="005E5DEF" w:rsidRDefault="00EB566B" w:rsidP="00CB5B5A">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concept of having</w:t>
      </w:r>
      <w:r w:rsidR="00E35029">
        <w:rPr>
          <w:rFonts w:ascii="Avenir Next" w:hAnsi="Avenir Next" w:cs="Arial"/>
          <w:color w:val="808080" w:themeColor="background1" w:themeShade="80"/>
          <w:sz w:val="22"/>
          <w:szCs w:val="22"/>
          <w:lang w:val="en-GB"/>
        </w:rPr>
        <w:t xml:space="preserve"> certain</w:t>
      </w:r>
      <w:r>
        <w:rPr>
          <w:rFonts w:ascii="Avenir Next" w:hAnsi="Avenir Next" w:cs="Arial"/>
          <w:color w:val="808080" w:themeColor="background1" w:themeShade="80"/>
          <w:sz w:val="22"/>
          <w:szCs w:val="22"/>
          <w:lang w:val="en-GB"/>
        </w:rPr>
        <w:t xml:space="preserve"> assets </w:t>
      </w:r>
      <w:r w:rsidR="00DE4BE2">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 xml:space="preserve">exempted or excluded from </w:t>
      </w:r>
      <w:r w:rsidR="00DE4BE2">
        <w:rPr>
          <w:rFonts w:ascii="Avenir Next" w:hAnsi="Avenir Next" w:cs="Arial"/>
          <w:color w:val="808080" w:themeColor="background1" w:themeShade="80"/>
          <w:sz w:val="22"/>
          <w:szCs w:val="22"/>
          <w:lang w:val="en-GB"/>
        </w:rPr>
        <w:t xml:space="preserve">distribution to the debtor’s creditors </w:t>
      </w:r>
      <w:r>
        <w:rPr>
          <w:rFonts w:ascii="Avenir Next" w:hAnsi="Avenir Next" w:cs="Arial"/>
          <w:color w:val="808080" w:themeColor="background1" w:themeShade="80"/>
          <w:sz w:val="22"/>
          <w:szCs w:val="22"/>
          <w:lang w:val="en-GB"/>
        </w:rPr>
        <w:t xml:space="preserve">only applies to insolvency </w:t>
      </w:r>
      <w:r w:rsidR="00DE4BE2">
        <w:rPr>
          <w:rFonts w:ascii="Avenir Next" w:hAnsi="Avenir Next" w:cs="Arial"/>
          <w:color w:val="808080" w:themeColor="background1" w:themeShade="80"/>
          <w:sz w:val="22"/>
          <w:szCs w:val="22"/>
          <w:lang w:val="en-GB"/>
        </w:rPr>
        <w:t xml:space="preserve">involving an individual. </w:t>
      </w:r>
      <w:r w:rsidR="00B24ECF">
        <w:rPr>
          <w:rFonts w:ascii="Avenir Next" w:hAnsi="Avenir Next" w:cs="Arial"/>
          <w:color w:val="808080" w:themeColor="background1" w:themeShade="80"/>
          <w:sz w:val="22"/>
          <w:szCs w:val="22"/>
          <w:lang w:val="en-GB"/>
        </w:rPr>
        <w:t xml:space="preserve">This is because the purpose of doing so </w:t>
      </w:r>
      <w:r w:rsidR="00113A7C">
        <w:rPr>
          <w:rFonts w:ascii="Avenir Next" w:hAnsi="Avenir Next" w:cs="Arial"/>
          <w:color w:val="808080" w:themeColor="background1" w:themeShade="80"/>
          <w:sz w:val="22"/>
          <w:szCs w:val="22"/>
          <w:lang w:val="en-GB"/>
        </w:rPr>
        <w:t>is</w:t>
      </w:r>
      <w:r w:rsidR="00B24ECF">
        <w:rPr>
          <w:rFonts w:ascii="Avenir Next" w:hAnsi="Avenir Next" w:cs="Arial"/>
          <w:color w:val="808080" w:themeColor="background1" w:themeShade="80"/>
          <w:sz w:val="22"/>
          <w:szCs w:val="22"/>
          <w:lang w:val="en-GB"/>
        </w:rPr>
        <w:t xml:space="preserve"> to ensure that insolvent individuals are still capable of maintaining themselves and their dependents, which is not</w:t>
      </w:r>
      <w:r w:rsidR="00113A7C">
        <w:rPr>
          <w:rFonts w:ascii="Avenir Next" w:hAnsi="Avenir Next" w:cs="Arial"/>
          <w:color w:val="808080" w:themeColor="background1" w:themeShade="80"/>
          <w:sz w:val="22"/>
          <w:szCs w:val="22"/>
          <w:lang w:val="en-GB"/>
        </w:rPr>
        <w:t xml:space="preserve"> a concern </w:t>
      </w:r>
      <w:r w:rsidR="004C7C5B">
        <w:rPr>
          <w:rFonts w:ascii="Avenir Next" w:hAnsi="Avenir Next" w:cs="Arial"/>
          <w:color w:val="808080" w:themeColor="background1" w:themeShade="80"/>
          <w:sz w:val="22"/>
          <w:szCs w:val="22"/>
          <w:lang w:val="en-GB"/>
        </w:rPr>
        <w:t>with</w:t>
      </w:r>
      <w:r w:rsidR="00113A7C">
        <w:rPr>
          <w:rFonts w:ascii="Avenir Next" w:hAnsi="Avenir Next" w:cs="Arial"/>
          <w:color w:val="808080" w:themeColor="background1" w:themeShade="80"/>
          <w:sz w:val="22"/>
          <w:szCs w:val="22"/>
          <w:lang w:val="en-GB"/>
        </w:rPr>
        <w:t xml:space="preserve"> insolvent corporations.</w:t>
      </w:r>
    </w:p>
    <w:p w14:paraId="78EE9B10" w14:textId="77777777" w:rsidR="0082206E" w:rsidRPr="001F5204" w:rsidRDefault="0082206E"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49FEAE99" w:rsidR="00DA42DA" w:rsidRDefault="00B9355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challenge that makes it difficult to develop a single global cross-border insolvency dispensation is that </w:t>
      </w:r>
      <w:r w:rsidR="003B4ADE">
        <w:rPr>
          <w:rFonts w:ascii="Avenir Next" w:hAnsi="Avenir Next" w:cs="Arial"/>
          <w:color w:val="808080" w:themeColor="background1" w:themeShade="80"/>
          <w:sz w:val="22"/>
          <w:szCs w:val="22"/>
          <w:lang w:val="en-GB"/>
        </w:rPr>
        <w:t>different jurisdictions have different cultures</w:t>
      </w:r>
      <w:r w:rsidR="00FC204E">
        <w:rPr>
          <w:rFonts w:ascii="Avenir Next" w:hAnsi="Avenir Next" w:cs="Arial"/>
          <w:color w:val="808080" w:themeColor="background1" w:themeShade="80"/>
          <w:sz w:val="22"/>
          <w:szCs w:val="22"/>
          <w:lang w:val="en-GB"/>
        </w:rPr>
        <w:t xml:space="preserve">, </w:t>
      </w:r>
      <w:r w:rsidR="003B4ADE">
        <w:rPr>
          <w:rFonts w:ascii="Avenir Next" w:hAnsi="Avenir Next" w:cs="Arial"/>
          <w:color w:val="808080" w:themeColor="background1" w:themeShade="80"/>
          <w:sz w:val="22"/>
          <w:szCs w:val="22"/>
          <w:lang w:val="en-GB"/>
        </w:rPr>
        <w:t xml:space="preserve">socio-economic </w:t>
      </w:r>
      <w:r w:rsidR="00FC204E">
        <w:rPr>
          <w:rFonts w:ascii="Avenir Next" w:hAnsi="Avenir Next" w:cs="Arial"/>
          <w:color w:val="808080" w:themeColor="background1" w:themeShade="80"/>
          <w:sz w:val="22"/>
          <w:szCs w:val="22"/>
          <w:lang w:val="en-GB"/>
        </w:rPr>
        <w:t>conditions, as well as political considerations</w:t>
      </w:r>
      <w:r w:rsidR="00136A9A">
        <w:rPr>
          <w:rFonts w:ascii="Avenir Next" w:hAnsi="Avenir Next" w:cs="Arial"/>
          <w:color w:val="808080" w:themeColor="background1" w:themeShade="80"/>
          <w:sz w:val="22"/>
          <w:szCs w:val="22"/>
          <w:lang w:val="en-GB"/>
        </w:rPr>
        <w:t xml:space="preserve">. </w:t>
      </w:r>
      <w:r w:rsidR="00332FBC">
        <w:rPr>
          <w:rFonts w:ascii="Avenir Next" w:hAnsi="Avenir Next" w:cs="Arial"/>
          <w:color w:val="808080" w:themeColor="background1" w:themeShade="80"/>
          <w:sz w:val="22"/>
          <w:szCs w:val="22"/>
          <w:lang w:val="en-GB"/>
        </w:rPr>
        <w:t xml:space="preserve">This generally </w:t>
      </w:r>
      <w:r w:rsidR="009C5E4A">
        <w:rPr>
          <w:rFonts w:ascii="Avenir Next" w:hAnsi="Avenir Next" w:cs="Arial"/>
          <w:color w:val="808080" w:themeColor="background1" w:themeShade="80"/>
          <w:sz w:val="22"/>
          <w:szCs w:val="22"/>
          <w:lang w:val="en-GB"/>
        </w:rPr>
        <w:t xml:space="preserve">makes it difficult for different jurisdictions to accept </w:t>
      </w:r>
      <w:r w:rsidR="00332FBC">
        <w:rPr>
          <w:rFonts w:ascii="Avenir Next" w:hAnsi="Avenir Next" w:cs="Arial"/>
          <w:color w:val="808080" w:themeColor="background1" w:themeShade="80"/>
          <w:sz w:val="22"/>
          <w:szCs w:val="22"/>
          <w:lang w:val="en-GB"/>
        </w:rPr>
        <w:t>another jurisdiction’s insolvency rules</w:t>
      </w:r>
      <w:r w:rsidR="00B6589D">
        <w:rPr>
          <w:rFonts w:ascii="Avenir Next" w:hAnsi="Avenir Next" w:cs="Arial"/>
          <w:color w:val="808080" w:themeColor="background1" w:themeShade="80"/>
          <w:sz w:val="22"/>
          <w:szCs w:val="22"/>
          <w:lang w:val="en-GB"/>
        </w:rPr>
        <w:t xml:space="preserve"> </w:t>
      </w:r>
      <w:proofErr w:type="gramStart"/>
      <w:r w:rsidR="00AB0F14">
        <w:rPr>
          <w:rFonts w:ascii="Avenir Next" w:hAnsi="Avenir Next" w:cs="Arial"/>
          <w:color w:val="808080" w:themeColor="background1" w:themeShade="80"/>
          <w:sz w:val="22"/>
          <w:szCs w:val="22"/>
          <w:lang w:val="en-GB"/>
        </w:rPr>
        <w:t>where</w:t>
      </w:r>
      <w:proofErr w:type="gramEnd"/>
      <w:r w:rsidR="00B6589D">
        <w:rPr>
          <w:rFonts w:ascii="Avenir Next" w:hAnsi="Avenir Next" w:cs="Arial"/>
          <w:color w:val="808080" w:themeColor="background1" w:themeShade="80"/>
          <w:sz w:val="22"/>
          <w:szCs w:val="22"/>
          <w:lang w:val="en-GB"/>
        </w:rPr>
        <w:t xml:space="preserve">, </w:t>
      </w:r>
      <w:r w:rsidR="00AB0F14">
        <w:rPr>
          <w:rFonts w:ascii="Avenir Next" w:hAnsi="Avenir Next" w:cs="Arial"/>
          <w:color w:val="808080" w:themeColor="background1" w:themeShade="80"/>
          <w:sz w:val="22"/>
          <w:szCs w:val="22"/>
          <w:lang w:val="en-GB"/>
        </w:rPr>
        <w:t>for example</w:t>
      </w:r>
      <w:r w:rsidR="00B6589D">
        <w:rPr>
          <w:rFonts w:ascii="Avenir Next" w:hAnsi="Avenir Next" w:cs="Arial"/>
          <w:color w:val="808080" w:themeColor="background1" w:themeShade="80"/>
          <w:sz w:val="22"/>
          <w:szCs w:val="22"/>
          <w:lang w:val="en-GB"/>
        </w:rPr>
        <w:t xml:space="preserve">, one jurisdiction’s treatment of employment </w:t>
      </w:r>
      <w:r w:rsidR="00EA1A94">
        <w:rPr>
          <w:rFonts w:ascii="Avenir Next" w:hAnsi="Avenir Next" w:cs="Arial"/>
          <w:color w:val="808080" w:themeColor="background1" w:themeShade="80"/>
          <w:sz w:val="22"/>
          <w:szCs w:val="22"/>
          <w:lang w:val="en-GB"/>
        </w:rPr>
        <w:t>contracts of an insolvent company might be unpalatable to another jurisdiction.</w:t>
      </w:r>
    </w:p>
    <w:p w14:paraId="37B40E2D" w14:textId="77777777" w:rsidR="00EA1A94" w:rsidRDefault="00EA1A94" w:rsidP="00DA42DA">
      <w:pPr>
        <w:jc w:val="both"/>
        <w:rPr>
          <w:rFonts w:ascii="Avenir Next" w:hAnsi="Avenir Next" w:cs="Arial"/>
          <w:color w:val="808080" w:themeColor="background1" w:themeShade="80"/>
          <w:sz w:val="22"/>
          <w:szCs w:val="22"/>
          <w:lang w:val="en-GB"/>
        </w:rPr>
      </w:pPr>
    </w:p>
    <w:p w14:paraId="6AABE6A8" w14:textId="34755D32" w:rsidR="00124CD2" w:rsidRDefault="00EA1A9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challenge </w:t>
      </w:r>
      <w:r w:rsidR="00B06A67">
        <w:rPr>
          <w:rFonts w:ascii="Avenir Next" w:hAnsi="Avenir Next" w:cs="Arial"/>
          <w:color w:val="808080" w:themeColor="background1" w:themeShade="80"/>
          <w:sz w:val="22"/>
          <w:szCs w:val="22"/>
          <w:lang w:val="en-GB"/>
        </w:rPr>
        <w:t>is that</w:t>
      </w:r>
      <w:r w:rsidR="00FE7820">
        <w:rPr>
          <w:rFonts w:ascii="Avenir Next" w:hAnsi="Avenir Next" w:cs="Arial"/>
          <w:color w:val="808080" w:themeColor="background1" w:themeShade="80"/>
          <w:sz w:val="22"/>
          <w:szCs w:val="22"/>
          <w:lang w:val="en-GB"/>
        </w:rPr>
        <w:t xml:space="preserve"> developing a single global cross-border insolvency dispensation will require a high level of trust in foreign legal systems to </w:t>
      </w:r>
      <w:r w:rsidR="00604E79">
        <w:rPr>
          <w:rFonts w:ascii="Avenir Next" w:hAnsi="Avenir Next" w:cs="Arial"/>
          <w:color w:val="808080" w:themeColor="background1" w:themeShade="80"/>
          <w:sz w:val="22"/>
          <w:szCs w:val="22"/>
          <w:lang w:val="en-GB"/>
        </w:rPr>
        <w:t>deal with the insolvency of the debtor</w:t>
      </w:r>
      <w:r w:rsidR="00963D69">
        <w:rPr>
          <w:rFonts w:ascii="Avenir Next" w:hAnsi="Avenir Next" w:cs="Arial"/>
          <w:color w:val="808080" w:themeColor="background1" w:themeShade="80"/>
          <w:sz w:val="22"/>
          <w:szCs w:val="22"/>
          <w:lang w:val="en-GB"/>
        </w:rPr>
        <w:t xml:space="preserve">. While </w:t>
      </w:r>
      <w:r w:rsidR="008E1B5C">
        <w:rPr>
          <w:rFonts w:ascii="Avenir Next" w:hAnsi="Avenir Next" w:cs="Arial"/>
          <w:color w:val="808080" w:themeColor="background1" w:themeShade="80"/>
          <w:sz w:val="22"/>
          <w:szCs w:val="22"/>
          <w:lang w:val="en-GB"/>
        </w:rPr>
        <w:t xml:space="preserve">establishing this level of trust </w:t>
      </w:r>
      <w:r w:rsidR="00963D69">
        <w:rPr>
          <w:rFonts w:ascii="Avenir Next" w:hAnsi="Avenir Next" w:cs="Arial"/>
          <w:color w:val="808080" w:themeColor="background1" w:themeShade="80"/>
          <w:sz w:val="22"/>
          <w:szCs w:val="22"/>
          <w:lang w:val="en-GB"/>
        </w:rPr>
        <w:t>might be possible among jurisdictions</w:t>
      </w:r>
      <w:r w:rsidR="00FA486E">
        <w:rPr>
          <w:rFonts w:ascii="Avenir Next" w:hAnsi="Avenir Next" w:cs="Arial"/>
          <w:color w:val="808080" w:themeColor="background1" w:themeShade="80"/>
          <w:sz w:val="22"/>
          <w:szCs w:val="22"/>
          <w:lang w:val="en-GB"/>
        </w:rPr>
        <w:t xml:space="preserve"> with similar legal systems and cultures,</w:t>
      </w:r>
      <w:r w:rsidR="008E1B5C">
        <w:rPr>
          <w:rFonts w:ascii="Avenir Next" w:hAnsi="Avenir Next" w:cs="Arial"/>
          <w:color w:val="808080" w:themeColor="background1" w:themeShade="80"/>
          <w:sz w:val="22"/>
          <w:szCs w:val="22"/>
          <w:lang w:val="en-GB"/>
        </w:rPr>
        <w:t xml:space="preserve"> establishing it across the globe will prove challenging given the diversity of legal systems</w:t>
      </w:r>
      <w:r w:rsidR="0090711E">
        <w:rPr>
          <w:rFonts w:ascii="Avenir Next" w:hAnsi="Avenir Next" w:cs="Arial"/>
          <w:color w:val="808080" w:themeColor="background1" w:themeShade="80"/>
          <w:sz w:val="22"/>
          <w:szCs w:val="22"/>
          <w:lang w:val="en-GB"/>
        </w:rPr>
        <w:t xml:space="preserve"> and cultures</w:t>
      </w:r>
      <w:r w:rsidR="00C263EE">
        <w:rPr>
          <w:rFonts w:ascii="Avenir Next" w:hAnsi="Avenir Next" w:cs="Arial"/>
          <w:color w:val="808080" w:themeColor="background1" w:themeShade="80"/>
          <w:sz w:val="22"/>
          <w:szCs w:val="22"/>
          <w:lang w:val="en-GB"/>
        </w:rPr>
        <w:t xml:space="preserve"> in the world.</w:t>
      </w:r>
      <w:r w:rsidR="008C4FA3">
        <w:rPr>
          <w:rFonts w:ascii="Avenir Next" w:hAnsi="Avenir Next" w:cs="Arial"/>
          <w:color w:val="808080" w:themeColor="background1" w:themeShade="80"/>
          <w:sz w:val="22"/>
          <w:szCs w:val="22"/>
          <w:lang w:val="en-GB"/>
        </w:rPr>
        <w:t xml:space="preserve"> </w:t>
      </w:r>
    </w:p>
    <w:p w14:paraId="4A17B114" w14:textId="77777777" w:rsidR="00C263EE" w:rsidRDefault="00C263EE" w:rsidP="00DA42DA">
      <w:pPr>
        <w:jc w:val="both"/>
        <w:rPr>
          <w:rFonts w:ascii="Avenir Next" w:hAnsi="Avenir Next" w:cs="Arial"/>
          <w:color w:val="808080" w:themeColor="background1" w:themeShade="80"/>
          <w:sz w:val="22"/>
          <w:szCs w:val="22"/>
          <w:lang w:val="en-GB"/>
        </w:rPr>
      </w:pPr>
    </w:p>
    <w:p w14:paraId="6733CF5C" w14:textId="642638F8" w:rsidR="00BB5875" w:rsidRDefault="0080533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pressure that </w:t>
      </w:r>
      <w:r w:rsidR="00BB5875">
        <w:rPr>
          <w:rFonts w:ascii="Avenir Next" w:hAnsi="Avenir Next" w:cs="Arial"/>
          <w:color w:val="808080" w:themeColor="background1" w:themeShade="80"/>
          <w:sz w:val="22"/>
          <w:szCs w:val="22"/>
          <w:lang w:val="en-GB"/>
        </w:rPr>
        <w:t xml:space="preserve">domestic governments </w:t>
      </w:r>
      <w:r>
        <w:rPr>
          <w:rFonts w:ascii="Avenir Next" w:hAnsi="Avenir Next" w:cs="Arial"/>
          <w:color w:val="808080" w:themeColor="background1" w:themeShade="80"/>
          <w:sz w:val="22"/>
          <w:szCs w:val="22"/>
          <w:lang w:val="en-GB"/>
        </w:rPr>
        <w:t>face</w:t>
      </w:r>
      <w:r w:rsidR="00F15219">
        <w:rPr>
          <w:rFonts w:ascii="Avenir Next" w:hAnsi="Avenir Next" w:cs="Arial"/>
          <w:color w:val="808080" w:themeColor="background1" w:themeShade="80"/>
          <w:sz w:val="22"/>
          <w:szCs w:val="22"/>
          <w:lang w:val="en-GB"/>
        </w:rPr>
        <w:t xml:space="preserve"> to safeguard </w:t>
      </w:r>
      <w:r w:rsidR="00BB5875">
        <w:rPr>
          <w:rFonts w:ascii="Avenir Next" w:hAnsi="Avenir Next" w:cs="Arial"/>
          <w:color w:val="808080" w:themeColor="background1" w:themeShade="80"/>
          <w:sz w:val="22"/>
          <w:szCs w:val="22"/>
          <w:lang w:val="en-GB"/>
        </w:rPr>
        <w:t xml:space="preserve">and </w:t>
      </w:r>
      <w:r w:rsidR="00F15219">
        <w:rPr>
          <w:rFonts w:ascii="Avenir Next" w:hAnsi="Avenir Next" w:cs="Arial"/>
          <w:color w:val="808080" w:themeColor="background1" w:themeShade="80"/>
          <w:sz w:val="22"/>
          <w:szCs w:val="22"/>
          <w:lang w:val="en-GB"/>
        </w:rPr>
        <w:t xml:space="preserve">prefer </w:t>
      </w:r>
      <w:r w:rsidR="00BB5875">
        <w:rPr>
          <w:rFonts w:ascii="Avenir Next" w:hAnsi="Avenir Next" w:cs="Arial"/>
          <w:color w:val="808080" w:themeColor="background1" w:themeShade="80"/>
          <w:sz w:val="22"/>
          <w:szCs w:val="22"/>
          <w:lang w:val="en-GB"/>
        </w:rPr>
        <w:t>the interests of local creditors</w:t>
      </w:r>
      <w:r w:rsidR="00523428">
        <w:rPr>
          <w:rFonts w:ascii="Avenir Next" w:hAnsi="Avenir Next" w:cs="Arial"/>
          <w:color w:val="808080" w:themeColor="background1" w:themeShade="80"/>
          <w:sz w:val="22"/>
          <w:szCs w:val="22"/>
          <w:lang w:val="en-GB"/>
        </w:rPr>
        <w:t xml:space="preserve"> </w:t>
      </w:r>
      <w:r w:rsidR="002E6418">
        <w:rPr>
          <w:rFonts w:ascii="Avenir Next" w:hAnsi="Avenir Next" w:cs="Arial"/>
          <w:color w:val="808080" w:themeColor="background1" w:themeShade="80"/>
          <w:sz w:val="22"/>
          <w:szCs w:val="22"/>
          <w:lang w:val="en-GB"/>
        </w:rPr>
        <w:t xml:space="preserve">vis-à-vis </w:t>
      </w:r>
      <w:r w:rsidR="00A7509D">
        <w:rPr>
          <w:rFonts w:ascii="Avenir Next" w:hAnsi="Avenir Next" w:cs="Arial"/>
          <w:color w:val="808080" w:themeColor="background1" w:themeShade="80"/>
          <w:sz w:val="22"/>
          <w:szCs w:val="22"/>
          <w:lang w:val="en-GB"/>
        </w:rPr>
        <w:t xml:space="preserve">assets of the debtor that are located </w:t>
      </w:r>
      <w:r w:rsidR="003B6872">
        <w:rPr>
          <w:rFonts w:ascii="Avenir Next" w:hAnsi="Avenir Next" w:cs="Arial"/>
          <w:color w:val="808080" w:themeColor="background1" w:themeShade="80"/>
          <w:sz w:val="22"/>
          <w:szCs w:val="22"/>
          <w:lang w:val="en-GB"/>
        </w:rPr>
        <w:t>with</w:t>
      </w:r>
      <w:r w:rsidR="00A7509D">
        <w:rPr>
          <w:rFonts w:ascii="Avenir Next" w:hAnsi="Avenir Next" w:cs="Arial"/>
          <w:color w:val="808080" w:themeColor="background1" w:themeShade="80"/>
          <w:sz w:val="22"/>
          <w:szCs w:val="22"/>
          <w:lang w:val="en-GB"/>
        </w:rPr>
        <w:t xml:space="preserve">in the jurisdiction is yet another challenge that make it difficult to develop a single global cross-border insolvency </w:t>
      </w:r>
      <w:r w:rsidR="003B6872">
        <w:rPr>
          <w:rFonts w:ascii="Avenir Next" w:hAnsi="Avenir Next" w:cs="Arial"/>
          <w:color w:val="808080" w:themeColor="background1" w:themeShade="80"/>
          <w:sz w:val="22"/>
          <w:szCs w:val="22"/>
          <w:lang w:val="en-GB"/>
        </w:rPr>
        <w:t>dispensation.</w:t>
      </w:r>
    </w:p>
    <w:p w14:paraId="5B6B1652" w14:textId="77777777" w:rsidR="00095231" w:rsidRDefault="00095231" w:rsidP="00DA42DA">
      <w:pPr>
        <w:jc w:val="both"/>
        <w:rPr>
          <w:rFonts w:ascii="Avenir Next" w:hAnsi="Avenir Next" w:cs="Arial"/>
          <w:color w:val="808080" w:themeColor="background1" w:themeShade="80"/>
          <w:sz w:val="22"/>
          <w:szCs w:val="22"/>
          <w:lang w:val="en-GB"/>
        </w:rPr>
      </w:pPr>
    </w:p>
    <w:p w14:paraId="7939853E" w14:textId="351ECEF1" w:rsidR="00217A9E" w:rsidRDefault="0009523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challenge </w:t>
      </w:r>
      <w:r w:rsidR="00BA227D">
        <w:rPr>
          <w:rFonts w:ascii="Avenir Next" w:hAnsi="Avenir Next" w:cs="Arial"/>
          <w:color w:val="808080" w:themeColor="background1" w:themeShade="80"/>
          <w:sz w:val="22"/>
          <w:szCs w:val="22"/>
          <w:lang w:val="en-GB"/>
        </w:rPr>
        <w:t>stems from how a single global cross-border insolvency dispensation might create uncertainty</w:t>
      </w:r>
      <w:r w:rsidR="001841C3">
        <w:rPr>
          <w:rFonts w:ascii="Avenir Next" w:hAnsi="Avenir Next" w:cs="Arial"/>
          <w:color w:val="808080" w:themeColor="background1" w:themeShade="80"/>
          <w:sz w:val="22"/>
          <w:szCs w:val="22"/>
          <w:lang w:val="en-GB"/>
        </w:rPr>
        <w:t xml:space="preserve"> for creditors</w:t>
      </w:r>
      <w:r w:rsidR="001113A0">
        <w:rPr>
          <w:rFonts w:ascii="Avenir Next" w:hAnsi="Avenir Next" w:cs="Arial"/>
          <w:color w:val="808080" w:themeColor="background1" w:themeShade="80"/>
          <w:sz w:val="22"/>
          <w:szCs w:val="22"/>
          <w:lang w:val="en-GB"/>
        </w:rPr>
        <w:t xml:space="preserve">. This is because </w:t>
      </w:r>
      <w:r w:rsidR="00C61873">
        <w:rPr>
          <w:rFonts w:ascii="Avenir Next" w:hAnsi="Avenir Next" w:cs="Arial"/>
          <w:color w:val="808080" w:themeColor="background1" w:themeShade="80"/>
          <w:sz w:val="22"/>
          <w:szCs w:val="22"/>
          <w:lang w:val="en-GB"/>
        </w:rPr>
        <w:t>creditors</w:t>
      </w:r>
      <w:r w:rsidR="0086362D">
        <w:rPr>
          <w:rFonts w:ascii="Avenir Next" w:hAnsi="Avenir Next" w:cs="Arial"/>
          <w:color w:val="808080" w:themeColor="background1" w:themeShade="80"/>
          <w:sz w:val="22"/>
          <w:szCs w:val="22"/>
          <w:lang w:val="en-GB"/>
        </w:rPr>
        <w:t xml:space="preserve"> </w:t>
      </w:r>
      <w:r w:rsidR="00AB2BB6">
        <w:rPr>
          <w:rFonts w:ascii="Avenir Next" w:hAnsi="Avenir Next" w:cs="Arial"/>
          <w:color w:val="808080" w:themeColor="background1" w:themeShade="80"/>
          <w:sz w:val="22"/>
          <w:szCs w:val="22"/>
          <w:lang w:val="en-GB"/>
        </w:rPr>
        <w:t>might not be able to anticipate or predict which jurisdiction</w:t>
      </w:r>
      <w:r w:rsidR="00E368C9">
        <w:rPr>
          <w:rFonts w:ascii="Avenir Next" w:hAnsi="Avenir Next" w:cs="Arial"/>
          <w:color w:val="808080" w:themeColor="background1" w:themeShade="80"/>
          <w:sz w:val="22"/>
          <w:szCs w:val="22"/>
          <w:lang w:val="en-GB"/>
        </w:rPr>
        <w:t xml:space="preserve">’s insolvency proceedings they </w:t>
      </w:r>
      <w:proofErr w:type="gramStart"/>
      <w:r w:rsidR="00E368C9">
        <w:rPr>
          <w:rFonts w:ascii="Avenir Next" w:hAnsi="Avenir Next" w:cs="Arial"/>
          <w:color w:val="808080" w:themeColor="background1" w:themeShade="80"/>
          <w:sz w:val="22"/>
          <w:szCs w:val="22"/>
          <w:lang w:val="en-GB"/>
        </w:rPr>
        <w:t>would</w:t>
      </w:r>
      <w:proofErr w:type="gramEnd"/>
      <w:r w:rsidR="00E368C9">
        <w:rPr>
          <w:rFonts w:ascii="Avenir Next" w:hAnsi="Avenir Next" w:cs="Arial"/>
          <w:color w:val="808080" w:themeColor="background1" w:themeShade="80"/>
          <w:sz w:val="22"/>
          <w:szCs w:val="22"/>
          <w:lang w:val="en-GB"/>
        </w:rPr>
        <w:t xml:space="preserve"> have to participate in if the debtor</w:t>
      </w:r>
      <w:r w:rsidR="0086362D">
        <w:rPr>
          <w:rFonts w:ascii="Avenir Next" w:hAnsi="Avenir Next" w:cs="Arial"/>
          <w:color w:val="808080" w:themeColor="background1" w:themeShade="80"/>
          <w:sz w:val="22"/>
          <w:szCs w:val="22"/>
          <w:lang w:val="en-GB"/>
        </w:rPr>
        <w:t xml:space="preserve"> goes insolvent or bankrupt, especially if the debtor has a presence in multiple jurisdictions</w:t>
      </w:r>
      <w:r w:rsidR="001F6CBB">
        <w:rPr>
          <w:rFonts w:ascii="Avenir Next" w:hAnsi="Avenir Next" w:cs="Arial"/>
          <w:color w:val="808080" w:themeColor="background1" w:themeShade="80"/>
          <w:sz w:val="22"/>
          <w:szCs w:val="22"/>
          <w:lang w:val="en-GB"/>
        </w:rPr>
        <w:t>.</w:t>
      </w:r>
    </w:p>
    <w:p w14:paraId="662003A3" w14:textId="77777777" w:rsidR="001841C3" w:rsidRDefault="001841C3" w:rsidP="00DA42DA">
      <w:pPr>
        <w:jc w:val="both"/>
        <w:rPr>
          <w:rFonts w:ascii="Avenir Next" w:hAnsi="Avenir Next" w:cs="Arial"/>
          <w:color w:val="808080" w:themeColor="background1" w:themeShade="80"/>
          <w:sz w:val="22"/>
          <w:szCs w:val="22"/>
          <w:lang w:val="en-GB"/>
        </w:rPr>
      </w:pPr>
    </w:p>
    <w:p w14:paraId="32DC5B01" w14:textId="54204314" w:rsidR="00E6085F" w:rsidRDefault="0051652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potential practical and economic challenges of participating in foreign insolvency proceedings that creditors might face </w:t>
      </w:r>
      <w:r w:rsidR="00E6085F">
        <w:rPr>
          <w:rFonts w:ascii="Avenir Next" w:hAnsi="Avenir Next" w:cs="Arial"/>
          <w:color w:val="808080" w:themeColor="background1" w:themeShade="80"/>
          <w:sz w:val="22"/>
          <w:szCs w:val="22"/>
          <w:lang w:val="en-GB"/>
        </w:rPr>
        <w:t xml:space="preserve">is another reason why it is difficult to develop a </w:t>
      </w:r>
      <w:r w:rsidR="00E6085F">
        <w:rPr>
          <w:rFonts w:ascii="Avenir Next" w:hAnsi="Avenir Next" w:cs="Arial"/>
          <w:color w:val="808080" w:themeColor="background1" w:themeShade="80"/>
          <w:sz w:val="22"/>
          <w:szCs w:val="22"/>
          <w:lang w:val="en-GB"/>
        </w:rPr>
        <w:t>single global cross-border insolvency dispensation</w:t>
      </w:r>
      <w:r w:rsidR="00E6085F">
        <w:rPr>
          <w:rFonts w:ascii="Avenir Next" w:hAnsi="Avenir Next" w:cs="Arial"/>
          <w:color w:val="808080" w:themeColor="background1" w:themeShade="80"/>
          <w:sz w:val="22"/>
          <w:szCs w:val="22"/>
          <w:lang w:val="en-GB"/>
        </w:rPr>
        <w:t>. Even if local and foreign creditors are treated equally in the insolvency proceedings,</w:t>
      </w:r>
      <w:r w:rsidR="002013FF">
        <w:rPr>
          <w:rFonts w:ascii="Avenir Next" w:hAnsi="Avenir Next" w:cs="Arial"/>
          <w:color w:val="808080" w:themeColor="background1" w:themeShade="80"/>
          <w:sz w:val="22"/>
          <w:szCs w:val="22"/>
          <w:lang w:val="en-GB"/>
        </w:rPr>
        <w:t xml:space="preserve"> the practical challenges of engaging foreign counsel and taking part in foreign insolvency proceedings might cause significant hardship for creditors </w:t>
      </w:r>
      <w:r w:rsidR="002D1C02">
        <w:rPr>
          <w:rFonts w:ascii="Avenir Next" w:hAnsi="Avenir Next" w:cs="Arial"/>
          <w:color w:val="808080" w:themeColor="background1" w:themeShade="80"/>
          <w:sz w:val="22"/>
          <w:szCs w:val="22"/>
          <w:lang w:val="en-GB"/>
        </w:rPr>
        <w:t xml:space="preserve">than </w:t>
      </w:r>
      <w:r w:rsidR="002013FF">
        <w:rPr>
          <w:rFonts w:ascii="Avenir Next" w:hAnsi="Avenir Next" w:cs="Arial"/>
          <w:color w:val="808080" w:themeColor="background1" w:themeShade="80"/>
          <w:sz w:val="22"/>
          <w:szCs w:val="22"/>
          <w:lang w:val="en-GB"/>
        </w:rPr>
        <w:t xml:space="preserve">if </w:t>
      </w:r>
      <w:r w:rsidR="002D1C02">
        <w:rPr>
          <w:rFonts w:ascii="Avenir Next" w:hAnsi="Avenir Next" w:cs="Arial"/>
          <w:color w:val="808080" w:themeColor="background1" w:themeShade="80"/>
          <w:sz w:val="22"/>
          <w:szCs w:val="22"/>
          <w:lang w:val="en-GB"/>
        </w:rPr>
        <w:t xml:space="preserve">local </w:t>
      </w:r>
      <w:r w:rsidR="002013FF">
        <w:rPr>
          <w:rFonts w:ascii="Avenir Next" w:hAnsi="Avenir Next" w:cs="Arial"/>
          <w:color w:val="808080" w:themeColor="background1" w:themeShade="80"/>
          <w:sz w:val="22"/>
          <w:szCs w:val="22"/>
          <w:lang w:val="en-GB"/>
        </w:rPr>
        <w:t>insolvency proceeding</w:t>
      </w:r>
      <w:r w:rsidR="002D1C02">
        <w:rPr>
          <w:rFonts w:ascii="Avenir Next" w:hAnsi="Avenir Next" w:cs="Arial"/>
          <w:color w:val="808080" w:themeColor="background1" w:themeShade="80"/>
          <w:sz w:val="22"/>
          <w:szCs w:val="22"/>
          <w:lang w:val="en-GB"/>
        </w:rPr>
        <w:t>s were allowed to be brought</w:t>
      </w:r>
      <w:r w:rsidR="002013FF">
        <w:rPr>
          <w:rFonts w:ascii="Avenir Next" w:hAnsi="Avenir Next" w:cs="Arial"/>
          <w:color w:val="808080" w:themeColor="background1" w:themeShade="80"/>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02FF6F8" w14:textId="41780416" w:rsidR="00AE4C7B" w:rsidRPr="00D2029B" w:rsidRDefault="00B049E4"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in the context of international insolvency refers to international instruments </w:t>
      </w:r>
      <w:r w:rsidR="00933D42">
        <w:rPr>
          <w:rFonts w:ascii="Avenir Next" w:hAnsi="Avenir Next" w:cs="Arial"/>
          <w:color w:val="808080" w:themeColor="background1" w:themeShade="80"/>
          <w:sz w:val="22"/>
          <w:szCs w:val="22"/>
          <w:lang w:val="en-GB"/>
        </w:rPr>
        <w:t xml:space="preserve">like </w:t>
      </w:r>
      <w:r>
        <w:rPr>
          <w:rFonts w:ascii="Avenir Next" w:hAnsi="Avenir Next" w:cs="Arial"/>
          <w:color w:val="808080" w:themeColor="background1" w:themeShade="80"/>
          <w:sz w:val="22"/>
          <w:szCs w:val="22"/>
          <w:lang w:val="en-GB"/>
        </w:rPr>
        <w:t xml:space="preserve">treaties </w:t>
      </w:r>
      <w:r w:rsidR="001978FC">
        <w:rPr>
          <w:rFonts w:ascii="Avenir Next" w:hAnsi="Avenir Next" w:cs="Arial"/>
          <w:color w:val="808080" w:themeColor="background1" w:themeShade="80"/>
          <w:sz w:val="22"/>
          <w:szCs w:val="22"/>
          <w:lang w:val="en-GB"/>
        </w:rPr>
        <w:t>or conventions</w:t>
      </w:r>
      <w:r w:rsidR="00FB50F0">
        <w:rPr>
          <w:rFonts w:ascii="Avenir Next" w:hAnsi="Avenir Next" w:cs="Arial"/>
          <w:color w:val="808080" w:themeColor="background1" w:themeShade="80"/>
          <w:sz w:val="22"/>
          <w:szCs w:val="22"/>
          <w:lang w:val="en-GB"/>
        </w:rPr>
        <w:t xml:space="preserve"> that bind signatory states</w:t>
      </w:r>
      <w:r w:rsidR="006B3FC3">
        <w:rPr>
          <w:rFonts w:ascii="Avenir Next" w:hAnsi="Avenir Next" w:cs="Arial"/>
          <w:color w:val="808080" w:themeColor="background1" w:themeShade="80"/>
          <w:sz w:val="22"/>
          <w:szCs w:val="22"/>
          <w:lang w:val="en-GB"/>
        </w:rPr>
        <w:t xml:space="preserve"> to affect their domestic law in accordance with what was </w:t>
      </w:r>
      <w:r w:rsidR="006B3FC3">
        <w:rPr>
          <w:rFonts w:ascii="Avenir Next" w:hAnsi="Avenir Next" w:cs="Arial"/>
          <w:color w:val="808080" w:themeColor="background1" w:themeShade="80"/>
          <w:sz w:val="22"/>
          <w:szCs w:val="22"/>
          <w:lang w:val="en-GB"/>
        </w:rPr>
        <w:lastRenderedPageBreak/>
        <w:t>agreed in these treaties or conventions.</w:t>
      </w:r>
      <w:r w:rsidR="00BB220F">
        <w:rPr>
          <w:rFonts w:ascii="Avenir Next" w:hAnsi="Avenir Next" w:cs="Arial"/>
          <w:color w:val="808080" w:themeColor="background1" w:themeShade="80"/>
          <w:sz w:val="22"/>
          <w:szCs w:val="22"/>
          <w:lang w:val="en-GB"/>
        </w:rPr>
        <w:t xml:space="preserve"> </w:t>
      </w:r>
      <w:r w:rsidR="00C96394">
        <w:rPr>
          <w:rFonts w:ascii="Avenir Next" w:hAnsi="Avenir Next" w:cs="Arial"/>
          <w:color w:val="808080" w:themeColor="background1" w:themeShade="80"/>
          <w:sz w:val="22"/>
          <w:szCs w:val="22"/>
          <w:lang w:val="en-GB"/>
        </w:rPr>
        <w:t xml:space="preserve">An example of hard law </w:t>
      </w:r>
      <w:r w:rsidR="002F739C">
        <w:rPr>
          <w:rFonts w:ascii="Avenir Next" w:hAnsi="Avenir Next" w:cs="Arial"/>
          <w:color w:val="808080" w:themeColor="background1" w:themeShade="80"/>
          <w:sz w:val="22"/>
          <w:szCs w:val="22"/>
          <w:lang w:val="en-GB"/>
        </w:rPr>
        <w:t>that has successfully provided solutions to the challenges of international insolvency is the Nordic Convention (1933)</w:t>
      </w:r>
      <w:r w:rsidR="00AE4C7B">
        <w:rPr>
          <w:rFonts w:ascii="Avenir Next" w:hAnsi="Avenir Next" w:cs="Arial"/>
          <w:color w:val="808080" w:themeColor="background1" w:themeShade="80"/>
          <w:sz w:val="22"/>
          <w:szCs w:val="22"/>
          <w:lang w:val="en-GB"/>
        </w:rPr>
        <w:t xml:space="preserve"> – with </w:t>
      </w:r>
      <w:r w:rsidR="00A93579">
        <w:rPr>
          <w:rFonts w:ascii="Avenir Next" w:hAnsi="Avenir Next" w:cs="Arial"/>
          <w:color w:val="808080" w:themeColor="background1" w:themeShade="80"/>
          <w:sz w:val="22"/>
          <w:szCs w:val="22"/>
          <w:lang w:val="en-GB"/>
        </w:rPr>
        <w:t>Sweden, Denmark, Norway</w:t>
      </w:r>
      <w:r w:rsidR="002F6690">
        <w:rPr>
          <w:rFonts w:ascii="Avenir Next" w:hAnsi="Avenir Next" w:cs="Arial"/>
          <w:color w:val="808080" w:themeColor="background1" w:themeShade="80"/>
          <w:sz w:val="22"/>
          <w:szCs w:val="22"/>
          <w:lang w:val="en-GB"/>
        </w:rPr>
        <w:t xml:space="preserve">, </w:t>
      </w:r>
      <w:r w:rsidR="00A93579">
        <w:rPr>
          <w:rFonts w:ascii="Avenir Next" w:hAnsi="Avenir Next" w:cs="Arial"/>
          <w:color w:val="808080" w:themeColor="background1" w:themeShade="80"/>
          <w:sz w:val="22"/>
          <w:szCs w:val="22"/>
          <w:lang w:val="en-GB"/>
        </w:rPr>
        <w:t>Finland</w:t>
      </w:r>
      <w:r w:rsidR="002F6690">
        <w:rPr>
          <w:rFonts w:ascii="Avenir Next" w:hAnsi="Avenir Next" w:cs="Arial"/>
          <w:color w:val="808080" w:themeColor="background1" w:themeShade="80"/>
          <w:sz w:val="22"/>
          <w:szCs w:val="22"/>
          <w:lang w:val="en-GB"/>
        </w:rPr>
        <w:t xml:space="preserve">, and Iceland </w:t>
      </w:r>
      <w:r w:rsidR="00A93579">
        <w:rPr>
          <w:rFonts w:ascii="Avenir Next" w:hAnsi="Avenir Next" w:cs="Arial"/>
          <w:color w:val="808080" w:themeColor="background1" w:themeShade="80"/>
          <w:sz w:val="22"/>
          <w:szCs w:val="22"/>
          <w:lang w:val="en-GB"/>
        </w:rPr>
        <w:t>as signatories</w:t>
      </w:r>
      <w:r w:rsidR="00AE4C7B">
        <w:rPr>
          <w:rFonts w:ascii="Avenir Next" w:hAnsi="Avenir Next" w:cs="Arial"/>
          <w:color w:val="808080" w:themeColor="background1" w:themeShade="80"/>
          <w:sz w:val="22"/>
          <w:szCs w:val="22"/>
          <w:lang w:val="en-GB"/>
        </w:rPr>
        <w:t xml:space="preserve"> – that</w:t>
      </w:r>
      <w:r w:rsidR="00A82AEC">
        <w:rPr>
          <w:rFonts w:ascii="Avenir Next" w:hAnsi="Avenir Next" w:cs="Arial"/>
          <w:color w:val="808080" w:themeColor="background1" w:themeShade="80"/>
          <w:sz w:val="22"/>
          <w:szCs w:val="22"/>
          <w:lang w:val="en-GB"/>
        </w:rPr>
        <w:t xml:space="preserve"> governs how cross border bankruptcies are to be dealt with in the Scandinavian region.</w:t>
      </w:r>
      <w:r w:rsidR="006177FF">
        <w:rPr>
          <w:rFonts w:ascii="Avenir Next" w:hAnsi="Avenir Next" w:cs="Arial"/>
          <w:color w:val="808080" w:themeColor="background1" w:themeShade="80"/>
          <w:sz w:val="22"/>
          <w:szCs w:val="22"/>
          <w:lang w:val="en-GB"/>
        </w:rPr>
        <w:t xml:space="preserve"> </w:t>
      </w:r>
      <w:r w:rsidR="00586A6A">
        <w:rPr>
          <w:rFonts w:ascii="Avenir Next" w:hAnsi="Avenir Next" w:cs="Arial"/>
          <w:color w:val="808080" w:themeColor="background1" w:themeShade="80"/>
          <w:sz w:val="22"/>
          <w:szCs w:val="22"/>
          <w:lang w:val="en-GB"/>
        </w:rPr>
        <w:t xml:space="preserve">The Nordic Convention (1933) </w:t>
      </w:r>
      <w:r w:rsidR="00062372">
        <w:rPr>
          <w:rFonts w:ascii="Avenir Next" w:hAnsi="Avenir Next" w:cs="Arial"/>
          <w:color w:val="808080" w:themeColor="background1" w:themeShade="80"/>
          <w:sz w:val="22"/>
          <w:szCs w:val="22"/>
          <w:lang w:val="en-GB"/>
        </w:rPr>
        <w:t xml:space="preserve">is generally </w:t>
      </w:r>
      <w:r w:rsidR="007B1F40">
        <w:rPr>
          <w:rFonts w:ascii="Avenir Next" w:hAnsi="Avenir Next" w:cs="Arial"/>
          <w:color w:val="808080" w:themeColor="background1" w:themeShade="80"/>
          <w:sz w:val="22"/>
          <w:szCs w:val="22"/>
          <w:lang w:val="en-GB"/>
        </w:rPr>
        <w:t xml:space="preserve">considered a success as it has been </w:t>
      </w:r>
      <w:r w:rsidR="007215E5">
        <w:rPr>
          <w:rFonts w:ascii="Avenir Next" w:hAnsi="Avenir Next" w:cs="Arial"/>
          <w:color w:val="808080" w:themeColor="background1" w:themeShade="80"/>
          <w:sz w:val="22"/>
          <w:szCs w:val="22"/>
          <w:lang w:val="en-GB"/>
        </w:rPr>
        <w:t xml:space="preserve">ratified </w:t>
      </w:r>
      <w:r w:rsidR="007B1F40">
        <w:rPr>
          <w:rFonts w:ascii="Avenir Next" w:hAnsi="Avenir Next" w:cs="Arial"/>
          <w:color w:val="808080" w:themeColor="background1" w:themeShade="80"/>
          <w:sz w:val="22"/>
          <w:szCs w:val="22"/>
          <w:lang w:val="en-GB"/>
        </w:rPr>
        <w:t>and complied with by the Scandinavian states</w:t>
      </w:r>
      <w:r w:rsidR="00586A6A">
        <w:rPr>
          <w:rFonts w:ascii="Avenir Next" w:hAnsi="Avenir Next" w:cs="Arial"/>
          <w:color w:val="808080" w:themeColor="background1" w:themeShade="80"/>
          <w:sz w:val="22"/>
          <w:szCs w:val="22"/>
          <w:lang w:val="en-GB"/>
        </w:rPr>
        <w:t>.</w:t>
      </w:r>
      <w:r w:rsidR="007215E5">
        <w:rPr>
          <w:rFonts w:ascii="Avenir Next" w:hAnsi="Avenir Next" w:cs="Arial"/>
          <w:color w:val="808080" w:themeColor="background1" w:themeShade="80"/>
          <w:sz w:val="22"/>
          <w:szCs w:val="22"/>
          <w:lang w:val="en-GB"/>
        </w:rPr>
        <w:t xml:space="preserve"> However, as noted by Professor Michael Bogan, the Nordic Convention (1933)’s success </w:t>
      </w:r>
      <w:r w:rsidR="00BA0D8B">
        <w:rPr>
          <w:rFonts w:ascii="Avenir Next" w:hAnsi="Avenir Next" w:cs="Arial"/>
          <w:color w:val="808080" w:themeColor="background1" w:themeShade="80"/>
          <w:sz w:val="22"/>
          <w:szCs w:val="22"/>
          <w:lang w:val="en-GB"/>
        </w:rPr>
        <w:t>might not be suitable for universal use because its success might be attributed to how the Scandinavian countries “</w:t>
      </w:r>
      <w:r w:rsidR="00BA0D8B">
        <w:rPr>
          <w:rFonts w:ascii="Avenir Next" w:hAnsi="Avenir Next" w:cs="Arial"/>
          <w:i/>
          <w:iCs/>
          <w:color w:val="808080" w:themeColor="background1" w:themeShade="80"/>
          <w:sz w:val="22"/>
          <w:szCs w:val="22"/>
          <w:lang w:val="en-GB"/>
        </w:rPr>
        <w:t xml:space="preserve">understand each other, … are geographically close, </w:t>
      </w:r>
      <w:r w:rsidR="00D2029B">
        <w:rPr>
          <w:rFonts w:ascii="Avenir Next" w:hAnsi="Avenir Next" w:cs="Arial"/>
          <w:i/>
          <w:iCs/>
          <w:color w:val="808080" w:themeColor="background1" w:themeShade="80"/>
          <w:sz w:val="22"/>
          <w:szCs w:val="22"/>
          <w:lang w:val="en-GB"/>
        </w:rPr>
        <w:t>[have] legal systems [that] are similar and … have a high level of confidence in each other’s legal systems</w:t>
      </w:r>
      <w:r w:rsidR="00D2029B">
        <w:rPr>
          <w:rFonts w:ascii="Avenir Next" w:hAnsi="Avenir Next" w:cs="Arial"/>
          <w:color w:val="808080" w:themeColor="background1" w:themeShade="80"/>
          <w:sz w:val="22"/>
          <w:szCs w:val="22"/>
          <w:lang w:val="en-GB"/>
        </w:rPr>
        <w:t>”</w:t>
      </w:r>
      <w:r w:rsidR="00914CDE">
        <w:rPr>
          <w:rFonts w:ascii="Avenir Next" w:hAnsi="Avenir Next" w:cs="Arial"/>
          <w:color w:val="808080" w:themeColor="background1" w:themeShade="80"/>
          <w:sz w:val="22"/>
          <w:szCs w:val="22"/>
          <w:lang w:val="en-GB"/>
        </w:rPr>
        <w:t>.</w:t>
      </w:r>
    </w:p>
    <w:p w14:paraId="3EFE4E39" w14:textId="77777777" w:rsidR="001978FC" w:rsidRDefault="001978FC" w:rsidP="006A44B2">
      <w:pPr>
        <w:jc w:val="both"/>
        <w:rPr>
          <w:rFonts w:ascii="Avenir Next" w:hAnsi="Avenir Next" w:cs="Arial"/>
          <w:color w:val="808080" w:themeColor="background1" w:themeShade="80"/>
          <w:sz w:val="22"/>
          <w:szCs w:val="22"/>
          <w:lang w:val="en-GB"/>
        </w:rPr>
      </w:pPr>
    </w:p>
    <w:p w14:paraId="6D09DAC8" w14:textId="2D8952E1" w:rsidR="00B049E4" w:rsidRDefault="001978FC"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 in the context of international insolvency refers to</w:t>
      </w:r>
      <w:r w:rsidR="001813BC">
        <w:rPr>
          <w:rFonts w:ascii="Avenir Next" w:hAnsi="Avenir Next" w:cs="Arial"/>
          <w:color w:val="808080" w:themeColor="background1" w:themeShade="80"/>
          <w:sz w:val="22"/>
          <w:szCs w:val="22"/>
          <w:lang w:val="en-GB"/>
        </w:rPr>
        <w:t xml:space="preserve"> non-binding instruments that seek to influence </w:t>
      </w:r>
      <w:r w:rsidR="00007A9E">
        <w:rPr>
          <w:rFonts w:ascii="Avenir Next" w:hAnsi="Avenir Next" w:cs="Arial"/>
          <w:color w:val="808080" w:themeColor="background1" w:themeShade="80"/>
          <w:sz w:val="22"/>
          <w:szCs w:val="22"/>
          <w:lang w:val="en-GB"/>
        </w:rPr>
        <w:t>how states regulate and deal with international insolvency issues</w:t>
      </w:r>
      <w:r w:rsidR="007446C0">
        <w:rPr>
          <w:rFonts w:ascii="Avenir Next" w:hAnsi="Avenir Next" w:cs="Arial"/>
          <w:color w:val="808080" w:themeColor="background1" w:themeShade="80"/>
          <w:sz w:val="22"/>
          <w:szCs w:val="22"/>
          <w:lang w:val="en-GB"/>
        </w:rPr>
        <w:t xml:space="preserve">. The clearest example of </w:t>
      </w:r>
      <w:r w:rsidR="00BE6541">
        <w:rPr>
          <w:rFonts w:ascii="Avenir Next" w:hAnsi="Avenir Next" w:cs="Arial"/>
          <w:color w:val="808080" w:themeColor="background1" w:themeShade="80"/>
          <w:sz w:val="22"/>
          <w:szCs w:val="22"/>
          <w:lang w:val="en-GB"/>
        </w:rPr>
        <w:t xml:space="preserve">a </w:t>
      </w:r>
      <w:r w:rsidR="007446C0">
        <w:rPr>
          <w:rFonts w:ascii="Avenir Next" w:hAnsi="Avenir Next" w:cs="Arial"/>
          <w:color w:val="808080" w:themeColor="background1" w:themeShade="80"/>
          <w:sz w:val="22"/>
          <w:szCs w:val="22"/>
          <w:lang w:val="en-GB"/>
        </w:rPr>
        <w:t xml:space="preserve">soft law </w:t>
      </w:r>
      <w:r w:rsidR="00087EC0">
        <w:rPr>
          <w:rFonts w:ascii="Avenir Next" w:hAnsi="Avenir Next" w:cs="Arial"/>
          <w:color w:val="808080" w:themeColor="background1" w:themeShade="80"/>
          <w:sz w:val="22"/>
          <w:szCs w:val="22"/>
          <w:lang w:val="en-GB"/>
        </w:rPr>
        <w:t xml:space="preserve">that has </w:t>
      </w:r>
      <w:r w:rsidR="00BE6541">
        <w:rPr>
          <w:rFonts w:ascii="Avenir Next" w:hAnsi="Avenir Next" w:cs="Arial"/>
          <w:color w:val="808080" w:themeColor="background1" w:themeShade="80"/>
          <w:sz w:val="22"/>
          <w:szCs w:val="22"/>
          <w:lang w:val="en-GB"/>
        </w:rPr>
        <w:t xml:space="preserve">successfully </w:t>
      </w:r>
      <w:r w:rsidR="00087EC0">
        <w:rPr>
          <w:rFonts w:ascii="Avenir Next" w:hAnsi="Avenir Next" w:cs="Arial"/>
          <w:color w:val="808080" w:themeColor="background1" w:themeShade="80"/>
          <w:sz w:val="22"/>
          <w:szCs w:val="22"/>
          <w:lang w:val="en-GB"/>
        </w:rPr>
        <w:t xml:space="preserve">provided solutions to the challenges of international insolvency is the UNCITRAL Insolvency Model Law. It is soft law because it </w:t>
      </w:r>
      <w:r w:rsidR="003B29A3">
        <w:rPr>
          <w:rFonts w:ascii="Avenir Next" w:hAnsi="Avenir Next" w:cs="Arial"/>
          <w:color w:val="808080" w:themeColor="background1" w:themeShade="80"/>
          <w:sz w:val="22"/>
          <w:szCs w:val="22"/>
          <w:lang w:val="en-GB"/>
        </w:rPr>
        <w:t xml:space="preserve">did not seek to compel or bind states to them through a treaty or a convention. The UNCITRAL Insolvency Model Law simply took the form </w:t>
      </w:r>
      <w:r w:rsidR="000D56CC">
        <w:rPr>
          <w:rFonts w:ascii="Avenir Next" w:hAnsi="Avenir Next" w:cs="Arial"/>
          <w:color w:val="808080" w:themeColor="background1" w:themeShade="80"/>
          <w:sz w:val="22"/>
          <w:szCs w:val="22"/>
          <w:lang w:val="en-GB"/>
        </w:rPr>
        <w:t>of a draft legislation that UNCITRAL recommended member states to adopt</w:t>
      </w:r>
      <w:r w:rsidR="00610F55">
        <w:rPr>
          <w:rFonts w:ascii="Avenir Next" w:hAnsi="Avenir Next" w:cs="Arial"/>
          <w:color w:val="808080" w:themeColor="background1" w:themeShade="80"/>
          <w:sz w:val="22"/>
          <w:szCs w:val="22"/>
          <w:lang w:val="en-GB"/>
        </w:rPr>
        <w:t xml:space="preserve"> with or without modification. </w:t>
      </w:r>
      <w:r w:rsidR="00BE6541">
        <w:rPr>
          <w:rFonts w:ascii="Avenir Next" w:hAnsi="Avenir Next" w:cs="Arial"/>
          <w:color w:val="808080" w:themeColor="background1" w:themeShade="80"/>
          <w:sz w:val="22"/>
          <w:szCs w:val="22"/>
          <w:lang w:val="en-GB"/>
        </w:rPr>
        <w:t xml:space="preserve">The UNCITRAL Insolvency Model Law </w:t>
      </w:r>
      <w:r w:rsidR="00847938">
        <w:rPr>
          <w:rFonts w:ascii="Avenir Next" w:hAnsi="Avenir Next" w:cs="Arial"/>
          <w:color w:val="808080" w:themeColor="background1" w:themeShade="80"/>
          <w:sz w:val="22"/>
          <w:szCs w:val="22"/>
          <w:lang w:val="en-GB"/>
        </w:rPr>
        <w:t xml:space="preserve">can </w:t>
      </w:r>
      <w:proofErr w:type="gramStart"/>
      <w:r w:rsidR="00847938">
        <w:rPr>
          <w:rFonts w:ascii="Avenir Next" w:hAnsi="Avenir Next" w:cs="Arial"/>
          <w:color w:val="808080" w:themeColor="background1" w:themeShade="80"/>
          <w:sz w:val="22"/>
          <w:szCs w:val="22"/>
          <w:lang w:val="en-GB"/>
        </w:rPr>
        <w:t>be considered to be</w:t>
      </w:r>
      <w:proofErr w:type="gramEnd"/>
      <w:r w:rsidR="00847938">
        <w:rPr>
          <w:rFonts w:ascii="Avenir Next" w:hAnsi="Avenir Next" w:cs="Arial"/>
          <w:color w:val="808080" w:themeColor="background1" w:themeShade="80"/>
          <w:sz w:val="22"/>
          <w:szCs w:val="22"/>
          <w:lang w:val="en-GB"/>
        </w:rPr>
        <w:t xml:space="preserve"> a success given the </w:t>
      </w:r>
      <w:r w:rsidR="00FC00DA">
        <w:rPr>
          <w:rFonts w:ascii="Avenir Next" w:hAnsi="Avenir Next" w:cs="Arial"/>
          <w:color w:val="808080" w:themeColor="background1" w:themeShade="80"/>
          <w:sz w:val="22"/>
          <w:szCs w:val="22"/>
          <w:lang w:val="en-GB"/>
        </w:rPr>
        <w:t xml:space="preserve">substantial </w:t>
      </w:r>
      <w:r w:rsidR="00847938">
        <w:rPr>
          <w:rFonts w:ascii="Avenir Next" w:hAnsi="Avenir Next" w:cs="Arial"/>
          <w:color w:val="808080" w:themeColor="background1" w:themeShade="80"/>
          <w:sz w:val="22"/>
          <w:szCs w:val="22"/>
          <w:lang w:val="en-GB"/>
        </w:rPr>
        <w:t xml:space="preserve">number of </w:t>
      </w:r>
      <w:r w:rsidR="00563233">
        <w:rPr>
          <w:rFonts w:ascii="Avenir Next" w:hAnsi="Avenir Next" w:cs="Arial"/>
          <w:color w:val="808080" w:themeColor="background1" w:themeShade="80"/>
          <w:sz w:val="22"/>
          <w:szCs w:val="22"/>
          <w:lang w:val="en-GB"/>
        </w:rPr>
        <w:t>jurisdictions</w:t>
      </w:r>
      <w:r w:rsidR="00847938">
        <w:rPr>
          <w:rFonts w:ascii="Avenir Next" w:hAnsi="Avenir Next" w:cs="Arial"/>
          <w:color w:val="808080" w:themeColor="background1" w:themeShade="80"/>
          <w:sz w:val="22"/>
          <w:szCs w:val="22"/>
          <w:lang w:val="en-GB"/>
        </w:rPr>
        <w:t xml:space="preserve"> </w:t>
      </w:r>
      <w:r w:rsidR="00FB584B">
        <w:rPr>
          <w:rFonts w:ascii="Avenir Next" w:hAnsi="Avenir Next" w:cs="Arial"/>
          <w:color w:val="808080" w:themeColor="background1" w:themeShade="80"/>
          <w:sz w:val="22"/>
          <w:szCs w:val="22"/>
          <w:lang w:val="en-GB"/>
        </w:rPr>
        <w:t xml:space="preserve">across the world </w:t>
      </w:r>
      <w:r w:rsidR="00847938">
        <w:rPr>
          <w:rFonts w:ascii="Avenir Next" w:hAnsi="Avenir Next" w:cs="Arial"/>
          <w:color w:val="808080" w:themeColor="background1" w:themeShade="80"/>
          <w:sz w:val="22"/>
          <w:szCs w:val="22"/>
          <w:lang w:val="en-GB"/>
        </w:rPr>
        <w:t>that have adopted it into their domestic legislation</w:t>
      </w:r>
      <w:r w:rsidR="00D75817">
        <w:rPr>
          <w:rFonts w:ascii="Avenir Next" w:hAnsi="Avenir Next" w:cs="Arial"/>
          <w:color w:val="808080" w:themeColor="background1" w:themeShade="80"/>
          <w:sz w:val="22"/>
          <w:szCs w:val="22"/>
          <w:lang w:val="en-GB"/>
        </w:rPr>
        <w:t>.</w:t>
      </w:r>
    </w:p>
    <w:p w14:paraId="25432F79" w14:textId="77777777" w:rsidR="0050241E" w:rsidRDefault="0050241E" w:rsidP="006A44B2">
      <w:pPr>
        <w:jc w:val="both"/>
        <w:rPr>
          <w:rFonts w:ascii="Avenir Next" w:hAnsi="Avenir Next" w:cs="Arial"/>
          <w:color w:val="808080" w:themeColor="background1" w:themeShade="80"/>
          <w:sz w:val="22"/>
          <w:szCs w:val="22"/>
          <w:lang w:val="en-GB"/>
        </w:rPr>
      </w:pPr>
    </w:p>
    <w:p w14:paraId="762AF2F1" w14:textId="7C40EE54" w:rsidR="0050241E" w:rsidRDefault="0050241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w:t>
      </w:r>
      <w:r w:rsidR="00BA22A1">
        <w:rPr>
          <w:rFonts w:ascii="Avenir Next" w:hAnsi="Avenir Next" w:cs="Arial"/>
          <w:color w:val="808080" w:themeColor="background1" w:themeShade="80"/>
          <w:sz w:val="22"/>
          <w:szCs w:val="22"/>
          <w:lang w:val="en-GB"/>
        </w:rPr>
        <w:t xml:space="preserve"> providing solutions to</w:t>
      </w:r>
      <w:r>
        <w:rPr>
          <w:rFonts w:ascii="Avenir Next" w:hAnsi="Avenir Next" w:cs="Arial"/>
          <w:color w:val="808080" w:themeColor="background1" w:themeShade="80"/>
          <w:sz w:val="22"/>
          <w:szCs w:val="22"/>
          <w:lang w:val="en-GB"/>
        </w:rPr>
        <w:t xml:space="preserve"> international insolvency law issues, more success has been achieved through soft law options. This is because it is </w:t>
      </w:r>
      <w:r w:rsidR="00392465">
        <w:rPr>
          <w:rFonts w:ascii="Avenir Next" w:hAnsi="Avenir Next" w:cs="Arial"/>
          <w:color w:val="808080" w:themeColor="background1" w:themeShade="80"/>
          <w:sz w:val="22"/>
          <w:szCs w:val="22"/>
          <w:lang w:val="en-GB"/>
        </w:rPr>
        <w:t xml:space="preserve">challenging to </w:t>
      </w:r>
      <w:r w:rsidR="00F574A6">
        <w:rPr>
          <w:rFonts w:ascii="Avenir Next" w:hAnsi="Avenir Next" w:cs="Arial"/>
          <w:color w:val="808080" w:themeColor="background1" w:themeShade="80"/>
          <w:sz w:val="22"/>
          <w:szCs w:val="22"/>
          <w:lang w:val="en-GB"/>
        </w:rPr>
        <w:t xml:space="preserve">persuade states to </w:t>
      </w:r>
      <w:r w:rsidR="00162E09">
        <w:rPr>
          <w:rFonts w:ascii="Avenir Next" w:hAnsi="Avenir Next" w:cs="Arial"/>
          <w:color w:val="808080" w:themeColor="background1" w:themeShade="80"/>
          <w:sz w:val="22"/>
          <w:szCs w:val="22"/>
          <w:lang w:val="en-GB"/>
        </w:rPr>
        <w:t xml:space="preserve">bind themselves to </w:t>
      </w:r>
      <w:r w:rsidR="00F574A6">
        <w:rPr>
          <w:rFonts w:ascii="Avenir Next" w:hAnsi="Avenir Next" w:cs="Arial"/>
          <w:color w:val="808080" w:themeColor="background1" w:themeShade="80"/>
          <w:sz w:val="22"/>
          <w:szCs w:val="22"/>
          <w:lang w:val="en-GB"/>
        </w:rPr>
        <w:t>treaties or conventions</w:t>
      </w:r>
      <w:r w:rsidR="002740E0">
        <w:rPr>
          <w:rFonts w:ascii="Avenir Next" w:hAnsi="Avenir Next" w:cs="Arial"/>
          <w:color w:val="808080" w:themeColor="background1" w:themeShade="80"/>
          <w:sz w:val="22"/>
          <w:szCs w:val="22"/>
          <w:lang w:val="en-GB"/>
        </w:rPr>
        <w:t>. F</w:t>
      </w:r>
      <w:r w:rsidR="00F574A6">
        <w:rPr>
          <w:rFonts w:ascii="Avenir Next" w:hAnsi="Avenir Next" w:cs="Arial"/>
          <w:color w:val="808080" w:themeColor="background1" w:themeShade="80"/>
          <w:sz w:val="22"/>
          <w:szCs w:val="22"/>
          <w:lang w:val="en-GB"/>
        </w:rPr>
        <w:t xml:space="preserve">or example, </w:t>
      </w:r>
      <w:r w:rsidR="00071F23">
        <w:rPr>
          <w:rFonts w:ascii="Avenir Next" w:hAnsi="Avenir Next" w:cs="Arial"/>
          <w:color w:val="808080" w:themeColor="background1" w:themeShade="80"/>
          <w:sz w:val="22"/>
          <w:szCs w:val="22"/>
          <w:lang w:val="en-GB"/>
        </w:rPr>
        <w:t xml:space="preserve">the Istanbul Convention was not ratified by </w:t>
      </w:r>
      <w:r w:rsidR="00C353E4">
        <w:rPr>
          <w:rFonts w:ascii="Avenir Next" w:hAnsi="Avenir Next" w:cs="Arial"/>
          <w:color w:val="808080" w:themeColor="background1" w:themeShade="80"/>
          <w:sz w:val="22"/>
          <w:szCs w:val="22"/>
          <w:lang w:val="en-GB"/>
        </w:rPr>
        <w:t>enough</w:t>
      </w:r>
      <w:r w:rsidR="00071F23">
        <w:rPr>
          <w:rFonts w:ascii="Avenir Next" w:hAnsi="Avenir Next" w:cs="Arial"/>
          <w:color w:val="808080" w:themeColor="background1" w:themeShade="80"/>
          <w:sz w:val="22"/>
          <w:szCs w:val="22"/>
          <w:lang w:val="en-GB"/>
        </w:rPr>
        <w:t xml:space="preserve"> states for it to enter into force. </w:t>
      </w:r>
      <w:r w:rsidR="002740E0">
        <w:rPr>
          <w:rFonts w:ascii="Avenir Next" w:hAnsi="Avenir Next" w:cs="Arial"/>
          <w:color w:val="808080" w:themeColor="background1" w:themeShade="80"/>
          <w:sz w:val="22"/>
          <w:szCs w:val="22"/>
          <w:lang w:val="en-GB"/>
        </w:rPr>
        <w:t xml:space="preserve">The UNCITRAL Insolvency Model Law on the other hand, has been </w:t>
      </w:r>
      <w:r w:rsidR="00C04647">
        <w:rPr>
          <w:rFonts w:ascii="Avenir Next" w:hAnsi="Avenir Next" w:cs="Arial"/>
          <w:color w:val="808080" w:themeColor="background1" w:themeShade="80"/>
          <w:sz w:val="22"/>
          <w:szCs w:val="22"/>
          <w:lang w:val="en-GB"/>
        </w:rPr>
        <w:t xml:space="preserve">much more successful than many treaties or conventions </w:t>
      </w:r>
      <w:r w:rsidR="00901180">
        <w:rPr>
          <w:rFonts w:ascii="Avenir Next" w:hAnsi="Avenir Next" w:cs="Arial"/>
          <w:color w:val="808080" w:themeColor="background1" w:themeShade="80"/>
          <w:sz w:val="22"/>
          <w:szCs w:val="22"/>
          <w:lang w:val="en-GB"/>
        </w:rPr>
        <w:t xml:space="preserve">where </w:t>
      </w:r>
      <w:r w:rsidR="00901180">
        <w:rPr>
          <w:rFonts w:ascii="Avenir Next" w:hAnsi="Avenir Next" w:cs="Arial"/>
          <w:color w:val="808080" w:themeColor="background1" w:themeShade="80"/>
          <w:sz w:val="22"/>
          <w:szCs w:val="22"/>
          <w:lang w:val="en-GB"/>
        </w:rPr>
        <w:t>legislation based on or influenced by the UNICTRAL Insolvency Mode Law has, to date, been adopted in 59 states.</w:t>
      </w:r>
    </w:p>
    <w:p w14:paraId="337A4250" w14:textId="096D210F" w:rsidR="00C952A2" w:rsidRPr="004216EA" w:rsidRDefault="00B049E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01E636B2"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w:t>
      </w:r>
      <w:r w:rsidR="00167C54">
        <w:rPr>
          <w:rFonts w:ascii="Avenir Next" w:hAnsi="Avenir Next" w:cs="Arial"/>
          <w:sz w:val="22"/>
          <w:szCs w:val="22"/>
        </w:rPr>
        <w:t xml:space="preserve"> </w:t>
      </w:r>
      <w:r w:rsidRPr="00F85C0B">
        <w:rPr>
          <w:rFonts w:ascii="Avenir Next" w:hAnsi="Avenir Next" w:cs="Arial"/>
          <w:sz w:val="22"/>
          <w:szCs w:val="22"/>
        </w:rPr>
        <w:t xml:space="preserve">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270E567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5C020AF" w14:textId="5F83CD3F" w:rsidR="00892B16" w:rsidRDefault="0056042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insolvent estate representative should </w:t>
      </w:r>
      <w:r w:rsidR="00346592">
        <w:rPr>
          <w:rFonts w:ascii="Avenir Next" w:hAnsi="Avenir Next" w:cs="Arial"/>
          <w:color w:val="808080" w:themeColor="background1" w:themeShade="80"/>
          <w:sz w:val="22"/>
          <w:szCs w:val="22"/>
          <w:lang w:val="en-GB"/>
        </w:rPr>
        <w:t>refer to</w:t>
      </w:r>
      <w:r>
        <w:rPr>
          <w:rFonts w:ascii="Avenir Next" w:hAnsi="Avenir Next" w:cs="Arial"/>
          <w:color w:val="808080" w:themeColor="background1" w:themeShade="80"/>
          <w:sz w:val="22"/>
          <w:szCs w:val="22"/>
          <w:lang w:val="en-GB"/>
        </w:rPr>
        <w:t xml:space="preserve"> the </w:t>
      </w:r>
      <w:r w:rsidR="00D8568A">
        <w:rPr>
          <w:rFonts w:ascii="Avenir Next" w:hAnsi="Avenir Next" w:cs="Arial"/>
          <w:color w:val="808080" w:themeColor="background1" w:themeShade="80"/>
          <w:sz w:val="22"/>
          <w:szCs w:val="22"/>
          <w:lang w:val="en-GB"/>
        </w:rPr>
        <w:t xml:space="preserve">UK legislation that incorporates the provisions of the UNCITRAL Insolvency Model Law, </w:t>
      </w:r>
      <w:proofErr w:type="gramStart"/>
      <w:r w:rsidR="00D8568A">
        <w:rPr>
          <w:rFonts w:ascii="Avenir Next" w:hAnsi="Avenir Next" w:cs="Arial"/>
          <w:color w:val="808080" w:themeColor="background1" w:themeShade="80"/>
          <w:sz w:val="22"/>
          <w:szCs w:val="22"/>
          <w:lang w:val="en-GB"/>
        </w:rPr>
        <w:t>i.e.</w:t>
      </w:r>
      <w:proofErr w:type="gramEnd"/>
      <w:r w:rsidR="00D8568A">
        <w:rPr>
          <w:rFonts w:ascii="Avenir Next" w:hAnsi="Avenir Next" w:cs="Arial"/>
          <w:color w:val="808080" w:themeColor="background1" w:themeShade="80"/>
          <w:sz w:val="22"/>
          <w:szCs w:val="22"/>
          <w:lang w:val="en-GB"/>
        </w:rPr>
        <w:t xml:space="preserve"> the Cross-Border Insolvency Regulations 2006</w:t>
      </w:r>
      <w:r w:rsidR="004C4790">
        <w:rPr>
          <w:rFonts w:ascii="Avenir Next" w:hAnsi="Avenir Next" w:cs="Arial"/>
          <w:color w:val="808080" w:themeColor="background1" w:themeShade="80"/>
          <w:sz w:val="22"/>
          <w:szCs w:val="22"/>
          <w:lang w:val="en-GB"/>
        </w:rPr>
        <w:t xml:space="preserve"> (the “</w:t>
      </w:r>
      <w:r w:rsidR="004C4790" w:rsidRPr="004C4790">
        <w:rPr>
          <w:rFonts w:ascii="Avenir Next" w:hAnsi="Avenir Next" w:cs="Arial"/>
          <w:b/>
          <w:bCs/>
          <w:color w:val="808080" w:themeColor="background1" w:themeShade="80"/>
          <w:sz w:val="22"/>
          <w:szCs w:val="22"/>
          <w:lang w:val="en-GB"/>
        </w:rPr>
        <w:t>CBIR 2006</w:t>
      </w:r>
      <w:r w:rsidR="004C4790">
        <w:rPr>
          <w:rFonts w:ascii="Avenir Next" w:hAnsi="Avenir Next" w:cs="Arial"/>
          <w:color w:val="808080" w:themeColor="background1" w:themeShade="80"/>
          <w:sz w:val="22"/>
          <w:szCs w:val="22"/>
          <w:lang w:val="en-GB"/>
        </w:rPr>
        <w:t>”)</w:t>
      </w:r>
      <w:r w:rsidR="00D8568A">
        <w:rPr>
          <w:rFonts w:ascii="Avenir Next" w:hAnsi="Avenir Next" w:cs="Arial"/>
          <w:color w:val="808080" w:themeColor="background1" w:themeShade="80"/>
          <w:sz w:val="22"/>
          <w:szCs w:val="22"/>
          <w:lang w:val="en-GB"/>
        </w:rPr>
        <w:t>.</w:t>
      </w:r>
      <w:r w:rsidR="00A51DE1">
        <w:rPr>
          <w:rFonts w:ascii="Avenir Next" w:hAnsi="Avenir Next" w:cs="Arial"/>
          <w:color w:val="808080" w:themeColor="background1" w:themeShade="80"/>
          <w:sz w:val="22"/>
          <w:szCs w:val="22"/>
          <w:lang w:val="en-GB"/>
        </w:rPr>
        <w:t xml:space="preserve"> </w:t>
      </w:r>
      <w:r w:rsidR="004C4790">
        <w:rPr>
          <w:rFonts w:ascii="Avenir Next" w:hAnsi="Avenir Next" w:cs="Arial"/>
          <w:color w:val="808080" w:themeColor="background1" w:themeShade="80"/>
          <w:sz w:val="22"/>
          <w:szCs w:val="22"/>
          <w:lang w:val="en-GB"/>
        </w:rPr>
        <w:t xml:space="preserve">The </w:t>
      </w:r>
      <w:r w:rsidR="00FB3804">
        <w:rPr>
          <w:rFonts w:ascii="Avenir Next" w:hAnsi="Avenir Next" w:cs="Arial"/>
          <w:color w:val="808080" w:themeColor="background1" w:themeShade="80"/>
          <w:sz w:val="22"/>
          <w:szCs w:val="22"/>
          <w:lang w:val="en-GB"/>
        </w:rPr>
        <w:t xml:space="preserve">key </w:t>
      </w:r>
      <w:r w:rsidR="004C4790">
        <w:rPr>
          <w:rFonts w:ascii="Avenir Next" w:hAnsi="Avenir Next" w:cs="Arial"/>
          <w:color w:val="808080" w:themeColor="background1" w:themeShade="80"/>
          <w:sz w:val="22"/>
          <w:szCs w:val="22"/>
          <w:lang w:val="en-GB"/>
        </w:rPr>
        <w:t>provision</w:t>
      </w:r>
      <w:r w:rsidR="00131EAD">
        <w:rPr>
          <w:rFonts w:ascii="Avenir Next" w:hAnsi="Avenir Next" w:cs="Arial"/>
          <w:color w:val="808080" w:themeColor="background1" w:themeShade="80"/>
          <w:sz w:val="22"/>
          <w:szCs w:val="22"/>
          <w:lang w:val="en-GB"/>
        </w:rPr>
        <w:t>s</w:t>
      </w:r>
      <w:r w:rsidR="004C4790">
        <w:rPr>
          <w:rFonts w:ascii="Avenir Next" w:hAnsi="Avenir Next" w:cs="Arial"/>
          <w:color w:val="808080" w:themeColor="background1" w:themeShade="80"/>
          <w:sz w:val="22"/>
          <w:szCs w:val="22"/>
          <w:lang w:val="en-GB"/>
        </w:rPr>
        <w:t xml:space="preserve"> concerning recognition can be found at </w:t>
      </w:r>
      <w:r w:rsidR="00131EAD">
        <w:rPr>
          <w:rFonts w:ascii="Avenir Next" w:hAnsi="Avenir Next" w:cs="Arial"/>
          <w:color w:val="808080" w:themeColor="background1" w:themeShade="80"/>
          <w:sz w:val="22"/>
          <w:szCs w:val="22"/>
          <w:lang w:val="en-GB"/>
        </w:rPr>
        <w:t>Articles 15</w:t>
      </w:r>
      <w:r w:rsidR="0009651D">
        <w:rPr>
          <w:rFonts w:ascii="Avenir Next" w:hAnsi="Avenir Next" w:cs="Arial"/>
          <w:color w:val="808080" w:themeColor="background1" w:themeShade="80"/>
          <w:sz w:val="22"/>
          <w:szCs w:val="22"/>
          <w:lang w:val="en-GB"/>
        </w:rPr>
        <w:t xml:space="preserve"> to 21</w:t>
      </w:r>
      <w:r w:rsidR="00131EAD">
        <w:rPr>
          <w:rFonts w:ascii="Avenir Next" w:hAnsi="Avenir Next" w:cs="Arial"/>
          <w:color w:val="808080" w:themeColor="background1" w:themeShade="80"/>
          <w:sz w:val="22"/>
          <w:szCs w:val="22"/>
          <w:lang w:val="en-GB"/>
        </w:rPr>
        <w:t xml:space="preserve"> of </w:t>
      </w:r>
      <w:r w:rsidR="004C4790">
        <w:rPr>
          <w:rFonts w:ascii="Avenir Next" w:hAnsi="Avenir Next" w:cs="Arial"/>
          <w:color w:val="808080" w:themeColor="background1" w:themeShade="80"/>
          <w:sz w:val="22"/>
          <w:szCs w:val="22"/>
          <w:lang w:val="en-GB"/>
        </w:rPr>
        <w:t>Schedule 1 of the CBIR 2006</w:t>
      </w:r>
      <w:r w:rsidR="00131EAD">
        <w:rPr>
          <w:rFonts w:ascii="Avenir Next" w:hAnsi="Avenir Next" w:cs="Arial"/>
          <w:color w:val="808080" w:themeColor="background1" w:themeShade="80"/>
          <w:sz w:val="22"/>
          <w:szCs w:val="22"/>
          <w:lang w:val="en-GB"/>
        </w:rPr>
        <w:t>.</w:t>
      </w:r>
    </w:p>
    <w:p w14:paraId="38D7495E" w14:textId="77777777" w:rsidR="007C79DA" w:rsidRDefault="007C79DA" w:rsidP="00DB5A5A">
      <w:pPr>
        <w:jc w:val="both"/>
        <w:rPr>
          <w:rFonts w:ascii="Avenir Next" w:hAnsi="Avenir Next" w:cs="Arial"/>
          <w:color w:val="808080" w:themeColor="background1" w:themeShade="80"/>
          <w:sz w:val="22"/>
          <w:szCs w:val="22"/>
          <w:lang w:val="en-GB"/>
        </w:rPr>
      </w:pPr>
    </w:p>
    <w:p w14:paraId="78D68872" w14:textId="4CE89DB0" w:rsidR="007C79DA" w:rsidRDefault="00D72993"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w:t>
      </w:r>
      <w:r>
        <w:rPr>
          <w:rFonts w:ascii="Avenir Next" w:hAnsi="Avenir Next" w:cs="Arial"/>
          <w:color w:val="808080" w:themeColor="background1" w:themeShade="80"/>
          <w:sz w:val="22"/>
          <w:szCs w:val="22"/>
          <w:lang w:val="en-GB"/>
        </w:rPr>
        <w:t>insolvent estate representative should</w:t>
      </w:r>
      <w:r>
        <w:rPr>
          <w:rFonts w:ascii="Avenir Next" w:hAnsi="Avenir Next" w:cs="Arial"/>
          <w:color w:val="808080" w:themeColor="background1" w:themeShade="80"/>
          <w:sz w:val="22"/>
          <w:szCs w:val="22"/>
          <w:lang w:val="en-GB"/>
        </w:rPr>
        <w:t xml:space="preserve"> also refer to the UK’s Insolvency Act 1986</w:t>
      </w:r>
      <w:r w:rsidR="006F309E">
        <w:rPr>
          <w:rFonts w:ascii="Avenir Next" w:hAnsi="Avenir Next" w:cs="Arial"/>
          <w:color w:val="808080" w:themeColor="background1" w:themeShade="80"/>
          <w:sz w:val="22"/>
          <w:szCs w:val="22"/>
          <w:lang w:val="en-GB"/>
        </w:rPr>
        <w:t xml:space="preserve">, which is the UK’s </w:t>
      </w:r>
      <w:r w:rsidR="0033455B">
        <w:rPr>
          <w:rFonts w:ascii="Avenir Next" w:hAnsi="Avenir Next" w:cs="Arial"/>
          <w:color w:val="808080" w:themeColor="background1" w:themeShade="80"/>
          <w:sz w:val="22"/>
          <w:szCs w:val="22"/>
          <w:lang w:val="en-GB"/>
        </w:rPr>
        <w:t xml:space="preserve">unified insolvency legislation that deal with corporate insolvency, including </w:t>
      </w:r>
      <w:r w:rsidR="001141E1">
        <w:rPr>
          <w:rFonts w:ascii="Avenir Next" w:hAnsi="Avenir Next" w:cs="Arial"/>
          <w:color w:val="808080" w:themeColor="background1" w:themeShade="80"/>
          <w:sz w:val="22"/>
          <w:szCs w:val="22"/>
          <w:lang w:val="en-GB"/>
        </w:rPr>
        <w:t>cross-border issues</w:t>
      </w:r>
      <w:r w:rsidR="001E269C">
        <w:rPr>
          <w:rFonts w:ascii="Avenir Next" w:hAnsi="Avenir Next" w:cs="Arial"/>
          <w:color w:val="808080" w:themeColor="background1" w:themeShade="80"/>
          <w:sz w:val="22"/>
          <w:szCs w:val="22"/>
          <w:lang w:val="en-GB"/>
        </w:rPr>
        <w:t xml:space="preserve"> (</w:t>
      </w:r>
      <w:proofErr w:type="gramStart"/>
      <w:r w:rsidR="001E269C">
        <w:rPr>
          <w:rFonts w:ascii="Avenir Next" w:hAnsi="Avenir Next" w:cs="Arial"/>
          <w:color w:val="808080" w:themeColor="background1" w:themeShade="80"/>
          <w:sz w:val="22"/>
          <w:szCs w:val="22"/>
          <w:lang w:val="en-GB"/>
        </w:rPr>
        <w:t>e.g.</w:t>
      </w:r>
      <w:proofErr w:type="gramEnd"/>
      <w:r w:rsidR="001E269C">
        <w:rPr>
          <w:rFonts w:ascii="Avenir Next" w:hAnsi="Avenir Next" w:cs="Arial"/>
          <w:color w:val="808080" w:themeColor="background1" w:themeShade="80"/>
          <w:sz w:val="22"/>
          <w:szCs w:val="22"/>
          <w:lang w:val="en-GB"/>
        </w:rPr>
        <w:t xml:space="preserve"> section 426).</w:t>
      </w:r>
      <w:r w:rsidR="00CF7281">
        <w:rPr>
          <w:rFonts w:ascii="Avenir Next" w:hAnsi="Avenir Next" w:cs="Arial"/>
          <w:color w:val="808080" w:themeColor="background1" w:themeShade="80"/>
          <w:sz w:val="22"/>
          <w:szCs w:val="22"/>
          <w:lang w:val="en-GB"/>
        </w:rPr>
        <w:t xml:space="preserve"> </w:t>
      </w:r>
    </w:p>
    <w:p w14:paraId="23D1A394" w14:textId="77777777" w:rsidR="00A51DE1" w:rsidRDefault="00A51DE1" w:rsidP="00DB5A5A">
      <w:pPr>
        <w:jc w:val="both"/>
        <w:rPr>
          <w:rFonts w:ascii="Avenir Next" w:hAnsi="Avenir Next" w:cs="Arial"/>
          <w:color w:val="808080" w:themeColor="background1" w:themeShade="80"/>
          <w:sz w:val="22"/>
          <w:szCs w:val="22"/>
          <w:lang w:val="en-GB"/>
        </w:rPr>
      </w:pPr>
    </w:p>
    <w:p w14:paraId="445070F4" w14:textId="454997DF" w:rsidR="00811B23" w:rsidRDefault="000E66D2"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insolvent estate representative should also refer to case law interpreting the provisions of the CBIR 2006. This is because England is a common law jurisdiction and </w:t>
      </w:r>
      <w:r w:rsidR="00C458F5">
        <w:rPr>
          <w:rFonts w:ascii="Avenir Next" w:hAnsi="Avenir Next" w:cs="Arial"/>
          <w:color w:val="808080" w:themeColor="background1" w:themeShade="80"/>
          <w:sz w:val="22"/>
          <w:szCs w:val="22"/>
          <w:lang w:val="en-GB"/>
        </w:rPr>
        <w:t xml:space="preserve">English cases are therefore binding and would be useful in assisting the American insolvent estate representative understand </w:t>
      </w:r>
      <w:r w:rsidR="008B00AA">
        <w:rPr>
          <w:rFonts w:ascii="Avenir Next" w:hAnsi="Avenir Next" w:cs="Arial"/>
          <w:color w:val="808080" w:themeColor="background1" w:themeShade="80"/>
          <w:sz w:val="22"/>
          <w:szCs w:val="22"/>
          <w:lang w:val="en-GB"/>
        </w:rPr>
        <w:t xml:space="preserve">how the English Court have dealt with past cases </w:t>
      </w:r>
      <w:r w:rsidR="00811B23">
        <w:rPr>
          <w:rFonts w:ascii="Avenir Next" w:hAnsi="Avenir Next" w:cs="Arial"/>
          <w:color w:val="808080" w:themeColor="background1" w:themeShade="80"/>
          <w:sz w:val="22"/>
          <w:szCs w:val="22"/>
          <w:lang w:val="en-GB"/>
        </w:rPr>
        <w:t xml:space="preserve">and issues relating to the </w:t>
      </w:r>
      <w:r w:rsidR="008B00AA">
        <w:rPr>
          <w:rFonts w:ascii="Avenir Next" w:hAnsi="Avenir Next" w:cs="Arial"/>
          <w:color w:val="808080" w:themeColor="background1" w:themeShade="80"/>
          <w:sz w:val="22"/>
          <w:szCs w:val="22"/>
          <w:lang w:val="en-GB"/>
        </w:rPr>
        <w:t>recognition of foreign insolvency proceedings.</w:t>
      </w:r>
    </w:p>
    <w:p w14:paraId="53B6A963" w14:textId="77777777" w:rsidR="006D2891" w:rsidRDefault="006D2891" w:rsidP="00DB5A5A">
      <w:pPr>
        <w:jc w:val="both"/>
        <w:rPr>
          <w:rFonts w:ascii="Avenir Next" w:hAnsi="Avenir Next" w:cs="Arial"/>
          <w:color w:val="808080" w:themeColor="background1" w:themeShade="80"/>
          <w:sz w:val="22"/>
          <w:szCs w:val="22"/>
          <w:lang w:val="en-GB"/>
        </w:rPr>
      </w:pPr>
    </w:p>
    <w:p w14:paraId="3E41549B" w14:textId="34123A31" w:rsidR="008F2818" w:rsidRDefault="00F60C52" w:rsidP="007261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6D2891">
        <w:rPr>
          <w:rFonts w:ascii="Avenir Next" w:hAnsi="Avenir Next" w:cs="Arial"/>
          <w:color w:val="808080" w:themeColor="background1" w:themeShade="80"/>
          <w:sz w:val="22"/>
          <w:szCs w:val="22"/>
          <w:lang w:val="en-GB"/>
        </w:rPr>
        <w:t xml:space="preserve"> key issue that the American insolvent estate representative would need to gather from English case law is </w:t>
      </w:r>
      <w:r w:rsidR="00235341">
        <w:rPr>
          <w:rFonts w:ascii="Avenir Next" w:hAnsi="Avenir Next" w:cs="Arial"/>
          <w:color w:val="808080" w:themeColor="background1" w:themeShade="80"/>
          <w:sz w:val="22"/>
          <w:szCs w:val="22"/>
          <w:lang w:val="en-GB"/>
        </w:rPr>
        <w:t xml:space="preserve">the requirements </w:t>
      </w:r>
      <w:r w:rsidR="003E4DCA">
        <w:rPr>
          <w:rFonts w:ascii="Avenir Next" w:hAnsi="Avenir Next" w:cs="Arial"/>
          <w:color w:val="808080" w:themeColor="background1" w:themeShade="80"/>
          <w:sz w:val="22"/>
          <w:szCs w:val="22"/>
          <w:lang w:val="en-GB"/>
        </w:rPr>
        <w:t xml:space="preserve">that need to be fulfilled before the English Courts would </w:t>
      </w:r>
      <w:r w:rsidR="00703A33">
        <w:rPr>
          <w:rFonts w:ascii="Avenir Next" w:hAnsi="Avenir Next" w:cs="Arial"/>
          <w:color w:val="808080" w:themeColor="background1" w:themeShade="80"/>
          <w:sz w:val="22"/>
          <w:szCs w:val="22"/>
          <w:lang w:val="en-GB"/>
        </w:rPr>
        <w:t>confer upon the</w:t>
      </w:r>
      <w:r w:rsidR="00947DB4">
        <w:rPr>
          <w:rFonts w:ascii="Avenir Next" w:hAnsi="Avenir Next" w:cs="Arial"/>
          <w:color w:val="808080" w:themeColor="background1" w:themeShade="80"/>
          <w:sz w:val="22"/>
          <w:szCs w:val="22"/>
          <w:lang w:val="en-GB"/>
        </w:rPr>
        <w:t xml:space="preserve"> American insolvent estate representative the right to deal with the assets of the Norton Cars Inc</w:t>
      </w:r>
      <w:r w:rsidR="00A36C9D">
        <w:rPr>
          <w:rFonts w:ascii="Avenir Next" w:hAnsi="Avenir Next" w:cs="Arial"/>
          <w:color w:val="808080" w:themeColor="background1" w:themeShade="80"/>
          <w:sz w:val="22"/>
          <w:szCs w:val="22"/>
          <w:lang w:val="en-GB"/>
        </w:rPr>
        <w:t xml:space="preserve"> in England</w:t>
      </w:r>
      <w:r w:rsidR="00947DB4">
        <w:rPr>
          <w:rFonts w:ascii="Avenir Next" w:hAnsi="Avenir Next" w:cs="Arial"/>
          <w:color w:val="808080" w:themeColor="background1" w:themeShade="80"/>
          <w:sz w:val="22"/>
          <w:szCs w:val="22"/>
          <w:lang w:val="en-GB"/>
        </w:rPr>
        <w:t xml:space="preserve">. </w:t>
      </w:r>
      <w:r w:rsidR="008F2818">
        <w:rPr>
          <w:rFonts w:ascii="Avenir Next" w:hAnsi="Avenir Next" w:cs="Arial"/>
          <w:color w:val="808080" w:themeColor="background1" w:themeShade="80"/>
          <w:sz w:val="22"/>
          <w:szCs w:val="22"/>
          <w:lang w:val="en-GB"/>
        </w:rPr>
        <w:t xml:space="preserve">This is especially since such right is not automatically conferred upon a successfully </w:t>
      </w:r>
      <w:proofErr w:type="gramStart"/>
      <w:r w:rsidR="008F2818">
        <w:rPr>
          <w:rFonts w:ascii="Avenir Next" w:hAnsi="Avenir Next" w:cs="Arial"/>
          <w:color w:val="808080" w:themeColor="background1" w:themeShade="80"/>
          <w:sz w:val="22"/>
          <w:szCs w:val="22"/>
          <w:lang w:val="en-GB"/>
        </w:rPr>
        <w:t>recognition, but</w:t>
      </w:r>
      <w:proofErr w:type="gramEnd"/>
      <w:r w:rsidR="008F2818">
        <w:rPr>
          <w:rFonts w:ascii="Avenir Next" w:hAnsi="Avenir Next" w:cs="Arial"/>
          <w:color w:val="808080" w:themeColor="background1" w:themeShade="80"/>
          <w:sz w:val="22"/>
          <w:szCs w:val="22"/>
          <w:lang w:val="en-GB"/>
        </w:rPr>
        <w:t xml:space="preserve"> is discretionary </w:t>
      </w:r>
      <w:r w:rsidR="005A7CFC">
        <w:rPr>
          <w:rFonts w:ascii="Avenir Next" w:hAnsi="Avenir Next" w:cs="Arial"/>
          <w:color w:val="808080" w:themeColor="background1" w:themeShade="80"/>
          <w:sz w:val="22"/>
          <w:szCs w:val="22"/>
          <w:lang w:val="en-GB"/>
        </w:rPr>
        <w:t>pursuant to Article 21(1) of Schedule 1 of the CBIR 2006.</w:t>
      </w:r>
    </w:p>
    <w:p w14:paraId="11061A4E" w14:textId="77777777" w:rsidR="00F60C52" w:rsidRDefault="00F60C52" w:rsidP="00726192">
      <w:pPr>
        <w:jc w:val="both"/>
        <w:rPr>
          <w:rFonts w:ascii="Avenir Next" w:hAnsi="Avenir Next" w:cs="Arial"/>
          <w:color w:val="808080" w:themeColor="background1" w:themeShade="80"/>
          <w:sz w:val="22"/>
          <w:szCs w:val="22"/>
          <w:lang w:val="en-GB"/>
        </w:rPr>
      </w:pPr>
    </w:p>
    <w:p w14:paraId="75E78F15" w14:textId="063900B8" w:rsidR="004E1D03" w:rsidRPr="00BD7967" w:rsidRDefault="00F60C5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source </w:t>
      </w:r>
      <w:r w:rsidR="00111757">
        <w:rPr>
          <w:rFonts w:ascii="Avenir Next" w:hAnsi="Avenir Next" w:cs="Arial"/>
          <w:color w:val="808080" w:themeColor="background1" w:themeShade="80"/>
          <w:sz w:val="22"/>
          <w:szCs w:val="22"/>
          <w:lang w:val="en-GB"/>
        </w:rPr>
        <w:t xml:space="preserve">of law </w:t>
      </w:r>
      <w:r>
        <w:rPr>
          <w:rFonts w:ascii="Avenir Next" w:hAnsi="Avenir Next" w:cs="Arial"/>
          <w:color w:val="808080" w:themeColor="background1" w:themeShade="80"/>
          <w:sz w:val="22"/>
          <w:szCs w:val="22"/>
          <w:lang w:val="en-GB"/>
        </w:rPr>
        <w:t>that the American insolvent estate representative</w:t>
      </w:r>
      <w:r w:rsidR="00133BCA">
        <w:rPr>
          <w:rFonts w:ascii="Avenir Next" w:hAnsi="Avenir Next" w:cs="Arial"/>
          <w:color w:val="808080" w:themeColor="background1" w:themeShade="80"/>
          <w:sz w:val="22"/>
          <w:szCs w:val="22"/>
          <w:lang w:val="en-GB"/>
        </w:rPr>
        <w:t xml:space="preserve"> should refer to </w:t>
      </w:r>
      <w:r w:rsidR="00111757">
        <w:rPr>
          <w:rFonts w:ascii="Avenir Next" w:hAnsi="Avenir Next" w:cs="Arial"/>
          <w:color w:val="808080" w:themeColor="background1" w:themeShade="80"/>
          <w:sz w:val="22"/>
          <w:szCs w:val="22"/>
          <w:lang w:val="en-GB"/>
        </w:rPr>
        <w:t>is</w:t>
      </w:r>
      <w:r w:rsidR="00001323">
        <w:rPr>
          <w:rFonts w:ascii="Avenir Next" w:hAnsi="Avenir Next" w:cs="Arial"/>
          <w:color w:val="808080" w:themeColor="background1" w:themeShade="80"/>
          <w:sz w:val="22"/>
          <w:szCs w:val="22"/>
          <w:lang w:val="en-GB"/>
        </w:rPr>
        <w:t xml:space="preserve"> the </w:t>
      </w:r>
      <w:r w:rsidR="00CE3278">
        <w:rPr>
          <w:rFonts w:ascii="Avenir Next" w:hAnsi="Avenir Next" w:cs="Arial"/>
          <w:color w:val="808080" w:themeColor="background1" w:themeShade="80"/>
          <w:sz w:val="22"/>
          <w:szCs w:val="22"/>
          <w:lang w:val="en-GB"/>
        </w:rPr>
        <w:t>“</w:t>
      </w:r>
      <w:r w:rsidR="00001323" w:rsidRPr="00CE3278">
        <w:rPr>
          <w:rFonts w:ascii="Avenir Next" w:hAnsi="Avenir Next" w:cs="Arial"/>
          <w:i/>
          <w:iCs/>
          <w:color w:val="808080" w:themeColor="background1" w:themeShade="80"/>
          <w:sz w:val="22"/>
          <w:szCs w:val="22"/>
          <w:lang w:val="en-GB"/>
        </w:rPr>
        <w:t>Legislative Guide to the UNCITRAL Insolvency Model Law</w:t>
      </w:r>
      <w:r w:rsidR="00CE3278">
        <w:rPr>
          <w:rFonts w:ascii="Avenir Next" w:hAnsi="Avenir Next" w:cs="Arial"/>
          <w:color w:val="808080" w:themeColor="background1" w:themeShade="80"/>
          <w:sz w:val="22"/>
          <w:szCs w:val="22"/>
          <w:lang w:val="en-GB"/>
        </w:rPr>
        <w:t xml:space="preserve">”. Although </w:t>
      </w:r>
      <w:r w:rsidR="007F6A14">
        <w:rPr>
          <w:rFonts w:ascii="Avenir Next" w:hAnsi="Avenir Next" w:cs="Arial"/>
          <w:color w:val="808080" w:themeColor="background1" w:themeShade="80"/>
          <w:sz w:val="22"/>
          <w:szCs w:val="22"/>
          <w:lang w:val="en-GB"/>
        </w:rPr>
        <w:t xml:space="preserve">the Legislative Guide </w:t>
      </w:r>
      <w:r w:rsidR="00CE3278">
        <w:rPr>
          <w:rFonts w:ascii="Avenir Next" w:hAnsi="Avenir Next" w:cs="Arial"/>
          <w:color w:val="808080" w:themeColor="background1" w:themeShade="80"/>
          <w:sz w:val="22"/>
          <w:szCs w:val="22"/>
          <w:lang w:val="en-GB"/>
        </w:rPr>
        <w:t xml:space="preserve">might not have binding effect in England, </w:t>
      </w:r>
      <w:r w:rsidR="002D1B2C">
        <w:rPr>
          <w:rFonts w:ascii="Avenir Next" w:hAnsi="Avenir Next" w:cs="Arial"/>
          <w:color w:val="808080" w:themeColor="background1" w:themeShade="80"/>
          <w:sz w:val="22"/>
          <w:szCs w:val="22"/>
          <w:lang w:val="en-GB"/>
        </w:rPr>
        <w:t xml:space="preserve">it is </w:t>
      </w:r>
      <w:r w:rsidR="005819C4">
        <w:rPr>
          <w:rFonts w:ascii="Avenir Next" w:hAnsi="Avenir Next" w:cs="Arial"/>
          <w:color w:val="808080" w:themeColor="background1" w:themeShade="80"/>
          <w:sz w:val="22"/>
          <w:szCs w:val="22"/>
          <w:lang w:val="en-GB"/>
        </w:rPr>
        <w:t>likely to</w:t>
      </w:r>
      <w:r w:rsidR="00CE3278">
        <w:rPr>
          <w:rFonts w:ascii="Avenir Next" w:hAnsi="Avenir Next" w:cs="Arial"/>
          <w:color w:val="808080" w:themeColor="background1" w:themeShade="80"/>
          <w:sz w:val="22"/>
          <w:szCs w:val="22"/>
          <w:lang w:val="en-GB"/>
        </w:rPr>
        <w:t xml:space="preserve"> be persuasive to the English Cou</w:t>
      </w:r>
      <w:r w:rsidR="0054079C">
        <w:rPr>
          <w:rFonts w:ascii="Avenir Next" w:hAnsi="Avenir Next" w:cs="Arial"/>
          <w:color w:val="808080" w:themeColor="background1" w:themeShade="80"/>
          <w:sz w:val="22"/>
          <w:szCs w:val="22"/>
          <w:lang w:val="en-GB"/>
        </w:rPr>
        <w:t xml:space="preserve">rt especially since </w:t>
      </w:r>
      <w:r w:rsidR="00CC3201">
        <w:rPr>
          <w:rFonts w:ascii="Avenir Next" w:hAnsi="Avenir Next" w:cs="Arial"/>
          <w:color w:val="808080" w:themeColor="background1" w:themeShade="80"/>
          <w:sz w:val="22"/>
          <w:szCs w:val="22"/>
          <w:lang w:val="en-GB"/>
        </w:rPr>
        <w:t>it is an</w:t>
      </w:r>
      <w:r w:rsidR="0054079C">
        <w:rPr>
          <w:rFonts w:ascii="Avenir Next" w:hAnsi="Avenir Next" w:cs="Arial"/>
          <w:color w:val="808080" w:themeColor="background1" w:themeShade="80"/>
          <w:sz w:val="22"/>
          <w:szCs w:val="22"/>
          <w:lang w:val="en-GB"/>
        </w:rPr>
        <w:t xml:space="preserve"> </w:t>
      </w:r>
      <w:proofErr w:type="gramStart"/>
      <w:r w:rsidR="0054079C">
        <w:rPr>
          <w:rFonts w:ascii="Avenir Next" w:hAnsi="Avenir Next" w:cs="Arial"/>
          <w:color w:val="808080" w:themeColor="background1" w:themeShade="80"/>
          <w:sz w:val="22"/>
          <w:szCs w:val="22"/>
          <w:lang w:val="en-GB"/>
        </w:rPr>
        <w:t>official documents</w:t>
      </w:r>
      <w:proofErr w:type="gramEnd"/>
      <w:r w:rsidR="0054079C">
        <w:rPr>
          <w:rFonts w:ascii="Avenir Next" w:hAnsi="Avenir Next" w:cs="Arial"/>
          <w:color w:val="808080" w:themeColor="background1" w:themeShade="80"/>
          <w:sz w:val="22"/>
          <w:szCs w:val="22"/>
          <w:lang w:val="en-GB"/>
        </w:rPr>
        <w:t xml:space="preserve"> prepared by UNCITRAL</w:t>
      </w:r>
      <w:r w:rsidR="005819C4">
        <w:rPr>
          <w:rFonts w:ascii="Avenir Next" w:hAnsi="Avenir Next" w:cs="Arial"/>
          <w:color w:val="808080" w:themeColor="background1" w:themeShade="80"/>
          <w:sz w:val="22"/>
          <w:szCs w:val="22"/>
          <w:lang w:val="en-GB"/>
        </w:rPr>
        <w:t>.</w:t>
      </w:r>
    </w:p>
    <w:p w14:paraId="0B089D1A" w14:textId="77777777" w:rsidR="00F60C52" w:rsidRPr="00816D7F" w:rsidRDefault="00F60C52" w:rsidP="00692852">
      <w:pPr>
        <w:jc w:val="both"/>
        <w:rPr>
          <w:rFonts w:ascii="Avenir Next" w:hAnsi="Avenir Next" w:cs="Arial"/>
          <w:sz w:val="22"/>
          <w:szCs w:val="22"/>
          <w:lang w:val="en-GB"/>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35BF39D4" w:rsidR="002253D8" w:rsidRDefault="005E516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Key legal sources that should be used in a cross-border insolvency matter between Italy and Germany include </w:t>
      </w:r>
      <w:r w:rsidR="00DA3C12">
        <w:rPr>
          <w:rFonts w:ascii="Avenir Next" w:hAnsi="Avenir Next" w:cs="Arial"/>
          <w:color w:val="808080" w:themeColor="background1" w:themeShade="80"/>
          <w:sz w:val="22"/>
          <w:szCs w:val="22"/>
          <w:lang w:val="en-GB"/>
        </w:rPr>
        <w:t>the “</w:t>
      </w:r>
      <w:r w:rsidR="00DA3C12" w:rsidRPr="00DA3C12">
        <w:rPr>
          <w:rFonts w:ascii="Avenir Next" w:hAnsi="Avenir Next" w:cs="Arial"/>
          <w:i/>
          <w:iCs/>
          <w:color w:val="808080" w:themeColor="background1" w:themeShade="80"/>
          <w:sz w:val="22"/>
          <w:szCs w:val="22"/>
          <w:lang w:val="en-GB"/>
        </w:rPr>
        <w:t>European Union’s Regulation (EU) 2015/848 of the European Parliament</w:t>
      </w:r>
      <w:r w:rsidR="00DA3C12">
        <w:rPr>
          <w:rFonts w:ascii="Avenir Next" w:hAnsi="Avenir Next" w:cs="Arial"/>
          <w:color w:val="808080" w:themeColor="background1" w:themeShade="80"/>
          <w:sz w:val="22"/>
          <w:szCs w:val="22"/>
          <w:lang w:val="en-GB"/>
        </w:rPr>
        <w:t xml:space="preserve">” as well as the </w:t>
      </w:r>
      <w:r w:rsidR="00002050">
        <w:rPr>
          <w:rFonts w:ascii="Avenir Next" w:hAnsi="Avenir Next" w:cs="Arial"/>
          <w:color w:val="808080" w:themeColor="background1" w:themeShade="80"/>
          <w:sz w:val="22"/>
          <w:szCs w:val="22"/>
          <w:lang w:val="en-GB"/>
        </w:rPr>
        <w:t>“</w:t>
      </w:r>
      <w:r w:rsidR="00002050">
        <w:rPr>
          <w:rFonts w:ascii="Avenir Next" w:hAnsi="Avenir Next" w:cs="Arial"/>
          <w:i/>
          <w:iCs/>
          <w:color w:val="808080" w:themeColor="background1" w:themeShade="80"/>
          <w:sz w:val="22"/>
          <w:szCs w:val="22"/>
          <w:lang w:val="en-GB"/>
        </w:rPr>
        <w:t>Council of 20 May 2015 on Insolvency Proceedings (Recast) (</w:t>
      </w:r>
      <w:r w:rsidR="00920978">
        <w:rPr>
          <w:rFonts w:ascii="Avenir Next" w:hAnsi="Avenir Next" w:cs="Arial"/>
          <w:i/>
          <w:iCs/>
          <w:color w:val="808080" w:themeColor="background1" w:themeShade="80"/>
          <w:sz w:val="22"/>
          <w:szCs w:val="22"/>
          <w:lang w:val="en-GB"/>
        </w:rPr>
        <w:t>“</w:t>
      </w:r>
      <w:r w:rsidR="00002050" w:rsidRPr="00920978">
        <w:rPr>
          <w:rFonts w:ascii="Avenir Next" w:hAnsi="Avenir Next" w:cs="Arial"/>
          <w:b/>
          <w:bCs/>
          <w:i/>
          <w:iCs/>
          <w:color w:val="808080" w:themeColor="background1" w:themeShade="80"/>
          <w:sz w:val="22"/>
          <w:szCs w:val="22"/>
          <w:lang w:val="en-GB"/>
        </w:rPr>
        <w:t>EIR Recast</w:t>
      </w:r>
      <w:r w:rsidR="00920978">
        <w:rPr>
          <w:rFonts w:ascii="Avenir Next" w:hAnsi="Avenir Next" w:cs="Arial"/>
          <w:i/>
          <w:iCs/>
          <w:color w:val="808080" w:themeColor="background1" w:themeShade="80"/>
          <w:sz w:val="22"/>
          <w:szCs w:val="22"/>
          <w:lang w:val="en-GB"/>
        </w:rPr>
        <w:t>”</w:t>
      </w:r>
      <w:r w:rsidR="00002050">
        <w:rPr>
          <w:rFonts w:ascii="Avenir Next" w:hAnsi="Avenir Next" w:cs="Arial"/>
          <w:i/>
          <w:iCs/>
          <w:color w:val="808080" w:themeColor="background1" w:themeShade="80"/>
          <w:sz w:val="22"/>
          <w:szCs w:val="22"/>
          <w:lang w:val="en-GB"/>
        </w:rPr>
        <w:t>)</w:t>
      </w:r>
      <w:r w:rsidR="00002050">
        <w:rPr>
          <w:rFonts w:ascii="Avenir Next" w:hAnsi="Avenir Next" w:cs="Arial"/>
          <w:color w:val="808080" w:themeColor="background1" w:themeShade="80"/>
          <w:sz w:val="22"/>
          <w:szCs w:val="22"/>
          <w:lang w:val="en-GB"/>
        </w:rPr>
        <w:t>”</w:t>
      </w:r>
      <w:r w:rsidR="00F72C34">
        <w:rPr>
          <w:rFonts w:ascii="Avenir Next" w:hAnsi="Avenir Next" w:cs="Arial"/>
          <w:color w:val="808080" w:themeColor="background1" w:themeShade="80"/>
          <w:sz w:val="22"/>
          <w:szCs w:val="22"/>
          <w:lang w:val="en-GB"/>
        </w:rPr>
        <w:t xml:space="preserve"> as amended by Regulation 2021/2260 of 15 December 2021</w:t>
      </w:r>
      <w:r w:rsidR="00002050">
        <w:rPr>
          <w:rFonts w:ascii="Avenir Next" w:hAnsi="Avenir Next" w:cs="Arial"/>
          <w:color w:val="808080" w:themeColor="background1" w:themeShade="80"/>
          <w:sz w:val="22"/>
          <w:szCs w:val="22"/>
          <w:lang w:val="en-GB"/>
        </w:rPr>
        <w:t xml:space="preserve">. These are the current multilateral instruments on international insolvencies in the European Union which </w:t>
      </w:r>
      <w:r w:rsidR="00243FF6">
        <w:rPr>
          <w:rFonts w:ascii="Avenir Next" w:hAnsi="Avenir Next" w:cs="Arial"/>
          <w:color w:val="808080" w:themeColor="background1" w:themeShade="80"/>
          <w:sz w:val="22"/>
          <w:szCs w:val="22"/>
          <w:lang w:val="en-GB"/>
        </w:rPr>
        <w:t xml:space="preserve">were </w:t>
      </w:r>
      <w:r w:rsidR="003852FE">
        <w:rPr>
          <w:rFonts w:ascii="Avenir Next" w:hAnsi="Avenir Next" w:cs="Arial"/>
          <w:color w:val="808080" w:themeColor="background1" w:themeShade="80"/>
          <w:sz w:val="22"/>
          <w:szCs w:val="22"/>
          <w:lang w:val="en-GB"/>
        </w:rPr>
        <w:t xml:space="preserve">derived </w:t>
      </w:r>
      <w:r w:rsidR="00002050">
        <w:rPr>
          <w:rFonts w:ascii="Avenir Next" w:hAnsi="Avenir Next" w:cs="Arial"/>
          <w:color w:val="808080" w:themeColor="background1" w:themeShade="80"/>
          <w:sz w:val="22"/>
          <w:szCs w:val="22"/>
          <w:lang w:val="en-GB"/>
        </w:rPr>
        <w:t>from the European Insolvency Regulation (</w:t>
      </w:r>
      <w:r w:rsidR="00F32D82">
        <w:rPr>
          <w:rFonts w:ascii="Avenir Next" w:hAnsi="Avenir Next" w:cs="Arial"/>
          <w:color w:val="808080" w:themeColor="background1" w:themeShade="80"/>
          <w:sz w:val="22"/>
          <w:szCs w:val="22"/>
          <w:lang w:val="en-GB"/>
        </w:rPr>
        <w:t>“</w:t>
      </w:r>
      <w:r w:rsidR="00002050" w:rsidRPr="00F32D82">
        <w:rPr>
          <w:rFonts w:ascii="Avenir Next" w:hAnsi="Avenir Next" w:cs="Arial"/>
          <w:b/>
          <w:bCs/>
          <w:color w:val="808080" w:themeColor="background1" w:themeShade="80"/>
          <w:sz w:val="22"/>
          <w:szCs w:val="22"/>
          <w:lang w:val="en-GB"/>
        </w:rPr>
        <w:t>EIR</w:t>
      </w:r>
      <w:r w:rsidR="00F32D82">
        <w:rPr>
          <w:rFonts w:ascii="Avenir Next" w:hAnsi="Avenir Next" w:cs="Arial"/>
          <w:color w:val="808080" w:themeColor="background1" w:themeShade="80"/>
          <w:sz w:val="22"/>
          <w:szCs w:val="22"/>
          <w:lang w:val="en-GB"/>
        </w:rPr>
        <w:t>”</w:t>
      </w:r>
      <w:r w:rsidR="00002050">
        <w:rPr>
          <w:rFonts w:ascii="Avenir Next" w:hAnsi="Avenir Next" w:cs="Arial"/>
          <w:color w:val="808080" w:themeColor="background1" w:themeShade="80"/>
          <w:sz w:val="22"/>
          <w:szCs w:val="22"/>
          <w:lang w:val="en-GB"/>
        </w:rPr>
        <w:t>) (2000).</w:t>
      </w:r>
    </w:p>
    <w:p w14:paraId="64D1CE98" w14:textId="77777777" w:rsidR="00315F05" w:rsidRDefault="00315F05" w:rsidP="002253D8">
      <w:pPr>
        <w:jc w:val="both"/>
        <w:rPr>
          <w:rFonts w:ascii="Avenir Next" w:hAnsi="Avenir Next" w:cs="Arial"/>
          <w:color w:val="808080" w:themeColor="background1" w:themeShade="80"/>
          <w:sz w:val="22"/>
          <w:szCs w:val="22"/>
          <w:lang w:val="en-GB"/>
        </w:rPr>
      </w:pPr>
    </w:p>
    <w:p w14:paraId="042CA44B" w14:textId="60D36AB3" w:rsidR="00315F05" w:rsidRPr="00910C2B" w:rsidRDefault="007C602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country that the main proceeding should be opened is that of Italy</w:t>
      </w:r>
      <w:r w:rsidR="00B5078D">
        <w:rPr>
          <w:rFonts w:ascii="Avenir Next" w:hAnsi="Avenir Next" w:cs="Arial"/>
          <w:color w:val="808080" w:themeColor="background1" w:themeShade="80"/>
          <w:sz w:val="22"/>
          <w:szCs w:val="22"/>
          <w:lang w:val="en-GB"/>
        </w:rPr>
        <w:t xml:space="preserve"> </w:t>
      </w:r>
      <w:r w:rsidR="00124E75">
        <w:rPr>
          <w:rFonts w:ascii="Avenir Next" w:hAnsi="Avenir Next" w:cs="Arial"/>
          <w:color w:val="808080" w:themeColor="background1" w:themeShade="80"/>
          <w:sz w:val="22"/>
          <w:szCs w:val="22"/>
          <w:lang w:val="en-GB"/>
        </w:rPr>
        <w:t xml:space="preserve">because the </w:t>
      </w:r>
      <w:r w:rsidR="00F32D82">
        <w:rPr>
          <w:rFonts w:ascii="Avenir Next" w:hAnsi="Avenir Next" w:cs="Arial"/>
          <w:color w:val="808080" w:themeColor="background1" w:themeShade="80"/>
          <w:sz w:val="22"/>
          <w:szCs w:val="22"/>
          <w:lang w:val="en-GB"/>
        </w:rPr>
        <w:t xml:space="preserve">EIR allocates </w:t>
      </w:r>
      <w:r w:rsidR="00903974">
        <w:rPr>
          <w:rFonts w:ascii="Avenir Next" w:hAnsi="Avenir Next" w:cs="Arial"/>
          <w:color w:val="808080" w:themeColor="background1" w:themeShade="80"/>
          <w:sz w:val="22"/>
          <w:szCs w:val="22"/>
          <w:lang w:val="en-GB"/>
        </w:rPr>
        <w:t xml:space="preserve">primary jurisdiction based on debtor’s </w:t>
      </w:r>
      <w:r w:rsidR="00853DBE">
        <w:rPr>
          <w:rFonts w:ascii="Avenir Next" w:hAnsi="Avenir Next" w:cs="Arial"/>
          <w:color w:val="808080" w:themeColor="background1" w:themeShade="80"/>
          <w:sz w:val="22"/>
          <w:szCs w:val="22"/>
          <w:lang w:val="en-GB"/>
        </w:rPr>
        <w:t xml:space="preserve">COMI, </w:t>
      </w:r>
      <w:r w:rsidR="00910C2B">
        <w:rPr>
          <w:rFonts w:ascii="Avenir Next" w:hAnsi="Avenir Next" w:cs="Arial"/>
          <w:color w:val="808080" w:themeColor="background1" w:themeShade="80"/>
          <w:sz w:val="22"/>
          <w:szCs w:val="22"/>
          <w:lang w:val="en-GB"/>
        </w:rPr>
        <w:t>where the insolvency proceedings there would be considered as the “</w:t>
      </w:r>
      <w:r w:rsidR="00910C2B">
        <w:rPr>
          <w:rFonts w:ascii="Avenir Next" w:hAnsi="Avenir Next" w:cs="Arial"/>
          <w:i/>
          <w:iCs/>
          <w:color w:val="808080" w:themeColor="background1" w:themeShade="80"/>
          <w:sz w:val="22"/>
          <w:szCs w:val="22"/>
          <w:lang w:val="en-GB"/>
        </w:rPr>
        <w:t>main proceedings</w:t>
      </w:r>
      <w:r w:rsidR="00910C2B">
        <w:rPr>
          <w:rFonts w:ascii="Avenir Next" w:hAnsi="Avenir Next" w:cs="Arial"/>
          <w:color w:val="808080" w:themeColor="background1" w:themeShade="80"/>
          <w:sz w:val="22"/>
          <w:szCs w:val="22"/>
          <w:lang w:val="en-GB"/>
        </w:rPr>
        <w:t>”.</w:t>
      </w:r>
      <w:r w:rsidR="001E19DD">
        <w:rPr>
          <w:rFonts w:ascii="Avenir Next" w:hAnsi="Avenir Next" w:cs="Arial"/>
          <w:color w:val="808080" w:themeColor="background1" w:themeShade="80"/>
          <w:sz w:val="22"/>
          <w:szCs w:val="22"/>
          <w:lang w:val="en-GB"/>
        </w:rPr>
        <w:t xml:space="preserve"> The applicable law would be Italian Law because </w:t>
      </w:r>
      <w:r w:rsidR="002872BC">
        <w:rPr>
          <w:rFonts w:ascii="Avenir Next" w:hAnsi="Avenir Next" w:cs="Arial"/>
          <w:color w:val="808080" w:themeColor="background1" w:themeShade="80"/>
          <w:sz w:val="22"/>
          <w:szCs w:val="22"/>
          <w:lang w:val="en-GB"/>
        </w:rPr>
        <w:t xml:space="preserve">Article 7.1 of </w:t>
      </w:r>
      <w:r w:rsidR="002872BC">
        <w:rPr>
          <w:rFonts w:ascii="Avenir Next" w:hAnsi="Avenir Next" w:cs="Arial"/>
          <w:color w:val="808080" w:themeColor="background1" w:themeShade="80"/>
          <w:sz w:val="22"/>
          <w:szCs w:val="22"/>
          <w:lang w:val="en-GB"/>
        </w:rPr>
        <w:lastRenderedPageBreak/>
        <w:t>the</w:t>
      </w:r>
      <w:r w:rsidR="001E19DD">
        <w:rPr>
          <w:rFonts w:ascii="Avenir Next" w:hAnsi="Avenir Next" w:cs="Arial"/>
          <w:color w:val="808080" w:themeColor="background1" w:themeShade="80"/>
          <w:sz w:val="22"/>
          <w:szCs w:val="22"/>
          <w:lang w:val="en-GB"/>
        </w:rPr>
        <w:t xml:space="preserve"> EIR Recast </w:t>
      </w:r>
      <w:r w:rsidR="00B52FCC">
        <w:rPr>
          <w:rFonts w:ascii="Avenir Next" w:hAnsi="Avenir Next" w:cs="Arial"/>
          <w:color w:val="808080" w:themeColor="background1" w:themeShade="80"/>
          <w:sz w:val="22"/>
          <w:szCs w:val="22"/>
          <w:lang w:val="en-GB"/>
        </w:rPr>
        <w:t>states that the law applicable to insolvency proceedings and their effects shall be that of the state of the opening of proceedings.</w:t>
      </w:r>
    </w:p>
    <w:p w14:paraId="0D3B1D18" w14:textId="77777777" w:rsidR="004E1D03" w:rsidRPr="00DA3C12" w:rsidRDefault="004E1D03" w:rsidP="00692852">
      <w:pPr>
        <w:jc w:val="both"/>
        <w:rPr>
          <w:rFonts w:ascii="Avenir Next" w:hAnsi="Avenir Next"/>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6FC9D1C5" w14:textId="0E726DCC" w:rsidR="000E6EDD" w:rsidRDefault="000F5500"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t>
      </w:r>
      <w:r w:rsidR="005660D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an Indian, South African, or Australian court cannot apply the EU (Recast) Insolvency Regulation</w:t>
      </w:r>
      <w:r w:rsidR="000E6EDD">
        <w:rPr>
          <w:rFonts w:ascii="Avenir Next" w:hAnsi="Avenir Next" w:cs="Arial"/>
          <w:color w:val="808080" w:themeColor="background1" w:themeShade="80"/>
          <w:sz w:val="22"/>
          <w:szCs w:val="22"/>
          <w:lang w:val="en-GB"/>
        </w:rPr>
        <w:t xml:space="preserve">, </w:t>
      </w:r>
      <w:r w:rsidR="00D20882">
        <w:rPr>
          <w:rFonts w:ascii="Avenir Next" w:hAnsi="Avenir Next" w:cs="Arial"/>
          <w:color w:val="808080" w:themeColor="background1" w:themeShade="80"/>
          <w:sz w:val="22"/>
          <w:szCs w:val="22"/>
          <w:lang w:val="en-GB"/>
        </w:rPr>
        <w:t>because</w:t>
      </w:r>
      <w:r w:rsidR="000E6EDD">
        <w:rPr>
          <w:rFonts w:ascii="Avenir Next" w:hAnsi="Avenir Next" w:cs="Arial"/>
          <w:color w:val="808080" w:themeColor="background1" w:themeShade="80"/>
          <w:sz w:val="22"/>
          <w:szCs w:val="22"/>
          <w:lang w:val="en-GB"/>
        </w:rPr>
        <w:t xml:space="preserve"> only EU member states are eligible to do so.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743613AE" w14:textId="464CCB91" w:rsidR="00CF2945" w:rsidRDefault="00CF2945" w:rsidP="004337B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Italian Law will apply to the </w:t>
      </w:r>
      <w:r w:rsidR="00996161">
        <w:rPr>
          <w:rFonts w:ascii="Avenir Next" w:hAnsi="Avenir Next" w:cs="Arial"/>
          <w:color w:val="808080" w:themeColor="background1" w:themeShade="80"/>
          <w:sz w:val="22"/>
          <w:szCs w:val="22"/>
          <w:lang w:val="en-GB"/>
        </w:rPr>
        <w:t>insolvency proceeding because Article 7.1 of the EIR Recast states that “</w:t>
      </w:r>
      <w:r w:rsidR="00996161">
        <w:rPr>
          <w:rFonts w:ascii="Avenir Next" w:hAnsi="Avenir Next" w:cs="Arial"/>
          <w:i/>
          <w:iCs/>
          <w:color w:val="808080" w:themeColor="background1" w:themeShade="80"/>
          <w:sz w:val="22"/>
          <w:szCs w:val="22"/>
          <w:lang w:val="en-GB"/>
        </w:rPr>
        <w:t>the law applicable to insolvency proceedings and their effects shall be that of … the ‘State of the opening of proceedings’</w:t>
      </w:r>
      <w:r w:rsidR="00996161">
        <w:rPr>
          <w:rFonts w:ascii="Avenir Next" w:hAnsi="Avenir Next" w:cs="Arial"/>
          <w:color w:val="808080" w:themeColor="background1" w:themeShade="80"/>
          <w:sz w:val="22"/>
          <w:szCs w:val="22"/>
          <w:lang w:val="en-GB"/>
        </w:rPr>
        <w:t xml:space="preserve">”, which in this case is Italy. </w:t>
      </w:r>
    </w:p>
    <w:p w14:paraId="65E5C663" w14:textId="77777777" w:rsidR="00F87829" w:rsidRDefault="00F87829" w:rsidP="00996161">
      <w:pPr>
        <w:jc w:val="both"/>
        <w:rPr>
          <w:rFonts w:ascii="Avenir Next" w:hAnsi="Avenir Next" w:cs="Arial"/>
          <w:color w:val="808080" w:themeColor="background1" w:themeShade="80"/>
          <w:sz w:val="22"/>
          <w:szCs w:val="22"/>
          <w:lang w:val="en-GB"/>
        </w:rPr>
      </w:pPr>
    </w:p>
    <w:p w14:paraId="5AC1FC79" w14:textId="1E34EB37" w:rsidR="002C22AC" w:rsidRPr="00DA42DA" w:rsidRDefault="00F87829" w:rsidP="004337B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that will apply </w:t>
      </w: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the real rights of security situated in the Netherlands is Netherlands Law</w:t>
      </w:r>
      <w:r w:rsidR="00FF16B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because</w:t>
      </w:r>
      <w:r w:rsidR="00BD1928">
        <w:rPr>
          <w:rFonts w:ascii="Avenir Next" w:hAnsi="Avenir Next" w:cs="Arial"/>
          <w:color w:val="808080" w:themeColor="background1" w:themeShade="80"/>
          <w:sz w:val="22"/>
          <w:szCs w:val="22"/>
          <w:lang w:val="en-GB"/>
        </w:rPr>
        <w:t xml:space="preserve"> the asset in question is </w:t>
      </w:r>
      <w:r w:rsidR="00FF16B5">
        <w:rPr>
          <w:rFonts w:ascii="Avenir Next" w:hAnsi="Avenir Next" w:cs="Arial"/>
          <w:color w:val="808080" w:themeColor="background1" w:themeShade="80"/>
          <w:sz w:val="22"/>
          <w:szCs w:val="22"/>
          <w:lang w:val="en-GB"/>
        </w:rPr>
        <w:t xml:space="preserve">located in </w:t>
      </w:r>
      <w:r w:rsidR="00BD1928">
        <w:rPr>
          <w:rFonts w:ascii="Avenir Next" w:hAnsi="Avenir Next" w:cs="Arial"/>
          <w:color w:val="808080" w:themeColor="background1" w:themeShade="80"/>
          <w:sz w:val="22"/>
          <w:szCs w:val="22"/>
          <w:lang w:val="en-GB"/>
        </w:rPr>
        <w:t>the Netherlands</w:t>
      </w:r>
      <w:r w:rsidR="00AF1BBD">
        <w:rPr>
          <w:rFonts w:ascii="Avenir Next" w:hAnsi="Avenir Next" w:cs="Arial"/>
          <w:color w:val="808080" w:themeColor="background1" w:themeShade="80"/>
          <w:sz w:val="22"/>
          <w:szCs w:val="22"/>
          <w:lang w:val="en-GB"/>
        </w:rPr>
        <w:t xml:space="preserve">.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6B0A3965" w:rsidR="002253D8" w:rsidRPr="00DA42DA" w:rsidRDefault="007F27BC" w:rsidP="007F27BC">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Australian Law will apply to both an insolvency proceeding in Australia and the real rights of security situated there.</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98D0" w14:textId="77777777" w:rsidR="00EA35F5" w:rsidRDefault="00EA35F5" w:rsidP="00241B44">
      <w:r>
        <w:separator/>
      </w:r>
    </w:p>
  </w:endnote>
  <w:endnote w:type="continuationSeparator" w:id="0">
    <w:p w14:paraId="400C0DC9" w14:textId="77777777" w:rsidR="00EA35F5" w:rsidRDefault="00EA35F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AC057E2" w:rsidR="00B64A85" w:rsidRPr="00297BDF" w:rsidRDefault="00A5548C" w:rsidP="0052732A">
    <w:pPr>
      <w:pStyle w:val="Footer"/>
      <w:ind w:right="360"/>
      <w:rPr>
        <w:rFonts w:ascii="Avenir Next" w:hAnsi="Avenir Next" w:cs="Arial"/>
        <w:sz w:val="22"/>
        <w:szCs w:val="22"/>
      </w:rPr>
    </w:pPr>
    <w:r w:rsidRPr="00A5548C">
      <w:rPr>
        <w:rFonts w:ascii="Avenir Next" w:hAnsi="Avenir Next" w:cs="Arial"/>
        <w:sz w:val="22"/>
        <w:szCs w:val="22"/>
      </w:rPr>
      <w:t>FC202324-1446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459F" w14:textId="77777777" w:rsidR="00EA35F5" w:rsidRDefault="00EA35F5" w:rsidP="00241B44">
      <w:r>
        <w:separator/>
      </w:r>
    </w:p>
  </w:footnote>
  <w:footnote w:type="continuationSeparator" w:id="0">
    <w:p w14:paraId="1C63078E" w14:textId="77777777" w:rsidR="00EA35F5" w:rsidRDefault="00EA35F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836"/>
    <w:multiLevelType w:val="hybridMultilevel"/>
    <w:tmpl w:val="D67CF4EA"/>
    <w:lvl w:ilvl="0" w:tplc="8216093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17554A"/>
    <w:multiLevelType w:val="hybridMultilevel"/>
    <w:tmpl w:val="49EA1E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F162AA1"/>
    <w:multiLevelType w:val="hybridMultilevel"/>
    <w:tmpl w:val="9D1CE0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4"/>
  </w:num>
  <w:num w:numId="3" w16cid:durableId="1558668659">
    <w:abstractNumId w:val="3"/>
  </w:num>
  <w:num w:numId="4" w16cid:durableId="737018892">
    <w:abstractNumId w:val="5"/>
  </w:num>
  <w:num w:numId="5" w16cid:durableId="1158809076">
    <w:abstractNumId w:val="22"/>
  </w:num>
  <w:num w:numId="6" w16cid:durableId="415711827">
    <w:abstractNumId w:val="30"/>
  </w:num>
  <w:num w:numId="7" w16cid:durableId="1401949473">
    <w:abstractNumId w:val="15"/>
  </w:num>
  <w:num w:numId="8" w16cid:durableId="269552992">
    <w:abstractNumId w:val="35"/>
  </w:num>
  <w:num w:numId="9" w16cid:durableId="1367413161">
    <w:abstractNumId w:val="14"/>
  </w:num>
  <w:num w:numId="10" w16cid:durableId="220823057">
    <w:abstractNumId w:val="31"/>
  </w:num>
  <w:num w:numId="11" w16cid:durableId="858086195">
    <w:abstractNumId w:val="11"/>
  </w:num>
  <w:num w:numId="12" w16cid:durableId="2144808366">
    <w:abstractNumId w:val="32"/>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1"/>
  </w:num>
  <w:num w:numId="23" w16cid:durableId="1308701288">
    <w:abstractNumId w:val="25"/>
  </w:num>
  <w:num w:numId="24" w16cid:durableId="1716081525">
    <w:abstractNumId w:val="2"/>
  </w:num>
  <w:num w:numId="25" w16cid:durableId="797064315">
    <w:abstractNumId w:val="33"/>
  </w:num>
  <w:num w:numId="26" w16cid:durableId="824904852">
    <w:abstractNumId w:val="36"/>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6"/>
  </w:num>
  <w:num w:numId="33" w16cid:durableId="732118212">
    <w:abstractNumId w:val="24"/>
  </w:num>
  <w:num w:numId="34" w16cid:durableId="1912503881">
    <w:abstractNumId w:val="13"/>
  </w:num>
  <w:num w:numId="35" w16cid:durableId="93013778">
    <w:abstractNumId w:val="0"/>
  </w:num>
  <w:num w:numId="36" w16cid:durableId="380712825">
    <w:abstractNumId w:val="28"/>
  </w:num>
  <w:num w:numId="37" w16cid:durableId="178075487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323"/>
    <w:rsid w:val="00002050"/>
    <w:rsid w:val="00003D8F"/>
    <w:rsid w:val="0000420A"/>
    <w:rsid w:val="00004AE7"/>
    <w:rsid w:val="000071D0"/>
    <w:rsid w:val="00007882"/>
    <w:rsid w:val="00007A9E"/>
    <w:rsid w:val="00007FFD"/>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372"/>
    <w:rsid w:val="00062D42"/>
    <w:rsid w:val="00062E85"/>
    <w:rsid w:val="00063A59"/>
    <w:rsid w:val="000649D1"/>
    <w:rsid w:val="00064C44"/>
    <w:rsid w:val="00065166"/>
    <w:rsid w:val="00065CF5"/>
    <w:rsid w:val="00066AE7"/>
    <w:rsid w:val="0007091D"/>
    <w:rsid w:val="00071F23"/>
    <w:rsid w:val="00073CB2"/>
    <w:rsid w:val="00076483"/>
    <w:rsid w:val="00077160"/>
    <w:rsid w:val="00080757"/>
    <w:rsid w:val="0008155B"/>
    <w:rsid w:val="00081573"/>
    <w:rsid w:val="000815BB"/>
    <w:rsid w:val="00081A63"/>
    <w:rsid w:val="00082609"/>
    <w:rsid w:val="0008457E"/>
    <w:rsid w:val="000851CC"/>
    <w:rsid w:val="00085349"/>
    <w:rsid w:val="000853E3"/>
    <w:rsid w:val="00085D4B"/>
    <w:rsid w:val="00086BDD"/>
    <w:rsid w:val="00087EC0"/>
    <w:rsid w:val="00090364"/>
    <w:rsid w:val="0009037A"/>
    <w:rsid w:val="00090933"/>
    <w:rsid w:val="00092378"/>
    <w:rsid w:val="000936CC"/>
    <w:rsid w:val="00093BE8"/>
    <w:rsid w:val="00093FE2"/>
    <w:rsid w:val="0009471C"/>
    <w:rsid w:val="0009504E"/>
    <w:rsid w:val="00095231"/>
    <w:rsid w:val="0009651D"/>
    <w:rsid w:val="000977DC"/>
    <w:rsid w:val="000A01B9"/>
    <w:rsid w:val="000A0C1B"/>
    <w:rsid w:val="000A68ED"/>
    <w:rsid w:val="000A74CA"/>
    <w:rsid w:val="000A74D4"/>
    <w:rsid w:val="000B5B93"/>
    <w:rsid w:val="000B5FF1"/>
    <w:rsid w:val="000B609F"/>
    <w:rsid w:val="000B6B56"/>
    <w:rsid w:val="000B73FB"/>
    <w:rsid w:val="000B7936"/>
    <w:rsid w:val="000C0722"/>
    <w:rsid w:val="000C6F44"/>
    <w:rsid w:val="000D0C9F"/>
    <w:rsid w:val="000D55A8"/>
    <w:rsid w:val="000D56CC"/>
    <w:rsid w:val="000D57BE"/>
    <w:rsid w:val="000D6876"/>
    <w:rsid w:val="000E0165"/>
    <w:rsid w:val="000E3A82"/>
    <w:rsid w:val="000E3C5A"/>
    <w:rsid w:val="000E406D"/>
    <w:rsid w:val="000E4841"/>
    <w:rsid w:val="000E5CB4"/>
    <w:rsid w:val="000E66D2"/>
    <w:rsid w:val="000E6EDD"/>
    <w:rsid w:val="000F0DC0"/>
    <w:rsid w:val="000F0FFF"/>
    <w:rsid w:val="000F1677"/>
    <w:rsid w:val="000F3387"/>
    <w:rsid w:val="000F3D6C"/>
    <w:rsid w:val="000F5500"/>
    <w:rsid w:val="000F58B0"/>
    <w:rsid w:val="000F6A87"/>
    <w:rsid w:val="00100A77"/>
    <w:rsid w:val="00101707"/>
    <w:rsid w:val="00102C39"/>
    <w:rsid w:val="00102F47"/>
    <w:rsid w:val="0010317C"/>
    <w:rsid w:val="00105CBD"/>
    <w:rsid w:val="001107F2"/>
    <w:rsid w:val="00110E0C"/>
    <w:rsid w:val="001113A0"/>
    <w:rsid w:val="00111757"/>
    <w:rsid w:val="001131C6"/>
    <w:rsid w:val="00113A7C"/>
    <w:rsid w:val="001141E1"/>
    <w:rsid w:val="0011473D"/>
    <w:rsid w:val="00115C85"/>
    <w:rsid w:val="00115E1D"/>
    <w:rsid w:val="001174E6"/>
    <w:rsid w:val="00120B4D"/>
    <w:rsid w:val="001211E6"/>
    <w:rsid w:val="0012303D"/>
    <w:rsid w:val="00123855"/>
    <w:rsid w:val="00124B70"/>
    <w:rsid w:val="00124CD2"/>
    <w:rsid w:val="00124E75"/>
    <w:rsid w:val="00125A7C"/>
    <w:rsid w:val="0012628A"/>
    <w:rsid w:val="00126A4D"/>
    <w:rsid w:val="001304E3"/>
    <w:rsid w:val="0013178D"/>
    <w:rsid w:val="00131D42"/>
    <w:rsid w:val="00131EAD"/>
    <w:rsid w:val="0013278B"/>
    <w:rsid w:val="00133BCA"/>
    <w:rsid w:val="00135FFC"/>
    <w:rsid w:val="00136505"/>
    <w:rsid w:val="00136A9A"/>
    <w:rsid w:val="0014171F"/>
    <w:rsid w:val="00142E15"/>
    <w:rsid w:val="001439E2"/>
    <w:rsid w:val="0014622C"/>
    <w:rsid w:val="00150F6C"/>
    <w:rsid w:val="00151051"/>
    <w:rsid w:val="00152348"/>
    <w:rsid w:val="0015328F"/>
    <w:rsid w:val="0015456D"/>
    <w:rsid w:val="00160840"/>
    <w:rsid w:val="00161F1B"/>
    <w:rsid w:val="00161FAE"/>
    <w:rsid w:val="001620AF"/>
    <w:rsid w:val="00162513"/>
    <w:rsid w:val="00162829"/>
    <w:rsid w:val="00162E09"/>
    <w:rsid w:val="0016472D"/>
    <w:rsid w:val="00164A09"/>
    <w:rsid w:val="00164B28"/>
    <w:rsid w:val="001677CC"/>
    <w:rsid w:val="00167C54"/>
    <w:rsid w:val="00173647"/>
    <w:rsid w:val="00180548"/>
    <w:rsid w:val="00180AC4"/>
    <w:rsid w:val="00180B1E"/>
    <w:rsid w:val="00180CCE"/>
    <w:rsid w:val="001813BC"/>
    <w:rsid w:val="00181438"/>
    <w:rsid w:val="00181DFD"/>
    <w:rsid w:val="0018267A"/>
    <w:rsid w:val="001826E6"/>
    <w:rsid w:val="00182779"/>
    <w:rsid w:val="001830DF"/>
    <w:rsid w:val="00183285"/>
    <w:rsid w:val="001833C2"/>
    <w:rsid w:val="001841C3"/>
    <w:rsid w:val="001938D9"/>
    <w:rsid w:val="00193AB3"/>
    <w:rsid w:val="00193AD3"/>
    <w:rsid w:val="00195C15"/>
    <w:rsid w:val="001966D9"/>
    <w:rsid w:val="001978FC"/>
    <w:rsid w:val="00197963"/>
    <w:rsid w:val="001A620B"/>
    <w:rsid w:val="001A716A"/>
    <w:rsid w:val="001A7E9A"/>
    <w:rsid w:val="001A7ECF"/>
    <w:rsid w:val="001B0BED"/>
    <w:rsid w:val="001B0F70"/>
    <w:rsid w:val="001B182F"/>
    <w:rsid w:val="001B1A5F"/>
    <w:rsid w:val="001B319C"/>
    <w:rsid w:val="001B5016"/>
    <w:rsid w:val="001B6CEE"/>
    <w:rsid w:val="001C2838"/>
    <w:rsid w:val="001C45FC"/>
    <w:rsid w:val="001C594A"/>
    <w:rsid w:val="001C65EE"/>
    <w:rsid w:val="001D1A0C"/>
    <w:rsid w:val="001D1BF7"/>
    <w:rsid w:val="001D4862"/>
    <w:rsid w:val="001D632F"/>
    <w:rsid w:val="001D7EF2"/>
    <w:rsid w:val="001E19DD"/>
    <w:rsid w:val="001E1FB4"/>
    <w:rsid w:val="001E23FD"/>
    <w:rsid w:val="001E25B9"/>
    <w:rsid w:val="001E269C"/>
    <w:rsid w:val="001E392F"/>
    <w:rsid w:val="001E49E0"/>
    <w:rsid w:val="001E625C"/>
    <w:rsid w:val="001E7B5A"/>
    <w:rsid w:val="001F0BCF"/>
    <w:rsid w:val="001F1478"/>
    <w:rsid w:val="001F2AF5"/>
    <w:rsid w:val="001F3B8F"/>
    <w:rsid w:val="001F3D94"/>
    <w:rsid w:val="001F5204"/>
    <w:rsid w:val="001F603D"/>
    <w:rsid w:val="001F6CBB"/>
    <w:rsid w:val="001F71CC"/>
    <w:rsid w:val="001F7412"/>
    <w:rsid w:val="001F7C77"/>
    <w:rsid w:val="00201386"/>
    <w:rsid w:val="002013FF"/>
    <w:rsid w:val="00202C2B"/>
    <w:rsid w:val="00205894"/>
    <w:rsid w:val="00205B31"/>
    <w:rsid w:val="0020725B"/>
    <w:rsid w:val="0020730B"/>
    <w:rsid w:val="00212B14"/>
    <w:rsid w:val="00216499"/>
    <w:rsid w:val="002164C0"/>
    <w:rsid w:val="00216CB4"/>
    <w:rsid w:val="002173C5"/>
    <w:rsid w:val="00217A9E"/>
    <w:rsid w:val="00220C61"/>
    <w:rsid w:val="00223780"/>
    <w:rsid w:val="002253D8"/>
    <w:rsid w:val="0022719C"/>
    <w:rsid w:val="00227A39"/>
    <w:rsid w:val="00231611"/>
    <w:rsid w:val="00231CAE"/>
    <w:rsid w:val="00231F38"/>
    <w:rsid w:val="00235341"/>
    <w:rsid w:val="002362AB"/>
    <w:rsid w:val="002400DB"/>
    <w:rsid w:val="002406A4"/>
    <w:rsid w:val="0024116D"/>
    <w:rsid w:val="00241173"/>
    <w:rsid w:val="00241B44"/>
    <w:rsid w:val="00243FF6"/>
    <w:rsid w:val="00245EFB"/>
    <w:rsid w:val="002526C5"/>
    <w:rsid w:val="002529D2"/>
    <w:rsid w:val="002537C5"/>
    <w:rsid w:val="0025386E"/>
    <w:rsid w:val="00254AB3"/>
    <w:rsid w:val="002567F0"/>
    <w:rsid w:val="002638B0"/>
    <w:rsid w:val="0026510C"/>
    <w:rsid w:val="0026647A"/>
    <w:rsid w:val="002668D3"/>
    <w:rsid w:val="00266F17"/>
    <w:rsid w:val="002672D0"/>
    <w:rsid w:val="00270D04"/>
    <w:rsid w:val="0027242B"/>
    <w:rsid w:val="0027299F"/>
    <w:rsid w:val="002740E0"/>
    <w:rsid w:val="00275182"/>
    <w:rsid w:val="00275946"/>
    <w:rsid w:val="00276414"/>
    <w:rsid w:val="00276FEA"/>
    <w:rsid w:val="002777B9"/>
    <w:rsid w:val="0028252D"/>
    <w:rsid w:val="00284EBE"/>
    <w:rsid w:val="00286720"/>
    <w:rsid w:val="002872BC"/>
    <w:rsid w:val="002872E1"/>
    <w:rsid w:val="00287B2E"/>
    <w:rsid w:val="00287D4D"/>
    <w:rsid w:val="00290116"/>
    <w:rsid w:val="00291D7D"/>
    <w:rsid w:val="0029433F"/>
    <w:rsid w:val="00294829"/>
    <w:rsid w:val="00295742"/>
    <w:rsid w:val="0029690F"/>
    <w:rsid w:val="00297288"/>
    <w:rsid w:val="00297A66"/>
    <w:rsid w:val="00297BDF"/>
    <w:rsid w:val="002A0829"/>
    <w:rsid w:val="002A1039"/>
    <w:rsid w:val="002A2A60"/>
    <w:rsid w:val="002A3815"/>
    <w:rsid w:val="002A5BA7"/>
    <w:rsid w:val="002A6646"/>
    <w:rsid w:val="002A74AB"/>
    <w:rsid w:val="002A7ECE"/>
    <w:rsid w:val="002B10A7"/>
    <w:rsid w:val="002B1C45"/>
    <w:rsid w:val="002B2970"/>
    <w:rsid w:val="002B31B7"/>
    <w:rsid w:val="002C1227"/>
    <w:rsid w:val="002C13C8"/>
    <w:rsid w:val="002C22AC"/>
    <w:rsid w:val="002C259C"/>
    <w:rsid w:val="002C3547"/>
    <w:rsid w:val="002C648A"/>
    <w:rsid w:val="002D0021"/>
    <w:rsid w:val="002D0A2B"/>
    <w:rsid w:val="002D10A3"/>
    <w:rsid w:val="002D1B2C"/>
    <w:rsid w:val="002D1C02"/>
    <w:rsid w:val="002D2356"/>
    <w:rsid w:val="002D295D"/>
    <w:rsid w:val="002D3473"/>
    <w:rsid w:val="002D514F"/>
    <w:rsid w:val="002E37B7"/>
    <w:rsid w:val="002E4A02"/>
    <w:rsid w:val="002E4A1F"/>
    <w:rsid w:val="002E6418"/>
    <w:rsid w:val="002E66F4"/>
    <w:rsid w:val="002E73CF"/>
    <w:rsid w:val="002F14C5"/>
    <w:rsid w:val="002F1956"/>
    <w:rsid w:val="002F2B8D"/>
    <w:rsid w:val="002F3440"/>
    <w:rsid w:val="002F3B17"/>
    <w:rsid w:val="002F5876"/>
    <w:rsid w:val="002F59BB"/>
    <w:rsid w:val="002F5DD8"/>
    <w:rsid w:val="002F6690"/>
    <w:rsid w:val="002F739C"/>
    <w:rsid w:val="002F75A3"/>
    <w:rsid w:val="002F75CD"/>
    <w:rsid w:val="002F7EB5"/>
    <w:rsid w:val="0030201F"/>
    <w:rsid w:val="00303C2F"/>
    <w:rsid w:val="003053CA"/>
    <w:rsid w:val="0030558B"/>
    <w:rsid w:val="003057A2"/>
    <w:rsid w:val="00306E87"/>
    <w:rsid w:val="00307010"/>
    <w:rsid w:val="00310FC2"/>
    <w:rsid w:val="0031172D"/>
    <w:rsid w:val="003134B4"/>
    <w:rsid w:val="003144EF"/>
    <w:rsid w:val="00315F05"/>
    <w:rsid w:val="003223BC"/>
    <w:rsid w:val="003247F2"/>
    <w:rsid w:val="0032538A"/>
    <w:rsid w:val="00326292"/>
    <w:rsid w:val="00326415"/>
    <w:rsid w:val="00330937"/>
    <w:rsid w:val="00330F31"/>
    <w:rsid w:val="003326F0"/>
    <w:rsid w:val="00332FBC"/>
    <w:rsid w:val="0033455B"/>
    <w:rsid w:val="00334648"/>
    <w:rsid w:val="00334FAE"/>
    <w:rsid w:val="00336CA6"/>
    <w:rsid w:val="0033768C"/>
    <w:rsid w:val="00337938"/>
    <w:rsid w:val="00340119"/>
    <w:rsid w:val="00340769"/>
    <w:rsid w:val="00341A65"/>
    <w:rsid w:val="00341AA6"/>
    <w:rsid w:val="00342E57"/>
    <w:rsid w:val="0034369A"/>
    <w:rsid w:val="00346592"/>
    <w:rsid w:val="003500E5"/>
    <w:rsid w:val="00355B57"/>
    <w:rsid w:val="003607AD"/>
    <w:rsid w:val="00361A0A"/>
    <w:rsid w:val="00361DF9"/>
    <w:rsid w:val="00363D71"/>
    <w:rsid w:val="0036565C"/>
    <w:rsid w:val="0036625E"/>
    <w:rsid w:val="00367162"/>
    <w:rsid w:val="00372CD4"/>
    <w:rsid w:val="0037386C"/>
    <w:rsid w:val="0037465A"/>
    <w:rsid w:val="00374844"/>
    <w:rsid w:val="00376002"/>
    <w:rsid w:val="00376A9E"/>
    <w:rsid w:val="0038255B"/>
    <w:rsid w:val="00382C98"/>
    <w:rsid w:val="0038325E"/>
    <w:rsid w:val="00384604"/>
    <w:rsid w:val="00384E3D"/>
    <w:rsid w:val="00384F24"/>
    <w:rsid w:val="00385041"/>
    <w:rsid w:val="003852FE"/>
    <w:rsid w:val="0038533C"/>
    <w:rsid w:val="00385D73"/>
    <w:rsid w:val="00391B12"/>
    <w:rsid w:val="003920E3"/>
    <w:rsid w:val="00392465"/>
    <w:rsid w:val="003937B9"/>
    <w:rsid w:val="003948D5"/>
    <w:rsid w:val="003957FD"/>
    <w:rsid w:val="00396821"/>
    <w:rsid w:val="00396C0F"/>
    <w:rsid w:val="00396CE5"/>
    <w:rsid w:val="003979A3"/>
    <w:rsid w:val="00397D3A"/>
    <w:rsid w:val="003A00FE"/>
    <w:rsid w:val="003A051E"/>
    <w:rsid w:val="003A0BBE"/>
    <w:rsid w:val="003A2448"/>
    <w:rsid w:val="003A2F5D"/>
    <w:rsid w:val="003A3128"/>
    <w:rsid w:val="003A43CD"/>
    <w:rsid w:val="003A5AD1"/>
    <w:rsid w:val="003A60FF"/>
    <w:rsid w:val="003A696A"/>
    <w:rsid w:val="003B170F"/>
    <w:rsid w:val="003B1E50"/>
    <w:rsid w:val="003B29A3"/>
    <w:rsid w:val="003B3A0D"/>
    <w:rsid w:val="003B3C5F"/>
    <w:rsid w:val="003B40FA"/>
    <w:rsid w:val="003B4ADE"/>
    <w:rsid w:val="003B6872"/>
    <w:rsid w:val="003B7EE3"/>
    <w:rsid w:val="003C1451"/>
    <w:rsid w:val="003C2017"/>
    <w:rsid w:val="003C4471"/>
    <w:rsid w:val="003C473E"/>
    <w:rsid w:val="003C7505"/>
    <w:rsid w:val="003D0225"/>
    <w:rsid w:val="003D0A6D"/>
    <w:rsid w:val="003D100A"/>
    <w:rsid w:val="003D3045"/>
    <w:rsid w:val="003D3410"/>
    <w:rsid w:val="003D4300"/>
    <w:rsid w:val="003D485F"/>
    <w:rsid w:val="003D507C"/>
    <w:rsid w:val="003D6AC4"/>
    <w:rsid w:val="003D7B57"/>
    <w:rsid w:val="003D7D3B"/>
    <w:rsid w:val="003E004D"/>
    <w:rsid w:val="003E064D"/>
    <w:rsid w:val="003E0B16"/>
    <w:rsid w:val="003E2D1B"/>
    <w:rsid w:val="003E2E7C"/>
    <w:rsid w:val="003E4DCA"/>
    <w:rsid w:val="003E67D1"/>
    <w:rsid w:val="003F019E"/>
    <w:rsid w:val="003F0B80"/>
    <w:rsid w:val="003F500E"/>
    <w:rsid w:val="003F655E"/>
    <w:rsid w:val="003F696A"/>
    <w:rsid w:val="003F74D9"/>
    <w:rsid w:val="00400920"/>
    <w:rsid w:val="00401DFA"/>
    <w:rsid w:val="00403F09"/>
    <w:rsid w:val="00404EF7"/>
    <w:rsid w:val="00405DC1"/>
    <w:rsid w:val="004111E3"/>
    <w:rsid w:val="00411E1B"/>
    <w:rsid w:val="00414BF9"/>
    <w:rsid w:val="00415DFF"/>
    <w:rsid w:val="00415F1F"/>
    <w:rsid w:val="004174FA"/>
    <w:rsid w:val="0042108F"/>
    <w:rsid w:val="004214D4"/>
    <w:rsid w:val="004216EA"/>
    <w:rsid w:val="004235F4"/>
    <w:rsid w:val="00426969"/>
    <w:rsid w:val="00426B64"/>
    <w:rsid w:val="00430FED"/>
    <w:rsid w:val="00431EC2"/>
    <w:rsid w:val="004337BF"/>
    <w:rsid w:val="00433EA5"/>
    <w:rsid w:val="00434A8C"/>
    <w:rsid w:val="00437297"/>
    <w:rsid w:val="00437ABE"/>
    <w:rsid w:val="00440446"/>
    <w:rsid w:val="004406CB"/>
    <w:rsid w:val="00440AC5"/>
    <w:rsid w:val="00440EDD"/>
    <w:rsid w:val="004417C1"/>
    <w:rsid w:val="00444284"/>
    <w:rsid w:val="004442F1"/>
    <w:rsid w:val="00445CE6"/>
    <w:rsid w:val="00446987"/>
    <w:rsid w:val="00451481"/>
    <w:rsid w:val="004534C2"/>
    <w:rsid w:val="00453967"/>
    <w:rsid w:val="0045446F"/>
    <w:rsid w:val="00454C9D"/>
    <w:rsid w:val="004551B0"/>
    <w:rsid w:val="0045683E"/>
    <w:rsid w:val="0046142D"/>
    <w:rsid w:val="00461796"/>
    <w:rsid w:val="0046274F"/>
    <w:rsid w:val="0046298C"/>
    <w:rsid w:val="00463259"/>
    <w:rsid w:val="00464F21"/>
    <w:rsid w:val="004659E0"/>
    <w:rsid w:val="00466ED6"/>
    <w:rsid w:val="00467C71"/>
    <w:rsid w:val="0047084C"/>
    <w:rsid w:val="00470A63"/>
    <w:rsid w:val="00470C55"/>
    <w:rsid w:val="004715C1"/>
    <w:rsid w:val="00472054"/>
    <w:rsid w:val="004731F4"/>
    <w:rsid w:val="00481FC8"/>
    <w:rsid w:val="0048258B"/>
    <w:rsid w:val="004827A3"/>
    <w:rsid w:val="00482FE3"/>
    <w:rsid w:val="00484689"/>
    <w:rsid w:val="00484E6D"/>
    <w:rsid w:val="004854B3"/>
    <w:rsid w:val="00486065"/>
    <w:rsid w:val="00486776"/>
    <w:rsid w:val="004868BB"/>
    <w:rsid w:val="00490ED6"/>
    <w:rsid w:val="00491675"/>
    <w:rsid w:val="00493855"/>
    <w:rsid w:val="00497558"/>
    <w:rsid w:val="00497CF9"/>
    <w:rsid w:val="004A0C07"/>
    <w:rsid w:val="004A1D01"/>
    <w:rsid w:val="004A27CB"/>
    <w:rsid w:val="004A2B2C"/>
    <w:rsid w:val="004A57DD"/>
    <w:rsid w:val="004A7B51"/>
    <w:rsid w:val="004A7D71"/>
    <w:rsid w:val="004A7EF3"/>
    <w:rsid w:val="004B0EBE"/>
    <w:rsid w:val="004B10C5"/>
    <w:rsid w:val="004B11FD"/>
    <w:rsid w:val="004B1F0B"/>
    <w:rsid w:val="004B23A2"/>
    <w:rsid w:val="004B25E4"/>
    <w:rsid w:val="004B428D"/>
    <w:rsid w:val="004B607C"/>
    <w:rsid w:val="004B6457"/>
    <w:rsid w:val="004C1DA6"/>
    <w:rsid w:val="004C1FCA"/>
    <w:rsid w:val="004C4790"/>
    <w:rsid w:val="004C5E4F"/>
    <w:rsid w:val="004C7030"/>
    <w:rsid w:val="004C7C5B"/>
    <w:rsid w:val="004D03CD"/>
    <w:rsid w:val="004D1A5A"/>
    <w:rsid w:val="004D2FFF"/>
    <w:rsid w:val="004D3721"/>
    <w:rsid w:val="004D64F9"/>
    <w:rsid w:val="004D67DD"/>
    <w:rsid w:val="004D687E"/>
    <w:rsid w:val="004E1BBA"/>
    <w:rsid w:val="004E1D03"/>
    <w:rsid w:val="004E3528"/>
    <w:rsid w:val="004E4224"/>
    <w:rsid w:val="004E5A14"/>
    <w:rsid w:val="004E622C"/>
    <w:rsid w:val="004E64DB"/>
    <w:rsid w:val="004F11C5"/>
    <w:rsid w:val="004F1534"/>
    <w:rsid w:val="004F2AC8"/>
    <w:rsid w:val="004F2DD1"/>
    <w:rsid w:val="004F301B"/>
    <w:rsid w:val="004F3375"/>
    <w:rsid w:val="004F3F1F"/>
    <w:rsid w:val="004F55F1"/>
    <w:rsid w:val="004F5FDF"/>
    <w:rsid w:val="0050156C"/>
    <w:rsid w:val="0050241E"/>
    <w:rsid w:val="00504AFA"/>
    <w:rsid w:val="005059A4"/>
    <w:rsid w:val="00513A75"/>
    <w:rsid w:val="005147C0"/>
    <w:rsid w:val="00515756"/>
    <w:rsid w:val="00515F63"/>
    <w:rsid w:val="00516528"/>
    <w:rsid w:val="005177FE"/>
    <w:rsid w:val="0052263B"/>
    <w:rsid w:val="00523428"/>
    <w:rsid w:val="00524728"/>
    <w:rsid w:val="00524840"/>
    <w:rsid w:val="00525459"/>
    <w:rsid w:val="00525C99"/>
    <w:rsid w:val="00526C71"/>
    <w:rsid w:val="0052732A"/>
    <w:rsid w:val="00527527"/>
    <w:rsid w:val="00530010"/>
    <w:rsid w:val="00530CA0"/>
    <w:rsid w:val="00532283"/>
    <w:rsid w:val="005323A7"/>
    <w:rsid w:val="005331CA"/>
    <w:rsid w:val="005337E0"/>
    <w:rsid w:val="0053523A"/>
    <w:rsid w:val="00537204"/>
    <w:rsid w:val="00537970"/>
    <w:rsid w:val="0054079C"/>
    <w:rsid w:val="00540E3A"/>
    <w:rsid w:val="0054205E"/>
    <w:rsid w:val="00542E08"/>
    <w:rsid w:val="005433D7"/>
    <w:rsid w:val="00543941"/>
    <w:rsid w:val="00544127"/>
    <w:rsid w:val="00546AD1"/>
    <w:rsid w:val="005508BB"/>
    <w:rsid w:val="00550A96"/>
    <w:rsid w:val="00553B9B"/>
    <w:rsid w:val="00553EB2"/>
    <w:rsid w:val="00555C4D"/>
    <w:rsid w:val="005577B1"/>
    <w:rsid w:val="00560428"/>
    <w:rsid w:val="00560534"/>
    <w:rsid w:val="00560816"/>
    <w:rsid w:val="00563233"/>
    <w:rsid w:val="0056391B"/>
    <w:rsid w:val="005650E2"/>
    <w:rsid w:val="005660DA"/>
    <w:rsid w:val="00566D80"/>
    <w:rsid w:val="00567AD7"/>
    <w:rsid w:val="005716C3"/>
    <w:rsid w:val="00573594"/>
    <w:rsid w:val="00575B2D"/>
    <w:rsid w:val="005800D0"/>
    <w:rsid w:val="005819C4"/>
    <w:rsid w:val="005833D0"/>
    <w:rsid w:val="005846F3"/>
    <w:rsid w:val="005859D2"/>
    <w:rsid w:val="0058622F"/>
    <w:rsid w:val="005865D6"/>
    <w:rsid w:val="00586968"/>
    <w:rsid w:val="00586A6A"/>
    <w:rsid w:val="005876EC"/>
    <w:rsid w:val="00590880"/>
    <w:rsid w:val="00590FE6"/>
    <w:rsid w:val="00591393"/>
    <w:rsid w:val="00591631"/>
    <w:rsid w:val="00592E7F"/>
    <w:rsid w:val="00592F82"/>
    <w:rsid w:val="005936B3"/>
    <w:rsid w:val="005953ED"/>
    <w:rsid w:val="00595B58"/>
    <w:rsid w:val="005966E3"/>
    <w:rsid w:val="005A0CCA"/>
    <w:rsid w:val="005A2152"/>
    <w:rsid w:val="005A2194"/>
    <w:rsid w:val="005A2628"/>
    <w:rsid w:val="005A2ECF"/>
    <w:rsid w:val="005A383D"/>
    <w:rsid w:val="005A43F4"/>
    <w:rsid w:val="005A54B3"/>
    <w:rsid w:val="005A5ACB"/>
    <w:rsid w:val="005A726D"/>
    <w:rsid w:val="005A7CFC"/>
    <w:rsid w:val="005B0BB2"/>
    <w:rsid w:val="005B1440"/>
    <w:rsid w:val="005B2AA0"/>
    <w:rsid w:val="005B447E"/>
    <w:rsid w:val="005B4BC9"/>
    <w:rsid w:val="005B503A"/>
    <w:rsid w:val="005B5605"/>
    <w:rsid w:val="005B6726"/>
    <w:rsid w:val="005B67AC"/>
    <w:rsid w:val="005C01B0"/>
    <w:rsid w:val="005C276C"/>
    <w:rsid w:val="005C2790"/>
    <w:rsid w:val="005C36E9"/>
    <w:rsid w:val="005C3B3A"/>
    <w:rsid w:val="005C41CF"/>
    <w:rsid w:val="005C4FF2"/>
    <w:rsid w:val="005C6778"/>
    <w:rsid w:val="005D00CF"/>
    <w:rsid w:val="005D0511"/>
    <w:rsid w:val="005D3437"/>
    <w:rsid w:val="005D3647"/>
    <w:rsid w:val="005D43E0"/>
    <w:rsid w:val="005D5579"/>
    <w:rsid w:val="005D5802"/>
    <w:rsid w:val="005D58A3"/>
    <w:rsid w:val="005D5FD0"/>
    <w:rsid w:val="005D72F3"/>
    <w:rsid w:val="005E1B79"/>
    <w:rsid w:val="005E1EA8"/>
    <w:rsid w:val="005E2B20"/>
    <w:rsid w:val="005E31B6"/>
    <w:rsid w:val="005E5161"/>
    <w:rsid w:val="005E5A66"/>
    <w:rsid w:val="005E5DEF"/>
    <w:rsid w:val="005E605E"/>
    <w:rsid w:val="005E645E"/>
    <w:rsid w:val="005F026D"/>
    <w:rsid w:val="005F0764"/>
    <w:rsid w:val="005F19FA"/>
    <w:rsid w:val="005F244F"/>
    <w:rsid w:val="005F2D0B"/>
    <w:rsid w:val="005F453F"/>
    <w:rsid w:val="005F4B31"/>
    <w:rsid w:val="005F5449"/>
    <w:rsid w:val="005F6059"/>
    <w:rsid w:val="00601601"/>
    <w:rsid w:val="0060397D"/>
    <w:rsid w:val="00604723"/>
    <w:rsid w:val="00604E79"/>
    <w:rsid w:val="00610388"/>
    <w:rsid w:val="00610F55"/>
    <w:rsid w:val="00612092"/>
    <w:rsid w:val="00612CA5"/>
    <w:rsid w:val="00612DCC"/>
    <w:rsid w:val="00614858"/>
    <w:rsid w:val="006153EC"/>
    <w:rsid w:val="0061553D"/>
    <w:rsid w:val="00616E52"/>
    <w:rsid w:val="006177FF"/>
    <w:rsid w:val="006208BB"/>
    <w:rsid w:val="00621A17"/>
    <w:rsid w:val="0062260C"/>
    <w:rsid w:val="00624555"/>
    <w:rsid w:val="00627C78"/>
    <w:rsid w:val="00627CC9"/>
    <w:rsid w:val="00627E7B"/>
    <w:rsid w:val="00630542"/>
    <w:rsid w:val="00630727"/>
    <w:rsid w:val="00630904"/>
    <w:rsid w:val="00631E7B"/>
    <w:rsid w:val="00632E44"/>
    <w:rsid w:val="0063316D"/>
    <w:rsid w:val="00633DC9"/>
    <w:rsid w:val="00634622"/>
    <w:rsid w:val="00636808"/>
    <w:rsid w:val="00637951"/>
    <w:rsid w:val="0064043F"/>
    <w:rsid w:val="00641515"/>
    <w:rsid w:val="0064169B"/>
    <w:rsid w:val="00643ABE"/>
    <w:rsid w:val="00646108"/>
    <w:rsid w:val="006514CD"/>
    <w:rsid w:val="00651E87"/>
    <w:rsid w:val="006521CD"/>
    <w:rsid w:val="00652A22"/>
    <w:rsid w:val="00653584"/>
    <w:rsid w:val="00653AA6"/>
    <w:rsid w:val="006548CF"/>
    <w:rsid w:val="00654C2F"/>
    <w:rsid w:val="00654E5D"/>
    <w:rsid w:val="00655438"/>
    <w:rsid w:val="00657087"/>
    <w:rsid w:val="0065715A"/>
    <w:rsid w:val="006578EC"/>
    <w:rsid w:val="00663FCA"/>
    <w:rsid w:val="006643E7"/>
    <w:rsid w:val="006661EF"/>
    <w:rsid w:val="00671655"/>
    <w:rsid w:val="006746CB"/>
    <w:rsid w:val="00677AEB"/>
    <w:rsid w:val="00680EF2"/>
    <w:rsid w:val="00682663"/>
    <w:rsid w:val="00682A3E"/>
    <w:rsid w:val="00684CAC"/>
    <w:rsid w:val="006850AE"/>
    <w:rsid w:val="00686C53"/>
    <w:rsid w:val="00687A1D"/>
    <w:rsid w:val="00690A9B"/>
    <w:rsid w:val="00691CB5"/>
    <w:rsid w:val="00692852"/>
    <w:rsid w:val="00695A40"/>
    <w:rsid w:val="00697EA1"/>
    <w:rsid w:val="006A051A"/>
    <w:rsid w:val="006A2646"/>
    <w:rsid w:val="006A44B2"/>
    <w:rsid w:val="006A593B"/>
    <w:rsid w:val="006A6530"/>
    <w:rsid w:val="006A695F"/>
    <w:rsid w:val="006A6D1D"/>
    <w:rsid w:val="006B2893"/>
    <w:rsid w:val="006B37B2"/>
    <w:rsid w:val="006B3FC3"/>
    <w:rsid w:val="006B435A"/>
    <w:rsid w:val="006B4539"/>
    <w:rsid w:val="006B4C64"/>
    <w:rsid w:val="006B5AE8"/>
    <w:rsid w:val="006C378C"/>
    <w:rsid w:val="006C5AC1"/>
    <w:rsid w:val="006C5CE2"/>
    <w:rsid w:val="006D0529"/>
    <w:rsid w:val="006D0605"/>
    <w:rsid w:val="006D176A"/>
    <w:rsid w:val="006D2891"/>
    <w:rsid w:val="006D36F3"/>
    <w:rsid w:val="006D564C"/>
    <w:rsid w:val="006D6BD5"/>
    <w:rsid w:val="006E0D0E"/>
    <w:rsid w:val="006E1CB0"/>
    <w:rsid w:val="006E254C"/>
    <w:rsid w:val="006E2974"/>
    <w:rsid w:val="006E2DD1"/>
    <w:rsid w:val="006E481A"/>
    <w:rsid w:val="006E5298"/>
    <w:rsid w:val="006E64ED"/>
    <w:rsid w:val="006E6A1F"/>
    <w:rsid w:val="006E6A6A"/>
    <w:rsid w:val="006E77B0"/>
    <w:rsid w:val="006F1049"/>
    <w:rsid w:val="006F18EB"/>
    <w:rsid w:val="006F1A00"/>
    <w:rsid w:val="006F2E9B"/>
    <w:rsid w:val="006F309E"/>
    <w:rsid w:val="006F4A5D"/>
    <w:rsid w:val="006F6B2E"/>
    <w:rsid w:val="006F734A"/>
    <w:rsid w:val="00700D83"/>
    <w:rsid w:val="00701E8A"/>
    <w:rsid w:val="00703A33"/>
    <w:rsid w:val="00704852"/>
    <w:rsid w:val="00704C24"/>
    <w:rsid w:val="00705A77"/>
    <w:rsid w:val="00707321"/>
    <w:rsid w:val="007074E9"/>
    <w:rsid w:val="00707954"/>
    <w:rsid w:val="00707BC5"/>
    <w:rsid w:val="0071039E"/>
    <w:rsid w:val="00713CA6"/>
    <w:rsid w:val="00713DA4"/>
    <w:rsid w:val="0071401A"/>
    <w:rsid w:val="007142FA"/>
    <w:rsid w:val="00714BF1"/>
    <w:rsid w:val="00721383"/>
    <w:rsid w:val="007215E5"/>
    <w:rsid w:val="007216AD"/>
    <w:rsid w:val="007237CF"/>
    <w:rsid w:val="00723DEE"/>
    <w:rsid w:val="00725FE3"/>
    <w:rsid w:val="00726192"/>
    <w:rsid w:val="00726E9A"/>
    <w:rsid w:val="00727864"/>
    <w:rsid w:val="0073228A"/>
    <w:rsid w:val="007333CC"/>
    <w:rsid w:val="007334BA"/>
    <w:rsid w:val="007335D8"/>
    <w:rsid w:val="0073399A"/>
    <w:rsid w:val="00734FD4"/>
    <w:rsid w:val="00736750"/>
    <w:rsid w:val="007369C7"/>
    <w:rsid w:val="00741BCD"/>
    <w:rsid w:val="00741D74"/>
    <w:rsid w:val="00743531"/>
    <w:rsid w:val="007446C0"/>
    <w:rsid w:val="00744A1C"/>
    <w:rsid w:val="007452BB"/>
    <w:rsid w:val="007459AA"/>
    <w:rsid w:val="00745A5B"/>
    <w:rsid w:val="007462D9"/>
    <w:rsid w:val="00746A22"/>
    <w:rsid w:val="00751986"/>
    <w:rsid w:val="0075428A"/>
    <w:rsid w:val="007559B5"/>
    <w:rsid w:val="00756ABD"/>
    <w:rsid w:val="007576A3"/>
    <w:rsid w:val="007603F5"/>
    <w:rsid w:val="00760A70"/>
    <w:rsid w:val="00760BB2"/>
    <w:rsid w:val="00761808"/>
    <w:rsid w:val="0076181C"/>
    <w:rsid w:val="00763757"/>
    <w:rsid w:val="00764DB0"/>
    <w:rsid w:val="00765D82"/>
    <w:rsid w:val="007671EB"/>
    <w:rsid w:val="0076764D"/>
    <w:rsid w:val="0076766F"/>
    <w:rsid w:val="00770DF5"/>
    <w:rsid w:val="0077498C"/>
    <w:rsid w:val="00777070"/>
    <w:rsid w:val="007815D1"/>
    <w:rsid w:val="00782B3F"/>
    <w:rsid w:val="00784128"/>
    <w:rsid w:val="007849D8"/>
    <w:rsid w:val="0078662F"/>
    <w:rsid w:val="0078721E"/>
    <w:rsid w:val="00790B4C"/>
    <w:rsid w:val="0079206E"/>
    <w:rsid w:val="00793173"/>
    <w:rsid w:val="007958F0"/>
    <w:rsid w:val="00797474"/>
    <w:rsid w:val="00797E1B"/>
    <w:rsid w:val="007A12A4"/>
    <w:rsid w:val="007A3905"/>
    <w:rsid w:val="007A76CA"/>
    <w:rsid w:val="007A7EAA"/>
    <w:rsid w:val="007B1E13"/>
    <w:rsid w:val="007B1F40"/>
    <w:rsid w:val="007B3B1B"/>
    <w:rsid w:val="007B5180"/>
    <w:rsid w:val="007B5F0B"/>
    <w:rsid w:val="007B7B54"/>
    <w:rsid w:val="007C0111"/>
    <w:rsid w:val="007C0260"/>
    <w:rsid w:val="007C0663"/>
    <w:rsid w:val="007C13C0"/>
    <w:rsid w:val="007C1FCC"/>
    <w:rsid w:val="007C2831"/>
    <w:rsid w:val="007C2AA1"/>
    <w:rsid w:val="007C2BE7"/>
    <w:rsid w:val="007C3439"/>
    <w:rsid w:val="007C6024"/>
    <w:rsid w:val="007C6201"/>
    <w:rsid w:val="007C63F5"/>
    <w:rsid w:val="007C79DA"/>
    <w:rsid w:val="007D0348"/>
    <w:rsid w:val="007D03E9"/>
    <w:rsid w:val="007D13C6"/>
    <w:rsid w:val="007D1E28"/>
    <w:rsid w:val="007D3AD8"/>
    <w:rsid w:val="007D47FB"/>
    <w:rsid w:val="007D7C92"/>
    <w:rsid w:val="007D7E30"/>
    <w:rsid w:val="007E1154"/>
    <w:rsid w:val="007E1212"/>
    <w:rsid w:val="007E2C7B"/>
    <w:rsid w:val="007E3AA5"/>
    <w:rsid w:val="007E3ADF"/>
    <w:rsid w:val="007E41A0"/>
    <w:rsid w:val="007E43C3"/>
    <w:rsid w:val="007E530F"/>
    <w:rsid w:val="007E6BA4"/>
    <w:rsid w:val="007F19A2"/>
    <w:rsid w:val="007F21A1"/>
    <w:rsid w:val="007F27BC"/>
    <w:rsid w:val="007F41F8"/>
    <w:rsid w:val="007F5881"/>
    <w:rsid w:val="007F5B4C"/>
    <w:rsid w:val="007F6A14"/>
    <w:rsid w:val="00801B30"/>
    <w:rsid w:val="00803AA7"/>
    <w:rsid w:val="00803BE9"/>
    <w:rsid w:val="00804000"/>
    <w:rsid w:val="0080454E"/>
    <w:rsid w:val="00804651"/>
    <w:rsid w:val="0080485F"/>
    <w:rsid w:val="00804C32"/>
    <w:rsid w:val="00805333"/>
    <w:rsid w:val="008060E6"/>
    <w:rsid w:val="00806302"/>
    <w:rsid w:val="00806382"/>
    <w:rsid w:val="008067AE"/>
    <w:rsid w:val="00806F14"/>
    <w:rsid w:val="00807119"/>
    <w:rsid w:val="008071D5"/>
    <w:rsid w:val="00807B17"/>
    <w:rsid w:val="00807FE8"/>
    <w:rsid w:val="00811865"/>
    <w:rsid w:val="00811B23"/>
    <w:rsid w:val="00814A55"/>
    <w:rsid w:val="0081547D"/>
    <w:rsid w:val="00816D7F"/>
    <w:rsid w:val="0082206E"/>
    <w:rsid w:val="00823AB4"/>
    <w:rsid w:val="0082483F"/>
    <w:rsid w:val="00826F54"/>
    <w:rsid w:val="00827849"/>
    <w:rsid w:val="008279C0"/>
    <w:rsid w:val="008313CA"/>
    <w:rsid w:val="00841E70"/>
    <w:rsid w:val="00845226"/>
    <w:rsid w:val="008473AA"/>
    <w:rsid w:val="00847938"/>
    <w:rsid w:val="00851A7A"/>
    <w:rsid w:val="00852883"/>
    <w:rsid w:val="00852F37"/>
    <w:rsid w:val="00853D52"/>
    <w:rsid w:val="00853DBE"/>
    <w:rsid w:val="0085636A"/>
    <w:rsid w:val="008571F6"/>
    <w:rsid w:val="00857A02"/>
    <w:rsid w:val="00861E51"/>
    <w:rsid w:val="0086362D"/>
    <w:rsid w:val="00863862"/>
    <w:rsid w:val="00870B96"/>
    <w:rsid w:val="008723F3"/>
    <w:rsid w:val="00873246"/>
    <w:rsid w:val="00875D76"/>
    <w:rsid w:val="00875E2E"/>
    <w:rsid w:val="00880F99"/>
    <w:rsid w:val="00881DA8"/>
    <w:rsid w:val="00881DE6"/>
    <w:rsid w:val="008837A6"/>
    <w:rsid w:val="008841E5"/>
    <w:rsid w:val="00884D7C"/>
    <w:rsid w:val="00885F80"/>
    <w:rsid w:val="008878F7"/>
    <w:rsid w:val="00887E42"/>
    <w:rsid w:val="00890104"/>
    <w:rsid w:val="0089145D"/>
    <w:rsid w:val="00892B16"/>
    <w:rsid w:val="00892F91"/>
    <w:rsid w:val="00896FD7"/>
    <w:rsid w:val="00897428"/>
    <w:rsid w:val="008A15DA"/>
    <w:rsid w:val="008A30C3"/>
    <w:rsid w:val="008A30EE"/>
    <w:rsid w:val="008A4DF2"/>
    <w:rsid w:val="008A6676"/>
    <w:rsid w:val="008A6841"/>
    <w:rsid w:val="008A6CFE"/>
    <w:rsid w:val="008B00AA"/>
    <w:rsid w:val="008B40E7"/>
    <w:rsid w:val="008B4681"/>
    <w:rsid w:val="008B4B58"/>
    <w:rsid w:val="008B5333"/>
    <w:rsid w:val="008B5476"/>
    <w:rsid w:val="008B6223"/>
    <w:rsid w:val="008C0772"/>
    <w:rsid w:val="008C165D"/>
    <w:rsid w:val="008C3856"/>
    <w:rsid w:val="008C4066"/>
    <w:rsid w:val="008C4B63"/>
    <w:rsid w:val="008C4FA3"/>
    <w:rsid w:val="008C66E0"/>
    <w:rsid w:val="008D0122"/>
    <w:rsid w:val="008D0CF0"/>
    <w:rsid w:val="008D3E17"/>
    <w:rsid w:val="008D5618"/>
    <w:rsid w:val="008D5D34"/>
    <w:rsid w:val="008D7718"/>
    <w:rsid w:val="008E1521"/>
    <w:rsid w:val="008E1B5C"/>
    <w:rsid w:val="008E220E"/>
    <w:rsid w:val="008E3339"/>
    <w:rsid w:val="008E3ADC"/>
    <w:rsid w:val="008E4F14"/>
    <w:rsid w:val="008E587A"/>
    <w:rsid w:val="008E5941"/>
    <w:rsid w:val="008E64D3"/>
    <w:rsid w:val="008E6F11"/>
    <w:rsid w:val="008F041C"/>
    <w:rsid w:val="008F20FC"/>
    <w:rsid w:val="008F2818"/>
    <w:rsid w:val="008F30B1"/>
    <w:rsid w:val="008F3248"/>
    <w:rsid w:val="008F50C4"/>
    <w:rsid w:val="008F5FFE"/>
    <w:rsid w:val="008F6599"/>
    <w:rsid w:val="0090037B"/>
    <w:rsid w:val="00901180"/>
    <w:rsid w:val="00903974"/>
    <w:rsid w:val="00905A43"/>
    <w:rsid w:val="009064FE"/>
    <w:rsid w:val="0090711E"/>
    <w:rsid w:val="009078CE"/>
    <w:rsid w:val="009078FC"/>
    <w:rsid w:val="009108EF"/>
    <w:rsid w:val="00910C2B"/>
    <w:rsid w:val="00911C23"/>
    <w:rsid w:val="00912C79"/>
    <w:rsid w:val="00913FB9"/>
    <w:rsid w:val="00914CDE"/>
    <w:rsid w:val="00915010"/>
    <w:rsid w:val="0091528C"/>
    <w:rsid w:val="009173D1"/>
    <w:rsid w:val="00920978"/>
    <w:rsid w:val="00922651"/>
    <w:rsid w:val="0092350E"/>
    <w:rsid w:val="00923CCC"/>
    <w:rsid w:val="00925F16"/>
    <w:rsid w:val="00926D10"/>
    <w:rsid w:val="00927175"/>
    <w:rsid w:val="009275FE"/>
    <w:rsid w:val="0092775A"/>
    <w:rsid w:val="00933D42"/>
    <w:rsid w:val="009355DB"/>
    <w:rsid w:val="00940C1F"/>
    <w:rsid w:val="009416BD"/>
    <w:rsid w:val="00942123"/>
    <w:rsid w:val="0094263A"/>
    <w:rsid w:val="00943E90"/>
    <w:rsid w:val="009466B4"/>
    <w:rsid w:val="00946EE0"/>
    <w:rsid w:val="00947DB4"/>
    <w:rsid w:val="0095029B"/>
    <w:rsid w:val="0095207B"/>
    <w:rsid w:val="009521C5"/>
    <w:rsid w:val="0095223A"/>
    <w:rsid w:val="009533CB"/>
    <w:rsid w:val="00953B5C"/>
    <w:rsid w:val="009545AD"/>
    <w:rsid w:val="0095526F"/>
    <w:rsid w:val="00955CE0"/>
    <w:rsid w:val="009609CA"/>
    <w:rsid w:val="00961BC2"/>
    <w:rsid w:val="00962045"/>
    <w:rsid w:val="00963D69"/>
    <w:rsid w:val="009661DE"/>
    <w:rsid w:val="00966E44"/>
    <w:rsid w:val="00966EAE"/>
    <w:rsid w:val="009703BD"/>
    <w:rsid w:val="009708BB"/>
    <w:rsid w:val="009727DF"/>
    <w:rsid w:val="009729E8"/>
    <w:rsid w:val="00973D69"/>
    <w:rsid w:val="00975009"/>
    <w:rsid w:val="00975640"/>
    <w:rsid w:val="00975B29"/>
    <w:rsid w:val="00976DA5"/>
    <w:rsid w:val="009773BA"/>
    <w:rsid w:val="00980DF0"/>
    <w:rsid w:val="00981608"/>
    <w:rsid w:val="00984680"/>
    <w:rsid w:val="00990F04"/>
    <w:rsid w:val="00991272"/>
    <w:rsid w:val="00991428"/>
    <w:rsid w:val="00992676"/>
    <w:rsid w:val="00992F90"/>
    <w:rsid w:val="00996161"/>
    <w:rsid w:val="00997A85"/>
    <w:rsid w:val="009A0501"/>
    <w:rsid w:val="009A2BCA"/>
    <w:rsid w:val="009A4050"/>
    <w:rsid w:val="009A5354"/>
    <w:rsid w:val="009A6A10"/>
    <w:rsid w:val="009A7172"/>
    <w:rsid w:val="009B0723"/>
    <w:rsid w:val="009B07AD"/>
    <w:rsid w:val="009B0883"/>
    <w:rsid w:val="009B0A4C"/>
    <w:rsid w:val="009B15E2"/>
    <w:rsid w:val="009B2F54"/>
    <w:rsid w:val="009C0B8E"/>
    <w:rsid w:val="009C1527"/>
    <w:rsid w:val="009C1721"/>
    <w:rsid w:val="009C1BC8"/>
    <w:rsid w:val="009C1D0D"/>
    <w:rsid w:val="009C2442"/>
    <w:rsid w:val="009C2628"/>
    <w:rsid w:val="009C26AB"/>
    <w:rsid w:val="009C27B1"/>
    <w:rsid w:val="009C309C"/>
    <w:rsid w:val="009C5201"/>
    <w:rsid w:val="009C5E4A"/>
    <w:rsid w:val="009C687D"/>
    <w:rsid w:val="009C7DAF"/>
    <w:rsid w:val="009C7F17"/>
    <w:rsid w:val="009D0811"/>
    <w:rsid w:val="009D0E12"/>
    <w:rsid w:val="009D0EE1"/>
    <w:rsid w:val="009D382E"/>
    <w:rsid w:val="009D43D0"/>
    <w:rsid w:val="009D510C"/>
    <w:rsid w:val="009D5CDB"/>
    <w:rsid w:val="009D6251"/>
    <w:rsid w:val="009D6709"/>
    <w:rsid w:val="009E13C1"/>
    <w:rsid w:val="009E2A9C"/>
    <w:rsid w:val="009E2AEB"/>
    <w:rsid w:val="009E2E27"/>
    <w:rsid w:val="009E44C0"/>
    <w:rsid w:val="009E4DE3"/>
    <w:rsid w:val="009E50C1"/>
    <w:rsid w:val="009F0C29"/>
    <w:rsid w:val="009F0C5A"/>
    <w:rsid w:val="009F1E59"/>
    <w:rsid w:val="00A02198"/>
    <w:rsid w:val="00A047EE"/>
    <w:rsid w:val="00A057CA"/>
    <w:rsid w:val="00A12FBC"/>
    <w:rsid w:val="00A136AF"/>
    <w:rsid w:val="00A13F8F"/>
    <w:rsid w:val="00A149B7"/>
    <w:rsid w:val="00A177BC"/>
    <w:rsid w:val="00A17930"/>
    <w:rsid w:val="00A2274A"/>
    <w:rsid w:val="00A229DD"/>
    <w:rsid w:val="00A235B7"/>
    <w:rsid w:val="00A23647"/>
    <w:rsid w:val="00A249AC"/>
    <w:rsid w:val="00A26951"/>
    <w:rsid w:val="00A27A7A"/>
    <w:rsid w:val="00A301D1"/>
    <w:rsid w:val="00A3059C"/>
    <w:rsid w:val="00A31881"/>
    <w:rsid w:val="00A330E5"/>
    <w:rsid w:val="00A36C9D"/>
    <w:rsid w:val="00A40529"/>
    <w:rsid w:val="00A407EF"/>
    <w:rsid w:val="00A411B7"/>
    <w:rsid w:val="00A4131E"/>
    <w:rsid w:val="00A42023"/>
    <w:rsid w:val="00A45800"/>
    <w:rsid w:val="00A46B4C"/>
    <w:rsid w:val="00A5117B"/>
    <w:rsid w:val="00A51DE1"/>
    <w:rsid w:val="00A5548C"/>
    <w:rsid w:val="00A560B6"/>
    <w:rsid w:val="00A566E3"/>
    <w:rsid w:val="00A56CF7"/>
    <w:rsid w:val="00A56DBC"/>
    <w:rsid w:val="00A60074"/>
    <w:rsid w:val="00A641E0"/>
    <w:rsid w:val="00A646E2"/>
    <w:rsid w:val="00A651A9"/>
    <w:rsid w:val="00A6627C"/>
    <w:rsid w:val="00A71019"/>
    <w:rsid w:val="00A73B60"/>
    <w:rsid w:val="00A7500D"/>
    <w:rsid w:val="00A7509D"/>
    <w:rsid w:val="00A75629"/>
    <w:rsid w:val="00A81029"/>
    <w:rsid w:val="00A82AEC"/>
    <w:rsid w:val="00A82AFB"/>
    <w:rsid w:val="00A8485D"/>
    <w:rsid w:val="00A849EF"/>
    <w:rsid w:val="00A86584"/>
    <w:rsid w:val="00A86B29"/>
    <w:rsid w:val="00A90BDB"/>
    <w:rsid w:val="00A93579"/>
    <w:rsid w:val="00A94CB7"/>
    <w:rsid w:val="00A94F10"/>
    <w:rsid w:val="00A96062"/>
    <w:rsid w:val="00A96489"/>
    <w:rsid w:val="00A96BB0"/>
    <w:rsid w:val="00A97D88"/>
    <w:rsid w:val="00AA0E39"/>
    <w:rsid w:val="00AA1F76"/>
    <w:rsid w:val="00AA23CE"/>
    <w:rsid w:val="00AA2CBD"/>
    <w:rsid w:val="00AA5A58"/>
    <w:rsid w:val="00AA670C"/>
    <w:rsid w:val="00AB0F14"/>
    <w:rsid w:val="00AB1B60"/>
    <w:rsid w:val="00AB2BB6"/>
    <w:rsid w:val="00AB5A37"/>
    <w:rsid w:val="00AB61D6"/>
    <w:rsid w:val="00AB685C"/>
    <w:rsid w:val="00AB6C2D"/>
    <w:rsid w:val="00AC0739"/>
    <w:rsid w:val="00AC08F7"/>
    <w:rsid w:val="00AC126D"/>
    <w:rsid w:val="00AC3075"/>
    <w:rsid w:val="00AC36E5"/>
    <w:rsid w:val="00AC3839"/>
    <w:rsid w:val="00AC7082"/>
    <w:rsid w:val="00AD0662"/>
    <w:rsid w:val="00AD0C08"/>
    <w:rsid w:val="00AD1B6B"/>
    <w:rsid w:val="00AD331C"/>
    <w:rsid w:val="00AD4E0B"/>
    <w:rsid w:val="00AD57A5"/>
    <w:rsid w:val="00AD65A8"/>
    <w:rsid w:val="00AD74AD"/>
    <w:rsid w:val="00AD76EF"/>
    <w:rsid w:val="00AD7A9A"/>
    <w:rsid w:val="00AE027F"/>
    <w:rsid w:val="00AE4C7B"/>
    <w:rsid w:val="00AE4D6F"/>
    <w:rsid w:val="00AF1BBD"/>
    <w:rsid w:val="00AF228E"/>
    <w:rsid w:val="00AF455B"/>
    <w:rsid w:val="00AF5899"/>
    <w:rsid w:val="00B0123F"/>
    <w:rsid w:val="00B04004"/>
    <w:rsid w:val="00B040A3"/>
    <w:rsid w:val="00B049E4"/>
    <w:rsid w:val="00B05B77"/>
    <w:rsid w:val="00B06A67"/>
    <w:rsid w:val="00B11E0E"/>
    <w:rsid w:val="00B12F13"/>
    <w:rsid w:val="00B14819"/>
    <w:rsid w:val="00B15CA6"/>
    <w:rsid w:val="00B17AA9"/>
    <w:rsid w:val="00B20235"/>
    <w:rsid w:val="00B221FF"/>
    <w:rsid w:val="00B2292D"/>
    <w:rsid w:val="00B246B1"/>
    <w:rsid w:val="00B24ECF"/>
    <w:rsid w:val="00B26B31"/>
    <w:rsid w:val="00B30A70"/>
    <w:rsid w:val="00B30AE1"/>
    <w:rsid w:val="00B32674"/>
    <w:rsid w:val="00B333FE"/>
    <w:rsid w:val="00B3503B"/>
    <w:rsid w:val="00B35972"/>
    <w:rsid w:val="00B366EC"/>
    <w:rsid w:val="00B378FA"/>
    <w:rsid w:val="00B413F4"/>
    <w:rsid w:val="00B42352"/>
    <w:rsid w:val="00B4286F"/>
    <w:rsid w:val="00B5078D"/>
    <w:rsid w:val="00B51227"/>
    <w:rsid w:val="00B51975"/>
    <w:rsid w:val="00B52E4D"/>
    <w:rsid w:val="00B52FCC"/>
    <w:rsid w:val="00B54F90"/>
    <w:rsid w:val="00B55C9E"/>
    <w:rsid w:val="00B56B95"/>
    <w:rsid w:val="00B607DF"/>
    <w:rsid w:val="00B61D41"/>
    <w:rsid w:val="00B623C4"/>
    <w:rsid w:val="00B6409C"/>
    <w:rsid w:val="00B64845"/>
    <w:rsid w:val="00B64A85"/>
    <w:rsid w:val="00B6589D"/>
    <w:rsid w:val="00B66053"/>
    <w:rsid w:val="00B702B6"/>
    <w:rsid w:val="00B7193E"/>
    <w:rsid w:val="00B72999"/>
    <w:rsid w:val="00B72F24"/>
    <w:rsid w:val="00B72FD7"/>
    <w:rsid w:val="00B736DF"/>
    <w:rsid w:val="00B74836"/>
    <w:rsid w:val="00B74FBD"/>
    <w:rsid w:val="00B76558"/>
    <w:rsid w:val="00B8087D"/>
    <w:rsid w:val="00B82586"/>
    <w:rsid w:val="00B829A3"/>
    <w:rsid w:val="00B84CE9"/>
    <w:rsid w:val="00B86537"/>
    <w:rsid w:val="00B86DB1"/>
    <w:rsid w:val="00B87869"/>
    <w:rsid w:val="00B87A61"/>
    <w:rsid w:val="00B92D5B"/>
    <w:rsid w:val="00B93559"/>
    <w:rsid w:val="00B93EE7"/>
    <w:rsid w:val="00B9417E"/>
    <w:rsid w:val="00B948AE"/>
    <w:rsid w:val="00B950F0"/>
    <w:rsid w:val="00B959E2"/>
    <w:rsid w:val="00BA0D8B"/>
    <w:rsid w:val="00BA1648"/>
    <w:rsid w:val="00BA227D"/>
    <w:rsid w:val="00BA22A1"/>
    <w:rsid w:val="00BA2637"/>
    <w:rsid w:val="00BA2919"/>
    <w:rsid w:val="00BA35FF"/>
    <w:rsid w:val="00BB09FD"/>
    <w:rsid w:val="00BB0F2B"/>
    <w:rsid w:val="00BB1F8D"/>
    <w:rsid w:val="00BB220F"/>
    <w:rsid w:val="00BB4A03"/>
    <w:rsid w:val="00BB5875"/>
    <w:rsid w:val="00BB5A37"/>
    <w:rsid w:val="00BB6955"/>
    <w:rsid w:val="00BB6F7A"/>
    <w:rsid w:val="00BC1043"/>
    <w:rsid w:val="00BC3440"/>
    <w:rsid w:val="00BC3FD8"/>
    <w:rsid w:val="00BC48EB"/>
    <w:rsid w:val="00BC4A7D"/>
    <w:rsid w:val="00BC585F"/>
    <w:rsid w:val="00BC5898"/>
    <w:rsid w:val="00BC5D7D"/>
    <w:rsid w:val="00BC6BCE"/>
    <w:rsid w:val="00BC7F2E"/>
    <w:rsid w:val="00BD0299"/>
    <w:rsid w:val="00BD0F7F"/>
    <w:rsid w:val="00BD1928"/>
    <w:rsid w:val="00BD23B4"/>
    <w:rsid w:val="00BD288F"/>
    <w:rsid w:val="00BD3363"/>
    <w:rsid w:val="00BD3F18"/>
    <w:rsid w:val="00BD64FB"/>
    <w:rsid w:val="00BD71D7"/>
    <w:rsid w:val="00BD7967"/>
    <w:rsid w:val="00BD7D49"/>
    <w:rsid w:val="00BE2464"/>
    <w:rsid w:val="00BE305B"/>
    <w:rsid w:val="00BE64B3"/>
    <w:rsid w:val="00BE6541"/>
    <w:rsid w:val="00BF2B49"/>
    <w:rsid w:val="00BF2E7A"/>
    <w:rsid w:val="00BF3D02"/>
    <w:rsid w:val="00BF40B9"/>
    <w:rsid w:val="00BF50F7"/>
    <w:rsid w:val="00BF5D90"/>
    <w:rsid w:val="00C00231"/>
    <w:rsid w:val="00C01017"/>
    <w:rsid w:val="00C0229F"/>
    <w:rsid w:val="00C02F29"/>
    <w:rsid w:val="00C04632"/>
    <w:rsid w:val="00C04647"/>
    <w:rsid w:val="00C07B0B"/>
    <w:rsid w:val="00C15A16"/>
    <w:rsid w:val="00C165A9"/>
    <w:rsid w:val="00C1724E"/>
    <w:rsid w:val="00C20337"/>
    <w:rsid w:val="00C20AFE"/>
    <w:rsid w:val="00C22673"/>
    <w:rsid w:val="00C22A25"/>
    <w:rsid w:val="00C25BCF"/>
    <w:rsid w:val="00C25EA5"/>
    <w:rsid w:val="00C263EE"/>
    <w:rsid w:val="00C26E4B"/>
    <w:rsid w:val="00C27CF8"/>
    <w:rsid w:val="00C305A8"/>
    <w:rsid w:val="00C31102"/>
    <w:rsid w:val="00C31C63"/>
    <w:rsid w:val="00C33C84"/>
    <w:rsid w:val="00C3453F"/>
    <w:rsid w:val="00C34A50"/>
    <w:rsid w:val="00C35026"/>
    <w:rsid w:val="00C353E4"/>
    <w:rsid w:val="00C35671"/>
    <w:rsid w:val="00C35B77"/>
    <w:rsid w:val="00C376EB"/>
    <w:rsid w:val="00C4187E"/>
    <w:rsid w:val="00C42F55"/>
    <w:rsid w:val="00C444EC"/>
    <w:rsid w:val="00C44FFC"/>
    <w:rsid w:val="00C458F5"/>
    <w:rsid w:val="00C45A03"/>
    <w:rsid w:val="00C46EC1"/>
    <w:rsid w:val="00C50B72"/>
    <w:rsid w:val="00C50F86"/>
    <w:rsid w:val="00C51214"/>
    <w:rsid w:val="00C519BA"/>
    <w:rsid w:val="00C53E2C"/>
    <w:rsid w:val="00C550C8"/>
    <w:rsid w:val="00C56136"/>
    <w:rsid w:val="00C56B61"/>
    <w:rsid w:val="00C56D56"/>
    <w:rsid w:val="00C570AC"/>
    <w:rsid w:val="00C5730D"/>
    <w:rsid w:val="00C60631"/>
    <w:rsid w:val="00C606C3"/>
    <w:rsid w:val="00C61873"/>
    <w:rsid w:val="00C620F4"/>
    <w:rsid w:val="00C629CB"/>
    <w:rsid w:val="00C673EB"/>
    <w:rsid w:val="00C71F4F"/>
    <w:rsid w:val="00C72848"/>
    <w:rsid w:val="00C72DE1"/>
    <w:rsid w:val="00C750BA"/>
    <w:rsid w:val="00C7736C"/>
    <w:rsid w:val="00C80272"/>
    <w:rsid w:val="00C82D87"/>
    <w:rsid w:val="00C83037"/>
    <w:rsid w:val="00C84E63"/>
    <w:rsid w:val="00C8712A"/>
    <w:rsid w:val="00C903E3"/>
    <w:rsid w:val="00C92A0D"/>
    <w:rsid w:val="00C93727"/>
    <w:rsid w:val="00C93FDC"/>
    <w:rsid w:val="00C9438F"/>
    <w:rsid w:val="00C952A2"/>
    <w:rsid w:val="00C96394"/>
    <w:rsid w:val="00C963D3"/>
    <w:rsid w:val="00CA0B50"/>
    <w:rsid w:val="00CA1802"/>
    <w:rsid w:val="00CA49BE"/>
    <w:rsid w:val="00CA5349"/>
    <w:rsid w:val="00CA6E99"/>
    <w:rsid w:val="00CB262C"/>
    <w:rsid w:val="00CB2CBB"/>
    <w:rsid w:val="00CB3EB6"/>
    <w:rsid w:val="00CB5B5A"/>
    <w:rsid w:val="00CB7283"/>
    <w:rsid w:val="00CB7CAC"/>
    <w:rsid w:val="00CC0437"/>
    <w:rsid w:val="00CC2671"/>
    <w:rsid w:val="00CC3201"/>
    <w:rsid w:val="00CC467D"/>
    <w:rsid w:val="00CC5051"/>
    <w:rsid w:val="00CC5335"/>
    <w:rsid w:val="00CC579C"/>
    <w:rsid w:val="00CC5BA4"/>
    <w:rsid w:val="00CC5ECB"/>
    <w:rsid w:val="00CC7728"/>
    <w:rsid w:val="00CD0E2B"/>
    <w:rsid w:val="00CD0FFE"/>
    <w:rsid w:val="00CD218F"/>
    <w:rsid w:val="00CD34DB"/>
    <w:rsid w:val="00CD377A"/>
    <w:rsid w:val="00CD4998"/>
    <w:rsid w:val="00CD499F"/>
    <w:rsid w:val="00CD7DBC"/>
    <w:rsid w:val="00CE0286"/>
    <w:rsid w:val="00CE1035"/>
    <w:rsid w:val="00CE3278"/>
    <w:rsid w:val="00CE5F0D"/>
    <w:rsid w:val="00CE62CA"/>
    <w:rsid w:val="00CF01D6"/>
    <w:rsid w:val="00CF2819"/>
    <w:rsid w:val="00CF2945"/>
    <w:rsid w:val="00CF4F9D"/>
    <w:rsid w:val="00CF5AD8"/>
    <w:rsid w:val="00CF70DC"/>
    <w:rsid w:val="00CF717B"/>
    <w:rsid w:val="00CF7281"/>
    <w:rsid w:val="00D068C5"/>
    <w:rsid w:val="00D07F87"/>
    <w:rsid w:val="00D11369"/>
    <w:rsid w:val="00D148DC"/>
    <w:rsid w:val="00D1576B"/>
    <w:rsid w:val="00D1688E"/>
    <w:rsid w:val="00D17FDC"/>
    <w:rsid w:val="00D2029B"/>
    <w:rsid w:val="00D20882"/>
    <w:rsid w:val="00D2180F"/>
    <w:rsid w:val="00D223E4"/>
    <w:rsid w:val="00D2550E"/>
    <w:rsid w:val="00D256C6"/>
    <w:rsid w:val="00D25F51"/>
    <w:rsid w:val="00D35229"/>
    <w:rsid w:val="00D35ADE"/>
    <w:rsid w:val="00D35EAE"/>
    <w:rsid w:val="00D43CE1"/>
    <w:rsid w:val="00D44F59"/>
    <w:rsid w:val="00D465CC"/>
    <w:rsid w:val="00D4685B"/>
    <w:rsid w:val="00D503E5"/>
    <w:rsid w:val="00D5192B"/>
    <w:rsid w:val="00D54B4C"/>
    <w:rsid w:val="00D57C59"/>
    <w:rsid w:val="00D60215"/>
    <w:rsid w:val="00D60874"/>
    <w:rsid w:val="00D63EFD"/>
    <w:rsid w:val="00D6588F"/>
    <w:rsid w:val="00D66F15"/>
    <w:rsid w:val="00D676F1"/>
    <w:rsid w:val="00D714E4"/>
    <w:rsid w:val="00D72993"/>
    <w:rsid w:val="00D75817"/>
    <w:rsid w:val="00D761ED"/>
    <w:rsid w:val="00D829EB"/>
    <w:rsid w:val="00D84752"/>
    <w:rsid w:val="00D8568A"/>
    <w:rsid w:val="00D86851"/>
    <w:rsid w:val="00D86A74"/>
    <w:rsid w:val="00D86B3B"/>
    <w:rsid w:val="00D86D42"/>
    <w:rsid w:val="00D8748A"/>
    <w:rsid w:val="00D905E4"/>
    <w:rsid w:val="00D90A54"/>
    <w:rsid w:val="00D910D5"/>
    <w:rsid w:val="00D93196"/>
    <w:rsid w:val="00D931A2"/>
    <w:rsid w:val="00D95E48"/>
    <w:rsid w:val="00D97393"/>
    <w:rsid w:val="00DA31A5"/>
    <w:rsid w:val="00DA3C12"/>
    <w:rsid w:val="00DA3FDD"/>
    <w:rsid w:val="00DA42DA"/>
    <w:rsid w:val="00DA42EF"/>
    <w:rsid w:val="00DB0D0B"/>
    <w:rsid w:val="00DB18A8"/>
    <w:rsid w:val="00DB1A35"/>
    <w:rsid w:val="00DB243C"/>
    <w:rsid w:val="00DB482A"/>
    <w:rsid w:val="00DB56F2"/>
    <w:rsid w:val="00DB5A5A"/>
    <w:rsid w:val="00DB5D9B"/>
    <w:rsid w:val="00DB61FA"/>
    <w:rsid w:val="00DB6EF5"/>
    <w:rsid w:val="00DB7CD1"/>
    <w:rsid w:val="00DC054A"/>
    <w:rsid w:val="00DC2A3F"/>
    <w:rsid w:val="00DC2BEC"/>
    <w:rsid w:val="00DC2FDB"/>
    <w:rsid w:val="00DC3089"/>
    <w:rsid w:val="00DC3500"/>
    <w:rsid w:val="00DC38CC"/>
    <w:rsid w:val="00DC4420"/>
    <w:rsid w:val="00DC6681"/>
    <w:rsid w:val="00DC670B"/>
    <w:rsid w:val="00DC7575"/>
    <w:rsid w:val="00DD01DA"/>
    <w:rsid w:val="00DD0802"/>
    <w:rsid w:val="00DD0B2C"/>
    <w:rsid w:val="00DD19C6"/>
    <w:rsid w:val="00DD2E11"/>
    <w:rsid w:val="00DD4E68"/>
    <w:rsid w:val="00DD526C"/>
    <w:rsid w:val="00DD5757"/>
    <w:rsid w:val="00DD59B5"/>
    <w:rsid w:val="00DD6923"/>
    <w:rsid w:val="00DD7AD7"/>
    <w:rsid w:val="00DE03AF"/>
    <w:rsid w:val="00DE05D4"/>
    <w:rsid w:val="00DE097E"/>
    <w:rsid w:val="00DE121C"/>
    <w:rsid w:val="00DE2BF5"/>
    <w:rsid w:val="00DE475E"/>
    <w:rsid w:val="00DE4BE2"/>
    <w:rsid w:val="00DE6617"/>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36EB"/>
    <w:rsid w:val="00E15BA9"/>
    <w:rsid w:val="00E161D2"/>
    <w:rsid w:val="00E177E2"/>
    <w:rsid w:val="00E17B25"/>
    <w:rsid w:val="00E17BF1"/>
    <w:rsid w:val="00E20679"/>
    <w:rsid w:val="00E22DE4"/>
    <w:rsid w:val="00E25FB8"/>
    <w:rsid w:val="00E26E19"/>
    <w:rsid w:val="00E27B2A"/>
    <w:rsid w:val="00E31DF3"/>
    <w:rsid w:val="00E35029"/>
    <w:rsid w:val="00E368C9"/>
    <w:rsid w:val="00E37049"/>
    <w:rsid w:val="00E40C93"/>
    <w:rsid w:val="00E4126D"/>
    <w:rsid w:val="00E450A4"/>
    <w:rsid w:val="00E506BE"/>
    <w:rsid w:val="00E518B6"/>
    <w:rsid w:val="00E525B9"/>
    <w:rsid w:val="00E53AE9"/>
    <w:rsid w:val="00E54ADD"/>
    <w:rsid w:val="00E55547"/>
    <w:rsid w:val="00E55E9B"/>
    <w:rsid w:val="00E56865"/>
    <w:rsid w:val="00E6085F"/>
    <w:rsid w:val="00E6211B"/>
    <w:rsid w:val="00E62DFD"/>
    <w:rsid w:val="00E6302B"/>
    <w:rsid w:val="00E64302"/>
    <w:rsid w:val="00E6452F"/>
    <w:rsid w:val="00E64F45"/>
    <w:rsid w:val="00E6525B"/>
    <w:rsid w:val="00E6742D"/>
    <w:rsid w:val="00E71CB0"/>
    <w:rsid w:val="00E72F8D"/>
    <w:rsid w:val="00E7314F"/>
    <w:rsid w:val="00E7537E"/>
    <w:rsid w:val="00E76F2F"/>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41CB"/>
    <w:rsid w:val="00E950C0"/>
    <w:rsid w:val="00E9597C"/>
    <w:rsid w:val="00EA0879"/>
    <w:rsid w:val="00EA0913"/>
    <w:rsid w:val="00EA1A94"/>
    <w:rsid w:val="00EA35F5"/>
    <w:rsid w:val="00EA367B"/>
    <w:rsid w:val="00EA43A8"/>
    <w:rsid w:val="00EA4D77"/>
    <w:rsid w:val="00EA5317"/>
    <w:rsid w:val="00EA6550"/>
    <w:rsid w:val="00EA7BAB"/>
    <w:rsid w:val="00EB02BE"/>
    <w:rsid w:val="00EB146B"/>
    <w:rsid w:val="00EB21D4"/>
    <w:rsid w:val="00EB2845"/>
    <w:rsid w:val="00EB41D5"/>
    <w:rsid w:val="00EB45AC"/>
    <w:rsid w:val="00EB488B"/>
    <w:rsid w:val="00EB566B"/>
    <w:rsid w:val="00EB6668"/>
    <w:rsid w:val="00EB6A2F"/>
    <w:rsid w:val="00EC0010"/>
    <w:rsid w:val="00EC0CAF"/>
    <w:rsid w:val="00EC1D5C"/>
    <w:rsid w:val="00EC3875"/>
    <w:rsid w:val="00EC549E"/>
    <w:rsid w:val="00EC6E55"/>
    <w:rsid w:val="00EC7138"/>
    <w:rsid w:val="00ED0BC4"/>
    <w:rsid w:val="00ED151E"/>
    <w:rsid w:val="00ED1547"/>
    <w:rsid w:val="00ED3CDA"/>
    <w:rsid w:val="00ED617A"/>
    <w:rsid w:val="00EE1A0E"/>
    <w:rsid w:val="00EE4971"/>
    <w:rsid w:val="00EE5A48"/>
    <w:rsid w:val="00EE5F7D"/>
    <w:rsid w:val="00EE6390"/>
    <w:rsid w:val="00EE7278"/>
    <w:rsid w:val="00EE78FA"/>
    <w:rsid w:val="00EF090E"/>
    <w:rsid w:val="00EF16B6"/>
    <w:rsid w:val="00EF1B1A"/>
    <w:rsid w:val="00EF2D08"/>
    <w:rsid w:val="00EF44D7"/>
    <w:rsid w:val="00EF5705"/>
    <w:rsid w:val="00EF6653"/>
    <w:rsid w:val="00F033DA"/>
    <w:rsid w:val="00F0424E"/>
    <w:rsid w:val="00F106CE"/>
    <w:rsid w:val="00F1096A"/>
    <w:rsid w:val="00F12AA4"/>
    <w:rsid w:val="00F12F7B"/>
    <w:rsid w:val="00F13FB1"/>
    <w:rsid w:val="00F15181"/>
    <w:rsid w:val="00F15219"/>
    <w:rsid w:val="00F1640B"/>
    <w:rsid w:val="00F2025D"/>
    <w:rsid w:val="00F20842"/>
    <w:rsid w:val="00F27CD8"/>
    <w:rsid w:val="00F30351"/>
    <w:rsid w:val="00F3144D"/>
    <w:rsid w:val="00F32D82"/>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574A6"/>
    <w:rsid w:val="00F60C52"/>
    <w:rsid w:val="00F61DD2"/>
    <w:rsid w:val="00F62000"/>
    <w:rsid w:val="00F622D5"/>
    <w:rsid w:val="00F63720"/>
    <w:rsid w:val="00F65FB6"/>
    <w:rsid w:val="00F66AFF"/>
    <w:rsid w:val="00F66B00"/>
    <w:rsid w:val="00F71433"/>
    <w:rsid w:val="00F71CE8"/>
    <w:rsid w:val="00F72C34"/>
    <w:rsid w:val="00F738B0"/>
    <w:rsid w:val="00F801C5"/>
    <w:rsid w:val="00F83231"/>
    <w:rsid w:val="00F85A51"/>
    <w:rsid w:val="00F85C0B"/>
    <w:rsid w:val="00F85DB2"/>
    <w:rsid w:val="00F8671D"/>
    <w:rsid w:val="00F86B0C"/>
    <w:rsid w:val="00F87829"/>
    <w:rsid w:val="00F91FA7"/>
    <w:rsid w:val="00F95955"/>
    <w:rsid w:val="00F96AF1"/>
    <w:rsid w:val="00F97C5B"/>
    <w:rsid w:val="00FA06DB"/>
    <w:rsid w:val="00FA29FD"/>
    <w:rsid w:val="00FA2A46"/>
    <w:rsid w:val="00FA3739"/>
    <w:rsid w:val="00FA3D50"/>
    <w:rsid w:val="00FA43E7"/>
    <w:rsid w:val="00FA486E"/>
    <w:rsid w:val="00FA6560"/>
    <w:rsid w:val="00FB2B56"/>
    <w:rsid w:val="00FB2C11"/>
    <w:rsid w:val="00FB2C81"/>
    <w:rsid w:val="00FB3804"/>
    <w:rsid w:val="00FB50F0"/>
    <w:rsid w:val="00FB584B"/>
    <w:rsid w:val="00FB6703"/>
    <w:rsid w:val="00FB7C8F"/>
    <w:rsid w:val="00FB7D52"/>
    <w:rsid w:val="00FB7D6D"/>
    <w:rsid w:val="00FC00DA"/>
    <w:rsid w:val="00FC204E"/>
    <w:rsid w:val="00FC2741"/>
    <w:rsid w:val="00FC29D8"/>
    <w:rsid w:val="00FC30E1"/>
    <w:rsid w:val="00FC337F"/>
    <w:rsid w:val="00FC374A"/>
    <w:rsid w:val="00FC4917"/>
    <w:rsid w:val="00FC4F43"/>
    <w:rsid w:val="00FC5D26"/>
    <w:rsid w:val="00FC7B47"/>
    <w:rsid w:val="00FD0169"/>
    <w:rsid w:val="00FD035C"/>
    <w:rsid w:val="00FD1240"/>
    <w:rsid w:val="00FD1A35"/>
    <w:rsid w:val="00FD23D7"/>
    <w:rsid w:val="00FD36C5"/>
    <w:rsid w:val="00FD5B6F"/>
    <w:rsid w:val="00FD6126"/>
    <w:rsid w:val="00FD6310"/>
    <w:rsid w:val="00FD719B"/>
    <w:rsid w:val="00FD7C7B"/>
    <w:rsid w:val="00FE1D12"/>
    <w:rsid w:val="00FE2122"/>
    <w:rsid w:val="00FE2A86"/>
    <w:rsid w:val="00FE5706"/>
    <w:rsid w:val="00FE6330"/>
    <w:rsid w:val="00FE7820"/>
    <w:rsid w:val="00FF0BFE"/>
    <w:rsid w:val="00FF0D81"/>
    <w:rsid w:val="00FF16B5"/>
    <w:rsid w:val="00FF22DC"/>
    <w:rsid w:val="00FF296F"/>
    <w:rsid w:val="00FF332F"/>
    <w:rsid w:val="00FF3529"/>
    <w:rsid w:val="00FF374B"/>
    <w:rsid w:val="00FF549A"/>
    <w:rsid w:val="00FF5E23"/>
    <w:rsid w:val="00FF64CE"/>
    <w:rsid w:val="00FF68A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13</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Stanley Tan</cp:lastModifiedBy>
  <cp:revision>588</cp:revision>
  <cp:lastPrinted>2020-06-12T02:43:00Z</cp:lastPrinted>
  <dcterms:created xsi:type="dcterms:W3CDTF">2023-07-14T10:19:00Z</dcterms:created>
  <dcterms:modified xsi:type="dcterms:W3CDTF">2023-11-15T18:47:00Z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