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F42191" w:rsidRDefault="00806382" w:rsidP="00806382">
      <w:pPr>
        <w:pStyle w:val="ListParagraph"/>
        <w:numPr>
          <w:ilvl w:val="0"/>
          <w:numId w:val="15"/>
        </w:numPr>
        <w:ind w:left="425" w:hanging="357"/>
        <w:jc w:val="both"/>
        <w:rPr>
          <w:rFonts w:ascii="Avenir Next" w:hAnsi="Avenir Next" w:cs="Arial"/>
          <w:sz w:val="22"/>
          <w:szCs w:val="22"/>
          <w:highlight w:val="yellow"/>
        </w:rPr>
      </w:pPr>
      <w:r w:rsidRPr="00F42191">
        <w:rPr>
          <w:rFonts w:ascii="Avenir Next" w:hAnsi="Avenir Next" w:cs="Arial"/>
          <w:sz w:val="22"/>
          <w:szCs w:val="22"/>
          <w:highlight w:val="yellow"/>
        </w:rPr>
        <w:t xml:space="preserve">This statement is untrue since the word </w:t>
      </w:r>
      <w:r w:rsidR="00823AB4" w:rsidRPr="00F42191">
        <w:rPr>
          <w:rFonts w:ascii="Avenir Next" w:hAnsi="Avenir Next" w:cs="Arial"/>
          <w:sz w:val="22"/>
          <w:szCs w:val="22"/>
          <w:highlight w:val="yellow"/>
        </w:rPr>
        <w:t>“</w:t>
      </w:r>
      <w:r w:rsidRPr="00F42191">
        <w:rPr>
          <w:rFonts w:ascii="Avenir Next" w:hAnsi="Avenir Next" w:cs="Arial"/>
          <w:sz w:val="22"/>
          <w:szCs w:val="22"/>
          <w:highlight w:val="yellow"/>
        </w:rPr>
        <w:t>bankruptcy</w:t>
      </w:r>
      <w:r w:rsidR="00823AB4" w:rsidRPr="00F42191">
        <w:rPr>
          <w:rFonts w:ascii="Avenir Next" w:hAnsi="Avenir Next" w:cs="Arial"/>
          <w:sz w:val="22"/>
          <w:szCs w:val="22"/>
          <w:highlight w:val="yellow"/>
        </w:rPr>
        <w:t>”</w:t>
      </w:r>
      <w:r w:rsidRPr="00F42191">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F42191" w:rsidRDefault="001211E6" w:rsidP="001211E6">
      <w:pPr>
        <w:pStyle w:val="ListParagraph"/>
        <w:numPr>
          <w:ilvl w:val="0"/>
          <w:numId w:val="16"/>
        </w:numPr>
        <w:ind w:left="426"/>
        <w:jc w:val="both"/>
        <w:rPr>
          <w:rFonts w:ascii="Avenir Next" w:hAnsi="Avenir Next" w:cs="Arial"/>
          <w:sz w:val="22"/>
          <w:szCs w:val="22"/>
          <w:highlight w:val="yellow"/>
        </w:rPr>
      </w:pPr>
      <w:r w:rsidRPr="00F42191">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F42191"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F4219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F42191"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F42191">
        <w:rPr>
          <w:rFonts w:ascii="Avenir Next" w:hAnsi="Avenir Next" w:cs="Arial"/>
          <w:sz w:val="22"/>
          <w:szCs w:val="22"/>
          <w:highlight w:val="yellow"/>
          <w:lang w:val="en-GB"/>
        </w:rPr>
        <w:t xml:space="preserve">This statement is incorrect since a statutory discharge of debt was only introduced in 1705 in England.    </w:t>
      </w:r>
      <w:r w:rsidRPr="00F42191">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F42191" w:rsidRDefault="006514CD" w:rsidP="006514CD">
      <w:pPr>
        <w:pStyle w:val="ListParagraph"/>
        <w:numPr>
          <w:ilvl w:val="0"/>
          <w:numId w:val="19"/>
        </w:numPr>
        <w:ind w:left="425" w:hanging="357"/>
        <w:jc w:val="both"/>
        <w:rPr>
          <w:rFonts w:ascii="Avenir Next" w:hAnsi="Avenir Next" w:cs="Arial"/>
          <w:sz w:val="22"/>
          <w:szCs w:val="22"/>
          <w:highlight w:val="yellow"/>
        </w:rPr>
      </w:pPr>
      <w:r w:rsidRPr="00F42191">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F42191"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F42191">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F42191" w:rsidRDefault="00AD76EF" w:rsidP="00AD76EF">
      <w:pPr>
        <w:pStyle w:val="ListParagraph"/>
        <w:numPr>
          <w:ilvl w:val="0"/>
          <w:numId w:val="17"/>
        </w:numPr>
        <w:ind w:left="426"/>
        <w:jc w:val="both"/>
        <w:rPr>
          <w:rFonts w:ascii="Avenir Next" w:hAnsi="Avenir Next" w:cs="Arial"/>
          <w:sz w:val="22"/>
          <w:szCs w:val="22"/>
          <w:highlight w:val="yellow"/>
        </w:rPr>
      </w:pPr>
      <w:r w:rsidRPr="00F42191">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42191"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F42191">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F42191" w:rsidRDefault="009661DE" w:rsidP="009661DE">
      <w:pPr>
        <w:pStyle w:val="ListParagraph"/>
        <w:numPr>
          <w:ilvl w:val="0"/>
          <w:numId w:val="23"/>
        </w:numPr>
        <w:ind w:left="426"/>
        <w:jc w:val="both"/>
        <w:rPr>
          <w:rFonts w:ascii="Avenir Next" w:hAnsi="Avenir Next" w:cs="Arial"/>
          <w:sz w:val="22"/>
          <w:szCs w:val="22"/>
          <w:highlight w:val="yellow"/>
        </w:rPr>
      </w:pPr>
      <w:r w:rsidRPr="00F42191">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F42191" w:rsidRDefault="003B3A0D" w:rsidP="003B3A0D">
      <w:pPr>
        <w:pStyle w:val="ListParagraph"/>
        <w:numPr>
          <w:ilvl w:val="0"/>
          <w:numId w:val="24"/>
        </w:numPr>
        <w:ind w:left="426"/>
        <w:jc w:val="both"/>
        <w:rPr>
          <w:rFonts w:ascii="Avenir Next" w:hAnsi="Avenir Next" w:cs="Arial"/>
          <w:sz w:val="22"/>
          <w:szCs w:val="22"/>
          <w:highlight w:val="yellow"/>
        </w:rPr>
      </w:pPr>
      <w:r w:rsidRPr="00F42191">
        <w:rPr>
          <w:rFonts w:ascii="Avenir Next" w:hAnsi="Avenir Next" w:cs="Arial"/>
          <w:sz w:val="22"/>
          <w:szCs w:val="22"/>
          <w:highlight w:val="yellow"/>
        </w:rPr>
        <w:t xml:space="preserve">This statement is untrue because universalism corresponds well to </w:t>
      </w:r>
      <w:proofErr w:type="spellStart"/>
      <w:r w:rsidRPr="00F42191">
        <w:rPr>
          <w:rFonts w:ascii="Avenir Next" w:hAnsi="Avenir Next" w:cs="Arial"/>
          <w:sz w:val="22"/>
          <w:szCs w:val="22"/>
          <w:highlight w:val="yellow"/>
        </w:rPr>
        <w:t>globali</w:t>
      </w:r>
      <w:r w:rsidR="00142E15" w:rsidRPr="00F42191">
        <w:rPr>
          <w:rFonts w:ascii="Avenir Next" w:hAnsi="Avenir Next" w:cs="Arial"/>
          <w:sz w:val="22"/>
          <w:szCs w:val="22"/>
          <w:highlight w:val="yellow"/>
        </w:rPr>
        <w:t>s</w:t>
      </w:r>
      <w:r w:rsidRPr="00F42191">
        <w:rPr>
          <w:rFonts w:ascii="Avenir Next" w:hAnsi="Avenir Next" w:cs="Arial"/>
          <w:sz w:val="22"/>
          <w:szCs w:val="22"/>
          <w:highlight w:val="yellow"/>
        </w:rPr>
        <w:t>ation</w:t>
      </w:r>
      <w:proofErr w:type="spellEnd"/>
      <w:r w:rsidRPr="00F42191">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1ACB32DF" w14:textId="77777777" w:rsidR="00E3573B" w:rsidRPr="00E3573B" w:rsidRDefault="00E3573B" w:rsidP="00E3573B">
      <w:pPr>
        <w:jc w:val="both"/>
        <w:rPr>
          <w:rFonts w:ascii="Avenir Next" w:hAnsi="Avenir Next" w:cs="Arial"/>
          <w:color w:val="808080" w:themeColor="background1" w:themeShade="80"/>
          <w:sz w:val="22"/>
          <w:szCs w:val="22"/>
        </w:rPr>
      </w:pPr>
      <w:r w:rsidRPr="00E3573B">
        <w:rPr>
          <w:rFonts w:ascii="Avenir Next" w:hAnsi="Avenir Next" w:cs="Arial"/>
          <w:color w:val="808080" w:themeColor="background1" w:themeShade="80"/>
          <w:sz w:val="22"/>
          <w:szCs w:val="22"/>
        </w:rPr>
        <w:t xml:space="preserve">The insolvency and bankruptcy legal systems of various countries can broadly be classified into two categories or ‘families’, depending on whether they are founded upon civil law or English law. </w:t>
      </w:r>
    </w:p>
    <w:p w14:paraId="77B3548F" w14:textId="1FCDB316" w:rsidR="00576941" w:rsidRDefault="00E3573B" w:rsidP="00E3573B">
      <w:pPr>
        <w:jc w:val="both"/>
        <w:rPr>
          <w:rFonts w:ascii="Avenir Next" w:hAnsi="Avenir Next" w:cs="Arial"/>
          <w:color w:val="808080" w:themeColor="background1" w:themeShade="80"/>
          <w:sz w:val="22"/>
          <w:szCs w:val="22"/>
        </w:rPr>
      </w:pPr>
      <w:r w:rsidRPr="00E3573B">
        <w:rPr>
          <w:rFonts w:ascii="Avenir Next" w:hAnsi="Avenir Next" w:cs="Arial"/>
          <w:color w:val="808080" w:themeColor="background1" w:themeShade="80"/>
          <w:sz w:val="22"/>
          <w:szCs w:val="22"/>
        </w:rPr>
        <w:t xml:space="preserve">Civil law has its roots in ancient principles of Roman law and is the predominant legal system in Continental European countries, as follows </w:t>
      </w:r>
      <w:r w:rsidR="00576941">
        <w:rPr>
          <w:rFonts w:ascii="Avenir Next" w:hAnsi="Avenir Next" w:cs="Arial"/>
          <w:color w:val="808080" w:themeColor="background1" w:themeShade="80"/>
          <w:sz w:val="22"/>
          <w:szCs w:val="22"/>
        </w:rPr>
        <w:t>–</w:t>
      </w:r>
    </w:p>
    <w:p w14:paraId="006B457F" w14:textId="29DF5457" w:rsidR="00E3573B" w:rsidRPr="00E3573B" w:rsidRDefault="00E3573B" w:rsidP="00E3573B">
      <w:pPr>
        <w:jc w:val="both"/>
        <w:rPr>
          <w:rFonts w:ascii="Avenir Next" w:hAnsi="Avenir Next" w:cs="Arial"/>
          <w:color w:val="808080" w:themeColor="background1" w:themeShade="80"/>
          <w:sz w:val="22"/>
          <w:szCs w:val="22"/>
        </w:rPr>
      </w:pPr>
      <w:r w:rsidRPr="00E3573B">
        <w:rPr>
          <w:rFonts w:ascii="Avenir Next" w:hAnsi="Avenir Next" w:cs="Arial"/>
          <w:color w:val="808080" w:themeColor="background1" w:themeShade="80"/>
          <w:sz w:val="22"/>
          <w:szCs w:val="22"/>
        </w:rPr>
        <w:t xml:space="preserve"> </w:t>
      </w:r>
    </w:p>
    <w:p w14:paraId="2E55BA42" w14:textId="2CC043C7" w:rsidR="00E3573B" w:rsidRPr="00E3573B" w:rsidRDefault="00E3573B" w:rsidP="00E3573B">
      <w:pPr>
        <w:numPr>
          <w:ilvl w:val="0"/>
          <w:numId w:val="35"/>
        </w:numPr>
        <w:jc w:val="both"/>
        <w:rPr>
          <w:rFonts w:ascii="Avenir Next" w:hAnsi="Avenir Next" w:cs="Arial"/>
          <w:color w:val="808080" w:themeColor="background1" w:themeShade="80"/>
          <w:sz w:val="22"/>
          <w:szCs w:val="22"/>
        </w:rPr>
      </w:pPr>
      <w:r w:rsidRPr="00E3573B">
        <w:rPr>
          <w:rFonts w:ascii="Avenir Next" w:hAnsi="Avenir Next" w:cs="Arial"/>
          <w:b/>
          <w:bCs/>
          <w:color w:val="808080" w:themeColor="background1" w:themeShade="80"/>
          <w:sz w:val="22"/>
          <w:szCs w:val="22"/>
        </w:rPr>
        <w:t xml:space="preserve">Netherlands – </w:t>
      </w:r>
      <w:r w:rsidRPr="00E3573B">
        <w:rPr>
          <w:rFonts w:ascii="Avenir Next" w:hAnsi="Avenir Next" w:cs="Arial"/>
          <w:color w:val="808080" w:themeColor="background1" w:themeShade="80"/>
          <w:sz w:val="22"/>
          <w:szCs w:val="22"/>
        </w:rPr>
        <w:t>The key legislations governing Dutch insolvencies is the Dutch Bankruptcy Act (</w:t>
      </w:r>
      <w:proofErr w:type="spellStart"/>
      <w:r w:rsidRPr="00E3573B">
        <w:rPr>
          <w:rFonts w:ascii="Avenir Next" w:hAnsi="Avenir Next" w:cs="Arial"/>
          <w:i/>
          <w:iCs/>
          <w:color w:val="808080" w:themeColor="background1" w:themeShade="80"/>
          <w:sz w:val="22"/>
          <w:szCs w:val="22"/>
        </w:rPr>
        <w:t>Faillissementswet</w:t>
      </w:r>
      <w:proofErr w:type="spellEnd"/>
      <w:r w:rsidRPr="00E3573B">
        <w:rPr>
          <w:rFonts w:ascii="Avenir Next" w:hAnsi="Avenir Next" w:cs="Arial"/>
          <w:color w:val="808080" w:themeColor="background1" w:themeShade="80"/>
          <w:sz w:val="22"/>
          <w:szCs w:val="22"/>
        </w:rPr>
        <w:t xml:space="preserve">) and the European Insolvency Regulation. The </w:t>
      </w:r>
      <w:proofErr w:type="spellStart"/>
      <w:r w:rsidRPr="00E3573B">
        <w:rPr>
          <w:rFonts w:ascii="Avenir Next" w:hAnsi="Avenir Next" w:cs="Arial"/>
          <w:i/>
          <w:iCs/>
          <w:color w:val="808080" w:themeColor="background1" w:themeShade="80"/>
          <w:sz w:val="22"/>
          <w:szCs w:val="22"/>
        </w:rPr>
        <w:t>Faillissementswet</w:t>
      </w:r>
      <w:proofErr w:type="spellEnd"/>
      <w:r w:rsidRPr="00E3573B">
        <w:rPr>
          <w:rFonts w:ascii="Avenir Next" w:hAnsi="Avenir Next" w:cs="Arial"/>
          <w:i/>
          <w:iCs/>
          <w:color w:val="808080" w:themeColor="background1" w:themeShade="80"/>
          <w:sz w:val="22"/>
          <w:szCs w:val="22"/>
        </w:rPr>
        <w:t xml:space="preserve"> </w:t>
      </w:r>
      <w:r w:rsidRPr="00E3573B">
        <w:rPr>
          <w:rFonts w:ascii="Avenir Next" w:hAnsi="Avenir Next" w:cs="Arial"/>
          <w:color w:val="808080" w:themeColor="background1" w:themeShade="80"/>
          <w:sz w:val="22"/>
          <w:szCs w:val="22"/>
        </w:rPr>
        <w:t xml:space="preserve">governs both individual and corporate bankruptcy. The strict pro-creditor outlook which characterized the Dutch insolvency system has witnessed gradual relaxation leading to the introduction of a ‘fresh start’ regime. A new legislative framework i.e., The Act on Court Confirmation of Extrajudicial Restructuring Plans (known in Dutch as </w:t>
      </w:r>
      <w:r w:rsidRPr="00E3573B">
        <w:rPr>
          <w:rFonts w:ascii="Avenir Next" w:hAnsi="Avenir Next" w:cs="Arial"/>
          <w:i/>
          <w:iCs/>
          <w:color w:val="808080" w:themeColor="background1" w:themeShade="80"/>
          <w:sz w:val="22"/>
          <w:szCs w:val="22"/>
        </w:rPr>
        <w:t xml:space="preserve">Wet </w:t>
      </w:r>
      <w:proofErr w:type="spellStart"/>
      <w:r w:rsidRPr="00E3573B">
        <w:rPr>
          <w:rFonts w:ascii="Avenir Next" w:hAnsi="Avenir Next" w:cs="Arial"/>
          <w:i/>
          <w:iCs/>
          <w:color w:val="808080" w:themeColor="background1" w:themeShade="80"/>
          <w:sz w:val="22"/>
          <w:szCs w:val="22"/>
        </w:rPr>
        <w:t>Homologatie</w:t>
      </w:r>
      <w:proofErr w:type="spellEnd"/>
      <w:r w:rsidRPr="00E3573B">
        <w:rPr>
          <w:rFonts w:ascii="Avenir Next" w:hAnsi="Avenir Next" w:cs="Arial"/>
          <w:i/>
          <w:iCs/>
          <w:color w:val="808080" w:themeColor="background1" w:themeShade="80"/>
          <w:sz w:val="22"/>
          <w:szCs w:val="22"/>
        </w:rPr>
        <w:t xml:space="preserve"> </w:t>
      </w:r>
      <w:proofErr w:type="spellStart"/>
      <w:r w:rsidRPr="00E3573B">
        <w:rPr>
          <w:rFonts w:ascii="Avenir Next" w:hAnsi="Avenir Next" w:cs="Arial"/>
          <w:i/>
          <w:iCs/>
          <w:color w:val="808080" w:themeColor="background1" w:themeShade="80"/>
          <w:sz w:val="22"/>
          <w:szCs w:val="22"/>
        </w:rPr>
        <w:t>Onderhands</w:t>
      </w:r>
      <w:proofErr w:type="spellEnd"/>
      <w:r w:rsidRPr="00E3573B">
        <w:rPr>
          <w:rFonts w:ascii="Avenir Next" w:hAnsi="Avenir Next" w:cs="Arial"/>
          <w:i/>
          <w:iCs/>
          <w:color w:val="808080" w:themeColor="background1" w:themeShade="80"/>
          <w:sz w:val="22"/>
          <w:szCs w:val="22"/>
        </w:rPr>
        <w:t xml:space="preserve"> </w:t>
      </w:r>
      <w:proofErr w:type="spellStart"/>
      <w:r w:rsidRPr="00E3573B">
        <w:rPr>
          <w:rFonts w:ascii="Avenir Next" w:hAnsi="Avenir Next" w:cs="Arial"/>
          <w:i/>
          <w:iCs/>
          <w:color w:val="808080" w:themeColor="background1" w:themeShade="80"/>
          <w:sz w:val="22"/>
          <w:szCs w:val="22"/>
        </w:rPr>
        <w:t>Akkoord</w:t>
      </w:r>
      <w:proofErr w:type="spellEnd"/>
      <w:r w:rsidRPr="00E3573B">
        <w:rPr>
          <w:rFonts w:ascii="Avenir Next" w:hAnsi="Avenir Next" w:cs="Arial"/>
          <w:color w:val="808080" w:themeColor="background1" w:themeShade="80"/>
          <w:sz w:val="22"/>
          <w:szCs w:val="22"/>
        </w:rPr>
        <w:t xml:space="preserve"> or ‘WHOA’</w:t>
      </w:r>
      <w:r w:rsidR="00D7626E">
        <w:rPr>
          <w:rFonts w:ascii="Avenir Next" w:hAnsi="Avenir Next" w:cs="Arial"/>
          <w:color w:val="808080" w:themeColor="background1" w:themeShade="80"/>
          <w:sz w:val="22"/>
          <w:szCs w:val="22"/>
        </w:rPr>
        <w:t>)</w:t>
      </w:r>
      <w:r w:rsidRPr="00E3573B">
        <w:rPr>
          <w:rFonts w:ascii="Avenir Next" w:hAnsi="Avenir Next" w:cs="Arial"/>
          <w:color w:val="808080" w:themeColor="background1" w:themeShade="80"/>
          <w:sz w:val="22"/>
          <w:szCs w:val="22"/>
        </w:rPr>
        <w:t xml:space="preserve"> was introduced in 2021, which allows out of court restructuring of debts. Netherlands has not adopted the UNCITRAL Model Law on Cross Border Insolvency.</w:t>
      </w:r>
    </w:p>
    <w:p w14:paraId="29D73465" w14:textId="77777777" w:rsidR="00E3573B" w:rsidRPr="00E3573B" w:rsidRDefault="00E3573B" w:rsidP="00E3573B">
      <w:pPr>
        <w:jc w:val="both"/>
        <w:rPr>
          <w:rFonts w:ascii="Avenir Next" w:hAnsi="Avenir Next" w:cs="Arial"/>
          <w:b/>
          <w:bCs/>
          <w:color w:val="808080" w:themeColor="background1" w:themeShade="80"/>
          <w:sz w:val="22"/>
          <w:szCs w:val="22"/>
        </w:rPr>
      </w:pPr>
      <w:r w:rsidRPr="00E3573B">
        <w:rPr>
          <w:rFonts w:ascii="Avenir Next" w:hAnsi="Avenir Next" w:cs="Arial"/>
          <w:b/>
          <w:bCs/>
          <w:color w:val="808080" w:themeColor="background1" w:themeShade="80"/>
          <w:sz w:val="22"/>
          <w:szCs w:val="22"/>
        </w:rPr>
        <w:t xml:space="preserve"> </w:t>
      </w:r>
    </w:p>
    <w:p w14:paraId="4001D16F" w14:textId="77777777" w:rsidR="00E3573B" w:rsidRPr="00E3573B" w:rsidRDefault="00E3573B" w:rsidP="00E3573B">
      <w:pPr>
        <w:numPr>
          <w:ilvl w:val="0"/>
          <w:numId w:val="35"/>
        </w:numPr>
        <w:jc w:val="both"/>
        <w:rPr>
          <w:rFonts w:ascii="Avenir Next" w:hAnsi="Avenir Next" w:cs="Arial"/>
          <w:color w:val="808080" w:themeColor="background1" w:themeShade="80"/>
          <w:sz w:val="22"/>
          <w:szCs w:val="22"/>
        </w:rPr>
      </w:pPr>
      <w:r w:rsidRPr="00E3573B">
        <w:rPr>
          <w:rFonts w:ascii="Avenir Next" w:hAnsi="Avenir Next" w:cs="Arial"/>
          <w:b/>
          <w:bCs/>
          <w:color w:val="808080" w:themeColor="background1" w:themeShade="80"/>
          <w:sz w:val="22"/>
          <w:szCs w:val="22"/>
        </w:rPr>
        <w:t xml:space="preserve">France </w:t>
      </w:r>
      <w:r w:rsidRPr="00E3573B">
        <w:rPr>
          <w:rFonts w:ascii="Avenir Next" w:hAnsi="Avenir Next" w:cs="Arial"/>
          <w:color w:val="808080" w:themeColor="background1" w:themeShade="80"/>
          <w:sz w:val="22"/>
          <w:szCs w:val="22"/>
        </w:rPr>
        <w:t>– Corporate insolvencies in Franch is governed by provisions of the French Commercial Code, as amended from time to time (including the recently introduced Ordinance No. 2021-1193 of 15 September 2021). Apart from this, European Insolvency Regulation also govern insolvency proceedings in France. The French insolvency system has witnessed a shift from a debtor friendly regime to a more pro-creditor framework. France has not adopted the UNCITRAL Model Law on Cross Border Insolvency.</w:t>
      </w:r>
    </w:p>
    <w:p w14:paraId="20CC5D24" w14:textId="77777777" w:rsidR="00E3573B" w:rsidRPr="00E3573B" w:rsidRDefault="00E3573B" w:rsidP="00E3573B">
      <w:pPr>
        <w:jc w:val="both"/>
        <w:rPr>
          <w:rFonts w:ascii="Avenir Next" w:hAnsi="Avenir Next" w:cs="Arial"/>
          <w:color w:val="808080" w:themeColor="background1" w:themeShade="80"/>
          <w:sz w:val="22"/>
          <w:szCs w:val="22"/>
        </w:rPr>
      </w:pPr>
    </w:p>
    <w:p w14:paraId="5B1DE6B9" w14:textId="77777777" w:rsidR="00E3573B" w:rsidRPr="00E3573B" w:rsidRDefault="00E3573B" w:rsidP="00E3573B">
      <w:pPr>
        <w:numPr>
          <w:ilvl w:val="0"/>
          <w:numId w:val="35"/>
        </w:numPr>
        <w:jc w:val="both"/>
        <w:rPr>
          <w:rFonts w:ascii="Avenir Next" w:hAnsi="Avenir Next" w:cs="Arial"/>
          <w:color w:val="808080" w:themeColor="background1" w:themeShade="80"/>
          <w:sz w:val="22"/>
          <w:szCs w:val="22"/>
        </w:rPr>
      </w:pPr>
      <w:r w:rsidRPr="00E3573B">
        <w:rPr>
          <w:rFonts w:ascii="Avenir Next" w:hAnsi="Avenir Next" w:cs="Arial"/>
          <w:b/>
          <w:bCs/>
          <w:color w:val="808080" w:themeColor="background1" w:themeShade="80"/>
          <w:sz w:val="22"/>
          <w:szCs w:val="22"/>
        </w:rPr>
        <w:t xml:space="preserve">Germany </w:t>
      </w:r>
      <w:r w:rsidRPr="00E3573B">
        <w:rPr>
          <w:rFonts w:ascii="Avenir Next" w:hAnsi="Avenir Next" w:cs="Arial"/>
          <w:color w:val="808080" w:themeColor="background1" w:themeShade="80"/>
          <w:sz w:val="22"/>
          <w:szCs w:val="22"/>
        </w:rPr>
        <w:t>– The Insolvency Code (</w:t>
      </w:r>
      <w:proofErr w:type="spellStart"/>
      <w:r w:rsidRPr="00E3573B">
        <w:rPr>
          <w:rFonts w:ascii="Avenir Next" w:hAnsi="Avenir Next" w:cs="Arial"/>
          <w:i/>
          <w:iCs/>
          <w:color w:val="808080" w:themeColor="background1" w:themeShade="80"/>
          <w:sz w:val="22"/>
          <w:szCs w:val="22"/>
        </w:rPr>
        <w:t>Insolvenzordnung</w:t>
      </w:r>
      <w:proofErr w:type="spellEnd"/>
      <w:r w:rsidRPr="00E3573B">
        <w:rPr>
          <w:rFonts w:ascii="Avenir Next" w:hAnsi="Avenir Next" w:cs="Arial"/>
          <w:color w:val="808080" w:themeColor="background1" w:themeShade="80"/>
          <w:sz w:val="22"/>
          <w:szCs w:val="22"/>
        </w:rPr>
        <w:t xml:space="preserve"> or </w:t>
      </w:r>
      <w:proofErr w:type="spellStart"/>
      <w:r w:rsidRPr="00E3573B">
        <w:rPr>
          <w:rFonts w:ascii="Avenir Next" w:hAnsi="Avenir Next" w:cs="Arial"/>
          <w:color w:val="808080" w:themeColor="background1" w:themeShade="80"/>
          <w:sz w:val="22"/>
          <w:szCs w:val="22"/>
        </w:rPr>
        <w:t>InsO</w:t>
      </w:r>
      <w:proofErr w:type="spellEnd"/>
      <w:r w:rsidRPr="00E3573B">
        <w:rPr>
          <w:rFonts w:ascii="Avenir Next" w:hAnsi="Avenir Next" w:cs="Arial"/>
          <w:color w:val="808080" w:themeColor="background1" w:themeShade="80"/>
          <w:sz w:val="22"/>
          <w:szCs w:val="22"/>
        </w:rPr>
        <w:t>), enforced on 1 January 1999 (and as amended from time to time) is a comprehensive legal framework governing insolvency processes in Germany. It applies to both companies and individuals. Germany has not adopted the UNCITRAL Model Law on Cross Border Insolvency.</w:t>
      </w:r>
    </w:p>
    <w:p w14:paraId="25292D56" w14:textId="77777777" w:rsidR="00E3573B" w:rsidRPr="00E3573B" w:rsidRDefault="00E3573B" w:rsidP="00E3573B">
      <w:pPr>
        <w:jc w:val="both"/>
        <w:rPr>
          <w:rFonts w:ascii="Avenir Next" w:hAnsi="Avenir Next" w:cs="Arial"/>
          <w:color w:val="808080" w:themeColor="background1" w:themeShade="80"/>
          <w:sz w:val="22"/>
          <w:szCs w:val="22"/>
        </w:rPr>
      </w:pPr>
    </w:p>
    <w:p w14:paraId="37BD05D3" w14:textId="77777777" w:rsidR="00E3573B" w:rsidRPr="00E3573B" w:rsidRDefault="00E3573B" w:rsidP="00E3573B">
      <w:pPr>
        <w:numPr>
          <w:ilvl w:val="0"/>
          <w:numId w:val="35"/>
        </w:numPr>
        <w:jc w:val="both"/>
        <w:rPr>
          <w:rFonts w:ascii="Avenir Next" w:hAnsi="Avenir Next" w:cs="Arial"/>
          <w:color w:val="808080" w:themeColor="background1" w:themeShade="80"/>
          <w:sz w:val="22"/>
          <w:szCs w:val="22"/>
        </w:rPr>
      </w:pPr>
      <w:r w:rsidRPr="00E3573B">
        <w:rPr>
          <w:rFonts w:ascii="Avenir Next" w:hAnsi="Avenir Next" w:cs="Arial"/>
          <w:b/>
          <w:bCs/>
          <w:color w:val="808080" w:themeColor="background1" w:themeShade="80"/>
          <w:sz w:val="22"/>
          <w:szCs w:val="22"/>
        </w:rPr>
        <w:t xml:space="preserve">Spain </w:t>
      </w:r>
      <w:r w:rsidRPr="00E3573B">
        <w:rPr>
          <w:rFonts w:ascii="Avenir Next" w:hAnsi="Avenir Next" w:cs="Arial"/>
          <w:color w:val="808080" w:themeColor="background1" w:themeShade="80"/>
          <w:sz w:val="22"/>
          <w:szCs w:val="22"/>
        </w:rPr>
        <w:t>– Insolvency and restructuring proceedings in Spain were governed by the Spanish Insolvency Act 2003. Spanish insolvency law has recently undergone significant structural changes with the introduction of Consolidated Text of the Insolvency Law in September 2022.</w:t>
      </w:r>
    </w:p>
    <w:p w14:paraId="33A99B07" w14:textId="77777777" w:rsidR="003B4E24" w:rsidRDefault="003B4E24" w:rsidP="00E3573B">
      <w:pPr>
        <w:jc w:val="both"/>
        <w:rPr>
          <w:rFonts w:ascii="Avenir Next" w:hAnsi="Avenir Next" w:cs="Arial"/>
          <w:color w:val="808080" w:themeColor="background1" w:themeShade="80"/>
          <w:sz w:val="22"/>
          <w:szCs w:val="22"/>
          <w:lang w:val="en-GB"/>
        </w:rPr>
      </w:pPr>
    </w:p>
    <w:p w14:paraId="6995315D" w14:textId="44A00563" w:rsidR="00E3573B" w:rsidRDefault="00E3573B" w:rsidP="00E3573B">
      <w:pPr>
        <w:jc w:val="both"/>
        <w:rPr>
          <w:rFonts w:ascii="Avenir Next" w:hAnsi="Avenir Next" w:cs="Arial"/>
          <w:color w:val="808080" w:themeColor="background1" w:themeShade="80"/>
          <w:sz w:val="22"/>
          <w:szCs w:val="22"/>
          <w:lang w:val="en-GB"/>
        </w:rPr>
      </w:pPr>
      <w:r w:rsidRPr="00E3573B">
        <w:rPr>
          <w:rFonts w:ascii="Avenir Next" w:hAnsi="Avenir Next" w:cs="Arial"/>
          <w:color w:val="808080" w:themeColor="background1" w:themeShade="80"/>
          <w:sz w:val="22"/>
          <w:szCs w:val="22"/>
          <w:lang w:val="en-GB"/>
        </w:rPr>
        <w:t>English law on the other hand is rooted in common law principles and predominantly extends in the common law States. The insolvency and bankruptcy legal systems</w:t>
      </w:r>
      <w:r w:rsidRPr="00E3573B">
        <w:rPr>
          <w:rFonts w:ascii="Avenir Next" w:hAnsi="Avenir Next" w:cs="Arial"/>
          <w:color w:val="808080" w:themeColor="background1" w:themeShade="80"/>
          <w:sz w:val="22"/>
          <w:szCs w:val="22"/>
        </w:rPr>
        <w:t xml:space="preserve"> of</w:t>
      </w:r>
      <w:r w:rsidRPr="00E3573B">
        <w:rPr>
          <w:rFonts w:ascii="Avenir Next" w:hAnsi="Avenir Next" w:cs="Arial"/>
          <w:color w:val="808080" w:themeColor="background1" w:themeShade="80"/>
          <w:sz w:val="22"/>
          <w:szCs w:val="22"/>
          <w:lang w:val="en-GB"/>
        </w:rPr>
        <w:t xml:space="preserve"> the following countries have historical roots in English (common) law:</w:t>
      </w:r>
    </w:p>
    <w:p w14:paraId="2F600F3F" w14:textId="77777777" w:rsidR="003B4E24" w:rsidRPr="00E3573B" w:rsidRDefault="003B4E24" w:rsidP="00E3573B">
      <w:pPr>
        <w:jc w:val="both"/>
        <w:rPr>
          <w:rFonts w:ascii="Avenir Next" w:hAnsi="Avenir Next" w:cs="Arial"/>
          <w:color w:val="808080" w:themeColor="background1" w:themeShade="80"/>
          <w:sz w:val="22"/>
          <w:szCs w:val="22"/>
        </w:rPr>
      </w:pPr>
    </w:p>
    <w:p w14:paraId="1B93A217" w14:textId="33DBBEF7" w:rsidR="00E3573B" w:rsidRPr="00E3573B" w:rsidRDefault="00E3573B" w:rsidP="00E3573B">
      <w:pPr>
        <w:numPr>
          <w:ilvl w:val="0"/>
          <w:numId w:val="36"/>
        </w:numPr>
        <w:jc w:val="both"/>
        <w:rPr>
          <w:rFonts w:ascii="Avenir Next" w:hAnsi="Avenir Next" w:cs="Arial"/>
          <w:color w:val="808080" w:themeColor="background1" w:themeShade="80"/>
          <w:sz w:val="22"/>
          <w:szCs w:val="22"/>
        </w:rPr>
      </w:pPr>
      <w:r w:rsidRPr="00E3573B">
        <w:rPr>
          <w:rFonts w:ascii="Avenir Next" w:hAnsi="Avenir Next" w:cs="Arial"/>
          <w:b/>
          <w:bCs/>
          <w:color w:val="808080" w:themeColor="background1" w:themeShade="80"/>
          <w:sz w:val="22"/>
          <w:szCs w:val="22"/>
        </w:rPr>
        <w:t>United Kingdom</w:t>
      </w:r>
      <w:r w:rsidRPr="00E3573B">
        <w:rPr>
          <w:rFonts w:ascii="Avenir Next" w:hAnsi="Avenir Next" w:cs="Arial"/>
          <w:color w:val="808080" w:themeColor="background1" w:themeShade="80"/>
          <w:sz w:val="22"/>
          <w:szCs w:val="22"/>
        </w:rPr>
        <w:t xml:space="preserve"> – The Insolvency Act 1986 is the primary statute, which contains provisions covering both individual and corporate insolvencies. The insolvency legal regime in the UK has witnessed various changes/ reforms by way of the Insolvency Act 2000 and the Enterprise Act 2000, Debt Relief Order introduced in 2009 (for individuals) and the Corporate Insolvency and Governance Act 2020 (which was enacted in the wake of the Covid 19 pandemic). The UK insolvency system is generally considered to be creditor friendly. As regards </w:t>
      </w:r>
      <w:r w:rsidR="00C573DB" w:rsidRPr="00E3573B">
        <w:rPr>
          <w:rFonts w:ascii="Avenir Next" w:hAnsi="Avenir Next" w:cs="Arial"/>
          <w:color w:val="808080" w:themeColor="background1" w:themeShade="80"/>
          <w:sz w:val="22"/>
          <w:szCs w:val="22"/>
        </w:rPr>
        <w:t>cross-border</w:t>
      </w:r>
      <w:r w:rsidRPr="00E3573B">
        <w:rPr>
          <w:rFonts w:ascii="Avenir Next" w:hAnsi="Avenir Next" w:cs="Arial"/>
          <w:color w:val="808080" w:themeColor="background1" w:themeShade="80"/>
          <w:sz w:val="22"/>
          <w:szCs w:val="22"/>
        </w:rPr>
        <w:t xml:space="preserve"> insolvencies, it is relevant to note that the UK </w:t>
      </w:r>
      <w:proofErr w:type="gramStart"/>
      <w:r w:rsidRPr="00E3573B">
        <w:rPr>
          <w:rFonts w:ascii="Avenir Next" w:hAnsi="Avenir Next" w:cs="Arial"/>
          <w:color w:val="808080" w:themeColor="background1" w:themeShade="80"/>
          <w:sz w:val="22"/>
          <w:szCs w:val="22"/>
        </w:rPr>
        <w:t>has adopted</w:t>
      </w:r>
      <w:proofErr w:type="gramEnd"/>
      <w:r w:rsidRPr="00E3573B">
        <w:rPr>
          <w:rFonts w:ascii="Avenir Next" w:hAnsi="Avenir Next" w:cs="Arial"/>
          <w:color w:val="808080" w:themeColor="background1" w:themeShade="80"/>
          <w:sz w:val="22"/>
          <w:szCs w:val="22"/>
        </w:rPr>
        <w:t xml:space="preserve"> the UNCITRAL Model Law on Cross Border Insolvency in the year 2006. The other key provisions/ principles applicable in case of international insolvencies are Section 426 of the Insolvency Act 1986 (in respect of “relevant countries”), European Insolvency Regulation (applicable to insolvencies where main proceedings started prior to 11 pm on 31 December 2020, being the timing of expiry of the transition period following exit of the UK from European Union).</w:t>
      </w:r>
    </w:p>
    <w:p w14:paraId="09BE1603" w14:textId="77777777" w:rsidR="00E3573B" w:rsidRPr="00E3573B" w:rsidRDefault="00E3573B" w:rsidP="00E3573B">
      <w:pPr>
        <w:jc w:val="both"/>
        <w:rPr>
          <w:rFonts w:ascii="Avenir Next" w:hAnsi="Avenir Next" w:cs="Arial"/>
          <w:color w:val="808080" w:themeColor="background1" w:themeShade="80"/>
          <w:sz w:val="22"/>
          <w:szCs w:val="22"/>
        </w:rPr>
      </w:pPr>
    </w:p>
    <w:p w14:paraId="5C5F39C5" w14:textId="77777777" w:rsidR="00E3573B" w:rsidRPr="00E3573B" w:rsidRDefault="00E3573B" w:rsidP="00E3573B">
      <w:pPr>
        <w:numPr>
          <w:ilvl w:val="0"/>
          <w:numId w:val="36"/>
        </w:numPr>
        <w:jc w:val="both"/>
        <w:rPr>
          <w:rFonts w:ascii="Avenir Next" w:hAnsi="Avenir Next" w:cs="Arial"/>
          <w:color w:val="808080" w:themeColor="background1" w:themeShade="80"/>
          <w:sz w:val="22"/>
          <w:szCs w:val="22"/>
        </w:rPr>
      </w:pPr>
      <w:r w:rsidRPr="00E3573B">
        <w:rPr>
          <w:rFonts w:ascii="Avenir Next" w:hAnsi="Avenir Next" w:cs="Arial"/>
          <w:b/>
          <w:bCs/>
          <w:color w:val="808080" w:themeColor="background1" w:themeShade="80"/>
          <w:sz w:val="22"/>
          <w:szCs w:val="22"/>
        </w:rPr>
        <w:t>United States of America</w:t>
      </w:r>
      <w:r w:rsidRPr="00E3573B">
        <w:rPr>
          <w:rFonts w:ascii="Avenir Next" w:hAnsi="Avenir Next" w:cs="Arial"/>
          <w:color w:val="808080" w:themeColor="background1" w:themeShade="80"/>
          <w:sz w:val="22"/>
          <w:szCs w:val="22"/>
        </w:rPr>
        <w:t xml:space="preserve"> – The American bankruptcy law is codified in the form of the Bankruptcy Code of 1978. The 1978 Code has been reformed by way of the Bankruptcy Abuse Prevention and Consumer Protection Act 2005. The American system is considered liberal and pro-debtor as it allows for statutory discharge of debt or what is also known as ‘rehabilitation’ or ‘fresh start’. It is also known for the reorganization/ rescue mechanism contained in Chapter 11 of the 1978 Code. USA has adopted the UNCITRAL Model Law on Cross Border Insolvency by enactment and enforcement of Chapter 15 in the 1978 Code in the year 2005.</w:t>
      </w:r>
    </w:p>
    <w:p w14:paraId="4C381BBF" w14:textId="77777777" w:rsidR="00E3573B" w:rsidRPr="00E3573B" w:rsidRDefault="00E3573B" w:rsidP="00E3573B">
      <w:pPr>
        <w:jc w:val="both"/>
        <w:rPr>
          <w:rFonts w:ascii="Avenir Next" w:hAnsi="Avenir Next" w:cs="Arial"/>
          <w:b/>
          <w:bCs/>
          <w:color w:val="808080" w:themeColor="background1" w:themeShade="80"/>
          <w:sz w:val="22"/>
          <w:szCs w:val="22"/>
        </w:rPr>
      </w:pPr>
    </w:p>
    <w:p w14:paraId="0C1BFE32" w14:textId="77777777" w:rsidR="00E3573B" w:rsidRDefault="00E3573B" w:rsidP="00E3573B">
      <w:pPr>
        <w:numPr>
          <w:ilvl w:val="0"/>
          <w:numId w:val="36"/>
        </w:numPr>
        <w:jc w:val="both"/>
        <w:rPr>
          <w:rFonts w:ascii="Avenir Next" w:hAnsi="Avenir Next" w:cs="Arial"/>
          <w:color w:val="808080" w:themeColor="background1" w:themeShade="80"/>
          <w:sz w:val="22"/>
          <w:szCs w:val="22"/>
        </w:rPr>
      </w:pPr>
      <w:r w:rsidRPr="00E3573B">
        <w:rPr>
          <w:rFonts w:ascii="Avenir Next" w:hAnsi="Avenir Next" w:cs="Arial"/>
          <w:b/>
          <w:bCs/>
          <w:color w:val="808080" w:themeColor="background1" w:themeShade="80"/>
          <w:sz w:val="22"/>
          <w:szCs w:val="22"/>
        </w:rPr>
        <w:t>Australia</w:t>
      </w:r>
      <w:r w:rsidRPr="00E3573B">
        <w:rPr>
          <w:rFonts w:ascii="Avenir Next" w:hAnsi="Avenir Next" w:cs="Arial"/>
          <w:color w:val="808080" w:themeColor="background1" w:themeShade="80"/>
          <w:sz w:val="22"/>
          <w:szCs w:val="22"/>
        </w:rPr>
        <w:t xml:space="preserve"> – There is no single Australian statute dealing with various aspects of insolvency and bankruptcy. Specifically, the insolvency of corporates is governed by the Corporations Act 2001, while individual insolvency is governed by the Bankruptcy Act 1966. The Australian insolvency law is considered pro-creditor given the primacy accorded to creditors’ rights. In 2008, Australia adopted the UNCITRAL Model Law on Cross Border Insolvency through the enactment of the Cross Border Insolvency Act 2008.</w:t>
      </w:r>
    </w:p>
    <w:p w14:paraId="28F376D1" w14:textId="77777777" w:rsidR="00E3573B" w:rsidRDefault="00E3573B" w:rsidP="00F42191">
      <w:pPr>
        <w:pStyle w:val="ListParagraph"/>
        <w:rPr>
          <w:rFonts w:ascii="Avenir Next" w:hAnsi="Avenir Next" w:cs="Arial"/>
          <w:color w:val="808080" w:themeColor="background1" w:themeShade="80"/>
          <w:sz w:val="22"/>
          <w:szCs w:val="22"/>
        </w:rPr>
      </w:pPr>
    </w:p>
    <w:p w14:paraId="304C2FB2" w14:textId="2A4DA6E2" w:rsidR="00CC7728" w:rsidRPr="00DA42DA" w:rsidRDefault="00E3573B" w:rsidP="00E3573B">
      <w:pPr>
        <w:jc w:val="both"/>
        <w:rPr>
          <w:rFonts w:ascii="Avenir Next" w:hAnsi="Avenir Next" w:cs="Arial"/>
          <w:color w:val="808080" w:themeColor="background1" w:themeShade="80"/>
          <w:sz w:val="22"/>
          <w:szCs w:val="22"/>
          <w:lang w:val="en-GB"/>
        </w:rPr>
      </w:pPr>
      <w:r w:rsidRPr="00E3573B">
        <w:rPr>
          <w:rFonts w:ascii="Avenir Next" w:hAnsi="Avenir Next" w:cs="Arial"/>
          <w:color w:val="808080" w:themeColor="background1" w:themeShade="80"/>
          <w:sz w:val="22"/>
          <w:szCs w:val="22"/>
        </w:rPr>
        <w:t xml:space="preserve">Apart from the above, it is noted that the legal systems of countries in Africa are variously based on civil law or English law depending on which colonial powers ruled them in the past. The countries in South America predominantly follow civil law. The Indian insolvency law draws primarily from English law.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5E25879C" w14:textId="77777777" w:rsidR="0020255A" w:rsidRPr="0020255A" w:rsidRDefault="0020255A" w:rsidP="0020255A">
      <w:pPr>
        <w:jc w:val="both"/>
        <w:rPr>
          <w:rFonts w:ascii="Avenir Next" w:hAnsi="Avenir Next" w:cs="Arial"/>
          <w:color w:val="808080" w:themeColor="background1" w:themeShade="80"/>
          <w:sz w:val="22"/>
          <w:szCs w:val="22"/>
          <w:lang w:val="en-GB"/>
        </w:rPr>
      </w:pPr>
      <w:r w:rsidRPr="0020255A">
        <w:rPr>
          <w:rFonts w:ascii="Avenir Next" w:hAnsi="Avenir Next" w:cs="Arial"/>
          <w:color w:val="808080" w:themeColor="background1" w:themeShade="80"/>
          <w:sz w:val="22"/>
          <w:szCs w:val="22"/>
          <w:lang w:val="en-GB"/>
        </w:rPr>
        <w:t xml:space="preserve">The three major regimes/ principles/ theories which apply in the context of cross border insolvency are universalism, modified </w:t>
      </w:r>
      <w:proofErr w:type="gramStart"/>
      <w:r w:rsidRPr="0020255A">
        <w:rPr>
          <w:rFonts w:ascii="Avenir Next" w:hAnsi="Avenir Next" w:cs="Arial"/>
          <w:color w:val="808080" w:themeColor="background1" w:themeShade="80"/>
          <w:sz w:val="22"/>
          <w:szCs w:val="22"/>
          <w:lang w:val="en-GB"/>
        </w:rPr>
        <w:t>universalism</w:t>
      </w:r>
      <w:proofErr w:type="gramEnd"/>
      <w:r w:rsidRPr="0020255A">
        <w:rPr>
          <w:rFonts w:ascii="Avenir Next" w:hAnsi="Avenir Next" w:cs="Arial"/>
          <w:color w:val="808080" w:themeColor="background1" w:themeShade="80"/>
          <w:sz w:val="22"/>
          <w:szCs w:val="22"/>
          <w:lang w:val="en-GB"/>
        </w:rPr>
        <w:t xml:space="preserve"> and territorialism. </w:t>
      </w:r>
    </w:p>
    <w:p w14:paraId="3F1DD93D" w14:textId="77777777" w:rsidR="0020255A" w:rsidRDefault="0020255A" w:rsidP="0020255A">
      <w:pPr>
        <w:jc w:val="both"/>
        <w:rPr>
          <w:rFonts w:ascii="Avenir Next" w:hAnsi="Avenir Next" w:cs="Arial"/>
          <w:color w:val="808080" w:themeColor="background1" w:themeShade="80"/>
          <w:sz w:val="22"/>
          <w:szCs w:val="22"/>
          <w:lang w:val="en-GB"/>
        </w:rPr>
      </w:pPr>
    </w:p>
    <w:p w14:paraId="60D06069" w14:textId="005E5CE1" w:rsidR="0020255A" w:rsidRPr="0020255A" w:rsidRDefault="0020255A" w:rsidP="0020255A">
      <w:pPr>
        <w:jc w:val="both"/>
        <w:rPr>
          <w:rFonts w:ascii="Avenir Next" w:hAnsi="Avenir Next" w:cs="Arial"/>
          <w:color w:val="808080" w:themeColor="background1" w:themeShade="80"/>
          <w:sz w:val="22"/>
          <w:szCs w:val="22"/>
          <w:lang w:val="en-GB"/>
        </w:rPr>
      </w:pPr>
      <w:r w:rsidRPr="0020255A">
        <w:rPr>
          <w:rFonts w:ascii="Avenir Next" w:hAnsi="Avenir Next" w:cs="Arial"/>
          <w:color w:val="808080" w:themeColor="background1" w:themeShade="80"/>
          <w:sz w:val="22"/>
          <w:szCs w:val="22"/>
          <w:lang w:val="en-GB"/>
        </w:rPr>
        <w:t xml:space="preserve">The crux of universalism is that a cross border insolvency must be centred in one </w:t>
      </w:r>
      <w:proofErr w:type="gramStart"/>
      <w:r w:rsidRPr="0020255A">
        <w:rPr>
          <w:rFonts w:ascii="Avenir Next" w:hAnsi="Avenir Next" w:cs="Arial"/>
          <w:color w:val="808080" w:themeColor="background1" w:themeShade="80"/>
          <w:sz w:val="22"/>
          <w:szCs w:val="22"/>
          <w:lang w:val="en-GB"/>
        </w:rPr>
        <w:t>particular jurisdiction</w:t>
      </w:r>
      <w:proofErr w:type="gramEnd"/>
      <w:r w:rsidRPr="0020255A">
        <w:rPr>
          <w:rFonts w:ascii="Avenir Next" w:hAnsi="Avenir Next" w:cs="Arial"/>
          <w:color w:val="808080" w:themeColor="background1" w:themeShade="80"/>
          <w:sz w:val="22"/>
          <w:szCs w:val="22"/>
          <w:lang w:val="en-GB"/>
        </w:rPr>
        <w:t xml:space="preserve">, both in terms of the forum as well as the applicable law, irrespective of where the parties, debts and assets are situated. This principle implies that all aspects pertaining to the insolvency of a debtor, including assets and claims, should form part of a single/ central insolvency proceeding which is conducted in one forum and under one law, for instance where the centre of main interests (COMI) of the debtor is situated. Advocates of universalism argue in favour of efficiency (for instance, through better coordination) and economy (for instance, by saving costs of multiple proceedings) </w:t>
      </w:r>
      <w:proofErr w:type="gramStart"/>
      <w:r w:rsidRPr="0020255A">
        <w:rPr>
          <w:rFonts w:ascii="Avenir Next" w:hAnsi="Avenir Next" w:cs="Arial"/>
          <w:color w:val="808080" w:themeColor="background1" w:themeShade="80"/>
          <w:sz w:val="22"/>
          <w:szCs w:val="22"/>
          <w:lang w:val="en-GB"/>
        </w:rPr>
        <w:t>and also</w:t>
      </w:r>
      <w:proofErr w:type="gramEnd"/>
      <w:r w:rsidRPr="0020255A">
        <w:rPr>
          <w:rFonts w:ascii="Avenir Next" w:hAnsi="Avenir Next" w:cs="Arial"/>
          <w:color w:val="808080" w:themeColor="background1" w:themeShade="80"/>
          <w:sz w:val="22"/>
          <w:szCs w:val="22"/>
          <w:lang w:val="en-GB"/>
        </w:rPr>
        <w:t xml:space="preserve"> highlight its relevance in the era of globalisation and multi-national corporations having operations spread across various countries. The other key advantage of universalism is the equal treatment of all creditors. However, application of this principle also entails various disadvantages/ hindrances such as political and administrative challenges of arriving at cross border agreements based on universalist principles, conflict with domestic laws and policies and identification of the forum for conducting the universal insolvency process.</w:t>
      </w:r>
    </w:p>
    <w:p w14:paraId="5AB5E824" w14:textId="77777777" w:rsidR="0020255A" w:rsidRDefault="0020255A" w:rsidP="0020255A">
      <w:pPr>
        <w:jc w:val="both"/>
        <w:rPr>
          <w:rFonts w:ascii="Avenir Next" w:hAnsi="Avenir Next" w:cs="Arial"/>
          <w:color w:val="808080" w:themeColor="background1" w:themeShade="80"/>
          <w:sz w:val="22"/>
          <w:szCs w:val="22"/>
          <w:lang w:val="en-GB"/>
        </w:rPr>
      </w:pPr>
    </w:p>
    <w:p w14:paraId="350F75D6" w14:textId="329008FF" w:rsidR="0020255A" w:rsidRPr="0020255A" w:rsidRDefault="0020255A" w:rsidP="0020255A">
      <w:pPr>
        <w:jc w:val="both"/>
        <w:rPr>
          <w:rFonts w:ascii="Avenir Next" w:hAnsi="Avenir Next" w:cs="Arial"/>
          <w:color w:val="808080" w:themeColor="background1" w:themeShade="80"/>
          <w:sz w:val="22"/>
          <w:szCs w:val="22"/>
          <w:lang w:val="en-GB"/>
        </w:rPr>
      </w:pPr>
      <w:r w:rsidRPr="0020255A">
        <w:rPr>
          <w:rFonts w:ascii="Avenir Next" w:hAnsi="Avenir Next" w:cs="Arial"/>
          <w:color w:val="808080" w:themeColor="background1" w:themeShade="80"/>
          <w:sz w:val="22"/>
          <w:szCs w:val="22"/>
          <w:lang w:val="en-GB"/>
        </w:rPr>
        <w:t>Opposite to the principle of universalism is the principle of territorialism which is premised on territory where the assets of the debtor are located. As the name suggests, the scope and consequences of such proceedings is limited to the territorial borders of the relevant State where the proceedings are conducted. This means that separate insolvency proceedings can be simultaneously initiated in all those States where the debtor holds assets. The benefits of territorialism include protection of national/ local interests, avoiding conflict with substantive laws (such as those pertaining to priority) and obviating the need of any universal legislation. Some key disadvantages are the inefficiencies and increased costs associated with the multiplicity of proceedings and the possibility of conflicting decisions across jurisdictions (including on the solvency/ insolvency of the debtor).</w:t>
      </w:r>
    </w:p>
    <w:p w14:paraId="776C9763" w14:textId="77777777" w:rsidR="0020255A" w:rsidRDefault="0020255A" w:rsidP="0020255A">
      <w:pPr>
        <w:jc w:val="both"/>
        <w:rPr>
          <w:rFonts w:ascii="Avenir Next" w:hAnsi="Avenir Next" w:cs="Arial"/>
          <w:color w:val="808080" w:themeColor="background1" w:themeShade="80"/>
          <w:sz w:val="22"/>
          <w:szCs w:val="22"/>
        </w:rPr>
      </w:pPr>
    </w:p>
    <w:p w14:paraId="2D28567B" w14:textId="4ED25DFD" w:rsidR="0020255A" w:rsidRPr="0020255A" w:rsidRDefault="0020255A" w:rsidP="0020255A">
      <w:pPr>
        <w:jc w:val="both"/>
        <w:rPr>
          <w:rFonts w:ascii="Avenir Next" w:hAnsi="Avenir Next" w:cs="Arial"/>
          <w:color w:val="808080" w:themeColor="background1" w:themeShade="80"/>
          <w:sz w:val="22"/>
          <w:szCs w:val="22"/>
          <w:lang w:val="en-GB"/>
        </w:rPr>
      </w:pPr>
      <w:r w:rsidRPr="0020255A">
        <w:rPr>
          <w:rFonts w:ascii="Avenir Next" w:hAnsi="Avenir Next" w:cs="Arial"/>
          <w:color w:val="808080" w:themeColor="background1" w:themeShade="80"/>
          <w:sz w:val="22"/>
          <w:szCs w:val="22"/>
        </w:rPr>
        <w:t>Modified universalism has emerged as a kind of a bridge between universalism and territorialism. This principle/ theory envisages a central or main insolvency proceeding in the territory where the</w:t>
      </w:r>
      <w:r w:rsidRPr="0020255A">
        <w:rPr>
          <w:rFonts w:ascii="Avenir Next" w:hAnsi="Avenir Next" w:cs="Arial"/>
          <w:color w:val="808080" w:themeColor="background1" w:themeShade="80"/>
          <w:sz w:val="22"/>
          <w:szCs w:val="22"/>
          <w:lang w:val="en-GB"/>
        </w:rPr>
        <w:t xml:space="preserve"> centre of main interests (COMI) of the debtor is situated. This central/ main proceeding is supplemented by ancillary proceedings in other territories. A vital aspect of this principle is the cooperation between the courts which are conducting the respective proceedings. Modified universalism combines the benefits of universalism with the benefits of territorialism and is hailed for the flexibility that it allows. Modified universalism has gained widespread popularity which is reflected in the increasingly large number of countries which are adopting this regime.</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39406D0A" w14:textId="77777777" w:rsidR="00244DFC" w:rsidRDefault="00244DFC" w:rsidP="00244DFC">
      <w:pPr>
        <w:jc w:val="both"/>
        <w:rPr>
          <w:rFonts w:ascii="Avenir Next" w:hAnsi="Avenir Next" w:cs="Arial"/>
          <w:color w:val="808080" w:themeColor="background1" w:themeShade="80"/>
          <w:sz w:val="22"/>
          <w:szCs w:val="22"/>
        </w:rPr>
      </w:pPr>
      <w:r w:rsidRPr="00244DFC">
        <w:rPr>
          <w:rFonts w:ascii="Avenir Next" w:hAnsi="Avenir Next" w:cs="Arial"/>
          <w:color w:val="808080" w:themeColor="background1" w:themeShade="80"/>
          <w:sz w:val="22"/>
          <w:szCs w:val="22"/>
        </w:rPr>
        <w:t>The Latin American countries, which have integrated economies and legal systems, are known for some of the earliest and most enduring multi-lateral initiatives to address issues relating to cross border insolvency. These initiatives culminated in the following treaties/ conventions –</w:t>
      </w:r>
    </w:p>
    <w:p w14:paraId="14F11705" w14:textId="77777777" w:rsidR="00244DFC" w:rsidRPr="00244DFC" w:rsidRDefault="00244DFC" w:rsidP="00244DFC">
      <w:pPr>
        <w:jc w:val="both"/>
        <w:rPr>
          <w:rFonts w:ascii="Avenir Next" w:hAnsi="Avenir Next" w:cs="Arial"/>
          <w:color w:val="808080" w:themeColor="background1" w:themeShade="80"/>
          <w:sz w:val="22"/>
          <w:szCs w:val="22"/>
        </w:rPr>
      </w:pPr>
    </w:p>
    <w:p w14:paraId="77A3EAFA" w14:textId="77777777" w:rsidR="00244DFC" w:rsidRPr="00244DFC" w:rsidRDefault="00244DFC" w:rsidP="00244DFC">
      <w:pPr>
        <w:numPr>
          <w:ilvl w:val="0"/>
          <w:numId w:val="37"/>
        </w:numPr>
        <w:jc w:val="both"/>
        <w:rPr>
          <w:rFonts w:ascii="Avenir Next" w:hAnsi="Avenir Next" w:cs="Arial"/>
          <w:color w:val="808080" w:themeColor="background1" w:themeShade="80"/>
          <w:sz w:val="22"/>
          <w:szCs w:val="22"/>
        </w:rPr>
      </w:pPr>
      <w:r w:rsidRPr="00244DFC">
        <w:rPr>
          <w:rFonts w:ascii="Avenir Next" w:hAnsi="Avenir Next" w:cs="Arial"/>
          <w:color w:val="808080" w:themeColor="background1" w:themeShade="80"/>
          <w:sz w:val="22"/>
          <w:szCs w:val="22"/>
        </w:rPr>
        <w:t xml:space="preserve">The Montevideo Treaty of 1889 (subsequently revised in 1940); and </w:t>
      </w:r>
    </w:p>
    <w:p w14:paraId="667A6A8F" w14:textId="77777777" w:rsidR="00244DFC" w:rsidRPr="00244DFC" w:rsidRDefault="00244DFC" w:rsidP="00244DFC">
      <w:pPr>
        <w:numPr>
          <w:ilvl w:val="0"/>
          <w:numId w:val="37"/>
        </w:numPr>
        <w:jc w:val="both"/>
        <w:rPr>
          <w:rFonts w:ascii="Avenir Next" w:hAnsi="Avenir Next" w:cs="Arial"/>
          <w:color w:val="808080" w:themeColor="background1" w:themeShade="80"/>
          <w:sz w:val="22"/>
          <w:szCs w:val="22"/>
        </w:rPr>
      </w:pPr>
      <w:r w:rsidRPr="00244DFC">
        <w:rPr>
          <w:rFonts w:ascii="Avenir Next" w:hAnsi="Avenir Next" w:cs="Arial"/>
          <w:color w:val="808080" w:themeColor="background1" w:themeShade="80"/>
          <w:sz w:val="22"/>
          <w:szCs w:val="22"/>
        </w:rPr>
        <w:t>Havana Convention on Private International Law (</w:t>
      </w:r>
      <w:r w:rsidRPr="00244DFC">
        <w:rPr>
          <w:rFonts w:ascii="Avenir Next" w:hAnsi="Avenir Next" w:cs="Arial"/>
          <w:i/>
          <w:iCs/>
          <w:color w:val="808080" w:themeColor="background1" w:themeShade="80"/>
          <w:sz w:val="22"/>
          <w:szCs w:val="22"/>
        </w:rPr>
        <w:t>Bustamante Code</w:t>
      </w:r>
      <w:r w:rsidRPr="00244DFC">
        <w:rPr>
          <w:rFonts w:ascii="Avenir Next" w:hAnsi="Avenir Next" w:cs="Arial"/>
          <w:color w:val="808080" w:themeColor="background1" w:themeShade="80"/>
          <w:sz w:val="22"/>
          <w:szCs w:val="22"/>
        </w:rPr>
        <w:t>) of 1928</w:t>
      </w:r>
    </w:p>
    <w:p w14:paraId="03E4FF01" w14:textId="77777777" w:rsidR="00244DFC" w:rsidRDefault="00244DFC" w:rsidP="00244DFC">
      <w:pPr>
        <w:jc w:val="both"/>
        <w:rPr>
          <w:rFonts w:ascii="Avenir Next" w:hAnsi="Avenir Next" w:cs="Arial"/>
          <w:color w:val="808080" w:themeColor="background1" w:themeShade="80"/>
          <w:sz w:val="22"/>
          <w:szCs w:val="22"/>
        </w:rPr>
      </w:pPr>
    </w:p>
    <w:p w14:paraId="0156E5F7" w14:textId="78C51681" w:rsidR="00244DFC" w:rsidRPr="00244DFC" w:rsidRDefault="00244DFC" w:rsidP="00244DFC">
      <w:pPr>
        <w:jc w:val="both"/>
        <w:rPr>
          <w:rFonts w:ascii="Avenir Next" w:hAnsi="Avenir Next" w:cs="Arial"/>
          <w:color w:val="808080" w:themeColor="background1" w:themeShade="80"/>
          <w:sz w:val="22"/>
          <w:szCs w:val="22"/>
        </w:rPr>
      </w:pPr>
      <w:r w:rsidRPr="00244DFC">
        <w:rPr>
          <w:rFonts w:ascii="Avenir Next" w:hAnsi="Avenir Next" w:cs="Arial"/>
          <w:color w:val="808080" w:themeColor="background1" w:themeShade="80"/>
          <w:sz w:val="22"/>
          <w:szCs w:val="22"/>
        </w:rPr>
        <w:t xml:space="preserve">The differences between the two sets of initiatives are as follows </w:t>
      </w:r>
      <w:r>
        <w:rPr>
          <w:rFonts w:ascii="Avenir Next" w:hAnsi="Avenir Next" w:cs="Arial"/>
          <w:color w:val="808080" w:themeColor="background1" w:themeShade="80"/>
          <w:sz w:val="22"/>
          <w:szCs w:val="22"/>
        </w:rPr>
        <w:t>–</w:t>
      </w:r>
    </w:p>
    <w:p w14:paraId="1D6A7BE6" w14:textId="77777777" w:rsidR="00244DFC" w:rsidRPr="00F42191" w:rsidRDefault="00244DFC" w:rsidP="00F42191">
      <w:pPr>
        <w:ind w:left="720"/>
        <w:jc w:val="both"/>
        <w:rPr>
          <w:rFonts w:ascii="Avenir Next" w:hAnsi="Avenir Next" w:cs="Arial"/>
          <w:color w:val="808080" w:themeColor="background1" w:themeShade="80"/>
          <w:sz w:val="22"/>
          <w:szCs w:val="22"/>
        </w:rPr>
      </w:pPr>
    </w:p>
    <w:p w14:paraId="7DC0EB6D" w14:textId="56CD968C" w:rsidR="00244DFC" w:rsidRDefault="00244DFC" w:rsidP="00244DFC">
      <w:pPr>
        <w:numPr>
          <w:ilvl w:val="0"/>
          <w:numId w:val="38"/>
        </w:numPr>
        <w:jc w:val="both"/>
        <w:rPr>
          <w:rFonts w:ascii="Avenir Next" w:hAnsi="Avenir Next" w:cs="Arial"/>
          <w:color w:val="808080" w:themeColor="background1" w:themeShade="80"/>
          <w:sz w:val="22"/>
          <w:szCs w:val="22"/>
        </w:rPr>
      </w:pPr>
      <w:r w:rsidRPr="00244DFC">
        <w:rPr>
          <w:rFonts w:ascii="Avenir Next" w:hAnsi="Avenir Next" w:cs="Arial"/>
          <w:i/>
          <w:iCs/>
          <w:color w:val="808080" w:themeColor="background1" w:themeShade="80"/>
          <w:sz w:val="22"/>
          <w:szCs w:val="22"/>
        </w:rPr>
        <w:t>Member States</w:t>
      </w:r>
      <w:r w:rsidRPr="00244DFC">
        <w:rPr>
          <w:rFonts w:ascii="Avenir Next" w:hAnsi="Avenir Next" w:cs="Arial"/>
          <w:color w:val="808080" w:themeColor="background1" w:themeShade="80"/>
          <w:sz w:val="22"/>
          <w:szCs w:val="22"/>
        </w:rPr>
        <w:t xml:space="preserve">: The Montevideo Treaties and the Havana Convention differ in terms of their Member States. The Montevideo Treaty of 1889 has been ratified by Argentina, Bolivia, Columbia, Paraguay, </w:t>
      </w:r>
      <w:proofErr w:type="gramStart"/>
      <w:r w:rsidRPr="00244DFC">
        <w:rPr>
          <w:rFonts w:ascii="Avenir Next" w:hAnsi="Avenir Next" w:cs="Arial"/>
          <w:color w:val="808080" w:themeColor="background1" w:themeShade="80"/>
          <w:sz w:val="22"/>
          <w:szCs w:val="22"/>
        </w:rPr>
        <w:t>Peru</w:t>
      </w:r>
      <w:proofErr w:type="gramEnd"/>
      <w:r w:rsidRPr="00244DFC">
        <w:rPr>
          <w:rFonts w:ascii="Avenir Next" w:hAnsi="Avenir Next" w:cs="Arial"/>
          <w:color w:val="808080" w:themeColor="background1" w:themeShade="80"/>
          <w:sz w:val="22"/>
          <w:szCs w:val="22"/>
        </w:rPr>
        <w:t xml:space="preserve"> and Uruguay, while the 1940 treaties have been ratified by Argentina, Paraguay and Uruguay. 15 Latin American countries, namely Bolivia, Brazil, Chile, Costa Rica, Cuba, Dominican Republic, Ecuador, El Salvador, Guatemala, Haiti, Honduras, Nicaragua, Panama, </w:t>
      </w:r>
      <w:proofErr w:type="gramStart"/>
      <w:r w:rsidRPr="00244DFC">
        <w:rPr>
          <w:rFonts w:ascii="Avenir Next" w:hAnsi="Avenir Next" w:cs="Arial"/>
          <w:color w:val="808080" w:themeColor="background1" w:themeShade="80"/>
          <w:sz w:val="22"/>
          <w:szCs w:val="22"/>
        </w:rPr>
        <w:t>Peru</w:t>
      </w:r>
      <w:proofErr w:type="gramEnd"/>
      <w:r w:rsidRPr="00244DFC">
        <w:rPr>
          <w:rFonts w:ascii="Avenir Next" w:hAnsi="Avenir Next" w:cs="Arial"/>
          <w:color w:val="808080" w:themeColor="background1" w:themeShade="80"/>
          <w:sz w:val="22"/>
          <w:szCs w:val="22"/>
        </w:rPr>
        <w:t xml:space="preserve"> and </w:t>
      </w:r>
      <w:r w:rsidR="00345C32" w:rsidRPr="00244DFC">
        <w:rPr>
          <w:rFonts w:ascii="Avenir Next" w:hAnsi="Avenir Next" w:cs="Arial"/>
          <w:color w:val="808080" w:themeColor="background1" w:themeShade="80"/>
          <w:sz w:val="22"/>
          <w:szCs w:val="22"/>
        </w:rPr>
        <w:t>Venezuela</w:t>
      </w:r>
      <w:r w:rsidRPr="00244DFC">
        <w:rPr>
          <w:rFonts w:ascii="Avenir Next" w:hAnsi="Avenir Next" w:cs="Arial"/>
          <w:color w:val="808080" w:themeColor="background1" w:themeShade="80"/>
          <w:sz w:val="22"/>
          <w:szCs w:val="22"/>
        </w:rPr>
        <w:t>, are parties to the Havana Convention. Notably, Bolivia and Peru are also parties to the Havana Convention.</w:t>
      </w:r>
    </w:p>
    <w:p w14:paraId="290EE02F" w14:textId="77777777" w:rsidR="003E5D8B" w:rsidRDefault="003E5D8B" w:rsidP="00F42191">
      <w:pPr>
        <w:ind w:left="720"/>
        <w:jc w:val="both"/>
        <w:rPr>
          <w:rFonts w:ascii="Avenir Next" w:hAnsi="Avenir Next" w:cs="Arial"/>
          <w:color w:val="808080" w:themeColor="background1" w:themeShade="80"/>
          <w:sz w:val="22"/>
          <w:szCs w:val="22"/>
        </w:rPr>
      </w:pPr>
    </w:p>
    <w:p w14:paraId="1590F639" w14:textId="5C4FCA9D" w:rsidR="003E5D8B" w:rsidRPr="00244DFC" w:rsidRDefault="001115AE" w:rsidP="00244DFC">
      <w:pPr>
        <w:numPr>
          <w:ilvl w:val="0"/>
          <w:numId w:val="38"/>
        </w:numPr>
        <w:jc w:val="both"/>
        <w:rPr>
          <w:rFonts w:ascii="Avenir Next" w:hAnsi="Avenir Next" w:cs="Arial"/>
          <w:color w:val="808080" w:themeColor="background1" w:themeShade="80"/>
          <w:sz w:val="22"/>
          <w:szCs w:val="22"/>
        </w:rPr>
      </w:pPr>
      <w:r w:rsidRPr="001115AE">
        <w:rPr>
          <w:rFonts w:ascii="Avenir Next" w:hAnsi="Avenir Next" w:cs="Arial"/>
          <w:i/>
          <w:iCs/>
          <w:color w:val="808080" w:themeColor="background1" w:themeShade="80"/>
          <w:sz w:val="22"/>
          <w:szCs w:val="22"/>
        </w:rPr>
        <w:t>Single or concurrent proceedings</w:t>
      </w:r>
      <w:r w:rsidRPr="001115AE">
        <w:rPr>
          <w:rFonts w:ascii="Avenir Next" w:hAnsi="Avenir Next" w:cs="Arial"/>
          <w:color w:val="808080" w:themeColor="background1" w:themeShade="80"/>
          <w:sz w:val="22"/>
          <w:szCs w:val="22"/>
        </w:rPr>
        <w:t>: The Montevideo Treaties and the Havana Convention also differ with respect to the extent of application of the principles of unity and universality in respect of bankruptcy proceedings. The Montevideo Treaties use the test of ‘commercial domicile’ for determination of the jurisdiction of bankruptcy proceedings. Whether a single or concurrent bankruptcy proceedings can be conducted will depend on the nature of the business/ trade carried out by the debtor. If the principal business/ economic enterprise of the debtor is situated in one State, while the debtor also occasionally engages in business related activities in other States, either directly or through branches/ agents, then a single proceeding will be conducted in one treaty State whe</w:t>
      </w:r>
      <w:r w:rsidR="003628E6">
        <w:rPr>
          <w:rFonts w:ascii="Avenir Next" w:hAnsi="Avenir Next" w:cs="Arial"/>
          <w:color w:val="808080" w:themeColor="background1" w:themeShade="80"/>
          <w:sz w:val="22"/>
          <w:szCs w:val="22"/>
        </w:rPr>
        <w:t>re</w:t>
      </w:r>
      <w:r w:rsidRPr="001115AE">
        <w:rPr>
          <w:rFonts w:ascii="Avenir Next" w:hAnsi="Avenir Next" w:cs="Arial"/>
          <w:color w:val="808080" w:themeColor="background1" w:themeShade="80"/>
          <w:sz w:val="22"/>
          <w:szCs w:val="22"/>
        </w:rPr>
        <w:t xml:space="preserve"> the debtor is commercially domiciled. However, if the debtor has independent businesses/ commercial enterprises, and is, thus, commercially domiciled, in more than one treaty State, then bankruptcy proceedings can be conducted simultaneously in such States. The Havana Convention promotes the principles of unity and universalism in a greater measure as compared to the Montevideo Treat</w:t>
      </w:r>
      <w:r w:rsidR="007C03F0">
        <w:rPr>
          <w:rFonts w:ascii="Avenir Next" w:hAnsi="Avenir Next" w:cs="Arial"/>
          <w:color w:val="808080" w:themeColor="background1" w:themeShade="80"/>
          <w:sz w:val="22"/>
          <w:szCs w:val="22"/>
        </w:rPr>
        <w:t>ies</w:t>
      </w:r>
      <w:r w:rsidRPr="001115AE">
        <w:rPr>
          <w:rFonts w:ascii="Avenir Next" w:hAnsi="Avenir Next" w:cs="Arial"/>
          <w:color w:val="808080" w:themeColor="background1" w:themeShade="80"/>
          <w:sz w:val="22"/>
          <w:szCs w:val="22"/>
        </w:rPr>
        <w:t>. However, much like the Montevideo Treaties, the Havana Convention allows single or concurrent bankruptcy proceedings to be held depending on whether the debtor has a single commercial enterprise in one State with occasional trading/ business activities in other States or has various economically separate business undertakings/ establishments in more than one State which have signed up to the Havana Convention. However, the Havana Convention does not contain provisions for co-operation or co-ordination in case of concurrent proceedings. Further, the Havana Convention recognizes the extra-territorial effects of insolvency proceedings, in as much as Court decrees passed in insolvency proceedings conducted in one member State are enforceable in other member States, provided the applicable local rules governing registration/ publicity of court decrees are complied with</w:t>
      </w:r>
      <w:r>
        <w:rPr>
          <w:rFonts w:ascii="Avenir Next" w:hAnsi="Avenir Next" w:cs="Arial"/>
          <w:color w:val="808080" w:themeColor="background1" w:themeShade="80"/>
          <w:sz w:val="22"/>
          <w:szCs w:val="22"/>
        </w:rPr>
        <w:t>.</w:t>
      </w:r>
    </w:p>
    <w:p w14:paraId="01466BA0" w14:textId="77777777" w:rsidR="003E5D8B" w:rsidRDefault="003E5D8B" w:rsidP="00384F24">
      <w:pPr>
        <w:jc w:val="both"/>
        <w:rPr>
          <w:rFonts w:ascii="Avenir Next" w:hAnsi="Avenir Next" w:cs="Arial"/>
          <w:color w:val="808080" w:themeColor="background1" w:themeShade="80"/>
          <w:sz w:val="22"/>
          <w:szCs w:val="22"/>
        </w:rPr>
      </w:pPr>
    </w:p>
    <w:p w14:paraId="6A803E53" w14:textId="093FAABD" w:rsidR="004417C1" w:rsidRPr="004216EA" w:rsidRDefault="00244DFC" w:rsidP="00384F24">
      <w:pPr>
        <w:jc w:val="both"/>
        <w:rPr>
          <w:rFonts w:ascii="Avenir Next" w:hAnsi="Avenir Next" w:cs="Arial"/>
          <w:sz w:val="22"/>
          <w:szCs w:val="22"/>
          <w:lang w:val="en-GB"/>
        </w:rPr>
      </w:pPr>
      <w:r w:rsidRPr="00244DFC" w:rsidDel="00244DFC">
        <w:rPr>
          <w:rFonts w:ascii="Avenir Next" w:hAnsi="Avenir Next" w:cs="Arial"/>
          <w:color w:val="808080" w:themeColor="background1" w:themeShade="80"/>
          <w:sz w:val="22"/>
          <w:szCs w:val="22"/>
          <w:lang w:val="en-GB"/>
        </w:rPr>
        <w:t xml:space="preserve"> </w:t>
      </w: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51C3DD3" w14:textId="6A85C0CA" w:rsidR="0043223F" w:rsidRPr="0043223F" w:rsidRDefault="0043223F" w:rsidP="0043223F">
      <w:pPr>
        <w:jc w:val="both"/>
        <w:rPr>
          <w:rFonts w:ascii="Avenir Next" w:hAnsi="Avenir Next" w:cs="Arial"/>
          <w:color w:val="808080" w:themeColor="background1" w:themeShade="80"/>
          <w:sz w:val="22"/>
          <w:szCs w:val="22"/>
          <w:lang w:val="en-GB"/>
        </w:rPr>
      </w:pPr>
      <w:r w:rsidRPr="0043223F">
        <w:rPr>
          <w:rFonts w:ascii="Avenir Next" w:hAnsi="Avenir Next" w:cs="Arial"/>
          <w:color w:val="808080" w:themeColor="background1" w:themeShade="80"/>
          <w:sz w:val="22"/>
          <w:szCs w:val="22"/>
          <w:lang w:val="en-GB"/>
        </w:rPr>
        <w:t xml:space="preserve">Broadly speaking, “insolvency” refers to the situation or state of financial distress of a debtor where either its liabilities exceed its assets (balance sheet insolvency) and/ or where a debtor cannot repay its debts when they fall due (commercial or cash flow insolvency). On the other hand, “bankruptcy” refers to a formal legal process, which can result from a state of “insolvency”. Viewed from this perspective, while “bankruptcy” of a debtor presupposes that the debtor is in a state of “insolvency”, the reverse is not always true as the “insolvency” of a debtor may or may not culminate in “bankruptcy” of the debtor. </w:t>
      </w:r>
    </w:p>
    <w:p w14:paraId="50FD1684" w14:textId="77777777" w:rsidR="00527B89" w:rsidRDefault="00527B89" w:rsidP="0043223F">
      <w:pPr>
        <w:jc w:val="both"/>
        <w:rPr>
          <w:rFonts w:ascii="Avenir Next" w:hAnsi="Avenir Next" w:cs="Arial"/>
          <w:color w:val="808080" w:themeColor="background1" w:themeShade="80"/>
          <w:sz w:val="22"/>
          <w:szCs w:val="22"/>
          <w:lang w:val="en-GB"/>
        </w:rPr>
      </w:pPr>
    </w:p>
    <w:p w14:paraId="077CB487" w14:textId="798DD3A3" w:rsidR="0043223F" w:rsidRDefault="0043223F" w:rsidP="0043223F">
      <w:pPr>
        <w:jc w:val="both"/>
        <w:rPr>
          <w:rFonts w:ascii="Avenir Next" w:hAnsi="Avenir Next" w:cs="Arial"/>
          <w:color w:val="808080" w:themeColor="background1" w:themeShade="80"/>
          <w:sz w:val="22"/>
          <w:szCs w:val="22"/>
          <w:lang w:val="en-GB"/>
        </w:rPr>
      </w:pPr>
      <w:r w:rsidRPr="0043223F">
        <w:rPr>
          <w:rFonts w:ascii="Avenir Next" w:hAnsi="Avenir Next" w:cs="Arial"/>
          <w:color w:val="808080" w:themeColor="background1" w:themeShade="80"/>
          <w:sz w:val="22"/>
          <w:szCs w:val="22"/>
          <w:lang w:val="en-GB"/>
        </w:rPr>
        <w:t xml:space="preserve">However, in many countries, these two terms are used synonymously. In some countries, such as the United States, the term “bankruptcy” is used in case of both corporations and individuals, while in some other countries, such as Australia and India, the term “insolvency” is used in the context of corporations, while the term “bankruptcy” is used in the context of individuals. </w:t>
      </w:r>
    </w:p>
    <w:p w14:paraId="1F86D68E" w14:textId="77777777" w:rsidR="00527B89" w:rsidRPr="0043223F" w:rsidRDefault="00527B89" w:rsidP="0043223F">
      <w:pPr>
        <w:jc w:val="both"/>
        <w:rPr>
          <w:rFonts w:ascii="Avenir Next" w:hAnsi="Avenir Next" w:cs="Arial"/>
          <w:color w:val="808080" w:themeColor="background1" w:themeShade="80"/>
          <w:sz w:val="22"/>
          <w:szCs w:val="22"/>
          <w:lang w:val="en-GB"/>
        </w:rPr>
      </w:pPr>
    </w:p>
    <w:p w14:paraId="56264F98" w14:textId="77777777" w:rsidR="0043223F" w:rsidRPr="0043223F" w:rsidRDefault="0043223F" w:rsidP="0043223F">
      <w:pPr>
        <w:jc w:val="both"/>
        <w:rPr>
          <w:rFonts w:ascii="Avenir Next" w:hAnsi="Avenir Next" w:cs="Arial"/>
          <w:color w:val="808080" w:themeColor="background1" w:themeShade="80"/>
          <w:sz w:val="22"/>
          <w:szCs w:val="22"/>
          <w:lang w:val="en-GB"/>
        </w:rPr>
      </w:pPr>
      <w:r w:rsidRPr="0043223F">
        <w:rPr>
          <w:rFonts w:ascii="Avenir Next" w:hAnsi="Avenir Next" w:cs="Arial"/>
          <w:color w:val="808080" w:themeColor="background1" w:themeShade="80"/>
          <w:sz w:val="22"/>
          <w:szCs w:val="22"/>
          <w:lang w:val="en-GB"/>
        </w:rPr>
        <w:t>As per Wood</w:t>
      </w:r>
      <w:r w:rsidRPr="0043223F">
        <w:rPr>
          <w:rFonts w:ascii="Avenir Next" w:hAnsi="Avenir Next" w:cs="Arial"/>
          <w:color w:val="808080" w:themeColor="background1" w:themeShade="80"/>
          <w:sz w:val="22"/>
          <w:szCs w:val="22"/>
          <w:vertAlign w:val="superscript"/>
          <w:lang w:val="en-GB"/>
        </w:rPr>
        <w:footnoteReference w:id="1"/>
      </w:r>
      <w:r w:rsidRPr="0043223F">
        <w:rPr>
          <w:rFonts w:ascii="Avenir Next" w:hAnsi="Avenir Next" w:cs="Arial"/>
          <w:color w:val="808080" w:themeColor="background1" w:themeShade="80"/>
          <w:sz w:val="22"/>
          <w:szCs w:val="22"/>
          <w:lang w:val="en-GB"/>
        </w:rPr>
        <w:t xml:space="preserve">, below are some essential characteristics of “insolvency” and “bankruptcy” law – </w:t>
      </w:r>
    </w:p>
    <w:p w14:paraId="16C86F09" w14:textId="77777777" w:rsidR="0043223F" w:rsidRPr="0043223F" w:rsidRDefault="0043223F" w:rsidP="0043223F">
      <w:pPr>
        <w:numPr>
          <w:ilvl w:val="0"/>
          <w:numId w:val="39"/>
        </w:numPr>
        <w:jc w:val="both"/>
        <w:rPr>
          <w:rFonts w:ascii="Avenir Next" w:hAnsi="Avenir Next" w:cs="Arial"/>
          <w:color w:val="808080" w:themeColor="background1" w:themeShade="80"/>
          <w:sz w:val="22"/>
          <w:szCs w:val="22"/>
          <w:lang w:val="en-GB"/>
        </w:rPr>
      </w:pPr>
      <w:r w:rsidRPr="0043223F">
        <w:rPr>
          <w:rFonts w:ascii="Avenir Next" w:hAnsi="Avenir Next" w:cs="Arial"/>
          <w:color w:val="808080" w:themeColor="background1" w:themeShade="80"/>
          <w:sz w:val="22"/>
          <w:szCs w:val="22"/>
          <w:lang w:val="en-GB"/>
        </w:rPr>
        <w:t xml:space="preserve">Moratorium, which prohibits individual actions for enforcement of debt/ claim against the estate of the </w:t>
      </w:r>
      <w:proofErr w:type="gramStart"/>
      <w:r w:rsidRPr="0043223F">
        <w:rPr>
          <w:rFonts w:ascii="Avenir Next" w:hAnsi="Avenir Next" w:cs="Arial"/>
          <w:color w:val="808080" w:themeColor="background1" w:themeShade="80"/>
          <w:sz w:val="22"/>
          <w:szCs w:val="22"/>
          <w:lang w:val="en-GB"/>
        </w:rPr>
        <w:t>bankrupt;</w:t>
      </w:r>
      <w:proofErr w:type="gramEnd"/>
      <w:r w:rsidRPr="0043223F">
        <w:rPr>
          <w:rFonts w:ascii="Avenir Next" w:hAnsi="Avenir Next" w:cs="Arial"/>
          <w:color w:val="808080" w:themeColor="background1" w:themeShade="80"/>
          <w:sz w:val="22"/>
          <w:szCs w:val="22"/>
          <w:lang w:val="en-GB"/>
        </w:rPr>
        <w:t xml:space="preserve"> </w:t>
      </w:r>
    </w:p>
    <w:p w14:paraId="22586691" w14:textId="77777777" w:rsidR="0043223F" w:rsidRPr="0043223F" w:rsidRDefault="0043223F" w:rsidP="0043223F">
      <w:pPr>
        <w:numPr>
          <w:ilvl w:val="0"/>
          <w:numId w:val="39"/>
        </w:numPr>
        <w:jc w:val="both"/>
        <w:rPr>
          <w:rFonts w:ascii="Avenir Next" w:hAnsi="Avenir Next" w:cs="Arial"/>
          <w:color w:val="808080" w:themeColor="background1" w:themeShade="80"/>
          <w:sz w:val="22"/>
          <w:szCs w:val="22"/>
          <w:lang w:val="en-GB"/>
        </w:rPr>
      </w:pPr>
      <w:r w:rsidRPr="0043223F">
        <w:rPr>
          <w:rFonts w:ascii="Avenir Next" w:hAnsi="Avenir Next" w:cs="Arial"/>
          <w:color w:val="808080" w:themeColor="background1" w:themeShade="80"/>
          <w:sz w:val="22"/>
          <w:szCs w:val="22"/>
          <w:lang w:val="en-GB"/>
        </w:rPr>
        <w:t xml:space="preserve">Pooling of assets of the bankrupt to enable collective payment to the creditors, as opposed to </w:t>
      </w:r>
      <w:r w:rsidRPr="0043223F">
        <w:rPr>
          <w:rFonts w:ascii="Avenir Next" w:hAnsi="Avenir Next" w:cs="Arial"/>
          <w:i/>
          <w:iCs/>
          <w:color w:val="808080" w:themeColor="background1" w:themeShade="80"/>
          <w:sz w:val="22"/>
          <w:szCs w:val="22"/>
          <w:lang w:val="en-GB"/>
        </w:rPr>
        <w:t>ad hoc</w:t>
      </w:r>
      <w:r w:rsidRPr="0043223F">
        <w:rPr>
          <w:rFonts w:ascii="Avenir Next" w:hAnsi="Avenir Next" w:cs="Arial"/>
          <w:color w:val="808080" w:themeColor="background1" w:themeShade="80"/>
          <w:sz w:val="22"/>
          <w:szCs w:val="22"/>
          <w:lang w:val="en-GB"/>
        </w:rPr>
        <w:t xml:space="preserve">/ piecemeal seizure of assets by individual </w:t>
      </w:r>
      <w:proofErr w:type="gramStart"/>
      <w:r w:rsidRPr="0043223F">
        <w:rPr>
          <w:rFonts w:ascii="Avenir Next" w:hAnsi="Avenir Next" w:cs="Arial"/>
          <w:color w:val="808080" w:themeColor="background1" w:themeShade="80"/>
          <w:sz w:val="22"/>
          <w:szCs w:val="22"/>
          <w:lang w:val="en-GB"/>
        </w:rPr>
        <w:t>creditors;</w:t>
      </w:r>
      <w:proofErr w:type="gramEnd"/>
      <w:r w:rsidRPr="0043223F">
        <w:rPr>
          <w:rFonts w:ascii="Avenir Next" w:hAnsi="Avenir Next" w:cs="Arial"/>
          <w:color w:val="808080" w:themeColor="background1" w:themeShade="80"/>
          <w:sz w:val="22"/>
          <w:szCs w:val="22"/>
          <w:lang w:val="en-GB"/>
        </w:rPr>
        <w:t xml:space="preserve">  </w:t>
      </w:r>
    </w:p>
    <w:p w14:paraId="3463884A" w14:textId="77777777" w:rsidR="0043223F" w:rsidRPr="0043223F" w:rsidRDefault="0043223F" w:rsidP="0043223F">
      <w:pPr>
        <w:numPr>
          <w:ilvl w:val="0"/>
          <w:numId w:val="39"/>
        </w:numPr>
        <w:jc w:val="both"/>
        <w:rPr>
          <w:rFonts w:ascii="Avenir Next" w:hAnsi="Avenir Next" w:cs="Arial"/>
          <w:color w:val="808080" w:themeColor="background1" w:themeShade="80"/>
          <w:sz w:val="22"/>
          <w:szCs w:val="22"/>
          <w:lang w:val="en-GB"/>
        </w:rPr>
      </w:pPr>
      <w:r w:rsidRPr="0043223F">
        <w:rPr>
          <w:rFonts w:ascii="Avenir Next" w:hAnsi="Avenir Next" w:cs="Arial"/>
          <w:color w:val="808080" w:themeColor="background1" w:themeShade="80"/>
          <w:sz w:val="22"/>
          <w:szCs w:val="22"/>
          <w:lang w:val="en-GB"/>
        </w:rPr>
        <w:t xml:space="preserve">Payments of creditors from the pool of assets on </w:t>
      </w:r>
      <w:proofErr w:type="spellStart"/>
      <w:r w:rsidRPr="0043223F">
        <w:rPr>
          <w:rFonts w:ascii="Avenir Next" w:hAnsi="Avenir Next" w:cs="Arial"/>
          <w:i/>
          <w:iCs/>
          <w:color w:val="808080" w:themeColor="background1" w:themeShade="80"/>
          <w:sz w:val="22"/>
          <w:szCs w:val="22"/>
          <w:lang w:val="en-GB"/>
        </w:rPr>
        <w:t>pari</w:t>
      </w:r>
      <w:proofErr w:type="spellEnd"/>
      <w:r w:rsidRPr="0043223F">
        <w:rPr>
          <w:rFonts w:ascii="Avenir Next" w:hAnsi="Avenir Next" w:cs="Arial"/>
          <w:i/>
          <w:iCs/>
          <w:color w:val="808080" w:themeColor="background1" w:themeShade="80"/>
          <w:sz w:val="22"/>
          <w:szCs w:val="22"/>
          <w:lang w:val="en-GB"/>
        </w:rPr>
        <w:t xml:space="preserve"> passu</w:t>
      </w:r>
      <w:r w:rsidRPr="0043223F">
        <w:rPr>
          <w:rFonts w:ascii="Avenir Next" w:hAnsi="Avenir Next" w:cs="Arial"/>
          <w:color w:val="808080" w:themeColor="background1" w:themeShade="80"/>
          <w:sz w:val="22"/>
          <w:szCs w:val="22"/>
          <w:lang w:val="en-GB"/>
        </w:rPr>
        <w:t xml:space="preserve"> or proportionate basis as per their claims.</w:t>
      </w:r>
    </w:p>
    <w:p w14:paraId="0165C1F8" w14:textId="77777777" w:rsidR="00A31DCB" w:rsidRDefault="00A31DCB" w:rsidP="0043223F">
      <w:pPr>
        <w:jc w:val="both"/>
        <w:rPr>
          <w:rFonts w:ascii="Avenir Next" w:hAnsi="Avenir Next" w:cs="Arial"/>
          <w:color w:val="808080" w:themeColor="background1" w:themeShade="80"/>
          <w:sz w:val="22"/>
          <w:szCs w:val="22"/>
          <w:lang w:val="en-GB"/>
        </w:rPr>
      </w:pPr>
    </w:p>
    <w:p w14:paraId="697060E3" w14:textId="34E2F1DF" w:rsidR="0043223F" w:rsidRPr="0043223F" w:rsidRDefault="0043223F" w:rsidP="0043223F">
      <w:pPr>
        <w:jc w:val="both"/>
        <w:rPr>
          <w:rFonts w:ascii="Avenir Next" w:hAnsi="Avenir Next" w:cs="Arial"/>
          <w:color w:val="808080" w:themeColor="background1" w:themeShade="80"/>
          <w:sz w:val="22"/>
          <w:szCs w:val="22"/>
          <w:lang w:val="en-GB"/>
        </w:rPr>
      </w:pPr>
      <w:r w:rsidRPr="0043223F">
        <w:rPr>
          <w:rFonts w:ascii="Avenir Next" w:hAnsi="Avenir Next" w:cs="Arial"/>
          <w:color w:val="808080" w:themeColor="background1" w:themeShade="80"/>
          <w:sz w:val="22"/>
          <w:szCs w:val="22"/>
          <w:lang w:val="en-GB"/>
        </w:rPr>
        <w:t>It may be added that the second and third feature have undergone significant dilution in view of exceptions to these rules being carved out by the legal systems of various States.</w:t>
      </w:r>
    </w:p>
    <w:p w14:paraId="402C606F" w14:textId="77777777" w:rsidR="00A31DCB" w:rsidRDefault="00A31DCB" w:rsidP="0043223F">
      <w:pPr>
        <w:jc w:val="both"/>
        <w:rPr>
          <w:rFonts w:ascii="Avenir Next" w:hAnsi="Avenir Next" w:cs="Arial"/>
          <w:color w:val="808080" w:themeColor="background1" w:themeShade="80"/>
          <w:sz w:val="22"/>
          <w:szCs w:val="22"/>
          <w:lang w:val="en-GB"/>
        </w:rPr>
      </w:pPr>
    </w:p>
    <w:p w14:paraId="1741D4C9" w14:textId="0E286EB9" w:rsidR="0043223F" w:rsidRPr="0043223F" w:rsidRDefault="0043223F" w:rsidP="0043223F">
      <w:pPr>
        <w:jc w:val="both"/>
        <w:rPr>
          <w:rFonts w:ascii="Avenir Next" w:hAnsi="Avenir Next" w:cs="Arial"/>
          <w:color w:val="808080" w:themeColor="background1" w:themeShade="80"/>
          <w:sz w:val="22"/>
          <w:szCs w:val="22"/>
          <w:lang w:val="en-GB"/>
        </w:rPr>
      </w:pPr>
      <w:r w:rsidRPr="0043223F">
        <w:rPr>
          <w:rFonts w:ascii="Avenir Next" w:hAnsi="Avenir Next" w:cs="Arial"/>
          <w:color w:val="808080" w:themeColor="background1" w:themeShade="80"/>
          <w:sz w:val="22"/>
          <w:szCs w:val="22"/>
          <w:lang w:val="en-GB"/>
        </w:rPr>
        <w:t>Sealy and Hooley</w:t>
      </w:r>
      <w:r w:rsidRPr="0043223F">
        <w:rPr>
          <w:rFonts w:ascii="Avenir Next" w:hAnsi="Avenir Next" w:cs="Arial"/>
          <w:color w:val="808080" w:themeColor="background1" w:themeShade="80"/>
          <w:sz w:val="22"/>
          <w:szCs w:val="22"/>
          <w:vertAlign w:val="superscript"/>
          <w:lang w:val="en-GB"/>
        </w:rPr>
        <w:footnoteReference w:id="2"/>
      </w:r>
      <w:r w:rsidRPr="0043223F">
        <w:rPr>
          <w:rFonts w:ascii="Avenir Next" w:hAnsi="Avenir Next" w:cs="Arial"/>
          <w:color w:val="808080" w:themeColor="background1" w:themeShade="80"/>
          <w:sz w:val="22"/>
          <w:szCs w:val="22"/>
          <w:lang w:val="en-GB"/>
        </w:rPr>
        <w:t xml:space="preserve"> have identified certain differences between the objectives of insolvency law in its application to individuals and corporations, as summarised below – </w:t>
      </w:r>
    </w:p>
    <w:p w14:paraId="06245727" w14:textId="77777777" w:rsidR="00A31DCB" w:rsidRPr="00F42191" w:rsidRDefault="00A31DCB" w:rsidP="00F42191">
      <w:pPr>
        <w:ind w:left="720"/>
        <w:jc w:val="both"/>
        <w:rPr>
          <w:rFonts w:ascii="Avenir Next" w:hAnsi="Avenir Next" w:cs="Arial"/>
          <w:color w:val="808080" w:themeColor="background1" w:themeShade="80"/>
          <w:sz w:val="22"/>
          <w:szCs w:val="22"/>
          <w:lang w:val="en-GB"/>
        </w:rPr>
      </w:pPr>
    </w:p>
    <w:p w14:paraId="538CE136" w14:textId="59C8C46C" w:rsidR="0043223F" w:rsidRPr="0043223F" w:rsidRDefault="0043223F" w:rsidP="0043223F">
      <w:pPr>
        <w:numPr>
          <w:ilvl w:val="0"/>
          <w:numId w:val="40"/>
        </w:numPr>
        <w:jc w:val="both"/>
        <w:rPr>
          <w:rFonts w:ascii="Avenir Next" w:hAnsi="Avenir Next" w:cs="Arial"/>
          <w:color w:val="808080" w:themeColor="background1" w:themeShade="80"/>
          <w:sz w:val="22"/>
          <w:szCs w:val="22"/>
          <w:lang w:val="en-GB"/>
        </w:rPr>
      </w:pPr>
      <w:r w:rsidRPr="0043223F">
        <w:rPr>
          <w:rFonts w:ascii="Avenir Next" w:hAnsi="Avenir Next" w:cs="Arial"/>
          <w:i/>
          <w:iCs/>
          <w:color w:val="808080" w:themeColor="background1" w:themeShade="80"/>
          <w:sz w:val="22"/>
          <w:szCs w:val="22"/>
          <w:lang w:val="en-GB"/>
        </w:rPr>
        <w:t>Key objectives in insolvency of individuals</w:t>
      </w:r>
      <w:r w:rsidRPr="0043223F">
        <w:rPr>
          <w:rFonts w:ascii="Avenir Next" w:hAnsi="Avenir Next" w:cs="Arial"/>
          <w:color w:val="808080" w:themeColor="background1" w:themeShade="80"/>
          <w:sz w:val="22"/>
          <w:szCs w:val="22"/>
          <w:lang w:val="en-GB"/>
        </w:rPr>
        <w:t xml:space="preserve">: protection of debtor from harassment by creditors, enabling fresh start (especially where insolvency has not resulted from default or conduct of the debtor), reduction of indebtedness using present and future income of the debtor to make contribution to the estate, while considering the personal circumstances of the debtor. </w:t>
      </w:r>
    </w:p>
    <w:p w14:paraId="5EA8A550" w14:textId="77777777" w:rsidR="0043223F" w:rsidRPr="0043223F" w:rsidRDefault="0043223F" w:rsidP="0043223F">
      <w:pPr>
        <w:jc w:val="both"/>
        <w:rPr>
          <w:rFonts w:ascii="Avenir Next" w:hAnsi="Avenir Next" w:cs="Arial"/>
          <w:color w:val="808080" w:themeColor="background1" w:themeShade="80"/>
          <w:sz w:val="22"/>
          <w:szCs w:val="22"/>
          <w:lang w:val="en-GB"/>
        </w:rPr>
      </w:pPr>
    </w:p>
    <w:p w14:paraId="06DADFF5" w14:textId="77777777" w:rsidR="0043223F" w:rsidRPr="0043223F" w:rsidRDefault="0043223F" w:rsidP="0043223F">
      <w:pPr>
        <w:numPr>
          <w:ilvl w:val="0"/>
          <w:numId w:val="40"/>
        </w:numPr>
        <w:jc w:val="both"/>
        <w:rPr>
          <w:rFonts w:ascii="Avenir Next" w:hAnsi="Avenir Next" w:cs="Arial"/>
          <w:color w:val="808080" w:themeColor="background1" w:themeShade="80"/>
          <w:sz w:val="22"/>
          <w:szCs w:val="22"/>
          <w:lang w:val="en-GB"/>
        </w:rPr>
      </w:pPr>
      <w:r w:rsidRPr="0043223F">
        <w:rPr>
          <w:rFonts w:ascii="Avenir Next" w:hAnsi="Avenir Next" w:cs="Arial"/>
          <w:i/>
          <w:iCs/>
          <w:color w:val="808080" w:themeColor="background1" w:themeShade="80"/>
          <w:sz w:val="22"/>
          <w:szCs w:val="22"/>
          <w:lang w:val="en-GB"/>
        </w:rPr>
        <w:t>Key objectives in insolvency of corporations</w:t>
      </w:r>
      <w:r w:rsidRPr="0043223F">
        <w:rPr>
          <w:rFonts w:ascii="Avenir Next" w:hAnsi="Avenir Next" w:cs="Arial"/>
          <w:color w:val="808080" w:themeColor="background1" w:themeShade="80"/>
          <w:sz w:val="22"/>
          <w:szCs w:val="22"/>
          <w:lang w:val="en-GB"/>
        </w:rPr>
        <w:t>: preservation of business or its parts as going concern, wherever possible; fixing personal liability on individuals responsible for the insolvency.</w:t>
      </w:r>
    </w:p>
    <w:p w14:paraId="3EA7AF43" w14:textId="77777777" w:rsidR="00B52DA9" w:rsidRDefault="00B52DA9" w:rsidP="0043223F">
      <w:pPr>
        <w:jc w:val="both"/>
        <w:rPr>
          <w:rFonts w:ascii="Avenir Next" w:hAnsi="Avenir Next" w:cs="Arial"/>
          <w:color w:val="808080" w:themeColor="background1" w:themeShade="80"/>
          <w:sz w:val="22"/>
          <w:szCs w:val="22"/>
          <w:lang w:val="en-GB"/>
        </w:rPr>
      </w:pPr>
    </w:p>
    <w:p w14:paraId="15CE7114" w14:textId="55873276" w:rsidR="0043223F" w:rsidRPr="0043223F" w:rsidRDefault="0043223F" w:rsidP="0043223F">
      <w:pPr>
        <w:jc w:val="both"/>
        <w:rPr>
          <w:rFonts w:ascii="Avenir Next" w:hAnsi="Avenir Next" w:cs="Arial"/>
          <w:color w:val="808080" w:themeColor="background1" w:themeShade="80"/>
          <w:sz w:val="22"/>
          <w:szCs w:val="22"/>
          <w:lang w:val="en-GB"/>
        </w:rPr>
      </w:pPr>
      <w:r w:rsidRPr="0043223F">
        <w:rPr>
          <w:rFonts w:ascii="Avenir Next" w:hAnsi="Avenir Next" w:cs="Arial"/>
          <w:color w:val="808080" w:themeColor="background1" w:themeShade="80"/>
          <w:sz w:val="22"/>
          <w:szCs w:val="22"/>
          <w:lang w:val="en-GB"/>
        </w:rPr>
        <w:t xml:space="preserve">Apart from the above, principles relating to </w:t>
      </w:r>
      <w:proofErr w:type="spellStart"/>
      <w:r w:rsidRPr="0043223F">
        <w:rPr>
          <w:rFonts w:ascii="Avenir Next" w:hAnsi="Avenir Next" w:cs="Arial"/>
          <w:i/>
          <w:iCs/>
          <w:color w:val="808080" w:themeColor="background1" w:themeShade="80"/>
          <w:sz w:val="22"/>
          <w:szCs w:val="22"/>
          <w:lang w:val="en-GB"/>
        </w:rPr>
        <w:t>pari</w:t>
      </w:r>
      <w:proofErr w:type="spellEnd"/>
      <w:r w:rsidRPr="0043223F">
        <w:rPr>
          <w:rFonts w:ascii="Avenir Next" w:hAnsi="Avenir Next" w:cs="Arial"/>
          <w:i/>
          <w:iCs/>
          <w:color w:val="808080" w:themeColor="background1" w:themeShade="80"/>
          <w:sz w:val="22"/>
          <w:szCs w:val="22"/>
          <w:lang w:val="en-GB"/>
        </w:rPr>
        <w:t xml:space="preserve"> passu </w:t>
      </w:r>
      <w:r w:rsidRPr="0043223F">
        <w:rPr>
          <w:rFonts w:ascii="Avenir Next" w:hAnsi="Avenir Next" w:cs="Arial"/>
          <w:color w:val="808080" w:themeColor="background1" w:themeShade="80"/>
          <w:sz w:val="22"/>
          <w:szCs w:val="22"/>
          <w:lang w:val="en-GB"/>
        </w:rPr>
        <w:t xml:space="preserve">distribution (subject to creditor priority and security interest), fairness in treatment, investigation into causes of insolvency, voidable/ fraudulent transactions, are relevant for insolvency of individuals as well as that of corporations.     </w:t>
      </w:r>
    </w:p>
    <w:p w14:paraId="39A5D0A9" w14:textId="77777777" w:rsidR="00B52DA9" w:rsidRDefault="00B52DA9" w:rsidP="0043223F">
      <w:pPr>
        <w:jc w:val="both"/>
        <w:rPr>
          <w:rFonts w:ascii="Avenir Next" w:hAnsi="Avenir Next" w:cs="Arial"/>
          <w:color w:val="808080" w:themeColor="background1" w:themeShade="80"/>
          <w:sz w:val="22"/>
          <w:szCs w:val="22"/>
          <w:lang w:val="en-GB"/>
        </w:rPr>
      </w:pPr>
    </w:p>
    <w:p w14:paraId="2BD4D326" w14:textId="7D3371E8" w:rsidR="0043223F" w:rsidRPr="0043223F" w:rsidRDefault="0043223F" w:rsidP="0043223F">
      <w:pPr>
        <w:jc w:val="both"/>
        <w:rPr>
          <w:rFonts w:ascii="Avenir Next" w:hAnsi="Avenir Next" w:cs="Arial"/>
          <w:color w:val="808080" w:themeColor="background1" w:themeShade="80"/>
          <w:sz w:val="22"/>
          <w:szCs w:val="22"/>
          <w:lang w:val="en-GB"/>
        </w:rPr>
      </w:pPr>
      <w:r w:rsidRPr="0043223F">
        <w:rPr>
          <w:rFonts w:ascii="Avenir Next" w:hAnsi="Avenir Next" w:cs="Arial"/>
          <w:color w:val="808080" w:themeColor="background1" w:themeShade="80"/>
          <w:sz w:val="22"/>
          <w:szCs w:val="22"/>
          <w:lang w:val="en-GB"/>
        </w:rPr>
        <w:t xml:space="preserve">However, there are also some key differences between individual and corporate insolvency. One such important distinction is that in some legal systems, certain assets of the insolvency individual are kept out of the process to enable maintenance of the individual and his/ her dependants. In contrast, during insolvency of a corporate debtor, all assets of debtor of whatever nature and whether in the debtor’s possession or not, are pooled together for the purpose of collective realisation and distribution. The other key difference is that insolvency of individuals does not culminate in a dissolution order, while an order for dissolution typically follows once the affairs of a corporation have been completely wound up. </w:t>
      </w:r>
    </w:p>
    <w:p w14:paraId="7AA7A21C" w14:textId="77777777" w:rsidR="00B52DA9" w:rsidRDefault="00B52DA9" w:rsidP="0043223F">
      <w:pPr>
        <w:jc w:val="both"/>
        <w:rPr>
          <w:rFonts w:ascii="Avenir Next" w:hAnsi="Avenir Next" w:cs="Arial"/>
          <w:color w:val="808080" w:themeColor="background1" w:themeShade="80"/>
          <w:sz w:val="22"/>
          <w:szCs w:val="22"/>
          <w:lang w:val="en-GB"/>
        </w:rPr>
      </w:pPr>
    </w:p>
    <w:p w14:paraId="1EB52C34" w14:textId="4BC90A94" w:rsidR="0043223F" w:rsidRPr="0043223F" w:rsidRDefault="0043223F" w:rsidP="0043223F">
      <w:pPr>
        <w:jc w:val="both"/>
        <w:rPr>
          <w:rFonts w:ascii="Avenir Next" w:hAnsi="Avenir Next" w:cs="Arial"/>
          <w:color w:val="808080" w:themeColor="background1" w:themeShade="80"/>
          <w:sz w:val="22"/>
          <w:szCs w:val="22"/>
          <w:lang w:val="en-GB"/>
        </w:rPr>
      </w:pPr>
      <w:r w:rsidRPr="0043223F">
        <w:rPr>
          <w:rFonts w:ascii="Avenir Next" w:hAnsi="Avenir Next" w:cs="Arial"/>
          <w:color w:val="808080" w:themeColor="background1" w:themeShade="80"/>
          <w:sz w:val="22"/>
          <w:szCs w:val="22"/>
          <w:lang w:val="en-GB"/>
        </w:rPr>
        <w:t>In view of the above, the meaning and use of the terms “bankruptcy” and “insolvency” appears to be contextual in nature and would typically depend on the legal system under consideration.</w:t>
      </w:r>
    </w:p>
    <w:p w14:paraId="71773D47" w14:textId="123980E5" w:rsidR="00DA42DA" w:rsidRPr="00DA42DA" w:rsidRDefault="00DA42DA" w:rsidP="00DA42DA">
      <w:pPr>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5468E485" w14:textId="43128EB5" w:rsidR="00BC69C5" w:rsidRDefault="00BC69C5" w:rsidP="00BC69C5">
      <w:pPr>
        <w:jc w:val="both"/>
        <w:rPr>
          <w:rFonts w:ascii="Avenir Next" w:hAnsi="Avenir Next" w:cs="Arial"/>
          <w:color w:val="808080" w:themeColor="background1" w:themeShade="80"/>
          <w:sz w:val="22"/>
          <w:szCs w:val="22"/>
          <w:lang w:val="en-GB"/>
        </w:rPr>
      </w:pPr>
      <w:r w:rsidRPr="00BC69C5">
        <w:rPr>
          <w:rFonts w:ascii="Avenir Next" w:hAnsi="Avenir Next" w:cs="Arial"/>
          <w:color w:val="808080" w:themeColor="background1" w:themeShade="80"/>
          <w:sz w:val="22"/>
          <w:szCs w:val="22"/>
          <w:lang w:val="en-GB"/>
        </w:rPr>
        <w:t>Below are some key challenges in development of a single global cross-border insolvency system:</w:t>
      </w:r>
    </w:p>
    <w:p w14:paraId="4E0F9F6E" w14:textId="77777777" w:rsidR="00C35362" w:rsidRPr="00BC69C5" w:rsidRDefault="00C35362" w:rsidP="00BC69C5">
      <w:pPr>
        <w:jc w:val="both"/>
        <w:rPr>
          <w:rFonts w:ascii="Avenir Next" w:hAnsi="Avenir Next" w:cs="Arial"/>
          <w:color w:val="808080" w:themeColor="background1" w:themeShade="80"/>
          <w:sz w:val="22"/>
          <w:szCs w:val="22"/>
          <w:lang w:val="en-GB"/>
        </w:rPr>
      </w:pPr>
    </w:p>
    <w:p w14:paraId="57139230" w14:textId="77777777" w:rsidR="00BC69C5" w:rsidRPr="00BC69C5" w:rsidRDefault="00BC69C5" w:rsidP="00BC69C5">
      <w:pPr>
        <w:numPr>
          <w:ilvl w:val="0"/>
          <w:numId w:val="41"/>
        </w:numPr>
        <w:jc w:val="both"/>
        <w:rPr>
          <w:rFonts w:ascii="Avenir Next" w:hAnsi="Avenir Next" w:cs="Arial"/>
          <w:color w:val="808080" w:themeColor="background1" w:themeShade="80"/>
          <w:sz w:val="22"/>
          <w:szCs w:val="22"/>
          <w:lang w:val="en-GB"/>
        </w:rPr>
      </w:pPr>
      <w:r w:rsidRPr="00BC69C5">
        <w:rPr>
          <w:rFonts w:ascii="Avenir Next" w:hAnsi="Avenir Next" w:cs="Arial"/>
          <w:color w:val="808080" w:themeColor="background1" w:themeShade="80"/>
          <w:sz w:val="22"/>
          <w:szCs w:val="22"/>
          <w:lang w:val="en-GB"/>
        </w:rPr>
        <w:t xml:space="preserve">Fundamental differences between national laws and legal systems, including varied approaches to insolvency – There is conflict of laws and differences in values, principles and policies which underpin domestic laws, including insolvency laws. For instance, certain insolvency systems are pro-creditor, while others are pro-debtor. Some domestic legal systems may give super priority to employee dues while others may not. There are also key differences between laws relating to priority of creditors, treatment of security, set off and netting arrangements, scope of moratorium, treatment of executory contracts, </w:t>
      </w:r>
      <w:proofErr w:type="gramStart"/>
      <w:r w:rsidRPr="00BC69C5">
        <w:rPr>
          <w:rFonts w:ascii="Avenir Next" w:hAnsi="Avenir Next" w:cs="Arial"/>
          <w:color w:val="808080" w:themeColor="background1" w:themeShade="80"/>
          <w:sz w:val="22"/>
          <w:szCs w:val="22"/>
          <w:lang w:val="en-GB"/>
        </w:rPr>
        <w:t>participation</w:t>
      </w:r>
      <w:proofErr w:type="gramEnd"/>
      <w:r w:rsidRPr="00BC69C5">
        <w:rPr>
          <w:rFonts w:ascii="Avenir Next" w:hAnsi="Avenir Next" w:cs="Arial"/>
          <w:color w:val="808080" w:themeColor="background1" w:themeShade="80"/>
          <w:sz w:val="22"/>
          <w:szCs w:val="22"/>
          <w:lang w:val="en-GB"/>
        </w:rPr>
        <w:t xml:space="preserve"> and role of creditors and so on.</w:t>
      </w:r>
    </w:p>
    <w:p w14:paraId="24DC2D68" w14:textId="77777777" w:rsidR="00BC69C5" w:rsidRPr="00BC69C5" w:rsidRDefault="00BC69C5" w:rsidP="00BC69C5">
      <w:pPr>
        <w:jc w:val="both"/>
        <w:rPr>
          <w:rFonts w:ascii="Avenir Next" w:hAnsi="Avenir Next" w:cs="Arial"/>
          <w:color w:val="808080" w:themeColor="background1" w:themeShade="80"/>
          <w:sz w:val="22"/>
          <w:szCs w:val="22"/>
          <w:lang w:val="en-GB"/>
        </w:rPr>
      </w:pPr>
    </w:p>
    <w:p w14:paraId="2DC6ACD3" w14:textId="77777777" w:rsidR="00BC69C5" w:rsidRPr="00BC69C5" w:rsidRDefault="00BC69C5" w:rsidP="00BC69C5">
      <w:pPr>
        <w:numPr>
          <w:ilvl w:val="0"/>
          <w:numId w:val="41"/>
        </w:numPr>
        <w:jc w:val="both"/>
        <w:rPr>
          <w:rFonts w:ascii="Avenir Next" w:hAnsi="Avenir Next" w:cs="Arial"/>
          <w:color w:val="808080" w:themeColor="background1" w:themeShade="80"/>
          <w:sz w:val="22"/>
          <w:szCs w:val="22"/>
          <w:lang w:val="en-GB"/>
        </w:rPr>
      </w:pPr>
      <w:r w:rsidRPr="00BC69C5">
        <w:rPr>
          <w:rFonts w:ascii="Avenir Next" w:hAnsi="Avenir Next" w:cs="Arial"/>
          <w:color w:val="808080" w:themeColor="background1" w:themeShade="80"/>
          <w:sz w:val="22"/>
          <w:szCs w:val="22"/>
          <w:lang w:val="en-GB"/>
        </w:rPr>
        <w:t>Different approaches to resolution of cross border insolvency issues – for instance, universalism, modified universalism, territorialism, cooperative territorialism, contractualism and others.</w:t>
      </w:r>
    </w:p>
    <w:p w14:paraId="39E0DD6A" w14:textId="77777777" w:rsidR="00BC69C5" w:rsidRPr="00BC69C5" w:rsidRDefault="00BC69C5" w:rsidP="00BC69C5">
      <w:pPr>
        <w:jc w:val="both"/>
        <w:rPr>
          <w:rFonts w:ascii="Avenir Next" w:hAnsi="Avenir Next" w:cs="Arial"/>
          <w:color w:val="808080" w:themeColor="background1" w:themeShade="80"/>
          <w:sz w:val="22"/>
          <w:szCs w:val="22"/>
          <w:lang w:val="en-GB"/>
        </w:rPr>
      </w:pPr>
    </w:p>
    <w:p w14:paraId="029AFF48" w14:textId="77777777" w:rsidR="00BC69C5" w:rsidRPr="00BC69C5" w:rsidRDefault="00BC69C5" w:rsidP="00BC69C5">
      <w:pPr>
        <w:numPr>
          <w:ilvl w:val="0"/>
          <w:numId w:val="41"/>
        </w:numPr>
        <w:jc w:val="both"/>
        <w:rPr>
          <w:rFonts w:ascii="Avenir Next" w:hAnsi="Avenir Next" w:cs="Arial"/>
          <w:color w:val="808080" w:themeColor="background1" w:themeShade="80"/>
          <w:sz w:val="22"/>
          <w:szCs w:val="22"/>
          <w:lang w:val="en-GB"/>
        </w:rPr>
      </w:pPr>
      <w:r w:rsidRPr="00BC69C5">
        <w:rPr>
          <w:rFonts w:ascii="Avenir Next" w:hAnsi="Avenir Next" w:cs="Arial"/>
          <w:color w:val="808080" w:themeColor="background1" w:themeShade="80"/>
          <w:sz w:val="22"/>
          <w:szCs w:val="22"/>
          <w:lang w:val="en-GB"/>
        </w:rPr>
        <w:t xml:space="preserve">Lack of a common/ global language for insolvency – this is best exemplified from the different meanings and use of the term “insolvency” and “bankruptcy” itself.  </w:t>
      </w:r>
    </w:p>
    <w:p w14:paraId="0F40237C" w14:textId="77777777" w:rsidR="00BC69C5" w:rsidRPr="00BC69C5" w:rsidRDefault="00BC69C5" w:rsidP="00BC69C5">
      <w:pPr>
        <w:jc w:val="both"/>
        <w:rPr>
          <w:rFonts w:ascii="Avenir Next" w:hAnsi="Avenir Next" w:cs="Arial"/>
          <w:color w:val="808080" w:themeColor="background1" w:themeShade="80"/>
          <w:sz w:val="22"/>
          <w:szCs w:val="22"/>
          <w:lang w:val="en-GB"/>
        </w:rPr>
      </w:pPr>
    </w:p>
    <w:p w14:paraId="0E90A69C" w14:textId="77777777" w:rsidR="00016E40" w:rsidRDefault="00BC69C5" w:rsidP="00BC69C5">
      <w:pPr>
        <w:numPr>
          <w:ilvl w:val="0"/>
          <w:numId w:val="41"/>
        </w:numPr>
        <w:jc w:val="both"/>
        <w:rPr>
          <w:rFonts w:ascii="Avenir Next" w:hAnsi="Avenir Next" w:cs="Arial"/>
          <w:color w:val="808080" w:themeColor="background1" w:themeShade="80"/>
          <w:sz w:val="22"/>
          <w:szCs w:val="22"/>
          <w:lang w:val="en-GB"/>
        </w:rPr>
      </w:pPr>
      <w:r w:rsidRPr="00BC69C5">
        <w:rPr>
          <w:rFonts w:ascii="Avenir Next" w:hAnsi="Avenir Next" w:cs="Arial"/>
          <w:color w:val="808080" w:themeColor="background1" w:themeShade="80"/>
          <w:sz w:val="22"/>
          <w:szCs w:val="22"/>
          <w:lang w:val="en-GB"/>
        </w:rPr>
        <w:t>Low/ outdated standard of insolvency laws in various countries – for instance, insolvency laws of many countries are not considered suitable to meet present day economic values, needs and goals and makes harmonisation and integration of insolvency laws across borders more difficult.</w:t>
      </w:r>
    </w:p>
    <w:p w14:paraId="5E547687" w14:textId="77777777" w:rsidR="00016E40" w:rsidRDefault="00016E40" w:rsidP="00F42191">
      <w:pPr>
        <w:pStyle w:val="ListParagraph"/>
        <w:rPr>
          <w:rFonts w:ascii="Avenir Next" w:hAnsi="Avenir Next" w:cs="Arial"/>
          <w:color w:val="808080" w:themeColor="background1" w:themeShade="80"/>
          <w:sz w:val="22"/>
          <w:szCs w:val="22"/>
          <w:lang w:val="en-GB"/>
        </w:rPr>
      </w:pPr>
    </w:p>
    <w:p w14:paraId="6B5CF002" w14:textId="36C1637C" w:rsidR="00DA42DA" w:rsidRPr="00016E40" w:rsidRDefault="00BC69C5" w:rsidP="00F42191">
      <w:pPr>
        <w:numPr>
          <w:ilvl w:val="0"/>
          <w:numId w:val="41"/>
        </w:numPr>
        <w:jc w:val="both"/>
        <w:rPr>
          <w:rFonts w:ascii="Avenir Next" w:hAnsi="Avenir Next" w:cs="Arial"/>
          <w:color w:val="808080" w:themeColor="background1" w:themeShade="80"/>
          <w:sz w:val="22"/>
          <w:szCs w:val="22"/>
          <w:lang w:val="en-GB"/>
        </w:rPr>
      </w:pPr>
      <w:r w:rsidRPr="00016E40">
        <w:rPr>
          <w:rFonts w:ascii="Avenir Next" w:hAnsi="Avenir Next" w:cs="Arial"/>
          <w:color w:val="808080" w:themeColor="background1" w:themeShade="80"/>
          <w:sz w:val="22"/>
          <w:szCs w:val="22"/>
          <w:lang w:val="en-GB"/>
        </w:rPr>
        <w:t xml:space="preserve">There is no global court which can deal with cross border insolvency cases – as a result judicial proceedings in insolvency matters are territorial in nature giving rise to possibility of conflicting decisions and the need for cooperation, </w:t>
      </w:r>
      <w:proofErr w:type="gramStart"/>
      <w:r w:rsidRPr="00016E40">
        <w:rPr>
          <w:rFonts w:ascii="Avenir Next" w:hAnsi="Avenir Next" w:cs="Arial"/>
          <w:color w:val="808080" w:themeColor="background1" w:themeShade="80"/>
          <w:sz w:val="22"/>
          <w:szCs w:val="22"/>
          <w:lang w:val="en-GB"/>
        </w:rPr>
        <w:t>recognition</w:t>
      </w:r>
      <w:proofErr w:type="gramEnd"/>
      <w:r w:rsidRPr="00016E40">
        <w:rPr>
          <w:rFonts w:ascii="Avenir Next" w:hAnsi="Avenir Next" w:cs="Arial"/>
          <w:color w:val="808080" w:themeColor="background1" w:themeShade="80"/>
          <w:sz w:val="22"/>
          <w:szCs w:val="22"/>
          <w:lang w:val="en-GB"/>
        </w:rPr>
        <w:t xml:space="preserve"> and enforcement.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5071264" w14:textId="3412661D" w:rsidR="00037458" w:rsidRPr="00037458" w:rsidRDefault="00037458" w:rsidP="00037458">
      <w:pPr>
        <w:jc w:val="both"/>
        <w:rPr>
          <w:rFonts w:ascii="Avenir Next" w:hAnsi="Avenir Next" w:cs="Arial"/>
          <w:color w:val="808080" w:themeColor="background1" w:themeShade="80"/>
          <w:sz w:val="22"/>
          <w:szCs w:val="22"/>
        </w:rPr>
      </w:pPr>
      <w:r w:rsidRPr="00037458">
        <w:rPr>
          <w:rFonts w:ascii="Avenir Next" w:hAnsi="Avenir Next" w:cs="Arial"/>
          <w:color w:val="808080" w:themeColor="background1" w:themeShade="80"/>
          <w:sz w:val="22"/>
          <w:szCs w:val="22"/>
        </w:rPr>
        <w:t>“Hard law” and “soft law” essentially refer to the multilateral instruments which are used for regulating international insolvencies.</w:t>
      </w:r>
    </w:p>
    <w:p w14:paraId="3264E6F9" w14:textId="77777777" w:rsidR="00037458" w:rsidRDefault="00037458" w:rsidP="00037458">
      <w:pPr>
        <w:jc w:val="both"/>
        <w:rPr>
          <w:rFonts w:ascii="Avenir Next" w:hAnsi="Avenir Next" w:cs="Arial"/>
          <w:color w:val="808080" w:themeColor="background1" w:themeShade="80"/>
          <w:sz w:val="22"/>
          <w:szCs w:val="22"/>
        </w:rPr>
      </w:pPr>
    </w:p>
    <w:p w14:paraId="2B59712D" w14:textId="58B79996" w:rsidR="00037458" w:rsidRPr="00037458" w:rsidRDefault="00037458" w:rsidP="00037458">
      <w:pPr>
        <w:jc w:val="both"/>
        <w:rPr>
          <w:rFonts w:ascii="Avenir Next" w:hAnsi="Avenir Next" w:cs="Arial"/>
          <w:color w:val="808080" w:themeColor="background1" w:themeShade="80"/>
          <w:sz w:val="22"/>
          <w:szCs w:val="22"/>
        </w:rPr>
      </w:pPr>
      <w:r w:rsidRPr="00037458">
        <w:rPr>
          <w:rFonts w:ascii="Avenir Next" w:hAnsi="Avenir Next" w:cs="Arial"/>
          <w:color w:val="808080" w:themeColor="background1" w:themeShade="80"/>
          <w:sz w:val="22"/>
          <w:szCs w:val="22"/>
        </w:rPr>
        <w:t>States often sign treaties and conventions, which can be bilateral or multilateral in nature. Once signed, such treaties and conventions bind the signatory States and become part of their domestic laws. These bilateral/ multilateral treaties and conventions constitute hard laws. Some examples include the Nordic Convention (1933) and the Istanbul Convention (1990)</w:t>
      </w:r>
      <w:r w:rsidR="0045516F">
        <w:rPr>
          <w:rFonts w:ascii="Avenir Next" w:hAnsi="Avenir Next" w:cs="Arial"/>
          <w:color w:val="808080" w:themeColor="background1" w:themeShade="80"/>
          <w:sz w:val="22"/>
          <w:szCs w:val="22"/>
        </w:rPr>
        <w:t>.</w:t>
      </w:r>
    </w:p>
    <w:p w14:paraId="4BF02D67" w14:textId="77777777" w:rsidR="00037458" w:rsidRDefault="00037458" w:rsidP="00037458">
      <w:pPr>
        <w:jc w:val="both"/>
        <w:rPr>
          <w:rFonts w:ascii="Avenir Next" w:hAnsi="Avenir Next" w:cs="Arial"/>
          <w:color w:val="808080" w:themeColor="background1" w:themeShade="80"/>
          <w:sz w:val="22"/>
          <w:szCs w:val="22"/>
        </w:rPr>
      </w:pPr>
    </w:p>
    <w:p w14:paraId="2157A617" w14:textId="37C8975D" w:rsidR="00037458" w:rsidRDefault="00037458" w:rsidP="00037458">
      <w:pPr>
        <w:jc w:val="both"/>
        <w:rPr>
          <w:rFonts w:ascii="Avenir Next" w:hAnsi="Avenir Next" w:cs="Arial"/>
          <w:color w:val="808080" w:themeColor="background1" w:themeShade="80"/>
          <w:sz w:val="22"/>
          <w:szCs w:val="22"/>
        </w:rPr>
      </w:pPr>
      <w:r w:rsidRPr="00037458">
        <w:rPr>
          <w:rFonts w:ascii="Avenir Next" w:hAnsi="Avenir Next" w:cs="Arial"/>
          <w:color w:val="808080" w:themeColor="background1" w:themeShade="80"/>
          <w:sz w:val="22"/>
          <w:szCs w:val="22"/>
        </w:rPr>
        <w:t xml:space="preserve">In Europe, various efforts to arrive at effective multilateral treaties/ conventions governing international insolvency did not produce the desired results. The </w:t>
      </w:r>
      <w:proofErr w:type="spellStart"/>
      <w:r w:rsidRPr="00037458">
        <w:rPr>
          <w:rFonts w:ascii="Avenir Next" w:hAnsi="Avenir Next" w:cs="Arial"/>
          <w:color w:val="808080" w:themeColor="background1" w:themeShade="80"/>
          <w:sz w:val="22"/>
          <w:szCs w:val="22"/>
        </w:rPr>
        <w:t>Instanbul</w:t>
      </w:r>
      <w:proofErr w:type="spellEnd"/>
      <w:r w:rsidRPr="00037458">
        <w:rPr>
          <w:rFonts w:ascii="Avenir Next" w:hAnsi="Avenir Next" w:cs="Arial"/>
          <w:color w:val="808080" w:themeColor="background1" w:themeShade="80"/>
          <w:sz w:val="22"/>
          <w:szCs w:val="22"/>
        </w:rPr>
        <w:t xml:space="preserve"> Convention, which was signed by eight member States could not be enforced in the absence of ratification by required number of member States. However, it vitally influenced measures developed by the European Union to address issues relating to international insolvencies between member States. These efforts led to the enactment of the European Insolvency Regulation (EIR) in the year 2000, which is generally considered to be more successful and significant than the earlier multilateral efforts in the realm of cross</w:t>
      </w:r>
      <w:r w:rsidR="00F14B8D">
        <w:rPr>
          <w:rFonts w:ascii="Avenir Next" w:hAnsi="Avenir Next" w:cs="Arial"/>
          <w:color w:val="808080" w:themeColor="background1" w:themeShade="80"/>
          <w:sz w:val="22"/>
          <w:szCs w:val="22"/>
        </w:rPr>
        <w:t>-</w:t>
      </w:r>
      <w:r w:rsidRPr="00037458">
        <w:rPr>
          <w:rFonts w:ascii="Avenir Next" w:hAnsi="Avenir Next" w:cs="Arial"/>
          <w:color w:val="808080" w:themeColor="background1" w:themeShade="80"/>
          <w:sz w:val="22"/>
          <w:szCs w:val="22"/>
        </w:rPr>
        <w:t xml:space="preserve">border insolvency. EIR 2000 underwent certain amendments in the year 2015 and became known as EIR Recast (which has been recently amended in 2021/ 2022).  </w:t>
      </w:r>
    </w:p>
    <w:p w14:paraId="17AC8468" w14:textId="77777777" w:rsidR="0087126A" w:rsidRPr="00037458" w:rsidRDefault="0087126A" w:rsidP="00037458">
      <w:pPr>
        <w:jc w:val="both"/>
        <w:rPr>
          <w:rFonts w:ascii="Avenir Next" w:hAnsi="Avenir Next" w:cs="Arial"/>
          <w:color w:val="808080" w:themeColor="background1" w:themeShade="80"/>
          <w:sz w:val="22"/>
          <w:szCs w:val="22"/>
        </w:rPr>
      </w:pPr>
    </w:p>
    <w:p w14:paraId="774AB1EE" w14:textId="71D5014E" w:rsidR="006A44B2" w:rsidRPr="00DA42DA" w:rsidRDefault="00037458" w:rsidP="00037458">
      <w:pPr>
        <w:jc w:val="both"/>
        <w:rPr>
          <w:rFonts w:ascii="Avenir Next" w:hAnsi="Avenir Next" w:cs="Arial"/>
          <w:color w:val="808080" w:themeColor="background1" w:themeShade="80"/>
          <w:sz w:val="22"/>
          <w:szCs w:val="22"/>
          <w:lang w:val="en-GB"/>
        </w:rPr>
      </w:pPr>
      <w:r w:rsidRPr="00037458">
        <w:rPr>
          <w:rFonts w:ascii="Avenir Next" w:hAnsi="Avenir Next" w:cs="Arial"/>
          <w:color w:val="808080" w:themeColor="background1" w:themeShade="80"/>
          <w:sz w:val="22"/>
          <w:szCs w:val="22"/>
        </w:rPr>
        <w:t xml:space="preserve">As compared to “hard law” options, “soft law” solutions have witnessed more success in attempting to resolve issues around international insolvencies. While States have primarily focused on working out treaties and conventions, “soft law” has been the focus of multilateral organizations, such as The World Organization for Cross-border Co-operation in Civil and Commercial Matters (earlier known as the Hague Conference on Private International Law), The International Institute for the Unification of Private Law (UNIDROIT) and The United Nations Commission on International Trade Law (UNCITRAL). The UNCITRAL Model Law on Cross-border Insolvency (MLCBI) is the best example of a “soft law” solution to cross border insolvency issues. The significance of MLCBI is that it is not prescriptive </w:t>
      </w:r>
      <w:r w:rsidR="00306C5B">
        <w:rPr>
          <w:rFonts w:ascii="Avenir Next" w:hAnsi="Avenir Next" w:cs="Arial"/>
          <w:color w:val="808080" w:themeColor="background1" w:themeShade="80"/>
          <w:sz w:val="22"/>
          <w:szCs w:val="22"/>
        </w:rPr>
        <w:t xml:space="preserve">or binding </w:t>
      </w:r>
      <w:r w:rsidRPr="00037458">
        <w:rPr>
          <w:rFonts w:ascii="Avenir Next" w:hAnsi="Avenir Next" w:cs="Arial"/>
          <w:color w:val="808080" w:themeColor="background1" w:themeShade="80"/>
          <w:sz w:val="22"/>
          <w:szCs w:val="22"/>
        </w:rPr>
        <w:t>like a treaty or convention but is a ‘Model Law’ i.e., a draft legislation which UNCITRAL member States are recommended to adopt. There is flexibility in adopting the Model Law with or without modifications depending on domestic conditions and needs. The MLCBI is being adopted by an increasingly large number of countries and has significantly growing influence on finding solutions to cross border insolvency related issues.</w:t>
      </w:r>
      <w:r w:rsidR="0094259C" w:rsidRPr="00DA42DA" w:rsidDel="00037458">
        <w:rPr>
          <w:rFonts w:ascii="Avenir Next" w:hAnsi="Avenir Next" w:cs="Arial"/>
          <w:color w:val="808080" w:themeColor="background1" w:themeShade="80"/>
          <w:sz w:val="22"/>
          <w:szCs w:val="22"/>
          <w:lang w:val="en-GB"/>
        </w:rPr>
        <w:t xml:space="preserve">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7CA982D7" w14:textId="622081A4" w:rsidR="00FD3128" w:rsidRDefault="00FD3128" w:rsidP="00FD3128">
      <w:pPr>
        <w:jc w:val="both"/>
        <w:rPr>
          <w:rFonts w:ascii="Avenir Next" w:hAnsi="Avenir Next" w:cs="Arial"/>
          <w:color w:val="808080" w:themeColor="background1" w:themeShade="80"/>
          <w:sz w:val="22"/>
          <w:szCs w:val="22"/>
          <w:lang w:val="en-GB"/>
        </w:rPr>
      </w:pPr>
      <w:r w:rsidRPr="00FD3128">
        <w:rPr>
          <w:rFonts w:ascii="Avenir Next" w:hAnsi="Avenir Next" w:cs="Arial"/>
          <w:color w:val="808080" w:themeColor="background1" w:themeShade="80"/>
          <w:sz w:val="22"/>
          <w:szCs w:val="22"/>
          <w:lang w:val="en-GB"/>
        </w:rPr>
        <w:t>The following English cross border sources may be used by the American insolvent estate representative</w:t>
      </w:r>
      <w:r w:rsidRPr="00FD3128">
        <w:rPr>
          <w:rFonts w:ascii="Avenir Next" w:hAnsi="Avenir Next" w:cs="Arial"/>
          <w:color w:val="808080" w:themeColor="background1" w:themeShade="80"/>
          <w:sz w:val="22"/>
          <w:szCs w:val="22"/>
        </w:rPr>
        <w:t xml:space="preserve"> </w:t>
      </w:r>
      <w:r w:rsidRPr="00FD3128">
        <w:rPr>
          <w:rFonts w:ascii="Avenir Next" w:hAnsi="Avenir Next" w:cs="Arial"/>
          <w:color w:val="808080" w:themeColor="background1" w:themeShade="80"/>
          <w:sz w:val="22"/>
          <w:szCs w:val="22"/>
          <w:lang w:val="en-GB"/>
        </w:rPr>
        <w:t xml:space="preserve">to request recognition in terms of English Law </w:t>
      </w:r>
      <w:proofErr w:type="gramStart"/>
      <w:r w:rsidRPr="00FD3128">
        <w:rPr>
          <w:rFonts w:ascii="Avenir Next" w:hAnsi="Avenir Next" w:cs="Arial"/>
          <w:color w:val="808080" w:themeColor="background1" w:themeShade="80"/>
          <w:sz w:val="22"/>
          <w:szCs w:val="22"/>
          <w:lang w:val="en-GB"/>
        </w:rPr>
        <w:t>in order to</w:t>
      </w:r>
      <w:proofErr w:type="gramEnd"/>
      <w:r w:rsidRPr="00FD3128">
        <w:rPr>
          <w:rFonts w:ascii="Avenir Next" w:hAnsi="Avenir Next" w:cs="Arial"/>
          <w:color w:val="808080" w:themeColor="background1" w:themeShade="80"/>
          <w:sz w:val="22"/>
          <w:szCs w:val="22"/>
          <w:lang w:val="en-GB"/>
        </w:rPr>
        <w:t xml:space="preserve"> deal with the assets of Norton Cars Inc situated in England:</w:t>
      </w:r>
    </w:p>
    <w:p w14:paraId="67FE8920" w14:textId="77777777" w:rsidR="00FD3128" w:rsidRPr="00FD3128" w:rsidRDefault="00FD3128" w:rsidP="00FD3128">
      <w:pPr>
        <w:jc w:val="both"/>
        <w:rPr>
          <w:rFonts w:ascii="Avenir Next" w:hAnsi="Avenir Next" w:cs="Arial"/>
          <w:color w:val="808080" w:themeColor="background1" w:themeShade="80"/>
          <w:sz w:val="22"/>
          <w:szCs w:val="22"/>
          <w:lang w:val="en-GB"/>
        </w:rPr>
      </w:pPr>
    </w:p>
    <w:p w14:paraId="0E0D7708" w14:textId="77777777" w:rsidR="00FD3128" w:rsidRPr="00FD3128" w:rsidRDefault="00FD3128" w:rsidP="00FD3128">
      <w:pPr>
        <w:numPr>
          <w:ilvl w:val="0"/>
          <w:numId w:val="42"/>
        </w:numPr>
        <w:jc w:val="both"/>
        <w:rPr>
          <w:rFonts w:ascii="Avenir Next" w:hAnsi="Avenir Next" w:cs="Arial"/>
          <w:color w:val="808080" w:themeColor="background1" w:themeShade="80"/>
          <w:sz w:val="22"/>
          <w:szCs w:val="22"/>
          <w:lang w:val="en-GB"/>
        </w:rPr>
      </w:pPr>
      <w:r w:rsidRPr="00FD3128">
        <w:rPr>
          <w:rFonts w:ascii="Avenir Next" w:hAnsi="Avenir Next" w:cs="Arial"/>
          <w:color w:val="808080" w:themeColor="background1" w:themeShade="80"/>
          <w:sz w:val="22"/>
          <w:szCs w:val="22"/>
          <w:lang w:val="en-GB"/>
        </w:rPr>
        <w:t xml:space="preserve">The UNCITRAL Model Law on Cross-border Insolvency, as England has adopted the Model Law. </w:t>
      </w:r>
    </w:p>
    <w:p w14:paraId="359C2A60" w14:textId="77777777" w:rsidR="00FD3128" w:rsidRPr="00FD3128" w:rsidRDefault="00FD3128" w:rsidP="00FD3128">
      <w:pPr>
        <w:numPr>
          <w:ilvl w:val="0"/>
          <w:numId w:val="42"/>
        </w:numPr>
        <w:jc w:val="both"/>
        <w:rPr>
          <w:rFonts w:ascii="Avenir Next" w:hAnsi="Avenir Next" w:cs="Arial"/>
          <w:color w:val="808080" w:themeColor="background1" w:themeShade="80"/>
          <w:sz w:val="22"/>
          <w:szCs w:val="22"/>
          <w:lang w:val="en-GB"/>
        </w:rPr>
      </w:pPr>
      <w:r w:rsidRPr="00FD3128">
        <w:rPr>
          <w:rFonts w:ascii="Avenir Next" w:hAnsi="Avenir Next" w:cs="Arial"/>
          <w:color w:val="808080" w:themeColor="background1" w:themeShade="80"/>
          <w:sz w:val="22"/>
          <w:szCs w:val="22"/>
          <w:lang w:val="en-GB"/>
        </w:rPr>
        <w:t>Case laws from English Courts under common law jurisdiction, on recognition of foreign insolvency proceedings and related assistance.</w:t>
      </w:r>
    </w:p>
    <w:p w14:paraId="356FF67A" w14:textId="77777777" w:rsidR="00FD3128" w:rsidRDefault="00FD3128" w:rsidP="00FD3128">
      <w:pPr>
        <w:jc w:val="both"/>
        <w:rPr>
          <w:rFonts w:ascii="Avenir Next" w:hAnsi="Avenir Next" w:cs="Arial"/>
          <w:color w:val="808080" w:themeColor="background1" w:themeShade="80"/>
          <w:sz w:val="22"/>
          <w:szCs w:val="22"/>
          <w:lang w:val="en-GB"/>
        </w:rPr>
      </w:pPr>
    </w:p>
    <w:p w14:paraId="43126EC1" w14:textId="361A9918" w:rsidR="00FD3128" w:rsidRPr="00FD3128" w:rsidRDefault="00FD3128" w:rsidP="00FD3128">
      <w:pPr>
        <w:jc w:val="both"/>
        <w:rPr>
          <w:rFonts w:ascii="Avenir Next" w:hAnsi="Avenir Next" w:cs="Arial"/>
          <w:color w:val="808080" w:themeColor="background1" w:themeShade="80"/>
          <w:sz w:val="22"/>
          <w:szCs w:val="22"/>
          <w:lang w:val="en-GB"/>
        </w:rPr>
      </w:pPr>
      <w:r w:rsidRPr="00FD3128">
        <w:rPr>
          <w:rFonts w:ascii="Avenir Next" w:hAnsi="Avenir Next" w:cs="Arial"/>
          <w:color w:val="808080" w:themeColor="background1" w:themeShade="80"/>
          <w:sz w:val="22"/>
          <w:szCs w:val="22"/>
          <w:lang w:val="en-GB"/>
        </w:rPr>
        <w:t>It may be added that under Section 426 of the UK Insolvency Act 1986, the UK insolvency courts are required to assist the corresponding insolvency courts of “any relevant country or territory” that request for assistance. However, since America is not designated as a “relevant country”, Section 426 of the UK Insolvency Act 1986 will not apply in the present case. The other cross border source (at the time when the headquarters of Norton Cars Inc were still in England) would be the European Insolvency Regulation which is not relevant in the present case since these Regulations only apply to EU Member States.</w:t>
      </w:r>
    </w:p>
    <w:p w14:paraId="4184BAFC" w14:textId="51B3C4E0" w:rsidR="002253D8" w:rsidRPr="002253D8" w:rsidRDefault="002253D8" w:rsidP="00DB5A5A">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5429D307" w14:textId="7894ABE0" w:rsidR="008E71B8" w:rsidRPr="008E71B8" w:rsidRDefault="008E71B8" w:rsidP="008E71B8">
      <w:pPr>
        <w:jc w:val="both"/>
        <w:rPr>
          <w:rFonts w:ascii="Avenir Next" w:hAnsi="Avenir Next" w:cs="Arial"/>
          <w:color w:val="808080" w:themeColor="background1" w:themeShade="80"/>
          <w:sz w:val="22"/>
          <w:szCs w:val="22"/>
          <w:lang w:val="en-GB"/>
        </w:rPr>
      </w:pPr>
      <w:r w:rsidRPr="008E71B8">
        <w:rPr>
          <w:rFonts w:ascii="Avenir Next" w:hAnsi="Avenir Next" w:cs="Arial"/>
          <w:color w:val="808080" w:themeColor="background1" w:themeShade="80"/>
          <w:sz w:val="22"/>
          <w:szCs w:val="22"/>
          <w:lang w:val="en-GB"/>
        </w:rPr>
        <w:t xml:space="preserve">Since the cross-border insolvency matter involves Italy and Germany, which are both EU Member States, the European Insolvency Regulation (EIR Recast 2015, as amended) will be the appropriate applicable legal source in this case. </w:t>
      </w:r>
    </w:p>
    <w:p w14:paraId="0DFC5DA1" w14:textId="77777777" w:rsidR="009D03A5" w:rsidRDefault="009D03A5" w:rsidP="008E71B8">
      <w:pPr>
        <w:jc w:val="both"/>
        <w:rPr>
          <w:rFonts w:ascii="Avenir Next" w:hAnsi="Avenir Next" w:cs="Arial"/>
          <w:color w:val="808080" w:themeColor="background1" w:themeShade="80"/>
          <w:sz w:val="22"/>
          <w:szCs w:val="22"/>
          <w:lang w:val="en-GB"/>
        </w:rPr>
      </w:pPr>
    </w:p>
    <w:p w14:paraId="3DD7F3B6" w14:textId="77777777" w:rsidR="00BE716A" w:rsidRDefault="008E71B8" w:rsidP="008E71B8">
      <w:pPr>
        <w:jc w:val="both"/>
        <w:rPr>
          <w:rFonts w:ascii="Avenir Next" w:hAnsi="Avenir Next" w:cs="Arial"/>
          <w:color w:val="808080" w:themeColor="background1" w:themeShade="80"/>
          <w:sz w:val="22"/>
          <w:szCs w:val="22"/>
          <w:lang w:val="en-GB"/>
        </w:rPr>
      </w:pPr>
      <w:r w:rsidRPr="008E71B8">
        <w:rPr>
          <w:rFonts w:ascii="Avenir Next" w:hAnsi="Avenir Next" w:cs="Arial"/>
          <w:color w:val="808080" w:themeColor="background1" w:themeShade="80"/>
          <w:sz w:val="22"/>
          <w:szCs w:val="22"/>
          <w:lang w:val="en-GB"/>
        </w:rPr>
        <w:t>Further, since COMI is in Italy, the courts in Italy will have the jurisdiction to open the main proceeding as per the applicable European Insolvency Regulation. Under the European Insolvency Regulation, COMI is the place where the debtor conducts the administration of its interests on a regular basis, and which is ascertainable by third parties.</w:t>
      </w:r>
      <w:r w:rsidRPr="008E71B8">
        <w:rPr>
          <w:rFonts w:ascii="Avenir Next" w:hAnsi="Avenir Next" w:cs="Arial"/>
          <w:color w:val="808080" w:themeColor="background1" w:themeShade="80"/>
          <w:sz w:val="22"/>
          <w:szCs w:val="22"/>
          <w:vertAlign w:val="superscript"/>
          <w:lang w:val="en-GB"/>
        </w:rPr>
        <w:footnoteReference w:id="3"/>
      </w:r>
      <w:r w:rsidRPr="008E71B8">
        <w:rPr>
          <w:rFonts w:ascii="Avenir Next" w:hAnsi="Avenir Next" w:cs="Arial"/>
          <w:color w:val="808080" w:themeColor="background1" w:themeShade="80"/>
          <w:sz w:val="22"/>
          <w:szCs w:val="22"/>
          <w:lang w:val="en-GB"/>
        </w:rPr>
        <w:t xml:space="preserve"> </w:t>
      </w:r>
    </w:p>
    <w:p w14:paraId="5588F12F" w14:textId="77777777" w:rsidR="003A6940" w:rsidRDefault="003A6940" w:rsidP="008E71B8">
      <w:pPr>
        <w:jc w:val="both"/>
        <w:rPr>
          <w:rFonts w:ascii="Avenir Next" w:hAnsi="Avenir Next" w:cs="Arial"/>
          <w:color w:val="808080" w:themeColor="background1" w:themeShade="80"/>
          <w:sz w:val="22"/>
          <w:szCs w:val="22"/>
          <w:lang w:val="en-GB"/>
        </w:rPr>
      </w:pPr>
    </w:p>
    <w:p w14:paraId="69938086" w14:textId="032C4CBF" w:rsidR="002253D8" w:rsidRPr="00DA42DA" w:rsidRDefault="008E71B8" w:rsidP="008E71B8">
      <w:pPr>
        <w:jc w:val="both"/>
        <w:rPr>
          <w:rFonts w:ascii="Avenir Next" w:hAnsi="Avenir Next" w:cs="Arial"/>
          <w:color w:val="808080" w:themeColor="background1" w:themeShade="80"/>
          <w:sz w:val="22"/>
          <w:szCs w:val="22"/>
          <w:lang w:val="en-GB"/>
        </w:rPr>
      </w:pPr>
      <w:r w:rsidRPr="008E71B8">
        <w:rPr>
          <w:rFonts w:ascii="Avenir Next" w:hAnsi="Avenir Next" w:cs="Arial"/>
          <w:color w:val="808080" w:themeColor="background1" w:themeShade="80"/>
          <w:sz w:val="22"/>
          <w:szCs w:val="22"/>
          <w:lang w:val="en-GB"/>
        </w:rPr>
        <w:t>Since, in the facts of this case, COMI is situated in Italy from where the management is directed, the main proceedings will be opened in Italy. The fact that the main operations transpired in Germany would assume relevance for determination of subsidiary proceedings.</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F56A435" w:rsidR="002253D8" w:rsidRPr="002253D8" w:rsidRDefault="005932DB" w:rsidP="007815D1">
      <w:pPr>
        <w:jc w:val="both"/>
        <w:rPr>
          <w:rFonts w:ascii="Avenir Next" w:hAnsi="Avenir Next" w:cs="Arial"/>
          <w:color w:val="808080" w:themeColor="background1" w:themeShade="80"/>
          <w:sz w:val="22"/>
          <w:szCs w:val="22"/>
          <w:lang w:val="en-GB"/>
        </w:rPr>
      </w:pPr>
      <w:r w:rsidRPr="005932DB">
        <w:rPr>
          <w:rFonts w:ascii="Avenir Next" w:hAnsi="Avenir Next" w:cs="Arial"/>
          <w:color w:val="808080" w:themeColor="background1" w:themeShade="80"/>
          <w:sz w:val="22"/>
          <w:szCs w:val="22"/>
          <w:lang w:val="en-GB"/>
        </w:rPr>
        <w:t>No, because the</w:t>
      </w:r>
      <w:r w:rsidRPr="005932DB">
        <w:rPr>
          <w:rFonts w:ascii="Avenir Next" w:hAnsi="Avenir Next" w:cs="Arial"/>
          <w:color w:val="808080" w:themeColor="background1" w:themeShade="80"/>
          <w:sz w:val="22"/>
          <w:szCs w:val="22"/>
        </w:rPr>
        <w:t xml:space="preserve"> EU (Recast) Insolvency Regulation applies only to EU Member States (which does not include India, South </w:t>
      </w:r>
      <w:proofErr w:type="gramStart"/>
      <w:r w:rsidRPr="005932DB">
        <w:rPr>
          <w:rFonts w:ascii="Avenir Next" w:hAnsi="Avenir Next" w:cs="Arial"/>
          <w:color w:val="808080" w:themeColor="background1" w:themeShade="80"/>
          <w:sz w:val="22"/>
          <w:szCs w:val="22"/>
        </w:rPr>
        <w:t>Africa</w:t>
      </w:r>
      <w:proofErr w:type="gramEnd"/>
      <w:r w:rsidRPr="005932DB">
        <w:rPr>
          <w:rFonts w:ascii="Avenir Next" w:hAnsi="Avenir Next" w:cs="Arial"/>
          <w:color w:val="808080" w:themeColor="background1" w:themeShade="80"/>
          <w:sz w:val="22"/>
          <w:szCs w:val="22"/>
        </w:rPr>
        <w:t xml:space="preserve"> or Australia)</w:t>
      </w:r>
      <w:r w:rsidR="00AC0C41">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05C704E9" w:rsidR="002253D8" w:rsidRPr="00DA42DA" w:rsidRDefault="00BF6A91" w:rsidP="00F42191">
      <w:pPr>
        <w:ind w:left="360"/>
        <w:jc w:val="both"/>
        <w:rPr>
          <w:rFonts w:ascii="Avenir Next" w:hAnsi="Avenir Next" w:cs="Arial"/>
          <w:color w:val="808080" w:themeColor="background1" w:themeShade="80"/>
          <w:sz w:val="22"/>
          <w:szCs w:val="22"/>
          <w:lang w:val="en-GB"/>
        </w:rPr>
      </w:pPr>
      <w:r w:rsidRPr="00BF6A91">
        <w:rPr>
          <w:rFonts w:ascii="Avenir Next" w:hAnsi="Avenir Next" w:cs="Arial"/>
          <w:color w:val="808080" w:themeColor="background1" w:themeShade="80"/>
          <w:sz w:val="22"/>
          <w:szCs w:val="22"/>
        </w:rPr>
        <w:t>Netherlands, like Italy, is governed by the European Insolvency Regulation. Thus, the laws of Italy (where COMI is situated, and insolvency proceeding has been opened) will apply to the insolvency proceeding in the Netherlands. This is, however, subject to security rights over assets situated in the Netherlands.</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538F1C31" w:rsidR="002253D8" w:rsidRPr="00F42191" w:rsidRDefault="009E0152" w:rsidP="00F42191">
      <w:pPr>
        <w:ind w:left="450" w:hanging="24"/>
        <w:jc w:val="both"/>
        <w:rPr>
          <w:rFonts w:ascii="Avenir Next" w:hAnsi="Avenir Next" w:cs="Arial"/>
          <w:color w:val="808080" w:themeColor="background1" w:themeShade="80"/>
          <w:sz w:val="22"/>
          <w:szCs w:val="22"/>
        </w:rPr>
      </w:pPr>
      <w:r w:rsidRPr="00F42191">
        <w:rPr>
          <w:rFonts w:ascii="Avenir Next" w:hAnsi="Avenir Next" w:cs="Arial"/>
          <w:color w:val="808080" w:themeColor="background1" w:themeShade="80"/>
          <w:sz w:val="22"/>
          <w:szCs w:val="22"/>
        </w:rPr>
        <w:t>Ordinarily, Australian law will apply, both to an insolvency proceeding in Australia and the real rights of security situated in there. However, since Australia has adopted the Model Law, the Italian insolvent estate representative can apply to the Australian court for recognition of Italian insolvency proceedings. Such recognition will, however, be subject to security rights situated in Australia</w:t>
      </w:r>
      <w:r>
        <w:rPr>
          <w:rFonts w:ascii="Avenir Next" w:hAnsi="Avenir Next" w:cs="Arial"/>
          <w:color w:val="808080" w:themeColor="background1" w:themeShade="80"/>
          <w:sz w:val="22"/>
          <w:szCs w:val="22"/>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CEED" w14:textId="77777777" w:rsidR="00D648B4" w:rsidRDefault="00D648B4" w:rsidP="00241B44">
      <w:r>
        <w:separator/>
      </w:r>
    </w:p>
  </w:endnote>
  <w:endnote w:type="continuationSeparator" w:id="0">
    <w:p w14:paraId="76B3B9B0" w14:textId="77777777" w:rsidR="00D648B4" w:rsidRDefault="00D648B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BC42CE5" w:rsidR="00B64A85" w:rsidRPr="00297BDF" w:rsidRDefault="0005391A" w:rsidP="0052732A">
    <w:pPr>
      <w:pStyle w:val="Footer"/>
      <w:ind w:right="360"/>
      <w:rPr>
        <w:rFonts w:ascii="Avenir Next" w:hAnsi="Avenir Next" w:cs="Arial"/>
        <w:sz w:val="22"/>
        <w:szCs w:val="22"/>
      </w:rPr>
    </w:pPr>
    <w:r>
      <w:rPr>
        <w:rFonts w:ascii="Avenir Next" w:hAnsi="Avenir Next" w:cs="Arial"/>
        <w:sz w:val="22"/>
        <w:szCs w:val="22"/>
      </w:rPr>
      <w:t>FC202324-1443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B536" w14:textId="77777777" w:rsidR="00D648B4" w:rsidRDefault="00D648B4" w:rsidP="00241B44">
      <w:r>
        <w:separator/>
      </w:r>
    </w:p>
  </w:footnote>
  <w:footnote w:type="continuationSeparator" w:id="0">
    <w:p w14:paraId="5837E62C" w14:textId="77777777" w:rsidR="00D648B4" w:rsidRDefault="00D648B4" w:rsidP="00241B44">
      <w:r>
        <w:continuationSeparator/>
      </w:r>
    </w:p>
  </w:footnote>
  <w:footnote w:id="1">
    <w:p w14:paraId="2EF08ED4" w14:textId="77777777" w:rsidR="0043223F" w:rsidRDefault="0043223F" w:rsidP="0043223F">
      <w:pPr>
        <w:pStyle w:val="FootnoteText"/>
      </w:pPr>
      <w:r>
        <w:rPr>
          <w:rStyle w:val="FootnoteReference"/>
        </w:rPr>
        <w:footnoteRef/>
      </w:r>
      <w:r>
        <w:t xml:space="preserve"> P R Wood, </w:t>
      </w:r>
      <w:r w:rsidRPr="003F7216">
        <w:rPr>
          <w:i/>
          <w:iCs/>
        </w:rPr>
        <w:t>Principles of International Insolvency</w:t>
      </w:r>
      <w:r>
        <w:t xml:space="preserve"> (Sweet and Maxwell Ltd, 2007), p 3 </w:t>
      </w:r>
    </w:p>
  </w:footnote>
  <w:footnote w:id="2">
    <w:p w14:paraId="5DA42F62" w14:textId="77777777" w:rsidR="0043223F" w:rsidRDefault="0043223F" w:rsidP="0043223F">
      <w:pPr>
        <w:pStyle w:val="FootnoteText"/>
      </w:pPr>
      <w:r>
        <w:rPr>
          <w:rStyle w:val="FootnoteReference"/>
        </w:rPr>
        <w:footnoteRef/>
      </w:r>
      <w:r>
        <w:t xml:space="preserve"> In M </w:t>
      </w:r>
      <w:proofErr w:type="gramStart"/>
      <w:r>
        <w:t>A</w:t>
      </w:r>
      <w:proofErr w:type="gramEnd"/>
      <w:r>
        <w:t xml:space="preserve"> Clarke </w:t>
      </w:r>
      <w:r w:rsidRPr="00D26451">
        <w:rPr>
          <w:i/>
          <w:iCs/>
        </w:rPr>
        <w:t>et al</w:t>
      </w:r>
      <w:r>
        <w:rPr>
          <w:i/>
          <w:iCs/>
        </w:rPr>
        <w:t xml:space="preserve">, Commercial Law </w:t>
      </w:r>
      <w:r w:rsidRPr="00565E26">
        <w:t>(</w:t>
      </w:r>
      <w:r>
        <w:t>Oxford University Press, 2017</w:t>
      </w:r>
      <w:r w:rsidRPr="00565E26">
        <w:t>)</w:t>
      </w:r>
      <w:r>
        <w:t>, chap 28.</w:t>
      </w:r>
    </w:p>
  </w:footnote>
  <w:footnote w:id="3">
    <w:p w14:paraId="65988FDA" w14:textId="77777777" w:rsidR="008E71B8" w:rsidRDefault="008E71B8" w:rsidP="008E71B8">
      <w:pPr>
        <w:pStyle w:val="FootnoteText"/>
      </w:pPr>
      <w:r>
        <w:rPr>
          <w:rStyle w:val="FootnoteReference"/>
        </w:rPr>
        <w:footnoteRef/>
      </w:r>
      <w:r>
        <w:t xml:space="preserve"> Article 3(1) of EIR Recast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B64C86"/>
    <w:multiLevelType w:val="hybridMultilevel"/>
    <w:tmpl w:val="BEA2C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C260A1A"/>
    <w:multiLevelType w:val="hybridMultilevel"/>
    <w:tmpl w:val="DAE4F69E"/>
    <w:lvl w:ilvl="0" w:tplc="8E42E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74CFF"/>
    <w:multiLevelType w:val="hybridMultilevel"/>
    <w:tmpl w:val="B83A1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6A07E4"/>
    <w:multiLevelType w:val="hybridMultilevel"/>
    <w:tmpl w:val="2208F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166210"/>
    <w:multiLevelType w:val="hybridMultilevel"/>
    <w:tmpl w:val="752C9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EF6474B"/>
    <w:multiLevelType w:val="hybridMultilevel"/>
    <w:tmpl w:val="04663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C166865"/>
    <w:multiLevelType w:val="hybridMultilevel"/>
    <w:tmpl w:val="8534AF4A"/>
    <w:lvl w:ilvl="0" w:tplc="7486AA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D0369"/>
    <w:multiLevelType w:val="hybridMultilevel"/>
    <w:tmpl w:val="E3D0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2"/>
  </w:num>
  <w:num w:numId="2" w16cid:durableId="460732777">
    <w:abstractNumId w:val="38"/>
  </w:num>
  <w:num w:numId="3" w16cid:durableId="1558668659">
    <w:abstractNumId w:val="2"/>
  </w:num>
  <w:num w:numId="4" w16cid:durableId="737018892">
    <w:abstractNumId w:val="5"/>
  </w:num>
  <w:num w:numId="5" w16cid:durableId="1158809076">
    <w:abstractNumId w:val="26"/>
  </w:num>
  <w:num w:numId="6" w16cid:durableId="415711827">
    <w:abstractNumId w:val="33"/>
  </w:num>
  <w:num w:numId="7" w16cid:durableId="1401949473">
    <w:abstractNumId w:val="18"/>
  </w:num>
  <w:num w:numId="8" w16cid:durableId="269552992">
    <w:abstractNumId w:val="39"/>
  </w:num>
  <w:num w:numId="9" w16cid:durableId="1367413161">
    <w:abstractNumId w:val="17"/>
  </w:num>
  <w:num w:numId="10" w16cid:durableId="220823057">
    <w:abstractNumId w:val="35"/>
  </w:num>
  <w:num w:numId="11" w16cid:durableId="858086195">
    <w:abstractNumId w:val="14"/>
  </w:num>
  <w:num w:numId="12" w16cid:durableId="2144808366">
    <w:abstractNumId w:val="36"/>
  </w:num>
  <w:num w:numId="13" w16cid:durableId="1139104618">
    <w:abstractNumId w:val="25"/>
  </w:num>
  <w:num w:numId="14" w16cid:durableId="1203787949">
    <w:abstractNumId w:val="24"/>
  </w:num>
  <w:num w:numId="15" w16cid:durableId="1140149903">
    <w:abstractNumId w:val="8"/>
  </w:num>
  <w:num w:numId="16" w16cid:durableId="1714226930">
    <w:abstractNumId w:val="27"/>
  </w:num>
  <w:num w:numId="17" w16cid:durableId="1711415350">
    <w:abstractNumId w:val="22"/>
  </w:num>
  <w:num w:numId="18" w16cid:durableId="35542391">
    <w:abstractNumId w:val="23"/>
  </w:num>
  <w:num w:numId="19" w16cid:durableId="2050493181">
    <w:abstractNumId w:val="30"/>
  </w:num>
  <w:num w:numId="20" w16cid:durableId="1469859581">
    <w:abstractNumId w:val="13"/>
  </w:num>
  <w:num w:numId="21" w16cid:durableId="408573765">
    <w:abstractNumId w:val="21"/>
  </w:num>
  <w:num w:numId="22" w16cid:durableId="482936912">
    <w:abstractNumId w:val="0"/>
  </w:num>
  <w:num w:numId="23" w16cid:durableId="1308701288">
    <w:abstractNumId w:val="29"/>
  </w:num>
  <w:num w:numId="24" w16cid:durableId="1716081525">
    <w:abstractNumId w:val="1"/>
  </w:num>
  <w:num w:numId="25" w16cid:durableId="797064315">
    <w:abstractNumId w:val="37"/>
  </w:num>
  <w:num w:numId="26" w16cid:durableId="824904852">
    <w:abstractNumId w:val="41"/>
  </w:num>
  <w:num w:numId="27" w16cid:durableId="372002461">
    <w:abstractNumId w:val="11"/>
  </w:num>
  <w:num w:numId="28" w16cid:durableId="1256015074">
    <w:abstractNumId w:val="10"/>
  </w:num>
  <w:num w:numId="29" w16cid:durableId="1376738983">
    <w:abstractNumId w:val="9"/>
  </w:num>
  <w:num w:numId="30" w16cid:durableId="1903177138">
    <w:abstractNumId w:val="15"/>
  </w:num>
  <w:num w:numId="31" w16cid:durableId="1164859915">
    <w:abstractNumId w:val="4"/>
  </w:num>
  <w:num w:numId="32" w16cid:durableId="684208392">
    <w:abstractNumId w:val="19"/>
  </w:num>
  <w:num w:numId="33" w16cid:durableId="732118212">
    <w:abstractNumId w:val="28"/>
  </w:num>
  <w:num w:numId="34" w16cid:durableId="1912503881">
    <w:abstractNumId w:val="16"/>
  </w:num>
  <w:num w:numId="35" w16cid:durableId="1938832197">
    <w:abstractNumId w:val="31"/>
  </w:num>
  <w:num w:numId="36" w16cid:durableId="1849523193">
    <w:abstractNumId w:val="3"/>
  </w:num>
  <w:num w:numId="37" w16cid:durableId="929847937">
    <w:abstractNumId w:val="6"/>
  </w:num>
  <w:num w:numId="38" w16cid:durableId="902520399">
    <w:abstractNumId w:val="34"/>
  </w:num>
  <w:num w:numId="39" w16cid:durableId="724069011">
    <w:abstractNumId w:val="7"/>
  </w:num>
  <w:num w:numId="40" w16cid:durableId="947203272">
    <w:abstractNumId w:val="20"/>
  </w:num>
  <w:num w:numId="41" w16cid:durableId="1031953740">
    <w:abstractNumId w:val="40"/>
  </w:num>
  <w:num w:numId="42" w16cid:durableId="130712353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4FDE"/>
    <w:rsid w:val="000050BD"/>
    <w:rsid w:val="00010BA0"/>
    <w:rsid w:val="00015EE6"/>
    <w:rsid w:val="00016E40"/>
    <w:rsid w:val="00020557"/>
    <w:rsid w:val="0002322B"/>
    <w:rsid w:val="000250C7"/>
    <w:rsid w:val="00025C83"/>
    <w:rsid w:val="00031918"/>
    <w:rsid w:val="000329A6"/>
    <w:rsid w:val="00034C0C"/>
    <w:rsid w:val="00037458"/>
    <w:rsid w:val="00037621"/>
    <w:rsid w:val="000419D4"/>
    <w:rsid w:val="00043365"/>
    <w:rsid w:val="000436F0"/>
    <w:rsid w:val="00043960"/>
    <w:rsid w:val="00044D46"/>
    <w:rsid w:val="00045088"/>
    <w:rsid w:val="00045904"/>
    <w:rsid w:val="00045DC7"/>
    <w:rsid w:val="00046789"/>
    <w:rsid w:val="000521C4"/>
    <w:rsid w:val="00052A5E"/>
    <w:rsid w:val="0005310B"/>
    <w:rsid w:val="0005391A"/>
    <w:rsid w:val="00054EC2"/>
    <w:rsid w:val="00055EB9"/>
    <w:rsid w:val="00057BF2"/>
    <w:rsid w:val="0006130F"/>
    <w:rsid w:val="00062D42"/>
    <w:rsid w:val="00062E85"/>
    <w:rsid w:val="000649D1"/>
    <w:rsid w:val="00064C44"/>
    <w:rsid w:val="00065166"/>
    <w:rsid w:val="00066AE7"/>
    <w:rsid w:val="0007091D"/>
    <w:rsid w:val="00072138"/>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40C9"/>
    <w:rsid w:val="000B4FAA"/>
    <w:rsid w:val="000B5B93"/>
    <w:rsid w:val="000B5FF1"/>
    <w:rsid w:val="000B609F"/>
    <w:rsid w:val="000B6B56"/>
    <w:rsid w:val="000C0F77"/>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15AE"/>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43B6"/>
    <w:rsid w:val="001A620B"/>
    <w:rsid w:val="001A716A"/>
    <w:rsid w:val="001A7E9A"/>
    <w:rsid w:val="001A7ECF"/>
    <w:rsid w:val="001B0F70"/>
    <w:rsid w:val="001B5016"/>
    <w:rsid w:val="001B6CEE"/>
    <w:rsid w:val="001C45FC"/>
    <w:rsid w:val="001C5644"/>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55A"/>
    <w:rsid w:val="00202C2B"/>
    <w:rsid w:val="00205B31"/>
    <w:rsid w:val="0020725B"/>
    <w:rsid w:val="0020730B"/>
    <w:rsid w:val="00212B14"/>
    <w:rsid w:val="00216499"/>
    <w:rsid w:val="002164C0"/>
    <w:rsid w:val="00216CB4"/>
    <w:rsid w:val="002173C5"/>
    <w:rsid w:val="00223780"/>
    <w:rsid w:val="002253D8"/>
    <w:rsid w:val="0022719C"/>
    <w:rsid w:val="00231611"/>
    <w:rsid w:val="002319F1"/>
    <w:rsid w:val="00231CAE"/>
    <w:rsid w:val="00231F38"/>
    <w:rsid w:val="002362AB"/>
    <w:rsid w:val="002400DB"/>
    <w:rsid w:val="002406A4"/>
    <w:rsid w:val="0024116D"/>
    <w:rsid w:val="00241B44"/>
    <w:rsid w:val="00244DFC"/>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C5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45C32"/>
    <w:rsid w:val="003500E5"/>
    <w:rsid w:val="00355B57"/>
    <w:rsid w:val="00361A0A"/>
    <w:rsid w:val="00361DF9"/>
    <w:rsid w:val="003628E6"/>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40"/>
    <w:rsid w:val="003A696A"/>
    <w:rsid w:val="003B170F"/>
    <w:rsid w:val="003B3A0D"/>
    <w:rsid w:val="003B3C5F"/>
    <w:rsid w:val="003B4E24"/>
    <w:rsid w:val="003C1451"/>
    <w:rsid w:val="003C2017"/>
    <w:rsid w:val="003C4471"/>
    <w:rsid w:val="003C473E"/>
    <w:rsid w:val="003D0A6D"/>
    <w:rsid w:val="003D100A"/>
    <w:rsid w:val="003D3045"/>
    <w:rsid w:val="003D3410"/>
    <w:rsid w:val="003D4300"/>
    <w:rsid w:val="003D485F"/>
    <w:rsid w:val="003D6AC4"/>
    <w:rsid w:val="003D6B39"/>
    <w:rsid w:val="003D7B57"/>
    <w:rsid w:val="003E004D"/>
    <w:rsid w:val="003E064D"/>
    <w:rsid w:val="003E0B16"/>
    <w:rsid w:val="003E2D1B"/>
    <w:rsid w:val="003E2E7C"/>
    <w:rsid w:val="003E5D8B"/>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223F"/>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516F"/>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3CC1"/>
    <w:rsid w:val="004C5E4F"/>
    <w:rsid w:val="004C7030"/>
    <w:rsid w:val="004C78AA"/>
    <w:rsid w:val="004D1A5A"/>
    <w:rsid w:val="004D2FFF"/>
    <w:rsid w:val="004D3721"/>
    <w:rsid w:val="004D64F9"/>
    <w:rsid w:val="004D687E"/>
    <w:rsid w:val="004E1D03"/>
    <w:rsid w:val="004E3528"/>
    <w:rsid w:val="004E4224"/>
    <w:rsid w:val="004E49ED"/>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27B89"/>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76941"/>
    <w:rsid w:val="005800D0"/>
    <w:rsid w:val="005833D0"/>
    <w:rsid w:val="005846F3"/>
    <w:rsid w:val="005859D2"/>
    <w:rsid w:val="0058622F"/>
    <w:rsid w:val="005865D6"/>
    <w:rsid w:val="00586968"/>
    <w:rsid w:val="00590880"/>
    <w:rsid w:val="00590FE6"/>
    <w:rsid w:val="00591631"/>
    <w:rsid w:val="00592E7F"/>
    <w:rsid w:val="00592F82"/>
    <w:rsid w:val="005932DB"/>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9B0"/>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3E8E"/>
    <w:rsid w:val="00726E9A"/>
    <w:rsid w:val="00727864"/>
    <w:rsid w:val="007333CC"/>
    <w:rsid w:val="007335D8"/>
    <w:rsid w:val="0073399A"/>
    <w:rsid w:val="00734FD4"/>
    <w:rsid w:val="007369C7"/>
    <w:rsid w:val="00740167"/>
    <w:rsid w:val="00741BCD"/>
    <w:rsid w:val="00741D74"/>
    <w:rsid w:val="00743531"/>
    <w:rsid w:val="007452BB"/>
    <w:rsid w:val="00745A5B"/>
    <w:rsid w:val="007462D9"/>
    <w:rsid w:val="00746A22"/>
    <w:rsid w:val="00746B65"/>
    <w:rsid w:val="00751986"/>
    <w:rsid w:val="0075253A"/>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3F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126A"/>
    <w:rsid w:val="008723F3"/>
    <w:rsid w:val="00873246"/>
    <w:rsid w:val="00875E2E"/>
    <w:rsid w:val="00880F99"/>
    <w:rsid w:val="00881DA8"/>
    <w:rsid w:val="00881DE6"/>
    <w:rsid w:val="008837A6"/>
    <w:rsid w:val="008841E5"/>
    <w:rsid w:val="00884D7C"/>
    <w:rsid w:val="0089145D"/>
    <w:rsid w:val="00893EF8"/>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E71B8"/>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59C"/>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3A5"/>
    <w:rsid w:val="009D0811"/>
    <w:rsid w:val="009D0E12"/>
    <w:rsid w:val="009D0EE1"/>
    <w:rsid w:val="009D382E"/>
    <w:rsid w:val="009D43D0"/>
    <w:rsid w:val="009D510C"/>
    <w:rsid w:val="009D5CDB"/>
    <w:rsid w:val="009D6709"/>
    <w:rsid w:val="009E0152"/>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31DCB"/>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65A"/>
    <w:rsid w:val="00AA1F76"/>
    <w:rsid w:val="00AA23CE"/>
    <w:rsid w:val="00AA2CBD"/>
    <w:rsid w:val="00AA5A58"/>
    <w:rsid w:val="00AA670C"/>
    <w:rsid w:val="00AB1B60"/>
    <w:rsid w:val="00AB5A37"/>
    <w:rsid w:val="00AB61D6"/>
    <w:rsid w:val="00AB685C"/>
    <w:rsid w:val="00AB6C2D"/>
    <w:rsid w:val="00AC08F7"/>
    <w:rsid w:val="00AC0C41"/>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DA9"/>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9C5"/>
    <w:rsid w:val="00BC6BCE"/>
    <w:rsid w:val="00BC7F2E"/>
    <w:rsid w:val="00BD0299"/>
    <w:rsid w:val="00BD0F7F"/>
    <w:rsid w:val="00BD23B4"/>
    <w:rsid w:val="00BD288F"/>
    <w:rsid w:val="00BD3363"/>
    <w:rsid w:val="00BD3F18"/>
    <w:rsid w:val="00BD64FB"/>
    <w:rsid w:val="00BD71D7"/>
    <w:rsid w:val="00BD7D49"/>
    <w:rsid w:val="00BE2464"/>
    <w:rsid w:val="00BE716A"/>
    <w:rsid w:val="00BF2B49"/>
    <w:rsid w:val="00BF2E7A"/>
    <w:rsid w:val="00BF3D02"/>
    <w:rsid w:val="00BF40B9"/>
    <w:rsid w:val="00BF50F7"/>
    <w:rsid w:val="00BF5D90"/>
    <w:rsid w:val="00BF6A91"/>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362"/>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573DB"/>
    <w:rsid w:val="00C60631"/>
    <w:rsid w:val="00C606C3"/>
    <w:rsid w:val="00C620F4"/>
    <w:rsid w:val="00C629CB"/>
    <w:rsid w:val="00C66AC8"/>
    <w:rsid w:val="00C673EB"/>
    <w:rsid w:val="00C71F4F"/>
    <w:rsid w:val="00C72848"/>
    <w:rsid w:val="00C73441"/>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48B4"/>
    <w:rsid w:val="00D6588F"/>
    <w:rsid w:val="00D676F1"/>
    <w:rsid w:val="00D714E4"/>
    <w:rsid w:val="00D761ED"/>
    <w:rsid w:val="00D7626E"/>
    <w:rsid w:val="00D829EB"/>
    <w:rsid w:val="00D84752"/>
    <w:rsid w:val="00D86851"/>
    <w:rsid w:val="00D86A74"/>
    <w:rsid w:val="00D86B3B"/>
    <w:rsid w:val="00D8748A"/>
    <w:rsid w:val="00D905E4"/>
    <w:rsid w:val="00D910D5"/>
    <w:rsid w:val="00D93196"/>
    <w:rsid w:val="00D931A2"/>
    <w:rsid w:val="00D97393"/>
    <w:rsid w:val="00DA42DA"/>
    <w:rsid w:val="00DA42EF"/>
    <w:rsid w:val="00DA562D"/>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1BA"/>
    <w:rsid w:val="00E22DE4"/>
    <w:rsid w:val="00E25FB8"/>
    <w:rsid w:val="00E26E19"/>
    <w:rsid w:val="00E31DF3"/>
    <w:rsid w:val="00E3573B"/>
    <w:rsid w:val="00E37049"/>
    <w:rsid w:val="00E37F5B"/>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4B8D"/>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191"/>
    <w:rsid w:val="00F42B4B"/>
    <w:rsid w:val="00F4376C"/>
    <w:rsid w:val="00F44D8C"/>
    <w:rsid w:val="00F45599"/>
    <w:rsid w:val="00F50D48"/>
    <w:rsid w:val="00F5239B"/>
    <w:rsid w:val="00F52552"/>
    <w:rsid w:val="00F52E31"/>
    <w:rsid w:val="00F541B4"/>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128"/>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5861</Words>
  <Characters>33409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74</cp:revision>
  <cp:lastPrinted>2020-06-12T02:43:00Z</cp:lastPrinted>
  <dcterms:created xsi:type="dcterms:W3CDTF">2023-07-14T10:19:00Z</dcterms:created>
  <dcterms:modified xsi:type="dcterms:W3CDTF">2023-11-15T17:54:00Z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