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F210DE" w:rsidRDefault="00806382" w:rsidP="00806382">
      <w:pPr>
        <w:pStyle w:val="ListParagraph"/>
        <w:numPr>
          <w:ilvl w:val="0"/>
          <w:numId w:val="15"/>
        </w:numPr>
        <w:ind w:left="425" w:hanging="357"/>
        <w:jc w:val="both"/>
        <w:rPr>
          <w:rFonts w:ascii="Avenir Next" w:hAnsi="Avenir Next" w:cs="Arial"/>
          <w:sz w:val="22"/>
          <w:szCs w:val="22"/>
          <w:highlight w:val="yellow"/>
        </w:rPr>
      </w:pPr>
      <w:r w:rsidRPr="00F210DE">
        <w:rPr>
          <w:rFonts w:ascii="Avenir Next" w:hAnsi="Avenir Next" w:cs="Arial"/>
          <w:sz w:val="22"/>
          <w:szCs w:val="22"/>
          <w:highlight w:val="yellow"/>
        </w:rPr>
        <w:t xml:space="preserve">This statement is untrue since the word </w:t>
      </w:r>
      <w:r w:rsidR="00823AB4" w:rsidRPr="00F210DE">
        <w:rPr>
          <w:rFonts w:ascii="Avenir Next" w:hAnsi="Avenir Next" w:cs="Arial"/>
          <w:sz w:val="22"/>
          <w:szCs w:val="22"/>
          <w:highlight w:val="yellow"/>
        </w:rPr>
        <w:t>“</w:t>
      </w:r>
      <w:r w:rsidRPr="00F210DE">
        <w:rPr>
          <w:rFonts w:ascii="Avenir Next" w:hAnsi="Avenir Next" w:cs="Arial"/>
          <w:sz w:val="22"/>
          <w:szCs w:val="22"/>
          <w:highlight w:val="yellow"/>
        </w:rPr>
        <w:t>bankruptcy</w:t>
      </w:r>
      <w:r w:rsidR="00823AB4" w:rsidRPr="00F210DE">
        <w:rPr>
          <w:rFonts w:ascii="Avenir Next" w:hAnsi="Avenir Next" w:cs="Arial"/>
          <w:sz w:val="22"/>
          <w:szCs w:val="22"/>
          <w:highlight w:val="yellow"/>
        </w:rPr>
        <w:t>”</w:t>
      </w:r>
      <w:r w:rsidRPr="00F210DE">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5A4512" w:rsidRDefault="001211E6" w:rsidP="001211E6">
      <w:pPr>
        <w:pStyle w:val="ListParagraph"/>
        <w:numPr>
          <w:ilvl w:val="0"/>
          <w:numId w:val="16"/>
        </w:numPr>
        <w:ind w:left="426"/>
        <w:jc w:val="both"/>
        <w:rPr>
          <w:rFonts w:ascii="Avenir Next" w:hAnsi="Avenir Next" w:cs="Arial"/>
          <w:sz w:val="22"/>
          <w:szCs w:val="22"/>
          <w:highlight w:val="yellow"/>
        </w:rPr>
      </w:pPr>
      <w:r w:rsidRPr="005A451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E2B9F"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E2B9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CE2B9F">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DA3D36" w:rsidRDefault="006514CD" w:rsidP="006514CD">
      <w:pPr>
        <w:pStyle w:val="ListParagraph"/>
        <w:numPr>
          <w:ilvl w:val="0"/>
          <w:numId w:val="19"/>
        </w:numPr>
        <w:ind w:left="425" w:hanging="357"/>
        <w:jc w:val="both"/>
        <w:rPr>
          <w:rFonts w:ascii="Avenir Next" w:hAnsi="Avenir Next" w:cs="Arial"/>
          <w:sz w:val="22"/>
          <w:szCs w:val="22"/>
          <w:highlight w:val="yellow"/>
        </w:rPr>
      </w:pPr>
      <w:r w:rsidRPr="00DA3D36">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2749D2"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2749D2">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2749D2" w:rsidRDefault="00AD76EF" w:rsidP="00AD76EF">
      <w:pPr>
        <w:pStyle w:val="ListParagraph"/>
        <w:numPr>
          <w:ilvl w:val="0"/>
          <w:numId w:val="17"/>
        </w:numPr>
        <w:ind w:left="426"/>
        <w:jc w:val="both"/>
        <w:rPr>
          <w:rFonts w:ascii="Avenir Next" w:hAnsi="Avenir Next" w:cs="Arial"/>
          <w:sz w:val="22"/>
          <w:szCs w:val="22"/>
          <w:highlight w:val="yellow"/>
        </w:rPr>
      </w:pPr>
      <w:r w:rsidRPr="002749D2">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8B602F"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8B602F">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6220AF" w:rsidRDefault="009661DE" w:rsidP="009661DE">
      <w:pPr>
        <w:pStyle w:val="ListParagraph"/>
        <w:numPr>
          <w:ilvl w:val="0"/>
          <w:numId w:val="23"/>
        </w:numPr>
        <w:ind w:left="426"/>
        <w:jc w:val="both"/>
        <w:rPr>
          <w:rFonts w:ascii="Avenir Next" w:hAnsi="Avenir Next" w:cs="Arial"/>
          <w:sz w:val="22"/>
          <w:szCs w:val="22"/>
          <w:highlight w:val="yellow"/>
        </w:rPr>
      </w:pPr>
      <w:r w:rsidRPr="006220A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210E81" w:rsidRDefault="003B3A0D" w:rsidP="003B3A0D">
      <w:pPr>
        <w:pStyle w:val="ListParagraph"/>
        <w:numPr>
          <w:ilvl w:val="0"/>
          <w:numId w:val="24"/>
        </w:numPr>
        <w:ind w:left="426"/>
        <w:jc w:val="both"/>
        <w:rPr>
          <w:rFonts w:ascii="Avenir Next" w:hAnsi="Avenir Next" w:cs="Arial"/>
          <w:sz w:val="22"/>
          <w:szCs w:val="22"/>
          <w:highlight w:val="yellow"/>
        </w:rPr>
      </w:pPr>
      <w:r w:rsidRPr="00210E81">
        <w:rPr>
          <w:rFonts w:ascii="Avenir Next" w:hAnsi="Avenir Next" w:cs="Arial"/>
          <w:sz w:val="22"/>
          <w:szCs w:val="22"/>
          <w:highlight w:val="yellow"/>
        </w:rPr>
        <w:t>This statement is untrue because universalism corresponds well to globali</w:t>
      </w:r>
      <w:r w:rsidR="00142E15" w:rsidRPr="00210E81">
        <w:rPr>
          <w:rFonts w:ascii="Avenir Next" w:hAnsi="Avenir Next" w:cs="Arial"/>
          <w:sz w:val="22"/>
          <w:szCs w:val="22"/>
          <w:highlight w:val="yellow"/>
        </w:rPr>
        <w:t>s</w:t>
      </w:r>
      <w:r w:rsidRPr="00210E81">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6C4EEDF1" w14:textId="22EAC8A4" w:rsidR="00CE315C" w:rsidRDefault="00CE315C" w:rsidP="00CE315C">
      <w:pPr>
        <w:ind w:firstLine="720"/>
        <w:rPr>
          <w:rFonts w:ascii="Arial" w:hAnsi="Arial" w:cs="Arial"/>
          <w:sz w:val="22"/>
          <w:szCs w:val="22"/>
        </w:rPr>
      </w:pPr>
      <w:r w:rsidRPr="00ED3F3D">
        <w:rPr>
          <w:rFonts w:ascii="Arial" w:hAnsi="Arial" w:cs="Arial"/>
          <w:sz w:val="22"/>
          <w:szCs w:val="22"/>
        </w:rPr>
        <w:t xml:space="preserve">Whether a country’s insolvency law system is based on English law or civil law affects the way that system deals with </w:t>
      </w:r>
      <w:r>
        <w:rPr>
          <w:rFonts w:ascii="Arial" w:hAnsi="Arial" w:cs="Arial"/>
          <w:sz w:val="22"/>
          <w:szCs w:val="22"/>
        </w:rPr>
        <w:t xml:space="preserve">the </w:t>
      </w:r>
      <w:r w:rsidRPr="00ED3F3D">
        <w:rPr>
          <w:rFonts w:ascii="Arial" w:hAnsi="Arial" w:cs="Arial"/>
          <w:sz w:val="22"/>
          <w:szCs w:val="22"/>
        </w:rPr>
        <w:t xml:space="preserve">rights and issues </w:t>
      </w:r>
      <w:r>
        <w:rPr>
          <w:rFonts w:ascii="Arial" w:hAnsi="Arial" w:cs="Arial"/>
          <w:sz w:val="22"/>
          <w:szCs w:val="22"/>
        </w:rPr>
        <w:t>that are at play in insolvency proceedings</w:t>
      </w:r>
      <w:r w:rsidRPr="00ED3F3D">
        <w:rPr>
          <w:rFonts w:ascii="Arial" w:hAnsi="Arial" w:cs="Arial"/>
          <w:sz w:val="22"/>
          <w:szCs w:val="22"/>
        </w:rPr>
        <w:t xml:space="preserve">. </w:t>
      </w:r>
    </w:p>
    <w:p w14:paraId="0CAB138B" w14:textId="77777777" w:rsidR="00CE315C" w:rsidRPr="00ED3F3D" w:rsidRDefault="00CE315C" w:rsidP="00CE315C">
      <w:pPr>
        <w:rPr>
          <w:rFonts w:ascii="Arial" w:hAnsi="Arial" w:cs="Arial"/>
          <w:sz w:val="22"/>
          <w:szCs w:val="22"/>
        </w:rPr>
      </w:pPr>
    </w:p>
    <w:p w14:paraId="2B0B2AFE" w14:textId="05236A07" w:rsidR="00CE315C" w:rsidRDefault="00CE315C" w:rsidP="00CE315C">
      <w:pPr>
        <w:ind w:firstLine="720"/>
        <w:rPr>
          <w:rFonts w:ascii="Arial" w:hAnsi="Arial" w:cs="Arial"/>
          <w:sz w:val="22"/>
          <w:szCs w:val="22"/>
        </w:rPr>
      </w:pPr>
      <w:r w:rsidRPr="00ED3F3D">
        <w:rPr>
          <w:rFonts w:ascii="Arial" w:hAnsi="Arial" w:cs="Arial"/>
          <w:sz w:val="22"/>
          <w:szCs w:val="22"/>
        </w:rPr>
        <w:t xml:space="preserve">Countries that follow the English law approach, such as England, the United States, and Australia, tend to be historically pro-debtor in their construct, as they emphasize the interests of the debtor’s continuing business.  For example, the system in place in the United States is viewed as having a “liberal fresh start approach” to the rehabilitation of the </w:t>
      </w:r>
      <w:r>
        <w:rPr>
          <w:rFonts w:ascii="Arial" w:hAnsi="Arial" w:cs="Arial"/>
          <w:sz w:val="22"/>
          <w:szCs w:val="22"/>
        </w:rPr>
        <w:t xml:space="preserve">debtor </w:t>
      </w:r>
      <w:r w:rsidRPr="00ED3F3D">
        <w:rPr>
          <w:rFonts w:ascii="Arial" w:hAnsi="Arial" w:cs="Arial"/>
          <w:sz w:val="22"/>
          <w:szCs w:val="22"/>
        </w:rPr>
        <w:t xml:space="preserve">through the discharge of debt.  Discharge of debt is also a fundamental aspect of the insolvency law system in England, where it was first introduced in the Statute of Ann in 1705.  </w:t>
      </w:r>
    </w:p>
    <w:p w14:paraId="5D27B39A" w14:textId="77777777" w:rsidR="00CE315C" w:rsidRPr="00ED3F3D" w:rsidRDefault="00CE315C" w:rsidP="00CE315C">
      <w:pPr>
        <w:rPr>
          <w:rFonts w:ascii="Arial" w:hAnsi="Arial" w:cs="Arial"/>
          <w:sz w:val="22"/>
          <w:szCs w:val="22"/>
        </w:rPr>
      </w:pPr>
    </w:p>
    <w:p w14:paraId="0B8C1244" w14:textId="7F37316B" w:rsidR="00DA42DA" w:rsidRDefault="00CE315C" w:rsidP="00CE315C">
      <w:pPr>
        <w:ind w:firstLine="720"/>
        <w:jc w:val="both"/>
        <w:rPr>
          <w:rFonts w:ascii="Arial" w:hAnsi="Arial" w:cs="Arial"/>
          <w:sz w:val="22"/>
          <w:szCs w:val="22"/>
        </w:rPr>
      </w:pPr>
      <w:r w:rsidRPr="00ED3F3D">
        <w:rPr>
          <w:rFonts w:ascii="Arial" w:hAnsi="Arial" w:cs="Arial"/>
          <w:sz w:val="22"/>
          <w:szCs w:val="22"/>
        </w:rPr>
        <w:t>In contrast, countries whose insolvency law systems are based on a civil law approach, such as France, the Netherlands, and Germany, tend to historically be pro-credit</w:t>
      </w:r>
      <w:r>
        <w:rPr>
          <w:rFonts w:ascii="Arial" w:hAnsi="Arial" w:cs="Arial"/>
          <w:sz w:val="22"/>
          <w:szCs w:val="22"/>
        </w:rPr>
        <w:t>or</w:t>
      </w:r>
      <w:r w:rsidRPr="00ED3F3D">
        <w:rPr>
          <w:rFonts w:ascii="Arial" w:hAnsi="Arial" w:cs="Arial"/>
          <w:sz w:val="22"/>
          <w:szCs w:val="22"/>
        </w:rPr>
        <w:t>, in that they emphasize the interests of creditors in recovering their claims.  For example, French insolvency law is historically very pro-creditor since it allowed for the arrest and detention of debtors. However, even countries whose insolvency law system is based on civil law are evolving to take on more pro-debtor attributes.  For example, until the introduction of schuldsanering, Dutch insolvency law did not allow for discharge of the debtor unless the creditors agreed.  Now, Dutch insolvency law allows for a fresh start in the area of consumer credit.</w:t>
      </w:r>
    </w:p>
    <w:p w14:paraId="3C4F317C" w14:textId="77777777" w:rsidR="00CE315C" w:rsidRDefault="00CE315C" w:rsidP="00CE315C">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187562E4" w14:textId="2B43D0E5" w:rsidR="00CE315C" w:rsidRDefault="00CE315C" w:rsidP="00CE315C">
      <w:pPr>
        <w:ind w:firstLine="720"/>
        <w:rPr>
          <w:rFonts w:ascii="Arial" w:hAnsi="Arial" w:cs="Arial"/>
          <w:sz w:val="22"/>
          <w:szCs w:val="22"/>
        </w:rPr>
      </w:pPr>
      <w:r w:rsidRPr="00ED3F3D">
        <w:rPr>
          <w:rFonts w:ascii="Arial" w:hAnsi="Arial" w:cs="Arial"/>
          <w:sz w:val="22"/>
          <w:szCs w:val="22"/>
        </w:rPr>
        <w:t>Approaches to cross-border insolvency are generally defined by two opposing and incompatible principles, namely universalism and territorialism.  The principle of universalism is based on the premise that there should only be one universal insolvency framework that covers the entirety of a debtor’s assets and debts worldwide, that all of a debtor’s assets, no matter where they are located, should be included in the debtor’s insolvency proceeding</w:t>
      </w:r>
      <w:r>
        <w:rPr>
          <w:rFonts w:ascii="Arial" w:hAnsi="Arial" w:cs="Arial"/>
          <w:sz w:val="22"/>
          <w:szCs w:val="22"/>
        </w:rPr>
        <w:t>,</w:t>
      </w:r>
      <w:r w:rsidRPr="00ED3F3D">
        <w:rPr>
          <w:rFonts w:ascii="Arial" w:hAnsi="Arial" w:cs="Arial"/>
          <w:sz w:val="22"/>
          <w:szCs w:val="22"/>
        </w:rPr>
        <w:t xml:space="preserve"> and that all creditors of the debtor worldwide should have the opportunity to assert claims against the debtor.  The principle of universalism can manifest in a number of ways, including the belief that there should only be one insolvency proceeding for all of the debtor’s assets and that once an insolvency proceeding </w:t>
      </w:r>
      <w:r>
        <w:rPr>
          <w:rFonts w:ascii="Arial" w:hAnsi="Arial" w:cs="Arial"/>
          <w:sz w:val="22"/>
          <w:szCs w:val="22"/>
        </w:rPr>
        <w:t>is</w:t>
      </w:r>
      <w:r w:rsidRPr="00ED3F3D">
        <w:rPr>
          <w:rFonts w:ascii="Arial" w:hAnsi="Arial" w:cs="Arial"/>
          <w:sz w:val="22"/>
          <w:szCs w:val="22"/>
        </w:rPr>
        <w:t xml:space="preserve"> initiated, no other insolvency proceedings or other forms of execution of the debtor’s assets would be allowed.  Another approach would be for the allowance of more than one insolvency proceeding but the law of the main proceeding, (</w:t>
      </w:r>
      <w:r w:rsidRPr="00ED3F3D">
        <w:rPr>
          <w:rFonts w:ascii="Arial" w:hAnsi="Arial" w:cs="Arial"/>
          <w:i/>
          <w:iCs/>
          <w:sz w:val="22"/>
          <w:szCs w:val="22"/>
        </w:rPr>
        <w:t>e.g.</w:t>
      </w:r>
      <w:r w:rsidRPr="00ED3F3D">
        <w:rPr>
          <w:rFonts w:ascii="Arial" w:hAnsi="Arial" w:cs="Arial"/>
          <w:sz w:val="22"/>
          <w:szCs w:val="22"/>
        </w:rPr>
        <w:t xml:space="preserve"> where the debtor has its center of main interests) would control worldwide over all insolvency proceedings of the debtor.  Another approach to universalism would be the creation of a worldwide insolvency law.  Generally, universalism is very compatible with globalization and the operation of multinational corporations operating in international markets.</w:t>
      </w:r>
    </w:p>
    <w:p w14:paraId="66318B6C" w14:textId="77777777" w:rsidR="00CE315C" w:rsidRPr="00ED3F3D" w:rsidRDefault="00CE315C" w:rsidP="00CE315C">
      <w:pPr>
        <w:rPr>
          <w:rFonts w:ascii="Arial" w:hAnsi="Arial" w:cs="Arial"/>
          <w:sz w:val="22"/>
          <w:szCs w:val="22"/>
        </w:rPr>
      </w:pPr>
    </w:p>
    <w:p w14:paraId="6A5F7AD9" w14:textId="30EA0609" w:rsidR="00CE315C" w:rsidRPr="00ED3F3D" w:rsidRDefault="00CE315C" w:rsidP="00A76C3A">
      <w:pPr>
        <w:ind w:firstLine="720"/>
        <w:rPr>
          <w:rFonts w:ascii="Arial" w:hAnsi="Arial" w:cs="Arial"/>
          <w:sz w:val="22"/>
          <w:szCs w:val="22"/>
        </w:rPr>
      </w:pPr>
      <w:r w:rsidRPr="00ED3F3D">
        <w:rPr>
          <w:rFonts w:ascii="Arial" w:hAnsi="Arial" w:cs="Arial"/>
          <w:sz w:val="22"/>
          <w:szCs w:val="22"/>
        </w:rPr>
        <w:t>In contrast, territorialism is premise</w:t>
      </w:r>
      <w:r w:rsidR="00A76C3A">
        <w:rPr>
          <w:rFonts w:ascii="Arial" w:hAnsi="Arial" w:cs="Arial"/>
          <w:sz w:val="22"/>
          <w:szCs w:val="22"/>
        </w:rPr>
        <w:t>d</w:t>
      </w:r>
      <w:r w:rsidRPr="00ED3F3D">
        <w:rPr>
          <w:rFonts w:ascii="Arial" w:hAnsi="Arial" w:cs="Arial"/>
          <w:sz w:val="22"/>
          <w:szCs w:val="22"/>
        </w:rPr>
        <w:t xml:space="preserve"> on the belief that insolvency proceedings can by commenced in every jurisdiction in which the debtor holds assets but each such proceeding should be limited in its scope to those assets located in the jurisdiction.  Under this approach, there could be multiple concurrent proceedings in different jurisdictions for the same debtor and each insolvency proceeding would only apply to the assets of the debtor in that jurisdiction.  The aim of territorialism is to protect local interests and local creditors, who may have only relied on local assets in providing credit and who may face substantial obstacles in participating in foreign insolvency proceedings.  A significant issue with </w:t>
      </w:r>
      <w:r w:rsidRPr="00ED3F3D">
        <w:rPr>
          <w:rFonts w:ascii="Arial" w:hAnsi="Arial" w:cs="Arial"/>
          <w:sz w:val="22"/>
          <w:szCs w:val="22"/>
        </w:rPr>
        <w:lastRenderedPageBreak/>
        <w:t>territorialism is that it would not treat the debtor’s creditors equally.  A debtor could have no assets in one jurisdiction and significant assets in another jurisdiction.  The creditors in the first jurisdiction would not be able to receive distributions based on their claims against the debtor while creditors in the second jurisdiction would potentially be able to receive distributions based on their claims against the debtor from the assets in that jurisdiction.</w:t>
      </w:r>
    </w:p>
    <w:p w14:paraId="33E6D61C" w14:textId="77777777" w:rsidR="00A76C3A" w:rsidRDefault="00A76C3A" w:rsidP="00CE315C">
      <w:pPr>
        <w:ind w:left="720" w:hanging="720"/>
        <w:jc w:val="both"/>
        <w:rPr>
          <w:rFonts w:ascii="Arial" w:hAnsi="Arial" w:cs="Arial"/>
          <w:sz w:val="22"/>
          <w:szCs w:val="22"/>
        </w:rPr>
      </w:pPr>
    </w:p>
    <w:p w14:paraId="039E27B5" w14:textId="17C16ADA" w:rsidR="00C82D87" w:rsidRDefault="00CE315C" w:rsidP="00A76C3A">
      <w:pPr>
        <w:ind w:firstLine="720"/>
        <w:jc w:val="both"/>
        <w:rPr>
          <w:rFonts w:ascii="Arial" w:hAnsi="Arial" w:cs="Arial"/>
          <w:sz w:val="22"/>
          <w:szCs w:val="22"/>
        </w:rPr>
      </w:pPr>
      <w:r w:rsidRPr="00ED3F3D">
        <w:rPr>
          <w:rFonts w:ascii="Arial" w:hAnsi="Arial" w:cs="Arial"/>
          <w:sz w:val="22"/>
          <w:szCs w:val="22"/>
        </w:rPr>
        <w:t>Modified universalism tries to split the difference between universalism and territorialism.  It provides for a main proceeding in the jurisdiction where the debtor has its center of main interests and ancillary proceedings in other jurisdictions, as needed.  The courts in the respective jurisdictions would</w:t>
      </w:r>
      <w:r w:rsidR="00A76C3A">
        <w:rPr>
          <w:rFonts w:ascii="Arial" w:hAnsi="Arial" w:cs="Arial"/>
          <w:sz w:val="22"/>
          <w:szCs w:val="22"/>
        </w:rPr>
        <w:t>,</w:t>
      </w:r>
      <w:r w:rsidRPr="00ED3F3D">
        <w:rPr>
          <w:rFonts w:ascii="Arial" w:hAnsi="Arial" w:cs="Arial"/>
          <w:sz w:val="22"/>
          <w:szCs w:val="22"/>
        </w:rPr>
        <w:t xml:space="preserve"> in theory</w:t>
      </w:r>
      <w:r w:rsidR="00A76C3A">
        <w:rPr>
          <w:rFonts w:ascii="Arial" w:hAnsi="Arial" w:cs="Arial"/>
          <w:sz w:val="22"/>
          <w:szCs w:val="22"/>
        </w:rPr>
        <w:t>,</w:t>
      </w:r>
      <w:r w:rsidRPr="00ED3F3D">
        <w:rPr>
          <w:rFonts w:ascii="Arial" w:hAnsi="Arial" w:cs="Arial"/>
          <w:sz w:val="22"/>
          <w:szCs w:val="22"/>
        </w:rPr>
        <w:t xml:space="preserve"> co-operate with each other.</w:t>
      </w:r>
    </w:p>
    <w:p w14:paraId="3EFCABA4" w14:textId="77777777" w:rsidR="00A76C3A" w:rsidRPr="004216EA" w:rsidRDefault="00A76C3A" w:rsidP="00A76C3A">
      <w:pPr>
        <w:ind w:firstLine="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793EED29" w14:textId="3D2C04B3" w:rsidR="00A76C3A" w:rsidRDefault="00A76C3A" w:rsidP="00A76C3A">
      <w:pPr>
        <w:ind w:firstLine="720"/>
        <w:rPr>
          <w:rFonts w:ascii="Arial" w:hAnsi="Arial" w:cs="Arial"/>
          <w:sz w:val="22"/>
          <w:szCs w:val="22"/>
          <w:lang w:val="en-GB"/>
        </w:rPr>
      </w:pPr>
      <w:r w:rsidRPr="00ED3F3D">
        <w:rPr>
          <w:rFonts w:ascii="Arial" w:hAnsi="Arial" w:cs="Arial"/>
          <w:sz w:val="22"/>
          <w:szCs w:val="22"/>
        </w:rPr>
        <w:t xml:space="preserve">A number of initiatives have been undertaken </w:t>
      </w:r>
      <w:r w:rsidRPr="00ED3F3D">
        <w:rPr>
          <w:rFonts w:ascii="Arial" w:hAnsi="Arial" w:cs="Arial"/>
          <w:sz w:val="22"/>
          <w:szCs w:val="22"/>
          <w:lang w:val="en-GB"/>
        </w:rPr>
        <w:t xml:space="preserve">to assist with the resolution of international insolvency issues in Latin America such </w:t>
      </w:r>
      <w:r>
        <w:rPr>
          <w:rFonts w:ascii="Arial" w:hAnsi="Arial" w:cs="Arial"/>
          <w:sz w:val="22"/>
          <w:szCs w:val="22"/>
          <w:lang w:val="en-GB"/>
        </w:rPr>
        <w:t xml:space="preserve">as </w:t>
      </w:r>
      <w:r w:rsidRPr="00ED3F3D">
        <w:rPr>
          <w:rFonts w:ascii="Arial" w:hAnsi="Arial" w:cs="Arial"/>
          <w:sz w:val="22"/>
          <w:szCs w:val="22"/>
          <w:lang w:val="en-GB"/>
        </w:rPr>
        <w:t>the ratification of the Montevideo treaties and the Havana Convention on Private International Law.</w:t>
      </w:r>
    </w:p>
    <w:p w14:paraId="5B8F19C1" w14:textId="77777777" w:rsidR="00A76C3A" w:rsidRPr="00ED3F3D" w:rsidRDefault="00A76C3A" w:rsidP="00A76C3A">
      <w:pPr>
        <w:ind w:firstLine="720"/>
        <w:rPr>
          <w:rFonts w:ascii="Arial" w:hAnsi="Arial" w:cs="Arial"/>
          <w:sz w:val="22"/>
          <w:szCs w:val="22"/>
          <w:lang w:val="en-GB"/>
        </w:rPr>
      </w:pPr>
    </w:p>
    <w:p w14:paraId="7E1D2D9C" w14:textId="77777777" w:rsidR="00A76C3A" w:rsidRDefault="00A76C3A" w:rsidP="00A76C3A">
      <w:pPr>
        <w:ind w:firstLine="720"/>
        <w:rPr>
          <w:rFonts w:ascii="Arial" w:hAnsi="Arial" w:cs="Arial"/>
          <w:sz w:val="22"/>
          <w:szCs w:val="22"/>
          <w:lang w:val="en-GB"/>
        </w:rPr>
      </w:pPr>
      <w:r w:rsidRPr="00ED3F3D">
        <w:rPr>
          <w:rFonts w:ascii="Arial" w:hAnsi="Arial" w:cs="Arial"/>
          <w:sz w:val="22"/>
          <w:szCs w:val="22"/>
          <w:lang w:val="en-GB"/>
        </w:rPr>
        <w:t xml:space="preserve">The Montevideo treaties were ratified in 1889 (by Argentina, Bolivia, Columbia, Paraguay, Peru, and Uruguay) and 1940 (by Argentina, Paraguay, and Uruguay).  The 1889 Montevideo treaty covers both personal and corporate insolvency and provides for bankruptcy jurisdiction based on the debtor’s commercial domicile.  If a debtor has a commercial domicile in a state that is party to the treaty, even if the debtor does business in other states, there will only be one set of proceedings in the state where the commercial domicile is located.  If a debtor has two or more economically autonomous businesses in different states that are party to the treaty, concurrent insolvency proceedings are allowed in each such state. </w:t>
      </w:r>
    </w:p>
    <w:p w14:paraId="5ED87860" w14:textId="77777777" w:rsidR="00A76C3A" w:rsidRPr="00ED3F3D" w:rsidRDefault="00A76C3A" w:rsidP="00A76C3A">
      <w:pPr>
        <w:ind w:firstLine="720"/>
        <w:rPr>
          <w:rFonts w:ascii="Arial" w:hAnsi="Arial" w:cs="Arial"/>
          <w:sz w:val="22"/>
          <w:szCs w:val="22"/>
          <w:lang w:val="en-GB"/>
        </w:rPr>
      </w:pPr>
    </w:p>
    <w:p w14:paraId="61900735" w14:textId="78D14CAF" w:rsidR="00DA42DA" w:rsidRPr="00DA42DA" w:rsidRDefault="00A76C3A" w:rsidP="00A76C3A">
      <w:pPr>
        <w:ind w:firstLine="720"/>
        <w:jc w:val="both"/>
        <w:rPr>
          <w:rFonts w:ascii="Avenir Next" w:hAnsi="Avenir Next" w:cs="Arial"/>
          <w:color w:val="808080" w:themeColor="background1" w:themeShade="80"/>
          <w:sz w:val="22"/>
          <w:szCs w:val="22"/>
          <w:lang w:val="en-GB"/>
        </w:rPr>
      </w:pPr>
      <w:r w:rsidRPr="00ED3F3D">
        <w:rPr>
          <w:rFonts w:ascii="Arial" w:hAnsi="Arial" w:cs="Arial"/>
          <w:sz w:val="22"/>
          <w:szCs w:val="22"/>
        </w:rPr>
        <w:t>The</w:t>
      </w:r>
      <w:r w:rsidRPr="00ED3F3D">
        <w:rPr>
          <w:rFonts w:ascii="Arial" w:hAnsi="Arial" w:cs="Arial"/>
          <w:sz w:val="22"/>
          <w:szCs w:val="22"/>
          <w:lang w:val="en-GB"/>
        </w:rPr>
        <w:t xml:space="preserve"> Havana Convention on Private International Law occurred in 1928 between Bolivia, Brazil, Chile, Costa Rica, Cuba, Dominican Republic, Ecuador, El Salvador, Guatemala, Haiti, Honduras, Nicaragua, Panama, Peru, and Venezuela.</w:t>
      </w:r>
      <w:r>
        <w:rPr>
          <w:rFonts w:ascii="Arial" w:hAnsi="Arial" w:cs="Arial"/>
          <w:sz w:val="22"/>
          <w:szCs w:val="22"/>
          <w:lang w:val="en-GB"/>
        </w:rPr>
        <w:t xml:space="preserve">  </w:t>
      </w:r>
      <w:r w:rsidRPr="00ED3F3D">
        <w:rPr>
          <w:rFonts w:ascii="Arial" w:hAnsi="Arial" w:cs="Arial"/>
          <w:sz w:val="22"/>
          <w:szCs w:val="22"/>
        </w:rPr>
        <w:t>The</w:t>
      </w:r>
      <w:r w:rsidRPr="00ED3F3D">
        <w:rPr>
          <w:rFonts w:ascii="Arial" w:hAnsi="Arial" w:cs="Arial"/>
          <w:sz w:val="22"/>
          <w:szCs w:val="22"/>
          <w:lang w:val="en-GB"/>
        </w:rPr>
        <w:t xml:space="preserve"> Havana Convention on Private International Law is similar to the Montevideo treaties in that it provides for only one proceeding with universal effect throughout its region if the debtor has only one civil or commercial domicile and for concurrent proceedings in subject states that contain businesses of the debtor that are operated entirely separately economically.  Where there are concurrent proceedings, however, the Havana Convention on Private International Law does not provide procedures for cooperation or coordination between such concurrent proceedings.  </w:t>
      </w:r>
      <w:r w:rsidRPr="00ED3F3D">
        <w:rPr>
          <w:rFonts w:ascii="Arial" w:hAnsi="Arial" w:cs="Arial"/>
          <w:sz w:val="22"/>
          <w:szCs w:val="22"/>
        </w:rPr>
        <w:t>The</w:t>
      </w:r>
      <w:r w:rsidRPr="00ED3F3D">
        <w:rPr>
          <w:rFonts w:ascii="Arial" w:hAnsi="Arial" w:cs="Arial"/>
          <w:sz w:val="22"/>
          <w:szCs w:val="22"/>
          <w:lang w:val="en-GB"/>
        </w:rPr>
        <w:t xml:space="preserve"> Havana Convention on Private International Law, however, does provide that insolvency proceedings in one member state will have extraterritorial effect in other member states.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26E5C39" w14:textId="26E05387" w:rsidR="00A76C3A" w:rsidRDefault="00A76C3A" w:rsidP="00A76C3A">
      <w:pPr>
        <w:ind w:firstLine="720"/>
        <w:rPr>
          <w:rFonts w:ascii="Arial" w:hAnsi="Arial" w:cs="Arial"/>
          <w:sz w:val="22"/>
          <w:szCs w:val="22"/>
        </w:rPr>
      </w:pPr>
      <w:r w:rsidRPr="00ED3F3D">
        <w:rPr>
          <w:rFonts w:ascii="Arial" w:hAnsi="Arial" w:cs="Arial"/>
          <w:sz w:val="22"/>
          <w:szCs w:val="22"/>
        </w:rPr>
        <w:t>Whether the terms “bankruptcy” and “insolvency” can be used interchangeably depends on the context in which the terms are being used.  While the terms are synonym</w:t>
      </w:r>
      <w:r>
        <w:rPr>
          <w:rFonts w:ascii="Arial" w:hAnsi="Arial" w:cs="Arial"/>
          <w:sz w:val="22"/>
          <w:szCs w:val="22"/>
        </w:rPr>
        <w:t>ous</w:t>
      </w:r>
      <w:r w:rsidRPr="00ED3F3D">
        <w:rPr>
          <w:rFonts w:ascii="Arial" w:hAnsi="Arial" w:cs="Arial"/>
          <w:sz w:val="22"/>
          <w:szCs w:val="22"/>
        </w:rPr>
        <w:t xml:space="preserve"> </w:t>
      </w:r>
      <w:r w:rsidRPr="00ED3F3D">
        <w:rPr>
          <w:rFonts w:ascii="Arial" w:hAnsi="Arial" w:cs="Arial"/>
          <w:sz w:val="22"/>
          <w:szCs w:val="22"/>
        </w:rPr>
        <w:lastRenderedPageBreak/>
        <w:t>in some systems, generally speaking “insolvency” refers to the state of the financial affairs of the debtor (e.g., balance sheet insolvency, where the debtor’s liabilities exceed their assets), while “bankruptcy” refers to the state of being subject to a formal bankruptcy proceeding.  Further, in some systems, the terms have very specific and distinct meanings.  For example, in Australia, “insolvency” refers to the insolvency of a corporation, while “bankruptcy” refers to the insolvency of a natural person.</w:t>
      </w:r>
    </w:p>
    <w:p w14:paraId="6F70A053" w14:textId="77777777" w:rsidR="00A76C3A" w:rsidRPr="00ED3F3D" w:rsidRDefault="00A76C3A" w:rsidP="00A76C3A">
      <w:pPr>
        <w:ind w:firstLine="720"/>
        <w:rPr>
          <w:rFonts w:ascii="Arial" w:hAnsi="Arial" w:cs="Arial"/>
          <w:sz w:val="22"/>
          <w:szCs w:val="22"/>
        </w:rPr>
      </w:pPr>
    </w:p>
    <w:p w14:paraId="6ED4D590" w14:textId="77777777" w:rsidR="00A76C3A" w:rsidRDefault="00A76C3A" w:rsidP="00A76C3A">
      <w:pPr>
        <w:ind w:firstLine="720"/>
        <w:rPr>
          <w:rFonts w:ascii="Arial" w:hAnsi="Arial" w:cs="Arial"/>
          <w:sz w:val="22"/>
          <w:szCs w:val="22"/>
        </w:rPr>
      </w:pPr>
      <w:r w:rsidRPr="00ED3F3D">
        <w:rPr>
          <w:rFonts w:ascii="Arial" w:hAnsi="Arial" w:cs="Arial"/>
          <w:sz w:val="22"/>
          <w:szCs w:val="22"/>
        </w:rPr>
        <w:t>The universal features of insolvency or bankruptcy law are as follows: (i) all actions against the debtor are stayed so that individual debtor enforcement cannot be pursued during the pendency of the proceeding; (ii) the debtor’s assets are pooled to be made available to all creditors; and (iii) creditors are paid pari passu, i.e., on a pro rata basis from the pool of assets based on the creditors’ claims.</w:t>
      </w:r>
    </w:p>
    <w:p w14:paraId="3B5E34A8" w14:textId="77777777" w:rsidR="00A76C3A" w:rsidRPr="00ED3F3D" w:rsidRDefault="00A76C3A" w:rsidP="00A76C3A">
      <w:pPr>
        <w:ind w:firstLine="720"/>
        <w:rPr>
          <w:rFonts w:ascii="Arial" w:hAnsi="Arial" w:cs="Arial"/>
          <w:sz w:val="22"/>
          <w:szCs w:val="22"/>
        </w:rPr>
      </w:pPr>
    </w:p>
    <w:p w14:paraId="7611F3DD" w14:textId="77777777" w:rsidR="00A76C3A" w:rsidRDefault="00A76C3A" w:rsidP="00A76C3A">
      <w:pPr>
        <w:ind w:firstLine="720"/>
        <w:rPr>
          <w:rFonts w:ascii="Arial" w:hAnsi="Arial" w:cs="Arial"/>
          <w:sz w:val="22"/>
          <w:szCs w:val="22"/>
        </w:rPr>
      </w:pPr>
      <w:r w:rsidRPr="00ED3F3D">
        <w:rPr>
          <w:rFonts w:ascii="Arial" w:hAnsi="Arial" w:cs="Arial"/>
          <w:sz w:val="22"/>
          <w:szCs w:val="22"/>
        </w:rPr>
        <w:t xml:space="preserve">Differences also arise between the underlying purposes of bankruptcy/insolvency of an individual and a corporation.  For individuals, the process is typically to protect the debtor from harassment from their creditors while providing the debtor with the ability to make a fresh start, by reducing the debtor’s indebtedness through repayment that takes into consideration the debtor’s ability to repay and other personal circumstances.  </w:t>
      </w:r>
    </w:p>
    <w:p w14:paraId="7FFE78ED" w14:textId="77777777" w:rsidR="00A57203" w:rsidRPr="00ED3F3D" w:rsidRDefault="00A57203" w:rsidP="00A76C3A">
      <w:pPr>
        <w:ind w:firstLine="720"/>
        <w:rPr>
          <w:rFonts w:ascii="Arial" w:hAnsi="Arial" w:cs="Arial"/>
          <w:sz w:val="22"/>
          <w:szCs w:val="22"/>
        </w:rPr>
      </w:pPr>
    </w:p>
    <w:p w14:paraId="29C55D8C" w14:textId="77777777" w:rsidR="00A76C3A" w:rsidRDefault="00A76C3A" w:rsidP="00A57203">
      <w:pPr>
        <w:ind w:firstLine="720"/>
        <w:rPr>
          <w:rFonts w:ascii="Arial" w:hAnsi="Arial" w:cs="Arial"/>
          <w:sz w:val="22"/>
          <w:szCs w:val="22"/>
        </w:rPr>
      </w:pPr>
      <w:r w:rsidRPr="00ED3F3D">
        <w:rPr>
          <w:rFonts w:ascii="Arial" w:hAnsi="Arial" w:cs="Arial"/>
          <w:sz w:val="22"/>
          <w:szCs w:val="22"/>
        </w:rPr>
        <w:t>In contrast, the goal of insolvency/bankruptcy for a corporation is generally to protect the debtor’s business going forward and, where appropriate, impose personal liability on responsible individuals.</w:t>
      </w:r>
    </w:p>
    <w:p w14:paraId="15751F22" w14:textId="77777777" w:rsidR="00A57203" w:rsidRPr="00ED3F3D" w:rsidRDefault="00A57203" w:rsidP="00A57203">
      <w:pPr>
        <w:ind w:firstLine="720"/>
        <w:rPr>
          <w:rFonts w:ascii="Arial" w:hAnsi="Arial" w:cs="Arial"/>
          <w:sz w:val="22"/>
          <w:szCs w:val="22"/>
        </w:rPr>
      </w:pPr>
    </w:p>
    <w:p w14:paraId="71773D47" w14:textId="73CC7ECB" w:rsidR="00DA42DA" w:rsidRPr="00DA42DA" w:rsidRDefault="00A76C3A" w:rsidP="00A57203">
      <w:pPr>
        <w:ind w:firstLine="720"/>
        <w:jc w:val="both"/>
        <w:rPr>
          <w:rFonts w:ascii="Avenir Next" w:hAnsi="Avenir Next" w:cs="Arial"/>
          <w:color w:val="808080" w:themeColor="background1" w:themeShade="80"/>
          <w:sz w:val="22"/>
          <w:szCs w:val="22"/>
          <w:lang w:val="en-GB"/>
        </w:rPr>
      </w:pPr>
      <w:r w:rsidRPr="00ED3F3D">
        <w:rPr>
          <w:rFonts w:ascii="Arial" w:hAnsi="Arial" w:cs="Arial"/>
          <w:sz w:val="22"/>
          <w:szCs w:val="22"/>
        </w:rPr>
        <w:t xml:space="preserve">The specifics of insolvency/bankruptcy can also be different for individuals and corporations.  For example, individual debtors may be eligible for exemptions, certain assets that the individual debtor is allowed to keep to maintain themselves and their dependents.  Exemptions, on the other hand, are not available for corporate debtors in the systems </w:t>
      </w:r>
      <w:r w:rsidR="00A57203">
        <w:rPr>
          <w:rFonts w:ascii="Arial" w:hAnsi="Arial" w:cs="Arial"/>
          <w:sz w:val="22"/>
          <w:szCs w:val="22"/>
        </w:rPr>
        <w:t>that provide for</w:t>
      </w:r>
      <w:r w:rsidRPr="00ED3F3D">
        <w:rPr>
          <w:rFonts w:ascii="Arial" w:hAnsi="Arial" w:cs="Arial"/>
          <w:sz w:val="22"/>
          <w:szCs w:val="22"/>
        </w:rPr>
        <w:t xml:space="preserve"> exemptions </w:t>
      </w:r>
      <w:r w:rsidR="00A57203">
        <w:rPr>
          <w:rFonts w:ascii="Arial" w:hAnsi="Arial" w:cs="Arial"/>
          <w:sz w:val="22"/>
          <w:szCs w:val="22"/>
        </w:rPr>
        <w:t>for individual debtors</w:t>
      </w:r>
      <w:r w:rsidRPr="00ED3F3D">
        <w:rPr>
          <w:rFonts w:ascii="Arial" w:hAnsi="Arial" w:cs="Arial"/>
          <w:sz w:val="22"/>
          <w:szCs w:val="22"/>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F6095CB" w14:textId="7AC6B80C" w:rsidR="00A57203" w:rsidRDefault="00A57203" w:rsidP="00A57203">
      <w:pPr>
        <w:ind w:firstLine="720"/>
        <w:rPr>
          <w:rFonts w:ascii="Arial" w:hAnsi="Arial" w:cs="Arial"/>
          <w:sz w:val="22"/>
          <w:szCs w:val="22"/>
          <w:lang w:val="en-GB"/>
        </w:rPr>
      </w:pPr>
      <w:r w:rsidRPr="00ED3F3D">
        <w:rPr>
          <w:rFonts w:ascii="Arial" w:hAnsi="Arial" w:cs="Arial"/>
          <w:sz w:val="22"/>
          <w:szCs w:val="22"/>
        </w:rPr>
        <w:t xml:space="preserve">There are a significant number of </w:t>
      </w:r>
      <w:r w:rsidRPr="00ED3F3D">
        <w:rPr>
          <w:rFonts w:ascii="Arial" w:hAnsi="Arial" w:cs="Arial"/>
          <w:sz w:val="22"/>
          <w:szCs w:val="22"/>
          <w:lang w:val="en-GB"/>
        </w:rPr>
        <w:t xml:space="preserve">challenges </w:t>
      </w:r>
      <w:r>
        <w:rPr>
          <w:rFonts w:ascii="Arial" w:hAnsi="Arial" w:cs="Arial"/>
          <w:sz w:val="22"/>
          <w:szCs w:val="22"/>
          <w:lang w:val="en-GB"/>
        </w:rPr>
        <w:t>that</w:t>
      </w:r>
      <w:r w:rsidRPr="00ED3F3D">
        <w:rPr>
          <w:rFonts w:ascii="Arial" w:hAnsi="Arial" w:cs="Arial"/>
          <w:sz w:val="22"/>
          <w:szCs w:val="22"/>
          <w:lang w:val="en-GB"/>
        </w:rPr>
        <w:t xml:space="preserve"> arise in cross-border insolvency that contribute to the difficulty in developing a single cross-border insolvency paradigm.  Most fundamentally, each independent state </w:t>
      </w:r>
      <w:r>
        <w:rPr>
          <w:rFonts w:ascii="Arial" w:hAnsi="Arial" w:cs="Arial"/>
          <w:sz w:val="22"/>
          <w:szCs w:val="22"/>
          <w:lang w:val="en-GB"/>
        </w:rPr>
        <w:t xml:space="preserve">is autonomous and </w:t>
      </w:r>
      <w:r w:rsidRPr="00ED3F3D">
        <w:rPr>
          <w:rFonts w:ascii="Arial" w:hAnsi="Arial" w:cs="Arial"/>
          <w:sz w:val="22"/>
          <w:szCs w:val="22"/>
          <w:lang w:val="en-GB"/>
        </w:rPr>
        <w:t xml:space="preserve">governs itself through </w:t>
      </w:r>
      <w:r>
        <w:rPr>
          <w:rFonts w:ascii="Arial" w:hAnsi="Arial" w:cs="Arial"/>
          <w:sz w:val="22"/>
          <w:szCs w:val="22"/>
          <w:lang w:val="en-GB"/>
        </w:rPr>
        <w:t xml:space="preserve">its </w:t>
      </w:r>
      <w:r w:rsidRPr="00ED3F3D">
        <w:rPr>
          <w:rFonts w:ascii="Arial" w:hAnsi="Arial" w:cs="Arial"/>
          <w:sz w:val="22"/>
          <w:szCs w:val="22"/>
          <w:lang w:val="en-GB"/>
        </w:rPr>
        <w:t xml:space="preserve">own legislation.  Accordingly, establishing a single cross-border insolvency paradigm would involve such independent states to not only agree to work together but to give up some autonomy.  These are formidable obstacles.  Further, as they stand now, insolvency systems differ drastically in their quality.  Many have laws that are outdated or otherwise </w:t>
      </w:r>
      <w:r>
        <w:rPr>
          <w:rFonts w:ascii="Arial" w:hAnsi="Arial" w:cs="Arial"/>
          <w:sz w:val="22"/>
          <w:szCs w:val="22"/>
          <w:lang w:val="en-GB"/>
        </w:rPr>
        <w:t>no longer appropriate</w:t>
      </w:r>
      <w:r w:rsidRPr="00ED3F3D">
        <w:rPr>
          <w:rFonts w:ascii="Arial" w:hAnsi="Arial" w:cs="Arial"/>
          <w:sz w:val="22"/>
          <w:szCs w:val="22"/>
          <w:lang w:val="en-GB"/>
        </w:rPr>
        <w:t xml:space="preserve"> for the modern </w:t>
      </w:r>
      <w:r>
        <w:rPr>
          <w:rFonts w:ascii="Arial" w:hAnsi="Arial" w:cs="Arial"/>
          <w:sz w:val="22"/>
          <w:szCs w:val="22"/>
          <w:lang w:val="en-GB"/>
        </w:rPr>
        <w:t>world</w:t>
      </w:r>
      <w:r w:rsidRPr="00ED3F3D">
        <w:rPr>
          <w:rFonts w:ascii="Arial" w:hAnsi="Arial" w:cs="Arial"/>
          <w:sz w:val="22"/>
          <w:szCs w:val="22"/>
          <w:lang w:val="en-GB"/>
        </w:rPr>
        <w:t xml:space="preserve">. </w:t>
      </w:r>
    </w:p>
    <w:p w14:paraId="01EEA500" w14:textId="77777777" w:rsidR="00A57203" w:rsidRPr="00ED3F3D" w:rsidRDefault="00A57203" w:rsidP="00A57203">
      <w:pPr>
        <w:ind w:firstLine="720"/>
        <w:rPr>
          <w:rFonts w:ascii="Arial" w:hAnsi="Arial" w:cs="Arial"/>
          <w:sz w:val="22"/>
          <w:szCs w:val="22"/>
          <w:lang w:val="en-GB"/>
        </w:rPr>
      </w:pPr>
    </w:p>
    <w:p w14:paraId="6B5CF002" w14:textId="3560870F" w:rsidR="00DA42DA" w:rsidRPr="00DA42DA" w:rsidRDefault="00A57203" w:rsidP="00A57203">
      <w:pPr>
        <w:ind w:firstLine="720"/>
        <w:jc w:val="both"/>
        <w:rPr>
          <w:rFonts w:ascii="Avenir Next" w:hAnsi="Avenir Next" w:cs="Arial"/>
          <w:color w:val="808080" w:themeColor="background1" w:themeShade="80"/>
          <w:sz w:val="22"/>
          <w:szCs w:val="22"/>
          <w:lang w:val="en-GB"/>
        </w:rPr>
      </w:pPr>
      <w:r w:rsidRPr="00ED3F3D">
        <w:rPr>
          <w:rFonts w:ascii="Arial" w:hAnsi="Arial" w:cs="Arial"/>
          <w:sz w:val="22"/>
          <w:szCs w:val="22"/>
          <w:lang w:val="en-GB"/>
        </w:rPr>
        <w:t xml:space="preserve">In addition, the development of a single cross-border insolvency paradigm is difficult because </w:t>
      </w:r>
      <w:r>
        <w:rPr>
          <w:rFonts w:ascii="Arial" w:hAnsi="Arial" w:cs="Arial"/>
          <w:sz w:val="22"/>
          <w:szCs w:val="22"/>
          <w:lang w:val="en-GB"/>
        </w:rPr>
        <w:t xml:space="preserve">different </w:t>
      </w:r>
      <w:r w:rsidRPr="00ED3F3D">
        <w:rPr>
          <w:rFonts w:ascii="Arial" w:hAnsi="Arial" w:cs="Arial"/>
          <w:sz w:val="22"/>
          <w:szCs w:val="22"/>
          <w:lang w:val="en-GB"/>
        </w:rPr>
        <w:t>states emphasis different goals for insolvency proceedings.  Some states approach insolvency proceedings from a pro-debtor viewpoint while others approach insolvency proceedings from a pro-creditor viewpoint.  Accordingly, some systems see the goal of insolvency proceedings as enabling creditors to recover their claims (pro-creditor), while other see the goal of insolvency proceedings as allowing the debtor to continue to do business</w:t>
      </w:r>
      <w:r>
        <w:rPr>
          <w:rFonts w:ascii="Arial" w:hAnsi="Arial" w:cs="Arial"/>
          <w:sz w:val="22"/>
          <w:szCs w:val="22"/>
          <w:lang w:val="en-GB"/>
        </w:rPr>
        <w:t xml:space="preserve"> (pro-debtor)</w:t>
      </w:r>
      <w:r w:rsidRPr="00ED3F3D">
        <w:rPr>
          <w:rFonts w:ascii="Arial" w:hAnsi="Arial" w:cs="Arial"/>
          <w:sz w:val="22"/>
          <w:szCs w:val="22"/>
          <w:lang w:val="en-GB"/>
        </w:rPr>
        <w:t>.  Further, states all have their own specific and individual interests, such as protection of local creditors or an unwillingness to recognise foreign claims, that necessarily will create conflicts among the different states.  In addition, insolvency proceedings can involve significant areas of substantive law that can vary wildly from state to state, making universal application very difficult.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2508B751" w14:textId="7A74DA64" w:rsidR="00A57203" w:rsidRDefault="00A57203" w:rsidP="00A57203">
      <w:pPr>
        <w:ind w:firstLine="720"/>
        <w:rPr>
          <w:rFonts w:ascii="Arial" w:hAnsi="Arial" w:cs="Arial"/>
          <w:sz w:val="22"/>
          <w:szCs w:val="22"/>
        </w:rPr>
      </w:pPr>
      <w:r w:rsidRPr="00ED3F3D">
        <w:rPr>
          <w:rFonts w:ascii="Arial" w:hAnsi="Arial" w:cs="Arial"/>
          <w:sz w:val="22"/>
          <w:szCs w:val="22"/>
        </w:rPr>
        <w:t xml:space="preserve">In the context of international insolvency, “hard law” means binding law.  Examples of “hard law” include treaties signed by a state and conventions to which a state has joined.  </w:t>
      </w:r>
      <w:r>
        <w:rPr>
          <w:rFonts w:ascii="Arial" w:hAnsi="Arial" w:cs="Arial"/>
          <w:sz w:val="22"/>
          <w:szCs w:val="22"/>
        </w:rPr>
        <w:t>In</w:t>
      </w:r>
      <w:r w:rsidRPr="00ED3F3D">
        <w:rPr>
          <w:rFonts w:ascii="Arial" w:hAnsi="Arial" w:cs="Arial"/>
          <w:sz w:val="22"/>
          <w:szCs w:val="22"/>
        </w:rPr>
        <w:t xml:space="preserve"> doing so, the state has bound themselves to the terms of the treaty or convention which, in turn, may affect the state’s domestic law.  Although there have been successful multilateral treaties, such as the Nordic Convention of 1933 from the Scandinavian region of Europe, most have not been successful in the area of international insolvency.  The European Union has achieved some success through the European Insolvency Regulation (EIR) from 2000, which has had </w:t>
      </w:r>
      <w:r w:rsidRPr="00ED3F3D">
        <w:rPr>
          <w:rFonts w:ascii="Arial" w:hAnsi="Arial" w:cs="Arial"/>
        </w:rPr>
        <w:t>a</w:t>
      </w:r>
      <w:r w:rsidRPr="00ED3F3D">
        <w:rPr>
          <w:rFonts w:ascii="Arial" w:hAnsi="Arial" w:cs="Arial"/>
          <w:sz w:val="22"/>
          <w:szCs w:val="22"/>
        </w:rPr>
        <w:t xml:space="preserve"> strong influence on </w:t>
      </w:r>
      <w:r>
        <w:rPr>
          <w:rFonts w:ascii="Arial" w:hAnsi="Arial" w:cs="Arial"/>
          <w:sz w:val="22"/>
          <w:szCs w:val="22"/>
        </w:rPr>
        <w:t>the subsequent development of</w:t>
      </w:r>
      <w:r w:rsidRPr="00ED3F3D">
        <w:rPr>
          <w:rFonts w:ascii="Arial" w:hAnsi="Arial" w:cs="Arial"/>
          <w:sz w:val="22"/>
          <w:szCs w:val="22"/>
        </w:rPr>
        <w:t xml:space="preserve"> international insolvency law.</w:t>
      </w:r>
    </w:p>
    <w:p w14:paraId="16AFBDDD" w14:textId="77777777" w:rsidR="00A57203" w:rsidRPr="00ED3F3D" w:rsidRDefault="00A57203" w:rsidP="00A57203">
      <w:pPr>
        <w:ind w:firstLine="720"/>
        <w:rPr>
          <w:rFonts w:ascii="Arial" w:hAnsi="Arial" w:cs="Arial"/>
          <w:sz w:val="22"/>
          <w:szCs w:val="22"/>
        </w:rPr>
      </w:pPr>
    </w:p>
    <w:p w14:paraId="337A4250" w14:textId="3C4FBD74" w:rsidR="00C952A2" w:rsidRDefault="00A57203" w:rsidP="00A57203">
      <w:pPr>
        <w:ind w:firstLine="720"/>
        <w:jc w:val="both"/>
        <w:rPr>
          <w:rFonts w:ascii="Arial" w:hAnsi="Arial" w:cs="Arial"/>
          <w:sz w:val="22"/>
          <w:szCs w:val="22"/>
        </w:rPr>
      </w:pPr>
      <w:r w:rsidRPr="00ED3F3D">
        <w:rPr>
          <w:rFonts w:ascii="Arial" w:hAnsi="Arial" w:cs="Arial"/>
          <w:sz w:val="22"/>
          <w:szCs w:val="22"/>
        </w:rPr>
        <w:t>In the context of international insolvency, “soft law” means non-binding efforts to affect international insolvency</w:t>
      </w:r>
      <w:r>
        <w:rPr>
          <w:rFonts w:ascii="Arial" w:hAnsi="Arial" w:cs="Arial"/>
          <w:sz w:val="22"/>
          <w:szCs w:val="22"/>
        </w:rPr>
        <w:t xml:space="preserve">. </w:t>
      </w:r>
      <w:r w:rsidRPr="00ED3F3D">
        <w:rPr>
          <w:rFonts w:ascii="Arial" w:hAnsi="Arial" w:cs="Arial"/>
          <w:sz w:val="22"/>
          <w:szCs w:val="22"/>
        </w:rPr>
        <w:t xml:space="preserve"> It is typically the result of the work of multination</w:t>
      </w:r>
      <w:r>
        <w:rPr>
          <w:rFonts w:ascii="Arial" w:hAnsi="Arial" w:cs="Arial"/>
          <w:sz w:val="22"/>
          <w:szCs w:val="22"/>
        </w:rPr>
        <w:t>al</w:t>
      </w:r>
      <w:r w:rsidRPr="00ED3F3D">
        <w:rPr>
          <w:rFonts w:ascii="Arial" w:hAnsi="Arial" w:cs="Arial"/>
          <w:sz w:val="22"/>
          <w:szCs w:val="22"/>
        </w:rPr>
        <w:t xml:space="preserve"> organizations, as opposed to states and governments.  A primary example of an organization involved in the development of “soft law” is the Hague Conference on Private International Law (the Hague Conference), established in the 19</w:t>
      </w:r>
      <w:r w:rsidRPr="00ED3F3D">
        <w:rPr>
          <w:rFonts w:ascii="Arial" w:hAnsi="Arial" w:cs="Arial"/>
          <w:sz w:val="22"/>
          <w:szCs w:val="22"/>
          <w:vertAlign w:val="superscript"/>
        </w:rPr>
        <w:t>th</w:t>
      </w:r>
      <w:r w:rsidRPr="00ED3F3D">
        <w:rPr>
          <w:rFonts w:ascii="Arial" w:hAnsi="Arial" w:cs="Arial"/>
          <w:sz w:val="22"/>
          <w:szCs w:val="22"/>
        </w:rPr>
        <w:t xml:space="preserve"> century to work towards the unification of private international law.  Its Model Treaty on Bankruptcy from 1925, while never ratified, introduced concepts that have had a profound effect on international insolvency.  The United Nations Commission on International Trade Law (UNCITRAL) has had the most success with the “soft law” approach in its development of the Model Law on Cross-Border Insolvency (MLCBI).  The MLCBI is not a treaty or convention but a model law, draft legislation that UNCITRAL has offered to member states to adopt.  A number of states have adopted the MLCBI, with or without modifications, leading to its</w:t>
      </w:r>
      <w:r>
        <w:rPr>
          <w:rFonts w:ascii="Arial" w:hAnsi="Arial" w:cs="Arial"/>
          <w:sz w:val="22"/>
          <w:szCs w:val="22"/>
        </w:rPr>
        <w:t xml:space="preserve"> </w:t>
      </w:r>
      <w:r w:rsidRPr="00ED3F3D">
        <w:rPr>
          <w:rFonts w:ascii="Arial" w:hAnsi="Arial" w:cs="Arial"/>
          <w:sz w:val="22"/>
          <w:szCs w:val="22"/>
        </w:rPr>
        <w:t>influence on the development of international insolvency law.</w:t>
      </w:r>
    </w:p>
    <w:p w14:paraId="2F957187" w14:textId="77777777" w:rsidR="00A57203" w:rsidRPr="004216EA" w:rsidRDefault="00A57203" w:rsidP="00A57203">
      <w:pPr>
        <w:ind w:firstLine="720"/>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51EB5DD0" w14:textId="77777777" w:rsidR="00A57203" w:rsidRDefault="00A57203" w:rsidP="00A57203">
      <w:pPr>
        <w:rPr>
          <w:rFonts w:ascii="Arial" w:hAnsi="Arial" w:cs="Arial"/>
          <w:sz w:val="22"/>
          <w:szCs w:val="22"/>
        </w:rPr>
      </w:pPr>
      <w:r w:rsidRPr="00ED3F3D">
        <w:rPr>
          <w:rFonts w:ascii="Arial" w:hAnsi="Arial" w:cs="Arial"/>
          <w:sz w:val="22"/>
          <w:szCs w:val="22"/>
        </w:rPr>
        <w:t>Dear Client,</w:t>
      </w:r>
    </w:p>
    <w:p w14:paraId="0B51B030" w14:textId="77777777" w:rsidR="00A57203" w:rsidRPr="00ED3F3D" w:rsidRDefault="00A57203" w:rsidP="00A57203">
      <w:pPr>
        <w:rPr>
          <w:rFonts w:ascii="Arial" w:hAnsi="Arial" w:cs="Arial"/>
          <w:sz w:val="22"/>
          <w:szCs w:val="22"/>
        </w:rPr>
      </w:pPr>
    </w:p>
    <w:p w14:paraId="4D7AC483" w14:textId="6AD96FEF" w:rsidR="00A57203" w:rsidRDefault="00A57203" w:rsidP="00A57203">
      <w:pPr>
        <w:ind w:firstLine="720"/>
        <w:rPr>
          <w:rFonts w:ascii="Arial" w:hAnsi="Arial" w:cs="Arial"/>
          <w:sz w:val="22"/>
          <w:szCs w:val="22"/>
        </w:rPr>
      </w:pPr>
      <w:r w:rsidRPr="00ED3F3D">
        <w:rPr>
          <w:rFonts w:ascii="Arial" w:hAnsi="Arial" w:cs="Arial"/>
          <w:sz w:val="22"/>
          <w:szCs w:val="22"/>
        </w:rPr>
        <w:t xml:space="preserve">I am writing to inform you of the applicable English cross-border sources that you may use to request recognition of your status as estate representative in the American insolvency proceeding </w:t>
      </w:r>
      <w:r>
        <w:rPr>
          <w:rFonts w:ascii="Arial" w:hAnsi="Arial" w:cs="Arial"/>
          <w:sz w:val="22"/>
          <w:szCs w:val="22"/>
        </w:rPr>
        <w:t xml:space="preserve">of Norton Cars, Inc. (“NCI”) </w:t>
      </w:r>
      <w:r w:rsidRPr="00ED3F3D">
        <w:rPr>
          <w:rFonts w:ascii="Arial" w:hAnsi="Arial" w:cs="Arial"/>
          <w:sz w:val="22"/>
          <w:szCs w:val="22"/>
        </w:rPr>
        <w:t xml:space="preserve">in order to deal with the assets of </w:t>
      </w:r>
      <w:r w:rsidR="00EC0A2C">
        <w:rPr>
          <w:rFonts w:ascii="Arial" w:hAnsi="Arial" w:cs="Arial"/>
          <w:sz w:val="22"/>
          <w:szCs w:val="22"/>
        </w:rPr>
        <w:t>NCI</w:t>
      </w:r>
      <w:r w:rsidRPr="00ED3F3D">
        <w:rPr>
          <w:rFonts w:ascii="Arial" w:hAnsi="Arial" w:cs="Arial"/>
          <w:sz w:val="22"/>
          <w:szCs w:val="22"/>
        </w:rPr>
        <w:t xml:space="preserve"> that are located in England.</w:t>
      </w:r>
    </w:p>
    <w:p w14:paraId="68B676C5" w14:textId="77777777" w:rsidR="00A57203" w:rsidRPr="00ED3F3D" w:rsidRDefault="00A57203" w:rsidP="00A57203">
      <w:pPr>
        <w:rPr>
          <w:rFonts w:ascii="Arial" w:hAnsi="Arial" w:cs="Arial"/>
          <w:sz w:val="22"/>
          <w:szCs w:val="22"/>
        </w:rPr>
      </w:pPr>
    </w:p>
    <w:p w14:paraId="79D1A828" w14:textId="2ABF3CE3" w:rsidR="00A57203" w:rsidRDefault="00A57203" w:rsidP="00EC0A2C">
      <w:pPr>
        <w:ind w:firstLine="720"/>
        <w:rPr>
          <w:rFonts w:ascii="Arial" w:hAnsi="Arial" w:cs="Arial"/>
          <w:sz w:val="22"/>
          <w:szCs w:val="22"/>
        </w:rPr>
      </w:pPr>
      <w:r w:rsidRPr="00ED3F3D">
        <w:rPr>
          <w:rFonts w:ascii="Arial" w:hAnsi="Arial" w:cs="Arial"/>
          <w:sz w:val="22"/>
          <w:szCs w:val="22"/>
        </w:rPr>
        <w:t>Insolvency law in England is governed by the Insolvency Act 1986, which cover</w:t>
      </w:r>
      <w:r w:rsidR="00EC0A2C">
        <w:rPr>
          <w:rFonts w:ascii="Arial" w:hAnsi="Arial" w:cs="Arial"/>
          <w:sz w:val="22"/>
          <w:szCs w:val="22"/>
        </w:rPr>
        <w:t>s</w:t>
      </w:r>
      <w:r w:rsidRPr="00ED3F3D">
        <w:rPr>
          <w:rFonts w:ascii="Arial" w:hAnsi="Arial" w:cs="Arial"/>
          <w:sz w:val="22"/>
          <w:szCs w:val="22"/>
        </w:rPr>
        <w:t xml:space="preserve"> both personal and corporate bankruptcy, as well as common law precedent.  Although additional analysis must be done, there is a House of Lords decision, </w:t>
      </w:r>
      <w:r w:rsidRPr="00ED3F3D">
        <w:rPr>
          <w:rFonts w:ascii="Arial" w:hAnsi="Arial" w:cs="Arial"/>
          <w:i/>
          <w:iCs/>
          <w:sz w:val="22"/>
          <w:szCs w:val="22"/>
        </w:rPr>
        <w:t>McGrath v, Riddell</w:t>
      </w:r>
      <w:r w:rsidRPr="00ED3F3D">
        <w:rPr>
          <w:rFonts w:ascii="Arial" w:hAnsi="Arial" w:cs="Arial"/>
          <w:sz w:val="22"/>
          <w:szCs w:val="22"/>
        </w:rPr>
        <w:t xml:space="preserve"> [2008] UKHL 21 at [62], that speaks directly to the present situation, where the English court ordered the turnover of assets located in England to a foreign principal liquidator for distribution under foreign laws.  In the case, Lord Hoffman cited the court’s </w:t>
      </w:r>
      <w:r w:rsidR="00EC0A2C">
        <w:rPr>
          <w:rFonts w:ascii="Arial" w:hAnsi="Arial" w:cs="Arial"/>
          <w:sz w:val="22"/>
          <w:szCs w:val="22"/>
        </w:rPr>
        <w:t>“</w:t>
      </w:r>
      <w:r w:rsidRPr="00ED3F3D">
        <w:rPr>
          <w:rFonts w:ascii="Arial" w:hAnsi="Arial" w:cs="Arial"/>
          <w:sz w:val="22"/>
          <w:szCs w:val="22"/>
        </w:rPr>
        <w:t>jurisdiction at common law, under its established practice of giving directions to ancillary liquidators, to direct remittal of the English assets, notwithstanding any differences between the English and foreign system of distribution.</w:t>
      </w:r>
      <w:r w:rsidR="00EC0A2C">
        <w:rPr>
          <w:rFonts w:ascii="Arial" w:hAnsi="Arial" w:cs="Arial"/>
          <w:sz w:val="22"/>
          <w:szCs w:val="22"/>
        </w:rPr>
        <w:t>”</w:t>
      </w:r>
      <w:r w:rsidRPr="00ED3F3D">
        <w:rPr>
          <w:rFonts w:ascii="Arial" w:hAnsi="Arial" w:cs="Arial"/>
          <w:sz w:val="22"/>
          <w:szCs w:val="22"/>
        </w:rPr>
        <w:t xml:space="preserve">  </w:t>
      </w:r>
      <w:r w:rsidRPr="00ED3F3D">
        <w:rPr>
          <w:rFonts w:ascii="Arial" w:hAnsi="Arial" w:cs="Arial"/>
          <w:i/>
          <w:iCs/>
          <w:sz w:val="22"/>
          <w:szCs w:val="22"/>
        </w:rPr>
        <w:t>Id</w:t>
      </w:r>
      <w:r w:rsidRPr="00ED3F3D">
        <w:rPr>
          <w:rFonts w:ascii="Arial" w:hAnsi="Arial" w:cs="Arial"/>
          <w:sz w:val="22"/>
          <w:szCs w:val="22"/>
        </w:rPr>
        <w:t>.  Accordingly, it is clear that English courts will cooperate with “courts in the country of the principal distribution” to ensure that the debtor’s assets are distributed to the debtor’s creditors.</w:t>
      </w:r>
      <w:r w:rsidR="00EC0A2C">
        <w:rPr>
          <w:rFonts w:ascii="Arial" w:hAnsi="Arial" w:cs="Arial"/>
          <w:sz w:val="22"/>
          <w:szCs w:val="22"/>
        </w:rPr>
        <w:t xml:space="preserve">  </w:t>
      </w:r>
      <w:r w:rsidR="00EC0A2C">
        <w:rPr>
          <w:rFonts w:ascii="Arial" w:hAnsi="Arial" w:cs="Arial"/>
          <w:i/>
          <w:iCs/>
          <w:sz w:val="22"/>
          <w:szCs w:val="22"/>
        </w:rPr>
        <w:t>Id</w:t>
      </w:r>
      <w:r w:rsidR="00EC0A2C">
        <w:rPr>
          <w:rFonts w:ascii="Arial" w:hAnsi="Arial" w:cs="Arial"/>
          <w:sz w:val="22"/>
          <w:szCs w:val="22"/>
        </w:rPr>
        <w:t>.</w:t>
      </w:r>
      <w:r w:rsidRPr="00ED3F3D">
        <w:rPr>
          <w:rFonts w:ascii="Arial" w:hAnsi="Arial" w:cs="Arial"/>
          <w:sz w:val="22"/>
          <w:szCs w:val="22"/>
        </w:rPr>
        <w:t xml:space="preserve">  Of note, however, Section 426(5) of the Insolvency Act 1986 authorizes English courts to apply either foreign or local laws in cross-border insolvency matters. </w:t>
      </w:r>
    </w:p>
    <w:p w14:paraId="70B6A456" w14:textId="77777777" w:rsidR="00EC0A2C" w:rsidRPr="00ED3F3D" w:rsidRDefault="00EC0A2C" w:rsidP="00EC0A2C">
      <w:pPr>
        <w:ind w:firstLine="720"/>
        <w:rPr>
          <w:rFonts w:ascii="Arial" w:hAnsi="Arial" w:cs="Arial"/>
          <w:sz w:val="22"/>
          <w:szCs w:val="22"/>
        </w:rPr>
      </w:pPr>
    </w:p>
    <w:p w14:paraId="7B2D0D2D" w14:textId="7CCC2C81" w:rsidR="00A57203" w:rsidRDefault="00A57203" w:rsidP="00EC0A2C">
      <w:pPr>
        <w:ind w:firstLine="720"/>
        <w:rPr>
          <w:rFonts w:ascii="Arial" w:hAnsi="Arial" w:cs="Arial"/>
          <w:sz w:val="22"/>
          <w:szCs w:val="22"/>
        </w:rPr>
      </w:pPr>
      <w:r w:rsidRPr="00ED3F3D">
        <w:rPr>
          <w:rFonts w:ascii="Arial" w:hAnsi="Arial" w:cs="Arial"/>
          <w:sz w:val="22"/>
          <w:szCs w:val="22"/>
        </w:rPr>
        <w:t>In addition, both England and the United States have both adopted the UNCITRAL Model Law on Cross-Border Insolvency, which promotes co-operation and co-ordination in cross-border insolvency, and have incorporated i</w:t>
      </w:r>
      <w:r w:rsidR="00EC0A2C">
        <w:rPr>
          <w:rFonts w:ascii="Arial" w:hAnsi="Arial" w:cs="Arial"/>
          <w:sz w:val="22"/>
          <w:szCs w:val="22"/>
        </w:rPr>
        <w:t>t</w:t>
      </w:r>
      <w:r w:rsidRPr="00ED3F3D">
        <w:rPr>
          <w:rFonts w:ascii="Arial" w:hAnsi="Arial" w:cs="Arial"/>
          <w:sz w:val="22"/>
          <w:szCs w:val="22"/>
        </w:rPr>
        <w:t xml:space="preserve"> into their respective insolvency statutory frameworks.  Accordingly, courts in England will be receptive to recognizing your status as estate representative in NCI’s American insolvency proceeding and to co-operating with you with regard to the administration of NCI’s estate.</w:t>
      </w:r>
    </w:p>
    <w:p w14:paraId="4DDAFAA5" w14:textId="77777777" w:rsidR="00EC0A2C" w:rsidRPr="00ED3F3D" w:rsidRDefault="00EC0A2C" w:rsidP="00EC0A2C">
      <w:pPr>
        <w:ind w:firstLine="720"/>
        <w:rPr>
          <w:rFonts w:ascii="Arial" w:hAnsi="Arial" w:cs="Arial"/>
          <w:sz w:val="22"/>
          <w:szCs w:val="22"/>
        </w:rPr>
      </w:pPr>
    </w:p>
    <w:p w14:paraId="0A5F60ED" w14:textId="77777777" w:rsidR="00A57203" w:rsidRDefault="00A57203" w:rsidP="00EC0A2C">
      <w:pPr>
        <w:ind w:firstLine="720"/>
        <w:rPr>
          <w:rFonts w:ascii="Arial" w:hAnsi="Arial" w:cs="Arial"/>
          <w:sz w:val="22"/>
          <w:szCs w:val="22"/>
        </w:rPr>
      </w:pPr>
      <w:r w:rsidRPr="00ED3F3D">
        <w:rPr>
          <w:rFonts w:ascii="Arial" w:hAnsi="Arial" w:cs="Arial"/>
          <w:sz w:val="22"/>
          <w:szCs w:val="22"/>
        </w:rPr>
        <w:t>Accordingly, although further research is needed to determine the procedure that will need to followed, it is clear that avenues exist to request recognition of your status as estate representative in NCI’s American insolvency proceeding in order to deal with the NCI assets that are located in England.</w:t>
      </w:r>
    </w:p>
    <w:p w14:paraId="5F26042D" w14:textId="77777777" w:rsidR="00EC0A2C" w:rsidRPr="00ED3F3D" w:rsidRDefault="00EC0A2C" w:rsidP="00EC0A2C">
      <w:pPr>
        <w:ind w:firstLine="720"/>
        <w:rPr>
          <w:rFonts w:ascii="Arial" w:hAnsi="Arial" w:cs="Arial"/>
          <w:sz w:val="22"/>
          <w:szCs w:val="22"/>
        </w:rPr>
      </w:pPr>
    </w:p>
    <w:p w14:paraId="4184BAFC" w14:textId="08161508" w:rsidR="002253D8" w:rsidRPr="002253D8" w:rsidRDefault="00A57203" w:rsidP="00A57203">
      <w:pPr>
        <w:jc w:val="both"/>
        <w:rPr>
          <w:rFonts w:ascii="Avenir Next" w:hAnsi="Avenir Next" w:cs="Arial"/>
          <w:color w:val="808080" w:themeColor="background1" w:themeShade="80"/>
          <w:sz w:val="22"/>
          <w:szCs w:val="22"/>
          <w:lang w:val="en-GB"/>
        </w:rPr>
      </w:pPr>
      <w:r w:rsidRPr="00ED3F3D">
        <w:rPr>
          <w:rFonts w:ascii="Arial" w:hAnsi="Arial" w:cs="Arial"/>
          <w:sz w:val="22"/>
          <w:szCs w:val="22"/>
        </w:rPr>
        <w:t>Please let me know if you would like to discuss further.</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0B7C9EE9" w14:textId="77777777" w:rsidR="00EC0A2C" w:rsidRPr="00ED3F3D" w:rsidRDefault="00EC0A2C" w:rsidP="00EC0A2C">
      <w:pPr>
        <w:rPr>
          <w:rFonts w:ascii="Arial" w:hAnsi="Arial" w:cs="Arial"/>
          <w:sz w:val="22"/>
          <w:szCs w:val="22"/>
        </w:rPr>
      </w:pPr>
      <w:r w:rsidRPr="00ED3F3D">
        <w:rPr>
          <w:rFonts w:ascii="Arial" w:hAnsi="Arial" w:cs="Arial"/>
          <w:sz w:val="22"/>
          <w:szCs w:val="22"/>
        </w:rPr>
        <w:t>Dear Client,</w:t>
      </w:r>
    </w:p>
    <w:p w14:paraId="46E910A2" w14:textId="77777777" w:rsidR="00EC0A2C" w:rsidRDefault="00EC0A2C" w:rsidP="00EC0A2C">
      <w:pPr>
        <w:ind w:firstLine="720"/>
        <w:rPr>
          <w:rFonts w:ascii="Arial" w:hAnsi="Arial" w:cs="Arial"/>
          <w:sz w:val="22"/>
          <w:szCs w:val="22"/>
        </w:rPr>
      </w:pPr>
      <w:r w:rsidRPr="00ED3F3D">
        <w:rPr>
          <w:rFonts w:ascii="Arial" w:hAnsi="Arial" w:cs="Arial"/>
          <w:sz w:val="22"/>
          <w:szCs w:val="22"/>
        </w:rPr>
        <w:lastRenderedPageBreak/>
        <w:t>I am writing to you to address the appropriate legal sources to be used in Norton Cars Inc.’</w:t>
      </w:r>
      <w:r>
        <w:rPr>
          <w:rFonts w:ascii="Arial" w:hAnsi="Arial" w:cs="Arial"/>
        </w:rPr>
        <w:t>s</w:t>
      </w:r>
      <w:r w:rsidRPr="00ED3F3D">
        <w:rPr>
          <w:rFonts w:ascii="Arial" w:hAnsi="Arial" w:cs="Arial"/>
          <w:sz w:val="22"/>
          <w:szCs w:val="22"/>
        </w:rPr>
        <w:t xml:space="preserve"> (“NCI</w:t>
      </w:r>
      <w:r w:rsidRPr="00ED3F3D">
        <w:rPr>
          <w:rFonts w:ascii="Arial" w:hAnsi="Arial" w:cs="Arial"/>
        </w:rPr>
        <w:t>”)</w:t>
      </w:r>
      <w:r w:rsidRPr="00EC0A2C">
        <w:rPr>
          <w:rFonts w:ascii="Arial" w:hAnsi="Arial" w:cs="Arial"/>
          <w:sz w:val="22"/>
          <w:szCs w:val="22"/>
        </w:rPr>
        <w:t xml:space="preserve"> cross</w:t>
      </w:r>
      <w:r w:rsidRPr="00ED3F3D">
        <w:rPr>
          <w:rFonts w:ascii="Arial" w:hAnsi="Arial" w:cs="Arial"/>
          <w:sz w:val="22"/>
          <w:szCs w:val="22"/>
        </w:rPr>
        <w:t>-border insolvency matter between Italy and Germany and to address the issue of which country the main proceeding should be opened.</w:t>
      </w:r>
    </w:p>
    <w:p w14:paraId="10252325" w14:textId="77777777" w:rsidR="00EC0A2C" w:rsidRPr="00ED3F3D" w:rsidRDefault="00EC0A2C" w:rsidP="00EC0A2C">
      <w:pPr>
        <w:ind w:firstLine="720"/>
        <w:rPr>
          <w:rFonts w:ascii="Arial" w:hAnsi="Arial" w:cs="Arial"/>
          <w:sz w:val="22"/>
          <w:szCs w:val="22"/>
        </w:rPr>
      </w:pPr>
    </w:p>
    <w:p w14:paraId="762FF555" w14:textId="5D0DFE64" w:rsidR="00EC0A2C" w:rsidRDefault="00EC0A2C" w:rsidP="00EC0A2C">
      <w:pPr>
        <w:ind w:firstLine="720"/>
        <w:rPr>
          <w:rFonts w:ascii="Arial" w:hAnsi="Arial" w:cs="Arial"/>
          <w:sz w:val="22"/>
          <w:szCs w:val="22"/>
        </w:rPr>
      </w:pPr>
      <w:r w:rsidRPr="00ED3F3D">
        <w:rPr>
          <w:rFonts w:ascii="Arial" w:hAnsi="Arial" w:cs="Arial"/>
          <w:sz w:val="22"/>
          <w:szCs w:val="22"/>
        </w:rPr>
        <w:t xml:space="preserve">The European Insolvency Regulation (Recast) (“EIR (Recast)”) applies to both Germany and Italy as member of the European Union.  Accordingly, the EIR (Recast) will govern the proper jurisdiction for NCI’s cross-border insolvency matter between Germany and Italy.  Pursuant to the EIR (Recast), primary jurisdiction is </w:t>
      </w:r>
      <w:r>
        <w:rPr>
          <w:rFonts w:ascii="Arial" w:hAnsi="Arial" w:cs="Arial"/>
          <w:sz w:val="22"/>
          <w:szCs w:val="22"/>
        </w:rPr>
        <w:t>appropriate in</w:t>
      </w:r>
      <w:r w:rsidRPr="00ED3F3D">
        <w:rPr>
          <w:rFonts w:ascii="Arial" w:hAnsi="Arial" w:cs="Arial"/>
          <w:sz w:val="22"/>
          <w:szCs w:val="22"/>
        </w:rPr>
        <w:t xml:space="preserve"> the member state within which the “center of the debtor’s main interests</w:t>
      </w:r>
      <w:r>
        <w:rPr>
          <w:rFonts w:ascii="Arial" w:hAnsi="Arial" w:cs="Arial"/>
          <w:sz w:val="22"/>
          <w:szCs w:val="22"/>
        </w:rPr>
        <w:t>”</w:t>
      </w:r>
      <w:r w:rsidRPr="00ED3F3D">
        <w:rPr>
          <w:rFonts w:ascii="Arial" w:hAnsi="Arial" w:cs="Arial"/>
          <w:sz w:val="22"/>
          <w:szCs w:val="22"/>
        </w:rPr>
        <w:t xml:space="preserve"> (“COMI”) are located.  Here, NCI’s COMI is Italy.  Accordingly, the strongest argument is for Italy to be the location of the main proceeding.  </w:t>
      </w:r>
    </w:p>
    <w:p w14:paraId="7D4B25B8" w14:textId="77777777" w:rsidR="00EC0A2C" w:rsidRPr="00ED3F3D" w:rsidRDefault="00EC0A2C" w:rsidP="00EC0A2C">
      <w:pPr>
        <w:ind w:firstLine="720"/>
        <w:rPr>
          <w:rFonts w:ascii="Arial" w:hAnsi="Arial" w:cs="Arial"/>
          <w:sz w:val="22"/>
          <w:szCs w:val="22"/>
        </w:rPr>
      </w:pPr>
    </w:p>
    <w:p w14:paraId="28E3BFF5" w14:textId="23BB0EA7" w:rsidR="00EC0A2C" w:rsidRDefault="00EC0A2C" w:rsidP="00EC0A2C">
      <w:pPr>
        <w:ind w:firstLine="720"/>
        <w:rPr>
          <w:rFonts w:ascii="Arial" w:hAnsi="Arial" w:cs="Arial"/>
          <w:sz w:val="22"/>
          <w:szCs w:val="22"/>
        </w:rPr>
      </w:pPr>
      <w:r>
        <w:rPr>
          <w:rFonts w:ascii="Arial" w:hAnsi="Arial" w:cs="Arial"/>
          <w:sz w:val="22"/>
          <w:szCs w:val="22"/>
        </w:rPr>
        <w:t>Please note, however, that t</w:t>
      </w:r>
      <w:r w:rsidRPr="00ED3F3D">
        <w:rPr>
          <w:rFonts w:ascii="Arial" w:hAnsi="Arial" w:cs="Arial"/>
          <w:sz w:val="22"/>
          <w:szCs w:val="22"/>
        </w:rPr>
        <w:t>he EIR (Recast)</w:t>
      </w:r>
      <w:r>
        <w:rPr>
          <w:rFonts w:ascii="Arial" w:hAnsi="Arial" w:cs="Arial"/>
          <w:sz w:val="22"/>
          <w:szCs w:val="22"/>
        </w:rPr>
        <w:t xml:space="preserve"> </w:t>
      </w:r>
      <w:r w:rsidRPr="00ED3F3D">
        <w:rPr>
          <w:rFonts w:ascii="Arial" w:hAnsi="Arial" w:cs="Arial"/>
          <w:sz w:val="22"/>
          <w:szCs w:val="22"/>
        </w:rPr>
        <w:t xml:space="preserve">also allows for the possibility of subsidiary territorial proceedings in other member states when the debtor has an “establishment”, </w:t>
      </w:r>
      <w:r w:rsidRPr="00ED3F3D">
        <w:rPr>
          <w:rFonts w:ascii="Arial" w:hAnsi="Arial" w:cs="Arial"/>
          <w:i/>
          <w:iCs/>
          <w:sz w:val="22"/>
          <w:szCs w:val="22"/>
        </w:rPr>
        <w:t>i.e.</w:t>
      </w:r>
      <w:r w:rsidRPr="00ED3F3D">
        <w:rPr>
          <w:rFonts w:ascii="Arial" w:hAnsi="Arial" w:cs="Arial"/>
          <w:sz w:val="22"/>
          <w:szCs w:val="22"/>
        </w:rPr>
        <w:t xml:space="preserve">, “any place of operations . . . where the debtor carries out non-transitory economic activity with human means and assets.” </w:t>
      </w:r>
      <w:r w:rsidRPr="00ED3F3D">
        <w:rPr>
          <w:rFonts w:ascii="Arial" w:hAnsi="Arial" w:cs="Arial"/>
          <w:i/>
          <w:iCs/>
          <w:sz w:val="22"/>
          <w:szCs w:val="22"/>
        </w:rPr>
        <w:t>See</w:t>
      </w:r>
      <w:r w:rsidRPr="00ED3F3D">
        <w:rPr>
          <w:rFonts w:ascii="Arial" w:hAnsi="Arial" w:cs="Arial"/>
          <w:sz w:val="22"/>
          <w:szCs w:val="22"/>
        </w:rPr>
        <w:t xml:space="preserve"> EIR (Recast).  Since NCI’s main operations have occurred in Germany, it is likely that such secondary territorial proceedings may go forward in Germany also.  In that case, we will have to address any conflicts that may arise between the two jurisdictions.  Of note, German insolvency law is governed by a unified insolvency code, the Insolvenzordung, which will need to be researched in the event that secondary territorial proceedings go forward in Germany.</w:t>
      </w:r>
    </w:p>
    <w:p w14:paraId="2B15676D" w14:textId="77777777" w:rsidR="00C40D62" w:rsidRPr="00ED3F3D" w:rsidRDefault="00C40D62" w:rsidP="00EC0A2C">
      <w:pPr>
        <w:ind w:firstLine="720"/>
        <w:rPr>
          <w:rFonts w:ascii="Arial" w:hAnsi="Arial" w:cs="Arial"/>
          <w:sz w:val="22"/>
          <w:szCs w:val="22"/>
        </w:rPr>
      </w:pPr>
    </w:p>
    <w:p w14:paraId="0D3B1D18" w14:textId="4447DA11" w:rsidR="004E1D03" w:rsidRDefault="00EC0A2C" w:rsidP="00EC0A2C">
      <w:pPr>
        <w:jc w:val="both"/>
        <w:rPr>
          <w:rFonts w:ascii="Arial" w:hAnsi="Arial" w:cs="Arial"/>
          <w:sz w:val="22"/>
          <w:szCs w:val="22"/>
        </w:rPr>
      </w:pPr>
      <w:r w:rsidRPr="00ED3F3D">
        <w:rPr>
          <w:rFonts w:ascii="Arial" w:hAnsi="Arial" w:cs="Arial"/>
          <w:sz w:val="22"/>
          <w:szCs w:val="22"/>
        </w:rPr>
        <w:t>Please let me know if you would like to discuss further.</w:t>
      </w:r>
    </w:p>
    <w:p w14:paraId="3F4BFD3F" w14:textId="77777777" w:rsidR="00C40D62" w:rsidRPr="009F0C5A" w:rsidRDefault="00C40D62" w:rsidP="00EC0A2C">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91F640F" w:rsidR="002253D8" w:rsidRPr="002253D8" w:rsidRDefault="00C40D62" w:rsidP="007815D1">
      <w:pPr>
        <w:jc w:val="both"/>
        <w:rPr>
          <w:rFonts w:ascii="Avenir Next" w:hAnsi="Avenir Next" w:cs="Arial"/>
          <w:color w:val="808080" w:themeColor="background1" w:themeShade="80"/>
          <w:sz w:val="22"/>
          <w:szCs w:val="22"/>
          <w:lang w:val="en-GB"/>
        </w:rPr>
      </w:pPr>
      <w:r w:rsidRPr="00ED3F3D">
        <w:rPr>
          <w:rFonts w:ascii="Arial" w:hAnsi="Arial" w:cs="Arial"/>
          <w:sz w:val="22"/>
          <w:szCs w:val="22"/>
        </w:rPr>
        <w:t>Indian, South African, and Australian courts will likely be eligible to apply the EIR (Recast) when considering the recognition of an EU insolvency representative duly appointed in terms of the EU regulation because the EIR (Recast) was recently amended to provide for the recognition of the existence of insolvency proceedings outside of the EU for the purposes of coordinating proceedings within and outside of the EU.</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3E340090" w14:textId="34CB201D" w:rsidR="00C40D62" w:rsidRDefault="00C40D62" w:rsidP="00C40D62">
      <w:pPr>
        <w:ind w:firstLine="426"/>
        <w:rPr>
          <w:rFonts w:ascii="Arial" w:hAnsi="Arial" w:cs="Arial"/>
          <w:sz w:val="22"/>
          <w:szCs w:val="22"/>
        </w:rPr>
      </w:pPr>
      <w:r w:rsidRPr="00ED3F3D">
        <w:rPr>
          <w:rFonts w:ascii="Arial" w:hAnsi="Arial" w:cs="Arial"/>
          <w:sz w:val="22"/>
          <w:szCs w:val="22"/>
        </w:rPr>
        <w:t>The law that will apply to the subject insolvency proceeding with regard to the real rights of security situated in the Netherlands is governed by the European Insolvency Regulation (Recast) (“EIR (Recast)”).  The EIR (Recast) applie</w:t>
      </w:r>
      <w:r>
        <w:rPr>
          <w:rFonts w:ascii="Arial" w:hAnsi="Arial" w:cs="Arial"/>
          <w:sz w:val="22"/>
          <w:szCs w:val="22"/>
        </w:rPr>
        <w:t>s</w:t>
      </w:r>
      <w:r w:rsidRPr="00ED3F3D">
        <w:rPr>
          <w:rFonts w:ascii="Arial" w:hAnsi="Arial" w:cs="Arial"/>
          <w:sz w:val="22"/>
          <w:szCs w:val="22"/>
        </w:rPr>
        <w:t xml:space="preserve"> to both Italy and the Netherlands as members of the European Union.  Pursuant to the EIR (Recast), primary jurisdiction is allocated to the member state within which the “center of the debtor’s main interests (“COMI”) </w:t>
      </w:r>
      <w:r>
        <w:rPr>
          <w:rFonts w:ascii="Arial" w:hAnsi="Arial" w:cs="Arial"/>
          <w:sz w:val="22"/>
          <w:szCs w:val="22"/>
        </w:rPr>
        <w:t>is</w:t>
      </w:r>
      <w:r w:rsidRPr="00ED3F3D">
        <w:rPr>
          <w:rFonts w:ascii="Arial" w:hAnsi="Arial" w:cs="Arial"/>
          <w:sz w:val="22"/>
          <w:szCs w:val="22"/>
        </w:rPr>
        <w:t xml:space="preserve"> located.  Accordingly, assuming the COMI of Norton Cars, Inc. (“NCI”) is in Italy, </w:t>
      </w:r>
      <w:r w:rsidRPr="00ED3F3D">
        <w:rPr>
          <w:rFonts w:ascii="Arial" w:hAnsi="Arial" w:cs="Arial"/>
          <w:sz w:val="22"/>
          <w:szCs w:val="22"/>
        </w:rPr>
        <w:lastRenderedPageBreak/>
        <w:t>the primary insolvency proceeding would take place in Italy and Italian law would apply</w:t>
      </w:r>
      <w:r>
        <w:rPr>
          <w:rFonts w:ascii="Arial" w:hAnsi="Arial" w:cs="Arial"/>
          <w:sz w:val="22"/>
          <w:szCs w:val="22"/>
        </w:rPr>
        <w:t xml:space="preserve"> in that proceeding</w:t>
      </w:r>
      <w:r w:rsidRPr="00ED3F3D">
        <w:rPr>
          <w:rFonts w:ascii="Arial" w:hAnsi="Arial" w:cs="Arial"/>
          <w:sz w:val="22"/>
          <w:szCs w:val="22"/>
        </w:rPr>
        <w:t>.</w:t>
      </w:r>
    </w:p>
    <w:p w14:paraId="6E3EFA68" w14:textId="77777777" w:rsidR="00C40D62" w:rsidRPr="00ED3F3D" w:rsidRDefault="00C40D62" w:rsidP="00C40D62">
      <w:pPr>
        <w:ind w:firstLine="426"/>
        <w:rPr>
          <w:rFonts w:ascii="Arial" w:hAnsi="Arial" w:cs="Arial"/>
          <w:sz w:val="22"/>
          <w:szCs w:val="22"/>
        </w:rPr>
      </w:pPr>
    </w:p>
    <w:p w14:paraId="68820C87" w14:textId="76471E4D" w:rsidR="004827A3" w:rsidRDefault="00C40D62" w:rsidP="00C40D62">
      <w:pPr>
        <w:ind w:firstLine="426"/>
        <w:jc w:val="both"/>
        <w:rPr>
          <w:rFonts w:ascii="Arial" w:hAnsi="Arial" w:cs="Arial"/>
          <w:sz w:val="22"/>
          <w:szCs w:val="22"/>
        </w:rPr>
      </w:pPr>
      <w:r w:rsidRPr="00ED3F3D">
        <w:rPr>
          <w:rFonts w:ascii="Arial" w:hAnsi="Arial" w:cs="Arial"/>
          <w:sz w:val="22"/>
          <w:szCs w:val="22"/>
        </w:rPr>
        <w:t xml:space="preserve">However, the EIR (Recast), also allows for the possibility of subsidiary territorial proceedings in other member states when the debtor has an “establishment”, </w:t>
      </w:r>
      <w:r w:rsidRPr="00ED3F3D">
        <w:rPr>
          <w:rFonts w:ascii="Arial" w:hAnsi="Arial" w:cs="Arial"/>
          <w:i/>
          <w:iCs/>
          <w:sz w:val="22"/>
          <w:szCs w:val="22"/>
        </w:rPr>
        <w:t>i.e.</w:t>
      </w:r>
      <w:r w:rsidRPr="00ED3F3D">
        <w:rPr>
          <w:rFonts w:ascii="Arial" w:hAnsi="Arial" w:cs="Arial"/>
          <w:sz w:val="22"/>
          <w:szCs w:val="22"/>
        </w:rPr>
        <w:t xml:space="preserve">, “any place of operations . . . where the debtor carries out non-transitory economic activity with human means and assets.” </w:t>
      </w:r>
      <w:r w:rsidRPr="00ED3F3D">
        <w:rPr>
          <w:rFonts w:ascii="Arial" w:hAnsi="Arial" w:cs="Arial"/>
          <w:i/>
          <w:iCs/>
          <w:sz w:val="22"/>
          <w:szCs w:val="22"/>
        </w:rPr>
        <w:t>See</w:t>
      </w:r>
      <w:r w:rsidRPr="00ED3F3D">
        <w:rPr>
          <w:rFonts w:ascii="Arial" w:hAnsi="Arial" w:cs="Arial"/>
          <w:sz w:val="22"/>
          <w:szCs w:val="22"/>
        </w:rPr>
        <w:t xml:space="preserve"> EIR (Recast).  Here, NCI has an establishment in the Netherlands, since it operates external branches of its business there.  Accordingly, a subsidiary territorial proceeding may be initiated in the Netherlands regarding the assets located in the Netherlands and Dutch law would apply to address the real rights of security to which those assets are subject.</w:t>
      </w:r>
    </w:p>
    <w:p w14:paraId="574E2D57" w14:textId="77777777" w:rsidR="00C40D62" w:rsidRPr="004827A3" w:rsidRDefault="00C40D62" w:rsidP="00C40D62">
      <w:pPr>
        <w:ind w:firstLine="426"/>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D67B3C1" w14:textId="77777777" w:rsidR="00C40D62" w:rsidRDefault="00C40D62" w:rsidP="00C40D62">
      <w:pPr>
        <w:ind w:firstLine="426"/>
        <w:rPr>
          <w:rFonts w:ascii="Arial" w:hAnsi="Arial" w:cs="Arial"/>
          <w:sz w:val="22"/>
          <w:szCs w:val="22"/>
        </w:rPr>
      </w:pPr>
      <w:r w:rsidRPr="00ED3F3D">
        <w:rPr>
          <w:rFonts w:ascii="Arial" w:hAnsi="Arial" w:cs="Arial"/>
          <w:sz w:val="22"/>
          <w:szCs w:val="22"/>
        </w:rPr>
        <w:t>With regard to an insolvency proceeding in Australia regarding the assets located in Australia and the real rights of security to which those assets are subject, it would appear that Australian law would govern.</w:t>
      </w:r>
    </w:p>
    <w:p w14:paraId="0D4D7AD4" w14:textId="77777777" w:rsidR="00C40D62" w:rsidRPr="00ED3F3D" w:rsidRDefault="00C40D62" w:rsidP="00C40D62">
      <w:pPr>
        <w:ind w:firstLine="426"/>
        <w:rPr>
          <w:rFonts w:ascii="Arial" w:hAnsi="Arial" w:cs="Arial"/>
          <w:sz w:val="22"/>
          <w:szCs w:val="22"/>
        </w:rPr>
      </w:pPr>
    </w:p>
    <w:p w14:paraId="5156B24B" w14:textId="2525DD0C" w:rsidR="002253D8" w:rsidRPr="00DA42DA" w:rsidRDefault="00C40D62" w:rsidP="00C40D62">
      <w:pPr>
        <w:ind w:firstLine="426"/>
        <w:jc w:val="both"/>
        <w:rPr>
          <w:rFonts w:ascii="Avenir Next" w:hAnsi="Avenir Next" w:cs="Arial"/>
          <w:color w:val="808080" w:themeColor="background1" w:themeShade="80"/>
          <w:sz w:val="22"/>
          <w:szCs w:val="22"/>
          <w:lang w:val="en-GB"/>
        </w:rPr>
      </w:pPr>
      <w:r w:rsidRPr="00ED3F3D">
        <w:rPr>
          <w:rFonts w:ascii="Arial" w:hAnsi="Arial" w:cs="Arial"/>
          <w:sz w:val="22"/>
          <w:szCs w:val="22"/>
        </w:rPr>
        <w:t xml:space="preserve">Australia is not a member of the European Union and so </w:t>
      </w:r>
      <w:r>
        <w:rPr>
          <w:rFonts w:ascii="Arial" w:hAnsi="Arial" w:cs="Arial"/>
          <w:sz w:val="22"/>
          <w:szCs w:val="22"/>
        </w:rPr>
        <w:t xml:space="preserve">is </w:t>
      </w:r>
      <w:r w:rsidRPr="00ED3F3D">
        <w:rPr>
          <w:rFonts w:ascii="Arial" w:hAnsi="Arial" w:cs="Arial"/>
          <w:sz w:val="22"/>
          <w:szCs w:val="22"/>
        </w:rPr>
        <w:t xml:space="preserve">not subject to the EIR (Recast).  Australian insolvency law is governed by a number of </w:t>
      </w:r>
      <w:r>
        <w:rPr>
          <w:rFonts w:ascii="Arial" w:hAnsi="Arial" w:cs="Arial"/>
          <w:sz w:val="22"/>
          <w:szCs w:val="22"/>
        </w:rPr>
        <w:t>Ac</w:t>
      </w:r>
      <w:r w:rsidRPr="00ED3F3D">
        <w:rPr>
          <w:rFonts w:ascii="Arial" w:hAnsi="Arial" w:cs="Arial"/>
          <w:sz w:val="22"/>
          <w:szCs w:val="22"/>
        </w:rPr>
        <w:t xml:space="preserve">ts and </w:t>
      </w:r>
      <w:r>
        <w:rPr>
          <w:rFonts w:ascii="Arial" w:hAnsi="Arial" w:cs="Arial"/>
          <w:sz w:val="22"/>
          <w:szCs w:val="22"/>
        </w:rPr>
        <w:t xml:space="preserve">it </w:t>
      </w:r>
      <w:r w:rsidRPr="00ED3F3D">
        <w:rPr>
          <w:rFonts w:ascii="Arial" w:hAnsi="Arial" w:cs="Arial"/>
          <w:sz w:val="22"/>
          <w:szCs w:val="22"/>
        </w:rPr>
        <w:t xml:space="preserve">does not have a single unified bankruptcy or insolvency act, although generally the Corporations Act 2001 governs the insolvency of corporations and, therefore, would govern the insolvency proceeding concerning the assets of Norton Cars, Inc. (“NCI”) located in Australia.  Sections 580-581 of the Corporations Act 2001 permit co-operation between courts in Australia and foreign courts in “external administration” matters.  For example, in the case In re Chow Cho Poon (Pte) Ltd [2011] NSWSC 300, the Australian court granted assistance to a foreign liquidator, allowing the foreign liquidator to control assets in an Australian bank account.  The court </w:t>
      </w:r>
      <w:r>
        <w:rPr>
          <w:rFonts w:ascii="Arial" w:hAnsi="Arial" w:cs="Arial"/>
          <w:sz w:val="22"/>
          <w:szCs w:val="22"/>
        </w:rPr>
        <w:t>in</w:t>
      </w:r>
      <w:r w:rsidRPr="00ED3F3D">
        <w:rPr>
          <w:rFonts w:ascii="Arial" w:hAnsi="Arial" w:cs="Arial"/>
          <w:sz w:val="22"/>
          <w:szCs w:val="22"/>
        </w:rPr>
        <w:t xml:space="preserve"> that case also referenced the United Nations Commission on International Trade Law’s Model Law on Cross-Border Insolvency, which has been adopted by Australia, and its interaction with the Corporations Act 2001, in reaching its decision.</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8E1FF10" w:rsidR="00B64A85" w:rsidRPr="00297BDF" w:rsidRDefault="00CE315C" w:rsidP="0052732A">
    <w:pPr>
      <w:pStyle w:val="Footer"/>
      <w:ind w:right="360"/>
      <w:rPr>
        <w:rFonts w:ascii="Avenir Next" w:hAnsi="Avenir Next" w:cs="Arial"/>
        <w:sz w:val="22"/>
        <w:szCs w:val="22"/>
      </w:rPr>
    </w:pPr>
    <w:r>
      <w:rPr>
        <w:rFonts w:ascii="Avenir Next" w:hAnsi="Avenir Next" w:cs="Arial"/>
        <w:sz w:val="22"/>
        <w:szCs w:val="22"/>
      </w:rPr>
      <w:t>FC202324-1368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0E81"/>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49D2"/>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0D44"/>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4512"/>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0AF"/>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02F"/>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792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57203"/>
    <w:rsid w:val="00A60074"/>
    <w:rsid w:val="00A641E0"/>
    <w:rsid w:val="00A646E2"/>
    <w:rsid w:val="00A651A9"/>
    <w:rsid w:val="00A6627C"/>
    <w:rsid w:val="00A71019"/>
    <w:rsid w:val="00A73B60"/>
    <w:rsid w:val="00A76C3A"/>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0D62"/>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B9F"/>
    <w:rsid w:val="00CE315C"/>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3D36"/>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0A2C"/>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10DE"/>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Levin</cp:lastModifiedBy>
  <cp:revision>3</cp:revision>
  <cp:lastPrinted>2020-06-12T02:43:00Z</cp:lastPrinted>
  <dcterms:created xsi:type="dcterms:W3CDTF">2023-11-15T20:51:00Z</dcterms:created>
  <dcterms:modified xsi:type="dcterms:W3CDTF">2023-11-15T21:40:00Z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