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w:t>
      </w:r>
      <w:proofErr w:type="spellStart"/>
      <w:r w:rsidR="0011473D" w:rsidRPr="004216EA">
        <w:rPr>
          <w:rFonts w:ascii="Avenir Next" w:hAnsi="Avenir Next" w:cs="Arial"/>
          <w:sz w:val="22"/>
          <w:szCs w:val="22"/>
          <w:lang w:val="en-GB"/>
        </w:rPr>
        <w:t>A4</w:t>
      </w:r>
      <w:proofErr w:type="spellEnd"/>
      <w:r w:rsidR="0011473D" w:rsidRPr="004216EA">
        <w:rPr>
          <w:rFonts w:ascii="Avenir Next" w:hAnsi="Avenir Next" w:cs="Arial"/>
          <w:sz w:val="22"/>
          <w:szCs w:val="22"/>
          <w:lang w:val="en-GB"/>
        </w:rPr>
        <w:t xml:space="preserve">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w:t>
      </w:r>
      <w:proofErr w:type="spellStart"/>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proofErr w:type="spellEnd"/>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proofErr w:type="spellStart"/>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proofErr w:type="spellEnd"/>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9E5BAD" w:rsidRDefault="00806382" w:rsidP="00806382">
      <w:pPr>
        <w:pStyle w:val="ListParagraph"/>
        <w:numPr>
          <w:ilvl w:val="0"/>
          <w:numId w:val="15"/>
        </w:numPr>
        <w:ind w:left="425" w:hanging="357"/>
        <w:jc w:val="both"/>
        <w:rPr>
          <w:rFonts w:ascii="Avenir Next" w:hAnsi="Avenir Next" w:cs="Arial"/>
          <w:sz w:val="22"/>
          <w:szCs w:val="22"/>
          <w:highlight w:val="yellow"/>
        </w:rPr>
      </w:pPr>
      <w:r w:rsidRPr="009E5BAD">
        <w:rPr>
          <w:rFonts w:ascii="Avenir Next" w:hAnsi="Avenir Next" w:cs="Arial"/>
          <w:sz w:val="22"/>
          <w:szCs w:val="22"/>
          <w:highlight w:val="yellow"/>
        </w:rPr>
        <w:t xml:space="preserve">This statement is untrue since the word </w:t>
      </w:r>
      <w:r w:rsidR="00823AB4" w:rsidRPr="009E5BAD">
        <w:rPr>
          <w:rFonts w:ascii="Avenir Next" w:hAnsi="Avenir Next" w:cs="Arial"/>
          <w:sz w:val="22"/>
          <w:szCs w:val="22"/>
          <w:highlight w:val="yellow"/>
        </w:rPr>
        <w:t>“</w:t>
      </w:r>
      <w:r w:rsidRPr="009E5BAD">
        <w:rPr>
          <w:rFonts w:ascii="Avenir Next" w:hAnsi="Avenir Next" w:cs="Arial"/>
          <w:sz w:val="22"/>
          <w:szCs w:val="22"/>
          <w:highlight w:val="yellow"/>
        </w:rPr>
        <w:t>bankruptcy</w:t>
      </w:r>
      <w:r w:rsidR="00823AB4" w:rsidRPr="009E5BAD">
        <w:rPr>
          <w:rFonts w:ascii="Avenir Next" w:hAnsi="Avenir Next" w:cs="Arial"/>
          <w:sz w:val="22"/>
          <w:szCs w:val="22"/>
          <w:highlight w:val="yellow"/>
        </w:rPr>
        <w:t>”</w:t>
      </w:r>
      <w:r w:rsidRPr="009E5BAD">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true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an ”executory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301A21" w:rsidRDefault="001211E6" w:rsidP="001211E6">
      <w:pPr>
        <w:pStyle w:val="ListParagraph"/>
        <w:numPr>
          <w:ilvl w:val="0"/>
          <w:numId w:val="16"/>
        </w:numPr>
        <w:ind w:left="426"/>
        <w:jc w:val="both"/>
        <w:rPr>
          <w:rFonts w:ascii="Avenir Next" w:hAnsi="Avenir Next" w:cs="Arial"/>
          <w:sz w:val="22"/>
          <w:szCs w:val="22"/>
          <w:highlight w:val="yellow"/>
        </w:rPr>
      </w:pPr>
      <w:r w:rsidRPr="00301A21">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 xml:space="preserve">relevant factor for the English Court hearing the matter to consider whether Germany has adopted the </w:t>
      </w:r>
      <w:proofErr w:type="spellStart"/>
      <w:r w:rsidRPr="00AE4D6F">
        <w:rPr>
          <w:rFonts w:ascii="Avenir Next" w:eastAsiaTheme="minorHAnsi" w:hAnsi="Avenir Next" w:cs="Arial"/>
          <w:sz w:val="22"/>
          <w:szCs w:val="22"/>
          <w:lang w:val="en-GB"/>
        </w:rPr>
        <w:t>UNCITRAL</w:t>
      </w:r>
      <w:proofErr w:type="spellEnd"/>
      <w:r w:rsidRPr="00AE4D6F">
        <w:rPr>
          <w:rFonts w:ascii="Avenir Next" w:eastAsiaTheme="minorHAnsi" w:hAnsi="Avenir Next" w:cs="Arial"/>
          <w:sz w:val="22"/>
          <w:szCs w:val="22"/>
          <w:lang w:val="en-GB"/>
        </w:rPr>
        <w:t xml:space="preserve">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4069F2"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4069F2">
        <w:rPr>
          <w:rFonts w:ascii="Avenir Next" w:eastAsiaTheme="minorHAnsi" w:hAnsi="Avenir Next" w:cs="Arial"/>
          <w:sz w:val="22"/>
          <w:szCs w:val="22"/>
          <w:highlight w:val="yellow"/>
          <w:lang w:val="en-GB"/>
        </w:rPr>
        <w:t xml:space="preserve">The English Court will be able to consider the request based on its 2006 Insolvency Regulations (the adopted </w:t>
      </w:r>
      <w:proofErr w:type="spellStart"/>
      <w:r w:rsidRPr="004069F2">
        <w:rPr>
          <w:rFonts w:ascii="Avenir Next" w:eastAsiaTheme="minorHAnsi" w:hAnsi="Avenir Next" w:cs="Arial"/>
          <w:sz w:val="22"/>
          <w:szCs w:val="22"/>
          <w:highlight w:val="yellow"/>
          <w:lang w:val="en-GB"/>
        </w:rPr>
        <w:t>UNCITRAL</w:t>
      </w:r>
      <w:proofErr w:type="spellEnd"/>
      <w:r w:rsidRPr="004069F2">
        <w:rPr>
          <w:rFonts w:ascii="Avenir Next" w:eastAsiaTheme="minorHAnsi" w:hAnsi="Avenir Next" w:cs="Arial"/>
          <w:sz w:val="22"/>
          <w:szCs w:val="22"/>
          <w:highlight w:val="yellow"/>
          <w:lang w:val="en-GB"/>
        </w:rPr>
        <w:t xml:space="preserve">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A42DA"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036334">
        <w:rPr>
          <w:rFonts w:ascii="Avenir Next" w:hAnsi="Avenir Next" w:cs="Arial"/>
          <w:sz w:val="22"/>
          <w:szCs w:val="22"/>
          <w:highlight w:val="yellow"/>
          <w:lang w:val="en-GB"/>
        </w:rPr>
        <w:t>This statement is incorrect since a statutory discharge of debt was only introduced in 1705 in England.</w:t>
      </w:r>
      <w:r w:rsidRPr="00DA42DA">
        <w:rPr>
          <w:rFonts w:ascii="Avenir Next" w:hAnsi="Avenir Next" w:cs="Arial"/>
          <w:sz w:val="22"/>
          <w:szCs w:val="22"/>
          <w:lang w:val="en-GB"/>
        </w:rPr>
        <w:t xml:space="preserve">    </w:t>
      </w:r>
      <w:r w:rsidRPr="00DA42DA">
        <w:rPr>
          <w:rFonts w:ascii="Avenir Next" w:hAnsi="Avenir Next" w:cs="Arial"/>
          <w:sz w:val="22"/>
          <w:szCs w:val="22"/>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because </w:t>
      </w:r>
      <w:r>
        <w:rPr>
          <w:rFonts w:ascii="Avenir Next" w:hAnsi="Avenir Next" w:cs="Arial"/>
          <w:sz w:val="22"/>
          <w:szCs w:val="22"/>
        </w:rPr>
        <w:t>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F17E52" w:rsidRDefault="006514CD" w:rsidP="006514CD">
      <w:pPr>
        <w:pStyle w:val="ListParagraph"/>
        <w:numPr>
          <w:ilvl w:val="0"/>
          <w:numId w:val="19"/>
        </w:numPr>
        <w:ind w:left="425" w:hanging="357"/>
        <w:jc w:val="both"/>
        <w:rPr>
          <w:rFonts w:ascii="Avenir Next" w:hAnsi="Avenir Next" w:cs="Arial"/>
          <w:sz w:val="22"/>
          <w:szCs w:val="22"/>
          <w:highlight w:val="yellow"/>
        </w:rPr>
      </w:pPr>
      <w:r w:rsidRPr="00F17E52">
        <w:rPr>
          <w:rFonts w:ascii="Avenir Next" w:hAnsi="Avenir Next" w:cs="Arial"/>
          <w:sz w:val="22"/>
          <w:szCs w:val="22"/>
          <w:highlight w:val="yellow"/>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What principles did Chamberlain consider essential to good bankruptcy law? Sel</w:t>
      </w:r>
      <w:r w:rsidRPr="004216EA">
        <w:rPr>
          <w:rFonts w:ascii="Avenir Next" w:hAnsi="Avenir Next" w:cs="Arial"/>
          <w:sz w:val="22"/>
          <w:szCs w:val="22"/>
        </w:rPr>
        <w:t xml:space="preserve">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367D868C"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w:t>
      </w:r>
      <w:r w:rsidRPr="00C73346">
        <w:rPr>
          <w:rFonts w:ascii="Avenir Next" w:eastAsiaTheme="minorHAnsi" w:hAnsi="Avenir Next"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089F77EA" w14:textId="77777777" w:rsidR="00C73346" w:rsidRPr="00C73346" w:rsidRDefault="00C73346" w:rsidP="00C73346">
      <w:pPr>
        <w:jc w:val="both"/>
        <w:rPr>
          <w:rFonts w:ascii="Avenir Next" w:eastAsiaTheme="minorHAnsi" w:hAnsi="Avenir Next" w:cs="Arial"/>
          <w:sz w:val="22"/>
          <w:szCs w:val="22"/>
          <w:lang w:val="en-GB"/>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67589E" w:rsidRDefault="00AD76EF" w:rsidP="00AD76EF">
      <w:pPr>
        <w:pStyle w:val="ListParagraph"/>
        <w:numPr>
          <w:ilvl w:val="0"/>
          <w:numId w:val="17"/>
        </w:numPr>
        <w:ind w:left="426"/>
        <w:jc w:val="both"/>
        <w:rPr>
          <w:rFonts w:ascii="Avenir Next" w:hAnsi="Avenir Next" w:cs="Arial"/>
          <w:sz w:val="22"/>
          <w:szCs w:val="22"/>
        </w:rPr>
      </w:pPr>
      <w:r w:rsidRPr="0067589E">
        <w:rPr>
          <w:rFonts w:ascii="Avenir Next" w:hAnsi="Avenir Next"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7005E3" w:rsidRDefault="00AD76EF" w:rsidP="00AD76EF">
      <w:pPr>
        <w:pStyle w:val="ListParagraph"/>
        <w:numPr>
          <w:ilvl w:val="0"/>
          <w:numId w:val="17"/>
        </w:numPr>
        <w:ind w:left="426"/>
        <w:jc w:val="both"/>
        <w:rPr>
          <w:rFonts w:ascii="Avenir Next" w:hAnsi="Avenir Next" w:cs="Arial"/>
          <w:sz w:val="22"/>
          <w:szCs w:val="22"/>
          <w:highlight w:val="yellow"/>
        </w:rPr>
      </w:pPr>
      <w:r w:rsidRPr="007005E3">
        <w:rPr>
          <w:rFonts w:ascii="Avenir Next" w:hAnsi="Avenir Next" w:cs="Arial"/>
          <w:sz w:val="22"/>
          <w:szCs w:val="22"/>
          <w:highlight w:val="yellow"/>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7005E3"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7005E3">
        <w:rPr>
          <w:rFonts w:ascii="Avenir Next" w:eastAsiaTheme="minorHAnsi" w:hAnsi="Avenir Next" w:cs="Arial"/>
          <w:sz w:val="22"/>
          <w:szCs w:val="22"/>
          <w:highlight w:val="yellow"/>
          <w:lang w:val="en-GB"/>
        </w:rPr>
        <w:lastRenderedPageBreak/>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E078AA" w:rsidRDefault="009661DE" w:rsidP="009661DE">
      <w:pPr>
        <w:pStyle w:val="ListParagraph"/>
        <w:numPr>
          <w:ilvl w:val="0"/>
          <w:numId w:val="23"/>
        </w:numPr>
        <w:ind w:left="426"/>
        <w:jc w:val="both"/>
        <w:rPr>
          <w:rFonts w:ascii="Avenir Next" w:hAnsi="Avenir Next" w:cs="Arial"/>
          <w:sz w:val="22"/>
          <w:szCs w:val="22"/>
          <w:highlight w:val="yellow"/>
        </w:rPr>
      </w:pPr>
      <w:r w:rsidRPr="00E078AA">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untrue because modified universalism enables a </w:t>
      </w:r>
      <w:r w:rsidRPr="0067589E">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67589E">
        <w:rPr>
          <w:rFonts w:ascii="Avenir Next" w:hAnsi="Avenir Next"/>
          <w:sz w:val="22"/>
          <w:szCs w:val="22"/>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590500" w:rsidRDefault="003B3A0D" w:rsidP="003B3A0D">
      <w:pPr>
        <w:pStyle w:val="ListParagraph"/>
        <w:numPr>
          <w:ilvl w:val="0"/>
          <w:numId w:val="24"/>
        </w:numPr>
        <w:ind w:left="426"/>
        <w:jc w:val="both"/>
        <w:rPr>
          <w:rFonts w:ascii="Avenir Next" w:hAnsi="Avenir Next" w:cs="Arial"/>
          <w:sz w:val="22"/>
          <w:szCs w:val="22"/>
          <w:highlight w:val="yellow"/>
        </w:rPr>
      </w:pPr>
      <w:r w:rsidRPr="00590500">
        <w:rPr>
          <w:rFonts w:ascii="Avenir Next" w:hAnsi="Avenir Next" w:cs="Arial"/>
          <w:sz w:val="22"/>
          <w:szCs w:val="22"/>
          <w:highlight w:val="yellow"/>
        </w:rPr>
        <w:t xml:space="preserve">This statement is untrue because universalism corresponds well to </w:t>
      </w:r>
      <w:proofErr w:type="spellStart"/>
      <w:r w:rsidRPr="00590500">
        <w:rPr>
          <w:rFonts w:ascii="Avenir Next" w:hAnsi="Avenir Next" w:cs="Arial"/>
          <w:sz w:val="22"/>
          <w:szCs w:val="22"/>
          <w:highlight w:val="yellow"/>
        </w:rPr>
        <w:t>globali</w:t>
      </w:r>
      <w:r w:rsidR="00142E15" w:rsidRPr="00590500">
        <w:rPr>
          <w:rFonts w:ascii="Avenir Next" w:hAnsi="Avenir Next" w:cs="Arial"/>
          <w:sz w:val="22"/>
          <w:szCs w:val="22"/>
          <w:highlight w:val="yellow"/>
        </w:rPr>
        <w:t>s</w:t>
      </w:r>
      <w:r w:rsidRPr="00590500">
        <w:rPr>
          <w:rFonts w:ascii="Avenir Next" w:hAnsi="Avenir Next" w:cs="Arial"/>
          <w:sz w:val="22"/>
          <w:szCs w:val="22"/>
          <w:highlight w:val="yellow"/>
        </w:rPr>
        <w:t>ation</w:t>
      </w:r>
      <w:proofErr w:type="spellEnd"/>
      <w:r w:rsidRPr="00590500">
        <w:rPr>
          <w:rFonts w:ascii="Avenir Next" w:hAnsi="Avenir Next" w:cs="Arial"/>
          <w:sz w:val="22"/>
          <w:szCs w:val="22"/>
          <w:highlight w:val="yellow"/>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14448419" w14:textId="77777777" w:rsidR="00DA42DA" w:rsidRDefault="00DA42DA" w:rsidP="00692852">
      <w:pPr>
        <w:jc w:val="both"/>
        <w:rPr>
          <w:rFonts w:ascii="Avenir Next" w:hAnsi="Avenir Next" w:cs="Arial"/>
          <w:sz w:val="22"/>
          <w:szCs w:val="22"/>
          <w:lang w:val="en-GB"/>
        </w:rPr>
      </w:pPr>
    </w:p>
    <w:p w14:paraId="304C2FB2" w14:textId="1E84649B" w:rsidR="00CC7728" w:rsidRDefault="005D195B"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Civil law jurisdictions have their roots traced back to Roman law and Table 3 of the Twelve Tables and the debtor pledging their own body (i.e. could be imprisoned or sentenced to death in default) as a promise to repay the loan.</w:t>
      </w:r>
      <w:r w:rsidR="00CA6B69">
        <w:rPr>
          <w:rFonts w:ascii="Avenir Next" w:hAnsi="Avenir Next" w:cs="Arial"/>
          <w:color w:val="808080" w:themeColor="background1" w:themeShade="80"/>
          <w:sz w:val="22"/>
          <w:szCs w:val="22"/>
          <w:lang w:val="en-GB"/>
        </w:rPr>
        <w:t xml:space="preserve">  It was then further developed as a result of </w:t>
      </w:r>
      <w:r w:rsidR="00CA6B69" w:rsidRPr="00CA6B69">
        <w:rPr>
          <w:rFonts w:ascii="Avenir Next" w:hAnsi="Avenir Next" w:cs="Arial"/>
          <w:i/>
          <w:color w:val="808080" w:themeColor="background1" w:themeShade="80"/>
          <w:sz w:val="22"/>
          <w:szCs w:val="22"/>
          <w:lang w:val="en-GB"/>
        </w:rPr>
        <w:t xml:space="preserve">Lex </w:t>
      </w:r>
      <w:proofErr w:type="spellStart"/>
      <w:r w:rsidR="00CA6B69" w:rsidRPr="00CA6B69">
        <w:rPr>
          <w:rFonts w:ascii="Avenir Next" w:hAnsi="Avenir Next" w:cs="Arial"/>
          <w:i/>
          <w:color w:val="808080" w:themeColor="background1" w:themeShade="80"/>
          <w:sz w:val="22"/>
          <w:szCs w:val="22"/>
          <w:lang w:val="en-GB"/>
        </w:rPr>
        <w:t>Mercatoria</w:t>
      </w:r>
      <w:proofErr w:type="spellEnd"/>
      <w:r w:rsidR="00CA6B69">
        <w:rPr>
          <w:rFonts w:ascii="Avenir Next" w:hAnsi="Avenir Next" w:cs="Arial"/>
          <w:color w:val="808080" w:themeColor="background1" w:themeShade="80"/>
          <w:sz w:val="22"/>
          <w:szCs w:val="22"/>
          <w:lang w:val="en-GB"/>
        </w:rPr>
        <w:t xml:space="preserve">.  </w:t>
      </w:r>
    </w:p>
    <w:p w14:paraId="1235BC4A" w14:textId="116F4666" w:rsidR="00CA6B69" w:rsidRDefault="00CA6B69" w:rsidP="00692852">
      <w:pPr>
        <w:jc w:val="both"/>
        <w:rPr>
          <w:rFonts w:ascii="Avenir Next" w:hAnsi="Avenir Next" w:cs="Arial"/>
          <w:color w:val="808080" w:themeColor="background1" w:themeShade="80"/>
          <w:sz w:val="22"/>
          <w:szCs w:val="22"/>
          <w:lang w:val="en-GB"/>
        </w:rPr>
      </w:pPr>
    </w:p>
    <w:p w14:paraId="74EC6223" w14:textId="088ACA4C" w:rsidR="00CA6B69" w:rsidRDefault="00CA6B69"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English law, on the other hand, did originate with the principle of imprisonment for non-repayment of debt.</w:t>
      </w:r>
    </w:p>
    <w:p w14:paraId="4F7F794F" w14:textId="32D82EFD" w:rsidR="00CA6B69" w:rsidRDefault="00CA6B69" w:rsidP="00692852">
      <w:pPr>
        <w:jc w:val="both"/>
        <w:rPr>
          <w:rFonts w:ascii="Avenir Next" w:hAnsi="Avenir Next" w:cs="Arial"/>
          <w:color w:val="808080" w:themeColor="background1" w:themeShade="80"/>
          <w:sz w:val="22"/>
          <w:szCs w:val="22"/>
          <w:lang w:val="en-GB"/>
        </w:rPr>
      </w:pPr>
    </w:p>
    <w:p w14:paraId="2A8F6FB6" w14:textId="42DE2BFB" w:rsidR="00CA6B69" w:rsidRDefault="002E5FA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particular </w:t>
      </w:r>
      <w:r w:rsidR="00F1761A">
        <w:rPr>
          <w:rFonts w:ascii="Avenir Next" w:hAnsi="Avenir Next" w:cs="Arial"/>
          <w:color w:val="808080" w:themeColor="background1" w:themeShade="80"/>
          <w:sz w:val="22"/>
          <w:szCs w:val="22"/>
          <w:lang w:val="en-GB"/>
        </w:rPr>
        <w:t>example</w:t>
      </w:r>
      <w:r>
        <w:rPr>
          <w:rFonts w:ascii="Avenir Next" w:hAnsi="Avenir Next" w:cs="Arial"/>
          <w:color w:val="808080" w:themeColor="background1" w:themeShade="80"/>
          <w:sz w:val="22"/>
          <w:szCs w:val="22"/>
          <w:lang w:val="en-GB"/>
        </w:rPr>
        <w:t xml:space="preserve"> of a practical </w:t>
      </w:r>
      <w:r w:rsidR="00F1761A">
        <w:rPr>
          <w:rFonts w:ascii="Avenir Next" w:hAnsi="Avenir Next" w:cs="Arial"/>
          <w:color w:val="808080" w:themeColor="background1" w:themeShade="80"/>
          <w:sz w:val="22"/>
          <w:szCs w:val="22"/>
          <w:lang w:val="en-GB"/>
        </w:rPr>
        <w:t>difference</w:t>
      </w:r>
      <w:r>
        <w:rPr>
          <w:rFonts w:ascii="Avenir Next" w:hAnsi="Avenir Next" w:cs="Arial"/>
          <w:color w:val="808080" w:themeColor="background1" w:themeShade="80"/>
          <w:sz w:val="22"/>
          <w:szCs w:val="22"/>
          <w:lang w:val="en-GB"/>
        </w:rPr>
        <w:t xml:space="preserve"> in current times is the concept of a floating charge. A floating charge is a common concept in English law based systems but are generally not encountered in civil law systems.</w:t>
      </w:r>
    </w:p>
    <w:p w14:paraId="384FDEC1" w14:textId="62EDD2BB" w:rsidR="002E5FAA" w:rsidRDefault="002E5FAA" w:rsidP="00692852">
      <w:pPr>
        <w:jc w:val="both"/>
        <w:rPr>
          <w:rFonts w:ascii="Avenir Next" w:hAnsi="Avenir Next" w:cs="Arial"/>
          <w:color w:val="808080" w:themeColor="background1" w:themeShade="80"/>
          <w:sz w:val="22"/>
          <w:szCs w:val="22"/>
          <w:lang w:val="en-GB"/>
        </w:rPr>
      </w:pPr>
    </w:p>
    <w:p w14:paraId="58BA390F" w14:textId="16568704" w:rsidR="002E5FAA" w:rsidRPr="00DA42DA" w:rsidRDefault="00F1761A"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Civil law systems are sometimes considered to be more territorial and English law systems more universally inclined, though this is not necessarily true with a growing convergence on “modified” universalism or territorialism.  </w:t>
      </w:r>
    </w:p>
    <w:p w14:paraId="0B8C1244" w14:textId="77777777" w:rsidR="00DA42DA" w:rsidRDefault="00DA42DA" w:rsidP="00692852">
      <w:pPr>
        <w:ind w:left="720" w:hanging="720"/>
        <w:jc w:val="both"/>
        <w:rPr>
          <w:rFonts w:ascii="Avenir Next" w:hAnsi="Avenir Next" w:cs="Arial"/>
          <w:color w:val="808080" w:themeColor="background1" w:themeShade="80"/>
          <w:sz w:val="22"/>
          <w:szCs w:val="22"/>
          <w:u w:val="single"/>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16D3C8D" w14:textId="47EA4FAF" w:rsidR="00DA42DA" w:rsidRDefault="00E049B0"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principle of universalism is that there should only be a single insolvency proceeding covering a debtor’s worldwide estate.  In order to facilitate this, the principle builds on the idea that the laws of 1 jurisdiction (such as where the debtor’s COMI is located) will govern the debtor’s insolvency no matter where such additional proceedings are brought.</w:t>
      </w:r>
    </w:p>
    <w:p w14:paraId="02FFD3E8" w14:textId="2D4FB1E9" w:rsidR="00E049B0" w:rsidRDefault="00E049B0" w:rsidP="00DA42DA">
      <w:pPr>
        <w:jc w:val="both"/>
        <w:rPr>
          <w:rFonts w:ascii="Avenir Next" w:hAnsi="Avenir Next" w:cs="Arial"/>
          <w:color w:val="808080" w:themeColor="background1" w:themeShade="80"/>
          <w:sz w:val="22"/>
          <w:szCs w:val="22"/>
          <w:lang w:val="en-GB"/>
        </w:rPr>
      </w:pPr>
    </w:p>
    <w:p w14:paraId="65690EB6" w14:textId="4F8D609F" w:rsidR="00E049B0" w:rsidRDefault="00137793"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the other end of the spectrum, is the principle of territorialism which considers that proceedings should be brought under the laws of the territory where the debtor’s assets are located.  If the debtor has assets in multiple territories then this principle would have proceedings brought in each of the relevant territories.  Where multiple proceedings are brought, such proceedings would be restricted to only the assets in the relevant territory.</w:t>
      </w:r>
    </w:p>
    <w:p w14:paraId="7DC0A3C7" w14:textId="0F3986D0" w:rsidR="00817967" w:rsidRDefault="00817967" w:rsidP="00DA42DA">
      <w:pPr>
        <w:jc w:val="both"/>
        <w:rPr>
          <w:rFonts w:ascii="Avenir Next" w:hAnsi="Avenir Next" w:cs="Arial"/>
          <w:color w:val="808080" w:themeColor="background1" w:themeShade="80"/>
          <w:sz w:val="22"/>
          <w:szCs w:val="22"/>
          <w:lang w:val="en-GB"/>
        </w:rPr>
      </w:pPr>
    </w:p>
    <w:p w14:paraId="2CF58553" w14:textId="49BC2568" w:rsidR="00817967" w:rsidRPr="00DA42DA" w:rsidRDefault="0081796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somewhat of a compromise and in recognition of the practical realities of many of the worldwide insolvency laws, modified universalism arrives between the universalism and territorialism.  </w:t>
      </w:r>
      <w:r w:rsidR="00315C57">
        <w:rPr>
          <w:rFonts w:ascii="Avenir Next" w:hAnsi="Avenir Next" w:cs="Arial"/>
          <w:color w:val="808080" w:themeColor="background1" w:themeShade="80"/>
          <w:sz w:val="22"/>
          <w:szCs w:val="22"/>
          <w:lang w:val="en-GB"/>
        </w:rPr>
        <w:t>It promotes the basis of a main proceeding supported by other ancillary proceedings with co-operation among the various jurisdictions and their courts.</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61900735" w14:textId="28EABB09" w:rsidR="00DA42DA" w:rsidRDefault="004C70E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Two initiatives undertaken in Latin America are The Montevideo Treaties (1889) and (1940) and the Havana Convention on Private International Law (1928) (Bustamante Code).</w:t>
      </w:r>
    </w:p>
    <w:p w14:paraId="64EBE0D9" w14:textId="7CAE4BC0" w:rsidR="004C70E9" w:rsidRDefault="004C70E9" w:rsidP="00DA42DA">
      <w:pPr>
        <w:jc w:val="both"/>
        <w:rPr>
          <w:rFonts w:ascii="Avenir Next" w:hAnsi="Avenir Next" w:cs="Arial"/>
          <w:color w:val="808080" w:themeColor="background1" w:themeShade="80"/>
          <w:sz w:val="22"/>
          <w:szCs w:val="22"/>
          <w:lang w:val="en-GB"/>
        </w:rPr>
      </w:pPr>
    </w:p>
    <w:p w14:paraId="78FD9BE8" w14:textId="77777777" w:rsidR="00897AD6" w:rsidRDefault="00D675A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each of the initiatives seeks to align </w:t>
      </w:r>
      <w:r w:rsidR="00694D9A">
        <w:rPr>
          <w:rFonts w:ascii="Avenir Next" w:hAnsi="Avenir Next" w:cs="Arial"/>
          <w:color w:val="808080" w:themeColor="background1" w:themeShade="80"/>
          <w:sz w:val="22"/>
          <w:szCs w:val="22"/>
          <w:lang w:val="en-GB"/>
        </w:rPr>
        <w:t xml:space="preserve">on managing cross-border insolvency issues, there are differences.  Notably, The Montevideo Treaties provide for a single set of proceedings only where a debtor has a commercial domicile in one state.  If the debtor otherwise has two or more economically </w:t>
      </w:r>
      <w:r w:rsidR="00694D9A">
        <w:rPr>
          <w:rFonts w:ascii="Avenir Next" w:hAnsi="Avenir Next" w:cs="Arial"/>
          <w:color w:val="808080" w:themeColor="background1" w:themeShade="80"/>
          <w:sz w:val="22"/>
          <w:szCs w:val="22"/>
          <w:lang w:val="en-GB"/>
        </w:rPr>
        <w:lastRenderedPageBreak/>
        <w:t>autonomous business in different states the treaties provide for concurrent proceedings i.e. proceedings can be opened in any of the states where the debtor has an economically autonomous business.</w:t>
      </w:r>
      <w:r w:rsidR="003B2CEA">
        <w:rPr>
          <w:rFonts w:ascii="Avenir Next" w:hAnsi="Avenir Next" w:cs="Arial"/>
          <w:color w:val="808080" w:themeColor="background1" w:themeShade="80"/>
          <w:sz w:val="22"/>
          <w:szCs w:val="22"/>
          <w:lang w:val="en-GB"/>
        </w:rPr>
        <w:t xml:space="preserve">  </w:t>
      </w:r>
    </w:p>
    <w:p w14:paraId="6AEDD1AB" w14:textId="77777777" w:rsidR="00897AD6" w:rsidRDefault="00897AD6" w:rsidP="00DA42DA">
      <w:pPr>
        <w:jc w:val="both"/>
        <w:rPr>
          <w:rFonts w:ascii="Avenir Next" w:hAnsi="Avenir Next" w:cs="Arial"/>
          <w:color w:val="808080" w:themeColor="background1" w:themeShade="80"/>
          <w:sz w:val="22"/>
          <w:szCs w:val="22"/>
          <w:lang w:val="en-GB"/>
        </w:rPr>
      </w:pPr>
    </w:p>
    <w:p w14:paraId="5F0876E0" w14:textId="46B77C10" w:rsidR="00A232DB" w:rsidRDefault="003B2CEA"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the other hand, the Havana Convention takes an approach that seeks to unify proceedings within the treaty states by having a single proceeding that has </w:t>
      </w:r>
      <w:r w:rsidR="00ED1036">
        <w:rPr>
          <w:rFonts w:ascii="Avenir Next" w:hAnsi="Avenir Next" w:cs="Arial"/>
          <w:color w:val="808080" w:themeColor="background1" w:themeShade="80"/>
          <w:sz w:val="22"/>
          <w:szCs w:val="22"/>
          <w:lang w:val="en-GB"/>
        </w:rPr>
        <w:t>extraterritorial</w:t>
      </w:r>
      <w:r>
        <w:rPr>
          <w:rFonts w:ascii="Avenir Next" w:hAnsi="Avenir Next" w:cs="Arial"/>
          <w:color w:val="808080" w:themeColor="background1" w:themeShade="80"/>
          <w:sz w:val="22"/>
          <w:szCs w:val="22"/>
          <w:lang w:val="en-GB"/>
        </w:rPr>
        <w:t xml:space="preserve"> effect through</w:t>
      </w:r>
      <w:r w:rsidR="00ED1036">
        <w:rPr>
          <w:rFonts w:ascii="Avenir Next" w:hAnsi="Avenir Next" w:cs="Arial"/>
          <w:color w:val="808080" w:themeColor="background1" w:themeShade="80"/>
          <w:sz w:val="22"/>
          <w:szCs w:val="22"/>
          <w:lang w:val="en-GB"/>
        </w:rPr>
        <w:t>out</w:t>
      </w:r>
      <w:r>
        <w:rPr>
          <w:rFonts w:ascii="Avenir Next" w:hAnsi="Avenir Next" w:cs="Arial"/>
          <w:color w:val="808080" w:themeColor="background1" w:themeShade="80"/>
          <w:sz w:val="22"/>
          <w:szCs w:val="22"/>
          <w:lang w:val="en-GB"/>
        </w:rPr>
        <w:t xml:space="preserve"> treaty states.</w:t>
      </w:r>
      <w:r w:rsidR="00ED1036">
        <w:rPr>
          <w:rFonts w:ascii="Avenir Next" w:hAnsi="Avenir Next" w:cs="Arial"/>
          <w:color w:val="808080" w:themeColor="background1" w:themeShade="80"/>
          <w:sz w:val="22"/>
          <w:szCs w:val="22"/>
          <w:lang w:val="en-GB"/>
        </w:rPr>
        <w:t xml:space="preserve">  Notwithstanding that, if a debtor has business units operation as stand-alone units there may be separate proceedings.  In this scenario, the Havana Convention does not provide for co-operation or coordination between the separate proceedings.</w:t>
      </w:r>
    </w:p>
    <w:p w14:paraId="081F4210" w14:textId="0954E950" w:rsidR="00ED1036" w:rsidRDefault="00ED1036" w:rsidP="00DA42DA">
      <w:pPr>
        <w:jc w:val="both"/>
        <w:rPr>
          <w:rFonts w:ascii="Avenir Next" w:hAnsi="Avenir Next" w:cs="Arial"/>
          <w:color w:val="808080" w:themeColor="background1" w:themeShade="80"/>
          <w:sz w:val="22"/>
          <w:szCs w:val="22"/>
          <w:lang w:val="en-GB"/>
        </w:rPr>
      </w:pPr>
    </w:p>
    <w:p w14:paraId="1987455B" w14:textId="22D4A12F" w:rsidR="00ED1036" w:rsidRPr="00DA42DA" w:rsidRDefault="00ED1036"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each initiative being a treaty</w:t>
      </w:r>
      <w:r w:rsidR="007841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they differ with respect to the signatories which have joined the treaty. </w:t>
      </w:r>
    </w:p>
    <w:p w14:paraId="6A803E53" w14:textId="77777777" w:rsidR="004417C1" w:rsidRPr="004216EA" w:rsidRDefault="004417C1" w:rsidP="00384F24">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It is said that the terms “bankruptcy” and “insolvency” may be used interchangeably. Discuss whether or not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1773D47" w14:textId="6BC29112" w:rsidR="00DA42DA" w:rsidRDefault="00F6281C"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consideration of the whether the words bankruptcy and insolvency are interchangeable demands a consideration in various contexts.  </w:t>
      </w:r>
    </w:p>
    <w:p w14:paraId="22445CF9" w14:textId="7D87D6A1" w:rsidR="00F6281C" w:rsidRDefault="00F6281C" w:rsidP="00DA42DA">
      <w:pPr>
        <w:jc w:val="both"/>
        <w:rPr>
          <w:rFonts w:ascii="Avenir Next" w:hAnsi="Avenir Next" w:cs="Arial"/>
          <w:color w:val="808080" w:themeColor="background1" w:themeShade="80"/>
          <w:sz w:val="22"/>
          <w:szCs w:val="22"/>
          <w:lang w:val="en-GB"/>
        </w:rPr>
      </w:pPr>
    </w:p>
    <w:p w14:paraId="5F41CDE8" w14:textId="39D84291" w:rsidR="00F6281C" w:rsidRDefault="007014C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w:t>
      </w:r>
      <w:r w:rsidR="00F6281C">
        <w:rPr>
          <w:rFonts w:ascii="Avenir Next" w:hAnsi="Avenir Next" w:cs="Arial"/>
          <w:color w:val="808080" w:themeColor="background1" w:themeShade="80"/>
          <w:sz w:val="22"/>
          <w:szCs w:val="22"/>
          <w:lang w:val="en-GB"/>
        </w:rPr>
        <w:t xml:space="preserve"> everyday speech where pr</w:t>
      </w:r>
      <w:r w:rsidR="00954196">
        <w:rPr>
          <w:rFonts w:ascii="Avenir Next" w:hAnsi="Avenir Next" w:cs="Arial"/>
          <w:color w:val="808080" w:themeColor="background1" w:themeShade="80"/>
          <w:sz w:val="22"/>
          <w:szCs w:val="22"/>
          <w:lang w:val="en-GB"/>
        </w:rPr>
        <w:t>ecision is not a priority, I do agree.  The dictionary (see dictionary.com) even refers to each in the definition of the other: bankruptcy is defined as “any insolvent debtor” and insolvent is defined as “pertaining to bankrupt persons or bankruptcy (bankrupt and insolvent each being linked through from bankruptcy and insolvency</w:t>
      </w:r>
      <w:r w:rsidR="00EB31AB">
        <w:rPr>
          <w:rFonts w:ascii="Avenir Next" w:hAnsi="Avenir Next" w:cs="Arial"/>
          <w:color w:val="808080" w:themeColor="background1" w:themeShade="80"/>
          <w:sz w:val="22"/>
          <w:szCs w:val="22"/>
          <w:lang w:val="en-GB"/>
        </w:rPr>
        <w:t>)</w:t>
      </w:r>
      <w:r w:rsidR="00954196">
        <w:rPr>
          <w:rFonts w:ascii="Avenir Next" w:hAnsi="Avenir Next" w:cs="Arial"/>
          <w:color w:val="808080" w:themeColor="background1" w:themeShade="80"/>
          <w:sz w:val="22"/>
          <w:szCs w:val="22"/>
          <w:lang w:val="en-GB"/>
        </w:rPr>
        <w:t>.</w:t>
      </w:r>
    </w:p>
    <w:p w14:paraId="14771B11" w14:textId="2333DE56" w:rsidR="00954196" w:rsidRDefault="00954196" w:rsidP="00DA42DA">
      <w:pPr>
        <w:jc w:val="both"/>
        <w:rPr>
          <w:rFonts w:ascii="Avenir Next" w:hAnsi="Avenir Next" w:cs="Arial"/>
          <w:color w:val="808080" w:themeColor="background1" w:themeShade="80"/>
          <w:sz w:val="22"/>
          <w:szCs w:val="22"/>
          <w:lang w:val="en-GB"/>
        </w:rPr>
      </w:pPr>
    </w:p>
    <w:p w14:paraId="17E53C7F" w14:textId="16381F68" w:rsidR="00954196" w:rsidRDefault="007014C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considering the meaning of each word in a legal context the answer must be derived from the meanings ascribed in law. Here there is no clear answer and it </w:t>
      </w:r>
      <w:r w:rsidR="001D3376">
        <w:rPr>
          <w:rFonts w:ascii="Avenir Next" w:hAnsi="Avenir Next" w:cs="Arial"/>
          <w:color w:val="808080" w:themeColor="background1" w:themeShade="80"/>
          <w:sz w:val="22"/>
          <w:szCs w:val="22"/>
          <w:lang w:val="en-GB"/>
        </w:rPr>
        <w:t>depends</w:t>
      </w:r>
      <w:r>
        <w:rPr>
          <w:rFonts w:ascii="Avenir Next" w:hAnsi="Avenir Next" w:cs="Arial"/>
          <w:color w:val="808080" w:themeColor="background1" w:themeShade="80"/>
          <w:sz w:val="22"/>
          <w:szCs w:val="22"/>
          <w:lang w:val="en-GB"/>
        </w:rPr>
        <w:t xml:space="preserve"> on which jurisdiction’s perspective you consider this from.  </w:t>
      </w:r>
      <w:r w:rsidR="001D3376">
        <w:rPr>
          <w:rFonts w:ascii="Avenir Next" w:hAnsi="Avenir Next" w:cs="Arial"/>
          <w:color w:val="808080" w:themeColor="background1" w:themeShade="80"/>
          <w:sz w:val="22"/>
          <w:szCs w:val="22"/>
          <w:lang w:val="en-GB"/>
        </w:rPr>
        <w:t xml:space="preserve">Some jurisdictions use only one of the terms, others use both terms and use them to mean different things.  For example, in Australia insolvency refers to a corporation and bankruptcy refers to an individual.  The reason for this because it might be said that insolvency </w:t>
      </w:r>
      <w:r w:rsidR="00B738CB">
        <w:rPr>
          <w:rFonts w:ascii="Avenir Next" w:hAnsi="Avenir Next" w:cs="Arial"/>
          <w:color w:val="808080" w:themeColor="background1" w:themeShade="80"/>
          <w:sz w:val="22"/>
          <w:szCs w:val="22"/>
          <w:lang w:val="en-GB"/>
        </w:rPr>
        <w:t xml:space="preserve">refers to a financial state (e.g. under English law balance sheet or </w:t>
      </w:r>
      <w:proofErr w:type="spellStart"/>
      <w:r w:rsidR="00B738CB">
        <w:rPr>
          <w:rFonts w:ascii="Avenir Next" w:hAnsi="Avenir Next" w:cs="Arial"/>
          <w:color w:val="808080" w:themeColor="background1" w:themeShade="80"/>
          <w:sz w:val="22"/>
          <w:szCs w:val="22"/>
          <w:lang w:val="en-GB"/>
        </w:rPr>
        <w:t>cashflow</w:t>
      </w:r>
      <w:proofErr w:type="spellEnd"/>
      <w:r w:rsidR="00B738CB">
        <w:rPr>
          <w:rFonts w:ascii="Avenir Next" w:hAnsi="Avenir Next" w:cs="Arial"/>
          <w:color w:val="808080" w:themeColor="background1" w:themeShade="80"/>
          <w:sz w:val="22"/>
          <w:szCs w:val="22"/>
          <w:lang w:val="en-GB"/>
        </w:rPr>
        <w:t xml:space="preserve"> insolvency) and bankruptcy may be refer to the act of being declared bankrupt, but this is not always the case.</w:t>
      </w:r>
    </w:p>
    <w:p w14:paraId="02198657" w14:textId="3726D225" w:rsidR="00B738CB" w:rsidRDefault="00B738CB" w:rsidP="00DA42DA">
      <w:pPr>
        <w:jc w:val="both"/>
        <w:rPr>
          <w:rFonts w:ascii="Avenir Next" w:hAnsi="Avenir Next" w:cs="Arial"/>
          <w:color w:val="808080" w:themeColor="background1" w:themeShade="80"/>
          <w:sz w:val="22"/>
          <w:szCs w:val="22"/>
          <w:lang w:val="en-GB"/>
        </w:rPr>
      </w:pPr>
    </w:p>
    <w:p w14:paraId="67589A73" w14:textId="6B6CF7B4" w:rsidR="00B738CB" w:rsidRDefault="00F85B1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Wood, the essential characteristics of bankruptcy and insolvency are an automatic stay (or moratorium) to the benefit of the debtor; a pooling of assets to be distributed to creditors; and the pool of assets to be distributed </w:t>
      </w:r>
      <w:proofErr w:type="spellStart"/>
      <w:r>
        <w:rPr>
          <w:rFonts w:ascii="Avenir Next" w:hAnsi="Avenir Next" w:cs="Arial"/>
          <w:i/>
          <w:color w:val="808080" w:themeColor="background1" w:themeShade="80"/>
          <w:sz w:val="22"/>
          <w:szCs w:val="22"/>
          <w:lang w:val="en-GB"/>
        </w:rPr>
        <w:t>pari</w:t>
      </w:r>
      <w:proofErr w:type="spellEnd"/>
      <w:r>
        <w:rPr>
          <w:rFonts w:ascii="Avenir Next" w:hAnsi="Avenir Next" w:cs="Arial"/>
          <w:i/>
          <w:color w:val="808080" w:themeColor="background1" w:themeShade="80"/>
          <w:sz w:val="22"/>
          <w:szCs w:val="22"/>
          <w:lang w:val="en-GB"/>
        </w:rPr>
        <w:t xml:space="preserve"> </w:t>
      </w:r>
      <w:proofErr w:type="spellStart"/>
      <w:r>
        <w:rPr>
          <w:rFonts w:ascii="Avenir Next" w:hAnsi="Avenir Next" w:cs="Arial"/>
          <w:i/>
          <w:color w:val="808080" w:themeColor="background1" w:themeShade="80"/>
          <w:sz w:val="22"/>
          <w:szCs w:val="22"/>
          <w:lang w:val="en-GB"/>
        </w:rPr>
        <w:t>passu</w:t>
      </w:r>
      <w:proofErr w:type="spellEnd"/>
      <w:r>
        <w:rPr>
          <w:rFonts w:ascii="Avenir Next" w:hAnsi="Avenir Next" w:cs="Arial"/>
          <w:color w:val="808080" w:themeColor="background1" w:themeShade="80"/>
          <w:sz w:val="22"/>
          <w:szCs w:val="22"/>
          <w:lang w:val="en-GB"/>
        </w:rPr>
        <w:t xml:space="preserve"> among creditors (subject to rights of priority).</w:t>
      </w:r>
    </w:p>
    <w:p w14:paraId="4E67B6D7" w14:textId="15900419" w:rsidR="00F85B19" w:rsidRDefault="00F85B19" w:rsidP="00DA42DA">
      <w:pPr>
        <w:jc w:val="both"/>
        <w:rPr>
          <w:rFonts w:ascii="Avenir Next" w:hAnsi="Avenir Next" w:cs="Arial"/>
          <w:color w:val="808080" w:themeColor="background1" w:themeShade="80"/>
          <w:sz w:val="22"/>
          <w:szCs w:val="22"/>
          <w:lang w:val="en-GB"/>
        </w:rPr>
      </w:pPr>
    </w:p>
    <w:p w14:paraId="50FA013B" w14:textId="4112535C" w:rsidR="00CA43A7" w:rsidRDefault="00CA43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a significant overlap between insolvency/bankruptcy of individuals and corporates, in particular, the principles referred to by Wood above, as well as the requirement to deal with secured creditors fairly and a requirement to investigate the reasons for failure and take appropriate action.  Such actions may include setting aside transactions and clawing back assets.</w:t>
      </w:r>
    </w:p>
    <w:p w14:paraId="7714CBC2" w14:textId="5CFA2E3F" w:rsidR="00CA43A7" w:rsidRDefault="00CA43A7" w:rsidP="00DA42DA">
      <w:pPr>
        <w:jc w:val="both"/>
        <w:rPr>
          <w:rFonts w:ascii="Avenir Next" w:hAnsi="Avenir Next" w:cs="Arial"/>
          <w:color w:val="808080" w:themeColor="background1" w:themeShade="80"/>
          <w:sz w:val="22"/>
          <w:szCs w:val="22"/>
          <w:lang w:val="en-GB"/>
        </w:rPr>
      </w:pPr>
    </w:p>
    <w:p w14:paraId="04CD11BD" w14:textId="1D58F43D" w:rsidR="00CA43A7" w:rsidRDefault="00CA43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corporates, there is commonly a desire to preserve such corporate as a going concern while treating creditors fairly.  There is likely also to be an investigation into the running of the corporate and potential liability of its officers.  </w:t>
      </w:r>
    </w:p>
    <w:p w14:paraId="789E95B5" w14:textId="1C01D603" w:rsidR="00CA43A7" w:rsidRDefault="00CA43A7" w:rsidP="00DA42DA">
      <w:pPr>
        <w:jc w:val="both"/>
        <w:rPr>
          <w:rFonts w:ascii="Avenir Next" w:hAnsi="Avenir Next" w:cs="Arial"/>
          <w:color w:val="808080" w:themeColor="background1" w:themeShade="80"/>
          <w:sz w:val="22"/>
          <w:szCs w:val="22"/>
          <w:lang w:val="en-GB"/>
        </w:rPr>
      </w:pPr>
    </w:p>
    <w:p w14:paraId="0D7BFC3F" w14:textId="2A642ECE" w:rsidR="00CA43A7" w:rsidRPr="00F85B19" w:rsidRDefault="00CA43A7"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case of individuals, </w:t>
      </w:r>
      <w:r w:rsidR="00024751">
        <w:rPr>
          <w:rFonts w:ascii="Avenir Next" w:hAnsi="Avenir Next" w:cs="Arial"/>
          <w:color w:val="808080" w:themeColor="background1" w:themeShade="80"/>
          <w:sz w:val="22"/>
          <w:szCs w:val="22"/>
          <w:lang w:val="en-GB"/>
        </w:rPr>
        <w:t>the end goal is often to allow the individual to make a fresh start</w:t>
      </w:r>
      <w:r w:rsidR="00A57F9E">
        <w:rPr>
          <w:rFonts w:ascii="Avenir Next" w:hAnsi="Avenir Next" w:cs="Arial"/>
          <w:color w:val="808080" w:themeColor="background1" w:themeShade="80"/>
          <w:sz w:val="22"/>
          <w:szCs w:val="22"/>
          <w:lang w:val="en-GB"/>
        </w:rPr>
        <w:t>, there is no possibility of ‘dissolving’ or ‘winding-up’ the individual as there is with a corporation.</w:t>
      </w:r>
      <w:r w:rsidR="00024751">
        <w:rPr>
          <w:rFonts w:ascii="Avenir Next" w:hAnsi="Avenir Next" w:cs="Arial"/>
          <w:color w:val="808080" w:themeColor="background1" w:themeShade="80"/>
          <w:sz w:val="22"/>
          <w:szCs w:val="22"/>
          <w:lang w:val="en-GB"/>
        </w:rPr>
        <w:t>.  There is also more likely to be formal arrangements that account for future income as well as the individuals estate at that time.</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B5CF002" w14:textId="12CB1B08" w:rsidR="00DA42DA" w:rsidRDefault="007509B9"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One problem starts at the outset of defining ‘insolvency’.  Under domestic rules, the test as to whether or not a busine</w:t>
      </w:r>
      <w:r w:rsidR="009B507E">
        <w:rPr>
          <w:rFonts w:ascii="Avenir Next" w:hAnsi="Avenir Next" w:cs="Arial"/>
          <w:color w:val="808080" w:themeColor="background1" w:themeShade="80"/>
          <w:sz w:val="22"/>
          <w:szCs w:val="22"/>
          <w:lang w:val="en-GB"/>
        </w:rPr>
        <w:t>ss/person is insolvent varies in different jurisdictions</w:t>
      </w:r>
      <w:r w:rsidR="004970F5">
        <w:rPr>
          <w:rFonts w:ascii="Avenir Next" w:hAnsi="Avenir Next" w:cs="Arial"/>
          <w:color w:val="808080" w:themeColor="background1" w:themeShade="80"/>
          <w:sz w:val="22"/>
          <w:szCs w:val="22"/>
          <w:lang w:val="en-GB"/>
        </w:rPr>
        <w:t>;</w:t>
      </w:r>
      <w:r w:rsidR="009B507E">
        <w:rPr>
          <w:rFonts w:ascii="Avenir Next" w:hAnsi="Avenir Next" w:cs="Arial"/>
          <w:color w:val="808080" w:themeColor="background1" w:themeShade="80"/>
          <w:sz w:val="22"/>
          <w:szCs w:val="22"/>
          <w:lang w:val="en-GB"/>
        </w:rPr>
        <w:t xml:space="preserve"> this is sometimes referred to as a lack of a common “insolvency language”.   </w:t>
      </w:r>
      <w:r w:rsidR="004970F5">
        <w:rPr>
          <w:rFonts w:ascii="Avenir Next" w:hAnsi="Avenir Next" w:cs="Arial"/>
          <w:color w:val="808080" w:themeColor="background1" w:themeShade="80"/>
          <w:sz w:val="22"/>
          <w:szCs w:val="22"/>
          <w:lang w:val="en-GB"/>
        </w:rPr>
        <w:t>The difficulty of reaching a consensus on what the insolvency trigger should be has largely led to working around this problem, rather than trying to confront it, by defining and referencing “insolvency proceedings”.</w:t>
      </w:r>
    </w:p>
    <w:p w14:paraId="14D8BDB4" w14:textId="2D4C559B" w:rsidR="004970F5" w:rsidRDefault="004970F5" w:rsidP="00DA42DA">
      <w:pPr>
        <w:jc w:val="both"/>
        <w:rPr>
          <w:rFonts w:ascii="Avenir Next" w:hAnsi="Avenir Next" w:cs="Arial"/>
          <w:color w:val="808080" w:themeColor="background1" w:themeShade="80"/>
          <w:sz w:val="22"/>
          <w:szCs w:val="22"/>
          <w:lang w:val="en-GB"/>
        </w:rPr>
      </w:pPr>
    </w:p>
    <w:p w14:paraId="647CE03E" w14:textId="3E77F80E" w:rsidR="004970F5" w:rsidRDefault="004970F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Another difficulty arises with how different jurisdictions approach rights of debtors and creditors and whether they tend to favour one or the other.</w:t>
      </w:r>
      <w:r w:rsidR="00AD446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  </w:t>
      </w:r>
      <w:r w:rsidR="00AD4465">
        <w:rPr>
          <w:rFonts w:ascii="Avenir Next" w:hAnsi="Avenir Next" w:cs="Arial"/>
          <w:color w:val="808080" w:themeColor="background1" w:themeShade="80"/>
          <w:sz w:val="22"/>
          <w:szCs w:val="22"/>
          <w:lang w:val="en-GB"/>
        </w:rPr>
        <w:t>Various complex rules that may have been developed on a considerable period of time regarding factors impacting creditor rights (for example: security, trusts, retention of title, set-off and netting</w:t>
      </w:r>
      <w:r w:rsidR="0097769B">
        <w:rPr>
          <w:rFonts w:ascii="Avenir Next" w:hAnsi="Avenir Next" w:cs="Arial"/>
          <w:color w:val="808080" w:themeColor="background1" w:themeShade="80"/>
          <w:sz w:val="22"/>
          <w:szCs w:val="22"/>
          <w:lang w:val="en-GB"/>
        </w:rPr>
        <w:t>; and equitable subordination rules</w:t>
      </w:r>
      <w:r w:rsidR="00AD4465">
        <w:rPr>
          <w:rFonts w:ascii="Avenir Next" w:hAnsi="Avenir Next" w:cs="Arial"/>
          <w:color w:val="808080" w:themeColor="background1" w:themeShade="80"/>
          <w:sz w:val="22"/>
          <w:szCs w:val="22"/>
          <w:lang w:val="en-GB"/>
        </w:rPr>
        <w:t>)</w:t>
      </w:r>
      <w:r w:rsidR="006B4AED">
        <w:rPr>
          <w:rFonts w:ascii="Avenir Next" w:hAnsi="Avenir Next" w:cs="Arial"/>
          <w:color w:val="808080" w:themeColor="background1" w:themeShade="80"/>
          <w:sz w:val="22"/>
          <w:szCs w:val="22"/>
          <w:lang w:val="en-GB"/>
        </w:rPr>
        <w:t>, these are referred to as domestic norms and</w:t>
      </w:r>
      <w:r w:rsidR="00AD4465">
        <w:rPr>
          <w:rFonts w:ascii="Avenir Next" w:hAnsi="Avenir Next" w:cs="Arial"/>
          <w:color w:val="808080" w:themeColor="background1" w:themeShade="80"/>
          <w:sz w:val="22"/>
          <w:szCs w:val="22"/>
          <w:lang w:val="en-GB"/>
        </w:rPr>
        <w:t xml:space="preserve"> would need to be converged</w:t>
      </w:r>
      <w:r w:rsidR="0097769B">
        <w:rPr>
          <w:rFonts w:ascii="Avenir Next" w:hAnsi="Avenir Next" w:cs="Arial"/>
          <w:color w:val="808080" w:themeColor="background1" w:themeShade="80"/>
          <w:sz w:val="22"/>
          <w:szCs w:val="22"/>
          <w:lang w:val="en-GB"/>
        </w:rPr>
        <w:t xml:space="preserve">.  It would seem unlikely that such varied rights and obligations under so many jurisdictions could find a common ground. </w:t>
      </w:r>
    </w:p>
    <w:p w14:paraId="46F8B81D" w14:textId="7F3402F6" w:rsidR="0097769B" w:rsidRDefault="0097769B" w:rsidP="00DA42DA">
      <w:pPr>
        <w:jc w:val="both"/>
        <w:rPr>
          <w:rFonts w:ascii="Avenir Next" w:hAnsi="Avenir Next" w:cs="Arial"/>
          <w:color w:val="808080" w:themeColor="background1" w:themeShade="80"/>
          <w:sz w:val="22"/>
          <w:szCs w:val="22"/>
          <w:lang w:val="en-GB"/>
        </w:rPr>
      </w:pPr>
    </w:p>
    <w:p w14:paraId="09628464" w14:textId="6211A65D" w:rsidR="0097769B" w:rsidRDefault="006B4AE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Nine key issues encountered in cross-border insolvencies were identified by Westbrook:</w:t>
      </w:r>
    </w:p>
    <w:p w14:paraId="08B20987" w14:textId="4B1629F2"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recognition of a foreign representative (e.g. an English appointed administrator);</w:t>
      </w:r>
    </w:p>
    <w:p w14:paraId="4EDC7D1D" w14:textId="721EAC4A"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alignment of moratoriums on creditor actions; </w:t>
      </w:r>
    </w:p>
    <w:p w14:paraId="4072BFFF" w14:textId="4DF21EEB"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creditor participation;</w:t>
      </w:r>
    </w:p>
    <w:p w14:paraId="3ECA847F" w14:textId="2AC77225"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executory contracts;</w:t>
      </w:r>
    </w:p>
    <w:p w14:paraId="7A54BC70" w14:textId="648C3F05"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co-ordinating claims procedures across jurisdictions;</w:t>
      </w:r>
    </w:p>
    <w:p w14:paraId="488E53EF" w14:textId="42D02556"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aligning priorities and preferences;</w:t>
      </w:r>
    </w:p>
    <w:p w14:paraId="4635393F" w14:textId="59561CF3"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aligning avoidance provisions;</w:t>
      </w:r>
    </w:p>
    <w:p w14:paraId="204B1E09" w14:textId="60DB6875" w:rsid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aligning discharges; and</w:t>
      </w:r>
    </w:p>
    <w:p w14:paraId="65CEF787" w14:textId="6A11762E" w:rsidR="006B4AED" w:rsidRPr="006B4AED" w:rsidRDefault="006B4AED" w:rsidP="006B4AED">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conflict of law issues.</w:t>
      </w:r>
    </w:p>
    <w:p w14:paraId="394BA8B4" w14:textId="259CDF06" w:rsidR="0097769B" w:rsidRDefault="0097769B" w:rsidP="00DA42DA">
      <w:pPr>
        <w:jc w:val="both"/>
        <w:rPr>
          <w:rFonts w:ascii="Avenir Next" w:hAnsi="Avenir Next" w:cs="Arial"/>
          <w:color w:val="808080" w:themeColor="background1" w:themeShade="80"/>
          <w:sz w:val="22"/>
          <w:szCs w:val="22"/>
          <w:lang w:val="en-GB"/>
        </w:rPr>
      </w:pPr>
    </w:p>
    <w:p w14:paraId="7170AC3C" w14:textId="77777777" w:rsidR="006402FD" w:rsidRDefault="006402F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reason why a solution is difficult is that the legal systems across the world differ in structure and approach e.g. civil and common law jurisdictions.  </w:t>
      </w:r>
    </w:p>
    <w:p w14:paraId="18ECA5B6" w14:textId="77777777" w:rsidR="006402FD" w:rsidRDefault="006402FD" w:rsidP="00DA42DA">
      <w:pPr>
        <w:jc w:val="both"/>
        <w:rPr>
          <w:rFonts w:ascii="Avenir Next" w:hAnsi="Avenir Next" w:cs="Arial"/>
          <w:color w:val="808080" w:themeColor="background1" w:themeShade="80"/>
          <w:sz w:val="22"/>
          <w:szCs w:val="22"/>
          <w:lang w:val="en-GB"/>
        </w:rPr>
      </w:pPr>
    </w:p>
    <w:p w14:paraId="0E24BF6D" w14:textId="7EFEAD80" w:rsidR="0097769B" w:rsidRDefault="006402FD"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a single solution would requires the buy-in from a substantial majority.  As soon as a cross-border insolvency occurred with a jurisdiction that what was not part of the solution the challenges currently faced would arise again.</w:t>
      </w:r>
    </w:p>
    <w:p w14:paraId="262F429A" w14:textId="70D9CFB2"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774AB1EE" w14:textId="3AE0D557" w:rsidR="006A44B2" w:rsidRDefault="001A0C67"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Hard law are the laws that are binding on relevant parties</w:t>
      </w:r>
      <w:r w:rsidR="00353565">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example the legislation enacted by governments that are binding on their people and enforceable in </w:t>
      </w:r>
      <w:r w:rsidR="00353565">
        <w:rPr>
          <w:rFonts w:ascii="Avenir Next" w:hAnsi="Avenir Next" w:cs="Arial"/>
          <w:color w:val="808080" w:themeColor="background1" w:themeShade="80"/>
          <w:sz w:val="22"/>
          <w:szCs w:val="22"/>
          <w:lang w:val="en-GB"/>
        </w:rPr>
        <w:t xml:space="preserve">its </w:t>
      </w:r>
      <w:r>
        <w:rPr>
          <w:rFonts w:ascii="Avenir Next" w:hAnsi="Avenir Next" w:cs="Arial"/>
          <w:color w:val="808080" w:themeColor="background1" w:themeShade="80"/>
          <w:sz w:val="22"/>
          <w:szCs w:val="22"/>
          <w:lang w:val="en-GB"/>
        </w:rPr>
        <w:t>courts.</w:t>
      </w:r>
    </w:p>
    <w:p w14:paraId="5E653DB3" w14:textId="7513AD51" w:rsidR="00353565" w:rsidRDefault="00353565" w:rsidP="006A44B2">
      <w:pPr>
        <w:jc w:val="both"/>
        <w:rPr>
          <w:rFonts w:ascii="Avenir Next" w:hAnsi="Avenir Next" w:cs="Arial"/>
          <w:color w:val="808080" w:themeColor="background1" w:themeShade="80"/>
          <w:sz w:val="22"/>
          <w:szCs w:val="22"/>
          <w:lang w:val="en-GB"/>
        </w:rPr>
      </w:pPr>
    </w:p>
    <w:p w14:paraId="0EECEDCC" w14:textId="4B46787D" w:rsidR="00353565" w:rsidRDefault="0035356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does though exist formal guidelines and commitments that are perhaps not directly enforceable but still act as more than mere guidelines</w:t>
      </w:r>
      <w:r w:rsidR="00C5586D">
        <w:rPr>
          <w:rFonts w:ascii="Avenir Next" w:hAnsi="Avenir Next" w:cs="Arial"/>
          <w:color w:val="808080" w:themeColor="background1" w:themeShade="80"/>
          <w:sz w:val="22"/>
          <w:szCs w:val="22"/>
          <w:lang w:val="en-GB"/>
        </w:rPr>
        <w:t>.  F</w:t>
      </w:r>
      <w:r>
        <w:rPr>
          <w:rFonts w:ascii="Avenir Next" w:hAnsi="Avenir Next" w:cs="Arial"/>
          <w:color w:val="808080" w:themeColor="background1" w:themeShade="80"/>
          <w:sz w:val="22"/>
          <w:szCs w:val="22"/>
          <w:lang w:val="en-GB"/>
        </w:rPr>
        <w:t>or example, the state itself may have committed to agree to something but which is not enforceable until ‘hard law’</w:t>
      </w:r>
      <w:r w:rsidR="00C5586D">
        <w:rPr>
          <w:rFonts w:ascii="Avenir Next" w:hAnsi="Avenir Next" w:cs="Arial"/>
          <w:color w:val="808080" w:themeColor="background1" w:themeShade="80"/>
          <w:sz w:val="22"/>
          <w:szCs w:val="22"/>
          <w:lang w:val="en-GB"/>
        </w:rPr>
        <w:t xml:space="preserve"> is enacted</w:t>
      </w:r>
      <w:r>
        <w:rPr>
          <w:rFonts w:ascii="Avenir Next" w:hAnsi="Avenir Next" w:cs="Arial"/>
          <w:color w:val="808080" w:themeColor="background1" w:themeShade="80"/>
          <w:sz w:val="22"/>
          <w:szCs w:val="22"/>
          <w:lang w:val="en-GB"/>
        </w:rPr>
        <w:t>.</w:t>
      </w:r>
      <w:r w:rsidR="00C5586D">
        <w:rPr>
          <w:rFonts w:ascii="Avenir Next" w:hAnsi="Avenir Next" w:cs="Arial"/>
          <w:color w:val="808080" w:themeColor="background1" w:themeShade="80"/>
          <w:sz w:val="22"/>
          <w:szCs w:val="22"/>
          <w:lang w:val="en-GB"/>
        </w:rPr>
        <w:t xml:space="preserve">  Such ‘guidelines’ are often referred to as soft law.  An example of soft law in international insolvency is the </w:t>
      </w:r>
      <w:proofErr w:type="spellStart"/>
      <w:r w:rsidR="00C5586D">
        <w:rPr>
          <w:rFonts w:ascii="Avenir Next" w:hAnsi="Avenir Next" w:cs="Arial"/>
          <w:color w:val="808080" w:themeColor="background1" w:themeShade="80"/>
          <w:sz w:val="22"/>
          <w:szCs w:val="22"/>
          <w:lang w:val="en-GB"/>
        </w:rPr>
        <w:t>MLCBI</w:t>
      </w:r>
      <w:proofErr w:type="spellEnd"/>
      <w:r w:rsidR="00C5586D">
        <w:rPr>
          <w:rFonts w:ascii="Avenir Next" w:hAnsi="Avenir Next" w:cs="Arial"/>
          <w:color w:val="808080" w:themeColor="background1" w:themeShade="80"/>
          <w:sz w:val="22"/>
          <w:szCs w:val="22"/>
          <w:lang w:val="en-GB"/>
        </w:rPr>
        <w:t>, which is gaining traction and gains more and more influence as more countries adopt the model laws.</w:t>
      </w:r>
    </w:p>
    <w:p w14:paraId="3AC621FE" w14:textId="78550954" w:rsidR="00353565" w:rsidRDefault="00353565" w:rsidP="006A44B2">
      <w:pPr>
        <w:jc w:val="both"/>
        <w:rPr>
          <w:rFonts w:ascii="Avenir Next" w:hAnsi="Avenir Next" w:cs="Arial"/>
          <w:color w:val="808080" w:themeColor="background1" w:themeShade="80"/>
          <w:sz w:val="22"/>
          <w:szCs w:val="22"/>
          <w:lang w:val="en-GB"/>
        </w:rPr>
      </w:pPr>
    </w:p>
    <w:p w14:paraId="7153E216" w14:textId="4CD62371" w:rsidR="00353565" w:rsidRPr="00DA42DA" w:rsidRDefault="00353565" w:rsidP="006A44B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That is not to say that multi-state agreements cannot be hard law.  In international insolvency, </w:t>
      </w:r>
      <w:r w:rsidR="000A7DA5">
        <w:rPr>
          <w:rFonts w:ascii="Avenir Next" w:hAnsi="Avenir Next" w:cs="Arial"/>
          <w:color w:val="808080" w:themeColor="background1" w:themeShade="80"/>
          <w:sz w:val="22"/>
          <w:szCs w:val="22"/>
          <w:lang w:val="en-GB"/>
        </w:rPr>
        <w:t xml:space="preserve">one example is the </w:t>
      </w:r>
      <w:proofErr w:type="spellStart"/>
      <w:r w:rsidR="000A7DA5">
        <w:rPr>
          <w:rFonts w:ascii="Avenir Next" w:hAnsi="Avenir Next" w:cs="Arial"/>
          <w:color w:val="808080" w:themeColor="background1" w:themeShade="80"/>
          <w:sz w:val="22"/>
          <w:szCs w:val="22"/>
          <w:lang w:val="en-GB"/>
        </w:rPr>
        <w:t>EIR</w:t>
      </w:r>
      <w:proofErr w:type="spellEnd"/>
      <w:r w:rsidR="000A7DA5">
        <w:rPr>
          <w:rFonts w:ascii="Avenir Next" w:hAnsi="Avenir Next" w:cs="Arial"/>
          <w:color w:val="808080" w:themeColor="background1" w:themeShade="80"/>
          <w:sz w:val="22"/>
          <w:szCs w:val="22"/>
          <w:lang w:val="en-GB"/>
        </w:rPr>
        <w:t xml:space="preserve"> Recast which has relatively successfully introduced common rules between states within the European Union.</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w:t>
      </w:r>
      <w:proofErr w:type="spellStart"/>
      <w:r w:rsidRPr="00F85C0B">
        <w:rPr>
          <w:rFonts w:ascii="Avenir Next" w:hAnsi="Avenir Next" w:cs="Arial"/>
          <w:sz w:val="22"/>
          <w:szCs w:val="22"/>
        </w:rPr>
        <w:t>Inc</w:t>
      </w:r>
      <w:proofErr w:type="spellEnd"/>
      <w:r w:rsidRPr="00F85C0B">
        <w:rPr>
          <w:rFonts w:ascii="Avenir Next" w:hAnsi="Avenir Next" w:cs="Arial"/>
          <w:sz w:val="22"/>
          <w:szCs w:val="22"/>
        </w:rPr>
        <w:t xml:space="preserve"> maintains a presence and conducts business in the USA as well as various European countries, being countries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Apart from the USA and various European states,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17C271D5"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provides  the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w:t>
      </w:r>
      <w:proofErr w:type="spellStart"/>
      <w:r w:rsidRPr="00F85C0B">
        <w:rPr>
          <w:rFonts w:ascii="Avenir Next" w:hAnsi="Avenir Next" w:cs="Arial"/>
          <w:sz w:val="22"/>
          <w:szCs w:val="28"/>
        </w:rPr>
        <w:t>Inc</w:t>
      </w:r>
      <w:proofErr w:type="spellEnd"/>
      <w:r w:rsidRPr="00F85C0B">
        <w:rPr>
          <w:rFonts w:ascii="Avenir Next" w:hAnsi="Avenir Next" w:cs="Arial"/>
          <w:sz w:val="22"/>
          <w:szCs w:val="28"/>
        </w:rPr>
        <w:t xml:space="preserve">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proofErr w:type="spellStart"/>
      <w:r w:rsidR="00B366EC">
        <w:rPr>
          <w:rFonts w:ascii="Avenir Next" w:hAnsi="Avenir Next" w:cs="Arial"/>
          <w:sz w:val="22"/>
          <w:szCs w:val="28"/>
        </w:rPr>
        <w:t>Inc</w:t>
      </w:r>
      <w:proofErr w:type="spellEnd"/>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proofErr w:type="spellStart"/>
      <w:r w:rsidR="00FF0BFE">
        <w:rPr>
          <w:rFonts w:ascii="Avenir Next" w:hAnsi="Avenir Next" w:cs="Arial"/>
          <w:sz w:val="22"/>
          <w:szCs w:val="28"/>
        </w:rPr>
        <w:t>Inc</w:t>
      </w:r>
      <w:proofErr w:type="spellEnd"/>
      <w:r w:rsidR="00FF0BFE">
        <w:rPr>
          <w:rFonts w:ascii="Avenir Next" w:hAnsi="Avenir Next" w:cs="Arial"/>
          <w:sz w:val="22"/>
          <w:szCs w:val="28"/>
        </w:rPr>
        <w:t xml:space="preserve">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4184BAFC" w14:textId="4BF7B750" w:rsidR="002253D8" w:rsidRDefault="00A9744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w:t>
      </w:r>
      <w:proofErr w:type="spellStart"/>
      <w:r w:rsidR="008E059C">
        <w:rPr>
          <w:rFonts w:ascii="Avenir Next" w:hAnsi="Avenir Next" w:cs="Arial"/>
          <w:color w:val="808080" w:themeColor="background1" w:themeShade="80"/>
          <w:sz w:val="22"/>
          <w:szCs w:val="22"/>
          <w:lang w:val="en-GB"/>
        </w:rPr>
        <w:t>UNCITRAL</w:t>
      </w:r>
      <w:proofErr w:type="spellEnd"/>
      <w:r w:rsidR="008E059C">
        <w:rPr>
          <w:rFonts w:ascii="Avenir Next" w:hAnsi="Avenir Next" w:cs="Arial"/>
          <w:color w:val="808080" w:themeColor="background1" w:themeShade="80"/>
          <w:sz w:val="22"/>
          <w:szCs w:val="22"/>
          <w:lang w:val="en-GB"/>
        </w:rPr>
        <w:t xml:space="preserve"> Model Law </w:t>
      </w:r>
      <w:r>
        <w:rPr>
          <w:rFonts w:ascii="Avenir Next" w:hAnsi="Avenir Next" w:cs="Arial"/>
          <w:color w:val="808080" w:themeColor="background1" w:themeShade="80"/>
          <w:sz w:val="22"/>
          <w:szCs w:val="22"/>
          <w:lang w:val="en-GB"/>
        </w:rPr>
        <w:t>as given effect in England under</w:t>
      </w:r>
      <w:r w:rsidR="008E059C">
        <w:rPr>
          <w:rFonts w:ascii="Avenir Next" w:hAnsi="Avenir Next" w:cs="Arial"/>
          <w:color w:val="808080" w:themeColor="background1" w:themeShade="80"/>
          <w:sz w:val="22"/>
          <w:szCs w:val="22"/>
          <w:lang w:val="en-GB"/>
        </w:rPr>
        <w:t xml:space="preserve"> the Cross-Border Insolvency Regulations 2006</w:t>
      </w:r>
      <w:r>
        <w:rPr>
          <w:rFonts w:ascii="Avenir Next" w:hAnsi="Avenir Next" w:cs="Arial"/>
          <w:color w:val="808080" w:themeColor="background1" w:themeShade="80"/>
          <w:sz w:val="22"/>
          <w:szCs w:val="22"/>
          <w:lang w:val="en-GB"/>
        </w:rPr>
        <w:t xml:space="preserve"> may be applicable.  Under such legislation a foreign representative may seek the assistance of the English courts in connection with a  foreign proceeding</w:t>
      </w:r>
      <w:r w:rsidR="00DC3290">
        <w:rPr>
          <w:rFonts w:ascii="Avenir Next" w:hAnsi="Avenir Next" w:cs="Arial"/>
          <w:color w:val="808080" w:themeColor="background1" w:themeShade="80"/>
          <w:sz w:val="22"/>
          <w:szCs w:val="22"/>
          <w:lang w:val="en-GB"/>
        </w:rPr>
        <w:t>.  The proceedings in the United States will need to be “collective proceedings” and it is likely that they are; t</w:t>
      </w:r>
      <w:r w:rsidR="00DC3290">
        <w:rPr>
          <w:rFonts w:ascii="Avenir Next" w:hAnsi="Avenir Next" w:cs="Arial"/>
          <w:color w:val="808080" w:themeColor="background1" w:themeShade="80"/>
          <w:sz w:val="22"/>
          <w:szCs w:val="22"/>
          <w:lang w:val="en-GB"/>
        </w:rPr>
        <w:t xml:space="preserve">here is precedent for proceedings in the </w:t>
      </w:r>
      <w:r w:rsidR="00DC3290">
        <w:rPr>
          <w:rFonts w:ascii="Avenir Next" w:hAnsi="Avenir Next" w:cs="Arial"/>
          <w:color w:val="808080" w:themeColor="background1" w:themeShade="80"/>
          <w:sz w:val="22"/>
          <w:szCs w:val="22"/>
          <w:lang w:val="en-GB"/>
        </w:rPr>
        <w:t>United</w:t>
      </w:r>
      <w:r w:rsidR="00DC3290">
        <w:rPr>
          <w:rFonts w:ascii="Avenir Next" w:hAnsi="Avenir Next" w:cs="Arial"/>
          <w:color w:val="808080" w:themeColor="background1" w:themeShade="80"/>
          <w:sz w:val="22"/>
          <w:szCs w:val="22"/>
          <w:lang w:val="en-GB"/>
        </w:rPr>
        <w:t xml:space="preserve"> States being recognised.</w:t>
      </w:r>
    </w:p>
    <w:p w14:paraId="4414BCA7" w14:textId="1AF83B65" w:rsidR="008E059C" w:rsidRDefault="008E059C" w:rsidP="00DB5A5A">
      <w:pPr>
        <w:jc w:val="both"/>
        <w:rPr>
          <w:rFonts w:ascii="Avenir Next" w:hAnsi="Avenir Next" w:cs="Arial"/>
          <w:color w:val="808080" w:themeColor="background1" w:themeShade="80"/>
          <w:sz w:val="22"/>
          <w:szCs w:val="22"/>
          <w:lang w:val="en-GB"/>
        </w:rPr>
      </w:pPr>
    </w:p>
    <w:p w14:paraId="400B561A" w14:textId="16371A69" w:rsidR="008E059C" w:rsidRDefault="008E059C" w:rsidP="00DB5A5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court in a “relevant country” may apply to an English court under section 426 of the Insolvency Act 1986 for assistance with respect to insolvency law.  The United states of America has not been designated a “relevant country”</w:t>
      </w:r>
      <w:r w:rsidR="000965AA">
        <w:rPr>
          <w:rFonts w:ascii="Avenir Next" w:hAnsi="Avenir Next" w:cs="Arial"/>
          <w:color w:val="808080" w:themeColor="background1" w:themeShade="80"/>
          <w:sz w:val="22"/>
          <w:szCs w:val="22"/>
          <w:lang w:val="en-GB"/>
        </w:rPr>
        <w:t>. Therefore section 426 of the Insolvency Act 1986 will not be applicable.</w:t>
      </w:r>
    </w:p>
    <w:p w14:paraId="0A446215" w14:textId="773A6B9C" w:rsidR="008E059C" w:rsidRDefault="008E059C" w:rsidP="00DB5A5A">
      <w:pPr>
        <w:jc w:val="both"/>
        <w:rPr>
          <w:rFonts w:ascii="Avenir Next" w:hAnsi="Avenir Next" w:cs="Arial"/>
          <w:color w:val="808080" w:themeColor="background1" w:themeShade="80"/>
          <w:sz w:val="22"/>
          <w:szCs w:val="22"/>
          <w:lang w:val="en-GB"/>
        </w:rPr>
      </w:pPr>
    </w:p>
    <w:p w14:paraId="75E78F15" w14:textId="7DDC60E0" w:rsidR="004E1D03" w:rsidRPr="00234647" w:rsidRDefault="00234647" w:rsidP="00692852">
      <w:pPr>
        <w:jc w:val="both"/>
        <w:rPr>
          <w:rFonts w:ascii="Avenir Next" w:hAnsi="Avenir Next" w:cs="Arial"/>
          <w:iCs/>
          <w:sz w:val="22"/>
          <w:szCs w:val="22"/>
        </w:rPr>
      </w:pPr>
      <w:r>
        <w:rPr>
          <w:rFonts w:ascii="Avenir Next" w:hAnsi="Avenir Next" w:cs="Arial"/>
          <w:color w:val="808080" w:themeColor="background1" w:themeShade="80"/>
          <w:sz w:val="22"/>
          <w:szCs w:val="22"/>
          <w:lang w:val="en-GB"/>
        </w:rPr>
        <w:t xml:space="preserve">There may be grounds under English common law, however, this was limited in </w:t>
      </w:r>
      <w:r w:rsidRPr="00234647">
        <w:rPr>
          <w:rFonts w:ascii="Avenir Next" w:hAnsi="Avenir Next" w:cs="Arial"/>
          <w:i/>
          <w:color w:val="808080" w:themeColor="background1" w:themeShade="80"/>
          <w:sz w:val="22"/>
          <w:szCs w:val="22"/>
          <w:lang w:val="en-GB"/>
        </w:rPr>
        <w:t xml:space="preserve">Rubin and another v </w:t>
      </w:r>
      <w:proofErr w:type="spellStart"/>
      <w:r w:rsidRPr="00234647">
        <w:rPr>
          <w:rFonts w:ascii="Avenir Next" w:hAnsi="Avenir Next" w:cs="Arial"/>
          <w:i/>
          <w:color w:val="808080" w:themeColor="background1" w:themeShade="80"/>
          <w:sz w:val="22"/>
          <w:szCs w:val="22"/>
          <w:lang w:val="en-GB"/>
        </w:rPr>
        <w:t>Eurofinance</w:t>
      </w:r>
      <w:proofErr w:type="spellEnd"/>
      <w:r w:rsidRPr="00234647">
        <w:rPr>
          <w:rFonts w:ascii="Avenir Next" w:hAnsi="Avenir Next" w:cs="Arial"/>
          <w:i/>
          <w:color w:val="808080" w:themeColor="background1" w:themeShade="80"/>
          <w:sz w:val="22"/>
          <w:szCs w:val="22"/>
          <w:lang w:val="en-GB"/>
        </w:rPr>
        <w:t xml:space="preserve"> SA and others and New Cap Reinsurance Corporation (in liquidation) and another v Grant </w:t>
      </w:r>
      <w:r w:rsidRPr="00234647">
        <w:rPr>
          <w:rFonts w:ascii="Avenir Next" w:hAnsi="Avenir Next" w:cs="Arial"/>
          <w:i/>
          <w:color w:val="808080" w:themeColor="background1" w:themeShade="80"/>
          <w:sz w:val="22"/>
          <w:szCs w:val="22"/>
          <w:lang w:val="en-GB"/>
        </w:rPr>
        <w:lastRenderedPageBreak/>
        <w:t xml:space="preserve">and others [2012] </w:t>
      </w:r>
      <w:proofErr w:type="spellStart"/>
      <w:r w:rsidRPr="00234647">
        <w:rPr>
          <w:rFonts w:ascii="Avenir Next" w:hAnsi="Avenir Next" w:cs="Arial"/>
          <w:i/>
          <w:color w:val="808080" w:themeColor="background1" w:themeShade="80"/>
          <w:sz w:val="22"/>
          <w:szCs w:val="22"/>
          <w:lang w:val="en-GB"/>
        </w:rPr>
        <w:t>UKSC</w:t>
      </w:r>
      <w:proofErr w:type="spellEnd"/>
      <w:r w:rsidRPr="00234647">
        <w:rPr>
          <w:rFonts w:ascii="Avenir Next" w:hAnsi="Avenir Next" w:cs="Arial"/>
          <w:i/>
          <w:color w:val="808080" w:themeColor="background1" w:themeShade="80"/>
          <w:sz w:val="22"/>
          <w:szCs w:val="22"/>
          <w:lang w:val="en-GB"/>
        </w:rPr>
        <w:t xml:space="preserve"> 46</w:t>
      </w:r>
      <w:r>
        <w:rPr>
          <w:rFonts w:ascii="Avenir Next" w:hAnsi="Avenir Next" w:cs="Arial"/>
          <w:i/>
          <w:iCs/>
          <w:sz w:val="22"/>
          <w:szCs w:val="22"/>
        </w:rPr>
        <w:t xml:space="preserve"> </w:t>
      </w:r>
      <w:r w:rsidRPr="00234647">
        <w:rPr>
          <w:rFonts w:ascii="Avenir Next" w:hAnsi="Avenir Next" w:cs="Arial"/>
          <w:color w:val="808080" w:themeColor="background1" w:themeShade="80"/>
          <w:sz w:val="22"/>
          <w:szCs w:val="22"/>
          <w:lang w:val="en-GB"/>
        </w:rPr>
        <w:t>which related to a</w:t>
      </w:r>
      <w:r>
        <w:rPr>
          <w:rFonts w:ascii="Avenir Next" w:hAnsi="Avenir Next" w:cs="Arial"/>
          <w:color w:val="808080" w:themeColor="background1" w:themeShade="80"/>
          <w:sz w:val="22"/>
          <w:szCs w:val="22"/>
          <w:lang w:val="en-GB"/>
        </w:rPr>
        <w:t xml:space="preserve">n application with respect to a </w:t>
      </w:r>
      <w:r w:rsidRPr="00234647">
        <w:rPr>
          <w:rFonts w:ascii="Avenir Next" w:hAnsi="Avenir Next" w:cs="Arial"/>
          <w:color w:val="808080" w:themeColor="background1" w:themeShade="80"/>
          <w:sz w:val="22"/>
          <w:szCs w:val="22"/>
          <w:lang w:val="en-GB"/>
        </w:rPr>
        <w:t>US insolvency proceeding and said that an English court could not enforce the order of a foreign court if there was not jurisdiction to do so “in the eyes of the English court”.</w:t>
      </w:r>
      <w:r>
        <w:rPr>
          <w:rFonts w:ascii="Avenir Next" w:hAnsi="Avenir Next" w:cs="Arial"/>
          <w:color w:val="808080" w:themeColor="background1" w:themeShade="80"/>
          <w:sz w:val="22"/>
          <w:szCs w:val="22"/>
          <w:lang w:val="en-GB"/>
        </w:rPr>
        <w:t xml:space="preserve">  Nevertheless, there remains precedent for various circumstances where there may be grounds for a an English court to recognise the proceedings in the United States and assist: for example, to remit asset realisation from secondary proceedings to the proceedings in the United States.</w:t>
      </w:r>
    </w:p>
    <w:p w14:paraId="682FE615" w14:textId="77777777" w:rsidR="00234647" w:rsidRPr="00234647" w:rsidRDefault="00234647" w:rsidP="00692852">
      <w:pPr>
        <w:jc w:val="both"/>
        <w:rPr>
          <w:rFonts w:ascii="Avenir Next" w:hAnsi="Avenir Next" w:cs="Arial"/>
          <w:color w:val="808080" w:themeColor="background1" w:themeShade="80"/>
          <w:sz w:val="22"/>
          <w:szCs w:val="22"/>
          <w:lang w:val="en-GB"/>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proofErr w:type="spellStart"/>
      <w:r>
        <w:rPr>
          <w:rFonts w:ascii="Avenir Next" w:hAnsi="Avenir Next" w:cs="Arial"/>
          <w:sz w:val="22"/>
          <w:szCs w:val="28"/>
        </w:rPr>
        <w:t>Inc</w:t>
      </w:r>
      <w:proofErr w:type="spellEnd"/>
      <w:r>
        <w:rPr>
          <w:rFonts w:ascii="Avenir Next" w:hAnsi="Avenir Next" w:cs="Arial"/>
          <w:sz w:val="22"/>
          <w:szCs w:val="28"/>
        </w:rPr>
        <w:t xml:space="preserve">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and also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69938086" w14:textId="34060C5F" w:rsidR="002253D8" w:rsidRDefault="006277B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Italy and Germany are both member states of the EU to which </w:t>
      </w:r>
      <w:r w:rsidRPr="006277B1">
        <w:rPr>
          <w:rFonts w:ascii="Avenir Next" w:hAnsi="Avenir Next" w:cs="Arial"/>
          <w:color w:val="808080" w:themeColor="background1" w:themeShade="80"/>
          <w:sz w:val="22"/>
          <w:szCs w:val="22"/>
          <w:lang w:val="en-GB"/>
        </w:rPr>
        <w:t>Regulation (EU) 2015/848 of the European Parliament and of the Council of 20 May 2015 on insolvency proceedings (recast)</w:t>
      </w:r>
      <w:r>
        <w:rPr>
          <w:rFonts w:ascii="Avenir Next" w:hAnsi="Avenir Next" w:cs="Arial"/>
          <w:color w:val="808080" w:themeColor="background1" w:themeShade="80"/>
          <w:sz w:val="22"/>
          <w:szCs w:val="22"/>
          <w:lang w:val="en-GB"/>
        </w:rPr>
        <w:t xml:space="preserve"> applies (the </w:t>
      </w:r>
      <w:r w:rsidRPr="006277B1">
        <w:rPr>
          <w:rFonts w:ascii="Avenir Next" w:hAnsi="Avenir Next" w:cs="Arial"/>
          <w:color w:val="808080" w:themeColor="background1" w:themeShade="80"/>
          <w:sz w:val="22"/>
          <w:szCs w:val="22"/>
          <w:lang w:val="en-GB"/>
        </w:rPr>
        <w:t>Recast Insolvency Regulation</w:t>
      </w:r>
      <w:r>
        <w:rPr>
          <w:rFonts w:ascii="Avenir Next" w:hAnsi="Avenir Next" w:cs="Arial"/>
          <w:color w:val="808080" w:themeColor="background1" w:themeShade="80"/>
          <w:sz w:val="22"/>
          <w:szCs w:val="22"/>
          <w:lang w:val="en-GB"/>
        </w:rPr>
        <w:t>).</w:t>
      </w:r>
    </w:p>
    <w:p w14:paraId="67155D38" w14:textId="7D5C33EC" w:rsidR="006277B1" w:rsidRDefault="006277B1" w:rsidP="002253D8">
      <w:pPr>
        <w:jc w:val="both"/>
        <w:rPr>
          <w:rFonts w:ascii="Avenir Next" w:hAnsi="Avenir Next" w:cs="Arial"/>
          <w:color w:val="808080" w:themeColor="background1" w:themeShade="80"/>
          <w:sz w:val="22"/>
          <w:szCs w:val="22"/>
          <w:lang w:val="en-GB"/>
        </w:rPr>
      </w:pPr>
    </w:p>
    <w:p w14:paraId="5540D6ED" w14:textId="14D4CD3D" w:rsidR="006277B1" w:rsidRDefault="006277B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the Recast Insolvency Regulation, main insolvency proceedings must be brought in the member state in which a company’s centre of main interests (COMI) is located.</w:t>
      </w:r>
      <w:r w:rsidR="00155098">
        <w:rPr>
          <w:rFonts w:ascii="Avenir Next" w:hAnsi="Avenir Next" w:cs="Arial"/>
          <w:color w:val="808080" w:themeColor="background1" w:themeShade="80"/>
          <w:sz w:val="22"/>
          <w:szCs w:val="22"/>
          <w:lang w:val="en-GB"/>
        </w:rPr>
        <w:t xml:space="preserve">  A company’s COMI is tested on the date when an application to open proceedings is filed (</w:t>
      </w:r>
      <w:proofErr w:type="spellStart"/>
      <w:r w:rsidR="00155098">
        <w:rPr>
          <w:rFonts w:ascii="Avenir Next" w:hAnsi="Avenir Next" w:cs="Arial"/>
          <w:color w:val="808080" w:themeColor="background1" w:themeShade="80"/>
          <w:sz w:val="22"/>
          <w:szCs w:val="22"/>
          <w:lang w:val="en-GB"/>
        </w:rPr>
        <w:t>Staubitz</w:t>
      </w:r>
      <w:proofErr w:type="spellEnd"/>
      <w:r w:rsidR="00155098">
        <w:rPr>
          <w:rFonts w:ascii="Avenir Next" w:hAnsi="Avenir Next" w:cs="Arial"/>
          <w:color w:val="808080" w:themeColor="background1" w:themeShade="80"/>
          <w:sz w:val="22"/>
          <w:szCs w:val="22"/>
          <w:lang w:val="en-GB"/>
        </w:rPr>
        <w:t xml:space="preserve">-Schreiber (C-1/04)), there is a rebuttable presumption that the COMI will be in the principal place of business </w:t>
      </w:r>
      <w:r w:rsidR="006B55D9">
        <w:rPr>
          <w:rFonts w:ascii="Avenir Next" w:hAnsi="Avenir Next" w:cs="Arial"/>
          <w:color w:val="808080" w:themeColor="background1" w:themeShade="80"/>
          <w:sz w:val="22"/>
          <w:szCs w:val="22"/>
          <w:lang w:val="en-GB"/>
        </w:rPr>
        <w:t>but should be</w:t>
      </w:r>
      <w:r w:rsidR="00155098">
        <w:rPr>
          <w:rFonts w:ascii="Avenir Next" w:hAnsi="Avenir Next" w:cs="Arial"/>
          <w:color w:val="808080" w:themeColor="background1" w:themeShade="80"/>
          <w:sz w:val="22"/>
          <w:szCs w:val="22"/>
          <w:lang w:val="en-GB"/>
        </w:rPr>
        <w:t xml:space="preserve"> where the company conducts its administration of a business and is </w:t>
      </w:r>
      <w:r w:rsidR="006B55D9">
        <w:rPr>
          <w:rFonts w:ascii="Avenir Next" w:hAnsi="Avenir Next" w:cs="Arial"/>
          <w:color w:val="808080" w:themeColor="background1" w:themeShade="80"/>
          <w:sz w:val="22"/>
          <w:szCs w:val="22"/>
          <w:lang w:val="en-GB"/>
        </w:rPr>
        <w:t xml:space="preserve">(Article 3(1)).  It is suggested that Norton Cars </w:t>
      </w:r>
      <w:proofErr w:type="spellStart"/>
      <w:r w:rsidR="006B55D9">
        <w:rPr>
          <w:rFonts w:ascii="Avenir Next" w:hAnsi="Avenir Next" w:cs="Arial"/>
          <w:color w:val="808080" w:themeColor="background1" w:themeShade="80"/>
          <w:sz w:val="22"/>
          <w:szCs w:val="22"/>
          <w:lang w:val="en-GB"/>
        </w:rPr>
        <w:t>Inc’s</w:t>
      </w:r>
      <w:proofErr w:type="spellEnd"/>
      <w:r w:rsidR="006B55D9">
        <w:rPr>
          <w:rFonts w:ascii="Avenir Next" w:hAnsi="Avenir Next" w:cs="Arial"/>
          <w:color w:val="808080" w:themeColor="background1" w:themeShade="80"/>
          <w:sz w:val="22"/>
          <w:szCs w:val="22"/>
          <w:lang w:val="en-GB"/>
        </w:rPr>
        <w:t xml:space="preserve"> administration is conducted from Italy and therefore Italy is the most likely COMI.  Thought it is a complicated analysis for which more information would be required.</w:t>
      </w:r>
    </w:p>
    <w:p w14:paraId="42D2695D" w14:textId="6AC80066" w:rsidR="009A6021" w:rsidRDefault="009A6021" w:rsidP="002253D8">
      <w:pPr>
        <w:jc w:val="both"/>
        <w:rPr>
          <w:rFonts w:ascii="Avenir Next" w:hAnsi="Avenir Next" w:cs="Arial"/>
          <w:color w:val="808080" w:themeColor="background1" w:themeShade="80"/>
          <w:sz w:val="22"/>
          <w:szCs w:val="22"/>
          <w:lang w:val="en-GB"/>
        </w:rPr>
      </w:pPr>
    </w:p>
    <w:p w14:paraId="15C43C39" w14:textId="4FBCB1B1" w:rsidR="009A6021" w:rsidRPr="00DA42DA" w:rsidRDefault="009A6021"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COMI is considered to be in Italy then main proceedings will be opened there, but which will likely require secondary proceedings in Germany particularly if substantial assets are located there relating to its “main operations”.</w:t>
      </w:r>
    </w:p>
    <w:p w14:paraId="0D3B1D18" w14:textId="77777777" w:rsidR="004E1D03" w:rsidRPr="009F0C5A" w:rsidRDefault="004E1D03" w:rsidP="00692852">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39D4D14C" w:rsidR="002253D8" w:rsidRPr="002253D8" w:rsidRDefault="00093A9F" w:rsidP="007815D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 those courts would need to apply their domestic </w:t>
      </w:r>
      <w:r w:rsidR="006277B1">
        <w:rPr>
          <w:rFonts w:ascii="Avenir Next" w:hAnsi="Avenir Next" w:cs="Arial"/>
          <w:color w:val="808080" w:themeColor="background1" w:themeShade="80"/>
          <w:sz w:val="22"/>
          <w:szCs w:val="22"/>
          <w:lang w:val="en-GB"/>
        </w:rPr>
        <w:t>legislation</w:t>
      </w:r>
      <w:r>
        <w:rPr>
          <w:rFonts w:ascii="Avenir Next" w:hAnsi="Avenir Next" w:cs="Arial"/>
          <w:color w:val="808080" w:themeColor="background1" w:themeShade="80"/>
          <w:sz w:val="22"/>
          <w:szCs w:val="22"/>
          <w:lang w:val="en-GB"/>
        </w:rPr>
        <w:t>.</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w:t>
      </w:r>
      <w:proofErr w:type="spellStart"/>
      <w:r w:rsidR="00BC4A7D">
        <w:rPr>
          <w:rFonts w:ascii="Avenir Next" w:hAnsi="Avenir Next" w:cs="Arial"/>
          <w:sz w:val="22"/>
          <w:szCs w:val="28"/>
        </w:rPr>
        <w:t>Inc</w:t>
      </w:r>
      <w:proofErr w:type="spellEnd"/>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Which law will apply to the insolvency proceeding and with regard to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5EBB6951" w14:textId="248C5109" w:rsidR="005C55A9" w:rsidRDefault="005C55A9" w:rsidP="005C55A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Netherlands is a member of the EU and therefore </w:t>
      </w:r>
      <w:r w:rsidRPr="006277B1">
        <w:rPr>
          <w:rFonts w:ascii="Avenir Next" w:hAnsi="Avenir Next" w:cs="Arial"/>
          <w:color w:val="808080" w:themeColor="background1" w:themeShade="80"/>
          <w:sz w:val="22"/>
          <w:szCs w:val="22"/>
          <w:lang w:val="en-GB"/>
        </w:rPr>
        <w:t>Regulation (EU) 2015/848 of the European Parliament and of the Council of 20 May 2015 on insolvency proceedings (recast)</w:t>
      </w:r>
      <w:r>
        <w:rPr>
          <w:rFonts w:ascii="Avenir Next" w:hAnsi="Avenir Next" w:cs="Arial"/>
          <w:color w:val="808080" w:themeColor="background1" w:themeShade="80"/>
          <w:sz w:val="22"/>
          <w:szCs w:val="22"/>
          <w:lang w:val="en-GB"/>
        </w:rPr>
        <w:t xml:space="preserve"> applies (the </w:t>
      </w:r>
      <w:r w:rsidRPr="006277B1">
        <w:rPr>
          <w:rFonts w:ascii="Avenir Next" w:hAnsi="Avenir Next" w:cs="Arial"/>
          <w:color w:val="808080" w:themeColor="background1" w:themeShade="80"/>
          <w:sz w:val="22"/>
          <w:szCs w:val="22"/>
          <w:lang w:val="en-GB"/>
        </w:rPr>
        <w:t>Recast Insolvency Regulation</w:t>
      </w:r>
      <w:r>
        <w:rPr>
          <w:rFonts w:ascii="Avenir Next" w:hAnsi="Avenir Next" w:cs="Arial"/>
          <w:color w:val="808080" w:themeColor="background1" w:themeShade="80"/>
          <w:sz w:val="22"/>
          <w:szCs w:val="22"/>
          <w:lang w:val="en-GB"/>
        </w:rPr>
        <w:t>).</w:t>
      </w:r>
    </w:p>
    <w:p w14:paraId="13039970" w14:textId="0EDFB89F" w:rsidR="002253D8" w:rsidRDefault="002253D8" w:rsidP="005C55A9">
      <w:pPr>
        <w:jc w:val="both"/>
        <w:rPr>
          <w:rFonts w:ascii="Avenir Next" w:hAnsi="Avenir Next" w:cs="Arial"/>
          <w:color w:val="808080" w:themeColor="background1" w:themeShade="80"/>
          <w:sz w:val="22"/>
          <w:szCs w:val="22"/>
          <w:lang w:val="en-GB"/>
        </w:rPr>
      </w:pPr>
    </w:p>
    <w:p w14:paraId="68820C87" w14:textId="3BDDAF87" w:rsidR="004827A3" w:rsidRDefault="005C55A9" w:rsidP="002253D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Main proceedings are open in Italy, but as the company is operating through a branch in The Netherlands then secondary proceedings may be opened in The Netherlands with respect to the assets situated in The Netherlands.  While Dutch law </w:t>
      </w:r>
      <w:r w:rsidR="00C46898">
        <w:rPr>
          <w:rFonts w:ascii="Avenir Next" w:hAnsi="Avenir Next" w:cs="Arial"/>
          <w:color w:val="808080" w:themeColor="background1" w:themeShade="80"/>
          <w:sz w:val="22"/>
          <w:szCs w:val="22"/>
          <w:lang w:val="en-GB"/>
        </w:rPr>
        <w:t>(</w:t>
      </w:r>
      <w:r w:rsidR="0008197D">
        <w:rPr>
          <w:rFonts w:ascii="Avenir Next" w:hAnsi="Avenir Next" w:cs="Arial"/>
          <w:color w:val="808080" w:themeColor="background1" w:themeShade="80"/>
          <w:sz w:val="22"/>
          <w:szCs w:val="22"/>
          <w:lang w:val="en-GB"/>
        </w:rPr>
        <w:t>principally</w:t>
      </w:r>
      <w:r w:rsidR="00C46898">
        <w:rPr>
          <w:rFonts w:ascii="Avenir Next" w:hAnsi="Avenir Next" w:cs="Arial"/>
          <w:color w:val="808080" w:themeColor="background1" w:themeShade="80"/>
          <w:sz w:val="22"/>
          <w:szCs w:val="22"/>
          <w:lang w:val="en-GB"/>
        </w:rPr>
        <w:t xml:space="preserve"> the </w:t>
      </w:r>
      <w:proofErr w:type="spellStart"/>
      <w:r w:rsidR="00C46898" w:rsidRPr="00C46898">
        <w:rPr>
          <w:rFonts w:ascii="Avenir Next" w:hAnsi="Avenir Next" w:cs="Arial"/>
          <w:color w:val="808080" w:themeColor="background1" w:themeShade="80"/>
          <w:sz w:val="22"/>
          <w:szCs w:val="22"/>
          <w:lang w:val="en-GB"/>
        </w:rPr>
        <w:t>Faillissementswet</w:t>
      </w:r>
      <w:proofErr w:type="spellEnd"/>
      <w:r w:rsidR="00C46898">
        <w:rPr>
          <w:rFonts w:ascii="Avenir Next" w:hAnsi="Avenir Next" w:cs="Arial"/>
          <w:color w:val="808080" w:themeColor="background1" w:themeShade="80"/>
          <w:sz w:val="22"/>
          <w:szCs w:val="22"/>
          <w:lang w:val="en-GB"/>
        </w:rPr>
        <w:t xml:space="preserve">) </w:t>
      </w:r>
      <w:r w:rsidRPr="00C46898">
        <w:rPr>
          <w:rFonts w:ascii="Avenir Next" w:hAnsi="Avenir Next" w:cs="Arial"/>
          <w:color w:val="808080" w:themeColor="background1" w:themeShade="80"/>
          <w:sz w:val="22"/>
          <w:szCs w:val="22"/>
          <w:lang w:val="en-GB"/>
        </w:rPr>
        <w:t>will</w:t>
      </w:r>
      <w:r>
        <w:rPr>
          <w:rFonts w:ascii="Avenir Next" w:hAnsi="Avenir Next" w:cs="Arial"/>
          <w:color w:val="808080" w:themeColor="background1" w:themeShade="80"/>
          <w:sz w:val="22"/>
          <w:szCs w:val="22"/>
          <w:lang w:val="en-GB"/>
        </w:rPr>
        <w:t xml:space="preserve"> then apply to those proceedings and assets, the question of  the scope of those assets (if there is any uncertainty) may be ruled on by either the Italian or Dutch court (applying their own law).</w:t>
      </w:r>
    </w:p>
    <w:p w14:paraId="08923B3B" w14:textId="77777777" w:rsidR="005C55A9" w:rsidRPr="004827A3" w:rsidRDefault="005C55A9" w:rsidP="002253D8">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5156B24B" w14:textId="4D9C3AE9" w:rsidR="002253D8" w:rsidRDefault="00C46898" w:rsidP="00C468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Australia has adopted the </w:t>
      </w:r>
      <w:proofErr w:type="spellStart"/>
      <w:r>
        <w:rPr>
          <w:rFonts w:ascii="Avenir Next" w:hAnsi="Avenir Next" w:cs="Arial"/>
          <w:color w:val="808080" w:themeColor="background1" w:themeShade="80"/>
          <w:sz w:val="22"/>
          <w:szCs w:val="22"/>
          <w:lang w:val="en-GB"/>
        </w:rPr>
        <w:t>UNCITRAL</w:t>
      </w:r>
      <w:proofErr w:type="spellEnd"/>
      <w:r>
        <w:rPr>
          <w:rFonts w:ascii="Avenir Next" w:hAnsi="Avenir Next" w:cs="Arial"/>
          <w:color w:val="808080" w:themeColor="background1" w:themeShade="80"/>
          <w:sz w:val="22"/>
          <w:szCs w:val="22"/>
          <w:lang w:val="en-GB"/>
        </w:rPr>
        <w:t xml:space="preserve"> model Law on Cross-Border Insolvency (</w:t>
      </w:r>
      <w:r w:rsidRPr="00C46898">
        <w:rPr>
          <w:rFonts w:ascii="Avenir Next" w:hAnsi="Avenir Next" w:cs="Arial"/>
          <w:color w:val="808080" w:themeColor="background1" w:themeShade="80"/>
          <w:sz w:val="22"/>
          <w:szCs w:val="22"/>
          <w:lang w:val="en-GB"/>
        </w:rPr>
        <w:t>Cross-Border Insolvency Act 2008</w:t>
      </w:r>
      <w:r w:rsidR="0008197D">
        <w:rPr>
          <w:rFonts w:ascii="Avenir Next" w:hAnsi="Avenir Next" w:cs="Arial"/>
          <w:color w:val="808080" w:themeColor="background1" w:themeShade="80"/>
          <w:sz w:val="22"/>
          <w:szCs w:val="22"/>
          <w:lang w:val="en-GB"/>
        </w:rPr>
        <w:t>) but Italy has not.  Australia is not an EU member state and therefore the European Recast Insolvency Regulation does not apply.</w:t>
      </w:r>
    </w:p>
    <w:p w14:paraId="7D8CCFE3" w14:textId="75F047A8" w:rsidR="00C93346" w:rsidRDefault="00C93346" w:rsidP="00C46898">
      <w:pPr>
        <w:jc w:val="both"/>
        <w:rPr>
          <w:rFonts w:ascii="Avenir Next" w:hAnsi="Avenir Next" w:cs="Arial"/>
          <w:color w:val="808080" w:themeColor="background1" w:themeShade="80"/>
          <w:sz w:val="22"/>
          <w:szCs w:val="22"/>
          <w:lang w:val="en-GB"/>
        </w:rPr>
      </w:pPr>
    </w:p>
    <w:p w14:paraId="09F4EF23" w14:textId="0435D4CA" w:rsidR="0008197D" w:rsidRPr="00DA42DA" w:rsidRDefault="00C93346" w:rsidP="00C4689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Australian court would apply the Model Law to the proceedings.  Should it find that the Italian proceedings are a foreign main proceeding the court will take certain actions.  Proceedings will then only be able to commence in Australia (under Australian law) with respect to any assets located in Australia.  Therefore for any real rights of security situated in Australia, Australian law will apply, within the confines of the recognition of the foreign main proceedings in Italy.</w:t>
      </w:r>
    </w:p>
    <w:p w14:paraId="66E3C20E" w14:textId="576ED10D" w:rsidR="002253D8" w:rsidRPr="002253D8" w:rsidRDefault="002253D8" w:rsidP="002253D8">
      <w:pPr>
        <w:ind w:left="426"/>
        <w:jc w:val="both"/>
        <w:rPr>
          <w:rFonts w:ascii="Avenir Next" w:hAnsi="Avenir Next" w:cs="Arial"/>
          <w:sz w:val="22"/>
          <w:szCs w:val="28"/>
        </w:rPr>
      </w:pP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bookmarkStart w:id="0" w:name="_GoBack"/>
      <w:bookmarkEnd w:id="0"/>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1EE4A381"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625098">
          <w:rPr>
            <w:rStyle w:val="PageNumber"/>
            <w:rFonts w:ascii="Avenir Next" w:hAnsi="Avenir Next" w:cs="Arial"/>
            <w:noProof/>
            <w:sz w:val="22"/>
            <w:szCs w:val="22"/>
          </w:rPr>
          <w:t>12</w:t>
        </w:r>
        <w:r w:rsidRPr="00297BDF">
          <w:rPr>
            <w:rStyle w:val="PageNumber"/>
            <w:rFonts w:ascii="Avenir Next" w:hAnsi="Avenir Next" w:cs="Arial"/>
            <w:sz w:val="22"/>
            <w:szCs w:val="22"/>
          </w:rPr>
          <w:fldChar w:fldCharType="end"/>
        </w:r>
      </w:p>
    </w:sdtContent>
  </w:sdt>
  <w:p w14:paraId="12ABA5E1" w14:textId="453C5059" w:rsidR="00B64A85" w:rsidRPr="00297BDF" w:rsidRDefault="00625098" w:rsidP="0052732A">
    <w:pPr>
      <w:pStyle w:val="Footer"/>
      <w:ind w:right="360"/>
      <w:rPr>
        <w:rFonts w:ascii="Avenir Next" w:hAnsi="Avenir Next" w:cs="Arial"/>
        <w:sz w:val="22"/>
        <w:szCs w:val="22"/>
      </w:rPr>
    </w:pPr>
    <w:proofErr w:type="spellStart"/>
    <w:r>
      <w:rPr>
        <w:rFonts w:ascii="Avenir Next" w:hAnsi="Avenir Next" w:cs="Arial"/>
        <w:sz w:val="22"/>
        <w:szCs w:val="22"/>
      </w:rPr>
      <w:t>FC</w:t>
    </w:r>
    <w:r w:rsidR="00A262F9">
      <w:rPr>
        <w:rFonts w:ascii="Avenir Next" w:hAnsi="Avenir Next" w:cs="Arial"/>
        <w:sz w:val="22"/>
        <w:szCs w:val="22"/>
      </w:rPr>
      <w:t>202324-1459</w:t>
    </w:r>
    <w:r w:rsidR="00B64A85" w:rsidRPr="00297BDF">
      <w:rPr>
        <w:rFonts w:ascii="Avenir Next" w:hAnsi="Avenir Next" w:cs="Arial"/>
        <w:sz w:val="22"/>
        <w:szCs w:val="22"/>
      </w:rPr>
      <w:t>.assessment1summative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900A" w14:textId="77777777" w:rsidR="00B37208" w:rsidRDefault="00B3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731B" w14:textId="77777777" w:rsidR="00B37208" w:rsidRDefault="00B3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AE9" w14:textId="77777777" w:rsidR="00B37208" w:rsidRDefault="00B37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F690" w14:textId="77777777" w:rsidR="00B37208" w:rsidRDefault="00B3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6017D6"/>
    <w:multiLevelType w:val="hybridMultilevel"/>
    <w:tmpl w:val="5F5480F2"/>
    <w:lvl w:ilvl="0" w:tplc="B8785B2E">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27"/>
  </w:num>
  <w:num w:numId="2">
    <w:abstractNumId w:val="32"/>
  </w:num>
  <w:num w:numId="3">
    <w:abstractNumId w:val="2"/>
  </w:num>
  <w:num w:numId="4">
    <w:abstractNumId w:val="4"/>
  </w:num>
  <w:num w:numId="5">
    <w:abstractNumId w:val="22"/>
  </w:num>
  <w:num w:numId="6">
    <w:abstractNumId w:val="28"/>
  </w:num>
  <w:num w:numId="7">
    <w:abstractNumId w:val="15"/>
  </w:num>
  <w:num w:numId="8">
    <w:abstractNumId w:val="33"/>
  </w:num>
  <w:num w:numId="9">
    <w:abstractNumId w:val="14"/>
  </w:num>
  <w:num w:numId="10">
    <w:abstractNumId w:val="29"/>
  </w:num>
  <w:num w:numId="11">
    <w:abstractNumId w:val="10"/>
  </w:num>
  <w:num w:numId="12">
    <w:abstractNumId w:val="30"/>
  </w:num>
  <w:num w:numId="13">
    <w:abstractNumId w:val="21"/>
  </w:num>
  <w:num w:numId="14">
    <w:abstractNumId w:val="20"/>
  </w:num>
  <w:num w:numId="15">
    <w:abstractNumId w:val="5"/>
  </w:num>
  <w:num w:numId="16">
    <w:abstractNumId w:val="23"/>
  </w:num>
  <w:num w:numId="17">
    <w:abstractNumId w:val="18"/>
  </w:num>
  <w:num w:numId="18">
    <w:abstractNumId w:val="19"/>
  </w:num>
  <w:num w:numId="19">
    <w:abstractNumId w:val="26"/>
  </w:num>
  <w:num w:numId="20">
    <w:abstractNumId w:val="9"/>
  </w:num>
  <w:num w:numId="21">
    <w:abstractNumId w:val="17"/>
  </w:num>
  <w:num w:numId="22">
    <w:abstractNumId w:val="0"/>
  </w:num>
  <w:num w:numId="23">
    <w:abstractNumId w:val="25"/>
  </w:num>
  <w:num w:numId="24">
    <w:abstractNumId w:val="1"/>
  </w:num>
  <w:num w:numId="25">
    <w:abstractNumId w:val="31"/>
  </w:num>
  <w:num w:numId="26">
    <w:abstractNumId w:val="34"/>
  </w:num>
  <w:num w:numId="27">
    <w:abstractNumId w:val="8"/>
  </w:num>
  <w:num w:numId="28">
    <w:abstractNumId w:val="7"/>
  </w:num>
  <w:num w:numId="29">
    <w:abstractNumId w:val="6"/>
  </w:num>
  <w:num w:numId="30">
    <w:abstractNumId w:val="11"/>
  </w:num>
  <w:num w:numId="31">
    <w:abstractNumId w:val="3"/>
  </w:num>
  <w:num w:numId="32">
    <w:abstractNumId w:val="16"/>
  </w:num>
  <w:num w:numId="33">
    <w:abstractNumId w:val="24"/>
  </w:num>
  <w:num w:numId="34">
    <w:abstractNumId w:val="13"/>
  </w:num>
  <w:num w:numId="3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True"/>
    <w:docVar w:name="DocIDClientMatter" w:val="True"/>
    <w:docVar w:name="DocIDDate" w:val="True"/>
    <w:docVar w:name="DocIDLibrary" w:val="True"/>
    <w:docVar w:name="DocIDTime" w:val="True"/>
    <w:docVar w:name="DocIDType" w:val="AllPages"/>
  </w:docVars>
  <w:rsids>
    <w:rsidRoot w:val="00045088"/>
    <w:rsid w:val="000009F5"/>
    <w:rsid w:val="00003D8F"/>
    <w:rsid w:val="0000420A"/>
    <w:rsid w:val="00004AE7"/>
    <w:rsid w:val="00010BA0"/>
    <w:rsid w:val="00015EE6"/>
    <w:rsid w:val="00020557"/>
    <w:rsid w:val="0002322B"/>
    <w:rsid w:val="00024751"/>
    <w:rsid w:val="000250C7"/>
    <w:rsid w:val="00025C83"/>
    <w:rsid w:val="00031918"/>
    <w:rsid w:val="000329A6"/>
    <w:rsid w:val="00034C0C"/>
    <w:rsid w:val="00036334"/>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7AC"/>
    <w:rsid w:val="00057BF2"/>
    <w:rsid w:val="0006130F"/>
    <w:rsid w:val="00062D42"/>
    <w:rsid w:val="00062E85"/>
    <w:rsid w:val="000649D1"/>
    <w:rsid w:val="00064C44"/>
    <w:rsid w:val="00065166"/>
    <w:rsid w:val="00066AE7"/>
    <w:rsid w:val="0007091D"/>
    <w:rsid w:val="00076483"/>
    <w:rsid w:val="00080757"/>
    <w:rsid w:val="0008155B"/>
    <w:rsid w:val="000815BB"/>
    <w:rsid w:val="0008197D"/>
    <w:rsid w:val="00081A63"/>
    <w:rsid w:val="00082609"/>
    <w:rsid w:val="0008457E"/>
    <w:rsid w:val="000851CC"/>
    <w:rsid w:val="00085349"/>
    <w:rsid w:val="00085D4B"/>
    <w:rsid w:val="00086BDD"/>
    <w:rsid w:val="00090933"/>
    <w:rsid w:val="00092378"/>
    <w:rsid w:val="00093A9F"/>
    <w:rsid w:val="00093BE8"/>
    <w:rsid w:val="00093FE2"/>
    <w:rsid w:val="0009471C"/>
    <w:rsid w:val="0009504E"/>
    <w:rsid w:val="000965AA"/>
    <w:rsid w:val="000977DC"/>
    <w:rsid w:val="000A01B9"/>
    <w:rsid w:val="000A0C1B"/>
    <w:rsid w:val="000A68ED"/>
    <w:rsid w:val="000A74CA"/>
    <w:rsid w:val="000A74D4"/>
    <w:rsid w:val="000A7DA5"/>
    <w:rsid w:val="000B5B93"/>
    <w:rsid w:val="000B5FF1"/>
    <w:rsid w:val="000B609F"/>
    <w:rsid w:val="000B6B56"/>
    <w:rsid w:val="000D0C9F"/>
    <w:rsid w:val="000D55A8"/>
    <w:rsid w:val="000D57BE"/>
    <w:rsid w:val="000D6876"/>
    <w:rsid w:val="000E0165"/>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37793"/>
    <w:rsid w:val="0014171F"/>
    <w:rsid w:val="00142E15"/>
    <w:rsid w:val="0014622C"/>
    <w:rsid w:val="00150F6C"/>
    <w:rsid w:val="00152348"/>
    <w:rsid w:val="0015328F"/>
    <w:rsid w:val="0015456D"/>
    <w:rsid w:val="00155098"/>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C67"/>
    <w:rsid w:val="001A620B"/>
    <w:rsid w:val="001A716A"/>
    <w:rsid w:val="001A7E9A"/>
    <w:rsid w:val="001A7ECF"/>
    <w:rsid w:val="001B0F70"/>
    <w:rsid w:val="001B5016"/>
    <w:rsid w:val="001B6CEE"/>
    <w:rsid w:val="001C45FC"/>
    <w:rsid w:val="001C594A"/>
    <w:rsid w:val="001D1BF7"/>
    <w:rsid w:val="001D3376"/>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4647"/>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1B0E"/>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5FAA"/>
    <w:rsid w:val="002E66F4"/>
    <w:rsid w:val="002F14C5"/>
    <w:rsid w:val="002F1956"/>
    <w:rsid w:val="002F2B8D"/>
    <w:rsid w:val="002F3440"/>
    <w:rsid w:val="002F3B17"/>
    <w:rsid w:val="002F5876"/>
    <w:rsid w:val="002F5DD8"/>
    <w:rsid w:val="002F75A3"/>
    <w:rsid w:val="002F75CD"/>
    <w:rsid w:val="002F7EB5"/>
    <w:rsid w:val="00301A21"/>
    <w:rsid w:val="0030201F"/>
    <w:rsid w:val="00303C2F"/>
    <w:rsid w:val="0030558B"/>
    <w:rsid w:val="00306E87"/>
    <w:rsid w:val="00310FC2"/>
    <w:rsid w:val="003134B4"/>
    <w:rsid w:val="003144EF"/>
    <w:rsid w:val="00315C57"/>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356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2CEA"/>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069F2"/>
    <w:rsid w:val="00411E1B"/>
    <w:rsid w:val="00414BF9"/>
    <w:rsid w:val="00415DFF"/>
    <w:rsid w:val="00415F1F"/>
    <w:rsid w:val="004174FA"/>
    <w:rsid w:val="0042108F"/>
    <w:rsid w:val="004214D4"/>
    <w:rsid w:val="004216EA"/>
    <w:rsid w:val="004235F4"/>
    <w:rsid w:val="00426969"/>
    <w:rsid w:val="00426B64"/>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0F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C70E9"/>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27BDA"/>
    <w:rsid w:val="00530010"/>
    <w:rsid w:val="00530CA0"/>
    <w:rsid w:val="00532283"/>
    <w:rsid w:val="005323A7"/>
    <w:rsid w:val="005331CA"/>
    <w:rsid w:val="005337E0"/>
    <w:rsid w:val="0053523A"/>
    <w:rsid w:val="00537970"/>
    <w:rsid w:val="00540E3A"/>
    <w:rsid w:val="00542E08"/>
    <w:rsid w:val="005433D7"/>
    <w:rsid w:val="00543941"/>
    <w:rsid w:val="00544127"/>
    <w:rsid w:val="00545161"/>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500"/>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55A9"/>
    <w:rsid w:val="005C6778"/>
    <w:rsid w:val="005D0511"/>
    <w:rsid w:val="005D195B"/>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05944"/>
    <w:rsid w:val="00610388"/>
    <w:rsid w:val="00612092"/>
    <w:rsid w:val="00612CA5"/>
    <w:rsid w:val="00614858"/>
    <w:rsid w:val="006153EC"/>
    <w:rsid w:val="00616E52"/>
    <w:rsid w:val="006208BB"/>
    <w:rsid w:val="00621A17"/>
    <w:rsid w:val="0062260C"/>
    <w:rsid w:val="00625098"/>
    <w:rsid w:val="006277B1"/>
    <w:rsid w:val="00627CC9"/>
    <w:rsid w:val="00627E7B"/>
    <w:rsid w:val="00630542"/>
    <w:rsid w:val="00630727"/>
    <w:rsid w:val="00631E7B"/>
    <w:rsid w:val="00632E44"/>
    <w:rsid w:val="0063316D"/>
    <w:rsid w:val="00633DC9"/>
    <w:rsid w:val="00634622"/>
    <w:rsid w:val="00636808"/>
    <w:rsid w:val="006402FD"/>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4D9A"/>
    <w:rsid w:val="00695A40"/>
    <w:rsid w:val="00697EA1"/>
    <w:rsid w:val="006A051A"/>
    <w:rsid w:val="006A2646"/>
    <w:rsid w:val="006A44B2"/>
    <w:rsid w:val="006A6530"/>
    <w:rsid w:val="006A695F"/>
    <w:rsid w:val="006A6D1D"/>
    <w:rsid w:val="006B2893"/>
    <w:rsid w:val="006B37B2"/>
    <w:rsid w:val="006B435A"/>
    <w:rsid w:val="006B4539"/>
    <w:rsid w:val="006B4AED"/>
    <w:rsid w:val="006B4C64"/>
    <w:rsid w:val="006B55D9"/>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5E3"/>
    <w:rsid w:val="00700D83"/>
    <w:rsid w:val="007014C7"/>
    <w:rsid w:val="00704852"/>
    <w:rsid w:val="00704C24"/>
    <w:rsid w:val="00705A77"/>
    <w:rsid w:val="00707321"/>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09B9"/>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178"/>
    <w:rsid w:val="007849D8"/>
    <w:rsid w:val="0078662F"/>
    <w:rsid w:val="00790B4C"/>
    <w:rsid w:val="0079206E"/>
    <w:rsid w:val="00793173"/>
    <w:rsid w:val="007958F0"/>
    <w:rsid w:val="00797E1B"/>
    <w:rsid w:val="007A0EC0"/>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17967"/>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97AD6"/>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059C"/>
    <w:rsid w:val="008E220E"/>
    <w:rsid w:val="008E3339"/>
    <w:rsid w:val="008E3ADC"/>
    <w:rsid w:val="008E4F14"/>
    <w:rsid w:val="008E5941"/>
    <w:rsid w:val="008E64D3"/>
    <w:rsid w:val="008E6F11"/>
    <w:rsid w:val="008F20FC"/>
    <w:rsid w:val="008F30CF"/>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4196"/>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B29"/>
    <w:rsid w:val="00976DA5"/>
    <w:rsid w:val="009773BA"/>
    <w:rsid w:val="0097769B"/>
    <w:rsid w:val="0098011D"/>
    <w:rsid w:val="00980DF0"/>
    <w:rsid w:val="00981608"/>
    <w:rsid w:val="00984680"/>
    <w:rsid w:val="00990F04"/>
    <w:rsid w:val="00991272"/>
    <w:rsid w:val="00991428"/>
    <w:rsid w:val="00992676"/>
    <w:rsid w:val="00997A85"/>
    <w:rsid w:val="009A0501"/>
    <w:rsid w:val="009A2BCA"/>
    <w:rsid w:val="009A4050"/>
    <w:rsid w:val="009A5354"/>
    <w:rsid w:val="009A6021"/>
    <w:rsid w:val="009A6A10"/>
    <w:rsid w:val="009A7172"/>
    <w:rsid w:val="009B0723"/>
    <w:rsid w:val="009B07AD"/>
    <w:rsid w:val="009B0883"/>
    <w:rsid w:val="009B15E2"/>
    <w:rsid w:val="009B507E"/>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E5BAD"/>
    <w:rsid w:val="009F0C29"/>
    <w:rsid w:val="009F0C5A"/>
    <w:rsid w:val="00A02198"/>
    <w:rsid w:val="00A047EE"/>
    <w:rsid w:val="00A057CA"/>
    <w:rsid w:val="00A136AF"/>
    <w:rsid w:val="00A13F8F"/>
    <w:rsid w:val="00A149B7"/>
    <w:rsid w:val="00A177BC"/>
    <w:rsid w:val="00A17930"/>
    <w:rsid w:val="00A2274A"/>
    <w:rsid w:val="00A232DB"/>
    <w:rsid w:val="00A235B7"/>
    <w:rsid w:val="00A249AC"/>
    <w:rsid w:val="00A262F9"/>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57F9E"/>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44C"/>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4465"/>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208"/>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38CB"/>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898"/>
    <w:rsid w:val="00C46EC1"/>
    <w:rsid w:val="00C50F86"/>
    <w:rsid w:val="00C53E2C"/>
    <w:rsid w:val="00C550C8"/>
    <w:rsid w:val="00C5586D"/>
    <w:rsid w:val="00C56136"/>
    <w:rsid w:val="00C56B61"/>
    <w:rsid w:val="00C56D56"/>
    <w:rsid w:val="00C570AC"/>
    <w:rsid w:val="00C5730D"/>
    <w:rsid w:val="00C60631"/>
    <w:rsid w:val="00C606C3"/>
    <w:rsid w:val="00C620F4"/>
    <w:rsid w:val="00C629CB"/>
    <w:rsid w:val="00C673EB"/>
    <w:rsid w:val="00C71F4F"/>
    <w:rsid w:val="00C72848"/>
    <w:rsid w:val="00C73346"/>
    <w:rsid w:val="00C750BA"/>
    <w:rsid w:val="00C7736C"/>
    <w:rsid w:val="00C80272"/>
    <w:rsid w:val="00C82D87"/>
    <w:rsid w:val="00C8712A"/>
    <w:rsid w:val="00C92A0D"/>
    <w:rsid w:val="00C93346"/>
    <w:rsid w:val="00C952A2"/>
    <w:rsid w:val="00C963D3"/>
    <w:rsid w:val="00CA0B50"/>
    <w:rsid w:val="00CA1802"/>
    <w:rsid w:val="00CA43A7"/>
    <w:rsid w:val="00CA6B69"/>
    <w:rsid w:val="00CA6E99"/>
    <w:rsid w:val="00CB262C"/>
    <w:rsid w:val="00CB2CBB"/>
    <w:rsid w:val="00CB3EB6"/>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5AC"/>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290"/>
    <w:rsid w:val="00DC38CC"/>
    <w:rsid w:val="00DC4420"/>
    <w:rsid w:val="00DC6681"/>
    <w:rsid w:val="00DD01DA"/>
    <w:rsid w:val="00DD0802"/>
    <w:rsid w:val="00DD0B2C"/>
    <w:rsid w:val="00DD19C6"/>
    <w:rsid w:val="00DD2E11"/>
    <w:rsid w:val="00DD4E68"/>
    <w:rsid w:val="00DD526C"/>
    <w:rsid w:val="00DD54BA"/>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49B0"/>
    <w:rsid w:val="00E05837"/>
    <w:rsid w:val="00E078AA"/>
    <w:rsid w:val="00E07C5A"/>
    <w:rsid w:val="00E10A73"/>
    <w:rsid w:val="00E12C13"/>
    <w:rsid w:val="00E15BA9"/>
    <w:rsid w:val="00E161D2"/>
    <w:rsid w:val="00E177E2"/>
    <w:rsid w:val="00E17BF1"/>
    <w:rsid w:val="00E201B6"/>
    <w:rsid w:val="00E22DE4"/>
    <w:rsid w:val="00E25FB8"/>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31AB"/>
    <w:rsid w:val="00EB45AC"/>
    <w:rsid w:val="00EB488B"/>
    <w:rsid w:val="00EB6668"/>
    <w:rsid w:val="00EB6A2F"/>
    <w:rsid w:val="00EC3875"/>
    <w:rsid w:val="00EC4757"/>
    <w:rsid w:val="00EC549E"/>
    <w:rsid w:val="00EC6E55"/>
    <w:rsid w:val="00ED0BC4"/>
    <w:rsid w:val="00ED1036"/>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1761A"/>
    <w:rsid w:val="00F17E52"/>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3EEB"/>
    <w:rsid w:val="00F54776"/>
    <w:rsid w:val="00F5524B"/>
    <w:rsid w:val="00F5710B"/>
    <w:rsid w:val="00F61DD2"/>
    <w:rsid w:val="00F62000"/>
    <w:rsid w:val="00F6281C"/>
    <w:rsid w:val="00F63720"/>
    <w:rsid w:val="00F65FB6"/>
    <w:rsid w:val="00F66AFF"/>
    <w:rsid w:val="00F71433"/>
    <w:rsid w:val="00F71CE8"/>
    <w:rsid w:val="00F738B0"/>
    <w:rsid w:val="00F801C5"/>
    <w:rsid w:val="00F83231"/>
    <w:rsid w:val="00F85A51"/>
    <w:rsid w:val="00F85B19"/>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customStyle="1" w:styleId="DocID">
    <w:name w:val="DocID"/>
    <w:basedOn w:val="DefaultParagraphFont"/>
    <w:rsid w:val="00B37208"/>
    <w:rPr>
      <w:rFonts w:ascii="Times New Roman" w:hAnsi="Times New Roman" w:cs="Times New Roman"/>
      <w:b w:val="0"/>
      <w:i w:val="0"/>
      <w:caps w:val="0"/>
      <w:vanish w:val="0"/>
      <w:color w:val="000000"/>
      <w:sz w:val="14"/>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29F9-BC24-421E-9BA0-78487EAD5391}">
  <ds:schemaRefs>
    <ds:schemaRef ds:uri="a21de7b9-cad9-43f2-8459-9b1b4f9894e2"/>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0ad2d52-4869-465d-a93a-001fa21a593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B369E-91D3-471E-9D96-4249BF5D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Edge, Ryan</cp:lastModifiedBy>
  <cp:revision>105</cp:revision>
  <cp:lastPrinted>2020-06-12T02:43:00Z</cp:lastPrinted>
  <dcterms:created xsi:type="dcterms:W3CDTF">2023-11-14T15:52:00Z</dcterms:created>
  <dcterms:modified xsi:type="dcterms:W3CDTF">2023-11-15T21:30:00Z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DocumentNumber">
    <vt:lpwstr>60739140</vt:lpwstr>
  </property>
  <property fmtid="{D5CDD505-2E9C-101B-9397-08002B2CF9AE}" pid="4" name="DocumentVersion">
    <vt:lpwstr>1</vt:lpwstr>
  </property>
  <property fmtid="{D5CDD505-2E9C-101B-9397-08002B2CF9AE}" pid="5" name="ClientNumber">
    <vt:lpwstr>093331</vt:lpwstr>
  </property>
  <property fmtid="{D5CDD505-2E9C-101B-9397-08002B2CF9AE}" pid="6" name="MatterNumber">
    <vt:lpwstr>9749</vt:lpwstr>
  </property>
  <property fmtid="{D5CDD505-2E9C-101B-9397-08002B2CF9AE}" pid="7" name="ClientName">
    <vt:lpwstr>Personal Charge</vt:lpwstr>
  </property>
  <property fmtid="{D5CDD505-2E9C-101B-9397-08002B2CF9AE}" pid="8" name="MatterName">
    <vt:lpwstr>Edge, Ryan</vt:lpwstr>
  </property>
  <property fmtid="{D5CDD505-2E9C-101B-9397-08002B2CF9AE}" pid="9" name="DatabaseName">
    <vt:lpwstr>Active</vt:lpwstr>
  </property>
  <property fmtid="{D5CDD505-2E9C-101B-9397-08002B2CF9AE}" pid="10" name="TypistName">
    <vt:lpwstr>19749</vt:lpwstr>
  </property>
  <property fmtid="{D5CDD505-2E9C-101B-9397-08002B2CF9AE}" pid="11" name="AuthorName">
    <vt:lpwstr>19749</vt:lpwstr>
  </property>
  <property fmtid="{D5CDD505-2E9C-101B-9397-08002B2CF9AE}" pid="12" name="InUseBy">
    <vt:lpwstr>19749</vt:lpwstr>
  </property>
  <property fmtid="{D5CDD505-2E9C-101B-9397-08002B2CF9AE}" pid="13" name="EditDate">
    <vt:lpwstr>15/11/2023 10:30:35</vt:lpwstr>
  </property>
  <property fmtid="{D5CDD505-2E9C-101B-9397-08002B2CF9AE}" pid="14" name="EditTime">
    <vt:lpwstr/>
  </property>
  <property fmtid="{D5CDD505-2E9C-101B-9397-08002B2CF9AE}" pid="15" name="IsiManageWork">
    <vt:lpwstr>True</vt:lpwstr>
  </property>
</Properties>
</file>