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D0C9CF3"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w:t>
      </w:r>
      <w:r w:rsidR="00EE45C6">
        <w:rPr>
          <w:rFonts w:ascii="Avenir Next" w:hAnsi="Avenir Next" w:cs="Arial"/>
          <w:bCs/>
          <w:sz w:val="22"/>
          <w:szCs w:val="22"/>
          <w:lang w:val="en-GB"/>
        </w:rPr>
        <w:t>,</w:t>
      </w:r>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6608FF" w:rsidRDefault="00806382" w:rsidP="00806382">
      <w:pPr>
        <w:pStyle w:val="ListParagraph"/>
        <w:numPr>
          <w:ilvl w:val="0"/>
          <w:numId w:val="15"/>
        </w:numPr>
        <w:ind w:left="425" w:hanging="357"/>
        <w:jc w:val="both"/>
        <w:rPr>
          <w:rFonts w:ascii="Avenir Next" w:hAnsi="Avenir Next" w:cs="Arial"/>
          <w:sz w:val="22"/>
          <w:szCs w:val="22"/>
          <w:highlight w:val="yellow"/>
        </w:rPr>
      </w:pPr>
      <w:r w:rsidRPr="006608FF">
        <w:rPr>
          <w:rFonts w:ascii="Avenir Next" w:hAnsi="Avenir Next" w:cs="Arial"/>
          <w:sz w:val="22"/>
          <w:szCs w:val="22"/>
          <w:highlight w:val="yellow"/>
        </w:rPr>
        <w:t xml:space="preserve">This statement is untrue since the word </w:t>
      </w:r>
      <w:r w:rsidR="00823AB4" w:rsidRPr="006608FF">
        <w:rPr>
          <w:rFonts w:ascii="Avenir Next" w:hAnsi="Avenir Next" w:cs="Arial"/>
          <w:sz w:val="22"/>
          <w:szCs w:val="22"/>
          <w:highlight w:val="yellow"/>
        </w:rPr>
        <w:t>“</w:t>
      </w:r>
      <w:r w:rsidRPr="006608FF">
        <w:rPr>
          <w:rFonts w:ascii="Avenir Next" w:hAnsi="Avenir Next" w:cs="Arial"/>
          <w:sz w:val="22"/>
          <w:szCs w:val="22"/>
          <w:highlight w:val="yellow"/>
        </w:rPr>
        <w:t>bankruptcy</w:t>
      </w:r>
      <w:r w:rsidR="00823AB4" w:rsidRPr="006608FF">
        <w:rPr>
          <w:rFonts w:ascii="Avenir Next" w:hAnsi="Avenir Next" w:cs="Arial"/>
          <w:sz w:val="22"/>
          <w:szCs w:val="22"/>
          <w:highlight w:val="yellow"/>
        </w:rPr>
        <w:t>”</w:t>
      </w:r>
      <w:r w:rsidRPr="006608FF">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328442A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r w:rsidR="008A0A52" w:rsidRPr="00DA42DA">
        <w:rPr>
          <w:rFonts w:ascii="Avenir Next" w:hAnsi="Avenir Next" w:cs="Arial"/>
          <w:sz w:val="22"/>
          <w:szCs w:val="22"/>
        </w:rPr>
        <w:t>an</w:t>
      </w:r>
      <w:r w:rsidR="008A0A52">
        <w:rPr>
          <w:rFonts w:ascii="Avenir Next" w:hAnsi="Avenir Next" w:cs="Arial"/>
          <w:sz w:val="22"/>
          <w:szCs w:val="22"/>
        </w:rPr>
        <w:t xml:space="preserve"> </w:t>
      </w:r>
      <w:r w:rsidR="001218BF">
        <w:rPr>
          <w:rFonts w:ascii="Avenir Next" w:hAnsi="Avenir Next" w:cs="Arial"/>
          <w:sz w:val="22"/>
          <w:szCs w:val="22"/>
        </w:rPr>
        <w:t>“</w:t>
      </w:r>
      <w:r w:rsidR="008A0A52" w:rsidRPr="00DA42DA">
        <w:rPr>
          <w:rFonts w:ascii="Avenir Next" w:hAnsi="Avenir Next" w:cs="Arial"/>
          <w:sz w:val="22"/>
          <w:szCs w:val="22"/>
        </w:rPr>
        <w:t>executory</w:t>
      </w:r>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1147E7" w:rsidRDefault="001211E6" w:rsidP="001211E6">
      <w:pPr>
        <w:pStyle w:val="ListParagraph"/>
        <w:numPr>
          <w:ilvl w:val="0"/>
          <w:numId w:val="16"/>
        </w:numPr>
        <w:ind w:left="426"/>
        <w:jc w:val="both"/>
        <w:rPr>
          <w:rFonts w:ascii="Avenir Next" w:hAnsi="Avenir Next" w:cs="Arial"/>
          <w:sz w:val="22"/>
          <w:szCs w:val="22"/>
          <w:highlight w:val="yellow"/>
        </w:rPr>
      </w:pPr>
      <w:r w:rsidRPr="001147E7">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becomes complete </w:t>
      </w:r>
      <w:r w:rsidRPr="0067589E">
        <w:rPr>
          <w:rFonts w:ascii="Avenir Next" w:hAnsi="Avenir Next" w:cs="Arial"/>
          <w:sz w:val="22"/>
          <w:szCs w:val="22"/>
        </w:rPr>
        <w:lastRenderedPageBreak/>
        <w:t>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94660" w:rsidRDefault="002D2356" w:rsidP="008071D5">
      <w:pPr>
        <w:jc w:val="both"/>
        <w:rPr>
          <w:rFonts w:ascii="Avenir Next Demi Bold" w:hAnsi="Avenir Next Demi Bold" w:cs="Arial"/>
          <w:b/>
          <w:bCs/>
          <w:color w:val="000000" w:themeColor="text1"/>
          <w:sz w:val="22"/>
          <w:szCs w:val="22"/>
        </w:rPr>
      </w:pPr>
      <w:r w:rsidRPr="00C94660">
        <w:rPr>
          <w:rFonts w:ascii="Avenir Next Demi Bold" w:hAnsi="Avenir Next Demi Bold" w:cs="Arial"/>
          <w:b/>
          <w:bCs/>
          <w:color w:val="000000" w:themeColor="text1"/>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Pr="006E0AD9"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6E0AD9">
        <w:rPr>
          <w:rFonts w:ascii="Avenir Next" w:eastAsiaTheme="minorHAnsi" w:hAnsi="Avenir Next" w:cs="Arial"/>
          <w:sz w:val="22"/>
          <w:szCs w:val="22"/>
          <w:lang w:val="en-GB"/>
        </w:rPr>
        <w:t>It is a 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6E0AD9"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6E0AD9">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EF3F70">
        <w:rPr>
          <w:rFonts w:ascii="Avenir Next" w:hAnsi="Avenir Next" w:cs="Arial"/>
          <w:sz w:val="22"/>
          <w:szCs w:val="22"/>
          <w:highlight w:val="yellow"/>
          <w:lang w:val="en-GB"/>
        </w:rPr>
        <w:t>This statement is incorrect since a statutory discharge of debt was only introduced in 1705 in England.</w:t>
      </w:r>
      <w:r w:rsidRPr="00DA42DA">
        <w:rPr>
          <w:rFonts w:ascii="Avenir Next" w:hAnsi="Avenir Next" w:cs="Arial"/>
          <w:sz w:val="22"/>
          <w:szCs w:val="22"/>
          <w:lang w:val="en-GB"/>
        </w:rPr>
        <w:t xml:space="preserve">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FC5146" w:rsidRDefault="006514CD" w:rsidP="006514CD">
      <w:pPr>
        <w:pStyle w:val="ListParagraph"/>
        <w:numPr>
          <w:ilvl w:val="0"/>
          <w:numId w:val="19"/>
        </w:numPr>
        <w:ind w:left="425" w:hanging="357"/>
        <w:jc w:val="both"/>
        <w:rPr>
          <w:rFonts w:ascii="Avenir Next" w:hAnsi="Avenir Next" w:cs="Arial"/>
          <w:sz w:val="22"/>
          <w:szCs w:val="22"/>
          <w:highlight w:val="yellow"/>
        </w:rPr>
      </w:pPr>
      <w:r w:rsidRPr="00FC5146">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 xml:space="preserve">What principles did Chamberlain consider essential to good bankruptcy law? </w:t>
      </w:r>
      <w:proofErr w:type="spellStart"/>
      <w:r>
        <w:rPr>
          <w:rFonts w:ascii="Avenir Next" w:hAnsi="Avenir Next" w:cs="Arial"/>
          <w:sz w:val="22"/>
          <w:szCs w:val="22"/>
          <w:lang w:val="en-GB"/>
        </w:rPr>
        <w:t>Sel</w:t>
      </w:r>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Pr="00CA3649"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CA3649">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Pr="00FC5146"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FC5146">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Pr="00FC5146" w:rsidRDefault="00D761ED" w:rsidP="00D761ED">
      <w:pPr>
        <w:pStyle w:val="ListParagraph"/>
        <w:rPr>
          <w:rFonts w:ascii="Avenir Next" w:eastAsiaTheme="minorHAnsi" w:hAnsi="Avenir Next" w:cs="Arial"/>
          <w:sz w:val="22"/>
          <w:szCs w:val="22"/>
          <w:lang w:val="en-GB"/>
        </w:rPr>
      </w:pPr>
    </w:p>
    <w:p w14:paraId="25D835A2" w14:textId="77777777" w:rsidR="00D761ED"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FC5146">
        <w:rPr>
          <w:rFonts w:ascii="Avenir Next" w:eastAsiaTheme="minorHAnsi" w:hAnsi="Avenir Next" w:cs="Arial"/>
          <w:sz w:val="22"/>
          <w:szCs w:val="22"/>
          <w:lang w:val="en-GB"/>
        </w:rPr>
        <w:t xml:space="preserve"> </w:t>
      </w:r>
      <w:r w:rsidRPr="00CA3649">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4BA2BCC6" w14:textId="77777777" w:rsidR="00486EF8" w:rsidRPr="00486EF8" w:rsidRDefault="00486EF8" w:rsidP="00486EF8">
      <w:pPr>
        <w:jc w:val="both"/>
        <w:rPr>
          <w:rFonts w:ascii="Avenir Next" w:eastAsiaTheme="minorHAnsi" w:hAnsi="Avenir Next" w:cs="Arial"/>
          <w:sz w:val="22"/>
          <w:szCs w:val="22"/>
          <w:highlight w:val="yellow"/>
          <w:lang w:val="en-GB"/>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lastRenderedPageBreak/>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CA3649" w:rsidRDefault="00AD76EF" w:rsidP="00AD76EF">
      <w:pPr>
        <w:pStyle w:val="ListParagraph"/>
        <w:numPr>
          <w:ilvl w:val="0"/>
          <w:numId w:val="17"/>
        </w:numPr>
        <w:ind w:left="426"/>
        <w:jc w:val="both"/>
        <w:rPr>
          <w:rFonts w:ascii="Avenir Next" w:hAnsi="Avenir Next" w:cs="Arial"/>
          <w:sz w:val="22"/>
          <w:szCs w:val="22"/>
          <w:highlight w:val="yellow"/>
        </w:rPr>
      </w:pPr>
      <w:r w:rsidRPr="00CA3649">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CA3649"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CA3649">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CA3649" w:rsidRDefault="009661DE" w:rsidP="009661DE">
      <w:pPr>
        <w:pStyle w:val="ListParagraph"/>
        <w:numPr>
          <w:ilvl w:val="0"/>
          <w:numId w:val="23"/>
        </w:numPr>
        <w:ind w:left="426"/>
        <w:jc w:val="both"/>
        <w:rPr>
          <w:rFonts w:ascii="Avenir Next" w:hAnsi="Avenir Next" w:cs="Arial"/>
          <w:sz w:val="22"/>
          <w:szCs w:val="22"/>
          <w:highlight w:val="yellow"/>
        </w:rPr>
      </w:pPr>
      <w:r w:rsidRPr="00CA3649">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lastRenderedPageBreak/>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EF3F70" w:rsidRDefault="003B3A0D" w:rsidP="003B3A0D">
      <w:pPr>
        <w:pStyle w:val="ListParagraph"/>
        <w:numPr>
          <w:ilvl w:val="0"/>
          <w:numId w:val="24"/>
        </w:numPr>
        <w:ind w:left="426"/>
        <w:jc w:val="both"/>
        <w:rPr>
          <w:rFonts w:ascii="Avenir Next" w:hAnsi="Avenir Next" w:cs="Arial"/>
          <w:sz w:val="22"/>
          <w:szCs w:val="22"/>
          <w:highlight w:val="yellow"/>
        </w:rPr>
      </w:pPr>
      <w:r w:rsidRPr="00EF3F70">
        <w:rPr>
          <w:rFonts w:ascii="Avenir Next" w:hAnsi="Avenir Next" w:cs="Arial"/>
          <w:sz w:val="22"/>
          <w:szCs w:val="22"/>
          <w:highlight w:val="yellow"/>
        </w:rPr>
        <w:t xml:space="preserve">This statement is untrue because universalism corresponds well to </w:t>
      </w:r>
      <w:proofErr w:type="spellStart"/>
      <w:r w:rsidRPr="00EF3F70">
        <w:rPr>
          <w:rFonts w:ascii="Avenir Next" w:hAnsi="Avenir Next" w:cs="Arial"/>
          <w:sz w:val="22"/>
          <w:szCs w:val="22"/>
          <w:highlight w:val="yellow"/>
        </w:rPr>
        <w:t>globali</w:t>
      </w:r>
      <w:r w:rsidR="00142E15" w:rsidRPr="00EF3F70">
        <w:rPr>
          <w:rFonts w:ascii="Avenir Next" w:hAnsi="Avenir Next" w:cs="Arial"/>
          <w:sz w:val="22"/>
          <w:szCs w:val="22"/>
          <w:highlight w:val="yellow"/>
        </w:rPr>
        <w:t>s</w:t>
      </w:r>
      <w:r w:rsidRPr="00EF3F70">
        <w:rPr>
          <w:rFonts w:ascii="Avenir Next" w:hAnsi="Avenir Next" w:cs="Arial"/>
          <w:sz w:val="22"/>
          <w:szCs w:val="22"/>
          <w:highlight w:val="yellow"/>
        </w:rPr>
        <w:t>ation</w:t>
      </w:r>
      <w:proofErr w:type="spellEnd"/>
      <w:r w:rsidRPr="00EF3F70">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09AD4767" w14:textId="74273FF4" w:rsidR="00677E53" w:rsidRDefault="00677E53" w:rsidP="00677E5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Both civil law and common law </w:t>
      </w:r>
      <w:r>
        <w:rPr>
          <w:rFonts w:ascii="Avenir Next" w:hAnsi="Avenir Next" w:cs="Arial"/>
          <w:color w:val="808080" w:themeColor="background1" w:themeShade="80"/>
          <w:sz w:val="22"/>
          <w:szCs w:val="22"/>
          <w:lang w:val="en-GB"/>
        </w:rPr>
        <w:t>traditions</w:t>
      </w:r>
      <w:r>
        <w:rPr>
          <w:rFonts w:ascii="Avenir Next" w:hAnsi="Avenir Next" w:cs="Arial"/>
          <w:color w:val="808080" w:themeColor="background1" w:themeShade="80"/>
          <w:sz w:val="22"/>
          <w:szCs w:val="22"/>
          <w:lang w:val="en-GB"/>
        </w:rPr>
        <w:t xml:space="preserve"> have a developed historically to the point where it can be said that both systems acknowledge insolvency law</w:t>
      </w:r>
      <w:r>
        <w:rPr>
          <w:rFonts w:ascii="Avenir Next" w:hAnsi="Avenir Next" w:cs="Arial"/>
          <w:color w:val="808080" w:themeColor="background1" w:themeShade="80"/>
          <w:sz w:val="22"/>
          <w:szCs w:val="22"/>
          <w:lang w:val="en-GB"/>
        </w:rPr>
        <w:t xml:space="preserve">. Across both types of </w:t>
      </w:r>
      <w:r w:rsidR="008C678A">
        <w:rPr>
          <w:rFonts w:ascii="Avenir Next" w:hAnsi="Avenir Next" w:cs="Arial"/>
          <w:color w:val="808080" w:themeColor="background1" w:themeShade="80"/>
          <w:sz w:val="22"/>
          <w:szCs w:val="22"/>
          <w:lang w:val="en-GB"/>
        </w:rPr>
        <w:t>systems,</w:t>
      </w:r>
      <w:r>
        <w:rPr>
          <w:rFonts w:ascii="Avenir Next" w:hAnsi="Avenir Next" w:cs="Arial"/>
          <w:color w:val="808080" w:themeColor="background1" w:themeShade="80"/>
          <w:sz w:val="22"/>
          <w:szCs w:val="22"/>
          <w:lang w:val="en-GB"/>
        </w:rPr>
        <w:t xml:space="preserve"> one may find that States have chosen to implement a single Act or Code or have taken a fragmented approach by enacting several pieces of legislation to deal with insolvency</w:t>
      </w:r>
      <w:r>
        <w:rPr>
          <w:rFonts w:ascii="Avenir Next" w:hAnsi="Avenir Next" w:cs="Arial"/>
          <w:color w:val="808080" w:themeColor="background1" w:themeShade="80"/>
          <w:sz w:val="22"/>
          <w:szCs w:val="22"/>
          <w:lang w:val="en-GB"/>
        </w:rPr>
        <w:t xml:space="preserve">. </w:t>
      </w:r>
    </w:p>
    <w:p w14:paraId="0F57CB7B" w14:textId="77777777" w:rsidR="00394B8E" w:rsidRDefault="00394B8E" w:rsidP="00394B8E">
      <w:pPr>
        <w:jc w:val="both"/>
        <w:rPr>
          <w:rFonts w:ascii="Avenir Next" w:hAnsi="Avenir Next" w:cs="Arial"/>
          <w:color w:val="808080" w:themeColor="background1" w:themeShade="80"/>
          <w:sz w:val="22"/>
          <w:szCs w:val="22"/>
          <w:lang w:val="en-GB"/>
        </w:rPr>
      </w:pPr>
    </w:p>
    <w:p w14:paraId="50760FBE" w14:textId="16670CF7" w:rsidR="00394B8E" w:rsidRDefault="00394B8E" w:rsidP="00394B8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Civil law systems (such as those of the Netherlands, France, and Germany)</w:t>
      </w:r>
      <w:r w:rsidR="00907210">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have their historical roots in the Roman law tradition. Historically, these civil law jurisdictions were very pro-creditor, however legislative reforms have provided for increased debtor protection.</w:t>
      </w:r>
      <w:r w:rsidR="00D27557">
        <w:rPr>
          <w:rFonts w:ascii="Avenir Next" w:hAnsi="Avenir Next" w:cs="Arial"/>
          <w:color w:val="808080" w:themeColor="background1" w:themeShade="80"/>
          <w:sz w:val="22"/>
          <w:szCs w:val="22"/>
          <w:lang w:val="en-GB"/>
        </w:rPr>
        <w:t xml:space="preserve"> South America</w:t>
      </w:r>
      <w:r w:rsidR="00E43FA8">
        <w:rPr>
          <w:rFonts w:ascii="Avenir Next" w:hAnsi="Avenir Next" w:cs="Arial"/>
          <w:color w:val="808080" w:themeColor="background1" w:themeShade="80"/>
          <w:sz w:val="22"/>
          <w:szCs w:val="22"/>
          <w:lang w:val="en-GB"/>
        </w:rPr>
        <w:t xml:space="preserve"> is predominantly a civil law jurisdiction and</w:t>
      </w:r>
      <w:r w:rsidR="00D27557">
        <w:rPr>
          <w:rFonts w:ascii="Avenir Next" w:hAnsi="Avenir Next" w:cs="Arial"/>
          <w:color w:val="808080" w:themeColor="background1" w:themeShade="80"/>
          <w:sz w:val="22"/>
          <w:szCs w:val="22"/>
          <w:lang w:val="en-GB"/>
        </w:rPr>
        <w:t xml:space="preserve"> is known to have one of the most unified</w:t>
      </w:r>
      <w:r w:rsidR="00E43FA8">
        <w:rPr>
          <w:rFonts w:ascii="Avenir Next" w:hAnsi="Avenir Next" w:cs="Arial"/>
          <w:color w:val="808080" w:themeColor="background1" w:themeShade="80"/>
          <w:sz w:val="22"/>
          <w:szCs w:val="22"/>
          <w:lang w:val="en-GB"/>
        </w:rPr>
        <w:t xml:space="preserve"> systems in the world.</w:t>
      </w:r>
    </w:p>
    <w:p w14:paraId="239A1004" w14:textId="77777777" w:rsidR="00394B8E" w:rsidRDefault="00394B8E" w:rsidP="00394B8E">
      <w:pPr>
        <w:jc w:val="both"/>
        <w:rPr>
          <w:rFonts w:ascii="Avenir Next" w:hAnsi="Avenir Next" w:cs="Arial"/>
          <w:color w:val="808080" w:themeColor="background1" w:themeShade="80"/>
          <w:sz w:val="22"/>
          <w:szCs w:val="22"/>
          <w:lang w:val="en-GB"/>
        </w:rPr>
      </w:pPr>
    </w:p>
    <w:p w14:paraId="2F9557D5" w14:textId="224C31CC" w:rsidR="00677E53" w:rsidRDefault="004A6102"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A common feature shared by A</w:t>
      </w:r>
      <w:r w:rsidR="00104780">
        <w:rPr>
          <w:rFonts w:ascii="Avenir Next" w:hAnsi="Avenir Next" w:cs="Arial"/>
          <w:color w:val="808080" w:themeColor="background1" w:themeShade="80"/>
          <w:sz w:val="22"/>
          <w:szCs w:val="22"/>
          <w:lang w:val="en-GB"/>
        </w:rPr>
        <w:t>nglo-American common law systems such as those of England and Wales, the United States of America</w:t>
      </w:r>
      <w:r w:rsidR="008575D4">
        <w:rPr>
          <w:rFonts w:ascii="Avenir Next" w:hAnsi="Avenir Next" w:cs="Arial"/>
          <w:color w:val="808080" w:themeColor="background1" w:themeShade="80"/>
          <w:sz w:val="22"/>
          <w:szCs w:val="22"/>
          <w:lang w:val="en-GB"/>
        </w:rPr>
        <w:t>,</w:t>
      </w:r>
      <w:r w:rsidR="00104780">
        <w:rPr>
          <w:rFonts w:ascii="Avenir Next" w:hAnsi="Avenir Next" w:cs="Arial"/>
          <w:color w:val="808080" w:themeColor="background1" w:themeShade="80"/>
          <w:sz w:val="22"/>
          <w:szCs w:val="22"/>
          <w:lang w:val="en-GB"/>
        </w:rPr>
        <w:t xml:space="preserve"> and Australia </w:t>
      </w:r>
      <w:r>
        <w:rPr>
          <w:rFonts w:ascii="Avenir Next" w:hAnsi="Avenir Next" w:cs="Arial"/>
          <w:color w:val="808080" w:themeColor="background1" w:themeShade="80"/>
          <w:sz w:val="22"/>
          <w:szCs w:val="22"/>
          <w:lang w:val="en-GB"/>
        </w:rPr>
        <w:t>is that they each have their</w:t>
      </w:r>
      <w:r w:rsidR="00104780">
        <w:rPr>
          <w:rFonts w:ascii="Avenir Next" w:hAnsi="Avenir Next" w:cs="Arial"/>
          <w:color w:val="808080" w:themeColor="background1" w:themeShade="80"/>
          <w:sz w:val="22"/>
          <w:szCs w:val="22"/>
          <w:lang w:val="en-GB"/>
        </w:rPr>
        <w:t xml:space="preserve"> historical roots in English law.</w:t>
      </w:r>
      <w:r>
        <w:rPr>
          <w:rFonts w:ascii="Avenir Next" w:hAnsi="Avenir Next" w:cs="Arial"/>
          <w:color w:val="808080" w:themeColor="background1" w:themeShade="80"/>
          <w:sz w:val="22"/>
          <w:szCs w:val="22"/>
          <w:lang w:val="en-GB"/>
        </w:rPr>
        <w:t xml:space="preserve"> </w:t>
      </w:r>
      <w:r w:rsidR="008575D4">
        <w:rPr>
          <w:rFonts w:ascii="Avenir Next" w:hAnsi="Avenir Next" w:cs="Arial"/>
          <w:color w:val="808080" w:themeColor="background1" w:themeShade="80"/>
          <w:sz w:val="22"/>
          <w:szCs w:val="22"/>
          <w:lang w:val="en-GB"/>
        </w:rPr>
        <w:t>A point of departure is that w</w:t>
      </w:r>
      <w:r>
        <w:rPr>
          <w:rFonts w:ascii="Avenir Next" w:hAnsi="Avenir Next" w:cs="Arial"/>
          <w:color w:val="808080" w:themeColor="background1" w:themeShade="80"/>
          <w:sz w:val="22"/>
          <w:szCs w:val="22"/>
          <w:lang w:val="en-GB"/>
        </w:rPr>
        <w:t xml:space="preserve">hile England and Wales and the USA have </w:t>
      </w:r>
      <w:r w:rsidRPr="004A6102">
        <w:rPr>
          <w:rFonts w:ascii="Avenir Next" w:hAnsi="Avenir Next" w:cs="Arial"/>
          <w:color w:val="808080" w:themeColor="background1" w:themeShade="80"/>
          <w:sz w:val="22"/>
          <w:szCs w:val="22"/>
          <w:lang w:val="en-GB"/>
        </w:rPr>
        <w:t>their own respective single</w:t>
      </w:r>
      <w:r>
        <w:rPr>
          <w:rFonts w:ascii="Avenir Next" w:hAnsi="Avenir Next" w:cs="Arial"/>
          <w:color w:val="808080" w:themeColor="background1" w:themeShade="80"/>
          <w:sz w:val="22"/>
          <w:szCs w:val="22"/>
          <w:lang w:val="en-GB"/>
        </w:rPr>
        <w:t>,</w:t>
      </w:r>
      <w:r w:rsidRPr="004A6102">
        <w:rPr>
          <w:rFonts w:ascii="Avenir Next" w:hAnsi="Avenir Next" w:cs="Arial"/>
          <w:color w:val="808080" w:themeColor="background1" w:themeShade="80"/>
          <w:sz w:val="22"/>
          <w:szCs w:val="22"/>
          <w:lang w:val="en-GB"/>
        </w:rPr>
        <w:t xml:space="preserve"> unified piece of insolvency legislation</w:t>
      </w:r>
      <w:r w:rsidR="008575D4">
        <w:rPr>
          <w:rFonts w:ascii="Avenir Next" w:hAnsi="Avenir Next" w:cs="Arial"/>
          <w:color w:val="808080" w:themeColor="background1" w:themeShade="80"/>
          <w:sz w:val="22"/>
          <w:szCs w:val="22"/>
          <w:lang w:val="en-GB"/>
        </w:rPr>
        <w:t xml:space="preserve"> </w:t>
      </w:r>
      <w:r w:rsidR="000701E2">
        <w:rPr>
          <w:rFonts w:ascii="Avenir Next" w:hAnsi="Avenir Next" w:cs="Arial"/>
          <w:color w:val="808080" w:themeColor="background1" w:themeShade="80"/>
          <w:sz w:val="22"/>
          <w:szCs w:val="22"/>
          <w:lang w:val="en-GB"/>
        </w:rPr>
        <w:t>that is applicable</w:t>
      </w:r>
      <w:r w:rsidR="000701E2" w:rsidRPr="004A6102">
        <w:rPr>
          <w:rFonts w:ascii="Avenir Next" w:hAnsi="Avenir Next" w:cs="Arial"/>
          <w:color w:val="808080" w:themeColor="background1" w:themeShade="80"/>
          <w:sz w:val="22"/>
          <w:szCs w:val="22"/>
          <w:lang w:val="en-GB"/>
        </w:rPr>
        <w:t xml:space="preserve"> to both personal and corporate insolvency</w:t>
      </w:r>
      <w:r w:rsidR="000701E2">
        <w:rPr>
          <w:rFonts w:ascii="Avenir Next" w:hAnsi="Avenir Next" w:cs="Arial"/>
          <w:color w:val="808080" w:themeColor="background1" w:themeShade="80"/>
          <w:sz w:val="22"/>
          <w:szCs w:val="22"/>
          <w:lang w:val="en-GB"/>
        </w:rPr>
        <w:t xml:space="preserve">, </w:t>
      </w:r>
      <w:r w:rsidR="008575D4">
        <w:rPr>
          <w:rFonts w:ascii="Avenir Next" w:hAnsi="Avenir Next" w:cs="Arial"/>
          <w:color w:val="808080" w:themeColor="background1" w:themeShade="80"/>
          <w:sz w:val="22"/>
          <w:szCs w:val="22"/>
          <w:lang w:val="en-GB"/>
        </w:rPr>
        <w:t>(the Insolvency Act 1986 and the Bankruptcy Code, respectively)</w:t>
      </w:r>
      <w:r>
        <w:rPr>
          <w:rFonts w:ascii="Avenir Next" w:hAnsi="Avenir Next" w:cs="Arial"/>
          <w:color w:val="808080" w:themeColor="background1" w:themeShade="80"/>
          <w:sz w:val="22"/>
          <w:szCs w:val="22"/>
          <w:lang w:val="en-GB"/>
        </w:rPr>
        <w:t xml:space="preserve"> Australia </w:t>
      </w:r>
      <w:r w:rsidRPr="004A6102">
        <w:rPr>
          <w:rFonts w:ascii="Avenir Next" w:hAnsi="Avenir Next" w:cs="Arial"/>
          <w:color w:val="808080" w:themeColor="background1" w:themeShade="80"/>
          <w:sz w:val="22"/>
          <w:szCs w:val="22"/>
          <w:lang w:val="en-GB"/>
        </w:rPr>
        <w:t xml:space="preserve">has </w:t>
      </w:r>
      <w:r w:rsidR="00677E53">
        <w:rPr>
          <w:rFonts w:ascii="Avenir Next" w:hAnsi="Avenir Next" w:cs="Arial"/>
          <w:color w:val="808080" w:themeColor="background1" w:themeShade="80"/>
          <w:sz w:val="22"/>
          <w:szCs w:val="22"/>
          <w:lang w:val="en-GB"/>
        </w:rPr>
        <w:t xml:space="preserve">fragmented </w:t>
      </w:r>
      <w:r w:rsidR="0045387A">
        <w:rPr>
          <w:rFonts w:ascii="Avenir Next" w:hAnsi="Avenir Next" w:cs="Arial"/>
          <w:color w:val="808080" w:themeColor="background1" w:themeShade="80"/>
          <w:sz w:val="22"/>
          <w:szCs w:val="22"/>
          <w:lang w:val="en-GB"/>
        </w:rPr>
        <w:t>insolvency legislation</w:t>
      </w:r>
      <w:r w:rsidRPr="004A6102">
        <w:rPr>
          <w:rFonts w:ascii="Avenir Next" w:hAnsi="Avenir Next" w:cs="Arial"/>
          <w:color w:val="808080" w:themeColor="background1" w:themeShade="80"/>
          <w:sz w:val="22"/>
          <w:szCs w:val="22"/>
          <w:lang w:val="en-GB"/>
        </w:rPr>
        <w:t xml:space="preserve"> </w:t>
      </w:r>
      <w:r w:rsidR="0045387A">
        <w:rPr>
          <w:rFonts w:ascii="Avenir Next" w:hAnsi="Avenir Next" w:cs="Arial"/>
          <w:color w:val="808080" w:themeColor="background1" w:themeShade="80"/>
          <w:sz w:val="22"/>
          <w:szCs w:val="22"/>
          <w:lang w:val="en-GB"/>
        </w:rPr>
        <w:t xml:space="preserve">such as the Corporations Act 2001 which </w:t>
      </w:r>
      <w:r w:rsidRPr="004A6102">
        <w:rPr>
          <w:rFonts w:ascii="Avenir Next" w:hAnsi="Avenir Next" w:cs="Arial"/>
          <w:color w:val="808080" w:themeColor="background1" w:themeShade="80"/>
          <w:sz w:val="22"/>
          <w:szCs w:val="22"/>
          <w:lang w:val="en-GB"/>
        </w:rPr>
        <w:t>deal</w:t>
      </w:r>
      <w:r w:rsidR="0045387A">
        <w:rPr>
          <w:rFonts w:ascii="Avenir Next" w:hAnsi="Avenir Next" w:cs="Arial"/>
          <w:color w:val="808080" w:themeColor="background1" w:themeShade="80"/>
          <w:sz w:val="22"/>
          <w:szCs w:val="22"/>
          <w:lang w:val="en-GB"/>
        </w:rPr>
        <w:t>s</w:t>
      </w:r>
      <w:r w:rsidRPr="004A6102">
        <w:rPr>
          <w:rFonts w:ascii="Avenir Next" w:hAnsi="Avenir Next" w:cs="Arial"/>
          <w:color w:val="808080" w:themeColor="background1" w:themeShade="80"/>
          <w:sz w:val="22"/>
          <w:szCs w:val="22"/>
          <w:lang w:val="en-GB"/>
        </w:rPr>
        <w:t xml:space="preserve"> with corporate insolvency</w:t>
      </w:r>
      <w:r w:rsidR="008575D4">
        <w:rPr>
          <w:rFonts w:ascii="Avenir Next" w:hAnsi="Avenir Next" w:cs="Arial"/>
          <w:color w:val="808080" w:themeColor="background1" w:themeShade="80"/>
          <w:sz w:val="22"/>
          <w:szCs w:val="22"/>
          <w:lang w:val="en-GB"/>
        </w:rPr>
        <w:t xml:space="preserve"> through</w:t>
      </w:r>
      <w:r w:rsidRPr="004A6102">
        <w:rPr>
          <w:rFonts w:ascii="Avenir Next" w:hAnsi="Avenir Next" w:cs="Arial"/>
          <w:color w:val="808080" w:themeColor="background1" w:themeShade="80"/>
          <w:sz w:val="22"/>
          <w:szCs w:val="22"/>
          <w:lang w:val="en-GB"/>
        </w:rPr>
        <w:t xml:space="preserve"> and </w:t>
      </w:r>
      <w:r w:rsidR="0045387A">
        <w:rPr>
          <w:rFonts w:ascii="Avenir Next" w:hAnsi="Avenir Next" w:cs="Arial"/>
          <w:color w:val="808080" w:themeColor="background1" w:themeShade="80"/>
          <w:sz w:val="22"/>
          <w:szCs w:val="22"/>
          <w:lang w:val="en-GB"/>
        </w:rPr>
        <w:t xml:space="preserve">the Bankruptcy Act of 1986 which deals with </w:t>
      </w:r>
      <w:r w:rsidRPr="004A6102">
        <w:rPr>
          <w:rFonts w:ascii="Avenir Next" w:hAnsi="Avenir Next" w:cs="Arial"/>
          <w:color w:val="808080" w:themeColor="background1" w:themeShade="80"/>
          <w:sz w:val="22"/>
          <w:szCs w:val="22"/>
          <w:lang w:val="en-GB"/>
        </w:rPr>
        <w:t>personal bankruptcy.</w:t>
      </w:r>
      <w:r>
        <w:rPr>
          <w:rFonts w:ascii="Avenir Next" w:hAnsi="Avenir Next" w:cs="Arial"/>
          <w:color w:val="808080" w:themeColor="background1" w:themeShade="80"/>
          <w:sz w:val="22"/>
          <w:szCs w:val="22"/>
          <w:lang w:val="en-GB"/>
        </w:rPr>
        <w:t xml:space="preserve"> </w:t>
      </w:r>
      <w:r w:rsidR="008575D4">
        <w:rPr>
          <w:rFonts w:ascii="Avenir Next" w:hAnsi="Avenir Next" w:cs="Arial"/>
          <w:color w:val="808080" w:themeColor="background1" w:themeShade="80"/>
          <w:sz w:val="22"/>
          <w:szCs w:val="22"/>
          <w:lang w:val="en-GB"/>
        </w:rPr>
        <w:t>Importantly, all three states have adopted the UNCITRAL Model Law on Cross-Border Insolvency.</w:t>
      </w:r>
      <w:r w:rsidR="00E54947">
        <w:rPr>
          <w:rFonts w:ascii="Avenir Next" w:hAnsi="Avenir Next" w:cs="Arial"/>
          <w:color w:val="808080" w:themeColor="background1" w:themeShade="80"/>
          <w:sz w:val="22"/>
          <w:szCs w:val="22"/>
          <w:lang w:val="en-GB"/>
        </w:rPr>
        <w:t xml:space="preserve"> </w:t>
      </w:r>
    </w:p>
    <w:p w14:paraId="2144CD5F" w14:textId="77777777" w:rsidR="00677E53" w:rsidRDefault="00677E53" w:rsidP="00692852">
      <w:pPr>
        <w:jc w:val="both"/>
        <w:rPr>
          <w:rFonts w:ascii="Avenir Next" w:hAnsi="Avenir Next" w:cs="Arial"/>
          <w:color w:val="808080" w:themeColor="background1" w:themeShade="80"/>
          <w:sz w:val="22"/>
          <w:szCs w:val="22"/>
          <w:lang w:val="en-GB"/>
        </w:rPr>
      </w:pPr>
    </w:p>
    <w:p w14:paraId="3AF67C1E" w14:textId="0403911E" w:rsidR="0045387A" w:rsidRPr="00DA42DA" w:rsidRDefault="00394B8E"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important to note that</w:t>
      </w:r>
      <w:r w:rsidR="00D27557">
        <w:rPr>
          <w:rFonts w:ascii="Avenir Next" w:hAnsi="Avenir Next" w:cs="Arial"/>
          <w:color w:val="808080" w:themeColor="background1" w:themeShade="80"/>
          <w:sz w:val="22"/>
          <w:szCs w:val="22"/>
          <w:lang w:val="en-GB"/>
        </w:rPr>
        <w:t xml:space="preserve"> emerging markets and developing countries have largely implemented either common or civil law systems typically based on the laws of their respective former colonial masters. Some States, such as South Africa, have mixed legal systems due to the pervasive historical influence of both civil and common law on their legal systems.</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216D3C8D" w14:textId="06F3273A" w:rsidR="00DA42DA" w:rsidRPr="00DA42DA" w:rsidRDefault="00BB3A01"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principle of universalism purports that a debtor’s global assets and debts should only be subject to one insolvency proceeding, ideally taking place in a singular forum – the locus of the debtor’s assets. </w:t>
      </w:r>
      <w:r w:rsidR="0039398A">
        <w:rPr>
          <w:rFonts w:ascii="Avenir Next" w:hAnsi="Avenir Next" w:cs="Arial"/>
          <w:color w:val="808080" w:themeColor="background1" w:themeShade="80"/>
          <w:sz w:val="22"/>
          <w:szCs w:val="22"/>
          <w:lang w:val="en-GB"/>
        </w:rPr>
        <w:t xml:space="preserve">Consequently, the law of that forum would have global effect, even outside the territorial jurisdiction in which the insolvency proceedings were initiated. </w:t>
      </w:r>
      <w:r w:rsidR="00E57E7C">
        <w:rPr>
          <w:rFonts w:ascii="Avenir Next" w:hAnsi="Avenir Next" w:cs="Arial"/>
          <w:color w:val="808080" w:themeColor="background1" w:themeShade="80"/>
          <w:sz w:val="22"/>
          <w:szCs w:val="22"/>
          <w:lang w:val="en-GB"/>
        </w:rPr>
        <w:t>The</w:t>
      </w:r>
      <w:r w:rsidR="0039398A">
        <w:rPr>
          <w:rFonts w:ascii="Avenir Next" w:hAnsi="Avenir Next" w:cs="Arial"/>
          <w:color w:val="808080" w:themeColor="background1" w:themeShade="80"/>
          <w:sz w:val="22"/>
          <w:szCs w:val="22"/>
          <w:lang w:val="en-GB"/>
        </w:rPr>
        <w:t xml:space="preserve"> </w:t>
      </w:r>
      <w:r w:rsidR="00E57E7C">
        <w:rPr>
          <w:rFonts w:ascii="Avenir Next" w:hAnsi="Avenir Next" w:cs="Arial"/>
          <w:color w:val="808080" w:themeColor="background1" w:themeShade="80"/>
          <w:sz w:val="22"/>
          <w:szCs w:val="22"/>
          <w:lang w:val="en-GB"/>
        </w:rPr>
        <w:t xml:space="preserve">principle of territorialism, on the </w:t>
      </w:r>
      <w:r w:rsidR="00A51EE3">
        <w:rPr>
          <w:rFonts w:ascii="Avenir Next" w:hAnsi="Avenir Next" w:cs="Arial"/>
          <w:color w:val="808080" w:themeColor="background1" w:themeShade="80"/>
          <w:sz w:val="22"/>
          <w:szCs w:val="22"/>
          <w:lang w:val="en-GB"/>
        </w:rPr>
        <w:t>other hand</w:t>
      </w:r>
      <w:r w:rsidR="00A94559">
        <w:rPr>
          <w:rFonts w:ascii="Avenir Next" w:hAnsi="Avenir Next" w:cs="Arial"/>
          <w:color w:val="808080" w:themeColor="background1" w:themeShade="80"/>
          <w:sz w:val="22"/>
          <w:szCs w:val="22"/>
          <w:lang w:val="en-GB"/>
        </w:rPr>
        <w:t>, prioritises national interests and</w:t>
      </w:r>
      <w:r w:rsidR="00E57E7C">
        <w:rPr>
          <w:rFonts w:ascii="Avenir Next" w:hAnsi="Avenir Next" w:cs="Arial"/>
          <w:color w:val="808080" w:themeColor="background1" w:themeShade="80"/>
          <w:sz w:val="22"/>
          <w:szCs w:val="22"/>
          <w:lang w:val="en-GB"/>
        </w:rPr>
        <w:t xml:space="preserve"> </w:t>
      </w:r>
      <w:r w:rsidR="00A94559">
        <w:rPr>
          <w:rFonts w:ascii="Avenir Next" w:hAnsi="Avenir Next" w:cs="Arial"/>
          <w:color w:val="808080" w:themeColor="background1" w:themeShade="80"/>
          <w:sz w:val="22"/>
          <w:szCs w:val="22"/>
          <w:lang w:val="en-GB"/>
        </w:rPr>
        <w:t xml:space="preserve">supports the launching multiple concurrent insolvency proceedings against the same debtor. It </w:t>
      </w:r>
      <w:r w:rsidR="00E57E7C">
        <w:rPr>
          <w:rFonts w:ascii="Avenir Next" w:hAnsi="Avenir Next" w:cs="Arial"/>
          <w:color w:val="808080" w:themeColor="background1" w:themeShade="80"/>
          <w:sz w:val="22"/>
          <w:szCs w:val="22"/>
          <w:lang w:val="en-GB"/>
        </w:rPr>
        <w:t xml:space="preserve">is grounded on the idea that </w:t>
      </w:r>
      <w:r w:rsidR="00A94559">
        <w:rPr>
          <w:rFonts w:ascii="Avenir Next" w:hAnsi="Avenir Next" w:cs="Arial"/>
          <w:color w:val="808080" w:themeColor="background1" w:themeShade="80"/>
          <w:sz w:val="22"/>
          <w:szCs w:val="22"/>
          <w:lang w:val="en-GB"/>
        </w:rPr>
        <w:t xml:space="preserve">such </w:t>
      </w:r>
      <w:r w:rsidR="00E57E7C">
        <w:rPr>
          <w:rFonts w:ascii="Avenir Next" w:hAnsi="Avenir Next" w:cs="Arial"/>
          <w:color w:val="808080" w:themeColor="background1" w:themeShade="80"/>
          <w:sz w:val="22"/>
          <w:szCs w:val="22"/>
          <w:lang w:val="en-GB"/>
        </w:rPr>
        <w:t>proceedings may be initiated in every State or jurisdiction where the debtor has assets</w:t>
      </w:r>
      <w:r w:rsidR="00907210">
        <w:rPr>
          <w:rFonts w:ascii="Avenir Next" w:hAnsi="Avenir Next" w:cs="Arial"/>
          <w:color w:val="808080" w:themeColor="background1" w:themeShade="80"/>
          <w:sz w:val="22"/>
          <w:szCs w:val="22"/>
          <w:lang w:val="en-GB"/>
        </w:rPr>
        <w:t>,</w:t>
      </w:r>
      <w:r w:rsidR="00E57E7C">
        <w:rPr>
          <w:rFonts w:ascii="Avenir Next" w:hAnsi="Avenir Next" w:cs="Arial"/>
          <w:color w:val="808080" w:themeColor="background1" w:themeShade="80"/>
          <w:sz w:val="22"/>
          <w:szCs w:val="22"/>
          <w:lang w:val="en-GB"/>
        </w:rPr>
        <w:t xml:space="preserve"> but that such proceedings should be territorially limited and confined to assets within State where proceedings are commenced</w:t>
      </w:r>
      <w:r w:rsidR="00A94559">
        <w:rPr>
          <w:rFonts w:ascii="Avenir Next" w:hAnsi="Avenir Next" w:cs="Arial"/>
          <w:color w:val="808080" w:themeColor="background1" w:themeShade="80"/>
          <w:sz w:val="22"/>
          <w:szCs w:val="22"/>
          <w:lang w:val="en-GB"/>
        </w:rPr>
        <w:t>. Modified universalism</w:t>
      </w:r>
      <w:r w:rsidR="0039398A">
        <w:rPr>
          <w:rFonts w:ascii="Avenir Next" w:hAnsi="Avenir Next" w:cs="Arial"/>
          <w:color w:val="808080" w:themeColor="background1" w:themeShade="80"/>
          <w:sz w:val="22"/>
          <w:szCs w:val="22"/>
          <w:lang w:val="en-GB"/>
        </w:rPr>
        <w:t xml:space="preserve"> may be viewed as a compromise between territorialism and universalism in which primary proceedings are commenced in the jurisdiction deemed to be </w:t>
      </w:r>
      <w:r w:rsidR="00A51EE3">
        <w:rPr>
          <w:rFonts w:ascii="Avenir Next" w:hAnsi="Avenir Next" w:cs="Arial"/>
          <w:color w:val="808080" w:themeColor="background1" w:themeShade="80"/>
          <w:sz w:val="22"/>
          <w:szCs w:val="22"/>
          <w:lang w:val="en-GB"/>
        </w:rPr>
        <w:t>debtor’s</w:t>
      </w:r>
      <w:r w:rsidR="00A51EE3">
        <w:rPr>
          <w:rFonts w:ascii="Avenir Next" w:hAnsi="Avenir Next" w:cs="Arial"/>
          <w:color w:val="808080" w:themeColor="background1" w:themeShade="80"/>
          <w:sz w:val="22"/>
          <w:szCs w:val="22"/>
          <w:lang w:val="en-GB"/>
        </w:rPr>
        <w:t xml:space="preserve"> </w:t>
      </w:r>
      <w:r w:rsidR="0039398A">
        <w:rPr>
          <w:rFonts w:ascii="Avenir Next" w:hAnsi="Avenir Next" w:cs="Arial"/>
          <w:color w:val="808080" w:themeColor="background1" w:themeShade="80"/>
          <w:sz w:val="22"/>
          <w:szCs w:val="22"/>
          <w:lang w:val="en-GB"/>
        </w:rPr>
        <w:t xml:space="preserve">centre of main interests </w:t>
      </w:r>
      <w:r w:rsidR="00A51EE3">
        <w:rPr>
          <w:rFonts w:ascii="Avenir Next" w:hAnsi="Avenir Next" w:cs="Arial"/>
          <w:color w:val="808080" w:themeColor="background1" w:themeShade="80"/>
          <w:sz w:val="22"/>
          <w:szCs w:val="22"/>
          <w:lang w:val="en-GB"/>
        </w:rPr>
        <w:t xml:space="preserve">(‘COMI’) </w:t>
      </w:r>
      <w:r w:rsidR="0039398A">
        <w:rPr>
          <w:rFonts w:ascii="Avenir Next" w:hAnsi="Avenir Next" w:cs="Arial"/>
          <w:color w:val="808080" w:themeColor="background1" w:themeShade="80"/>
          <w:sz w:val="22"/>
          <w:szCs w:val="22"/>
          <w:lang w:val="en-GB"/>
        </w:rPr>
        <w:t xml:space="preserve">and secondary or ancillary proceedings take place in support in another jurisdiction. </w:t>
      </w:r>
      <w:r w:rsidR="00864EBE">
        <w:rPr>
          <w:rFonts w:ascii="Avenir Next" w:hAnsi="Avenir Next" w:cs="Arial"/>
          <w:color w:val="808080" w:themeColor="background1" w:themeShade="80"/>
          <w:sz w:val="22"/>
          <w:szCs w:val="22"/>
          <w:lang w:val="en-GB"/>
        </w:rPr>
        <w:t xml:space="preserve">A critical element of this approach is judicial cooperation between the courts handling the respective proceedings. </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130240A8" w14:textId="13BF6FE1" w:rsidR="00FB512A" w:rsidRDefault="009A116C"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Latin American States </w:t>
      </w:r>
      <w:r w:rsidR="00BE0559">
        <w:rPr>
          <w:rFonts w:ascii="Avenir Next" w:hAnsi="Avenir Next" w:cs="Arial"/>
          <w:color w:val="808080" w:themeColor="background1" w:themeShade="80"/>
          <w:sz w:val="22"/>
          <w:szCs w:val="22"/>
          <w:lang w:val="en-GB"/>
        </w:rPr>
        <w:t xml:space="preserve">are credited as having some of the most enduring multilateral agreements on dealing with bankruptcy/insolvency matters. </w:t>
      </w:r>
      <w:r w:rsidR="00C87EAA">
        <w:rPr>
          <w:rFonts w:ascii="Avenir Next" w:hAnsi="Avenir Next" w:cs="Arial"/>
          <w:color w:val="808080" w:themeColor="background1" w:themeShade="80"/>
          <w:sz w:val="22"/>
          <w:szCs w:val="22"/>
          <w:lang w:val="en-GB"/>
        </w:rPr>
        <w:t>Th</w:t>
      </w:r>
      <w:r w:rsidR="00BE0559">
        <w:rPr>
          <w:rFonts w:ascii="Avenir Next" w:hAnsi="Avenir Next" w:cs="Arial"/>
          <w:color w:val="808080" w:themeColor="background1" w:themeShade="80"/>
          <w:sz w:val="22"/>
          <w:szCs w:val="22"/>
          <w:lang w:val="en-GB"/>
        </w:rPr>
        <w:t>e</w:t>
      </w:r>
      <w:r w:rsidR="00FB512A">
        <w:rPr>
          <w:rFonts w:ascii="Avenir Next" w:hAnsi="Avenir Next" w:cs="Arial"/>
          <w:color w:val="808080" w:themeColor="background1" w:themeShade="80"/>
          <w:sz w:val="22"/>
          <w:szCs w:val="22"/>
          <w:lang w:val="en-GB"/>
        </w:rPr>
        <w:t xml:space="preserve"> Montevideo Treat</w:t>
      </w:r>
      <w:r w:rsidR="00C87EAA">
        <w:rPr>
          <w:rFonts w:ascii="Avenir Next" w:hAnsi="Avenir Next" w:cs="Arial"/>
          <w:color w:val="808080" w:themeColor="background1" w:themeShade="80"/>
          <w:sz w:val="22"/>
          <w:szCs w:val="22"/>
          <w:lang w:val="en-GB"/>
        </w:rPr>
        <w:t>y on International Commercial Law</w:t>
      </w:r>
      <w:r w:rsidR="00FB512A">
        <w:rPr>
          <w:rFonts w:ascii="Avenir Next" w:hAnsi="Avenir Next" w:cs="Arial"/>
          <w:color w:val="808080" w:themeColor="background1" w:themeShade="80"/>
          <w:sz w:val="22"/>
          <w:szCs w:val="22"/>
          <w:lang w:val="en-GB"/>
        </w:rPr>
        <w:t xml:space="preserve"> </w:t>
      </w:r>
      <w:r w:rsidR="00FB512A">
        <w:rPr>
          <w:rFonts w:ascii="Avenir Next" w:hAnsi="Avenir Next" w:cs="Arial"/>
          <w:color w:val="808080" w:themeColor="background1" w:themeShade="80"/>
          <w:sz w:val="22"/>
          <w:szCs w:val="22"/>
          <w:lang w:val="en-GB"/>
        </w:rPr>
        <w:t>(1889)</w:t>
      </w:r>
      <w:r w:rsidR="00C87EAA">
        <w:rPr>
          <w:rFonts w:ascii="Avenir Next" w:hAnsi="Avenir Next" w:cs="Arial"/>
          <w:color w:val="808080" w:themeColor="background1" w:themeShade="80"/>
          <w:sz w:val="22"/>
          <w:szCs w:val="22"/>
          <w:lang w:val="en-GB"/>
        </w:rPr>
        <w:t>,</w:t>
      </w:r>
      <w:r w:rsidR="00FB512A">
        <w:rPr>
          <w:rFonts w:ascii="Avenir Next" w:hAnsi="Avenir Next" w:cs="Arial"/>
          <w:color w:val="808080" w:themeColor="background1" w:themeShade="80"/>
          <w:sz w:val="22"/>
          <w:szCs w:val="22"/>
          <w:lang w:val="en-GB"/>
        </w:rPr>
        <w:t xml:space="preserve"> </w:t>
      </w:r>
      <w:r w:rsidR="00C87EAA">
        <w:rPr>
          <w:rFonts w:ascii="Avenir Next" w:hAnsi="Avenir Next" w:cs="Arial"/>
          <w:color w:val="808080" w:themeColor="background1" w:themeShade="80"/>
          <w:sz w:val="22"/>
          <w:szCs w:val="22"/>
          <w:lang w:val="en-GB"/>
        </w:rPr>
        <w:t xml:space="preserve">the Montevideo Treaty on International Commercial Terrestrial Law </w:t>
      </w:r>
      <w:r w:rsidR="00FB512A">
        <w:rPr>
          <w:rFonts w:ascii="Avenir Next" w:hAnsi="Avenir Next" w:cs="Arial"/>
          <w:color w:val="808080" w:themeColor="background1" w:themeShade="80"/>
          <w:sz w:val="22"/>
          <w:szCs w:val="22"/>
          <w:lang w:val="en-GB"/>
        </w:rPr>
        <w:t xml:space="preserve">(1940) </w:t>
      </w:r>
      <w:r w:rsidR="00FB512A">
        <w:rPr>
          <w:rFonts w:ascii="Avenir Next" w:hAnsi="Avenir Next" w:cs="Arial"/>
          <w:color w:val="808080" w:themeColor="background1" w:themeShade="80"/>
          <w:sz w:val="22"/>
          <w:szCs w:val="22"/>
          <w:lang w:val="en-GB"/>
        </w:rPr>
        <w:t>(the “</w:t>
      </w:r>
      <w:r w:rsidR="00BF0F3E">
        <w:rPr>
          <w:rFonts w:ascii="Avenir Next" w:hAnsi="Avenir Next" w:cs="Arial"/>
          <w:color w:val="808080" w:themeColor="background1" w:themeShade="80"/>
          <w:sz w:val="22"/>
          <w:szCs w:val="22"/>
          <w:lang w:val="en-GB"/>
        </w:rPr>
        <w:t xml:space="preserve">Montevideo </w:t>
      </w:r>
      <w:r w:rsidR="00FB512A">
        <w:rPr>
          <w:rFonts w:ascii="Avenir Next" w:hAnsi="Avenir Next" w:cs="Arial"/>
          <w:color w:val="808080" w:themeColor="background1" w:themeShade="80"/>
          <w:sz w:val="22"/>
          <w:szCs w:val="22"/>
          <w:lang w:val="en-GB"/>
        </w:rPr>
        <w:t>18</w:t>
      </w:r>
      <w:r w:rsidR="00BF0F3E">
        <w:rPr>
          <w:rFonts w:ascii="Avenir Next" w:hAnsi="Avenir Next" w:cs="Arial"/>
          <w:color w:val="808080" w:themeColor="background1" w:themeShade="80"/>
          <w:sz w:val="22"/>
          <w:szCs w:val="22"/>
          <w:lang w:val="en-GB"/>
        </w:rPr>
        <w:t>89</w:t>
      </w:r>
      <w:r w:rsidR="00FB512A">
        <w:rPr>
          <w:rFonts w:ascii="Avenir Next" w:hAnsi="Avenir Next" w:cs="Arial"/>
          <w:color w:val="808080" w:themeColor="background1" w:themeShade="80"/>
          <w:sz w:val="22"/>
          <w:szCs w:val="22"/>
          <w:lang w:val="en-GB"/>
        </w:rPr>
        <w:t>” and the “</w:t>
      </w:r>
      <w:r w:rsidR="00BF0F3E">
        <w:rPr>
          <w:rFonts w:ascii="Avenir Next" w:hAnsi="Avenir Next" w:cs="Arial"/>
          <w:color w:val="808080" w:themeColor="background1" w:themeShade="80"/>
          <w:sz w:val="22"/>
          <w:szCs w:val="22"/>
          <w:lang w:val="en-GB"/>
        </w:rPr>
        <w:t xml:space="preserve">Montevideo </w:t>
      </w:r>
      <w:r w:rsidR="00FB512A">
        <w:rPr>
          <w:rFonts w:ascii="Avenir Next" w:hAnsi="Avenir Next" w:cs="Arial"/>
          <w:color w:val="808080" w:themeColor="background1" w:themeShade="80"/>
          <w:sz w:val="22"/>
          <w:szCs w:val="22"/>
          <w:lang w:val="en-GB"/>
        </w:rPr>
        <w:t>1940”, respectively)</w:t>
      </w:r>
      <w:r w:rsidR="00BE0559">
        <w:rPr>
          <w:rFonts w:ascii="Avenir Next" w:hAnsi="Avenir Next" w:cs="Arial"/>
          <w:color w:val="808080" w:themeColor="background1" w:themeShade="80"/>
          <w:sz w:val="22"/>
          <w:szCs w:val="22"/>
          <w:lang w:val="en-GB"/>
        </w:rPr>
        <w:t>,</w:t>
      </w:r>
      <w:r w:rsidR="00BF0F3E">
        <w:rPr>
          <w:rFonts w:ascii="Avenir Next" w:hAnsi="Avenir Next" w:cs="Arial"/>
          <w:color w:val="808080" w:themeColor="background1" w:themeShade="80"/>
          <w:sz w:val="22"/>
          <w:szCs w:val="22"/>
          <w:lang w:val="en-GB"/>
        </w:rPr>
        <w:t xml:space="preserve"> the Montevideo Treaty on International Procedural Law (1940) (the “1940 Procedural Law </w:t>
      </w:r>
      <w:r w:rsidR="00BF0F3E">
        <w:rPr>
          <w:rFonts w:ascii="Avenir Next" w:hAnsi="Avenir Next" w:cs="Arial"/>
          <w:color w:val="808080" w:themeColor="background1" w:themeShade="80"/>
          <w:sz w:val="22"/>
          <w:szCs w:val="22"/>
          <w:lang w:val="en-GB"/>
        </w:rPr>
        <w:lastRenderedPageBreak/>
        <w:t>Treaty”),</w:t>
      </w:r>
      <w:r w:rsidR="00FB512A">
        <w:rPr>
          <w:rFonts w:ascii="Avenir Next" w:hAnsi="Avenir Next" w:cs="Arial"/>
          <w:color w:val="808080" w:themeColor="background1" w:themeShade="80"/>
          <w:sz w:val="22"/>
          <w:szCs w:val="22"/>
          <w:lang w:val="en-GB"/>
        </w:rPr>
        <w:t xml:space="preserve"> and the Havana Convention on Private International Law (1928) (</w:t>
      </w:r>
      <w:r w:rsidR="00FB512A">
        <w:rPr>
          <w:rFonts w:ascii="Avenir Next" w:hAnsi="Avenir Next" w:cs="Arial"/>
          <w:color w:val="808080" w:themeColor="background1" w:themeShade="80"/>
          <w:sz w:val="22"/>
          <w:szCs w:val="22"/>
          <w:lang w:val="en-GB"/>
        </w:rPr>
        <w:t xml:space="preserve">the </w:t>
      </w:r>
      <w:r w:rsidR="00FB512A">
        <w:rPr>
          <w:rFonts w:ascii="Avenir Next" w:hAnsi="Avenir Next" w:cs="Arial"/>
          <w:color w:val="808080" w:themeColor="background1" w:themeShade="80"/>
          <w:sz w:val="22"/>
          <w:szCs w:val="22"/>
          <w:lang w:val="en-GB"/>
        </w:rPr>
        <w:t>“</w:t>
      </w:r>
      <w:r w:rsidR="00FB512A">
        <w:rPr>
          <w:rFonts w:ascii="Avenir Next" w:hAnsi="Avenir Next" w:cs="Arial"/>
          <w:color w:val="808080" w:themeColor="background1" w:themeShade="80"/>
          <w:sz w:val="22"/>
          <w:szCs w:val="22"/>
          <w:lang w:val="en-GB"/>
        </w:rPr>
        <w:t>Bustamante Code</w:t>
      </w:r>
      <w:r w:rsidR="00FB512A">
        <w:rPr>
          <w:rFonts w:ascii="Avenir Next" w:hAnsi="Avenir Next" w:cs="Arial"/>
          <w:color w:val="808080" w:themeColor="background1" w:themeShade="80"/>
          <w:sz w:val="22"/>
          <w:szCs w:val="22"/>
          <w:lang w:val="en-GB"/>
        </w:rPr>
        <w:t>”)</w:t>
      </w:r>
      <w:r w:rsidR="00C87EAA">
        <w:rPr>
          <w:rFonts w:ascii="Avenir Next" w:hAnsi="Avenir Next" w:cs="Arial"/>
          <w:color w:val="808080" w:themeColor="background1" w:themeShade="80"/>
          <w:sz w:val="22"/>
          <w:szCs w:val="22"/>
          <w:lang w:val="en-GB"/>
        </w:rPr>
        <w:t xml:space="preserve"> are </w:t>
      </w:r>
      <w:r w:rsidR="00BE0559">
        <w:rPr>
          <w:rFonts w:ascii="Avenir Next" w:hAnsi="Avenir Next" w:cs="Arial"/>
          <w:color w:val="808080" w:themeColor="background1" w:themeShade="80"/>
          <w:sz w:val="22"/>
          <w:szCs w:val="22"/>
          <w:lang w:val="en-GB"/>
        </w:rPr>
        <w:t xml:space="preserve">examples of </w:t>
      </w:r>
      <w:r w:rsidR="00C87EAA">
        <w:rPr>
          <w:rFonts w:ascii="Avenir Next" w:hAnsi="Avenir Next" w:cs="Arial"/>
          <w:color w:val="808080" w:themeColor="background1" w:themeShade="80"/>
          <w:sz w:val="22"/>
          <w:szCs w:val="22"/>
          <w:lang w:val="en-GB"/>
        </w:rPr>
        <w:t xml:space="preserve">general </w:t>
      </w:r>
      <w:r w:rsidR="00BE0559">
        <w:rPr>
          <w:rFonts w:ascii="Avenir Next" w:hAnsi="Avenir Next" w:cs="Arial"/>
          <w:color w:val="808080" w:themeColor="background1" w:themeShade="80"/>
          <w:sz w:val="22"/>
          <w:szCs w:val="22"/>
          <w:lang w:val="en-GB"/>
        </w:rPr>
        <w:t xml:space="preserve">commerce and private international law </w:t>
      </w:r>
      <w:r w:rsidR="00C87EAA">
        <w:rPr>
          <w:rFonts w:ascii="Avenir Next" w:hAnsi="Avenir Next" w:cs="Arial"/>
          <w:color w:val="808080" w:themeColor="background1" w:themeShade="80"/>
          <w:sz w:val="22"/>
          <w:szCs w:val="22"/>
          <w:lang w:val="en-GB"/>
        </w:rPr>
        <w:t xml:space="preserve">conventions </w:t>
      </w:r>
      <w:r w:rsidR="00BE0559">
        <w:rPr>
          <w:rFonts w:ascii="Avenir Next" w:hAnsi="Avenir Next" w:cs="Arial"/>
          <w:color w:val="808080" w:themeColor="background1" w:themeShade="80"/>
          <w:sz w:val="22"/>
          <w:szCs w:val="22"/>
          <w:lang w:val="en-GB"/>
        </w:rPr>
        <w:t>concluded by different</w:t>
      </w:r>
      <w:r w:rsidR="00BE0559" w:rsidRPr="00C87EAA">
        <w:rPr>
          <w:rFonts w:ascii="Avenir Next" w:hAnsi="Avenir Next" w:cs="Arial"/>
          <w:color w:val="808080" w:themeColor="background1" w:themeShade="80"/>
          <w:sz w:val="22"/>
          <w:szCs w:val="22"/>
          <w:lang w:val="en-GB"/>
        </w:rPr>
        <w:t xml:space="preserve"> </w:t>
      </w:r>
      <w:r w:rsidR="00BE0559">
        <w:rPr>
          <w:rFonts w:ascii="Avenir Next" w:hAnsi="Avenir Next" w:cs="Arial"/>
          <w:color w:val="808080" w:themeColor="background1" w:themeShade="80"/>
          <w:sz w:val="22"/>
          <w:szCs w:val="22"/>
          <w:lang w:val="en-GB"/>
        </w:rPr>
        <w:t>groups of Latin American States</w:t>
      </w:r>
      <w:r w:rsidR="00BE0559">
        <w:rPr>
          <w:rFonts w:ascii="Avenir Next" w:hAnsi="Avenir Next" w:cs="Arial"/>
          <w:color w:val="808080" w:themeColor="background1" w:themeShade="80"/>
          <w:sz w:val="22"/>
          <w:szCs w:val="22"/>
          <w:lang w:val="en-GB"/>
        </w:rPr>
        <w:t xml:space="preserve"> which address insolvency matters.</w:t>
      </w:r>
    </w:p>
    <w:p w14:paraId="02C08E97" w14:textId="77777777" w:rsidR="00BE0559" w:rsidRDefault="00BE0559" w:rsidP="00DA42DA">
      <w:pPr>
        <w:jc w:val="both"/>
        <w:rPr>
          <w:rFonts w:ascii="Avenir Next" w:hAnsi="Avenir Next" w:cs="Arial"/>
          <w:color w:val="808080" w:themeColor="background1" w:themeShade="80"/>
          <w:sz w:val="22"/>
          <w:szCs w:val="22"/>
          <w:lang w:val="en-GB"/>
        </w:rPr>
      </w:pPr>
    </w:p>
    <w:p w14:paraId="797AEFE7" w14:textId="08EDA4BA" w:rsidR="00BE0559" w:rsidRDefault="00BE0559"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he</w:t>
      </w:r>
      <w:r>
        <w:rPr>
          <w:rFonts w:ascii="Avenir Next" w:hAnsi="Avenir Next" w:cs="Arial"/>
          <w:color w:val="808080" w:themeColor="background1" w:themeShade="80"/>
          <w:sz w:val="22"/>
          <w:szCs w:val="22"/>
          <w:lang w:val="en-GB"/>
        </w:rPr>
        <w:t xml:space="preserve"> </w:t>
      </w:r>
      <w:r w:rsidR="00BF0F3E">
        <w:rPr>
          <w:rFonts w:ascii="Avenir Next" w:hAnsi="Avenir Next" w:cs="Arial"/>
          <w:color w:val="808080" w:themeColor="background1" w:themeShade="80"/>
          <w:sz w:val="22"/>
          <w:szCs w:val="22"/>
          <w:lang w:val="en-GB"/>
        </w:rPr>
        <w:t xml:space="preserve">Montevideo </w:t>
      </w:r>
      <w:r w:rsidR="004837D5">
        <w:rPr>
          <w:rFonts w:ascii="Avenir Next" w:hAnsi="Avenir Next" w:cs="Arial"/>
          <w:color w:val="808080" w:themeColor="background1" w:themeShade="80"/>
          <w:sz w:val="22"/>
          <w:szCs w:val="22"/>
          <w:lang w:val="en-GB"/>
        </w:rPr>
        <w:t>1889</w:t>
      </w:r>
      <w:r>
        <w:rPr>
          <w:rFonts w:ascii="Avenir Next" w:hAnsi="Avenir Next" w:cs="Arial"/>
          <w:color w:val="808080" w:themeColor="background1" w:themeShade="80"/>
          <w:sz w:val="22"/>
          <w:szCs w:val="22"/>
          <w:lang w:val="en-GB"/>
        </w:rPr>
        <w:t xml:space="preserve"> has been ratified by </w:t>
      </w:r>
      <w:r w:rsidR="00773897">
        <w:rPr>
          <w:rFonts w:ascii="Avenir Next" w:hAnsi="Avenir Next" w:cs="Arial"/>
          <w:color w:val="808080" w:themeColor="background1" w:themeShade="80"/>
          <w:sz w:val="22"/>
          <w:szCs w:val="22"/>
          <w:lang w:val="en-GB"/>
        </w:rPr>
        <w:t>six Latin American States</w:t>
      </w:r>
      <w:r w:rsidR="006E215A">
        <w:rPr>
          <w:rFonts w:ascii="Avenir Next" w:hAnsi="Avenir Next" w:cs="Arial"/>
          <w:color w:val="808080" w:themeColor="background1" w:themeShade="80"/>
          <w:sz w:val="22"/>
          <w:szCs w:val="22"/>
          <w:lang w:val="en-GB"/>
        </w:rPr>
        <w:t xml:space="preserve"> and</w:t>
      </w:r>
      <w:r w:rsidR="00773897">
        <w:rPr>
          <w:rFonts w:ascii="Avenir Next" w:hAnsi="Avenir Next" w:cs="Arial"/>
          <w:color w:val="808080" w:themeColor="background1" w:themeShade="80"/>
          <w:sz w:val="22"/>
          <w:szCs w:val="22"/>
          <w:lang w:val="en-GB"/>
        </w:rPr>
        <w:t xml:space="preserve"> covers both personal and corporate insolvency. It provides for bankruptcy jurisdiction based on the debtor’s commercial domicile</w:t>
      </w:r>
      <w:r w:rsidR="006E215A">
        <w:rPr>
          <w:rFonts w:ascii="Avenir Next" w:hAnsi="Avenir Next" w:cs="Arial"/>
          <w:color w:val="808080" w:themeColor="background1" w:themeShade="80"/>
          <w:sz w:val="22"/>
          <w:szCs w:val="22"/>
          <w:lang w:val="en-GB"/>
        </w:rPr>
        <w:t xml:space="preserve"> in two circumstances. Firstly, </w:t>
      </w:r>
      <w:r w:rsidR="00773897">
        <w:rPr>
          <w:rFonts w:ascii="Avenir Next" w:hAnsi="Avenir Next" w:cs="Arial"/>
          <w:color w:val="808080" w:themeColor="background1" w:themeShade="80"/>
          <w:sz w:val="22"/>
          <w:szCs w:val="22"/>
          <w:lang w:val="en-GB"/>
        </w:rPr>
        <w:t xml:space="preserve">where </w:t>
      </w:r>
      <w:r w:rsidR="006E215A">
        <w:rPr>
          <w:rFonts w:ascii="Avenir Next" w:hAnsi="Avenir Next" w:cs="Arial"/>
          <w:color w:val="808080" w:themeColor="background1" w:themeShade="80"/>
          <w:sz w:val="22"/>
          <w:szCs w:val="22"/>
          <w:lang w:val="en-GB"/>
        </w:rPr>
        <w:t xml:space="preserve">the debtor’s commercial domicile is in one treaty State, it permits only one set of proceedings in the commercial domicile even if the debtor occasionally conducts business in other States. Secondly, where the debtor has more than one economically autonomous business in different treaty States, it </w:t>
      </w:r>
      <w:r w:rsidR="004627E6">
        <w:rPr>
          <w:rFonts w:ascii="Avenir Next" w:hAnsi="Avenir Next" w:cs="Arial"/>
          <w:color w:val="808080" w:themeColor="background1" w:themeShade="80"/>
          <w:sz w:val="22"/>
          <w:szCs w:val="22"/>
          <w:lang w:val="en-GB"/>
        </w:rPr>
        <w:t xml:space="preserve">permits </w:t>
      </w:r>
      <w:r w:rsidR="006E215A">
        <w:rPr>
          <w:rFonts w:ascii="Avenir Next" w:hAnsi="Avenir Next" w:cs="Arial"/>
          <w:color w:val="808080" w:themeColor="background1" w:themeShade="80"/>
          <w:sz w:val="22"/>
          <w:szCs w:val="22"/>
          <w:lang w:val="en-GB"/>
        </w:rPr>
        <w:t>concurrent proceedings.</w:t>
      </w:r>
      <w:r w:rsidR="004627E6">
        <w:rPr>
          <w:rFonts w:ascii="Avenir Next" w:hAnsi="Avenir Next" w:cs="Arial"/>
          <w:color w:val="808080" w:themeColor="background1" w:themeShade="80"/>
          <w:sz w:val="22"/>
          <w:szCs w:val="22"/>
          <w:lang w:val="en-GB"/>
        </w:rPr>
        <w:t xml:space="preserve"> Therefore, if insolvency proceedings are commenced in one of the States, then a local creditor in another State(s) containing an econom</w:t>
      </w:r>
      <w:r w:rsidR="00CD0571">
        <w:rPr>
          <w:rFonts w:ascii="Avenir Next" w:hAnsi="Avenir Next" w:cs="Arial"/>
          <w:color w:val="808080" w:themeColor="background1" w:themeShade="80"/>
          <w:sz w:val="22"/>
          <w:szCs w:val="22"/>
          <w:lang w:val="en-GB"/>
        </w:rPr>
        <w:t>ically</w:t>
      </w:r>
      <w:r w:rsidR="004627E6">
        <w:rPr>
          <w:rFonts w:ascii="Avenir Next" w:hAnsi="Avenir Next" w:cs="Arial"/>
          <w:color w:val="808080" w:themeColor="background1" w:themeShade="80"/>
          <w:sz w:val="22"/>
          <w:szCs w:val="22"/>
          <w:lang w:val="en-GB"/>
        </w:rPr>
        <w:t xml:space="preserve"> autonomous business may commence insolvency proceedings in that State or seek another civil remedy against the debtor.</w:t>
      </w:r>
    </w:p>
    <w:p w14:paraId="00428A08" w14:textId="77777777" w:rsidR="004627E6" w:rsidRDefault="004627E6" w:rsidP="00DA42DA">
      <w:pPr>
        <w:jc w:val="both"/>
        <w:rPr>
          <w:rFonts w:ascii="Avenir Next" w:hAnsi="Avenir Next" w:cs="Arial"/>
          <w:color w:val="808080" w:themeColor="background1" w:themeShade="80"/>
          <w:sz w:val="22"/>
          <w:szCs w:val="22"/>
          <w:lang w:val="en-GB"/>
        </w:rPr>
      </w:pPr>
    </w:p>
    <w:p w14:paraId="4AD0D93D" w14:textId="7CDDDB8D" w:rsidR="004627E6" w:rsidRDefault="004627E6"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BF0F3E">
        <w:rPr>
          <w:rFonts w:ascii="Avenir Next" w:hAnsi="Avenir Next" w:cs="Arial"/>
          <w:color w:val="808080" w:themeColor="background1" w:themeShade="80"/>
          <w:sz w:val="22"/>
          <w:szCs w:val="22"/>
          <w:lang w:val="en-GB"/>
        </w:rPr>
        <w:t xml:space="preserve">Montevideo </w:t>
      </w:r>
      <w:r>
        <w:rPr>
          <w:rFonts w:ascii="Avenir Next" w:hAnsi="Avenir Next" w:cs="Arial"/>
          <w:color w:val="808080" w:themeColor="background1" w:themeShade="80"/>
          <w:sz w:val="22"/>
          <w:szCs w:val="22"/>
          <w:lang w:val="en-GB"/>
        </w:rPr>
        <w:t>1940 contains a title on bankruptcy</w:t>
      </w:r>
      <w:r w:rsidR="00BF0F3E">
        <w:rPr>
          <w:rFonts w:ascii="Avenir Next" w:hAnsi="Avenir Next" w:cs="Arial"/>
          <w:color w:val="808080" w:themeColor="background1" w:themeShade="80"/>
          <w:sz w:val="22"/>
          <w:szCs w:val="22"/>
          <w:lang w:val="en-GB"/>
        </w:rPr>
        <w:t xml:space="preserve"> and the 1940 Procedural Law Treaty contains a title on civil meetings of creditors. </w:t>
      </w:r>
      <w:r>
        <w:rPr>
          <w:rFonts w:ascii="Avenir Next" w:hAnsi="Avenir Next" w:cs="Arial"/>
          <w:color w:val="808080" w:themeColor="background1" w:themeShade="80"/>
          <w:sz w:val="22"/>
          <w:szCs w:val="22"/>
          <w:lang w:val="en-GB"/>
        </w:rPr>
        <w:t>Th</w:t>
      </w:r>
      <w:r w:rsidR="00BF0F3E">
        <w:rPr>
          <w:rFonts w:ascii="Avenir Next" w:hAnsi="Avenir Next" w:cs="Arial"/>
          <w:color w:val="808080" w:themeColor="background1" w:themeShade="80"/>
          <w:sz w:val="22"/>
          <w:szCs w:val="22"/>
          <w:lang w:val="en-GB"/>
        </w:rPr>
        <w:t>ese</w:t>
      </w:r>
      <w:r>
        <w:rPr>
          <w:rFonts w:ascii="Avenir Next" w:hAnsi="Avenir Next" w:cs="Arial"/>
          <w:color w:val="808080" w:themeColor="background1" w:themeShade="80"/>
          <w:sz w:val="22"/>
          <w:szCs w:val="22"/>
          <w:lang w:val="en-GB"/>
        </w:rPr>
        <w:t xml:space="preserve"> </w:t>
      </w:r>
      <w:r w:rsidR="00BF0F3E">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reat</w:t>
      </w:r>
      <w:r w:rsidR="00BF0F3E">
        <w:rPr>
          <w:rFonts w:ascii="Avenir Next" w:hAnsi="Avenir Next" w:cs="Arial"/>
          <w:color w:val="808080" w:themeColor="background1" w:themeShade="80"/>
          <w:sz w:val="22"/>
          <w:szCs w:val="22"/>
          <w:lang w:val="en-GB"/>
        </w:rPr>
        <w:t>ies</w:t>
      </w:r>
      <w:r>
        <w:rPr>
          <w:rFonts w:ascii="Avenir Next" w:hAnsi="Avenir Next" w:cs="Arial"/>
          <w:color w:val="808080" w:themeColor="background1" w:themeShade="80"/>
          <w:sz w:val="22"/>
          <w:szCs w:val="22"/>
          <w:lang w:val="en-GB"/>
        </w:rPr>
        <w:t xml:space="preserve"> ha</w:t>
      </w:r>
      <w:r w:rsidR="00BF0F3E">
        <w:rPr>
          <w:rFonts w:ascii="Avenir Next" w:hAnsi="Avenir Next" w:cs="Arial"/>
          <w:color w:val="808080" w:themeColor="background1" w:themeShade="80"/>
          <w:sz w:val="22"/>
          <w:szCs w:val="22"/>
          <w:lang w:val="en-GB"/>
        </w:rPr>
        <w:t>ve</w:t>
      </w:r>
      <w:r>
        <w:rPr>
          <w:rFonts w:ascii="Avenir Next" w:hAnsi="Avenir Next" w:cs="Arial"/>
          <w:color w:val="808080" w:themeColor="background1" w:themeShade="80"/>
          <w:sz w:val="22"/>
          <w:szCs w:val="22"/>
          <w:lang w:val="en-GB"/>
        </w:rPr>
        <w:t xml:space="preserve"> only been ratified by three of the 1889 Treaty States – Argentina, Paraguay, and Uruguay. Consequently</w:t>
      </w:r>
      <w:r w:rsidR="004837D5">
        <w:rPr>
          <w:rFonts w:ascii="Avenir Next" w:hAnsi="Avenir Next" w:cs="Arial"/>
          <w:color w:val="808080" w:themeColor="background1" w:themeShade="80"/>
          <w:sz w:val="22"/>
          <w:szCs w:val="22"/>
          <w:lang w:val="en-GB"/>
        </w:rPr>
        <w:t>, care has to be taken in determin</w:t>
      </w:r>
      <w:r w:rsidR="00CD0571">
        <w:rPr>
          <w:rFonts w:ascii="Avenir Next" w:hAnsi="Avenir Next" w:cs="Arial"/>
          <w:color w:val="808080" w:themeColor="background1" w:themeShade="80"/>
          <w:sz w:val="22"/>
          <w:szCs w:val="22"/>
          <w:lang w:val="en-GB"/>
        </w:rPr>
        <w:t>ing</w:t>
      </w:r>
      <w:r w:rsidR="004837D5">
        <w:rPr>
          <w:rFonts w:ascii="Avenir Next" w:hAnsi="Avenir Next" w:cs="Arial"/>
          <w:color w:val="808080" w:themeColor="background1" w:themeShade="80"/>
          <w:sz w:val="22"/>
          <w:szCs w:val="22"/>
          <w:lang w:val="en-GB"/>
        </w:rPr>
        <w:t xml:space="preserve"> which treaty or treaties apply to which State Parties.</w:t>
      </w:r>
    </w:p>
    <w:p w14:paraId="33AAFBD1" w14:textId="77777777" w:rsidR="004837D5" w:rsidRDefault="004837D5" w:rsidP="00DA42DA">
      <w:pPr>
        <w:jc w:val="both"/>
        <w:rPr>
          <w:rFonts w:ascii="Avenir Next" w:hAnsi="Avenir Next" w:cs="Arial"/>
          <w:color w:val="808080" w:themeColor="background1" w:themeShade="80"/>
          <w:sz w:val="22"/>
          <w:szCs w:val="22"/>
          <w:lang w:val="en-GB"/>
        </w:rPr>
      </w:pPr>
    </w:p>
    <w:p w14:paraId="1865770D" w14:textId="25C07699" w:rsidR="004837D5" w:rsidRDefault="004837D5"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Bustamante Code was concluded in 1928 between 15 Latin and Middle American States. Bolivia and Peru are parties to both Montevideo 1889 and the Bustamante Code. This Convention lends greater support than the Montevideo Treaties to an approach that permits a single proceeding with universal effect throughout its region. For example, article 414 of the Chapter “Unity of Bankruptcy or Insolvency”, provides that where a</w:t>
      </w:r>
      <w:r w:rsidR="00CE67DE">
        <w:rPr>
          <w:rFonts w:ascii="Avenir Next" w:hAnsi="Avenir Next" w:cs="Arial"/>
          <w:color w:val="808080" w:themeColor="background1" w:themeShade="80"/>
          <w:sz w:val="22"/>
          <w:szCs w:val="22"/>
          <w:lang w:val="en-GB"/>
        </w:rPr>
        <w:t xml:space="preserve">n insolvent or bankrupt debtor only has a single civil or commercial domicile, </w:t>
      </w:r>
      <w:r>
        <w:rPr>
          <w:rFonts w:ascii="Avenir Next" w:hAnsi="Avenir Next" w:cs="Arial"/>
          <w:color w:val="808080" w:themeColor="background1" w:themeShade="80"/>
          <w:sz w:val="22"/>
          <w:szCs w:val="22"/>
          <w:lang w:val="en-GB"/>
        </w:rPr>
        <w:t>there can only be one preventive proceeding in insolvency or bankruptcy, or one suspension of payments, or a composition in respect of all a debtor’s assets and liabilities in contracting States.</w:t>
      </w:r>
      <w:r w:rsidR="00CE67DE">
        <w:rPr>
          <w:rFonts w:ascii="Avenir Next" w:hAnsi="Avenir Next" w:cs="Arial"/>
          <w:color w:val="808080" w:themeColor="background1" w:themeShade="80"/>
          <w:sz w:val="22"/>
          <w:szCs w:val="22"/>
          <w:lang w:val="en-GB"/>
        </w:rPr>
        <w:t xml:space="preserve"> Despite this provision, article 415 provides for possibility of concurrent proceedings in Bustamante Code States in which </w:t>
      </w:r>
      <w:r w:rsidR="00CD0571">
        <w:rPr>
          <w:rFonts w:ascii="Avenir Next" w:hAnsi="Avenir Next" w:cs="Arial"/>
          <w:color w:val="808080" w:themeColor="background1" w:themeShade="80"/>
          <w:sz w:val="22"/>
          <w:szCs w:val="22"/>
          <w:lang w:val="en-GB"/>
        </w:rPr>
        <w:t xml:space="preserve">a </w:t>
      </w:r>
      <w:r w:rsidR="00CE67DE">
        <w:rPr>
          <w:rFonts w:ascii="Avenir Next" w:hAnsi="Avenir Next" w:cs="Arial"/>
          <w:color w:val="808080" w:themeColor="background1" w:themeShade="80"/>
          <w:sz w:val="22"/>
          <w:szCs w:val="22"/>
          <w:lang w:val="en-GB"/>
        </w:rPr>
        <w:t>commercial establishment operate</w:t>
      </w:r>
      <w:r w:rsidR="00CD0571">
        <w:rPr>
          <w:rFonts w:ascii="Avenir Next" w:hAnsi="Avenir Next" w:cs="Arial"/>
          <w:color w:val="808080" w:themeColor="background1" w:themeShade="80"/>
          <w:sz w:val="22"/>
          <w:szCs w:val="22"/>
          <w:lang w:val="en-GB"/>
        </w:rPr>
        <w:t>s</w:t>
      </w:r>
      <w:r w:rsidR="00CE67DE">
        <w:rPr>
          <w:rFonts w:ascii="Avenir Next" w:hAnsi="Avenir Next" w:cs="Arial"/>
          <w:color w:val="808080" w:themeColor="background1" w:themeShade="80"/>
          <w:sz w:val="22"/>
          <w:szCs w:val="22"/>
          <w:lang w:val="en-GB"/>
        </w:rPr>
        <w:t xml:space="preserve"> entirely separately economically. It thus employs an approach akin to the Montevideo Treaties in permitting a single proceeding in circumstances where the debtor is only occasionally trading in more than one State/ only has branches or agents in other contracting State Parties.  It should be noted however that in the case of concurrent proceedings, the Bustamante Code does not provide procedures for cooperation or coordination of any concurrent proceeding.</w:t>
      </w:r>
      <w:r w:rsidR="004349E0">
        <w:rPr>
          <w:rFonts w:ascii="Avenir Next" w:hAnsi="Avenir Next" w:cs="Arial"/>
          <w:color w:val="808080" w:themeColor="background1" w:themeShade="80"/>
          <w:sz w:val="22"/>
          <w:szCs w:val="22"/>
          <w:lang w:val="en-GB"/>
        </w:rPr>
        <w:t xml:space="preserve"> Chapter II of the Bustamante Code, “Universality of Bankruptcy or Insolvency, and Their Effects” gives extraterritorial effect to insolvency proceedings opened in one member State in another member State. Court decrees are enforced from the time of their pronouncement and are subject only to compliance with local publication or registration rules.</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lastRenderedPageBreak/>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461EF26B" w14:textId="77777777" w:rsidR="00C63F9F" w:rsidRDefault="00C63F9F" w:rsidP="00C63F9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author explains that “insolvency” can refer to the state of a debtor’s financial affairs, while “bankruptcy” deals with being put into formal bankruptcy proceedings. The term insolvency is also often frequently used to describe a situation in which a debtor’s liability exceeds its assets (balance sheet insolvency) or where the debtor’s cash flow problem renders it unable to repay debts as they fall due (cash flow/commercial insolvency).</w:t>
      </w:r>
    </w:p>
    <w:p w14:paraId="340E2972" w14:textId="77777777" w:rsidR="00C63F9F" w:rsidRDefault="00C63F9F" w:rsidP="00C63F9F">
      <w:pPr>
        <w:jc w:val="both"/>
        <w:rPr>
          <w:rFonts w:ascii="Avenir Next" w:hAnsi="Avenir Next" w:cs="Arial"/>
          <w:color w:val="808080" w:themeColor="background1" w:themeShade="80"/>
          <w:sz w:val="22"/>
          <w:szCs w:val="22"/>
          <w:lang w:val="en-GB"/>
        </w:rPr>
      </w:pPr>
    </w:p>
    <w:p w14:paraId="556DB7F1" w14:textId="70CE6CEF" w:rsidR="009973C1" w:rsidRDefault="00FC0A7A" w:rsidP="009973C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While I agree that “bankruptcy” and “insolvency” may</w:t>
      </w:r>
      <w:r w:rsidR="00877BF2">
        <w:rPr>
          <w:rFonts w:ascii="Avenir Next" w:hAnsi="Avenir Next" w:cs="Arial"/>
          <w:color w:val="808080" w:themeColor="background1" w:themeShade="80"/>
          <w:sz w:val="22"/>
          <w:szCs w:val="22"/>
          <w:lang w:val="en-GB"/>
        </w:rPr>
        <w:t xml:space="preserve"> in some instances</w:t>
      </w:r>
      <w:r>
        <w:rPr>
          <w:rFonts w:ascii="Avenir Next" w:hAnsi="Avenir Next" w:cs="Arial"/>
          <w:color w:val="808080" w:themeColor="background1" w:themeShade="80"/>
          <w:sz w:val="22"/>
          <w:szCs w:val="22"/>
          <w:lang w:val="en-GB"/>
        </w:rPr>
        <w:t xml:space="preserve"> be used interchangeably</w:t>
      </w:r>
      <w:r w:rsidR="00D45702">
        <w:rPr>
          <w:rFonts w:ascii="Avenir Next" w:hAnsi="Avenir Next" w:cs="Arial"/>
          <w:color w:val="808080" w:themeColor="background1" w:themeShade="80"/>
          <w:sz w:val="22"/>
          <w:szCs w:val="22"/>
          <w:lang w:val="en-GB"/>
        </w:rPr>
        <w:t>,</w:t>
      </w:r>
      <w:r w:rsidR="00877BF2">
        <w:rPr>
          <w:rFonts w:ascii="Avenir Next" w:hAnsi="Avenir Next" w:cs="Arial"/>
          <w:color w:val="808080" w:themeColor="background1" w:themeShade="80"/>
          <w:sz w:val="22"/>
          <w:szCs w:val="22"/>
          <w:lang w:val="en-GB"/>
        </w:rPr>
        <w:t xml:space="preserve"> as is done in many systems</w:t>
      </w:r>
      <w:r>
        <w:rPr>
          <w:rFonts w:ascii="Avenir Next" w:hAnsi="Avenir Next" w:cs="Arial"/>
          <w:color w:val="808080" w:themeColor="background1" w:themeShade="80"/>
          <w:sz w:val="22"/>
          <w:szCs w:val="22"/>
          <w:lang w:val="en-GB"/>
        </w:rPr>
        <w:t xml:space="preserve">, </w:t>
      </w:r>
      <w:r w:rsidR="00877BF2">
        <w:rPr>
          <w:rFonts w:ascii="Avenir Next" w:hAnsi="Avenir Next" w:cs="Arial"/>
          <w:color w:val="808080" w:themeColor="background1" w:themeShade="80"/>
          <w:sz w:val="22"/>
          <w:szCs w:val="22"/>
          <w:lang w:val="en-GB"/>
        </w:rPr>
        <w:t>it is important to bear in mind that some systems</w:t>
      </w:r>
      <w:r w:rsidR="00D45702">
        <w:rPr>
          <w:rFonts w:ascii="Avenir Next" w:hAnsi="Avenir Next" w:cs="Arial"/>
          <w:color w:val="808080" w:themeColor="background1" w:themeShade="80"/>
          <w:sz w:val="22"/>
          <w:szCs w:val="22"/>
          <w:lang w:val="en-GB"/>
        </w:rPr>
        <w:t xml:space="preserve"> only use one of the terms, and in others</w:t>
      </w:r>
      <w:r w:rsidR="00877BF2">
        <w:rPr>
          <w:rFonts w:ascii="Avenir Next" w:hAnsi="Avenir Next" w:cs="Arial"/>
          <w:color w:val="808080" w:themeColor="background1" w:themeShade="80"/>
          <w:sz w:val="22"/>
          <w:szCs w:val="22"/>
          <w:lang w:val="en-GB"/>
        </w:rPr>
        <w:t>, both</w:t>
      </w:r>
      <w:r w:rsidR="00D45702">
        <w:rPr>
          <w:rFonts w:ascii="Avenir Next" w:hAnsi="Avenir Next" w:cs="Arial"/>
          <w:color w:val="808080" w:themeColor="background1" w:themeShade="80"/>
          <w:sz w:val="22"/>
          <w:szCs w:val="22"/>
          <w:lang w:val="en-GB"/>
        </w:rPr>
        <w:t xml:space="preserve"> words</w:t>
      </w:r>
      <w:r w:rsidR="00877BF2">
        <w:rPr>
          <w:rFonts w:ascii="Avenir Next" w:hAnsi="Avenir Next" w:cs="Arial"/>
          <w:color w:val="808080" w:themeColor="background1" w:themeShade="80"/>
          <w:sz w:val="22"/>
          <w:szCs w:val="22"/>
          <w:lang w:val="en-GB"/>
        </w:rPr>
        <w:t xml:space="preserve"> convey slightly different meanings</w:t>
      </w:r>
      <w:r w:rsidR="00D45702">
        <w:rPr>
          <w:rFonts w:ascii="Avenir Next" w:hAnsi="Avenir Next" w:cs="Arial"/>
          <w:color w:val="808080" w:themeColor="background1" w:themeShade="80"/>
          <w:sz w:val="22"/>
          <w:szCs w:val="22"/>
          <w:lang w:val="en-GB"/>
        </w:rPr>
        <w:t>.</w:t>
      </w:r>
      <w:r w:rsidR="00D45702" w:rsidRPr="00D45702">
        <w:rPr>
          <w:rFonts w:ascii="Avenir Next" w:hAnsi="Avenir Next" w:cs="Arial"/>
          <w:color w:val="808080" w:themeColor="background1" w:themeShade="80"/>
          <w:sz w:val="22"/>
          <w:szCs w:val="22"/>
          <w:lang w:val="en-GB"/>
        </w:rPr>
        <w:t xml:space="preserve"> </w:t>
      </w:r>
      <w:r w:rsidR="00D45702">
        <w:rPr>
          <w:rFonts w:ascii="Avenir Next" w:hAnsi="Avenir Next" w:cs="Arial"/>
          <w:color w:val="808080" w:themeColor="background1" w:themeShade="80"/>
          <w:sz w:val="22"/>
          <w:szCs w:val="22"/>
          <w:lang w:val="en-GB"/>
        </w:rPr>
        <w:t xml:space="preserve">The </w:t>
      </w:r>
      <w:r w:rsidR="00D45702">
        <w:rPr>
          <w:rFonts w:ascii="Avenir Next" w:hAnsi="Avenir Next" w:cs="Arial"/>
          <w:color w:val="808080" w:themeColor="background1" w:themeShade="80"/>
          <w:sz w:val="22"/>
          <w:szCs w:val="22"/>
          <w:lang w:val="en-GB"/>
        </w:rPr>
        <w:t xml:space="preserve">use and </w:t>
      </w:r>
      <w:r w:rsidR="00D45702">
        <w:rPr>
          <w:rFonts w:ascii="Avenir Next" w:hAnsi="Avenir Next" w:cs="Arial"/>
          <w:color w:val="808080" w:themeColor="background1" w:themeShade="80"/>
          <w:sz w:val="22"/>
          <w:szCs w:val="22"/>
          <w:lang w:val="en-GB"/>
        </w:rPr>
        <w:t xml:space="preserve">meaning given to the words in </w:t>
      </w:r>
      <w:r w:rsidR="00D45702">
        <w:rPr>
          <w:rFonts w:ascii="Avenir Next" w:hAnsi="Avenir Next" w:cs="Arial"/>
          <w:color w:val="808080" w:themeColor="background1" w:themeShade="80"/>
          <w:sz w:val="22"/>
          <w:szCs w:val="22"/>
          <w:lang w:val="en-GB"/>
        </w:rPr>
        <w:t>a</w:t>
      </w:r>
      <w:r w:rsidR="00D45702">
        <w:rPr>
          <w:rFonts w:ascii="Avenir Next" w:hAnsi="Avenir Next" w:cs="Arial"/>
          <w:color w:val="808080" w:themeColor="background1" w:themeShade="80"/>
          <w:sz w:val="22"/>
          <w:szCs w:val="22"/>
          <w:lang w:val="en-GB"/>
        </w:rPr>
        <w:t xml:space="preserve"> particular legal system is therefore very important</w:t>
      </w:r>
      <w:r w:rsidR="00D45702">
        <w:rPr>
          <w:rFonts w:ascii="Avenir Next" w:hAnsi="Avenir Next" w:cs="Arial"/>
          <w:color w:val="808080" w:themeColor="background1" w:themeShade="80"/>
          <w:sz w:val="22"/>
          <w:szCs w:val="22"/>
          <w:lang w:val="en-GB"/>
        </w:rPr>
        <w:t xml:space="preserve"> to determining whether the terms may be used interchangeably in </w:t>
      </w:r>
      <w:r w:rsidR="00C63F9F">
        <w:rPr>
          <w:rFonts w:ascii="Avenir Next" w:hAnsi="Avenir Next" w:cs="Arial"/>
          <w:color w:val="808080" w:themeColor="background1" w:themeShade="80"/>
          <w:sz w:val="22"/>
          <w:szCs w:val="22"/>
          <w:lang w:val="en-GB"/>
        </w:rPr>
        <w:t>a given</w:t>
      </w:r>
      <w:r w:rsidR="00D45702">
        <w:rPr>
          <w:rFonts w:ascii="Avenir Next" w:hAnsi="Avenir Next" w:cs="Arial"/>
          <w:color w:val="808080" w:themeColor="background1" w:themeShade="80"/>
          <w:sz w:val="22"/>
          <w:szCs w:val="22"/>
          <w:lang w:val="en-GB"/>
        </w:rPr>
        <w:t xml:space="preserve"> context</w:t>
      </w:r>
      <w:r w:rsidR="00D45702">
        <w:rPr>
          <w:rFonts w:ascii="Avenir Next" w:hAnsi="Avenir Next" w:cs="Arial"/>
          <w:color w:val="808080" w:themeColor="background1" w:themeShade="80"/>
          <w:sz w:val="22"/>
          <w:szCs w:val="22"/>
          <w:lang w:val="en-GB"/>
        </w:rPr>
        <w:t>.</w:t>
      </w:r>
      <w:r w:rsidR="00C63F9F">
        <w:rPr>
          <w:rFonts w:ascii="Avenir Next" w:hAnsi="Avenir Next" w:cs="Arial"/>
          <w:color w:val="808080" w:themeColor="background1" w:themeShade="80"/>
          <w:sz w:val="22"/>
          <w:szCs w:val="22"/>
          <w:lang w:val="en-GB"/>
        </w:rPr>
        <w:t xml:space="preserve"> </w:t>
      </w:r>
      <w:r w:rsidR="009973C1">
        <w:rPr>
          <w:rFonts w:ascii="Avenir Next" w:hAnsi="Avenir Next" w:cs="Arial"/>
          <w:color w:val="808080" w:themeColor="background1" w:themeShade="80"/>
          <w:sz w:val="22"/>
          <w:szCs w:val="22"/>
          <w:lang w:val="en-GB"/>
        </w:rPr>
        <w:t xml:space="preserve">In Australia for instance, ‘insolvency’ typically refers to the insolvency of a corporation while </w:t>
      </w:r>
      <w:r w:rsidR="00794C4F">
        <w:rPr>
          <w:rFonts w:ascii="Avenir Next" w:hAnsi="Avenir Next" w:cs="Arial"/>
          <w:color w:val="808080" w:themeColor="background1" w:themeShade="80"/>
          <w:sz w:val="22"/>
          <w:szCs w:val="22"/>
          <w:lang w:val="en-GB"/>
        </w:rPr>
        <w:t>‘</w:t>
      </w:r>
      <w:r w:rsidR="009973C1">
        <w:rPr>
          <w:rFonts w:ascii="Avenir Next" w:hAnsi="Avenir Next" w:cs="Arial"/>
          <w:color w:val="808080" w:themeColor="background1" w:themeShade="80"/>
          <w:sz w:val="22"/>
          <w:szCs w:val="22"/>
          <w:lang w:val="en-GB"/>
        </w:rPr>
        <w:t>bankruptcy</w:t>
      </w:r>
      <w:r w:rsidR="00794C4F">
        <w:rPr>
          <w:rFonts w:ascii="Avenir Next" w:hAnsi="Avenir Next" w:cs="Arial"/>
          <w:color w:val="808080" w:themeColor="background1" w:themeShade="80"/>
          <w:sz w:val="22"/>
          <w:szCs w:val="22"/>
          <w:lang w:val="en-GB"/>
        </w:rPr>
        <w:t>’</w:t>
      </w:r>
      <w:r w:rsidR="009973C1">
        <w:rPr>
          <w:rFonts w:ascii="Avenir Next" w:hAnsi="Avenir Next" w:cs="Arial"/>
          <w:color w:val="808080" w:themeColor="background1" w:themeShade="80"/>
          <w:sz w:val="22"/>
          <w:szCs w:val="22"/>
          <w:lang w:val="en-GB"/>
        </w:rPr>
        <w:t xml:space="preserve"> is used in respect of insolvency of a natural person. </w:t>
      </w:r>
    </w:p>
    <w:p w14:paraId="7DBEAC3B" w14:textId="77777777" w:rsidR="00C63F9F" w:rsidRDefault="00C63F9F" w:rsidP="00C63F9F">
      <w:pPr>
        <w:jc w:val="both"/>
        <w:rPr>
          <w:rFonts w:ascii="Avenir Next" w:hAnsi="Avenir Next" w:cs="Arial"/>
          <w:color w:val="808080" w:themeColor="background1" w:themeShade="80"/>
          <w:sz w:val="22"/>
          <w:szCs w:val="22"/>
          <w:lang w:val="en-GB"/>
        </w:rPr>
      </w:pPr>
    </w:p>
    <w:p w14:paraId="6D40D44C" w14:textId="4B317675" w:rsidR="009973C1" w:rsidRDefault="009973C1" w:rsidP="00C63F9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Wood both posits </w:t>
      </w:r>
      <w:r w:rsidR="007104E0">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and </w:t>
      </w:r>
      <w:r w:rsidR="00604C1F">
        <w:rPr>
          <w:rFonts w:ascii="Avenir Next" w:hAnsi="Avenir Next" w:cs="Arial"/>
          <w:color w:val="808080" w:themeColor="background1" w:themeShade="80"/>
          <w:sz w:val="22"/>
          <w:szCs w:val="22"/>
          <w:lang w:val="en-GB"/>
        </w:rPr>
        <w:t xml:space="preserve">then </w:t>
      </w:r>
      <w:r>
        <w:rPr>
          <w:rFonts w:ascii="Avenir Next" w:hAnsi="Avenir Next" w:cs="Arial"/>
          <w:color w:val="808080" w:themeColor="background1" w:themeShade="80"/>
          <w:sz w:val="22"/>
          <w:szCs w:val="22"/>
          <w:lang w:val="en-GB"/>
        </w:rPr>
        <w:t>to some extent discredits</w:t>
      </w:r>
      <w:r w:rsidR="007104E0">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idea that “bankruptcy” and “insolvency” have some e</w:t>
      </w:r>
      <w:r>
        <w:rPr>
          <w:rFonts w:ascii="Avenir Next" w:hAnsi="Avenir Next" w:cs="Arial"/>
          <w:color w:val="808080" w:themeColor="background1" w:themeShade="80"/>
          <w:sz w:val="22"/>
          <w:szCs w:val="22"/>
          <w:lang w:val="en-GB"/>
        </w:rPr>
        <w:t xml:space="preserve">ssential characteristics </w:t>
      </w:r>
      <w:r>
        <w:rPr>
          <w:rFonts w:ascii="Avenir Next" w:hAnsi="Avenir Next" w:cs="Arial"/>
          <w:color w:val="808080" w:themeColor="background1" w:themeShade="80"/>
          <w:sz w:val="22"/>
          <w:szCs w:val="22"/>
          <w:lang w:val="en-GB"/>
        </w:rPr>
        <w:t xml:space="preserve">that are deemed to be universal principles. </w:t>
      </w:r>
      <w:r w:rsidR="00604C1F">
        <w:rPr>
          <w:rFonts w:ascii="Avenir Next" w:hAnsi="Avenir Next" w:cs="Arial"/>
          <w:color w:val="808080" w:themeColor="background1" w:themeShade="80"/>
          <w:sz w:val="22"/>
          <w:szCs w:val="22"/>
          <w:lang w:val="en-GB"/>
        </w:rPr>
        <w:t>He suggests that the automatic stay of individual debt enforcement actions by individual creditors against the insolvent party is the sole truly universal insolvency principle. While he recognises th</w:t>
      </w:r>
      <w:r w:rsidR="00D236BC">
        <w:rPr>
          <w:rFonts w:ascii="Avenir Next" w:hAnsi="Avenir Next" w:cs="Arial"/>
          <w:color w:val="808080" w:themeColor="background1" w:themeShade="80"/>
          <w:sz w:val="22"/>
          <w:szCs w:val="22"/>
          <w:lang w:val="en-GB"/>
        </w:rPr>
        <w:t>e existence of a general principle that creditors are paid out of pooled assets as opposed to assets that are seized in a piecemeal manner by individual creditors, he acknowledges that this principle is not of universal applica</w:t>
      </w:r>
      <w:r w:rsidR="007104E0">
        <w:rPr>
          <w:rFonts w:ascii="Avenir Next" w:hAnsi="Avenir Next" w:cs="Arial"/>
          <w:color w:val="808080" w:themeColor="background1" w:themeShade="80"/>
          <w:sz w:val="22"/>
          <w:szCs w:val="22"/>
          <w:lang w:val="en-GB"/>
        </w:rPr>
        <w:t>tion</w:t>
      </w:r>
      <w:r w:rsidR="00D236BC">
        <w:rPr>
          <w:rFonts w:ascii="Avenir Next" w:hAnsi="Avenir Next" w:cs="Arial"/>
          <w:color w:val="808080" w:themeColor="background1" w:themeShade="80"/>
          <w:sz w:val="22"/>
          <w:szCs w:val="22"/>
          <w:lang w:val="en-GB"/>
        </w:rPr>
        <w:t xml:space="preserve"> as different States have carved our exceptions to this rule. Additionally, the principle of </w:t>
      </w:r>
      <w:proofErr w:type="spellStart"/>
      <w:r w:rsidR="00D236BC" w:rsidRPr="00794C4F">
        <w:rPr>
          <w:rFonts w:ascii="Avenir Next" w:hAnsi="Avenir Next" w:cs="Arial"/>
          <w:i/>
          <w:iCs/>
          <w:color w:val="808080" w:themeColor="background1" w:themeShade="80"/>
          <w:sz w:val="22"/>
          <w:szCs w:val="22"/>
          <w:lang w:val="en-GB"/>
        </w:rPr>
        <w:t>pari</w:t>
      </w:r>
      <w:proofErr w:type="spellEnd"/>
      <w:r w:rsidR="00D236BC" w:rsidRPr="00794C4F">
        <w:rPr>
          <w:rFonts w:ascii="Avenir Next" w:hAnsi="Avenir Next" w:cs="Arial"/>
          <w:i/>
          <w:iCs/>
          <w:color w:val="808080" w:themeColor="background1" w:themeShade="80"/>
          <w:sz w:val="22"/>
          <w:szCs w:val="22"/>
          <w:lang w:val="en-GB"/>
        </w:rPr>
        <w:t xml:space="preserve"> passu</w:t>
      </w:r>
      <w:r w:rsidR="00D236BC">
        <w:rPr>
          <w:rFonts w:ascii="Avenir Next" w:hAnsi="Avenir Next" w:cs="Arial"/>
          <w:color w:val="808080" w:themeColor="background1" w:themeShade="80"/>
          <w:sz w:val="22"/>
          <w:szCs w:val="22"/>
          <w:lang w:val="en-GB"/>
        </w:rPr>
        <w:t xml:space="preserve"> payment of creditors has been eroded by the fact that in most</w:t>
      </w:r>
      <w:r w:rsidR="007104E0">
        <w:rPr>
          <w:rFonts w:ascii="Avenir Next" w:hAnsi="Avenir Next" w:cs="Arial"/>
          <w:color w:val="808080" w:themeColor="background1" w:themeShade="80"/>
          <w:sz w:val="22"/>
          <w:szCs w:val="22"/>
          <w:lang w:val="en-GB"/>
        </w:rPr>
        <w:t>,</w:t>
      </w:r>
      <w:r w:rsidR="00D236BC">
        <w:rPr>
          <w:rFonts w:ascii="Avenir Next" w:hAnsi="Avenir Next" w:cs="Arial"/>
          <w:color w:val="808080" w:themeColor="background1" w:themeShade="80"/>
          <w:sz w:val="22"/>
          <w:szCs w:val="22"/>
          <w:lang w:val="en-GB"/>
        </w:rPr>
        <w:t xml:space="preserve"> if not all States</w:t>
      </w:r>
      <w:r w:rsidR="007104E0">
        <w:rPr>
          <w:rFonts w:ascii="Avenir Next" w:hAnsi="Avenir Next" w:cs="Arial"/>
          <w:color w:val="808080" w:themeColor="background1" w:themeShade="80"/>
          <w:sz w:val="22"/>
          <w:szCs w:val="22"/>
          <w:lang w:val="en-GB"/>
        </w:rPr>
        <w:t>,</w:t>
      </w:r>
      <w:r w:rsidR="00D236BC">
        <w:rPr>
          <w:rFonts w:ascii="Avenir Next" w:hAnsi="Avenir Next" w:cs="Arial"/>
          <w:color w:val="808080" w:themeColor="background1" w:themeShade="80"/>
          <w:sz w:val="22"/>
          <w:szCs w:val="22"/>
          <w:lang w:val="en-GB"/>
        </w:rPr>
        <w:t xml:space="preserve"> </w:t>
      </w:r>
      <w:r w:rsidR="00D236BC">
        <w:rPr>
          <w:rFonts w:ascii="Avenir Next" w:hAnsi="Avenir Next" w:cs="Arial"/>
          <w:color w:val="808080" w:themeColor="background1" w:themeShade="80"/>
          <w:sz w:val="22"/>
          <w:szCs w:val="22"/>
          <w:lang w:val="en-GB"/>
        </w:rPr>
        <w:t>priority and secured</w:t>
      </w:r>
      <w:r w:rsidR="00D236BC">
        <w:rPr>
          <w:rFonts w:ascii="Avenir Next" w:hAnsi="Avenir Next" w:cs="Arial"/>
          <w:color w:val="808080" w:themeColor="background1" w:themeShade="80"/>
          <w:sz w:val="22"/>
          <w:szCs w:val="22"/>
          <w:lang w:val="en-GB"/>
        </w:rPr>
        <w:t xml:space="preserve"> creditors are exceptions to this rule.</w:t>
      </w:r>
      <w:r w:rsidR="00444432">
        <w:rPr>
          <w:rFonts w:ascii="Avenir Next" w:hAnsi="Avenir Next" w:cs="Arial"/>
          <w:color w:val="808080" w:themeColor="background1" w:themeShade="80"/>
          <w:sz w:val="22"/>
          <w:szCs w:val="22"/>
          <w:lang w:val="en-GB"/>
        </w:rPr>
        <w:t xml:space="preserve"> These departures from so-called universal principles reiterate the fact that interchangeable use may circumscribed by the particular context.</w:t>
      </w:r>
    </w:p>
    <w:p w14:paraId="03508A29" w14:textId="77777777" w:rsidR="00C63F9F" w:rsidRDefault="00C63F9F" w:rsidP="00C63F9F">
      <w:pPr>
        <w:jc w:val="both"/>
        <w:rPr>
          <w:rFonts w:ascii="Avenir Next" w:hAnsi="Avenir Next" w:cs="Arial"/>
          <w:color w:val="808080" w:themeColor="background1" w:themeShade="80"/>
          <w:sz w:val="22"/>
          <w:szCs w:val="22"/>
          <w:lang w:val="en-GB"/>
        </w:rPr>
      </w:pPr>
    </w:p>
    <w:p w14:paraId="2BF043D6" w14:textId="5402ECE8" w:rsidR="009973C1" w:rsidRDefault="00C63F9F" w:rsidP="00C63F9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also important to bear in mind the </w:t>
      </w:r>
      <w:r w:rsidRPr="00C63F9F">
        <w:rPr>
          <w:rFonts w:ascii="Avenir Next" w:hAnsi="Avenir Next" w:cs="Arial"/>
          <w:color w:val="808080" w:themeColor="background1" w:themeShade="80"/>
          <w:sz w:val="22"/>
          <w:szCs w:val="22"/>
          <w:lang w:val="en-GB"/>
        </w:rPr>
        <w:t>differences that may arise when a “bankruptcy”/ “insolvency” involves a corporation rather than an individual</w:t>
      </w:r>
      <w:r>
        <w:rPr>
          <w:rFonts w:ascii="Avenir Next" w:hAnsi="Avenir Next" w:cs="Arial"/>
          <w:color w:val="808080" w:themeColor="background1" w:themeShade="80"/>
          <w:sz w:val="22"/>
          <w:szCs w:val="22"/>
          <w:lang w:val="en-GB"/>
        </w:rPr>
        <w:t>.</w:t>
      </w:r>
      <w:r w:rsidRPr="00C63F9F">
        <w:rPr>
          <w:rFonts w:ascii="Avenir Next" w:hAnsi="Avenir Next" w:cs="Arial"/>
          <w:color w:val="808080" w:themeColor="background1" w:themeShade="80"/>
          <w:sz w:val="22"/>
          <w:szCs w:val="22"/>
          <w:lang w:val="en-GB"/>
        </w:rPr>
        <w:t xml:space="preserve"> </w:t>
      </w:r>
      <w:r w:rsidR="009973C1">
        <w:rPr>
          <w:rFonts w:ascii="Avenir Next" w:hAnsi="Avenir Next" w:cs="Arial"/>
          <w:color w:val="808080" w:themeColor="background1" w:themeShade="80"/>
          <w:sz w:val="22"/>
          <w:szCs w:val="22"/>
          <w:lang w:val="en-GB"/>
        </w:rPr>
        <w:t>Sealey and Hooley posit that a major distinction lies in the objectives of insolvency in respect of individuals as opposed to corporations. They suggest that in relation to natural persons, the objective is to shield the debtor from creditor-harassment</w:t>
      </w:r>
      <w:r w:rsidR="008F2CE0">
        <w:rPr>
          <w:rFonts w:ascii="Avenir Next" w:hAnsi="Avenir Next" w:cs="Arial"/>
          <w:color w:val="808080" w:themeColor="background1" w:themeShade="80"/>
          <w:sz w:val="22"/>
          <w:szCs w:val="22"/>
          <w:lang w:val="en-GB"/>
        </w:rPr>
        <w:t>, to enable the debtor to start anew, particularly where the debtor does not bear most of the responsibility for the insolvency and to reduce the debtor’s indebtedness by supplying the estate with contributions from the debtor’s current and future earnings while considering the debtor’s personal circumstances. The objective for corporations is to as much as possible save the business or its viable aspects (though not necessarily the company itself) and to impose personal liability on culpable individuals (such as directors) where abuse has occurred.</w:t>
      </w:r>
      <w:r w:rsidR="007048F3">
        <w:rPr>
          <w:rFonts w:ascii="Avenir Next" w:hAnsi="Avenir Next" w:cs="Arial"/>
          <w:color w:val="808080" w:themeColor="background1" w:themeShade="80"/>
          <w:sz w:val="22"/>
          <w:szCs w:val="22"/>
          <w:lang w:val="en-GB"/>
        </w:rPr>
        <w:t xml:space="preserve"> Common objectives when dealing with both corporations and individuals include distributing, as much as possible, on a </w:t>
      </w:r>
      <w:proofErr w:type="spellStart"/>
      <w:r w:rsidR="007048F3" w:rsidRPr="00C250E8">
        <w:rPr>
          <w:rFonts w:ascii="Avenir Next" w:hAnsi="Avenir Next" w:cs="Arial"/>
          <w:i/>
          <w:iCs/>
          <w:color w:val="808080" w:themeColor="background1" w:themeShade="80"/>
          <w:sz w:val="22"/>
          <w:szCs w:val="22"/>
          <w:lang w:val="en-GB"/>
        </w:rPr>
        <w:t>pari</w:t>
      </w:r>
      <w:proofErr w:type="spellEnd"/>
      <w:r w:rsidR="007048F3" w:rsidRPr="00C250E8">
        <w:rPr>
          <w:rFonts w:ascii="Avenir Next" w:hAnsi="Avenir Next" w:cs="Arial"/>
          <w:i/>
          <w:iCs/>
          <w:color w:val="808080" w:themeColor="background1" w:themeShade="80"/>
          <w:sz w:val="22"/>
          <w:szCs w:val="22"/>
          <w:lang w:val="en-GB"/>
        </w:rPr>
        <w:t xml:space="preserve"> passu</w:t>
      </w:r>
      <w:r w:rsidR="007048F3">
        <w:rPr>
          <w:rFonts w:ascii="Avenir Next" w:hAnsi="Avenir Next" w:cs="Arial"/>
          <w:color w:val="808080" w:themeColor="background1" w:themeShade="80"/>
          <w:sz w:val="22"/>
          <w:szCs w:val="22"/>
          <w:lang w:val="en-GB"/>
        </w:rPr>
        <w:t xml:space="preserve"> basis (bearing in mind priority of creditors); ensuring that secured creditors treat debtors and </w:t>
      </w:r>
      <w:r w:rsidR="007048F3">
        <w:rPr>
          <w:rFonts w:ascii="Avenir Next" w:hAnsi="Avenir Next" w:cs="Arial"/>
          <w:color w:val="808080" w:themeColor="background1" w:themeShade="80"/>
          <w:sz w:val="22"/>
          <w:szCs w:val="22"/>
          <w:lang w:val="en-GB"/>
        </w:rPr>
        <w:lastRenderedPageBreak/>
        <w:t xml:space="preserve">other creditors fairly; investigating causes of the failure; and reclaiming voidable dispositions where the insolvent debtor has failed to appropriately deal with assets. </w:t>
      </w:r>
      <w:r w:rsidR="00C250E8">
        <w:rPr>
          <w:rFonts w:ascii="Avenir Next" w:hAnsi="Avenir Next" w:cs="Arial"/>
          <w:color w:val="808080" w:themeColor="background1" w:themeShade="80"/>
          <w:sz w:val="22"/>
          <w:szCs w:val="22"/>
          <w:lang w:val="en-GB"/>
        </w:rPr>
        <w:t xml:space="preserve"> A noteworthy distinction between individual and corporate insolvency is that the notion of exempt or excluded assets is only applicable to individuals – </w:t>
      </w:r>
      <w:r w:rsidR="00C250E8">
        <w:rPr>
          <w:rFonts w:ascii="Avenir Next" w:hAnsi="Avenir Next" w:cs="Arial"/>
          <w:color w:val="808080" w:themeColor="background1" w:themeShade="80"/>
          <w:sz w:val="22"/>
          <w:szCs w:val="22"/>
          <w:lang w:val="en-GB"/>
        </w:rPr>
        <w:t>where permitted by the particular system</w:t>
      </w:r>
      <w:r w:rsidR="00C250E8">
        <w:rPr>
          <w:rFonts w:ascii="Avenir Next" w:hAnsi="Avenir Next" w:cs="Arial"/>
          <w:color w:val="808080" w:themeColor="background1" w:themeShade="80"/>
          <w:sz w:val="22"/>
          <w:szCs w:val="22"/>
          <w:lang w:val="en-GB"/>
        </w:rPr>
        <w:t xml:space="preserve"> only insolvent </w:t>
      </w:r>
      <w:r w:rsidR="00C250E8" w:rsidRPr="00C250E8">
        <w:rPr>
          <w:rFonts w:ascii="Avenir Next" w:hAnsi="Avenir Next" w:cs="Arial"/>
          <w:i/>
          <w:iCs/>
          <w:color w:val="808080" w:themeColor="background1" w:themeShade="80"/>
          <w:sz w:val="22"/>
          <w:szCs w:val="22"/>
          <w:lang w:val="en-GB"/>
        </w:rPr>
        <w:t>individuals</w:t>
      </w:r>
      <w:r w:rsidR="00C250E8">
        <w:rPr>
          <w:rFonts w:ascii="Avenir Next" w:hAnsi="Avenir Next" w:cs="Arial"/>
          <w:color w:val="808080" w:themeColor="background1" w:themeShade="80"/>
          <w:sz w:val="22"/>
          <w:szCs w:val="22"/>
          <w:lang w:val="en-GB"/>
        </w:rPr>
        <w:t xml:space="preserve"> can keep some assets to maintain himself or his dependents. </w:t>
      </w:r>
    </w:p>
    <w:p w14:paraId="40395ED9" w14:textId="77777777" w:rsidR="00444432" w:rsidRDefault="00444432" w:rsidP="00C63F9F">
      <w:pPr>
        <w:jc w:val="both"/>
        <w:rPr>
          <w:rFonts w:ascii="Avenir Next" w:hAnsi="Avenir Next" w:cs="Arial"/>
          <w:color w:val="808080" w:themeColor="background1" w:themeShade="80"/>
          <w:sz w:val="22"/>
          <w:szCs w:val="22"/>
          <w:lang w:val="en-GB"/>
        </w:rPr>
      </w:pPr>
    </w:p>
    <w:p w14:paraId="01D871F4" w14:textId="451296B4" w:rsidR="009973C1" w:rsidRDefault="009973C1" w:rsidP="00C63F9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summary therefore, context is the critical factor in determining whether the words “bankruptcy” and “insolvency” can be used interchangeably.</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4E81E1E3"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73A7F00D" w14:textId="77777777" w:rsidR="00505809" w:rsidRPr="006F2E9B" w:rsidRDefault="00505809" w:rsidP="00692852">
      <w:pPr>
        <w:jc w:val="both"/>
        <w:rPr>
          <w:rFonts w:ascii="Avenir Next" w:hAnsi="Avenir Next" w:cs="Arial"/>
          <w:sz w:val="22"/>
          <w:szCs w:val="22"/>
          <w:lang w:val="en-GB"/>
        </w:rPr>
      </w:pPr>
    </w:p>
    <w:p w14:paraId="405BEDF2" w14:textId="77777777" w:rsidR="00F824AB" w:rsidRDefault="00F824AB" w:rsidP="00F8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several challenges which arise in cross-border insolvency that hinder the development of a single global cross-border insolvency dispensation. They include (</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a lack of cooperation and coordination in the case of multiple concurrent proceedings against the same debtor, (ii) difficulties in reconciling various national approaches to insolvency upon the commencement of discussions on cross-border proceedings, and (iii) problems associated with determining the debtor’s</w:t>
      </w:r>
      <w:r w:rsidRPr="00C3644F">
        <w:rPr>
          <w:rFonts w:ascii="Avenir Next" w:hAnsi="Avenir Next" w:cs="Arial"/>
          <w:color w:val="808080" w:themeColor="background1" w:themeShade="80"/>
          <w:sz w:val="22"/>
          <w:szCs w:val="22"/>
          <w:lang w:val="en-GB"/>
        </w:rPr>
        <w:t xml:space="preserve"> single </w:t>
      </w:r>
      <w:r>
        <w:rPr>
          <w:rFonts w:ascii="Avenir Next" w:hAnsi="Avenir Next" w:cs="Arial"/>
          <w:color w:val="808080" w:themeColor="background1" w:themeShade="80"/>
          <w:sz w:val="22"/>
          <w:szCs w:val="22"/>
          <w:lang w:val="en-GB"/>
        </w:rPr>
        <w:t xml:space="preserve">“home” </w:t>
      </w:r>
      <w:r w:rsidRPr="00C3644F">
        <w:rPr>
          <w:rFonts w:ascii="Avenir Next" w:hAnsi="Avenir Next" w:cs="Arial"/>
          <w:color w:val="808080" w:themeColor="background1" w:themeShade="80"/>
          <w:sz w:val="22"/>
          <w:szCs w:val="22"/>
          <w:lang w:val="en-GB"/>
        </w:rPr>
        <w:t xml:space="preserve">State where insolvency proceedings will be exclusively </w:t>
      </w:r>
      <w:r>
        <w:rPr>
          <w:rFonts w:ascii="Avenir Next" w:hAnsi="Avenir Next" w:cs="Arial"/>
          <w:color w:val="808080" w:themeColor="background1" w:themeShade="80"/>
          <w:sz w:val="22"/>
          <w:szCs w:val="22"/>
          <w:lang w:val="en-GB"/>
        </w:rPr>
        <w:t>commenced. Each of these will be discussed in turn.</w:t>
      </w:r>
    </w:p>
    <w:p w14:paraId="21C42A51" w14:textId="77777777" w:rsidR="00F824AB" w:rsidRDefault="00F824AB" w:rsidP="00F8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7D983140" w14:textId="77777777" w:rsidR="00F824AB" w:rsidRPr="00A025BE" w:rsidRDefault="00F824AB" w:rsidP="00F8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Multiple concurrent proceedings typically involves each state </w:t>
      </w:r>
      <w:r w:rsidRPr="00A025BE">
        <w:rPr>
          <w:rFonts w:ascii="Avenir Next" w:hAnsi="Avenir Next" w:cs="Arial"/>
          <w:color w:val="808080" w:themeColor="background1" w:themeShade="80"/>
          <w:sz w:val="22"/>
          <w:szCs w:val="22"/>
          <w:lang w:val="en-GB"/>
        </w:rPr>
        <w:t xml:space="preserve">applying its own laws (including its choice-of-law rules) with little to no extraterritorial effect being given to foreign proceedings in some cases. </w:t>
      </w:r>
      <w:r w:rsidRPr="005B7D76">
        <w:rPr>
          <w:rFonts w:ascii="Avenir Next" w:hAnsi="Avenir Next" w:cs="Arial"/>
          <w:color w:val="808080" w:themeColor="background1" w:themeShade="80"/>
          <w:sz w:val="22"/>
          <w:szCs w:val="22"/>
          <w:lang w:val="en-GB"/>
        </w:rPr>
        <w:t>A single global cross-border insolvency dispensation demands a significant amount of trust in foreign legal systems and foreign insolvency proceedings since proceedings under such a dispensation would have to have extraterritorial effect. To be successful, a global approach would also have to confront thorny legal issues such as choice-of-law and priority rules.</w:t>
      </w:r>
      <w:r>
        <w:rPr>
          <w:rFonts w:ascii="Avenir Next" w:hAnsi="Avenir Next" w:cs="Arial"/>
          <w:color w:val="808080" w:themeColor="background1" w:themeShade="80"/>
          <w:sz w:val="22"/>
          <w:szCs w:val="22"/>
          <w:lang w:val="en-GB"/>
        </w:rPr>
        <w:t xml:space="preserve"> This situation is further complicated by the relatively low standards of insolvency laws in many States. The insolvency legislation in many countries is antiquated or otherwise drafted in a manner that is ill-equipped to handle present-day trade and investment. </w:t>
      </w:r>
      <w:r w:rsidRPr="00A025BE">
        <w:rPr>
          <w:rFonts w:ascii="Avenir Next" w:hAnsi="Avenir Next" w:cs="Arial"/>
          <w:color w:val="808080" w:themeColor="background1" w:themeShade="80"/>
          <w:sz w:val="22"/>
          <w:szCs w:val="22"/>
          <w:lang w:val="en-GB"/>
        </w:rPr>
        <w:t xml:space="preserve">In such circumstances, employing a strict territorial approach coupled with </w:t>
      </w:r>
      <w:r>
        <w:rPr>
          <w:rFonts w:ascii="Avenir Next" w:hAnsi="Avenir Next" w:cs="Arial"/>
          <w:color w:val="808080" w:themeColor="background1" w:themeShade="80"/>
          <w:sz w:val="22"/>
          <w:szCs w:val="22"/>
          <w:lang w:val="en-GB"/>
        </w:rPr>
        <w:t xml:space="preserve">antiquated laws and </w:t>
      </w:r>
      <w:r w:rsidRPr="00A025BE">
        <w:rPr>
          <w:rFonts w:ascii="Avenir Next" w:hAnsi="Avenir Next" w:cs="Arial"/>
          <w:color w:val="808080" w:themeColor="background1" w:themeShade="80"/>
          <w:sz w:val="22"/>
          <w:szCs w:val="22"/>
          <w:lang w:val="en-GB"/>
        </w:rPr>
        <w:t>a lack of cooperation and coordination between different States in addressing the cross-border insolvency elements is definitely an obstacle to t</w:t>
      </w:r>
      <w:r>
        <w:rPr>
          <w:rFonts w:ascii="Avenir Next" w:hAnsi="Avenir Next" w:cs="Arial"/>
          <w:color w:val="808080" w:themeColor="background1" w:themeShade="80"/>
          <w:sz w:val="22"/>
          <w:szCs w:val="22"/>
          <w:lang w:val="en-GB"/>
        </w:rPr>
        <w:t>he development of a single global cross-border insolvency dispensation.</w:t>
      </w:r>
    </w:p>
    <w:p w14:paraId="52A65D8F" w14:textId="77777777" w:rsidR="00F824AB" w:rsidRDefault="00F824AB" w:rsidP="00F824AB">
      <w:pPr>
        <w:jc w:val="both"/>
        <w:rPr>
          <w:rFonts w:ascii="Avenir Next" w:hAnsi="Avenir Next" w:cs="Arial"/>
          <w:color w:val="808080" w:themeColor="background1" w:themeShade="80"/>
          <w:sz w:val="22"/>
          <w:szCs w:val="22"/>
          <w:lang w:val="en-GB"/>
        </w:rPr>
      </w:pPr>
    </w:p>
    <w:p w14:paraId="536013C9" w14:textId="7E21B58D" w:rsidR="00F824AB" w:rsidRDefault="00F824AB" w:rsidP="00F824AB">
      <w:pPr>
        <w:jc w:val="both"/>
        <w:rPr>
          <w:rFonts w:ascii="Avenir Next" w:hAnsi="Avenir Next" w:cs="Arial"/>
          <w:color w:val="808080" w:themeColor="background1" w:themeShade="80"/>
          <w:sz w:val="22"/>
          <w:szCs w:val="22"/>
          <w:lang w:val="en-GB"/>
        </w:rPr>
      </w:pPr>
      <w:r w:rsidRPr="00B25248">
        <w:rPr>
          <w:rFonts w:ascii="Avenir Next" w:hAnsi="Avenir Next" w:cs="Arial"/>
          <w:color w:val="808080" w:themeColor="background1" w:themeShade="80"/>
          <w:sz w:val="22"/>
          <w:szCs w:val="22"/>
          <w:lang w:val="en-GB"/>
        </w:rPr>
        <w:t xml:space="preserve">Once discussions on cross-border insolvency issues have been initiated, reconciling the different national approaches to insolvency poses yet another difficulty. </w:t>
      </w:r>
      <w:r>
        <w:rPr>
          <w:rFonts w:ascii="Avenir Next" w:hAnsi="Avenir Next" w:cs="Arial"/>
          <w:color w:val="808080" w:themeColor="background1" w:themeShade="80"/>
          <w:sz w:val="22"/>
          <w:szCs w:val="22"/>
          <w:lang w:val="en-GB"/>
        </w:rPr>
        <w:t xml:space="preserve">Local legal culture, basic rights, and the way in which a system deals with related matters such as security rights, socio-economic matters or labour issues have a significant impact on certain aspects of insolvency law. </w:t>
      </w:r>
      <w:r w:rsidRPr="00B25248">
        <w:rPr>
          <w:rFonts w:ascii="Avenir Next" w:hAnsi="Avenir Next" w:cs="Arial"/>
          <w:color w:val="808080" w:themeColor="background1" w:themeShade="80"/>
          <w:sz w:val="22"/>
          <w:szCs w:val="22"/>
          <w:lang w:val="en-GB"/>
        </w:rPr>
        <w:t xml:space="preserve">A significant point of contention concerns the interests that insolvency proceedings should cater to. The disparate interests in pro-creditor versus pro-debtor systems poses a significant hurdle. </w:t>
      </w:r>
      <w:r w:rsidRPr="00A025BE">
        <w:rPr>
          <w:rFonts w:ascii="Avenir Next" w:hAnsi="Avenir Next" w:cs="Arial"/>
          <w:color w:val="808080" w:themeColor="background1" w:themeShade="80"/>
          <w:sz w:val="22"/>
          <w:szCs w:val="22"/>
          <w:lang w:val="en-GB"/>
        </w:rPr>
        <w:t xml:space="preserve">Other systems may focus on other interests that are more important in their domestic space for instance the approach to labour rights in France. Additionally, public policy reasons such as an unwillingness to recognise foreign public </w:t>
      </w:r>
      <w:r w:rsidRPr="00A025BE">
        <w:rPr>
          <w:rFonts w:ascii="Avenir Next" w:hAnsi="Avenir Next" w:cs="Arial"/>
          <w:color w:val="808080" w:themeColor="background1" w:themeShade="80"/>
          <w:sz w:val="22"/>
          <w:szCs w:val="22"/>
          <w:lang w:val="en-GB"/>
        </w:rPr>
        <w:lastRenderedPageBreak/>
        <w:t>claims (</w:t>
      </w:r>
      <w:r>
        <w:rPr>
          <w:rFonts w:ascii="Avenir Next" w:hAnsi="Avenir Next" w:cs="Arial"/>
          <w:color w:val="808080" w:themeColor="background1" w:themeShade="80"/>
          <w:sz w:val="22"/>
          <w:szCs w:val="22"/>
          <w:lang w:val="en-GB"/>
        </w:rPr>
        <w:t>in the case of</w:t>
      </w:r>
      <w:r w:rsidRPr="00A025BE">
        <w:rPr>
          <w:rFonts w:ascii="Avenir Next" w:hAnsi="Avenir Next" w:cs="Arial"/>
          <w:color w:val="808080" w:themeColor="background1" w:themeShade="80"/>
          <w:sz w:val="22"/>
          <w:szCs w:val="22"/>
          <w:lang w:val="en-GB"/>
        </w:rPr>
        <w:t xml:space="preserve"> taxes, social security, etc) or simply a need to protect local creditors may be given primacy. These approaches </w:t>
      </w:r>
      <w:r w:rsidR="00A032B6">
        <w:rPr>
          <w:rFonts w:ascii="Avenir Next" w:hAnsi="Avenir Next" w:cs="Arial"/>
          <w:color w:val="808080" w:themeColor="background1" w:themeShade="80"/>
          <w:sz w:val="22"/>
          <w:szCs w:val="22"/>
          <w:lang w:val="en-GB"/>
        </w:rPr>
        <w:t xml:space="preserve">often </w:t>
      </w:r>
      <w:r w:rsidRPr="00A025BE">
        <w:rPr>
          <w:rFonts w:ascii="Avenir Next" w:hAnsi="Avenir Next" w:cs="Arial"/>
          <w:color w:val="808080" w:themeColor="background1" w:themeShade="80"/>
          <w:sz w:val="22"/>
          <w:szCs w:val="22"/>
          <w:lang w:val="en-GB"/>
        </w:rPr>
        <w:t xml:space="preserve">lead to States contending with </w:t>
      </w:r>
      <w:r>
        <w:rPr>
          <w:rFonts w:ascii="Avenir Next" w:hAnsi="Avenir Next" w:cs="Arial"/>
          <w:color w:val="808080" w:themeColor="background1" w:themeShade="80"/>
          <w:sz w:val="22"/>
          <w:szCs w:val="22"/>
          <w:lang w:val="en-GB"/>
        </w:rPr>
        <w:t xml:space="preserve">rather than cooperating with </w:t>
      </w:r>
      <w:r w:rsidRPr="00A025BE">
        <w:rPr>
          <w:rFonts w:ascii="Avenir Next" w:hAnsi="Avenir Next" w:cs="Arial"/>
          <w:color w:val="808080" w:themeColor="background1" w:themeShade="80"/>
          <w:sz w:val="22"/>
          <w:szCs w:val="22"/>
          <w:lang w:val="en-GB"/>
        </w:rPr>
        <w:t xml:space="preserve">each other </w:t>
      </w:r>
      <w:r>
        <w:rPr>
          <w:rFonts w:ascii="Avenir Next" w:hAnsi="Avenir Next" w:cs="Arial"/>
          <w:color w:val="808080" w:themeColor="background1" w:themeShade="80"/>
          <w:sz w:val="22"/>
          <w:szCs w:val="22"/>
          <w:lang w:val="en-GB"/>
        </w:rPr>
        <w:t>with respect to</w:t>
      </w:r>
      <w:r w:rsidRPr="00A025BE">
        <w:rPr>
          <w:rFonts w:ascii="Avenir Next" w:hAnsi="Avenir Next" w:cs="Arial"/>
          <w:color w:val="808080" w:themeColor="background1" w:themeShade="80"/>
          <w:sz w:val="22"/>
          <w:szCs w:val="22"/>
          <w:lang w:val="en-GB"/>
        </w:rPr>
        <w:t xml:space="preserve"> the debtor’s assets. </w:t>
      </w:r>
    </w:p>
    <w:p w14:paraId="27E3E1E2" w14:textId="77777777" w:rsidR="00F824AB" w:rsidRDefault="00F824AB" w:rsidP="00F824AB">
      <w:pPr>
        <w:jc w:val="both"/>
        <w:rPr>
          <w:rFonts w:ascii="Avenir Next" w:hAnsi="Avenir Next" w:cs="Arial"/>
          <w:color w:val="808080" w:themeColor="background1" w:themeShade="80"/>
          <w:sz w:val="22"/>
          <w:szCs w:val="22"/>
          <w:lang w:val="en-GB"/>
        </w:rPr>
      </w:pPr>
    </w:p>
    <w:p w14:paraId="7F15AF66" w14:textId="051E88E4" w:rsidR="004830EF" w:rsidRDefault="00F824AB"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of the major problems associated with determining the debtor’s</w:t>
      </w:r>
      <w:r w:rsidRPr="00C3644F">
        <w:rPr>
          <w:rFonts w:ascii="Avenir Next" w:hAnsi="Avenir Next" w:cs="Arial"/>
          <w:color w:val="808080" w:themeColor="background1" w:themeShade="80"/>
          <w:sz w:val="22"/>
          <w:szCs w:val="22"/>
          <w:lang w:val="en-GB"/>
        </w:rPr>
        <w:t xml:space="preserve"> single </w:t>
      </w:r>
      <w:r>
        <w:rPr>
          <w:rFonts w:ascii="Avenir Next" w:hAnsi="Avenir Next" w:cs="Arial"/>
          <w:color w:val="808080" w:themeColor="background1" w:themeShade="80"/>
          <w:sz w:val="22"/>
          <w:szCs w:val="22"/>
          <w:lang w:val="en-GB"/>
        </w:rPr>
        <w:t xml:space="preserve">“home” </w:t>
      </w:r>
      <w:r w:rsidRPr="00C3644F">
        <w:rPr>
          <w:rFonts w:ascii="Avenir Next" w:hAnsi="Avenir Next" w:cs="Arial"/>
          <w:color w:val="808080" w:themeColor="background1" w:themeShade="80"/>
          <w:sz w:val="22"/>
          <w:szCs w:val="22"/>
          <w:lang w:val="en-GB"/>
        </w:rPr>
        <w:t xml:space="preserve">State where insolvency proceedings will be exclusively </w:t>
      </w:r>
      <w:r w:rsidRPr="005B7D76">
        <w:rPr>
          <w:rFonts w:ascii="Avenir Next" w:hAnsi="Avenir Next" w:cs="Arial"/>
          <w:color w:val="808080" w:themeColor="background1" w:themeShade="80"/>
          <w:sz w:val="22"/>
          <w:szCs w:val="22"/>
          <w:lang w:val="en-GB"/>
        </w:rPr>
        <w:t xml:space="preserve">commenced is that this will generate insecurity and uncertainty in the domestic markets and that “home” country standards may be indeterminate (particularly where the debtor is a corporate group) and susceptible to strategic manipulation. </w:t>
      </w:r>
      <w:r>
        <w:rPr>
          <w:rFonts w:ascii="Avenir Next" w:hAnsi="Avenir Next" w:cs="Arial"/>
          <w:color w:val="808080" w:themeColor="background1" w:themeShade="80"/>
          <w:sz w:val="22"/>
          <w:szCs w:val="22"/>
          <w:lang w:val="en-GB"/>
        </w:rPr>
        <w:t>This uncertainty is another major stumbling block in the way of with establishing</w:t>
      </w:r>
      <w:r w:rsidRPr="005B7D76">
        <w:t xml:space="preserve"> </w:t>
      </w:r>
      <w:r w:rsidRPr="005B7D76">
        <w:rPr>
          <w:rFonts w:ascii="Avenir Next" w:hAnsi="Avenir Next" w:cs="Arial"/>
          <w:color w:val="808080" w:themeColor="background1" w:themeShade="80"/>
          <w:sz w:val="22"/>
          <w:szCs w:val="22"/>
          <w:lang w:val="en-GB"/>
        </w:rPr>
        <w:t>a single global cross-border insolvency dispensation.</w:t>
      </w:r>
      <w:r>
        <w:rPr>
          <w:rFonts w:ascii="Avenir Next" w:hAnsi="Avenir Next" w:cs="Arial"/>
          <w:color w:val="808080" w:themeColor="background1" w:themeShade="80"/>
          <w:sz w:val="22"/>
          <w:szCs w:val="22"/>
          <w:lang w:val="en-GB"/>
        </w:rPr>
        <w:t xml:space="preserve"> </w:t>
      </w:r>
    </w:p>
    <w:p w14:paraId="1ACB6DC4" w14:textId="77777777" w:rsidR="00F53535" w:rsidRPr="004216EA" w:rsidRDefault="00F53535"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67B21033" w14:textId="417BA6C9" w:rsidR="00707185" w:rsidRDefault="001E644D"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context of international insolvency, the term “hard law” is used to denote obligations </w:t>
      </w:r>
      <w:r w:rsidR="00DE3816">
        <w:rPr>
          <w:rFonts w:ascii="Avenir Next" w:hAnsi="Avenir Next" w:cs="Arial"/>
          <w:color w:val="808080" w:themeColor="background1" w:themeShade="80"/>
          <w:sz w:val="22"/>
          <w:szCs w:val="22"/>
          <w:lang w:val="en-GB"/>
        </w:rPr>
        <w:t xml:space="preserve">pertaining to insolvency </w:t>
      </w:r>
      <w:r>
        <w:rPr>
          <w:rFonts w:ascii="Avenir Next" w:hAnsi="Avenir Next" w:cs="Arial"/>
          <w:color w:val="808080" w:themeColor="background1" w:themeShade="80"/>
          <w:sz w:val="22"/>
          <w:szCs w:val="22"/>
          <w:lang w:val="en-GB"/>
        </w:rPr>
        <w:t xml:space="preserve">that are legally binding on States, and which can be legally enforced. </w:t>
      </w:r>
      <w:r w:rsidR="006C2724">
        <w:rPr>
          <w:rFonts w:ascii="Avenir Next" w:hAnsi="Avenir Next" w:cs="Arial"/>
          <w:color w:val="808080" w:themeColor="background1" w:themeShade="80"/>
          <w:sz w:val="22"/>
          <w:szCs w:val="22"/>
          <w:lang w:val="en-GB"/>
        </w:rPr>
        <w:t xml:space="preserve">Such obligations take the form of treaties and conventions signed and ratified by a State and thus forms part of a State’s domestic laws enforceable in its courts. </w:t>
      </w:r>
      <w:r w:rsidR="000836FB">
        <w:rPr>
          <w:rFonts w:ascii="Avenir Next" w:hAnsi="Avenir Next" w:cs="Arial"/>
          <w:color w:val="808080" w:themeColor="background1" w:themeShade="80"/>
          <w:sz w:val="22"/>
          <w:szCs w:val="22"/>
          <w:lang w:val="en-GB"/>
        </w:rPr>
        <w:t>B</w:t>
      </w:r>
      <w:r w:rsidR="00DE3816">
        <w:rPr>
          <w:rFonts w:ascii="Avenir Next" w:hAnsi="Avenir Next" w:cs="Arial"/>
          <w:color w:val="808080" w:themeColor="background1" w:themeShade="80"/>
          <w:sz w:val="22"/>
          <w:szCs w:val="22"/>
          <w:lang w:val="en-GB"/>
        </w:rPr>
        <w:t xml:space="preserve">ilateral international insolvency treaties </w:t>
      </w:r>
      <w:r w:rsidR="000836FB">
        <w:rPr>
          <w:rFonts w:ascii="Avenir Next" w:hAnsi="Avenir Next" w:cs="Arial"/>
          <w:color w:val="808080" w:themeColor="background1" w:themeShade="80"/>
          <w:sz w:val="22"/>
          <w:szCs w:val="22"/>
          <w:lang w:val="en-GB"/>
        </w:rPr>
        <w:t xml:space="preserve">began springing </w:t>
      </w:r>
      <w:r w:rsidR="00BD069C">
        <w:rPr>
          <w:rFonts w:ascii="Avenir Next" w:hAnsi="Avenir Next" w:cs="Arial"/>
          <w:color w:val="808080" w:themeColor="background1" w:themeShade="80"/>
          <w:sz w:val="22"/>
          <w:szCs w:val="22"/>
          <w:lang w:val="en-GB"/>
        </w:rPr>
        <w:t xml:space="preserve">up </w:t>
      </w:r>
      <w:r w:rsidR="000836FB">
        <w:rPr>
          <w:rFonts w:ascii="Avenir Next" w:hAnsi="Avenir Next" w:cs="Arial"/>
          <w:color w:val="808080" w:themeColor="background1" w:themeShade="80"/>
          <w:sz w:val="22"/>
          <w:szCs w:val="22"/>
          <w:lang w:val="en-GB"/>
        </w:rPr>
        <w:t>from the 13</w:t>
      </w:r>
      <w:r w:rsidR="000836FB" w:rsidRPr="000836FB">
        <w:rPr>
          <w:rFonts w:ascii="Avenir Next" w:hAnsi="Avenir Next" w:cs="Arial"/>
          <w:color w:val="808080" w:themeColor="background1" w:themeShade="80"/>
          <w:sz w:val="22"/>
          <w:szCs w:val="22"/>
          <w:vertAlign w:val="superscript"/>
          <w:lang w:val="en-GB"/>
        </w:rPr>
        <w:t>th</w:t>
      </w:r>
      <w:r w:rsidR="000836FB">
        <w:rPr>
          <w:rFonts w:ascii="Avenir Next" w:hAnsi="Avenir Next" w:cs="Arial"/>
          <w:color w:val="808080" w:themeColor="background1" w:themeShade="80"/>
          <w:sz w:val="22"/>
          <w:szCs w:val="22"/>
          <w:lang w:val="en-GB"/>
        </w:rPr>
        <w:t xml:space="preserve"> and 14</w:t>
      </w:r>
      <w:r w:rsidR="000836FB" w:rsidRPr="000836FB">
        <w:rPr>
          <w:rFonts w:ascii="Avenir Next" w:hAnsi="Avenir Next" w:cs="Arial"/>
          <w:color w:val="808080" w:themeColor="background1" w:themeShade="80"/>
          <w:sz w:val="22"/>
          <w:szCs w:val="22"/>
          <w:vertAlign w:val="superscript"/>
          <w:lang w:val="en-GB"/>
        </w:rPr>
        <w:t>th</w:t>
      </w:r>
      <w:r w:rsidR="000836FB">
        <w:rPr>
          <w:rFonts w:ascii="Avenir Next" w:hAnsi="Avenir Next" w:cs="Arial"/>
          <w:color w:val="808080" w:themeColor="background1" w:themeShade="80"/>
          <w:sz w:val="22"/>
          <w:szCs w:val="22"/>
          <w:lang w:val="en-GB"/>
        </w:rPr>
        <w:t xml:space="preserve"> centuries addressing issues such as fleeing debtors</w:t>
      </w:r>
      <w:r w:rsidR="00F851C1">
        <w:rPr>
          <w:rFonts w:ascii="Avenir Next" w:hAnsi="Avenir Next" w:cs="Arial"/>
          <w:color w:val="808080" w:themeColor="background1" w:themeShade="80"/>
          <w:sz w:val="22"/>
          <w:szCs w:val="22"/>
          <w:lang w:val="en-GB"/>
        </w:rPr>
        <w:t xml:space="preserve"> and </w:t>
      </w:r>
      <w:r w:rsidR="00797788">
        <w:rPr>
          <w:rFonts w:ascii="Avenir Next" w:hAnsi="Avenir Next" w:cs="Arial"/>
          <w:color w:val="808080" w:themeColor="background1" w:themeShade="80"/>
          <w:sz w:val="22"/>
          <w:szCs w:val="22"/>
          <w:lang w:val="en-GB"/>
        </w:rPr>
        <w:t xml:space="preserve">then </w:t>
      </w:r>
      <w:r w:rsidR="00F851C1">
        <w:rPr>
          <w:rFonts w:ascii="Avenir Next" w:hAnsi="Avenir Next" w:cs="Arial"/>
          <w:color w:val="808080" w:themeColor="background1" w:themeShade="80"/>
          <w:sz w:val="22"/>
          <w:szCs w:val="22"/>
          <w:lang w:val="en-GB"/>
        </w:rPr>
        <w:t>l</w:t>
      </w:r>
      <w:r w:rsidR="000836FB">
        <w:rPr>
          <w:rFonts w:ascii="Avenir Next" w:hAnsi="Avenir Next" w:cs="Arial"/>
          <w:color w:val="808080" w:themeColor="background1" w:themeShade="80"/>
          <w:sz w:val="22"/>
          <w:szCs w:val="22"/>
          <w:lang w:val="en-GB"/>
        </w:rPr>
        <w:t>ater from the 19</w:t>
      </w:r>
      <w:r w:rsidR="000836FB" w:rsidRPr="000836FB">
        <w:rPr>
          <w:rFonts w:ascii="Avenir Next" w:hAnsi="Avenir Next" w:cs="Arial"/>
          <w:color w:val="808080" w:themeColor="background1" w:themeShade="80"/>
          <w:sz w:val="22"/>
          <w:szCs w:val="22"/>
          <w:vertAlign w:val="superscript"/>
          <w:lang w:val="en-GB"/>
        </w:rPr>
        <w:t>th</w:t>
      </w:r>
      <w:r w:rsidR="000836FB">
        <w:rPr>
          <w:rFonts w:ascii="Avenir Next" w:hAnsi="Avenir Next" w:cs="Arial"/>
          <w:color w:val="808080" w:themeColor="background1" w:themeShade="80"/>
          <w:sz w:val="22"/>
          <w:szCs w:val="22"/>
          <w:lang w:val="en-GB"/>
        </w:rPr>
        <w:t xml:space="preserve"> century</w:t>
      </w:r>
      <w:r w:rsidR="00F851C1">
        <w:rPr>
          <w:rFonts w:ascii="Avenir Next" w:hAnsi="Avenir Next" w:cs="Arial"/>
          <w:color w:val="808080" w:themeColor="background1" w:themeShade="80"/>
          <w:sz w:val="22"/>
          <w:szCs w:val="22"/>
          <w:lang w:val="en-GB"/>
        </w:rPr>
        <w:t xml:space="preserve"> </w:t>
      </w:r>
      <w:r w:rsidR="008A39CC">
        <w:rPr>
          <w:rFonts w:ascii="Avenir Next" w:hAnsi="Avenir Next" w:cs="Arial"/>
          <w:color w:val="808080" w:themeColor="background1" w:themeShade="80"/>
          <w:sz w:val="22"/>
          <w:szCs w:val="22"/>
          <w:lang w:val="en-GB"/>
        </w:rPr>
        <w:t xml:space="preserve">dealt with </w:t>
      </w:r>
      <w:r w:rsidR="00F851C1">
        <w:rPr>
          <w:rFonts w:ascii="Avenir Next" w:hAnsi="Avenir Next" w:cs="Arial"/>
          <w:color w:val="808080" w:themeColor="background1" w:themeShade="80"/>
          <w:sz w:val="22"/>
          <w:szCs w:val="22"/>
          <w:lang w:val="en-GB"/>
        </w:rPr>
        <w:t>critical matters</w:t>
      </w:r>
      <w:r w:rsidR="000836FB">
        <w:rPr>
          <w:rFonts w:ascii="Avenir Next" w:hAnsi="Avenir Next" w:cs="Arial"/>
          <w:color w:val="808080" w:themeColor="background1" w:themeShade="80"/>
          <w:sz w:val="22"/>
          <w:szCs w:val="22"/>
          <w:lang w:val="en-GB"/>
        </w:rPr>
        <w:t xml:space="preserve"> </w:t>
      </w:r>
      <w:r w:rsidR="00BD069C">
        <w:rPr>
          <w:rFonts w:ascii="Avenir Next" w:hAnsi="Avenir Next" w:cs="Arial"/>
          <w:color w:val="808080" w:themeColor="background1" w:themeShade="80"/>
          <w:sz w:val="22"/>
          <w:szCs w:val="22"/>
          <w:lang w:val="en-GB"/>
        </w:rPr>
        <w:t>including</w:t>
      </w:r>
      <w:r w:rsidR="00F851C1">
        <w:rPr>
          <w:rFonts w:ascii="Avenir Next" w:hAnsi="Avenir Next" w:cs="Arial"/>
          <w:color w:val="808080" w:themeColor="background1" w:themeShade="80"/>
          <w:sz w:val="22"/>
          <w:szCs w:val="22"/>
          <w:lang w:val="en-GB"/>
        </w:rPr>
        <w:t xml:space="preserve"> jurisdiction, winding-up and recognition and enforcement. </w:t>
      </w:r>
      <w:r w:rsidR="000836FB">
        <w:rPr>
          <w:rFonts w:ascii="Avenir Next" w:hAnsi="Avenir Next" w:cs="Arial"/>
          <w:color w:val="808080" w:themeColor="background1" w:themeShade="80"/>
          <w:sz w:val="22"/>
          <w:szCs w:val="22"/>
          <w:lang w:val="en-GB"/>
        </w:rPr>
        <w:t>Unfortunately</w:t>
      </w:r>
      <w:r w:rsidR="00892612">
        <w:rPr>
          <w:rFonts w:ascii="Avenir Next" w:hAnsi="Avenir Next" w:cs="Arial"/>
          <w:color w:val="808080" w:themeColor="background1" w:themeShade="80"/>
          <w:sz w:val="22"/>
          <w:szCs w:val="22"/>
          <w:lang w:val="en-GB"/>
        </w:rPr>
        <w:t>,</w:t>
      </w:r>
      <w:r w:rsidR="000836FB">
        <w:rPr>
          <w:rFonts w:ascii="Avenir Next" w:hAnsi="Avenir Next" w:cs="Arial"/>
          <w:color w:val="808080" w:themeColor="background1" w:themeShade="80"/>
          <w:sz w:val="22"/>
          <w:szCs w:val="22"/>
          <w:lang w:val="en-GB"/>
        </w:rPr>
        <w:t xml:space="preserve"> however, </w:t>
      </w:r>
      <w:r w:rsidR="009D3685">
        <w:rPr>
          <w:rFonts w:ascii="Avenir Next" w:hAnsi="Avenir Next" w:cs="Arial"/>
          <w:color w:val="808080" w:themeColor="background1" w:themeShade="80"/>
          <w:sz w:val="22"/>
          <w:szCs w:val="22"/>
          <w:lang w:val="en-GB"/>
        </w:rPr>
        <w:t xml:space="preserve">many </w:t>
      </w:r>
      <w:r w:rsidR="000836FB">
        <w:rPr>
          <w:rFonts w:ascii="Avenir Next" w:hAnsi="Avenir Next" w:cs="Arial"/>
          <w:color w:val="808080" w:themeColor="background1" w:themeShade="80"/>
          <w:sz w:val="22"/>
          <w:szCs w:val="22"/>
          <w:lang w:val="en-GB"/>
        </w:rPr>
        <w:t>m</w:t>
      </w:r>
      <w:r w:rsidR="00DE3816">
        <w:rPr>
          <w:rFonts w:ascii="Avenir Next" w:hAnsi="Avenir Next" w:cs="Arial"/>
          <w:color w:val="808080" w:themeColor="background1" w:themeShade="80"/>
          <w:sz w:val="22"/>
          <w:szCs w:val="22"/>
          <w:lang w:val="en-GB"/>
        </w:rPr>
        <w:t xml:space="preserve">ultilateral treaties concerning insolvency have not fared </w:t>
      </w:r>
      <w:r w:rsidR="00797788">
        <w:rPr>
          <w:rFonts w:ascii="Avenir Next" w:hAnsi="Avenir Next" w:cs="Arial"/>
          <w:color w:val="808080" w:themeColor="background1" w:themeShade="80"/>
          <w:sz w:val="22"/>
          <w:szCs w:val="22"/>
          <w:lang w:val="en-GB"/>
        </w:rPr>
        <w:t>very</w:t>
      </w:r>
      <w:r w:rsidR="00DE3816">
        <w:rPr>
          <w:rFonts w:ascii="Avenir Next" w:hAnsi="Avenir Next" w:cs="Arial"/>
          <w:color w:val="808080" w:themeColor="background1" w:themeShade="80"/>
          <w:sz w:val="22"/>
          <w:szCs w:val="22"/>
          <w:lang w:val="en-GB"/>
        </w:rPr>
        <w:t xml:space="preserve"> well and </w:t>
      </w:r>
      <w:r w:rsidR="00172A29">
        <w:rPr>
          <w:rFonts w:ascii="Avenir Next" w:hAnsi="Avenir Next" w:cs="Arial"/>
          <w:color w:val="808080" w:themeColor="background1" w:themeShade="80"/>
          <w:sz w:val="22"/>
          <w:szCs w:val="22"/>
          <w:lang w:val="en-GB"/>
        </w:rPr>
        <w:t>have had variable degrees of success in solving international insolvency law issues</w:t>
      </w:r>
      <w:r w:rsidR="008A39CC">
        <w:rPr>
          <w:rFonts w:ascii="Avenir Next" w:hAnsi="Avenir Next" w:cs="Arial"/>
          <w:color w:val="808080" w:themeColor="background1" w:themeShade="80"/>
          <w:sz w:val="22"/>
          <w:szCs w:val="22"/>
          <w:lang w:val="en-GB"/>
        </w:rPr>
        <w:t>.</w:t>
      </w:r>
      <w:r w:rsidR="00172A29">
        <w:rPr>
          <w:rFonts w:ascii="Avenir Next" w:hAnsi="Avenir Next" w:cs="Arial"/>
          <w:color w:val="808080" w:themeColor="background1" w:themeShade="80"/>
          <w:sz w:val="22"/>
          <w:szCs w:val="22"/>
          <w:lang w:val="en-GB"/>
        </w:rPr>
        <w:t xml:space="preserve"> </w:t>
      </w:r>
      <w:r w:rsidR="008A39CC">
        <w:rPr>
          <w:rFonts w:ascii="Avenir Next" w:hAnsi="Avenir Next" w:cs="Arial"/>
          <w:color w:val="808080" w:themeColor="background1" w:themeShade="80"/>
          <w:sz w:val="22"/>
          <w:szCs w:val="22"/>
          <w:lang w:val="en-GB"/>
        </w:rPr>
        <w:t>T</w:t>
      </w:r>
      <w:r w:rsidR="00DE3816">
        <w:rPr>
          <w:rFonts w:ascii="Avenir Next" w:hAnsi="Avenir Next" w:cs="Arial"/>
          <w:color w:val="808080" w:themeColor="background1" w:themeShade="80"/>
          <w:sz w:val="22"/>
          <w:szCs w:val="22"/>
          <w:lang w:val="en-GB"/>
        </w:rPr>
        <w:t>he Nordic Convention of 1933 is a rare example of a successful multilateral insolvency convention.</w:t>
      </w:r>
      <w:r w:rsidR="00F851C1">
        <w:rPr>
          <w:rFonts w:ascii="Avenir Next" w:hAnsi="Avenir Next" w:cs="Arial"/>
          <w:color w:val="808080" w:themeColor="background1" w:themeShade="80"/>
          <w:sz w:val="22"/>
          <w:szCs w:val="22"/>
          <w:lang w:val="en-GB"/>
        </w:rPr>
        <w:t xml:space="preserve"> </w:t>
      </w:r>
      <w:r w:rsidR="001E7F2A">
        <w:rPr>
          <w:rFonts w:ascii="Avenir Next" w:hAnsi="Avenir Next" w:cs="Arial"/>
          <w:color w:val="808080" w:themeColor="background1" w:themeShade="80"/>
          <w:sz w:val="22"/>
          <w:szCs w:val="22"/>
          <w:lang w:val="en-GB"/>
        </w:rPr>
        <w:t>This Act champions the notion of universality of a nominated insolvency and promotes unity of proceedings</w:t>
      </w:r>
      <w:r w:rsidR="008A39CC">
        <w:rPr>
          <w:rFonts w:ascii="Avenir Next" w:hAnsi="Avenir Next" w:cs="Arial"/>
          <w:color w:val="808080" w:themeColor="background1" w:themeShade="80"/>
          <w:sz w:val="22"/>
          <w:szCs w:val="22"/>
          <w:lang w:val="en-GB"/>
        </w:rPr>
        <w:t>,</w:t>
      </w:r>
      <w:r w:rsidR="001E7F2A">
        <w:rPr>
          <w:rFonts w:ascii="Avenir Next" w:hAnsi="Avenir Next" w:cs="Arial"/>
          <w:color w:val="808080" w:themeColor="background1" w:themeShade="80"/>
          <w:sz w:val="22"/>
          <w:szCs w:val="22"/>
          <w:lang w:val="en-GB"/>
        </w:rPr>
        <w:t xml:space="preserve"> while allowing for concurrent proceedings in limited cases. </w:t>
      </w:r>
      <w:r w:rsidR="00F851C1">
        <w:rPr>
          <w:rFonts w:ascii="Avenir Next" w:hAnsi="Avenir Next" w:cs="Arial"/>
          <w:color w:val="808080" w:themeColor="background1" w:themeShade="80"/>
          <w:sz w:val="22"/>
          <w:szCs w:val="22"/>
          <w:lang w:val="en-GB"/>
        </w:rPr>
        <w:t xml:space="preserve">Treaties </w:t>
      </w:r>
      <w:r w:rsidR="00892612">
        <w:rPr>
          <w:rFonts w:ascii="Avenir Next" w:hAnsi="Avenir Next" w:cs="Arial"/>
          <w:color w:val="808080" w:themeColor="background1" w:themeShade="80"/>
          <w:sz w:val="22"/>
          <w:szCs w:val="22"/>
          <w:lang w:val="en-GB"/>
        </w:rPr>
        <w:t xml:space="preserve">such as the Istanbul Convention did not have significant buy-in </w:t>
      </w:r>
      <w:r w:rsidR="008A39CC">
        <w:rPr>
          <w:rFonts w:ascii="Avenir Next" w:hAnsi="Avenir Next" w:cs="Arial"/>
          <w:color w:val="808080" w:themeColor="background1" w:themeShade="80"/>
          <w:sz w:val="22"/>
          <w:szCs w:val="22"/>
          <w:lang w:val="en-GB"/>
        </w:rPr>
        <w:t xml:space="preserve">because </w:t>
      </w:r>
      <w:r w:rsidR="00892612">
        <w:rPr>
          <w:rFonts w:ascii="Avenir Next" w:hAnsi="Avenir Next" w:cs="Arial"/>
          <w:color w:val="808080" w:themeColor="background1" w:themeShade="80"/>
          <w:sz w:val="22"/>
          <w:szCs w:val="22"/>
          <w:lang w:val="en-GB"/>
        </w:rPr>
        <w:t xml:space="preserve">though signed by 8 states, </w:t>
      </w:r>
      <w:r w:rsidR="008A39CC">
        <w:rPr>
          <w:rFonts w:ascii="Avenir Next" w:hAnsi="Avenir Next" w:cs="Arial"/>
          <w:color w:val="808080" w:themeColor="background1" w:themeShade="80"/>
          <w:sz w:val="22"/>
          <w:szCs w:val="22"/>
          <w:lang w:val="en-GB"/>
        </w:rPr>
        <w:t xml:space="preserve">it </w:t>
      </w:r>
      <w:r w:rsidR="00892612">
        <w:rPr>
          <w:rFonts w:ascii="Avenir Next" w:hAnsi="Avenir Next" w:cs="Arial"/>
          <w:color w:val="808080" w:themeColor="background1" w:themeShade="80"/>
          <w:sz w:val="22"/>
          <w:szCs w:val="22"/>
          <w:lang w:val="en-GB"/>
        </w:rPr>
        <w:t>did not enter into force due to limited ratification.</w:t>
      </w:r>
      <w:r w:rsidR="00BD069C">
        <w:rPr>
          <w:rFonts w:ascii="Avenir Next" w:hAnsi="Avenir Next" w:cs="Arial"/>
          <w:color w:val="808080" w:themeColor="background1" w:themeShade="80"/>
          <w:sz w:val="22"/>
          <w:szCs w:val="22"/>
          <w:lang w:val="en-GB"/>
        </w:rPr>
        <w:t xml:space="preserve"> A silver lining is that </w:t>
      </w:r>
      <w:r w:rsidR="00172A29">
        <w:rPr>
          <w:rFonts w:ascii="Avenir Next" w:hAnsi="Avenir Next" w:cs="Arial"/>
          <w:color w:val="808080" w:themeColor="background1" w:themeShade="80"/>
          <w:sz w:val="22"/>
          <w:szCs w:val="22"/>
          <w:lang w:val="en-GB"/>
        </w:rPr>
        <w:t>al</w:t>
      </w:r>
      <w:r w:rsidR="00BD069C">
        <w:rPr>
          <w:rFonts w:ascii="Avenir Next" w:hAnsi="Avenir Next" w:cs="Arial"/>
          <w:color w:val="808080" w:themeColor="background1" w:themeShade="80"/>
          <w:sz w:val="22"/>
          <w:szCs w:val="22"/>
          <w:lang w:val="en-GB"/>
        </w:rPr>
        <w:t xml:space="preserve">though the Istanbul Convention failed to enter into force, it significantly influenced the EU’s response to international insolvency issues faced by its </w:t>
      </w:r>
      <w:r w:rsidR="008A39CC">
        <w:rPr>
          <w:rFonts w:ascii="Avenir Next" w:hAnsi="Avenir Next" w:cs="Arial"/>
          <w:color w:val="808080" w:themeColor="background1" w:themeShade="80"/>
          <w:sz w:val="22"/>
          <w:szCs w:val="22"/>
          <w:lang w:val="en-GB"/>
        </w:rPr>
        <w:t>M</w:t>
      </w:r>
      <w:r w:rsidR="00BD069C">
        <w:rPr>
          <w:rFonts w:ascii="Avenir Next" w:hAnsi="Avenir Next" w:cs="Arial"/>
          <w:color w:val="808080" w:themeColor="background1" w:themeShade="80"/>
          <w:sz w:val="22"/>
          <w:szCs w:val="22"/>
          <w:lang w:val="en-GB"/>
        </w:rPr>
        <w:t>ember States. The European Insolvency Regulation of 2000 also impacted wider multilateral developments in international insolvency law</w:t>
      </w:r>
      <w:r w:rsidR="00172A29">
        <w:rPr>
          <w:rFonts w:ascii="Avenir Next" w:hAnsi="Avenir Next" w:cs="Arial"/>
          <w:color w:val="808080" w:themeColor="background1" w:themeShade="80"/>
          <w:sz w:val="22"/>
          <w:szCs w:val="22"/>
          <w:lang w:val="en-GB"/>
        </w:rPr>
        <w:t xml:space="preserve"> so much so that its reviewed and amended version, the EIR </w:t>
      </w:r>
      <w:r w:rsidR="008A39CC">
        <w:rPr>
          <w:rFonts w:ascii="Avenir Next" w:hAnsi="Avenir Next" w:cs="Arial"/>
          <w:color w:val="808080" w:themeColor="background1" w:themeShade="80"/>
          <w:sz w:val="22"/>
          <w:szCs w:val="22"/>
          <w:lang w:val="en-GB"/>
        </w:rPr>
        <w:t>(</w:t>
      </w:r>
      <w:r w:rsidR="00172A29">
        <w:rPr>
          <w:rFonts w:ascii="Avenir Next" w:hAnsi="Avenir Next" w:cs="Arial"/>
          <w:color w:val="808080" w:themeColor="background1" w:themeShade="80"/>
          <w:sz w:val="22"/>
          <w:szCs w:val="22"/>
          <w:lang w:val="en-GB"/>
        </w:rPr>
        <w:t>Recast</w:t>
      </w:r>
      <w:r w:rsidR="008A39CC">
        <w:rPr>
          <w:rFonts w:ascii="Avenir Next" w:hAnsi="Avenir Next" w:cs="Arial"/>
          <w:color w:val="808080" w:themeColor="background1" w:themeShade="80"/>
          <w:sz w:val="22"/>
          <w:szCs w:val="22"/>
          <w:lang w:val="en-GB"/>
        </w:rPr>
        <w:t>)</w:t>
      </w:r>
      <w:r w:rsidR="00797788">
        <w:rPr>
          <w:rFonts w:ascii="Avenir Next" w:hAnsi="Avenir Next" w:cs="Arial"/>
          <w:color w:val="808080" w:themeColor="background1" w:themeShade="80"/>
          <w:sz w:val="22"/>
          <w:szCs w:val="22"/>
          <w:lang w:val="en-GB"/>
        </w:rPr>
        <w:t xml:space="preserve">, </w:t>
      </w:r>
      <w:r w:rsidR="00172A29">
        <w:rPr>
          <w:rFonts w:ascii="Avenir Next" w:hAnsi="Avenir Next" w:cs="Arial"/>
          <w:color w:val="808080" w:themeColor="background1" w:themeShade="80"/>
          <w:sz w:val="22"/>
          <w:szCs w:val="22"/>
          <w:lang w:val="en-GB"/>
        </w:rPr>
        <w:t>a</w:t>
      </w:r>
      <w:r w:rsidR="00797788">
        <w:rPr>
          <w:rFonts w:ascii="Avenir Next" w:hAnsi="Avenir Next" w:cs="Arial"/>
          <w:color w:val="808080" w:themeColor="background1" w:themeShade="80"/>
          <w:sz w:val="22"/>
          <w:szCs w:val="22"/>
          <w:lang w:val="en-GB"/>
        </w:rPr>
        <w:t>n</w:t>
      </w:r>
      <w:r w:rsidR="00172A29">
        <w:rPr>
          <w:rFonts w:ascii="Avenir Next" w:hAnsi="Avenir Next" w:cs="Arial"/>
          <w:color w:val="808080" w:themeColor="background1" w:themeShade="80"/>
          <w:sz w:val="22"/>
          <w:szCs w:val="22"/>
          <w:lang w:val="en-GB"/>
        </w:rPr>
        <w:t>d the subsequent amendment by way of Regulation 2021/2260, is the current multilateral instrument on international insolvencies within the EU.</w:t>
      </w:r>
    </w:p>
    <w:p w14:paraId="66FC7CCD" w14:textId="77777777" w:rsidR="00797788" w:rsidRDefault="00797788" w:rsidP="006A44B2">
      <w:pPr>
        <w:jc w:val="both"/>
        <w:rPr>
          <w:rFonts w:ascii="Avenir Next" w:hAnsi="Avenir Next" w:cs="Arial"/>
          <w:color w:val="808080" w:themeColor="background1" w:themeShade="80"/>
          <w:sz w:val="22"/>
          <w:szCs w:val="22"/>
          <w:lang w:val="en-GB"/>
        </w:rPr>
      </w:pPr>
    </w:p>
    <w:p w14:paraId="774AB1EE" w14:textId="502C4AD0" w:rsidR="006A44B2" w:rsidRPr="00DA42DA" w:rsidRDefault="001E644D"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Soft law on the other hand refers to legally non-binding agreements, principles and declarations which often </w:t>
      </w:r>
      <w:r w:rsidR="006C2724">
        <w:rPr>
          <w:rFonts w:ascii="Avenir Next" w:hAnsi="Avenir Next" w:cs="Arial"/>
          <w:color w:val="808080" w:themeColor="background1" w:themeShade="80"/>
          <w:sz w:val="22"/>
          <w:szCs w:val="22"/>
          <w:lang w:val="en-GB"/>
        </w:rPr>
        <w:t>originate from international organisations such as the UNCITRAL Working Group V on Insolvency and insolvency organisations such as INSOL International.</w:t>
      </w:r>
      <w:r w:rsidR="00797788">
        <w:rPr>
          <w:rFonts w:ascii="Avenir Next" w:hAnsi="Avenir Next" w:cs="Arial"/>
          <w:color w:val="808080" w:themeColor="background1" w:themeShade="80"/>
          <w:sz w:val="22"/>
          <w:szCs w:val="22"/>
          <w:lang w:val="en-GB"/>
        </w:rPr>
        <w:t xml:space="preserve"> The </w:t>
      </w:r>
      <w:r w:rsidR="00F65C36">
        <w:rPr>
          <w:rFonts w:ascii="Avenir Next" w:hAnsi="Avenir Next" w:cs="Arial"/>
          <w:color w:val="808080" w:themeColor="background1" w:themeShade="80"/>
          <w:sz w:val="22"/>
          <w:szCs w:val="22"/>
          <w:lang w:val="en-GB"/>
        </w:rPr>
        <w:t xml:space="preserve">adoption of a Model Treaty on Bankruptcy at the </w:t>
      </w:r>
      <w:r w:rsidR="00797788">
        <w:rPr>
          <w:rFonts w:ascii="Avenir Next" w:hAnsi="Avenir Next" w:cs="Arial"/>
          <w:color w:val="808080" w:themeColor="background1" w:themeShade="80"/>
          <w:sz w:val="22"/>
          <w:szCs w:val="22"/>
          <w:lang w:val="en-GB"/>
        </w:rPr>
        <w:t>1</w:t>
      </w:r>
      <w:r w:rsidR="00F65C36">
        <w:rPr>
          <w:rFonts w:ascii="Avenir Next" w:hAnsi="Avenir Next" w:cs="Arial"/>
          <w:color w:val="808080" w:themeColor="background1" w:themeShade="80"/>
          <w:sz w:val="22"/>
          <w:szCs w:val="22"/>
          <w:lang w:val="en-GB"/>
        </w:rPr>
        <w:t>925</w:t>
      </w:r>
      <w:r w:rsidR="00797788">
        <w:rPr>
          <w:rFonts w:ascii="Avenir Next" w:hAnsi="Avenir Next" w:cs="Arial"/>
          <w:color w:val="808080" w:themeColor="background1" w:themeShade="80"/>
          <w:sz w:val="22"/>
          <w:szCs w:val="22"/>
          <w:lang w:val="en-GB"/>
        </w:rPr>
        <w:t xml:space="preserve"> Hague Conference on Private International Law </w:t>
      </w:r>
      <w:r w:rsidR="00F65C36">
        <w:rPr>
          <w:rFonts w:ascii="Avenir Next" w:hAnsi="Avenir Next" w:cs="Arial"/>
          <w:color w:val="808080" w:themeColor="background1" w:themeShade="80"/>
          <w:sz w:val="22"/>
          <w:szCs w:val="22"/>
          <w:lang w:val="en-GB"/>
        </w:rPr>
        <w:t xml:space="preserve">contributed to and paved the way for international discussions on the regulation of international insolvency. </w:t>
      </w:r>
      <w:r w:rsidR="00F65C36">
        <w:rPr>
          <w:rFonts w:ascii="Avenir Next" w:hAnsi="Avenir Next" w:cs="Arial"/>
          <w:color w:val="808080" w:themeColor="background1" w:themeShade="80"/>
          <w:sz w:val="22"/>
          <w:szCs w:val="22"/>
          <w:lang w:val="en-GB"/>
        </w:rPr>
        <w:t xml:space="preserve">Soft law solutions to international insolvency law issues has seen more success than its hard law counterpart.  Consequently, recent decades </w:t>
      </w:r>
      <w:r w:rsidR="00F65C36">
        <w:rPr>
          <w:rFonts w:ascii="Avenir Next" w:hAnsi="Avenir Next" w:cs="Arial"/>
          <w:color w:val="808080" w:themeColor="background1" w:themeShade="80"/>
          <w:sz w:val="22"/>
          <w:szCs w:val="22"/>
          <w:lang w:val="en-GB"/>
        </w:rPr>
        <w:lastRenderedPageBreak/>
        <w:t>have witnessed an increased effort by multilateral organisations to employ this approach in addressing international insolvency law issues.</w:t>
      </w:r>
      <w:r w:rsidR="00A53E29">
        <w:rPr>
          <w:rFonts w:ascii="Avenir Next" w:hAnsi="Avenir Next" w:cs="Arial"/>
          <w:color w:val="808080" w:themeColor="background1" w:themeShade="80"/>
          <w:sz w:val="22"/>
          <w:szCs w:val="22"/>
          <w:lang w:val="en-GB"/>
        </w:rPr>
        <w:t xml:space="preserve"> </w:t>
      </w:r>
      <w:r w:rsidR="00ED63D7">
        <w:rPr>
          <w:rFonts w:ascii="Avenir Next" w:hAnsi="Avenir Next" w:cs="Arial"/>
          <w:color w:val="808080" w:themeColor="background1" w:themeShade="80"/>
          <w:sz w:val="22"/>
          <w:szCs w:val="22"/>
          <w:lang w:val="en-GB"/>
        </w:rPr>
        <w:t xml:space="preserve">UNCITRAL’s </w:t>
      </w:r>
      <w:r w:rsidR="00ED63D7">
        <w:rPr>
          <w:rFonts w:ascii="Avenir Next" w:hAnsi="Avenir Next" w:cs="Arial"/>
          <w:color w:val="808080" w:themeColor="background1" w:themeShade="80"/>
          <w:sz w:val="22"/>
          <w:szCs w:val="22"/>
          <w:lang w:val="en-GB"/>
        </w:rPr>
        <w:t xml:space="preserve">Model Law on Cross-border Insolvency </w:t>
      </w:r>
      <w:r w:rsidR="00ED63D7">
        <w:rPr>
          <w:rFonts w:ascii="Avenir Next" w:hAnsi="Avenir Next" w:cs="Arial"/>
          <w:color w:val="808080" w:themeColor="background1" w:themeShade="80"/>
          <w:sz w:val="22"/>
          <w:szCs w:val="22"/>
          <w:lang w:val="en-GB"/>
        </w:rPr>
        <w:t>represents the most effective soft law initiative to date</w:t>
      </w:r>
      <w:r w:rsidR="00D42F51">
        <w:rPr>
          <w:rFonts w:ascii="Avenir Next" w:hAnsi="Avenir Next" w:cs="Arial"/>
          <w:color w:val="808080" w:themeColor="background1" w:themeShade="80"/>
          <w:sz w:val="22"/>
          <w:szCs w:val="22"/>
          <w:lang w:val="en-GB"/>
        </w:rPr>
        <w:t>. The number, economic size and geographic spread of the States that have adopted and continue to adopt the Model law has resulted in it having a</w:t>
      </w:r>
      <w:r w:rsidR="00ED63D7">
        <w:rPr>
          <w:rFonts w:ascii="Avenir Next" w:hAnsi="Avenir Next" w:cs="Arial"/>
          <w:color w:val="808080" w:themeColor="background1" w:themeShade="80"/>
          <w:sz w:val="22"/>
          <w:szCs w:val="22"/>
          <w:lang w:val="en-GB"/>
        </w:rPr>
        <w:t xml:space="preserve"> significant influence on</w:t>
      </w:r>
      <w:r w:rsidR="00D42F51">
        <w:rPr>
          <w:rFonts w:ascii="Avenir Next" w:hAnsi="Avenir Next" w:cs="Arial"/>
          <w:color w:val="808080" w:themeColor="background1" w:themeShade="80"/>
          <w:sz w:val="22"/>
          <w:szCs w:val="22"/>
          <w:lang w:val="en-GB"/>
        </w:rPr>
        <w:t xml:space="preserve"> the development of international insolvency law.</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125B3F03" w:rsidR="00F85C0B" w:rsidRPr="00463116" w:rsidRDefault="00F85C0B" w:rsidP="00F85C0B">
      <w:pPr>
        <w:jc w:val="both"/>
        <w:rPr>
          <w:rFonts w:ascii="Avenir Next" w:hAnsi="Avenir Next" w:cs="Arial"/>
          <w:color w:val="000000" w:themeColor="text1"/>
          <w:sz w:val="22"/>
          <w:szCs w:val="22"/>
        </w:rPr>
      </w:pPr>
      <w:r w:rsidRPr="00463116">
        <w:rPr>
          <w:rFonts w:ascii="Avenir Next" w:hAnsi="Avenir Next" w:cs="Arial"/>
          <w:color w:val="000000" w:themeColor="text1"/>
          <w:sz w:val="22"/>
          <w:szCs w:val="22"/>
        </w:rPr>
        <w:t xml:space="preserve">Norton Cars Inc is a registered company that manufactures sports cars. </w:t>
      </w:r>
      <w:r w:rsidRPr="00463116">
        <w:rPr>
          <w:rStyle w:val="cf01"/>
          <w:rFonts w:ascii="Avenir Next" w:hAnsi="Avenir Next" w:cs="Arial"/>
          <w:color w:val="000000" w:themeColor="text1"/>
          <w:sz w:val="22"/>
          <w:szCs w:val="22"/>
        </w:rPr>
        <w:t>The company was initially incorporated in the USA and at the time operated from there.</w:t>
      </w:r>
      <w:r w:rsidR="00A641E0" w:rsidRPr="00463116">
        <w:rPr>
          <w:rStyle w:val="cf01"/>
          <w:rFonts w:ascii="Avenir Next" w:hAnsi="Avenir Next" w:cs="Arial"/>
          <w:color w:val="000000" w:themeColor="text1"/>
          <w:sz w:val="22"/>
          <w:szCs w:val="22"/>
        </w:rPr>
        <w:t xml:space="preserve"> </w:t>
      </w:r>
      <w:r w:rsidR="008E4F14" w:rsidRPr="00463116">
        <w:rPr>
          <w:rFonts w:ascii="Avenir Next" w:hAnsi="Avenir Next" w:cs="Arial"/>
          <w:color w:val="000000" w:themeColor="text1"/>
          <w:sz w:val="22"/>
          <w:szCs w:val="22"/>
        </w:rPr>
        <w:t>The company’s</w:t>
      </w:r>
      <w:r w:rsidRPr="00463116">
        <w:rPr>
          <w:rFonts w:ascii="Avenir Next" w:hAnsi="Avenir Next" w:cs="Arial"/>
          <w:color w:val="000000" w:themeColor="text1"/>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Inc also distributes its cars to India, South </w:t>
      </w:r>
      <w:proofErr w:type="gramStart"/>
      <w:r w:rsidRPr="00F85C0B">
        <w:rPr>
          <w:rFonts w:ascii="Avenir Next" w:hAnsi="Avenir Next" w:cs="Arial"/>
          <w:sz w:val="22"/>
          <w:szCs w:val="28"/>
        </w:rPr>
        <w:t>Africa</w:t>
      </w:r>
      <w:proofErr w:type="gramEnd"/>
      <w:r w:rsidRPr="00F85C0B">
        <w:rPr>
          <w:rFonts w:ascii="Avenir Next" w:hAnsi="Avenir Next" w:cs="Arial"/>
          <w:sz w:val="22"/>
          <w:szCs w:val="28"/>
        </w:rPr>
        <w:t xml:space="preserve">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4121A2A8"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w:t>
      </w:r>
      <w:r w:rsidR="006B458B" w:rsidRPr="00F85C0B">
        <w:rPr>
          <w:rFonts w:ascii="Avenir Next" w:hAnsi="Avenir Next" w:cs="Arial"/>
          <w:sz w:val="22"/>
          <w:szCs w:val="28"/>
        </w:rPr>
        <w:t>provides the</w:t>
      </w:r>
      <w:r w:rsidRPr="00F85C0B">
        <w:rPr>
          <w:rFonts w:ascii="Avenir Next" w:hAnsi="Avenir Next" w:cs="Arial"/>
          <w:sz w:val="22"/>
          <w:szCs w:val="28"/>
        </w:rPr>
        <w:t xml:space="preserv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4184BAFC" w14:textId="79FCB097" w:rsidR="002253D8" w:rsidRDefault="00137417"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applicable English cross-border sources that </w:t>
      </w:r>
      <w:r>
        <w:rPr>
          <w:rFonts w:ascii="Avenir Next" w:hAnsi="Avenir Next" w:cs="Arial"/>
          <w:color w:val="808080" w:themeColor="background1" w:themeShade="80"/>
          <w:sz w:val="22"/>
          <w:szCs w:val="22"/>
          <w:lang w:val="en-GB"/>
        </w:rPr>
        <w:t xml:space="preserve">the American insolvent estate representative </w:t>
      </w:r>
      <w:r>
        <w:rPr>
          <w:rFonts w:ascii="Avenir Next" w:hAnsi="Avenir Next" w:cs="Arial"/>
          <w:color w:val="808080" w:themeColor="background1" w:themeShade="80"/>
          <w:sz w:val="22"/>
          <w:szCs w:val="22"/>
          <w:lang w:val="en-GB"/>
        </w:rPr>
        <w:t xml:space="preserve">may use to </w:t>
      </w:r>
      <w:r w:rsidR="001B4BFF">
        <w:rPr>
          <w:rFonts w:ascii="Avenir Next" w:hAnsi="Avenir Next" w:cs="Arial"/>
          <w:color w:val="808080" w:themeColor="background1" w:themeShade="80"/>
          <w:sz w:val="22"/>
          <w:szCs w:val="22"/>
          <w:lang w:val="en-GB"/>
        </w:rPr>
        <w:t>request</w:t>
      </w:r>
      <w:r>
        <w:rPr>
          <w:rFonts w:ascii="Avenir Next" w:hAnsi="Avenir Next" w:cs="Arial"/>
          <w:color w:val="808080" w:themeColor="background1" w:themeShade="80"/>
          <w:sz w:val="22"/>
          <w:szCs w:val="22"/>
          <w:lang w:val="en-GB"/>
        </w:rPr>
        <w:t xml:space="preserve"> </w:t>
      </w:r>
      <w:r w:rsidR="001B4BFF">
        <w:rPr>
          <w:rFonts w:ascii="Avenir Next" w:hAnsi="Avenir Next" w:cs="Arial"/>
          <w:color w:val="808080" w:themeColor="background1" w:themeShade="80"/>
          <w:sz w:val="22"/>
          <w:szCs w:val="22"/>
          <w:lang w:val="en-GB"/>
        </w:rPr>
        <w:t>recognition in terms of English law in order to deal with the assets of Norton Cars Inc situation in English</w:t>
      </w:r>
      <w:r>
        <w:rPr>
          <w:rFonts w:ascii="Avenir Next" w:hAnsi="Avenir Next" w:cs="Arial"/>
          <w:color w:val="808080" w:themeColor="background1" w:themeShade="80"/>
          <w:sz w:val="22"/>
          <w:szCs w:val="22"/>
          <w:lang w:val="en-GB"/>
        </w:rPr>
        <w:t xml:space="preserve"> are:</w:t>
      </w:r>
    </w:p>
    <w:p w14:paraId="17299E31" w14:textId="609FDED8" w:rsidR="00137417" w:rsidRDefault="00137417" w:rsidP="00137417">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Cross-Border Insolvency Regulations 2006</w:t>
      </w:r>
      <w:r w:rsidR="00E86887">
        <w:rPr>
          <w:rFonts w:ascii="Avenir Next" w:hAnsi="Avenir Next" w:cs="Arial"/>
          <w:color w:val="808080" w:themeColor="background1" w:themeShade="80"/>
          <w:sz w:val="22"/>
          <w:szCs w:val="22"/>
          <w:lang w:val="en-GB"/>
        </w:rPr>
        <w:t xml:space="preserve"> which were enacted in England to implement the UNCITRAL Model Law on Cross-Border Insolvency</w:t>
      </w:r>
      <w:r w:rsidR="00A43084">
        <w:rPr>
          <w:rFonts w:ascii="Avenir Next" w:hAnsi="Avenir Next" w:cs="Arial"/>
          <w:color w:val="808080" w:themeColor="background1" w:themeShade="80"/>
          <w:sz w:val="22"/>
          <w:szCs w:val="22"/>
          <w:lang w:val="en-GB"/>
        </w:rPr>
        <w:t xml:space="preserve"> 1997</w:t>
      </w:r>
      <w:r w:rsidR="00EC6290">
        <w:rPr>
          <w:rFonts w:ascii="Avenir Next" w:hAnsi="Avenir Next" w:cs="Arial"/>
          <w:color w:val="808080" w:themeColor="background1" w:themeShade="80"/>
          <w:sz w:val="22"/>
          <w:szCs w:val="22"/>
          <w:lang w:val="en-GB"/>
        </w:rPr>
        <w:t xml:space="preserve"> (the “Model Law”)</w:t>
      </w:r>
      <w:r w:rsidR="00A43084">
        <w:rPr>
          <w:rFonts w:ascii="Avenir Next" w:hAnsi="Avenir Next" w:cs="Arial"/>
          <w:color w:val="808080" w:themeColor="background1" w:themeShade="80"/>
          <w:sz w:val="22"/>
          <w:szCs w:val="22"/>
          <w:lang w:val="en-GB"/>
        </w:rPr>
        <w:t>.</w:t>
      </w:r>
      <w:r w:rsidR="00EC6290">
        <w:rPr>
          <w:rFonts w:ascii="Avenir Next" w:hAnsi="Avenir Next" w:cs="Arial"/>
          <w:color w:val="808080" w:themeColor="background1" w:themeShade="80"/>
          <w:sz w:val="22"/>
          <w:szCs w:val="22"/>
          <w:lang w:val="en-GB"/>
        </w:rPr>
        <w:t xml:space="preserve"> The US has </w:t>
      </w:r>
      <w:r w:rsidR="006B458B">
        <w:rPr>
          <w:rFonts w:ascii="Avenir Next" w:hAnsi="Avenir Next" w:cs="Arial"/>
          <w:color w:val="808080" w:themeColor="background1" w:themeShade="80"/>
          <w:sz w:val="22"/>
          <w:szCs w:val="22"/>
          <w:lang w:val="en-GB"/>
        </w:rPr>
        <w:t xml:space="preserve">also </w:t>
      </w:r>
      <w:r w:rsidR="00EC6290">
        <w:rPr>
          <w:rFonts w:ascii="Avenir Next" w:hAnsi="Avenir Next" w:cs="Arial"/>
          <w:color w:val="808080" w:themeColor="background1" w:themeShade="80"/>
          <w:sz w:val="22"/>
          <w:szCs w:val="22"/>
          <w:lang w:val="en-GB"/>
        </w:rPr>
        <w:t>adopted the Model Law, but it is important to note that the CIBR appli</w:t>
      </w:r>
      <w:r w:rsidR="00527CC4">
        <w:rPr>
          <w:rFonts w:ascii="Avenir Next" w:hAnsi="Avenir Next" w:cs="Arial"/>
          <w:color w:val="808080" w:themeColor="background1" w:themeShade="80"/>
          <w:sz w:val="22"/>
          <w:szCs w:val="22"/>
          <w:lang w:val="en-GB"/>
        </w:rPr>
        <w:t>es in any event</w:t>
      </w:r>
      <w:r w:rsidR="00EC6290">
        <w:rPr>
          <w:rFonts w:ascii="Avenir Next" w:hAnsi="Avenir Next" w:cs="Arial"/>
          <w:color w:val="808080" w:themeColor="background1" w:themeShade="80"/>
          <w:sz w:val="22"/>
          <w:szCs w:val="22"/>
          <w:lang w:val="en-GB"/>
        </w:rPr>
        <w:t xml:space="preserve"> without the need for reciprocity. </w:t>
      </w:r>
    </w:p>
    <w:p w14:paraId="7B6275F1" w14:textId="57FA3F8C" w:rsidR="007F1743" w:rsidRDefault="007F1743" w:rsidP="00137417">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English common law based on principles of comity</w:t>
      </w:r>
      <w:r w:rsidR="008A791D">
        <w:rPr>
          <w:rFonts w:ascii="Avenir Next" w:hAnsi="Avenir Next" w:cs="Arial"/>
          <w:color w:val="808080" w:themeColor="background1" w:themeShade="80"/>
          <w:sz w:val="22"/>
          <w:szCs w:val="22"/>
          <w:lang w:val="en-GB"/>
        </w:rPr>
        <w:t xml:space="preserve"> and modified universalism. At paragraph 30 of McGrath v </w:t>
      </w:r>
      <w:proofErr w:type="spellStart"/>
      <w:r w:rsidR="008A791D">
        <w:rPr>
          <w:rFonts w:ascii="Avenir Next" w:hAnsi="Avenir Next" w:cs="Arial"/>
          <w:color w:val="808080" w:themeColor="background1" w:themeShade="80"/>
          <w:sz w:val="22"/>
          <w:szCs w:val="22"/>
          <w:lang w:val="en-GB"/>
        </w:rPr>
        <w:t>Ridell</w:t>
      </w:r>
      <w:proofErr w:type="spellEnd"/>
      <w:r w:rsidR="008A791D">
        <w:rPr>
          <w:rFonts w:ascii="Avenir Next" w:hAnsi="Avenir Next" w:cs="Arial"/>
          <w:color w:val="808080" w:themeColor="background1" w:themeShade="80"/>
          <w:sz w:val="22"/>
          <w:szCs w:val="22"/>
          <w:lang w:val="en-GB"/>
        </w:rPr>
        <w:t xml:space="preserve">, Lord Hoffman referred to the applicability of the principle of (modified) universalism and described it as the “golden thread running </w:t>
      </w:r>
      <w:r w:rsidR="008A791D">
        <w:rPr>
          <w:rFonts w:ascii="Avenir Next" w:hAnsi="Avenir Next" w:cs="Arial"/>
          <w:color w:val="808080" w:themeColor="background1" w:themeShade="80"/>
          <w:sz w:val="22"/>
          <w:szCs w:val="22"/>
          <w:lang w:val="en-GB"/>
        </w:rPr>
        <w:lastRenderedPageBreak/>
        <w:t>through English cross-border insolvency law since the 18</w:t>
      </w:r>
      <w:r w:rsidR="008A791D" w:rsidRPr="008A791D">
        <w:rPr>
          <w:rFonts w:ascii="Avenir Next" w:hAnsi="Avenir Next" w:cs="Arial"/>
          <w:color w:val="808080" w:themeColor="background1" w:themeShade="80"/>
          <w:sz w:val="22"/>
          <w:szCs w:val="22"/>
          <w:vertAlign w:val="superscript"/>
          <w:lang w:val="en-GB"/>
        </w:rPr>
        <w:t>th</w:t>
      </w:r>
      <w:r w:rsidR="008A791D">
        <w:rPr>
          <w:rFonts w:ascii="Avenir Next" w:hAnsi="Avenir Next" w:cs="Arial"/>
          <w:color w:val="808080" w:themeColor="background1" w:themeShade="80"/>
          <w:sz w:val="22"/>
          <w:szCs w:val="22"/>
          <w:lang w:val="en-GB"/>
        </w:rPr>
        <w:t xml:space="preserve"> century”. He emphasised the fact that the principle requires that “English Courts should so far</w:t>
      </w:r>
      <w:r w:rsidR="00EC6290">
        <w:rPr>
          <w:rFonts w:ascii="Avenir Next" w:hAnsi="Avenir Next" w:cs="Arial"/>
          <w:color w:val="808080" w:themeColor="background1" w:themeShade="80"/>
          <w:sz w:val="22"/>
          <w:szCs w:val="22"/>
          <w:lang w:val="en-GB"/>
        </w:rPr>
        <w:t xml:space="preserve"> as</w:t>
      </w:r>
      <w:r w:rsidR="008A791D">
        <w:rPr>
          <w:rFonts w:ascii="Avenir Next" w:hAnsi="Avenir Next" w:cs="Arial"/>
          <w:color w:val="808080" w:themeColor="background1" w:themeShade="80"/>
          <w:sz w:val="22"/>
          <w:szCs w:val="22"/>
          <w:lang w:val="en-GB"/>
        </w:rPr>
        <w:t xml:space="preserve"> consistent with justice and UK public policy</w:t>
      </w:r>
      <w:r w:rsidR="00EC6290">
        <w:rPr>
          <w:rFonts w:ascii="Avenir Next" w:hAnsi="Avenir Next" w:cs="Arial"/>
          <w:color w:val="808080" w:themeColor="background1" w:themeShade="80"/>
          <w:sz w:val="22"/>
          <w:szCs w:val="22"/>
          <w:lang w:val="en-GB"/>
        </w:rPr>
        <w:t>,</w:t>
      </w:r>
      <w:r w:rsidR="008A791D">
        <w:rPr>
          <w:rFonts w:ascii="Avenir Next" w:hAnsi="Avenir Next" w:cs="Arial"/>
          <w:color w:val="808080" w:themeColor="background1" w:themeShade="80"/>
          <w:sz w:val="22"/>
          <w:szCs w:val="22"/>
          <w:lang w:val="en-GB"/>
        </w:rPr>
        <w:t xml:space="preserve"> cooperate with courts of the country of the principal liquidation”.</w:t>
      </w:r>
    </w:p>
    <w:p w14:paraId="5160DA44" w14:textId="77777777" w:rsidR="00EC6290" w:rsidRDefault="00EC6290" w:rsidP="00EC6290">
      <w:pPr>
        <w:ind w:left="360"/>
        <w:jc w:val="both"/>
        <w:rPr>
          <w:rFonts w:ascii="Avenir Next" w:hAnsi="Avenir Next" w:cs="Arial"/>
          <w:color w:val="808080" w:themeColor="background1" w:themeShade="80"/>
          <w:sz w:val="22"/>
          <w:szCs w:val="22"/>
          <w:lang w:val="en-GB"/>
        </w:rPr>
      </w:pPr>
    </w:p>
    <w:p w14:paraId="73207D76" w14:textId="2133ED9E" w:rsidR="00EC6290" w:rsidRPr="00EC6290" w:rsidRDefault="00EC6290" w:rsidP="00EC6290">
      <w:p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American insolvent estate representative </w:t>
      </w:r>
      <w:r w:rsidR="00C16773">
        <w:rPr>
          <w:rFonts w:ascii="Avenir Next" w:hAnsi="Avenir Next" w:cs="Arial"/>
          <w:color w:val="808080" w:themeColor="background1" w:themeShade="80"/>
          <w:sz w:val="22"/>
          <w:szCs w:val="22"/>
          <w:lang w:val="en-GB"/>
        </w:rPr>
        <w:t>may also be advised that while section 426 of the UK Insolvency Act 1986 provides a legal avenue for a foreign office holder to seek recognition in England, it applies only to requests made by relevant countries which are predominantly Commonwealth states or UK overseas territories. Therefore</w:t>
      </w:r>
      <w:r w:rsidR="00527CC4">
        <w:rPr>
          <w:rFonts w:ascii="Avenir Next" w:hAnsi="Avenir Next" w:cs="Arial"/>
          <w:color w:val="808080" w:themeColor="background1" w:themeShade="80"/>
          <w:sz w:val="22"/>
          <w:szCs w:val="22"/>
          <w:lang w:val="en-GB"/>
        </w:rPr>
        <w:t>,</w:t>
      </w:r>
      <w:r w:rsidR="00C16773">
        <w:rPr>
          <w:rFonts w:ascii="Avenir Next" w:hAnsi="Avenir Next" w:cs="Arial"/>
          <w:color w:val="808080" w:themeColor="background1" w:themeShade="80"/>
          <w:sz w:val="22"/>
          <w:szCs w:val="22"/>
          <w:lang w:val="en-GB"/>
        </w:rPr>
        <w:t xml:space="preserve"> an American </w:t>
      </w:r>
      <w:r w:rsidR="00935301">
        <w:rPr>
          <w:rFonts w:ascii="Avenir Next" w:hAnsi="Avenir Next" w:cs="Arial"/>
          <w:color w:val="808080" w:themeColor="background1" w:themeShade="80"/>
          <w:sz w:val="22"/>
          <w:szCs w:val="22"/>
          <w:lang w:val="en-GB"/>
        </w:rPr>
        <w:t>insolvent estate representative</w:t>
      </w:r>
      <w:r w:rsidR="00C16773">
        <w:rPr>
          <w:rFonts w:ascii="Avenir Next" w:hAnsi="Avenir Next" w:cs="Arial"/>
          <w:color w:val="808080" w:themeColor="background1" w:themeShade="80"/>
          <w:sz w:val="22"/>
          <w:szCs w:val="22"/>
          <w:lang w:val="en-GB"/>
        </w:rPr>
        <w:t xml:space="preserve"> could not use this source.</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11C1310B" w14:textId="77777777" w:rsidR="00C36EF0" w:rsidRDefault="00C36EF0" w:rsidP="002253D8">
      <w:pPr>
        <w:jc w:val="both"/>
        <w:rPr>
          <w:rFonts w:ascii="Avenir Next" w:hAnsi="Avenir Next" w:cs="Arial"/>
          <w:color w:val="808080" w:themeColor="background1" w:themeShade="80"/>
          <w:sz w:val="22"/>
          <w:szCs w:val="22"/>
          <w:lang w:val="en-GB"/>
        </w:rPr>
      </w:pPr>
    </w:p>
    <w:p w14:paraId="7E8018DC" w14:textId="56A3F0D9" w:rsidR="00630C8D" w:rsidRDefault="00630C8D" w:rsidP="00630C8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w:t>
      </w:r>
      <w:r w:rsidRPr="00C36EF0">
        <w:rPr>
          <w:rFonts w:ascii="Avenir Next" w:hAnsi="Avenir Next" w:cs="Arial"/>
          <w:color w:val="808080" w:themeColor="background1" w:themeShade="80"/>
          <w:sz w:val="22"/>
          <w:szCs w:val="22"/>
          <w:lang w:val="en-GB"/>
        </w:rPr>
        <w:t xml:space="preserve">Italy and Germany </w:t>
      </w:r>
      <w:r>
        <w:rPr>
          <w:rFonts w:ascii="Avenir Next" w:hAnsi="Avenir Next" w:cs="Arial"/>
          <w:color w:val="808080" w:themeColor="background1" w:themeShade="80"/>
          <w:sz w:val="22"/>
          <w:szCs w:val="22"/>
          <w:lang w:val="en-GB"/>
        </w:rPr>
        <w:t xml:space="preserve">are </w:t>
      </w:r>
      <w:r w:rsidRPr="00C36EF0">
        <w:rPr>
          <w:rFonts w:ascii="Avenir Next" w:hAnsi="Avenir Next" w:cs="Arial"/>
          <w:color w:val="808080" w:themeColor="background1" w:themeShade="80"/>
          <w:sz w:val="22"/>
          <w:szCs w:val="22"/>
          <w:lang w:val="en-GB"/>
        </w:rPr>
        <w:t>both EU States</w:t>
      </w:r>
      <w:r>
        <w:rPr>
          <w:rFonts w:ascii="Avenir Next" w:hAnsi="Avenir Next" w:cs="Arial"/>
          <w:color w:val="808080" w:themeColor="background1" w:themeShade="80"/>
          <w:sz w:val="22"/>
          <w:szCs w:val="22"/>
          <w:lang w:val="en-GB"/>
        </w:rPr>
        <w:t xml:space="preserve">, </w:t>
      </w:r>
      <w:r w:rsidRPr="00C36EF0">
        <w:rPr>
          <w:rFonts w:ascii="Avenir Next" w:hAnsi="Avenir Next" w:cs="Arial"/>
          <w:color w:val="808080" w:themeColor="background1" w:themeShade="80"/>
          <w:sz w:val="22"/>
          <w:szCs w:val="22"/>
          <w:lang w:val="en-GB"/>
        </w:rPr>
        <w:t>E</w:t>
      </w:r>
      <w:r>
        <w:rPr>
          <w:rFonts w:ascii="Avenir Next" w:hAnsi="Avenir Next" w:cs="Arial"/>
          <w:color w:val="808080" w:themeColor="background1" w:themeShade="80"/>
          <w:sz w:val="22"/>
          <w:szCs w:val="22"/>
          <w:lang w:val="en-GB"/>
        </w:rPr>
        <w:t xml:space="preserve">uropean </w:t>
      </w:r>
      <w:r w:rsidRPr="00C36EF0">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 xml:space="preserve">nsolvency </w:t>
      </w:r>
      <w:r w:rsidRPr="00C36EF0">
        <w:rPr>
          <w:rFonts w:ascii="Avenir Next" w:hAnsi="Avenir Next" w:cs="Arial"/>
          <w:color w:val="808080" w:themeColor="background1" w:themeShade="80"/>
          <w:sz w:val="22"/>
          <w:szCs w:val="22"/>
          <w:lang w:val="en-GB"/>
        </w:rPr>
        <w:t>R</w:t>
      </w:r>
      <w:r>
        <w:rPr>
          <w:rFonts w:ascii="Avenir Next" w:hAnsi="Avenir Next" w:cs="Arial"/>
          <w:color w:val="808080" w:themeColor="background1" w:themeShade="80"/>
          <w:sz w:val="22"/>
          <w:szCs w:val="22"/>
          <w:lang w:val="en-GB"/>
        </w:rPr>
        <w:t>egulation</w:t>
      </w:r>
      <w:r w:rsidRPr="00C36EF0">
        <w:rPr>
          <w:rFonts w:ascii="Avenir Next" w:hAnsi="Avenir Next" w:cs="Arial"/>
          <w:color w:val="808080" w:themeColor="background1" w:themeShade="80"/>
          <w:sz w:val="22"/>
          <w:szCs w:val="22"/>
          <w:lang w:val="en-GB"/>
        </w:rPr>
        <w:t xml:space="preserve"> (Recast) </w:t>
      </w:r>
      <w:r>
        <w:rPr>
          <w:rFonts w:ascii="Avenir Next" w:hAnsi="Avenir Next" w:cs="Arial"/>
          <w:color w:val="808080" w:themeColor="background1" w:themeShade="80"/>
          <w:sz w:val="22"/>
          <w:szCs w:val="22"/>
          <w:lang w:val="en-GB"/>
        </w:rPr>
        <w:t xml:space="preserve">(“EIR (Recast)”) </w:t>
      </w:r>
      <w:r w:rsidR="00A2079E">
        <w:rPr>
          <w:rFonts w:ascii="Avenir Next" w:hAnsi="Avenir Next" w:cs="Arial"/>
          <w:color w:val="808080" w:themeColor="background1" w:themeShade="80"/>
          <w:sz w:val="22"/>
          <w:szCs w:val="22"/>
          <w:lang w:val="en-GB"/>
        </w:rPr>
        <w:t>is</w:t>
      </w:r>
      <w:r>
        <w:rPr>
          <w:rFonts w:ascii="Avenir Next" w:hAnsi="Avenir Next" w:cs="Arial"/>
          <w:color w:val="808080" w:themeColor="background1" w:themeShade="80"/>
          <w:sz w:val="22"/>
          <w:szCs w:val="22"/>
          <w:lang w:val="en-GB"/>
        </w:rPr>
        <w:t xml:space="preserve"> the appropriate legal source to be used in a cross-border insolvency matter between these two States.</w:t>
      </w:r>
      <w:r w:rsidR="0047694C" w:rsidRPr="0047694C">
        <w:rPr>
          <w:rFonts w:ascii="Avenir Next" w:hAnsi="Avenir Next" w:cs="Arial"/>
          <w:color w:val="808080" w:themeColor="background1" w:themeShade="80"/>
          <w:sz w:val="22"/>
          <w:szCs w:val="22"/>
          <w:lang w:val="en-GB"/>
        </w:rPr>
        <w:t xml:space="preserve"> </w:t>
      </w:r>
    </w:p>
    <w:p w14:paraId="1346A0D8" w14:textId="77777777" w:rsidR="00630C8D" w:rsidRDefault="00630C8D" w:rsidP="00630C8D">
      <w:pPr>
        <w:jc w:val="both"/>
        <w:rPr>
          <w:rFonts w:ascii="Avenir Next" w:hAnsi="Avenir Next" w:cs="Arial"/>
          <w:color w:val="FF0000"/>
          <w:sz w:val="22"/>
          <w:szCs w:val="22"/>
          <w:highlight w:val="yellow"/>
          <w:lang w:val="en-GB"/>
        </w:rPr>
      </w:pPr>
    </w:p>
    <w:p w14:paraId="179527C2" w14:textId="6A5B9F3A" w:rsidR="00630C8D" w:rsidRDefault="00630C8D" w:rsidP="00630C8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the </w:t>
      </w:r>
      <w:r w:rsidRPr="00C36EF0">
        <w:rPr>
          <w:rFonts w:ascii="Avenir Next" w:hAnsi="Avenir Next" w:cs="Arial"/>
          <w:color w:val="808080" w:themeColor="background1" w:themeShade="80"/>
          <w:sz w:val="22"/>
          <w:szCs w:val="22"/>
          <w:lang w:val="en-GB"/>
        </w:rPr>
        <w:t xml:space="preserve">EIR </w:t>
      </w:r>
      <w:r>
        <w:rPr>
          <w:rFonts w:ascii="Avenir Next" w:hAnsi="Avenir Next" w:cs="Arial"/>
          <w:color w:val="808080" w:themeColor="background1" w:themeShade="80"/>
          <w:sz w:val="22"/>
          <w:szCs w:val="22"/>
          <w:lang w:val="en-GB"/>
        </w:rPr>
        <w:t xml:space="preserve">(Recast) framework, the debtor’s </w:t>
      </w:r>
      <w:r w:rsidRPr="00C36EF0">
        <w:rPr>
          <w:rFonts w:ascii="Avenir Next" w:hAnsi="Avenir Next" w:cs="Arial"/>
          <w:color w:val="808080" w:themeColor="background1" w:themeShade="80"/>
          <w:sz w:val="22"/>
          <w:szCs w:val="22"/>
          <w:lang w:val="en-GB"/>
        </w:rPr>
        <w:t xml:space="preserve">“centre of the debtor’s main interests” </w:t>
      </w:r>
      <w:r>
        <w:rPr>
          <w:rFonts w:ascii="Avenir Next" w:hAnsi="Avenir Next" w:cs="Arial"/>
          <w:color w:val="808080" w:themeColor="background1" w:themeShade="80"/>
          <w:sz w:val="22"/>
          <w:szCs w:val="22"/>
          <w:lang w:val="en-GB"/>
        </w:rPr>
        <w:t xml:space="preserve">(‘COMI’) determines and allocates international insolvency </w:t>
      </w:r>
      <w:r w:rsidRPr="00C36EF0">
        <w:rPr>
          <w:rFonts w:ascii="Avenir Next" w:hAnsi="Avenir Next" w:cs="Arial"/>
          <w:color w:val="808080" w:themeColor="background1" w:themeShade="80"/>
          <w:sz w:val="22"/>
          <w:szCs w:val="22"/>
          <w:lang w:val="en-GB"/>
        </w:rPr>
        <w:t xml:space="preserve">jurisdictional competence to courts of </w:t>
      </w:r>
      <w:r>
        <w:rPr>
          <w:rFonts w:ascii="Avenir Next" w:hAnsi="Avenir Next" w:cs="Arial"/>
          <w:color w:val="808080" w:themeColor="background1" w:themeShade="80"/>
          <w:sz w:val="22"/>
          <w:szCs w:val="22"/>
          <w:lang w:val="en-GB"/>
        </w:rPr>
        <w:t>that</w:t>
      </w:r>
      <w:r w:rsidRPr="00C36EF0">
        <w:rPr>
          <w:rFonts w:ascii="Avenir Next" w:hAnsi="Avenir Next" w:cs="Arial"/>
          <w:color w:val="808080" w:themeColor="background1" w:themeShade="80"/>
          <w:sz w:val="22"/>
          <w:szCs w:val="22"/>
          <w:lang w:val="en-GB"/>
        </w:rPr>
        <w:t xml:space="preserve"> member State</w:t>
      </w:r>
      <w:r>
        <w:rPr>
          <w:rFonts w:ascii="Avenir Next" w:hAnsi="Avenir Next" w:cs="Arial"/>
          <w:color w:val="808080" w:themeColor="background1" w:themeShade="80"/>
          <w:sz w:val="22"/>
          <w:szCs w:val="22"/>
          <w:lang w:val="en-GB"/>
        </w:rPr>
        <w:t>. The COMI is the place where the debtor ordinarily conducts the administration of its interests, and which is ascertainable by third parties where opening or considering insolvency proceedings. As a general principle, t</w:t>
      </w:r>
      <w:r w:rsidRPr="00F92C30">
        <w:rPr>
          <w:rFonts w:ascii="Avenir Next" w:hAnsi="Avenir Next" w:cs="Arial"/>
          <w:color w:val="808080" w:themeColor="background1" w:themeShade="80"/>
          <w:sz w:val="22"/>
          <w:szCs w:val="22"/>
          <w:lang w:val="en-GB"/>
        </w:rPr>
        <w:t xml:space="preserve">he law applicable to the </w:t>
      </w:r>
      <w:r>
        <w:rPr>
          <w:rFonts w:ascii="Avenir Next" w:hAnsi="Avenir Next" w:cs="Arial"/>
          <w:color w:val="808080" w:themeColor="background1" w:themeShade="80"/>
          <w:sz w:val="22"/>
          <w:szCs w:val="22"/>
          <w:lang w:val="en-GB"/>
        </w:rPr>
        <w:t xml:space="preserve">main </w:t>
      </w:r>
      <w:r w:rsidRPr="00F92C30">
        <w:rPr>
          <w:rFonts w:ascii="Avenir Next" w:hAnsi="Avenir Next" w:cs="Arial"/>
          <w:color w:val="808080" w:themeColor="background1" w:themeShade="80"/>
          <w:sz w:val="22"/>
          <w:szCs w:val="22"/>
          <w:lang w:val="en-GB"/>
        </w:rPr>
        <w:t xml:space="preserve">insolvency proceeding is that of the </w:t>
      </w:r>
      <w:r>
        <w:rPr>
          <w:rFonts w:ascii="Avenir Next" w:hAnsi="Avenir Next" w:cs="Arial"/>
          <w:color w:val="808080" w:themeColor="background1" w:themeShade="80"/>
          <w:sz w:val="22"/>
          <w:szCs w:val="22"/>
          <w:lang w:val="en-GB"/>
        </w:rPr>
        <w:t>M</w:t>
      </w:r>
      <w:r w:rsidRPr="00F92C30">
        <w:rPr>
          <w:rFonts w:ascii="Avenir Next" w:hAnsi="Avenir Next" w:cs="Arial"/>
          <w:color w:val="808080" w:themeColor="background1" w:themeShade="80"/>
          <w:sz w:val="22"/>
          <w:szCs w:val="22"/>
          <w:lang w:val="en-GB"/>
        </w:rPr>
        <w:t xml:space="preserve">ember </w:t>
      </w:r>
      <w:r>
        <w:rPr>
          <w:rFonts w:ascii="Avenir Next" w:hAnsi="Avenir Next" w:cs="Arial"/>
          <w:color w:val="808080" w:themeColor="background1" w:themeShade="80"/>
          <w:sz w:val="22"/>
          <w:szCs w:val="22"/>
          <w:lang w:val="en-GB"/>
        </w:rPr>
        <w:t>S</w:t>
      </w:r>
      <w:r w:rsidRPr="00F92C30">
        <w:rPr>
          <w:rFonts w:ascii="Avenir Next" w:hAnsi="Avenir Next" w:cs="Arial"/>
          <w:color w:val="808080" w:themeColor="background1" w:themeShade="80"/>
          <w:sz w:val="22"/>
          <w:szCs w:val="22"/>
          <w:lang w:val="en-GB"/>
        </w:rPr>
        <w:t xml:space="preserve">tate </w:t>
      </w:r>
      <w:r>
        <w:rPr>
          <w:rFonts w:ascii="Avenir Next" w:hAnsi="Avenir Next" w:cs="Arial"/>
          <w:color w:val="808080" w:themeColor="background1" w:themeShade="80"/>
          <w:sz w:val="22"/>
          <w:szCs w:val="22"/>
          <w:lang w:val="en-GB"/>
        </w:rPr>
        <w:t>in</w:t>
      </w:r>
      <w:r w:rsidRPr="00F92C30">
        <w:rPr>
          <w:rFonts w:ascii="Avenir Next" w:hAnsi="Avenir Next" w:cs="Arial"/>
          <w:color w:val="808080" w:themeColor="background1" w:themeShade="80"/>
          <w:sz w:val="22"/>
          <w:szCs w:val="22"/>
          <w:lang w:val="en-GB"/>
        </w:rPr>
        <w:t xml:space="preserve"> which the proceeding</w:t>
      </w:r>
      <w:r>
        <w:rPr>
          <w:rFonts w:ascii="Avenir Next" w:hAnsi="Avenir Next" w:cs="Arial"/>
          <w:color w:val="808080" w:themeColor="background1" w:themeShade="80"/>
          <w:sz w:val="22"/>
          <w:szCs w:val="22"/>
          <w:lang w:val="en-GB"/>
        </w:rPr>
        <w:t xml:space="preserve"> is</w:t>
      </w:r>
      <w:r w:rsidRPr="00F92C30">
        <w:rPr>
          <w:rFonts w:ascii="Avenir Next" w:hAnsi="Avenir Next" w:cs="Arial"/>
          <w:color w:val="808080" w:themeColor="background1" w:themeShade="80"/>
          <w:sz w:val="22"/>
          <w:szCs w:val="22"/>
          <w:lang w:val="en-GB"/>
        </w:rPr>
        <w:t xml:space="preserve"> opened. That law </w:t>
      </w:r>
      <w:r>
        <w:rPr>
          <w:rFonts w:ascii="Avenir Next" w:hAnsi="Avenir Next" w:cs="Arial"/>
          <w:color w:val="808080" w:themeColor="background1" w:themeShade="80"/>
          <w:sz w:val="22"/>
          <w:szCs w:val="22"/>
          <w:lang w:val="en-GB"/>
        </w:rPr>
        <w:t xml:space="preserve">would </w:t>
      </w:r>
      <w:r w:rsidRPr="00F92C30">
        <w:rPr>
          <w:rFonts w:ascii="Avenir Next" w:hAnsi="Avenir Next" w:cs="Arial"/>
          <w:color w:val="808080" w:themeColor="background1" w:themeShade="80"/>
          <w:sz w:val="22"/>
          <w:szCs w:val="22"/>
          <w:lang w:val="en-GB"/>
        </w:rPr>
        <w:t xml:space="preserve">determine the conditions for the </w:t>
      </w:r>
      <w:r>
        <w:rPr>
          <w:rFonts w:ascii="Avenir Next" w:hAnsi="Avenir Next" w:cs="Arial"/>
          <w:color w:val="808080" w:themeColor="background1" w:themeShade="80"/>
          <w:sz w:val="22"/>
          <w:szCs w:val="22"/>
          <w:lang w:val="en-GB"/>
        </w:rPr>
        <w:t xml:space="preserve">commencement </w:t>
      </w:r>
      <w:r w:rsidRPr="00F92C30">
        <w:rPr>
          <w:rFonts w:ascii="Avenir Next" w:hAnsi="Avenir Next" w:cs="Arial"/>
          <w:color w:val="808080" w:themeColor="background1" w:themeShade="80"/>
          <w:sz w:val="22"/>
          <w:szCs w:val="22"/>
          <w:lang w:val="en-GB"/>
        </w:rPr>
        <w:t xml:space="preserve">of the proceeding, </w:t>
      </w:r>
      <w:r>
        <w:rPr>
          <w:rFonts w:ascii="Avenir Next" w:hAnsi="Avenir Next" w:cs="Arial"/>
          <w:color w:val="808080" w:themeColor="background1" w:themeShade="80"/>
          <w:sz w:val="22"/>
          <w:szCs w:val="22"/>
          <w:lang w:val="en-GB"/>
        </w:rPr>
        <w:t>its</w:t>
      </w:r>
      <w:r w:rsidRPr="00F92C30">
        <w:rPr>
          <w:rFonts w:ascii="Avenir Next" w:hAnsi="Avenir Next" w:cs="Arial"/>
          <w:color w:val="808080" w:themeColor="background1" w:themeShade="80"/>
          <w:sz w:val="22"/>
          <w:szCs w:val="22"/>
          <w:lang w:val="en-GB"/>
        </w:rPr>
        <w:t xml:space="preserve"> conduct</w:t>
      </w:r>
      <w:r>
        <w:rPr>
          <w:rFonts w:ascii="Avenir Next" w:hAnsi="Avenir Next" w:cs="Arial"/>
          <w:color w:val="808080" w:themeColor="background1" w:themeShade="80"/>
          <w:sz w:val="22"/>
          <w:szCs w:val="22"/>
          <w:lang w:val="en-GB"/>
        </w:rPr>
        <w:t>,</w:t>
      </w:r>
      <w:r w:rsidRPr="00F92C30">
        <w:rPr>
          <w:rFonts w:ascii="Avenir Next" w:hAnsi="Avenir Next" w:cs="Arial"/>
          <w:color w:val="808080" w:themeColor="background1" w:themeShade="80"/>
          <w:sz w:val="22"/>
          <w:szCs w:val="22"/>
          <w:lang w:val="en-GB"/>
        </w:rPr>
        <w:t xml:space="preserve"> and </w:t>
      </w:r>
      <w:r>
        <w:rPr>
          <w:rFonts w:ascii="Avenir Next" w:hAnsi="Avenir Next" w:cs="Arial"/>
          <w:color w:val="808080" w:themeColor="background1" w:themeShade="80"/>
          <w:sz w:val="22"/>
          <w:szCs w:val="22"/>
          <w:lang w:val="en-GB"/>
        </w:rPr>
        <w:t xml:space="preserve">its </w:t>
      </w:r>
      <w:r w:rsidRPr="00F92C30">
        <w:rPr>
          <w:rFonts w:ascii="Avenir Next" w:hAnsi="Avenir Next" w:cs="Arial"/>
          <w:color w:val="808080" w:themeColor="background1" w:themeShade="80"/>
          <w:sz w:val="22"/>
          <w:szCs w:val="22"/>
          <w:lang w:val="en-GB"/>
        </w:rPr>
        <w:t>conclusion</w:t>
      </w:r>
      <w:r>
        <w:rPr>
          <w:rFonts w:ascii="Avenir Next" w:hAnsi="Avenir Next" w:cs="Arial"/>
          <w:color w:val="808080" w:themeColor="background1" w:themeShade="80"/>
          <w:sz w:val="22"/>
          <w:szCs w:val="22"/>
          <w:lang w:val="en-GB"/>
        </w:rPr>
        <w:t xml:space="preserve">. </w:t>
      </w:r>
      <w:r w:rsidR="0047694C">
        <w:rPr>
          <w:rFonts w:ascii="Avenir Next" w:hAnsi="Avenir Next" w:cs="Arial"/>
          <w:color w:val="808080" w:themeColor="background1" w:themeShade="80"/>
          <w:sz w:val="22"/>
          <w:szCs w:val="22"/>
          <w:lang w:val="en-GB"/>
        </w:rPr>
        <w:t>Since Norton’s management is directed from Italy, it’s COMI is Italy and consequently the main proceeding should be opened in Italy under Italian law.</w:t>
      </w:r>
    </w:p>
    <w:p w14:paraId="5022F42C" w14:textId="77777777" w:rsidR="00630C8D" w:rsidRDefault="00630C8D" w:rsidP="00630C8D">
      <w:pPr>
        <w:jc w:val="both"/>
        <w:rPr>
          <w:rFonts w:ascii="Avenir Next" w:hAnsi="Avenir Next" w:cs="Arial"/>
          <w:color w:val="808080" w:themeColor="background1" w:themeShade="80"/>
          <w:sz w:val="22"/>
          <w:szCs w:val="22"/>
          <w:lang w:val="en-GB"/>
        </w:rPr>
      </w:pPr>
    </w:p>
    <w:p w14:paraId="67FE2CC0" w14:textId="73915515" w:rsidR="00630C8D" w:rsidRPr="00DA42DA" w:rsidRDefault="00630C8D" w:rsidP="00630C8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Importantly however, w</w:t>
      </w:r>
      <w:r w:rsidRPr="00C36EF0">
        <w:rPr>
          <w:rFonts w:ascii="Avenir Next" w:hAnsi="Avenir Next" w:cs="Arial"/>
          <w:color w:val="808080" w:themeColor="background1" w:themeShade="80"/>
          <w:sz w:val="22"/>
          <w:szCs w:val="22"/>
          <w:lang w:val="en-GB"/>
        </w:rPr>
        <w:t xml:space="preserve">hile </w:t>
      </w:r>
      <w:r>
        <w:rPr>
          <w:rFonts w:ascii="Avenir Next" w:hAnsi="Avenir Next" w:cs="Arial"/>
          <w:color w:val="808080" w:themeColor="background1" w:themeShade="80"/>
          <w:sz w:val="22"/>
          <w:szCs w:val="22"/>
          <w:lang w:val="en-GB"/>
        </w:rPr>
        <w:t xml:space="preserve">the </w:t>
      </w:r>
      <w:r w:rsidRPr="00C36EF0">
        <w:rPr>
          <w:rFonts w:ascii="Avenir Next" w:hAnsi="Avenir Next" w:cs="Arial"/>
          <w:color w:val="808080" w:themeColor="background1" w:themeShade="80"/>
          <w:sz w:val="22"/>
          <w:szCs w:val="22"/>
          <w:lang w:val="en-GB"/>
        </w:rPr>
        <w:t>EIR</w:t>
      </w:r>
      <w:r>
        <w:rPr>
          <w:rFonts w:ascii="Avenir Next" w:hAnsi="Avenir Next" w:cs="Arial"/>
          <w:color w:val="808080" w:themeColor="background1" w:themeShade="80"/>
          <w:sz w:val="22"/>
          <w:szCs w:val="22"/>
          <w:lang w:val="en-GB"/>
        </w:rPr>
        <w:t xml:space="preserve"> (Recast)</w:t>
      </w:r>
      <w:r w:rsidRPr="00C36EF0">
        <w:rPr>
          <w:rFonts w:ascii="Avenir Next" w:hAnsi="Avenir Next" w:cs="Arial"/>
          <w:color w:val="808080" w:themeColor="background1" w:themeShade="80"/>
          <w:sz w:val="22"/>
          <w:szCs w:val="22"/>
          <w:lang w:val="en-GB"/>
        </w:rPr>
        <w:t xml:space="preserve"> allocates primary jurisdiction </w:t>
      </w:r>
      <w:r>
        <w:rPr>
          <w:rFonts w:ascii="Avenir Next" w:hAnsi="Avenir Next" w:cs="Arial"/>
          <w:color w:val="808080" w:themeColor="background1" w:themeShade="80"/>
          <w:sz w:val="22"/>
          <w:szCs w:val="22"/>
          <w:lang w:val="en-GB"/>
        </w:rPr>
        <w:t xml:space="preserve">to Italy </w:t>
      </w:r>
      <w:r w:rsidRPr="00C36EF0">
        <w:rPr>
          <w:rFonts w:ascii="Avenir Next" w:hAnsi="Avenir Next" w:cs="Arial"/>
          <w:color w:val="808080" w:themeColor="background1" w:themeShade="80"/>
          <w:sz w:val="22"/>
          <w:szCs w:val="22"/>
          <w:lang w:val="en-GB"/>
        </w:rPr>
        <w:t xml:space="preserve">based on </w:t>
      </w:r>
      <w:r>
        <w:rPr>
          <w:rFonts w:ascii="Avenir Next" w:hAnsi="Avenir Next" w:cs="Arial"/>
          <w:color w:val="808080" w:themeColor="background1" w:themeShade="80"/>
          <w:sz w:val="22"/>
          <w:szCs w:val="22"/>
          <w:lang w:val="en-GB"/>
        </w:rPr>
        <w:t>Norton’s COMI</w:t>
      </w:r>
      <w:r w:rsidRPr="00C36EF0">
        <w:rPr>
          <w:rFonts w:ascii="Avenir Next" w:hAnsi="Avenir Next" w:cs="Arial"/>
          <w:color w:val="808080" w:themeColor="background1" w:themeShade="80"/>
          <w:sz w:val="22"/>
          <w:szCs w:val="22"/>
          <w:lang w:val="en-GB"/>
        </w:rPr>
        <w:t>, it</w:t>
      </w:r>
      <w:r>
        <w:rPr>
          <w:rFonts w:ascii="Avenir Next" w:hAnsi="Avenir Next" w:cs="Arial"/>
          <w:color w:val="808080" w:themeColor="background1" w:themeShade="80"/>
          <w:sz w:val="22"/>
          <w:szCs w:val="22"/>
          <w:lang w:val="en-GB"/>
        </w:rPr>
        <w:t xml:space="preserve"> also permits the commencement </w:t>
      </w:r>
      <w:r w:rsidRPr="00C36EF0">
        <w:rPr>
          <w:rFonts w:ascii="Avenir Next" w:hAnsi="Avenir Next" w:cs="Arial"/>
          <w:color w:val="808080" w:themeColor="background1" w:themeShade="80"/>
          <w:sz w:val="22"/>
          <w:szCs w:val="22"/>
          <w:lang w:val="en-GB"/>
        </w:rPr>
        <w:t>of subsidiary territorial proceedings in other member States.</w:t>
      </w:r>
      <w:r>
        <w:rPr>
          <w:rFonts w:ascii="Avenir Next" w:hAnsi="Avenir Next" w:cs="Arial"/>
          <w:color w:val="808080" w:themeColor="background1" w:themeShade="80"/>
          <w:sz w:val="22"/>
          <w:szCs w:val="22"/>
          <w:lang w:val="en-GB"/>
        </w:rPr>
        <w:t xml:space="preserve"> Subsidiary territorial proceedings </w:t>
      </w:r>
      <w:r w:rsidRPr="003257BB">
        <w:rPr>
          <w:rFonts w:ascii="Avenir Next" w:hAnsi="Avenir Next" w:cs="Arial"/>
          <w:color w:val="808080" w:themeColor="background1" w:themeShade="80"/>
          <w:sz w:val="22"/>
          <w:szCs w:val="22"/>
          <w:lang w:val="en-GB"/>
        </w:rPr>
        <w:t xml:space="preserve">are allowed where the debtor has an “establishment”. An establishment is defined as “any place of operation where the debtor carries out a non-transitory economic activity with human means and </w:t>
      </w:r>
      <w:r>
        <w:rPr>
          <w:rFonts w:ascii="Avenir Next" w:hAnsi="Avenir Next" w:cs="Arial"/>
          <w:color w:val="808080" w:themeColor="background1" w:themeShade="80"/>
          <w:sz w:val="22"/>
          <w:szCs w:val="22"/>
          <w:lang w:val="en-GB"/>
        </w:rPr>
        <w:t xml:space="preserve">goods or services”. Therefore, given that Norton’s main operations take place in Germany, subsidiary </w:t>
      </w:r>
      <w:r w:rsidR="0047694C">
        <w:rPr>
          <w:rFonts w:ascii="Avenir Next" w:hAnsi="Avenir Next" w:cs="Arial"/>
          <w:color w:val="808080" w:themeColor="background1" w:themeShade="80"/>
          <w:sz w:val="22"/>
          <w:szCs w:val="22"/>
          <w:lang w:val="en-GB"/>
        </w:rPr>
        <w:t xml:space="preserve">territorial </w:t>
      </w:r>
      <w:r>
        <w:rPr>
          <w:rFonts w:ascii="Avenir Next" w:hAnsi="Avenir Next" w:cs="Arial"/>
          <w:color w:val="808080" w:themeColor="background1" w:themeShade="80"/>
          <w:sz w:val="22"/>
          <w:szCs w:val="22"/>
          <w:lang w:val="en-GB"/>
        </w:rPr>
        <w:t xml:space="preserve">proceedings could be initiated there.  </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297A02DD" w:rsidR="007815D1" w:rsidRDefault="007815D1" w:rsidP="007815D1">
      <w:pPr>
        <w:jc w:val="both"/>
        <w:rPr>
          <w:rFonts w:ascii="Avenir Next" w:hAnsi="Avenir Next" w:cs="Arial"/>
          <w:sz w:val="22"/>
          <w:szCs w:val="28"/>
        </w:rPr>
      </w:pPr>
      <w:r w:rsidRPr="007815D1">
        <w:rPr>
          <w:rFonts w:ascii="Avenir Next" w:hAnsi="Avenir Next" w:cs="Arial"/>
          <w:sz w:val="22"/>
          <w:szCs w:val="28"/>
        </w:rPr>
        <w:lastRenderedPageBreak/>
        <w:t xml:space="preserve">Will an Indian, South </w:t>
      </w:r>
      <w:proofErr w:type="gramStart"/>
      <w:r w:rsidRPr="007815D1">
        <w:rPr>
          <w:rFonts w:ascii="Avenir Next" w:hAnsi="Avenir Next" w:cs="Arial"/>
          <w:sz w:val="22"/>
          <w:szCs w:val="28"/>
        </w:rPr>
        <w:t>African</w:t>
      </w:r>
      <w:proofErr w:type="gramEnd"/>
      <w:r w:rsidRPr="007815D1">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r w:rsidR="001871E7">
        <w:rPr>
          <w:rFonts w:ascii="Avenir Next" w:hAnsi="Avenir Next" w:cs="Arial"/>
          <w:sz w:val="22"/>
          <w:szCs w:val="28"/>
        </w:rPr>
        <w:t xml:space="preserve"> </w:t>
      </w:r>
    </w:p>
    <w:p w14:paraId="65A5455C" w14:textId="77777777" w:rsidR="002253D8" w:rsidRDefault="002253D8" w:rsidP="007815D1">
      <w:pPr>
        <w:jc w:val="both"/>
        <w:rPr>
          <w:rFonts w:ascii="Avenir Next" w:hAnsi="Avenir Next" w:cs="Arial"/>
          <w:sz w:val="22"/>
          <w:szCs w:val="28"/>
        </w:rPr>
      </w:pPr>
    </w:p>
    <w:p w14:paraId="3781AACE" w14:textId="43E330C6" w:rsidR="002253D8" w:rsidRPr="002253D8" w:rsidRDefault="00630C8D" w:rsidP="007815D1">
      <w:pPr>
        <w:jc w:val="both"/>
        <w:rPr>
          <w:rFonts w:ascii="Avenir Next" w:hAnsi="Avenir Next" w:cs="Arial"/>
          <w:color w:val="808080" w:themeColor="background1" w:themeShade="80"/>
          <w:sz w:val="22"/>
          <w:szCs w:val="22"/>
          <w:lang w:val="en-GB"/>
        </w:rPr>
      </w:pPr>
      <w:r w:rsidRPr="0047694C">
        <w:rPr>
          <w:rFonts w:ascii="Avenir Next" w:hAnsi="Avenir Next" w:cs="Arial"/>
          <w:color w:val="808080" w:themeColor="background1" w:themeShade="80"/>
          <w:sz w:val="22"/>
          <w:szCs w:val="22"/>
          <w:lang w:val="en-GB"/>
        </w:rPr>
        <w:t xml:space="preserve">No. </w:t>
      </w:r>
      <w:r w:rsidR="004A741E">
        <w:rPr>
          <w:rFonts w:ascii="Avenir Next" w:hAnsi="Avenir Next" w:cs="Arial"/>
          <w:color w:val="808080" w:themeColor="background1" w:themeShade="80"/>
          <w:sz w:val="22"/>
          <w:szCs w:val="22"/>
          <w:lang w:val="en-GB"/>
        </w:rPr>
        <w:t>O</w:t>
      </w:r>
      <w:r w:rsidR="00064EF8" w:rsidRPr="0047694C">
        <w:rPr>
          <w:rFonts w:ascii="Avenir Next" w:hAnsi="Avenir Next" w:cs="Arial"/>
          <w:color w:val="808080" w:themeColor="background1" w:themeShade="80"/>
          <w:sz w:val="22"/>
          <w:szCs w:val="22"/>
          <w:lang w:val="en-GB"/>
        </w:rPr>
        <w:t>nly courts within the European Union can apply the EIR (Recast) when considering recognition of an EU insolvency representative.</w:t>
      </w:r>
      <w:r w:rsidR="00EB4444" w:rsidRPr="0047694C">
        <w:rPr>
          <w:rFonts w:ascii="Avenir Next" w:hAnsi="Avenir Next" w:cs="Arial"/>
          <w:color w:val="808080" w:themeColor="background1" w:themeShade="80"/>
          <w:sz w:val="22"/>
          <w:szCs w:val="22"/>
          <w:lang w:val="en-GB"/>
        </w:rPr>
        <w:t xml:space="preserve"> </w:t>
      </w:r>
      <w:r w:rsidR="00EB4444" w:rsidRPr="0047694C">
        <w:rPr>
          <w:rFonts w:ascii="Avenir Next" w:hAnsi="Avenir Next" w:cs="Arial"/>
          <w:color w:val="808080" w:themeColor="background1" w:themeShade="80"/>
          <w:sz w:val="22"/>
          <w:szCs w:val="22"/>
          <w:lang w:val="en-GB"/>
        </w:rPr>
        <w:t xml:space="preserve">Its scope of </w:t>
      </w:r>
      <w:r w:rsidR="0047694C" w:rsidRPr="0047694C">
        <w:rPr>
          <w:rFonts w:ascii="Avenir Next" w:hAnsi="Avenir Next" w:cs="Arial"/>
          <w:color w:val="808080" w:themeColor="background1" w:themeShade="80"/>
          <w:sz w:val="22"/>
          <w:szCs w:val="22"/>
          <w:lang w:val="en-GB"/>
        </w:rPr>
        <w:t xml:space="preserve">the EIR (Recast) </w:t>
      </w:r>
      <w:r w:rsidR="00EB4444" w:rsidRPr="0047694C">
        <w:rPr>
          <w:rFonts w:ascii="Avenir Next" w:hAnsi="Avenir Next" w:cs="Arial"/>
          <w:color w:val="808080" w:themeColor="background1" w:themeShade="80"/>
          <w:sz w:val="22"/>
          <w:szCs w:val="22"/>
          <w:lang w:val="en-GB"/>
        </w:rPr>
        <w:t xml:space="preserve">is confined to parties with their </w:t>
      </w:r>
      <w:r w:rsidR="0047694C" w:rsidRPr="0047694C">
        <w:rPr>
          <w:rFonts w:ascii="Avenir Next" w:hAnsi="Avenir Next" w:cs="Arial"/>
          <w:color w:val="808080" w:themeColor="background1" w:themeShade="80"/>
          <w:sz w:val="22"/>
          <w:szCs w:val="22"/>
          <w:lang w:val="en-GB"/>
        </w:rPr>
        <w:t>COMI</w:t>
      </w:r>
      <w:r w:rsidR="00EB4444" w:rsidRPr="0047694C">
        <w:rPr>
          <w:rFonts w:ascii="Avenir Next" w:hAnsi="Avenir Next" w:cs="Arial"/>
          <w:color w:val="808080" w:themeColor="background1" w:themeShade="80"/>
          <w:sz w:val="22"/>
          <w:szCs w:val="22"/>
          <w:lang w:val="en-GB"/>
        </w:rPr>
        <w:t xml:space="preserve"> within a</w:t>
      </w:r>
      <w:r w:rsidR="0047694C" w:rsidRPr="0047694C">
        <w:rPr>
          <w:rFonts w:ascii="Avenir Next" w:hAnsi="Avenir Next" w:cs="Arial"/>
          <w:color w:val="808080" w:themeColor="background1" w:themeShade="80"/>
          <w:sz w:val="22"/>
          <w:szCs w:val="22"/>
          <w:lang w:val="en-GB"/>
        </w:rPr>
        <w:t xml:space="preserve">n EU </w:t>
      </w:r>
      <w:r w:rsidR="00EB4444" w:rsidRPr="0047694C">
        <w:rPr>
          <w:rFonts w:ascii="Avenir Next" w:hAnsi="Avenir Next" w:cs="Arial"/>
          <w:color w:val="808080" w:themeColor="background1" w:themeShade="80"/>
          <w:sz w:val="22"/>
          <w:szCs w:val="22"/>
          <w:lang w:val="en-GB"/>
        </w:rPr>
        <w:t>member</w:t>
      </w:r>
      <w:r w:rsidR="0047694C" w:rsidRPr="0047694C">
        <w:rPr>
          <w:rFonts w:ascii="Avenir Next" w:hAnsi="Avenir Next" w:cs="Arial"/>
          <w:color w:val="808080" w:themeColor="background1" w:themeShade="80"/>
          <w:sz w:val="22"/>
          <w:szCs w:val="22"/>
          <w:lang w:val="en-GB"/>
        </w:rPr>
        <w:t xml:space="preserve"> State</w:t>
      </w:r>
      <w:r w:rsidR="00EB4444" w:rsidRPr="0047694C">
        <w:rPr>
          <w:rFonts w:ascii="Avenir Next" w:hAnsi="Avenir Next" w:cs="Arial"/>
          <w:color w:val="808080" w:themeColor="background1" w:themeShade="80"/>
          <w:sz w:val="22"/>
          <w:szCs w:val="22"/>
          <w:lang w:val="en-GB"/>
        </w:rPr>
        <w:t xml:space="preserve">. </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47BD0AE6"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r w:rsidR="001871E7">
        <w:rPr>
          <w:rFonts w:ascii="Avenir Next Demi Bold" w:hAnsi="Avenir Next Demi Bold" w:cs="Arial"/>
          <w:b/>
          <w:bCs/>
          <w:sz w:val="22"/>
          <w:szCs w:val="22"/>
          <w:lang w:val="en-GB"/>
        </w:rPr>
        <w:t xml:space="preserve"> </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CD79C2" w:rsidRDefault="004827A3" w:rsidP="004827A3">
      <w:pPr>
        <w:jc w:val="both"/>
        <w:rPr>
          <w:rFonts w:ascii="Avenir Next" w:hAnsi="Avenir Next" w:cs="Arial"/>
          <w:color w:val="000000" w:themeColor="text1"/>
          <w:sz w:val="22"/>
          <w:szCs w:val="28"/>
        </w:rPr>
      </w:pPr>
      <w:r w:rsidRPr="00CD79C2">
        <w:rPr>
          <w:rFonts w:ascii="Avenir Next" w:hAnsi="Avenir Next" w:cs="Arial"/>
          <w:color w:val="000000" w:themeColor="text1"/>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sidRPr="00CD79C2">
        <w:rPr>
          <w:rFonts w:ascii="Avenir Next" w:hAnsi="Avenir Next" w:cs="Arial"/>
          <w:color w:val="000000" w:themeColor="text1"/>
          <w:sz w:val="22"/>
          <w:szCs w:val="28"/>
        </w:rPr>
        <w:t xml:space="preserve"> Inc</w:t>
      </w:r>
      <w:r w:rsidRPr="00CD79C2">
        <w:rPr>
          <w:rFonts w:ascii="Avenir Next" w:hAnsi="Avenir Next" w:cs="Arial"/>
          <w:color w:val="000000" w:themeColor="text1"/>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14690415" w:rsidR="002253D8" w:rsidRDefault="0047694C" w:rsidP="00B82D7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t</w:t>
      </w:r>
      <w:r w:rsidR="00B82D70" w:rsidRPr="00B82D70">
        <w:rPr>
          <w:rFonts w:ascii="Avenir Next" w:hAnsi="Avenir Next" w:cs="Arial"/>
          <w:color w:val="808080" w:themeColor="background1" w:themeShade="80"/>
          <w:sz w:val="22"/>
          <w:szCs w:val="22"/>
          <w:lang w:val="en-GB"/>
        </w:rPr>
        <w:t xml:space="preserve">he </w:t>
      </w:r>
      <w:r w:rsidR="00B82D70">
        <w:rPr>
          <w:rFonts w:ascii="Avenir Next" w:hAnsi="Avenir Next" w:cs="Arial"/>
          <w:color w:val="808080" w:themeColor="background1" w:themeShade="80"/>
          <w:sz w:val="22"/>
          <w:szCs w:val="22"/>
          <w:lang w:val="en-GB"/>
        </w:rPr>
        <w:t>EIR (Recast)</w:t>
      </w:r>
      <w:r>
        <w:rPr>
          <w:rFonts w:ascii="Avenir Next" w:hAnsi="Avenir Next" w:cs="Arial"/>
          <w:color w:val="808080" w:themeColor="background1" w:themeShade="80"/>
          <w:sz w:val="22"/>
          <w:szCs w:val="22"/>
          <w:lang w:val="en-GB"/>
        </w:rPr>
        <w:t xml:space="preserve">, recognition of insolvency proceedings opened in another EU member state is automatic (art. 16) </w:t>
      </w:r>
      <w:r w:rsidR="00840590">
        <w:rPr>
          <w:rFonts w:ascii="Avenir Next" w:hAnsi="Avenir Next" w:cs="Arial"/>
          <w:color w:val="808080" w:themeColor="background1" w:themeShade="80"/>
          <w:sz w:val="22"/>
          <w:szCs w:val="22"/>
          <w:lang w:val="en-GB"/>
        </w:rPr>
        <w:t>and has the same effect in other EU States as they had in the State in which the proceedings were opened (art. 17)</w:t>
      </w:r>
      <w:r>
        <w:rPr>
          <w:rFonts w:ascii="Avenir Next" w:hAnsi="Avenir Next" w:cs="Arial"/>
          <w:color w:val="808080" w:themeColor="background1" w:themeShade="80"/>
          <w:sz w:val="22"/>
          <w:szCs w:val="22"/>
          <w:lang w:val="en-GB"/>
        </w:rPr>
        <w:t xml:space="preserve">. </w:t>
      </w:r>
      <w:r w:rsidR="00840590">
        <w:rPr>
          <w:rFonts w:ascii="Avenir Next" w:hAnsi="Avenir Next" w:cs="Arial"/>
          <w:color w:val="808080" w:themeColor="background1" w:themeShade="80"/>
          <w:sz w:val="22"/>
          <w:szCs w:val="22"/>
          <w:lang w:val="en-GB"/>
        </w:rPr>
        <w:t>Consequently, Italian law would apply to the insolvency proceedings</w:t>
      </w:r>
      <w:r w:rsidR="00CD79C2">
        <w:rPr>
          <w:rFonts w:ascii="Avenir Next" w:hAnsi="Avenir Next" w:cs="Arial"/>
          <w:color w:val="808080" w:themeColor="background1" w:themeShade="80"/>
          <w:sz w:val="22"/>
          <w:szCs w:val="22"/>
          <w:lang w:val="en-GB"/>
        </w:rPr>
        <w:t xml:space="preserve">. </w:t>
      </w:r>
      <w:r w:rsidR="003C787D">
        <w:rPr>
          <w:rFonts w:ascii="Avenir Next" w:hAnsi="Avenir Next" w:cs="Arial"/>
          <w:color w:val="808080" w:themeColor="background1" w:themeShade="80"/>
          <w:sz w:val="22"/>
          <w:szCs w:val="22"/>
          <w:lang w:val="en-GB"/>
        </w:rPr>
        <w:t xml:space="preserve">It is important to note that </w:t>
      </w:r>
      <w:r w:rsidR="003C787D" w:rsidRPr="003C787D">
        <w:rPr>
          <w:rFonts w:ascii="Avenir Next" w:hAnsi="Avenir Next" w:cs="Arial"/>
          <w:color w:val="808080" w:themeColor="background1" w:themeShade="80"/>
          <w:sz w:val="22"/>
          <w:szCs w:val="22"/>
          <w:lang w:val="en-GB"/>
        </w:rPr>
        <w:t xml:space="preserve">legal principles </w:t>
      </w:r>
      <w:r w:rsidR="003C787D">
        <w:rPr>
          <w:rFonts w:ascii="Avenir Next" w:hAnsi="Avenir Next" w:cs="Arial"/>
          <w:color w:val="808080" w:themeColor="background1" w:themeShade="80"/>
          <w:sz w:val="22"/>
          <w:szCs w:val="22"/>
          <w:lang w:val="en-GB"/>
        </w:rPr>
        <w:t xml:space="preserve">which are as an aspect of </w:t>
      </w:r>
      <w:r w:rsidR="003C787D" w:rsidRPr="003C787D">
        <w:rPr>
          <w:rFonts w:ascii="Avenir Next" w:hAnsi="Avenir Next" w:cs="Arial"/>
          <w:color w:val="808080" w:themeColor="background1" w:themeShade="80"/>
          <w:sz w:val="22"/>
          <w:szCs w:val="22"/>
          <w:lang w:val="en-GB"/>
        </w:rPr>
        <w:t xml:space="preserve">general law (non-bankruptcy law), will </w:t>
      </w:r>
      <w:r w:rsidR="003C787D">
        <w:rPr>
          <w:rFonts w:ascii="Avenir Next" w:hAnsi="Avenir Next" w:cs="Arial"/>
          <w:color w:val="808080" w:themeColor="background1" w:themeShade="80"/>
          <w:sz w:val="22"/>
          <w:szCs w:val="22"/>
          <w:lang w:val="en-GB"/>
        </w:rPr>
        <w:t>impact</w:t>
      </w:r>
      <w:r w:rsidR="003C787D" w:rsidRPr="003C787D">
        <w:rPr>
          <w:rFonts w:ascii="Avenir Next" w:hAnsi="Avenir Next" w:cs="Arial"/>
          <w:color w:val="808080" w:themeColor="background1" w:themeShade="80"/>
          <w:sz w:val="22"/>
          <w:szCs w:val="22"/>
          <w:lang w:val="en-GB"/>
        </w:rPr>
        <w:t xml:space="preserve"> insolvency, for </w:t>
      </w:r>
      <w:r w:rsidR="003C787D">
        <w:rPr>
          <w:rFonts w:ascii="Avenir Next" w:hAnsi="Avenir Next" w:cs="Arial"/>
          <w:color w:val="808080" w:themeColor="background1" w:themeShade="80"/>
          <w:sz w:val="22"/>
          <w:szCs w:val="22"/>
          <w:lang w:val="en-GB"/>
        </w:rPr>
        <w:t>instance</w:t>
      </w:r>
      <w:r w:rsidR="003C787D" w:rsidRPr="003C787D">
        <w:rPr>
          <w:rFonts w:ascii="Avenir Next" w:hAnsi="Avenir Next" w:cs="Arial"/>
          <w:color w:val="808080" w:themeColor="background1" w:themeShade="80"/>
          <w:sz w:val="22"/>
          <w:szCs w:val="22"/>
          <w:lang w:val="en-GB"/>
        </w:rPr>
        <w:t xml:space="preserve"> the rules that regulate rights of real security.</w:t>
      </w:r>
      <w:r w:rsidR="003C787D">
        <w:rPr>
          <w:rFonts w:ascii="Avenir Next" w:hAnsi="Avenir Next" w:cs="Arial"/>
          <w:color w:val="808080" w:themeColor="background1" w:themeShade="80"/>
          <w:sz w:val="22"/>
          <w:szCs w:val="22"/>
          <w:lang w:val="en-GB"/>
        </w:rPr>
        <w:t xml:space="preserve"> Therefore</w:t>
      </w:r>
      <w:r w:rsidR="00CD79C2">
        <w:rPr>
          <w:rFonts w:ascii="Avenir Next" w:hAnsi="Avenir Next" w:cs="Arial"/>
          <w:color w:val="808080" w:themeColor="background1" w:themeShade="80"/>
          <w:sz w:val="22"/>
          <w:szCs w:val="22"/>
          <w:lang w:val="en-GB"/>
        </w:rPr>
        <w:t>, the real rights to security</w:t>
      </w:r>
      <w:r w:rsidR="003C787D">
        <w:rPr>
          <w:rFonts w:ascii="Avenir Next" w:hAnsi="Avenir Next" w:cs="Arial"/>
          <w:color w:val="808080" w:themeColor="background1" w:themeShade="80"/>
          <w:sz w:val="22"/>
          <w:szCs w:val="22"/>
          <w:lang w:val="en-GB"/>
        </w:rPr>
        <w:t xml:space="preserve"> in the Netherlands</w:t>
      </w:r>
      <w:r w:rsidR="00CD79C2">
        <w:rPr>
          <w:rFonts w:ascii="Avenir Next" w:hAnsi="Avenir Next" w:cs="Arial"/>
          <w:color w:val="808080" w:themeColor="background1" w:themeShade="80"/>
          <w:sz w:val="22"/>
          <w:szCs w:val="22"/>
          <w:lang w:val="en-GB"/>
        </w:rPr>
        <w:t>,</w:t>
      </w:r>
      <w:r w:rsidR="003C787D">
        <w:rPr>
          <w:rFonts w:ascii="Avenir Next" w:hAnsi="Avenir Next" w:cs="Arial"/>
          <w:color w:val="808080" w:themeColor="background1" w:themeShade="80"/>
          <w:sz w:val="22"/>
          <w:szCs w:val="22"/>
          <w:lang w:val="en-GB"/>
        </w:rPr>
        <w:t xml:space="preserve"> would be governed by Dutch law as the EIR does not change that.</w:t>
      </w:r>
      <w:r w:rsidR="00840590">
        <w:rPr>
          <w:rFonts w:ascii="Avenir Next" w:hAnsi="Avenir Next" w:cs="Arial"/>
          <w:color w:val="808080" w:themeColor="background1" w:themeShade="80"/>
          <w:sz w:val="22"/>
          <w:szCs w:val="22"/>
          <w:lang w:val="en-GB"/>
        </w:rPr>
        <w:t xml:space="preserve"> </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7605964A" w:rsidR="002253D8" w:rsidRPr="00DA42DA" w:rsidRDefault="00CD79C2" w:rsidP="00CD79C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Australia adopted the Model Law its Cross Border Insolvency Act 2008. Under the Model Law, the consequences of recognition depend on the domestic law of the recognising State. </w:t>
      </w:r>
      <w:r w:rsidR="00463116">
        <w:rPr>
          <w:rFonts w:ascii="Avenir Next" w:hAnsi="Avenir Next" w:cs="Arial"/>
          <w:color w:val="808080" w:themeColor="background1" w:themeShade="80"/>
          <w:sz w:val="22"/>
          <w:szCs w:val="22"/>
          <w:lang w:val="en-GB"/>
        </w:rPr>
        <w:t>Australian law would apply to the insolvency proceedings and t</w:t>
      </w:r>
      <w:r w:rsidR="003C787D">
        <w:rPr>
          <w:rFonts w:ascii="Avenir Next" w:hAnsi="Avenir Next" w:cs="Arial"/>
          <w:color w:val="808080" w:themeColor="background1" w:themeShade="80"/>
          <w:sz w:val="22"/>
          <w:szCs w:val="22"/>
          <w:lang w:val="en-GB"/>
        </w:rPr>
        <w:t xml:space="preserve">he Italian liquidator would be able to obtain assistance from the Australian court that </w:t>
      </w:r>
      <w:r w:rsidR="00463116">
        <w:rPr>
          <w:rFonts w:ascii="Avenir Next" w:hAnsi="Avenir Next" w:cs="Arial"/>
          <w:color w:val="808080" w:themeColor="background1" w:themeShade="80"/>
          <w:sz w:val="22"/>
          <w:szCs w:val="22"/>
          <w:lang w:val="en-GB"/>
        </w:rPr>
        <w:t>she is</w:t>
      </w:r>
      <w:r w:rsidR="003C787D">
        <w:rPr>
          <w:rFonts w:ascii="Avenir Next" w:hAnsi="Avenir Next" w:cs="Arial"/>
          <w:color w:val="808080" w:themeColor="background1" w:themeShade="80"/>
          <w:sz w:val="22"/>
          <w:szCs w:val="22"/>
          <w:lang w:val="en-GB"/>
        </w:rPr>
        <w:t xml:space="preserve"> entitled to under the Model Law. </w:t>
      </w:r>
      <w:r w:rsidR="00463116">
        <w:rPr>
          <w:rFonts w:ascii="Avenir Next" w:hAnsi="Avenir Next" w:cs="Arial"/>
          <w:color w:val="808080" w:themeColor="background1" w:themeShade="80"/>
          <w:sz w:val="22"/>
          <w:szCs w:val="22"/>
          <w:lang w:val="en-GB"/>
        </w:rPr>
        <w:t>A</w:t>
      </w:r>
      <w:r w:rsidR="003C787D">
        <w:rPr>
          <w:rFonts w:ascii="Avenir Next" w:hAnsi="Avenir Next" w:cs="Arial"/>
          <w:color w:val="808080" w:themeColor="background1" w:themeShade="80"/>
          <w:sz w:val="22"/>
          <w:szCs w:val="22"/>
          <w:lang w:val="en-GB"/>
        </w:rPr>
        <w:t>ll the rights and obligations of Norton i</w:t>
      </w:r>
      <w:r w:rsidR="00463116">
        <w:rPr>
          <w:rFonts w:ascii="Avenir Next" w:hAnsi="Avenir Next" w:cs="Arial"/>
          <w:color w:val="808080" w:themeColor="background1" w:themeShade="80"/>
          <w:sz w:val="22"/>
          <w:szCs w:val="22"/>
          <w:lang w:val="en-GB"/>
        </w:rPr>
        <w:t xml:space="preserve">n </w:t>
      </w:r>
      <w:r w:rsidR="003C787D">
        <w:rPr>
          <w:rFonts w:ascii="Avenir Next" w:hAnsi="Avenir Next" w:cs="Arial"/>
          <w:color w:val="808080" w:themeColor="background1" w:themeShade="80"/>
          <w:sz w:val="22"/>
          <w:szCs w:val="22"/>
          <w:lang w:val="en-GB"/>
        </w:rPr>
        <w:t xml:space="preserve">respect to property in Australia will be governed by Australian law (or the choice of law </w:t>
      </w:r>
      <w:r w:rsidR="00463116">
        <w:rPr>
          <w:rFonts w:ascii="Avenir Next" w:hAnsi="Avenir Next" w:cs="Arial"/>
          <w:color w:val="808080" w:themeColor="background1" w:themeShade="80"/>
          <w:sz w:val="22"/>
          <w:szCs w:val="22"/>
          <w:lang w:val="en-GB"/>
        </w:rPr>
        <w:t>of</w:t>
      </w:r>
      <w:r w:rsidR="003C787D">
        <w:rPr>
          <w:rFonts w:ascii="Avenir Next" w:hAnsi="Avenir Next" w:cs="Arial"/>
          <w:color w:val="808080" w:themeColor="background1" w:themeShade="80"/>
          <w:sz w:val="22"/>
          <w:szCs w:val="22"/>
          <w:lang w:val="en-GB"/>
        </w:rPr>
        <w:t xml:space="preserve"> the contract).</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CFD6B" w14:textId="77777777" w:rsidR="00037AA9" w:rsidRDefault="00037AA9" w:rsidP="00241B44">
      <w:r>
        <w:separator/>
      </w:r>
    </w:p>
  </w:endnote>
  <w:endnote w:type="continuationSeparator" w:id="0">
    <w:p w14:paraId="777C0661" w14:textId="77777777" w:rsidR="00037AA9" w:rsidRDefault="00037AA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w:altName w:val="Calibri"/>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6225C2C7" w:rsidR="00B64A85" w:rsidRPr="00297BDF" w:rsidRDefault="006B458B" w:rsidP="0052732A">
    <w:pPr>
      <w:pStyle w:val="Footer"/>
      <w:ind w:right="360"/>
      <w:rPr>
        <w:rFonts w:ascii="Avenir Next" w:hAnsi="Avenir Next" w:cs="Arial"/>
        <w:sz w:val="22"/>
        <w:szCs w:val="22"/>
      </w:rPr>
    </w:pPr>
    <w:r>
      <w:rPr>
        <w:rFonts w:ascii="Avenir Next" w:hAnsi="Avenir Next" w:cs="Arial"/>
        <w:sz w:val="22"/>
        <w:szCs w:val="22"/>
      </w:rPr>
      <w:t>FC202324-1309</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CF9B4" w14:textId="77777777" w:rsidR="00037AA9" w:rsidRDefault="00037AA9" w:rsidP="00241B44">
      <w:r>
        <w:separator/>
      </w:r>
    </w:p>
  </w:footnote>
  <w:footnote w:type="continuationSeparator" w:id="0">
    <w:p w14:paraId="3B26A253" w14:textId="77777777" w:rsidR="00037AA9" w:rsidRDefault="00037AA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1FAE0D4E"/>
    <w:multiLevelType w:val="hybridMultilevel"/>
    <w:tmpl w:val="F4DAE2F8"/>
    <w:lvl w:ilvl="0" w:tplc="026E8B6A">
      <w:start w:val="4"/>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7"/>
  </w:num>
  <w:num w:numId="2" w16cid:durableId="460732777">
    <w:abstractNumId w:val="32"/>
  </w:num>
  <w:num w:numId="3" w16cid:durableId="1558668659">
    <w:abstractNumId w:val="2"/>
  </w:num>
  <w:num w:numId="4" w16cid:durableId="737018892">
    <w:abstractNumId w:val="4"/>
  </w:num>
  <w:num w:numId="5" w16cid:durableId="1158809076">
    <w:abstractNumId w:val="22"/>
  </w:num>
  <w:num w:numId="6" w16cid:durableId="415711827">
    <w:abstractNumId w:val="28"/>
  </w:num>
  <w:num w:numId="7" w16cid:durableId="1401949473">
    <w:abstractNumId w:val="15"/>
  </w:num>
  <w:num w:numId="8" w16cid:durableId="269552992">
    <w:abstractNumId w:val="33"/>
  </w:num>
  <w:num w:numId="9" w16cid:durableId="1367413161">
    <w:abstractNumId w:val="14"/>
  </w:num>
  <w:num w:numId="10" w16cid:durableId="220823057">
    <w:abstractNumId w:val="29"/>
  </w:num>
  <w:num w:numId="11" w16cid:durableId="858086195">
    <w:abstractNumId w:val="11"/>
  </w:num>
  <w:num w:numId="12" w16cid:durableId="2144808366">
    <w:abstractNumId w:val="30"/>
  </w:num>
  <w:num w:numId="13" w16cid:durableId="1139104618">
    <w:abstractNumId w:val="21"/>
  </w:num>
  <w:num w:numId="14" w16cid:durableId="1203787949">
    <w:abstractNumId w:val="20"/>
  </w:num>
  <w:num w:numId="15" w16cid:durableId="1140149903">
    <w:abstractNumId w:val="6"/>
  </w:num>
  <w:num w:numId="16" w16cid:durableId="1714226930">
    <w:abstractNumId w:val="23"/>
  </w:num>
  <w:num w:numId="17" w16cid:durableId="1711415350">
    <w:abstractNumId w:val="18"/>
  </w:num>
  <w:num w:numId="18" w16cid:durableId="35542391">
    <w:abstractNumId w:val="19"/>
  </w:num>
  <w:num w:numId="19" w16cid:durableId="2050493181">
    <w:abstractNumId w:val="26"/>
  </w:num>
  <w:num w:numId="20" w16cid:durableId="1469859581">
    <w:abstractNumId w:val="10"/>
  </w:num>
  <w:num w:numId="21" w16cid:durableId="408573765">
    <w:abstractNumId w:val="17"/>
  </w:num>
  <w:num w:numId="22" w16cid:durableId="482936912">
    <w:abstractNumId w:val="0"/>
  </w:num>
  <w:num w:numId="23" w16cid:durableId="1308701288">
    <w:abstractNumId w:val="25"/>
  </w:num>
  <w:num w:numId="24" w16cid:durableId="1716081525">
    <w:abstractNumId w:val="1"/>
  </w:num>
  <w:num w:numId="25" w16cid:durableId="797064315">
    <w:abstractNumId w:val="31"/>
  </w:num>
  <w:num w:numId="26" w16cid:durableId="824904852">
    <w:abstractNumId w:val="34"/>
  </w:num>
  <w:num w:numId="27" w16cid:durableId="372002461">
    <w:abstractNumId w:val="9"/>
  </w:num>
  <w:num w:numId="28" w16cid:durableId="1256015074">
    <w:abstractNumId w:val="8"/>
  </w:num>
  <w:num w:numId="29" w16cid:durableId="1376738983">
    <w:abstractNumId w:val="7"/>
  </w:num>
  <w:num w:numId="30" w16cid:durableId="1903177138">
    <w:abstractNumId w:val="12"/>
  </w:num>
  <w:num w:numId="31" w16cid:durableId="1164859915">
    <w:abstractNumId w:val="3"/>
  </w:num>
  <w:num w:numId="32" w16cid:durableId="684208392">
    <w:abstractNumId w:val="16"/>
  </w:num>
  <w:num w:numId="33" w16cid:durableId="732118212">
    <w:abstractNumId w:val="24"/>
  </w:num>
  <w:num w:numId="34" w16cid:durableId="1912503881">
    <w:abstractNumId w:val="13"/>
  </w:num>
  <w:num w:numId="35" w16cid:durableId="113043835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7621"/>
    <w:rsid w:val="00037AA9"/>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4EF8"/>
    <w:rsid w:val="00065166"/>
    <w:rsid w:val="00066AE7"/>
    <w:rsid w:val="000701E2"/>
    <w:rsid w:val="0007091D"/>
    <w:rsid w:val="00076483"/>
    <w:rsid w:val="00080757"/>
    <w:rsid w:val="0008155B"/>
    <w:rsid w:val="000815BB"/>
    <w:rsid w:val="00081A63"/>
    <w:rsid w:val="00082609"/>
    <w:rsid w:val="000836FB"/>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D0291"/>
    <w:rsid w:val="000D0C9F"/>
    <w:rsid w:val="000D55A8"/>
    <w:rsid w:val="000D57BE"/>
    <w:rsid w:val="000D6876"/>
    <w:rsid w:val="000E0165"/>
    <w:rsid w:val="000E3A82"/>
    <w:rsid w:val="000E3C5A"/>
    <w:rsid w:val="000E406D"/>
    <w:rsid w:val="000E4841"/>
    <w:rsid w:val="000E5CB4"/>
    <w:rsid w:val="000E631F"/>
    <w:rsid w:val="000F0DC0"/>
    <w:rsid w:val="000F0FFF"/>
    <w:rsid w:val="000F1677"/>
    <w:rsid w:val="000F3387"/>
    <w:rsid w:val="000F3D6C"/>
    <w:rsid w:val="000F58B0"/>
    <w:rsid w:val="00100A77"/>
    <w:rsid w:val="00101707"/>
    <w:rsid w:val="00102F47"/>
    <w:rsid w:val="00104780"/>
    <w:rsid w:val="00105CBD"/>
    <w:rsid w:val="001107F2"/>
    <w:rsid w:val="00110E0C"/>
    <w:rsid w:val="001131C6"/>
    <w:rsid w:val="0011473D"/>
    <w:rsid w:val="001147E7"/>
    <w:rsid w:val="00115C85"/>
    <w:rsid w:val="001174E6"/>
    <w:rsid w:val="00120B4D"/>
    <w:rsid w:val="001211E6"/>
    <w:rsid w:val="001218BF"/>
    <w:rsid w:val="0012303D"/>
    <w:rsid w:val="00123855"/>
    <w:rsid w:val="00124B70"/>
    <w:rsid w:val="00125A7C"/>
    <w:rsid w:val="00126A4D"/>
    <w:rsid w:val="00131D42"/>
    <w:rsid w:val="0013278B"/>
    <w:rsid w:val="00135FFC"/>
    <w:rsid w:val="00136505"/>
    <w:rsid w:val="00137417"/>
    <w:rsid w:val="0014171F"/>
    <w:rsid w:val="00142E15"/>
    <w:rsid w:val="0014622C"/>
    <w:rsid w:val="00150F6C"/>
    <w:rsid w:val="00152348"/>
    <w:rsid w:val="0015328F"/>
    <w:rsid w:val="0015456D"/>
    <w:rsid w:val="00161F1B"/>
    <w:rsid w:val="001620AF"/>
    <w:rsid w:val="00162829"/>
    <w:rsid w:val="0016472D"/>
    <w:rsid w:val="00164B28"/>
    <w:rsid w:val="001677CC"/>
    <w:rsid w:val="00172A29"/>
    <w:rsid w:val="00173647"/>
    <w:rsid w:val="00180548"/>
    <w:rsid w:val="00180AC4"/>
    <w:rsid w:val="00180B1E"/>
    <w:rsid w:val="00180CCE"/>
    <w:rsid w:val="00181438"/>
    <w:rsid w:val="0018267A"/>
    <w:rsid w:val="001826E6"/>
    <w:rsid w:val="00182779"/>
    <w:rsid w:val="001830DF"/>
    <w:rsid w:val="00183285"/>
    <w:rsid w:val="001833C2"/>
    <w:rsid w:val="001871E7"/>
    <w:rsid w:val="00193AB3"/>
    <w:rsid w:val="00193AD3"/>
    <w:rsid w:val="001966D9"/>
    <w:rsid w:val="00197963"/>
    <w:rsid w:val="001A620B"/>
    <w:rsid w:val="001A716A"/>
    <w:rsid w:val="001A7E9A"/>
    <w:rsid w:val="001A7ECF"/>
    <w:rsid w:val="001B0F70"/>
    <w:rsid w:val="001B4BFF"/>
    <w:rsid w:val="001B5016"/>
    <w:rsid w:val="001B6CEE"/>
    <w:rsid w:val="001C45FC"/>
    <w:rsid w:val="001C594A"/>
    <w:rsid w:val="001D1BF7"/>
    <w:rsid w:val="001D4862"/>
    <w:rsid w:val="001D632F"/>
    <w:rsid w:val="001D7EF2"/>
    <w:rsid w:val="001E1FB4"/>
    <w:rsid w:val="001E23FD"/>
    <w:rsid w:val="001E25B9"/>
    <w:rsid w:val="001E392F"/>
    <w:rsid w:val="001E49E0"/>
    <w:rsid w:val="001E644D"/>
    <w:rsid w:val="001E7B5A"/>
    <w:rsid w:val="001E7F2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5EFB"/>
    <w:rsid w:val="002526C5"/>
    <w:rsid w:val="002529D2"/>
    <w:rsid w:val="0025386E"/>
    <w:rsid w:val="00254AB3"/>
    <w:rsid w:val="002638B0"/>
    <w:rsid w:val="00264B8E"/>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559F"/>
    <w:rsid w:val="002E66F4"/>
    <w:rsid w:val="002F14C5"/>
    <w:rsid w:val="002F1956"/>
    <w:rsid w:val="002F2B8D"/>
    <w:rsid w:val="002F3440"/>
    <w:rsid w:val="002F3B17"/>
    <w:rsid w:val="002F5876"/>
    <w:rsid w:val="002F5DD8"/>
    <w:rsid w:val="002F75A3"/>
    <w:rsid w:val="002F75CD"/>
    <w:rsid w:val="002F7EB5"/>
    <w:rsid w:val="003011AA"/>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24EB"/>
    <w:rsid w:val="003937B9"/>
    <w:rsid w:val="0039398A"/>
    <w:rsid w:val="003948D5"/>
    <w:rsid w:val="00394B8E"/>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C473E"/>
    <w:rsid w:val="003C787D"/>
    <w:rsid w:val="003D004D"/>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30FED"/>
    <w:rsid w:val="004349E0"/>
    <w:rsid w:val="00434A8C"/>
    <w:rsid w:val="00437297"/>
    <w:rsid w:val="00437ABE"/>
    <w:rsid w:val="00440AC5"/>
    <w:rsid w:val="00440EDD"/>
    <w:rsid w:val="004417C1"/>
    <w:rsid w:val="00444284"/>
    <w:rsid w:val="004442F1"/>
    <w:rsid w:val="00444432"/>
    <w:rsid w:val="00445CE6"/>
    <w:rsid w:val="00446987"/>
    <w:rsid w:val="004534C2"/>
    <w:rsid w:val="0045387A"/>
    <w:rsid w:val="00453967"/>
    <w:rsid w:val="0045446F"/>
    <w:rsid w:val="00454C9D"/>
    <w:rsid w:val="0045683E"/>
    <w:rsid w:val="0046142D"/>
    <w:rsid w:val="0046274F"/>
    <w:rsid w:val="004627E6"/>
    <w:rsid w:val="0046298C"/>
    <w:rsid w:val="00463116"/>
    <w:rsid w:val="00463259"/>
    <w:rsid w:val="00464F21"/>
    <w:rsid w:val="0046540B"/>
    <w:rsid w:val="004659E0"/>
    <w:rsid w:val="00466ED6"/>
    <w:rsid w:val="00467C71"/>
    <w:rsid w:val="0047084C"/>
    <w:rsid w:val="00470A63"/>
    <w:rsid w:val="00470C55"/>
    <w:rsid w:val="004715C1"/>
    <w:rsid w:val="004731F4"/>
    <w:rsid w:val="0047694C"/>
    <w:rsid w:val="00481FC8"/>
    <w:rsid w:val="0048258B"/>
    <w:rsid w:val="004827A3"/>
    <w:rsid w:val="00482FE3"/>
    <w:rsid w:val="004830EF"/>
    <w:rsid w:val="004837D5"/>
    <w:rsid w:val="00484689"/>
    <w:rsid w:val="00486065"/>
    <w:rsid w:val="00486776"/>
    <w:rsid w:val="004868BB"/>
    <w:rsid w:val="00486EF8"/>
    <w:rsid w:val="00491675"/>
    <w:rsid w:val="00493855"/>
    <w:rsid w:val="00497558"/>
    <w:rsid w:val="00497CF9"/>
    <w:rsid w:val="004A27CB"/>
    <w:rsid w:val="004A2B2C"/>
    <w:rsid w:val="004A57DD"/>
    <w:rsid w:val="004A6102"/>
    <w:rsid w:val="004A741E"/>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809"/>
    <w:rsid w:val="005059A4"/>
    <w:rsid w:val="00515756"/>
    <w:rsid w:val="00515F63"/>
    <w:rsid w:val="005177FE"/>
    <w:rsid w:val="0052263B"/>
    <w:rsid w:val="00524728"/>
    <w:rsid w:val="00524840"/>
    <w:rsid w:val="00525459"/>
    <w:rsid w:val="00525C99"/>
    <w:rsid w:val="0052732A"/>
    <w:rsid w:val="00527527"/>
    <w:rsid w:val="00527CC4"/>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1B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04C1F"/>
    <w:rsid w:val="00610388"/>
    <w:rsid w:val="00612092"/>
    <w:rsid w:val="00612CA5"/>
    <w:rsid w:val="00614858"/>
    <w:rsid w:val="006153EC"/>
    <w:rsid w:val="00616E52"/>
    <w:rsid w:val="006208BB"/>
    <w:rsid w:val="00621A17"/>
    <w:rsid w:val="0062260C"/>
    <w:rsid w:val="00627CC9"/>
    <w:rsid w:val="00627E7B"/>
    <w:rsid w:val="00630542"/>
    <w:rsid w:val="00630727"/>
    <w:rsid w:val="00630C8D"/>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08FF"/>
    <w:rsid w:val="006643E7"/>
    <w:rsid w:val="006661EF"/>
    <w:rsid w:val="006746CB"/>
    <w:rsid w:val="00677AEB"/>
    <w:rsid w:val="00677E53"/>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58B"/>
    <w:rsid w:val="006B4C64"/>
    <w:rsid w:val="006B5AE8"/>
    <w:rsid w:val="006C2724"/>
    <w:rsid w:val="006C5CE2"/>
    <w:rsid w:val="006D0529"/>
    <w:rsid w:val="006D0605"/>
    <w:rsid w:val="006D176A"/>
    <w:rsid w:val="006D564C"/>
    <w:rsid w:val="006D6BD5"/>
    <w:rsid w:val="006E0AD9"/>
    <w:rsid w:val="006E1CB0"/>
    <w:rsid w:val="006E215A"/>
    <w:rsid w:val="006E254C"/>
    <w:rsid w:val="006E2974"/>
    <w:rsid w:val="006E481A"/>
    <w:rsid w:val="006E5298"/>
    <w:rsid w:val="006E6A1F"/>
    <w:rsid w:val="006E6A6A"/>
    <w:rsid w:val="006E77B0"/>
    <w:rsid w:val="006F18EB"/>
    <w:rsid w:val="006F2E9B"/>
    <w:rsid w:val="006F6B2E"/>
    <w:rsid w:val="006F734A"/>
    <w:rsid w:val="00700D83"/>
    <w:rsid w:val="00704852"/>
    <w:rsid w:val="007048F3"/>
    <w:rsid w:val="00704C24"/>
    <w:rsid w:val="00705A77"/>
    <w:rsid w:val="00707185"/>
    <w:rsid w:val="00707321"/>
    <w:rsid w:val="007074E9"/>
    <w:rsid w:val="00707954"/>
    <w:rsid w:val="00707BC5"/>
    <w:rsid w:val="007104E0"/>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3897"/>
    <w:rsid w:val="0077498C"/>
    <w:rsid w:val="00777070"/>
    <w:rsid w:val="007815D1"/>
    <w:rsid w:val="00782B3F"/>
    <w:rsid w:val="00784128"/>
    <w:rsid w:val="007849D8"/>
    <w:rsid w:val="0078662F"/>
    <w:rsid w:val="00790B4C"/>
    <w:rsid w:val="0079206E"/>
    <w:rsid w:val="00793173"/>
    <w:rsid w:val="00794C4F"/>
    <w:rsid w:val="007958F0"/>
    <w:rsid w:val="00797788"/>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3C07"/>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743"/>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2B3B"/>
    <w:rsid w:val="00823AB4"/>
    <w:rsid w:val="0082483F"/>
    <w:rsid w:val="00827849"/>
    <w:rsid w:val="008279C0"/>
    <w:rsid w:val="00840590"/>
    <w:rsid w:val="00841E70"/>
    <w:rsid w:val="00845226"/>
    <w:rsid w:val="008473AA"/>
    <w:rsid w:val="00851A7A"/>
    <w:rsid w:val="00852883"/>
    <w:rsid w:val="00852F37"/>
    <w:rsid w:val="008571F6"/>
    <w:rsid w:val="008575D4"/>
    <w:rsid w:val="00857A02"/>
    <w:rsid w:val="00861E51"/>
    <w:rsid w:val="00864EBE"/>
    <w:rsid w:val="00870B96"/>
    <w:rsid w:val="008723F3"/>
    <w:rsid w:val="00873246"/>
    <w:rsid w:val="00875E2E"/>
    <w:rsid w:val="00877BF2"/>
    <w:rsid w:val="00880F99"/>
    <w:rsid w:val="00881DA8"/>
    <w:rsid w:val="00881DE6"/>
    <w:rsid w:val="008837A6"/>
    <w:rsid w:val="008841E5"/>
    <w:rsid w:val="00884D7C"/>
    <w:rsid w:val="0089145D"/>
    <w:rsid w:val="00892612"/>
    <w:rsid w:val="00896FD7"/>
    <w:rsid w:val="00897428"/>
    <w:rsid w:val="008A0A52"/>
    <w:rsid w:val="008A15DA"/>
    <w:rsid w:val="008A1664"/>
    <w:rsid w:val="008A30C3"/>
    <w:rsid w:val="008A30EE"/>
    <w:rsid w:val="008A39CC"/>
    <w:rsid w:val="008A4DF2"/>
    <w:rsid w:val="008A6841"/>
    <w:rsid w:val="008A6CFE"/>
    <w:rsid w:val="008A791D"/>
    <w:rsid w:val="008B40E7"/>
    <w:rsid w:val="008B4681"/>
    <w:rsid w:val="008B4B58"/>
    <w:rsid w:val="008B5333"/>
    <w:rsid w:val="008B5476"/>
    <w:rsid w:val="008B6223"/>
    <w:rsid w:val="008C0772"/>
    <w:rsid w:val="008C165D"/>
    <w:rsid w:val="008C4066"/>
    <w:rsid w:val="008C66E0"/>
    <w:rsid w:val="008C678A"/>
    <w:rsid w:val="008D0122"/>
    <w:rsid w:val="008D3E17"/>
    <w:rsid w:val="008D5D34"/>
    <w:rsid w:val="008D7718"/>
    <w:rsid w:val="008E220E"/>
    <w:rsid w:val="008E3339"/>
    <w:rsid w:val="008E3ADC"/>
    <w:rsid w:val="008E4F14"/>
    <w:rsid w:val="008E5941"/>
    <w:rsid w:val="008E64D3"/>
    <w:rsid w:val="008E6F11"/>
    <w:rsid w:val="008F20FC"/>
    <w:rsid w:val="008F2CE0"/>
    <w:rsid w:val="008F3248"/>
    <w:rsid w:val="008F50C4"/>
    <w:rsid w:val="008F5FFE"/>
    <w:rsid w:val="0090037B"/>
    <w:rsid w:val="00905A43"/>
    <w:rsid w:val="009064FE"/>
    <w:rsid w:val="00907210"/>
    <w:rsid w:val="009078CE"/>
    <w:rsid w:val="009078FC"/>
    <w:rsid w:val="009108EF"/>
    <w:rsid w:val="00911C23"/>
    <w:rsid w:val="00912C79"/>
    <w:rsid w:val="00913FB9"/>
    <w:rsid w:val="00915010"/>
    <w:rsid w:val="0091528C"/>
    <w:rsid w:val="009173D1"/>
    <w:rsid w:val="0092350E"/>
    <w:rsid w:val="00923CCC"/>
    <w:rsid w:val="00926D10"/>
    <w:rsid w:val="009275FE"/>
    <w:rsid w:val="00935301"/>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405D"/>
    <w:rsid w:val="00975009"/>
    <w:rsid w:val="00975640"/>
    <w:rsid w:val="00975B29"/>
    <w:rsid w:val="00976DA5"/>
    <w:rsid w:val="009773BA"/>
    <w:rsid w:val="00980DF0"/>
    <w:rsid w:val="00981608"/>
    <w:rsid w:val="00984680"/>
    <w:rsid w:val="00990F04"/>
    <w:rsid w:val="00991272"/>
    <w:rsid w:val="00991428"/>
    <w:rsid w:val="00992676"/>
    <w:rsid w:val="009973C1"/>
    <w:rsid w:val="00997A85"/>
    <w:rsid w:val="009A0501"/>
    <w:rsid w:val="009A116C"/>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685"/>
    <w:rsid w:val="009D382E"/>
    <w:rsid w:val="009D43D0"/>
    <w:rsid w:val="009D510C"/>
    <w:rsid w:val="009D5CDB"/>
    <w:rsid w:val="009D6709"/>
    <w:rsid w:val="009E13C1"/>
    <w:rsid w:val="009E23F7"/>
    <w:rsid w:val="009E2A9C"/>
    <w:rsid w:val="009E2AEB"/>
    <w:rsid w:val="009E2E27"/>
    <w:rsid w:val="009E44C0"/>
    <w:rsid w:val="009E4DE3"/>
    <w:rsid w:val="009E50C1"/>
    <w:rsid w:val="009F0C29"/>
    <w:rsid w:val="009F0C5A"/>
    <w:rsid w:val="00A002EF"/>
    <w:rsid w:val="00A01A7F"/>
    <w:rsid w:val="00A02198"/>
    <w:rsid w:val="00A032B6"/>
    <w:rsid w:val="00A047EE"/>
    <w:rsid w:val="00A057CA"/>
    <w:rsid w:val="00A136AF"/>
    <w:rsid w:val="00A13F8F"/>
    <w:rsid w:val="00A149B7"/>
    <w:rsid w:val="00A177BC"/>
    <w:rsid w:val="00A17930"/>
    <w:rsid w:val="00A2079E"/>
    <w:rsid w:val="00A2274A"/>
    <w:rsid w:val="00A235B7"/>
    <w:rsid w:val="00A249AC"/>
    <w:rsid w:val="00A27A7A"/>
    <w:rsid w:val="00A301D1"/>
    <w:rsid w:val="00A31881"/>
    <w:rsid w:val="00A40529"/>
    <w:rsid w:val="00A407EF"/>
    <w:rsid w:val="00A411B7"/>
    <w:rsid w:val="00A42023"/>
    <w:rsid w:val="00A43084"/>
    <w:rsid w:val="00A45800"/>
    <w:rsid w:val="00A46B4C"/>
    <w:rsid w:val="00A47C2D"/>
    <w:rsid w:val="00A5117B"/>
    <w:rsid w:val="00A51EE3"/>
    <w:rsid w:val="00A53E29"/>
    <w:rsid w:val="00A560B6"/>
    <w:rsid w:val="00A566E3"/>
    <w:rsid w:val="00A56CF7"/>
    <w:rsid w:val="00A56DBC"/>
    <w:rsid w:val="00A60074"/>
    <w:rsid w:val="00A641E0"/>
    <w:rsid w:val="00A646E2"/>
    <w:rsid w:val="00A651A9"/>
    <w:rsid w:val="00A6627C"/>
    <w:rsid w:val="00A71019"/>
    <w:rsid w:val="00A737C1"/>
    <w:rsid w:val="00A73B60"/>
    <w:rsid w:val="00A81029"/>
    <w:rsid w:val="00A82AFB"/>
    <w:rsid w:val="00A8485D"/>
    <w:rsid w:val="00A86584"/>
    <w:rsid w:val="00A86B29"/>
    <w:rsid w:val="00A90BDB"/>
    <w:rsid w:val="00A930ED"/>
    <w:rsid w:val="00A94559"/>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E55F5"/>
    <w:rsid w:val="00AE76AD"/>
    <w:rsid w:val="00AF228E"/>
    <w:rsid w:val="00AF455B"/>
    <w:rsid w:val="00AF556C"/>
    <w:rsid w:val="00AF5899"/>
    <w:rsid w:val="00B0123F"/>
    <w:rsid w:val="00B04004"/>
    <w:rsid w:val="00B12F13"/>
    <w:rsid w:val="00B14819"/>
    <w:rsid w:val="00B17AA9"/>
    <w:rsid w:val="00B20235"/>
    <w:rsid w:val="00B204B6"/>
    <w:rsid w:val="00B221FF"/>
    <w:rsid w:val="00B2292D"/>
    <w:rsid w:val="00B246B1"/>
    <w:rsid w:val="00B26B31"/>
    <w:rsid w:val="00B27FE6"/>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2D70"/>
    <w:rsid w:val="00B84CE9"/>
    <w:rsid w:val="00B85DB0"/>
    <w:rsid w:val="00B86537"/>
    <w:rsid w:val="00B86DB1"/>
    <w:rsid w:val="00B87869"/>
    <w:rsid w:val="00B87A61"/>
    <w:rsid w:val="00B92D5B"/>
    <w:rsid w:val="00B9417E"/>
    <w:rsid w:val="00B948AE"/>
    <w:rsid w:val="00BA1648"/>
    <w:rsid w:val="00BA2637"/>
    <w:rsid w:val="00BA2919"/>
    <w:rsid w:val="00BA35FF"/>
    <w:rsid w:val="00BB09FD"/>
    <w:rsid w:val="00BB0F2B"/>
    <w:rsid w:val="00BB3A01"/>
    <w:rsid w:val="00BB5A37"/>
    <w:rsid w:val="00BB6955"/>
    <w:rsid w:val="00BB6F7A"/>
    <w:rsid w:val="00BC1043"/>
    <w:rsid w:val="00BC3FD8"/>
    <w:rsid w:val="00BC48EB"/>
    <w:rsid w:val="00BC4A7D"/>
    <w:rsid w:val="00BC585F"/>
    <w:rsid w:val="00BC5898"/>
    <w:rsid w:val="00BC5D7D"/>
    <w:rsid w:val="00BC6BCE"/>
    <w:rsid w:val="00BC7F2E"/>
    <w:rsid w:val="00BD0299"/>
    <w:rsid w:val="00BD069C"/>
    <w:rsid w:val="00BD0F7F"/>
    <w:rsid w:val="00BD23B4"/>
    <w:rsid w:val="00BD288F"/>
    <w:rsid w:val="00BD3363"/>
    <w:rsid w:val="00BD3F18"/>
    <w:rsid w:val="00BD64FB"/>
    <w:rsid w:val="00BD71D7"/>
    <w:rsid w:val="00BD7D49"/>
    <w:rsid w:val="00BE0559"/>
    <w:rsid w:val="00BE2464"/>
    <w:rsid w:val="00BF0F3E"/>
    <w:rsid w:val="00BF2B49"/>
    <w:rsid w:val="00BF2E7A"/>
    <w:rsid w:val="00BF3D02"/>
    <w:rsid w:val="00BF40B9"/>
    <w:rsid w:val="00BF50F7"/>
    <w:rsid w:val="00BF5D90"/>
    <w:rsid w:val="00C00231"/>
    <w:rsid w:val="00C01017"/>
    <w:rsid w:val="00C02F29"/>
    <w:rsid w:val="00C04632"/>
    <w:rsid w:val="00C07B0B"/>
    <w:rsid w:val="00C15A16"/>
    <w:rsid w:val="00C16773"/>
    <w:rsid w:val="00C1724E"/>
    <w:rsid w:val="00C20337"/>
    <w:rsid w:val="00C20AFE"/>
    <w:rsid w:val="00C22A25"/>
    <w:rsid w:val="00C250E8"/>
    <w:rsid w:val="00C26E4B"/>
    <w:rsid w:val="00C27CF8"/>
    <w:rsid w:val="00C31102"/>
    <w:rsid w:val="00C31C63"/>
    <w:rsid w:val="00C33C84"/>
    <w:rsid w:val="00C3453F"/>
    <w:rsid w:val="00C34A50"/>
    <w:rsid w:val="00C35026"/>
    <w:rsid w:val="00C35671"/>
    <w:rsid w:val="00C35B77"/>
    <w:rsid w:val="00C36EF0"/>
    <w:rsid w:val="00C376EB"/>
    <w:rsid w:val="00C4187E"/>
    <w:rsid w:val="00C444EC"/>
    <w:rsid w:val="00C44FFC"/>
    <w:rsid w:val="00C45A03"/>
    <w:rsid w:val="00C468CD"/>
    <w:rsid w:val="00C46EC1"/>
    <w:rsid w:val="00C50F86"/>
    <w:rsid w:val="00C53E2C"/>
    <w:rsid w:val="00C550C8"/>
    <w:rsid w:val="00C56136"/>
    <w:rsid w:val="00C56B61"/>
    <w:rsid w:val="00C56D56"/>
    <w:rsid w:val="00C570AC"/>
    <w:rsid w:val="00C5730D"/>
    <w:rsid w:val="00C60631"/>
    <w:rsid w:val="00C606C3"/>
    <w:rsid w:val="00C620F4"/>
    <w:rsid w:val="00C629CB"/>
    <w:rsid w:val="00C63F9F"/>
    <w:rsid w:val="00C673EB"/>
    <w:rsid w:val="00C71F4F"/>
    <w:rsid w:val="00C72848"/>
    <w:rsid w:val="00C750BA"/>
    <w:rsid w:val="00C7736C"/>
    <w:rsid w:val="00C80272"/>
    <w:rsid w:val="00C82D87"/>
    <w:rsid w:val="00C8712A"/>
    <w:rsid w:val="00C87EAA"/>
    <w:rsid w:val="00C92A0D"/>
    <w:rsid w:val="00C94660"/>
    <w:rsid w:val="00C952A2"/>
    <w:rsid w:val="00C963D3"/>
    <w:rsid w:val="00CA0B50"/>
    <w:rsid w:val="00CA1802"/>
    <w:rsid w:val="00CA3649"/>
    <w:rsid w:val="00CA6E99"/>
    <w:rsid w:val="00CB262C"/>
    <w:rsid w:val="00CB2CBB"/>
    <w:rsid w:val="00CB3EB6"/>
    <w:rsid w:val="00CB7283"/>
    <w:rsid w:val="00CB7CAC"/>
    <w:rsid w:val="00CC467D"/>
    <w:rsid w:val="00CC5051"/>
    <w:rsid w:val="00CC5335"/>
    <w:rsid w:val="00CC579C"/>
    <w:rsid w:val="00CC5BA4"/>
    <w:rsid w:val="00CC5ECB"/>
    <w:rsid w:val="00CC7728"/>
    <w:rsid w:val="00CD0571"/>
    <w:rsid w:val="00CD0E2B"/>
    <w:rsid w:val="00CD0FFE"/>
    <w:rsid w:val="00CD34DB"/>
    <w:rsid w:val="00CD377A"/>
    <w:rsid w:val="00CD4998"/>
    <w:rsid w:val="00CD499F"/>
    <w:rsid w:val="00CD79C2"/>
    <w:rsid w:val="00CD7DBC"/>
    <w:rsid w:val="00CE1035"/>
    <w:rsid w:val="00CE62CA"/>
    <w:rsid w:val="00CE67DE"/>
    <w:rsid w:val="00CF01D6"/>
    <w:rsid w:val="00CF2819"/>
    <w:rsid w:val="00CF4F9D"/>
    <w:rsid w:val="00CF5AD8"/>
    <w:rsid w:val="00CF70DC"/>
    <w:rsid w:val="00CF717B"/>
    <w:rsid w:val="00D068C5"/>
    <w:rsid w:val="00D07F87"/>
    <w:rsid w:val="00D148DC"/>
    <w:rsid w:val="00D1688E"/>
    <w:rsid w:val="00D17FDC"/>
    <w:rsid w:val="00D223E4"/>
    <w:rsid w:val="00D236BC"/>
    <w:rsid w:val="00D2550E"/>
    <w:rsid w:val="00D256C6"/>
    <w:rsid w:val="00D25F51"/>
    <w:rsid w:val="00D27557"/>
    <w:rsid w:val="00D35229"/>
    <w:rsid w:val="00D35ADE"/>
    <w:rsid w:val="00D35EAE"/>
    <w:rsid w:val="00D42F51"/>
    <w:rsid w:val="00D45702"/>
    <w:rsid w:val="00D4685B"/>
    <w:rsid w:val="00D5192B"/>
    <w:rsid w:val="00D57C59"/>
    <w:rsid w:val="00D60215"/>
    <w:rsid w:val="00D60874"/>
    <w:rsid w:val="00D63EFD"/>
    <w:rsid w:val="00D6588F"/>
    <w:rsid w:val="00D676F1"/>
    <w:rsid w:val="00D714E4"/>
    <w:rsid w:val="00D759B2"/>
    <w:rsid w:val="00D761ED"/>
    <w:rsid w:val="00D829EB"/>
    <w:rsid w:val="00D84752"/>
    <w:rsid w:val="00D86851"/>
    <w:rsid w:val="00D86A74"/>
    <w:rsid w:val="00D86B3B"/>
    <w:rsid w:val="00D8748A"/>
    <w:rsid w:val="00D905E4"/>
    <w:rsid w:val="00D910D5"/>
    <w:rsid w:val="00D93196"/>
    <w:rsid w:val="00D931A2"/>
    <w:rsid w:val="00D97393"/>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3816"/>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7049"/>
    <w:rsid w:val="00E4126D"/>
    <w:rsid w:val="00E43FA8"/>
    <w:rsid w:val="00E450A4"/>
    <w:rsid w:val="00E506BE"/>
    <w:rsid w:val="00E518B6"/>
    <w:rsid w:val="00E525B9"/>
    <w:rsid w:val="00E53AE9"/>
    <w:rsid w:val="00E54947"/>
    <w:rsid w:val="00E54ADD"/>
    <w:rsid w:val="00E55547"/>
    <w:rsid w:val="00E55E9B"/>
    <w:rsid w:val="00E57E7C"/>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887"/>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444"/>
    <w:rsid w:val="00EB45AC"/>
    <w:rsid w:val="00EB488B"/>
    <w:rsid w:val="00EB6668"/>
    <w:rsid w:val="00EB6A2F"/>
    <w:rsid w:val="00EC3875"/>
    <w:rsid w:val="00EC549E"/>
    <w:rsid w:val="00EC6290"/>
    <w:rsid w:val="00EC6E55"/>
    <w:rsid w:val="00ED0BC4"/>
    <w:rsid w:val="00ED151E"/>
    <w:rsid w:val="00ED3CDA"/>
    <w:rsid w:val="00ED537A"/>
    <w:rsid w:val="00ED617A"/>
    <w:rsid w:val="00ED63D7"/>
    <w:rsid w:val="00EE1A0E"/>
    <w:rsid w:val="00EE45C6"/>
    <w:rsid w:val="00EE4971"/>
    <w:rsid w:val="00EE5A48"/>
    <w:rsid w:val="00EE5F7D"/>
    <w:rsid w:val="00EE6390"/>
    <w:rsid w:val="00EE7278"/>
    <w:rsid w:val="00EF090E"/>
    <w:rsid w:val="00EF16B6"/>
    <w:rsid w:val="00EF1B1A"/>
    <w:rsid w:val="00EF2D08"/>
    <w:rsid w:val="00EF3F70"/>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3535"/>
    <w:rsid w:val="00F54776"/>
    <w:rsid w:val="00F5524B"/>
    <w:rsid w:val="00F5710B"/>
    <w:rsid w:val="00F61DD2"/>
    <w:rsid w:val="00F62000"/>
    <w:rsid w:val="00F63720"/>
    <w:rsid w:val="00F65C36"/>
    <w:rsid w:val="00F65FB6"/>
    <w:rsid w:val="00F66AFF"/>
    <w:rsid w:val="00F71433"/>
    <w:rsid w:val="00F71CE8"/>
    <w:rsid w:val="00F738B0"/>
    <w:rsid w:val="00F801C5"/>
    <w:rsid w:val="00F824AB"/>
    <w:rsid w:val="00F83231"/>
    <w:rsid w:val="00F851C1"/>
    <w:rsid w:val="00F85A51"/>
    <w:rsid w:val="00F85C0B"/>
    <w:rsid w:val="00F85DB2"/>
    <w:rsid w:val="00F91FA7"/>
    <w:rsid w:val="00F95955"/>
    <w:rsid w:val="00F96AF1"/>
    <w:rsid w:val="00F97C5B"/>
    <w:rsid w:val="00FA29FD"/>
    <w:rsid w:val="00FA2A46"/>
    <w:rsid w:val="00FA3739"/>
    <w:rsid w:val="00FA3D50"/>
    <w:rsid w:val="00FA43E7"/>
    <w:rsid w:val="00FB2C81"/>
    <w:rsid w:val="00FB512A"/>
    <w:rsid w:val="00FB6703"/>
    <w:rsid w:val="00FB7C8F"/>
    <w:rsid w:val="00FB7D52"/>
    <w:rsid w:val="00FB7D6D"/>
    <w:rsid w:val="00FC0A7A"/>
    <w:rsid w:val="00FC2741"/>
    <w:rsid w:val="00FC30E1"/>
    <w:rsid w:val="00FC337F"/>
    <w:rsid w:val="00FC374A"/>
    <w:rsid w:val="00FC4F43"/>
    <w:rsid w:val="00FC5146"/>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15</Pages>
  <Words>5755</Words>
  <Characters>32810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Jodi-Ann Stephenson</cp:lastModifiedBy>
  <cp:revision>4</cp:revision>
  <cp:lastPrinted>2020-06-12T02:43:00Z</cp:lastPrinted>
  <dcterms:created xsi:type="dcterms:W3CDTF">2023-11-15T04:22:00Z</dcterms:created>
  <dcterms:modified xsi:type="dcterms:W3CDTF">2023-11-15T19:46:00Z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