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404E10" w:rsidRDefault="00806382" w:rsidP="00806382">
      <w:pPr>
        <w:pStyle w:val="ListParagraph"/>
        <w:numPr>
          <w:ilvl w:val="0"/>
          <w:numId w:val="15"/>
        </w:numPr>
        <w:ind w:left="425" w:hanging="357"/>
        <w:jc w:val="both"/>
        <w:rPr>
          <w:rFonts w:ascii="Avenir Next" w:hAnsi="Avenir Next" w:cs="Arial"/>
          <w:sz w:val="22"/>
          <w:szCs w:val="22"/>
          <w:highlight w:val="yellow"/>
        </w:rPr>
      </w:pPr>
      <w:r w:rsidRPr="00404E10">
        <w:rPr>
          <w:rFonts w:ascii="Avenir Next" w:hAnsi="Avenir Next" w:cs="Arial"/>
          <w:sz w:val="22"/>
          <w:szCs w:val="22"/>
          <w:highlight w:val="yellow"/>
        </w:rPr>
        <w:t xml:space="preserve">This statement is untrue since the word </w:t>
      </w:r>
      <w:r w:rsidR="00823AB4" w:rsidRPr="00404E10">
        <w:rPr>
          <w:rFonts w:ascii="Avenir Next" w:hAnsi="Avenir Next" w:cs="Arial"/>
          <w:sz w:val="22"/>
          <w:szCs w:val="22"/>
          <w:highlight w:val="yellow"/>
        </w:rPr>
        <w:t>“</w:t>
      </w:r>
      <w:r w:rsidRPr="00404E10">
        <w:rPr>
          <w:rFonts w:ascii="Avenir Next" w:hAnsi="Avenir Next" w:cs="Arial"/>
          <w:sz w:val="22"/>
          <w:szCs w:val="22"/>
          <w:highlight w:val="yellow"/>
        </w:rPr>
        <w:t>bankruptcy</w:t>
      </w:r>
      <w:r w:rsidR="00823AB4" w:rsidRPr="00404E10">
        <w:rPr>
          <w:rFonts w:ascii="Avenir Next" w:hAnsi="Avenir Next" w:cs="Arial"/>
          <w:sz w:val="22"/>
          <w:szCs w:val="22"/>
          <w:highlight w:val="yellow"/>
        </w:rPr>
        <w:t>”</w:t>
      </w:r>
      <w:r w:rsidRPr="00404E10">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404E10" w:rsidRDefault="001211E6" w:rsidP="001211E6">
      <w:pPr>
        <w:pStyle w:val="ListParagraph"/>
        <w:numPr>
          <w:ilvl w:val="0"/>
          <w:numId w:val="16"/>
        </w:numPr>
        <w:ind w:left="426"/>
        <w:jc w:val="both"/>
        <w:rPr>
          <w:rFonts w:ascii="Avenir Next" w:hAnsi="Avenir Next" w:cs="Arial"/>
          <w:sz w:val="22"/>
          <w:szCs w:val="22"/>
          <w:highlight w:val="yellow"/>
        </w:rPr>
      </w:pPr>
      <w:r w:rsidRPr="00404E10">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404E10"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404E10">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404E10"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404E10">
        <w:rPr>
          <w:rFonts w:ascii="Avenir Next" w:hAnsi="Avenir Next" w:cs="Arial"/>
          <w:sz w:val="22"/>
          <w:szCs w:val="22"/>
          <w:highlight w:val="yellow"/>
          <w:lang w:val="en-GB"/>
        </w:rPr>
        <w:t>This statement is incorrect since a statutory discharge of debt was only introduced in 1705 in England.</w:t>
      </w:r>
      <w:r w:rsidRPr="000E6742">
        <w:rPr>
          <w:rFonts w:ascii="Avenir Next" w:hAnsi="Avenir Next" w:cs="Arial"/>
          <w:sz w:val="22"/>
          <w:szCs w:val="22"/>
          <w:lang w:val="en-GB"/>
        </w:rPr>
        <w:t xml:space="preserve">    </w:t>
      </w:r>
      <w:r w:rsidRPr="000E6742">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404E10" w:rsidRDefault="006514CD" w:rsidP="006514CD">
      <w:pPr>
        <w:pStyle w:val="ListParagraph"/>
        <w:numPr>
          <w:ilvl w:val="0"/>
          <w:numId w:val="19"/>
        </w:numPr>
        <w:ind w:left="425" w:hanging="357"/>
        <w:jc w:val="both"/>
        <w:rPr>
          <w:rFonts w:ascii="Avenir Next" w:hAnsi="Avenir Next" w:cs="Arial"/>
          <w:sz w:val="22"/>
          <w:szCs w:val="22"/>
          <w:highlight w:val="yellow"/>
        </w:rPr>
      </w:pPr>
      <w:r w:rsidRPr="00404E10">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404E10"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404E10">
        <w:rPr>
          <w:rFonts w:ascii="Avenir Next" w:eastAsiaTheme="minorHAnsi" w:hAnsi="Avenir Next" w:cs="Arial"/>
          <w:sz w:val="22"/>
          <w:szCs w:val="22"/>
          <w:highlight w:val="yellow"/>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24A2F5F0" w14:textId="77777777" w:rsidR="00B6463A" w:rsidRDefault="00B6463A" w:rsidP="008071D5">
      <w:pPr>
        <w:jc w:val="both"/>
        <w:rPr>
          <w:rFonts w:ascii="Avenir Next Demi Bold" w:hAnsi="Avenir Next Demi Bold" w:cs="Arial"/>
          <w:b/>
          <w:bCs/>
          <w:sz w:val="22"/>
          <w:szCs w:val="22"/>
        </w:rPr>
      </w:pPr>
    </w:p>
    <w:p w14:paraId="7A4344AB" w14:textId="3FE3E3B2"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404E10" w:rsidRDefault="00AD76EF" w:rsidP="00AD76EF">
      <w:pPr>
        <w:pStyle w:val="ListParagraph"/>
        <w:numPr>
          <w:ilvl w:val="0"/>
          <w:numId w:val="17"/>
        </w:numPr>
        <w:ind w:left="426"/>
        <w:jc w:val="both"/>
        <w:rPr>
          <w:rFonts w:ascii="Avenir Next" w:hAnsi="Avenir Next" w:cs="Arial"/>
          <w:sz w:val="22"/>
          <w:szCs w:val="22"/>
          <w:highlight w:val="yellow"/>
        </w:rPr>
      </w:pPr>
      <w:r w:rsidRPr="00404E10">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404E10"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404E10">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404E10" w:rsidRDefault="009661DE" w:rsidP="009661DE">
      <w:pPr>
        <w:pStyle w:val="ListParagraph"/>
        <w:numPr>
          <w:ilvl w:val="0"/>
          <w:numId w:val="23"/>
        </w:numPr>
        <w:ind w:left="426"/>
        <w:jc w:val="both"/>
        <w:rPr>
          <w:rFonts w:ascii="Avenir Next" w:hAnsi="Avenir Next" w:cs="Arial"/>
          <w:sz w:val="22"/>
          <w:szCs w:val="22"/>
          <w:highlight w:val="yellow"/>
        </w:rPr>
      </w:pPr>
      <w:r w:rsidRPr="00404E10">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5E4FFA" w:rsidRDefault="003B3A0D" w:rsidP="003B3A0D">
      <w:pPr>
        <w:pStyle w:val="ListParagraph"/>
        <w:numPr>
          <w:ilvl w:val="0"/>
          <w:numId w:val="24"/>
        </w:numPr>
        <w:ind w:left="426"/>
        <w:jc w:val="both"/>
        <w:rPr>
          <w:rFonts w:ascii="Avenir Next" w:hAnsi="Avenir Next" w:cs="Arial"/>
          <w:sz w:val="22"/>
          <w:szCs w:val="22"/>
          <w:highlight w:val="yellow"/>
        </w:rPr>
      </w:pPr>
      <w:r w:rsidRPr="005E4FFA">
        <w:rPr>
          <w:rFonts w:ascii="Avenir Next" w:hAnsi="Avenir Next" w:cs="Arial"/>
          <w:sz w:val="22"/>
          <w:szCs w:val="22"/>
          <w:highlight w:val="yellow"/>
        </w:rPr>
        <w:t xml:space="preserve">This statement is untrue because universalism corresponds well to </w:t>
      </w:r>
      <w:proofErr w:type="spellStart"/>
      <w:r w:rsidRPr="005E4FFA">
        <w:rPr>
          <w:rFonts w:ascii="Avenir Next" w:hAnsi="Avenir Next" w:cs="Arial"/>
          <w:sz w:val="22"/>
          <w:szCs w:val="22"/>
          <w:highlight w:val="yellow"/>
        </w:rPr>
        <w:t>globali</w:t>
      </w:r>
      <w:r w:rsidR="00142E15" w:rsidRPr="005E4FFA">
        <w:rPr>
          <w:rFonts w:ascii="Avenir Next" w:hAnsi="Avenir Next" w:cs="Arial"/>
          <w:sz w:val="22"/>
          <w:szCs w:val="22"/>
          <w:highlight w:val="yellow"/>
        </w:rPr>
        <w:t>s</w:t>
      </w:r>
      <w:r w:rsidRPr="005E4FFA">
        <w:rPr>
          <w:rFonts w:ascii="Avenir Next" w:hAnsi="Avenir Next" w:cs="Arial"/>
          <w:sz w:val="22"/>
          <w:szCs w:val="22"/>
          <w:highlight w:val="yellow"/>
        </w:rPr>
        <w:t>ation</w:t>
      </w:r>
      <w:proofErr w:type="spellEnd"/>
      <w:r w:rsidRPr="005E4FFA">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Default="00CC5ECB" w:rsidP="008071D5">
      <w:pPr>
        <w:jc w:val="both"/>
        <w:rPr>
          <w:rFonts w:ascii="Avenir Next" w:hAnsi="Avenir Next" w:cs="Arial"/>
          <w:b/>
          <w:sz w:val="22"/>
          <w:szCs w:val="22"/>
        </w:rPr>
      </w:pPr>
    </w:p>
    <w:p w14:paraId="156D0D34" w14:textId="77777777" w:rsidR="00B6463A" w:rsidRDefault="00B6463A" w:rsidP="008071D5">
      <w:pPr>
        <w:jc w:val="both"/>
        <w:rPr>
          <w:rFonts w:ascii="Avenir Next" w:hAnsi="Avenir Next" w:cs="Arial"/>
          <w:b/>
          <w:sz w:val="22"/>
          <w:szCs w:val="22"/>
        </w:rPr>
      </w:pPr>
    </w:p>
    <w:p w14:paraId="088F33C0" w14:textId="77777777" w:rsidR="00B6463A" w:rsidRDefault="00B6463A" w:rsidP="008071D5">
      <w:pPr>
        <w:jc w:val="both"/>
        <w:rPr>
          <w:rFonts w:ascii="Avenir Next" w:hAnsi="Avenir Next" w:cs="Arial"/>
          <w:b/>
          <w:sz w:val="22"/>
          <w:szCs w:val="22"/>
        </w:rPr>
      </w:pPr>
    </w:p>
    <w:p w14:paraId="1E8BCA3F" w14:textId="77777777" w:rsidR="00B6463A" w:rsidRPr="003B3A0D" w:rsidRDefault="00B6463A"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144FDAAB" w14:textId="25E056E6" w:rsidR="00210CC1" w:rsidRPr="004D4BAB" w:rsidRDefault="00210CC1" w:rsidP="00692852">
      <w:pPr>
        <w:jc w:val="both"/>
        <w:rPr>
          <w:rFonts w:ascii="Arial" w:hAnsi="Arial" w:cs="Arial"/>
          <w:color w:val="808080" w:themeColor="background1" w:themeShade="80"/>
          <w:sz w:val="22"/>
          <w:szCs w:val="22"/>
          <w:lang w:val="en-GB"/>
        </w:rPr>
      </w:pPr>
      <w:r w:rsidRPr="004D4BAB">
        <w:rPr>
          <w:rFonts w:ascii="Arial" w:hAnsi="Arial" w:cs="Arial"/>
          <w:color w:val="808080" w:themeColor="background1" w:themeShade="80"/>
          <w:sz w:val="22"/>
          <w:szCs w:val="22"/>
          <w:lang w:val="en-GB"/>
        </w:rPr>
        <w:t>There are different classifications for a country’s legal system. However, they can (broadly) be said to be based on either civil law or English law.</w:t>
      </w:r>
      <w:r w:rsidR="009E5564" w:rsidRPr="004D4BAB">
        <w:rPr>
          <w:rFonts w:ascii="Arial" w:hAnsi="Arial" w:cs="Arial"/>
          <w:color w:val="808080" w:themeColor="background1" w:themeShade="80"/>
          <w:sz w:val="22"/>
          <w:szCs w:val="22"/>
          <w:lang w:val="en-GB"/>
        </w:rPr>
        <w:t xml:space="preserve"> Notwithstanding this distinction in classification, the history of </w:t>
      </w:r>
      <w:r w:rsidR="00647054" w:rsidRPr="004D4BAB">
        <w:rPr>
          <w:rFonts w:ascii="Arial" w:hAnsi="Arial" w:cs="Arial"/>
          <w:color w:val="808080" w:themeColor="background1" w:themeShade="80"/>
          <w:sz w:val="22"/>
          <w:szCs w:val="22"/>
          <w:lang w:val="en-GB"/>
        </w:rPr>
        <w:t>most</w:t>
      </w:r>
      <w:r w:rsidR="009E5564" w:rsidRPr="004D4BAB">
        <w:rPr>
          <w:rFonts w:ascii="Arial" w:hAnsi="Arial" w:cs="Arial"/>
          <w:color w:val="808080" w:themeColor="background1" w:themeShade="80"/>
          <w:sz w:val="22"/>
          <w:szCs w:val="22"/>
          <w:lang w:val="en-GB"/>
        </w:rPr>
        <w:t xml:space="preserve"> legal systems</w:t>
      </w:r>
      <w:r w:rsidR="00647054" w:rsidRPr="004D4BAB">
        <w:rPr>
          <w:rFonts w:ascii="Arial" w:hAnsi="Arial" w:cs="Arial"/>
          <w:color w:val="808080" w:themeColor="background1" w:themeShade="80"/>
          <w:sz w:val="22"/>
          <w:szCs w:val="22"/>
          <w:lang w:val="en-GB"/>
        </w:rPr>
        <w:t>’ insolvency law began with simple individual debt collecting mechanism</w:t>
      </w:r>
      <w:r w:rsidR="00111F34">
        <w:rPr>
          <w:rFonts w:ascii="Arial" w:hAnsi="Arial" w:cs="Arial"/>
          <w:color w:val="808080" w:themeColor="background1" w:themeShade="80"/>
          <w:sz w:val="22"/>
          <w:szCs w:val="22"/>
          <w:lang w:val="en-GB"/>
        </w:rPr>
        <w:t>s</w:t>
      </w:r>
      <w:r w:rsidR="00647054" w:rsidRPr="004D4BAB">
        <w:rPr>
          <w:rFonts w:ascii="Arial" w:hAnsi="Arial" w:cs="Arial"/>
          <w:color w:val="808080" w:themeColor="background1" w:themeShade="80"/>
          <w:sz w:val="22"/>
          <w:szCs w:val="22"/>
          <w:lang w:val="en-GB"/>
        </w:rPr>
        <w:t xml:space="preserve"> (and likely imprisonment for the debtor) and developed into a modern-day collective debt collecting procedure.</w:t>
      </w:r>
      <w:r w:rsidR="000B3D20">
        <w:rPr>
          <w:rStyle w:val="FootnoteReference"/>
          <w:rFonts w:ascii="Arial" w:hAnsi="Arial" w:cs="Arial"/>
          <w:color w:val="808080" w:themeColor="background1" w:themeShade="80"/>
          <w:sz w:val="22"/>
          <w:szCs w:val="22"/>
          <w:lang w:val="en-GB"/>
        </w:rPr>
        <w:footnoteReference w:id="1"/>
      </w:r>
    </w:p>
    <w:p w14:paraId="07A55E2E" w14:textId="77777777" w:rsidR="00396358" w:rsidRDefault="00396358" w:rsidP="00692852">
      <w:pPr>
        <w:jc w:val="both"/>
        <w:rPr>
          <w:rFonts w:ascii="Arial" w:hAnsi="Arial" w:cs="Arial"/>
          <w:color w:val="808080" w:themeColor="background1" w:themeShade="80"/>
          <w:sz w:val="22"/>
          <w:szCs w:val="22"/>
          <w:lang w:val="en-GB"/>
        </w:rPr>
      </w:pPr>
    </w:p>
    <w:p w14:paraId="5E5A4AE0" w14:textId="4F4E3DCA" w:rsidR="00EE5BD0" w:rsidRPr="004D4BAB" w:rsidRDefault="00210CC1" w:rsidP="00692852">
      <w:pPr>
        <w:jc w:val="both"/>
        <w:rPr>
          <w:rFonts w:ascii="Arial" w:hAnsi="Arial" w:cs="Arial"/>
          <w:color w:val="808080" w:themeColor="background1" w:themeShade="80"/>
          <w:sz w:val="22"/>
          <w:szCs w:val="22"/>
          <w:lang w:val="en-GB"/>
        </w:rPr>
      </w:pPr>
      <w:r w:rsidRPr="004D4BAB">
        <w:rPr>
          <w:rFonts w:ascii="Arial" w:hAnsi="Arial" w:cs="Arial"/>
          <w:color w:val="808080" w:themeColor="background1" w:themeShade="80"/>
          <w:sz w:val="22"/>
          <w:szCs w:val="22"/>
          <w:lang w:val="en-GB"/>
        </w:rPr>
        <w:t>An example of a country whose insolvency system has historical roots in civil law would be the Netherlands. Dutch</w:t>
      </w:r>
      <w:r w:rsidR="007A40F5" w:rsidRPr="004D4BAB">
        <w:rPr>
          <w:rFonts w:ascii="Arial" w:hAnsi="Arial" w:cs="Arial"/>
          <w:color w:val="808080" w:themeColor="background1" w:themeShade="80"/>
          <w:sz w:val="22"/>
          <w:szCs w:val="22"/>
          <w:lang w:val="en-GB"/>
        </w:rPr>
        <w:t xml:space="preserve"> insolvency</w:t>
      </w:r>
      <w:r w:rsidRPr="004D4BAB">
        <w:rPr>
          <w:rFonts w:ascii="Arial" w:hAnsi="Arial" w:cs="Arial"/>
          <w:color w:val="808080" w:themeColor="background1" w:themeShade="80"/>
          <w:sz w:val="22"/>
          <w:szCs w:val="22"/>
          <w:lang w:val="en-GB"/>
        </w:rPr>
        <w:t xml:space="preserve"> law historically had (</w:t>
      </w:r>
      <w:proofErr w:type="gramStart"/>
      <w:r w:rsidRPr="004D4BAB">
        <w:rPr>
          <w:rFonts w:ascii="Arial" w:hAnsi="Arial" w:cs="Arial"/>
          <w:color w:val="808080" w:themeColor="background1" w:themeShade="80"/>
          <w:sz w:val="22"/>
          <w:szCs w:val="22"/>
          <w:lang w:val="en-GB"/>
        </w:rPr>
        <w:t>similar to</w:t>
      </w:r>
      <w:proofErr w:type="gramEnd"/>
      <w:r w:rsidRPr="004D4BAB">
        <w:rPr>
          <w:rFonts w:ascii="Arial" w:hAnsi="Arial" w:cs="Arial"/>
          <w:color w:val="808080" w:themeColor="background1" w:themeShade="80"/>
          <w:sz w:val="22"/>
          <w:szCs w:val="22"/>
          <w:lang w:val="en-GB"/>
        </w:rPr>
        <w:t xml:space="preserve"> many of its </w:t>
      </w:r>
      <w:r w:rsidR="009E5564" w:rsidRPr="004D4BAB">
        <w:rPr>
          <w:rFonts w:ascii="Arial" w:hAnsi="Arial" w:cs="Arial"/>
          <w:color w:val="808080" w:themeColor="background1" w:themeShade="80"/>
          <w:sz w:val="22"/>
          <w:szCs w:val="22"/>
          <w:lang w:val="en-GB"/>
        </w:rPr>
        <w:t xml:space="preserve">European </w:t>
      </w:r>
      <w:r w:rsidRPr="004D4BAB">
        <w:rPr>
          <w:rFonts w:ascii="Arial" w:hAnsi="Arial" w:cs="Arial"/>
          <w:color w:val="808080" w:themeColor="background1" w:themeShade="80"/>
          <w:sz w:val="22"/>
          <w:szCs w:val="22"/>
          <w:lang w:val="en-GB"/>
        </w:rPr>
        <w:t xml:space="preserve">contemporaries) been pro-creditor where a more conservative approach was adopted towards granting a discharge of debt to a debtor. </w:t>
      </w:r>
      <w:r w:rsidR="00111F34">
        <w:rPr>
          <w:rFonts w:ascii="Arial" w:hAnsi="Arial" w:cs="Arial"/>
          <w:color w:val="808080" w:themeColor="background1" w:themeShade="80"/>
          <w:sz w:val="22"/>
          <w:szCs w:val="22"/>
          <w:lang w:val="en-GB"/>
        </w:rPr>
        <w:t>Historically</w:t>
      </w:r>
      <w:r w:rsidRPr="004D4BAB">
        <w:rPr>
          <w:rFonts w:ascii="Arial" w:hAnsi="Arial" w:cs="Arial"/>
          <w:color w:val="808080" w:themeColor="background1" w:themeShade="80"/>
          <w:sz w:val="22"/>
          <w:szCs w:val="22"/>
          <w:lang w:val="en-GB"/>
        </w:rPr>
        <w:t xml:space="preserve">, no such discharge was allowed unless </w:t>
      </w:r>
      <w:r w:rsidR="00AA0409" w:rsidRPr="004D4BAB">
        <w:rPr>
          <w:rFonts w:ascii="Arial" w:hAnsi="Arial" w:cs="Arial"/>
          <w:color w:val="808080" w:themeColor="background1" w:themeShade="80"/>
          <w:sz w:val="22"/>
          <w:szCs w:val="22"/>
          <w:lang w:val="en-GB"/>
        </w:rPr>
        <w:t>with the consent of creditors</w:t>
      </w:r>
      <w:r w:rsidRPr="004D4BAB">
        <w:rPr>
          <w:rFonts w:ascii="Arial" w:hAnsi="Arial" w:cs="Arial"/>
          <w:color w:val="808080" w:themeColor="background1" w:themeShade="80"/>
          <w:sz w:val="22"/>
          <w:szCs w:val="22"/>
          <w:lang w:val="en-GB"/>
        </w:rPr>
        <w:t xml:space="preserve">. However, as time progressed, the position changed. </w:t>
      </w:r>
      <w:r w:rsidR="00EE5BD0" w:rsidRPr="004D4BAB">
        <w:rPr>
          <w:rFonts w:ascii="Arial" w:hAnsi="Arial" w:cs="Arial"/>
          <w:color w:val="808080" w:themeColor="background1" w:themeShade="80"/>
          <w:sz w:val="22"/>
          <w:szCs w:val="22"/>
          <w:lang w:val="en-GB"/>
        </w:rPr>
        <w:t>It was not until the Research Commission’s findings which gave rise to “</w:t>
      </w:r>
      <w:proofErr w:type="spellStart"/>
      <w:r w:rsidR="00EE5BD0" w:rsidRPr="004D4BAB">
        <w:rPr>
          <w:rFonts w:ascii="Arial" w:hAnsi="Arial" w:cs="Arial"/>
          <w:color w:val="808080" w:themeColor="background1" w:themeShade="80"/>
          <w:sz w:val="22"/>
          <w:szCs w:val="22"/>
          <w:lang w:val="en-GB"/>
        </w:rPr>
        <w:t>Schuldsaneringswet</w:t>
      </w:r>
      <w:proofErr w:type="spellEnd"/>
      <w:r w:rsidR="00EE5BD0" w:rsidRPr="004D4BAB">
        <w:rPr>
          <w:rFonts w:ascii="Arial" w:hAnsi="Arial" w:cs="Arial"/>
          <w:color w:val="808080" w:themeColor="background1" w:themeShade="80"/>
          <w:sz w:val="22"/>
          <w:szCs w:val="22"/>
          <w:lang w:val="en-GB"/>
        </w:rPr>
        <w:t>” which enabled discharge of debtors.</w:t>
      </w:r>
      <w:r w:rsidR="00396358">
        <w:rPr>
          <w:rStyle w:val="FootnoteReference"/>
          <w:rFonts w:ascii="Arial" w:hAnsi="Arial" w:cs="Arial"/>
          <w:color w:val="808080" w:themeColor="background1" w:themeShade="80"/>
          <w:sz w:val="22"/>
          <w:szCs w:val="22"/>
          <w:lang w:val="en-GB"/>
        </w:rPr>
        <w:footnoteReference w:id="2"/>
      </w:r>
      <w:r w:rsidR="004D4BAB" w:rsidRPr="004D4BAB">
        <w:rPr>
          <w:rFonts w:ascii="Arial" w:hAnsi="Arial" w:cs="Arial"/>
          <w:color w:val="808080" w:themeColor="background1" w:themeShade="80"/>
          <w:sz w:val="22"/>
          <w:szCs w:val="22"/>
          <w:lang w:val="en-GB"/>
        </w:rPr>
        <w:t xml:space="preserve"> Despite a more liberal approach to discharge (than historically), the</w:t>
      </w:r>
      <w:r w:rsidR="00111F34">
        <w:rPr>
          <w:rFonts w:ascii="Arial" w:hAnsi="Arial" w:cs="Arial"/>
          <w:color w:val="808080" w:themeColor="background1" w:themeShade="80"/>
          <w:sz w:val="22"/>
          <w:szCs w:val="22"/>
          <w:lang w:val="en-GB"/>
        </w:rPr>
        <w:t xml:space="preserve"> modern</w:t>
      </w:r>
      <w:r w:rsidR="004D4BAB" w:rsidRPr="004D4BAB">
        <w:rPr>
          <w:rFonts w:ascii="Arial" w:hAnsi="Arial" w:cs="Arial"/>
          <w:color w:val="808080" w:themeColor="background1" w:themeShade="80"/>
          <w:sz w:val="22"/>
          <w:szCs w:val="22"/>
          <w:lang w:val="en-GB"/>
        </w:rPr>
        <w:t xml:space="preserve"> Dutch system is still considered creditor friendly.</w:t>
      </w:r>
    </w:p>
    <w:p w14:paraId="39021A4D" w14:textId="77777777" w:rsidR="001A4B4C" w:rsidRPr="004D4BAB" w:rsidRDefault="001A4B4C" w:rsidP="00692852">
      <w:pPr>
        <w:jc w:val="both"/>
        <w:rPr>
          <w:rFonts w:ascii="Arial" w:hAnsi="Arial" w:cs="Arial"/>
          <w:color w:val="808080" w:themeColor="background1" w:themeShade="80"/>
          <w:sz w:val="22"/>
          <w:szCs w:val="22"/>
          <w:lang w:val="en-GB"/>
        </w:rPr>
      </w:pPr>
    </w:p>
    <w:p w14:paraId="41B75AE5" w14:textId="2E3D209A" w:rsidR="00EE5BD0" w:rsidRPr="004D4BAB" w:rsidRDefault="00AA0409" w:rsidP="00692852">
      <w:pPr>
        <w:jc w:val="both"/>
        <w:rPr>
          <w:rFonts w:ascii="Arial" w:hAnsi="Arial" w:cs="Arial"/>
          <w:color w:val="808080" w:themeColor="background1" w:themeShade="80"/>
          <w:sz w:val="22"/>
          <w:szCs w:val="22"/>
          <w:lang w:val="en-GB"/>
        </w:rPr>
      </w:pPr>
      <w:r w:rsidRPr="004D4BAB">
        <w:rPr>
          <w:rFonts w:ascii="Arial" w:hAnsi="Arial" w:cs="Arial"/>
          <w:color w:val="808080" w:themeColor="background1" w:themeShade="80"/>
          <w:sz w:val="22"/>
          <w:szCs w:val="22"/>
          <w:lang w:val="en-GB"/>
        </w:rPr>
        <w:t xml:space="preserve">Modern Dutch insolvency proceedings can be divided into three main </w:t>
      </w:r>
      <w:r w:rsidR="00111F34">
        <w:rPr>
          <w:rFonts w:ascii="Arial" w:hAnsi="Arial" w:cs="Arial"/>
          <w:color w:val="808080" w:themeColor="background1" w:themeShade="80"/>
          <w:sz w:val="22"/>
          <w:szCs w:val="22"/>
          <w:lang w:val="en-GB"/>
        </w:rPr>
        <w:t>categories</w:t>
      </w:r>
      <w:r w:rsidRPr="004D4BAB">
        <w:rPr>
          <w:rFonts w:ascii="Arial" w:hAnsi="Arial" w:cs="Arial"/>
          <w:color w:val="808080" w:themeColor="background1" w:themeShade="80"/>
          <w:sz w:val="22"/>
          <w:szCs w:val="22"/>
          <w:lang w:val="en-GB"/>
        </w:rPr>
        <w:t>: personal insolvency</w:t>
      </w:r>
      <w:r w:rsidR="00111F34">
        <w:rPr>
          <w:rFonts w:ascii="Arial" w:hAnsi="Arial" w:cs="Arial"/>
          <w:color w:val="808080" w:themeColor="background1" w:themeShade="80"/>
          <w:sz w:val="22"/>
          <w:szCs w:val="22"/>
          <w:lang w:val="en-GB"/>
        </w:rPr>
        <w:t xml:space="preserve"> and </w:t>
      </w:r>
      <w:r w:rsidRPr="004D4BAB">
        <w:rPr>
          <w:rFonts w:ascii="Arial" w:hAnsi="Arial" w:cs="Arial"/>
          <w:color w:val="808080" w:themeColor="background1" w:themeShade="80"/>
          <w:sz w:val="22"/>
          <w:szCs w:val="22"/>
          <w:lang w:val="en-GB"/>
        </w:rPr>
        <w:t xml:space="preserve">corporate insolvency (which itself can be divided into insolvencies aimed at liquidation </w:t>
      </w:r>
      <w:r w:rsidR="00111F34">
        <w:rPr>
          <w:rFonts w:ascii="Arial" w:hAnsi="Arial" w:cs="Arial"/>
          <w:color w:val="808080" w:themeColor="background1" w:themeShade="80"/>
          <w:sz w:val="22"/>
          <w:szCs w:val="22"/>
          <w:lang w:val="en-GB"/>
        </w:rPr>
        <w:t>or</w:t>
      </w:r>
      <w:r w:rsidRPr="004D4BAB">
        <w:rPr>
          <w:rFonts w:ascii="Arial" w:hAnsi="Arial" w:cs="Arial"/>
          <w:color w:val="808080" w:themeColor="background1" w:themeShade="80"/>
          <w:sz w:val="22"/>
          <w:szCs w:val="22"/>
          <w:lang w:val="en-GB"/>
        </w:rPr>
        <w:t xml:space="preserve"> rescue/continuation</w:t>
      </w:r>
      <w:r w:rsidR="00111F34">
        <w:rPr>
          <w:rFonts w:ascii="Arial" w:hAnsi="Arial" w:cs="Arial"/>
          <w:color w:val="808080" w:themeColor="background1" w:themeShade="80"/>
          <w:sz w:val="22"/>
          <w:szCs w:val="22"/>
          <w:lang w:val="en-GB"/>
        </w:rPr>
        <w:t>).</w:t>
      </w:r>
      <w:r w:rsidR="00EE5BD0" w:rsidRPr="004D4BAB">
        <w:rPr>
          <w:rStyle w:val="FootnoteReference"/>
          <w:rFonts w:ascii="Arial" w:hAnsi="Arial" w:cs="Arial"/>
          <w:color w:val="808080" w:themeColor="background1" w:themeShade="80"/>
          <w:sz w:val="22"/>
          <w:szCs w:val="22"/>
          <w:lang w:val="en-GB"/>
        </w:rPr>
        <w:footnoteReference w:id="3"/>
      </w:r>
      <w:r w:rsidR="004D4BAB" w:rsidRPr="004D4BAB">
        <w:rPr>
          <w:rFonts w:ascii="Arial" w:hAnsi="Arial" w:cs="Arial"/>
          <w:color w:val="808080" w:themeColor="background1" w:themeShade="80"/>
          <w:sz w:val="22"/>
          <w:szCs w:val="22"/>
          <w:lang w:val="en-GB"/>
        </w:rPr>
        <w:t xml:space="preserve"> </w:t>
      </w:r>
      <w:r w:rsidRPr="004D4BAB">
        <w:rPr>
          <w:rFonts w:ascii="Arial" w:hAnsi="Arial" w:cs="Arial"/>
          <w:color w:val="808080" w:themeColor="background1" w:themeShade="80"/>
          <w:sz w:val="22"/>
          <w:szCs w:val="22"/>
          <w:lang w:val="en-GB"/>
        </w:rPr>
        <w:t>The Dutch Bankruptcy Act</w:t>
      </w:r>
      <w:r w:rsidR="001A4B4C" w:rsidRPr="004D4BAB">
        <w:rPr>
          <w:rFonts w:ascii="Arial" w:hAnsi="Arial" w:cs="Arial"/>
          <w:color w:val="808080" w:themeColor="background1" w:themeShade="80"/>
          <w:sz w:val="22"/>
          <w:szCs w:val="22"/>
          <w:lang w:val="en-GB"/>
        </w:rPr>
        <w:t xml:space="preserve"> (“</w:t>
      </w:r>
      <w:proofErr w:type="spellStart"/>
      <w:r w:rsidR="001A4B4C" w:rsidRPr="004D4BAB">
        <w:rPr>
          <w:rFonts w:ascii="Arial" w:hAnsi="Arial" w:cs="Arial"/>
          <w:color w:val="808080" w:themeColor="background1" w:themeShade="80"/>
          <w:sz w:val="22"/>
          <w:szCs w:val="22"/>
          <w:lang w:val="en-GB"/>
        </w:rPr>
        <w:t>Faillissementswet</w:t>
      </w:r>
      <w:proofErr w:type="spellEnd"/>
      <w:r w:rsidR="001A4B4C" w:rsidRPr="004D4BAB">
        <w:rPr>
          <w:rFonts w:ascii="Arial" w:hAnsi="Arial" w:cs="Arial"/>
          <w:color w:val="808080" w:themeColor="background1" w:themeShade="80"/>
          <w:sz w:val="22"/>
          <w:szCs w:val="22"/>
          <w:lang w:val="en-GB"/>
        </w:rPr>
        <w:t xml:space="preserve">”) </w:t>
      </w:r>
      <w:r w:rsidR="00EF314B">
        <w:rPr>
          <w:rFonts w:ascii="Arial" w:hAnsi="Arial" w:cs="Arial"/>
          <w:color w:val="808080" w:themeColor="background1" w:themeShade="80"/>
          <w:sz w:val="22"/>
          <w:szCs w:val="22"/>
          <w:lang w:val="en-GB"/>
        </w:rPr>
        <w:t>(which deals with both individual and corporate insolvency</w:t>
      </w:r>
      <w:proofErr w:type="gramStart"/>
      <w:r w:rsidR="00EF314B">
        <w:rPr>
          <w:rFonts w:ascii="Arial" w:hAnsi="Arial" w:cs="Arial"/>
          <w:color w:val="808080" w:themeColor="background1" w:themeShade="80"/>
          <w:sz w:val="22"/>
          <w:szCs w:val="22"/>
          <w:lang w:val="en-GB"/>
        </w:rPr>
        <w:t>)</w:t>
      </w:r>
      <w:proofErr w:type="gramEnd"/>
      <w:r w:rsidR="00EF314B">
        <w:rPr>
          <w:rFonts w:ascii="Arial" w:hAnsi="Arial" w:cs="Arial"/>
          <w:color w:val="808080" w:themeColor="background1" w:themeShade="80"/>
          <w:sz w:val="22"/>
          <w:szCs w:val="22"/>
          <w:lang w:val="en-GB"/>
        </w:rPr>
        <w:t xml:space="preserve"> </w:t>
      </w:r>
      <w:r w:rsidRPr="004D4BAB">
        <w:rPr>
          <w:rFonts w:ascii="Arial" w:hAnsi="Arial" w:cs="Arial"/>
          <w:color w:val="808080" w:themeColor="background1" w:themeShade="80"/>
          <w:sz w:val="22"/>
          <w:szCs w:val="22"/>
          <w:lang w:val="en-GB"/>
        </w:rPr>
        <w:t xml:space="preserve">and the European insolvency regime are the primary legal frameworks which govern Dutch insolvency law. </w:t>
      </w:r>
      <w:r w:rsidR="00EE5BD0" w:rsidRPr="004D4BAB">
        <w:rPr>
          <w:rFonts w:ascii="Arial" w:hAnsi="Arial" w:cs="Arial"/>
          <w:color w:val="808080" w:themeColor="background1" w:themeShade="80"/>
          <w:sz w:val="22"/>
          <w:szCs w:val="22"/>
          <w:lang w:val="en-GB"/>
        </w:rPr>
        <w:t>A recent development to the Dutch insolvency regime is the Act on Court Confirmation of Extrajudicial Restructuring Plans</w:t>
      </w:r>
      <w:r w:rsidR="004D4BAB" w:rsidRPr="004D4BAB">
        <w:rPr>
          <w:rFonts w:ascii="Arial" w:hAnsi="Arial" w:cs="Arial"/>
          <w:color w:val="808080" w:themeColor="background1" w:themeShade="80"/>
          <w:sz w:val="22"/>
          <w:szCs w:val="22"/>
          <w:lang w:val="en-GB"/>
        </w:rPr>
        <w:t xml:space="preserve"> (“</w:t>
      </w:r>
      <w:r w:rsidR="004D4BAB" w:rsidRPr="004D4BAB">
        <w:rPr>
          <w:rFonts w:ascii="Arial" w:hAnsi="Arial" w:cs="Arial"/>
          <w:b/>
          <w:bCs/>
          <w:color w:val="808080" w:themeColor="background1" w:themeShade="80"/>
          <w:sz w:val="22"/>
          <w:szCs w:val="22"/>
          <w:lang w:val="en-GB"/>
        </w:rPr>
        <w:t>Dutch Scheme</w:t>
      </w:r>
      <w:r w:rsidR="004D4BAB" w:rsidRPr="004D4BAB">
        <w:rPr>
          <w:rFonts w:ascii="Arial" w:hAnsi="Arial" w:cs="Arial"/>
          <w:color w:val="808080" w:themeColor="background1" w:themeShade="80"/>
          <w:sz w:val="22"/>
          <w:szCs w:val="22"/>
          <w:lang w:val="en-GB"/>
        </w:rPr>
        <w:t>”)</w:t>
      </w:r>
      <w:r w:rsidR="00EF314B">
        <w:rPr>
          <w:rFonts w:ascii="Arial" w:hAnsi="Arial" w:cs="Arial"/>
          <w:color w:val="808080" w:themeColor="background1" w:themeShade="80"/>
          <w:sz w:val="22"/>
          <w:szCs w:val="22"/>
          <w:lang w:val="en-GB"/>
        </w:rPr>
        <w:t xml:space="preserve">. The Dutch Scheme </w:t>
      </w:r>
      <w:r w:rsidR="00EE5BD0" w:rsidRPr="004D4BAB">
        <w:rPr>
          <w:rFonts w:ascii="Arial" w:hAnsi="Arial" w:cs="Arial"/>
          <w:color w:val="808080" w:themeColor="background1" w:themeShade="80"/>
          <w:sz w:val="22"/>
          <w:szCs w:val="22"/>
          <w:lang w:val="en-GB"/>
        </w:rPr>
        <w:t>entered into force</w:t>
      </w:r>
      <w:r w:rsidR="004D4BAB" w:rsidRPr="004D4BAB">
        <w:rPr>
          <w:rFonts w:ascii="Arial" w:hAnsi="Arial" w:cs="Arial"/>
          <w:color w:val="808080" w:themeColor="background1" w:themeShade="80"/>
          <w:sz w:val="22"/>
          <w:szCs w:val="22"/>
          <w:lang w:val="en-GB"/>
        </w:rPr>
        <w:t xml:space="preserve"> on 1 January 2021. In short, the Dutch Scheme enables a business to restructure debt via a plan whilst continuing trade.</w:t>
      </w:r>
      <w:r w:rsidR="004D4BAB" w:rsidRPr="004D4BAB">
        <w:rPr>
          <w:rStyle w:val="FootnoteReference"/>
          <w:rFonts w:ascii="Arial" w:hAnsi="Arial" w:cs="Arial"/>
          <w:color w:val="808080" w:themeColor="background1" w:themeShade="80"/>
          <w:sz w:val="22"/>
          <w:szCs w:val="22"/>
          <w:lang w:val="en-GB"/>
        </w:rPr>
        <w:footnoteReference w:id="4"/>
      </w:r>
      <w:r w:rsidR="004D4BAB" w:rsidRPr="004D4BAB">
        <w:rPr>
          <w:rFonts w:ascii="Arial" w:hAnsi="Arial" w:cs="Arial"/>
          <w:color w:val="808080" w:themeColor="background1" w:themeShade="80"/>
          <w:sz w:val="22"/>
          <w:szCs w:val="22"/>
          <w:lang w:val="en-GB"/>
        </w:rPr>
        <w:t xml:space="preserve"> This is a slight shift towards making the Dutch system more </w:t>
      </w:r>
      <w:proofErr w:type="gramStart"/>
      <w:r w:rsidR="004D4BAB" w:rsidRPr="004D4BAB">
        <w:rPr>
          <w:rFonts w:ascii="Arial" w:hAnsi="Arial" w:cs="Arial"/>
          <w:color w:val="808080" w:themeColor="background1" w:themeShade="80"/>
          <w:sz w:val="22"/>
          <w:szCs w:val="22"/>
          <w:lang w:val="en-GB"/>
        </w:rPr>
        <w:t>debtor-friendly</w:t>
      </w:r>
      <w:proofErr w:type="gramEnd"/>
      <w:r w:rsidR="004D4BAB" w:rsidRPr="004D4BAB">
        <w:rPr>
          <w:rFonts w:ascii="Arial" w:hAnsi="Arial" w:cs="Arial"/>
          <w:color w:val="808080" w:themeColor="background1" w:themeShade="80"/>
          <w:sz w:val="22"/>
          <w:szCs w:val="22"/>
          <w:lang w:val="en-GB"/>
        </w:rPr>
        <w:t>.</w:t>
      </w:r>
    </w:p>
    <w:p w14:paraId="1420BFE6" w14:textId="77777777" w:rsidR="009272CF" w:rsidRDefault="009272CF" w:rsidP="00692852">
      <w:pPr>
        <w:jc w:val="both"/>
        <w:rPr>
          <w:rFonts w:ascii="Arial" w:hAnsi="Arial" w:cs="Arial"/>
          <w:color w:val="808080" w:themeColor="background1" w:themeShade="80"/>
          <w:sz w:val="22"/>
          <w:szCs w:val="22"/>
          <w:lang w:val="en-GB"/>
        </w:rPr>
      </w:pPr>
    </w:p>
    <w:p w14:paraId="30849950" w14:textId="44D7442D" w:rsidR="000E433D" w:rsidRPr="004D4BAB" w:rsidRDefault="00647054" w:rsidP="00692852">
      <w:pPr>
        <w:jc w:val="both"/>
        <w:rPr>
          <w:rFonts w:ascii="Arial" w:hAnsi="Arial" w:cs="Arial"/>
          <w:color w:val="808080" w:themeColor="background1" w:themeShade="80"/>
          <w:sz w:val="22"/>
          <w:szCs w:val="22"/>
          <w:lang w:val="en-GB"/>
        </w:rPr>
      </w:pPr>
      <w:r w:rsidRPr="004D4BAB">
        <w:rPr>
          <w:rFonts w:ascii="Arial" w:hAnsi="Arial" w:cs="Arial"/>
          <w:color w:val="808080" w:themeColor="background1" w:themeShade="80"/>
          <w:sz w:val="22"/>
          <w:szCs w:val="22"/>
          <w:lang w:val="en-GB"/>
        </w:rPr>
        <w:t>Unlike the civil law countries on continental Europe which w</w:t>
      </w:r>
      <w:r w:rsidR="00EF314B">
        <w:rPr>
          <w:rFonts w:ascii="Arial" w:hAnsi="Arial" w:cs="Arial"/>
          <w:color w:val="808080" w:themeColor="background1" w:themeShade="80"/>
          <w:sz w:val="22"/>
          <w:szCs w:val="22"/>
          <w:lang w:val="en-GB"/>
        </w:rPr>
        <w:t>ere</w:t>
      </w:r>
      <w:r w:rsidRPr="004D4BAB">
        <w:rPr>
          <w:rFonts w:ascii="Arial" w:hAnsi="Arial" w:cs="Arial"/>
          <w:color w:val="808080" w:themeColor="background1" w:themeShade="80"/>
          <w:sz w:val="22"/>
          <w:szCs w:val="22"/>
          <w:lang w:val="en-GB"/>
        </w:rPr>
        <w:t xml:space="preserve"> influenced by Roman law, English law influenced common law jurisdictions. T</w:t>
      </w:r>
      <w:r w:rsidR="00210CC1" w:rsidRPr="004D4BAB">
        <w:rPr>
          <w:rFonts w:ascii="Arial" w:hAnsi="Arial" w:cs="Arial"/>
          <w:color w:val="808080" w:themeColor="background1" w:themeShade="80"/>
          <w:sz w:val="22"/>
          <w:szCs w:val="22"/>
          <w:lang w:val="en-GB"/>
        </w:rPr>
        <w:t>he United States of America (“</w:t>
      </w:r>
      <w:r w:rsidR="00210CC1" w:rsidRPr="004D4BAB">
        <w:rPr>
          <w:rFonts w:ascii="Arial" w:hAnsi="Arial" w:cs="Arial"/>
          <w:b/>
          <w:bCs/>
          <w:color w:val="808080" w:themeColor="background1" w:themeShade="80"/>
          <w:sz w:val="22"/>
          <w:szCs w:val="22"/>
          <w:lang w:val="en-GB"/>
        </w:rPr>
        <w:t>America</w:t>
      </w:r>
      <w:r w:rsidR="00210CC1" w:rsidRPr="004D4BAB">
        <w:rPr>
          <w:rFonts w:ascii="Arial" w:hAnsi="Arial" w:cs="Arial"/>
          <w:color w:val="808080" w:themeColor="background1" w:themeShade="80"/>
          <w:sz w:val="22"/>
          <w:szCs w:val="22"/>
          <w:lang w:val="en-GB"/>
        </w:rPr>
        <w:t xml:space="preserve">”) is a country whose legal system is based on English law. America is a </w:t>
      </w:r>
      <w:r w:rsidRPr="004D4BAB">
        <w:rPr>
          <w:rFonts w:ascii="Arial" w:hAnsi="Arial" w:cs="Arial"/>
          <w:color w:val="808080" w:themeColor="background1" w:themeShade="80"/>
          <w:sz w:val="22"/>
          <w:szCs w:val="22"/>
          <w:lang w:val="en-GB"/>
        </w:rPr>
        <w:t>federal republic</w:t>
      </w:r>
      <w:r w:rsidR="00210CC1" w:rsidRPr="004D4BAB">
        <w:rPr>
          <w:rFonts w:ascii="Arial" w:hAnsi="Arial" w:cs="Arial"/>
          <w:color w:val="808080" w:themeColor="background1" w:themeShade="80"/>
          <w:sz w:val="22"/>
          <w:szCs w:val="22"/>
          <w:lang w:val="en-GB"/>
        </w:rPr>
        <w:t xml:space="preserve"> (unlike the Netherlands, which is a unitary monarchy). The Bankruptcy Code 1978 is federal legislation meaning it applies to all </w:t>
      </w:r>
      <w:r w:rsidR="00EF314B">
        <w:rPr>
          <w:rFonts w:ascii="Arial" w:hAnsi="Arial" w:cs="Arial"/>
          <w:color w:val="808080" w:themeColor="background1" w:themeShade="80"/>
          <w:sz w:val="22"/>
          <w:szCs w:val="22"/>
          <w:lang w:val="en-GB"/>
        </w:rPr>
        <w:t xml:space="preserve">50 </w:t>
      </w:r>
      <w:r w:rsidR="00210CC1" w:rsidRPr="004D4BAB">
        <w:rPr>
          <w:rFonts w:ascii="Arial" w:hAnsi="Arial" w:cs="Arial"/>
          <w:color w:val="808080" w:themeColor="background1" w:themeShade="80"/>
          <w:sz w:val="22"/>
          <w:szCs w:val="22"/>
          <w:lang w:val="en-GB"/>
        </w:rPr>
        <w:t>American states. The Bankruptcy Code provides for liquidations</w:t>
      </w:r>
      <w:r w:rsidR="00F71ADE" w:rsidRPr="004D4BAB">
        <w:rPr>
          <w:rFonts w:ascii="Arial" w:hAnsi="Arial" w:cs="Arial"/>
          <w:color w:val="808080" w:themeColor="background1" w:themeShade="80"/>
          <w:sz w:val="22"/>
          <w:szCs w:val="22"/>
          <w:lang w:val="en-GB"/>
        </w:rPr>
        <w:t xml:space="preserve"> (Chapter 7)</w:t>
      </w:r>
      <w:r w:rsidR="00210CC1" w:rsidRPr="004D4BAB">
        <w:rPr>
          <w:rFonts w:ascii="Arial" w:hAnsi="Arial" w:cs="Arial"/>
          <w:color w:val="808080" w:themeColor="background1" w:themeShade="80"/>
          <w:sz w:val="22"/>
          <w:szCs w:val="22"/>
          <w:lang w:val="en-GB"/>
        </w:rPr>
        <w:t xml:space="preserve"> and rescue</w:t>
      </w:r>
      <w:r w:rsidR="00F71ADE" w:rsidRPr="004D4BAB">
        <w:rPr>
          <w:rFonts w:ascii="Arial" w:hAnsi="Arial" w:cs="Arial"/>
          <w:color w:val="808080" w:themeColor="background1" w:themeShade="80"/>
          <w:sz w:val="22"/>
          <w:szCs w:val="22"/>
          <w:lang w:val="en-GB"/>
        </w:rPr>
        <w:t xml:space="preserve"> (Chapter 11)</w:t>
      </w:r>
      <w:r w:rsidR="00210CC1" w:rsidRPr="004D4BAB">
        <w:rPr>
          <w:rFonts w:ascii="Arial" w:hAnsi="Arial" w:cs="Arial"/>
          <w:color w:val="808080" w:themeColor="background1" w:themeShade="80"/>
          <w:sz w:val="22"/>
          <w:szCs w:val="22"/>
          <w:lang w:val="en-GB"/>
        </w:rPr>
        <w:t>, as well as rescheduling of debt</w:t>
      </w:r>
      <w:r w:rsidR="00F71ADE" w:rsidRPr="004D4BAB">
        <w:rPr>
          <w:rFonts w:ascii="Arial" w:hAnsi="Arial" w:cs="Arial"/>
          <w:color w:val="808080" w:themeColor="background1" w:themeShade="80"/>
          <w:sz w:val="22"/>
          <w:szCs w:val="22"/>
          <w:lang w:val="en-GB"/>
        </w:rPr>
        <w:t xml:space="preserve"> (Chapter 13)</w:t>
      </w:r>
      <w:r w:rsidR="00210CC1" w:rsidRPr="004D4BAB">
        <w:rPr>
          <w:rFonts w:ascii="Arial" w:hAnsi="Arial" w:cs="Arial"/>
          <w:color w:val="808080" w:themeColor="background1" w:themeShade="80"/>
          <w:sz w:val="22"/>
          <w:szCs w:val="22"/>
          <w:lang w:val="en-GB"/>
        </w:rPr>
        <w:t xml:space="preserve">. The current American system is generally considered the standard bearer </w:t>
      </w:r>
      <w:r w:rsidR="00396358">
        <w:rPr>
          <w:rFonts w:ascii="Arial" w:hAnsi="Arial" w:cs="Arial"/>
          <w:color w:val="808080" w:themeColor="background1" w:themeShade="80"/>
          <w:sz w:val="22"/>
          <w:szCs w:val="22"/>
          <w:lang w:val="en-GB"/>
        </w:rPr>
        <w:t xml:space="preserve">of a </w:t>
      </w:r>
      <w:r w:rsidR="00210CC1" w:rsidRPr="004D4BAB">
        <w:rPr>
          <w:rFonts w:ascii="Arial" w:hAnsi="Arial" w:cs="Arial"/>
          <w:color w:val="808080" w:themeColor="background1" w:themeShade="80"/>
          <w:sz w:val="22"/>
          <w:szCs w:val="22"/>
          <w:lang w:val="en-GB"/>
        </w:rPr>
        <w:t>pro-debtor insolvency system</w:t>
      </w:r>
      <w:r w:rsidR="00EF314B">
        <w:rPr>
          <w:rFonts w:ascii="Arial" w:hAnsi="Arial" w:cs="Arial"/>
          <w:color w:val="808080" w:themeColor="background1" w:themeShade="80"/>
          <w:sz w:val="22"/>
          <w:szCs w:val="22"/>
          <w:lang w:val="en-GB"/>
        </w:rPr>
        <w:t xml:space="preserve"> </w:t>
      </w:r>
      <w:r w:rsidR="00210CC1" w:rsidRPr="004D4BAB">
        <w:rPr>
          <w:rFonts w:ascii="Arial" w:hAnsi="Arial" w:cs="Arial"/>
          <w:color w:val="808080" w:themeColor="background1" w:themeShade="80"/>
          <w:sz w:val="22"/>
          <w:szCs w:val="22"/>
          <w:lang w:val="en-GB"/>
        </w:rPr>
        <w:t>due to its a more liberal approach to discharge of debt.</w:t>
      </w:r>
      <w:r w:rsidR="00396358">
        <w:rPr>
          <w:rStyle w:val="FootnoteReference"/>
          <w:rFonts w:ascii="Arial" w:hAnsi="Arial" w:cs="Arial"/>
          <w:color w:val="808080" w:themeColor="background1" w:themeShade="80"/>
          <w:sz w:val="22"/>
          <w:szCs w:val="22"/>
          <w:lang w:val="en-GB"/>
        </w:rPr>
        <w:footnoteReference w:id="5"/>
      </w:r>
      <w:r w:rsidR="00396358">
        <w:rPr>
          <w:rFonts w:ascii="Arial" w:hAnsi="Arial" w:cs="Arial"/>
          <w:color w:val="808080" w:themeColor="background1" w:themeShade="80"/>
          <w:sz w:val="22"/>
          <w:szCs w:val="22"/>
          <w:lang w:val="en-GB"/>
        </w:rPr>
        <w:t xml:space="preserve"> This is in contrast with the Dutch system outlined in the preceding paragraph.</w:t>
      </w:r>
      <w:r w:rsidR="00210CC1" w:rsidRPr="004D4BAB">
        <w:rPr>
          <w:rFonts w:ascii="Arial" w:hAnsi="Arial" w:cs="Arial"/>
          <w:color w:val="808080" w:themeColor="background1" w:themeShade="80"/>
          <w:sz w:val="22"/>
          <w:szCs w:val="22"/>
          <w:lang w:val="en-GB"/>
        </w:rPr>
        <w:t xml:space="preserve"> However, it should be noted that the Bankruptcy Abuse Prevention and Consumer Protection Act 2005</w:t>
      </w:r>
      <w:r w:rsidR="002845D5" w:rsidRPr="004D4BAB">
        <w:rPr>
          <w:rFonts w:ascii="Arial" w:hAnsi="Arial" w:cs="Arial"/>
          <w:color w:val="808080" w:themeColor="background1" w:themeShade="80"/>
          <w:sz w:val="22"/>
          <w:szCs w:val="22"/>
          <w:lang w:val="en-GB"/>
        </w:rPr>
        <w:t xml:space="preserve"> </w:t>
      </w:r>
      <w:r w:rsidR="00210CC1" w:rsidRPr="004D4BAB">
        <w:rPr>
          <w:rFonts w:ascii="Arial" w:hAnsi="Arial" w:cs="Arial"/>
          <w:color w:val="808080" w:themeColor="background1" w:themeShade="80"/>
          <w:sz w:val="22"/>
          <w:szCs w:val="22"/>
          <w:lang w:val="en-GB"/>
        </w:rPr>
        <w:t xml:space="preserve">reformed the Bankruptcy Code and introduced </w:t>
      </w:r>
      <w:r w:rsidR="007A40F5" w:rsidRPr="004D4BAB">
        <w:rPr>
          <w:rFonts w:ascii="Arial" w:hAnsi="Arial" w:cs="Arial"/>
          <w:color w:val="808080" w:themeColor="background1" w:themeShade="80"/>
          <w:sz w:val="22"/>
          <w:szCs w:val="22"/>
          <w:lang w:val="en-GB"/>
        </w:rPr>
        <w:t>“</w:t>
      </w:r>
      <w:r w:rsidR="00210CC1" w:rsidRPr="004D4BAB">
        <w:rPr>
          <w:rFonts w:ascii="Arial" w:hAnsi="Arial" w:cs="Arial"/>
          <w:color w:val="808080" w:themeColor="background1" w:themeShade="80"/>
          <w:sz w:val="22"/>
          <w:szCs w:val="22"/>
          <w:lang w:val="en-GB"/>
        </w:rPr>
        <w:t>means testing</w:t>
      </w:r>
      <w:r w:rsidR="007A40F5" w:rsidRPr="004D4BAB">
        <w:rPr>
          <w:rFonts w:ascii="Arial" w:hAnsi="Arial" w:cs="Arial"/>
          <w:color w:val="808080" w:themeColor="background1" w:themeShade="80"/>
          <w:sz w:val="22"/>
          <w:szCs w:val="22"/>
          <w:lang w:val="en-GB"/>
        </w:rPr>
        <w:t xml:space="preserve">” </w:t>
      </w:r>
      <w:r w:rsidR="00210CC1" w:rsidRPr="004D4BAB">
        <w:rPr>
          <w:rFonts w:ascii="Arial" w:hAnsi="Arial" w:cs="Arial"/>
          <w:color w:val="808080" w:themeColor="background1" w:themeShade="80"/>
          <w:sz w:val="22"/>
          <w:szCs w:val="22"/>
          <w:lang w:val="en-GB"/>
        </w:rPr>
        <w:t>to determine whether an individual debtor could file for bankruptcy or relief</w:t>
      </w:r>
      <w:r w:rsidR="00396358">
        <w:rPr>
          <w:rStyle w:val="FootnoteReference"/>
          <w:rFonts w:ascii="Arial" w:hAnsi="Arial" w:cs="Arial"/>
          <w:color w:val="808080" w:themeColor="background1" w:themeShade="80"/>
          <w:sz w:val="22"/>
          <w:szCs w:val="22"/>
          <w:lang w:val="en-GB"/>
        </w:rPr>
        <w:footnoteReference w:id="6"/>
      </w:r>
      <w:r w:rsidR="000E433D" w:rsidRPr="004D4BAB">
        <w:rPr>
          <w:rFonts w:ascii="Arial" w:hAnsi="Arial" w:cs="Arial"/>
          <w:color w:val="808080" w:themeColor="background1" w:themeShade="80"/>
          <w:sz w:val="22"/>
          <w:szCs w:val="22"/>
          <w:lang w:val="en-GB"/>
        </w:rPr>
        <w:t>. This is</w:t>
      </w:r>
      <w:r w:rsidR="00EF314B">
        <w:rPr>
          <w:rFonts w:ascii="Arial" w:hAnsi="Arial" w:cs="Arial"/>
          <w:color w:val="808080" w:themeColor="background1" w:themeShade="80"/>
          <w:sz w:val="22"/>
          <w:szCs w:val="22"/>
          <w:lang w:val="en-GB"/>
        </w:rPr>
        <w:t xml:space="preserve"> </w:t>
      </w:r>
      <w:r w:rsidR="000E433D" w:rsidRPr="004D4BAB">
        <w:rPr>
          <w:rFonts w:ascii="Arial" w:hAnsi="Arial" w:cs="Arial"/>
          <w:color w:val="808080" w:themeColor="background1" w:themeShade="80"/>
          <w:sz w:val="22"/>
          <w:szCs w:val="22"/>
          <w:lang w:val="en-GB"/>
        </w:rPr>
        <w:t xml:space="preserve">a slight shift away from a pro-creditor position. </w:t>
      </w:r>
    </w:p>
    <w:p w14:paraId="44EB0708" w14:textId="77777777" w:rsidR="000E433D" w:rsidRPr="004D4BAB" w:rsidRDefault="000E433D" w:rsidP="00692852">
      <w:pPr>
        <w:jc w:val="both"/>
        <w:rPr>
          <w:rFonts w:ascii="Arial" w:hAnsi="Arial" w:cs="Arial"/>
          <w:color w:val="808080" w:themeColor="background1" w:themeShade="80"/>
          <w:sz w:val="22"/>
          <w:szCs w:val="22"/>
          <w:lang w:val="en-GB"/>
        </w:rPr>
      </w:pPr>
    </w:p>
    <w:p w14:paraId="40F9D7C6" w14:textId="793383F7" w:rsidR="000E433D" w:rsidRPr="004D4BAB" w:rsidRDefault="000E433D" w:rsidP="00692852">
      <w:pPr>
        <w:jc w:val="both"/>
        <w:rPr>
          <w:rFonts w:ascii="Arial" w:hAnsi="Arial" w:cs="Arial"/>
          <w:color w:val="808080" w:themeColor="background1" w:themeShade="80"/>
          <w:sz w:val="22"/>
          <w:szCs w:val="22"/>
          <w:lang w:val="en-GB"/>
        </w:rPr>
      </w:pPr>
      <w:r w:rsidRPr="004D4BAB">
        <w:rPr>
          <w:rFonts w:ascii="Arial" w:hAnsi="Arial" w:cs="Arial"/>
          <w:color w:val="808080" w:themeColor="background1" w:themeShade="80"/>
          <w:sz w:val="22"/>
          <w:szCs w:val="22"/>
          <w:lang w:val="en-GB"/>
        </w:rPr>
        <w:lastRenderedPageBreak/>
        <w:t xml:space="preserve">Another country whose legal system is based on the English common law is Australia. </w:t>
      </w:r>
      <w:r w:rsidR="00E61EBF" w:rsidRPr="004D4BAB">
        <w:rPr>
          <w:rFonts w:ascii="Arial" w:hAnsi="Arial" w:cs="Arial"/>
          <w:color w:val="808080" w:themeColor="background1" w:themeShade="80"/>
          <w:sz w:val="22"/>
          <w:szCs w:val="22"/>
          <w:lang w:val="en-GB"/>
        </w:rPr>
        <w:t>Australia’s insolvency regime is more decentralised than that of other countries- there is not a single</w:t>
      </w:r>
      <w:r w:rsidR="00EF314B">
        <w:rPr>
          <w:rFonts w:ascii="Arial" w:hAnsi="Arial" w:cs="Arial"/>
          <w:color w:val="808080" w:themeColor="background1" w:themeShade="80"/>
          <w:sz w:val="22"/>
          <w:szCs w:val="22"/>
          <w:lang w:val="en-GB"/>
        </w:rPr>
        <w:t xml:space="preserve"> </w:t>
      </w:r>
      <w:r w:rsidR="00E61EBF" w:rsidRPr="004D4BAB">
        <w:rPr>
          <w:rFonts w:ascii="Arial" w:hAnsi="Arial" w:cs="Arial"/>
          <w:color w:val="808080" w:themeColor="background1" w:themeShade="80"/>
          <w:sz w:val="22"/>
          <w:szCs w:val="22"/>
          <w:lang w:val="en-GB"/>
        </w:rPr>
        <w:t>unified piece of legislation for insolvency. This is highlighted by the fact that the Corporations Act 2001 deals with corporate insolvencies whilst the Bankruptcy Act 1966 deals with individuals. I</w:t>
      </w:r>
      <w:r w:rsidRPr="004D4BAB">
        <w:rPr>
          <w:rFonts w:ascii="Arial" w:hAnsi="Arial" w:cs="Arial"/>
          <w:color w:val="808080" w:themeColor="background1" w:themeShade="80"/>
          <w:sz w:val="22"/>
          <w:szCs w:val="22"/>
          <w:lang w:val="en-GB"/>
        </w:rPr>
        <w:t>n contrast to America, Australia is considered a creditor friendly jurisdiction. There is an emphasis on protecting the rights and interests of creditors (over that of the debtors).</w:t>
      </w:r>
      <w:r w:rsidR="00E61EBF" w:rsidRPr="004D4BAB">
        <w:rPr>
          <w:rFonts w:ascii="Arial" w:hAnsi="Arial" w:cs="Arial"/>
          <w:color w:val="808080" w:themeColor="background1" w:themeShade="80"/>
          <w:sz w:val="22"/>
          <w:szCs w:val="22"/>
          <w:lang w:val="en-GB"/>
        </w:rPr>
        <w:t xml:space="preserve"> An example of this would be Australia’s voluntary administration regime- this is controlled by creditors whose aim is to maximise creditor return.</w:t>
      </w:r>
      <w:r w:rsidR="00E61EBF" w:rsidRPr="004D4BAB">
        <w:rPr>
          <w:rStyle w:val="FootnoteReference"/>
          <w:rFonts w:ascii="Arial" w:hAnsi="Arial" w:cs="Arial"/>
          <w:color w:val="808080" w:themeColor="background1" w:themeShade="80"/>
          <w:sz w:val="22"/>
          <w:szCs w:val="22"/>
          <w:lang w:val="en-GB"/>
        </w:rPr>
        <w:footnoteReference w:id="7"/>
      </w:r>
      <w:r w:rsidR="00E61EBF" w:rsidRPr="004D4BAB">
        <w:rPr>
          <w:rFonts w:ascii="Arial" w:hAnsi="Arial" w:cs="Arial"/>
          <w:color w:val="808080" w:themeColor="background1" w:themeShade="80"/>
          <w:sz w:val="22"/>
          <w:szCs w:val="22"/>
          <w:lang w:val="en-GB"/>
        </w:rPr>
        <w:t xml:space="preserve"> </w:t>
      </w:r>
    </w:p>
    <w:p w14:paraId="3D05A0BC" w14:textId="77777777" w:rsidR="00EC34F1" w:rsidRDefault="00EC34F1" w:rsidP="00692852">
      <w:pPr>
        <w:ind w:left="720" w:hanging="720"/>
        <w:jc w:val="both"/>
        <w:rPr>
          <w:rFonts w:ascii="Avenir Next" w:hAnsi="Avenir Next" w:cs="Arial"/>
          <w:color w:val="808080" w:themeColor="background1" w:themeShade="80"/>
          <w:sz w:val="22"/>
          <w:szCs w:val="22"/>
          <w:u w:val="single"/>
          <w:lang w:val="en-GB"/>
        </w:rPr>
      </w:pPr>
    </w:p>
    <w:p w14:paraId="114BC776" w14:textId="77777777" w:rsidR="000E433D" w:rsidRDefault="000E433D" w:rsidP="00E61EBF">
      <w:pPr>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4FA452DB" w14:textId="5CD0578A" w:rsidR="006160C1" w:rsidRPr="00EF314B" w:rsidRDefault="006160C1" w:rsidP="006160C1">
      <w:pPr>
        <w:jc w:val="both"/>
        <w:rPr>
          <w:rFonts w:ascii="Arial" w:hAnsi="Arial" w:cs="Arial"/>
          <w:color w:val="808080" w:themeColor="background1" w:themeShade="80"/>
          <w:sz w:val="22"/>
          <w:szCs w:val="22"/>
          <w:lang w:val="en-GB"/>
        </w:rPr>
      </w:pPr>
      <w:r w:rsidRPr="00EF314B">
        <w:rPr>
          <w:rFonts w:ascii="Arial" w:hAnsi="Arial" w:cs="Arial"/>
          <w:color w:val="808080" w:themeColor="background1" w:themeShade="80"/>
          <w:sz w:val="22"/>
          <w:szCs w:val="22"/>
          <w:lang w:val="en-GB"/>
        </w:rPr>
        <w:t xml:space="preserve">No single set of insolvency law </w:t>
      </w:r>
      <w:r w:rsidR="00EF314B">
        <w:rPr>
          <w:rFonts w:ascii="Arial" w:hAnsi="Arial" w:cs="Arial"/>
          <w:color w:val="808080" w:themeColor="background1" w:themeShade="80"/>
          <w:sz w:val="22"/>
          <w:szCs w:val="22"/>
          <w:lang w:val="en-GB"/>
        </w:rPr>
        <w:t xml:space="preserve">or regime </w:t>
      </w:r>
      <w:r w:rsidRPr="00EF314B">
        <w:rPr>
          <w:rFonts w:ascii="Arial" w:hAnsi="Arial" w:cs="Arial"/>
          <w:color w:val="808080" w:themeColor="background1" w:themeShade="80"/>
          <w:sz w:val="22"/>
          <w:szCs w:val="22"/>
          <w:lang w:val="en-GB"/>
        </w:rPr>
        <w:t xml:space="preserve">(or any area of law in fact) can be applied to every jurisdiction in the world. Each jurisdiction is the product of its own history and culture. The lack of global uniformity in insolvency law means that problems can arise in cross-border insolvency cases. An example of a potential problem in cross-border insolvency is how to reconcile the differing approach each jurisdiction involved may have towards insolvency law. </w:t>
      </w:r>
      <w:proofErr w:type="gramStart"/>
      <w:r w:rsidRPr="00EF314B">
        <w:rPr>
          <w:rFonts w:ascii="Arial" w:hAnsi="Arial" w:cs="Arial"/>
          <w:color w:val="808080" w:themeColor="background1" w:themeShade="80"/>
          <w:sz w:val="22"/>
          <w:szCs w:val="22"/>
          <w:lang w:val="en-GB"/>
        </w:rPr>
        <w:t>In an attempt to</w:t>
      </w:r>
      <w:proofErr w:type="gramEnd"/>
      <w:r w:rsidRPr="00EF314B">
        <w:rPr>
          <w:rFonts w:ascii="Arial" w:hAnsi="Arial" w:cs="Arial"/>
          <w:color w:val="808080" w:themeColor="background1" w:themeShade="80"/>
          <w:sz w:val="22"/>
          <w:szCs w:val="22"/>
          <w:lang w:val="en-GB"/>
        </w:rPr>
        <w:t xml:space="preserve"> seek a solution to this</w:t>
      </w:r>
      <w:r w:rsidR="00EF314B">
        <w:rPr>
          <w:rFonts w:ascii="Arial" w:hAnsi="Arial" w:cs="Arial"/>
          <w:color w:val="808080" w:themeColor="background1" w:themeShade="80"/>
          <w:sz w:val="22"/>
          <w:szCs w:val="22"/>
          <w:lang w:val="en-GB"/>
        </w:rPr>
        <w:t xml:space="preserve"> issue</w:t>
      </w:r>
      <w:r w:rsidRPr="00EF314B">
        <w:rPr>
          <w:rFonts w:ascii="Arial" w:hAnsi="Arial" w:cs="Arial"/>
          <w:color w:val="808080" w:themeColor="background1" w:themeShade="80"/>
          <w:sz w:val="22"/>
          <w:szCs w:val="22"/>
          <w:lang w:val="en-GB"/>
        </w:rPr>
        <w:t>, the differing principles of universalism and territorialism have emerged.</w:t>
      </w:r>
      <w:r w:rsidR="003E7CE4">
        <w:rPr>
          <w:rStyle w:val="FootnoteReference"/>
          <w:rFonts w:ascii="Arial" w:hAnsi="Arial" w:cs="Arial"/>
          <w:color w:val="808080" w:themeColor="background1" w:themeShade="80"/>
          <w:sz w:val="22"/>
          <w:szCs w:val="22"/>
          <w:lang w:val="en-GB"/>
        </w:rPr>
        <w:footnoteReference w:id="8"/>
      </w:r>
    </w:p>
    <w:p w14:paraId="1F9E6520" w14:textId="6E2C2975" w:rsidR="006160C1" w:rsidRPr="00EF314B" w:rsidRDefault="006160C1" w:rsidP="006160C1">
      <w:pPr>
        <w:jc w:val="both"/>
        <w:rPr>
          <w:rFonts w:ascii="Arial" w:hAnsi="Arial" w:cs="Arial"/>
          <w:color w:val="808080" w:themeColor="background1" w:themeShade="80"/>
          <w:sz w:val="22"/>
          <w:szCs w:val="22"/>
          <w:lang w:val="en-GB"/>
        </w:rPr>
      </w:pPr>
    </w:p>
    <w:p w14:paraId="6CB54133" w14:textId="44781310" w:rsidR="00FF3EC2" w:rsidRPr="00EF314B" w:rsidRDefault="00FF3EC2" w:rsidP="00DA42DA">
      <w:pPr>
        <w:jc w:val="both"/>
        <w:rPr>
          <w:rFonts w:ascii="Arial" w:hAnsi="Arial" w:cs="Arial"/>
          <w:color w:val="808080" w:themeColor="background1" w:themeShade="80"/>
          <w:sz w:val="22"/>
          <w:szCs w:val="22"/>
          <w:lang w:val="en-GB"/>
        </w:rPr>
      </w:pPr>
      <w:r w:rsidRPr="00EF314B">
        <w:rPr>
          <w:rFonts w:ascii="Arial" w:hAnsi="Arial" w:cs="Arial"/>
          <w:color w:val="808080" w:themeColor="background1" w:themeShade="80"/>
          <w:sz w:val="22"/>
          <w:szCs w:val="22"/>
          <w:lang w:val="en-GB"/>
        </w:rPr>
        <w:t>A difference between the principle</w:t>
      </w:r>
      <w:r w:rsidR="00EF314B">
        <w:rPr>
          <w:rFonts w:ascii="Arial" w:hAnsi="Arial" w:cs="Arial"/>
          <w:color w:val="808080" w:themeColor="background1" w:themeShade="80"/>
          <w:sz w:val="22"/>
          <w:szCs w:val="22"/>
          <w:lang w:val="en-GB"/>
        </w:rPr>
        <w:t xml:space="preserve"> </w:t>
      </w:r>
      <w:r w:rsidRPr="00EF314B">
        <w:rPr>
          <w:rFonts w:ascii="Arial" w:hAnsi="Arial" w:cs="Arial"/>
          <w:color w:val="808080" w:themeColor="background1" w:themeShade="80"/>
          <w:sz w:val="22"/>
          <w:szCs w:val="22"/>
          <w:lang w:val="en-GB"/>
        </w:rPr>
        <w:t>of universalism and principle of</w:t>
      </w:r>
      <w:r w:rsidR="00EF314B">
        <w:rPr>
          <w:rFonts w:ascii="Arial" w:hAnsi="Arial" w:cs="Arial"/>
          <w:color w:val="808080" w:themeColor="background1" w:themeShade="80"/>
          <w:sz w:val="22"/>
          <w:szCs w:val="22"/>
          <w:lang w:val="en-GB"/>
        </w:rPr>
        <w:t xml:space="preserve"> </w:t>
      </w:r>
      <w:r w:rsidRPr="00EF314B">
        <w:rPr>
          <w:rFonts w:ascii="Arial" w:hAnsi="Arial" w:cs="Arial"/>
          <w:color w:val="808080" w:themeColor="background1" w:themeShade="80"/>
          <w:sz w:val="22"/>
          <w:szCs w:val="22"/>
          <w:lang w:val="en-GB"/>
        </w:rPr>
        <w:t xml:space="preserve">territorialism </w:t>
      </w:r>
      <w:r w:rsidR="007F7FE7" w:rsidRPr="00EF314B">
        <w:rPr>
          <w:rFonts w:ascii="Arial" w:hAnsi="Arial" w:cs="Arial"/>
          <w:color w:val="808080" w:themeColor="background1" w:themeShade="80"/>
          <w:sz w:val="22"/>
          <w:szCs w:val="22"/>
          <w:lang w:val="en-GB"/>
        </w:rPr>
        <w:t xml:space="preserve">is the number of jurisdictions involved. </w:t>
      </w:r>
      <w:r w:rsidR="006160C1" w:rsidRPr="00EF314B">
        <w:rPr>
          <w:rFonts w:ascii="Arial" w:hAnsi="Arial" w:cs="Arial"/>
          <w:color w:val="808080" w:themeColor="background1" w:themeShade="80"/>
          <w:sz w:val="22"/>
          <w:szCs w:val="22"/>
          <w:lang w:val="en-GB"/>
        </w:rPr>
        <w:t>The principle of universalism is premised on the idea that in any cross-border insolvency</w:t>
      </w:r>
      <w:r w:rsidR="00EF314B">
        <w:rPr>
          <w:rFonts w:ascii="Arial" w:hAnsi="Arial" w:cs="Arial"/>
          <w:color w:val="808080" w:themeColor="background1" w:themeShade="80"/>
          <w:sz w:val="22"/>
          <w:szCs w:val="22"/>
          <w:lang w:val="en-GB"/>
        </w:rPr>
        <w:t xml:space="preserve"> case,</w:t>
      </w:r>
      <w:r w:rsidR="006160C1" w:rsidRPr="00EF314B">
        <w:rPr>
          <w:rFonts w:ascii="Arial" w:hAnsi="Arial" w:cs="Arial"/>
          <w:color w:val="808080" w:themeColor="background1" w:themeShade="80"/>
          <w:sz w:val="22"/>
          <w:szCs w:val="22"/>
          <w:lang w:val="en-GB"/>
        </w:rPr>
        <w:t xml:space="preserve"> there should only be one </w:t>
      </w:r>
      <w:r w:rsidR="00235A27" w:rsidRPr="00EF314B">
        <w:rPr>
          <w:rFonts w:ascii="Arial" w:hAnsi="Arial" w:cs="Arial"/>
          <w:color w:val="808080" w:themeColor="background1" w:themeShade="80"/>
          <w:sz w:val="22"/>
          <w:szCs w:val="22"/>
          <w:lang w:val="en-GB"/>
        </w:rPr>
        <w:t>(</w:t>
      </w:r>
      <w:proofErr w:type="gramStart"/>
      <w:r w:rsidR="00EF314B">
        <w:rPr>
          <w:rFonts w:ascii="Arial" w:hAnsi="Arial" w:cs="Arial"/>
          <w:color w:val="808080" w:themeColor="background1" w:themeShade="80"/>
          <w:sz w:val="22"/>
          <w:szCs w:val="22"/>
          <w:lang w:val="en-GB"/>
        </w:rPr>
        <w:t>i.e.</w:t>
      </w:r>
      <w:proofErr w:type="gramEnd"/>
      <w:r w:rsidR="00EF314B">
        <w:rPr>
          <w:rFonts w:ascii="Arial" w:hAnsi="Arial" w:cs="Arial"/>
          <w:color w:val="808080" w:themeColor="background1" w:themeShade="80"/>
          <w:sz w:val="22"/>
          <w:szCs w:val="22"/>
          <w:lang w:val="en-GB"/>
        </w:rPr>
        <w:t xml:space="preserve"> </w:t>
      </w:r>
      <w:r w:rsidR="00235A27" w:rsidRPr="00EF314B">
        <w:rPr>
          <w:rFonts w:ascii="Arial" w:hAnsi="Arial" w:cs="Arial"/>
          <w:color w:val="808080" w:themeColor="background1" w:themeShade="80"/>
          <w:sz w:val="22"/>
          <w:szCs w:val="22"/>
          <w:lang w:val="en-GB"/>
        </w:rPr>
        <w:t xml:space="preserve">“main”) </w:t>
      </w:r>
      <w:r w:rsidR="006160C1" w:rsidRPr="00EF314B">
        <w:rPr>
          <w:rFonts w:ascii="Arial" w:hAnsi="Arial" w:cs="Arial"/>
          <w:color w:val="808080" w:themeColor="background1" w:themeShade="80"/>
          <w:sz w:val="22"/>
          <w:szCs w:val="22"/>
          <w:lang w:val="en-GB"/>
        </w:rPr>
        <w:t xml:space="preserve">insolvency proceeding which would cover all of the debtor’s assets and debts. </w:t>
      </w:r>
      <w:r w:rsidR="00EF314B">
        <w:rPr>
          <w:rFonts w:ascii="Arial" w:hAnsi="Arial" w:cs="Arial"/>
          <w:color w:val="808080" w:themeColor="background1" w:themeShade="80"/>
          <w:sz w:val="22"/>
          <w:szCs w:val="22"/>
          <w:lang w:val="en-GB"/>
        </w:rPr>
        <w:t>In contrast</w:t>
      </w:r>
      <w:r w:rsidR="007F7FE7" w:rsidRPr="00EF314B">
        <w:rPr>
          <w:rFonts w:ascii="Arial" w:hAnsi="Arial" w:cs="Arial"/>
          <w:color w:val="808080" w:themeColor="background1" w:themeShade="80"/>
          <w:sz w:val="22"/>
          <w:szCs w:val="22"/>
          <w:lang w:val="en-GB"/>
        </w:rPr>
        <w:t xml:space="preserve">, </w:t>
      </w:r>
      <w:r w:rsidR="00EF314B">
        <w:rPr>
          <w:rFonts w:ascii="Arial" w:hAnsi="Arial" w:cs="Arial"/>
          <w:color w:val="808080" w:themeColor="background1" w:themeShade="80"/>
          <w:sz w:val="22"/>
          <w:szCs w:val="22"/>
          <w:lang w:val="en-GB"/>
        </w:rPr>
        <w:t xml:space="preserve">the principle of </w:t>
      </w:r>
      <w:r w:rsidR="007F7FE7" w:rsidRPr="00EF314B">
        <w:rPr>
          <w:rFonts w:ascii="Arial" w:hAnsi="Arial" w:cs="Arial"/>
          <w:color w:val="808080" w:themeColor="background1" w:themeShade="80"/>
          <w:sz w:val="22"/>
          <w:szCs w:val="22"/>
          <w:lang w:val="en-GB"/>
        </w:rPr>
        <w:t>t</w:t>
      </w:r>
      <w:r w:rsidR="006160C1" w:rsidRPr="00EF314B">
        <w:rPr>
          <w:rFonts w:ascii="Arial" w:hAnsi="Arial" w:cs="Arial"/>
          <w:color w:val="808080" w:themeColor="background1" w:themeShade="80"/>
          <w:sz w:val="22"/>
          <w:szCs w:val="22"/>
          <w:lang w:val="en-GB"/>
        </w:rPr>
        <w:t xml:space="preserve">erritorialism states that insolvency proceedings may be commenced in every jurisdiction in which the debtor </w:t>
      </w:r>
      <w:r w:rsidRPr="00EF314B">
        <w:rPr>
          <w:rFonts w:ascii="Arial" w:hAnsi="Arial" w:cs="Arial"/>
          <w:color w:val="808080" w:themeColor="background1" w:themeShade="80"/>
          <w:sz w:val="22"/>
          <w:szCs w:val="22"/>
          <w:lang w:val="en-GB"/>
        </w:rPr>
        <w:t xml:space="preserve">in question </w:t>
      </w:r>
      <w:r w:rsidR="006160C1" w:rsidRPr="00EF314B">
        <w:rPr>
          <w:rFonts w:ascii="Arial" w:hAnsi="Arial" w:cs="Arial"/>
          <w:color w:val="808080" w:themeColor="background1" w:themeShade="80"/>
          <w:sz w:val="22"/>
          <w:szCs w:val="22"/>
          <w:lang w:val="en-GB"/>
        </w:rPr>
        <w:t>holds assets, but that</w:t>
      </w:r>
      <w:r w:rsidRPr="00EF314B">
        <w:rPr>
          <w:rFonts w:ascii="Arial" w:hAnsi="Arial" w:cs="Arial"/>
          <w:color w:val="808080" w:themeColor="background1" w:themeShade="80"/>
          <w:sz w:val="22"/>
          <w:szCs w:val="22"/>
          <w:lang w:val="en-GB"/>
        </w:rPr>
        <w:t xml:space="preserve"> such proceedings should be limited to assets within that jurisdiction.</w:t>
      </w:r>
      <w:r w:rsidR="007A6934">
        <w:rPr>
          <w:rStyle w:val="FootnoteReference"/>
          <w:rFonts w:ascii="Arial" w:hAnsi="Arial" w:cs="Arial"/>
          <w:color w:val="808080" w:themeColor="background1" w:themeShade="80"/>
          <w:sz w:val="22"/>
          <w:szCs w:val="22"/>
          <w:lang w:val="en-GB"/>
        </w:rPr>
        <w:footnoteReference w:id="9"/>
      </w:r>
      <w:r w:rsidRPr="00EF314B">
        <w:rPr>
          <w:rFonts w:ascii="Arial" w:hAnsi="Arial" w:cs="Arial"/>
          <w:color w:val="808080" w:themeColor="background1" w:themeShade="80"/>
          <w:sz w:val="22"/>
          <w:szCs w:val="22"/>
          <w:lang w:val="en-GB"/>
        </w:rPr>
        <w:t xml:space="preserve"> </w:t>
      </w:r>
      <w:r w:rsidR="0090386A">
        <w:rPr>
          <w:rFonts w:ascii="Arial" w:hAnsi="Arial" w:cs="Arial"/>
          <w:color w:val="808080" w:themeColor="background1" w:themeShade="80"/>
          <w:sz w:val="22"/>
          <w:szCs w:val="22"/>
          <w:lang w:val="en-GB"/>
        </w:rPr>
        <w:t>T</w:t>
      </w:r>
      <w:r w:rsidR="00EF314B">
        <w:rPr>
          <w:rFonts w:ascii="Arial" w:hAnsi="Arial" w:cs="Arial"/>
          <w:color w:val="808080" w:themeColor="background1" w:themeShade="80"/>
          <w:sz w:val="22"/>
          <w:szCs w:val="22"/>
          <w:lang w:val="en-GB"/>
        </w:rPr>
        <w:t>erritorialism</w:t>
      </w:r>
      <w:r w:rsidR="0090386A">
        <w:rPr>
          <w:rFonts w:ascii="Arial" w:hAnsi="Arial" w:cs="Arial"/>
          <w:color w:val="808080" w:themeColor="background1" w:themeShade="80"/>
          <w:sz w:val="22"/>
          <w:szCs w:val="22"/>
          <w:lang w:val="en-GB"/>
        </w:rPr>
        <w:t xml:space="preserve"> means there could be</w:t>
      </w:r>
      <w:r w:rsidRPr="00EF314B">
        <w:rPr>
          <w:rFonts w:ascii="Arial" w:hAnsi="Arial" w:cs="Arial"/>
          <w:color w:val="808080" w:themeColor="background1" w:themeShade="80"/>
          <w:sz w:val="22"/>
          <w:szCs w:val="22"/>
          <w:lang w:val="en-GB"/>
        </w:rPr>
        <w:t xml:space="preserve"> multiple proceedings against the same debtor in several jurisdictions</w:t>
      </w:r>
      <w:r w:rsidR="00EF314B">
        <w:rPr>
          <w:rFonts w:ascii="Arial" w:hAnsi="Arial" w:cs="Arial"/>
          <w:color w:val="808080" w:themeColor="background1" w:themeShade="80"/>
          <w:sz w:val="22"/>
          <w:szCs w:val="22"/>
          <w:lang w:val="en-GB"/>
        </w:rPr>
        <w:t xml:space="preserve"> (if the debtor holds assets in multiple </w:t>
      </w:r>
      <w:r w:rsidR="0090386A">
        <w:rPr>
          <w:rFonts w:ascii="Arial" w:hAnsi="Arial" w:cs="Arial"/>
          <w:color w:val="808080" w:themeColor="background1" w:themeShade="80"/>
          <w:sz w:val="22"/>
          <w:szCs w:val="22"/>
          <w:lang w:val="en-GB"/>
        </w:rPr>
        <w:t>jurisdictions</w:t>
      </w:r>
      <w:r w:rsidR="00EF314B">
        <w:rPr>
          <w:rFonts w:ascii="Arial" w:hAnsi="Arial" w:cs="Arial"/>
          <w:color w:val="808080" w:themeColor="background1" w:themeShade="80"/>
          <w:sz w:val="22"/>
          <w:szCs w:val="22"/>
          <w:lang w:val="en-GB"/>
        </w:rPr>
        <w:t>)</w:t>
      </w:r>
      <w:r w:rsidR="00AD067E" w:rsidRPr="00EF314B">
        <w:rPr>
          <w:rFonts w:ascii="Arial" w:hAnsi="Arial" w:cs="Arial"/>
          <w:color w:val="808080" w:themeColor="background1" w:themeShade="80"/>
          <w:sz w:val="22"/>
          <w:szCs w:val="22"/>
          <w:lang w:val="en-GB"/>
        </w:rPr>
        <w:t xml:space="preserve"> and not just one jurisdiction having carriage of the insolvency</w:t>
      </w:r>
      <w:r w:rsidR="0090386A">
        <w:rPr>
          <w:rFonts w:ascii="Arial" w:hAnsi="Arial" w:cs="Arial"/>
          <w:color w:val="808080" w:themeColor="background1" w:themeShade="80"/>
          <w:sz w:val="22"/>
          <w:szCs w:val="22"/>
          <w:lang w:val="en-GB"/>
        </w:rPr>
        <w:t xml:space="preserve"> proceedings</w:t>
      </w:r>
      <w:r w:rsidR="00AD067E" w:rsidRPr="00EF314B">
        <w:rPr>
          <w:rFonts w:ascii="Arial" w:hAnsi="Arial" w:cs="Arial"/>
          <w:color w:val="808080" w:themeColor="background1" w:themeShade="80"/>
          <w:sz w:val="22"/>
          <w:szCs w:val="22"/>
          <w:lang w:val="en-GB"/>
        </w:rPr>
        <w:t>.</w:t>
      </w:r>
    </w:p>
    <w:p w14:paraId="49A03787" w14:textId="77777777" w:rsidR="00FF3EC2" w:rsidRPr="00EF314B" w:rsidRDefault="00FF3EC2" w:rsidP="00DA42DA">
      <w:pPr>
        <w:jc w:val="both"/>
        <w:rPr>
          <w:rFonts w:ascii="Arial" w:hAnsi="Arial" w:cs="Arial"/>
          <w:color w:val="808080" w:themeColor="background1" w:themeShade="80"/>
          <w:sz w:val="22"/>
          <w:szCs w:val="22"/>
          <w:lang w:val="en-GB"/>
        </w:rPr>
      </w:pPr>
    </w:p>
    <w:p w14:paraId="3864AE5F" w14:textId="2DF24449" w:rsidR="005046CA" w:rsidRPr="00EF314B" w:rsidRDefault="007F7FE7" w:rsidP="00DA42DA">
      <w:pPr>
        <w:jc w:val="both"/>
        <w:rPr>
          <w:rFonts w:ascii="Arial" w:hAnsi="Arial" w:cs="Arial"/>
          <w:color w:val="808080" w:themeColor="background1" w:themeShade="80"/>
          <w:sz w:val="22"/>
          <w:szCs w:val="22"/>
          <w:lang w:val="en-GB"/>
        </w:rPr>
      </w:pPr>
      <w:r w:rsidRPr="00EF314B">
        <w:rPr>
          <w:rFonts w:ascii="Arial" w:hAnsi="Arial" w:cs="Arial"/>
          <w:color w:val="808080" w:themeColor="background1" w:themeShade="80"/>
          <w:sz w:val="22"/>
          <w:szCs w:val="22"/>
          <w:lang w:val="en-GB"/>
        </w:rPr>
        <w:t>Another difference between the principle of universalism and the principle of territorialism</w:t>
      </w:r>
      <w:r w:rsidR="008A3847" w:rsidRPr="00EF314B">
        <w:rPr>
          <w:rFonts w:ascii="Arial" w:hAnsi="Arial" w:cs="Arial"/>
          <w:color w:val="808080" w:themeColor="background1" w:themeShade="80"/>
          <w:sz w:val="22"/>
          <w:szCs w:val="22"/>
          <w:lang w:val="en-GB"/>
        </w:rPr>
        <w:t xml:space="preserve"> relates to</w:t>
      </w:r>
      <w:r w:rsidRPr="00EF314B">
        <w:rPr>
          <w:rFonts w:ascii="Arial" w:hAnsi="Arial" w:cs="Arial"/>
          <w:color w:val="808080" w:themeColor="background1" w:themeShade="80"/>
          <w:sz w:val="22"/>
          <w:szCs w:val="22"/>
          <w:lang w:val="en-GB"/>
        </w:rPr>
        <w:t xml:space="preserve"> </w:t>
      </w:r>
      <w:r w:rsidR="005046CA" w:rsidRPr="00EF314B">
        <w:rPr>
          <w:rFonts w:ascii="Arial" w:hAnsi="Arial" w:cs="Arial"/>
          <w:color w:val="808080" w:themeColor="background1" w:themeShade="80"/>
          <w:sz w:val="22"/>
          <w:szCs w:val="22"/>
          <w:lang w:val="en-GB"/>
        </w:rPr>
        <w:t>costs. Universalism would</w:t>
      </w:r>
      <w:r w:rsidR="00C96A42" w:rsidRPr="00EF314B">
        <w:rPr>
          <w:rFonts w:ascii="Arial" w:hAnsi="Arial" w:cs="Arial"/>
          <w:color w:val="808080" w:themeColor="background1" w:themeShade="80"/>
          <w:sz w:val="22"/>
          <w:szCs w:val="22"/>
          <w:lang w:val="en-GB"/>
        </w:rPr>
        <w:t>, in theory,</w:t>
      </w:r>
      <w:r w:rsidR="005046CA" w:rsidRPr="00EF314B">
        <w:rPr>
          <w:rFonts w:ascii="Arial" w:hAnsi="Arial" w:cs="Arial"/>
          <w:color w:val="808080" w:themeColor="background1" w:themeShade="80"/>
          <w:sz w:val="22"/>
          <w:szCs w:val="22"/>
          <w:lang w:val="en-GB"/>
        </w:rPr>
        <w:t xml:space="preserve"> be </w:t>
      </w:r>
      <w:r w:rsidR="008A3847" w:rsidRPr="00EF314B">
        <w:rPr>
          <w:rFonts w:ascii="Arial" w:hAnsi="Arial" w:cs="Arial"/>
          <w:color w:val="808080" w:themeColor="background1" w:themeShade="80"/>
          <w:sz w:val="22"/>
          <w:szCs w:val="22"/>
          <w:lang w:val="en-GB"/>
        </w:rPr>
        <w:t>more</w:t>
      </w:r>
      <w:r w:rsidR="005046CA" w:rsidRPr="00EF314B">
        <w:rPr>
          <w:rFonts w:ascii="Arial" w:hAnsi="Arial" w:cs="Arial"/>
          <w:color w:val="808080" w:themeColor="background1" w:themeShade="80"/>
          <w:sz w:val="22"/>
          <w:szCs w:val="22"/>
          <w:lang w:val="en-GB"/>
        </w:rPr>
        <w:t xml:space="preserve"> </w:t>
      </w:r>
      <w:r w:rsidR="00CF4305" w:rsidRPr="00EF314B">
        <w:rPr>
          <w:rFonts w:ascii="Arial" w:hAnsi="Arial" w:cs="Arial"/>
          <w:color w:val="808080" w:themeColor="background1" w:themeShade="80"/>
          <w:sz w:val="22"/>
          <w:szCs w:val="22"/>
          <w:lang w:val="en-GB"/>
        </w:rPr>
        <w:t xml:space="preserve">a </w:t>
      </w:r>
      <w:r w:rsidR="005046CA" w:rsidRPr="00EF314B">
        <w:rPr>
          <w:rFonts w:ascii="Arial" w:hAnsi="Arial" w:cs="Arial"/>
          <w:color w:val="808080" w:themeColor="background1" w:themeShade="80"/>
          <w:sz w:val="22"/>
          <w:szCs w:val="22"/>
          <w:lang w:val="en-GB"/>
        </w:rPr>
        <w:t>cost</w:t>
      </w:r>
      <w:r w:rsidR="00C96A42" w:rsidRPr="00EF314B">
        <w:rPr>
          <w:rFonts w:ascii="Arial" w:hAnsi="Arial" w:cs="Arial"/>
          <w:color w:val="808080" w:themeColor="background1" w:themeShade="80"/>
          <w:sz w:val="22"/>
          <w:szCs w:val="22"/>
          <w:lang w:val="en-GB"/>
        </w:rPr>
        <w:t>-</w:t>
      </w:r>
      <w:r w:rsidR="005046CA" w:rsidRPr="00EF314B">
        <w:rPr>
          <w:rFonts w:ascii="Arial" w:hAnsi="Arial" w:cs="Arial"/>
          <w:color w:val="808080" w:themeColor="background1" w:themeShade="80"/>
          <w:sz w:val="22"/>
          <w:szCs w:val="22"/>
          <w:lang w:val="en-GB"/>
        </w:rPr>
        <w:t xml:space="preserve">effective approach </w:t>
      </w:r>
      <w:r w:rsidR="00235A27" w:rsidRPr="00EF314B">
        <w:rPr>
          <w:rFonts w:ascii="Arial" w:hAnsi="Arial" w:cs="Arial"/>
          <w:color w:val="808080" w:themeColor="background1" w:themeShade="80"/>
          <w:sz w:val="22"/>
          <w:szCs w:val="22"/>
          <w:lang w:val="en-GB"/>
        </w:rPr>
        <w:t>as there would be a “unity of proceedings”</w:t>
      </w:r>
      <w:r w:rsidR="007A6934">
        <w:rPr>
          <w:rStyle w:val="FootnoteReference"/>
          <w:rFonts w:ascii="Arial" w:hAnsi="Arial" w:cs="Arial"/>
          <w:color w:val="808080" w:themeColor="background1" w:themeShade="80"/>
          <w:sz w:val="22"/>
          <w:szCs w:val="22"/>
          <w:lang w:val="en-GB"/>
        </w:rPr>
        <w:footnoteReference w:id="10"/>
      </w:r>
      <w:r w:rsidR="00235A27" w:rsidRPr="00EF314B">
        <w:rPr>
          <w:rFonts w:ascii="Arial" w:hAnsi="Arial" w:cs="Arial"/>
          <w:color w:val="808080" w:themeColor="background1" w:themeShade="80"/>
          <w:sz w:val="22"/>
          <w:szCs w:val="22"/>
          <w:lang w:val="en-GB"/>
        </w:rPr>
        <w:t xml:space="preserve"> </w:t>
      </w:r>
      <w:r w:rsidR="005046CA" w:rsidRPr="00EF314B">
        <w:rPr>
          <w:rFonts w:ascii="Arial" w:hAnsi="Arial" w:cs="Arial"/>
          <w:color w:val="808080" w:themeColor="background1" w:themeShade="80"/>
          <w:sz w:val="22"/>
          <w:szCs w:val="22"/>
          <w:lang w:val="en-GB"/>
        </w:rPr>
        <w:t>whereas territorialism would be more costly due to the possib</w:t>
      </w:r>
      <w:r w:rsidR="00C96A42" w:rsidRPr="00EF314B">
        <w:rPr>
          <w:rFonts w:ascii="Arial" w:hAnsi="Arial" w:cs="Arial"/>
          <w:color w:val="808080" w:themeColor="background1" w:themeShade="80"/>
          <w:sz w:val="22"/>
          <w:szCs w:val="22"/>
          <w:lang w:val="en-GB"/>
        </w:rPr>
        <w:t>ilit</w:t>
      </w:r>
      <w:r w:rsidR="005046CA" w:rsidRPr="00EF314B">
        <w:rPr>
          <w:rFonts w:ascii="Arial" w:hAnsi="Arial" w:cs="Arial"/>
          <w:color w:val="808080" w:themeColor="background1" w:themeShade="80"/>
          <w:sz w:val="22"/>
          <w:szCs w:val="22"/>
          <w:lang w:val="en-GB"/>
        </w:rPr>
        <w:t>y of multiple concurrent proceedings.</w:t>
      </w:r>
    </w:p>
    <w:p w14:paraId="35E83C28" w14:textId="77777777" w:rsidR="00235A27" w:rsidRPr="00EF314B" w:rsidRDefault="00235A27" w:rsidP="00DA42DA">
      <w:pPr>
        <w:jc w:val="both"/>
        <w:rPr>
          <w:rFonts w:ascii="Arial" w:hAnsi="Arial" w:cs="Arial"/>
          <w:color w:val="808080" w:themeColor="background1" w:themeShade="80"/>
          <w:sz w:val="22"/>
          <w:szCs w:val="22"/>
          <w:lang w:val="en-GB"/>
        </w:rPr>
      </w:pPr>
    </w:p>
    <w:p w14:paraId="7B4925C5" w14:textId="70EBECCE" w:rsidR="008A3847" w:rsidRPr="00EF314B" w:rsidRDefault="008A3847" w:rsidP="00DA42DA">
      <w:pPr>
        <w:jc w:val="both"/>
        <w:rPr>
          <w:rFonts w:ascii="Arial" w:hAnsi="Arial" w:cs="Arial"/>
          <w:color w:val="808080" w:themeColor="background1" w:themeShade="80"/>
          <w:sz w:val="22"/>
          <w:szCs w:val="22"/>
          <w:lang w:val="en-GB"/>
        </w:rPr>
      </w:pPr>
      <w:r w:rsidRPr="00EF314B">
        <w:rPr>
          <w:rFonts w:ascii="Arial" w:hAnsi="Arial" w:cs="Arial"/>
          <w:color w:val="808080" w:themeColor="background1" w:themeShade="80"/>
          <w:sz w:val="22"/>
          <w:szCs w:val="22"/>
          <w:lang w:val="en-GB"/>
        </w:rPr>
        <w:t xml:space="preserve">A further difference </w:t>
      </w:r>
      <w:r w:rsidR="00CF4305" w:rsidRPr="00EF314B">
        <w:rPr>
          <w:rFonts w:ascii="Arial" w:hAnsi="Arial" w:cs="Arial"/>
          <w:color w:val="808080" w:themeColor="background1" w:themeShade="80"/>
          <w:sz w:val="22"/>
          <w:szCs w:val="22"/>
          <w:lang w:val="en-GB"/>
        </w:rPr>
        <w:t>between the principle</w:t>
      </w:r>
      <w:r w:rsidR="0090386A">
        <w:rPr>
          <w:rFonts w:ascii="Arial" w:hAnsi="Arial" w:cs="Arial"/>
          <w:color w:val="808080" w:themeColor="background1" w:themeShade="80"/>
          <w:sz w:val="22"/>
          <w:szCs w:val="22"/>
          <w:lang w:val="en-GB"/>
        </w:rPr>
        <w:t>s</w:t>
      </w:r>
      <w:r w:rsidR="00CF4305" w:rsidRPr="00EF314B">
        <w:rPr>
          <w:rFonts w:ascii="Arial" w:hAnsi="Arial" w:cs="Arial"/>
          <w:color w:val="808080" w:themeColor="background1" w:themeShade="80"/>
          <w:sz w:val="22"/>
          <w:szCs w:val="22"/>
          <w:lang w:val="en-GB"/>
        </w:rPr>
        <w:t xml:space="preserve"> of universalism and territorial is the</w:t>
      </w:r>
      <w:r w:rsidRPr="00EF314B">
        <w:rPr>
          <w:rFonts w:ascii="Arial" w:hAnsi="Arial" w:cs="Arial"/>
          <w:color w:val="808080" w:themeColor="background1" w:themeShade="80"/>
          <w:sz w:val="22"/>
          <w:szCs w:val="22"/>
          <w:lang w:val="en-GB"/>
        </w:rPr>
        <w:t xml:space="preserve"> domestic market</w:t>
      </w:r>
      <w:r w:rsidR="00CF4305" w:rsidRPr="00EF314B">
        <w:rPr>
          <w:rFonts w:ascii="Arial" w:hAnsi="Arial" w:cs="Arial"/>
          <w:color w:val="808080" w:themeColor="background1" w:themeShade="80"/>
          <w:sz w:val="22"/>
          <w:szCs w:val="22"/>
          <w:lang w:val="en-GB"/>
        </w:rPr>
        <w:t>. Universalism</w:t>
      </w:r>
      <w:r w:rsidR="00C96A42" w:rsidRPr="00EF314B">
        <w:rPr>
          <w:rFonts w:ascii="Arial" w:hAnsi="Arial" w:cs="Arial"/>
          <w:color w:val="808080" w:themeColor="background1" w:themeShade="80"/>
          <w:sz w:val="22"/>
          <w:szCs w:val="22"/>
          <w:lang w:val="en-GB"/>
        </w:rPr>
        <w:t>, because of its nature, can cause uncertainty in the domestic market and to domestic creditors as proceedings</w:t>
      </w:r>
      <w:r w:rsidR="007A6934">
        <w:rPr>
          <w:rStyle w:val="FootnoteReference"/>
          <w:rFonts w:ascii="Arial" w:hAnsi="Arial" w:cs="Arial"/>
          <w:color w:val="808080" w:themeColor="background1" w:themeShade="80"/>
          <w:sz w:val="22"/>
          <w:szCs w:val="22"/>
          <w:lang w:val="en-GB"/>
        </w:rPr>
        <w:footnoteReference w:id="11"/>
      </w:r>
      <w:r w:rsidR="00C96A42" w:rsidRPr="00EF314B">
        <w:rPr>
          <w:rFonts w:ascii="Arial" w:hAnsi="Arial" w:cs="Arial"/>
          <w:color w:val="808080" w:themeColor="background1" w:themeShade="80"/>
          <w:sz w:val="22"/>
          <w:szCs w:val="22"/>
          <w:lang w:val="en-GB"/>
        </w:rPr>
        <w:t xml:space="preserve"> are confined to one jurisdiction- this would especially be the case if the jurisdiction with carriage of the main proceedings may have different insolvency standards from </w:t>
      </w:r>
      <w:r w:rsidR="0090386A">
        <w:rPr>
          <w:rFonts w:ascii="Arial" w:hAnsi="Arial" w:cs="Arial"/>
          <w:color w:val="808080" w:themeColor="background1" w:themeShade="80"/>
          <w:sz w:val="22"/>
          <w:szCs w:val="22"/>
          <w:lang w:val="en-GB"/>
        </w:rPr>
        <w:t xml:space="preserve">a </w:t>
      </w:r>
      <w:r w:rsidR="00C96A42" w:rsidRPr="00EF314B">
        <w:rPr>
          <w:rFonts w:ascii="Arial" w:hAnsi="Arial" w:cs="Arial"/>
          <w:color w:val="808080" w:themeColor="background1" w:themeShade="80"/>
          <w:sz w:val="22"/>
          <w:szCs w:val="22"/>
          <w:lang w:val="en-GB"/>
        </w:rPr>
        <w:t>domestic creditor’s jurisdiction. Territorialism on the other hand would cater to local creditors and the domestic market due to</w:t>
      </w:r>
      <w:r w:rsidR="00CC66C3" w:rsidRPr="00EF314B">
        <w:rPr>
          <w:rFonts w:ascii="Arial" w:hAnsi="Arial" w:cs="Arial"/>
          <w:color w:val="808080" w:themeColor="background1" w:themeShade="80"/>
          <w:sz w:val="22"/>
          <w:szCs w:val="22"/>
          <w:lang w:val="en-GB"/>
        </w:rPr>
        <w:t xml:space="preserve"> proceedings being limited to the jurisdiction where the assets are based</w:t>
      </w:r>
      <w:r w:rsidR="0090386A">
        <w:rPr>
          <w:rFonts w:ascii="Arial" w:hAnsi="Arial" w:cs="Arial"/>
          <w:color w:val="808080" w:themeColor="background1" w:themeShade="80"/>
          <w:sz w:val="22"/>
          <w:szCs w:val="22"/>
          <w:lang w:val="en-GB"/>
        </w:rPr>
        <w:t>.</w:t>
      </w:r>
      <w:r w:rsidR="00C21972">
        <w:rPr>
          <w:rStyle w:val="FootnoteReference"/>
          <w:rFonts w:ascii="Arial" w:hAnsi="Arial" w:cs="Arial"/>
          <w:color w:val="808080" w:themeColor="background1" w:themeShade="80"/>
          <w:sz w:val="22"/>
          <w:szCs w:val="22"/>
          <w:lang w:val="en-GB"/>
        </w:rPr>
        <w:footnoteReference w:id="12"/>
      </w:r>
      <w:r w:rsidR="0090386A">
        <w:rPr>
          <w:rFonts w:ascii="Arial" w:hAnsi="Arial" w:cs="Arial"/>
          <w:color w:val="808080" w:themeColor="background1" w:themeShade="80"/>
          <w:sz w:val="22"/>
          <w:szCs w:val="22"/>
          <w:lang w:val="en-GB"/>
        </w:rPr>
        <w:t xml:space="preserve"> It is likely</w:t>
      </w:r>
      <w:r w:rsidR="00CC66C3" w:rsidRPr="00EF314B">
        <w:rPr>
          <w:rFonts w:ascii="Arial" w:hAnsi="Arial" w:cs="Arial"/>
          <w:color w:val="808080" w:themeColor="background1" w:themeShade="80"/>
          <w:sz w:val="22"/>
          <w:szCs w:val="22"/>
          <w:lang w:val="en-GB"/>
        </w:rPr>
        <w:t xml:space="preserve"> however</w:t>
      </w:r>
      <w:r w:rsidR="0090386A">
        <w:rPr>
          <w:rFonts w:ascii="Arial" w:hAnsi="Arial" w:cs="Arial"/>
          <w:color w:val="808080" w:themeColor="background1" w:themeShade="80"/>
          <w:sz w:val="22"/>
          <w:szCs w:val="22"/>
          <w:lang w:val="en-GB"/>
        </w:rPr>
        <w:t xml:space="preserve"> that </w:t>
      </w:r>
      <w:r w:rsidR="00CC66C3" w:rsidRPr="00EF314B">
        <w:rPr>
          <w:rFonts w:ascii="Arial" w:hAnsi="Arial" w:cs="Arial"/>
          <w:color w:val="808080" w:themeColor="background1" w:themeShade="80"/>
          <w:sz w:val="22"/>
          <w:szCs w:val="22"/>
          <w:lang w:val="en-GB"/>
        </w:rPr>
        <w:t>territorialism would be more costly financially (as mentioned in the previous paragraph)</w:t>
      </w:r>
      <w:r w:rsidR="0090386A">
        <w:rPr>
          <w:rFonts w:ascii="Arial" w:hAnsi="Arial" w:cs="Arial"/>
          <w:color w:val="808080" w:themeColor="background1" w:themeShade="80"/>
          <w:sz w:val="22"/>
          <w:szCs w:val="22"/>
          <w:lang w:val="en-GB"/>
        </w:rPr>
        <w:t xml:space="preserve"> due to multiple proceedings</w:t>
      </w:r>
      <w:r w:rsidR="00CC66C3" w:rsidRPr="00EF314B">
        <w:rPr>
          <w:rFonts w:ascii="Arial" w:hAnsi="Arial" w:cs="Arial"/>
          <w:color w:val="808080" w:themeColor="background1" w:themeShade="80"/>
          <w:sz w:val="22"/>
          <w:szCs w:val="22"/>
          <w:lang w:val="en-GB"/>
        </w:rPr>
        <w:t xml:space="preserve"> and can present practical challenges to creditors who may have to participate in </w:t>
      </w:r>
      <w:r w:rsidR="00CC66C3" w:rsidRPr="00EF314B">
        <w:rPr>
          <w:rFonts w:ascii="Arial" w:hAnsi="Arial" w:cs="Arial"/>
          <w:color w:val="808080" w:themeColor="background1" w:themeShade="80"/>
          <w:sz w:val="22"/>
          <w:szCs w:val="22"/>
          <w:lang w:val="en-GB"/>
        </w:rPr>
        <w:lastRenderedPageBreak/>
        <w:t>insolvency proceedings in jurisdictions they are not familiar with</w:t>
      </w:r>
      <w:r w:rsidR="0090386A">
        <w:rPr>
          <w:rFonts w:ascii="Arial" w:hAnsi="Arial" w:cs="Arial"/>
          <w:color w:val="808080" w:themeColor="background1" w:themeShade="80"/>
          <w:sz w:val="22"/>
          <w:szCs w:val="22"/>
          <w:lang w:val="en-GB"/>
        </w:rPr>
        <w:t xml:space="preserve"> (or perhaps forego participating due to costs or impracticality).</w:t>
      </w:r>
    </w:p>
    <w:p w14:paraId="58203E35" w14:textId="77777777" w:rsidR="00C96A42" w:rsidRPr="00EF314B" w:rsidRDefault="00C96A42" w:rsidP="00DA42DA">
      <w:pPr>
        <w:jc w:val="both"/>
        <w:rPr>
          <w:rFonts w:ascii="Arial" w:hAnsi="Arial" w:cs="Arial"/>
          <w:color w:val="808080" w:themeColor="background1" w:themeShade="80"/>
          <w:sz w:val="22"/>
          <w:szCs w:val="22"/>
          <w:lang w:val="en-GB"/>
        </w:rPr>
      </w:pPr>
    </w:p>
    <w:p w14:paraId="44A09D25" w14:textId="1A566714" w:rsidR="005046CA" w:rsidRPr="00EF314B" w:rsidRDefault="00235A27" w:rsidP="00DA42DA">
      <w:pPr>
        <w:jc w:val="both"/>
        <w:rPr>
          <w:rFonts w:ascii="Arial" w:hAnsi="Arial" w:cs="Arial"/>
          <w:color w:val="808080" w:themeColor="background1" w:themeShade="80"/>
          <w:sz w:val="22"/>
          <w:szCs w:val="22"/>
          <w:lang w:val="en-GB"/>
        </w:rPr>
      </w:pPr>
      <w:r w:rsidRPr="00EF314B">
        <w:rPr>
          <w:rFonts w:ascii="Arial" w:hAnsi="Arial" w:cs="Arial"/>
          <w:color w:val="808080" w:themeColor="background1" w:themeShade="80"/>
          <w:sz w:val="22"/>
          <w:szCs w:val="22"/>
          <w:lang w:val="en-GB"/>
        </w:rPr>
        <w:t>The principle of modified universalism</w:t>
      </w:r>
      <w:r w:rsidR="008A3847" w:rsidRPr="00EF314B">
        <w:rPr>
          <w:rFonts w:ascii="Arial" w:hAnsi="Arial" w:cs="Arial"/>
          <w:color w:val="808080" w:themeColor="background1" w:themeShade="80"/>
          <w:sz w:val="22"/>
          <w:szCs w:val="22"/>
          <w:lang w:val="en-GB"/>
        </w:rPr>
        <w:t xml:space="preserve"> differs from the principle of universalism because the former (when adopted) would mea</w:t>
      </w:r>
      <w:r w:rsidR="00CC66C3" w:rsidRPr="00EF314B">
        <w:rPr>
          <w:rFonts w:ascii="Arial" w:hAnsi="Arial" w:cs="Arial"/>
          <w:color w:val="808080" w:themeColor="background1" w:themeShade="80"/>
          <w:sz w:val="22"/>
          <w:szCs w:val="22"/>
          <w:lang w:val="en-GB"/>
        </w:rPr>
        <w:t xml:space="preserve">n </w:t>
      </w:r>
      <w:r w:rsidR="00373C73" w:rsidRPr="00EF314B">
        <w:rPr>
          <w:rFonts w:ascii="Arial" w:hAnsi="Arial" w:cs="Arial"/>
          <w:color w:val="808080" w:themeColor="background1" w:themeShade="80"/>
          <w:sz w:val="22"/>
          <w:szCs w:val="22"/>
          <w:lang w:val="en-GB"/>
        </w:rPr>
        <w:t xml:space="preserve">multiple proceedings: </w:t>
      </w:r>
      <w:r w:rsidR="00CC66C3" w:rsidRPr="00EF314B">
        <w:rPr>
          <w:rFonts w:ascii="Arial" w:hAnsi="Arial" w:cs="Arial"/>
          <w:color w:val="808080" w:themeColor="background1" w:themeShade="80"/>
          <w:sz w:val="22"/>
          <w:szCs w:val="22"/>
          <w:lang w:val="en-GB"/>
        </w:rPr>
        <w:t xml:space="preserve">the commencement of main proceedings </w:t>
      </w:r>
      <w:r w:rsidR="008A3847" w:rsidRPr="00EF314B">
        <w:rPr>
          <w:rFonts w:ascii="Arial" w:hAnsi="Arial" w:cs="Arial"/>
          <w:color w:val="808080" w:themeColor="background1" w:themeShade="80"/>
          <w:sz w:val="22"/>
          <w:szCs w:val="22"/>
          <w:lang w:val="en-GB"/>
        </w:rPr>
        <w:t>in a jurisdiction where the centre of main interests is</w:t>
      </w:r>
      <w:r w:rsidR="00373C73" w:rsidRPr="00EF314B">
        <w:rPr>
          <w:rFonts w:ascii="Arial" w:hAnsi="Arial" w:cs="Arial"/>
          <w:color w:val="808080" w:themeColor="background1" w:themeShade="80"/>
          <w:sz w:val="22"/>
          <w:szCs w:val="22"/>
          <w:lang w:val="en-GB"/>
        </w:rPr>
        <w:t xml:space="preserve"> which is</w:t>
      </w:r>
      <w:r w:rsidR="008A3847" w:rsidRPr="00EF314B">
        <w:rPr>
          <w:rFonts w:ascii="Arial" w:hAnsi="Arial" w:cs="Arial"/>
          <w:color w:val="808080" w:themeColor="background1" w:themeShade="80"/>
          <w:sz w:val="22"/>
          <w:szCs w:val="22"/>
          <w:lang w:val="en-GB"/>
        </w:rPr>
        <w:t xml:space="preserve"> </w:t>
      </w:r>
      <w:r w:rsidR="0090386A">
        <w:rPr>
          <w:rFonts w:ascii="Arial" w:hAnsi="Arial" w:cs="Arial"/>
          <w:color w:val="808080" w:themeColor="background1" w:themeShade="80"/>
          <w:sz w:val="22"/>
          <w:szCs w:val="22"/>
          <w:lang w:val="en-GB"/>
        </w:rPr>
        <w:t xml:space="preserve">then </w:t>
      </w:r>
      <w:r w:rsidR="008A3847" w:rsidRPr="00EF314B">
        <w:rPr>
          <w:rFonts w:ascii="Arial" w:hAnsi="Arial" w:cs="Arial"/>
          <w:color w:val="808080" w:themeColor="background1" w:themeShade="80"/>
          <w:sz w:val="22"/>
          <w:szCs w:val="22"/>
          <w:lang w:val="en-GB"/>
        </w:rPr>
        <w:t>supported by secondary proceedings in another jurisdiction</w:t>
      </w:r>
      <w:r w:rsidR="00373C73" w:rsidRPr="00EF314B">
        <w:rPr>
          <w:rFonts w:ascii="Arial" w:hAnsi="Arial" w:cs="Arial"/>
          <w:color w:val="808080" w:themeColor="background1" w:themeShade="80"/>
          <w:sz w:val="22"/>
          <w:szCs w:val="22"/>
          <w:lang w:val="en-GB"/>
        </w:rPr>
        <w:t xml:space="preserve"> (unlike universalism, which</w:t>
      </w:r>
      <w:r w:rsidR="0090386A">
        <w:rPr>
          <w:rFonts w:ascii="Arial" w:hAnsi="Arial" w:cs="Arial"/>
          <w:color w:val="808080" w:themeColor="background1" w:themeShade="80"/>
          <w:sz w:val="22"/>
          <w:szCs w:val="22"/>
          <w:lang w:val="en-GB"/>
        </w:rPr>
        <w:t>,</w:t>
      </w:r>
      <w:r w:rsidR="00373C73" w:rsidRPr="00EF314B">
        <w:rPr>
          <w:rFonts w:ascii="Arial" w:hAnsi="Arial" w:cs="Arial"/>
          <w:color w:val="808080" w:themeColor="background1" w:themeShade="80"/>
          <w:sz w:val="22"/>
          <w:szCs w:val="22"/>
          <w:lang w:val="en-GB"/>
        </w:rPr>
        <w:t xml:space="preserve"> when adopted, would mean unity of proceedings)</w:t>
      </w:r>
      <w:r w:rsidR="008A3847" w:rsidRPr="00EF314B">
        <w:rPr>
          <w:rFonts w:ascii="Arial" w:hAnsi="Arial" w:cs="Arial"/>
          <w:color w:val="808080" w:themeColor="background1" w:themeShade="80"/>
          <w:sz w:val="22"/>
          <w:szCs w:val="22"/>
          <w:lang w:val="en-GB"/>
        </w:rPr>
        <w:t>.</w:t>
      </w:r>
    </w:p>
    <w:p w14:paraId="039E27B5" w14:textId="43F06D19" w:rsidR="00C82D87" w:rsidRDefault="00C82D87" w:rsidP="005046CA">
      <w:pPr>
        <w:jc w:val="both"/>
        <w:rPr>
          <w:rFonts w:ascii="Avenir Next" w:hAnsi="Avenir Next" w:cs="Arial"/>
          <w:sz w:val="22"/>
          <w:szCs w:val="22"/>
          <w:lang w:val="en-GB"/>
        </w:rPr>
      </w:pPr>
    </w:p>
    <w:p w14:paraId="5EA8729F" w14:textId="77777777" w:rsidR="005046CA" w:rsidRPr="004216EA" w:rsidRDefault="005046CA" w:rsidP="005046CA">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3220949B" w14:textId="77777777" w:rsidR="00A3707E" w:rsidRDefault="00A3707E" w:rsidP="00DA42DA">
      <w:pPr>
        <w:jc w:val="both"/>
        <w:rPr>
          <w:rFonts w:ascii="Avenir Next" w:hAnsi="Avenir Next" w:cs="Arial"/>
          <w:color w:val="808080" w:themeColor="background1" w:themeShade="80"/>
          <w:sz w:val="22"/>
          <w:szCs w:val="22"/>
          <w:lang w:val="en-GB"/>
        </w:rPr>
      </w:pPr>
    </w:p>
    <w:p w14:paraId="3F82DB9A" w14:textId="77777777" w:rsidR="003940FF" w:rsidRPr="00515E1F" w:rsidRDefault="002845D5" w:rsidP="00DA42DA">
      <w:pPr>
        <w:jc w:val="both"/>
        <w:rPr>
          <w:rFonts w:ascii="Arial" w:hAnsi="Arial" w:cs="Arial"/>
          <w:color w:val="808080" w:themeColor="background1" w:themeShade="80"/>
          <w:sz w:val="22"/>
          <w:szCs w:val="22"/>
          <w:lang w:val="en-GB"/>
        </w:rPr>
      </w:pPr>
      <w:r w:rsidRPr="00515E1F">
        <w:rPr>
          <w:rFonts w:ascii="Arial" w:hAnsi="Arial" w:cs="Arial"/>
          <w:color w:val="808080" w:themeColor="background1" w:themeShade="80"/>
          <w:sz w:val="22"/>
          <w:szCs w:val="22"/>
          <w:lang w:val="en-GB"/>
        </w:rPr>
        <w:t xml:space="preserve">Latin American countries have several adopted several initiatives to assist in resolving international insolvency issues. </w:t>
      </w:r>
      <w:r w:rsidR="000477FC" w:rsidRPr="00515E1F">
        <w:rPr>
          <w:rFonts w:ascii="Arial" w:hAnsi="Arial" w:cs="Arial"/>
          <w:color w:val="808080" w:themeColor="background1" w:themeShade="80"/>
          <w:sz w:val="22"/>
          <w:szCs w:val="22"/>
          <w:lang w:val="en-GB"/>
        </w:rPr>
        <w:t>These are</w:t>
      </w:r>
      <w:r w:rsidR="003940FF" w:rsidRPr="00515E1F">
        <w:rPr>
          <w:rFonts w:ascii="Arial" w:hAnsi="Arial" w:cs="Arial"/>
          <w:color w:val="808080" w:themeColor="background1" w:themeShade="80"/>
          <w:sz w:val="22"/>
          <w:szCs w:val="22"/>
          <w:lang w:val="en-GB"/>
        </w:rPr>
        <w:t>:</w:t>
      </w:r>
    </w:p>
    <w:p w14:paraId="6FA97D42" w14:textId="59D29FB9" w:rsidR="003940FF" w:rsidRPr="00515E1F" w:rsidRDefault="000477FC" w:rsidP="003940FF">
      <w:pPr>
        <w:pStyle w:val="ListParagraph"/>
        <w:numPr>
          <w:ilvl w:val="0"/>
          <w:numId w:val="35"/>
        </w:numPr>
        <w:jc w:val="both"/>
        <w:rPr>
          <w:rFonts w:ascii="Arial" w:hAnsi="Arial" w:cs="Arial"/>
          <w:color w:val="808080" w:themeColor="background1" w:themeShade="80"/>
          <w:sz w:val="22"/>
          <w:szCs w:val="22"/>
          <w:lang w:val="en-GB"/>
        </w:rPr>
      </w:pPr>
      <w:r w:rsidRPr="00515E1F">
        <w:rPr>
          <w:rFonts w:ascii="Arial" w:hAnsi="Arial" w:cs="Arial"/>
          <w:color w:val="808080" w:themeColor="background1" w:themeShade="80"/>
          <w:sz w:val="22"/>
          <w:szCs w:val="22"/>
          <w:lang w:val="en-GB"/>
        </w:rPr>
        <w:t>the Montevideo Treat</w:t>
      </w:r>
      <w:r w:rsidR="003940FF" w:rsidRPr="00515E1F">
        <w:rPr>
          <w:rFonts w:ascii="Arial" w:hAnsi="Arial" w:cs="Arial"/>
          <w:color w:val="808080" w:themeColor="background1" w:themeShade="80"/>
          <w:sz w:val="22"/>
          <w:szCs w:val="22"/>
          <w:lang w:val="en-GB"/>
        </w:rPr>
        <w:t>y on International Commercial Law (</w:t>
      </w:r>
      <w:r w:rsidRPr="00515E1F">
        <w:rPr>
          <w:rFonts w:ascii="Arial" w:hAnsi="Arial" w:cs="Arial"/>
          <w:color w:val="808080" w:themeColor="background1" w:themeShade="80"/>
          <w:sz w:val="22"/>
          <w:szCs w:val="22"/>
          <w:lang w:val="en-GB"/>
        </w:rPr>
        <w:t>1889)</w:t>
      </w:r>
      <w:r w:rsidR="003940FF" w:rsidRPr="00515E1F">
        <w:rPr>
          <w:rFonts w:ascii="Arial" w:hAnsi="Arial" w:cs="Arial"/>
          <w:color w:val="808080" w:themeColor="background1" w:themeShade="80"/>
          <w:sz w:val="22"/>
          <w:szCs w:val="22"/>
          <w:lang w:val="en-GB"/>
        </w:rPr>
        <w:t xml:space="preserve"> (“</w:t>
      </w:r>
      <w:r w:rsidR="003940FF" w:rsidRPr="00515E1F">
        <w:rPr>
          <w:rFonts w:ascii="Arial" w:hAnsi="Arial" w:cs="Arial"/>
          <w:b/>
          <w:bCs/>
          <w:color w:val="808080" w:themeColor="background1" w:themeShade="80"/>
          <w:sz w:val="22"/>
          <w:szCs w:val="22"/>
          <w:lang w:val="en-GB"/>
        </w:rPr>
        <w:t>1889 Montevideo Treaty</w:t>
      </w:r>
      <w:r w:rsidR="003940FF" w:rsidRPr="00515E1F">
        <w:rPr>
          <w:rFonts w:ascii="Arial" w:hAnsi="Arial" w:cs="Arial"/>
          <w:color w:val="808080" w:themeColor="background1" w:themeShade="80"/>
          <w:sz w:val="22"/>
          <w:szCs w:val="22"/>
          <w:lang w:val="en-GB"/>
        </w:rPr>
        <w:t>”</w:t>
      </w:r>
      <w:proofErr w:type="gramStart"/>
      <w:r w:rsidR="003940FF" w:rsidRPr="00515E1F">
        <w:rPr>
          <w:rFonts w:ascii="Arial" w:hAnsi="Arial" w:cs="Arial"/>
          <w:color w:val="808080" w:themeColor="background1" w:themeShade="80"/>
          <w:sz w:val="22"/>
          <w:szCs w:val="22"/>
          <w:lang w:val="en-GB"/>
        </w:rPr>
        <w:t>);</w:t>
      </w:r>
      <w:proofErr w:type="gramEnd"/>
      <w:r w:rsidRPr="00515E1F">
        <w:rPr>
          <w:rFonts w:ascii="Arial" w:hAnsi="Arial" w:cs="Arial"/>
          <w:color w:val="808080" w:themeColor="background1" w:themeShade="80"/>
          <w:sz w:val="22"/>
          <w:szCs w:val="22"/>
          <w:lang w:val="en-GB"/>
        </w:rPr>
        <w:t xml:space="preserve"> </w:t>
      </w:r>
    </w:p>
    <w:p w14:paraId="0B1C94E3" w14:textId="4C4E8998" w:rsidR="003940FF" w:rsidRPr="00515E1F" w:rsidRDefault="003940FF" w:rsidP="003940FF">
      <w:pPr>
        <w:pStyle w:val="ListParagraph"/>
        <w:numPr>
          <w:ilvl w:val="0"/>
          <w:numId w:val="35"/>
        </w:numPr>
        <w:jc w:val="both"/>
        <w:rPr>
          <w:rFonts w:ascii="Arial" w:hAnsi="Arial" w:cs="Arial"/>
          <w:color w:val="808080" w:themeColor="background1" w:themeShade="80"/>
          <w:sz w:val="22"/>
          <w:szCs w:val="22"/>
          <w:lang w:val="en-GB"/>
        </w:rPr>
      </w:pPr>
      <w:r w:rsidRPr="00515E1F">
        <w:rPr>
          <w:rFonts w:ascii="Arial" w:hAnsi="Arial" w:cs="Arial"/>
          <w:color w:val="808080" w:themeColor="background1" w:themeShade="80"/>
          <w:sz w:val="22"/>
          <w:szCs w:val="22"/>
          <w:lang w:val="en-GB"/>
        </w:rPr>
        <w:t>the Montevideo Treaty on International Commercial Terrestrial Law</w:t>
      </w:r>
      <w:r w:rsidR="000477FC" w:rsidRPr="00515E1F">
        <w:rPr>
          <w:rFonts w:ascii="Arial" w:hAnsi="Arial" w:cs="Arial"/>
          <w:color w:val="808080" w:themeColor="background1" w:themeShade="80"/>
          <w:sz w:val="22"/>
          <w:szCs w:val="22"/>
          <w:lang w:val="en-GB"/>
        </w:rPr>
        <w:t xml:space="preserve"> (1940)</w:t>
      </w:r>
      <w:r w:rsidRPr="00515E1F">
        <w:rPr>
          <w:rFonts w:ascii="Arial" w:hAnsi="Arial" w:cs="Arial"/>
          <w:color w:val="808080" w:themeColor="background1" w:themeShade="80"/>
          <w:sz w:val="22"/>
          <w:szCs w:val="22"/>
          <w:lang w:val="en-GB"/>
        </w:rPr>
        <w:t xml:space="preserve"> (“</w:t>
      </w:r>
      <w:r w:rsidR="00B27501" w:rsidRPr="00515E1F">
        <w:rPr>
          <w:rFonts w:ascii="Arial" w:hAnsi="Arial" w:cs="Arial"/>
          <w:b/>
          <w:bCs/>
          <w:color w:val="808080" w:themeColor="background1" w:themeShade="80"/>
          <w:sz w:val="22"/>
          <w:szCs w:val="22"/>
          <w:lang w:val="en-GB"/>
        </w:rPr>
        <w:t>1940 Montevideo Treaty</w:t>
      </w:r>
      <w:r w:rsidRPr="00515E1F">
        <w:rPr>
          <w:rFonts w:ascii="Arial" w:hAnsi="Arial" w:cs="Arial"/>
          <w:color w:val="808080" w:themeColor="background1" w:themeShade="80"/>
          <w:sz w:val="22"/>
          <w:szCs w:val="22"/>
          <w:lang w:val="en-GB"/>
        </w:rPr>
        <w:t>”);</w:t>
      </w:r>
      <w:r w:rsidR="000477FC" w:rsidRPr="00515E1F">
        <w:rPr>
          <w:rFonts w:ascii="Arial" w:hAnsi="Arial" w:cs="Arial"/>
          <w:color w:val="808080" w:themeColor="background1" w:themeShade="80"/>
          <w:sz w:val="22"/>
          <w:szCs w:val="22"/>
          <w:lang w:val="en-GB"/>
        </w:rPr>
        <w:t xml:space="preserve"> and</w:t>
      </w:r>
    </w:p>
    <w:p w14:paraId="2651833D" w14:textId="2F98EBDD" w:rsidR="00A3707E" w:rsidRPr="00515E1F" w:rsidRDefault="003940FF" w:rsidP="003940FF">
      <w:pPr>
        <w:pStyle w:val="ListParagraph"/>
        <w:numPr>
          <w:ilvl w:val="0"/>
          <w:numId w:val="35"/>
        </w:numPr>
        <w:jc w:val="both"/>
        <w:rPr>
          <w:rFonts w:ascii="Arial" w:hAnsi="Arial" w:cs="Arial"/>
          <w:color w:val="808080" w:themeColor="background1" w:themeShade="80"/>
          <w:sz w:val="22"/>
          <w:szCs w:val="22"/>
          <w:lang w:val="en-GB"/>
        </w:rPr>
      </w:pPr>
      <w:r w:rsidRPr="00515E1F">
        <w:rPr>
          <w:rFonts w:ascii="Arial" w:hAnsi="Arial" w:cs="Arial"/>
          <w:color w:val="808080" w:themeColor="background1" w:themeShade="80"/>
          <w:sz w:val="22"/>
          <w:szCs w:val="22"/>
          <w:lang w:val="en-GB"/>
        </w:rPr>
        <w:t>the Havana Convention on Private International Law (1928) (“</w:t>
      </w:r>
      <w:bookmarkStart w:id="1" w:name="_Hlk150677251"/>
      <w:r w:rsidRPr="00515E1F">
        <w:rPr>
          <w:rFonts w:ascii="Arial" w:hAnsi="Arial" w:cs="Arial"/>
          <w:b/>
          <w:bCs/>
          <w:color w:val="808080" w:themeColor="background1" w:themeShade="80"/>
          <w:sz w:val="22"/>
          <w:szCs w:val="22"/>
          <w:lang w:val="en-GB"/>
        </w:rPr>
        <w:t>Bustamante Code</w:t>
      </w:r>
      <w:bookmarkEnd w:id="1"/>
      <w:r w:rsidRPr="00515E1F">
        <w:rPr>
          <w:rFonts w:ascii="Arial" w:hAnsi="Arial" w:cs="Arial"/>
          <w:color w:val="808080" w:themeColor="background1" w:themeShade="80"/>
          <w:sz w:val="22"/>
          <w:szCs w:val="22"/>
          <w:lang w:val="en-GB"/>
        </w:rPr>
        <w:t>”)</w:t>
      </w:r>
      <w:r w:rsidR="00BF75EB" w:rsidRPr="00515E1F">
        <w:rPr>
          <w:rFonts w:ascii="Arial" w:hAnsi="Arial" w:cs="Arial"/>
          <w:color w:val="808080" w:themeColor="background1" w:themeShade="80"/>
          <w:sz w:val="22"/>
          <w:szCs w:val="22"/>
          <w:lang w:val="en-GB"/>
        </w:rPr>
        <w:t xml:space="preserve"> (collectively, “</w:t>
      </w:r>
      <w:r w:rsidR="00BF75EB" w:rsidRPr="00515E1F">
        <w:rPr>
          <w:rFonts w:ascii="Arial" w:hAnsi="Arial" w:cs="Arial"/>
          <w:b/>
          <w:bCs/>
          <w:color w:val="808080" w:themeColor="background1" w:themeShade="80"/>
          <w:sz w:val="22"/>
          <w:szCs w:val="22"/>
          <w:lang w:val="en-GB"/>
        </w:rPr>
        <w:t>the Initiatives</w:t>
      </w:r>
      <w:r w:rsidR="00BF75EB" w:rsidRPr="00515E1F">
        <w:rPr>
          <w:rFonts w:ascii="Arial" w:hAnsi="Arial" w:cs="Arial"/>
          <w:color w:val="808080" w:themeColor="background1" w:themeShade="80"/>
          <w:sz w:val="22"/>
          <w:szCs w:val="22"/>
          <w:lang w:val="en-GB"/>
        </w:rPr>
        <w:t>”).</w:t>
      </w:r>
    </w:p>
    <w:p w14:paraId="09B01DBB" w14:textId="77777777" w:rsidR="000477FC" w:rsidRPr="00515E1F" w:rsidRDefault="000477FC" w:rsidP="00DA42DA">
      <w:pPr>
        <w:jc w:val="both"/>
        <w:rPr>
          <w:rFonts w:ascii="Arial" w:hAnsi="Arial" w:cs="Arial"/>
          <w:color w:val="808080" w:themeColor="background1" w:themeShade="80"/>
          <w:sz w:val="22"/>
          <w:szCs w:val="22"/>
          <w:lang w:val="en-GB"/>
        </w:rPr>
      </w:pPr>
    </w:p>
    <w:p w14:paraId="4866A3CF" w14:textId="1F7C92CA" w:rsidR="000477FC" w:rsidRPr="00515E1F" w:rsidRDefault="003940FF" w:rsidP="00DA42DA">
      <w:pPr>
        <w:jc w:val="both"/>
        <w:rPr>
          <w:rFonts w:ascii="Arial" w:hAnsi="Arial" w:cs="Arial"/>
          <w:color w:val="808080" w:themeColor="background1" w:themeShade="80"/>
          <w:sz w:val="22"/>
          <w:szCs w:val="22"/>
          <w:lang w:val="en-GB"/>
        </w:rPr>
      </w:pPr>
      <w:r w:rsidRPr="00515E1F">
        <w:rPr>
          <w:rFonts w:ascii="Arial" w:hAnsi="Arial" w:cs="Arial"/>
          <w:color w:val="808080" w:themeColor="background1" w:themeShade="80"/>
          <w:sz w:val="22"/>
          <w:szCs w:val="22"/>
          <w:lang w:val="en-GB"/>
        </w:rPr>
        <w:t xml:space="preserve">The </w:t>
      </w:r>
      <w:r w:rsidR="00BB6871" w:rsidRPr="00515E1F">
        <w:rPr>
          <w:rFonts w:ascii="Arial" w:hAnsi="Arial" w:cs="Arial"/>
          <w:color w:val="808080" w:themeColor="background1" w:themeShade="80"/>
          <w:sz w:val="22"/>
          <w:szCs w:val="22"/>
          <w:lang w:val="en-GB"/>
        </w:rPr>
        <w:t xml:space="preserve">signatories to the </w:t>
      </w:r>
      <w:r w:rsidRPr="00515E1F">
        <w:rPr>
          <w:rFonts w:ascii="Arial" w:hAnsi="Arial" w:cs="Arial"/>
          <w:color w:val="808080" w:themeColor="background1" w:themeShade="80"/>
          <w:sz w:val="22"/>
          <w:szCs w:val="22"/>
          <w:lang w:val="en-GB"/>
        </w:rPr>
        <w:t>1889 Montevideo Treaty</w:t>
      </w:r>
      <w:r w:rsidR="00BB6871" w:rsidRPr="00515E1F">
        <w:rPr>
          <w:rFonts w:ascii="Arial" w:hAnsi="Arial" w:cs="Arial"/>
          <w:color w:val="808080" w:themeColor="background1" w:themeShade="80"/>
          <w:sz w:val="22"/>
          <w:szCs w:val="22"/>
          <w:lang w:val="en-GB"/>
        </w:rPr>
        <w:t xml:space="preserve"> are Argentina, Bolivia, Col</w:t>
      </w:r>
      <w:r w:rsidR="00515E1F">
        <w:rPr>
          <w:rFonts w:ascii="Arial" w:hAnsi="Arial" w:cs="Arial"/>
          <w:color w:val="808080" w:themeColor="background1" w:themeShade="80"/>
          <w:sz w:val="22"/>
          <w:szCs w:val="22"/>
          <w:lang w:val="en-GB"/>
        </w:rPr>
        <w:t>o</w:t>
      </w:r>
      <w:r w:rsidR="00BB6871" w:rsidRPr="00515E1F">
        <w:rPr>
          <w:rFonts w:ascii="Arial" w:hAnsi="Arial" w:cs="Arial"/>
          <w:color w:val="808080" w:themeColor="background1" w:themeShade="80"/>
          <w:sz w:val="22"/>
          <w:szCs w:val="22"/>
          <w:lang w:val="en-GB"/>
        </w:rPr>
        <w:t xml:space="preserve">mbia, Paraguay, </w:t>
      </w:r>
      <w:proofErr w:type="gramStart"/>
      <w:r w:rsidR="00BB6871" w:rsidRPr="00515E1F">
        <w:rPr>
          <w:rFonts w:ascii="Arial" w:hAnsi="Arial" w:cs="Arial"/>
          <w:color w:val="808080" w:themeColor="background1" w:themeShade="80"/>
          <w:sz w:val="22"/>
          <w:szCs w:val="22"/>
          <w:lang w:val="en-GB"/>
        </w:rPr>
        <w:t>Peru</w:t>
      </w:r>
      <w:proofErr w:type="gramEnd"/>
      <w:r w:rsidR="00BB6871" w:rsidRPr="00515E1F">
        <w:rPr>
          <w:rFonts w:ascii="Arial" w:hAnsi="Arial" w:cs="Arial"/>
          <w:color w:val="808080" w:themeColor="background1" w:themeShade="80"/>
          <w:sz w:val="22"/>
          <w:szCs w:val="22"/>
          <w:lang w:val="en-GB"/>
        </w:rPr>
        <w:t xml:space="preserve"> and Uruguay. The 1889 Montevideo Treaty</w:t>
      </w:r>
      <w:r w:rsidRPr="00515E1F">
        <w:rPr>
          <w:rFonts w:ascii="Arial" w:hAnsi="Arial" w:cs="Arial"/>
          <w:color w:val="808080" w:themeColor="background1" w:themeShade="80"/>
          <w:sz w:val="22"/>
          <w:szCs w:val="22"/>
          <w:lang w:val="en-GB"/>
        </w:rPr>
        <w:t xml:space="preserve"> </w:t>
      </w:r>
      <w:r w:rsidR="00BB6871" w:rsidRPr="00515E1F">
        <w:rPr>
          <w:rFonts w:ascii="Arial" w:hAnsi="Arial" w:cs="Arial"/>
          <w:color w:val="808080" w:themeColor="background1" w:themeShade="80"/>
          <w:sz w:val="22"/>
          <w:szCs w:val="22"/>
          <w:lang w:val="en-GB"/>
        </w:rPr>
        <w:t>covers both individual and corporate insolvency. A debtor’s commercial domicile</w:t>
      </w:r>
      <w:r w:rsidR="00515E1F">
        <w:rPr>
          <w:rFonts w:ascii="Arial" w:hAnsi="Arial" w:cs="Arial"/>
          <w:color w:val="808080" w:themeColor="background1" w:themeShade="80"/>
          <w:sz w:val="22"/>
          <w:szCs w:val="22"/>
          <w:lang w:val="en-GB"/>
        </w:rPr>
        <w:t xml:space="preserve"> is the test that</w:t>
      </w:r>
      <w:r w:rsidR="00BB6871" w:rsidRPr="00515E1F">
        <w:rPr>
          <w:rFonts w:ascii="Arial" w:hAnsi="Arial" w:cs="Arial"/>
          <w:color w:val="808080" w:themeColor="background1" w:themeShade="80"/>
          <w:sz w:val="22"/>
          <w:szCs w:val="22"/>
          <w:lang w:val="en-GB"/>
        </w:rPr>
        <w:t xml:space="preserve"> </w:t>
      </w:r>
      <w:r w:rsidR="001132D0" w:rsidRPr="00515E1F">
        <w:rPr>
          <w:rFonts w:ascii="Arial" w:hAnsi="Arial" w:cs="Arial"/>
          <w:color w:val="808080" w:themeColor="background1" w:themeShade="80"/>
          <w:sz w:val="22"/>
          <w:szCs w:val="22"/>
          <w:lang w:val="en-GB"/>
        </w:rPr>
        <w:t xml:space="preserve">will </w:t>
      </w:r>
      <w:r w:rsidR="00BB6871" w:rsidRPr="00515E1F">
        <w:rPr>
          <w:rFonts w:ascii="Arial" w:hAnsi="Arial" w:cs="Arial"/>
          <w:color w:val="808080" w:themeColor="background1" w:themeShade="80"/>
          <w:sz w:val="22"/>
          <w:szCs w:val="22"/>
          <w:lang w:val="en-GB"/>
        </w:rPr>
        <w:t>determine bankruptcy juri</w:t>
      </w:r>
      <w:r w:rsidR="009736F3" w:rsidRPr="00515E1F">
        <w:rPr>
          <w:rFonts w:ascii="Arial" w:hAnsi="Arial" w:cs="Arial"/>
          <w:color w:val="808080" w:themeColor="background1" w:themeShade="80"/>
          <w:sz w:val="22"/>
          <w:szCs w:val="22"/>
          <w:lang w:val="en-GB"/>
        </w:rPr>
        <w:t xml:space="preserve">sdiction. </w:t>
      </w:r>
      <w:r w:rsidR="0075700A">
        <w:rPr>
          <w:rFonts w:ascii="Arial" w:hAnsi="Arial" w:cs="Arial"/>
          <w:color w:val="808080" w:themeColor="background1" w:themeShade="80"/>
          <w:sz w:val="22"/>
          <w:szCs w:val="22"/>
          <w:lang w:val="en-GB"/>
        </w:rPr>
        <w:t>In the situation where</w:t>
      </w:r>
      <w:r w:rsidR="009736F3" w:rsidRPr="00515E1F">
        <w:rPr>
          <w:rFonts w:ascii="Arial" w:hAnsi="Arial" w:cs="Arial"/>
          <w:color w:val="808080" w:themeColor="background1" w:themeShade="80"/>
          <w:sz w:val="22"/>
          <w:szCs w:val="22"/>
          <w:lang w:val="en-GB"/>
        </w:rPr>
        <w:t xml:space="preserve"> debtor is commercially domiciled in one State which has ratified the 1889 Montevideo Treaty, one set of proceedings will be commenced in the State of commercial domicile (even if the debtor in question occasionally trades in another treaty State).</w:t>
      </w:r>
      <w:r w:rsidR="009D0163" w:rsidRPr="00515E1F">
        <w:rPr>
          <w:rFonts w:ascii="Arial" w:hAnsi="Arial" w:cs="Arial"/>
          <w:color w:val="808080" w:themeColor="background1" w:themeShade="80"/>
          <w:sz w:val="22"/>
          <w:szCs w:val="22"/>
          <w:lang w:val="en-GB"/>
        </w:rPr>
        <w:t xml:space="preserve"> It is also possible for</w:t>
      </w:r>
      <w:r w:rsidR="009736F3" w:rsidRPr="00515E1F">
        <w:rPr>
          <w:rFonts w:ascii="Arial" w:hAnsi="Arial" w:cs="Arial"/>
          <w:color w:val="808080" w:themeColor="background1" w:themeShade="80"/>
          <w:sz w:val="22"/>
          <w:szCs w:val="22"/>
          <w:lang w:val="en-GB"/>
        </w:rPr>
        <w:t xml:space="preserve"> </w:t>
      </w:r>
      <w:r w:rsidR="009D0163" w:rsidRPr="00515E1F">
        <w:rPr>
          <w:rFonts w:ascii="Arial" w:hAnsi="Arial" w:cs="Arial"/>
          <w:color w:val="808080" w:themeColor="background1" w:themeShade="80"/>
          <w:sz w:val="22"/>
          <w:szCs w:val="22"/>
          <w:lang w:val="en-GB"/>
        </w:rPr>
        <w:t>c</w:t>
      </w:r>
      <w:r w:rsidR="009736F3" w:rsidRPr="00515E1F">
        <w:rPr>
          <w:rFonts w:ascii="Arial" w:hAnsi="Arial" w:cs="Arial"/>
          <w:color w:val="808080" w:themeColor="background1" w:themeShade="80"/>
          <w:sz w:val="22"/>
          <w:szCs w:val="22"/>
          <w:lang w:val="en-GB"/>
        </w:rPr>
        <w:t xml:space="preserve">oncurrent proceedings </w:t>
      </w:r>
      <w:r w:rsidR="009D0163" w:rsidRPr="00515E1F">
        <w:rPr>
          <w:rFonts w:ascii="Arial" w:hAnsi="Arial" w:cs="Arial"/>
          <w:color w:val="808080" w:themeColor="background1" w:themeShade="80"/>
          <w:sz w:val="22"/>
          <w:szCs w:val="22"/>
          <w:lang w:val="en-GB"/>
        </w:rPr>
        <w:t>to occur</w:t>
      </w:r>
      <w:r w:rsidR="009736F3" w:rsidRPr="00515E1F">
        <w:rPr>
          <w:rFonts w:ascii="Arial" w:hAnsi="Arial" w:cs="Arial"/>
          <w:color w:val="808080" w:themeColor="background1" w:themeShade="80"/>
          <w:sz w:val="22"/>
          <w:szCs w:val="22"/>
          <w:lang w:val="en-GB"/>
        </w:rPr>
        <w:t xml:space="preserve"> if the debtor has two (or more) businesses which are economically autonomous in different treaty States</w:t>
      </w:r>
      <w:r w:rsidR="009D0163" w:rsidRPr="00515E1F">
        <w:rPr>
          <w:rFonts w:ascii="Arial" w:hAnsi="Arial" w:cs="Arial"/>
          <w:color w:val="808080" w:themeColor="background1" w:themeShade="80"/>
          <w:sz w:val="22"/>
          <w:szCs w:val="22"/>
          <w:lang w:val="en-GB"/>
        </w:rPr>
        <w:t>. In such a situation, if proceedings have been commenced in one State, another creditor in the second State w</w:t>
      </w:r>
      <w:r w:rsidR="00515E1F">
        <w:rPr>
          <w:rFonts w:ascii="Arial" w:hAnsi="Arial" w:cs="Arial"/>
          <w:color w:val="808080" w:themeColor="background1" w:themeShade="80"/>
          <w:sz w:val="22"/>
          <w:szCs w:val="22"/>
          <w:lang w:val="en-GB"/>
        </w:rPr>
        <w:t>hich</w:t>
      </w:r>
      <w:r w:rsidR="009D0163" w:rsidRPr="00515E1F">
        <w:rPr>
          <w:rFonts w:ascii="Arial" w:hAnsi="Arial" w:cs="Arial"/>
          <w:color w:val="808080" w:themeColor="background1" w:themeShade="80"/>
          <w:sz w:val="22"/>
          <w:szCs w:val="22"/>
          <w:lang w:val="en-GB"/>
        </w:rPr>
        <w:t xml:space="preserve"> contains the economically autonomous business may initiate bankruptcy proceedings in that second State.</w:t>
      </w:r>
      <w:r w:rsidR="00384A93">
        <w:rPr>
          <w:rStyle w:val="FootnoteReference"/>
          <w:rFonts w:ascii="Arial" w:hAnsi="Arial" w:cs="Arial"/>
          <w:color w:val="808080" w:themeColor="background1" w:themeShade="80"/>
          <w:sz w:val="22"/>
          <w:szCs w:val="22"/>
          <w:lang w:val="en-GB"/>
        </w:rPr>
        <w:footnoteReference w:id="13"/>
      </w:r>
    </w:p>
    <w:p w14:paraId="3ED137C2" w14:textId="77777777" w:rsidR="009D0163" w:rsidRPr="00515E1F" w:rsidRDefault="009D0163" w:rsidP="00DA42DA">
      <w:pPr>
        <w:jc w:val="both"/>
        <w:rPr>
          <w:rFonts w:ascii="Arial" w:hAnsi="Arial" w:cs="Arial"/>
          <w:color w:val="808080" w:themeColor="background1" w:themeShade="80"/>
          <w:sz w:val="22"/>
          <w:szCs w:val="22"/>
          <w:lang w:val="en-GB"/>
        </w:rPr>
      </w:pPr>
    </w:p>
    <w:p w14:paraId="7E7A4E7C" w14:textId="02B2135C" w:rsidR="00BF75EB" w:rsidRPr="00515E1F" w:rsidRDefault="009D0163" w:rsidP="00DA42DA">
      <w:pPr>
        <w:jc w:val="both"/>
        <w:rPr>
          <w:rFonts w:ascii="Arial" w:hAnsi="Arial" w:cs="Arial"/>
          <w:color w:val="808080" w:themeColor="background1" w:themeShade="80"/>
          <w:sz w:val="22"/>
          <w:szCs w:val="22"/>
          <w:lang w:val="en-GB"/>
        </w:rPr>
      </w:pPr>
      <w:r w:rsidRPr="00515E1F">
        <w:rPr>
          <w:rFonts w:ascii="Arial" w:hAnsi="Arial" w:cs="Arial"/>
          <w:color w:val="808080" w:themeColor="background1" w:themeShade="80"/>
          <w:sz w:val="22"/>
          <w:szCs w:val="22"/>
          <w:lang w:val="en-GB"/>
        </w:rPr>
        <w:t xml:space="preserve">The signatories to the 1940 Montevideo Treaty are Argentia, Paraguay and Uruguay. </w:t>
      </w:r>
      <w:proofErr w:type="gramStart"/>
      <w:r w:rsidR="00F71ADE" w:rsidRPr="00515E1F">
        <w:rPr>
          <w:rFonts w:ascii="Arial" w:hAnsi="Arial" w:cs="Arial"/>
          <w:color w:val="808080" w:themeColor="background1" w:themeShade="80"/>
          <w:sz w:val="22"/>
          <w:szCs w:val="22"/>
          <w:lang w:val="en-GB"/>
        </w:rPr>
        <w:t>Similar to</w:t>
      </w:r>
      <w:proofErr w:type="gramEnd"/>
      <w:r w:rsidR="00F71ADE" w:rsidRPr="00515E1F">
        <w:rPr>
          <w:rFonts w:ascii="Arial" w:hAnsi="Arial" w:cs="Arial"/>
          <w:color w:val="808080" w:themeColor="background1" w:themeShade="80"/>
          <w:sz w:val="22"/>
          <w:szCs w:val="22"/>
          <w:lang w:val="en-GB"/>
        </w:rPr>
        <w:t xml:space="preserve"> the 1889 Montevideo Treaty, t</w:t>
      </w:r>
      <w:r w:rsidRPr="00515E1F">
        <w:rPr>
          <w:rFonts w:ascii="Arial" w:hAnsi="Arial" w:cs="Arial"/>
          <w:color w:val="808080" w:themeColor="background1" w:themeShade="80"/>
          <w:sz w:val="22"/>
          <w:szCs w:val="22"/>
          <w:lang w:val="en-GB"/>
        </w:rPr>
        <w:t>he 1940 Montevideo Treaty</w:t>
      </w:r>
      <w:r w:rsidR="00F71ADE" w:rsidRPr="00515E1F">
        <w:rPr>
          <w:rFonts w:ascii="Arial" w:hAnsi="Arial" w:cs="Arial"/>
          <w:color w:val="808080" w:themeColor="background1" w:themeShade="80"/>
          <w:sz w:val="22"/>
          <w:szCs w:val="22"/>
          <w:lang w:val="en-GB"/>
        </w:rPr>
        <w:t xml:space="preserve"> deals with bankruptcy (contained in Title VIII on Bankruptcy). However, </w:t>
      </w:r>
      <w:r w:rsidR="001132D0" w:rsidRPr="00515E1F">
        <w:rPr>
          <w:rFonts w:ascii="Arial" w:hAnsi="Arial" w:cs="Arial"/>
          <w:color w:val="808080" w:themeColor="background1" w:themeShade="80"/>
          <w:sz w:val="22"/>
          <w:szCs w:val="22"/>
          <w:lang w:val="en-GB"/>
        </w:rPr>
        <w:t>a di</w:t>
      </w:r>
      <w:r w:rsidR="00BF75EB" w:rsidRPr="00515E1F">
        <w:rPr>
          <w:rFonts w:ascii="Arial" w:hAnsi="Arial" w:cs="Arial"/>
          <w:color w:val="808080" w:themeColor="background1" w:themeShade="80"/>
          <w:sz w:val="22"/>
          <w:szCs w:val="22"/>
          <w:lang w:val="en-GB"/>
        </w:rPr>
        <w:t xml:space="preserve">fference </w:t>
      </w:r>
      <w:r w:rsidR="001132D0" w:rsidRPr="00515E1F">
        <w:rPr>
          <w:rFonts w:ascii="Arial" w:hAnsi="Arial" w:cs="Arial"/>
          <w:color w:val="808080" w:themeColor="background1" w:themeShade="80"/>
          <w:sz w:val="22"/>
          <w:szCs w:val="22"/>
          <w:lang w:val="en-GB"/>
        </w:rPr>
        <w:t>between the two Montevideo treaties are the signatories to them- only Argentina, Paraguay and Uruguay have ratified both treaties.</w:t>
      </w:r>
      <w:r w:rsidR="00BF75EB" w:rsidRPr="00515E1F">
        <w:rPr>
          <w:rFonts w:ascii="Arial" w:hAnsi="Arial" w:cs="Arial"/>
          <w:color w:val="808080" w:themeColor="background1" w:themeShade="80"/>
          <w:sz w:val="22"/>
          <w:szCs w:val="22"/>
          <w:lang w:val="en-GB"/>
        </w:rPr>
        <w:t xml:space="preserve"> As result of this,</w:t>
      </w:r>
      <w:r w:rsidR="00515E1F">
        <w:rPr>
          <w:rFonts w:ascii="Arial" w:hAnsi="Arial" w:cs="Arial"/>
          <w:color w:val="808080" w:themeColor="background1" w:themeShade="80"/>
          <w:sz w:val="22"/>
          <w:szCs w:val="22"/>
          <w:lang w:val="en-GB"/>
        </w:rPr>
        <w:t xml:space="preserve"> the applicable treaty will need to be </w:t>
      </w:r>
      <w:r w:rsidR="00384A93">
        <w:rPr>
          <w:rFonts w:ascii="Arial" w:hAnsi="Arial" w:cs="Arial"/>
          <w:color w:val="808080" w:themeColor="background1" w:themeShade="80"/>
          <w:sz w:val="22"/>
          <w:szCs w:val="22"/>
          <w:lang w:val="en-GB"/>
        </w:rPr>
        <w:t xml:space="preserve">identified and </w:t>
      </w:r>
      <w:r w:rsidR="00515E1F">
        <w:rPr>
          <w:rFonts w:ascii="Arial" w:hAnsi="Arial" w:cs="Arial"/>
          <w:color w:val="808080" w:themeColor="background1" w:themeShade="80"/>
          <w:sz w:val="22"/>
          <w:szCs w:val="22"/>
          <w:lang w:val="en-GB"/>
        </w:rPr>
        <w:t>applied</w:t>
      </w:r>
      <w:r w:rsidR="00BF75EB" w:rsidRPr="00515E1F">
        <w:rPr>
          <w:rFonts w:ascii="Arial" w:hAnsi="Arial" w:cs="Arial"/>
          <w:color w:val="808080" w:themeColor="background1" w:themeShade="80"/>
          <w:sz w:val="22"/>
          <w:szCs w:val="22"/>
          <w:lang w:val="en-GB"/>
        </w:rPr>
        <w:t xml:space="preserve"> where there is cross-border insolvency between any two or more members of both treaties</w:t>
      </w:r>
      <w:r w:rsidR="00515E1F">
        <w:rPr>
          <w:rFonts w:ascii="Arial" w:hAnsi="Arial" w:cs="Arial"/>
          <w:color w:val="808080" w:themeColor="background1" w:themeShade="80"/>
          <w:sz w:val="22"/>
          <w:szCs w:val="22"/>
          <w:lang w:val="en-GB"/>
        </w:rPr>
        <w:t>.</w:t>
      </w:r>
      <w:r w:rsidR="00384A93">
        <w:rPr>
          <w:rStyle w:val="FootnoteReference"/>
          <w:rFonts w:ascii="Arial" w:hAnsi="Arial" w:cs="Arial"/>
          <w:color w:val="808080" w:themeColor="background1" w:themeShade="80"/>
          <w:sz w:val="22"/>
          <w:szCs w:val="22"/>
          <w:lang w:val="en-GB"/>
        </w:rPr>
        <w:footnoteReference w:id="14"/>
      </w:r>
    </w:p>
    <w:p w14:paraId="6FF79741" w14:textId="77777777" w:rsidR="00BF75EB" w:rsidRPr="00515E1F" w:rsidRDefault="00BF75EB" w:rsidP="00DA42DA">
      <w:pPr>
        <w:jc w:val="both"/>
        <w:rPr>
          <w:rFonts w:ascii="Arial" w:hAnsi="Arial" w:cs="Arial"/>
          <w:color w:val="808080" w:themeColor="background1" w:themeShade="80"/>
          <w:sz w:val="22"/>
          <w:szCs w:val="22"/>
          <w:lang w:val="en-GB"/>
        </w:rPr>
      </w:pPr>
    </w:p>
    <w:p w14:paraId="306290C5" w14:textId="7B0B3B09" w:rsidR="00BF75EB" w:rsidRPr="00515E1F" w:rsidRDefault="001132D0" w:rsidP="00DA42DA">
      <w:pPr>
        <w:jc w:val="both"/>
        <w:rPr>
          <w:rFonts w:ascii="Arial" w:hAnsi="Arial" w:cs="Arial"/>
          <w:color w:val="808080" w:themeColor="background1" w:themeShade="80"/>
          <w:sz w:val="22"/>
          <w:szCs w:val="22"/>
          <w:lang w:val="en-GB"/>
        </w:rPr>
      </w:pPr>
      <w:r w:rsidRPr="00515E1F">
        <w:rPr>
          <w:rFonts w:ascii="Arial" w:hAnsi="Arial" w:cs="Arial"/>
          <w:color w:val="808080" w:themeColor="background1" w:themeShade="80"/>
          <w:sz w:val="22"/>
          <w:szCs w:val="22"/>
          <w:lang w:val="en-GB"/>
        </w:rPr>
        <w:t xml:space="preserve">The signatories to the Bustamante Code </w:t>
      </w:r>
      <w:r w:rsidR="0000070F" w:rsidRPr="00515E1F">
        <w:rPr>
          <w:rFonts w:ascii="Arial" w:hAnsi="Arial" w:cs="Arial"/>
          <w:color w:val="808080" w:themeColor="background1" w:themeShade="80"/>
          <w:sz w:val="22"/>
          <w:szCs w:val="22"/>
          <w:lang w:val="en-GB"/>
        </w:rPr>
        <w:t xml:space="preserve">include several Central American, South </w:t>
      </w:r>
      <w:proofErr w:type="gramStart"/>
      <w:r w:rsidR="0000070F" w:rsidRPr="00515E1F">
        <w:rPr>
          <w:rFonts w:ascii="Arial" w:hAnsi="Arial" w:cs="Arial"/>
          <w:color w:val="808080" w:themeColor="background1" w:themeShade="80"/>
          <w:sz w:val="22"/>
          <w:szCs w:val="22"/>
          <w:lang w:val="en-GB"/>
        </w:rPr>
        <w:t>American</w:t>
      </w:r>
      <w:proofErr w:type="gramEnd"/>
      <w:r w:rsidR="0000070F" w:rsidRPr="00515E1F">
        <w:rPr>
          <w:rFonts w:ascii="Arial" w:hAnsi="Arial" w:cs="Arial"/>
          <w:color w:val="808080" w:themeColor="background1" w:themeShade="80"/>
          <w:sz w:val="22"/>
          <w:szCs w:val="22"/>
          <w:lang w:val="en-GB"/>
        </w:rPr>
        <w:t xml:space="preserve"> and Caribbean counties. </w:t>
      </w:r>
      <w:r w:rsidR="00BF75EB" w:rsidRPr="00515E1F">
        <w:rPr>
          <w:rFonts w:ascii="Arial" w:hAnsi="Arial" w:cs="Arial"/>
          <w:color w:val="808080" w:themeColor="background1" w:themeShade="80"/>
          <w:sz w:val="22"/>
          <w:szCs w:val="22"/>
          <w:lang w:val="en-GB"/>
        </w:rPr>
        <w:t xml:space="preserve">It should be noted that no country is a member of all the Initiatives. Again, a prudent analysis on the relevant </w:t>
      </w:r>
      <w:r w:rsidR="00513485">
        <w:rPr>
          <w:rFonts w:ascii="Arial" w:hAnsi="Arial" w:cs="Arial"/>
          <w:color w:val="808080" w:themeColor="background1" w:themeShade="80"/>
          <w:sz w:val="22"/>
          <w:szCs w:val="22"/>
          <w:lang w:val="en-GB"/>
        </w:rPr>
        <w:t>Initiative</w:t>
      </w:r>
      <w:r w:rsidR="00BF75EB" w:rsidRPr="00515E1F">
        <w:rPr>
          <w:rFonts w:ascii="Arial" w:hAnsi="Arial" w:cs="Arial"/>
          <w:color w:val="808080" w:themeColor="background1" w:themeShade="80"/>
          <w:sz w:val="22"/>
          <w:szCs w:val="22"/>
          <w:lang w:val="en-GB"/>
        </w:rPr>
        <w:t xml:space="preserve"> is needed to </w:t>
      </w:r>
      <w:r w:rsidR="00513485">
        <w:rPr>
          <w:rFonts w:ascii="Arial" w:hAnsi="Arial" w:cs="Arial"/>
          <w:color w:val="808080" w:themeColor="background1" w:themeShade="80"/>
          <w:sz w:val="22"/>
          <w:szCs w:val="22"/>
          <w:lang w:val="en-GB"/>
        </w:rPr>
        <w:t>determine</w:t>
      </w:r>
      <w:r w:rsidR="00BF75EB" w:rsidRPr="00515E1F">
        <w:rPr>
          <w:rFonts w:ascii="Arial" w:hAnsi="Arial" w:cs="Arial"/>
          <w:color w:val="808080" w:themeColor="background1" w:themeShade="80"/>
          <w:sz w:val="22"/>
          <w:szCs w:val="22"/>
          <w:lang w:val="en-GB"/>
        </w:rPr>
        <w:t xml:space="preserve"> which one would apply</w:t>
      </w:r>
      <w:r w:rsidR="00515E1F">
        <w:rPr>
          <w:rFonts w:ascii="Arial" w:hAnsi="Arial" w:cs="Arial"/>
          <w:color w:val="808080" w:themeColor="background1" w:themeShade="80"/>
          <w:sz w:val="22"/>
          <w:szCs w:val="22"/>
          <w:lang w:val="en-GB"/>
        </w:rPr>
        <w:t xml:space="preserve"> if the States involved are signatories to more than one of the Initiatives.</w:t>
      </w:r>
    </w:p>
    <w:p w14:paraId="2D46A19C" w14:textId="77777777" w:rsidR="00277FB0" w:rsidRPr="00515E1F" w:rsidRDefault="00277FB0" w:rsidP="00DA42DA">
      <w:pPr>
        <w:jc w:val="both"/>
        <w:rPr>
          <w:rFonts w:ascii="Arial" w:hAnsi="Arial" w:cs="Arial"/>
          <w:color w:val="808080" w:themeColor="background1" w:themeShade="80"/>
          <w:sz w:val="22"/>
          <w:szCs w:val="22"/>
          <w:lang w:val="en-GB"/>
        </w:rPr>
      </w:pPr>
    </w:p>
    <w:p w14:paraId="226F41D2" w14:textId="528C4DF7" w:rsidR="001132D0" w:rsidRPr="00515E1F" w:rsidRDefault="00BF75EB" w:rsidP="00DA42DA">
      <w:pPr>
        <w:jc w:val="both"/>
        <w:rPr>
          <w:rFonts w:ascii="Arial" w:hAnsi="Arial" w:cs="Arial"/>
          <w:color w:val="808080" w:themeColor="background1" w:themeShade="80"/>
          <w:sz w:val="22"/>
          <w:szCs w:val="22"/>
          <w:lang w:val="en-GB"/>
        </w:rPr>
      </w:pPr>
      <w:r w:rsidRPr="00515E1F">
        <w:rPr>
          <w:rFonts w:ascii="Arial" w:hAnsi="Arial" w:cs="Arial"/>
          <w:color w:val="808080" w:themeColor="background1" w:themeShade="80"/>
          <w:sz w:val="22"/>
          <w:szCs w:val="22"/>
          <w:lang w:val="en-GB"/>
        </w:rPr>
        <w:t xml:space="preserve">Aside from the signatories, the Initiatives are also different in their approach to </w:t>
      </w:r>
      <w:r w:rsidR="00277FB0" w:rsidRPr="00515E1F">
        <w:rPr>
          <w:rFonts w:ascii="Arial" w:hAnsi="Arial" w:cs="Arial"/>
          <w:color w:val="808080" w:themeColor="background1" w:themeShade="80"/>
          <w:sz w:val="22"/>
          <w:szCs w:val="22"/>
          <w:lang w:val="en-GB"/>
        </w:rPr>
        <w:t xml:space="preserve">the conduct of insolvency </w:t>
      </w:r>
      <w:r w:rsidRPr="00515E1F">
        <w:rPr>
          <w:rFonts w:ascii="Arial" w:hAnsi="Arial" w:cs="Arial"/>
          <w:color w:val="808080" w:themeColor="background1" w:themeShade="80"/>
          <w:sz w:val="22"/>
          <w:szCs w:val="22"/>
          <w:lang w:val="en-GB"/>
        </w:rPr>
        <w:t xml:space="preserve">proceedings. The Bustamante Code’s approach is more akin to universalism/single proceedings </w:t>
      </w:r>
      <w:r w:rsidR="00277FB0" w:rsidRPr="00515E1F">
        <w:rPr>
          <w:rFonts w:ascii="Arial" w:hAnsi="Arial" w:cs="Arial"/>
          <w:color w:val="808080" w:themeColor="background1" w:themeShade="80"/>
          <w:sz w:val="22"/>
          <w:szCs w:val="22"/>
          <w:lang w:val="en-GB"/>
        </w:rPr>
        <w:t xml:space="preserve">across the treaty States, as demonstrated by Article 414 of Chapter 1 which </w:t>
      </w:r>
      <w:r w:rsidR="00277FB0" w:rsidRPr="00515E1F">
        <w:rPr>
          <w:rFonts w:ascii="Arial" w:hAnsi="Arial" w:cs="Arial"/>
          <w:color w:val="808080" w:themeColor="background1" w:themeShade="80"/>
          <w:sz w:val="22"/>
          <w:szCs w:val="22"/>
          <w:lang w:val="en-GB"/>
        </w:rPr>
        <w:lastRenderedPageBreak/>
        <w:t>states “</w:t>
      </w:r>
      <w:r w:rsidR="00277FB0" w:rsidRPr="00515E1F">
        <w:rPr>
          <w:rFonts w:ascii="Arial" w:hAnsi="Arial" w:cs="Arial"/>
          <w:i/>
          <w:iCs/>
          <w:color w:val="808080" w:themeColor="background1" w:themeShade="80"/>
          <w:sz w:val="22"/>
          <w:szCs w:val="22"/>
          <w:lang w:val="en-GB"/>
        </w:rPr>
        <w:t>there can be only one preventive proceeding…in respect of all his assets and his liabilities in the contracting States</w:t>
      </w:r>
      <w:r w:rsidR="00277FB0" w:rsidRPr="00515E1F">
        <w:rPr>
          <w:rFonts w:ascii="Arial" w:hAnsi="Arial" w:cs="Arial"/>
          <w:color w:val="808080" w:themeColor="background1" w:themeShade="80"/>
          <w:sz w:val="22"/>
          <w:szCs w:val="22"/>
          <w:lang w:val="en-GB"/>
        </w:rPr>
        <w:t>”</w:t>
      </w:r>
      <w:r w:rsidR="00277FB0" w:rsidRPr="00515E1F">
        <w:rPr>
          <w:rStyle w:val="FootnoteReference"/>
          <w:rFonts w:ascii="Arial" w:hAnsi="Arial" w:cs="Arial"/>
          <w:color w:val="808080" w:themeColor="background1" w:themeShade="80"/>
          <w:sz w:val="22"/>
          <w:szCs w:val="22"/>
          <w:lang w:val="en-GB"/>
        </w:rPr>
        <w:footnoteReference w:id="15"/>
      </w:r>
      <w:r w:rsidR="00277FB0" w:rsidRPr="00515E1F">
        <w:rPr>
          <w:rFonts w:ascii="Arial" w:hAnsi="Arial" w:cs="Arial"/>
          <w:color w:val="808080" w:themeColor="background1" w:themeShade="80"/>
          <w:sz w:val="22"/>
          <w:szCs w:val="22"/>
          <w:lang w:val="en-GB"/>
        </w:rPr>
        <w:t>.</w:t>
      </w:r>
    </w:p>
    <w:p w14:paraId="6E73F3AF" w14:textId="77777777" w:rsidR="00906FA7" w:rsidRDefault="00906FA7" w:rsidP="00384F24">
      <w:pPr>
        <w:jc w:val="both"/>
        <w:rPr>
          <w:rFonts w:ascii="Avenir Next" w:hAnsi="Avenir Next" w:cs="Arial"/>
          <w:sz w:val="22"/>
          <w:szCs w:val="22"/>
          <w:lang w:val="en-GB"/>
        </w:rPr>
      </w:pPr>
    </w:p>
    <w:p w14:paraId="30479319" w14:textId="77777777" w:rsidR="00513485" w:rsidRDefault="00513485" w:rsidP="00384F24">
      <w:pPr>
        <w:jc w:val="both"/>
        <w:rPr>
          <w:rFonts w:ascii="Avenir Next" w:hAnsi="Avenir Next" w:cs="Arial"/>
          <w:sz w:val="22"/>
          <w:szCs w:val="22"/>
          <w:lang w:val="en-GB"/>
        </w:rPr>
      </w:pPr>
    </w:p>
    <w:p w14:paraId="52198292" w14:textId="77777777" w:rsidR="00513485" w:rsidRDefault="00513485"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06F37F5F" w14:textId="604DE071" w:rsidR="00984B38" w:rsidRPr="00513485" w:rsidRDefault="00984B38" w:rsidP="00DA42DA">
      <w:pPr>
        <w:jc w:val="both"/>
        <w:rPr>
          <w:rFonts w:ascii="Arial" w:hAnsi="Arial" w:cs="Arial"/>
          <w:color w:val="808080" w:themeColor="background1" w:themeShade="80"/>
          <w:sz w:val="22"/>
          <w:szCs w:val="22"/>
          <w:lang w:val="en-GB"/>
        </w:rPr>
      </w:pPr>
      <w:r w:rsidRPr="00513485">
        <w:rPr>
          <w:rFonts w:ascii="Arial" w:hAnsi="Arial" w:cs="Arial"/>
          <w:color w:val="808080" w:themeColor="background1" w:themeShade="80"/>
          <w:sz w:val="22"/>
          <w:szCs w:val="22"/>
          <w:lang w:val="en-GB"/>
        </w:rPr>
        <w:t>I do not agree that the terms “bankruptcy” and “insolvency” should be used interchangeably (even if they often are). I think one of the reasons why these terms are often used interchangeably is because no single set of bankruptcy or insolvency laws or rules apply to every jurisdiction in world- this means that the legal language used in a jurisdiction can vary from another jurisdiction</w:t>
      </w:r>
      <w:r w:rsidR="00B6463A" w:rsidRPr="00513485">
        <w:rPr>
          <w:rFonts w:ascii="Arial" w:hAnsi="Arial" w:cs="Arial"/>
          <w:color w:val="808080" w:themeColor="background1" w:themeShade="80"/>
          <w:sz w:val="22"/>
          <w:szCs w:val="22"/>
          <w:lang w:val="en-GB"/>
        </w:rPr>
        <w:t xml:space="preserve"> </w:t>
      </w:r>
      <w:r w:rsidRPr="00513485">
        <w:rPr>
          <w:rFonts w:ascii="Arial" w:hAnsi="Arial" w:cs="Arial"/>
          <w:color w:val="808080" w:themeColor="background1" w:themeShade="80"/>
          <w:sz w:val="22"/>
          <w:szCs w:val="22"/>
          <w:lang w:val="en-GB"/>
        </w:rPr>
        <w:t xml:space="preserve">(even if the jurisdictions share a common official language). Further, “bankruptcy” is occasionally used in everyday media to describe an insolvent company which, in my view, has </w:t>
      </w:r>
      <w:r w:rsidR="00023BFF">
        <w:rPr>
          <w:rFonts w:ascii="Arial" w:hAnsi="Arial" w:cs="Arial"/>
          <w:color w:val="808080" w:themeColor="background1" w:themeShade="80"/>
          <w:sz w:val="22"/>
          <w:szCs w:val="22"/>
          <w:lang w:val="en-GB"/>
        </w:rPr>
        <w:t xml:space="preserve">also </w:t>
      </w:r>
      <w:r w:rsidRPr="00513485">
        <w:rPr>
          <w:rFonts w:ascii="Arial" w:hAnsi="Arial" w:cs="Arial"/>
          <w:color w:val="808080" w:themeColor="background1" w:themeShade="80"/>
          <w:sz w:val="22"/>
          <w:szCs w:val="22"/>
          <w:lang w:val="en-GB"/>
        </w:rPr>
        <w:t xml:space="preserve">blurred the distinction between the two terms. In my view, the terms are </w:t>
      </w:r>
      <w:proofErr w:type="gramStart"/>
      <w:r w:rsidRPr="00513485">
        <w:rPr>
          <w:rFonts w:ascii="Arial" w:hAnsi="Arial" w:cs="Arial"/>
          <w:color w:val="808080" w:themeColor="background1" w:themeShade="80"/>
          <w:sz w:val="22"/>
          <w:szCs w:val="22"/>
          <w:lang w:val="en-GB"/>
        </w:rPr>
        <w:t>similar</w:t>
      </w:r>
      <w:proofErr w:type="gramEnd"/>
      <w:r w:rsidRPr="00513485">
        <w:rPr>
          <w:rFonts w:ascii="Arial" w:hAnsi="Arial" w:cs="Arial"/>
          <w:color w:val="808080" w:themeColor="background1" w:themeShade="80"/>
          <w:sz w:val="22"/>
          <w:szCs w:val="22"/>
          <w:lang w:val="en-GB"/>
        </w:rPr>
        <w:t xml:space="preserve"> but they are distinct from each other.</w:t>
      </w:r>
    </w:p>
    <w:p w14:paraId="710AC730" w14:textId="77777777" w:rsidR="00984B38" w:rsidRPr="00513485" w:rsidRDefault="00984B38" w:rsidP="00DA42DA">
      <w:pPr>
        <w:jc w:val="both"/>
        <w:rPr>
          <w:rFonts w:ascii="Arial" w:hAnsi="Arial" w:cs="Arial"/>
          <w:color w:val="808080" w:themeColor="background1" w:themeShade="80"/>
          <w:sz w:val="22"/>
          <w:szCs w:val="22"/>
          <w:lang w:val="en-GB"/>
        </w:rPr>
      </w:pPr>
    </w:p>
    <w:p w14:paraId="04A9CCDC" w14:textId="67781DEF" w:rsidR="00984B38" w:rsidRPr="00513485" w:rsidRDefault="00984B38" w:rsidP="00DA42DA">
      <w:pPr>
        <w:jc w:val="both"/>
        <w:rPr>
          <w:rFonts w:ascii="Arial" w:hAnsi="Arial" w:cs="Arial"/>
          <w:color w:val="808080" w:themeColor="background1" w:themeShade="80"/>
          <w:sz w:val="22"/>
          <w:szCs w:val="22"/>
          <w:lang w:val="en-GB"/>
        </w:rPr>
      </w:pPr>
      <w:r w:rsidRPr="00513485">
        <w:rPr>
          <w:rFonts w:ascii="Arial" w:hAnsi="Arial" w:cs="Arial"/>
          <w:color w:val="808080" w:themeColor="background1" w:themeShade="80"/>
          <w:sz w:val="22"/>
          <w:szCs w:val="22"/>
          <w:lang w:val="en-GB"/>
        </w:rPr>
        <w:t>The reason I do not agree that the terms “bankruptcy” and “insolvency” should be used interchangeably is because of the type of debtor involved. Even though both describe the financial status of a debtor, “bankruptcy” only applies to that of a natural person, whereas “insolvency” is used in relation to that of a company or other non-natural entity. Further,</w:t>
      </w:r>
      <w:r w:rsidR="007A3EBA">
        <w:rPr>
          <w:rFonts w:ascii="Arial" w:hAnsi="Arial" w:cs="Arial"/>
          <w:color w:val="808080" w:themeColor="background1" w:themeShade="80"/>
          <w:sz w:val="22"/>
          <w:szCs w:val="22"/>
          <w:lang w:val="en-GB"/>
        </w:rPr>
        <w:t xml:space="preserve"> in my view,</w:t>
      </w:r>
      <w:r w:rsidRPr="00513485">
        <w:rPr>
          <w:rFonts w:ascii="Arial" w:hAnsi="Arial" w:cs="Arial"/>
          <w:color w:val="808080" w:themeColor="background1" w:themeShade="80"/>
          <w:sz w:val="22"/>
          <w:szCs w:val="22"/>
          <w:lang w:val="en-GB"/>
        </w:rPr>
        <w:t xml:space="preserve"> “bankruptcy” has a narrower meaning than “insolvency”- “bankruptcy” is a legal process and is a type of insolvency where an individual can be declared bankrupt if they owe the statutory minimum amount to any creditor and are unable to pay (</w:t>
      </w:r>
      <w:proofErr w:type="gramStart"/>
      <w:r w:rsidRPr="00513485">
        <w:rPr>
          <w:rFonts w:ascii="Arial" w:hAnsi="Arial" w:cs="Arial"/>
          <w:color w:val="808080" w:themeColor="background1" w:themeShade="80"/>
          <w:sz w:val="22"/>
          <w:szCs w:val="22"/>
          <w:lang w:val="en-GB"/>
        </w:rPr>
        <w:t>i.e.</w:t>
      </w:r>
      <w:proofErr w:type="gramEnd"/>
      <w:r w:rsidRPr="00513485">
        <w:rPr>
          <w:rFonts w:ascii="Arial" w:hAnsi="Arial" w:cs="Arial"/>
          <w:color w:val="808080" w:themeColor="background1" w:themeShade="80"/>
          <w:sz w:val="22"/>
          <w:szCs w:val="22"/>
          <w:lang w:val="en-GB"/>
        </w:rPr>
        <w:t xml:space="preserve"> if they are insolvent). On the other hand, “insolvency” has a wider meaning as it is often used as an umbrella term to describe various legal procedures dealing with financial distress of debtors and in the context of cross-border cases.</w:t>
      </w:r>
      <w:r w:rsidR="00023BFF">
        <w:rPr>
          <w:rFonts w:ascii="Arial" w:hAnsi="Arial" w:cs="Arial"/>
          <w:color w:val="808080" w:themeColor="background1" w:themeShade="80"/>
          <w:sz w:val="22"/>
          <w:szCs w:val="22"/>
          <w:lang w:val="en-GB"/>
        </w:rPr>
        <w:t xml:space="preserve"> I think my view of the distinction between the two terms is akin to Australia’s distinction of the two terms.</w:t>
      </w:r>
    </w:p>
    <w:p w14:paraId="7C8F13E0" w14:textId="77777777" w:rsidR="00984B38" w:rsidRPr="00513485" w:rsidRDefault="00984B38" w:rsidP="00DA42DA">
      <w:pPr>
        <w:jc w:val="both"/>
        <w:rPr>
          <w:rFonts w:ascii="Arial" w:hAnsi="Arial" w:cs="Arial"/>
          <w:color w:val="808080" w:themeColor="background1" w:themeShade="80"/>
          <w:sz w:val="22"/>
          <w:szCs w:val="22"/>
          <w:lang w:val="en-GB"/>
        </w:rPr>
      </w:pPr>
    </w:p>
    <w:p w14:paraId="3CBC5F70" w14:textId="3C3D880F" w:rsidR="00244DE1" w:rsidRPr="00513485" w:rsidRDefault="00984B38" w:rsidP="00DA42DA">
      <w:pPr>
        <w:jc w:val="both"/>
        <w:rPr>
          <w:rFonts w:ascii="Arial" w:hAnsi="Arial" w:cs="Arial"/>
          <w:color w:val="808080" w:themeColor="background1" w:themeShade="80"/>
          <w:sz w:val="22"/>
          <w:szCs w:val="22"/>
          <w:lang w:val="en-GB"/>
        </w:rPr>
      </w:pPr>
      <w:r w:rsidRPr="00513485">
        <w:rPr>
          <w:rFonts w:ascii="Arial" w:hAnsi="Arial" w:cs="Arial"/>
          <w:color w:val="808080" w:themeColor="background1" w:themeShade="80"/>
          <w:sz w:val="22"/>
          <w:szCs w:val="22"/>
          <w:lang w:val="en-GB"/>
        </w:rPr>
        <w:t>Notwithstanding the preceding paragraph, both “bankruptcy” and “insolvency” share common</w:t>
      </w:r>
      <w:r w:rsidR="00023BFF">
        <w:rPr>
          <w:rFonts w:ascii="Arial" w:hAnsi="Arial" w:cs="Arial"/>
          <w:color w:val="808080" w:themeColor="background1" w:themeShade="80"/>
          <w:sz w:val="22"/>
          <w:szCs w:val="22"/>
          <w:lang w:val="en-GB"/>
        </w:rPr>
        <w:t xml:space="preserve"> essential</w:t>
      </w:r>
      <w:r w:rsidRPr="00513485">
        <w:rPr>
          <w:rFonts w:ascii="Arial" w:hAnsi="Arial" w:cs="Arial"/>
          <w:color w:val="808080" w:themeColor="background1" w:themeShade="80"/>
          <w:sz w:val="22"/>
          <w:szCs w:val="22"/>
          <w:lang w:val="en-GB"/>
        </w:rPr>
        <w:t xml:space="preserve"> characteristics</w:t>
      </w:r>
      <w:r w:rsidR="00244DE1" w:rsidRPr="00513485">
        <w:rPr>
          <w:rFonts w:ascii="Arial" w:hAnsi="Arial" w:cs="Arial"/>
          <w:color w:val="808080" w:themeColor="background1" w:themeShade="80"/>
          <w:sz w:val="22"/>
          <w:szCs w:val="22"/>
          <w:lang w:val="en-GB"/>
        </w:rPr>
        <w:t>:</w:t>
      </w:r>
    </w:p>
    <w:p w14:paraId="7F6A5B7B" w14:textId="10B43C27" w:rsidR="00244DE1" w:rsidRPr="00513485" w:rsidRDefault="00984B38" w:rsidP="00244DE1">
      <w:pPr>
        <w:pStyle w:val="ListParagraph"/>
        <w:numPr>
          <w:ilvl w:val="0"/>
          <w:numId w:val="36"/>
        </w:numPr>
        <w:jc w:val="both"/>
        <w:rPr>
          <w:rFonts w:ascii="Arial" w:hAnsi="Arial" w:cs="Arial"/>
          <w:color w:val="808080" w:themeColor="background1" w:themeShade="80"/>
          <w:sz w:val="22"/>
          <w:szCs w:val="22"/>
          <w:lang w:val="en-GB"/>
        </w:rPr>
      </w:pPr>
      <w:r w:rsidRPr="00513485">
        <w:rPr>
          <w:rFonts w:ascii="Arial" w:hAnsi="Arial" w:cs="Arial"/>
          <w:color w:val="808080" w:themeColor="background1" w:themeShade="80"/>
          <w:sz w:val="22"/>
          <w:szCs w:val="22"/>
          <w:lang w:val="en-GB"/>
        </w:rPr>
        <w:t>they both describe the financial state of a debtor (natural person or company</w:t>
      </w:r>
      <w:r w:rsidR="00023BFF">
        <w:rPr>
          <w:rFonts w:ascii="Arial" w:hAnsi="Arial" w:cs="Arial"/>
          <w:color w:val="808080" w:themeColor="background1" w:themeShade="80"/>
          <w:sz w:val="22"/>
          <w:szCs w:val="22"/>
          <w:lang w:val="en-GB"/>
        </w:rPr>
        <w:t xml:space="preserve"> respectively</w:t>
      </w:r>
      <w:r w:rsidRPr="00513485">
        <w:rPr>
          <w:rFonts w:ascii="Arial" w:hAnsi="Arial" w:cs="Arial"/>
          <w:color w:val="808080" w:themeColor="background1" w:themeShade="80"/>
          <w:sz w:val="22"/>
          <w:szCs w:val="22"/>
          <w:lang w:val="en-GB"/>
        </w:rPr>
        <w:t xml:space="preserve">) who is unable to pay off their debts to creditors. “Bankruptcy” is a type of insolvency applicable to a natural person. There are other types of “insolvency” including administration and liquidation which both apply to companies </w:t>
      </w:r>
      <w:proofErr w:type="gramStart"/>
      <w:r w:rsidRPr="00513485">
        <w:rPr>
          <w:rFonts w:ascii="Arial" w:hAnsi="Arial" w:cs="Arial"/>
          <w:color w:val="808080" w:themeColor="background1" w:themeShade="80"/>
          <w:sz w:val="22"/>
          <w:szCs w:val="22"/>
          <w:lang w:val="en-GB"/>
        </w:rPr>
        <w:t>only</w:t>
      </w:r>
      <w:r w:rsidR="00244DE1" w:rsidRPr="00513485">
        <w:rPr>
          <w:rFonts w:ascii="Arial" w:hAnsi="Arial" w:cs="Arial"/>
          <w:color w:val="808080" w:themeColor="background1" w:themeShade="80"/>
          <w:sz w:val="22"/>
          <w:szCs w:val="22"/>
          <w:lang w:val="en-GB"/>
        </w:rPr>
        <w:t>;</w:t>
      </w:r>
      <w:proofErr w:type="gramEnd"/>
    </w:p>
    <w:p w14:paraId="43A6DD43" w14:textId="5AD3F434" w:rsidR="00244DE1" w:rsidRPr="00513485" w:rsidRDefault="00984B38" w:rsidP="00244DE1">
      <w:pPr>
        <w:pStyle w:val="ListParagraph"/>
        <w:numPr>
          <w:ilvl w:val="0"/>
          <w:numId w:val="36"/>
        </w:numPr>
        <w:jc w:val="both"/>
        <w:rPr>
          <w:rFonts w:ascii="Arial" w:hAnsi="Arial" w:cs="Arial"/>
          <w:color w:val="808080" w:themeColor="background1" w:themeShade="80"/>
          <w:sz w:val="22"/>
          <w:szCs w:val="22"/>
          <w:lang w:val="en-GB"/>
        </w:rPr>
      </w:pPr>
      <w:r w:rsidRPr="00513485">
        <w:rPr>
          <w:rFonts w:ascii="Arial" w:hAnsi="Arial" w:cs="Arial"/>
          <w:color w:val="808080" w:themeColor="background1" w:themeShade="80"/>
          <w:sz w:val="22"/>
          <w:szCs w:val="22"/>
          <w:lang w:val="en-GB"/>
        </w:rPr>
        <w:t>once proceedings are commenced</w:t>
      </w:r>
      <w:r w:rsidR="00023BFF">
        <w:rPr>
          <w:rFonts w:ascii="Arial" w:hAnsi="Arial" w:cs="Arial"/>
          <w:color w:val="808080" w:themeColor="background1" w:themeShade="80"/>
          <w:sz w:val="22"/>
          <w:szCs w:val="22"/>
          <w:lang w:val="en-GB"/>
        </w:rPr>
        <w:t xml:space="preserve"> in either</w:t>
      </w:r>
      <w:r w:rsidRPr="00513485">
        <w:rPr>
          <w:rFonts w:ascii="Arial" w:hAnsi="Arial" w:cs="Arial"/>
          <w:color w:val="808080" w:themeColor="background1" w:themeShade="80"/>
          <w:sz w:val="22"/>
          <w:szCs w:val="22"/>
          <w:lang w:val="en-GB"/>
        </w:rPr>
        <w:t>, there will be an insolvency practitioner appointed (such as a trustee in bankruptcy or liquidator) whose statutory function would be to obtain and realise the debtor’s assets (estate) and distribute th</w:t>
      </w:r>
      <w:r w:rsidR="00244DE1" w:rsidRPr="00513485">
        <w:rPr>
          <w:rFonts w:ascii="Arial" w:hAnsi="Arial" w:cs="Arial"/>
          <w:color w:val="808080" w:themeColor="background1" w:themeShade="80"/>
          <w:sz w:val="22"/>
          <w:szCs w:val="22"/>
          <w:lang w:val="en-GB"/>
        </w:rPr>
        <w:t>e pooled assets</w:t>
      </w:r>
      <w:r w:rsidRPr="00513485">
        <w:rPr>
          <w:rFonts w:ascii="Arial" w:hAnsi="Arial" w:cs="Arial"/>
          <w:color w:val="808080" w:themeColor="background1" w:themeShade="80"/>
          <w:sz w:val="22"/>
          <w:szCs w:val="22"/>
          <w:lang w:val="en-GB"/>
        </w:rPr>
        <w:t xml:space="preserve"> to all creditors in accordance with the law</w:t>
      </w:r>
      <w:r w:rsidR="00244DE1" w:rsidRPr="00513485">
        <w:rPr>
          <w:rFonts w:ascii="Arial" w:hAnsi="Arial" w:cs="Arial"/>
          <w:color w:val="808080" w:themeColor="background1" w:themeShade="80"/>
          <w:sz w:val="22"/>
          <w:szCs w:val="22"/>
          <w:lang w:val="en-GB"/>
        </w:rPr>
        <w:t>; and</w:t>
      </w:r>
    </w:p>
    <w:p w14:paraId="423B7876" w14:textId="06FB8F86" w:rsidR="00984B38" w:rsidRPr="00513485" w:rsidRDefault="00984B38" w:rsidP="00244DE1">
      <w:pPr>
        <w:pStyle w:val="ListParagraph"/>
        <w:numPr>
          <w:ilvl w:val="0"/>
          <w:numId w:val="36"/>
        </w:numPr>
        <w:jc w:val="both"/>
        <w:rPr>
          <w:rFonts w:ascii="Arial" w:hAnsi="Arial" w:cs="Arial"/>
          <w:color w:val="808080" w:themeColor="background1" w:themeShade="80"/>
          <w:sz w:val="22"/>
          <w:szCs w:val="22"/>
          <w:lang w:val="en-GB"/>
        </w:rPr>
      </w:pPr>
      <w:r w:rsidRPr="00513485">
        <w:rPr>
          <w:rFonts w:ascii="Arial" w:hAnsi="Arial" w:cs="Arial"/>
          <w:color w:val="808080" w:themeColor="background1" w:themeShade="80"/>
          <w:sz w:val="22"/>
          <w:szCs w:val="22"/>
          <w:lang w:val="en-GB"/>
        </w:rPr>
        <w:t xml:space="preserve">once the proceedings have commenced </w:t>
      </w:r>
      <w:r w:rsidR="00023BFF">
        <w:rPr>
          <w:rFonts w:ascii="Arial" w:hAnsi="Arial" w:cs="Arial"/>
          <w:color w:val="808080" w:themeColor="background1" w:themeShade="80"/>
          <w:sz w:val="22"/>
          <w:szCs w:val="22"/>
          <w:lang w:val="en-GB"/>
        </w:rPr>
        <w:t>in either</w:t>
      </w:r>
      <w:r w:rsidRPr="00513485">
        <w:rPr>
          <w:rFonts w:ascii="Arial" w:hAnsi="Arial" w:cs="Arial"/>
          <w:color w:val="808080" w:themeColor="background1" w:themeShade="80"/>
          <w:sz w:val="22"/>
          <w:szCs w:val="22"/>
          <w:lang w:val="en-GB"/>
        </w:rPr>
        <w:t xml:space="preserve">, a moratorium is granted, </w:t>
      </w:r>
      <w:proofErr w:type="gramStart"/>
      <w:r w:rsidRPr="00513485">
        <w:rPr>
          <w:rFonts w:ascii="Arial" w:hAnsi="Arial" w:cs="Arial"/>
          <w:color w:val="808080" w:themeColor="background1" w:themeShade="80"/>
          <w:sz w:val="22"/>
          <w:szCs w:val="22"/>
          <w:lang w:val="en-GB"/>
        </w:rPr>
        <w:t>i.e.</w:t>
      </w:r>
      <w:proofErr w:type="gramEnd"/>
      <w:r w:rsidRPr="00513485">
        <w:rPr>
          <w:rFonts w:ascii="Arial" w:hAnsi="Arial" w:cs="Arial"/>
          <w:color w:val="808080" w:themeColor="background1" w:themeShade="80"/>
          <w:sz w:val="22"/>
          <w:szCs w:val="22"/>
          <w:lang w:val="en-GB"/>
        </w:rPr>
        <w:t xml:space="preserve"> actions by individual creditors against the debtor are stayed. This is because the process is a collective procedure that binds all creditors- if there was no moratorium, it would render insolvency law meaningless.</w:t>
      </w:r>
      <w:r w:rsidR="004C109D">
        <w:rPr>
          <w:rStyle w:val="FootnoteReference"/>
          <w:rFonts w:ascii="Arial" w:hAnsi="Arial" w:cs="Arial"/>
          <w:color w:val="808080" w:themeColor="background1" w:themeShade="80"/>
          <w:sz w:val="22"/>
          <w:szCs w:val="22"/>
          <w:lang w:val="en-GB"/>
        </w:rPr>
        <w:footnoteReference w:id="16"/>
      </w:r>
    </w:p>
    <w:p w14:paraId="7002F70A" w14:textId="77777777" w:rsidR="00984B38" w:rsidRPr="00513485" w:rsidRDefault="00984B38" w:rsidP="00DA42DA">
      <w:pPr>
        <w:jc w:val="both"/>
        <w:rPr>
          <w:rFonts w:ascii="Arial" w:hAnsi="Arial" w:cs="Arial"/>
          <w:color w:val="808080" w:themeColor="background1" w:themeShade="80"/>
          <w:sz w:val="22"/>
          <w:szCs w:val="22"/>
          <w:lang w:val="en-GB"/>
        </w:rPr>
      </w:pPr>
    </w:p>
    <w:p w14:paraId="400D6C75" w14:textId="7D95AB98" w:rsidR="00D036CB" w:rsidRPr="00513485" w:rsidRDefault="00984B38" w:rsidP="00DA42DA">
      <w:pPr>
        <w:jc w:val="both"/>
        <w:rPr>
          <w:rFonts w:ascii="Arial" w:hAnsi="Arial" w:cs="Arial"/>
          <w:color w:val="808080" w:themeColor="background1" w:themeShade="80"/>
          <w:sz w:val="22"/>
          <w:szCs w:val="22"/>
          <w:lang w:val="en-GB"/>
        </w:rPr>
      </w:pPr>
      <w:r w:rsidRPr="00513485">
        <w:rPr>
          <w:rFonts w:ascii="Arial" w:hAnsi="Arial" w:cs="Arial"/>
          <w:color w:val="808080" w:themeColor="background1" w:themeShade="80"/>
          <w:sz w:val="22"/>
          <w:szCs w:val="22"/>
          <w:lang w:val="en-GB"/>
        </w:rPr>
        <w:lastRenderedPageBreak/>
        <w:t xml:space="preserve">Differences that may arise when a “bankruptcy” / “insolvency” involves a corporation rather than an individual </w:t>
      </w:r>
      <w:r w:rsidR="00D036CB" w:rsidRPr="00513485">
        <w:rPr>
          <w:rFonts w:ascii="Arial" w:hAnsi="Arial" w:cs="Arial"/>
          <w:color w:val="808080" w:themeColor="background1" w:themeShade="80"/>
          <w:sz w:val="22"/>
          <w:szCs w:val="22"/>
          <w:lang w:val="en-GB"/>
        </w:rPr>
        <w:t>are:</w:t>
      </w:r>
    </w:p>
    <w:p w14:paraId="0157232B" w14:textId="55A1C010" w:rsidR="00D036CB" w:rsidRPr="00513485" w:rsidRDefault="00984B38" w:rsidP="00D036CB">
      <w:pPr>
        <w:pStyle w:val="ListParagraph"/>
        <w:numPr>
          <w:ilvl w:val="0"/>
          <w:numId w:val="37"/>
        </w:numPr>
        <w:jc w:val="both"/>
        <w:rPr>
          <w:rFonts w:ascii="Arial" w:hAnsi="Arial" w:cs="Arial"/>
          <w:color w:val="808080" w:themeColor="background1" w:themeShade="80"/>
          <w:sz w:val="22"/>
          <w:szCs w:val="22"/>
          <w:lang w:val="en-GB"/>
        </w:rPr>
      </w:pPr>
      <w:r w:rsidRPr="00513485">
        <w:rPr>
          <w:rFonts w:ascii="Arial" w:hAnsi="Arial" w:cs="Arial"/>
          <w:color w:val="808080" w:themeColor="background1" w:themeShade="80"/>
          <w:sz w:val="22"/>
          <w:szCs w:val="22"/>
          <w:lang w:val="en-GB"/>
        </w:rPr>
        <w:t>during the “insolvency” process of a company (such as liquidation), the liquidator may have claims</w:t>
      </w:r>
      <w:r w:rsidR="00B6463A" w:rsidRPr="00513485">
        <w:rPr>
          <w:rFonts w:ascii="Arial" w:hAnsi="Arial" w:cs="Arial"/>
          <w:color w:val="808080" w:themeColor="background1" w:themeShade="80"/>
          <w:sz w:val="22"/>
          <w:szCs w:val="22"/>
          <w:lang w:val="en-GB"/>
        </w:rPr>
        <w:t xml:space="preserve"> </w:t>
      </w:r>
      <w:r w:rsidRPr="00513485">
        <w:rPr>
          <w:rFonts w:ascii="Arial" w:hAnsi="Arial" w:cs="Arial"/>
          <w:color w:val="808080" w:themeColor="background1" w:themeShade="80"/>
          <w:sz w:val="22"/>
          <w:szCs w:val="22"/>
          <w:lang w:val="en-GB"/>
        </w:rPr>
        <w:t>(such as for breach of fiduciary duty) against the former directors of the company.</w:t>
      </w:r>
      <w:r w:rsidR="00244DE1" w:rsidRPr="00513485">
        <w:rPr>
          <w:rFonts w:ascii="Arial" w:hAnsi="Arial" w:cs="Arial"/>
          <w:color w:val="808080" w:themeColor="background1" w:themeShade="80"/>
          <w:sz w:val="22"/>
          <w:szCs w:val="22"/>
          <w:lang w:val="en-GB"/>
        </w:rPr>
        <w:t xml:space="preserve"> This commencement of </w:t>
      </w:r>
      <w:r w:rsidR="00B51945">
        <w:rPr>
          <w:rFonts w:ascii="Arial" w:hAnsi="Arial" w:cs="Arial"/>
          <w:color w:val="808080" w:themeColor="background1" w:themeShade="80"/>
          <w:sz w:val="22"/>
          <w:szCs w:val="22"/>
          <w:lang w:val="en-GB"/>
        </w:rPr>
        <w:t xml:space="preserve">proceedings to </w:t>
      </w:r>
      <w:r w:rsidR="00244DE1" w:rsidRPr="00513485">
        <w:rPr>
          <w:rFonts w:ascii="Arial" w:hAnsi="Arial" w:cs="Arial"/>
          <w:color w:val="808080" w:themeColor="background1" w:themeShade="80"/>
          <w:sz w:val="22"/>
          <w:szCs w:val="22"/>
          <w:lang w:val="en-GB"/>
        </w:rPr>
        <w:t>impos</w:t>
      </w:r>
      <w:r w:rsidR="00B51945">
        <w:rPr>
          <w:rFonts w:ascii="Arial" w:hAnsi="Arial" w:cs="Arial"/>
          <w:color w:val="808080" w:themeColor="background1" w:themeShade="80"/>
          <w:sz w:val="22"/>
          <w:szCs w:val="22"/>
          <w:lang w:val="en-GB"/>
        </w:rPr>
        <w:t>e</w:t>
      </w:r>
      <w:r w:rsidR="00244DE1" w:rsidRPr="00513485">
        <w:rPr>
          <w:rFonts w:ascii="Arial" w:hAnsi="Arial" w:cs="Arial"/>
          <w:color w:val="808080" w:themeColor="background1" w:themeShade="80"/>
          <w:sz w:val="22"/>
          <w:szCs w:val="22"/>
          <w:lang w:val="en-GB"/>
        </w:rPr>
        <w:t xml:space="preserve"> (personal</w:t>
      </w:r>
      <w:r w:rsidR="00B51945">
        <w:rPr>
          <w:rFonts w:ascii="Arial" w:hAnsi="Arial" w:cs="Arial"/>
          <w:color w:val="808080" w:themeColor="background1" w:themeShade="80"/>
          <w:sz w:val="22"/>
          <w:szCs w:val="22"/>
          <w:lang w:val="en-GB"/>
        </w:rPr>
        <w:t>)</w:t>
      </w:r>
      <w:r w:rsidR="00244DE1" w:rsidRPr="00513485">
        <w:rPr>
          <w:rFonts w:ascii="Arial" w:hAnsi="Arial" w:cs="Arial"/>
          <w:color w:val="808080" w:themeColor="background1" w:themeShade="80"/>
          <w:sz w:val="22"/>
          <w:szCs w:val="22"/>
          <w:lang w:val="en-GB"/>
        </w:rPr>
        <w:t xml:space="preserve"> liability by the officeholder </w:t>
      </w:r>
      <w:r w:rsidR="00B51945">
        <w:rPr>
          <w:rFonts w:ascii="Arial" w:hAnsi="Arial" w:cs="Arial"/>
          <w:color w:val="808080" w:themeColor="background1" w:themeShade="80"/>
          <w:sz w:val="22"/>
          <w:szCs w:val="22"/>
          <w:lang w:val="en-GB"/>
        </w:rPr>
        <w:t xml:space="preserve">on those who managed the financially distressed company </w:t>
      </w:r>
      <w:r w:rsidR="00244DE1" w:rsidRPr="00513485">
        <w:rPr>
          <w:rFonts w:ascii="Arial" w:hAnsi="Arial" w:cs="Arial"/>
          <w:color w:val="808080" w:themeColor="background1" w:themeShade="80"/>
          <w:sz w:val="22"/>
          <w:szCs w:val="22"/>
          <w:lang w:val="en-GB"/>
        </w:rPr>
        <w:t>does not apply to a</w:t>
      </w:r>
      <w:r w:rsidRPr="00513485">
        <w:rPr>
          <w:rFonts w:ascii="Arial" w:hAnsi="Arial" w:cs="Arial"/>
          <w:color w:val="808080" w:themeColor="background1" w:themeShade="80"/>
          <w:sz w:val="22"/>
          <w:szCs w:val="22"/>
          <w:lang w:val="en-GB"/>
        </w:rPr>
        <w:t xml:space="preserve"> trustee in bankruptcy </w:t>
      </w:r>
      <w:r w:rsidR="00244DE1" w:rsidRPr="00513485">
        <w:rPr>
          <w:rFonts w:ascii="Arial" w:hAnsi="Arial" w:cs="Arial"/>
          <w:color w:val="808080" w:themeColor="background1" w:themeShade="80"/>
          <w:sz w:val="22"/>
          <w:szCs w:val="22"/>
          <w:lang w:val="en-GB"/>
        </w:rPr>
        <w:t xml:space="preserve">against the </w:t>
      </w:r>
      <w:proofErr w:type="gramStart"/>
      <w:r w:rsidR="00244DE1" w:rsidRPr="00513485">
        <w:rPr>
          <w:rFonts w:ascii="Arial" w:hAnsi="Arial" w:cs="Arial"/>
          <w:color w:val="808080" w:themeColor="background1" w:themeShade="80"/>
          <w:sz w:val="22"/>
          <w:szCs w:val="22"/>
          <w:lang w:val="en-GB"/>
        </w:rPr>
        <w:t>bankrupt</w:t>
      </w:r>
      <w:r w:rsidR="00D036CB" w:rsidRPr="00513485">
        <w:rPr>
          <w:rFonts w:ascii="Arial" w:hAnsi="Arial" w:cs="Arial"/>
          <w:color w:val="808080" w:themeColor="background1" w:themeShade="80"/>
          <w:sz w:val="22"/>
          <w:szCs w:val="22"/>
          <w:lang w:val="en-GB"/>
        </w:rPr>
        <w:t>;</w:t>
      </w:r>
      <w:proofErr w:type="gramEnd"/>
    </w:p>
    <w:p w14:paraId="74A0327A" w14:textId="5DB3FC5F" w:rsidR="00D036CB" w:rsidRPr="00513485" w:rsidRDefault="00984B38" w:rsidP="00D036CB">
      <w:pPr>
        <w:pStyle w:val="ListParagraph"/>
        <w:numPr>
          <w:ilvl w:val="0"/>
          <w:numId w:val="37"/>
        </w:numPr>
        <w:jc w:val="both"/>
        <w:rPr>
          <w:rFonts w:ascii="Arial" w:hAnsi="Arial" w:cs="Arial"/>
          <w:color w:val="808080" w:themeColor="background1" w:themeShade="80"/>
          <w:sz w:val="22"/>
          <w:szCs w:val="22"/>
          <w:lang w:val="en-GB"/>
        </w:rPr>
      </w:pPr>
      <w:r w:rsidRPr="00513485">
        <w:rPr>
          <w:rFonts w:ascii="Arial" w:hAnsi="Arial" w:cs="Arial"/>
          <w:color w:val="808080" w:themeColor="background1" w:themeShade="80"/>
          <w:sz w:val="22"/>
          <w:szCs w:val="22"/>
          <w:lang w:val="en-GB"/>
        </w:rPr>
        <w:t xml:space="preserve">the issue of “rehabilitation” at the end of the proceedings. In an individual bankruptcy, the insolvent debtor will be discharged and will be able to continue life without the debt that resulted in the bankruptcy in the first place (albeit possibly with conditions </w:t>
      </w:r>
      <w:r w:rsidR="004C109D">
        <w:rPr>
          <w:rFonts w:ascii="Arial" w:hAnsi="Arial" w:cs="Arial"/>
          <w:color w:val="808080" w:themeColor="background1" w:themeShade="80"/>
          <w:sz w:val="22"/>
          <w:szCs w:val="22"/>
          <w:lang w:val="en-GB"/>
        </w:rPr>
        <w:t>attached</w:t>
      </w:r>
      <w:r w:rsidR="004C109D">
        <w:rPr>
          <w:rStyle w:val="FootnoteReference"/>
          <w:rFonts w:ascii="Arial" w:hAnsi="Arial" w:cs="Arial"/>
          <w:color w:val="808080" w:themeColor="background1" w:themeShade="80"/>
          <w:sz w:val="22"/>
          <w:szCs w:val="22"/>
          <w:lang w:val="en-GB"/>
        </w:rPr>
        <w:footnoteReference w:id="17"/>
      </w:r>
      <w:r w:rsidR="00B51945">
        <w:rPr>
          <w:rFonts w:ascii="Arial" w:hAnsi="Arial" w:cs="Arial"/>
          <w:color w:val="808080" w:themeColor="background1" w:themeShade="80"/>
          <w:sz w:val="22"/>
          <w:szCs w:val="22"/>
          <w:lang w:val="en-GB"/>
        </w:rPr>
        <w:t>- th</w:t>
      </w:r>
      <w:r w:rsidR="003A28F9">
        <w:rPr>
          <w:rFonts w:ascii="Arial" w:hAnsi="Arial" w:cs="Arial"/>
          <w:color w:val="808080" w:themeColor="background1" w:themeShade="80"/>
          <w:sz w:val="22"/>
          <w:szCs w:val="22"/>
          <w:lang w:val="en-GB"/>
        </w:rPr>
        <w:t>e degree</w:t>
      </w:r>
      <w:r w:rsidR="004C109D">
        <w:rPr>
          <w:rFonts w:ascii="Arial" w:hAnsi="Arial" w:cs="Arial"/>
          <w:color w:val="808080" w:themeColor="background1" w:themeShade="80"/>
          <w:sz w:val="22"/>
          <w:szCs w:val="22"/>
          <w:lang w:val="en-GB"/>
        </w:rPr>
        <w:t xml:space="preserve"> of this</w:t>
      </w:r>
      <w:r w:rsidR="003A28F9">
        <w:rPr>
          <w:rFonts w:ascii="Arial" w:hAnsi="Arial" w:cs="Arial"/>
          <w:color w:val="808080" w:themeColor="background1" w:themeShade="80"/>
          <w:sz w:val="22"/>
          <w:szCs w:val="22"/>
          <w:lang w:val="en-GB"/>
        </w:rPr>
        <w:t xml:space="preserve"> is </w:t>
      </w:r>
      <w:r w:rsidR="00B51945">
        <w:rPr>
          <w:rFonts w:ascii="Arial" w:hAnsi="Arial" w:cs="Arial"/>
          <w:color w:val="808080" w:themeColor="background1" w:themeShade="80"/>
          <w:sz w:val="22"/>
          <w:szCs w:val="22"/>
          <w:lang w:val="en-GB"/>
        </w:rPr>
        <w:t>jurisdiction</w:t>
      </w:r>
      <w:r w:rsidR="003A28F9">
        <w:rPr>
          <w:rFonts w:ascii="Arial" w:hAnsi="Arial" w:cs="Arial"/>
          <w:color w:val="808080" w:themeColor="background1" w:themeShade="80"/>
          <w:sz w:val="22"/>
          <w:szCs w:val="22"/>
          <w:lang w:val="en-GB"/>
        </w:rPr>
        <w:t>-specific</w:t>
      </w:r>
      <w:r w:rsidRPr="00513485">
        <w:rPr>
          <w:rFonts w:ascii="Arial" w:hAnsi="Arial" w:cs="Arial"/>
          <w:color w:val="808080" w:themeColor="background1" w:themeShade="80"/>
          <w:sz w:val="22"/>
          <w:szCs w:val="22"/>
          <w:lang w:val="en-GB"/>
        </w:rPr>
        <w:t>). Corporations on the other hand cannot be “rehabilitated”</w:t>
      </w:r>
      <w:r w:rsidR="004C109D">
        <w:rPr>
          <w:rFonts w:ascii="Arial" w:hAnsi="Arial" w:cs="Arial"/>
          <w:color w:val="808080" w:themeColor="background1" w:themeShade="80"/>
          <w:sz w:val="22"/>
          <w:szCs w:val="22"/>
          <w:lang w:val="en-GB"/>
        </w:rPr>
        <w:t xml:space="preserve"> as an individual can</w:t>
      </w:r>
      <w:r w:rsidRPr="00513485">
        <w:rPr>
          <w:rFonts w:ascii="Arial" w:hAnsi="Arial" w:cs="Arial"/>
          <w:color w:val="808080" w:themeColor="background1" w:themeShade="80"/>
          <w:sz w:val="22"/>
          <w:szCs w:val="22"/>
          <w:lang w:val="en-GB"/>
        </w:rPr>
        <w:t xml:space="preserve"> at the end of the “insolvency” process</w:t>
      </w:r>
      <w:r w:rsidR="00DE1EEF">
        <w:rPr>
          <w:rFonts w:ascii="Arial" w:hAnsi="Arial" w:cs="Arial"/>
          <w:color w:val="808080" w:themeColor="background1" w:themeShade="80"/>
          <w:sz w:val="22"/>
          <w:szCs w:val="22"/>
          <w:lang w:val="en-GB"/>
        </w:rPr>
        <w:t>. T</w:t>
      </w:r>
      <w:r w:rsidRPr="00513485">
        <w:rPr>
          <w:rFonts w:ascii="Arial" w:hAnsi="Arial" w:cs="Arial"/>
          <w:color w:val="808080" w:themeColor="background1" w:themeShade="80"/>
          <w:sz w:val="22"/>
          <w:szCs w:val="22"/>
          <w:lang w:val="en-GB"/>
        </w:rPr>
        <w:t>he company</w:t>
      </w:r>
      <w:r w:rsidR="00DE1EEF">
        <w:rPr>
          <w:rFonts w:ascii="Arial" w:hAnsi="Arial" w:cs="Arial"/>
          <w:color w:val="808080" w:themeColor="background1" w:themeShade="80"/>
          <w:sz w:val="22"/>
          <w:szCs w:val="22"/>
          <w:lang w:val="en-GB"/>
        </w:rPr>
        <w:t xml:space="preserve"> in liquidation</w:t>
      </w:r>
      <w:r w:rsidRPr="00513485">
        <w:rPr>
          <w:rFonts w:ascii="Arial" w:hAnsi="Arial" w:cs="Arial"/>
          <w:color w:val="808080" w:themeColor="background1" w:themeShade="80"/>
          <w:sz w:val="22"/>
          <w:szCs w:val="22"/>
          <w:lang w:val="en-GB"/>
        </w:rPr>
        <w:t xml:space="preserve"> will usually be dissolved after the assets have been realised</w:t>
      </w:r>
      <w:r w:rsidR="003A28F9">
        <w:rPr>
          <w:rFonts w:ascii="Arial" w:hAnsi="Arial" w:cs="Arial"/>
          <w:color w:val="808080" w:themeColor="background1" w:themeShade="80"/>
          <w:sz w:val="22"/>
          <w:szCs w:val="22"/>
          <w:lang w:val="en-GB"/>
        </w:rPr>
        <w:t xml:space="preserve"> and distributed</w:t>
      </w:r>
      <w:r w:rsidRPr="00513485">
        <w:rPr>
          <w:rFonts w:ascii="Arial" w:hAnsi="Arial" w:cs="Arial"/>
          <w:color w:val="808080" w:themeColor="background1" w:themeShade="80"/>
          <w:sz w:val="22"/>
          <w:szCs w:val="22"/>
          <w:lang w:val="en-GB"/>
        </w:rPr>
        <w:t xml:space="preserve"> and the affairs of the company are wound </w:t>
      </w:r>
      <w:proofErr w:type="gramStart"/>
      <w:r w:rsidRPr="00513485">
        <w:rPr>
          <w:rFonts w:ascii="Arial" w:hAnsi="Arial" w:cs="Arial"/>
          <w:color w:val="808080" w:themeColor="background1" w:themeShade="80"/>
          <w:sz w:val="22"/>
          <w:szCs w:val="22"/>
          <w:lang w:val="en-GB"/>
        </w:rPr>
        <w:t>up</w:t>
      </w:r>
      <w:r w:rsidR="00D036CB" w:rsidRPr="00513485">
        <w:rPr>
          <w:rFonts w:ascii="Arial" w:hAnsi="Arial" w:cs="Arial"/>
          <w:color w:val="808080" w:themeColor="background1" w:themeShade="80"/>
          <w:sz w:val="22"/>
          <w:szCs w:val="22"/>
          <w:lang w:val="en-GB"/>
        </w:rPr>
        <w:t>;</w:t>
      </w:r>
      <w:proofErr w:type="gramEnd"/>
    </w:p>
    <w:p w14:paraId="2BFBFED3" w14:textId="027888C0" w:rsidR="00984B38" w:rsidRDefault="00244DE1" w:rsidP="00D036CB">
      <w:pPr>
        <w:pStyle w:val="ListParagraph"/>
        <w:numPr>
          <w:ilvl w:val="0"/>
          <w:numId w:val="37"/>
        </w:numPr>
        <w:jc w:val="both"/>
        <w:rPr>
          <w:rFonts w:ascii="Arial" w:hAnsi="Arial" w:cs="Arial"/>
          <w:color w:val="808080" w:themeColor="background1" w:themeShade="80"/>
          <w:sz w:val="22"/>
          <w:szCs w:val="22"/>
          <w:lang w:val="en-GB"/>
        </w:rPr>
      </w:pPr>
      <w:r w:rsidRPr="00513485">
        <w:rPr>
          <w:rFonts w:ascii="Arial" w:hAnsi="Arial" w:cs="Arial"/>
          <w:color w:val="808080" w:themeColor="background1" w:themeShade="80"/>
          <w:sz w:val="22"/>
          <w:szCs w:val="22"/>
          <w:lang w:val="en-GB"/>
        </w:rPr>
        <w:t>officeholders of companies</w:t>
      </w:r>
      <w:r w:rsidR="003A28F9">
        <w:rPr>
          <w:rFonts w:ascii="Arial" w:hAnsi="Arial" w:cs="Arial"/>
          <w:color w:val="808080" w:themeColor="background1" w:themeShade="80"/>
          <w:sz w:val="22"/>
          <w:szCs w:val="22"/>
          <w:lang w:val="en-GB"/>
        </w:rPr>
        <w:t xml:space="preserve"> </w:t>
      </w:r>
      <w:r w:rsidRPr="00513485">
        <w:rPr>
          <w:rFonts w:ascii="Arial" w:hAnsi="Arial" w:cs="Arial"/>
          <w:color w:val="808080" w:themeColor="background1" w:themeShade="80"/>
          <w:sz w:val="22"/>
          <w:szCs w:val="22"/>
          <w:lang w:val="en-GB"/>
        </w:rPr>
        <w:t>where possible</w:t>
      </w:r>
      <w:r w:rsidR="003A28F9">
        <w:rPr>
          <w:rFonts w:ascii="Arial" w:hAnsi="Arial" w:cs="Arial"/>
          <w:color w:val="808080" w:themeColor="background1" w:themeShade="80"/>
          <w:sz w:val="22"/>
          <w:szCs w:val="22"/>
          <w:lang w:val="en-GB"/>
        </w:rPr>
        <w:t>, as part of their statutory function,</w:t>
      </w:r>
      <w:r w:rsidRPr="00513485">
        <w:rPr>
          <w:rFonts w:ascii="Arial" w:hAnsi="Arial" w:cs="Arial"/>
          <w:color w:val="808080" w:themeColor="background1" w:themeShade="80"/>
          <w:sz w:val="22"/>
          <w:szCs w:val="22"/>
          <w:lang w:val="en-GB"/>
        </w:rPr>
        <w:t xml:space="preserve"> will try and preserve the business </w:t>
      </w:r>
      <w:r w:rsidR="003A28F9">
        <w:rPr>
          <w:rFonts w:ascii="Arial" w:hAnsi="Arial" w:cs="Arial"/>
          <w:color w:val="808080" w:themeColor="background1" w:themeShade="80"/>
          <w:sz w:val="22"/>
          <w:szCs w:val="22"/>
          <w:lang w:val="en-GB"/>
        </w:rPr>
        <w:t>or any part of.</w:t>
      </w:r>
      <w:r w:rsidRPr="00513485">
        <w:rPr>
          <w:rFonts w:ascii="Arial" w:hAnsi="Arial" w:cs="Arial"/>
          <w:color w:val="808080" w:themeColor="background1" w:themeShade="80"/>
          <w:sz w:val="22"/>
          <w:szCs w:val="22"/>
          <w:lang w:val="en-GB"/>
        </w:rPr>
        <w:t xml:space="preserve"> </w:t>
      </w:r>
      <w:r w:rsidR="003A28F9">
        <w:rPr>
          <w:rFonts w:ascii="Arial" w:hAnsi="Arial" w:cs="Arial"/>
          <w:color w:val="808080" w:themeColor="background1" w:themeShade="80"/>
          <w:sz w:val="22"/>
          <w:szCs w:val="22"/>
          <w:lang w:val="en-GB"/>
        </w:rPr>
        <w:t>T</w:t>
      </w:r>
      <w:r w:rsidRPr="00513485">
        <w:rPr>
          <w:rFonts w:ascii="Arial" w:hAnsi="Arial" w:cs="Arial"/>
          <w:color w:val="808080" w:themeColor="background1" w:themeShade="80"/>
          <w:sz w:val="22"/>
          <w:szCs w:val="22"/>
          <w:lang w:val="en-GB"/>
        </w:rPr>
        <w:t>his does not, per se, happen in a bankruptcy</w:t>
      </w:r>
      <w:r w:rsidR="003A28F9">
        <w:rPr>
          <w:rFonts w:ascii="Arial" w:hAnsi="Arial" w:cs="Arial"/>
          <w:color w:val="808080" w:themeColor="background1" w:themeShade="80"/>
          <w:sz w:val="22"/>
          <w:szCs w:val="22"/>
          <w:lang w:val="en-GB"/>
        </w:rPr>
        <w:t>; and</w:t>
      </w:r>
    </w:p>
    <w:p w14:paraId="03F0F93A" w14:textId="2E0AF7B6" w:rsidR="003A28F9" w:rsidRPr="00513485" w:rsidRDefault="003A28F9" w:rsidP="00D036CB">
      <w:pPr>
        <w:pStyle w:val="ListParagraph"/>
        <w:numPr>
          <w:ilvl w:val="0"/>
          <w:numId w:val="3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Subject to the jurisdiction, some assets of the bankrupt will fall outside the bankruptcy</w:t>
      </w:r>
      <w:r w:rsidR="004C109D">
        <w:rPr>
          <w:rFonts w:ascii="Arial" w:hAnsi="Arial" w:cs="Arial"/>
          <w:color w:val="808080" w:themeColor="background1" w:themeShade="80"/>
          <w:sz w:val="22"/>
          <w:szCs w:val="22"/>
          <w:lang w:val="en-GB"/>
        </w:rPr>
        <w:t xml:space="preserve"> regime</w:t>
      </w:r>
      <w:r>
        <w:rPr>
          <w:rFonts w:ascii="Arial" w:hAnsi="Arial" w:cs="Arial"/>
          <w:color w:val="808080" w:themeColor="background1" w:themeShade="80"/>
          <w:sz w:val="22"/>
          <w:szCs w:val="22"/>
          <w:lang w:val="en-GB"/>
        </w:rPr>
        <w:t xml:space="preserve"> (such as tools of trade of the debtor) whereas </w:t>
      </w:r>
      <w:r w:rsidR="004C109D">
        <w:rPr>
          <w:rFonts w:ascii="Arial" w:hAnsi="Arial" w:cs="Arial"/>
          <w:color w:val="808080" w:themeColor="background1" w:themeShade="80"/>
          <w:sz w:val="22"/>
          <w:szCs w:val="22"/>
          <w:lang w:val="en-GB"/>
        </w:rPr>
        <w:t xml:space="preserve">all </w:t>
      </w:r>
      <w:r>
        <w:rPr>
          <w:rFonts w:ascii="Arial" w:hAnsi="Arial" w:cs="Arial"/>
          <w:color w:val="808080" w:themeColor="background1" w:themeShade="80"/>
          <w:sz w:val="22"/>
          <w:szCs w:val="22"/>
          <w:lang w:val="en-GB"/>
        </w:rPr>
        <w:t>the assets of a company will fall under the control of the officeholder.</w:t>
      </w:r>
    </w:p>
    <w:p w14:paraId="66798BDC" w14:textId="77777777" w:rsidR="00630708" w:rsidRDefault="00630708" w:rsidP="00692852">
      <w:pPr>
        <w:jc w:val="both"/>
        <w:rPr>
          <w:rFonts w:ascii="Avenir Next" w:hAnsi="Avenir Next" w:cs="Arial"/>
          <w:color w:val="808080" w:themeColor="background1" w:themeShade="80"/>
          <w:sz w:val="22"/>
          <w:szCs w:val="22"/>
          <w:lang w:val="en-GB"/>
        </w:rPr>
      </w:pPr>
    </w:p>
    <w:p w14:paraId="2EF60E19" w14:textId="77777777" w:rsidR="00630708" w:rsidRPr="001F5204" w:rsidRDefault="00630708"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4B1BCD69" w14:textId="04A405C5" w:rsidR="00054887" w:rsidRPr="003A28F9" w:rsidRDefault="005B5330" w:rsidP="00DA42DA">
      <w:pPr>
        <w:jc w:val="both"/>
        <w:rPr>
          <w:rFonts w:ascii="Arial" w:hAnsi="Arial" w:cs="Arial"/>
          <w:color w:val="808080" w:themeColor="background1" w:themeShade="80"/>
          <w:sz w:val="22"/>
          <w:szCs w:val="22"/>
          <w:lang w:val="en-GB"/>
        </w:rPr>
      </w:pPr>
      <w:r w:rsidRPr="003A28F9">
        <w:rPr>
          <w:rFonts w:ascii="Arial" w:hAnsi="Arial" w:cs="Arial"/>
          <w:color w:val="808080" w:themeColor="background1" w:themeShade="80"/>
          <w:sz w:val="22"/>
          <w:szCs w:val="22"/>
          <w:lang w:val="en-GB"/>
        </w:rPr>
        <w:t>Challenges can arise in cross-border insolvency that make it difficult</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to develop a single global cross-border insolvency dispensation.</w:t>
      </w:r>
    </w:p>
    <w:p w14:paraId="37E37C2F" w14:textId="77777777" w:rsidR="00054887" w:rsidRPr="003A28F9" w:rsidRDefault="00054887" w:rsidP="00DA42DA">
      <w:pPr>
        <w:jc w:val="both"/>
        <w:rPr>
          <w:rFonts w:ascii="Arial" w:hAnsi="Arial" w:cs="Arial"/>
          <w:color w:val="808080" w:themeColor="background1" w:themeShade="80"/>
          <w:sz w:val="22"/>
          <w:szCs w:val="22"/>
          <w:lang w:val="en-GB"/>
        </w:rPr>
      </w:pPr>
    </w:p>
    <w:p w14:paraId="356FBFD1" w14:textId="0C9755E6" w:rsidR="00054887" w:rsidRPr="003A28F9" w:rsidRDefault="005B5330" w:rsidP="00DA42DA">
      <w:pPr>
        <w:jc w:val="both"/>
        <w:rPr>
          <w:rFonts w:ascii="Arial" w:hAnsi="Arial" w:cs="Arial"/>
          <w:color w:val="808080" w:themeColor="background1" w:themeShade="80"/>
          <w:sz w:val="22"/>
          <w:szCs w:val="22"/>
          <w:lang w:val="en-GB"/>
        </w:rPr>
      </w:pPr>
      <w:r w:rsidRPr="003A28F9">
        <w:rPr>
          <w:rFonts w:ascii="Arial" w:hAnsi="Arial" w:cs="Arial"/>
          <w:color w:val="808080" w:themeColor="background1" w:themeShade="80"/>
          <w:sz w:val="22"/>
          <w:szCs w:val="22"/>
          <w:lang w:val="en-GB"/>
        </w:rPr>
        <w:t>Cross-border insolvency cases involves different legal systems. A</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challenge is how to effectively to deal with cross-border insolvency cases. Sovereignty</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means that States legislate for within their own borders, includ</w:t>
      </w:r>
      <w:r w:rsidR="002F5578">
        <w:rPr>
          <w:rFonts w:ascii="Arial" w:hAnsi="Arial" w:cs="Arial"/>
          <w:color w:val="808080" w:themeColor="background1" w:themeShade="80"/>
          <w:sz w:val="22"/>
          <w:szCs w:val="22"/>
          <w:lang w:val="en-GB"/>
        </w:rPr>
        <w:t>ing</w:t>
      </w:r>
      <w:r w:rsidRPr="003A28F9">
        <w:rPr>
          <w:rFonts w:ascii="Arial" w:hAnsi="Arial" w:cs="Arial"/>
          <w:color w:val="808080" w:themeColor="background1" w:themeShade="80"/>
          <w:sz w:val="22"/>
          <w:szCs w:val="22"/>
          <w:lang w:val="en-GB"/>
        </w:rPr>
        <w:t xml:space="preserve"> in the</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insolvency arena. Invariably legislating for insolvency law can mean differing</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standards of insolvency law in some countries. Some insolvency law in some</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jurisdictions are relics of their colonial history whereas other jurisdictions</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are outdated and not suited to the modern world economy.</w:t>
      </w:r>
      <w:r w:rsidR="00944923">
        <w:rPr>
          <w:rStyle w:val="FootnoteReference"/>
          <w:rFonts w:ascii="Arial" w:hAnsi="Arial" w:cs="Arial"/>
          <w:color w:val="808080" w:themeColor="background1" w:themeShade="80"/>
          <w:sz w:val="22"/>
          <w:szCs w:val="22"/>
          <w:lang w:val="en-GB"/>
        </w:rPr>
        <w:footnoteReference w:id="18"/>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Improvements in</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standards to insolvency law will take time to achieve during the current</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unprecedented pace of change in the world economy.</w:t>
      </w:r>
    </w:p>
    <w:p w14:paraId="7ED08171" w14:textId="77777777" w:rsidR="00054887" w:rsidRPr="003A28F9" w:rsidRDefault="00054887" w:rsidP="00DA42DA">
      <w:pPr>
        <w:jc w:val="both"/>
        <w:rPr>
          <w:rFonts w:ascii="Arial" w:hAnsi="Arial" w:cs="Arial"/>
          <w:color w:val="808080" w:themeColor="background1" w:themeShade="80"/>
          <w:sz w:val="22"/>
          <w:szCs w:val="22"/>
          <w:lang w:val="en-GB"/>
        </w:rPr>
      </w:pPr>
    </w:p>
    <w:p w14:paraId="015036A1" w14:textId="67B41080" w:rsidR="00054887" w:rsidRPr="003A28F9" w:rsidRDefault="005B5330" w:rsidP="00DA42DA">
      <w:pPr>
        <w:jc w:val="both"/>
        <w:rPr>
          <w:rFonts w:ascii="Arial" w:hAnsi="Arial" w:cs="Arial"/>
          <w:color w:val="808080" w:themeColor="background1" w:themeShade="80"/>
          <w:sz w:val="22"/>
          <w:szCs w:val="22"/>
          <w:lang w:val="en-GB"/>
        </w:rPr>
      </w:pPr>
      <w:r w:rsidRPr="003A28F9">
        <w:rPr>
          <w:rFonts w:ascii="Arial" w:hAnsi="Arial" w:cs="Arial"/>
          <w:color w:val="808080" w:themeColor="background1" w:themeShade="80"/>
          <w:sz w:val="22"/>
          <w:szCs w:val="22"/>
          <w:lang w:val="en-GB"/>
        </w:rPr>
        <w:t>A related challenge to differing legal systems is that of differing</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insolvency language. Not having a unified global insolvency law means that</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there will be differing insolvency language. Domestic and international</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definitions of “insolvency” can vary widely- s</w:t>
      </w:r>
      <w:r w:rsidR="002F5578">
        <w:rPr>
          <w:rFonts w:ascii="Arial" w:hAnsi="Arial" w:cs="Arial"/>
          <w:color w:val="808080" w:themeColor="background1" w:themeShade="80"/>
          <w:sz w:val="22"/>
          <w:szCs w:val="22"/>
          <w:lang w:val="en-GB"/>
        </w:rPr>
        <w:t xml:space="preserve">uch </w:t>
      </w:r>
      <w:r w:rsidRPr="003A28F9">
        <w:rPr>
          <w:rFonts w:ascii="Arial" w:hAnsi="Arial" w:cs="Arial"/>
          <w:color w:val="808080" w:themeColor="background1" w:themeShade="80"/>
          <w:sz w:val="22"/>
          <w:szCs w:val="22"/>
          <w:lang w:val="en-GB"/>
        </w:rPr>
        <w:t>discrepancies in</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definitions can make it difficult to even define “insolvency”</w:t>
      </w:r>
      <w:r w:rsidR="006335B7" w:rsidRPr="003A28F9">
        <w:rPr>
          <w:rStyle w:val="FootnoteReference"/>
          <w:rFonts w:ascii="Arial" w:hAnsi="Arial" w:cs="Arial"/>
          <w:color w:val="808080" w:themeColor="background1" w:themeShade="80"/>
          <w:sz w:val="22"/>
          <w:szCs w:val="22"/>
          <w:lang w:val="en-GB"/>
        </w:rPr>
        <w:footnoteReference w:id="19"/>
      </w:r>
      <w:r w:rsidRPr="003A28F9">
        <w:rPr>
          <w:rFonts w:ascii="Arial" w:hAnsi="Arial" w:cs="Arial"/>
          <w:color w:val="808080" w:themeColor="background1" w:themeShade="80"/>
          <w:sz w:val="22"/>
          <w:szCs w:val="22"/>
          <w:lang w:val="en-GB"/>
        </w:rPr>
        <w:t>. The</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 xml:space="preserve">lack of a globally agreed term for “insolvency” is demonstrated in </w:t>
      </w:r>
      <w:r w:rsidR="00944923">
        <w:rPr>
          <w:rFonts w:ascii="Arial" w:hAnsi="Arial" w:cs="Arial"/>
          <w:color w:val="808080" w:themeColor="background1" w:themeShade="80"/>
          <w:sz w:val="22"/>
          <w:szCs w:val="22"/>
          <w:lang w:val="en-GB"/>
        </w:rPr>
        <w:t xml:space="preserve">international </w:t>
      </w:r>
      <w:r w:rsidRPr="003A28F9">
        <w:rPr>
          <w:rFonts w:ascii="Arial" w:hAnsi="Arial" w:cs="Arial"/>
          <w:color w:val="808080" w:themeColor="background1" w:themeShade="80"/>
          <w:sz w:val="22"/>
          <w:szCs w:val="22"/>
          <w:lang w:val="en-GB"/>
        </w:rPr>
        <w:t>instruments- even when States have attempted to streamline</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cross-border insolvency</w:t>
      </w:r>
      <w:r w:rsidR="00944923">
        <w:rPr>
          <w:rFonts w:ascii="Arial" w:hAnsi="Arial" w:cs="Arial"/>
          <w:color w:val="808080" w:themeColor="background1" w:themeShade="80"/>
          <w:sz w:val="22"/>
          <w:szCs w:val="22"/>
          <w:lang w:val="en-GB"/>
        </w:rPr>
        <w:t xml:space="preserve"> through agreement</w:t>
      </w:r>
      <w:r w:rsidRPr="003A28F9">
        <w:rPr>
          <w:rFonts w:ascii="Arial" w:hAnsi="Arial" w:cs="Arial"/>
          <w:color w:val="808080" w:themeColor="background1" w:themeShade="80"/>
          <w:sz w:val="22"/>
          <w:szCs w:val="22"/>
          <w:lang w:val="en-GB"/>
        </w:rPr>
        <w:t>, they have, on occasion, not provided a definition for</w:t>
      </w:r>
      <w:r w:rsidR="002F5578">
        <w:rPr>
          <w:rFonts w:ascii="Arial" w:hAnsi="Arial" w:cs="Arial"/>
          <w:color w:val="808080" w:themeColor="background1" w:themeShade="80"/>
          <w:sz w:val="22"/>
          <w:szCs w:val="22"/>
          <w:lang w:val="en-GB"/>
        </w:rPr>
        <w:t xml:space="preserve"> the word</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“insolvency”</w:t>
      </w:r>
      <w:r w:rsidR="002F5578">
        <w:rPr>
          <w:rFonts w:ascii="Arial" w:hAnsi="Arial" w:cs="Arial"/>
          <w:color w:val="808080" w:themeColor="background1" w:themeShade="80"/>
          <w:sz w:val="22"/>
          <w:szCs w:val="22"/>
          <w:lang w:val="en-GB"/>
        </w:rPr>
        <w:t xml:space="preserve">. </w:t>
      </w:r>
      <w:proofErr w:type="gramStart"/>
      <w:r w:rsidR="002F5578">
        <w:rPr>
          <w:rFonts w:ascii="Arial" w:hAnsi="Arial" w:cs="Arial"/>
          <w:color w:val="808080" w:themeColor="background1" w:themeShade="80"/>
          <w:sz w:val="22"/>
          <w:szCs w:val="22"/>
          <w:lang w:val="en-GB"/>
        </w:rPr>
        <w:t>Instead</w:t>
      </w:r>
      <w:proofErr w:type="gramEnd"/>
      <w:r w:rsidR="002F5578">
        <w:rPr>
          <w:rFonts w:ascii="Arial" w:hAnsi="Arial" w:cs="Arial"/>
          <w:color w:val="808080" w:themeColor="background1" w:themeShade="80"/>
          <w:sz w:val="22"/>
          <w:szCs w:val="22"/>
          <w:lang w:val="en-GB"/>
        </w:rPr>
        <w:t xml:space="preserve"> such instruments</w:t>
      </w:r>
      <w:r w:rsidRPr="003A28F9">
        <w:rPr>
          <w:rFonts w:ascii="Arial" w:hAnsi="Arial" w:cs="Arial"/>
          <w:color w:val="808080" w:themeColor="background1" w:themeShade="80"/>
          <w:sz w:val="22"/>
          <w:szCs w:val="22"/>
          <w:lang w:val="en-GB"/>
        </w:rPr>
        <w:t xml:space="preserve"> </w:t>
      </w:r>
      <w:r w:rsidR="002F5578">
        <w:rPr>
          <w:rFonts w:ascii="Arial" w:hAnsi="Arial" w:cs="Arial"/>
          <w:color w:val="808080" w:themeColor="background1" w:themeShade="80"/>
          <w:sz w:val="22"/>
          <w:szCs w:val="22"/>
          <w:lang w:val="en-GB"/>
        </w:rPr>
        <w:t>have</w:t>
      </w:r>
      <w:r w:rsidRPr="003A28F9">
        <w:rPr>
          <w:rFonts w:ascii="Arial" w:hAnsi="Arial" w:cs="Arial"/>
          <w:color w:val="808080" w:themeColor="background1" w:themeShade="80"/>
          <w:sz w:val="22"/>
          <w:szCs w:val="22"/>
          <w:lang w:val="en-GB"/>
        </w:rPr>
        <w:t xml:space="preserve"> focused on the definition of “insolvency proceedings”</w:t>
      </w:r>
      <w:r w:rsidR="00944923">
        <w:rPr>
          <w:rStyle w:val="FootnoteReference"/>
          <w:rFonts w:ascii="Arial" w:hAnsi="Arial" w:cs="Arial"/>
          <w:color w:val="808080" w:themeColor="background1" w:themeShade="80"/>
          <w:sz w:val="22"/>
          <w:szCs w:val="22"/>
          <w:lang w:val="en-GB"/>
        </w:rPr>
        <w:footnoteReference w:id="20"/>
      </w:r>
      <w:r w:rsidRPr="003A28F9">
        <w:rPr>
          <w:rFonts w:ascii="Arial" w:hAnsi="Arial" w:cs="Arial"/>
          <w:color w:val="808080" w:themeColor="background1" w:themeShade="80"/>
          <w:sz w:val="22"/>
          <w:szCs w:val="22"/>
          <w:lang w:val="en-GB"/>
        </w:rPr>
        <w:t>.</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If the term “insolvency” (which is the crux of insolvency proceedings) cannot</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be defined, it is difficult to see how a single global cross-border insolvency</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dispensation can be achieved.</w:t>
      </w:r>
    </w:p>
    <w:p w14:paraId="4F0E8C64" w14:textId="77777777" w:rsidR="006335B7" w:rsidRPr="003A28F9" w:rsidRDefault="006335B7" w:rsidP="00DA42DA">
      <w:pPr>
        <w:jc w:val="both"/>
        <w:rPr>
          <w:rFonts w:ascii="Arial" w:hAnsi="Arial" w:cs="Arial"/>
          <w:color w:val="808080" w:themeColor="background1" w:themeShade="80"/>
          <w:sz w:val="22"/>
          <w:szCs w:val="22"/>
          <w:lang w:val="en-GB"/>
        </w:rPr>
      </w:pPr>
    </w:p>
    <w:p w14:paraId="15166F78" w14:textId="099C6399" w:rsidR="00AD1714" w:rsidRPr="003A28F9" w:rsidRDefault="005B5330" w:rsidP="00DA42DA">
      <w:pPr>
        <w:jc w:val="both"/>
        <w:rPr>
          <w:rFonts w:ascii="Arial" w:hAnsi="Arial" w:cs="Arial"/>
          <w:color w:val="808080" w:themeColor="background1" w:themeShade="80"/>
          <w:sz w:val="22"/>
          <w:szCs w:val="22"/>
          <w:lang w:val="en-GB"/>
        </w:rPr>
      </w:pPr>
      <w:r w:rsidRPr="003A28F9">
        <w:rPr>
          <w:rFonts w:ascii="Arial" w:hAnsi="Arial" w:cs="Arial"/>
          <w:color w:val="808080" w:themeColor="background1" w:themeShade="80"/>
          <w:sz w:val="22"/>
          <w:szCs w:val="22"/>
          <w:lang w:val="en-GB"/>
        </w:rPr>
        <w:lastRenderedPageBreak/>
        <w:t>Another challenge that can arise in cross-border insolvency is that</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co-operation with other States is required where there are concurrent</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insolvency proceedings. Co-operation requires trust in foreign legal systems</w:t>
      </w:r>
      <w:r w:rsidR="00327C62">
        <w:rPr>
          <w:rStyle w:val="FootnoteReference"/>
          <w:rFonts w:ascii="Arial" w:hAnsi="Arial" w:cs="Arial"/>
          <w:color w:val="808080" w:themeColor="background1" w:themeShade="80"/>
          <w:sz w:val="22"/>
          <w:szCs w:val="22"/>
          <w:lang w:val="en-GB"/>
        </w:rPr>
        <w:footnoteReference w:id="21"/>
      </w:r>
      <w:r w:rsidRPr="003A28F9">
        <w:rPr>
          <w:rFonts w:ascii="Arial" w:hAnsi="Arial" w:cs="Arial"/>
          <w:color w:val="808080" w:themeColor="background1" w:themeShade="80"/>
          <w:sz w:val="22"/>
          <w:szCs w:val="22"/>
          <w:lang w:val="en-GB"/>
        </w:rPr>
        <w:t>.</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Due to various reasons (for example, political or historic), such trust may not</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 xml:space="preserve">be forthcoming. The situation is not eased by the lack of </w:t>
      </w:r>
      <w:r w:rsidR="00054887" w:rsidRPr="003A28F9">
        <w:rPr>
          <w:rFonts w:ascii="Arial" w:hAnsi="Arial" w:cs="Arial"/>
          <w:color w:val="808080" w:themeColor="background1" w:themeShade="80"/>
          <w:sz w:val="22"/>
          <w:szCs w:val="22"/>
          <w:lang w:val="en-GB"/>
        </w:rPr>
        <w:t>international insolvency</w:t>
      </w:r>
      <w:r w:rsidRPr="003A28F9">
        <w:rPr>
          <w:rFonts w:ascii="Arial" w:hAnsi="Arial" w:cs="Arial"/>
          <w:color w:val="808080" w:themeColor="background1" w:themeShade="80"/>
          <w:sz w:val="22"/>
          <w:szCs w:val="22"/>
          <w:lang w:val="en-GB"/>
        </w:rPr>
        <w:t xml:space="preserve"> legal system or a global insolvency judiciary that will deal with</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cross-border insolvency matters. Even if an international insolvency legal</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system or a global insolvency judiciary was proposed, it may encounter</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resistance on the grounds of</w:t>
      </w:r>
      <w:r w:rsidR="002F5578">
        <w:rPr>
          <w:rFonts w:ascii="Arial" w:hAnsi="Arial" w:cs="Arial"/>
          <w:color w:val="808080" w:themeColor="background1" w:themeShade="80"/>
          <w:sz w:val="22"/>
          <w:szCs w:val="22"/>
          <w:lang w:val="en-GB"/>
        </w:rPr>
        <w:t xml:space="preserve"> national</w:t>
      </w:r>
      <w:r w:rsidRPr="003A28F9">
        <w:rPr>
          <w:rFonts w:ascii="Arial" w:hAnsi="Arial" w:cs="Arial"/>
          <w:color w:val="808080" w:themeColor="background1" w:themeShade="80"/>
          <w:sz w:val="22"/>
          <w:szCs w:val="22"/>
          <w:lang w:val="en-GB"/>
        </w:rPr>
        <w:t xml:space="preserve"> sovereignty. </w:t>
      </w:r>
      <w:r w:rsidR="002F5578">
        <w:rPr>
          <w:rFonts w:ascii="Arial" w:hAnsi="Arial" w:cs="Arial"/>
          <w:color w:val="808080" w:themeColor="background1" w:themeShade="80"/>
          <w:sz w:val="22"/>
          <w:szCs w:val="22"/>
          <w:lang w:val="en-GB"/>
        </w:rPr>
        <w:t>It is fair to say that m</w:t>
      </w:r>
      <w:r w:rsidRPr="003A28F9">
        <w:rPr>
          <w:rFonts w:ascii="Arial" w:hAnsi="Arial" w:cs="Arial"/>
          <w:color w:val="808080" w:themeColor="background1" w:themeShade="80"/>
          <w:sz w:val="22"/>
          <w:szCs w:val="22"/>
          <w:lang w:val="en-GB"/>
        </w:rPr>
        <w:t>ost States would be more inclined to</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influence foreign insolvency law, rather than adopting them</w:t>
      </w:r>
      <w:r w:rsidR="002F5578">
        <w:rPr>
          <w:rFonts w:ascii="Arial" w:hAnsi="Arial" w:cs="Arial"/>
          <w:color w:val="808080" w:themeColor="background1" w:themeShade="80"/>
          <w:sz w:val="22"/>
          <w:szCs w:val="22"/>
          <w:lang w:val="en-GB"/>
        </w:rPr>
        <w:t xml:space="preserve"> into their national law.</w:t>
      </w:r>
    </w:p>
    <w:p w14:paraId="728E6068" w14:textId="77777777" w:rsidR="00AD1714" w:rsidRPr="003A28F9" w:rsidRDefault="00AD1714" w:rsidP="00DA42DA">
      <w:pPr>
        <w:jc w:val="both"/>
        <w:rPr>
          <w:rFonts w:ascii="Arial" w:hAnsi="Arial" w:cs="Arial"/>
          <w:color w:val="808080" w:themeColor="background1" w:themeShade="80"/>
          <w:sz w:val="22"/>
          <w:szCs w:val="22"/>
          <w:lang w:val="en-GB"/>
        </w:rPr>
      </w:pPr>
    </w:p>
    <w:p w14:paraId="6AC2995A" w14:textId="34C5464D" w:rsidR="005B5330" w:rsidRPr="003A28F9" w:rsidRDefault="005B5330" w:rsidP="00DA42DA">
      <w:pPr>
        <w:jc w:val="both"/>
        <w:rPr>
          <w:rFonts w:ascii="Arial" w:hAnsi="Arial" w:cs="Arial"/>
          <w:color w:val="808080" w:themeColor="background1" w:themeShade="80"/>
          <w:sz w:val="22"/>
          <w:szCs w:val="22"/>
          <w:lang w:val="en-GB"/>
        </w:rPr>
      </w:pPr>
      <w:r w:rsidRPr="003A28F9">
        <w:rPr>
          <w:rFonts w:ascii="Arial" w:hAnsi="Arial" w:cs="Arial"/>
          <w:color w:val="808080" w:themeColor="background1" w:themeShade="80"/>
          <w:sz w:val="22"/>
          <w:szCs w:val="22"/>
          <w:lang w:val="en-GB"/>
        </w:rPr>
        <w:t>A further challenge to developing a single global cross-border</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insolvency dispensation is policy considerations of every jurisdiction</w:t>
      </w:r>
      <w:r w:rsidR="002F5578">
        <w:rPr>
          <w:rFonts w:ascii="Arial" w:hAnsi="Arial" w:cs="Arial"/>
          <w:color w:val="808080" w:themeColor="background1" w:themeShade="80"/>
          <w:sz w:val="22"/>
          <w:szCs w:val="22"/>
          <w:lang w:val="en-GB"/>
        </w:rPr>
        <w:t xml:space="preserve"> differ</w:t>
      </w:r>
      <w:r w:rsidRPr="003A28F9">
        <w:rPr>
          <w:rFonts w:ascii="Arial" w:hAnsi="Arial" w:cs="Arial"/>
          <w:color w:val="808080" w:themeColor="background1" w:themeShade="80"/>
          <w:sz w:val="22"/>
          <w:szCs w:val="22"/>
          <w:lang w:val="en-GB"/>
        </w:rPr>
        <w:t>.</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Different jurisdictions place different emphasis on different stakeholders in</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 xml:space="preserve">the insolvency process. </w:t>
      </w:r>
      <w:r w:rsidR="00470E5C">
        <w:rPr>
          <w:rFonts w:ascii="Arial" w:hAnsi="Arial" w:cs="Arial"/>
          <w:color w:val="808080" w:themeColor="background1" w:themeShade="80"/>
          <w:sz w:val="22"/>
          <w:szCs w:val="22"/>
          <w:lang w:val="en-GB"/>
        </w:rPr>
        <w:t>For example, s</w:t>
      </w:r>
      <w:r w:rsidRPr="003A28F9">
        <w:rPr>
          <w:rFonts w:ascii="Arial" w:hAnsi="Arial" w:cs="Arial"/>
          <w:color w:val="808080" w:themeColor="background1" w:themeShade="80"/>
          <w:sz w:val="22"/>
          <w:szCs w:val="22"/>
          <w:lang w:val="en-GB"/>
        </w:rPr>
        <w:t>ome jurisdictions tend to be more creditor</w:t>
      </w:r>
      <w:r w:rsidR="00470E5C">
        <w:rPr>
          <w:rFonts w:ascii="Arial" w:hAnsi="Arial" w:cs="Arial"/>
          <w:color w:val="808080" w:themeColor="background1" w:themeShade="80"/>
          <w:sz w:val="22"/>
          <w:szCs w:val="22"/>
          <w:lang w:val="en-GB"/>
        </w:rPr>
        <w:t xml:space="preserve"> friendly</w:t>
      </w:r>
      <w:r w:rsidRPr="003A28F9">
        <w:rPr>
          <w:rFonts w:ascii="Arial" w:hAnsi="Arial" w:cs="Arial"/>
          <w:color w:val="808080" w:themeColor="background1" w:themeShade="80"/>
          <w:sz w:val="22"/>
          <w:szCs w:val="22"/>
          <w:lang w:val="en-GB"/>
        </w:rPr>
        <w:t xml:space="preserve"> (such</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as Singapore</w:t>
      </w:r>
      <w:proofErr w:type="gramStart"/>
      <w:r w:rsidRPr="003A28F9">
        <w:rPr>
          <w:rFonts w:ascii="Arial" w:hAnsi="Arial" w:cs="Arial"/>
          <w:color w:val="808080" w:themeColor="background1" w:themeShade="80"/>
          <w:sz w:val="22"/>
          <w:szCs w:val="22"/>
          <w:lang w:val="en-GB"/>
        </w:rPr>
        <w:t>)</w:t>
      </w:r>
      <w:proofErr w:type="gramEnd"/>
      <w:r w:rsidRPr="003A28F9">
        <w:rPr>
          <w:rFonts w:ascii="Arial" w:hAnsi="Arial" w:cs="Arial"/>
          <w:color w:val="808080" w:themeColor="background1" w:themeShade="80"/>
          <w:sz w:val="22"/>
          <w:szCs w:val="22"/>
          <w:lang w:val="en-GB"/>
        </w:rPr>
        <w:t xml:space="preserve"> and others </w:t>
      </w:r>
      <w:r w:rsidR="00470E5C">
        <w:rPr>
          <w:rFonts w:ascii="Arial" w:hAnsi="Arial" w:cs="Arial"/>
          <w:color w:val="808080" w:themeColor="background1" w:themeShade="80"/>
          <w:sz w:val="22"/>
          <w:szCs w:val="22"/>
          <w:lang w:val="en-GB"/>
        </w:rPr>
        <w:t xml:space="preserve">are more </w:t>
      </w:r>
      <w:r w:rsidRPr="003A28F9">
        <w:rPr>
          <w:rFonts w:ascii="Arial" w:hAnsi="Arial" w:cs="Arial"/>
          <w:color w:val="808080" w:themeColor="background1" w:themeShade="80"/>
          <w:sz w:val="22"/>
          <w:szCs w:val="22"/>
          <w:lang w:val="en-GB"/>
        </w:rPr>
        <w:t xml:space="preserve">pro-debtor (such as the United States of America). </w:t>
      </w:r>
      <w:r w:rsidR="00470E5C">
        <w:rPr>
          <w:rFonts w:ascii="Arial" w:hAnsi="Arial" w:cs="Arial"/>
          <w:color w:val="808080" w:themeColor="background1" w:themeShade="80"/>
          <w:sz w:val="22"/>
          <w:szCs w:val="22"/>
          <w:lang w:val="en-GB"/>
        </w:rPr>
        <w:t>Further, j</w:t>
      </w:r>
      <w:r w:rsidRPr="003A28F9">
        <w:rPr>
          <w:rFonts w:ascii="Arial" w:hAnsi="Arial" w:cs="Arial"/>
          <w:color w:val="808080" w:themeColor="background1" w:themeShade="80"/>
          <w:sz w:val="22"/>
          <w:szCs w:val="22"/>
          <w:lang w:val="en-GB"/>
        </w:rPr>
        <w:t>urisdictions</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such as France also place great emphasis on employment rights. The development</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of a single global cross-border insolvency dispensation can also be complicated</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 xml:space="preserve">by a </w:t>
      </w:r>
      <w:proofErr w:type="gramStart"/>
      <w:r w:rsidRPr="003A28F9">
        <w:rPr>
          <w:rFonts w:ascii="Arial" w:hAnsi="Arial" w:cs="Arial"/>
          <w:color w:val="808080" w:themeColor="background1" w:themeShade="80"/>
          <w:sz w:val="22"/>
          <w:szCs w:val="22"/>
          <w:lang w:val="en-GB"/>
        </w:rPr>
        <w:t>State’s</w:t>
      </w:r>
      <w:proofErr w:type="gramEnd"/>
      <w:r w:rsidRPr="003A28F9">
        <w:rPr>
          <w:rFonts w:ascii="Arial" w:hAnsi="Arial" w:cs="Arial"/>
          <w:color w:val="808080" w:themeColor="background1" w:themeShade="80"/>
          <w:sz w:val="22"/>
          <w:szCs w:val="22"/>
          <w:lang w:val="en-GB"/>
        </w:rPr>
        <w:t xml:space="preserve"> desire to protect local creditors. </w:t>
      </w:r>
      <w:r w:rsidR="002F5578">
        <w:rPr>
          <w:rFonts w:ascii="Arial" w:hAnsi="Arial" w:cs="Arial"/>
          <w:color w:val="808080" w:themeColor="background1" w:themeShade="80"/>
          <w:sz w:val="22"/>
          <w:szCs w:val="22"/>
          <w:lang w:val="en-GB"/>
        </w:rPr>
        <w:t>As</w:t>
      </w:r>
      <w:r w:rsidRPr="003A28F9">
        <w:rPr>
          <w:rFonts w:ascii="Arial" w:hAnsi="Arial" w:cs="Arial"/>
          <w:color w:val="808080" w:themeColor="background1" w:themeShade="80"/>
          <w:sz w:val="22"/>
          <w:szCs w:val="22"/>
          <w:lang w:val="en-GB"/>
        </w:rPr>
        <w:t xml:space="preserve"> a result of the various</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policy considerations, States may be competing, as opposed to co-operating,</w:t>
      </w:r>
      <w:r w:rsidR="00054887" w:rsidRPr="003A28F9">
        <w:rPr>
          <w:rFonts w:ascii="Arial" w:hAnsi="Arial" w:cs="Arial"/>
          <w:color w:val="808080" w:themeColor="background1" w:themeShade="80"/>
          <w:sz w:val="22"/>
          <w:szCs w:val="22"/>
          <w:lang w:val="en-GB"/>
        </w:rPr>
        <w:t xml:space="preserve"> </w:t>
      </w:r>
      <w:r w:rsidRPr="003A28F9">
        <w:rPr>
          <w:rFonts w:ascii="Arial" w:hAnsi="Arial" w:cs="Arial"/>
          <w:color w:val="808080" w:themeColor="background1" w:themeShade="80"/>
          <w:sz w:val="22"/>
          <w:szCs w:val="22"/>
          <w:lang w:val="en-GB"/>
        </w:rPr>
        <w:t>regarding a debtor’s assets</w:t>
      </w:r>
      <w:r w:rsidR="00470E5C">
        <w:rPr>
          <w:rStyle w:val="FootnoteReference"/>
          <w:rFonts w:ascii="Arial" w:hAnsi="Arial" w:cs="Arial"/>
          <w:color w:val="808080" w:themeColor="background1" w:themeShade="80"/>
          <w:sz w:val="22"/>
          <w:szCs w:val="22"/>
          <w:lang w:val="en-GB"/>
        </w:rPr>
        <w:footnoteReference w:id="22"/>
      </w:r>
      <w:r w:rsidR="002F5578">
        <w:rPr>
          <w:rFonts w:ascii="Arial" w:hAnsi="Arial" w:cs="Arial"/>
          <w:color w:val="808080" w:themeColor="background1" w:themeShade="80"/>
          <w:sz w:val="22"/>
          <w:szCs w:val="22"/>
          <w:lang w:val="en-GB"/>
        </w:rPr>
        <w:t xml:space="preserve"> (which is diametrically opposite to trying to develop a unified global cross-border insolvency system)</w:t>
      </w:r>
      <w:r w:rsidRPr="003A28F9">
        <w:rPr>
          <w:rFonts w:ascii="Arial" w:hAnsi="Arial" w:cs="Arial"/>
          <w:color w:val="808080" w:themeColor="background1" w:themeShade="80"/>
          <w:sz w:val="22"/>
          <w:szCs w:val="22"/>
          <w:lang w:val="en-GB"/>
        </w:rPr>
        <w:t>.</w:t>
      </w:r>
      <w:r w:rsidR="002F5578">
        <w:rPr>
          <w:rFonts w:ascii="Arial" w:hAnsi="Arial" w:cs="Arial"/>
          <w:color w:val="808080" w:themeColor="background1" w:themeShade="80"/>
          <w:sz w:val="22"/>
          <w:szCs w:val="22"/>
          <w:lang w:val="en-GB"/>
        </w:rPr>
        <w:t xml:space="preserve"> Even before a </w:t>
      </w:r>
      <w:r w:rsidR="002F5578" w:rsidRPr="003A28F9">
        <w:rPr>
          <w:rFonts w:ascii="Arial" w:hAnsi="Arial" w:cs="Arial"/>
          <w:color w:val="808080" w:themeColor="background1" w:themeShade="80"/>
          <w:sz w:val="22"/>
          <w:szCs w:val="22"/>
          <w:lang w:val="en-GB"/>
        </w:rPr>
        <w:t>single global cross-border insolvency dispensation</w:t>
      </w:r>
      <w:r w:rsidR="002F5578">
        <w:rPr>
          <w:rFonts w:ascii="Arial" w:hAnsi="Arial" w:cs="Arial"/>
          <w:color w:val="808080" w:themeColor="background1" w:themeShade="80"/>
          <w:sz w:val="22"/>
          <w:szCs w:val="22"/>
          <w:lang w:val="en-GB"/>
        </w:rPr>
        <w:t xml:space="preserve"> can be developed properly, the interests of different States (as highlighted by this paragraph) need to be reconciled first.</w:t>
      </w:r>
    </w:p>
    <w:p w14:paraId="01D3DCCC" w14:textId="77777777" w:rsidR="005B5330" w:rsidRDefault="005B5330" w:rsidP="00DA42DA">
      <w:pPr>
        <w:jc w:val="both"/>
        <w:rPr>
          <w:rFonts w:ascii="Avenir Next" w:hAnsi="Avenir Next" w:cs="Arial"/>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3FCC3402" w14:textId="77777777" w:rsidR="002B7774" w:rsidRPr="002F5578" w:rsidRDefault="002B7774" w:rsidP="006A44B2">
      <w:pPr>
        <w:jc w:val="both"/>
        <w:rPr>
          <w:rFonts w:ascii="Arial" w:hAnsi="Arial" w:cs="Arial"/>
          <w:color w:val="808080" w:themeColor="background1" w:themeShade="80"/>
          <w:sz w:val="22"/>
          <w:szCs w:val="22"/>
          <w:lang w:val="en-GB"/>
        </w:rPr>
      </w:pPr>
      <w:r w:rsidRPr="002F5578">
        <w:rPr>
          <w:rFonts w:ascii="Arial" w:hAnsi="Arial" w:cs="Arial"/>
          <w:color w:val="808080" w:themeColor="background1" w:themeShade="80"/>
          <w:sz w:val="22"/>
          <w:szCs w:val="22"/>
          <w:lang w:val="en-GB"/>
        </w:rPr>
        <w:t xml:space="preserve">“Hard law” and “soft law” in the context of international insolvency relates to the approaches to regulating insolvencies involving two or more States, </w:t>
      </w:r>
      <w:proofErr w:type="gramStart"/>
      <w:r w:rsidRPr="002F5578">
        <w:rPr>
          <w:rFonts w:ascii="Arial" w:hAnsi="Arial" w:cs="Arial"/>
          <w:color w:val="808080" w:themeColor="background1" w:themeShade="80"/>
          <w:sz w:val="22"/>
          <w:szCs w:val="22"/>
          <w:lang w:val="en-GB"/>
        </w:rPr>
        <w:t>i.e.</w:t>
      </w:r>
      <w:proofErr w:type="gramEnd"/>
      <w:r w:rsidRPr="002F5578">
        <w:rPr>
          <w:rFonts w:ascii="Arial" w:hAnsi="Arial" w:cs="Arial"/>
          <w:color w:val="808080" w:themeColor="background1" w:themeShade="80"/>
          <w:sz w:val="22"/>
          <w:szCs w:val="22"/>
          <w:lang w:val="en-GB"/>
        </w:rPr>
        <w:t xml:space="preserve"> international insolvency. In this context, “hard law” means binding laws that provide states with rights as well as responsibilities. On the other hand, “soft law” is not legally binding and seeks to influence the regulation of international insolvency. </w:t>
      </w:r>
      <w:proofErr w:type="gramStart"/>
      <w:r w:rsidRPr="002F5578">
        <w:rPr>
          <w:rFonts w:ascii="Arial" w:hAnsi="Arial" w:cs="Arial"/>
          <w:color w:val="808080" w:themeColor="background1" w:themeShade="80"/>
          <w:sz w:val="22"/>
          <w:szCs w:val="22"/>
          <w:lang w:val="en-GB"/>
        </w:rPr>
        <w:t>Therefore</w:t>
      </w:r>
      <w:proofErr w:type="gramEnd"/>
      <w:r w:rsidRPr="002F5578">
        <w:rPr>
          <w:rFonts w:ascii="Arial" w:hAnsi="Arial" w:cs="Arial"/>
          <w:color w:val="808080" w:themeColor="background1" w:themeShade="80"/>
          <w:sz w:val="22"/>
          <w:szCs w:val="22"/>
          <w:lang w:val="en-GB"/>
        </w:rPr>
        <w:t xml:space="preserve"> the distinguishing feature between the two laws is the enforceability of them.</w:t>
      </w:r>
    </w:p>
    <w:p w14:paraId="0A2918A0" w14:textId="77777777" w:rsidR="002B7774" w:rsidRPr="002F5578" w:rsidRDefault="002B7774" w:rsidP="006A44B2">
      <w:pPr>
        <w:jc w:val="both"/>
        <w:rPr>
          <w:rFonts w:ascii="Arial" w:hAnsi="Arial" w:cs="Arial"/>
          <w:color w:val="808080" w:themeColor="background1" w:themeShade="80"/>
          <w:sz w:val="22"/>
          <w:szCs w:val="22"/>
          <w:lang w:val="en-GB"/>
        </w:rPr>
      </w:pPr>
    </w:p>
    <w:p w14:paraId="21CA5A80" w14:textId="436B7023" w:rsidR="002B7774" w:rsidRPr="002F5578" w:rsidRDefault="002B7774" w:rsidP="006A44B2">
      <w:pPr>
        <w:jc w:val="both"/>
        <w:rPr>
          <w:rFonts w:ascii="Arial" w:hAnsi="Arial" w:cs="Arial"/>
          <w:color w:val="808080" w:themeColor="background1" w:themeShade="80"/>
          <w:sz w:val="22"/>
          <w:szCs w:val="22"/>
          <w:lang w:val="en-GB"/>
        </w:rPr>
      </w:pPr>
      <w:r w:rsidRPr="002F5578">
        <w:rPr>
          <w:rFonts w:ascii="Arial" w:hAnsi="Arial" w:cs="Arial"/>
          <w:color w:val="808080" w:themeColor="background1" w:themeShade="80"/>
          <w:sz w:val="22"/>
          <w:szCs w:val="22"/>
          <w:lang w:val="en-GB"/>
        </w:rPr>
        <w:t xml:space="preserve">Treaties and conventions which a State becomes a signatory to is “hard law”. This would bind the signatory State and would affect their domestic laws (which would be enforceable in the domestic courts). “Hard law” has had </w:t>
      </w:r>
      <w:r w:rsidR="00D52B17">
        <w:rPr>
          <w:rFonts w:ascii="Arial" w:hAnsi="Arial" w:cs="Arial"/>
          <w:color w:val="808080" w:themeColor="background1" w:themeShade="80"/>
          <w:sz w:val="22"/>
          <w:szCs w:val="22"/>
          <w:lang w:val="en-GB"/>
        </w:rPr>
        <w:t xml:space="preserve">a </w:t>
      </w:r>
      <w:r w:rsidRPr="002F5578">
        <w:rPr>
          <w:rFonts w:ascii="Arial" w:hAnsi="Arial" w:cs="Arial"/>
          <w:color w:val="808080" w:themeColor="background1" w:themeShade="80"/>
          <w:sz w:val="22"/>
          <w:szCs w:val="22"/>
          <w:lang w:val="en-GB"/>
        </w:rPr>
        <w:t xml:space="preserve">varying </w:t>
      </w:r>
      <w:r w:rsidR="00D52B17">
        <w:rPr>
          <w:rFonts w:ascii="Arial" w:hAnsi="Arial" w:cs="Arial"/>
          <w:color w:val="808080" w:themeColor="background1" w:themeShade="80"/>
          <w:sz w:val="22"/>
          <w:szCs w:val="22"/>
          <w:lang w:val="en-GB"/>
        </w:rPr>
        <w:t xml:space="preserve">degree of </w:t>
      </w:r>
      <w:r w:rsidRPr="002F5578">
        <w:rPr>
          <w:rFonts w:ascii="Arial" w:hAnsi="Arial" w:cs="Arial"/>
          <w:color w:val="808080" w:themeColor="background1" w:themeShade="80"/>
          <w:sz w:val="22"/>
          <w:szCs w:val="22"/>
          <w:lang w:val="en-GB"/>
        </w:rPr>
        <w:t xml:space="preserve">success in providing solutions to the challenges of international law. An example of an unsuccessful attempt to achieve multilateral international insolvency regulation is that of the Council of Europe- in 1990, the Council had concluded a Convention on Certain International Aspects of Bankruptcy which despite being signed by several </w:t>
      </w:r>
      <w:r w:rsidR="007A79EB">
        <w:rPr>
          <w:rFonts w:ascii="Arial" w:hAnsi="Arial" w:cs="Arial"/>
          <w:color w:val="808080" w:themeColor="background1" w:themeShade="80"/>
          <w:sz w:val="22"/>
          <w:szCs w:val="22"/>
          <w:lang w:val="en-GB"/>
        </w:rPr>
        <w:t>M</w:t>
      </w:r>
      <w:r w:rsidRPr="002F5578">
        <w:rPr>
          <w:rFonts w:ascii="Arial" w:hAnsi="Arial" w:cs="Arial"/>
          <w:color w:val="808080" w:themeColor="background1" w:themeShade="80"/>
          <w:sz w:val="22"/>
          <w:szCs w:val="22"/>
          <w:lang w:val="en-GB"/>
        </w:rPr>
        <w:t xml:space="preserve">embers States never came into force as it was not ratified by enough </w:t>
      </w:r>
      <w:r w:rsidR="007A79EB">
        <w:rPr>
          <w:rFonts w:ascii="Arial" w:hAnsi="Arial" w:cs="Arial"/>
          <w:color w:val="808080" w:themeColor="background1" w:themeShade="80"/>
          <w:sz w:val="22"/>
          <w:szCs w:val="22"/>
          <w:lang w:val="en-GB"/>
        </w:rPr>
        <w:t>M</w:t>
      </w:r>
      <w:r w:rsidRPr="002F5578">
        <w:rPr>
          <w:rFonts w:ascii="Arial" w:hAnsi="Arial" w:cs="Arial"/>
          <w:color w:val="808080" w:themeColor="background1" w:themeShade="80"/>
          <w:sz w:val="22"/>
          <w:szCs w:val="22"/>
          <w:lang w:val="en-GB"/>
        </w:rPr>
        <w:t>ember States. By contrast, an example of multilateral success on international insolvency in Europe would be the European Union’s (“</w:t>
      </w:r>
      <w:r w:rsidRPr="002F5578">
        <w:rPr>
          <w:rFonts w:ascii="Arial" w:hAnsi="Arial" w:cs="Arial"/>
          <w:b/>
          <w:bCs/>
          <w:color w:val="808080" w:themeColor="background1" w:themeShade="80"/>
          <w:sz w:val="22"/>
          <w:szCs w:val="22"/>
          <w:lang w:val="en-GB"/>
        </w:rPr>
        <w:t>EU</w:t>
      </w:r>
      <w:r w:rsidRPr="002F5578">
        <w:rPr>
          <w:rFonts w:ascii="Arial" w:hAnsi="Arial" w:cs="Arial"/>
          <w:color w:val="808080" w:themeColor="background1" w:themeShade="80"/>
          <w:sz w:val="22"/>
          <w:szCs w:val="22"/>
          <w:lang w:val="en-GB"/>
        </w:rPr>
        <w:t>”) European Insolvency Regulation (2000) (“</w:t>
      </w:r>
      <w:r w:rsidRPr="002F5578">
        <w:rPr>
          <w:rFonts w:ascii="Arial" w:hAnsi="Arial" w:cs="Arial"/>
          <w:b/>
          <w:bCs/>
          <w:color w:val="808080" w:themeColor="background1" w:themeShade="80"/>
          <w:sz w:val="22"/>
          <w:szCs w:val="22"/>
          <w:lang w:val="en-GB"/>
        </w:rPr>
        <w:t>EIR</w:t>
      </w:r>
      <w:r w:rsidRPr="002F5578">
        <w:rPr>
          <w:rFonts w:ascii="Arial" w:hAnsi="Arial" w:cs="Arial"/>
          <w:color w:val="808080" w:themeColor="background1" w:themeShade="80"/>
          <w:sz w:val="22"/>
          <w:szCs w:val="22"/>
          <w:lang w:val="en-GB"/>
        </w:rPr>
        <w:t>”). The EIR was in recent years amended which means that the current “hard law” on international insolvency within the EU is the Regulation (EU) 2015/848 of the European Parliament and of the Council of 20 May 2015 on Insolvency Proceedings (Recast) (EIR Recast).</w:t>
      </w:r>
      <w:r w:rsidR="00101398">
        <w:rPr>
          <w:rStyle w:val="FootnoteReference"/>
          <w:rFonts w:ascii="Arial" w:hAnsi="Arial" w:cs="Arial"/>
          <w:color w:val="808080" w:themeColor="background1" w:themeShade="80"/>
          <w:sz w:val="22"/>
          <w:szCs w:val="22"/>
          <w:lang w:val="en-GB"/>
        </w:rPr>
        <w:footnoteReference w:id="23"/>
      </w:r>
    </w:p>
    <w:p w14:paraId="44B62186" w14:textId="77777777" w:rsidR="002B7774" w:rsidRPr="002F5578" w:rsidRDefault="002B7774" w:rsidP="006A44B2">
      <w:pPr>
        <w:jc w:val="both"/>
        <w:rPr>
          <w:rFonts w:ascii="Arial" w:hAnsi="Arial" w:cs="Arial"/>
          <w:color w:val="808080" w:themeColor="background1" w:themeShade="80"/>
          <w:sz w:val="22"/>
          <w:szCs w:val="22"/>
          <w:lang w:val="en-GB"/>
        </w:rPr>
      </w:pPr>
    </w:p>
    <w:p w14:paraId="7C5C636E" w14:textId="0BB9CD21" w:rsidR="002B7774" w:rsidRPr="002F5578" w:rsidRDefault="002B7774" w:rsidP="006A44B2">
      <w:pPr>
        <w:jc w:val="both"/>
        <w:rPr>
          <w:rFonts w:ascii="Arial" w:hAnsi="Arial" w:cs="Arial"/>
          <w:color w:val="808080" w:themeColor="background1" w:themeShade="80"/>
          <w:sz w:val="22"/>
          <w:szCs w:val="22"/>
          <w:lang w:val="en-GB"/>
        </w:rPr>
      </w:pPr>
      <w:r w:rsidRPr="002F5578">
        <w:rPr>
          <w:rFonts w:ascii="Arial" w:hAnsi="Arial" w:cs="Arial"/>
          <w:color w:val="808080" w:themeColor="background1" w:themeShade="80"/>
          <w:sz w:val="22"/>
          <w:szCs w:val="22"/>
          <w:lang w:val="en-GB"/>
        </w:rPr>
        <w:lastRenderedPageBreak/>
        <w:t>“Soft law” has been more successful than “hard law” in providing solutions to the challenges of international insolvency.</w:t>
      </w:r>
      <w:r w:rsidR="00D52B17">
        <w:rPr>
          <w:rStyle w:val="FootnoteReference"/>
          <w:rFonts w:ascii="Arial" w:hAnsi="Arial" w:cs="Arial"/>
          <w:color w:val="808080" w:themeColor="background1" w:themeShade="80"/>
          <w:sz w:val="22"/>
          <w:szCs w:val="22"/>
          <w:lang w:val="en-GB"/>
        </w:rPr>
        <w:footnoteReference w:id="24"/>
      </w:r>
      <w:r w:rsidRPr="002F5578">
        <w:rPr>
          <w:rFonts w:ascii="Arial" w:hAnsi="Arial" w:cs="Arial"/>
          <w:color w:val="808080" w:themeColor="background1" w:themeShade="80"/>
          <w:sz w:val="22"/>
          <w:szCs w:val="22"/>
          <w:lang w:val="en-GB"/>
        </w:rPr>
        <w:t xml:space="preserve"> Perhaps the biggest reason for this is the proponent of “soft law”. Proponents of “soft law” tend to be multilateral organisations</w:t>
      </w:r>
      <w:r w:rsidR="00307295" w:rsidRPr="002F5578">
        <w:rPr>
          <w:rFonts w:ascii="Arial" w:hAnsi="Arial" w:cs="Arial"/>
          <w:color w:val="808080" w:themeColor="background1" w:themeShade="80"/>
          <w:sz w:val="22"/>
          <w:szCs w:val="22"/>
          <w:lang w:val="en-GB"/>
        </w:rPr>
        <w:t xml:space="preserve"> </w:t>
      </w:r>
      <w:r w:rsidRPr="002F5578">
        <w:rPr>
          <w:rFonts w:ascii="Arial" w:hAnsi="Arial" w:cs="Arial"/>
          <w:color w:val="808080" w:themeColor="background1" w:themeShade="80"/>
          <w:sz w:val="22"/>
          <w:szCs w:val="22"/>
          <w:lang w:val="en-GB"/>
        </w:rPr>
        <w:t>(rather than sovereign States which formalise “hard law”/treaties). The Hague Conference on Private International Law (“</w:t>
      </w:r>
      <w:r w:rsidRPr="002F5578">
        <w:rPr>
          <w:rFonts w:ascii="Arial" w:hAnsi="Arial" w:cs="Arial"/>
          <w:b/>
          <w:bCs/>
          <w:color w:val="808080" w:themeColor="background1" w:themeShade="80"/>
          <w:sz w:val="22"/>
          <w:szCs w:val="22"/>
          <w:lang w:val="en-GB"/>
        </w:rPr>
        <w:t>Hague Conference</w:t>
      </w:r>
      <w:r w:rsidRPr="002F5578">
        <w:rPr>
          <w:rFonts w:ascii="Arial" w:hAnsi="Arial" w:cs="Arial"/>
          <w:color w:val="808080" w:themeColor="background1" w:themeShade="80"/>
          <w:sz w:val="22"/>
          <w:szCs w:val="22"/>
          <w:lang w:val="en-GB"/>
        </w:rPr>
        <w:t>”) is an intergovernmental organisation that was established with the aim of unifying private international law and is a key driver of “soft law” in international insolvency. The Hague Conference administers international conventions and soft law instruments. An example of the Hague Conference’s coordination is with the United Nations Commission on International Trade Law (“</w:t>
      </w:r>
      <w:r w:rsidRPr="002F5578">
        <w:rPr>
          <w:rFonts w:ascii="Arial" w:hAnsi="Arial" w:cs="Arial"/>
          <w:b/>
          <w:bCs/>
          <w:color w:val="808080" w:themeColor="background1" w:themeShade="80"/>
          <w:sz w:val="22"/>
          <w:szCs w:val="22"/>
          <w:lang w:val="en-GB"/>
        </w:rPr>
        <w:t>UNCITRAL</w:t>
      </w:r>
      <w:r w:rsidRPr="002F5578">
        <w:rPr>
          <w:rFonts w:ascii="Arial" w:hAnsi="Arial" w:cs="Arial"/>
          <w:color w:val="808080" w:themeColor="background1" w:themeShade="80"/>
          <w:sz w:val="22"/>
          <w:szCs w:val="22"/>
          <w:lang w:val="en-GB"/>
        </w:rPr>
        <w:t>”). UNCITRAL aims to “</w:t>
      </w:r>
      <w:r w:rsidRPr="007A79EB">
        <w:rPr>
          <w:rFonts w:ascii="Arial" w:hAnsi="Arial" w:cs="Arial"/>
          <w:i/>
          <w:iCs/>
          <w:color w:val="808080" w:themeColor="background1" w:themeShade="80"/>
          <w:sz w:val="22"/>
          <w:szCs w:val="22"/>
          <w:lang w:val="en-GB"/>
        </w:rPr>
        <w:t>further the progressive harmonization and modernization of the law of international trade</w:t>
      </w:r>
      <w:r w:rsidRPr="002F5578">
        <w:rPr>
          <w:rFonts w:ascii="Arial" w:hAnsi="Arial" w:cs="Arial"/>
          <w:color w:val="808080" w:themeColor="background1" w:themeShade="80"/>
          <w:sz w:val="22"/>
          <w:szCs w:val="22"/>
          <w:lang w:val="en-GB"/>
        </w:rPr>
        <w:t>”</w:t>
      </w:r>
      <w:r w:rsidRPr="002F5578">
        <w:rPr>
          <w:rStyle w:val="FootnoteReference"/>
          <w:rFonts w:ascii="Arial" w:hAnsi="Arial" w:cs="Arial"/>
          <w:color w:val="808080" w:themeColor="background1" w:themeShade="80"/>
          <w:sz w:val="22"/>
          <w:szCs w:val="22"/>
          <w:lang w:val="en-GB"/>
        </w:rPr>
        <w:footnoteReference w:id="25"/>
      </w:r>
      <w:r w:rsidRPr="002F5578">
        <w:rPr>
          <w:rFonts w:ascii="Arial" w:hAnsi="Arial" w:cs="Arial"/>
          <w:color w:val="808080" w:themeColor="background1" w:themeShade="80"/>
          <w:sz w:val="22"/>
          <w:szCs w:val="22"/>
          <w:lang w:val="en-GB"/>
        </w:rPr>
        <w:t>. As a result of this cooperation, the UNCITRAL Legislative Guide on Insolvency Law (2004) was prepared.</w:t>
      </w:r>
    </w:p>
    <w:p w14:paraId="7A4816FE" w14:textId="77777777" w:rsidR="002B7774" w:rsidRPr="002F5578" w:rsidRDefault="002B7774" w:rsidP="006A44B2">
      <w:pPr>
        <w:jc w:val="both"/>
        <w:rPr>
          <w:rFonts w:ascii="Arial" w:hAnsi="Arial" w:cs="Arial"/>
          <w:color w:val="808080" w:themeColor="background1" w:themeShade="80"/>
          <w:sz w:val="22"/>
          <w:szCs w:val="22"/>
          <w:lang w:val="en-GB"/>
        </w:rPr>
      </w:pPr>
    </w:p>
    <w:p w14:paraId="0ED1BD90" w14:textId="0D4AFF83" w:rsidR="004D4BAB" w:rsidRPr="002F5578" w:rsidRDefault="002B7774" w:rsidP="006A44B2">
      <w:pPr>
        <w:jc w:val="both"/>
        <w:rPr>
          <w:rFonts w:ascii="Arial" w:hAnsi="Arial" w:cs="Arial"/>
          <w:color w:val="808080" w:themeColor="background1" w:themeShade="80"/>
          <w:sz w:val="22"/>
          <w:szCs w:val="22"/>
          <w:lang w:val="en-GB"/>
        </w:rPr>
      </w:pPr>
      <w:r w:rsidRPr="002F5578">
        <w:rPr>
          <w:rFonts w:ascii="Arial" w:hAnsi="Arial" w:cs="Arial"/>
          <w:color w:val="808080" w:themeColor="background1" w:themeShade="80"/>
          <w:sz w:val="22"/>
          <w:szCs w:val="22"/>
          <w:lang w:val="en-GB"/>
        </w:rPr>
        <w:t>To date, the most successful “soft law” initiative in providing solutions to the challenges of international insolvency has been UNCITRAL’s Model Law on Cross-Border Insolvency (“</w:t>
      </w:r>
      <w:r w:rsidRPr="002F5578">
        <w:rPr>
          <w:rFonts w:ascii="Arial" w:hAnsi="Arial" w:cs="Arial"/>
          <w:b/>
          <w:bCs/>
          <w:color w:val="808080" w:themeColor="background1" w:themeShade="80"/>
          <w:sz w:val="22"/>
          <w:szCs w:val="22"/>
          <w:lang w:val="en-GB"/>
        </w:rPr>
        <w:t>MLCBI</w:t>
      </w:r>
      <w:r w:rsidRPr="002F5578">
        <w:rPr>
          <w:rFonts w:ascii="Arial" w:hAnsi="Arial" w:cs="Arial"/>
          <w:color w:val="808080" w:themeColor="background1" w:themeShade="80"/>
          <w:sz w:val="22"/>
          <w:szCs w:val="22"/>
          <w:lang w:val="en-GB"/>
        </w:rPr>
        <w:t>”)</w:t>
      </w:r>
      <w:r w:rsidR="00D52B17">
        <w:rPr>
          <w:rStyle w:val="FootnoteReference"/>
          <w:rFonts w:ascii="Arial" w:hAnsi="Arial" w:cs="Arial"/>
          <w:color w:val="808080" w:themeColor="background1" w:themeShade="80"/>
          <w:sz w:val="22"/>
          <w:szCs w:val="22"/>
          <w:lang w:val="en-GB"/>
        </w:rPr>
        <w:footnoteReference w:id="26"/>
      </w:r>
      <w:r w:rsidRPr="002F5578">
        <w:rPr>
          <w:rFonts w:ascii="Arial" w:hAnsi="Arial" w:cs="Arial"/>
          <w:color w:val="808080" w:themeColor="background1" w:themeShade="80"/>
          <w:sz w:val="22"/>
          <w:szCs w:val="22"/>
          <w:lang w:val="en-GB"/>
        </w:rPr>
        <w:t xml:space="preserve">. MLCBI is designed to provide States </w:t>
      </w:r>
      <w:r w:rsidR="007A79EB">
        <w:rPr>
          <w:rFonts w:ascii="Arial" w:hAnsi="Arial" w:cs="Arial"/>
          <w:color w:val="808080" w:themeColor="background1" w:themeShade="80"/>
          <w:sz w:val="22"/>
          <w:szCs w:val="22"/>
          <w:lang w:val="en-GB"/>
        </w:rPr>
        <w:t xml:space="preserve">with </w:t>
      </w:r>
      <w:r w:rsidRPr="002F5578">
        <w:rPr>
          <w:rFonts w:ascii="Arial" w:hAnsi="Arial" w:cs="Arial"/>
          <w:color w:val="808080" w:themeColor="background1" w:themeShade="80"/>
          <w:sz w:val="22"/>
          <w:szCs w:val="22"/>
          <w:lang w:val="en-GB"/>
        </w:rPr>
        <w:t>a modern legal framework to deal effectively with cross-border insolvency proceedings. MLCBI takes the form of a Model Law (draft legislation) and not a treaty or convention</w:t>
      </w:r>
      <w:r w:rsidR="001D745E">
        <w:rPr>
          <w:rStyle w:val="FootnoteReference"/>
          <w:rFonts w:ascii="Arial" w:hAnsi="Arial" w:cs="Arial"/>
          <w:color w:val="808080" w:themeColor="background1" w:themeShade="80"/>
          <w:sz w:val="22"/>
          <w:szCs w:val="22"/>
          <w:lang w:val="en-GB"/>
        </w:rPr>
        <w:footnoteReference w:id="27"/>
      </w:r>
      <w:r w:rsidR="007A79EB">
        <w:rPr>
          <w:rFonts w:ascii="Arial" w:hAnsi="Arial" w:cs="Arial"/>
          <w:color w:val="808080" w:themeColor="background1" w:themeShade="80"/>
          <w:sz w:val="22"/>
          <w:szCs w:val="22"/>
          <w:lang w:val="en-GB"/>
        </w:rPr>
        <w:t>. It</w:t>
      </w:r>
      <w:r w:rsidRPr="002F5578">
        <w:rPr>
          <w:rFonts w:ascii="Arial" w:hAnsi="Arial" w:cs="Arial"/>
          <w:color w:val="808080" w:themeColor="background1" w:themeShade="80"/>
          <w:sz w:val="22"/>
          <w:szCs w:val="22"/>
          <w:lang w:val="en-GB"/>
        </w:rPr>
        <w:t xml:space="preserve"> is therefore focused on encouraging cooperation between the different jurisdictions involved (rather than attempting to unify insolvency law of different States). Member States of UNCITRAL are recommended to adopt the Model Law (</w:t>
      </w:r>
      <w:proofErr w:type="gramStart"/>
      <w:r w:rsidRPr="002F5578">
        <w:rPr>
          <w:rFonts w:ascii="Arial" w:hAnsi="Arial" w:cs="Arial"/>
          <w:color w:val="808080" w:themeColor="background1" w:themeShade="80"/>
          <w:sz w:val="22"/>
          <w:szCs w:val="22"/>
          <w:lang w:val="en-GB"/>
        </w:rPr>
        <w:t>whether or not</w:t>
      </w:r>
      <w:proofErr w:type="gramEnd"/>
      <w:r w:rsidRPr="002F5578">
        <w:rPr>
          <w:rFonts w:ascii="Arial" w:hAnsi="Arial" w:cs="Arial"/>
          <w:color w:val="808080" w:themeColor="background1" w:themeShade="80"/>
          <w:sz w:val="22"/>
          <w:szCs w:val="22"/>
          <w:lang w:val="en-GB"/>
        </w:rPr>
        <w:t xml:space="preserve"> with modification). As of today’s date, legislation which is based on or influenced by the Model Law has been adopted in 59 States in a total of 62 jurisdictions</w:t>
      </w:r>
      <w:r w:rsidRPr="002F5578">
        <w:rPr>
          <w:rStyle w:val="FootnoteReference"/>
          <w:rFonts w:ascii="Arial" w:hAnsi="Arial" w:cs="Arial"/>
          <w:color w:val="808080" w:themeColor="background1" w:themeShade="80"/>
          <w:sz w:val="22"/>
          <w:szCs w:val="22"/>
          <w:lang w:val="en-GB"/>
        </w:rPr>
        <w:footnoteReference w:id="28"/>
      </w:r>
      <w:r w:rsidRPr="002F5578">
        <w:rPr>
          <w:rFonts w:ascii="Arial" w:hAnsi="Arial" w:cs="Arial"/>
          <w:color w:val="808080" w:themeColor="background1" w:themeShade="80"/>
          <w:sz w:val="22"/>
          <w:szCs w:val="22"/>
          <w:lang w:val="en-GB"/>
        </w:rPr>
        <w:t xml:space="preserve">. States that have adopted the Model Law range from the United Kingdom to Gabon and Panama. The geographical spread of the adopting States and jurisdictions (and the number of them) suggests that the MLCBI has become a </w:t>
      </w:r>
      <w:r w:rsidR="007A79EB" w:rsidRPr="002F5578">
        <w:rPr>
          <w:rFonts w:ascii="Arial" w:hAnsi="Arial" w:cs="Arial"/>
          <w:color w:val="808080" w:themeColor="background1" w:themeShade="80"/>
          <w:sz w:val="22"/>
          <w:szCs w:val="22"/>
          <w:lang w:val="en-GB"/>
        </w:rPr>
        <w:t>well-supported</w:t>
      </w:r>
      <w:r w:rsidRPr="002F5578">
        <w:rPr>
          <w:rFonts w:ascii="Arial" w:hAnsi="Arial" w:cs="Arial"/>
          <w:color w:val="808080" w:themeColor="background1" w:themeShade="80"/>
          <w:sz w:val="22"/>
          <w:szCs w:val="22"/>
          <w:lang w:val="en-GB"/>
        </w:rPr>
        <w:t xml:space="preserve"> solution to the challenges of international insolvency law.</w:t>
      </w:r>
      <w:r w:rsidR="001D745E">
        <w:rPr>
          <w:rStyle w:val="FootnoteReference"/>
          <w:rFonts w:ascii="Arial" w:hAnsi="Arial" w:cs="Arial"/>
          <w:color w:val="808080" w:themeColor="background1" w:themeShade="80"/>
          <w:sz w:val="22"/>
          <w:szCs w:val="22"/>
          <w:lang w:val="en-GB"/>
        </w:rPr>
        <w:footnoteReference w:id="29"/>
      </w:r>
    </w:p>
    <w:p w14:paraId="47E7CB2B" w14:textId="77777777" w:rsidR="002B7774" w:rsidRDefault="002B7774" w:rsidP="006A44B2">
      <w:pPr>
        <w:jc w:val="both"/>
        <w:rPr>
          <w:rFonts w:ascii="Avenir Next" w:hAnsi="Avenir Next" w:cs="Arial"/>
          <w:color w:val="808080" w:themeColor="background1" w:themeShade="8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0569571D" w14:textId="7BB5F09F" w:rsidR="00D14BF2" w:rsidRPr="007A79EB" w:rsidRDefault="00D14BF2" w:rsidP="00D14BF2">
      <w:pPr>
        <w:jc w:val="both"/>
        <w:rPr>
          <w:rFonts w:ascii="Arial" w:hAnsi="Arial" w:cs="Arial"/>
          <w:color w:val="808080" w:themeColor="background1" w:themeShade="80"/>
          <w:sz w:val="22"/>
          <w:szCs w:val="22"/>
          <w:lang w:val="en-GB"/>
        </w:rPr>
      </w:pPr>
      <w:r w:rsidRPr="007A79EB">
        <w:rPr>
          <w:rFonts w:ascii="Arial" w:hAnsi="Arial" w:cs="Arial"/>
          <w:color w:val="808080" w:themeColor="background1" w:themeShade="80"/>
          <w:sz w:val="22"/>
          <w:szCs w:val="22"/>
          <w:lang w:val="en-GB"/>
        </w:rPr>
        <w:t>The applicable English cross-border source that the American insolvent estate representative (“</w:t>
      </w:r>
      <w:r w:rsidRPr="007A79EB">
        <w:rPr>
          <w:rFonts w:ascii="Arial" w:hAnsi="Arial" w:cs="Arial"/>
          <w:b/>
          <w:bCs/>
          <w:color w:val="808080" w:themeColor="background1" w:themeShade="80"/>
          <w:sz w:val="22"/>
          <w:szCs w:val="22"/>
          <w:lang w:val="en-GB"/>
        </w:rPr>
        <w:t>American Representative</w:t>
      </w:r>
      <w:r w:rsidRPr="007A79EB">
        <w:rPr>
          <w:rFonts w:ascii="Arial" w:hAnsi="Arial" w:cs="Arial"/>
          <w:color w:val="808080" w:themeColor="background1" w:themeShade="80"/>
          <w:sz w:val="22"/>
          <w:szCs w:val="22"/>
          <w:lang w:val="en-GB"/>
        </w:rPr>
        <w:t xml:space="preserve">”) may use to request recognition in terms of English Law </w:t>
      </w:r>
      <w:proofErr w:type="gramStart"/>
      <w:r w:rsidRPr="007A79EB">
        <w:rPr>
          <w:rFonts w:ascii="Arial" w:hAnsi="Arial" w:cs="Arial"/>
          <w:color w:val="808080" w:themeColor="background1" w:themeShade="80"/>
          <w:sz w:val="22"/>
          <w:szCs w:val="22"/>
          <w:lang w:val="en-GB"/>
        </w:rPr>
        <w:t>in order to</w:t>
      </w:r>
      <w:proofErr w:type="gramEnd"/>
      <w:r w:rsidRPr="007A79EB">
        <w:rPr>
          <w:rFonts w:ascii="Arial" w:hAnsi="Arial" w:cs="Arial"/>
          <w:color w:val="808080" w:themeColor="background1" w:themeShade="80"/>
          <w:sz w:val="22"/>
          <w:szCs w:val="22"/>
          <w:lang w:val="en-GB"/>
        </w:rPr>
        <w:t xml:space="preserve"> deal with the assets of Norton Cars Inc (“</w:t>
      </w:r>
      <w:r w:rsidRPr="007A79EB">
        <w:rPr>
          <w:rFonts w:ascii="Arial" w:hAnsi="Arial" w:cs="Arial"/>
          <w:b/>
          <w:bCs/>
          <w:color w:val="808080" w:themeColor="background1" w:themeShade="80"/>
          <w:sz w:val="22"/>
          <w:szCs w:val="22"/>
          <w:lang w:val="en-GB"/>
        </w:rPr>
        <w:t>Norton Cars</w:t>
      </w:r>
      <w:r w:rsidRPr="007A79EB">
        <w:rPr>
          <w:rFonts w:ascii="Arial" w:hAnsi="Arial" w:cs="Arial"/>
          <w:color w:val="808080" w:themeColor="background1" w:themeShade="80"/>
          <w:sz w:val="22"/>
          <w:szCs w:val="22"/>
          <w:lang w:val="en-GB"/>
        </w:rPr>
        <w:t>”) situated in England is the Cross-Border Insolvency Regulations 2006 (“</w:t>
      </w:r>
      <w:r w:rsidRPr="007A79EB">
        <w:rPr>
          <w:rFonts w:ascii="Arial" w:hAnsi="Arial" w:cs="Arial"/>
          <w:b/>
          <w:bCs/>
          <w:color w:val="808080" w:themeColor="background1" w:themeShade="80"/>
          <w:sz w:val="22"/>
          <w:szCs w:val="22"/>
          <w:lang w:val="en-GB"/>
        </w:rPr>
        <w:t>CBIR</w:t>
      </w:r>
      <w:r w:rsidRPr="007A79EB">
        <w:rPr>
          <w:rFonts w:ascii="Arial" w:hAnsi="Arial" w:cs="Arial"/>
          <w:color w:val="808080" w:themeColor="background1" w:themeShade="80"/>
          <w:sz w:val="22"/>
          <w:szCs w:val="22"/>
          <w:lang w:val="en-GB"/>
        </w:rPr>
        <w:t>”). CBIR</w:t>
      </w:r>
      <w:r w:rsidR="00A21B24" w:rsidRPr="007A79EB">
        <w:rPr>
          <w:rFonts w:ascii="Arial" w:hAnsi="Arial" w:cs="Arial"/>
          <w:color w:val="808080" w:themeColor="background1" w:themeShade="80"/>
          <w:sz w:val="22"/>
          <w:szCs w:val="22"/>
          <w:lang w:val="en-GB"/>
        </w:rPr>
        <w:t xml:space="preserve"> implements </w:t>
      </w:r>
      <w:r w:rsidRPr="007A79EB">
        <w:rPr>
          <w:rFonts w:ascii="Arial" w:hAnsi="Arial" w:cs="Arial"/>
          <w:color w:val="808080" w:themeColor="background1" w:themeShade="80"/>
          <w:sz w:val="22"/>
          <w:szCs w:val="22"/>
          <w:lang w:val="en-GB"/>
        </w:rPr>
        <w:t>the UNCITRAL Model Law on Cross-Border Insolvency (“</w:t>
      </w:r>
      <w:r w:rsidRPr="007A79EB">
        <w:rPr>
          <w:rFonts w:ascii="Arial" w:hAnsi="Arial" w:cs="Arial"/>
          <w:b/>
          <w:bCs/>
          <w:color w:val="808080" w:themeColor="background1" w:themeShade="80"/>
          <w:sz w:val="22"/>
          <w:szCs w:val="22"/>
          <w:lang w:val="en-GB"/>
        </w:rPr>
        <w:t>MLCBI</w:t>
      </w:r>
      <w:r w:rsidRPr="007A79EB">
        <w:rPr>
          <w:rFonts w:ascii="Arial" w:hAnsi="Arial" w:cs="Arial"/>
          <w:color w:val="808080" w:themeColor="background1" w:themeShade="80"/>
          <w:sz w:val="22"/>
          <w:szCs w:val="22"/>
          <w:lang w:val="en-GB"/>
        </w:rPr>
        <w:t>”).</w:t>
      </w:r>
    </w:p>
    <w:p w14:paraId="38D05531" w14:textId="77777777" w:rsidR="00E7033B" w:rsidRPr="007A79EB" w:rsidRDefault="00E7033B" w:rsidP="00D14BF2">
      <w:pPr>
        <w:jc w:val="both"/>
        <w:rPr>
          <w:rFonts w:ascii="Arial" w:hAnsi="Arial" w:cs="Arial"/>
          <w:color w:val="808080" w:themeColor="background1" w:themeShade="80"/>
          <w:sz w:val="22"/>
          <w:szCs w:val="22"/>
          <w:lang w:val="en-GB"/>
        </w:rPr>
      </w:pPr>
    </w:p>
    <w:p w14:paraId="4603EC8A" w14:textId="72AC0759" w:rsidR="00D14BF2" w:rsidRPr="007A79EB" w:rsidRDefault="00D14BF2" w:rsidP="00D14BF2">
      <w:pPr>
        <w:jc w:val="both"/>
        <w:rPr>
          <w:rFonts w:ascii="Arial" w:hAnsi="Arial" w:cs="Arial"/>
          <w:color w:val="808080" w:themeColor="background1" w:themeShade="80"/>
          <w:sz w:val="22"/>
          <w:szCs w:val="22"/>
          <w:lang w:val="en-GB"/>
        </w:rPr>
      </w:pPr>
      <w:r w:rsidRPr="007A79EB">
        <w:rPr>
          <w:rFonts w:ascii="Arial" w:hAnsi="Arial" w:cs="Arial"/>
          <w:color w:val="808080" w:themeColor="background1" w:themeShade="80"/>
          <w:sz w:val="22"/>
          <w:szCs w:val="22"/>
          <w:lang w:val="en-GB"/>
        </w:rPr>
        <w:t>CBIR (by adopting MLCBI) envisages a foreign representative seeking assistance from the courts in England and Wales in connection with foreign insolvency proceedings. A foreign representative is usually a foreign insolvency officeholder, such as a liquidator</w:t>
      </w:r>
      <w:r w:rsidR="00E9562E" w:rsidRPr="007A79EB">
        <w:rPr>
          <w:rStyle w:val="FootnoteReference"/>
          <w:rFonts w:ascii="Arial" w:hAnsi="Arial" w:cs="Arial"/>
          <w:color w:val="808080" w:themeColor="background1" w:themeShade="80"/>
          <w:sz w:val="22"/>
          <w:szCs w:val="22"/>
          <w:lang w:val="en-GB"/>
        </w:rPr>
        <w:footnoteReference w:id="30"/>
      </w:r>
      <w:r w:rsidR="00130FB7">
        <w:rPr>
          <w:rFonts w:ascii="Arial" w:hAnsi="Arial" w:cs="Arial"/>
          <w:color w:val="808080" w:themeColor="background1" w:themeShade="80"/>
          <w:sz w:val="22"/>
          <w:szCs w:val="22"/>
          <w:lang w:val="en-GB"/>
        </w:rPr>
        <w:t xml:space="preserve"> (in this </w:t>
      </w:r>
      <w:r w:rsidRPr="007A79EB">
        <w:rPr>
          <w:rFonts w:ascii="Arial" w:hAnsi="Arial" w:cs="Arial"/>
          <w:color w:val="808080" w:themeColor="background1" w:themeShade="80"/>
          <w:sz w:val="22"/>
          <w:szCs w:val="22"/>
          <w:lang w:val="en-GB"/>
        </w:rPr>
        <w:t>case, the American Representative</w:t>
      </w:r>
      <w:r w:rsidR="00130FB7">
        <w:rPr>
          <w:rFonts w:ascii="Arial" w:hAnsi="Arial" w:cs="Arial"/>
          <w:color w:val="808080" w:themeColor="background1" w:themeShade="80"/>
          <w:sz w:val="22"/>
          <w:szCs w:val="22"/>
          <w:lang w:val="en-GB"/>
        </w:rPr>
        <w:t>)</w:t>
      </w:r>
      <w:r w:rsidRPr="007A79EB">
        <w:rPr>
          <w:rFonts w:ascii="Arial" w:hAnsi="Arial" w:cs="Arial"/>
          <w:color w:val="808080" w:themeColor="background1" w:themeShade="80"/>
          <w:sz w:val="22"/>
          <w:szCs w:val="22"/>
          <w:lang w:val="en-GB"/>
        </w:rPr>
        <w:t>. Foreign insolvency proceedings include liquidation</w:t>
      </w:r>
      <w:r w:rsidR="00E9562E" w:rsidRPr="007A79EB">
        <w:rPr>
          <w:rStyle w:val="FootnoteReference"/>
          <w:rFonts w:ascii="Arial" w:hAnsi="Arial" w:cs="Arial"/>
          <w:color w:val="808080" w:themeColor="background1" w:themeShade="80"/>
          <w:sz w:val="22"/>
          <w:szCs w:val="22"/>
          <w:lang w:val="en-GB"/>
        </w:rPr>
        <w:footnoteReference w:id="31"/>
      </w:r>
      <w:r w:rsidRPr="007A79EB">
        <w:rPr>
          <w:rFonts w:ascii="Arial" w:hAnsi="Arial" w:cs="Arial"/>
          <w:color w:val="808080" w:themeColor="background1" w:themeShade="80"/>
          <w:sz w:val="22"/>
          <w:szCs w:val="22"/>
          <w:lang w:val="en-GB"/>
        </w:rPr>
        <w:t xml:space="preserve"> </w:t>
      </w:r>
      <w:r w:rsidR="00130FB7">
        <w:rPr>
          <w:rFonts w:ascii="Arial" w:hAnsi="Arial" w:cs="Arial"/>
          <w:color w:val="808080" w:themeColor="background1" w:themeShade="80"/>
          <w:sz w:val="22"/>
          <w:szCs w:val="22"/>
          <w:lang w:val="en-GB"/>
        </w:rPr>
        <w:t>(</w:t>
      </w:r>
      <w:r w:rsidRPr="007A79EB">
        <w:rPr>
          <w:rFonts w:ascii="Arial" w:hAnsi="Arial" w:cs="Arial"/>
          <w:color w:val="808080" w:themeColor="background1" w:themeShade="80"/>
          <w:sz w:val="22"/>
          <w:szCs w:val="22"/>
          <w:lang w:val="en-GB"/>
        </w:rPr>
        <w:t>this case, the American liquidation of Norton Cars</w:t>
      </w:r>
      <w:r w:rsidR="00130FB7">
        <w:rPr>
          <w:rFonts w:ascii="Arial" w:hAnsi="Arial" w:cs="Arial"/>
          <w:color w:val="808080" w:themeColor="background1" w:themeShade="80"/>
          <w:sz w:val="22"/>
          <w:szCs w:val="22"/>
          <w:lang w:val="en-GB"/>
        </w:rPr>
        <w:t>)</w:t>
      </w:r>
      <w:r w:rsidRPr="007A79EB">
        <w:rPr>
          <w:rFonts w:ascii="Arial" w:hAnsi="Arial" w:cs="Arial"/>
          <w:color w:val="808080" w:themeColor="background1" w:themeShade="80"/>
          <w:sz w:val="22"/>
          <w:szCs w:val="22"/>
          <w:lang w:val="en-GB"/>
        </w:rPr>
        <w:t xml:space="preserve">. The CBIR (and MLCBI) are intended to put the American Representative in the same position, as far as possible, as an officeholder who was appointed under </w:t>
      </w:r>
      <w:r w:rsidR="00130FB7">
        <w:rPr>
          <w:rFonts w:ascii="Arial" w:hAnsi="Arial" w:cs="Arial"/>
          <w:color w:val="808080" w:themeColor="background1" w:themeShade="80"/>
          <w:sz w:val="22"/>
          <w:szCs w:val="22"/>
          <w:lang w:val="en-GB"/>
        </w:rPr>
        <w:t>English and Welsh law.</w:t>
      </w:r>
    </w:p>
    <w:p w14:paraId="30A58C05" w14:textId="592F21CA" w:rsidR="00D14BF2" w:rsidRPr="007A79EB" w:rsidRDefault="00D14BF2" w:rsidP="00D14BF2">
      <w:pPr>
        <w:jc w:val="both"/>
        <w:rPr>
          <w:rFonts w:ascii="Arial" w:hAnsi="Arial" w:cs="Arial"/>
          <w:color w:val="808080" w:themeColor="background1" w:themeShade="80"/>
          <w:sz w:val="22"/>
          <w:szCs w:val="22"/>
          <w:lang w:val="en-GB"/>
        </w:rPr>
      </w:pPr>
    </w:p>
    <w:p w14:paraId="59F9646C" w14:textId="2A090F77" w:rsidR="00D14BF2" w:rsidRPr="007A79EB" w:rsidRDefault="00D14BF2" w:rsidP="00D14BF2">
      <w:pPr>
        <w:jc w:val="both"/>
        <w:rPr>
          <w:rFonts w:ascii="Arial" w:hAnsi="Arial" w:cs="Arial"/>
          <w:color w:val="808080" w:themeColor="background1" w:themeShade="80"/>
          <w:sz w:val="22"/>
          <w:szCs w:val="22"/>
          <w:lang w:val="en-GB"/>
        </w:rPr>
      </w:pPr>
      <w:r w:rsidRPr="007A79EB">
        <w:rPr>
          <w:rFonts w:ascii="Arial" w:hAnsi="Arial" w:cs="Arial"/>
          <w:color w:val="808080" w:themeColor="background1" w:themeShade="80"/>
          <w:sz w:val="22"/>
          <w:szCs w:val="22"/>
          <w:lang w:val="en-GB"/>
        </w:rPr>
        <w:t>In circumstances where the English and Welsh courts are asked to recognise foreign insolvency proceedings, the CBIR differentiates between two types of such proceedings which in turn affects the scope of relief available. The two types of proceedings are “foreign main proceedings” and “foreign non-main proceedings”. From the fact pattern, the situation of Norton Cars would be considered “foreign main proceedings” because these are foreign insolvency proceedings (</w:t>
      </w:r>
      <w:proofErr w:type="gramStart"/>
      <w:r w:rsidRPr="007A79EB">
        <w:rPr>
          <w:rFonts w:ascii="Arial" w:hAnsi="Arial" w:cs="Arial"/>
          <w:color w:val="808080" w:themeColor="background1" w:themeShade="80"/>
          <w:sz w:val="22"/>
          <w:szCs w:val="22"/>
          <w:lang w:val="en-GB"/>
        </w:rPr>
        <w:t>i.e.</w:t>
      </w:r>
      <w:proofErr w:type="gramEnd"/>
      <w:r w:rsidRPr="007A79EB">
        <w:rPr>
          <w:rFonts w:ascii="Arial" w:hAnsi="Arial" w:cs="Arial"/>
          <w:color w:val="808080" w:themeColor="background1" w:themeShade="80"/>
          <w:sz w:val="22"/>
          <w:szCs w:val="22"/>
          <w:lang w:val="en-GB"/>
        </w:rPr>
        <w:t xml:space="preserve"> </w:t>
      </w:r>
      <w:r w:rsidR="001A37D8" w:rsidRPr="007A79EB">
        <w:rPr>
          <w:rFonts w:ascii="Arial" w:hAnsi="Arial" w:cs="Arial"/>
          <w:color w:val="808080" w:themeColor="background1" w:themeShade="80"/>
          <w:sz w:val="22"/>
          <w:szCs w:val="22"/>
          <w:lang w:val="en-GB"/>
        </w:rPr>
        <w:t>commence</w:t>
      </w:r>
      <w:r w:rsidR="00130FB7">
        <w:rPr>
          <w:rFonts w:ascii="Arial" w:hAnsi="Arial" w:cs="Arial"/>
          <w:color w:val="808080" w:themeColor="background1" w:themeShade="80"/>
          <w:sz w:val="22"/>
          <w:szCs w:val="22"/>
          <w:lang w:val="en-GB"/>
        </w:rPr>
        <w:t>d</w:t>
      </w:r>
      <w:r w:rsidR="001A37D8" w:rsidRPr="007A79EB">
        <w:rPr>
          <w:rFonts w:ascii="Arial" w:hAnsi="Arial" w:cs="Arial"/>
          <w:color w:val="808080" w:themeColor="background1" w:themeShade="80"/>
          <w:sz w:val="22"/>
          <w:szCs w:val="22"/>
          <w:lang w:val="en-GB"/>
        </w:rPr>
        <w:t xml:space="preserve"> in</w:t>
      </w:r>
      <w:r w:rsidRPr="007A79EB">
        <w:rPr>
          <w:rFonts w:ascii="Arial" w:hAnsi="Arial" w:cs="Arial"/>
          <w:color w:val="808080" w:themeColor="background1" w:themeShade="80"/>
          <w:sz w:val="22"/>
          <w:szCs w:val="22"/>
          <w:lang w:val="en-GB"/>
        </w:rPr>
        <w:t xml:space="preserve"> America) which are taking place in the jurisdiction in which the debtor has its </w:t>
      </w:r>
      <w:r w:rsidR="0038143E" w:rsidRPr="007A79EB">
        <w:rPr>
          <w:rFonts w:ascii="Arial" w:hAnsi="Arial" w:cs="Arial"/>
          <w:color w:val="808080" w:themeColor="background1" w:themeShade="80"/>
          <w:sz w:val="22"/>
          <w:szCs w:val="22"/>
          <w:lang w:val="en-GB"/>
        </w:rPr>
        <w:t>c</w:t>
      </w:r>
      <w:r w:rsidRPr="007A79EB">
        <w:rPr>
          <w:rFonts w:ascii="Arial" w:hAnsi="Arial" w:cs="Arial"/>
          <w:color w:val="808080" w:themeColor="background1" w:themeShade="80"/>
          <w:sz w:val="22"/>
          <w:szCs w:val="22"/>
          <w:lang w:val="en-GB"/>
        </w:rPr>
        <w:t xml:space="preserve">entre of </w:t>
      </w:r>
      <w:r w:rsidR="0038143E" w:rsidRPr="007A79EB">
        <w:rPr>
          <w:rFonts w:ascii="Arial" w:hAnsi="Arial" w:cs="Arial"/>
          <w:color w:val="808080" w:themeColor="background1" w:themeShade="80"/>
          <w:sz w:val="22"/>
          <w:szCs w:val="22"/>
          <w:lang w:val="en-GB"/>
        </w:rPr>
        <w:t>m</w:t>
      </w:r>
      <w:r w:rsidRPr="007A79EB">
        <w:rPr>
          <w:rFonts w:ascii="Arial" w:hAnsi="Arial" w:cs="Arial"/>
          <w:color w:val="808080" w:themeColor="background1" w:themeShade="80"/>
          <w:sz w:val="22"/>
          <w:szCs w:val="22"/>
          <w:lang w:val="en-GB"/>
        </w:rPr>
        <w:t xml:space="preserve">ain </w:t>
      </w:r>
      <w:r w:rsidR="0038143E" w:rsidRPr="007A79EB">
        <w:rPr>
          <w:rFonts w:ascii="Arial" w:hAnsi="Arial" w:cs="Arial"/>
          <w:color w:val="808080" w:themeColor="background1" w:themeShade="80"/>
          <w:sz w:val="22"/>
          <w:szCs w:val="22"/>
          <w:lang w:val="en-GB"/>
        </w:rPr>
        <w:t>i</w:t>
      </w:r>
      <w:r w:rsidRPr="007A79EB">
        <w:rPr>
          <w:rFonts w:ascii="Arial" w:hAnsi="Arial" w:cs="Arial"/>
          <w:color w:val="808080" w:themeColor="background1" w:themeShade="80"/>
          <w:sz w:val="22"/>
          <w:szCs w:val="22"/>
          <w:lang w:val="en-GB"/>
        </w:rPr>
        <w:t>nterest (i.e. in England where Norton Cars is headquartered).</w:t>
      </w:r>
    </w:p>
    <w:p w14:paraId="5EDFB93E" w14:textId="51F0DA48" w:rsidR="00D14BF2" w:rsidRPr="007A79EB" w:rsidRDefault="00D14BF2" w:rsidP="00D14BF2">
      <w:pPr>
        <w:jc w:val="both"/>
        <w:rPr>
          <w:rFonts w:ascii="Arial" w:hAnsi="Arial" w:cs="Arial"/>
          <w:color w:val="808080" w:themeColor="background1" w:themeShade="80"/>
          <w:sz w:val="22"/>
          <w:szCs w:val="22"/>
          <w:lang w:val="en-GB"/>
        </w:rPr>
      </w:pPr>
    </w:p>
    <w:p w14:paraId="6479955F" w14:textId="300131DF" w:rsidR="001A37D8" w:rsidRPr="007A79EB" w:rsidRDefault="001A37D8" w:rsidP="00D14BF2">
      <w:pPr>
        <w:jc w:val="both"/>
        <w:rPr>
          <w:rFonts w:ascii="Arial" w:hAnsi="Arial" w:cs="Arial"/>
          <w:color w:val="808080" w:themeColor="background1" w:themeShade="80"/>
          <w:sz w:val="22"/>
          <w:szCs w:val="22"/>
          <w:lang w:val="en-GB"/>
        </w:rPr>
      </w:pPr>
      <w:r w:rsidRPr="007A79EB">
        <w:rPr>
          <w:rFonts w:ascii="Arial" w:hAnsi="Arial" w:cs="Arial"/>
          <w:color w:val="808080" w:themeColor="background1" w:themeShade="80"/>
          <w:sz w:val="22"/>
          <w:szCs w:val="22"/>
          <w:lang w:val="en-GB"/>
        </w:rPr>
        <w:t xml:space="preserve">In terms of the application itself, the American Representative can apply directly to the English and Welsh courts. The documents that would need to be included in the application are an application notice and supporting evidence covering, inter alia, reasons for seeking recognition and the </w:t>
      </w:r>
      <w:r w:rsidR="000F1A76" w:rsidRPr="007A79EB">
        <w:rPr>
          <w:rFonts w:ascii="Arial" w:hAnsi="Arial" w:cs="Arial"/>
          <w:color w:val="808080" w:themeColor="background1" w:themeShade="80"/>
          <w:sz w:val="22"/>
          <w:szCs w:val="22"/>
          <w:lang w:val="en-GB"/>
        </w:rPr>
        <w:t xml:space="preserve">relief sought (such as to protect </w:t>
      </w:r>
      <w:r w:rsidR="00DE032A">
        <w:rPr>
          <w:rFonts w:ascii="Arial" w:hAnsi="Arial" w:cs="Arial"/>
          <w:color w:val="808080" w:themeColor="background1" w:themeShade="80"/>
          <w:sz w:val="22"/>
          <w:szCs w:val="22"/>
          <w:lang w:val="en-GB"/>
        </w:rPr>
        <w:t xml:space="preserve">the </w:t>
      </w:r>
      <w:r w:rsidR="000F1A76" w:rsidRPr="007A79EB">
        <w:rPr>
          <w:rFonts w:ascii="Arial" w:hAnsi="Arial" w:cs="Arial"/>
          <w:color w:val="808080" w:themeColor="background1" w:themeShade="80"/>
          <w:sz w:val="22"/>
          <w:szCs w:val="22"/>
          <w:lang w:val="en-GB"/>
        </w:rPr>
        <w:t>assets</w:t>
      </w:r>
      <w:r w:rsidR="00DE032A">
        <w:rPr>
          <w:rFonts w:ascii="Arial" w:hAnsi="Arial" w:cs="Arial"/>
          <w:color w:val="808080" w:themeColor="background1" w:themeShade="80"/>
          <w:sz w:val="22"/>
          <w:szCs w:val="22"/>
          <w:lang w:val="en-GB"/>
        </w:rPr>
        <w:t xml:space="preserve"> of Norton Cars located in England</w:t>
      </w:r>
      <w:r w:rsidR="000F1A76" w:rsidRPr="007A79EB">
        <w:rPr>
          <w:rFonts w:ascii="Arial" w:hAnsi="Arial" w:cs="Arial"/>
          <w:color w:val="808080" w:themeColor="background1" w:themeShade="80"/>
          <w:sz w:val="22"/>
          <w:szCs w:val="22"/>
          <w:lang w:val="en-GB"/>
        </w:rPr>
        <w:t xml:space="preserve">). The application for recognition would also need to be accompanied by either a certificate copy of the decision commencing the American liquidation and appointing the American Representative </w:t>
      </w:r>
      <w:r w:rsidR="00DE032A">
        <w:rPr>
          <w:rFonts w:ascii="Arial" w:hAnsi="Arial" w:cs="Arial"/>
          <w:color w:val="808080" w:themeColor="background1" w:themeShade="80"/>
          <w:sz w:val="22"/>
          <w:szCs w:val="22"/>
          <w:lang w:val="en-GB"/>
        </w:rPr>
        <w:t>(</w:t>
      </w:r>
      <w:r w:rsidR="000F1A76" w:rsidRPr="007A79EB">
        <w:rPr>
          <w:rFonts w:ascii="Arial" w:hAnsi="Arial" w:cs="Arial"/>
          <w:color w:val="808080" w:themeColor="background1" w:themeShade="80"/>
          <w:sz w:val="22"/>
          <w:szCs w:val="22"/>
          <w:lang w:val="en-GB"/>
        </w:rPr>
        <w:t>or a certificate from the American court which affirms the existence of the American proceedings and the appointment of the American Representative</w:t>
      </w:r>
      <w:r w:rsidR="00DE032A">
        <w:rPr>
          <w:rFonts w:ascii="Arial" w:hAnsi="Arial" w:cs="Arial"/>
          <w:color w:val="808080" w:themeColor="background1" w:themeShade="80"/>
          <w:sz w:val="22"/>
          <w:szCs w:val="22"/>
          <w:lang w:val="en-GB"/>
        </w:rPr>
        <w:t>)</w:t>
      </w:r>
      <w:r w:rsidR="000F1A76" w:rsidRPr="007A79EB">
        <w:rPr>
          <w:rStyle w:val="FootnoteReference"/>
          <w:rFonts w:ascii="Arial" w:hAnsi="Arial" w:cs="Arial"/>
          <w:color w:val="808080" w:themeColor="background1" w:themeShade="80"/>
          <w:sz w:val="22"/>
          <w:szCs w:val="22"/>
          <w:lang w:val="en-GB"/>
        </w:rPr>
        <w:footnoteReference w:id="32"/>
      </w:r>
      <w:r w:rsidR="000F1A76" w:rsidRPr="007A79EB">
        <w:rPr>
          <w:rFonts w:ascii="Arial" w:hAnsi="Arial" w:cs="Arial"/>
          <w:color w:val="808080" w:themeColor="background1" w:themeShade="80"/>
          <w:sz w:val="22"/>
          <w:szCs w:val="22"/>
          <w:lang w:val="en-GB"/>
        </w:rPr>
        <w:t>.</w:t>
      </w:r>
      <w:r w:rsidR="00E845E9">
        <w:rPr>
          <w:rFonts w:ascii="Arial" w:hAnsi="Arial" w:cs="Arial"/>
          <w:color w:val="808080" w:themeColor="background1" w:themeShade="80"/>
          <w:sz w:val="22"/>
          <w:szCs w:val="22"/>
          <w:lang w:val="en-GB"/>
        </w:rPr>
        <w:t xml:space="preserve"> </w:t>
      </w:r>
    </w:p>
    <w:p w14:paraId="1DC06C88" w14:textId="77777777" w:rsidR="00E845E9" w:rsidRPr="007A79EB" w:rsidRDefault="00E845E9" w:rsidP="00D14BF2">
      <w:pPr>
        <w:jc w:val="both"/>
        <w:rPr>
          <w:rFonts w:ascii="Arial" w:hAnsi="Arial" w:cs="Arial"/>
          <w:color w:val="808080" w:themeColor="background1" w:themeShade="80"/>
          <w:sz w:val="22"/>
          <w:szCs w:val="22"/>
          <w:lang w:val="en-GB"/>
        </w:rPr>
      </w:pPr>
    </w:p>
    <w:p w14:paraId="4AD4B02B" w14:textId="78E1DBE8" w:rsidR="008D25A9" w:rsidRPr="007A79EB" w:rsidRDefault="000F1A76" w:rsidP="00D14BF2">
      <w:pPr>
        <w:jc w:val="both"/>
        <w:rPr>
          <w:rFonts w:ascii="Arial" w:hAnsi="Arial" w:cs="Arial"/>
          <w:color w:val="808080" w:themeColor="background1" w:themeShade="80"/>
          <w:sz w:val="22"/>
          <w:szCs w:val="22"/>
          <w:lang w:val="en-GB"/>
        </w:rPr>
      </w:pPr>
      <w:r w:rsidRPr="007A79EB">
        <w:rPr>
          <w:rFonts w:ascii="Arial" w:hAnsi="Arial" w:cs="Arial"/>
          <w:color w:val="808080" w:themeColor="background1" w:themeShade="80"/>
          <w:sz w:val="22"/>
          <w:szCs w:val="22"/>
          <w:lang w:val="en-GB"/>
        </w:rPr>
        <w:t xml:space="preserve">The effect a successful application for recognition would be that the American Representative would enjoy the same powers </w:t>
      </w:r>
      <w:r w:rsidR="00334273" w:rsidRPr="007A79EB">
        <w:rPr>
          <w:rFonts w:ascii="Arial" w:hAnsi="Arial" w:cs="Arial"/>
          <w:color w:val="808080" w:themeColor="background1" w:themeShade="80"/>
          <w:sz w:val="22"/>
          <w:szCs w:val="22"/>
          <w:lang w:val="en-GB"/>
        </w:rPr>
        <w:t xml:space="preserve">as if </w:t>
      </w:r>
      <w:r w:rsidRPr="007A79EB">
        <w:rPr>
          <w:rFonts w:ascii="Arial" w:hAnsi="Arial" w:cs="Arial"/>
          <w:color w:val="808080" w:themeColor="background1" w:themeShade="80"/>
          <w:sz w:val="22"/>
          <w:szCs w:val="22"/>
          <w:lang w:val="en-GB"/>
        </w:rPr>
        <w:t>they had been appointed to the same office in England and Wales</w:t>
      </w:r>
      <w:r w:rsidR="00E845E9">
        <w:rPr>
          <w:rStyle w:val="FootnoteReference"/>
          <w:rFonts w:ascii="Arial" w:hAnsi="Arial" w:cs="Arial"/>
          <w:color w:val="808080" w:themeColor="background1" w:themeShade="80"/>
          <w:sz w:val="22"/>
          <w:szCs w:val="22"/>
          <w:lang w:val="en-GB"/>
        </w:rPr>
        <w:footnoteReference w:id="33"/>
      </w:r>
      <w:r w:rsidRPr="007A79EB">
        <w:rPr>
          <w:rFonts w:ascii="Arial" w:hAnsi="Arial" w:cs="Arial"/>
          <w:color w:val="808080" w:themeColor="background1" w:themeShade="80"/>
          <w:sz w:val="22"/>
          <w:szCs w:val="22"/>
          <w:lang w:val="en-GB"/>
        </w:rPr>
        <w:t>.</w:t>
      </w:r>
      <w:r w:rsidR="00334273" w:rsidRPr="007A79EB">
        <w:rPr>
          <w:rFonts w:ascii="Arial" w:hAnsi="Arial" w:cs="Arial"/>
          <w:color w:val="808080" w:themeColor="background1" w:themeShade="80"/>
          <w:sz w:val="22"/>
          <w:szCs w:val="22"/>
          <w:lang w:val="en-GB"/>
        </w:rPr>
        <w:t xml:space="preserve"> Recognition in English and Welsh courts means that the domestic courts can (and most likely will) exercise discretionary relief under CBIR which is in line with longstanding common law that courts will actively assist foreign insolvency proceedings. For example, i</w:t>
      </w:r>
      <w:r w:rsidR="00D14BF2" w:rsidRPr="007A79EB">
        <w:rPr>
          <w:rFonts w:ascii="Arial" w:hAnsi="Arial" w:cs="Arial"/>
          <w:color w:val="808080" w:themeColor="background1" w:themeShade="80"/>
          <w:sz w:val="22"/>
          <w:szCs w:val="22"/>
          <w:lang w:val="en-GB"/>
        </w:rPr>
        <w:t xml:space="preserve">f recognition of the “foreign main proceedings” </w:t>
      </w:r>
      <w:r w:rsidR="00334273" w:rsidRPr="007A79EB">
        <w:rPr>
          <w:rFonts w:ascii="Arial" w:hAnsi="Arial" w:cs="Arial"/>
          <w:color w:val="808080" w:themeColor="background1" w:themeShade="80"/>
          <w:sz w:val="22"/>
          <w:szCs w:val="22"/>
          <w:lang w:val="en-GB"/>
        </w:rPr>
        <w:t xml:space="preserve">of Norton Cars </w:t>
      </w:r>
      <w:r w:rsidR="00D14BF2" w:rsidRPr="007A79EB">
        <w:rPr>
          <w:rFonts w:ascii="Arial" w:hAnsi="Arial" w:cs="Arial"/>
          <w:color w:val="808080" w:themeColor="background1" w:themeShade="80"/>
          <w:sz w:val="22"/>
          <w:szCs w:val="22"/>
          <w:lang w:val="en-GB"/>
        </w:rPr>
        <w:t>is successful, there will be an automatic stay which will prevent</w:t>
      </w:r>
      <w:r w:rsidR="00DE032A">
        <w:rPr>
          <w:rFonts w:ascii="Arial" w:hAnsi="Arial" w:cs="Arial"/>
          <w:color w:val="808080" w:themeColor="background1" w:themeShade="80"/>
          <w:sz w:val="22"/>
          <w:szCs w:val="22"/>
          <w:lang w:val="en-GB"/>
        </w:rPr>
        <w:t xml:space="preserve"> the</w:t>
      </w:r>
      <w:r w:rsidR="008D25A9" w:rsidRPr="007A79EB">
        <w:rPr>
          <w:rFonts w:ascii="Arial" w:hAnsi="Arial" w:cs="Arial"/>
          <w:color w:val="808080" w:themeColor="background1" w:themeShade="80"/>
          <w:sz w:val="22"/>
          <w:szCs w:val="22"/>
          <w:lang w:val="en-GB"/>
        </w:rPr>
        <w:t xml:space="preserve"> continuation of</w:t>
      </w:r>
      <w:r w:rsidR="00D14BF2" w:rsidRPr="007A79EB">
        <w:rPr>
          <w:rFonts w:ascii="Arial" w:hAnsi="Arial" w:cs="Arial"/>
          <w:color w:val="808080" w:themeColor="background1" w:themeShade="80"/>
          <w:sz w:val="22"/>
          <w:szCs w:val="22"/>
          <w:lang w:val="en-GB"/>
        </w:rPr>
        <w:t xml:space="preserve"> creditor actio</w:t>
      </w:r>
      <w:r w:rsidR="00F909CA" w:rsidRPr="007A79EB">
        <w:rPr>
          <w:rFonts w:ascii="Arial" w:hAnsi="Arial" w:cs="Arial"/>
          <w:color w:val="808080" w:themeColor="background1" w:themeShade="80"/>
          <w:sz w:val="22"/>
          <w:szCs w:val="22"/>
          <w:lang w:val="en-GB"/>
        </w:rPr>
        <w:t>n</w:t>
      </w:r>
      <w:r w:rsidR="008D25A9" w:rsidRPr="007A79EB">
        <w:rPr>
          <w:rStyle w:val="FootnoteReference"/>
          <w:rFonts w:ascii="Arial" w:hAnsi="Arial" w:cs="Arial"/>
          <w:color w:val="808080" w:themeColor="background1" w:themeShade="80"/>
          <w:sz w:val="22"/>
          <w:szCs w:val="22"/>
          <w:lang w:val="en-GB"/>
        </w:rPr>
        <w:footnoteReference w:id="34"/>
      </w:r>
      <w:r w:rsidR="00D14BF2" w:rsidRPr="007A79EB">
        <w:rPr>
          <w:rFonts w:ascii="Arial" w:hAnsi="Arial" w:cs="Arial"/>
          <w:color w:val="808080" w:themeColor="background1" w:themeShade="80"/>
          <w:sz w:val="22"/>
          <w:szCs w:val="22"/>
          <w:lang w:val="en-GB"/>
        </w:rPr>
        <w:t xml:space="preserve">. Such a stay will prevent </w:t>
      </w:r>
      <w:r w:rsidR="00D14BF2" w:rsidRPr="007A79EB">
        <w:rPr>
          <w:rFonts w:ascii="Arial" w:hAnsi="Arial" w:cs="Arial"/>
          <w:color w:val="808080" w:themeColor="background1" w:themeShade="80"/>
          <w:sz w:val="22"/>
          <w:szCs w:val="22"/>
          <w:lang w:val="en-GB"/>
        </w:rPr>
        <w:lastRenderedPageBreak/>
        <w:t>the commencement of proceedings concerning Norton Cars’ assets in England and is a significant reason why recognition under CBIR should be sought</w:t>
      </w:r>
      <w:r w:rsidR="00DE032A">
        <w:rPr>
          <w:rFonts w:ascii="Arial" w:hAnsi="Arial" w:cs="Arial"/>
          <w:color w:val="808080" w:themeColor="background1" w:themeShade="80"/>
          <w:sz w:val="22"/>
          <w:szCs w:val="22"/>
          <w:lang w:val="en-GB"/>
        </w:rPr>
        <w:t xml:space="preserve"> by the American Representative</w:t>
      </w:r>
      <w:r w:rsidR="00D14BF2" w:rsidRPr="007A79EB">
        <w:rPr>
          <w:rFonts w:ascii="Arial" w:hAnsi="Arial" w:cs="Arial"/>
          <w:color w:val="808080" w:themeColor="background1" w:themeShade="80"/>
          <w:sz w:val="22"/>
          <w:szCs w:val="22"/>
          <w:lang w:val="en-GB"/>
        </w:rPr>
        <w:t>.</w:t>
      </w:r>
    </w:p>
    <w:p w14:paraId="566C091A" w14:textId="77777777" w:rsidR="008D25A9" w:rsidRPr="007A79EB" w:rsidRDefault="008D25A9" w:rsidP="00D14BF2">
      <w:pPr>
        <w:jc w:val="both"/>
        <w:rPr>
          <w:rFonts w:ascii="Arial" w:hAnsi="Arial" w:cs="Arial"/>
          <w:color w:val="808080" w:themeColor="background1" w:themeShade="80"/>
          <w:sz w:val="22"/>
          <w:szCs w:val="22"/>
          <w:lang w:val="en-GB"/>
        </w:rPr>
      </w:pPr>
    </w:p>
    <w:p w14:paraId="5B27ED73" w14:textId="3C983D1E" w:rsidR="00D14BF2" w:rsidRPr="007A79EB" w:rsidRDefault="00D14BF2" w:rsidP="00D14BF2">
      <w:pPr>
        <w:jc w:val="both"/>
        <w:rPr>
          <w:rFonts w:ascii="Arial" w:hAnsi="Arial" w:cs="Arial"/>
          <w:color w:val="808080" w:themeColor="background1" w:themeShade="80"/>
          <w:sz w:val="22"/>
          <w:szCs w:val="22"/>
          <w:lang w:val="en-GB"/>
        </w:rPr>
      </w:pPr>
      <w:r w:rsidRPr="007A79EB">
        <w:rPr>
          <w:rFonts w:ascii="Arial" w:hAnsi="Arial" w:cs="Arial"/>
          <w:color w:val="808080" w:themeColor="background1" w:themeShade="80"/>
          <w:sz w:val="22"/>
          <w:szCs w:val="22"/>
          <w:lang w:val="en-GB"/>
        </w:rPr>
        <w:t xml:space="preserve">Section 426 </w:t>
      </w:r>
      <w:r w:rsidR="00DE032A">
        <w:rPr>
          <w:rFonts w:ascii="Arial" w:hAnsi="Arial" w:cs="Arial"/>
          <w:color w:val="808080" w:themeColor="background1" w:themeShade="80"/>
          <w:sz w:val="22"/>
          <w:szCs w:val="22"/>
          <w:lang w:val="en-GB"/>
        </w:rPr>
        <w:t xml:space="preserve">of the UK </w:t>
      </w:r>
      <w:r w:rsidRPr="007A79EB">
        <w:rPr>
          <w:rFonts w:ascii="Arial" w:hAnsi="Arial" w:cs="Arial"/>
          <w:color w:val="808080" w:themeColor="background1" w:themeShade="80"/>
          <w:sz w:val="22"/>
          <w:szCs w:val="22"/>
          <w:lang w:val="en-GB"/>
        </w:rPr>
        <w:t>Insolvency Act 1986 enables officeholders in certain countries to request assistance from English and Welsh courts which includes declarations recogni</w:t>
      </w:r>
      <w:r w:rsidR="00DE032A">
        <w:rPr>
          <w:rFonts w:ascii="Arial" w:hAnsi="Arial" w:cs="Arial"/>
          <w:color w:val="808080" w:themeColor="background1" w:themeShade="80"/>
          <w:sz w:val="22"/>
          <w:szCs w:val="22"/>
          <w:lang w:val="en-GB"/>
        </w:rPr>
        <w:t>s</w:t>
      </w:r>
      <w:r w:rsidRPr="007A79EB">
        <w:rPr>
          <w:rFonts w:ascii="Arial" w:hAnsi="Arial" w:cs="Arial"/>
          <w:color w:val="808080" w:themeColor="background1" w:themeShade="80"/>
          <w:sz w:val="22"/>
          <w:szCs w:val="22"/>
          <w:lang w:val="en-GB"/>
        </w:rPr>
        <w:t xml:space="preserve">ing the rights of a foreign insolvency representative. However, section 426 does not apply to the </w:t>
      </w:r>
      <w:r w:rsidR="000D75FD" w:rsidRPr="007A79EB">
        <w:rPr>
          <w:rFonts w:ascii="Arial" w:hAnsi="Arial" w:cs="Arial"/>
          <w:color w:val="808080" w:themeColor="background1" w:themeShade="80"/>
          <w:sz w:val="22"/>
          <w:szCs w:val="22"/>
          <w:lang w:val="en-GB"/>
        </w:rPr>
        <w:t xml:space="preserve">American Representative’s situation </w:t>
      </w:r>
      <w:r w:rsidRPr="007A79EB">
        <w:rPr>
          <w:rFonts w:ascii="Arial" w:hAnsi="Arial" w:cs="Arial"/>
          <w:color w:val="808080" w:themeColor="background1" w:themeShade="80"/>
          <w:sz w:val="22"/>
          <w:szCs w:val="22"/>
          <w:lang w:val="en-GB"/>
        </w:rPr>
        <w:t>given the fact that America is not a “</w:t>
      </w:r>
      <w:r w:rsidRPr="00DE032A">
        <w:rPr>
          <w:rFonts w:ascii="Arial" w:hAnsi="Arial" w:cs="Arial"/>
          <w:i/>
          <w:iCs/>
          <w:color w:val="808080" w:themeColor="background1" w:themeShade="80"/>
          <w:sz w:val="22"/>
          <w:szCs w:val="22"/>
          <w:lang w:val="en-GB"/>
        </w:rPr>
        <w:t>relevant country or territory</w:t>
      </w:r>
      <w:r w:rsidRPr="007A79EB">
        <w:rPr>
          <w:rFonts w:ascii="Arial" w:hAnsi="Arial" w:cs="Arial"/>
          <w:color w:val="808080" w:themeColor="background1" w:themeShade="80"/>
          <w:sz w:val="22"/>
          <w:szCs w:val="22"/>
          <w:lang w:val="en-GB"/>
        </w:rPr>
        <w:t>” for the purposes of the section.</w:t>
      </w:r>
    </w:p>
    <w:p w14:paraId="2A41707A" w14:textId="77777777" w:rsidR="00DE032A" w:rsidRPr="00D14BF2" w:rsidRDefault="00DE032A" w:rsidP="00D14BF2">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7E3C9FED" w14:textId="77777777" w:rsidR="008311DA" w:rsidRDefault="008311DA" w:rsidP="009F0C5A">
      <w:pPr>
        <w:jc w:val="both"/>
        <w:rPr>
          <w:rFonts w:ascii="Avenir Next" w:hAnsi="Avenir Next" w:cs="Arial"/>
          <w:sz w:val="22"/>
          <w:szCs w:val="28"/>
        </w:rPr>
      </w:pPr>
    </w:p>
    <w:p w14:paraId="3227747E" w14:textId="0DF6C73B" w:rsidR="004E0410" w:rsidRPr="00D744EF" w:rsidRDefault="004E0410" w:rsidP="002253D8">
      <w:pPr>
        <w:jc w:val="both"/>
        <w:rPr>
          <w:rFonts w:ascii="Arial" w:hAnsi="Arial" w:cs="Arial"/>
          <w:color w:val="808080" w:themeColor="background1" w:themeShade="80"/>
          <w:sz w:val="22"/>
          <w:szCs w:val="22"/>
          <w:lang w:val="en-GB"/>
        </w:rPr>
      </w:pPr>
      <w:r w:rsidRPr="00D744EF">
        <w:rPr>
          <w:rFonts w:ascii="Arial" w:hAnsi="Arial" w:cs="Arial"/>
          <w:color w:val="808080" w:themeColor="background1" w:themeShade="80"/>
          <w:sz w:val="22"/>
          <w:szCs w:val="22"/>
          <w:lang w:val="en-GB"/>
        </w:rPr>
        <w:t>Both Italy and Germany are members of the European Union. The appropriate legal source to be used in c</w:t>
      </w:r>
      <w:r w:rsidR="000D75FD" w:rsidRPr="00D744EF">
        <w:rPr>
          <w:rFonts w:ascii="Arial" w:hAnsi="Arial" w:cs="Arial"/>
          <w:color w:val="808080" w:themeColor="background1" w:themeShade="80"/>
          <w:sz w:val="22"/>
          <w:szCs w:val="22"/>
          <w:lang w:val="en-GB"/>
        </w:rPr>
        <w:t>ross-border insolvency matter</w:t>
      </w:r>
      <w:r w:rsidRPr="00D744EF">
        <w:rPr>
          <w:rFonts w:ascii="Arial" w:hAnsi="Arial" w:cs="Arial"/>
          <w:color w:val="808080" w:themeColor="background1" w:themeShade="80"/>
          <w:sz w:val="22"/>
          <w:szCs w:val="22"/>
          <w:lang w:val="en-GB"/>
        </w:rPr>
        <w:t xml:space="preserve">s between the two countries is </w:t>
      </w:r>
      <w:r w:rsidR="00DA55CB" w:rsidRPr="00D744EF">
        <w:rPr>
          <w:rFonts w:ascii="Arial" w:hAnsi="Arial" w:cs="Arial"/>
          <w:color w:val="808080" w:themeColor="background1" w:themeShade="80"/>
          <w:sz w:val="22"/>
          <w:szCs w:val="22"/>
          <w:lang w:val="en-GB"/>
        </w:rPr>
        <w:t>the Regulation (EU) 2015/848 of the European Parliament and of the Council of 20 May 2015 on Insolvency Proceedings (Recast) (“</w:t>
      </w:r>
      <w:r w:rsidR="00DA55CB" w:rsidRPr="00D744EF">
        <w:rPr>
          <w:rFonts w:ascii="Arial" w:hAnsi="Arial" w:cs="Arial"/>
          <w:b/>
          <w:bCs/>
          <w:color w:val="808080" w:themeColor="background1" w:themeShade="80"/>
          <w:sz w:val="22"/>
          <w:szCs w:val="22"/>
          <w:lang w:val="en-GB"/>
        </w:rPr>
        <w:t>EIR Recast</w:t>
      </w:r>
      <w:r w:rsidR="00DA55CB" w:rsidRPr="00D744EF">
        <w:rPr>
          <w:rFonts w:ascii="Arial" w:hAnsi="Arial" w:cs="Arial"/>
          <w:color w:val="808080" w:themeColor="background1" w:themeShade="80"/>
          <w:sz w:val="22"/>
          <w:szCs w:val="22"/>
          <w:lang w:val="en-GB"/>
        </w:rPr>
        <w:t xml:space="preserve">”). The EIR Recast amended </w:t>
      </w:r>
      <w:r w:rsidRPr="00D744EF">
        <w:rPr>
          <w:rFonts w:ascii="Arial" w:hAnsi="Arial" w:cs="Arial"/>
          <w:color w:val="808080" w:themeColor="background1" w:themeShade="80"/>
          <w:sz w:val="22"/>
          <w:szCs w:val="22"/>
          <w:lang w:val="en-GB"/>
        </w:rPr>
        <w:t>the</w:t>
      </w:r>
      <w:r w:rsidR="00DA55CB" w:rsidRPr="00D744EF">
        <w:rPr>
          <w:rFonts w:ascii="Arial" w:hAnsi="Arial" w:cs="Arial"/>
          <w:color w:val="808080" w:themeColor="background1" w:themeShade="80"/>
          <w:sz w:val="22"/>
          <w:szCs w:val="22"/>
          <w:lang w:val="en-GB"/>
        </w:rPr>
        <w:t xml:space="preserve"> previous</w:t>
      </w:r>
      <w:r w:rsidRPr="00D744EF">
        <w:rPr>
          <w:rFonts w:ascii="Arial" w:hAnsi="Arial" w:cs="Arial"/>
          <w:color w:val="808080" w:themeColor="background1" w:themeShade="80"/>
          <w:sz w:val="22"/>
          <w:szCs w:val="22"/>
          <w:lang w:val="en-GB"/>
        </w:rPr>
        <w:t xml:space="preserve"> European Insolvency Regulation 2000</w:t>
      </w:r>
      <w:r w:rsidR="00DA55CB" w:rsidRPr="00D744EF">
        <w:rPr>
          <w:rFonts w:ascii="Arial" w:hAnsi="Arial" w:cs="Arial"/>
          <w:color w:val="808080" w:themeColor="background1" w:themeShade="80"/>
          <w:sz w:val="22"/>
          <w:szCs w:val="22"/>
          <w:lang w:val="en-GB"/>
        </w:rPr>
        <w:t xml:space="preserve">. </w:t>
      </w:r>
      <w:r w:rsidR="008311DA" w:rsidRPr="00D744EF">
        <w:rPr>
          <w:rFonts w:ascii="Arial" w:hAnsi="Arial" w:cs="Arial"/>
          <w:color w:val="808080" w:themeColor="background1" w:themeShade="80"/>
          <w:sz w:val="22"/>
          <w:szCs w:val="22"/>
          <w:lang w:val="en-GB"/>
        </w:rPr>
        <w:t xml:space="preserve">The EIR Recast is directly applicable to European Union </w:t>
      </w:r>
      <w:r w:rsidR="00D744EF">
        <w:rPr>
          <w:rFonts w:ascii="Arial" w:hAnsi="Arial" w:cs="Arial"/>
          <w:color w:val="808080" w:themeColor="background1" w:themeShade="80"/>
          <w:sz w:val="22"/>
          <w:szCs w:val="22"/>
          <w:lang w:val="en-GB"/>
        </w:rPr>
        <w:t>M</w:t>
      </w:r>
      <w:r w:rsidR="008311DA" w:rsidRPr="00D744EF">
        <w:rPr>
          <w:rFonts w:ascii="Arial" w:hAnsi="Arial" w:cs="Arial"/>
          <w:color w:val="808080" w:themeColor="background1" w:themeShade="80"/>
          <w:sz w:val="22"/>
          <w:szCs w:val="22"/>
          <w:lang w:val="en-GB"/>
        </w:rPr>
        <w:t>ember States (</w:t>
      </w:r>
      <w:proofErr w:type="gramStart"/>
      <w:r w:rsidR="008311DA" w:rsidRPr="00D744EF">
        <w:rPr>
          <w:rFonts w:ascii="Arial" w:hAnsi="Arial" w:cs="Arial"/>
          <w:color w:val="808080" w:themeColor="background1" w:themeShade="80"/>
          <w:sz w:val="22"/>
          <w:szCs w:val="22"/>
          <w:lang w:val="en-GB"/>
        </w:rPr>
        <w:t>with the exception of</w:t>
      </w:r>
      <w:proofErr w:type="gramEnd"/>
      <w:r w:rsidR="008311DA" w:rsidRPr="00D744EF">
        <w:rPr>
          <w:rFonts w:ascii="Arial" w:hAnsi="Arial" w:cs="Arial"/>
          <w:color w:val="808080" w:themeColor="background1" w:themeShade="80"/>
          <w:sz w:val="22"/>
          <w:szCs w:val="22"/>
          <w:lang w:val="en-GB"/>
        </w:rPr>
        <w:t xml:space="preserve"> Denmark) and prevails over</w:t>
      </w:r>
      <w:r w:rsidR="00957D92" w:rsidRPr="00D744EF">
        <w:rPr>
          <w:rFonts w:ascii="Arial" w:hAnsi="Arial" w:cs="Arial"/>
          <w:color w:val="808080" w:themeColor="background1" w:themeShade="80"/>
          <w:sz w:val="22"/>
          <w:szCs w:val="22"/>
          <w:lang w:val="en-GB"/>
        </w:rPr>
        <w:t xml:space="preserve"> a </w:t>
      </w:r>
      <w:r w:rsidR="00D744EF">
        <w:rPr>
          <w:rFonts w:ascii="Arial" w:hAnsi="Arial" w:cs="Arial"/>
          <w:color w:val="808080" w:themeColor="background1" w:themeShade="80"/>
          <w:sz w:val="22"/>
          <w:szCs w:val="22"/>
          <w:lang w:val="en-GB"/>
        </w:rPr>
        <w:t>M</w:t>
      </w:r>
      <w:r w:rsidR="00957D92" w:rsidRPr="00D744EF">
        <w:rPr>
          <w:rFonts w:ascii="Arial" w:hAnsi="Arial" w:cs="Arial"/>
          <w:color w:val="808080" w:themeColor="background1" w:themeShade="80"/>
          <w:sz w:val="22"/>
          <w:szCs w:val="22"/>
          <w:lang w:val="en-GB"/>
        </w:rPr>
        <w:t>ember State’s</w:t>
      </w:r>
      <w:r w:rsidR="008311DA" w:rsidRPr="00D744EF">
        <w:rPr>
          <w:rFonts w:ascii="Arial" w:hAnsi="Arial" w:cs="Arial"/>
          <w:color w:val="808080" w:themeColor="background1" w:themeShade="80"/>
          <w:sz w:val="22"/>
          <w:szCs w:val="22"/>
          <w:lang w:val="en-GB"/>
        </w:rPr>
        <w:t xml:space="preserve"> domestic law.</w:t>
      </w:r>
    </w:p>
    <w:p w14:paraId="2C434D31" w14:textId="77777777" w:rsidR="008311DA" w:rsidRPr="00D744EF" w:rsidRDefault="008311DA" w:rsidP="002253D8">
      <w:pPr>
        <w:jc w:val="both"/>
        <w:rPr>
          <w:rFonts w:ascii="Arial" w:hAnsi="Arial" w:cs="Arial"/>
          <w:color w:val="808080" w:themeColor="background1" w:themeShade="80"/>
          <w:sz w:val="22"/>
          <w:szCs w:val="22"/>
          <w:lang w:val="en-GB"/>
        </w:rPr>
      </w:pPr>
    </w:p>
    <w:p w14:paraId="2109989A" w14:textId="68655644" w:rsidR="008311DA" w:rsidRPr="00D744EF" w:rsidRDefault="0038143E" w:rsidP="0021276A">
      <w:pPr>
        <w:jc w:val="both"/>
        <w:rPr>
          <w:rFonts w:ascii="Arial" w:hAnsi="Arial" w:cs="Arial"/>
          <w:color w:val="808080" w:themeColor="background1" w:themeShade="80"/>
          <w:sz w:val="22"/>
          <w:szCs w:val="22"/>
          <w:lang w:val="en-GB"/>
        </w:rPr>
      </w:pPr>
      <w:r w:rsidRPr="00D744EF">
        <w:rPr>
          <w:rFonts w:ascii="Arial" w:hAnsi="Arial" w:cs="Arial"/>
          <w:color w:val="808080" w:themeColor="background1" w:themeShade="80"/>
          <w:sz w:val="22"/>
          <w:szCs w:val="22"/>
          <w:lang w:val="en-GB"/>
        </w:rPr>
        <w:t>The starting point is t</w:t>
      </w:r>
      <w:r w:rsidR="007D365E" w:rsidRPr="00D744EF">
        <w:rPr>
          <w:rFonts w:ascii="Arial" w:hAnsi="Arial" w:cs="Arial"/>
          <w:color w:val="808080" w:themeColor="background1" w:themeShade="80"/>
          <w:sz w:val="22"/>
          <w:szCs w:val="22"/>
          <w:lang w:val="en-GB"/>
        </w:rPr>
        <w:t>o</w:t>
      </w:r>
      <w:r w:rsidRPr="00D744EF">
        <w:rPr>
          <w:rFonts w:ascii="Arial" w:hAnsi="Arial" w:cs="Arial"/>
          <w:color w:val="808080" w:themeColor="background1" w:themeShade="80"/>
          <w:sz w:val="22"/>
          <w:szCs w:val="22"/>
          <w:lang w:val="en-GB"/>
        </w:rPr>
        <w:t xml:space="preserve"> ascertain </w:t>
      </w:r>
      <w:r w:rsidR="007D365E" w:rsidRPr="00D744EF">
        <w:rPr>
          <w:rFonts w:ascii="Arial" w:hAnsi="Arial" w:cs="Arial"/>
          <w:color w:val="808080" w:themeColor="background1" w:themeShade="80"/>
          <w:sz w:val="22"/>
          <w:szCs w:val="22"/>
          <w:lang w:val="en-GB"/>
        </w:rPr>
        <w:t>the jurisdiction of the</w:t>
      </w:r>
      <w:r w:rsidRPr="00D744EF">
        <w:rPr>
          <w:rFonts w:ascii="Arial" w:hAnsi="Arial" w:cs="Arial"/>
          <w:color w:val="808080" w:themeColor="background1" w:themeShade="80"/>
          <w:sz w:val="22"/>
          <w:szCs w:val="22"/>
          <w:lang w:val="en-GB"/>
        </w:rPr>
        <w:t xml:space="preserve"> centre of main interest of Norton Cars. </w:t>
      </w:r>
      <w:r w:rsidR="00957D92" w:rsidRPr="00D744EF">
        <w:rPr>
          <w:rFonts w:ascii="Arial" w:hAnsi="Arial" w:cs="Arial"/>
          <w:color w:val="808080" w:themeColor="background1" w:themeShade="80"/>
          <w:sz w:val="22"/>
          <w:szCs w:val="22"/>
          <w:lang w:val="en-GB"/>
        </w:rPr>
        <w:t>J</w:t>
      </w:r>
      <w:r w:rsidRPr="00D744EF">
        <w:rPr>
          <w:rFonts w:ascii="Arial" w:hAnsi="Arial" w:cs="Arial"/>
          <w:color w:val="808080" w:themeColor="background1" w:themeShade="80"/>
          <w:sz w:val="22"/>
          <w:szCs w:val="22"/>
          <w:lang w:val="en-GB"/>
        </w:rPr>
        <w:t xml:space="preserve">urisdiction </w:t>
      </w:r>
      <w:r w:rsidR="0021276A" w:rsidRPr="00D744EF">
        <w:rPr>
          <w:rFonts w:ascii="Arial" w:hAnsi="Arial" w:cs="Arial"/>
          <w:color w:val="808080" w:themeColor="background1" w:themeShade="80"/>
          <w:sz w:val="22"/>
          <w:szCs w:val="22"/>
          <w:lang w:val="en-GB"/>
        </w:rPr>
        <w:t xml:space="preserve">to commence </w:t>
      </w:r>
      <w:r w:rsidR="00B81C03" w:rsidRPr="00D744EF">
        <w:rPr>
          <w:rFonts w:ascii="Arial" w:hAnsi="Arial" w:cs="Arial"/>
          <w:color w:val="808080" w:themeColor="background1" w:themeShade="80"/>
          <w:sz w:val="22"/>
          <w:szCs w:val="22"/>
          <w:lang w:val="en-GB"/>
        </w:rPr>
        <w:t xml:space="preserve">main </w:t>
      </w:r>
      <w:r w:rsidR="0021276A" w:rsidRPr="00D744EF">
        <w:rPr>
          <w:rFonts w:ascii="Arial" w:hAnsi="Arial" w:cs="Arial"/>
          <w:color w:val="808080" w:themeColor="background1" w:themeShade="80"/>
          <w:sz w:val="22"/>
          <w:szCs w:val="22"/>
          <w:lang w:val="en-GB"/>
        </w:rPr>
        <w:t xml:space="preserve">insolvency proceedings </w:t>
      </w:r>
      <w:r w:rsidRPr="00D744EF">
        <w:rPr>
          <w:rFonts w:ascii="Arial" w:hAnsi="Arial" w:cs="Arial"/>
          <w:color w:val="808080" w:themeColor="background1" w:themeShade="80"/>
          <w:sz w:val="22"/>
          <w:szCs w:val="22"/>
          <w:lang w:val="en-GB"/>
        </w:rPr>
        <w:t>will be conferred to the courts of the E</w:t>
      </w:r>
      <w:r w:rsidR="007D365E" w:rsidRPr="00D744EF">
        <w:rPr>
          <w:rFonts w:ascii="Arial" w:hAnsi="Arial" w:cs="Arial"/>
          <w:color w:val="808080" w:themeColor="background1" w:themeShade="80"/>
          <w:sz w:val="22"/>
          <w:szCs w:val="22"/>
          <w:lang w:val="en-GB"/>
        </w:rPr>
        <w:t xml:space="preserve">uropean Union </w:t>
      </w:r>
      <w:r w:rsidR="00D744EF">
        <w:rPr>
          <w:rFonts w:ascii="Arial" w:hAnsi="Arial" w:cs="Arial"/>
          <w:color w:val="808080" w:themeColor="background1" w:themeShade="80"/>
          <w:sz w:val="22"/>
          <w:szCs w:val="22"/>
          <w:lang w:val="en-GB"/>
        </w:rPr>
        <w:t>M</w:t>
      </w:r>
      <w:r w:rsidR="007D365E" w:rsidRPr="00D744EF">
        <w:rPr>
          <w:rFonts w:ascii="Arial" w:hAnsi="Arial" w:cs="Arial"/>
          <w:color w:val="808080" w:themeColor="background1" w:themeShade="80"/>
          <w:sz w:val="22"/>
          <w:szCs w:val="22"/>
          <w:lang w:val="en-GB"/>
        </w:rPr>
        <w:t xml:space="preserve">ember State </w:t>
      </w:r>
      <w:r w:rsidR="0021276A" w:rsidRPr="00D744EF">
        <w:rPr>
          <w:rFonts w:ascii="Arial" w:hAnsi="Arial" w:cs="Arial"/>
          <w:color w:val="808080" w:themeColor="background1" w:themeShade="80"/>
          <w:sz w:val="22"/>
          <w:szCs w:val="22"/>
          <w:lang w:val="en-GB"/>
        </w:rPr>
        <w:t>within which the</w:t>
      </w:r>
      <w:r w:rsidR="007D365E" w:rsidRPr="00D744EF">
        <w:rPr>
          <w:rFonts w:ascii="Arial" w:hAnsi="Arial" w:cs="Arial"/>
          <w:color w:val="808080" w:themeColor="background1" w:themeShade="80"/>
          <w:sz w:val="22"/>
          <w:szCs w:val="22"/>
          <w:lang w:val="en-GB"/>
        </w:rPr>
        <w:t xml:space="preserve"> debtor’s centre of main interest is. As </w:t>
      </w:r>
      <w:r w:rsidR="00B81C03" w:rsidRPr="00D744EF">
        <w:rPr>
          <w:rFonts w:ascii="Arial" w:hAnsi="Arial" w:cs="Arial"/>
          <w:color w:val="808080" w:themeColor="background1" w:themeShade="80"/>
          <w:sz w:val="22"/>
          <w:szCs w:val="22"/>
          <w:lang w:val="en-GB"/>
        </w:rPr>
        <w:t>defined</w:t>
      </w:r>
      <w:r w:rsidR="007D365E" w:rsidRPr="00D744EF">
        <w:rPr>
          <w:rFonts w:ascii="Arial" w:hAnsi="Arial" w:cs="Arial"/>
          <w:color w:val="808080" w:themeColor="background1" w:themeShade="80"/>
          <w:sz w:val="22"/>
          <w:szCs w:val="22"/>
          <w:lang w:val="en-GB"/>
        </w:rPr>
        <w:t xml:space="preserve"> in Article 3(1) of EIR Recast, a debtor’s centre of main interests </w:t>
      </w:r>
      <w:r w:rsidR="007D365E" w:rsidRPr="00D744EF">
        <w:rPr>
          <w:rFonts w:ascii="Arial" w:hAnsi="Arial" w:cs="Arial"/>
          <w:i/>
          <w:iCs/>
          <w:color w:val="808080" w:themeColor="background1" w:themeShade="80"/>
          <w:sz w:val="22"/>
          <w:szCs w:val="22"/>
          <w:lang w:val="en-GB"/>
        </w:rPr>
        <w:t>“shall be the place where the debtor conducts the administration of its interests on a regular basis and which is ascertainable by third parties</w:t>
      </w:r>
      <w:r w:rsidR="007D365E" w:rsidRPr="00D744EF">
        <w:rPr>
          <w:rFonts w:ascii="Arial" w:hAnsi="Arial" w:cs="Arial"/>
          <w:color w:val="808080" w:themeColor="background1" w:themeShade="80"/>
          <w:sz w:val="22"/>
          <w:szCs w:val="22"/>
          <w:lang w:val="en-GB"/>
        </w:rPr>
        <w:t>.”</w:t>
      </w:r>
      <w:r w:rsidR="007D365E" w:rsidRPr="00D744EF">
        <w:rPr>
          <w:rStyle w:val="FootnoteReference"/>
          <w:rFonts w:ascii="Arial" w:hAnsi="Arial" w:cs="Arial"/>
          <w:color w:val="808080" w:themeColor="background1" w:themeShade="80"/>
          <w:sz w:val="22"/>
          <w:szCs w:val="22"/>
          <w:lang w:val="en-GB"/>
        </w:rPr>
        <w:footnoteReference w:id="35"/>
      </w:r>
      <w:r w:rsidR="00B81ED0" w:rsidRPr="00D744EF">
        <w:rPr>
          <w:rFonts w:ascii="Arial" w:hAnsi="Arial" w:cs="Arial"/>
          <w:color w:val="808080" w:themeColor="background1" w:themeShade="80"/>
          <w:sz w:val="22"/>
          <w:szCs w:val="22"/>
          <w:lang w:val="en-GB"/>
        </w:rPr>
        <w:t xml:space="preserve"> From the fact pattern, Norton Cars has its centre of main interest in </w:t>
      </w:r>
      <w:proofErr w:type="gramStart"/>
      <w:r w:rsidR="00B81ED0" w:rsidRPr="00D744EF">
        <w:rPr>
          <w:rFonts w:ascii="Arial" w:hAnsi="Arial" w:cs="Arial"/>
          <w:color w:val="808080" w:themeColor="background1" w:themeShade="80"/>
          <w:sz w:val="22"/>
          <w:szCs w:val="22"/>
          <w:lang w:val="en-GB"/>
        </w:rPr>
        <w:t>Italy</w:t>
      </w:r>
      <w:proofErr w:type="gramEnd"/>
      <w:r w:rsidR="00B81ED0" w:rsidRPr="00D744EF">
        <w:rPr>
          <w:rFonts w:ascii="Arial" w:hAnsi="Arial" w:cs="Arial"/>
          <w:color w:val="808080" w:themeColor="background1" w:themeShade="80"/>
          <w:sz w:val="22"/>
          <w:szCs w:val="22"/>
          <w:lang w:val="en-GB"/>
        </w:rPr>
        <w:t xml:space="preserve"> but its main operations </w:t>
      </w:r>
      <w:r w:rsidR="00D744EF">
        <w:rPr>
          <w:rFonts w:ascii="Arial" w:hAnsi="Arial" w:cs="Arial"/>
          <w:color w:val="808080" w:themeColor="background1" w:themeShade="80"/>
          <w:sz w:val="22"/>
          <w:szCs w:val="22"/>
          <w:lang w:val="en-GB"/>
        </w:rPr>
        <w:t xml:space="preserve">are </w:t>
      </w:r>
      <w:r w:rsidR="00B81ED0" w:rsidRPr="00D744EF">
        <w:rPr>
          <w:rFonts w:ascii="Arial" w:hAnsi="Arial" w:cs="Arial"/>
          <w:color w:val="808080" w:themeColor="background1" w:themeShade="80"/>
          <w:sz w:val="22"/>
          <w:szCs w:val="22"/>
          <w:lang w:val="en-GB"/>
        </w:rPr>
        <w:t>conduct</w:t>
      </w:r>
      <w:r w:rsidR="00D744EF">
        <w:rPr>
          <w:rFonts w:ascii="Arial" w:hAnsi="Arial" w:cs="Arial"/>
          <w:color w:val="808080" w:themeColor="background1" w:themeShade="80"/>
          <w:sz w:val="22"/>
          <w:szCs w:val="22"/>
          <w:lang w:val="en-GB"/>
        </w:rPr>
        <w:t>ed</w:t>
      </w:r>
      <w:r w:rsidR="00B81ED0" w:rsidRPr="00D744EF">
        <w:rPr>
          <w:rFonts w:ascii="Arial" w:hAnsi="Arial" w:cs="Arial"/>
          <w:color w:val="808080" w:themeColor="background1" w:themeShade="80"/>
          <w:sz w:val="22"/>
          <w:szCs w:val="22"/>
          <w:lang w:val="en-GB"/>
        </w:rPr>
        <w:t xml:space="preserve"> in Germany. </w:t>
      </w:r>
      <w:proofErr w:type="gramStart"/>
      <w:r w:rsidR="00B81ED0" w:rsidRPr="00D744EF">
        <w:rPr>
          <w:rFonts w:ascii="Arial" w:hAnsi="Arial" w:cs="Arial"/>
          <w:color w:val="808080" w:themeColor="background1" w:themeShade="80"/>
          <w:sz w:val="22"/>
          <w:szCs w:val="22"/>
          <w:lang w:val="en-GB"/>
        </w:rPr>
        <w:t>In light of</w:t>
      </w:r>
      <w:proofErr w:type="gramEnd"/>
      <w:r w:rsidR="00B81ED0" w:rsidRPr="00D744EF">
        <w:rPr>
          <w:rFonts w:ascii="Arial" w:hAnsi="Arial" w:cs="Arial"/>
          <w:color w:val="808080" w:themeColor="background1" w:themeShade="80"/>
          <w:sz w:val="22"/>
          <w:szCs w:val="22"/>
          <w:lang w:val="en-GB"/>
        </w:rPr>
        <w:t xml:space="preserve"> the European insolvency regime set out above, main proceedings should be opened in Italy. The reason for this because jurisdictional competence is conferred to the debtor’s centre of main interest, which is Italy in the fact pattern.</w:t>
      </w:r>
    </w:p>
    <w:p w14:paraId="3618B061" w14:textId="77777777" w:rsidR="008311DA" w:rsidRPr="00D744EF" w:rsidRDefault="008311DA" w:rsidP="0021276A">
      <w:pPr>
        <w:jc w:val="both"/>
        <w:rPr>
          <w:rFonts w:ascii="Arial" w:hAnsi="Arial" w:cs="Arial"/>
          <w:color w:val="808080" w:themeColor="background1" w:themeShade="80"/>
          <w:sz w:val="22"/>
          <w:szCs w:val="22"/>
          <w:lang w:val="en-GB"/>
        </w:rPr>
      </w:pPr>
    </w:p>
    <w:p w14:paraId="08D32F94" w14:textId="3F7319FF" w:rsidR="004E0410" w:rsidRPr="00D744EF" w:rsidRDefault="00B81ED0" w:rsidP="0021276A">
      <w:pPr>
        <w:jc w:val="both"/>
        <w:rPr>
          <w:rFonts w:ascii="Arial" w:hAnsi="Arial" w:cs="Arial"/>
          <w:color w:val="808080" w:themeColor="background1" w:themeShade="80"/>
          <w:sz w:val="22"/>
          <w:szCs w:val="22"/>
          <w:lang w:val="en-GB"/>
        </w:rPr>
      </w:pPr>
      <w:r w:rsidRPr="00D744EF">
        <w:rPr>
          <w:rFonts w:ascii="Arial" w:hAnsi="Arial" w:cs="Arial"/>
          <w:color w:val="808080" w:themeColor="background1" w:themeShade="80"/>
          <w:sz w:val="22"/>
          <w:szCs w:val="22"/>
          <w:lang w:val="en-GB"/>
        </w:rPr>
        <w:t>Notwithstanding th</w:t>
      </w:r>
      <w:r w:rsidR="008311DA" w:rsidRPr="00D744EF">
        <w:rPr>
          <w:rFonts w:ascii="Arial" w:hAnsi="Arial" w:cs="Arial"/>
          <w:color w:val="808080" w:themeColor="background1" w:themeShade="80"/>
          <w:sz w:val="22"/>
          <w:szCs w:val="22"/>
          <w:lang w:val="en-GB"/>
        </w:rPr>
        <w:t>e preceding paragraph</w:t>
      </w:r>
      <w:r w:rsidRPr="00D744EF">
        <w:rPr>
          <w:rFonts w:ascii="Arial" w:hAnsi="Arial" w:cs="Arial"/>
          <w:color w:val="808080" w:themeColor="background1" w:themeShade="80"/>
          <w:sz w:val="22"/>
          <w:szCs w:val="22"/>
          <w:lang w:val="en-GB"/>
        </w:rPr>
        <w:t>,</w:t>
      </w:r>
      <w:r w:rsidR="008311DA" w:rsidRPr="00D744EF">
        <w:rPr>
          <w:rFonts w:ascii="Arial" w:hAnsi="Arial" w:cs="Arial"/>
          <w:color w:val="808080" w:themeColor="background1" w:themeShade="80"/>
          <w:sz w:val="22"/>
          <w:szCs w:val="22"/>
          <w:lang w:val="en-GB"/>
        </w:rPr>
        <w:t xml:space="preserve"> EIR Recast permits</w:t>
      </w:r>
      <w:r w:rsidRPr="00D744EF">
        <w:rPr>
          <w:rFonts w:ascii="Arial" w:hAnsi="Arial" w:cs="Arial"/>
          <w:color w:val="808080" w:themeColor="background1" w:themeShade="80"/>
          <w:sz w:val="22"/>
          <w:szCs w:val="22"/>
          <w:lang w:val="en-GB"/>
        </w:rPr>
        <w:t xml:space="preserve"> </w:t>
      </w:r>
      <w:r w:rsidR="008311DA" w:rsidRPr="00D744EF">
        <w:rPr>
          <w:rFonts w:ascii="Arial" w:hAnsi="Arial" w:cs="Arial"/>
          <w:color w:val="808080" w:themeColor="background1" w:themeShade="80"/>
          <w:sz w:val="22"/>
          <w:szCs w:val="22"/>
          <w:lang w:val="en-GB"/>
        </w:rPr>
        <w:t>the commencement of secondary insolvency</w:t>
      </w:r>
      <w:r w:rsidR="00B81C03" w:rsidRPr="00D744EF">
        <w:rPr>
          <w:rFonts w:ascii="Arial" w:hAnsi="Arial" w:cs="Arial"/>
          <w:color w:val="808080" w:themeColor="background1" w:themeShade="80"/>
          <w:sz w:val="22"/>
          <w:szCs w:val="22"/>
          <w:lang w:val="en-GB"/>
        </w:rPr>
        <w:t xml:space="preserve"> </w:t>
      </w:r>
      <w:r w:rsidRPr="00D744EF">
        <w:rPr>
          <w:rFonts w:ascii="Arial" w:hAnsi="Arial" w:cs="Arial"/>
          <w:color w:val="808080" w:themeColor="background1" w:themeShade="80"/>
          <w:sz w:val="22"/>
          <w:szCs w:val="22"/>
          <w:lang w:val="en-GB"/>
        </w:rPr>
        <w:t>proceedings in a second</w:t>
      </w:r>
      <w:r w:rsidR="00D744EF">
        <w:rPr>
          <w:rFonts w:ascii="Arial" w:hAnsi="Arial" w:cs="Arial"/>
          <w:color w:val="808080" w:themeColor="background1" w:themeShade="80"/>
          <w:sz w:val="22"/>
          <w:szCs w:val="22"/>
          <w:lang w:val="en-GB"/>
        </w:rPr>
        <w:t xml:space="preserve"> Me</w:t>
      </w:r>
      <w:r w:rsidRPr="00D744EF">
        <w:rPr>
          <w:rFonts w:ascii="Arial" w:hAnsi="Arial" w:cs="Arial"/>
          <w:color w:val="808080" w:themeColor="background1" w:themeShade="80"/>
          <w:sz w:val="22"/>
          <w:szCs w:val="22"/>
          <w:lang w:val="en-GB"/>
        </w:rPr>
        <w:t>mber State</w:t>
      </w:r>
      <w:r w:rsidR="008311DA" w:rsidRPr="00D744EF">
        <w:rPr>
          <w:rFonts w:ascii="Arial" w:hAnsi="Arial" w:cs="Arial"/>
          <w:color w:val="808080" w:themeColor="background1" w:themeShade="80"/>
          <w:sz w:val="22"/>
          <w:szCs w:val="22"/>
          <w:lang w:val="en-GB"/>
        </w:rPr>
        <w:t xml:space="preserve"> (</w:t>
      </w:r>
      <w:r w:rsidRPr="00D744EF">
        <w:rPr>
          <w:rFonts w:ascii="Arial" w:hAnsi="Arial" w:cs="Arial"/>
          <w:color w:val="808080" w:themeColor="background1" w:themeShade="80"/>
          <w:sz w:val="22"/>
          <w:szCs w:val="22"/>
          <w:lang w:val="en-GB"/>
        </w:rPr>
        <w:t>in this case Germany</w:t>
      </w:r>
      <w:r w:rsidR="008311DA" w:rsidRPr="00D744EF">
        <w:rPr>
          <w:rFonts w:ascii="Arial" w:hAnsi="Arial" w:cs="Arial"/>
          <w:color w:val="808080" w:themeColor="background1" w:themeShade="80"/>
          <w:sz w:val="22"/>
          <w:szCs w:val="22"/>
          <w:lang w:val="en-GB"/>
        </w:rPr>
        <w:t>)</w:t>
      </w:r>
      <w:r w:rsidRPr="00D744EF">
        <w:rPr>
          <w:rFonts w:ascii="Arial" w:hAnsi="Arial" w:cs="Arial"/>
          <w:color w:val="808080" w:themeColor="background1" w:themeShade="80"/>
          <w:sz w:val="22"/>
          <w:szCs w:val="22"/>
          <w:lang w:val="en-GB"/>
        </w:rPr>
        <w:t xml:space="preserve">. </w:t>
      </w:r>
      <w:r w:rsidR="008311DA" w:rsidRPr="00D744EF">
        <w:rPr>
          <w:rFonts w:ascii="Arial" w:hAnsi="Arial" w:cs="Arial"/>
          <w:color w:val="808080" w:themeColor="background1" w:themeShade="80"/>
          <w:sz w:val="22"/>
          <w:szCs w:val="22"/>
          <w:lang w:val="en-GB"/>
        </w:rPr>
        <w:t>This is to “</w:t>
      </w:r>
      <w:r w:rsidR="008311DA" w:rsidRPr="00D744EF">
        <w:rPr>
          <w:rFonts w:ascii="Arial" w:hAnsi="Arial" w:cs="Arial"/>
          <w:i/>
          <w:iCs/>
          <w:color w:val="808080" w:themeColor="background1" w:themeShade="80"/>
          <w:sz w:val="22"/>
          <w:szCs w:val="22"/>
          <w:lang w:val="en-GB"/>
        </w:rPr>
        <w:t>protect the diversity of interests</w:t>
      </w:r>
      <w:r w:rsidR="008311DA" w:rsidRPr="00D744EF">
        <w:rPr>
          <w:rFonts w:ascii="Arial" w:hAnsi="Arial" w:cs="Arial"/>
          <w:color w:val="808080" w:themeColor="background1" w:themeShade="80"/>
          <w:sz w:val="22"/>
          <w:szCs w:val="22"/>
          <w:lang w:val="en-GB"/>
        </w:rPr>
        <w:t>”</w:t>
      </w:r>
      <w:r w:rsidR="008311DA" w:rsidRPr="00D744EF">
        <w:rPr>
          <w:rStyle w:val="FootnoteReference"/>
          <w:rFonts w:ascii="Arial" w:hAnsi="Arial" w:cs="Arial"/>
          <w:color w:val="808080" w:themeColor="background1" w:themeShade="80"/>
          <w:sz w:val="22"/>
          <w:szCs w:val="22"/>
          <w:lang w:val="en-GB"/>
        </w:rPr>
        <w:footnoteReference w:id="36"/>
      </w:r>
      <w:r w:rsidR="008311DA" w:rsidRPr="00D744EF">
        <w:rPr>
          <w:rFonts w:ascii="Arial" w:hAnsi="Arial" w:cs="Arial"/>
          <w:color w:val="808080" w:themeColor="background1" w:themeShade="80"/>
          <w:sz w:val="22"/>
          <w:szCs w:val="22"/>
          <w:lang w:val="en-GB"/>
        </w:rPr>
        <w:t>. U</w:t>
      </w:r>
      <w:r w:rsidR="0021276A" w:rsidRPr="00D744EF">
        <w:rPr>
          <w:rFonts w:ascii="Arial" w:hAnsi="Arial" w:cs="Arial"/>
          <w:color w:val="808080" w:themeColor="background1" w:themeShade="80"/>
          <w:sz w:val="22"/>
          <w:szCs w:val="22"/>
          <w:lang w:val="en-GB"/>
        </w:rPr>
        <w:t>nder the EIR Recast, proceedings are permitted if the debtor has an “establishment”. For the purposes of EIR Recast, “establishment” is defined as “</w:t>
      </w:r>
      <w:r w:rsidR="0021276A" w:rsidRPr="00D744EF">
        <w:rPr>
          <w:rFonts w:ascii="Arial" w:hAnsi="Arial" w:cs="Arial"/>
          <w:i/>
          <w:iCs/>
          <w:color w:val="808080" w:themeColor="background1" w:themeShade="80"/>
          <w:sz w:val="22"/>
          <w:szCs w:val="22"/>
          <w:lang w:val="en-GB"/>
        </w:rPr>
        <w:t>any place of operations where a debtor carries out or has carried out</w:t>
      </w:r>
      <w:r w:rsidR="00D744EF">
        <w:rPr>
          <w:rFonts w:ascii="Arial" w:hAnsi="Arial" w:cs="Arial"/>
          <w:i/>
          <w:iCs/>
          <w:color w:val="808080" w:themeColor="background1" w:themeShade="80"/>
          <w:sz w:val="22"/>
          <w:szCs w:val="22"/>
          <w:lang w:val="en-GB"/>
        </w:rPr>
        <w:t>…</w:t>
      </w:r>
      <w:r w:rsidR="0021276A" w:rsidRPr="00D744EF">
        <w:rPr>
          <w:rFonts w:ascii="Arial" w:hAnsi="Arial" w:cs="Arial"/>
          <w:i/>
          <w:iCs/>
          <w:color w:val="808080" w:themeColor="background1" w:themeShade="80"/>
          <w:sz w:val="22"/>
          <w:szCs w:val="22"/>
          <w:lang w:val="en-GB"/>
        </w:rPr>
        <w:t>a non-transitory economic activity with human means and assets</w:t>
      </w:r>
      <w:r w:rsidR="0021276A" w:rsidRPr="00D744EF">
        <w:rPr>
          <w:rFonts w:ascii="Arial" w:hAnsi="Arial" w:cs="Arial"/>
          <w:color w:val="808080" w:themeColor="background1" w:themeShade="80"/>
          <w:sz w:val="22"/>
          <w:szCs w:val="22"/>
          <w:lang w:val="en-GB"/>
        </w:rPr>
        <w:t>”.</w:t>
      </w:r>
      <w:r w:rsidR="0021276A" w:rsidRPr="00D744EF">
        <w:rPr>
          <w:rStyle w:val="FootnoteReference"/>
          <w:rFonts w:ascii="Arial" w:hAnsi="Arial" w:cs="Arial"/>
          <w:color w:val="808080" w:themeColor="background1" w:themeShade="80"/>
          <w:sz w:val="22"/>
          <w:szCs w:val="22"/>
          <w:lang w:val="en-GB"/>
        </w:rPr>
        <w:footnoteReference w:id="37"/>
      </w:r>
      <w:r w:rsidR="00B81C03" w:rsidRPr="00D744EF">
        <w:rPr>
          <w:rFonts w:ascii="Arial" w:hAnsi="Arial" w:cs="Arial"/>
          <w:color w:val="808080" w:themeColor="background1" w:themeShade="80"/>
          <w:sz w:val="22"/>
          <w:szCs w:val="22"/>
          <w:lang w:val="en-GB"/>
        </w:rPr>
        <w:t xml:space="preserve"> From the fact pattern, Norton Cars has carried out non-transitory economic activity in Germany via its operations</w:t>
      </w:r>
      <w:r w:rsidR="00CD17DB">
        <w:rPr>
          <w:rFonts w:ascii="Arial" w:hAnsi="Arial" w:cs="Arial"/>
          <w:color w:val="808080" w:themeColor="background1" w:themeShade="80"/>
          <w:sz w:val="22"/>
          <w:szCs w:val="22"/>
          <w:lang w:val="en-GB"/>
        </w:rPr>
        <w:t xml:space="preserve"> with the sports car engines</w:t>
      </w:r>
      <w:r w:rsidR="00B81C03" w:rsidRPr="00D744EF">
        <w:rPr>
          <w:rFonts w:ascii="Arial" w:hAnsi="Arial" w:cs="Arial"/>
          <w:color w:val="808080" w:themeColor="background1" w:themeShade="80"/>
          <w:sz w:val="22"/>
          <w:szCs w:val="22"/>
          <w:lang w:val="en-GB"/>
        </w:rPr>
        <w:t>.</w:t>
      </w:r>
      <w:r w:rsidR="008311DA" w:rsidRPr="00D744EF">
        <w:rPr>
          <w:rFonts w:ascii="Arial" w:hAnsi="Arial" w:cs="Arial"/>
          <w:color w:val="808080" w:themeColor="background1" w:themeShade="80"/>
          <w:sz w:val="22"/>
          <w:szCs w:val="22"/>
          <w:lang w:val="en-GB"/>
        </w:rPr>
        <w:t xml:space="preserve"> It should be noted that the effect of these secondary insolvency proceedings, which may be commenced in parallel to the main proceedings in Italy, are limited to only the assets located in Germany.</w:t>
      </w:r>
    </w:p>
    <w:p w14:paraId="0D3B1D18" w14:textId="1ECDE533" w:rsidR="004E1D03" w:rsidRDefault="004E1D03" w:rsidP="00692852">
      <w:pPr>
        <w:jc w:val="both"/>
        <w:rPr>
          <w:rFonts w:ascii="Avenir Next" w:hAnsi="Avenir Next" w:cs="Arial"/>
          <w:color w:val="808080" w:themeColor="background1" w:themeShade="80"/>
          <w:sz w:val="22"/>
          <w:szCs w:val="22"/>
          <w:lang w:val="en-GB"/>
        </w:rPr>
      </w:pPr>
    </w:p>
    <w:p w14:paraId="2C7EC41C" w14:textId="77777777" w:rsidR="00A63F3E" w:rsidRDefault="00A63F3E" w:rsidP="00692852">
      <w:pPr>
        <w:jc w:val="both"/>
        <w:rPr>
          <w:rFonts w:ascii="Avenir Next" w:hAnsi="Avenir Next" w:cs="Arial"/>
          <w:color w:val="808080" w:themeColor="background1" w:themeShade="80"/>
          <w:sz w:val="22"/>
          <w:szCs w:val="22"/>
          <w:lang w:val="en-GB"/>
        </w:rPr>
      </w:pPr>
    </w:p>
    <w:p w14:paraId="1B83FBCB" w14:textId="77777777" w:rsidR="00CD17DB" w:rsidRPr="009F0C5A" w:rsidRDefault="00CD17DB"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2F058737" w:rsidR="002253D8" w:rsidRPr="00CD17DB" w:rsidRDefault="00630708" w:rsidP="007815D1">
      <w:pPr>
        <w:jc w:val="both"/>
        <w:rPr>
          <w:rFonts w:ascii="Arial" w:hAnsi="Arial" w:cs="Arial"/>
          <w:color w:val="808080" w:themeColor="background1" w:themeShade="80"/>
          <w:sz w:val="22"/>
          <w:szCs w:val="22"/>
          <w:lang w:val="en-GB"/>
        </w:rPr>
      </w:pPr>
      <w:r w:rsidRPr="00CD17DB">
        <w:rPr>
          <w:rFonts w:ascii="Arial" w:hAnsi="Arial" w:cs="Arial"/>
          <w:color w:val="808080" w:themeColor="background1" w:themeShade="80"/>
          <w:sz w:val="22"/>
          <w:szCs w:val="22"/>
          <w:lang w:val="en-GB"/>
        </w:rPr>
        <w:t xml:space="preserve">An Indian, South </w:t>
      </w:r>
      <w:proofErr w:type="gramStart"/>
      <w:r w:rsidRPr="00CD17DB">
        <w:rPr>
          <w:rFonts w:ascii="Arial" w:hAnsi="Arial" w:cs="Arial"/>
          <w:color w:val="808080" w:themeColor="background1" w:themeShade="80"/>
          <w:sz w:val="22"/>
          <w:szCs w:val="22"/>
          <w:lang w:val="en-GB"/>
        </w:rPr>
        <w:t>African</w:t>
      </w:r>
      <w:proofErr w:type="gramEnd"/>
      <w:r w:rsidRPr="00CD17DB">
        <w:rPr>
          <w:rFonts w:ascii="Arial" w:hAnsi="Arial" w:cs="Arial"/>
          <w:color w:val="808080" w:themeColor="background1" w:themeShade="80"/>
          <w:sz w:val="22"/>
          <w:szCs w:val="22"/>
          <w:lang w:val="en-GB"/>
        </w:rPr>
        <w:t xml:space="preserve"> or Australian court </w:t>
      </w:r>
      <w:r w:rsidR="00F70459" w:rsidRPr="00CD17DB">
        <w:rPr>
          <w:rFonts w:ascii="Arial" w:hAnsi="Arial" w:cs="Arial"/>
          <w:color w:val="808080" w:themeColor="background1" w:themeShade="80"/>
          <w:sz w:val="22"/>
          <w:szCs w:val="22"/>
          <w:lang w:val="en-GB"/>
        </w:rPr>
        <w:t>will not</w:t>
      </w:r>
      <w:r w:rsidRPr="00CD17DB">
        <w:rPr>
          <w:rFonts w:ascii="Arial" w:hAnsi="Arial" w:cs="Arial"/>
          <w:color w:val="808080" w:themeColor="background1" w:themeShade="80"/>
          <w:sz w:val="22"/>
          <w:szCs w:val="22"/>
          <w:lang w:val="en-GB"/>
        </w:rPr>
        <w:t xml:space="preserve"> be eligible to apply the EU (Recast) Insolvency Regulation when considering the recognition of an EU insolvency representative duly appointed in terms of the EU regulation</w:t>
      </w:r>
      <w:r w:rsidR="00F70459" w:rsidRPr="00CD17DB">
        <w:rPr>
          <w:rFonts w:ascii="Arial" w:hAnsi="Arial" w:cs="Arial"/>
          <w:color w:val="808080" w:themeColor="background1" w:themeShade="80"/>
          <w:sz w:val="22"/>
          <w:szCs w:val="22"/>
          <w:lang w:val="en-GB"/>
        </w:rPr>
        <w:t xml:space="preserve">. </w:t>
      </w:r>
      <w:r w:rsidR="00B6463A" w:rsidRPr="00CD17DB">
        <w:rPr>
          <w:rFonts w:ascii="Arial" w:hAnsi="Arial" w:cs="Arial"/>
          <w:color w:val="808080" w:themeColor="background1" w:themeShade="80"/>
          <w:sz w:val="22"/>
          <w:szCs w:val="22"/>
          <w:lang w:val="en-GB"/>
        </w:rPr>
        <w:t xml:space="preserve">The co-ordination mechanisms which are set out in the EU (Recast) Insolvency Regulation does not apply to States which are not members of the European </w:t>
      </w:r>
      <w:r w:rsidR="00CD17DB">
        <w:rPr>
          <w:rFonts w:ascii="Arial" w:hAnsi="Arial" w:cs="Arial"/>
          <w:color w:val="808080" w:themeColor="background1" w:themeShade="80"/>
          <w:sz w:val="22"/>
          <w:szCs w:val="22"/>
          <w:lang w:val="en-GB"/>
        </w:rPr>
        <w:t>U</w:t>
      </w:r>
      <w:r w:rsidR="00B6463A" w:rsidRPr="00CD17DB">
        <w:rPr>
          <w:rFonts w:ascii="Arial" w:hAnsi="Arial" w:cs="Arial"/>
          <w:color w:val="808080" w:themeColor="background1" w:themeShade="80"/>
          <w:sz w:val="22"/>
          <w:szCs w:val="22"/>
          <w:lang w:val="en-GB"/>
        </w:rPr>
        <w:t>nion.</w:t>
      </w:r>
    </w:p>
    <w:p w14:paraId="26ABF425" w14:textId="77777777" w:rsidR="00B6463A" w:rsidRPr="00B6463A" w:rsidRDefault="00B6463A" w:rsidP="00B6463A">
      <w:pPr>
        <w:ind w:left="720" w:hanging="720"/>
        <w:jc w:val="both"/>
        <w:rPr>
          <w:rFonts w:ascii="Avenir Next" w:hAnsi="Avenir Next" w:cs="Arial"/>
          <w:sz w:val="22"/>
          <w:szCs w:val="22"/>
        </w:rPr>
      </w:pPr>
    </w:p>
    <w:p w14:paraId="0C5712FD" w14:textId="77777777" w:rsidR="00342551" w:rsidRDefault="00342551" w:rsidP="009E2652">
      <w:pPr>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55A964D0" w14:textId="4BC7526A" w:rsidR="00D16FBC" w:rsidRPr="00CD17DB" w:rsidRDefault="00D16FBC" w:rsidP="0037485D">
      <w:pPr>
        <w:jc w:val="both"/>
        <w:rPr>
          <w:rFonts w:ascii="Arial" w:hAnsi="Arial" w:cs="Arial"/>
          <w:color w:val="808080" w:themeColor="background1" w:themeShade="80"/>
          <w:sz w:val="22"/>
          <w:szCs w:val="22"/>
          <w:lang w:val="en-GB"/>
        </w:rPr>
      </w:pPr>
      <w:r w:rsidRPr="00CD17DB">
        <w:rPr>
          <w:rFonts w:ascii="Arial" w:hAnsi="Arial" w:cs="Arial"/>
          <w:color w:val="808080" w:themeColor="background1" w:themeShade="80"/>
          <w:sz w:val="22"/>
          <w:szCs w:val="22"/>
          <w:lang w:val="en-GB"/>
        </w:rPr>
        <w:t xml:space="preserve">The relevant regulation to the fact pattern is </w:t>
      </w:r>
      <w:r w:rsidR="00594CE4" w:rsidRPr="00CD17DB">
        <w:rPr>
          <w:rFonts w:ascii="Arial" w:hAnsi="Arial" w:cs="Arial"/>
          <w:color w:val="808080" w:themeColor="background1" w:themeShade="80"/>
          <w:sz w:val="22"/>
          <w:szCs w:val="22"/>
          <w:lang w:val="en-GB"/>
        </w:rPr>
        <w:t>Regulation (EU) 2015/848 of the European Parliament and of the Council of 20 May 2015 on Insolvency Proceedings (Recast) (“</w:t>
      </w:r>
      <w:r w:rsidR="00594CE4" w:rsidRPr="00CD17DB">
        <w:rPr>
          <w:rFonts w:ascii="Arial" w:hAnsi="Arial" w:cs="Arial"/>
          <w:b/>
          <w:bCs/>
          <w:color w:val="808080" w:themeColor="background1" w:themeShade="80"/>
          <w:sz w:val="22"/>
          <w:szCs w:val="22"/>
          <w:lang w:val="en-GB"/>
        </w:rPr>
        <w:t>EIR Recast</w:t>
      </w:r>
      <w:r w:rsidR="00594CE4" w:rsidRPr="00CD17DB">
        <w:rPr>
          <w:rFonts w:ascii="Arial" w:hAnsi="Arial" w:cs="Arial"/>
          <w:color w:val="808080" w:themeColor="background1" w:themeShade="80"/>
          <w:sz w:val="22"/>
          <w:szCs w:val="22"/>
          <w:lang w:val="en-GB"/>
        </w:rPr>
        <w:t xml:space="preserve">”). </w:t>
      </w:r>
      <w:r w:rsidRPr="00CD17DB">
        <w:rPr>
          <w:rFonts w:ascii="Arial" w:hAnsi="Arial" w:cs="Arial"/>
          <w:color w:val="808080" w:themeColor="background1" w:themeShade="80"/>
          <w:sz w:val="22"/>
          <w:szCs w:val="22"/>
          <w:lang w:val="en-GB"/>
        </w:rPr>
        <w:t xml:space="preserve">The EIR Recast does not harmonise the substantive </w:t>
      </w:r>
      <w:r w:rsidR="00A509B2">
        <w:rPr>
          <w:rFonts w:ascii="Arial" w:hAnsi="Arial" w:cs="Arial"/>
          <w:color w:val="808080" w:themeColor="background1" w:themeShade="80"/>
          <w:sz w:val="22"/>
          <w:szCs w:val="22"/>
          <w:lang w:val="en-GB"/>
        </w:rPr>
        <w:t xml:space="preserve">insolvency </w:t>
      </w:r>
      <w:r w:rsidRPr="00CD17DB">
        <w:rPr>
          <w:rFonts w:ascii="Arial" w:hAnsi="Arial" w:cs="Arial"/>
          <w:color w:val="808080" w:themeColor="background1" w:themeShade="80"/>
          <w:sz w:val="22"/>
          <w:szCs w:val="22"/>
          <w:lang w:val="en-GB"/>
        </w:rPr>
        <w:t>law</w:t>
      </w:r>
      <w:r w:rsidR="00A509B2">
        <w:rPr>
          <w:rFonts w:ascii="Arial" w:hAnsi="Arial" w:cs="Arial"/>
          <w:color w:val="808080" w:themeColor="background1" w:themeShade="80"/>
          <w:sz w:val="22"/>
          <w:szCs w:val="22"/>
          <w:lang w:val="en-GB"/>
        </w:rPr>
        <w:t>s</w:t>
      </w:r>
      <w:r w:rsidRPr="00CD17DB">
        <w:rPr>
          <w:rFonts w:ascii="Arial" w:hAnsi="Arial" w:cs="Arial"/>
          <w:color w:val="808080" w:themeColor="background1" w:themeShade="80"/>
          <w:sz w:val="22"/>
          <w:szCs w:val="22"/>
          <w:lang w:val="en-GB"/>
        </w:rPr>
        <w:t xml:space="preserve"> of the Member States of the European Union. I</w:t>
      </w:r>
      <w:r w:rsidR="00F05485" w:rsidRPr="00CD17DB">
        <w:rPr>
          <w:rFonts w:ascii="Arial" w:hAnsi="Arial" w:cs="Arial"/>
          <w:color w:val="808080" w:themeColor="background1" w:themeShade="80"/>
          <w:sz w:val="22"/>
          <w:szCs w:val="22"/>
          <w:lang w:val="en-GB"/>
        </w:rPr>
        <w:t>t</w:t>
      </w:r>
      <w:r w:rsidR="00CD17DB">
        <w:rPr>
          <w:rFonts w:ascii="Arial" w:hAnsi="Arial" w:cs="Arial"/>
          <w:color w:val="808080" w:themeColor="background1" w:themeShade="80"/>
          <w:sz w:val="22"/>
          <w:szCs w:val="22"/>
          <w:lang w:val="en-GB"/>
        </w:rPr>
        <w:t xml:space="preserve"> is instead</w:t>
      </w:r>
      <w:r w:rsidRPr="00CD17DB">
        <w:rPr>
          <w:rFonts w:ascii="Arial" w:hAnsi="Arial" w:cs="Arial"/>
          <w:color w:val="808080" w:themeColor="background1" w:themeShade="80"/>
          <w:sz w:val="22"/>
          <w:szCs w:val="22"/>
          <w:lang w:val="en-GB"/>
        </w:rPr>
        <w:t xml:space="preserve"> directly applicable and prevails over the domestic legislation of the Member States (except Denmark). </w:t>
      </w:r>
      <w:r w:rsidR="0037485D" w:rsidRPr="00CD17DB">
        <w:rPr>
          <w:rFonts w:ascii="Arial" w:hAnsi="Arial" w:cs="Arial"/>
          <w:color w:val="808080" w:themeColor="background1" w:themeShade="80"/>
          <w:sz w:val="22"/>
          <w:szCs w:val="22"/>
          <w:lang w:val="en-GB"/>
        </w:rPr>
        <w:t xml:space="preserve">The EIR Recast </w:t>
      </w:r>
      <w:r w:rsidR="009F223E" w:rsidRPr="00CD17DB">
        <w:rPr>
          <w:rFonts w:ascii="Arial" w:hAnsi="Arial" w:cs="Arial"/>
          <w:color w:val="808080" w:themeColor="background1" w:themeShade="80"/>
          <w:sz w:val="22"/>
          <w:szCs w:val="22"/>
          <w:lang w:val="en-GB"/>
        </w:rPr>
        <w:t>deals with</w:t>
      </w:r>
      <w:r w:rsidR="0037485D" w:rsidRPr="00CD17DB">
        <w:rPr>
          <w:rFonts w:ascii="Arial" w:hAnsi="Arial" w:cs="Arial"/>
          <w:color w:val="808080" w:themeColor="background1" w:themeShade="80"/>
          <w:sz w:val="22"/>
          <w:szCs w:val="22"/>
          <w:lang w:val="en-GB"/>
        </w:rPr>
        <w:t xml:space="preserve"> the rules concerning conflicts of law in European insolvency cases where a debtor has a centre of main interest in one European Union </w:t>
      </w:r>
      <w:r w:rsidRPr="00CD17DB">
        <w:rPr>
          <w:rFonts w:ascii="Arial" w:hAnsi="Arial" w:cs="Arial"/>
          <w:color w:val="808080" w:themeColor="background1" w:themeShade="80"/>
          <w:sz w:val="22"/>
          <w:szCs w:val="22"/>
          <w:lang w:val="en-GB"/>
        </w:rPr>
        <w:t>M</w:t>
      </w:r>
      <w:r w:rsidR="0037485D" w:rsidRPr="00CD17DB">
        <w:rPr>
          <w:rFonts w:ascii="Arial" w:hAnsi="Arial" w:cs="Arial"/>
          <w:color w:val="808080" w:themeColor="background1" w:themeShade="80"/>
          <w:sz w:val="22"/>
          <w:szCs w:val="22"/>
          <w:lang w:val="en-GB"/>
        </w:rPr>
        <w:t>ember State</w:t>
      </w:r>
      <w:r w:rsidR="00CD17DB">
        <w:rPr>
          <w:rFonts w:ascii="Arial" w:hAnsi="Arial" w:cs="Arial"/>
          <w:color w:val="808080" w:themeColor="background1" w:themeShade="80"/>
          <w:sz w:val="22"/>
          <w:szCs w:val="22"/>
          <w:lang w:val="en-GB"/>
        </w:rPr>
        <w:t xml:space="preserve"> (which in this case in Italy)</w:t>
      </w:r>
      <w:r w:rsidR="0037485D" w:rsidRPr="00CD17DB">
        <w:rPr>
          <w:rFonts w:ascii="Arial" w:hAnsi="Arial" w:cs="Arial"/>
          <w:color w:val="808080" w:themeColor="background1" w:themeShade="80"/>
          <w:sz w:val="22"/>
          <w:szCs w:val="22"/>
          <w:lang w:val="en-GB"/>
        </w:rPr>
        <w:t xml:space="preserve"> and assets in another</w:t>
      </w:r>
      <w:r w:rsidR="009F223E" w:rsidRPr="00CD17DB">
        <w:rPr>
          <w:rFonts w:ascii="Arial" w:hAnsi="Arial" w:cs="Arial"/>
          <w:color w:val="808080" w:themeColor="background1" w:themeShade="80"/>
          <w:sz w:val="22"/>
          <w:szCs w:val="22"/>
          <w:lang w:val="en-GB"/>
        </w:rPr>
        <w:t xml:space="preserve"> </w:t>
      </w:r>
      <w:r w:rsidR="00CD17DB">
        <w:rPr>
          <w:rFonts w:ascii="Arial" w:hAnsi="Arial" w:cs="Arial"/>
          <w:color w:val="808080" w:themeColor="background1" w:themeShade="80"/>
          <w:sz w:val="22"/>
          <w:szCs w:val="22"/>
          <w:lang w:val="en-GB"/>
        </w:rPr>
        <w:t xml:space="preserve">(which </w:t>
      </w:r>
      <w:r w:rsidR="009F223E" w:rsidRPr="00CD17DB">
        <w:rPr>
          <w:rFonts w:ascii="Arial" w:hAnsi="Arial" w:cs="Arial"/>
          <w:color w:val="808080" w:themeColor="background1" w:themeShade="80"/>
          <w:sz w:val="22"/>
          <w:szCs w:val="22"/>
          <w:lang w:val="en-GB"/>
        </w:rPr>
        <w:t xml:space="preserve">in this case </w:t>
      </w:r>
      <w:r w:rsidR="00CD17DB">
        <w:rPr>
          <w:rFonts w:ascii="Arial" w:hAnsi="Arial" w:cs="Arial"/>
          <w:color w:val="808080" w:themeColor="background1" w:themeShade="80"/>
          <w:sz w:val="22"/>
          <w:szCs w:val="22"/>
          <w:lang w:val="en-GB"/>
        </w:rPr>
        <w:t>is the</w:t>
      </w:r>
      <w:r w:rsidR="009F223E" w:rsidRPr="00CD17DB">
        <w:rPr>
          <w:rFonts w:ascii="Arial" w:hAnsi="Arial" w:cs="Arial"/>
          <w:color w:val="808080" w:themeColor="background1" w:themeShade="80"/>
          <w:sz w:val="22"/>
          <w:szCs w:val="22"/>
          <w:lang w:val="en-GB"/>
        </w:rPr>
        <w:t xml:space="preserve"> Netherlands</w:t>
      </w:r>
      <w:r w:rsidR="00CD17DB">
        <w:rPr>
          <w:rFonts w:ascii="Arial" w:hAnsi="Arial" w:cs="Arial"/>
          <w:color w:val="808080" w:themeColor="background1" w:themeShade="80"/>
          <w:sz w:val="22"/>
          <w:szCs w:val="22"/>
          <w:lang w:val="en-GB"/>
        </w:rPr>
        <w:t>)</w:t>
      </w:r>
      <w:r w:rsidR="0037485D" w:rsidRPr="00CD17DB">
        <w:rPr>
          <w:rFonts w:ascii="Arial" w:hAnsi="Arial" w:cs="Arial"/>
          <w:color w:val="808080" w:themeColor="background1" w:themeShade="80"/>
          <w:sz w:val="22"/>
          <w:szCs w:val="22"/>
          <w:lang w:val="en-GB"/>
        </w:rPr>
        <w:t>.</w:t>
      </w:r>
      <w:r w:rsidR="00A509B2">
        <w:rPr>
          <w:rStyle w:val="FootnoteReference"/>
          <w:rFonts w:ascii="Arial" w:hAnsi="Arial" w:cs="Arial"/>
          <w:color w:val="808080" w:themeColor="background1" w:themeShade="80"/>
          <w:sz w:val="22"/>
          <w:szCs w:val="22"/>
          <w:lang w:val="en-GB"/>
        </w:rPr>
        <w:footnoteReference w:id="38"/>
      </w:r>
    </w:p>
    <w:p w14:paraId="3BE6D50A" w14:textId="77777777" w:rsidR="00A509B2" w:rsidRPr="00CD17DB" w:rsidRDefault="00A509B2" w:rsidP="0037485D">
      <w:pPr>
        <w:jc w:val="both"/>
        <w:rPr>
          <w:rFonts w:ascii="Arial" w:hAnsi="Arial" w:cs="Arial"/>
          <w:color w:val="808080" w:themeColor="background1" w:themeShade="80"/>
          <w:sz w:val="22"/>
          <w:szCs w:val="22"/>
          <w:lang w:val="en-GB"/>
        </w:rPr>
      </w:pPr>
    </w:p>
    <w:p w14:paraId="381B7EBA" w14:textId="77777777" w:rsidR="00EC6CC6" w:rsidRDefault="00D16FBC" w:rsidP="0037485D">
      <w:pPr>
        <w:jc w:val="both"/>
        <w:rPr>
          <w:rFonts w:ascii="Arial" w:hAnsi="Arial" w:cs="Arial"/>
          <w:color w:val="808080" w:themeColor="background1" w:themeShade="80"/>
          <w:sz w:val="22"/>
          <w:szCs w:val="22"/>
          <w:lang w:val="en-GB"/>
        </w:rPr>
      </w:pPr>
      <w:r w:rsidRPr="00CD17DB">
        <w:rPr>
          <w:rFonts w:ascii="Arial" w:hAnsi="Arial" w:cs="Arial"/>
          <w:color w:val="808080" w:themeColor="background1" w:themeShade="80"/>
          <w:sz w:val="22"/>
          <w:szCs w:val="22"/>
          <w:lang w:val="en-GB"/>
        </w:rPr>
        <w:t xml:space="preserve">The relevant Article of the EIR Recast is Article 7.1. Article 7.1 states that </w:t>
      </w:r>
      <w:r w:rsidR="009F223E" w:rsidRPr="00CD17DB">
        <w:rPr>
          <w:rFonts w:ascii="Arial" w:hAnsi="Arial" w:cs="Arial"/>
          <w:color w:val="808080" w:themeColor="background1" w:themeShade="80"/>
          <w:sz w:val="22"/>
          <w:szCs w:val="22"/>
          <w:lang w:val="en-GB"/>
        </w:rPr>
        <w:t>“</w:t>
      </w:r>
      <w:r w:rsidR="009F223E" w:rsidRPr="00CD17DB">
        <w:rPr>
          <w:rFonts w:ascii="Arial" w:hAnsi="Arial" w:cs="Arial"/>
          <w:i/>
          <w:iCs/>
          <w:color w:val="808080" w:themeColor="background1" w:themeShade="80"/>
          <w:sz w:val="22"/>
          <w:szCs w:val="22"/>
          <w:lang w:val="en-GB"/>
        </w:rPr>
        <w:t>the law applicable to insolvency proceedings and their effects shall be that of the Member State within the territory of which such proceedings are opened</w:t>
      </w:r>
      <w:r w:rsidR="009F223E" w:rsidRPr="00CD17DB">
        <w:rPr>
          <w:rFonts w:ascii="Arial" w:hAnsi="Arial" w:cs="Arial"/>
          <w:color w:val="808080" w:themeColor="background1" w:themeShade="80"/>
          <w:sz w:val="22"/>
          <w:szCs w:val="22"/>
          <w:lang w:val="en-GB"/>
        </w:rPr>
        <w:t>”</w:t>
      </w:r>
      <w:r w:rsidRPr="00CD17DB">
        <w:rPr>
          <w:rFonts w:ascii="Arial" w:hAnsi="Arial" w:cs="Arial"/>
          <w:color w:val="808080" w:themeColor="background1" w:themeShade="80"/>
          <w:sz w:val="22"/>
          <w:szCs w:val="22"/>
          <w:lang w:val="en-GB"/>
        </w:rPr>
        <w:t>.</w:t>
      </w:r>
      <w:r w:rsidRPr="00CD17DB">
        <w:rPr>
          <w:rStyle w:val="FootnoteReference"/>
          <w:rFonts w:ascii="Arial" w:hAnsi="Arial" w:cs="Arial"/>
          <w:color w:val="808080" w:themeColor="background1" w:themeShade="80"/>
          <w:sz w:val="22"/>
          <w:szCs w:val="22"/>
          <w:lang w:val="en-GB"/>
        </w:rPr>
        <w:footnoteReference w:id="39"/>
      </w:r>
      <w:r w:rsidRPr="00CD17DB">
        <w:rPr>
          <w:rFonts w:ascii="Arial" w:hAnsi="Arial" w:cs="Arial"/>
          <w:color w:val="808080" w:themeColor="background1" w:themeShade="80"/>
          <w:sz w:val="22"/>
          <w:szCs w:val="22"/>
          <w:lang w:val="en-GB"/>
        </w:rPr>
        <w:t xml:space="preserve"> This would mean that the law applicable </w:t>
      </w:r>
      <w:r w:rsidR="00F05485" w:rsidRPr="00CD17DB">
        <w:rPr>
          <w:rFonts w:ascii="Arial" w:hAnsi="Arial" w:cs="Arial"/>
          <w:color w:val="808080" w:themeColor="background1" w:themeShade="80"/>
          <w:sz w:val="22"/>
          <w:szCs w:val="22"/>
          <w:lang w:val="en-GB"/>
        </w:rPr>
        <w:t>to the insolvency proceedings in the fact pattern is that of Italy as insolvency proceedings were commenced there. The laws of Italy will determine the conditions for the conduct of proceedings and the assets which will form part of the insolvency estate</w:t>
      </w:r>
      <w:r w:rsidR="00F05485" w:rsidRPr="00CD17DB">
        <w:rPr>
          <w:rStyle w:val="FootnoteReference"/>
          <w:rFonts w:ascii="Arial" w:hAnsi="Arial" w:cs="Arial"/>
          <w:color w:val="808080" w:themeColor="background1" w:themeShade="80"/>
          <w:sz w:val="22"/>
          <w:szCs w:val="22"/>
          <w:lang w:val="en-GB"/>
        </w:rPr>
        <w:footnoteReference w:id="40"/>
      </w:r>
      <w:r w:rsidR="00F05485" w:rsidRPr="00CD17DB">
        <w:rPr>
          <w:rFonts w:ascii="Arial" w:hAnsi="Arial" w:cs="Arial"/>
          <w:color w:val="808080" w:themeColor="background1" w:themeShade="80"/>
          <w:sz w:val="22"/>
          <w:szCs w:val="22"/>
          <w:lang w:val="en-GB"/>
        </w:rPr>
        <w:t>.</w:t>
      </w:r>
    </w:p>
    <w:p w14:paraId="03B43F97" w14:textId="2C949405" w:rsidR="00630708" w:rsidRDefault="00630708" w:rsidP="002253D8">
      <w:pPr>
        <w:jc w:val="both"/>
        <w:rPr>
          <w:rFonts w:ascii="Avenir Next" w:hAnsi="Avenir Next" w:cs="Arial"/>
          <w:sz w:val="24"/>
          <w:lang w:val="en-GB"/>
        </w:rPr>
      </w:pPr>
    </w:p>
    <w:p w14:paraId="76AA2D83" w14:textId="77777777" w:rsidR="00EC6CC6" w:rsidRPr="004827A3" w:rsidRDefault="00EC6CC6"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EE700C0" w14:textId="7B7319F6" w:rsidR="00630708" w:rsidRPr="007A1CBC" w:rsidRDefault="00630708" w:rsidP="00630708">
      <w:pPr>
        <w:jc w:val="both"/>
        <w:rPr>
          <w:rFonts w:ascii="Arial" w:hAnsi="Arial" w:cs="Arial"/>
          <w:color w:val="808080" w:themeColor="background1" w:themeShade="80"/>
          <w:sz w:val="22"/>
          <w:szCs w:val="22"/>
          <w:lang w:val="en-GB"/>
        </w:rPr>
      </w:pPr>
      <w:r w:rsidRPr="007A1CBC">
        <w:rPr>
          <w:rFonts w:ascii="Arial" w:hAnsi="Arial" w:cs="Arial"/>
          <w:color w:val="808080" w:themeColor="background1" w:themeShade="80"/>
          <w:sz w:val="22"/>
          <w:szCs w:val="22"/>
          <w:lang w:val="en-GB"/>
        </w:rPr>
        <w:t>In the situation where insolvency proceedings are commenced under Italian law and an Italian insolvent estate representative (“</w:t>
      </w:r>
      <w:r w:rsidRPr="007A1CBC">
        <w:rPr>
          <w:rFonts w:ascii="Arial" w:hAnsi="Arial" w:cs="Arial"/>
          <w:b/>
          <w:bCs/>
          <w:color w:val="808080" w:themeColor="background1" w:themeShade="80"/>
          <w:sz w:val="22"/>
          <w:szCs w:val="22"/>
          <w:lang w:val="en-GB"/>
        </w:rPr>
        <w:t>Italian Representative</w:t>
      </w:r>
      <w:r w:rsidRPr="007A1CBC">
        <w:rPr>
          <w:rFonts w:ascii="Arial" w:hAnsi="Arial" w:cs="Arial"/>
          <w:color w:val="808080" w:themeColor="background1" w:themeShade="80"/>
          <w:sz w:val="22"/>
          <w:szCs w:val="22"/>
          <w:lang w:val="en-GB"/>
        </w:rPr>
        <w:t xml:space="preserve">”) has been appointed where there are assets which are subject to real rights of security established in terms of Australian law, </w:t>
      </w:r>
      <w:r w:rsidRPr="007A1CBC">
        <w:rPr>
          <w:rFonts w:ascii="Arial" w:hAnsi="Arial" w:cs="Arial"/>
          <w:color w:val="808080" w:themeColor="background1" w:themeShade="80"/>
          <w:sz w:val="22"/>
          <w:szCs w:val="22"/>
          <w:lang w:val="en-GB"/>
        </w:rPr>
        <w:lastRenderedPageBreak/>
        <w:t>the relevant laws are the Corporations Act 2001 (</w:t>
      </w:r>
      <w:proofErr w:type="spellStart"/>
      <w:r w:rsidRPr="007A1CBC">
        <w:rPr>
          <w:rFonts w:ascii="Arial" w:hAnsi="Arial" w:cs="Arial"/>
          <w:color w:val="808080" w:themeColor="background1" w:themeShade="80"/>
          <w:sz w:val="22"/>
          <w:szCs w:val="22"/>
          <w:lang w:val="en-GB"/>
        </w:rPr>
        <w:t>Cth</w:t>
      </w:r>
      <w:proofErr w:type="spellEnd"/>
      <w:r w:rsidRPr="007A1CBC">
        <w:rPr>
          <w:rFonts w:ascii="Arial" w:hAnsi="Arial" w:cs="Arial"/>
          <w:color w:val="808080" w:themeColor="background1" w:themeShade="80"/>
          <w:sz w:val="22"/>
          <w:szCs w:val="22"/>
          <w:lang w:val="en-GB"/>
        </w:rPr>
        <w:t>) (“</w:t>
      </w:r>
      <w:r w:rsidRPr="007A1CBC">
        <w:rPr>
          <w:rFonts w:ascii="Arial" w:hAnsi="Arial" w:cs="Arial"/>
          <w:b/>
          <w:bCs/>
          <w:color w:val="808080" w:themeColor="background1" w:themeShade="80"/>
          <w:sz w:val="22"/>
          <w:szCs w:val="22"/>
          <w:lang w:val="en-GB"/>
        </w:rPr>
        <w:t>the Act</w:t>
      </w:r>
      <w:r w:rsidRPr="007A1CBC">
        <w:rPr>
          <w:rFonts w:ascii="Arial" w:hAnsi="Arial" w:cs="Arial"/>
          <w:color w:val="808080" w:themeColor="background1" w:themeShade="80"/>
          <w:sz w:val="22"/>
          <w:szCs w:val="22"/>
          <w:lang w:val="en-GB"/>
        </w:rPr>
        <w:t>”) and the Cross-Border Insolvency Act 2008 (</w:t>
      </w:r>
      <w:proofErr w:type="spellStart"/>
      <w:r w:rsidRPr="007A1CBC">
        <w:rPr>
          <w:rFonts w:ascii="Arial" w:hAnsi="Arial" w:cs="Arial"/>
          <w:color w:val="808080" w:themeColor="background1" w:themeShade="80"/>
          <w:sz w:val="22"/>
          <w:szCs w:val="22"/>
          <w:lang w:val="en-GB"/>
        </w:rPr>
        <w:t>Cth</w:t>
      </w:r>
      <w:proofErr w:type="spellEnd"/>
      <w:r w:rsidRPr="007A1CBC">
        <w:rPr>
          <w:rFonts w:ascii="Arial" w:hAnsi="Arial" w:cs="Arial"/>
          <w:color w:val="808080" w:themeColor="background1" w:themeShade="80"/>
          <w:sz w:val="22"/>
          <w:szCs w:val="22"/>
          <w:lang w:val="en-GB"/>
        </w:rPr>
        <w:t>) (“</w:t>
      </w:r>
      <w:r w:rsidRPr="007A1CBC">
        <w:rPr>
          <w:rFonts w:ascii="Arial" w:hAnsi="Arial" w:cs="Arial"/>
          <w:b/>
          <w:bCs/>
          <w:color w:val="808080" w:themeColor="background1" w:themeShade="80"/>
          <w:sz w:val="22"/>
          <w:szCs w:val="22"/>
          <w:lang w:val="en-GB"/>
        </w:rPr>
        <w:t>CBIA</w:t>
      </w:r>
      <w:r w:rsidRPr="007A1CBC">
        <w:rPr>
          <w:rFonts w:ascii="Arial" w:hAnsi="Arial" w:cs="Arial"/>
          <w:color w:val="808080" w:themeColor="background1" w:themeShade="80"/>
          <w:sz w:val="22"/>
          <w:szCs w:val="22"/>
          <w:lang w:val="en-GB"/>
        </w:rPr>
        <w:t>”).</w:t>
      </w:r>
    </w:p>
    <w:p w14:paraId="5F14BDEF" w14:textId="77777777" w:rsidR="00630708" w:rsidRPr="007A1CBC" w:rsidRDefault="00630708" w:rsidP="00630708">
      <w:pPr>
        <w:ind w:firstLine="426"/>
        <w:jc w:val="both"/>
        <w:rPr>
          <w:rFonts w:ascii="Arial" w:hAnsi="Arial" w:cs="Arial"/>
          <w:color w:val="808080" w:themeColor="background1" w:themeShade="80"/>
          <w:sz w:val="22"/>
          <w:szCs w:val="22"/>
          <w:lang w:val="en-GB"/>
        </w:rPr>
      </w:pPr>
    </w:p>
    <w:p w14:paraId="39A57D52" w14:textId="77777777" w:rsidR="00991CF4" w:rsidRDefault="00630708" w:rsidP="00630708">
      <w:pPr>
        <w:jc w:val="both"/>
        <w:rPr>
          <w:rFonts w:ascii="Arial" w:hAnsi="Arial" w:cs="Arial"/>
          <w:color w:val="808080" w:themeColor="background1" w:themeShade="80"/>
          <w:sz w:val="22"/>
          <w:szCs w:val="22"/>
          <w:lang w:val="en-GB"/>
        </w:rPr>
      </w:pPr>
      <w:r w:rsidRPr="007A1CBC">
        <w:rPr>
          <w:rFonts w:ascii="Arial" w:hAnsi="Arial" w:cs="Arial"/>
          <w:color w:val="808080" w:themeColor="background1" w:themeShade="80"/>
          <w:sz w:val="22"/>
          <w:szCs w:val="22"/>
          <w:lang w:val="en-GB"/>
        </w:rPr>
        <w:t>Sections 580-581 of the Act sets out the cooperation between an Australian court and its foreign counterpart in external administration matters. The situation of Norton Cars, which has been liquidated, is an “external administration matter”</w:t>
      </w:r>
      <w:r w:rsidR="00702DB8" w:rsidRPr="007A1CBC">
        <w:rPr>
          <w:rStyle w:val="FootnoteReference"/>
          <w:rFonts w:ascii="Arial" w:hAnsi="Arial" w:cs="Arial"/>
          <w:color w:val="808080" w:themeColor="background1" w:themeShade="80"/>
          <w:sz w:val="22"/>
          <w:szCs w:val="22"/>
          <w:lang w:val="en-GB"/>
        </w:rPr>
        <w:footnoteReference w:id="41"/>
      </w:r>
      <w:r w:rsidRPr="007A1CBC">
        <w:rPr>
          <w:rFonts w:ascii="Arial" w:hAnsi="Arial" w:cs="Arial"/>
          <w:color w:val="808080" w:themeColor="background1" w:themeShade="80"/>
          <w:sz w:val="22"/>
          <w:szCs w:val="22"/>
          <w:lang w:val="en-GB"/>
        </w:rPr>
        <w:t xml:space="preserve"> as defined by the Act. It is prescribed under section 581 of the Act that the Australian courts will, in all external administration matters, aid the courts of other countries that have jurisdiction in the external administration matters in question</w:t>
      </w:r>
      <w:r w:rsidR="00702DB8" w:rsidRPr="007A1CBC">
        <w:rPr>
          <w:rStyle w:val="FootnoteReference"/>
          <w:rFonts w:ascii="Arial" w:hAnsi="Arial" w:cs="Arial"/>
          <w:color w:val="808080" w:themeColor="background1" w:themeShade="80"/>
          <w:sz w:val="22"/>
          <w:szCs w:val="22"/>
          <w:lang w:val="en-GB"/>
        </w:rPr>
        <w:footnoteReference w:id="42"/>
      </w:r>
      <w:r w:rsidR="00702DB8" w:rsidRPr="007A1CBC">
        <w:rPr>
          <w:rFonts w:ascii="Arial" w:hAnsi="Arial" w:cs="Arial"/>
          <w:color w:val="808080" w:themeColor="background1" w:themeShade="80"/>
          <w:sz w:val="22"/>
          <w:szCs w:val="22"/>
          <w:lang w:val="en-GB"/>
        </w:rPr>
        <w:t>.</w:t>
      </w:r>
      <w:r w:rsidRPr="007A1CBC">
        <w:rPr>
          <w:rFonts w:ascii="Arial" w:hAnsi="Arial" w:cs="Arial"/>
          <w:color w:val="808080" w:themeColor="background1" w:themeShade="80"/>
          <w:sz w:val="22"/>
          <w:szCs w:val="22"/>
          <w:lang w:val="en-GB"/>
        </w:rPr>
        <w:t xml:space="preserve"> An example of this is </w:t>
      </w:r>
      <w:r w:rsidRPr="007A1CBC">
        <w:rPr>
          <w:rFonts w:ascii="Arial" w:hAnsi="Arial" w:cs="Arial"/>
          <w:i/>
          <w:iCs/>
          <w:color w:val="808080" w:themeColor="background1" w:themeShade="80"/>
          <w:sz w:val="22"/>
          <w:szCs w:val="22"/>
          <w:lang w:val="en-GB"/>
        </w:rPr>
        <w:t>Re Chow Cho Poon (Private) Ltd</w:t>
      </w:r>
      <w:r w:rsidR="00702DB8" w:rsidRPr="007A1CBC">
        <w:rPr>
          <w:rStyle w:val="FootnoteReference"/>
          <w:rFonts w:ascii="Arial" w:hAnsi="Arial" w:cs="Arial"/>
          <w:color w:val="808080" w:themeColor="background1" w:themeShade="80"/>
          <w:sz w:val="22"/>
          <w:szCs w:val="22"/>
          <w:lang w:val="en-GB"/>
        </w:rPr>
        <w:footnoteReference w:id="43"/>
      </w:r>
      <w:r w:rsidRPr="007A1CBC">
        <w:rPr>
          <w:rFonts w:ascii="Arial" w:hAnsi="Arial" w:cs="Arial"/>
          <w:color w:val="808080" w:themeColor="background1" w:themeShade="80"/>
          <w:sz w:val="22"/>
          <w:szCs w:val="22"/>
          <w:lang w:val="en-GB"/>
        </w:rPr>
        <w:t xml:space="preserve">. The Singaporean liquidator applied to the New South Wales Supreme Court for orders that they could open, </w:t>
      </w:r>
      <w:proofErr w:type="gramStart"/>
      <w:r w:rsidRPr="007A1CBC">
        <w:rPr>
          <w:rFonts w:ascii="Arial" w:hAnsi="Arial" w:cs="Arial"/>
          <w:color w:val="808080" w:themeColor="background1" w:themeShade="80"/>
          <w:sz w:val="22"/>
          <w:szCs w:val="22"/>
          <w:lang w:val="en-GB"/>
        </w:rPr>
        <w:t>redesignate</w:t>
      </w:r>
      <w:proofErr w:type="gramEnd"/>
      <w:r w:rsidRPr="007A1CBC">
        <w:rPr>
          <w:rFonts w:ascii="Arial" w:hAnsi="Arial" w:cs="Arial"/>
          <w:color w:val="808080" w:themeColor="background1" w:themeShade="80"/>
          <w:sz w:val="22"/>
          <w:szCs w:val="22"/>
          <w:lang w:val="en-GB"/>
        </w:rPr>
        <w:t xml:space="preserve"> and operate the bank accounts of the company in Australia. The court granted the application. The rationale for this was that the bank in Australia would not make the accounts in question operative without the court recognising the appointment of the Singaporean liquidator under section 581 of the Act.</w:t>
      </w:r>
      <w:r w:rsidR="00991CF4">
        <w:rPr>
          <w:rFonts w:ascii="Arial" w:hAnsi="Arial" w:cs="Arial"/>
          <w:color w:val="808080" w:themeColor="background1" w:themeShade="80"/>
          <w:sz w:val="22"/>
          <w:szCs w:val="22"/>
          <w:lang w:val="en-GB"/>
        </w:rPr>
        <w:t xml:space="preserve"> </w:t>
      </w:r>
    </w:p>
    <w:p w14:paraId="621B2960" w14:textId="77777777" w:rsidR="00991CF4" w:rsidRDefault="00991CF4" w:rsidP="00630708">
      <w:pPr>
        <w:jc w:val="both"/>
        <w:rPr>
          <w:rFonts w:ascii="Arial" w:hAnsi="Arial" w:cs="Arial"/>
          <w:color w:val="808080" w:themeColor="background1" w:themeShade="80"/>
          <w:sz w:val="22"/>
          <w:szCs w:val="22"/>
          <w:lang w:val="en-GB"/>
        </w:rPr>
      </w:pPr>
    </w:p>
    <w:p w14:paraId="367D881F" w14:textId="1DFD62EA" w:rsidR="00991CF4" w:rsidRDefault="00991CF4" w:rsidP="0063070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Applying </w:t>
      </w:r>
      <w:r w:rsidRPr="00991CF4">
        <w:rPr>
          <w:rFonts w:ascii="Arial" w:hAnsi="Arial" w:cs="Arial"/>
          <w:i/>
          <w:iCs/>
          <w:color w:val="808080" w:themeColor="background1" w:themeShade="80"/>
          <w:sz w:val="22"/>
          <w:szCs w:val="22"/>
          <w:lang w:val="en-GB"/>
        </w:rPr>
        <w:t>Re Chow Cho Poon (Private) Ltd</w:t>
      </w:r>
      <w:r>
        <w:rPr>
          <w:rFonts w:ascii="Arial" w:hAnsi="Arial" w:cs="Arial"/>
          <w:color w:val="808080" w:themeColor="background1" w:themeShade="80"/>
          <w:sz w:val="22"/>
          <w:szCs w:val="22"/>
          <w:lang w:val="en-GB"/>
        </w:rPr>
        <w:t xml:space="preserve"> to Norton Cars’ assets in Australia, </w:t>
      </w:r>
      <w:r w:rsidR="00A509B2">
        <w:rPr>
          <w:rFonts w:ascii="Arial" w:hAnsi="Arial" w:cs="Arial"/>
          <w:color w:val="808080" w:themeColor="background1" w:themeShade="80"/>
          <w:sz w:val="22"/>
          <w:szCs w:val="22"/>
          <w:lang w:val="en-GB"/>
        </w:rPr>
        <w:t xml:space="preserve">the assets will be dealt with under </w:t>
      </w:r>
      <w:r>
        <w:rPr>
          <w:rFonts w:ascii="Arial" w:hAnsi="Arial" w:cs="Arial"/>
          <w:color w:val="808080" w:themeColor="background1" w:themeShade="80"/>
          <w:sz w:val="22"/>
          <w:szCs w:val="22"/>
          <w:lang w:val="en-GB"/>
        </w:rPr>
        <w:t>sections 580-581 of the Act</w:t>
      </w:r>
      <w:r w:rsidR="00A509B2">
        <w:rPr>
          <w:rFonts w:ascii="Arial" w:hAnsi="Arial" w:cs="Arial"/>
          <w:color w:val="808080" w:themeColor="background1" w:themeShade="80"/>
          <w:sz w:val="22"/>
          <w:szCs w:val="22"/>
          <w:lang w:val="en-GB"/>
        </w:rPr>
        <w:t>.</w:t>
      </w:r>
    </w:p>
    <w:p w14:paraId="30E6DB27" w14:textId="77777777" w:rsidR="00630708" w:rsidRPr="007A1CBC" w:rsidRDefault="00630708" w:rsidP="00630708">
      <w:pPr>
        <w:ind w:firstLine="426"/>
        <w:jc w:val="both"/>
        <w:rPr>
          <w:rFonts w:ascii="Arial" w:hAnsi="Arial" w:cs="Arial"/>
          <w:color w:val="808080" w:themeColor="background1" w:themeShade="80"/>
          <w:sz w:val="22"/>
          <w:szCs w:val="22"/>
          <w:lang w:val="en-GB"/>
        </w:rPr>
      </w:pPr>
    </w:p>
    <w:p w14:paraId="5156B24B" w14:textId="6AC0A47C" w:rsidR="002253D8" w:rsidRPr="007A1CBC" w:rsidRDefault="00630708" w:rsidP="00630708">
      <w:pPr>
        <w:jc w:val="both"/>
        <w:rPr>
          <w:rFonts w:ascii="Arial" w:hAnsi="Arial" w:cs="Arial"/>
          <w:color w:val="808080" w:themeColor="background1" w:themeShade="80"/>
          <w:sz w:val="22"/>
          <w:szCs w:val="22"/>
          <w:lang w:val="en-GB"/>
        </w:rPr>
      </w:pPr>
      <w:r w:rsidRPr="007A1CBC">
        <w:rPr>
          <w:rFonts w:ascii="Arial" w:hAnsi="Arial" w:cs="Arial"/>
          <w:color w:val="808080" w:themeColor="background1" w:themeShade="80"/>
          <w:sz w:val="22"/>
          <w:szCs w:val="22"/>
          <w:lang w:val="en-GB"/>
        </w:rPr>
        <w:t xml:space="preserve">The Italian Representative, as a foreign representative, will need to apply for recognition under the CBIA. The CBIA is Australia’s domestic implementation of the UNCTIRAL Model Law on Cross-Border Insolvency. The CBIA will enable the Italian Representative to gain recognition under Australian Law and </w:t>
      </w:r>
      <w:r w:rsidRPr="00991CF4">
        <w:rPr>
          <w:rFonts w:ascii="Arial" w:hAnsi="Arial" w:cs="Arial"/>
          <w:i/>
          <w:iCs/>
          <w:color w:val="808080" w:themeColor="background1" w:themeShade="80"/>
          <w:sz w:val="22"/>
          <w:szCs w:val="22"/>
          <w:lang w:val="en-GB"/>
        </w:rPr>
        <w:t xml:space="preserve">locus standi </w:t>
      </w:r>
      <w:r w:rsidRPr="007A1CBC">
        <w:rPr>
          <w:rFonts w:ascii="Arial" w:hAnsi="Arial" w:cs="Arial"/>
          <w:color w:val="808080" w:themeColor="background1" w:themeShade="80"/>
          <w:sz w:val="22"/>
          <w:szCs w:val="22"/>
          <w:lang w:val="en-GB"/>
        </w:rPr>
        <w:t>to commence or defend any proceedings as well as deal with any assets based in Australia.</w:t>
      </w:r>
    </w:p>
    <w:p w14:paraId="13853D91" w14:textId="77777777" w:rsidR="006106B3" w:rsidRDefault="006106B3" w:rsidP="00CB3EB6">
      <w:pPr>
        <w:jc w:val="both"/>
        <w:rPr>
          <w:rFonts w:ascii="Avenir Next" w:hAnsi="Avenir Next" w:cs="Arial"/>
          <w:sz w:val="22"/>
          <w:szCs w:val="28"/>
        </w:rPr>
      </w:pPr>
    </w:p>
    <w:p w14:paraId="63C1667B" w14:textId="33A9C8B3"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2E32" w14:textId="77777777" w:rsidR="00555447" w:rsidRDefault="00555447" w:rsidP="00241B44">
      <w:r>
        <w:separator/>
      </w:r>
    </w:p>
  </w:endnote>
  <w:endnote w:type="continuationSeparator" w:id="0">
    <w:p w14:paraId="07A1FB74" w14:textId="77777777" w:rsidR="00555447" w:rsidRDefault="0055544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FD5E524" w:rsidR="00B64A85" w:rsidRPr="00297BDF" w:rsidRDefault="0056061D" w:rsidP="0052732A">
    <w:pPr>
      <w:pStyle w:val="Footer"/>
      <w:ind w:right="360"/>
      <w:rPr>
        <w:rFonts w:ascii="Avenir Next" w:hAnsi="Avenir Next" w:cs="Arial"/>
        <w:sz w:val="22"/>
        <w:szCs w:val="22"/>
      </w:rPr>
    </w:pPr>
    <w:r w:rsidRPr="0056061D">
      <w:rPr>
        <w:rFonts w:ascii="Avenir Next" w:hAnsi="Avenir Next" w:cs="Arial"/>
        <w:sz w:val="22"/>
        <w:szCs w:val="22"/>
      </w:rPr>
      <w:t>202324-1433</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3ED5" w14:textId="77777777" w:rsidR="0056061D" w:rsidRDefault="00560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C4C3" w14:textId="77777777" w:rsidR="00555447" w:rsidRDefault="00555447" w:rsidP="00241B44">
      <w:r>
        <w:separator/>
      </w:r>
    </w:p>
  </w:footnote>
  <w:footnote w:type="continuationSeparator" w:id="0">
    <w:p w14:paraId="7B762FC7" w14:textId="77777777" w:rsidR="00555447" w:rsidRDefault="00555447" w:rsidP="00241B44">
      <w:r>
        <w:continuationSeparator/>
      </w:r>
    </w:p>
  </w:footnote>
  <w:footnote w:id="1">
    <w:p w14:paraId="2A727326" w14:textId="0AE23765" w:rsidR="000B3D20" w:rsidRPr="00F66E53" w:rsidRDefault="000B3D20" w:rsidP="00E6275E">
      <w:pPr>
        <w:jc w:val="both"/>
        <w:rPr>
          <w:rFonts w:ascii="Arial" w:hAnsi="Arial" w:cs="Arial"/>
          <w:i/>
          <w:iCs/>
          <w:color w:val="808080" w:themeColor="background1" w:themeShade="80"/>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00B451BF" w:rsidRPr="00F66E53">
        <w:rPr>
          <w:rFonts w:ascii="Arial" w:hAnsi="Arial" w:cs="Arial"/>
          <w:color w:val="808080" w:themeColor="background1" w:themeShade="80"/>
          <w:sz w:val="16"/>
          <w:szCs w:val="16"/>
          <w:lang w:val="en-GB"/>
        </w:rPr>
        <w:t>Professor A</w:t>
      </w:r>
      <w:r w:rsidRPr="00F66E53">
        <w:rPr>
          <w:rFonts w:ascii="Arial" w:hAnsi="Arial" w:cs="Arial"/>
          <w:color w:val="808080" w:themeColor="background1" w:themeShade="80"/>
          <w:sz w:val="16"/>
          <w:szCs w:val="16"/>
          <w:lang w:val="en-GB"/>
        </w:rPr>
        <w:t xml:space="preserve">ndré </w:t>
      </w:r>
      <w:proofErr w:type="spellStart"/>
      <w:r w:rsidRPr="00F66E53">
        <w:rPr>
          <w:rFonts w:ascii="Arial" w:hAnsi="Arial" w:cs="Arial"/>
          <w:color w:val="808080" w:themeColor="background1" w:themeShade="80"/>
          <w:sz w:val="16"/>
          <w:szCs w:val="16"/>
          <w:lang w:val="en-GB"/>
        </w:rPr>
        <w:t>Boraine</w:t>
      </w:r>
      <w:proofErr w:type="spellEnd"/>
      <w:r w:rsidRPr="00F66E53">
        <w:rPr>
          <w:rFonts w:ascii="Arial" w:hAnsi="Arial" w:cs="Arial"/>
          <w:color w:val="808080" w:themeColor="background1" w:themeShade="80"/>
          <w:sz w:val="16"/>
          <w:szCs w:val="16"/>
          <w:lang w:val="en-GB"/>
        </w:rPr>
        <w:t xml:space="preserve"> and </w:t>
      </w:r>
      <w:r w:rsidR="00B451BF" w:rsidRPr="00F66E53">
        <w:rPr>
          <w:rFonts w:ascii="Arial" w:hAnsi="Arial" w:cs="Arial"/>
          <w:color w:val="808080" w:themeColor="background1" w:themeShade="80"/>
          <w:sz w:val="16"/>
          <w:szCs w:val="16"/>
          <w:lang w:val="en-GB"/>
        </w:rPr>
        <w:t xml:space="preserve">Professor </w:t>
      </w:r>
      <w:r w:rsidR="009F5849" w:rsidRPr="00F66E53">
        <w:rPr>
          <w:rFonts w:ascii="Arial" w:hAnsi="Arial" w:cs="Arial"/>
          <w:color w:val="808080" w:themeColor="background1" w:themeShade="80"/>
          <w:sz w:val="16"/>
          <w:szCs w:val="16"/>
          <w:lang w:val="en-GB"/>
        </w:rPr>
        <w:t>Rosalind Mason</w:t>
      </w:r>
      <w:r w:rsidRPr="00F66E53">
        <w:rPr>
          <w:rFonts w:ascii="Arial" w:hAnsi="Arial" w:cs="Arial"/>
          <w:color w:val="808080" w:themeColor="background1" w:themeShade="80"/>
          <w:sz w:val="16"/>
          <w:szCs w:val="16"/>
          <w:lang w:val="en-GB"/>
        </w:rPr>
        <w:t>, “</w:t>
      </w:r>
      <w:r w:rsidR="00B451BF" w:rsidRPr="00F66E53">
        <w:rPr>
          <w:rFonts w:ascii="Arial" w:hAnsi="Arial" w:cs="Arial"/>
          <w:color w:val="808080" w:themeColor="background1" w:themeShade="80"/>
          <w:sz w:val="16"/>
          <w:szCs w:val="16"/>
          <w:lang w:val="en-GB"/>
        </w:rPr>
        <w:t xml:space="preserve">INSOL International, </w:t>
      </w:r>
      <w:r w:rsidRPr="00F66E53">
        <w:rPr>
          <w:rFonts w:ascii="Arial" w:hAnsi="Arial" w:cs="Arial"/>
          <w:color w:val="808080" w:themeColor="background1" w:themeShade="80"/>
          <w:sz w:val="16"/>
          <w:szCs w:val="16"/>
          <w:lang w:val="en-GB"/>
        </w:rPr>
        <w:t>Foundation Certificate in International Insolvency Law, Module 1 Guidance Text, Introduction to International Insolvency Law 2023/2024”, p 81</w:t>
      </w:r>
    </w:p>
  </w:footnote>
  <w:footnote w:id="2">
    <w:p w14:paraId="4AFE7695" w14:textId="6071B956" w:rsidR="00396358" w:rsidRPr="00F66E53" w:rsidRDefault="00396358" w:rsidP="00E6275E">
      <w:pPr>
        <w:jc w:val="both"/>
        <w:rPr>
          <w:rFonts w:ascii="Arial" w:hAnsi="Arial" w:cs="Arial"/>
          <w:color w:val="808080" w:themeColor="background1" w:themeShade="80"/>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Ibid., p 9</w:t>
      </w:r>
    </w:p>
  </w:footnote>
  <w:footnote w:id="3">
    <w:p w14:paraId="19B5A2AD" w14:textId="5B2663F5" w:rsidR="00EE5BD0" w:rsidRPr="00F66E53" w:rsidRDefault="00EE5BD0" w:rsidP="00E6275E">
      <w:pPr>
        <w:jc w:val="both"/>
        <w:rPr>
          <w:rFonts w:ascii="Arial" w:hAnsi="Arial" w:cs="Arial"/>
          <w:color w:val="808080" w:themeColor="background1" w:themeShade="80"/>
          <w:sz w:val="16"/>
          <w:szCs w:val="16"/>
          <w:lang w:val="en-GB"/>
        </w:rPr>
      </w:pPr>
      <w:r w:rsidRPr="00F66E53">
        <w:rPr>
          <w:rStyle w:val="FootnoteReference"/>
          <w:rFonts w:ascii="Arial" w:hAnsi="Arial" w:cs="Arial"/>
          <w:sz w:val="16"/>
          <w:szCs w:val="16"/>
        </w:rPr>
        <w:footnoteRef/>
      </w:r>
      <w:r w:rsidR="009272CF" w:rsidRPr="00F66E53">
        <w:rPr>
          <w:rFonts w:ascii="Arial" w:hAnsi="Arial" w:cs="Arial"/>
          <w:color w:val="808080" w:themeColor="background1" w:themeShade="80"/>
          <w:sz w:val="16"/>
          <w:szCs w:val="16"/>
          <w:lang w:val="en-GB"/>
        </w:rPr>
        <w:t>Baker McKenize,</w:t>
      </w:r>
      <w:r w:rsidR="00937A99" w:rsidRPr="00F66E53">
        <w:rPr>
          <w:rFonts w:ascii="Arial" w:hAnsi="Arial" w:cs="Arial"/>
          <w:color w:val="808080" w:themeColor="background1" w:themeShade="80"/>
          <w:sz w:val="16"/>
          <w:szCs w:val="16"/>
          <w:lang w:val="en-GB"/>
        </w:rPr>
        <w:t xml:space="preserve"> “Global Restructuring &amp; Insolvency Guide”,</w:t>
      </w:r>
      <w:r w:rsidR="009272CF" w:rsidRPr="00F66E53">
        <w:rPr>
          <w:rFonts w:ascii="Arial" w:hAnsi="Arial" w:cs="Arial"/>
          <w:color w:val="808080" w:themeColor="background1" w:themeShade="80"/>
          <w:sz w:val="16"/>
          <w:szCs w:val="16"/>
          <w:lang w:val="en-GB"/>
        </w:rPr>
        <w:t xml:space="preserve"> </w:t>
      </w:r>
      <w:hyperlink r:id="rId1" w:history="1">
        <w:r w:rsidR="009272CF" w:rsidRPr="00F66E53">
          <w:rPr>
            <w:rStyle w:val="Hyperlink"/>
            <w:rFonts w:ascii="Arial" w:hAnsi="Arial" w:cs="Arial"/>
            <w:sz w:val="16"/>
            <w:szCs w:val="16"/>
            <w:lang w:val="en-GB"/>
          </w:rPr>
          <w:t>https://restructuring.bakermckenzie.com/wp-content/uploads/sites/23/2017/01/Global-Restructuring-Insolvency-Guide-New-Logo-The-Netherlands.pdf</w:t>
        </w:r>
      </w:hyperlink>
      <w:r w:rsidR="009272CF" w:rsidRPr="00F66E53">
        <w:rPr>
          <w:rFonts w:ascii="Arial" w:hAnsi="Arial" w:cs="Arial"/>
          <w:color w:val="808080" w:themeColor="background1" w:themeShade="80"/>
          <w:sz w:val="16"/>
          <w:szCs w:val="16"/>
          <w:lang w:val="en-GB"/>
        </w:rPr>
        <w:t>, accessed 15 November 2023</w:t>
      </w:r>
    </w:p>
  </w:footnote>
  <w:footnote w:id="4">
    <w:p w14:paraId="476E869D" w14:textId="5E4BF167" w:rsidR="009272CF" w:rsidRPr="00F66E53" w:rsidRDefault="004D4BAB" w:rsidP="00E6275E">
      <w:pPr>
        <w:jc w:val="both"/>
        <w:rPr>
          <w:rFonts w:ascii="Arial" w:hAnsi="Arial" w:cs="Arial"/>
          <w:color w:val="808080" w:themeColor="background1" w:themeShade="80"/>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009272CF" w:rsidRPr="00F66E53">
        <w:rPr>
          <w:rFonts w:ascii="Arial" w:hAnsi="Arial" w:cs="Arial"/>
          <w:color w:val="808080" w:themeColor="background1" w:themeShade="80"/>
          <w:sz w:val="16"/>
          <w:szCs w:val="16"/>
          <w:lang w:val="en-GB"/>
        </w:rPr>
        <w:t>International Comparative Legal Guides and the International Business Reports,</w:t>
      </w:r>
      <w:r w:rsidR="006E480E" w:rsidRPr="00F66E53">
        <w:rPr>
          <w:rFonts w:ascii="Arial" w:hAnsi="Arial" w:cs="Arial"/>
          <w:color w:val="808080" w:themeColor="background1" w:themeShade="80"/>
          <w:sz w:val="16"/>
          <w:szCs w:val="16"/>
          <w:lang w:val="en-GB"/>
        </w:rPr>
        <w:t xml:space="preserve"> “Netherlands”,</w:t>
      </w:r>
    </w:p>
    <w:p w14:paraId="20B27B26" w14:textId="762F0761" w:rsidR="004D4BAB" w:rsidRPr="00F66E53" w:rsidRDefault="00000000" w:rsidP="00E6275E">
      <w:pPr>
        <w:jc w:val="both"/>
        <w:rPr>
          <w:rFonts w:ascii="Arial" w:hAnsi="Arial" w:cs="Arial"/>
          <w:color w:val="808080" w:themeColor="background1" w:themeShade="80"/>
          <w:sz w:val="16"/>
          <w:szCs w:val="16"/>
          <w:lang w:val="en-GB"/>
        </w:rPr>
      </w:pPr>
      <w:hyperlink r:id="rId2" w:history="1">
        <w:r w:rsidR="009272CF" w:rsidRPr="00F66E53">
          <w:rPr>
            <w:rStyle w:val="Hyperlink"/>
            <w:rFonts w:ascii="Arial" w:hAnsi="Arial" w:cs="Arial"/>
            <w:sz w:val="16"/>
            <w:szCs w:val="16"/>
            <w:lang w:val="en-GB"/>
          </w:rPr>
          <w:t>https://iclg.com/practice-areas/restructuring-and-insolvency-laws-and-regulations/netherlands</w:t>
        </w:r>
      </w:hyperlink>
      <w:r w:rsidR="009272CF" w:rsidRPr="00F66E53">
        <w:rPr>
          <w:rFonts w:ascii="Arial" w:hAnsi="Arial" w:cs="Arial"/>
          <w:color w:val="808080" w:themeColor="background1" w:themeShade="80"/>
          <w:sz w:val="16"/>
          <w:szCs w:val="16"/>
          <w:lang w:val="en-GB"/>
        </w:rPr>
        <w:t>, accessed 15 November 2023</w:t>
      </w:r>
    </w:p>
  </w:footnote>
  <w:footnote w:id="5">
    <w:p w14:paraId="1B16C266" w14:textId="5F8FB159" w:rsidR="00396358" w:rsidRPr="00F66E53" w:rsidRDefault="00396358" w:rsidP="00E6275E">
      <w:pPr>
        <w:pStyle w:val="FootnoteText"/>
        <w:jc w:val="both"/>
        <w:rPr>
          <w:rFonts w:ascii="Arial" w:hAnsi="Arial" w:cs="Arial"/>
          <w:sz w:val="16"/>
          <w:szCs w:val="16"/>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 xml:space="preserve">Professor André </w:t>
      </w:r>
      <w:proofErr w:type="spellStart"/>
      <w:r w:rsidRPr="00F66E53">
        <w:rPr>
          <w:rFonts w:ascii="Arial" w:hAnsi="Arial" w:cs="Arial"/>
          <w:color w:val="808080" w:themeColor="background1" w:themeShade="80"/>
          <w:sz w:val="16"/>
          <w:szCs w:val="16"/>
          <w:lang w:val="en-GB"/>
        </w:rPr>
        <w:t>Boraine</w:t>
      </w:r>
      <w:proofErr w:type="spellEnd"/>
      <w:r w:rsidRPr="00F66E53">
        <w:rPr>
          <w:rFonts w:ascii="Arial" w:hAnsi="Arial" w:cs="Arial"/>
          <w:color w:val="808080" w:themeColor="background1" w:themeShade="80"/>
          <w:sz w:val="16"/>
          <w:szCs w:val="16"/>
          <w:lang w:val="en-GB"/>
        </w:rPr>
        <w:t xml:space="preserve"> and Professor Rosalind Mason, “INSOL International, Foundation Certificate in International Insolvency Law, Module 1 Guidance Text, Introduction to International Insolvency Law 2023/2024”, p 8</w:t>
      </w:r>
    </w:p>
  </w:footnote>
  <w:footnote w:id="6">
    <w:p w14:paraId="115F4F43" w14:textId="73B39B89" w:rsidR="00396358" w:rsidRDefault="00396358" w:rsidP="00E6275E">
      <w:pPr>
        <w:pStyle w:val="FootnoteText"/>
        <w:jc w:val="both"/>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Ibid., p 8</w:t>
      </w:r>
    </w:p>
  </w:footnote>
  <w:footnote w:id="7">
    <w:p w14:paraId="5381382F" w14:textId="0840C069" w:rsidR="009272CF" w:rsidRPr="00F66E53" w:rsidRDefault="00E61EBF" w:rsidP="00E6275E">
      <w:pPr>
        <w:jc w:val="both"/>
        <w:rPr>
          <w:rFonts w:ascii="Arial" w:hAnsi="Arial" w:cs="Arial"/>
          <w:color w:val="808080" w:themeColor="background1" w:themeShade="80"/>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009272CF" w:rsidRPr="00F66E53">
        <w:rPr>
          <w:rFonts w:ascii="Arial" w:hAnsi="Arial" w:cs="Arial"/>
          <w:color w:val="808080" w:themeColor="background1" w:themeShade="80"/>
          <w:sz w:val="16"/>
          <w:szCs w:val="16"/>
          <w:lang w:val="en-GB"/>
        </w:rPr>
        <w:t>International Comparative Legal Guides and the International Business Reports,</w:t>
      </w:r>
      <w:r w:rsidR="006E480E" w:rsidRPr="00F66E53">
        <w:rPr>
          <w:rFonts w:ascii="Arial" w:hAnsi="Arial" w:cs="Arial"/>
          <w:color w:val="808080" w:themeColor="background1" w:themeShade="80"/>
          <w:sz w:val="16"/>
          <w:szCs w:val="16"/>
          <w:lang w:val="en-GB"/>
        </w:rPr>
        <w:t xml:space="preserve"> “Australia”,</w:t>
      </w:r>
    </w:p>
    <w:p w14:paraId="353A3EAA" w14:textId="0416884F" w:rsidR="00E61EBF" w:rsidRPr="00F66E53" w:rsidRDefault="00000000" w:rsidP="006E480E">
      <w:pPr>
        <w:jc w:val="both"/>
        <w:rPr>
          <w:rFonts w:ascii="Arial" w:hAnsi="Arial" w:cs="Arial"/>
          <w:color w:val="808080" w:themeColor="background1" w:themeShade="80"/>
          <w:sz w:val="16"/>
          <w:szCs w:val="16"/>
          <w:lang w:val="en-GB"/>
        </w:rPr>
      </w:pPr>
      <w:hyperlink r:id="rId3" w:history="1">
        <w:r w:rsidR="006E480E" w:rsidRPr="00F66E53">
          <w:rPr>
            <w:rStyle w:val="Hyperlink"/>
            <w:rFonts w:ascii="Arial" w:hAnsi="Arial" w:cs="Arial"/>
            <w:sz w:val="16"/>
            <w:szCs w:val="16"/>
            <w:lang w:val="en-GB"/>
          </w:rPr>
          <w:t>https://iclg.com/practice-areas/restructuring-and-insolvency-laws-and-regulations/australia</w:t>
        </w:r>
      </w:hyperlink>
      <w:r w:rsidR="009272CF" w:rsidRPr="00F66E53">
        <w:rPr>
          <w:rFonts w:ascii="Arial" w:hAnsi="Arial" w:cs="Arial"/>
          <w:color w:val="808080" w:themeColor="background1" w:themeShade="80"/>
          <w:sz w:val="16"/>
          <w:szCs w:val="16"/>
          <w:lang w:val="en-GB"/>
        </w:rPr>
        <w:t>, accessed 15 November 2023</w:t>
      </w:r>
    </w:p>
  </w:footnote>
  <w:footnote w:id="8">
    <w:p w14:paraId="3FBB24B2" w14:textId="6AAFA345" w:rsidR="003E7CE4" w:rsidRPr="00F66E53" w:rsidRDefault="003E7CE4" w:rsidP="00E6275E">
      <w:pPr>
        <w:pStyle w:val="FootnoteText"/>
        <w:jc w:val="both"/>
        <w:rPr>
          <w:rFonts w:ascii="Arial" w:hAnsi="Arial" w:cs="Arial"/>
          <w:sz w:val="16"/>
          <w:szCs w:val="16"/>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 xml:space="preserve">Professor André </w:t>
      </w:r>
      <w:proofErr w:type="spellStart"/>
      <w:r w:rsidRPr="00F66E53">
        <w:rPr>
          <w:rFonts w:ascii="Arial" w:hAnsi="Arial" w:cs="Arial"/>
          <w:color w:val="808080" w:themeColor="background1" w:themeShade="80"/>
          <w:sz w:val="16"/>
          <w:szCs w:val="16"/>
          <w:lang w:val="en-GB"/>
        </w:rPr>
        <w:t>Boraine</w:t>
      </w:r>
      <w:proofErr w:type="spellEnd"/>
      <w:r w:rsidRPr="00F66E53">
        <w:rPr>
          <w:rFonts w:ascii="Arial" w:hAnsi="Arial" w:cs="Arial"/>
          <w:color w:val="808080" w:themeColor="background1" w:themeShade="80"/>
          <w:sz w:val="16"/>
          <w:szCs w:val="16"/>
          <w:lang w:val="en-GB"/>
        </w:rPr>
        <w:t xml:space="preserve"> and Professor Rosalind Mason, “INSOL International, Foundation Certificate in International Insolvency Law, Module 1 Guidance Text, Introduction to International Insolvency Law 2023/2024”, pp 35-37</w:t>
      </w:r>
    </w:p>
  </w:footnote>
  <w:footnote w:id="9">
    <w:p w14:paraId="4D80205B" w14:textId="76D3946E" w:rsidR="007A6934" w:rsidRPr="00F66E53" w:rsidRDefault="007A6934" w:rsidP="00E6275E">
      <w:pPr>
        <w:pStyle w:val="FootnoteText"/>
        <w:jc w:val="both"/>
        <w:rPr>
          <w:rFonts w:ascii="Arial" w:hAnsi="Arial" w:cs="Arial"/>
          <w:sz w:val="16"/>
          <w:szCs w:val="16"/>
        </w:rPr>
      </w:pPr>
      <w:r w:rsidRPr="00F66E53">
        <w:rPr>
          <w:rStyle w:val="FootnoteReference"/>
          <w:rFonts w:ascii="Arial" w:hAnsi="Arial" w:cs="Arial"/>
          <w:sz w:val="16"/>
          <w:szCs w:val="16"/>
        </w:rPr>
        <w:footnoteRef/>
      </w:r>
      <w:r w:rsidRPr="00F66E53">
        <w:rPr>
          <w:rFonts w:ascii="Arial" w:hAnsi="Arial" w:cs="Arial"/>
          <w:sz w:val="16"/>
          <w:szCs w:val="16"/>
        </w:rPr>
        <w:t xml:space="preserve"> </w:t>
      </w:r>
      <w:bookmarkStart w:id="0" w:name="_Hlk150940702"/>
      <w:r w:rsidRPr="00F66E53">
        <w:rPr>
          <w:rFonts w:ascii="Arial" w:hAnsi="Arial" w:cs="Arial"/>
          <w:color w:val="808080" w:themeColor="background1" w:themeShade="80"/>
          <w:sz w:val="16"/>
          <w:szCs w:val="16"/>
          <w:lang w:val="en-GB"/>
        </w:rPr>
        <w:t>Ibid., p 38</w:t>
      </w:r>
      <w:bookmarkEnd w:id="0"/>
    </w:p>
  </w:footnote>
  <w:footnote w:id="10">
    <w:p w14:paraId="423275F7" w14:textId="7A97326C" w:rsidR="007A6934" w:rsidRPr="00F66E53" w:rsidRDefault="007A6934" w:rsidP="00E6275E">
      <w:pPr>
        <w:pStyle w:val="FootnoteText"/>
        <w:jc w:val="both"/>
        <w:rPr>
          <w:rFonts w:ascii="Arial" w:hAnsi="Arial" w:cs="Arial"/>
          <w:sz w:val="16"/>
          <w:szCs w:val="16"/>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Ibid., p 83</w:t>
      </w:r>
    </w:p>
  </w:footnote>
  <w:footnote w:id="11">
    <w:p w14:paraId="79910127" w14:textId="5FB39358" w:rsidR="007A6934" w:rsidRPr="00F66E53" w:rsidRDefault="007A6934" w:rsidP="00E6275E">
      <w:pPr>
        <w:pStyle w:val="FootnoteText"/>
        <w:jc w:val="both"/>
        <w:rPr>
          <w:rFonts w:ascii="Arial" w:hAnsi="Arial" w:cs="Arial"/>
          <w:sz w:val="16"/>
          <w:szCs w:val="16"/>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Ibid., p 38</w:t>
      </w:r>
    </w:p>
  </w:footnote>
  <w:footnote w:id="12">
    <w:p w14:paraId="25E88B61" w14:textId="241FE48E" w:rsidR="00C21972" w:rsidRDefault="00C21972" w:rsidP="00E6275E">
      <w:pPr>
        <w:pStyle w:val="FootnoteText"/>
        <w:jc w:val="both"/>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Ibid., p 38</w:t>
      </w:r>
    </w:p>
  </w:footnote>
  <w:footnote w:id="13">
    <w:p w14:paraId="091817D8" w14:textId="7252BB9A" w:rsidR="00384A93" w:rsidRPr="007B2FF5" w:rsidRDefault="00384A93">
      <w:pPr>
        <w:pStyle w:val="FootnoteText"/>
        <w:rPr>
          <w:rFonts w:ascii="Arial" w:hAnsi="Arial" w:cs="Arial"/>
          <w:sz w:val="16"/>
          <w:szCs w:val="16"/>
        </w:rPr>
      </w:pPr>
      <w:r w:rsidRPr="007B2FF5">
        <w:rPr>
          <w:rStyle w:val="FootnoteReference"/>
          <w:rFonts w:ascii="Arial" w:hAnsi="Arial" w:cs="Arial"/>
          <w:sz w:val="16"/>
          <w:szCs w:val="16"/>
        </w:rPr>
        <w:footnoteRef/>
      </w:r>
      <w:r w:rsidRPr="007B2FF5">
        <w:rPr>
          <w:rFonts w:ascii="Arial" w:hAnsi="Arial" w:cs="Arial"/>
          <w:sz w:val="16"/>
          <w:szCs w:val="16"/>
        </w:rPr>
        <w:t xml:space="preserve"> </w:t>
      </w:r>
      <w:r w:rsidRPr="007B2FF5">
        <w:rPr>
          <w:rFonts w:ascii="Arial" w:hAnsi="Arial" w:cs="Arial"/>
          <w:color w:val="808080" w:themeColor="background1" w:themeShade="80"/>
          <w:sz w:val="16"/>
          <w:szCs w:val="16"/>
          <w:lang w:val="en-GB"/>
        </w:rPr>
        <w:t>Ibid., p 60</w:t>
      </w:r>
    </w:p>
  </w:footnote>
  <w:footnote w:id="14">
    <w:p w14:paraId="049D6147" w14:textId="56D9190F" w:rsidR="00384A93" w:rsidRDefault="00384A93">
      <w:pPr>
        <w:pStyle w:val="FootnoteText"/>
      </w:pPr>
      <w:r w:rsidRPr="007B2FF5">
        <w:rPr>
          <w:rStyle w:val="FootnoteReference"/>
          <w:rFonts w:ascii="Arial" w:hAnsi="Arial" w:cs="Arial"/>
          <w:sz w:val="16"/>
          <w:szCs w:val="16"/>
        </w:rPr>
        <w:footnoteRef/>
      </w:r>
      <w:r w:rsidRPr="007B2FF5">
        <w:rPr>
          <w:rFonts w:ascii="Arial" w:hAnsi="Arial" w:cs="Arial"/>
          <w:sz w:val="16"/>
          <w:szCs w:val="16"/>
        </w:rPr>
        <w:t xml:space="preserve"> </w:t>
      </w:r>
      <w:r w:rsidRPr="007B2FF5">
        <w:rPr>
          <w:rFonts w:ascii="Arial" w:hAnsi="Arial" w:cs="Arial"/>
          <w:color w:val="808080" w:themeColor="background1" w:themeShade="80"/>
          <w:sz w:val="16"/>
          <w:szCs w:val="16"/>
          <w:lang w:val="en-GB"/>
        </w:rPr>
        <w:t>Ibid.</w:t>
      </w:r>
    </w:p>
  </w:footnote>
  <w:footnote w:id="15">
    <w:p w14:paraId="129687FB" w14:textId="3A6A281C" w:rsidR="00277FB0" w:rsidRPr="004C109D" w:rsidRDefault="00277FB0" w:rsidP="004C109D">
      <w:pPr>
        <w:pStyle w:val="FootnoteText"/>
        <w:jc w:val="both"/>
        <w:rPr>
          <w:rFonts w:ascii="Arial" w:hAnsi="Arial" w:cs="Arial"/>
          <w:sz w:val="16"/>
          <w:szCs w:val="16"/>
          <w:lang w:val="en-GB"/>
        </w:rPr>
      </w:pPr>
      <w:r w:rsidRPr="004C109D">
        <w:rPr>
          <w:rStyle w:val="FootnoteReference"/>
          <w:rFonts w:ascii="Arial" w:hAnsi="Arial" w:cs="Arial"/>
          <w:sz w:val="16"/>
          <w:szCs w:val="16"/>
        </w:rPr>
        <w:footnoteRef/>
      </w:r>
      <w:r w:rsidRPr="004C109D">
        <w:rPr>
          <w:rFonts w:ascii="Arial" w:hAnsi="Arial" w:cs="Arial"/>
          <w:sz w:val="16"/>
          <w:szCs w:val="16"/>
        </w:rPr>
        <w:t xml:space="preserve"> </w:t>
      </w:r>
      <w:r w:rsidR="004D4BAB" w:rsidRPr="004C109D">
        <w:rPr>
          <w:rFonts w:ascii="Arial" w:hAnsi="Arial" w:cs="Arial"/>
          <w:color w:val="808080" w:themeColor="background1" w:themeShade="80"/>
          <w:sz w:val="16"/>
          <w:szCs w:val="16"/>
          <w:lang w:val="en-GB"/>
        </w:rPr>
        <w:t>Havana Convention on Private International Law, Chapter 1 Article 414</w:t>
      </w:r>
    </w:p>
  </w:footnote>
  <w:footnote w:id="16">
    <w:p w14:paraId="7BBDCBDC" w14:textId="02758357" w:rsidR="004C109D" w:rsidRDefault="004C109D" w:rsidP="004C109D">
      <w:pPr>
        <w:pStyle w:val="FootnoteText"/>
        <w:jc w:val="both"/>
      </w:pPr>
      <w:r w:rsidRPr="004C109D">
        <w:rPr>
          <w:rStyle w:val="FootnoteReference"/>
          <w:rFonts w:ascii="Arial" w:hAnsi="Arial" w:cs="Arial"/>
          <w:sz w:val="16"/>
          <w:szCs w:val="16"/>
        </w:rPr>
        <w:footnoteRef/>
      </w:r>
      <w:r w:rsidRPr="004C109D">
        <w:rPr>
          <w:rFonts w:ascii="Arial" w:hAnsi="Arial" w:cs="Arial"/>
          <w:sz w:val="16"/>
          <w:szCs w:val="16"/>
        </w:rPr>
        <w:t xml:space="preserve"> </w:t>
      </w:r>
      <w:bookmarkStart w:id="2" w:name="_Hlk150942785"/>
      <w:r w:rsidRPr="004C109D">
        <w:rPr>
          <w:rFonts w:ascii="Arial" w:hAnsi="Arial" w:cs="Arial"/>
          <w:color w:val="808080" w:themeColor="background1" w:themeShade="80"/>
          <w:sz w:val="16"/>
          <w:szCs w:val="16"/>
          <w:lang w:val="en-GB"/>
        </w:rPr>
        <w:t xml:space="preserve">Professor André </w:t>
      </w:r>
      <w:proofErr w:type="spellStart"/>
      <w:r w:rsidRPr="004C109D">
        <w:rPr>
          <w:rFonts w:ascii="Arial" w:hAnsi="Arial" w:cs="Arial"/>
          <w:color w:val="808080" w:themeColor="background1" w:themeShade="80"/>
          <w:sz w:val="16"/>
          <w:szCs w:val="16"/>
          <w:lang w:val="en-GB"/>
        </w:rPr>
        <w:t>Boraine</w:t>
      </w:r>
      <w:proofErr w:type="spellEnd"/>
      <w:r w:rsidRPr="004C109D">
        <w:rPr>
          <w:rFonts w:ascii="Arial" w:hAnsi="Arial" w:cs="Arial"/>
          <w:color w:val="808080" w:themeColor="background1" w:themeShade="80"/>
          <w:sz w:val="16"/>
          <w:szCs w:val="16"/>
          <w:lang w:val="en-GB"/>
        </w:rPr>
        <w:t xml:space="preserve"> and Professor Rosalind Mason, “INSOL International, Foundation Certificate in International Insolvency Law, Module 1 Guidance Text, Introduction to International Insolvency Law 2023/2024”, pp 20-21</w:t>
      </w:r>
      <w:bookmarkEnd w:id="2"/>
    </w:p>
  </w:footnote>
  <w:footnote w:id="17">
    <w:p w14:paraId="3648B3F1" w14:textId="7F427C1B" w:rsidR="004C109D" w:rsidRPr="00944923" w:rsidRDefault="004C109D" w:rsidP="00944923">
      <w:pPr>
        <w:pStyle w:val="FootnoteText"/>
        <w:jc w:val="both"/>
        <w:rPr>
          <w:rFonts w:ascii="Arial" w:hAnsi="Arial" w:cs="Arial"/>
          <w:sz w:val="16"/>
          <w:szCs w:val="16"/>
        </w:rPr>
      </w:pPr>
      <w:r w:rsidRPr="00944923">
        <w:rPr>
          <w:rStyle w:val="FootnoteReference"/>
          <w:rFonts w:ascii="Arial" w:hAnsi="Arial" w:cs="Arial"/>
          <w:sz w:val="16"/>
          <w:szCs w:val="16"/>
        </w:rPr>
        <w:footnoteRef/>
      </w:r>
      <w:r w:rsidRPr="00944923">
        <w:rPr>
          <w:rFonts w:ascii="Arial" w:hAnsi="Arial" w:cs="Arial"/>
          <w:sz w:val="16"/>
          <w:szCs w:val="16"/>
        </w:rPr>
        <w:t xml:space="preserve"> </w:t>
      </w:r>
      <w:r w:rsidRPr="00944923">
        <w:rPr>
          <w:rFonts w:ascii="Arial" w:hAnsi="Arial" w:cs="Arial"/>
          <w:color w:val="808080" w:themeColor="background1" w:themeShade="80"/>
          <w:sz w:val="16"/>
          <w:szCs w:val="16"/>
          <w:lang w:val="en-GB"/>
        </w:rPr>
        <w:t>Ibid., p 25</w:t>
      </w:r>
    </w:p>
  </w:footnote>
  <w:footnote w:id="18">
    <w:p w14:paraId="24C70690" w14:textId="2C309E61" w:rsidR="00944923" w:rsidRPr="00944923" w:rsidRDefault="00944923" w:rsidP="00944923">
      <w:pPr>
        <w:pStyle w:val="FootnoteText"/>
        <w:jc w:val="both"/>
        <w:rPr>
          <w:rFonts w:ascii="Arial" w:hAnsi="Arial" w:cs="Arial"/>
          <w:sz w:val="16"/>
          <w:szCs w:val="16"/>
        </w:rPr>
      </w:pPr>
      <w:r w:rsidRPr="00944923">
        <w:rPr>
          <w:rStyle w:val="FootnoteReference"/>
          <w:rFonts w:ascii="Arial" w:hAnsi="Arial" w:cs="Arial"/>
          <w:sz w:val="16"/>
          <w:szCs w:val="16"/>
        </w:rPr>
        <w:footnoteRef/>
      </w:r>
      <w:r w:rsidRPr="00944923">
        <w:rPr>
          <w:rFonts w:ascii="Arial" w:hAnsi="Arial" w:cs="Arial"/>
          <w:sz w:val="16"/>
          <w:szCs w:val="16"/>
        </w:rPr>
        <w:t xml:space="preserve"> </w:t>
      </w:r>
      <w:r w:rsidRPr="00944923">
        <w:rPr>
          <w:rFonts w:ascii="Arial" w:hAnsi="Arial" w:cs="Arial"/>
          <w:color w:val="808080" w:themeColor="background1" w:themeShade="80"/>
          <w:sz w:val="16"/>
          <w:szCs w:val="16"/>
          <w:lang w:val="en-GB"/>
        </w:rPr>
        <w:t>Ibid., p 36</w:t>
      </w:r>
    </w:p>
  </w:footnote>
  <w:footnote w:id="19">
    <w:p w14:paraId="37C2CD70" w14:textId="12C1C203" w:rsidR="006335B7" w:rsidRPr="00944923" w:rsidRDefault="006335B7" w:rsidP="00944923">
      <w:pPr>
        <w:jc w:val="both"/>
        <w:rPr>
          <w:rFonts w:ascii="Arial" w:hAnsi="Arial" w:cs="Arial"/>
          <w:color w:val="808080" w:themeColor="background1" w:themeShade="80"/>
          <w:sz w:val="16"/>
          <w:szCs w:val="16"/>
          <w:lang w:val="en-GB"/>
        </w:rPr>
      </w:pPr>
      <w:r w:rsidRPr="00944923">
        <w:rPr>
          <w:rStyle w:val="FootnoteReference"/>
          <w:rFonts w:ascii="Arial" w:hAnsi="Arial" w:cs="Arial"/>
          <w:sz w:val="16"/>
          <w:szCs w:val="16"/>
        </w:rPr>
        <w:footnoteRef/>
      </w:r>
      <w:r w:rsidRPr="00944923">
        <w:rPr>
          <w:rFonts w:ascii="Arial" w:hAnsi="Arial" w:cs="Arial"/>
          <w:sz w:val="16"/>
          <w:szCs w:val="16"/>
        </w:rPr>
        <w:t xml:space="preserve"> </w:t>
      </w:r>
      <w:r w:rsidR="00E35B5E" w:rsidRPr="00944923">
        <w:rPr>
          <w:rFonts w:ascii="Arial" w:hAnsi="Arial" w:cs="Arial"/>
          <w:color w:val="808080" w:themeColor="background1" w:themeShade="80"/>
          <w:sz w:val="16"/>
          <w:szCs w:val="16"/>
          <w:lang w:val="en-GB"/>
        </w:rPr>
        <w:t>I</w:t>
      </w:r>
      <w:r w:rsidR="000B3D20" w:rsidRPr="00944923">
        <w:rPr>
          <w:rFonts w:ascii="Arial" w:hAnsi="Arial" w:cs="Arial"/>
          <w:color w:val="808080" w:themeColor="background1" w:themeShade="80"/>
          <w:sz w:val="16"/>
          <w:szCs w:val="16"/>
          <w:lang w:val="en-GB"/>
        </w:rPr>
        <w:t>an</w:t>
      </w:r>
      <w:r w:rsidR="00E35B5E" w:rsidRPr="00944923">
        <w:rPr>
          <w:rFonts w:ascii="Arial" w:hAnsi="Arial" w:cs="Arial"/>
          <w:color w:val="808080" w:themeColor="background1" w:themeShade="80"/>
          <w:sz w:val="16"/>
          <w:szCs w:val="16"/>
          <w:lang w:val="en-GB"/>
        </w:rPr>
        <w:t xml:space="preserve"> F Fletcher, </w:t>
      </w:r>
      <w:r w:rsidR="00E35B5E" w:rsidRPr="00944923">
        <w:rPr>
          <w:rFonts w:ascii="Arial" w:hAnsi="Arial" w:cs="Arial"/>
          <w:i/>
          <w:iCs/>
          <w:color w:val="808080" w:themeColor="background1" w:themeShade="80"/>
          <w:sz w:val="16"/>
          <w:szCs w:val="16"/>
          <w:lang w:val="en-GB"/>
        </w:rPr>
        <w:t>Insolvency in Private International Law</w:t>
      </w:r>
      <w:r w:rsidR="00E35B5E" w:rsidRPr="00944923">
        <w:rPr>
          <w:rFonts w:ascii="Arial" w:hAnsi="Arial" w:cs="Arial"/>
          <w:color w:val="808080" w:themeColor="background1" w:themeShade="80"/>
          <w:sz w:val="16"/>
          <w:szCs w:val="16"/>
          <w:lang w:val="en-GB"/>
        </w:rPr>
        <w:t xml:space="preserve"> (Oxford University Press, 2005, second edition)</w:t>
      </w:r>
      <w:r w:rsidR="009272CF" w:rsidRPr="00944923">
        <w:rPr>
          <w:rFonts w:ascii="Arial" w:hAnsi="Arial" w:cs="Arial"/>
          <w:color w:val="808080" w:themeColor="background1" w:themeShade="80"/>
          <w:sz w:val="16"/>
          <w:szCs w:val="16"/>
          <w:lang w:val="en-GB"/>
        </w:rPr>
        <w:t>,</w:t>
      </w:r>
      <w:r w:rsidR="00E35B5E" w:rsidRPr="00944923">
        <w:rPr>
          <w:rFonts w:ascii="Arial" w:hAnsi="Arial" w:cs="Arial"/>
          <w:color w:val="808080" w:themeColor="background1" w:themeShade="80"/>
          <w:sz w:val="16"/>
          <w:szCs w:val="16"/>
          <w:lang w:val="en-GB"/>
        </w:rPr>
        <w:t xml:space="preserve"> pp 3-5</w:t>
      </w:r>
    </w:p>
  </w:footnote>
  <w:footnote w:id="20">
    <w:p w14:paraId="7DA394A4" w14:textId="2FBE8F97" w:rsidR="00944923" w:rsidRDefault="00944923" w:rsidP="00944923">
      <w:pPr>
        <w:pStyle w:val="FootnoteText"/>
        <w:jc w:val="both"/>
      </w:pPr>
      <w:r w:rsidRPr="00944923">
        <w:rPr>
          <w:rStyle w:val="FootnoteReference"/>
          <w:rFonts w:ascii="Arial" w:hAnsi="Arial" w:cs="Arial"/>
          <w:sz w:val="16"/>
          <w:szCs w:val="16"/>
        </w:rPr>
        <w:footnoteRef/>
      </w:r>
      <w:r w:rsidRPr="00944923">
        <w:rPr>
          <w:rFonts w:ascii="Arial" w:hAnsi="Arial" w:cs="Arial"/>
          <w:sz w:val="16"/>
          <w:szCs w:val="16"/>
        </w:rPr>
        <w:t xml:space="preserve"> </w:t>
      </w:r>
      <w:r w:rsidRPr="00944923">
        <w:rPr>
          <w:rFonts w:ascii="Arial" w:hAnsi="Arial" w:cs="Arial"/>
          <w:color w:val="808080" w:themeColor="background1" w:themeShade="80"/>
          <w:sz w:val="16"/>
          <w:szCs w:val="16"/>
          <w:lang w:val="en-GB"/>
        </w:rPr>
        <w:t xml:space="preserve">Professor André </w:t>
      </w:r>
      <w:proofErr w:type="spellStart"/>
      <w:r w:rsidRPr="00944923">
        <w:rPr>
          <w:rFonts w:ascii="Arial" w:hAnsi="Arial" w:cs="Arial"/>
          <w:color w:val="808080" w:themeColor="background1" w:themeShade="80"/>
          <w:sz w:val="16"/>
          <w:szCs w:val="16"/>
          <w:lang w:val="en-GB"/>
        </w:rPr>
        <w:t>Boraine</w:t>
      </w:r>
      <w:proofErr w:type="spellEnd"/>
      <w:r w:rsidRPr="00944923">
        <w:rPr>
          <w:rFonts w:ascii="Arial" w:hAnsi="Arial" w:cs="Arial"/>
          <w:color w:val="808080" w:themeColor="background1" w:themeShade="80"/>
          <w:sz w:val="16"/>
          <w:szCs w:val="16"/>
          <w:lang w:val="en-GB"/>
        </w:rPr>
        <w:t xml:space="preserve"> and Professor Rosalind Mason, “INSOL International, Foundation Certificate in International Insolvency Law, Module 1 Guidance Text, Introduction to International Insolvency Law 2023/2024”, p 41</w:t>
      </w:r>
    </w:p>
  </w:footnote>
  <w:footnote w:id="21">
    <w:p w14:paraId="4FA59536" w14:textId="4D373CF7" w:rsidR="00327C62" w:rsidRPr="00D52B17" w:rsidRDefault="00327C62">
      <w:pPr>
        <w:pStyle w:val="FootnoteText"/>
        <w:rPr>
          <w:rFonts w:ascii="Arial" w:hAnsi="Arial" w:cs="Arial"/>
          <w:sz w:val="16"/>
          <w:szCs w:val="16"/>
        </w:rPr>
      </w:pPr>
      <w:r w:rsidRPr="00D52B17">
        <w:rPr>
          <w:rStyle w:val="FootnoteReference"/>
          <w:rFonts w:ascii="Arial" w:hAnsi="Arial" w:cs="Arial"/>
          <w:sz w:val="16"/>
          <w:szCs w:val="16"/>
        </w:rPr>
        <w:footnoteRef/>
      </w:r>
      <w:r w:rsidRPr="00D52B17">
        <w:rPr>
          <w:rFonts w:ascii="Arial" w:hAnsi="Arial" w:cs="Arial"/>
          <w:sz w:val="16"/>
          <w:szCs w:val="16"/>
        </w:rPr>
        <w:t xml:space="preserve"> </w:t>
      </w:r>
      <w:r w:rsidRPr="00D52B17">
        <w:rPr>
          <w:rFonts w:ascii="Arial" w:hAnsi="Arial" w:cs="Arial"/>
          <w:color w:val="808080" w:themeColor="background1" w:themeShade="80"/>
          <w:sz w:val="16"/>
          <w:szCs w:val="16"/>
          <w:lang w:val="en-GB"/>
        </w:rPr>
        <w:t>Ibid., p 38</w:t>
      </w:r>
    </w:p>
  </w:footnote>
  <w:footnote w:id="22">
    <w:p w14:paraId="77F90A46" w14:textId="6C9373BF" w:rsidR="00470E5C" w:rsidRPr="00D52B17" w:rsidRDefault="00470E5C">
      <w:pPr>
        <w:pStyle w:val="FootnoteText"/>
        <w:rPr>
          <w:rFonts w:ascii="Arial" w:hAnsi="Arial" w:cs="Arial"/>
          <w:sz w:val="16"/>
          <w:szCs w:val="16"/>
        </w:rPr>
      </w:pPr>
      <w:r w:rsidRPr="00D52B17">
        <w:rPr>
          <w:rStyle w:val="FootnoteReference"/>
          <w:rFonts w:ascii="Arial" w:hAnsi="Arial" w:cs="Arial"/>
          <w:sz w:val="16"/>
          <w:szCs w:val="16"/>
        </w:rPr>
        <w:footnoteRef/>
      </w:r>
      <w:r w:rsidRPr="00D52B17">
        <w:rPr>
          <w:rFonts w:ascii="Arial" w:hAnsi="Arial" w:cs="Arial"/>
          <w:sz w:val="16"/>
          <w:szCs w:val="16"/>
        </w:rPr>
        <w:t xml:space="preserve"> </w:t>
      </w:r>
      <w:r w:rsidRPr="00D52B17">
        <w:rPr>
          <w:rFonts w:ascii="Arial" w:hAnsi="Arial" w:cs="Arial"/>
          <w:color w:val="808080" w:themeColor="background1" w:themeShade="80"/>
          <w:sz w:val="16"/>
          <w:szCs w:val="16"/>
          <w:lang w:val="en-GB"/>
        </w:rPr>
        <w:t>Ibid., p</w:t>
      </w:r>
      <w:r w:rsidR="00D52B17">
        <w:rPr>
          <w:rFonts w:ascii="Arial" w:hAnsi="Arial" w:cs="Arial"/>
          <w:color w:val="808080" w:themeColor="background1" w:themeShade="80"/>
          <w:sz w:val="16"/>
          <w:szCs w:val="16"/>
          <w:lang w:val="en-GB"/>
        </w:rPr>
        <w:t>p</w:t>
      </w:r>
      <w:r w:rsidRPr="00D52B17">
        <w:rPr>
          <w:rFonts w:ascii="Arial" w:hAnsi="Arial" w:cs="Arial"/>
          <w:color w:val="808080" w:themeColor="background1" w:themeShade="80"/>
          <w:sz w:val="16"/>
          <w:szCs w:val="16"/>
          <w:lang w:val="en-GB"/>
        </w:rPr>
        <w:t xml:space="preserve"> 36-37</w:t>
      </w:r>
    </w:p>
  </w:footnote>
  <w:footnote w:id="23">
    <w:p w14:paraId="765C9851" w14:textId="6FCC6011" w:rsidR="00101398" w:rsidRDefault="00101398">
      <w:pPr>
        <w:pStyle w:val="FootnoteText"/>
      </w:pPr>
      <w:r w:rsidRPr="00D52B17">
        <w:rPr>
          <w:rStyle w:val="FootnoteReference"/>
          <w:rFonts w:ascii="Arial" w:hAnsi="Arial" w:cs="Arial"/>
          <w:sz w:val="16"/>
          <w:szCs w:val="16"/>
        </w:rPr>
        <w:footnoteRef/>
      </w:r>
      <w:r w:rsidRPr="00D52B17">
        <w:rPr>
          <w:rFonts w:ascii="Arial" w:hAnsi="Arial" w:cs="Arial"/>
          <w:sz w:val="16"/>
          <w:szCs w:val="16"/>
        </w:rPr>
        <w:t xml:space="preserve"> </w:t>
      </w:r>
      <w:r w:rsidRPr="00D52B17">
        <w:rPr>
          <w:rFonts w:ascii="Arial" w:hAnsi="Arial" w:cs="Arial"/>
          <w:color w:val="808080" w:themeColor="background1" w:themeShade="80"/>
          <w:sz w:val="16"/>
          <w:szCs w:val="16"/>
          <w:lang w:val="en-GB"/>
        </w:rPr>
        <w:t>Ibid., p</w:t>
      </w:r>
      <w:r w:rsidR="00D52B17">
        <w:rPr>
          <w:rFonts w:ascii="Arial" w:hAnsi="Arial" w:cs="Arial"/>
          <w:color w:val="808080" w:themeColor="background1" w:themeShade="80"/>
          <w:sz w:val="16"/>
          <w:szCs w:val="16"/>
          <w:lang w:val="en-GB"/>
        </w:rPr>
        <w:t>p</w:t>
      </w:r>
      <w:r w:rsidRPr="00D52B17">
        <w:rPr>
          <w:rFonts w:ascii="Arial" w:hAnsi="Arial" w:cs="Arial"/>
          <w:color w:val="808080" w:themeColor="background1" w:themeShade="80"/>
          <w:sz w:val="16"/>
          <w:szCs w:val="16"/>
          <w:lang w:val="en-GB"/>
        </w:rPr>
        <w:t xml:space="preserve"> 46-47</w:t>
      </w:r>
    </w:p>
  </w:footnote>
  <w:footnote w:id="24">
    <w:p w14:paraId="71FF195E" w14:textId="0F132587" w:rsidR="00D52B17" w:rsidRPr="00F66E53" w:rsidRDefault="00D52B17" w:rsidP="001D745E">
      <w:pPr>
        <w:pStyle w:val="FootnoteText"/>
        <w:jc w:val="both"/>
        <w:rPr>
          <w:rFonts w:ascii="Arial" w:hAnsi="Arial" w:cs="Arial"/>
          <w:sz w:val="16"/>
          <w:szCs w:val="16"/>
        </w:rPr>
      </w:pPr>
      <w:r w:rsidRPr="00F66E53">
        <w:rPr>
          <w:rStyle w:val="FootnoteReference"/>
          <w:rFonts w:ascii="Arial" w:hAnsi="Arial" w:cs="Arial"/>
          <w:sz w:val="16"/>
          <w:szCs w:val="16"/>
        </w:rPr>
        <w:footnoteRef/>
      </w:r>
      <w:r w:rsidRPr="00F66E53">
        <w:rPr>
          <w:rFonts w:ascii="Arial" w:hAnsi="Arial" w:cs="Arial"/>
          <w:sz w:val="16"/>
          <w:szCs w:val="16"/>
        </w:rPr>
        <w:t xml:space="preserve"> </w:t>
      </w:r>
      <w:bookmarkStart w:id="3" w:name="_Hlk150943831"/>
      <w:r w:rsidRPr="00F66E53">
        <w:rPr>
          <w:rFonts w:ascii="Arial" w:hAnsi="Arial" w:cs="Arial"/>
          <w:color w:val="808080" w:themeColor="background1" w:themeShade="80"/>
          <w:sz w:val="16"/>
          <w:szCs w:val="16"/>
          <w:lang w:val="en-GB"/>
        </w:rPr>
        <w:t>Ibid., p 47</w:t>
      </w:r>
      <w:bookmarkEnd w:id="3"/>
    </w:p>
  </w:footnote>
  <w:footnote w:id="25">
    <w:p w14:paraId="1A221A07" w14:textId="7DA64AE6" w:rsidR="002B7774" w:rsidRPr="00F66E53" w:rsidRDefault="002B7774" w:rsidP="001D745E">
      <w:pPr>
        <w:pStyle w:val="FootnoteText"/>
        <w:jc w:val="both"/>
        <w:rPr>
          <w:rFonts w:ascii="Arial" w:hAnsi="Arial" w:cs="Arial"/>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009272CF" w:rsidRPr="00F66E53">
        <w:rPr>
          <w:rFonts w:ascii="Arial" w:hAnsi="Arial" w:cs="Arial"/>
          <w:color w:val="808080" w:themeColor="background1" w:themeShade="80"/>
          <w:sz w:val="16"/>
          <w:szCs w:val="16"/>
          <w:lang w:val="en-GB"/>
        </w:rPr>
        <w:t xml:space="preserve">United Nations Commission on International Trade Law, </w:t>
      </w:r>
      <w:hyperlink r:id="rId4" w:history="1">
        <w:r w:rsidR="009272CF" w:rsidRPr="00F66E53">
          <w:rPr>
            <w:rStyle w:val="Hyperlink"/>
            <w:rFonts w:ascii="Arial" w:hAnsi="Arial" w:cs="Arial"/>
            <w:sz w:val="16"/>
            <w:szCs w:val="16"/>
            <w:lang w:val="en-GB"/>
          </w:rPr>
          <w:t>https://uncitral.un.org/</w:t>
        </w:r>
      </w:hyperlink>
      <w:r w:rsidR="009272CF" w:rsidRPr="00F66E53">
        <w:rPr>
          <w:rFonts w:ascii="Arial" w:hAnsi="Arial" w:cs="Arial"/>
          <w:color w:val="808080" w:themeColor="background1" w:themeShade="80"/>
          <w:sz w:val="16"/>
          <w:szCs w:val="16"/>
          <w:lang w:val="en-GB"/>
        </w:rPr>
        <w:t>, accessed 14 November 2023</w:t>
      </w:r>
    </w:p>
  </w:footnote>
  <w:footnote w:id="26">
    <w:p w14:paraId="08C99806" w14:textId="24398DBB" w:rsidR="00D52B17" w:rsidRPr="00F66E53" w:rsidRDefault="00D52B17" w:rsidP="001D745E">
      <w:pPr>
        <w:pStyle w:val="FootnoteText"/>
        <w:jc w:val="both"/>
        <w:rPr>
          <w:rFonts w:ascii="Arial" w:hAnsi="Arial" w:cs="Arial"/>
          <w:sz w:val="16"/>
          <w:szCs w:val="16"/>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 xml:space="preserve">Professor André </w:t>
      </w:r>
      <w:proofErr w:type="spellStart"/>
      <w:r w:rsidRPr="00F66E53">
        <w:rPr>
          <w:rFonts w:ascii="Arial" w:hAnsi="Arial" w:cs="Arial"/>
          <w:color w:val="808080" w:themeColor="background1" w:themeShade="80"/>
          <w:sz w:val="16"/>
          <w:szCs w:val="16"/>
          <w:lang w:val="en-GB"/>
        </w:rPr>
        <w:t>Boraine</w:t>
      </w:r>
      <w:proofErr w:type="spellEnd"/>
      <w:r w:rsidRPr="00F66E53">
        <w:rPr>
          <w:rFonts w:ascii="Arial" w:hAnsi="Arial" w:cs="Arial"/>
          <w:color w:val="808080" w:themeColor="background1" w:themeShade="80"/>
          <w:sz w:val="16"/>
          <w:szCs w:val="16"/>
          <w:lang w:val="en-GB"/>
        </w:rPr>
        <w:t xml:space="preserve"> and Professor Rosalind Mason, “INSOL International, Foundation Certificate in International Insolvency Law, Module 1 Guidance Text, Introduction to International Insolvency Law 2023/2024”, p 47</w:t>
      </w:r>
    </w:p>
  </w:footnote>
  <w:footnote w:id="27">
    <w:p w14:paraId="03AEC999" w14:textId="2A189CFB" w:rsidR="001D745E" w:rsidRPr="00F66E53" w:rsidRDefault="001D745E" w:rsidP="001D745E">
      <w:pPr>
        <w:pStyle w:val="FootnoteText"/>
        <w:jc w:val="both"/>
        <w:rPr>
          <w:rFonts w:ascii="Arial" w:hAnsi="Arial" w:cs="Arial"/>
          <w:sz w:val="16"/>
          <w:szCs w:val="16"/>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Ibid., p 47</w:t>
      </w:r>
    </w:p>
  </w:footnote>
  <w:footnote w:id="28">
    <w:p w14:paraId="4E29E888" w14:textId="186A00E9" w:rsidR="002B7774" w:rsidRPr="00F66E53" w:rsidRDefault="002B7774" w:rsidP="001D745E">
      <w:pPr>
        <w:pStyle w:val="FootnoteText"/>
        <w:jc w:val="both"/>
        <w:rPr>
          <w:rFonts w:ascii="Arial" w:hAnsi="Arial" w:cs="Arial"/>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009272CF" w:rsidRPr="00F66E53">
        <w:rPr>
          <w:rFonts w:ascii="Arial" w:hAnsi="Arial" w:cs="Arial"/>
          <w:color w:val="808080" w:themeColor="background1" w:themeShade="80"/>
          <w:sz w:val="16"/>
          <w:szCs w:val="16"/>
          <w:lang w:val="en-GB"/>
        </w:rPr>
        <w:t xml:space="preserve">United Nations Commission on International Trade Law, </w:t>
      </w:r>
      <w:hyperlink r:id="rId5" w:history="1">
        <w:r w:rsidR="009272CF" w:rsidRPr="00F66E53">
          <w:rPr>
            <w:rStyle w:val="Hyperlink"/>
            <w:rFonts w:ascii="Arial" w:hAnsi="Arial" w:cs="Arial"/>
            <w:sz w:val="16"/>
            <w:szCs w:val="16"/>
            <w:lang w:val="en-GB"/>
          </w:rPr>
          <w:t>https://uncitral.un.org/en/texts/insolvency/modellaw/cross-border_insolvency/status</w:t>
        </w:r>
      </w:hyperlink>
      <w:r w:rsidR="009272CF" w:rsidRPr="00F66E53">
        <w:rPr>
          <w:rFonts w:ascii="Arial" w:hAnsi="Arial" w:cs="Arial"/>
          <w:color w:val="808080" w:themeColor="background1" w:themeShade="80"/>
          <w:sz w:val="16"/>
          <w:szCs w:val="16"/>
          <w:lang w:val="en-GB"/>
        </w:rPr>
        <w:t>, accessed 14 November 2023</w:t>
      </w:r>
    </w:p>
  </w:footnote>
  <w:footnote w:id="29">
    <w:p w14:paraId="1138EC28" w14:textId="1A508A9F" w:rsidR="001D745E" w:rsidRDefault="001D745E" w:rsidP="001D745E">
      <w:pPr>
        <w:pStyle w:val="FootnoteText"/>
        <w:jc w:val="both"/>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 xml:space="preserve">Professor André </w:t>
      </w:r>
      <w:proofErr w:type="spellStart"/>
      <w:r w:rsidRPr="00F66E53">
        <w:rPr>
          <w:rFonts w:ascii="Arial" w:hAnsi="Arial" w:cs="Arial"/>
          <w:color w:val="808080" w:themeColor="background1" w:themeShade="80"/>
          <w:sz w:val="16"/>
          <w:szCs w:val="16"/>
          <w:lang w:val="en-GB"/>
        </w:rPr>
        <w:t>Boraine</w:t>
      </w:r>
      <w:proofErr w:type="spellEnd"/>
      <w:r w:rsidRPr="00F66E53">
        <w:rPr>
          <w:rFonts w:ascii="Arial" w:hAnsi="Arial" w:cs="Arial"/>
          <w:color w:val="808080" w:themeColor="background1" w:themeShade="80"/>
          <w:sz w:val="16"/>
          <w:szCs w:val="16"/>
          <w:lang w:val="en-GB"/>
        </w:rPr>
        <w:t xml:space="preserve"> and Professor Rosalind Mason, “INSOL International, Foundation Certificate in International Insolvency Law, Module 1 Guidance Text, Introduction to International Insolvency Law 2023/2024”, p 47</w:t>
      </w:r>
    </w:p>
  </w:footnote>
  <w:footnote w:id="30">
    <w:p w14:paraId="005938DB" w14:textId="3F89FD3B" w:rsidR="00E9562E" w:rsidRPr="00F66E53" w:rsidRDefault="00E9562E" w:rsidP="00F66E53">
      <w:pPr>
        <w:pStyle w:val="FootnoteText"/>
        <w:jc w:val="both"/>
        <w:rPr>
          <w:rFonts w:ascii="Arial" w:hAnsi="Arial" w:cs="Arial"/>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Article 2(j), Schedule 1 of CBIR</w:t>
      </w:r>
    </w:p>
  </w:footnote>
  <w:footnote w:id="31">
    <w:p w14:paraId="607CD0FC" w14:textId="17B4C0BA" w:rsidR="00E9562E" w:rsidRPr="00F66E53" w:rsidRDefault="00E9562E" w:rsidP="00F66E53">
      <w:pPr>
        <w:pStyle w:val="FootnoteText"/>
        <w:jc w:val="both"/>
        <w:rPr>
          <w:rFonts w:ascii="Arial" w:hAnsi="Arial" w:cs="Arial"/>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Article 2(</w:t>
      </w:r>
      <w:proofErr w:type="spellStart"/>
      <w:r w:rsidRPr="00F66E53">
        <w:rPr>
          <w:rFonts w:ascii="Arial" w:hAnsi="Arial" w:cs="Arial"/>
          <w:color w:val="808080" w:themeColor="background1" w:themeShade="80"/>
          <w:sz w:val="16"/>
          <w:szCs w:val="16"/>
          <w:lang w:val="en-GB"/>
        </w:rPr>
        <w:t>i</w:t>
      </w:r>
      <w:proofErr w:type="spellEnd"/>
      <w:r w:rsidRPr="00F66E53">
        <w:rPr>
          <w:rFonts w:ascii="Arial" w:hAnsi="Arial" w:cs="Arial"/>
          <w:color w:val="808080" w:themeColor="background1" w:themeShade="80"/>
          <w:sz w:val="16"/>
          <w:szCs w:val="16"/>
          <w:lang w:val="en-GB"/>
        </w:rPr>
        <w:t>), Schedule 1 of CBIR</w:t>
      </w:r>
    </w:p>
  </w:footnote>
  <w:footnote w:id="32">
    <w:p w14:paraId="4AFFB9B6" w14:textId="28E897AC" w:rsidR="000F1A76" w:rsidRPr="00F66E53" w:rsidRDefault="000F1A76" w:rsidP="00F66E53">
      <w:pPr>
        <w:pStyle w:val="FootnoteText"/>
        <w:jc w:val="both"/>
        <w:rPr>
          <w:rFonts w:ascii="Arial" w:hAnsi="Arial" w:cs="Arial"/>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Article 15, Schedule 1 of CBIR</w:t>
      </w:r>
    </w:p>
  </w:footnote>
  <w:footnote w:id="33">
    <w:p w14:paraId="0BBE56C9" w14:textId="62F8EE83" w:rsidR="00E845E9" w:rsidRPr="00F66E53" w:rsidRDefault="00E845E9" w:rsidP="00F66E53">
      <w:pPr>
        <w:pStyle w:val="FootnoteText"/>
        <w:jc w:val="both"/>
        <w:rPr>
          <w:rFonts w:ascii="Arial" w:hAnsi="Arial" w:cs="Arial"/>
          <w:sz w:val="16"/>
          <w:szCs w:val="16"/>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 xml:space="preserve">Norton Rose Fulbright, </w:t>
      </w:r>
      <w:r w:rsidR="006C0CDC" w:rsidRPr="00F66E53">
        <w:rPr>
          <w:rFonts w:ascii="Arial" w:hAnsi="Arial" w:cs="Arial"/>
          <w:color w:val="808080" w:themeColor="background1" w:themeShade="80"/>
          <w:sz w:val="16"/>
          <w:szCs w:val="16"/>
          <w:lang w:val="en-GB"/>
        </w:rPr>
        <w:t xml:space="preserve">“The Model Law in Great Britain: Cross-Boder Insolvency Regulations 2006”, </w:t>
      </w:r>
      <w:hyperlink r:id="rId6" w:history="1">
        <w:r w:rsidR="006C0CDC" w:rsidRPr="00F66E53">
          <w:rPr>
            <w:rStyle w:val="Hyperlink"/>
            <w:rFonts w:ascii="Arial" w:hAnsi="Arial" w:cs="Arial"/>
            <w:sz w:val="16"/>
            <w:szCs w:val="16"/>
          </w:rPr>
          <w:t>https://www.nortonrosefulbright.com/en/knowledge/publications/1d8e1fb5/the-model-law-in-great-britain-cross-border-insolvency-regulations-2006</w:t>
        </w:r>
      </w:hyperlink>
      <w:r w:rsidRPr="00F66E53">
        <w:rPr>
          <w:rFonts w:ascii="Arial" w:hAnsi="Arial" w:cs="Arial"/>
          <w:color w:val="808080" w:themeColor="background1" w:themeShade="80"/>
          <w:sz w:val="16"/>
          <w:szCs w:val="16"/>
          <w:lang w:val="en-GB"/>
        </w:rPr>
        <w:t>, accessed on 15 November 2023</w:t>
      </w:r>
    </w:p>
  </w:footnote>
  <w:footnote w:id="34">
    <w:p w14:paraId="67E5E836" w14:textId="34D53C22" w:rsidR="008D25A9" w:rsidRPr="004D4BAB" w:rsidRDefault="008D25A9" w:rsidP="00F66E53">
      <w:pPr>
        <w:pStyle w:val="FootnoteText"/>
        <w:jc w:val="both"/>
        <w:rPr>
          <w:rFonts w:ascii="Arial" w:hAnsi="Arial" w:cs="Arial"/>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Article 20, Schedule 1 of CBIR</w:t>
      </w:r>
    </w:p>
  </w:footnote>
  <w:footnote w:id="35">
    <w:p w14:paraId="70F7B244" w14:textId="4F18EC20" w:rsidR="007D365E" w:rsidRPr="007D365E" w:rsidRDefault="007D365E" w:rsidP="00F66E53">
      <w:pPr>
        <w:jc w:val="both"/>
        <w:rPr>
          <w:rFonts w:ascii="Avenir Next" w:hAnsi="Avenir Next" w:cs="Arial"/>
          <w:color w:val="808080" w:themeColor="background1" w:themeShade="80"/>
          <w:sz w:val="22"/>
          <w:szCs w:val="22"/>
          <w:lang w:val="en-GB"/>
        </w:rPr>
      </w:pPr>
      <w:r w:rsidRPr="004D4BAB">
        <w:rPr>
          <w:rStyle w:val="FootnoteReference"/>
          <w:rFonts w:ascii="Arial" w:hAnsi="Arial" w:cs="Arial"/>
          <w:sz w:val="16"/>
          <w:szCs w:val="16"/>
        </w:rPr>
        <w:footnoteRef/>
      </w:r>
      <w:r w:rsidRPr="004D4BAB">
        <w:rPr>
          <w:rFonts w:ascii="Arial" w:hAnsi="Arial" w:cs="Arial"/>
          <w:sz w:val="16"/>
          <w:szCs w:val="16"/>
        </w:rPr>
        <w:t xml:space="preserve"> </w:t>
      </w:r>
      <w:r w:rsidRPr="004D4BAB">
        <w:rPr>
          <w:rFonts w:ascii="Arial" w:hAnsi="Arial" w:cs="Arial"/>
          <w:color w:val="808080" w:themeColor="background1" w:themeShade="80"/>
          <w:sz w:val="16"/>
          <w:szCs w:val="16"/>
          <w:lang w:val="en-GB"/>
        </w:rPr>
        <w:t>Article 3(1), EIR Recast</w:t>
      </w:r>
    </w:p>
  </w:footnote>
  <w:footnote w:id="36">
    <w:p w14:paraId="2339A0BA" w14:textId="40A7F7D0" w:rsidR="008311DA" w:rsidRPr="004D4BAB" w:rsidRDefault="008311DA" w:rsidP="00F66E53">
      <w:pPr>
        <w:jc w:val="both"/>
        <w:rPr>
          <w:rFonts w:ascii="Arial" w:hAnsi="Arial" w:cs="Arial"/>
          <w:color w:val="808080" w:themeColor="background1" w:themeShade="80"/>
          <w:sz w:val="16"/>
          <w:szCs w:val="16"/>
          <w:lang w:val="en-GB"/>
        </w:rPr>
      </w:pPr>
      <w:r w:rsidRPr="004D4BAB">
        <w:rPr>
          <w:rStyle w:val="FootnoteReference"/>
          <w:rFonts w:ascii="Arial" w:hAnsi="Arial" w:cs="Arial"/>
          <w:sz w:val="16"/>
          <w:szCs w:val="16"/>
        </w:rPr>
        <w:footnoteRef/>
      </w:r>
      <w:r w:rsidRPr="004D4BAB">
        <w:rPr>
          <w:rFonts w:ascii="Arial" w:hAnsi="Arial" w:cs="Arial"/>
          <w:sz w:val="16"/>
          <w:szCs w:val="16"/>
        </w:rPr>
        <w:t xml:space="preserve"> </w:t>
      </w:r>
      <w:r w:rsidRPr="004D4BAB">
        <w:rPr>
          <w:rFonts w:ascii="Arial" w:hAnsi="Arial" w:cs="Arial"/>
          <w:color w:val="808080" w:themeColor="background1" w:themeShade="80"/>
          <w:sz w:val="16"/>
          <w:szCs w:val="16"/>
          <w:lang w:val="en-GB"/>
        </w:rPr>
        <w:t>Recital 23, EIR Recast</w:t>
      </w:r>
    </w:p>
  </w:footnote>
  <w:footnote w:id="37">
    <w:p w14:paraId="0CC103DC" w14:textId="4E09A5C4" w:rsidR="0021276A" w:rsidRPr="004D4BAB" w:rsidRDefault="0021276A" w:rsidP="00F66E53">
      <w:pPr>
        <w:pStyle w:val="FootnoteText"/>
        <w:jc w:val="both"/>
        <w:rPr>
          <w:rFonts w:ascii="Arial" w:hAnsi="Arial" w:cs="Arial"/>
          <w:sz w:val="16"/>
          <w:szCs w:val="16"/>
          <w:lang w:val="en-GB"/>
        </w:rPr>
      </w:pPr>
      <w:r w:rsidRPr="004D4BAB">
        <w:rPr>
          <w:rStyle w:val="FootnoteReference"/>
          <w:rFonts w:ascii="Arial" w:hAnsi="Arial" w:cs="Arial"/>
          <w:sz w:val="16"/>
          <w:szCs w:val="16"/>
        </w:rPr>
        <w:footnoteRef/>
      </w:r>
      <w:r w:rsidRPr="004D4BAB">
        <w:rPr>
          <w:rFonts w:ascii="Arial" w:hAnsi="Arial" w:cs="Arial"/>
          <w:sz w:val="16"/>
          <w:szCs w:val="16"/>
        </w:rPr>
        <w:t xml:space="preserve"> </w:t>
      </w:r>
      <w:r w:rsidRPr="004D4BAB">
        <w:rPr>
          <w:rFonts w:ascii="Arial" w:hAnsi="Arial" w:cs="Arial"/>
          <w:color w:val="808080" w:themeColor="background1" w:themeShade="80"/>
          <w:sz w:val="16"/>
          <w:szCs w:val="16"/>
          <w:lang w:val="en-GB"/>
        </w:rPr>
        <w:t>Article 2(10), EIR Recast</w:t>
      </w:r>
    </w:p>
  </w:footnote>
  <w:footnote w:id="38">
    <w:p w14:paraId="38B17AEC" w14:textId="6B8D1407" w:rsidR="00A509B2" w:rsidRPr="00F66E53" w:rsidRDefault="00A509B2" w:rsidP="006C0CDC">
      <w:pPr>
        <w:jc w:val="both"/>
        <w:rPr>
          <w:rFonts w:ascii="Arial" w:hAnsi="Arial" w:cs="Arial"/>
          <w:color w:val="808080" w:themeColor="background1" w:themeShade="80"/>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 xml:space="preserve">Practical Law, “Regulation (EU) 2015/848 on insolvency proceedings (Recast Insolvency Regulation)”, </w:t>
      </w:r>
      <w:hyperlink r:id="rId7" w:history="1">
        <w:r w:rsidRPr="00F66E53">
          <w:rPr>
            <w:rStyle w:val="Hyperlink"/>
            <w:rFonts w:ascii="Arial" w:hAnsi="Arial" w:cs="Arial"/>
            <w:sz w:val="16"/>
            <w:szCs w:val="16"/>
            <w:lang w:val="en-GB"/>
          </w:rPr>
          <w:t>https://uk.practicallaw.thomsonreuters.com/w-007-6397?transitionType=Default&amp;contextData=(sc.Default)</w:t>
        </w:r>
      </w:hyperlink>
      <w:r w:rsidRPr="00F66E53">
        <w:rPr>
          <w:rFonts w:ascii="Arial" w:hAnsi="Arial" w:cs="Arial"/>
          <w:color w:val="808080" w:themeColor="background1" w:themeShade="80"/>
          <w:sz w:val="16"/>
          <w:szCs w:val="16"/>
          <w:lang w:val="en-GB"/>
        </w:rPr>
        <w:t>, accessed on 15 November 2023</w:t>
      </w:r>
    </w:p>
  </w:footnote>
  <w:footnote w:id="39">
    <w:p w14:paraId="7F887B57" w14:textId="1708F3E6" w:rsidR="00D16FBC" w:rsidRPr="00F66E53" w:rsidRDefault="00D16FBC" w:rsidP="006C0CDC">
      <w:pPr>
        <w:pStyle w:val="FootnoteText"/>
        <w:jc w:val="both"/>
        <w:rPr>
          <w:rFonts w:ascii="Arial" w:hAnsi="Arial" w:cs="Arial"/>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Article 7.1, EIR Recast</w:t>
      </w:r>
    </w:p>
  </w:footnote>
  <w:footnote w:id="40">
    <w:p w14:paraId="7C58A5CE" w14:textId="2ECEA6DE" w:rsidR="00F05485" w:rsidRPr="004D4BAB" w:rsidRDefault="00F05485" w:rsidP="006C0CDC">
      <w:pPr>
        <w:pStyle w:val="FootnoteText"/>
        <w:jc w:val="both"/>
        <w:rPr>
          <w:rFonts w:ascii="Arial" w:hAnsi="Arial" w:cs="Arial"/>
          <w:sz w:val="16"/>
          <w:szCs w:val="16"/>
          <w:lang w:val="en-GB"/>
        </w:rPr>
      </w:pPr>
      <w:r w:rsidRPr="00F66E53">
        <w:rPr>
          <w:rStyle w:val="FootnoteReference"/>
          <w:rFonts w:ascii="Arial" w:hAnsi="Arial" w:cs="Arial"/>
          <w:sz w:val="16"/>
          <w:szCs w:val="16"/>
        </w:rPr>
        <w:footnoteRef/>
      </w:r>
      <w:r w:rsidRPr="00F66E53">
        <w:rPr>
          <w:rFonts w:ascii="Arial" w:hAnsi="Arial" w:cs="Arial"/>
          <w:sz w:val="16"/>
          <w:szCs w:val="16"/>
        </w:rPr>
        <w:t xml:space="preserve"> </w:t>
      </w:r>
      <w:r w:rsidRPr="00F66E53">
        <w:rPr>
          <w:rFonts w:ascii="Arial" w:hAnsi="Arial" w:cs="Arial"/>
          <w:color w:val="808080" w:themeColor="background1" w:themeShade="80"/>
          <w:sz w:val="16"/>
          <w:szCs w:val="16"/>
          <w:lang w:val="en-GB"/>
        </w:rPr>
        <w:t>Article 7.2(b), EIR Recast</w:t>
      </w:r>
    </w:p>
  </w:footnote>
  <w:footnote w:id="41">
    <w:p w14:paraId="2A7FFF44" w14:textId="4D98D0B3" w:rsidR="00702DB8" w:rsidRPr="004D4BAB" w:rsidRDefault="00702DB8">
      <w:pPr>
        <w:pStyle w:val="FootnoteText"/>
        <w:rPr>
          <w:rFonts w:ascii="Arial" w:hAnsi="Arial" w:cs="Arial"/>
          <w:sz w:val="16"/>
          <w:szCs w:val="16"/>
          <w:lang w:val="en-GB"/>
        </w:rPr>
      </w:pPr>
      <w:r w:rsidRPr="004D4BAB">
        <w:rPr>
          <w:rStyle w:val="FootnoteReference"/>
          <w:rFonts w:ascii="Arial" w:hAnsi="Arial" w:cs="Arial"/>
          <w:sz w:val="16"/>
          <w:szCs w:val="16"/>
        </w:rPr>
        <w:footnoteRef/>
      </w:r>
      <w:r w:rsidRPr="004D4BAB">
        <w:rPr>
          <w:rFonts w:ascii="Arial" w:hAnsi="Arial" w:cs="Arial"/>
          <w:sz w:val="16"/>
          <w:szCs w:val="16"/>
        </w:rPr>
        <w:t xml:space="preserve"> </w:t>
      </w:r>
      <w:r w:rsidRPr="004D4BAB">
        <w:rPr>
          <w:rFonts w:ascii="Arial" w:hAnsi="Arial" w:cs="Arial"/>
          <w:color w:val="808080" w:themeColor="background1" w:themeShade="80"/>
          <w:sz w:val="16"/>
          <w:szCs w:val="16"/>
          <w:lang w:val="en-GB"/>
        </w:rPr>
        <w:t>Section 580, the Act</w:t>
      </w:r>
    </w:p>
  </w:footnote>
  <w:footnote w:id="42">
    <w:p w14:paraId="7E639BF0" w14:textId="4B7F98C0" w:rsidR="00702DB8" w:rsidRPr="004D4BAB" w:rsidRDefault="00702DB8">
      <w:pPr>
        <w:pStyle w:val="FootnoteText"/>
        <w:rPr>
          <w:rFonts w:ascii="Arial" w:hAnsi="Arial" w:cs="Arial"/>
          <w:sz w:val="16"/>
          <w:szCs w:val="16"/>
          <w:lang w:val="en-GB"/>
        </w:rPr>
      </w:pPr>
      <w:r w:rsidRPr="004D4BAB">
        <w:rPr>
          <w:rStyle w:val="FootnoteReference"/>
          <w:rFonts w:ascii="Arial" w:hAnsi="Arial" w:cs="Arial"/>
          <w:sz w:val="16"/>
          <w:szCs w:val="16"/>
        </w:rPr>
        <w:footnoteRef/>
      </w:r>
      <w:r w:rsidRPr="004D4BAB">
        <w:rPr>
          <w:rFonts w:ascii="Arial" w:hAnsi="Arial" w:cs="Arial"/>
          <w:sz w:val="16"/>
          <w:szCs w:val="16"/>
        </w:rPr>
        <w:t xml:space="preserve"> </w:t>
      </w:r>
      <w:r w:rsidRPr="004D4BAB">
        <w:rPr>
          <w:rFonts w:ascii="Arial" w:hAnsi="Arial" w:cs="Arial"/>
          <w:color w:val="808080" w:themeColor="background1" w:themeShade="80"/>
          <w:sz w:val="16"/>
          <w:szCs w:val="16"/>
          <w:lang w:val="en-GB"/>
        </w:rPr>
        <w:t>Section 581(2), the Act</w:t>
      </w:r>
    </w:p>
  </w:footnote>
  <w:footnote w:id="43">
    <w:p w14:paraId="74D474D0" w14:textId="7918A019" w:rsidR="00702DB8" w:rsidRPr="004D4BAB" w:rsidRDefault="00702DB8">
      <w:pPr>
        <w:pStyle w:val="FootnoteText"/>
        <w:rPr>
          <w:rFonts w:ascii="Arial" w:hAnsi="Arial" w:cs="Arial"/>
          <w:sz w:val="16"/>
          <w:szCs w:val="16"/>
          <w:lang w:val="en-GB"/>
        </w:rPr>
      </w:pPr>
      <w:r w:rsidRPr="004D4BAB">
        <w:rPr>
          <w:rStyle w:val="FootnoteReference"/>
          <w:rFonts w:ascii="Arial" w:hAnsi="Arial" w:cs="Arial"/>
          <w:sz w:val="16"/>
          <w:szCs w:val="16"/>
        </w:rPr>
        <w:footnoteRef/>
      </w:r>
      <w:r w:rsidRPr="004D4BAB">
        <w:rPr>
          <w:rFonts w:ascii="Arial" w:hAnsi="Arial" w:cs="Arial"/>
          <w:sz w:val="16"/>
          <w:szCs w:val="16"/>
        </w:rPr>
        <w:t xml:space="preserve"> </w:t>
      </w:r>
      <w:r w:rsidRPr="004D4BAB">
        <w:rPr>
          <w:rFonts w:ascii="Arial" w:hAnsi="Arial" w:cs="Arial"/>
          <w:color w:val="808080" w:themeColor="background1" w:themeShade="80"/>
          <w:sz w:val="16"/>
          <w:szCs w:val="16"/>
          <w:lang w:val="en-GB"/>
        </w:rPr>
        <w:t>[2011] NSWSC 300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8C29" w14:textId="77777777" w:rsidR="0056061D" w:rsidRDefault="00560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1C50" w14:textId="77777777" w:rsidR="0056061D" w:rsidRDefault="00560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0018" w14:textId="77777777" w:rsidR="0056061D" w:rsidRDefault="00560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F7B0E"/>
    <w:multiLevelType w:val="hybridMultilevel"/>
    <w:tmpl w:val="D4264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8F34832"/>
    <w:multiLevelType w:val="hybridMultilevel"/>
    <w:tmpl w:val="A2E24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36" w15:restartNumberingAfterBreak="0">
    <w:nsid w:val="7EA42393"/>
    <w:multiLevelType w:val="hybridMultilevel"/>
    <w:tmpl w:val="913A00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1655767">
    <w:abstractNumId w:val="27"/>
  </w:num>
  <w:num w:numId="2" w16cid:durableId="460732777">
    <w:abstractNumId w:val="33"/>
  </w:num>
  <w:num w:numId="3" w16cid:durableId="1558668659">
    <w:abstractNumId w:val="2"/>
  </w:num>
  <w:num w:numId="4" w16cid:durableId="737018892">
    <w:abstractNumId w:val="4"/>
  </w:num>
  <w:num w:numId="5" w16cid:durableId="1158809076">
    <w:abstractNumId w:val="22"/>
  </w:num>
  <w:num w:numId="6" w16cid:durableId="415711827">
    <w:abstractNumId w:val="28"/>
  </w:num>
  <w:num w:numId="7" w16cid:durableId="1401949473">
    <w:abstractNumId w:val="15"/>
  </w:num>
  <w:num w:numId="8" w16cid:durableId="269552992">
    <w:abstractNumId w:val="34"/>
  </w:num>
  <w:num w:numId="9" w16cid:durableId="1367413161">
    <w:abstractNumId w:val="13"/>
  </w:num>
  <w:num w:numId="10" w16cid:durableId="220823057">
    <w:abstractNumId w:val="29"/>
  </w:num>
  <w:num w:numId="11" w16cid:durableId="858086195">
    <w:abstractNumId w:val="10"/>
  </w:num>
  <w:num w:numId="12" w16cid:durableId="2144808366">
    <w:abstractNumId w:val="30"/>
  </w:num>
  <w:num w:numId="13" w16cid:durableId="1139104618">
    <w:abstractNumId w:val="21"/>
  </w:num>
  <w:num w:numId="14" w16cid:durableId="1203787949">
    <w:abstractNumId w:val="20"/>
  </w:num>
  <w:num w:numId="15" w16cid:durableId="1140149903">
    <w:abstractNumId w:val="5"/>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9"/>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1"/>
  </w:num>
  <w:num w:numId="26" w16cid:durableId="824904852">
    <w:abstractNumId w:val="35"/>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6"/>
  </w:num>
  <w:num w:numId="33" w16cid:durableId="732118212">
    <w:abstractNumId w:val="24"/>
  </w:num>
  <w:num w:numId="34" w16cid:durableId="1912503881">
    <w:abstractNumId w:val="12"/>
  </w:num>
  <w:num w:numId="35" w16cid:durableId="1471555961">
    <w:abstractNumId w:val="32"/>
  </w:num>
  <w:num w:numId="36" w16cid:durableId="952519981">
    <w:abstractNumId w:val="14"/>
  </w:num>
  <w:num w:numId="37" w16cid:durableId="214272245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0F"/>
    <w:rsid w:val="000009F5"/>
    <w:rsid w:val="00003D8F"/>
    <w:rsid w:val="0000420A"/>
    <w:rsid w:val="00004AE7"/>
    <w:rsid w:val="00010BA0"/>
    <w:rsid w:val="00015EE6"/>
    <w:rsid w:val="0001690D"/>
    <w:rsid w:val="00020557"/>
    <w:rsid w:val="0002322B"/>
    <w:rsid w:val="00023BFF"/>
    <w:rsid w:val="000250C7"/>
    <w:rsid w:val="00025871"/>
    <w:rsid w:val="00025C83"/>
    <w:rsid w:val="00031918"/>
    <w:rsid w:val="000329A6"/>
    <w:rsid w:val="00034C0C"/>
    <w:rsid w:val="00037621"/>
    <w:rsid w:val="000419D4"/>
    <w:rsid w:val="00043365"/>
    <w:rsid w:val="000436F0"/>
    <w:rsid w:val="00043960"/>
    <w:rsid w:val="00044D46"/>
    <w:rsid w:val="00045088"/>
    <w:rsid w:val="00045904"/>
    <w:rsid w:val="00045DC7"/>
    <w:rsid w:val="00046767"/>
    <w:rsid w:val="00046789"/>
    <w:rsid w:val="000477FC"/>
    <w:rsid w:val="000521C4"/>
    <w:rsid w:val="00052A5E"/>
    <w:rsid w:val="0005310B"/>
    <w:rsid w:val="00054887"/>
    <w:rsid w:val="00054EC2"/>
    <w:rsid w:val="00055EB9"/>
    <w:rsid w:val="00057BF2"/>
    <w:rsid w:val="0006130F"/>
    <w:rsid w:val="00062D42"/>
    <w:rsid w:val="00062E85"/>
    <w:rsid w:val="000649D1"/>
    <w:rsid w:val="00064C44"/>
    <w:rsid w:val="00065166"/>
    <w:rsid w:val="00066AE7"/>
    <w:rsid w:val="0007091D"/>
    <w:rsid w:val="00076483"/>
    <w:rsid w:val="0008020C"/>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142F"/>
    <w:rsid w:val="000A68ED"/>
    <w:rsid w:val="000A74CA"/>
    <w:rsid w:val="000A74D4"/>
    <w:rsid w:val="000B3D20"/>
    <w:rsid w:val="000B5B93"/>
    <w:rsid w:val="000B5FF1"/>
    <w:rsid w:val="000B609F"/>
    <w:rsid w:val="000B6B56"/>
    <w:rsid w:val="000C3CA4"/>
    <w:rsid w:val="000D0423"/>
    <w:rsid w:val="000D0C9F"/>
    <w:rsid w:val="000D55A8"/>
    <w:rsid w:val="000D57BE"/>
    <w:rsid w:val="000D6876"/>
    <w:rsid w:val="000D75FD"/>
    <w:rsid w:val="000E0165"/>
    <w:rsid w:val="000E3A82"/>
    <w:rsid w:val="000E3C5A"/>
    <w:rsid w:val="000E406D"/>
    <w:rsid w:val="000E433D"/>
    <w:rsid w:val="000E4841"/>
    <w:rsid w:val="000E5CB4"/>
    <w:rsid w:val="000E6742"/>
    <w:rsid w:val="000E6D39"/>
    <w:rsid w:val="000F0DC0"/>
    <w:rsid w:val="000F0FFF"/>
    <w:rsid w:val="000F1677"/>
    <w:rsid w:val="000F1A76"/>
    <w:rsid w:val="000F3387"/>
    <w:rsid w:val="000F3D6C"/>
    <w:rsid w:val="000F58B0"/>
    <w:rsid w:val="00100A77"/>
    <w:rsid w:val="00101398"/>
    <w:rsid w:val="00101707"/>
    <w:rsid w:val="00102F47"/>
    <w:rsid w:val="00105CBD"/>
    <w:rsid w:val="001107F2"/>
    <w:rsid w:val="00110E0C"/>
    <w:rsid w:val="00111F34"/>
    <w:rsid w:val="001131C6"/>
    <w:rsid w:val="001132D0"/>
    <w:rsid w:val="0011473D"/>
    <w:rsid w:val="00115C85"/>
    <w:rsid w:val="001174E6"/>
    <w:rsid w:val="00120B4D"/>
    <w:rsid w:val="001211E6"/>
    <w:rsid w:val="0012303D"/>
    <w:rsid w:val="00123855"/>
    <w:rsid w:val="00124B70"/>
    <w:rsid w:val="00125A7C"/>
    <w:rsid w:val="00126A4D"/>
    <w:rsid w:val="00130FB7"/>
    <w:rsid w:val="00131AE8"/>
    <w:rsid w:val="00131D42"/>
    <w:rsid w:val="0013278B"/>
    <w:rsid w:val="001353B8"/>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2B28"/>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37D8"/>
    <w:rsid w:val="001A4B4C"/>
    <w:rsid w:val="001A620B"/>
    <w:rsid w:val="001A716A"/>
    <w:rsid w:val="001A7E9A"/>
    <w:rsid w:val="001A7ECF"/>
    <w:rsid w:val="001B0F70"/>
    <w:rsid w:val="001B5016"/>
    <w:rsid w:val="001B6CEE"/>
    <w:rsid w:val="001C45FC"/>
    <w:rsid w:val="001C594A"/>
    <w:rsid w:val="001D1BF7"/>
    <w:rsid w:val="001D4862"/>
    <w:rsid w:val="001D632F"/>
    <w:rsid w:val="001D745E"/>
    <w:rsid w:val="001D7EF2"/>
    <w:rsid w:val="001E1FB4"/>
    <w:rsid w:val="001E23FD"/>
    <w:rsid w:val="001E25B9"/>
    <w:rsid w:val="001E392F"/>
    <w:rsid w:val="001E49E0"/>
    <w:rsid w:val="001E4CE2"/>
    <w:rsid w:val="001E7B5A"/>
    <w:rsid w:val="001F0BCF"/>
    <w:rsid w:val="001F1478"/>
    <w:rsid w:val="001F2AF5"/>
    <w:rsid w:val="001F5204"/>
    <w:rsid w:val="001F603D"/>
    <w:rsid w:val="001F7412"/>
    <w:rsid w:val="001F7C77"/>
    <w:rsid w:val="00201386"/>
    <w:rsid w:val="00202C2B"/>
    <w:rsid w:val="00205B31"/>
    <w:rsid w:val="0020725B"/>
    <w:rsid w:val="0020730B"/>
    <w:rsid w:val="00210CC1"/>
    <w:rsid w:val="0021276A"/>
    <w:rsid w:val="00212B14"/>
    <w:rsid w:val="00216499"/>
    <w:rsid w:val="002164C0"/>
    <w:rsid w:val="00216CB4"/>
    <w:rsid w:val="002173C5"/>
    <w:rsid w:val="00223780"/>
    <w:rsid w:val="002253D8"/>
    <w:rsid w:val="0022719C"/>
    <w:rsid w:val="00231611"/>
    <w:rsid w:val="00231CAE"/>
    <w:rsid w:val="00231F38"/>
    <w:rsid w:val="00235A27"/>
    <w:rsid w:val="002362AB"/>
    <w:rsid w:val="002400DB"/>
    <w:rsid w:val="002406A4"/>
    <w:rsid w:val="0024116D"/>
    <w:rsid w:val="00241B44"/>
    <w:rsid w:val="00244DE1"/>
    <w:rsid w:val="00245EFB"/>
    <w:rsid w:val="002526C5"/>
    <w:rsid w:val="002529D2"/>
    <w:rsid w:val="0025386E"/>
    <w:rsid w:val="00254545"/>
    <w:rsid w:val="00254AB3"/>
    <w:rsid w:val="002609DA"/>
    <w:rsid w:val="002638B0"/>
    <w:rsid w:val="0026510C"/>
    <w:rsid w:val="0026647A"/>
    <w:rsid w:val="002668D3"/>
    <w:rsid w:val="00266F17"/>
    <w:rsid w:val="00267068"/>
    <w:rsid w:val="002672D0"/>
    <w:rsid w:val="00270D04"/>
    <w:rsid w:val="0027242B"/>
    <w:rsid w:val="0027299F"/>
    <w:rsid w:val="00273893"/>
    <w:rsid w:val="00275182"/>
    <w:rsid w:val="00275946"/>
    <w:rsid w:val="00276414"/>
    <w:rsid w:val="00276FEA"/>
    <w:rsid w:val="00277FB0"/>
    <w:rsid w:val="0028252D"/>
    <w:rsid w:val="002845D5"/>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B7774"/>
    <w:rsid w:val="002C1227"/>
    <w:rsid w:val="002C13C8"/>
    <w:rsid w:val="002C259C"/>
    <w:rsid w:val="002C3547"/>
    <w:rsid w:val="002D0021"/>
    <w:rsid w:val="002D10A3"/>
    <w:rsid w:val="002D2356"/>
    <w:rsid w:val="002D295D"/>
    <w:rsid w:val="002D3473"/>
    <w:rsid w:val="002E37B7"/>
    <w:rsid w:val="002E4A02"/>
    <w:rsid w:val="002E4A1F"/>
    <w:rsid w:val="002E66F4"/>
    <w:rsid w:val="002E7E36"/>
    <w:rsid w:val="002F14C5"/>
    <w:rsid w:val="002F1956"/>
    <w:rsid w:val="002F2B8D"/>
    <w:rsid w:val="002F3440"/>
    <w:rsid w:val="002F3B17"/>
    <w:rsid w:val="002F4B69"/>
    <w:rsid w:val="002F5578"/>
    <w:rsid w:val="002F5876"/>
    <w:rsid w:val="002F5DD8"/>
    <w:rsid w:val="002F75A3"/>
    <w:rsid w:val="002F75CD"/>
    <w:rsid w:val="002F7EB5"/>
    <w:rsid w:val="0030201F"/>
    <w:rsid w:val="00303C2F"/>
    <w:rsid w:val="0030558B"/>
    <w:rsid w:val="00306E87"/>
    <w:rsid w:val="00307295"/>
    <w:rsid w:val="00310FC2"/>
    <w:rsid w:val="00312954"/>
    <w:rsid w:val="003134B4"/>
    <w:rsid w:val="003144EF"/>
    <w:rsid w:val="0032538A"/>
    <w:rsid w:val="00326292"/>
    <w:rsid w:val="00326415"/>
    <w:rsid w:val="00327C62"/>
    <w:rsid w:val="00330937"/>
    <w:rsid w:val="00330F31"/>
    <w:rsid w:val="003326F0"/>
    <w:rsid w:val="00334273"/>
    <w:rsid w:val="00334648"/>
    <w:rsid w:val="00336CA6"/>
    <w:rsid w:val="0033768C"/>
    <w:rsid w:val="00337938"/>
    <w:rsid w:val="00340769"/>
    <w:rsid w:val="00341A65"/>
    <w:rsid w:val="00341AA6"/>
    <w:rsid w:val="00342551"/>
    <w:rsid w:val="00342E57"/>
    <w:rsid w:val="003500E5"/>
    <w:rsid w:val="00355B57"/>
    <w:rsid w:val="00361A0A"/>
    <w:rsid w:val="00361DF9"/>
    <w:rsid w:val="00363D71"/>
    <w:rsid w:val="0036565C"/>
    <w:rsid w:val="0036625E"/>
    <w:rsid w:val="00367162"/>
    <w:rsid w:val="00372CD4"/>
    <w:rsid w:val="0037386C"/>
    <w:rsid w:val="00373C73"/>
    <w:rsid w:val="0037465A"/>
    <w:rsid w:val="0037485D"/>
    <w:rsid w:val="0038143E"/>
    <w:rsid w:val="0038255B"/>
    <w:rsid w:val="00382C98"/>
    <w:rsid w:val="0038325E"/>
    <w:rsid w:val="00384604"/>
    <w:rsid w:val="00384A93"/>
    <w:rsid w:val="00384E3D"/>
    <w:rsid w:val="00384F24"/>
    <w:rsid w:val="00385041"/>
    <w:rsid w:val="0038533C"/>
    <w:rsid w:val="00385D73"/>
    <w:rsid w:val="00391B12"/>
    <w:rsid w:val="003937B9"/>
    <w:rsid w:val="00394022"/>
    <w:rsid w:val="003940FF"/>
    <w:rsid w:val="0039473F"/>
    <w:rsid w:val="003948D5"/>
    <w:rsid w:val="003957FD"/>
    <w:rsid w:val="00396358"/>
    <w:rsid w:val="00396821"/>
    <w:rsid w:val="00396CE5"/>
    <w:rsid w:val="003979A3"/>
    <w:rsid w:val="00397D3A"/>
    <w:rsid w:val="003A00FE"/>
    <w:rsid w:val="003A051E"/>
    <w:rsid w:val="003A0BBE"/>
    <w:rsid w:val="003A2448"/>
    <w:rsid w:val="003A28F9"/>
    <w:rsid w:val="003A2F5D"/>
    <w:rsid w:val="003A3128"/>
    <w:rsid w:val="003A5AD1"/>
    <w:rsid w:val="003A60FF"/>
    <w:rsid w:val="003A696A"/>
    <w:rsid w:val="003B170F"/>
    <w:rsid w:val="003B3A0D"/>
    <w:rsid w:val="003B3C5F"/>
    <w:rsid w:val="003C1451"/>
    <w:rsid w:val="003C2017"/>
    <w:rsid w:val="003C3FB3"/>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E7CE4"/>
    <w:rsid w:val="003F0294"/>
    <w:rsid w:val="003F0B80"/>
    <w:rsid w:val="003F500E"/>
    <w:rsid w:val="003F655E"/>
    <w:rsid w:val="003F74D9"/>
    <w:rsid w:val="00400920"/>
    <w:rsid w:val="00403F09"/>
    <w:rsid w:val="00404E10"/>
    <w:rsid w:val="00404EF7"/>
    <w:rsid w:val="00405DC1"/>
    <w:rsid w:val="00405DFA"/>
    <w:rsid w:val="00411E1B"/>
    <w:rsid w:val="00414BF9"/>
    <w:rsid w:val="00415DFF"/>
    <w:rsid w:val="00415F1F"/>
    <w:rsid w:val="004174FA"/>
    <w:rsid w:val="0042108F"/>
    <w:rsid w:val="004214D4"/>
    <w:rsid w:val="004216EA"/>
    <w:rsid w:val="004235F4"/>
    <w:rsid w:val="00424224"/>
    <w:rsid w:val="00426969"/>
    <w:rsid w:val="00426B64"/>
    <w:rsid w:val="00430FED"/>
    <w:rsid w:val="00434A8C"/>
    <w:rsid w:val="00437297"/>
    <w:rsid w:val="00437ABE"/>
    <w:rsid w:val="00440AC5"/>
    <w:rsid w:val="00440EDD"/>
    <w:rsid w:val="004417C1"/>
    <w:rsid w:val="00444284"/>
    <w:rsid w:val="004442F1"/>
    <w:rsid w:val="00445CE6"/>
    <w:rsid w:val="00446987"/>
    <w:rsid w:val="00446BF9"/>
    <w:rsid w:val="004534C2"/>
    <w:rsid w:val="00453967"/>
    <w:rsid w:val="0045446F"/>
    <w:rsid w:val="00454C9D"/>
    <w:rsid w:val="0045683E"/>
    <w:rsid w:val="0046142D"/>
    <w:rsid w:val="0046274F"/>
    <w:rsid w:val="0046298C"/>
    <w:rsid w:val="00463259"/>
    <w:rsid w:val="00464F21"/>
    <w:rsid w:val="004659E0"/>
    <w:rsid w:val="00465C6F"/>
    <w:rsid w:val="00466ED6"/>
    <w:rsid w:val="00467C71"/>
    <w:rsid w:val="0047084C"/>
    <w:rsid w:val="00470A63"/>
    <w:rsid w:val="00470C55"/>
    <w:rsid w:val="00470E5C"/>
    <w:rsid w:val="004715C1"/>
    <w:rsid w:val="004731F4"/>
    <w:rsid w:val="00475A65"/>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09D"/>
    <w:rsid w:val="004C1DA6"/>
    <w:rsid w:val="004C1FCA"/>
    <w:rsid w:val="004C5E4F"/>
    <w:rsid w:val="004C7030"/>
    <w:rsid w:val="004D1A5A"/>
    <w:rsid w:val="004D2FFF"/>
    <w:rsid w:val="004D3721"/>
    <w:rsid w:val="004D4BAB"/>
    <w:rsid w:val="004D64F9"/>
    <w:rsid w:val="004D687E"/>
    <w:rsid w:val="004D71A1"/>
    <w:rsid w:val="004D795B"/>
    <w:rsid w:val="004E0410"/>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6CA"/>
    <w:rsid w:val="00504AFA"/>
    <w:rsid w:val="005059A4"/>
    <w:rsid w:val="00513485"/>
    <w:rsid w:val="00515756"/>
    <w:rsid w:val="00515E1F"/>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447"/>
    <w:rsid w:val="00555C4D"/>
    <w:rsid w:val="00560534"/>
    <w:rsid w:val="0056061D"/>
    <w:rsid w:val="0056391B"/>
    <w:rsid w:val="005650E2"/>
    <w:rsid w:val="00566D80"/>
    <w:rsid w:val="00567AD7"/>
    <w:rsid w:val="005716C3"/>
    <w:rsid w:val="00573594"/>
    <w:rsid w:val="00575B2D"/>
    <w:rsid w:val="005800D0"/>
    <w:rsid w:val="005833D0"/>
    <w:rsid w:val="005846F3"/>
    <w:rsid w:val="0058574A"/>
    <w:rsid w:val="005859D2"/>
    <w:rsid w:val="0058622F"/>
    <w:rsid w:val="005863B9"/>
    <w:rsid w:val="005865D6"/>
    <w:rsid w:val="00586968"/>
    <w:rsid w:val="00590880"/>
    <w:rsid w:val="00590FE6"/>
    <w:rsid w:val="00591631"/>
    <w:rsid w:val="00592E7F"/>
    <w:rsid w:val="00592F82"/>
    <w:rsid w:val="005936B3"/>
    <w:rsid w:val="00594CE4"/>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5330"/>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4FFA"/>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06B3"/>
    <w:rsid w:val="00610729"/>
    <w:rsid w:val="00611D58"/>
    <w:rsid w:val="00612092"/>
    <w:rsid w:val="00612CA5"/>
    <w:rsid w:val="00614858"/>
    <w:rsid w:val="006153EC"/>
    <w:rsid w:val="006160C1"/>
    <w:rsid w:val="00616E52"/>
    <w:rsid w:val="006208BB"/>
    <w:rsid w:val="00621A17"/>
    <w:rsid w:val="0062260C"/>
    <w:rsid w:val="00627CC9"/>
    <w:rsid w:val="00627E7B"/>
    <w:rsid w:val="00630542"/>
    <w:rsid w:val="00630708"/>
    <w:rsid w:val="00630727"/>
    <w:rsid w:val="00631E7B"/>
    <w:rsid w:val="00632E44"/>
    <w:rsid w:val="0063316D"/>
    <w:rsid w:val="006335B7"/>
    <w:rsid w:val="00633DC9"/>
    <w:rsid w:val="00634622"/>
    <w:rsid w:val="00636808"/>
    <w:rsid w:val="0064043F"/>
    <w:rsid w:val="00641515"/>
    <w:rsid w:val="0064169B"/>
    <w:rsid w:val="00643ABE"/>
    <w:rsid w:val="00646108"/>
    <w:rsid w:val="00647054"/>
    <w:rsid w:val="006514CD"/>
    <w:rsid w:val="00651E87"/>
    <w:rsid w:val="0065214B"/>
    <w:rsid w:val="006521CD"/>
    <w:rsid w:val="00652A22"/>
    <w:rsid w:val="00653584"/>
    <w:rsid w:val="00654C2F"/>
    <w:rsid w:val="00655438"/>
    <w:rsid w:val="00657087"/>
    <w:rsid w:val="0065715A"/>
    <w:rsid w:val="006575A3"/>
    <w:rsid w:val="006578EC"/>
    <w:rsid w:val="006643E7"/>
    <w:rsid w:val="006661EF"/>
    <w:rsid w:val="006711D9"/>
    <w:rsid w:val="006746CB"/>
    <w:rsid w:val="00677AEB"/>
    <w:rsid w:val="00680EF2"/>
    <w:rsid w:val="00682663"/>
    <w:rsid w:val="00682A3E"/>
    <w:rsid w:val="00683A7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0CDC"/>
    <w:rsid w:val="006C5CE2"/>
    <w:rsid w:val="006D0529"/>
    <w:rsid w:val="006D0605"/>
    <w:rsid w:val="006D176A"/>
    <w:rsid w:val="006D564C"/>
    <w:rsid w:val="006D6BD5"/>
    <w:rsid w:val="006D6E81"/>
    <w:rsid w:val="006E1CB0"/>
    <w:rsid w:val="006E254C"/>
    <w:rsid w:val="006E2974"/>
    <w:rsid w:val="006E480E"/>
    <w:rsid w:val="006E481A"/>
    <w:rsid w:val="006E5298"/>
    <w:rsid w:val="006E6A1F"/>
    <w:rsid w:val="006E6A6A"/>
    <w:rsid w:val="006E77B0"/>
    <w:rsid w:val="006F18EB"/>
    <w:rsid w:val="006F2E9B"/>
    <w:rsid w:val="006F6B2E"/>
    <w:rsid w:val="006F734A"/>
    <w:rsid w:val="00700D83"/>
    <w:rsid w:val="00702DB8"/>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00A"/>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A1CBC"/>
    <w:rsid w:val="007A3EBA"/>
    <w:rsid w:val="007A40F5"/>
    <w:rsid w:val="007A6934"/>
    <w:rsid w:val="007A79EB"/>
    <w:rsid w:val="007B1E13"/>
    <w:rsid w:val="007B2FF5"/>
    <w:rsid w:val="007B3B1B"/>
    <w:rsid w:val="007B5180"/>
    <w:rsid w:val="007B5F0B"/>
    <w:rsid w:val="007C0111"/>
    <w:rsid w:val="007C0245"/>
    <w:rsid w:val="007C0260"/>
    <w:rsid w:val="007C0663"/>
    <w:rsid w:val="007C1FCC"/>
    <w:rsid w:val="007C2831"/>
    <w:rsid w:val="007C2AA1"/>
    <w:rsid w:val="007C2BE7"/>
    <w:rsid w:val="007C3439"/>
    <w:rsid w:val="007C6201"/>
    <w:rsid w:val="007D0348"/>
    <w:rsid w:val="007D03E9"/>
    <w:rsid w:val="007D13C6"/>
    <w:rsid w:val="007D1E28"/>
    <w:rsid w:val="007D365E"/>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7FE7"/>
    <w:rsid w:val="00801B30"/>
    <w:rsid w:val="00803BE9"/>
    <w:rsid w:val="00804000"/>
    <w:rsid w:val="0080454E"/>
    <w:rsid w:val="00804C32"/>
    <w:rsid w:val="00806302"/>
    <w:rsid w:val="00806382"/>
    <w:rsid w:val="00807119"/>
    <w:rsid w:val="008071D5"/>
    <w:rsid w:val="0080723C"/>
    <w:rsid w:val="00807FE8"/>
    <w:rsid w:val="00811865"/>
    <w:rsid w:val="0081278E"/>
    <w:rsid w:val="008131F1"/>
    <w:rsid w:val="00814A55"/>
    <w:rsid w:val="0081547D"/>
    <w:rsid w:val="00823AB4"/>
    <w:rsid w:val="0082483F"/>
    <w:rsid w:val="00827849"/>
    <w:rsid w:val="008279C0"/>
    <w:rsid w:val="008311DA"/>
    <w:rsid w:val="00841E70"/>
    <w:rsid w:val="00845226"/>
    <w:rsid w:val="008473AA"/>
    <w:rsid w:val="00851A7A"/>
    <w:rsid w:val="00852883"/>
    <w:rsid w:val="00852F37"/>
    <w:rsid w:val="008571F6"/>
    <w:rsid w:val="00857A02"/>
    <w:rsid w:val="00861E51"/>
    <w:rsid w:val="00867E46"/>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3847"/>
    <w:rsid w:val="008A4DF2"/>
    <w:rsid w:val="008A6841"/>
    <w:rsid w:val="008A6CFE"/>
    <w:rsid w:val="008B40E7"/>
    <w:rsid w:val="008B4681"/>
    <w:rsid w:val="008B4B58"/>
    <w:rsid w:val="008B5333"/>
    <w:rsid w:val="008B5476"/>
    <w:rsid w:val="008B6223"/>
    <w:rsid w:val="008B6C06"/>
    <w:rsid w:val="008C0772"/>
    <w:rsid w:val="008C165D"/>
    <w:rsid w:val="008C4066"/>
    <w:rsid w:val="008C66E0"/>
    <w:rsid w:val="008C784B"/>
    <w:rsid w:val="008D0122"/>
    <w:rsid w:val="008D25A9"/>
    <w:rsid w:val="008D3E17"/>
    <w:rsid w:val="008D5D34"/>
    <w:rsid w:val="008D7718"/>
    <w:rsid w:val="008E220E"/>
    <w:rsid w:val="008E3339"/>
    <w:rsid w:val="008E3ADC"/>
    <w:rsid w:val="008E4F14"/>
    <w:rsid w:val="008E5941"/>
    <w:rsid w:val="008E64D3"/>
    <w:rsid w:val="008E6F11"/>
    <w:rsid w:val="008F0139"/>
    <w:rsid w:val="008F20FC"/>
    <w:rsid w:val="008F3248"/>
    <w:rsid w:val="008F50C4"/>
    <w:rsid w:val="008F5FFE"/>
    <w:rsid w:val="0090037B"/>
    <w:rsid w:val="009034A0"/>
    <w:rsid w:val="0090386A"/>
    <w:rsid w:val="00905A43"/>
    <w:rsid w:val="009064FE"/>
    <w:rsid w:val="00906FA7"/>
    <w:rsid w:val="009078CE"/>
    <w:rsid w:val="009078FC"/>
    <w:rsid w:val="009108EF"/>
    <w:rsid w:val="00911C23"/>
    <w:rsid w:val="00912C79"/>
    <w:rsid w:val="00913FB9"/>
    <w:rsid w:val="00915010"/>
    <w:rsid w:val="0091528C"/>
    <w:rsid w:val="009173D1"/>
    <w:rsid w:val="0092350E"/>
    <w:rsid w:val="00923CCC"/>
    <w:rsid w:val="00926D10"/>
    <w:rsid w:val="009272CF"/>
    <w:rsid w:val="009275FE"/>
    <w:rsid w:val="00935361"/>
    <w:rsid w:val="009355DB"/>
    <w:rsid w:val="00937A99"/>
    <w:rsid w:val="00940C1F"/>
    <w:rsid w:val="00942123"/>
    <w:rsid w:val="0094263A"/>
    <w:rsid w:val="00943E90"/>
    <w:rsid w:val="00944923"/>
    <w:rsid w:val="009466B4"/>
    <w:rsid w:val="00946EE0"/>
    <w:rsid w:val="0095029B"/>
    <w:rsid w:val="0095207B"/>
    <w:rsid w:val="009521C5"/>
    <w:rsid w:val="0095223A"/>
    <w:rsid w:val="009533CB"/>
    <w:rsid w:val="00953B5C"/>
    <w:rsid w:val="0095526F"/>
    <w:rsid w:val="00955CE0"/>
    <w:rsid w:val="00957D92"/>
    <w:rsid w:val="009609CA"/>
    <w:rsid w:val="00961BC2"/>
    <w:rsid w:val="00962045"/>
    <w:rsid w:val="009661DE"/>
    <w:rsid w:val="00966E44"/>
    <w:rsid w:val="00966EAE"/>
    <w:rsid w:val="009703BD"/>
    <w:rsid w:val="009708BB"/>
    <w:rsid w:val="009727DF"/>
    <w:rsid w:val="009729E8"/>
    <w:rsid w:val="009736F3"/>
    <w:rsid w:val="00975009"/>
    <w:rsid w:val="00975640"/>
    <w:rsid w:val="00975B29"/>
    <w:rsid w:val="00976DA5"/>
    <w:rsid w:val="009773BA"/>
    <w:rsid w:val="00980DF0"/>
    <w:rsid w:val="00981608"/>
    <w:rsid w:val="00984680"/>
    <w:rsid w:val="00984B38"/>
    <w:rsid w:val="00990F04"/>
    <w:rsid w:val="00991272"/>
    <w:rsid w:val="00991428"/>
    <w:rsid w:val="00991CF4"/>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5706"/>
    <w:rsid w:val="009C687D"/>
    <w:rsid w:val="009C7F17"/>
    <w:rsid w:val="009D0163"/>
    <w:rsid w:val="009D0811"/>
    <w:rsid w:val="009D0E12"/>
    <w:rsid w:val="009D0EE1"/>
    <w:rsid w:val="009D382E"/>
    <w:rsid w:val="009D43D0"/>
    <w:rsid w:val="009D510C"/>
    <w:rsid w:val="009D5CDB"/>
    <w:rsid w:val="009D6709"/>
    <w:rsid w:val="009E13C1"/>
    <w:rsid w:val="009E2652"/>
    <w:rsid w:val="009E2A9C"/>
    <w:rsid w:val="009E2AEB"/>
    <w:rsid w:val="009E2E27"/>
    <w:rsid w:val="009E44C0"/>
    <w:rsid w:val="009E4DE3"/>
    <w:rsid w:val="009E50C1"/>
    <w:rsid w:val="009E5564"/>
    <w:rsid w:val="009F0C29"/>
    <w:rsid w:val="009F0C5A"/>
    <w:rsid w:val="009F223E"/>
    <w:rsid w:val="009F5849"/>
    <w:rsid w:val="009F648E"/>
    <w:rsid w:val="00A02198"/>
    <w:rsid w:val="00A047EE"/>
    <w:rsid w:val="00A057CA"/>
    <w:rsid w:val="00A12E62"/>
    <w:rsid w:val="00A136AF"/>
    <w:rsid w:val="00A13F8F"/>
    <w:rsid w:val="00A149B7"/>
    <w:rsid w:val="00A177BC"/>
    <w:rsid w:val="00A17930"/>
    <w:rsid w:val="00A21B24"/>
    <w:rsid w:val="00A21DBF"/>
    <w:rsid w:val="00A2274A"/>
    <w:rsid w:val="00A235B7"/>
    <w:rsid w:val="00A249AC"/>
    <w:rsid w:val="00A27A7A"/>
    <w:rsid w:val="00A301D1"/>
    <w:rsid w:val="00A31881"/>
    <w:rsid w:val="00A3707E"/>
    <w:rsid w:val="00A40529"/>
    <w:rsid w:val="00A407EF"/>
    <w:rsid w:val="00A411B7"/>
    <w:rsid w:val="00A42023"/>
    <w:rsid w:val="00A45800"/>
    <w:rsid w:val="00A46B4C"/>
    <w:rsid w:val="00A509B2"/>
    <w:rsid w:val="00A5117B"/>
    <w:rsid w:val="00A560B6"/>
    <w:rsid w:val="00A566E3"/>
    <w:rsid w:val="00A56CF7"/>
    <w:rsid w:val="00A56DBC"/>
    <w:rsid w:val="00A60074"/>
    <w:rsid w:val="00A63F3E"/>
    <w:rsid w:val="00A641E0"/>
    <w:rsid w:val="00A646E2"/>
    <w:rsid w:val="00A651A9"/>
    <w:rsid w:val="00A6627C"/>
    <w:rsid w:val="00A71019"/>
    <w:rsid w:val="00A73B60"/>
    <w:rsid w:val="00A74CC4"/>
    <w:rsid w:val="00A81029"/>
    <w:rsid w:val="00A82AFB"/>
    <w:rsid w:val="00A8485D"/>
    <w:rsid w:val="00A86584"/>
    <w:rsid w:val="00A86B29"/>
    <w:rsid w:val="00A90BDB"/>
    <w:rsid w:val="00A94F10"/>
    <w:rsid w:val="00A96062"/>
    <w:rsid w:val="00A96489"/>
    <w:rsid w:val="00A96BB0"/>
    <w:rsid w:val="00A97D88"/>
    <w:rsid w:val="00AA0409"/>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067E"/>
    <w:rsid w:val="00AD1714"/>
    <w:rsid w:val="00AD1B6B"/>
    <w:rsid w:val="00AD331C"/>
    <w:rsid w:val="00AD57A5"/>
    <w:rsid w:val="00AD65A8"/>
    <w:rsid w:val="00AD74AD"/>
    <w:rsid w:val="00AD76EF"/>
    <w:rsid w:val="00AD7A9A"/>
    <w:rsid w:val="00AE027F"/>
    <w:rsid w:val="00AE3CA0"/>
    <w:rsid w:val="00AE4D6F"/>
    <w:rsid w:val="00AF228E"/>
    <w:rsid w:val="00AF3F64"/>
    <w:rsid w:val="00AF455B"/>
    <w:rsid w:val="00AF5899"/>
    <w:rsid w:val="00B0123F"/>
    <w:rsid w:val="00B04004"/>
    <w:rsid w:val="00B12F13"/>
    <w:rsid w:val="00B14819"/>
    <w:rsid w:val="00B17AA9"/>
    <w:rsid w:val="00B20235"/>
    <w:rsid w:val="00B221FF"/>
    <w:rsid w:val="00B2292D"/>
    <w:rsid w:val="00B246B1"/>
    <w:rsid w:val="00B26B31"/>
    <w:rsid w:val="00B27501"/>
    <w:rsid w:val="00B30A70"/>
    <w:rsid w:val="00B32674"/>
    <w:rsid w:val="00B333FE"/>
    <w:rsid w:val="00B3503B"/>
    <w:rsid w:val="00B366EC"/>
    <w:rsid w:val="00B378FA"/>
    <w:rsid w:val="00B42352"/>
    <w:rsid w:val="00B451BF"/>
    <w:rsid w:val="00B51227"/>
    <w:rsid w:val="00B51945"/>
    <w:rsid w:val="00B51975"/>
    <w:rsid w:val="00B52E4D"/>
    <w:rsid w:val="00B54F90"/>
    <w:rsid w:val="00B55C9E"/>
    <w:rsid w:val="00B56B95"/>
    <w:rsid w:val="00B6000B"/>
    <w:rsid w:val="00B607DF"/>
    <w:rsid w:val="00B62271"/>
    <w:rsid w:val="00B6409C"/>
    <w:rsid w:val="00B6463A"/>
    <w:rsid w:val="00B64845"/>
    <w:rsid w:val="00B64A85"/>
    <w:rsid w:val="00B66053"/>
    <w:rsid w:val="00B7193E"/>
    <w:rsid w:val="00B72999"/>
    <w:rsid w:val="00B72FD7"/>
    <w:rsid w:val="00B736DF"/>
    <w:rsid w:val="00B74FBD"/>
    <w:rsid w:val="00B75116"/>
    <w:rsid w:val="00B81C03"/>
    <w:rsid w:val="00B81ED0"/>
    <w:rsid w:val="00B82586"/>
    <w:rsid w:val="00B829A3"/>
    <w:rsid w:val="00B84CE9"/>
    <w:rsid w:val="00B85436"/>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871"/>
    <w:rsid w:val="00BB6955"/>
    <w:rsid w:val="00BB6F7A"/>
    <w:rsid w:val="00BC1043"/>
    <w:rsid w:val="00BC3FD8"/>
    <w:rsid w:val="00BC48EB"/>
    <w:rsid w:val="00BC4A7D"/>
    <w:rsid w:val="00BC585F"/>
    <w:rsid w:val="00BC5898"/>
    <w:rsid w:val="00BC5D7D"/>
    <w:rsid w:val="00BC6146"/>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BF75EB"/>
    <w:rsid w:val="00C00231"/>
    <w:rsid w:val="00C01017"/>
    <w:rsid w:val="00C02F29"/>
    <w:rsid w:val="00C04632"/>
    <w:rsid w:val="00C07B0B"/>
    <w:rsid w:val="00C15A16"/>
    <w:rsid w:val="00C1724E"/>
    <w:rsid w:val="00C20337"/>
    <w:rsid w:val="00C20AFE"/>
    <w:rsid w:val="00C21972"/>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96A42"/>
    <w:rsid w:val="00CA0B50"/>
    <w:rsid w:val="00CA1802"/>
    <w:rsid w:val="00CA6E99"/>
    <w:rsid w:val="00CB262C"/>
    <w:rsid w:val="00CB2CBB"/>
    <w:rsid w:val="00CB3EB6"/>
    <w:rsid w:val="00CB70B1"/>
    <w:rsid w:val="00CB7283"/>
    <w:rsid w:val="00CB7CAC"/>
    <w:rsid w:val="00CC15F8"/>
    <w:rsid w:val="00CC467D"/>
    <w:rsid w:val="00CC5051"/>
    <w:rsid w:val="00CC5335"/>
    <w:rsid w:val="00CC579C"/>
    <w:rsid w:val="00CC5BA4"/>
    <w:rsid w:val="00CC5ECB"/>
    <w:rsid w:val="00CC66C3"/>
    <w:rsid w:val="00CC7728"/>
    <w:rsid w:val="00CD0E2B"/>
    <w:rsid w:val="00CD0FFE"/>
    <w:rsid w:val="00CD17DB"/>
    <w:rsid w:val="00CD34DB"/>
    <w:rsid w:val="00CD377A"/>
    <w:rsid w:val="00CD4998"/>
    <w:rsid w:val="00CD499F"/>
    <w:rsid w:val="00CD7DBC"/>
    <w:rsid w:val="00CE1035"/>
    <w:rsid w:val="00CE62CA"/>
    <w:rsid w:val="00CF01D6"/>
    <w:rsid w:val="00CF2819"/>
    <w:rsid w:val="00CF4305"/>
    <w:rsid w:val="00CF4F9D"/>
    <w:rsid w:val="00CF5AD8"/>
    <w:rsid w:val="00CF70DC"/>
    <w:rsid w:val="00CF717B"/>
    <w:rsid w:val="00D036CB"/>
    <w:rsid w:val="00D068C5"/>
    <w:rsid w:val="00D07F87"/>
    <w:rsid w:val="00D148DC"/>
    <w:rsid w:val="00D14BF2"/>
    <w:rsid w:val="00D1688E"/>
    <w:rsid w:val="00D16FBC"/>
    <w:rsid w:val="00D17FDC"/>
    <w:rsid w:val="00D223E4"/>
    <w:rsid w:val="00D2550E"/>
    <w:rsid w:val="00D256C6"/>
    <w:rsid w:val="00D25F51"/>
    <w:rsid w:val="00D35229"/>
    <w:rsid w:val="00D35ADE"/>
    <w:rsid w:val="00D35EAE"/>
    <w:rsid w:val="00D41320"/>
    <w:rsid w:val="00D4685B"/>
    <w:rsid w:val="00D5192B"/>
    <w:rsid w:val="00D52B17"/>
    <w:rsid w:val="00D57C59"/>
    <w:rsid w:val="00D60215"/>
    <w:rsid w:val="00D60874"/>
    <w:rsid w:val="00D6266A"/>
    <w:rsid w:val="00D63EFD"/>
    <w:rsid w:val="00D6588F"/>
    <w:rsid w:val="00D676F1"/>
    <w:rsid w:val="00D714E4"/>
    <w:rsid w:val="00D744EF"/>
    <w:rsid w:val="00D7552A"/>
    <w:rsid w:val="00D761ED"/>
    <w:rsid w:val="00D829EB"/>
    <w:rsid w:val="00D84752"/>
    <w:rsid w:val="00D85A0E"/>
    <w:rsid w:val="00D86851"/>
    <w:rsid w:val="00D86A74"/>
    <w:rsid w:val="00D86B3B"/>
    <w:rsid w:val="00D8748A"/>
    <w:rsid w:val="00D905E4"/>
    <w:rsid w:val="00D910D5"/>
    <w:rsid w:val="00D93196"/>
    <w:rsid w:val="00D931A2"/>
    <w:rsid w:val="00D97393"/>
    <w:rsid w:val="00DA42DA"/>
    <w:rsid w:val="00DA42EF"/>
    <w:rsid w:val="00DA55CB"/>
    <w:rsid w:val="00DA5730"/>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2A"/>
    <w:rsid w:val="00DE03AF"/>
    <w:rsid w:val="00DE097E"/>
    <w:rsid w:val="00DE121C"/>
    <w:rsid w:val="00DE1EEF"/>
    <w:rsid w:val="00DE475E"/>
    <w:rsid w:val="00DE6633"/>
    <w:rsid w:val="00DF056D"/>
    <w:rsid w:val="00DF3DC8"/>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5B5E"/>
    <w:rsid w:val="00E37049"/>
    <w:rsid w:val="00E4126D"/>
    <w:rsid w:val="00E450A4"/>
    <w:rsid w:val="00E506BE"/>
    <w:rsid w:val="00E518B6"/>
    <w:rsid w:val="00E525B9"/>
    <w:rsid w:val="00E53AE9"/>
    <w:rsid w:val="00E54ADD"/>
    <w:rsid w:val="00E55547"/>
    <w:rsid w:val="00E55E9B"/>
    <w:rsid w:val="00E61EBF"/>
    <w:rsid w:val="00E6211B"/>
    <w:rsid w:val="00E6275E"/>
    <w:rsid w:val="00E6302B"/>
    <w:rsid w:val="00E64302"/>
    <w:rsid w:val="00E6452F"/>
    <w:rsid w:val="00E64F45"/>
    <w:rsid w:val="00E6525B"/>
    <w:rsid w:val="00E6742D"/>
    <w:rsid w:val="00E7033B"/>
    <w:rsid w:val="00E71CB0"/>
    <w:rsid w:val="00E72F8D"/>
    <w:rsid w:val="00E7537E"/>
    <w:rsid w:val="00E7793C"/>
    <w:rsid w:val="00E77C3D"/>
    <w:rsid w:val="00E80299"/>
    <w:rsid w:val="00E8272F"/>
    <w:rsid w:val="00E845E9"/>
    <w:rsid w:val="00E84DA5"/>
    <w:rsid w:val="00E84DD5"/>
    <w:rsid w:val="00E86549"/>
    <w:rsid w:val="00E86D64"/>
    <w:rsid w:val="00E909F0"/>
    <w:rsid w:val="00E90B4B"/>
    <w:rsid w:val="00E90D47"/>
    <w:rsid w:val="00E91BE6"/>
    <w:rsid w:val="00E92DA7"/>
    <w:rsid w:val="00E93993"/>
    <w:rsid w:val="00E950C0"/>
    <w:rsid w:val="00E9562E"/>
    <w:rsid w:val="00E9597C"/>
    <w:rsid w:val="00EA0879"/>
    <w:rsid w:val="00EA0913"/>
    <w:rsid w:val="00EA4D77"/>
    <w:rsid w:val="00EA5317"/>
    <w:rsid w:val="00EA6550"/>
    <w:rsid w:val="00EA7BAB"/>
    <w:rsid w:val="00EB02BE"/>
    <w:rsid w:val="00EB12CB"/>
    <w:rsid w:val="00EB146B"/>
    <w:rsid w:val="00EB21D4"/>
    <w:rsid w:val="00EB2845"/>
    <w:rsid w:val="00EB45AC"/>
    <w:rsid w:val="00EB488B"/>
    <w:rsid w:val="00EB6668"/>
    <w:rsid w:val="00EB6A2F"/>
    <w:rsid w:val="00EC34F1"/>
    <w:rsid w:val="00EC3875"/>
    <w:rsid w:val="00EC39A6"/>
    <w:rsid w:val="00EC549E"/>
    <w:rsid w:val="00EC6CC6"/>
    <w:rsid w:val="00EC6E55"/>
    <w:rsid w:val="00ED0BC4"/>
    <w:rsid w:val="00ED151E"/>
    <w:rsid w:val="00ED3CDA"/>
    <w:rsid w:val="00ED617A"/>
    <w:rsid w:val="00EE1A0E"/>
    <w:rsid w:val="00EE4971"/>
    <w:rsid w:val="00EE5A48"/>
    <w:rsid w:val="00EE5BD0"/>
    <w:rsid w:val="00EE5F7D"/>
    <w:rsid w:val="00EE6390"/>
    <w:rsid w:val="00EE7278"/>
    <w:rsid w:val="00EF090E"/>
    <w:rsid w:val="00EF16B6"/>
    <w:rsid w:val="00EF1B1A"/>
    <w:rsid w:val="00EF2D08"/>
    <w:rsid w:val="00EF314B"/>
    <w:rsid w:val="00EF5705"/>
    <w:rsid w:val="00EF6653"/>
    <w:rsid w:val="00F00AB5"/>
    <w:rsid w:val="00F033DA"/>
    <w:rsid w:val="00F0424E"/>
    <w:rsid w:val="00F05485"/>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66E53"/>
    <w:rsid w:val="00F679C4"/>
    <w:rsid w:val="00F70459"/>
    <w:rsid w:val="00F71433"/>
    <w:rsid w:val="00F71ADE"/>
    <w:rsid w:val="00F71CE8"/>
    <w:rsid w:val="00F738B0"/>
    <w:rsid w:val="00F801C5"/>
    <w:rsid w:val="00F83231"/>
    <w:rsid w:val="00F85A51"/>
    <w:rsid w:val="00F85C0B"/>
    <w:rsid w:val="00F85DB2"/>
    <w:rsid w:val="00F909CA"/>
    <w:rsid w:val="00F91FA7"/>
    <w:rsid w:val="00F95955"/>
    <w:rsid w:val="00F96AF1"/>
    <w:rsid w:val="00F97C5B"/>
    <w:rsid w:val="00FA0BD4"/>
    <w:rsid w:val="00FA29FD"/>
    <w:rsid w:val="00FA2A46"/>
    <w:rsid w:val="00FA3739"/>
    <w:rsid w:val="00FA3D50"/>
    <w:rsid w:val="00FA43E7"/>
    <w:rsid w:val="00FB2C81"/>
    <w:rsid w:val="00FB6703"/>
    <w:rsid w:val="00FB7C8F"/>
    <w:rsid w:val="00FB7D52"/>
    <w:rsid w:val="00FB7D6D"/>
    <w:rsid w:val="00FC116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00A2"/>
    <w:rsid w:val="00FE1D12"/>
    <w:rsid w:val="00FE2122"/>
    <w:rsid w:val="00FE2A86"/>
    <w:rsid w:val="00FE5526"/>
    <w:rsid w:val="00FE5706"/>
    <w:rsid w:val="00FE6330"/>
    <w:rsid w:val="00FF0BFE"/>
    <w:rsid w:val="00FF0D81"/>
    <w:rsid w:val="00FF22DC"/>
    <w:rsid w:val="00FF296F"/>
    <w:rsid w:val="00FF332F"/>
    <w:rsid w:val="00FF3529"/>
    <w:rsid w:val="00FF374B"/>
    <w:rsid w:val="00FF3EC2"/>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2B7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6140">
      <w:bodyDiv w:val="1"/>
      <w:marLeft w:val="0"/>
      <w:marRight w:val="0"/>
      <w:marTop w:val="0"/>
      <w:marBottom w:val="0"/>
      <w:divBdr>
        <w:top w:val="none" w:sz="0" w:space="0" w:color="auto"/>
        <w:left w:val="none" w:sz="0" w:space="0" w:color="auto"/>
        <w:bottom w:val="none" w:sz="0" w:space="0" w:color="auto"/>
        <w:right w:val="none" w:sz="0" w:space="0" w:color="auto"/>
      </w:divBdr>
    </w:div>
    <w:div w:id="311452552">
      <w:bodyDiv w:val="1"/>
      <w:marLeft w:val="0"/>
      <w:marRight w:val="0"/>
      <w:marTop w:val="0"/>
      <w:marBottom w:val="0"/>
      <w:divBdr>
        <w:top w:val="none" w:sz="0" w:space="0" w:color="auto"/>
        <w:left w:val="none" w:sz="0" w:space="0" w:color="auto"/>
        <w:bottom w:val="none" w:sz="0" w:space="0" w:color="auto"/>
        <w:right w:val="none" w:sz="0" w:space="0" w:color="auto"/>
      </w:divBdr>
    </w:div>
    <w:div w:id="324434557">
      <w:bodyDiv w:val="1"/>
      <w:marLeft w:val="0"/>
      <w:marRight w:val="0"/>
      <w:marTop w:val="0"/>
      <w:marBottom w:val="0"/>
      <w:divBdr>
        <w:top w:val="none" w:sz="0" w:space="0" w:color="auto"/>
        <w:left w:val="none" w:sz="0" w:space="0" w:color="auto"/>
        <w:bottom w:val="none" w:sz="0" w:space="0" w:color="auto"/>
        <w:right w:val="none" w:sz="0" w:space="0" w:color="auto"/>
      </w:divBdr>
    </w:div>
    <w:div w:id="41847939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21446432">
      <w:bodyDiv w:val="1"/>
      <w:marLeft w:val="0"/>
      <w:marRight w:val="0"/>
      <w:marTop w:val="0"/>
      <w:marBottom w:val="0"/>
      <w:divBdr>
        <w:top w:val="none" w:sz="0" w:space="0" w:color="auto"/>
        <w:left w:val="none" w:sz="0" w:space="0" w:color="auto"/>
        <w:bottom w:val="none" w:sz="0" w:space="0" w:color="auto"/>
        <w:right w:val="none" w:sz="0" w:space="0" w:color="auto"/>
      </w:divBdr>
      <w:divsChild>
        <w:div w:id="790048858">
          <w:marLeft w:val="0"/>
          <w:marRight w:val="0"/>
          <w:marTop w:val="0"/>
          <w:marBottom w:val="0"/>
          <w:divBdr>
            <w:top w:val="none" w:sz="0" w:space="0" w:color="auto"/>
            <w:left w:val="none" w:sz="0" w:space="0" w:color="auto"/>
            <w:bottom w:val="none" w:sz="0" w:space="0" w:color="auto"/>
            <w:right w:val="none" w:sz="0" w:space="0" w:color="auto"/>
          </w:divBdr>
          <w:divsChild>
            <w:div w:id="1998920824">
              <w:marLeft w:val="0"/>
              <w:marRight w:val="0"/>
              <w:marTop w:val="0"/>
              <w:marBottom w:val="0"/>
              <w:divBdr>
                <w:top w:val="none" w:sz="0" w:space="0" w:color="auto"/>
                <w:left w:val="none" w:sz="0" w:space="0" w:color="auto"/>
                <w:bottom w:val="none" w:sz="0" w:space="0" w:color="auto"/>
                <w:right w:val="none" w:sz="0" w:space="0" w:color="auto"/>
              </w:divBdr>
            </w:div>
          </w:divsChild>
        </w:div>
        <w:div w:id="418865940">
          <w:marLeft w:val="0"/>
          <w:marRight w:val="0"/>
          <w:marTop w:val="0"/>
          <w:marBottom w:val="0"/>
          <w:divBdr>
            <w:top w:val="single" w:sz="6" w:space="0" w:color="F0F0F0"/>
            <w:left w:val="none" w:sz="0" w:space="0" w:color="auto"/>
            <w:bottom w:val="none" w:sz="0" w:space="0" w:color="auto"/>
            <w:right w:val="none" w:sz="0" w:space="0" w:color="auto"/>
          </w:divBdr>
          <w:divsChild>
            <w:div w:id="334698458">
              <w:marLeft w:val="0"/>
              <w:marRight w:val="0"/>
              <w:marTop w:val="0"/>
              <w:marBottom w:val="0"/>
              <w:divBdr>
                <w:top w:val="none" w:sz="0" w:space="0" w:color="auto"/>
                <w:left w:val="none" w:sz="0" w:space="0" w:color="auto"/>
                <w:bottom w:val="none" w:sz="0" w:space="0" w:color="auto"/>
                <w:right w:val="none" w:sz="0" w:space="0" w:color="auto"/>
              </w:divBdr>
              <w:divsChild>
                <w:div w:id="671883342">
                  <w:marLeft w:val="0"/>
                  <w:marRight w:val="0"/>
                  <w:marTop w:val="0"/>
                  <w:marBottom w:val="0"/>
                  <w:divBdr>
                    <w:top w:val="none" w:sz="0" w:space="0" w:color="auto"/>
                    <w:left w:val="none" w:sz="0" w:space="0" w:color="auto"/>
                    <w:bottom w:val="none" w:sz="0" w:space="0" w:color="auto"/>
                    <w:right w:val="none" w:sz="0" w:space="0" w:color="auto"/>
                  </w:divBdr>
                  <w:divsChild>
                    <w:div w:id="2102336448">
                      <w:marLeft w:val="0"/>
                      <w:marRight w:val="0"/>
                      <w:marTop w:val="0"/>
                      <w:marBottom w:val="0"/>
                      <w:divBdr>
                        <w:top w:val="none" w:sz="0" w:space="0" w:color="auto"/>
                        <w:left w:val="none" w:sz="0" w:space="0" w:color="auto"/>
                        <w:bottom w:val="none" w:sz="0" w:space="0" w:color="auto"/>
                        <w:right w:val="none" w:sz="0" w:space="0" w:color="auto"/>
                      </w:divBdr>
                    </w:div>
                  </w:divsChild>
                </w:div>
                <w:div w:id="1094670415">
                  <w:marLeft w:val="0"/>
                  <w:marRight w:val="0"/>
                  <w:marTop w:val="0"/>
                  <w:marBottom w:val="0"/>
                  <w:divBdr>
                    <w:top w:val="none" w:sz="0" w:space="0" w:color="auto"/>
                    <w:left w:val="none" w:sz="0" w:space="0" w:color="auto"/>
                    <w:bottom w:val="none" w:sz="0" w:space="0" w:color="auto"/>
                    <w:right w:val="none" w:sz="0" w:space="0" w:color="auto"/>
                  </w:divBdr>
                  <w:divsChild>
                    <w:div w:id="1488739786">
                      <w:marLeft w:val="0"/>
                      <w:marRight w:val="0"/>
                      <w:marTop w:val="0"/>
                      <w:marBottom w:val="0"/>
                      <w:divBdr>
                        <w:top w:val="none" w:sz="0" w:space="0" w:color="auto"/>
                        <w:left w:val="none" w:sz="0" w:space="0" w:color="auto"/>
                        <w:bottom w:val="none" w:sz="0" w:space="0" w:color="auto"/>
                        <w:right w:val="none" w:sz="0" w:space="0" w:color="auto"/>
                      </w:divBdr>
                    </w:div>
                  </w:divsChild>
                </w:div>
                <w:div w:id="184440612">
                  <w:marLeft w:val="0"/>
                  <w:marRight w:val="0"/>
                  <w:marTop w:val="0"/>
                  <w:marBottom w:val="0"/>
                  <w:divBdr>
                    <w:top w:val="none" w:sz="0" w:space="0" w:color="auto"/>
                    <w:left w:val="none" w:sz="0" w:space="0" w:color="auto"/>
                    <w:bottom w:val="none" w:sz="0" w:space="0" w:color="auto"/>
                    <w:right w:val="none" w:sz="0" w:space="0" w:color="auto"/>
                  </w:divBdr>
                  <w:divsChild>
                    <w:div w:id="19763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6332766">
      <w:bodyDiv w:val="1"/>
      <w:marLeft w:val="0"/>
      <w:marRight w:val="0"/>
      <w:marTop w:val="0"/>
      <w:marBottom w:val="0"/>
      <w:divBdr>
        <w:top w:val="none" w:sz="0" w:space="0" w:color="auto"/>
        <w:left w:val="none" w:sz="0" w:space="0" w:color="auto"/>
        <w:bottom w:val="none" w:sz="0" w:space="0" w:color="auto"/>
        <w:right w:val="none" w:sz="0" w:space="0" w:color="auto"/>
      </w:divBdr>
    </w:div>
    <w:div w:id="1022706486">
      <w:bodyDiv w:val="1"/>
      <w:marLeft w:val="0"/>
      <w:marRight w:val="0"/>
      <w:marTop w:val="0"/>
      <w:marBottom w:val="0"/>
      <w:divBdr>
        <w:top w:val="none" w:sz="0" w:space="0" w:color="auto"/>
        <w:left w:val="none" w:sz="0" w:space="0" w:color="auto"/>
        <w:bottom w:val="none" w:sz="0" w:space="0" w:color="auto"/>
        <w:right w:val="none" w:sz="0" w:space="0" w:color="auto"/>
      </w:divBdr>
    </w:div>
    <w:div w:id="1082602124">
      <w:bodyDiv w:val="1"/>
      <w:marLeft w:val="0"/>
      <w:marRight w:val="0"/>
      <w:marTop w:val="0"/>
      <w:marBottom w:val="0"/>
      <w:divBdr>
        <w:top w:val="none" w:sz="0" w:space="0" w:color="auto"/>
        <w:left w:val="none" w:sz="0" w:space="0" w:color="auto"/>
        <w:bottom w:val="none" w:sz="0" w:space="0" w:color="auto"/>
        <w:right w:val="none" w:sz="0" w:space="0" w:color="auto"/>
      </w:divBdr>
      <w:divsChild>
        <w:div w:id="1770272805">
          <w:marLeft w:val="0"/>
          <w:marRight w:val="0"/>
          <w:marTop w:val="0"/>
          <w:marBottom w:val="0"/>
          <w:divBdr>
            <w:top w:val="none" w:sz="0" w:space="0" w:color="auto"/>
            <w:left w:val="none" w:sz="0" w:space="0" w:color="auto"/>
            <w:bottom w:val="none" w:sz="0" w:space="0" w:color="auto"/>
            <w:right w:val="none" w:sz="0" w:space="0" w:color="auto"/>
          </w:divBdr>
        </w:div>
        <w:div w:id="1493791129">
          <w:marLeft w:val="0"/>
          <w:marRight w:val="0"/>
          <w:marTop w:val="120"/>
          <w:marBottom w:val="0"/>
          <w:divBdr>
            <w:top w:val="none" w:sz="0" w:space="0" w:color="auto"/>
            <w:left w:val="none" w:sz="0" w:space="0" w:color="auto"/>
            <w:bottom w:val="none" w:sz="0" w:space="0" w:color="auto"/>
            <w:right w:val="none" w:sz="0" w:space="0" w:color="auto"/>
          </w:divBdr>
          <w:divsChild>
            <w:div w:id="101844080">
              <w:marLeft w:val="0"/>
              <w:marRight w:val="0"/>
              <w:marTop w:val="0"/>
              <w:marBottom w:val="0"/>
              <w:divBdr>
                <w:top w:val="none" w:sz="0" w:space="0" w:color="auto"/>
                <w:left w:val="none" w:sz="0" w:space="0" w:color="auto"/>
                <w:bottom w:val="none" w:sz="0" w:space="0" w:color="auto"/>
                <w:right w:val="none" w:sz="0" w:space="0" w:color="auto"/>
              </w:divBdr>
            </w:div>
          </w:divsChild>
        </w:div>
        <w:div w:id="1772582714">
          <w:marLeft w:val="0"/>
          <w:marRight w:val="0"/>
          <w:marTop w:val="120"/>
          <w:marBottom w:val="0"/>
          <w:divBdr>
            <w:top w:val="none" w:sz="0" w:space="0" w:color="auto"/>
            <w:left w:val="none" w:sz="0" w:space="0" w:color="auto"/>
            <w:bottom w:val="none" w:sz="0" w:space="0" w:color="auto"/>
            <w:right w:val="none" w:sz="0" w:space="0" w:color="auto"/>
          </w:divBdr>
          <w:divsChild>
            <w:div w:id="858590545">
              <w:marLeft w:val="0"/>
              <w:marRight w:val="0"/>
              <w:marTop w:val="0"/>
              <w:marBottom w:val="0"/>
              <w:divBdr>
                <w:top w:val="none" w:sz="0" w:space="0" w:color="auto"/>
                <w:left w:val="none" w:sz="0" w:space="0" w:color="auto"/>
                <w:bottom w:val="none" w:sz="0" w:space="0" w:color="auto"/>
                <w:right w:val="none" w:sz="0" w:space="0" w:color="auto"/>
              </w:divBdr>
            </w:div>
          </w:divsChild>
        </w:div>
        <w:div w:id="1944609574">
          <w:marLeft w:val="0"/>
          <w:marRight w:val="0"/>
          <w:marTop w:val="120"/>
          <w:marBottom w:val="0"/>
          <w:divBdr>
            <w:top w:val="none" w:sz="0" w:space="0" w:color="auto"/>
            <w:left w:val="none" w:sz="0" w:space="0" w:color="auto"/>
            <w:bottom w:val="none" w:sz="0" w:space="0" w:color="auto"/>
            <w:right w:val="none" w:sz="0" w:space="0" w:color="auto"/>
          </w:divBdr>
          <w:divsChild>
            <w:div w:id="5074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621">
      <w:bodyDiv w:val="1"/>
      <w:marLeft w:val="0"/>
      <w:marRight w:val="0"/>
      <w:marTop w:val="0"/>
      <w:marBottom w:val="0"/>
      <w:divBdr>
        <w:top w:val="none" w:sz="0" w:space="0" w:color="auto"/>
        <w:left w:val="none" w:sz="0" w:space="0" w:color="auto"/>
        <w:bottom w:val="none" w:sz="0" w:space="0" w:color="auto"/>
        <w:right w:val="none" w:sz="0" w:space="0" w:color="auto"/>
      </w:divBdr>
    </w:div>
    <w:div w:id="1572814713">
      <w:bodyDiv w:val="1"/>
      <w:marLeft w:val="0"/>
      <w:marRight w:val="0"/>
      <w:marTop w:val="0"/>
      <w:marBottom w:val="0"/>
      <w:divBdr>
        <w:top w:val="none" w:sz="0" w:space="0" w:color="auto"/>
        <w:left w:val="none" w:sz="0" w:space="0" w:color="auto"/>
        <w:bottom w:val="none" w:sz="0" w:space="0" w:color="auto"/>
        <w:right w:val="none" w:sz="0" w:space="0" w:color="auto"/>
      </w:divBdr>
    </w:div>
    <w:div w:id="1645888701">
      <w:bodyDiv w:val="1"/>
      <w:marLeft w:val="0"/>
      <w:marRight w:val="0"/>
      <w:marTop w:val="0"/>
      <w:marBottom w:val="0"/>
      <w:divBdr>
        <w:top w:val="none" w:sz="0" w:space="0" w:color="auto"/>
        <w:left w:val="none" w:sz="0" w:space="0" w:color="auto"/>
        <w:bottom w:val="none" w:sz="0" w:space="0" w:color="auto"/>
        <w:right w:val="none" w:sz="0" w:space="0" w:color="auto"/>
      </w:divBdr>
    </w:div>
    <w:div w:id="201603242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clg.com/practice-areas/restructuring-and-insolvency-laws-and-regulations/australia" TargetMode="External"/><Relationship Id="rId7" Type="http://schemas.openxmlformats.org/officeDocument/2006/relationships/hyperlink" Target="https://uk.practicallaw.thomsonreuters.com/w-007-6397?transitionType=Default&amp;contextData=(sc.Default)" TargetMode="External"/><Relationship Id="rId2" Type="http://schemas.openxmlformats.org/officeDocument/2006/relationships/hyperlink" Target="https://iclg.com/practice-areas/restructuring-and-insolvency-laws-and-regulations/netherlands" TargetMode="External"/><Relationship Id="rId1" Type="http://schemas.openxmlformats.org/officeDocument/2006/relationships/hyperlink" Target="https://restructuring.bakermckenzie.com/wp-content/uploads/sites/23/2017/01/Global-Restructuring-Insolvency-Guide-New-Logo-The-Netherlands.pdf" TargetMode="External"/><Relationship Id="rId6" Type="http://schemas.openxmlformats.org/officeDocument/2006/relationships/hyperlink" Target="https://www.nortonrosefulbright.com/en/knowledge/publications/1d8e1fb5/the-model-law-in-great-britain-cross-border-insolvency-regulations-2006" TargetMode="External"/><Relationship Id="rId5" Type="http://schemas.openxmlformats.org/officeDocument/2006/relationships/hyperlink" Target="https://uncitral.un.org/en/texts/insolvency/modellaw/cross-border_insolvency/status" TargetMode="External"/><Relationship Id="rId4" Type="http://schemas.openxmlformats.org/officeDocument/2006/relationships/hyperlink" Target="https://uncitral.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17</Pages>
  <Words>7130</Words>
  <Characters>40645</Characters>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2020-06-12T02:43:00Z</cp:lastPrinted>
  <dcterms:created xsi:type="dcterms:W3CDTF">2023-07-14T10:19:00Z</dcterms:created>
  <dcterms:modified xsi:type="dcterms:W3CDTF">2023-11-15T17:28:00Z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