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8D45CB">
        <w:rPr>
          <w:rFonts w:ascii="Avenir Next" w:hAnsi="Avenir Next" w:cs="Arial"/>
          <w:sz w:val="22"/>
          <w:szCs w:val="22"/>
          <w:highlight w:val="yellow"/>
        </w:rPr>
        <w:t xml:space="preserve">This statement is untrue since the word </w:t>
      </w:r>
      <w:r w:rsidR="00823AB4" w:rsidRPr="008D45CB">
        <w:rPr>
          <w:rFonts w:ascii="Avenir Next" w:hAnsi="Avenir Next" w:cs="Arial"/>
          <w:sz w:val="22"/>
          <w:szCs w:val="22"/>
          <w:highlight w:val="yellow"/>
        </w:rPr>
        <w:t>“</w:t>
      </w:r>
      <w:r w:rsidRPr="008D45CB">
        <w:rPr>
          <w:rFonts w:ascii="Avenir Next" w:hAnsi="Avenir Next" w:cs="Arial"/>
          <w:sz w:val="22"/>
          <w:szCs w:val="22"/>
          <w:highlight w:val="yellow"/>
        </w:rPr>
        <w:t>bankruptcy</w:t>
      </w:r>
      <w:r w:rsidR="00823AB4" w:rsidRPr="008D45CB">
        <w:rPr>
          <w:rFonts w:ascii="Avenir Next" w:hAnsi="Avenir Next" w:cs="Arial"/>
          <w:sz w:val="22"/>
          <w:szCs w:val="22"/>
          <w:highlight w:val="yellow"/>
        </w:rPr>
        <w:t>”</w:t>
      </w:r>
      <w:r w:rsidRPr="008D45CB">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8D45CB">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150F8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150F88">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0F0F86">
        <w:rPr>
          <w:rFonts w:ascii="Avenir Next" w:hAnsi="Avenir Next" w:cs="Arial"/>
          <w:sz w:val="22"/>
          <w:szCs w:val="22"/>
          <w:highlight w:val="yellow"/>
        </w:rPr>
        <w:t>This statement is untrue because treaties and conventions are public international law, not private international law</w:t>
      </w:r>
      <w:r w:rsidRPr="00DA42DA">
        <w:rPr>
          <w:rFonts w:ascii="Avenir Next" w:hAnsi="Avenir Next" w:cs="Arial"/>
          <w:sz w:val="22"/>
          <w:szCs w:val="22"/>
        </w:rPr>
        <w:t>.</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FD0026">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2D43E5">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20426D">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272C20">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sidRPr="00DA42DA">
        <w:rPr>
          <w:rFonts w:ascii="Avenir Next" w:hAnsi="Avenir Next" w:cs="Arial"/>
          <w:sz w:val="22"/>
          <w:szCs w:val="22"/>
        </w:rPr>
        <w:t xml:space="preserve">.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196C4B" w:rsidRDefault="003B3A0D" w:rsidP="003B3A0D">
      <w:pPr>
        <w:pStyle w:val="ListParagraph"/>
        <w:numPr>
          <w:ilvl w:val="0"/>
          <w:numId w:val="24"/>
        </w:numPr>
        <w:ind w:left="426"/>
        <w:jc w:val="both"/>
        <w:rPr>
          <w:rFonts w:ascii="Avenir Next" w:hAnsi="Avenir Next" w:cs="Arial"/>
          <w:sz w:val="22"/>
          <w:szCs w:val="22"/>
          <w:highlight w:val="yellow"/>
        </w:rPr>
      </w:pPr>
      <w:r w:rsidRPr="00196C4B">
        <w:rPr>
          <w:rFonts w:ascii="Avenir Next" w:hAnsi="Avenir Next" w:cs="Arial"/>
          <w:sz w:val="22"/>
          <w:szCs w:val="22"/>
          <w:highlight w:val="yellow"/>
        </w:rPr>
        <w:t xml:space="preserve">This statement is untrue because universalism corresponds well to </w:t>
      </w:r>
      <w:proofErr w:type="spellStart"/>
      <w:r w:rsidRPr="00196C4B">
        <w:rPr>
          <w:rFonts w:ascii="Avenir Next" w:hAnsi="Avenir Next" w:cs="Arial"/>
          <w:sz w:val="22"/>
          <w:szCs w:val="22"/>
          <w:highlight w:val="yellow"/>
        </w:rPr>
        <w:t>globali</w:t>
      </w:r>
      <w:r w:rsidR="00142E15" w:rsidRPr="00196C4B">
        <w:rPr>
          <w:rFonts w:ascii="Avenir Next" w:hAnsi="Avenir Next" w:cs="Arial"/>
          <w:sz w:val="22"/>
          <w:szCs w:val="22"/>
          <w:highlight w:val="yellow"/>
        </w:rPr>
        <w:t>s</w:t>
      </w:r>
      <w:r w:rsidRPr="00196C4B">
        <w:rPr>
          <w:rFonts w:ascii="Avenir Next" w:hAnsi="Avenir Next" w:cs="Arial"/>
          <w:sz w:val="22"/>
          <w:szCs w:val="22"/>
          <w:highlight w:val="yellow"/>
        </w:rPr>
        <w:t>ation</w:t>
      </w:r>
      <w:proofErr w:type="spellEnd"/>
      <w:r w:rsidRPr="00196C4B">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400BCE02" w:rsidR="00CC7728" w:rsidRPr="00DA42DA" w:rsidRDefault="00DA42DA" w:rsidP="0069285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6718E">
        <w:rPr>
          <w:rFonts w:ascii="Avenir Next" w:hAnsi="Avenir Next" w:cs="Arial"/>
          <w:color w:val="808080" w:themeColor="background1" w:themeShade="80"/>
          <w:sz w:val="22"/>
          <w:szCs w:val="22"/>
          <w:lang w:val="en-GB"/>
        </w:rPr>
        <w:t xml:space="preserve">“Civil law” countries whose insolvency law is derived from Roman law as further modified by the customs and usages which had been solidified between merchants in Continental Europe evolved from a relatively draconian and creditor-focused approach to more a more rehabilitative approach involving the concept of discharge. </w:t>
      </w:r>
      <w:r w:rsidR="001D7DE0">
        <w:rPr>
          <w:rFonts w:ascii="Avenir Next" w:hAnsi="Avenir Next" w:cs="Arial"/>
          <w:color w:val="808080" w:themeColor="background1" w:themeShade="80"/>
          <w:sz w:val="22"/>
          <w:szCs w:val="22"/>
          <w:lang w:val="en-GB"/>
        </w:rPr>
        <w:t xml:space="preserve">There was also a progression from individual, debt-collection procedures by creditors, to a system of collective, ordered participation. Civil law </w:t>
      </w:r>
      <w:r w:rsidR="0086718E">
        <w:rPr>
          <w:rFonts w:ascii="Avenir Next" w:hAnsi="Avenir Next" w:cs="Arial"/>
          <w:color w:val="808080" w:themeColor="background1" w:themeShade="80"/>
          <w:sz w:val="22"/>
          <w:szCs w:val="22"/>
          <w:lang w:val="en-GB"/>
        </w:rPr>
        <w:t xml:space="preserve">include countries </w:t>
      </w:r>
      <w:r w:rsidR="001D7DE0">
        <w:rPr>
          <w:rFonts w:ascii="Avenir Next" w:hAnsi="Avenir Next" w:cs="Arial"/>
          <w:color w:val="808080" w:themeColor="background1" w:themeShade="80"/>
          <w:sz w:val="22"/>
          <w:szCs w:val="22"/>
          <w:lang w:val="en-GB"/>
        </w:rPr>
        <w:t xml:space="preserve">in Continental Europe </w:t>
      </w:r>
      <w:r w:rsidR="0086718E">
        <w:rPr>
          <w:rFonts w:ascii="Avenir Next" w:hAnsi="Avenir Next" w:cs="Arial"/>
          <w:color w:val="808080" w:themeColor="background1" w:themeShade="80"/>
          <w:sz w:val="22"/>
          <w:szCs w:val="22"/>
          <w:lang w:val="en-GB"/>
        </w:rPr>
        <w:t>such as the Netherlands and France</w:t>
      </w:r>
      <w:r w:rsidR="001D7DE0">
        <w:rPr>
          <w:rFonts w:ascii="Avenir Next" w:hAnsi="Avenir Next" w:cs="Arial"/>
          <w:color w:val="808080" w:themeColor="background1" w:themeShade="80"/>
          <w:sz w:val="22"/>
          <w:szCs w:val="22"/>
          <w:lang w:val="en-GB"/>
        </w:rPr>
        <w:t>, as well as former colonies of those nations such as Angola and Mozambique</w:t>
      </w:r>
      <w:r w:rsidR="0086718E">
        <w:rPr>
          <w:rFonts w:ascii="Avenir Next" w:hAnsi="Avenir Next" w:cs="Arial"/>
          <w:color w:val="808080" w:themeColor="background1" w:themeShade="80"/>
          <w:sz w:val="22"/>
          <w:szCs w:val="22"/>
          <w:lang w:val="en-GB"/>
        </w:rPr>
        <w:t xml:space="preserve">. </w:t>
      </w:r>
      <w:r w:rsidR="001D7DE0">
        <w:rPr>
          <w:rFonts w:ascii="Avenir Next" w:hAnsi="Avenir Next" w:cs="Arial"/>
          <w:color w:val="808080" w:themeColor="background1" w:themeShade="80"/>
          <w:sz w:val="22"/>
          <w:szCs w:val="22"/>
          <w:lang w:val="en-GB"/>
        </w:rPr>
        <w:t>English law followed a similar trajectory both in terms of ameliorating harshness towards debtors and moving from individual to collective recovery in insolvency. Indeed, English law introduced the concept of statutory discharge as early as 1705. Countries whose insolvency law systems have historical roots in English law are the United Kingdom and its former colonies including the United States of America and Australia</w:t>
      </w:r>
      <w:r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7AB3695F" w14:textId="77777777" w:rsidR="007D5D06"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55150F">
        <w:rPr>
          <w:rFonts w:ascii="Avenir Next" w:hAnsi="Avenir Next" w:cs="Arial"/>
          <w:color w:val="808080" w:themeColor="background1" w:themeShade="80"/>
          <w:sz w:val="22"/>
          <w:szCs w:val="22"/>
          <w:lang w:val="en-GB"/>
        </w:rPr>
        <w:t>Universalism is a principle whereunder a</w:t>
      </w:r>
      <w:r w:rsidR="007D5D06">
        <w:rPr>
          <w:rFonts w:ascii="Avenir Next" w:hAnsi="Avenir Next" w:cs="Arial"/>
          <w:color w:val="808080" w:themeColor="background1" w:themeShade="80"/>
          <w:sz w:val="22"/>
          <w:szCs w:val="22"/>
          <w:lang w:val="en-GB"/>
        </w:rPr>
        <w:t xml:space="preserve">n insolvency </w:t>
      </w:r>
      <w:r w:rsidR="0055150F">
        <w:rPr>
          <w:rFonts w:ascii="Avenir Next" w:hAnsi="Avenir Next" w:cs="Arial"/>
          <w:color w:val="808080" w:themeColor="background1" w:themeShade="80"/>
          <w:sz w:val="22"/>
          <w:szCs w:val="22"/>
          <w:lang w:val="en-GB"/>
        </w:rPr>
        <w:t>proceeding begun in one jurisdiction is recognised and its determinations applied and enforced across other jurisdictions</w:t>
      </w:r>
      <w:r w:rsidR="007D5D06">
        <w:rPr>
          <w:rFonts w:ascii="Avenir Next" w:hAnsi="Avenir Next" w:cs="Arial"/>
          <w:color w:val="808080" w:themeColor="background1" w:themeShade="80"/>
          <w:sz w:val="22"/>
          <w:szCs w:val="22"/>
          <w:lang w:val="en-GB"/>
        </w:rPr>
        <w:t>. Essentially, a system whereunder a single proceeding and its associated legal rules are “universally” applied across territories.</w:t>
      </w:r>
    </w:p>
    <w:p w14:paraId="227CAE0A" w14:textId="77777777" w:rsidR="007D5D06" w:rsidRDefault="007D5D06" w:rsidP="00DA42DA">
      <w:pPr>
        <w:jc w:val="both"/>
        <w:rPr>
          <w:rFonts w:ascii="Avenir Next" w:hAnsi="Avenir Next" w:cs="Arial"/>
          <w:color w:val="808080" w:themeColor="background1" w:themeShade="80"/>
          <w:sz w:val="22"/>
          <w:szCs w:val="22"/>
          <w:lang w:val="en-GB"/>
        </w:rPr>
      </w:pPr>
    </w:p>
    <w:p w14:paraId="41F1E7A6" w14:textId="77777777" w:rsidR="007D5D06" w:rsidRDefault="007D5D06" w:rsidP="007D5D0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 by contrast, rigidly adheres to the principle of sovereignty, and contemplates an insolvency proceeding and its associated legal rules having effect only upon the assets located within that territory. Thus, territoriality contemplates multiple insolvency proceedings where the debtor’s assets are located in multiple territories.</w:t>
      </w:r>
    </w:p>
    <w:p w14:paraId="469A881C" w14:textId="77777777" w:rsidR="007D5D06" w:rsidRDefault="007D5D06" w:rsidP="007D5D06">
      <w:pPr>
        <w:jc w:val="both"/>
        <w:rPr>
          <w:rFonts w:ascii="Avenir Next" w:hAnsi="Avenir Next" w:cs="Arial"/>
          <w:color w:val="808080" w:themeColor="background1" w:themeShade="80"/>
          <w:sz w:val="22"/>
          <w:szCs w:val="22"/>
          <w:lang w:val="en-GB"/>
        </w:rPr>
      </w:pPr>
    </w:p>
    <w:p w14:paraId="7FF8B324" w14:textId="23B8A62E" w:rsidR="007D5D06" w:rsidRPr="00DA42DA" w:rsidRDefault="007D5D06" w:rsidP="007D5D0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Modified universalism acknowledges the sovereignty of nations over the assets within their territories. However, it contemplates a “main” insolvency proceeding which would be commenced in the territory in which the debtor’s centre of operations is located, and which main proceeding is supported by ancillary proceedings in the other territories in which the debtor operates.</w:t>
      </w:r>
      <w:r w:rsidR="00DA42DA" w:rsidRPr="00DA42DA">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4FAE105D" w14:textId="77777777" w:rsidR="00817D63"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17D63">
        <w:rPr>
          <w:rFonts w:ascii="Avenir Next" w:hAnsi="Avenir Next" w:cs="Arial"/>
          <w:color w:val="808080" w:themeColor="background1" w:themeShade="80"/>
          <w:sz w:val="22"/>
          <w:szCs w:val="22"/>
          <w:lang w:val="en-GB"/>
        </w:rPr>
        <w:t>Many countries within Latin America have concluded the Montevideo Treaties (1889 and 1940) and the Havana Convention on Private International Law (1928) – treaties on private international law which involved bankruptcy or insolvency.</w:t>
      </w:r>
    </w:p>
    <w:p w14:paraId="7288FA41" w14:textId="77777777" w:rsidR="00817D63" w:rsidRDefault="00817D63" w:rsidP="00DA42DA">
      <w:pPr>
        <w:jc w:val="both"/>
        <w:rPr>
          <w:rFonts w:ascii="Avenir Next" w:hAnsi="Avenir Next" w:cs="Arial"/>
          <w:color w:val="808080" w:themeColor="background1" w:themeShade="80"/>
          <w:sz w:val="22"/>
          <w:szCs w:val="22"/>
          <w:lang w:val="en-GB"/>
        </w:rPr>
      </w:pPr>
    </w:p>
    <w:p w14:paraId="6187CEB7" w14:textId="4F05EEEE" w:rsidR="00817D63" w:rsidRDefault="00817D63" w:rsidP="00817D6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1889 Montevideo Treaty reflects </w:t>
      </w:r>
      <w:r w:rsidR="008210B0">
        <w:rPr>
          <w:rFonts w:ascii="Avenir Next" w:hAnsi="Avenir Next" w:cs="Arial"/>
          <w:color w:val="808080" w:themeColor="background1" w:themeShade="80"/>
          <w:sz w:val="22"/>
          <w:szCs w:val="22"/>
          <w:lang w:val="en-GB"/>
        </w:rPr>
        <w:t xml:space="preserve">the principle of </w:t>
      </w:r>
      <w:r>
        <w:rPr>
          <w:rFonts w:ascii="Avenir Next" w:hAnsi="Avenir Next" w:cs="Arial"/>
          <w:color w:val="808080" w:themeColor="background1" w:themeShade="80"/>
          <w:sz w:val="22"/>
          <w:szCs w:val="22"/>
          <w:lang w:val="en-GB"/>
        </w:rPr>
        <w:t xml:space="preserve">universalism in that where a debtor has is main centre of business in one treaty state, even if there is occasional trade in another or others, there will be one set of insolvency proceedings in the state in which there is the main centre of business. </w:t>
      </w:r>
      <w:r w:rsidR="008210B0">
        <w:rPr>
          <w:rFonts w:ascii="Avenir Next" w:hAnsi="Avenir Next" w:cs="Arial"/>
          <w:color w:val="808080" w:themeColor="background1" w:themeShade="80"/>
          <w:sz w:val="22"/>
          <w:szCs w:val="22"/>
          <w:lang w:val="en-GB"/>
        </w:rPr>
        <w:t>However, it contemplates concurrent proceedings where a debtor has several economically autonomous businesses in different treaty states. This treaty</w:t>
      </w:r>
      <w:r>
        <w:rPr>
          <w:rFonts w:ascii="Avenir Next" w:hAnsi="Avenir Next" w:cs="Arial"/>
          <w:color w:val="808080" w:themeColor="background1" w:themeShade="80"/>
          <w:sz w:val="22"/>
          <w:szCs w:val="22"/>
          <w:lang w:val="en-GB"/>
        </w:rPr>
        <w:t xml:space="preserve"> was concluded among Argentina, Bolivia, Colombia, Paraguay, Peru and Uruguay.</w:t>
      </w:r>
    </w:p>
    <w:p w14:paraId="1333629F" w14:textId="77777777" w:rsidR="00817D63" w:rsidRDefault="00817D63" w:rsidP="00817D63">
      <w:pPr>
        <w:jc w:val="both"/>
        <w:rPr>
          <w:rFonts w:ascii="Avenir Next" w:hAnsi="Avenir Next" w:cs="Arial"/>
          <w:color w:val="808080" w:themeColor="background1" w:themeShade="80"/>
          <w:sz w:val="22"/>
          <w:szCs w:val="22"/>
          <w:lang w:val="en-GB"/>
        </w:rPr>
      </w:pPr>
    </w:p>
    <w:p w14:paraId="027345B8" w14:textId="68CE7F25" w:rsidR="00817D63" w:rsidRDefault="00817D63" w:rsidP="00817D6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There are two 1940 Montevideo Treaties but they have only been ratified by Argentina, Paraguay and Uruguay. </w:t>
      </w:r>
    </w:p>
    <w:p w14:paraId="2DE4DE95" w14:textId="67017D69" w:rsidR="00817D63" w:rsidRDefault="00817D63" w:rsidP="00817D6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w:t>
      </w:r>
      <w:r w:rsidR="008210B0">
        <w:rPr>
          <w:rFonts w:ascii="Avenir Next" w:hAnsi="Avenir Next" w:cs="Arial"/>
          <w:color w:val="808080" w:themeColor="background1" w:themeShade="80"/>
          <w:sz w:val="22"/>
          <w:szCs w:val="22"/>
          <w:lang w:val="en-GB"/>
        </w:rPr>
        <w:t>also reflects universalism, emphasising that where there is only one commercial domicile, there can be only one insolvency proceeding in that domicile, which will govern the disposal of the assets of the debtor across all states party to the Havana Convention. As such, the determinations made in that insolvency proceeding are of immediate extraterritorial effect.</w:t>
      </w:r>
    </w:p>
    <w:p w14:paraId="2ABA7008" w14:textId="77777777" w:rsidR="008210B0" w:rsidRDefault="008210B0" w:rsidP="00817D63">
      <w:pPr>
        <w:jc w:val="both"/>
        <w:rPr>
          <w:rFonts w:ascii="Avenir Next" w:hAnsi="Avenir Next" w:cs="Arial"/>
          <w:color w:val="808080" w:themeColor="background1" w:themeShade="80"/>
          <w:sz w:val="22"/>
          <w:szCs w:val="22"/>
          <w:lang w:val="en-GB"/>
        </w:rPr>
      </w:pPr>
    </w:p>
    <w:p w14:paraId="61900735" w14:textId="364D3FBC" w:rsidR="00DA42DA" w:rsidRPr="008210B0" w:rsidRDefault="008210B0" w:rsidP="008210B0">
      <w:pPr>
        <w:jc w:val="both"/>
        <w:rPr>
          <w:rFonts w:ascii="Avenir Next" w:hAnsi="Avenir Next" w:cs="Arial"/>
          <w:color w:val="808080" w:themeColor="background1" w:themeShade="80"/>
          <w:sz w:val="22"/>
          <w:szCs w:val="22"/>
          <w:lang w:val="es-ES"/>
        </w:rPr>
      </w:pPr>
      <w:proofErr w:type="spellStart"/>
      <w:r w:rsidRPr="008210B0">
        <w:rPr>
          <w:rFonts w:ascii="Avenir Next" w:hAnsi="Avenir Next" w:cs="Arial"/>
          <w:color w:val="808080" w:themeColor="background1" w:themeShade="80"/>
          <w:sz w:val="22"/>
          <w:szCs w:val="22"/>
          <w:lang w:val="es-ES"/>
        </w:rPr>
        <w:t>This</w:t>
      </w:r>
      <w:proofErr w:type="spellEnd"/>
      <w:r w:rsidRPr="008210B0">
        <w:rPr>
          <w:rFonts w:ascii="Avenir Next" w:hAnsi="Avenir Next" w:cs="Arial"/>
          <w:color w:val="808080" w:themeColor="background1" w:themeShade="80"/>
          <w:sz w:val="22"/>
          <w:szCs w:val="22"/>
          <w:lang w:val="es-ES"/>
        </w:rPr>
        <w:t xml:space="preserve"> </w:t>
      </w:r>
      <w:proofErr w:type="spellStart"/>
      <w:r w:rsidRPr="008210B0">
        <w:rPr>
          <w:rFonts w:ascii="Avenir Next" w:hAnsi="Avenir Next" w:cs="Arial"/>
          <w:color w:val="808080" w:themeColor="background1" w:themeShade="80"/>
          <w:sz w:val="22"/>
          <w:szCs w:val="22"/>
          <w:lang w:val="es-ES"/>
        </w:rPr>
        <w:t>treaty</w:t>
      </w:r>
      <w:proofErr w:type="spellEnd"/>
      <w:r w:rsidRPr="008210B0">
        <w:rPr>
          <w:rFonts w:ascii="Avenir Next" w:hAnsi="Avenir Next" w:cs="Arial"/>
          <w:color w:val="808080" w:themeColor="background1" w:themeShade="80"/>
          <w:sz w:val="22"/>
          <w:szCs w:val="22"/>
          <w:lang w:val="es-ES"/>
        </w:rPr>
        <w:t xml:space="preserve"> </w:t>
      </w:r>
      <w:proofErr w:type="spellStart"/>
      <w:r w:rsidRPr="008210B0">
        <w:rPr>
          <w:rFonts w:ascii="Avenir Next" w:hAnsi="Avenir Next" w:cs="Arial"/>
          <w:color w:val="808080" w:themeColor="background1" w:themeShade="80"/>
          <w:sz w:val="22"/>
          <w:szCs w:val="22"/>
          <w:lang w:val="es-ES"/>
        </w:rPr>
        <w:t>was</w:t>
      </w:r>
      <w:proofErr w:type="spellEnd"/>
      <w:r w:rsidRPr="008210B0">
        <w:rPr>
          <w:rFonts w:ascii="Avenir Next" w:hAnsi="Avenir Next" w:cs="Arial"/>
          <w:color w:val="808080" w:themeColor="background1" w:themeShade="80"/>
          <w:sz w:val="22"/>
          <w:szCs w:val="22"/>
          <w:lang w:val="es-ES"/>
        </w:rPr>
        <w:t xml:space="preserve"> </w:t>
      </w:r>
      <w:proofErr w:type="spellStart"/>
      <w:r w:rsidRPr="008210B0">
        <w:rPr>
          <w:rFonts w:ascii="Avenir Next" w:hAnsi="Avenir Next" w:cs="Arial"/>
          <w:color w:val="808080" w:themeColor="background1" w:themeShade="80"/>
          <w:sz w:val="22"/>
          <w:szCs w:val="22"/>
          <w:lang w:val="es-ES"/>
        </w:rPr>
        <w:t>concluded</w:t>
      </w:r>
      <w:proofErr w:type="spellEnd"/>
      <w:r w:rsidRPr="008210B0">
        <w:rPr>
          <w:rFonts w:ascii="Avenir Next" w:hAnsi="Avenir Next" w:cs="Arial"/>
          <w:color w:val="808080" w:themeColor="background1" w:themeShade="80"/>
          <w:sz w:val="22"/>
          <w:szCs w:val="22"/>
          <w:lang w:val="es-ES"/>
        </w:rPr>
        <w:t xml:space="preserve"> </w:t>
      </w:r>
      <w:proofErr w:type="spellStart"/>
      <w:r w:rsidRPr="008210B0">
        <w:rPr>
          <w:rFonts w:ascii="Avenir Next" w:hAnsi="Avenir Next" w:cs="Arial"/>
          <w:color w:val="808080" w:themeColor="background1" w:themeShade="80"/>
          <w:sz w:val="22"/>
          <w:szCs w:val="22"/>
          <w:lang w:val="es-ES"/>
        </w:rPr>
        <w:t>among</w:t>
      </w:r>
      <w:proofErr w:type="spellEnd"/>
      <w:r w:rsidRPr="008210B0">
        <w:rPr>
          <w:rFonts w:ascii="Avenir Next" w:hAnsi="Avenir Next" w:cs="Arial"/>
          <w:color w:val="808080" w:themeColor="background1" w:themeShade="80"/>
          <w:sz w:val="22"/>
          <w:szCs w:val="22"/>
          <w:lang w:val="es-ES"/>
        </w:rPr>
        <w:t xml:space="preserve"> Bolivia, </w:t>
      </w:r>
      <w:proofErr w:type="spellStart"/>
      <w:r w:rsidRPr="008210B0">
        <w:rPr>
          <w:rFonts w:ascii="Avenir Next" w:hAnsi="Avenir Next" w:cs="Arial"/>
          <w:color w:val="808080" w:themeColor="background1" w:themeShade="80"/>
          <w:sz w:val="22"/>
          <w:szCs w:val="22"/>
          <w:lang w:val="es-ES"/>
        </w:rPr>
        <w:t>Brazil</w:t>
      </w:r>
      <w:proofErr w:type="spellEnd"/>
      <w:r w:rsidRPr="008210B0">
        <w:rPr>
          <w:rFonts w:ascii="Avenir Next" w:hAnsi="Avenir Next" w:cs="Arial"/>
          <w:color w:val="808080" w:themeColor="background1" w:themeShade="80"/>
          <w:sz w:val="22"/>
          <w:szCs w:val="22"/>
          <w:lang w:val="es-ES"/>
        </w:rPr>
        <w:t xml:space="preserve">, Chile, Costa Rica, Cuba, </w:t>
      </w:r>
      <w:proofErr w:type="spellStart"/>
      <w:r w:rsidRPr="008210B0">
        <w:rPr>
          <w:rFonts w:ascii="Avenir Next" w:hAnsi="Avenir Next" w:cs="Arial"/>
          <w:color w:val="808080" w:themeColor="background1" w:themeShade="80"/>
          <w:sz w:val="22"/>
          <w:szCs w:val="22"/>
          <w:lang w:val="es-ES"/>
        </w:rPr>
        <w:t>the</w:t>
      </w:r>
      <w:proofErr w:type="spellEnd"/>
      <w:r w:rsidRPr="008210B0">
        <w:rPr>
          <w:rFonts w:ascii="Avenir Next" w:hAnsi="Avenir Next" w:cs="Arial"/>
          <w:color w:val="808080" w:themeColor="background1" w:themeShade="80"/>
          <w:sz w:val="22"/>
          <w:szCs w:val="22"/>
          <w:lang w:val="es-ES"/>
        </w:rPr>
        <w:t xml:space="preserve"> </w:t>
      </w:r>
      <w:proofErr w:type="spellStart"/>
      <w:r w:rsidRPr="008210B0">
        <w:rPr>
          <w:rFonts w:ascii="Avenir Next" w:hAnsi="Avenir Next" w:cs="Arial"/>
          <w:color w:val="808080" w:themeColor="background1" w:themeShade="80"/>
          <w:sz w:val="22"/>
          <w:szCs w:val="22"/>
          <w:lang w:val="es-ES"/>
        </w:rPr>
        <w:t>Dominican</w:t>
      </w:r>
      <w:proofErr w:type="spellEnd"/>
      <w:r w:rsidRPr="008210B0">
        <w:rPr>
          <w:rFonts w:ascii="Avenir Next" w:hAnsi="Avenir Next" w:cs="Arial"/>
          <w:color w:val="808080" w:themeColor="background1" w:themeShade="80"/>
          <w:sz w:val="22"/>
          <w:szCs w:val="22"/>
          <w:lang w:val="es-ES"/>
        </w:rPr>
        <w:t xml:space="preserve"> </w:t>
      </w:r>
      <w:proofErr w:type="spellStart"/>
      <w:r w:rsidRPr="008210B0">
        <w:rPr>
          <w:rFonts w:ascii="Avenir Next" w:hAnsi="Avenir Next" w:cs="Arial"/>
          <w:color w:val="808080" w:themeColor="background1" w:themeShade="80"/>
          <w:sz w:val="22"/>
          <w:szCs w:val="22"/>
          <w:lang w:val="es-ES"/>
        </w:rPr>
        <w:t>Republic</w:t>
      </w:r>
      <w:proofErr w:type="spellEnd"/>
      <w:r w:rsidRPr="008210B0">
        <w:rPr>
          <w:rFonts w:ascii="Avenir Next" w:hAnsi="Avenir Next" w:cs="Arial"/>
          <w:color w:val="808080" w:themeColor="background1" w:themeShade="80"/>
          <w:sz w:val="22"/>
          <w:szCs w:val="22"/>
          <w:lang w:val="es-ES"/>
        </w:rPr>
        <w:t xml:space="preserve">, Ecuador, El Salvador, Guatemala, </w:t>
      </w:r>
      <w:proofErr w:type="spellStart"/>
      <w:r w:rsidRPr="008210B0">
        <w:rPr>
          <w:rFonts w:ascii="Avenir Next" w:hAnsi="Avenir Next" w:cs="Arial"/>
          <w:color w:val="808080" w:themeColor="background1" w:themeShade="80"/>
          <w:sz w:val="22"/>
          <w:szCs w:val="22"/>
          <w:lang w:val="es-ES"/>
        </w:rPr>
        <w:t>Haiti</w:t>
      </w:r>
      <w:proofErr w:type="spellEnd"/>
      <w:r w:rsidRPr="008210B0">
        <w:rPr>
          <w:rFonts w:ascii="Avenir Next" w:hAnsi="Avenir Next" w:cs="Arial"/>
          <w:color w:val="808080" w:themeColor="background1" w:themeShade="80"/>
          <w:sz w:val="22"/>
          <w:szCs w:val="22"/>
          <w:lang w:val="es-ES"/>
        </w:rPr>
        <w:t xml:space="preserve">, Honduras, Nicaragua, </w:t>
      </w:r>
      <w:proofErr w:type="spellStart"/>
      <w:r w:rsidRPr="008210B0">
        <w:rPr>
          <w:rFonts w:ascii="Avenir Next" w:hAnsi="Avenir Next" w:cs="Arial"/>
          <w:color w:val="808080" w:themeColor="background1" w:themeShade="80"/>
          <w:sz w:val="22"/>
          <w:szCs w:val="22"/>
          <w:lang w:val="es-ES"/>
        </w:rPr>
        <w:t>Pa</w:t>
      </w:r>
      <w:r>
        <w:rPr>
          <w:rFonts w:ascii="Avenir Next" w:hAnsi="Avenir Next" w:cs="Arial"/>
          <w:color w:val="808080" w:themeColor="background1" w:themeShade="80"/>
          <w:sz w:val="22"/>
          <w:szCs w:val="22"/>
          <w:lang w:val="es-ES"/>
        </w:rPr>
        <w:t>nama</w:t>
      </w:r>
      <w:proofErr w:type="spellEnd"/>
      <w:r>
        <w:rPr>
          <w:rFonts w:ascii="Avenir Next" w:hAnsi="Avenir Next" w:cs="Arial"/>
          <w:color w:val="808080" w:themeColor="background1" w:themeShade="80"/>
          <w:sz w:val="22"/>
          <w:szCs w:val="22"/>
          <w:lang w:val="es-ES"/>
        </w:rPr>
        <w:t xml:space="preserve">, </w:t>
      </w:r>
      <w:proofErr w:type="spellStart"/>
      <w:r>
        <w:rPr>
          <w:rFonts w:ascii="Avenir Next" w:hAnsi="Avenir Next" w:cs="Arial"/>
          <w:color w:val="808080" w:themeColor="background1" w:themeShade="80"/>
          <w:sz w:val="22"/>
          <w:szCs w:val="22"/>
          <w:lang w:val="es-ES"/>
        </w:rPr>
        <w:t>Peru</w:t>
      </w:r>
      <w:proofErr w:type="spellEnd"/>
      <w:r>
        <w:rPr>
          <w:rFonts w:ascii="Avenir Next" w:hAnsi="Avenir Next" w:cs="Arial"/>
          <w:color w:val="808080" w:themeColor="background1" w:themeShade="80"/>
          <w:sz w:val="22"/>
          <w:szCs w:val="22"/>
          <w:lang w:val="es-ES"/>
        </w:rPr>
        <w:t>, and Venezuela.</w:t>
      </w:r>
      <w:r w:rsidR="00DA42DA" w:rsidRPr="008210B0">
        <w:rPr>
          <w:rFonts w:ascii="Avenir Next" w:hAnsi="Avenir Next" w:cs="Arial"/>
          <w:color w:val="808080" w:themeColor="background1" w:themeShade="80"/>
          <w:sz w:val="22"/>
          <w:szCs w:val="22"/>
          <w:lang w:val="es-ES"/>
        </w:rPr>
        <w:t>]</w:t>
      </w:r>
    </w:p>
    <w:p w14:paraId="6A803E53" w14:textId="77777777" w:rsidR="004417C1" w:rsidRPr="008210B0" w:rsidRDefault="004417C1" w:rsidP="00384F24">
      <w:pPr>
        <w:jc w:val="both"/>
        <w:rPr>
          <w:rFonts w:ascii="Avenir Next" w:hAnsi="Avenir Next" w:cs="Arial"/>
          <w:sz w:val="22"/>
          <w:szCs w:val="22"/>
          <w:lang w:val="es-ES"/>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2C52766A" w14:textId="77777777" w:rsidR="000615A7"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A42AAE">
        <w:rPr>
          <w:rFonts w:ascii="Avenir Next" w:hAnsi="Avenir Next" w:cs="Arial"/>
          <w:color w:val="808080" w:themeColor="background1" w:themeShade="80"/>
          <w:sz w:val="22"/>
          <w:szCs w:val="22"/>
          <w:lang w:val="en-GB"/>
        </w:rPr>
        <w:t xml:space="preserve">I do not entirely disagree with the statement as there are legal systems in which the two terms are indeed used interchangeably. In others, such as Australia, the distinction is that “bankruptcy” is often used to refer to the insolvency of an individual, while “insolvency” is used to refer to that of a corporation. </w:t>
      </w:r>
    </w:p>
    <w:p w14:paraId="6E60B03F" w14:textId="77777777" w:rsidR="000615A7" w:rsidRDefault="000615A7" w:rsidP="00DA42DA">
      <w:pPr>
        <w:jc w:val="both"/>
        <w:rPr>
          <w:rFonts w:ascii="Avenir Next" w:hAnsi="Avenir Next" w:cs="Arial"/>
          <w:color w:val="808080" w:themeColor="background1" w:themeShade="80"/>
          <w:sz w:val="22"/>
          <w:szCs w:val="22"/>
          <w:lang w:val="en-GB"/>
        </w:rPr>
      </w:pPr>
    </w:p>
    <w:p w14:paraId="66E21696" w14:textId="72958D75" w:rsidR="000615A7" w:rsidRDefault="00A42AA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in many systems, “insolvency” refers to a state where a person (natural or artificial) is deemed incapable of satisfying their obligations to creditors as and when they call due, either under </w:t>
      </w:r>
      <w:r w:rsidR="000615A7">
        <w:rPr>
          <w:rFonts w:ascii="Avenir Next" w:hAnsi="Avenir Next" w:cs="Arial"/>
          <w:color w:val="808080" w:themeColor="background1" w:themeShade="80"/>
          <w:sz w:val="22"/>
          <w:szCs w:val="22"/>
          <w:lang w:val="en-GB"/>
        </w:rPr>
        <w:t>“balance sheet insolvency” where liabilities exceed the assets of the debtor, or “cash flow” insolvency where there are insufficient liquid assets to discharge current liabilities.</w:t>
      </w:r>
    </w:p>
    <w:p w14:paraId="1FC9A448" w14:textId="77777777" w:rsidR="000615A7" w:rsidRDefault="000615A7" w:rsidP="00DA42DA">
      <w:pPr>
        <w:jc w:val="both"/>
        <w:rPr>
          <w:rFonts w:ascii="Avenir Next" w:hAnsi="Avenir Next" w:cs="Arial"/>
          <w:color w:val="808080" w:themeColor="background1" w:themeShade="80"/>
          <w:sz w:val="22"/>
          <w:szCs w:val="22"/>
          <w:lang w:val="en-GB"/>
        </w:rPr>
      </w:pPr>
    </w:p>
    <w:p w14:paraId="71773D47" w14:textId="34AA0495" w:rsidR="00DA42DA" w:rsidRPr="00DA42DA" w:rsidRDefault="000615A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Seay and Hooley note that different considerations arise in insolvency regimes where the debtor is a corporation from when it is an individual. The differences reflect the humanity and feelings of the individual – in an individual insolvency, the regime aims to protect the debtor from harassment by their creditors; and aims to enable the debtor to be rehabilitated by the process, so as to make a fresh start. With corporations, there is more of a focus on commercial viability, and the business, or those aspects of it which are commercially viable are preserved even if thus means the end of the corporation itself.</w:t>
      </w:r>
      <w:r w:rsidR="00DA42DA" w:rsidRPr="00DA42DA">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F8A60C8" w14:textId="01180349" w:rsidR="005D4ED4" w:rsidRDefault="00DA42DA" w:rsidP="00E51820">
      <w:pPr>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5D4ED4">
        <w:rPr>
          <w:rFonts w:ascii="Avenir Next" w:hAnsi="Avenir Next" w:cs="Arial"/>
          <w:color w:val="808080" w:themeColor="background1" w:themeShade="80"/>
          <w:sz w:val="22"/>
          <w:szCs w:val="22"/>
          <w:lang w:val="en-GB"/>
        </w:rPr>
        <w:t>Westbrook identifies 9 key issues in cross-border cases which affect the extent to which a unified insolvency dispensation may be developed and implemented:</w:t>
      </w:r>
    </w:p>
    <w:p w14:paraId="42F88016" w14:textId="2BBD02EF" w:rsidR="005D4ED4" w:rsidRDefault="005D4ED4" w:rsidP="00E5182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Standing of the foreign representative, moratorium on creditor actions, executory contracts, co-ordinated claims procedures, priorities and preferences, avoidance provision powers, discharges, and conflict of laws issues.</w:t>
      </w:r>
    </w:p>
    <w:p w14:paraId="6F2EFD06" w14:textId="77777777" w:rsidR="005D4ED4" w:rsidRDefault="005D4ED4" w:rsidP="00E51820">
      <w:pPr>
        <w:rPr>
          <w:rFonts w:ascii="Avenir Next" w:hAnsi="Avenir Next" w:cs="Arial"/>
          <w:color w:val="808080" w:themeColor="background1" w:themeShade="80"/>
          <w:sz w:val="22"/>
          <w:szCs w:val="22"/>
          <w:lang w:val="en-GB"/>
        </w:rPr>
      </w:pPr>
    </w:p>
    <w:p w14:paraId="0EA53288" w14:textId="6AAFA3E2" w:rsidR="00E51820" w:rsidRPr="00E51820" w:rsidRDefault="00E51820" w:rsidP="00E5182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challenges relate to the fact that </w:t>
      </w:r>
      <w:r w:rsidR="005D4ED4">
        <w:rPr>
          <w:rFonts w:ascii="Avenir Next" w:hAnsi="Avenir Next" w:cs="Arial"/>
          <w:color w:val="808080" w:themeColor="background1" w:themeShade="80"/>
          <w:sz w:val="22"/>
          <w:szCs w:val="22"/>
          <w:lang w:val="en-GB"/>
        </w:rPr>
        <w:t>d</w:t>
      </w:r>
      <w:r w:rsidRPr="00E51820">
        <w:rPr>
          <w:rFonts w:ascii="Avenir Next" w:hAnsi="Avenir Next" w:cs="Arial"/>
          <w:color w:val="808080" w:themeColor="background1" w:themeShade="80"/>
          <w:sz w:val="22"/>
          <w:szCs w:val="22"/>
          <w:lang w:val="en-GB"/>
        </w:rPr>
        <w:t xml:space="preserve">ifferent legal regimes have different central aims of their insolvency laws. They may be creditor focused or debtor focused. </w:t>
      </w:r>
      <w:r>
        <w:rPr>
          <w:rFonts w:ascii="Avenir Next" w:hAnsi="Avenir Next" w:cs="Arial"/>
          <w:color w:val="808080" w:themeColor="background1" w:themeShade="80"/>
          <w:sz w:val="22"/>
          <w:szCs w:val="22"/>
          <w:lang w:val="en-GB"/>
        </w:rPr>
        <w:t xml:space="preserve">Thus, where </w:t>
      </w:r>
      <w:r w:rsidRPr="00E51820">
        <w:rPr>
          <w:rFonts w:ascii="Avenir Next" w:hAnsi="Avenir Next" w:cs="Arial"/>
          <w:color w:val="808080" w:themeColor="background1" w:themeShade="80"/>
          <w:sz w:val="22"/>
          <w:szCs w:val="22"/>
          <w:lang w:val="en-GB"/>
        </w:rPr>
        <w:t xml:space="preserve">decisions made in </w:t>
      </w:r>
      <w:r w:rsidRPr="00E51820">
        <w:rPr>
          <w:rFonts w:ascii="Avenir Next" w:hAnsi="Avenir Next" w:cs="Arial"/>
          <w:color w:val="808080" w:themeColor="background1" w:themeShade="80"/>
          <w:sz w:val="22"/>
          <w:szCs w:val="22"/>
          <w:lang w:val="en-GB"/>
        </w:rPr>
        <w:lastRenderedPageBreak/>
        <w:t>on</w:t>
      </w:r>
      <w:r>
        <w:rPr>
          <w:rFonts w:ascii="Avenir Next" w:hAnsi="Avenir Next" w:cs="Arial"/>
          <w:color w:val="808080" w:themeColor="background1" w:themeShade="80"/>
          <w:sz w:val="22"/>
          <w:szCs w:val="22"/>
          <w:lang w:val="en-GB"/>
        </w:rPr>
        <w:t>e</w:t>
      </w:r>
      <w:r w:rsidRPr="00E51820">
        <w:rPr>
          <w:rFonts w:ascii="Avenir Next" w:hAnsi="Avenir Next" w:cs="Arial"/>
          <w:color w:val="808080" w:themeColor="background1" w:themeShade="80"/>
          <w:sz w:val="22"/>
          <w:szCs w:val="22"/>
          <w:lang w:val="en-GB"/>
        </w:rPr>
        <w:t xml:space="preserve"> jurisdiction conflict with the central aim of </w:t>
      </w:r>
      <w:r>
        <w:rPr>
          <w:rFonts w:ascii="Avenir Next" w:hAnsi="Avenir Next" w:cs="Arial"/>
          <w:color w:val="808080" w:themeColor="background1" w:themeShade="80"/>
          <w:sz w:val="22"/>
          <w:szCs w:val="22"/>
          <w:lang w:val="en-GB"/>
        </w:rPr>
        <w:t>another, it is challenging for the latter jurisdiction to give effect to that decision</w:t>
      </w:r>
      <w:r w:rsidRPr="00E51820">
        <w:rPr>
          <w:rFonts w:ascii="Avenir Next" w:hAnsi="Avenir Next" w:cs="Arial"/>
          <w:color w:val="808080" w:themeColor="background1" w:themeShade="80"/>
          <w:sz w:val="22"/>
          <w:szCs w:val="22"/>
          <w:lang w:val="en-GB"/>
        </w:rPr>
        <w:t>.</w:t>
      </w:r>
    </w:p>
    <w:p w14:paraId="72903271" w14:textId="77777777" w:rsidR="00E51820" w:rsidRPr="00E51820" w:rsidRDefault="00E51820" w:rsidP="00E51820">
      <w:pPr>
        <w:rPr>
          <w:rFonts w:ascii="Avenir Next" w:hAnsi="Avenir Next" w:cs="Arial"/>
          <w:color w:val="808080" w:themeColor="background1" w:themeShade="80"/>
          <w:sz w:val="22"/>
          <w:szCs w:val="22"/>
          <w:lang w:val="en-GB"/>
        </w:rPr>
      </w:pPr>
    </w:p>
    <w:p w14:paraId="20EC0B3E" w14:textId="1E586107" w:rsidR="00E51820" w:rsidRPr="00E51820" w:rsidRDefault="005D4ED4" w:rsidP="005D4E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Westbrook’s list reflects the fact that there may be</w:t>
      </w:r>
      <w:r w:rsidR="00E51820" w:rsidRPr="00E51820">
        <w:rPr>
          <w:rFonts w:ascii="Avenir Next" w:hAnsi="Avenir Next" w:cs="Arial"/>
          <w:color w:val="808080" w:themeColor="background1" w:themeShade="80"/>
          <w:sz w:val="22"/>
          <w:szCs w:val="22"/>
          <w:lang w:val="en-GB"/>
        </w:rPr>
        <w:t xml:space="preserve"> different approaches to the key considerations that underpin any insolvency regime. </w:t>
      </w:r>
      <w:r>
        <w:rPr>
          <w:rFonts w:ascii="Avenir Next" w:hAnsi="Avenir Next" w:cs="Arial"/>
          <w:color w:val="808080" w:themeColor="background1" w:themeShade="80"/>
          <w:sz w:val="22"/>
          <w:szCs w:val="22"/>
          <w:lang w:val="en-GB"/>
        </w:rPr>
        <w:t xml:space="preserve">Thus even where the countries involved have a similar central aim, there may still be conflicts which are difficult to resolve as to how they are given effect. </w:t>
      </w:r>
      <w:r w:rsidR="00E51820" w:rsidRPr="00E51820">
        <w:rPr>
          <w:rFonts w:ascii="Avenir Next" w:hAnsi="Avenir Next" w:cs="Arial"/>
          <w:color w:val="808080" w:themeColor="background1" w:themeShade="80"/>
          <w:sz w:val="22"/>
          <w:szCs w:val="22"/>
          <w:lang w:val="en-GB"/>
        </w:rPr>
        <w:t xml:space="preserve">For example the nature and scope of avoidance provisions and preferences, which mean that a transaction which legitimately reduces the pool of assets available for distribution in one jurisdiction may not be recognised in another. </w:t>
      </w:r>
    </w:p>
    <w:p w14:paraId="1A781C79" w14:textId="77777777" w:rsidR="00E51820" w:rsidRPr="00E51820" w:rsidRDefault="00E51820" w:rsidP="00E51820">
      <w:pPr>
        <w:rPr>
          <w:rFonts w:ascii="Avenir Next" w:hAnsi="Avenir Next" w:cs="Arial"/>
          <w:color w:val="808080" w:themeColor="background1" w:themeShade="80"/>
          <w:sz w:val="22"/>
          <w:szCs w:val="22"/>
          <w:lang w:val="en-GB"/>
        </w:rPr>
      </w:pPr>
    </w:p>
    <w:p w14:paraId="6B5CF002" w14:textId="00F5A87D" w:rsidR="00DA42DA" w:rsidRPr="00DA42DA" w:rsidRDefault="00E51820" w:rsidP="00E51820">
      <w:pPr>
        <w:jc w:val="both"/>
        <w:rPr>
          <w:rFonts w:ascii="Avenir Next" w:hAnsi="Avenir Next" w:cs="Arial"/>
          <w:color w:val="808080" w:themeColor="background1" w:themeShade="80"/>
          <w:sz w:val="22"/>
          <w:szCs w:val="22"/>
          <w:lang w:val="en-GB"/>
        </w:rPr>
      </w:pPr>
      <w:r w:rsidRPr="00E51820">
        <w:rPr>
          <w:rFonts w:ascii="Avenir Next" w:hAnsi="Avenir Next" w:cs="Arial"/>
          <w:color w:val="808080" w:themeColor="background1" w:themeShade="80"/>
          <w:sz w:val="22"/>
          <w:szCs w:val="22"/>
          <w:lang w:val="en-GB"/>
        </w:rPr>
        <w:t xml:space="preserve">These differences may be resolved if there are shared choice of laws principles so that it is clear which jurisdiction’s law will apply to a particular issue. However, </w:t>
      </w:r>
      <w:r w:rsidR="005D4ED4">
        <w:rPr>
          <w:rFonts w:ascii="Avenir Next" w:hAnsi="Avenir Next" w:cs="Arial"/>
          <w:color w:val="808080" w:themeColor="background1" w:themeShade="80"/>
          <w:sz w:val="22"/>
          <w:szCs w:val="22"/>
          <w:lang w:val="en-GB"/>
        </w:rPr>
        <w:t xml:space="preserve">as reflected by the last item in Westbrook’s list, </w:t>
      </w:r>
      <w:r w:rsidRPr="00E51820">
        <w:rPr>
          <w:rFonts w:ascii="Avenir Next" w:hAnsi="Avenir Next" w:cs="Arial"/>
          <w:color w:val="808080" w:themeColor="background1" w:themeShade="80"/>
          <w:sz w:val="22"/>
          <w:szCs w:val="22"/>
          <w:lang w:val="en-GB"/>
        </w:rPr>
        <w:t>there may not necessarily be uniformity in this area either.</w:t>
      </w:r>
      <w:r w:rsidR="00DA42DA" w:rsidRPr="00DA42DA">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841F665" w14:textId="77777777" w:rsidR="006E1C52"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6E1C52">
        <w:rPr>
          <w:rFonts w:ascii="Avenir Next" w:hAnsi="Avenir Next" w:cs="Arial"/>
          <w:color w:val="808080" w:themeColor="background1" w:themeShade="80"/>
          <w:sz w:val="22"/>
          <w:szCs w:val="22"/>
          <w:lang w:val="en-GB"/>
        </w:rPr>
        <w:t xml:space="preserve">“Hard law” refers to express and binding legal obligations dealing with a particular issue, as under a treaty. Conversely, “soft law” refers to codified understandings which may </w:t>
      </w:r>
      <w:r w:rsidR="006E1C52">
        <w:rPr>
          <w:rFonts w:ascii="Avenir Next" w:hAnsi="Avenir Next" w:cs="Arial"/>
          <w:i/>
          <w:iCs/>
          <w:color w:val="808080" w:themeColor="background1" w:themeShade="80"/>
          <w:sz w:val="22"/>
          <w:szCs w:val="22"/>
          <w:lang w:val="en-GB"/>
        </w:rPr>
        <w:t xml:space="preserve">inform </w:t>
      </w:r>
      <w:r w:rsidR="006E1C52">
        <w:rPr>
          <w:rFonts w:ascii="Avenir Next" w:hAnsi="Avenir Next" w:cs="Arial"/>
          <w:color w:val="808080" w:themeColor="background1" w:themeShade="80"/>
          <w:sz w:val="22"/>
          <w:szCs w:val="22"/>
          <w:lang w:val="en-GB"/>
        </w:rPr>
        <w:t xml:space="preserve">the development of law or policy.  </w:t>
      </w:r>
    </w:p>
    <w:p w14:paraId="477FFE19" w14:textId="77777777" w:rsidR="006E1C52" w:rsidRDefault="006E1C52" w:rsidP="006A44B2">
      <w:pPr>
        <w:jc w:val="both"/>
        <w:rPr>
          <w:rFonts w:ascii="Avenir Next" w:hAnsi="Avenir Next" w:cs="Arial"/>
          <w:color w:val="808080" w:themeColor="background1" w:themeShade="80"/>
          <w:sz w:val="22"/>
          <w:szCs w:val="22"/>
          <w:lang w:val="en-GB"/>
        </w:rPr>
      </w:pPr>
    </w:p>
    <w:p w14:paraId="2A35BE5E" w14:textId="77777777" w:rsidR="000369BD" w:rsidRDefault="006E1C5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is effective in producing uniform legal results and is a critical part of economic harmonisation. Successful examples in the area of international insolvency include the Montevideo Treaties and Havana Conventions which harmonised cross-border insolvency principles among signatory Latin American states, and the </w:t>
      </w:r>
      <w:r w:rsidR="000369BD">
        <w:rPr>
          <w:rFonts w:ascii="Avenir Next" w:hAnsi="Avenir Next" w:cs="Arial"/>
          <w:color w:val="808080" w:themeColor="background1" w:themeShade="80"/>
          <w:sz w:val="22"/>
          <w:szCs w:val="22"/>
          <w:lang w:val="en-GB"/>
        </w:rPr>
        <w:t>European Insolvency Regulation which did the same among the members of the European Union.</w:t>
      </w:r>
    </w:p>
    <w:p w14:paraId="06A2FFF3" w14:textId="77777777" w:rsidR="000369BD" w:rsidRDefault="000369BD" w:rsidP="006A44B2">
      <w:pPr>
        <w:jc w:val="both"/>
        <w:rPr>
          <w:rFonts w:ascii="Avenir Next" w:hAnsi="Avenir Next" w:cs="Arial"/>
          <w:color w:val="808080" w:themeColor="background1" w:themeShade="80"/>
          <w:sz w:val="22"/>
          <w:szCs w:val="22"/>
          <w:lang w:val="en-GB"/>
        </w:rPr>
      </w:pPr>
    </w:p>
    <w:p w14:paraId="774AB1EE" w14:textId="1F06DC05" w:rsidR="006A44B2" w:rsidRPr="00DA42DA" w:rsidRDefault="000369B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degree of political alignment required to enable harmonisation via soft law is difficult to attain outside of geopolitical unions. Thus, considerable success has been obtained by the use of soft law, which being less prescriptive allows for greater </w:t>
      </w:r>
      <w:r>
        <w:rPr>
          <w:rFonts w:ascii="Avenir Next" w:hAnsi="Avenir Next" w:cs="Arial"/>
          <w:i/>
          <w:iCs/>
          <w:color w:val="808080" w:themeColor="background1" w:themeShade="80"/>
          <w:sz w:val="22"/>
          <w:szCs w:val="22"/>
          <w:lang w:val="en-GB"/>
        </w:rPr>
        <w:t xml:space="preserve">conceptual </w:t>
      </w:r>
      <w:r>
        <w:rPr>
          <w:rFonts w:ascii="Avenir Next" w:hAnsi="Avenir Next" w:cs="Arial"/>
          <w:color w:val="808080" w:themeColor="background1" w:themeShade="80"/>
          <w:sz w:val="22"/>
          <w:szCs w:val="22"/>
          <w:lang w:val="en-GB"/>
        </w:rPr>
        <w:t>consensus. A great example is the Model Law on Cross-Border Insolvency developed by the United Nations Commission on International Trade Law. In basing their legislation on the common framework, countries who employ the Model Law are able to achieve progressive unification while adhering to their respective sovereign objectives.</w:t>
      </w:r>
      <w:r w:rsidR="006A44B2" w:rsidRPr="00DA42DA">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46282C7" w14:textId="77777777" w:rsidR="00CB2688" w:rsidRDefault="002253D8" w:rsidP="00CB2688">
      <w:pPr>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CB2688">
        <w:rPr>
          <w:rFonts w:ascii="Avenir Next" w:hAnsi="Avenir Next" w:cs="Arial"/>
          <w:color w:val="808080" w:themeColor="background1" w:themeShade="80"/>
          <w:sz w:val="22"/>
          <w:szCs w:val="22"/>
          <w:lang w:val="en-GB"/>
        </w:rPr>
        <w:t xml:space="preserve">England and Wales have adopted the </w:t>
      </w:r>
      <w:proofErr w:type="spellStart"/>
      <w:r w:rsidR="00CB2688">
        <w:rPr>
          <w:rFonts w:ascii="Avenir Next" w:hAnsi="Avenir Next" w:cs="Arial"/>
          <w:color w:val="808080" w:themeColor="background1" w:themeShade="80"/>
          <w:sz w:val="22"/>
          <w:szCs w:val="22"/>
          <w:lang w:val="en-GB"/>
        </w:rPr>
        <w:t>UNCITRAL</w:t>
      </w:r>
      <w:proofErr w:type="spellEnd"/>
      <w:r w:rsidR="00CB2688">
        <w:rPr>
          <w:rFonts w:ascii="Avenir Next" w:hAnsi="Avenir Next" w:cs="Arial"/>
          <w:color w:val="808080" w:themeColor="background1" w:themeShade="80"/>
          <w:sz w:val="22"/>
          <w:szCs w:val="22"/>
          <w:lang w:val="en-GB"/>
        </w:rPr>
        <w:t xml:space="preserve"> Model Law on Cross-Border Insolvency in 2006. Thus, the representative may consult the </w:t>
      </w:r>
      <w:proofErr w:type="spellStart"/>
      <w:r w:rsidR="00CB2688">
        <w:rPr>
          <w:rFonts w:ascii="Avenir Next" w:hAnsi="Avenir Next" w:cs="Arial"/>
          <w:color w:val="808080" w:themeColor="background1" w:themeShade="80"/>
          <w:sz w:val="22"/>
          <w:szCs w:val="22"/>
          <w:lang w:val="en-GB"/>
        </w:rPr>
        <w:t>UNCITRAL</w:t>
      </w:r>
      <w:proofErr w:type="spellEnd"/>
      <w:r w:rsidR="00CB2688">
        <w:rPr>
          <w:rFonts w:ascii="Avenir Next" w:hAnsi="Avenir Next" w:cs="Arial"/>
          <w:color w:val="808080" w:themeColor="background1" w:themeShade="80"/>
          <w:sz w:val="22"/>
          <w:szCs w:val="22"/>
          <w:lang w:val="en-GB"/>
        </w:rPr>
        <w:t xml:space="preserve"> Practice Guide on Cross-Border Insolvency Cooperation for guidance on negotiating a cross-border agreement between the Unites States and the United Kingdom. There is precedent for this in the case of Maxwell Communication Corporation plc where concurrent proceedings between these jurisdictions were coordinated by means of such an agreement.</w:t>
      </w:r>
    </w:p>
    <w:p w14:paraId="5A32A397" w14:textId="77777777" w:rsidR="00CB2688" w:rsidRDefault="00CB2688" w:rsidP="00CB2688">
      <w:pPr>
        <w:rPr>
          <w:rFonts w:ascii="Avenir Next" w:hAnsi="Avenir Next" w:cs="Arial"/>
          <w:color w:val="808080" w:themeColor="background1" w:themeShade="80"/>
          <w:sz w:val="22"/>
          <w:szCs w:val="22"/>
          <w:lang w:val="en-GB"/>
        </w:rPr>
      </w:pPr>
    </w:p>
    <w:p w14:paraId="318FE48C" w14:textId="77777777" w:rsidR="00CB2688" w:rsidRDefault="00CB2688" w:rsidP="00CB268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directly, the representative should apply the Insolvency Act – the domestic legislation which governs insolvencies within that jurisdiction and specifically addresses the recognition of foreign insolvency representatives.</w:t>
      </w:r>
    </w:p>
    <w:p w14:paraId="38A2E177" w14:textId="77777777" w:rsidR="00CB2688" w:rsidRDefault="00CB2688" w:rsidP="00CB2688">
      <w:pPr>
        <w:rPr>
          <w:rFonts w:ascii="Avenir Next" w:hAnsi="Avenir Next" w:cs="Arial"/>
          <w:color w:val="808080" w:themeColor="background1" w:themeShade="80"/>
          <w:sz w:val="22"/>
          <w:szCs w:val="22"/>
          <w:lang w:val="en-GB"/>
        </w:rPr>
      </w:pPr>
    </w:p>
    <w:p w14:paraId="4184BAFC" w14:textId="4661DD9E" w:rsidR="002253D8" w:rsidRPr="002253D8" w:rsidRDefault="00CB2688" w:rsidP="00CB268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common law principles of private international law in the United Kingdom must  be consulted in order to resolve </w:t>
      </w:r>
      <w:r w:rsidR="00FB6FD9">
        <w:rPr>
          <w:rFonts w:ascii="Avenir Next" w:hAnsi="Avenir Next" w:cs="Arial"/>
          <w:color w:val="808080" w:themeColor="background1" w:themeShade="80"/>
          <w:sz w:val="22"/>
          <w:szCs w:val="22"/>
          <w:lang w:val="en-GB"/>
        </w:rPr>
        <w:t>questions as to which country’s law will determine questions of title.</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6D643E0D" w:rsidR="002253D8" w:rsidRPr="00DA42DA"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FB6FD9">
        <w:rPr>
          <w:rFonts w:ascii="Avenir Next" w:hAnsi="Avenir Next" w:cs="Arial"/>
          <w:color w:val="808080" w:themeColor="background1" w:themeShade="80"/>
          <w:sz w:val="22"/>
          <w:szCs w:val="22"/>
          <w:lang w:val="en-GB"/>
        </w:rPr>
        <w:t xml:space="preserve">The European Insolvency Regulation (EIR) will be applied as both countries are member States of the European Union.  Under the EIR, the main proceeding will be commenced in the member state within which is situated the “centre of the debtor’s main interests” or COMI. Since this is Italy, it is in Italy that the main proceedings should be commenced, with the possibility of commencing subsidiary proceedings in Germany since it is clear that there is an “establishment” in Germany, as Norton Cars Inc has its main operations in Germany, easily meeting the definition of “establishment”: a “place of operations … where the debtor carries out a </w:t>
      </w:r>
      <w:r w:rsidR="00955D26">
        <w:rPr>
          <w:rFonts w:ascii="Avenir Next" w:hAnsi="Avenir Next" w:cs="Arial"/>
          <w:color w:val="808080" w:themeColor="background1" w:themeShade="80"/>
          <w:sz w:val="22"/>
          <w:szCs w:val="22"/>
          <w:lang w:val="en-GB"/>
        </w:rPr>
        <w:t>non-transitory economic activity with human means and assets”.</w:t>
      </w:r>
      <w:r w:rsidRPr="00DA42D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lastRenderedPageBreak/>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17F3DC0"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65CC9">
        <w:rPr>
          <w:rFonts w:ascii="Avenir Next" w:hAnsi="Avenir Next" w:cs="Arial"/>
          <w:color w:val="808080" w:themeColor="background1" w:themeShade="80"/>
          <w:sz w:val="22"/>
          <w:szCs w:val="22"/>
          <w:lang w:val="en-GB"/>
        </w:rPr>
        <w:t xml:space="preserve">An Indian, South African or Australian Court can apply the EU (Recast) Insolvency Regulation since </w:t>
      </w:r>
      <w:r w:rsidR="00B30044">
        <w:rPr>
          <w:rFonts w:ascii="Avenir Next" w:hAnsi="Avenir Next" w:cs="Arial"/>
          <w:color w:val="808080" w:themeColor="background1" w:themeShade="80"/>
          <w:sz w:val="22"/>
          <w:szCs w:val="22"/>
          <w:lang w:val="en-GB"/>
        </w:rPr>
        <w:t>t</w:t>
      </w:r>
      <w:r w:rsidR="00D65CC9">
        <w:rPr>
          <w:rFonts w:ascii="Avenir Next" w:hAnsi="Avenir Next" w:cs="Arial"/>
          <w:color w:val="808080" w:themeColor="background1" w:themeShade="80"/>
          <w:sz w:val="22"/>
          <w:szCs w:val="22"/>
          <w:lang w:val="en-GB"/>
        </w:rPr>
        <w:t>he EIR Recast recognises the existence of insolvency proceedings outside the European Union in order to facilitate the coordination of proceedings between EU member states and states outside the European Union.</w:t>
      </w:r>
      <w:r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06EB5DEA"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B3945">
        <w:rPr>
          <w:rFonts w:ascii="Avenir Next" w:hAnsi="Avenir Next" w:cs="Arial"/>
          <w:color w:val="808080" w:themeColor="background1" w:themeShade="80"/>
          <w:sz w:val="22"/>
          <w:szCs w:val="22"/>
          <w:lang w:val="en-GB"/>
        </w:rPr>
        <w:t>Principles of sovereignty will usually dictate that as a matter of private international law, the law of the state in which real property is located determines the rights of holders of security over that land. Thus the Courts in the Netherlands will consider Dutch law to be applicable to the security holder’s rights. The extent to which the Italian representative can interfere with the rights of security holders in the Netherlands will be influenced by the EIR (Recast) which will regulate the recognition of the Italian proceedings in the Netherlands.</w:t>
      </w:r>
      <w:r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0932E7CB"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B3945">
        <w:rPr>
          <w:rFonts w:ascii="Avenir Next" w:hAnsi="Avenir Next" w:cs="Arial"/>
          <w:color w:val="808080" w:themeColor="background1" w:themeShade="80"/>
          <w:sz w:val="22"/>
          <w:szCs w:val="22"/>
          <w:lang w:val="en-GB"/>
        </w:rPr>
        <w:t xml:space="preserve">Principles of sovereignty will usually dictate that as a matter of private international law, the law of the state in which real property is located determines the rights of holders of security over that land. Thus the Courts in the </w:t>
      </w:r>
      <w:r w:rsidR="004B3945">
        <w:rPr>
          <w:rFonts w:ascii="Avenir Next" w:hAnsi="Avenir Next" w:cs="Arial"/>
          <w:color w:val="808080" w:themeColor="background1" w:themeShade="80"/>
          <w:sz w:val="22"/>
          <w:szCs w:val="22"/>
          <w:lang w:val="en-GB"/>
        </w:rPr>
        <w:t>Australia</w:t>
      </w:r>
      <w:r w:rsidR="004B3945">
        <w:rPr>
          <w:rFonts w:ascii="Avenir Next" w:hAnsi="Avenir Next" w:cs="Arial"/>
          <w:color w:val="808080" w:themeColor="background1" w:themeShade="80"/>
          <w:sz w:val="22"/>
          <w:szCs w:val="22"/>
          <w:lang w:val="en-GB"/>
        </w:rPr>
        <w:t xml:space="preserve"> will consider </w:t>
      </w:r>
      <w:r w:rsidR="004B3945">
        <w:rPr>
          <w:rFonts w:ascii="Avenir Next" w:hAnsi="Avenir Next" w:cs="Arial"/>
          <w:color w:val="808080" w:themeColor="background1" w:themeShade="80"/>
          <w:sz w:val="22"/>
          <w:szCs w:val="22"/>
          <w:lang w:val="en-GB"/>
        </w:rPr>
        <w:t>Australian</w:t>
      </w:r>
      <w:r w:rsidR="004B3945">
        <w:rPr>
          <w:rFonts w:ascii="Avenir Next" w:hAnsi="Avenir Next" w:cs="Arial"/>
          <w:color w:val="808080" w:themeColor="background1" w:themeShade="80"/>
          <w:sz w:val="22"/>
          <w:szCs w:val="22"/>
          <w:lang w:val="en-GB"/>
        </w:rPr>
        <w:t xml:space="preserve"> law to be applicable to the security holder’s rights. The extent to which the Italian representative can interfere with the rights of security holders in </w:t>
      </w:r>
      <w:r w:rsidR="004B3945">
        <w:rPr>
          <w:rFonts w:ascii="Avenir Next" w:hAnsi="Avenir Next" w:cs="Arial"/>
          <w:color w:val="808080" w:themeColor="background1" w:themeShade="80"/>
          <w:sz w:val="22"/>
          <w:szCs w:val="22"/>
          <w:lang w:val="en-GB"/>
        </w:rPr>
        <w:t>Australia</w:t>
      </w:r>
      <w:r w:rsidR="00A74556">
        <w:rPr>
          <w:rFonts w:ascii="Avenir Next" w:hAnsi="Avenir Next" w:cs="Arial"/>
          <w:color w:val="808080" w:themeColor="background1" w:themeShade="80"/>
          <w:sz w:val="22"/>
          <w:szCs w:val="22"/>
          <w:lang w:val="en-GB"/>
        </w:rPr>
        <w:t>, and the level of coordination of  the Australian and Italian proceedings</w:t>
      </w:r>
      <w:r w:rsidR="004B3945">
        <w:rPr>
          <w:rFonts w:ascii="Avenir Next" w:hAnsi="Avenir Next" w:cs="Arial"/>
          <w:color w:val="808080" w:themeColor="background1" w:themeShade="80"/>
          <w:sz w:val="22"/>
          <w:szCs w:val="22"/>
          <w:lang w:val="en-GB"/>
        </w:rPr>
        <w:t xml:space="preserve"> </w:t>
      </w:r>
      <w:r w:rsidR="004B3945">
        <w:rPr>
          <w:rFonts w:ascii="Avenir Next" w:hAnsi="Avenir Next" w:cs="Arial"/>
          <w:color w:val="808080" w:themeColor="background1" w:themeShade="80"/>
          <w:sz w:val="22"/>
          <w:szCs w:val="22"/>
          <w:lang w:val="en-GB"/>
        </w:rPr>
        <w:t xml:space="preserve">will be influenced by the </w:t>
      </w:r>
      <w:proofErr w:type="spellStart"/>
      <w:r w:rsidR="004B3945">
        <w:rPr>
          <w:rFonts w:ascii="Avenir Next" w:hAnsi="Avenir Next" w:cs="Arial"/>
          <w:color w:val="808080" w:themeColor="background1" w:themeShade="80"/>
          <w:sz w:val="22"/>
          <w:szCs w:val="22"/>
          <w:lang w:val="en-GB"/>
        </w:rPr>
        <w:t>UNCITRAL</w:t>
      </w:r>
      <w:proofErr w:type="spellEnd"/>
      <w:r w:rsidR="004B3945">
        <w:rPr>
          <w:rFonts w:ascii="Avenir Next" w:hAnsi="Avenir Next" w:cs="Arial"/>
          <w:color w:val="808080" w:themeColor="background1" w:themeShade="80"/>
          <w:sz w:val="22"/>
          <w:szCs w:val="22"/>
          <w:lang w:val="en-GB"/>
        </w:rPr>
        <w:t xml:space="preserve"> Model Law on Cross Border Insolvency</w:t>
      </w:r>
      <w:r w:rsidR="004B3945">
        <w:rPr>
          <w:rFonts w:ascii="Avenir Next" w:hAnsi="Avenir Next" w:cs="Arial"/>
          <w:color w:val="808080" w:themeColor="background1" w:themeShade="80"/>
          <w:sz w:val="22"/>
          <w:szCs w:val="22"/>
          <w:lang w:val="en-GB"/>
        </w:rPr>
        <w:t xml:space="preserve"> which</w:t>
      </w:r>
      <w:r w:rsidR="004B3945">
        <w:rPr>
          <w:rFonts w:ascii="Avenir Next" w:hAnsi="Avenir Next" w:cs="Arial"/>
          <w:color w:val="808080" w:themeColor="background1" w:themeShade="80"/>
          <w:sz w:val="22"/>
          <w:szCs w:val="22"/>
          <w:lang w:val="en-GB"/>
        </w:rPr>
        <w:t xml:space="preserve"> has been </w:t>
      </w:r>
      <w:r w:rsidR="00504962">
        <w:rPr>
          <w:rFonts w:ascii="Avenir Next" w:hAnsi="Avenir Next" w:cs="Arial"/>
          <w:color w:val="808080" w:themeColor="background1" w:themeShade="80"/>
          <w:sz w:val="22"/>
          <w:szCs w:val="22"/>
          <w:lang w:val="en-GB"/>
        </w:rPr>
        <w:t>adopted by Australia and</w:t>
      </w:r>
      <w:r w:rsidR="004B3945">
        <w:rPr>
          <w:rFonts w:ascii="Avenir Next" w:hAnsi="Avenir Next" w:cs="Arial"/>
          <w:color w:val="808080" w:themeColor="background1" w:themeShade="80"/>
          <w:sz w:val="22"/>
          <w:szCs w:val="22"/>
          <w:lang w:val="en-GB"/>
        </w:rPr>
        <w:t xml:space="preserve"> will regulate the recognition of the Italian proceedings in </w:t>
      </w:r>
      <w:r w:rsidR="004B3945">
        <w:rPr>
          <w:rFonts w:ascii="Avenir Next" w:hAnsi="Avenir Next" w:cs="Arial"/>
          <w:color w:val="808080" w:themeColor="background1" w:themeShade="80"/>
          <w:sz w:val="22"/>
          <w:szCs w:val="22"/>
          <w:lang w:val="en-GB"/>
        </w:rPr>
        <w:t>Australia</w:t>
      </w:r>
      <w:r w:rsidR="004B3945">
        <w:rPr>
          <w:rFonts w:ascii="Avenir Next" w:hAnsi="Avenir Next" w:cs="Arial"/>
          <w:color w:val="808080" w:themeColor="background1" w:themeShade="80"/>
          <w:sz w:val="22"/>
          <w:szCs w:val="22"/>
          <w:lang w:val="en-GB"/>
        </w:rPr>
        <w:t>.</w:t>
      </w:r>
      <w:r w:rsidRPr="00DA42D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A859" w14:textId="77777777" w:rsidR="001B6218" w:rsidRDefault="001B6218" w:rsidP="00241B44">
      <w:r>
        <w:separator/>
      </w:r>
    </w:p>
  </w:endnote>
  <w:endnote w:type="continuationSeparator" w:id="0">
    <w:p w14:paraId="7608DC7F" w14:textId="77777777" w:rsidR="001B6218" w:rsidRDefault="001B62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0251E1F" w:rsidR="00B64A85" w:rsidRPr="00297BDF" w:rsidRDefault="00AA352F" w:rsidP="0052732A">
    <w:pPr>
      <w:pStyle w:val="Footer"/>
      <w:ind w:right="360"/>
      <w:rPr>
        <w:rFonts w:ascii="Avenir Next" w:hAnsi="Avenir Next" w:cs="Arial"/>
        <w:sz w:val="22"/>
        <w:szCs w:val="22"/>
      </w:rPr>
    </w:pPr>
    <w:proofErr w:type="spellStart"/>
    <w:r w:rsidRPr="00AA352F">
      <w:rPr>
        <w:rFonts w:ascii="Avenir Next" w:hAnsi="Avenir Next" w:cs="Arial"/>
        <w:sz w:val="22"/>
        <w:szCs w:val="22"/>
      </w:rPr>
      <w:t>FC202324-1420</w:t>
    </w:r>
    <w:r w:rsidR="00B64A85" w:rsidRPr="00297BDF">
      <w:rPr>
        <w:rFonts w:ascii="Avenir Next" w:hAnsi="Avenir Next" w:cs="Arial"/>
        <w:sz w:val="22"/>
        <w:szCs w:val="22"/>
      </w:rPr>
      <w:t>.assessment1summative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EEF4" w14:textId="77777777" w:rsidR="001B6218" w:rsidRDefault="001B6218" w:rsidP="00241B44">
      <w:r>
        <w:separator/>
      </w:r>
    </w:p>
  </w:footnote>
  <w:footnote w:type="continuationSeparator" w:id="0">
    <w:p w14:paraId="290EC1A2" w14:textId="77777777" w:rsidR="001B6218" w:rsidRDefault="001B62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s-E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69BD"/>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1539"/>
    <w:rsid w:val="000615A7"/>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86"/>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0F88"/>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6C4B"/>
    <w:rsid w:val="00197963"/>
    <w:rsid w:val="001A620B"/>
    <w:rsid w:val="001A716A"/>
    <w:rsid w:val="001A7E9A"/>
    <w:rsid w:val="001A7ECF"/>
    <w:rsid w:val="001B0F70"/>
    <w:rsid w:val="001B5016"/>
    <w:rsid w:val="001B6218"/>
    <w:rsid w:val="001B6CEE"/>
    <w:rsid w:val="001C45FC"/>
    <w:rsid w:val="001C594A"/>
    <w:rsid w:val="001D1BF7"/>
    <w:rsid w:val="001D4862"/>
    <w:rsid w:val="001D632F"/>
    <w:rsid w:val="001D7DE0"/>
    <w:rsid w:val="001D7EF2"/>
    <w:rsid w:val="001E1FB4"/>
    <w:rsid w:val="001E23FD"/>
    <w:rsid w:val="001E25B9"/>
    <w:rsid w:val="001E392F"/>
    <w:rsid w:val="001E49E0"/>
    <w:rsid w:val="001E734C"/>
    <w:rsid w:val="001E7B5A"/>
    <w:rsid w:val="001F0BCF"/>
    <w:rsid w:val="001F1478"/>
    <w:rsid w:val="001F2AF5"/>
    <w:rsid w:val="001F5204"/>
    <w:rsid w:val="001F603D"/>
    <w:rsid w:val="001F7412"/>
    <w:rsid w:val="001F7C77"/>
    <w:rsid w:val="00201386"/>
    <w:rsid w:val="00202C2B"/>
    <w:rsid w:val="0020426D"/>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2C20"/>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43E5"/>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3945"/>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962"/>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150F"/>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4ED4"/>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13F"/>
    <w:rsid w:val="006B2893"/>
    <w:rsid w:val="006B37B2"/>
    <w:rsid w:val="006B435A"/>
    <w:rsid w:val="006B4539"/>
    <w:rsid w:val="006B4C64"/>
    <w:rsid w:val="006B5AE8"/>
    <w:rsid w:val="006C5CE2"/>
    <w:rsid w:val="006D0529"/>
    <w:rsid w:val="006D0605"/>
    <w:rsid w:val="006D176A"/>
    <w:rsid w:val="006D564C"/>
    <w:rsid w:val="006D6BD5"/>
    <w:rsid w:val="006E1C52"/>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5D06"/>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17D63"/>
    <w:rsid w:val="008210B0"/>
    <w:rsid w:val="00823AB4"/>
    <w:rsid w:val="0082483F"/>
    <w:rsid w:val="00827849"/>
    <w:rsid w:val="008279C0"/>
    <w:rsid w:val="00841E70"/>
    <w:rsid w:val="00845226"/>
    <w:rsid w:val="008473AA"/>
    <w:rsid w:val="00851A7A"/>
    <w:rsid w:val="00852883"/>
    <w:rsid w:val="00852F37"/>
    <w:rsid w:val="008571F6"/>
    <w:rsid w:val="00857A02"/>
    <w:rsid w:val="00861E51"/>
    <w:rsid w:val="0086718E"/>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45CB"/>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55D26"/>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67EA"/>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2AAE"/>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74556"/>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352F"/>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044"/>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3C4B"/>
    <w:rsid w:val="00C750BA"/>
    <w:rsid w:val="00C7736C"/>
    <w:rsid w:val="00C80272"/>
    <w:rsid w:val="00C82D87"/>
    <w:rsid w:val="00C8712A"/>
    <w:rsid w:val="00C92A0D"/>
    <w:rsid w:val="00C952A2"/>
    <w:rsid w:val="00C963D3"/>
    <w:rsid w:val="00CA0B50"/>
    <w:rsid w:val="00CA1802"/>
    <w:rsid w:val="00CA6E99"/>
    <w:rsid w:val="00CB262C"/>
    <w:rsid w:val="00CB2688"/>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5CC9"/>
    <w:rsid w:val="00D676F1"/>
    <w:rsid w:val="00D714E4"/>
    <w:rsid w:val="00D761ED"/>
    <w:rsid w:val="00D829EB"/>
    <w:rsid w:val="00D84752"/>
    <w:rsid w:val="00D86851"/>
    <w:rsid w:val="00D86A74"/>
    <w:rsid w:val="00D86B3B"/>
    <w:rsid w:val="00D8748A"/>
    <w:rsid w:val="00D905E4"/>
    <w:rsid w:val="00D910D5"/>
    <w:rsid w:val="00D93196"/>
    <w:rsid w:val="00D931A2"/>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20"/>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B52"/>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4B33"/>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6FD9"/>
    <w:rsid w:val="00FB7C8F"/>
    <w:rsid w:val="00FB7D52"/>
    <w:rsid w:val="00FB7D6D"/>
    <w:rsid w:val="00FC2741"/>
    <w:rsid w:val="00FC30E1"/>
    <w:rsid w:val="00FC337F"/>
    <w:rsid w:val="00FC374A"/>
    <w:rsid w:val="00FC4F43"/>
    <w:rsid w:val="00FC5D26"/>
    <w:rsid w:val="00FC7B47"/>
    <w:rsid w:val="00FD0026"/>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4854</Words>
  <Characters>23450</Characters>
  <Application>Microsoft Office Word</Application>
  <DocSecurity>0</DocSecurity>
  <Lines>781</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Koeiman, Michael</cp:lastModifiedBy>
  <cp:revision>27</cp:revision>
  <cp:lastPrinted>2020-06-12T02:43:00Z</cp:lastPrinted>
  <dcterms:created xsi:type="dcterms:W3CDTF">2023-11-15T02:58:00Z</dcterms:created>
  <dcterms:modified xsi:type="dcterms:W3CDTF">2023-11-15T16:01:00Z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