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8B1726" w:rsidRDefault="00806382" w:rsidP="00806382">
      <w:pPr>
        <w:pStyle w:val="Prrafodelista"/>
        <w:numPr>
          <w:ilvl w:val="0"/>
          <w:numId w:val="15"/>
        </w:numPr>
        <w:ind w:left="425" w:hanging="357"/>
        <w:jc w:val="both"/>
        <w:rPr>
          <w:rFonts w:ascii="Avenir Next" w:hAnsi="Avenir Next" w:cs="Arial"/>
          <w:sz w:val="22"/>
          <w:szCs w:val="22"/>
          <w:highlight w:val="yellow"/>
        </w:rPr>
      </w:pPr>
      <w:r w:rsidRPr="008B1726">
        <w:rPr>
          <w:rFonts w:ascii="Avenir Next" w:hAnsi="Avenir Next" w:cs="Arial"/>
          <w:sz w:val="22"/>
          <w:szCs w:val="22"/>
          <w:highlight w:val="yellow"/>
        </w:rPr>
        <w:t xml:space="preserve">This statement is untrue since the word </w:t>
      </w:r>
      <w:r w:rsidR="00823AB4" w:rsidRPr="008B1726">
        <w:rPr>
          <w:rFonts w:ascii="Avenir Next" w:hAnsi="Avenir Next" w:cs="Arial"/>
          <w:sz w:val="22"/>
          <w:szCs w:val="22"/>
          <w:highlight w:val="yellow"/>
        </w:rPr>
        <w:t>“</w:t>
      </w:r>
      <w:r w:rsidRPr="008B1726">
        <w:rPr>
          <w:rFonts w:ascii="Avenir Next" w:hAnsi="Avenir Next" w:cs="Arial"/>
          <w:sz w:val="22"/>
          <w:szCs w:val="22"/>
          <w:highlight w:val="yellow"/>
        </w:rPr>
        <w:t>bankruptcy</w:t>
      </w:r>
      <w:r w:rsidR="00823AB4" w:rsidRPr="008B1726">
        <w:rPr>
          <w:rFonts w:ascii="Avenir Next" w:hAnsi="Avenir Next" w:cs="Arial"/>
          <w:sz w:val="22"/>
          <w:szCs w:val="22"/>
          <w:highlight w:val="yellow"/>
        </w:rPr>
        <w:t>”</w:t>
      </w:r>
      <w:r w:rsidRPr="008B172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42D7B263"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w:t>
      </w:r>
      <w:r w:rsidR="00AD2F73">
        <w:rPr>
          <w:rFonts w:ascii="Avenir Next" w:hAnsi="Avenir Next" w:cs="Arial"/>
          <w:sz w:val="22"/>
          <w:szCs w:val="22"/>
        </w:rPr>
        <w:t xml:space="preserve"> “</w:t>
      </w:r>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C0377" w:rsidRDefault="001211E6" w:rsidP="001211E6">
      <w:pPr>
        <w:pStyle w:val="Prrafodelista"/>
        <w:numPr>
          <w:ilvl w:val="0"/>
          <w:numId w:val="16"/>
        </w:numPr>
        <w:ind w:left="426"/>
        <w:jc w:val="both"/>
        <w:rPr>
          <w:rFonts w:ascii="Avenir Next" w:hAnsi="Avenir Next" w:cs="Arial"/>
          <w:sz w:val="22"/>
          <w:szCs w:val="22"/>
          <w:highlight w:val="yellow"/>
        </w:rPr>
      </w:pPr>
      <w:r w:rsidRPr="000C037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Prrafodelista"/>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Prrafodelista"/>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364110" w:rsidRDefault="000977DC" w:rsidP="000977DC">
      <w:pPr>
        <w:pStyle w:val="Prrafodelista"/>
        <w:numPr>
          <w:ilvl w:val="0"/>
          <w:numId w:val="21"/>
        </w:numPr>
        <w:ind w:left="426"/>
        <w:jc w:val="both"/>
        <w:rPr>
          <w:rFonts w:ascii="Avenir Next" w:eastAsiaTheme="minorHAnsi" w:hAnsi="Avenir Next" w:cs="Arial"/>
          <w:sz w:val="22"/>
          <w:szCs w:val="22"/>
          <w:highlight w:val="yellow"/>
          <w:lang w:val="en-GB"/>
        </w:rPr>
      </w:pPr>
      <w:r w:rsidRPr="0036411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Prrafodelista"/>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5C2B25">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Prrafodelista"/>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E62DD1" w:rsidRDefault="006514CD" w:rsidP="006514CD">
      <w:pPr>
        <w:pStyle w:val="Prrafodelista"/>
        <w:numPr>
          <w:ilvl w:val="0"/>
          <w:numId w:val="19"/>
        </w:numPr>
        <w:ind w:left="425" w:hanging="357"/>
        <w:jc w:val="both"/>
        <w:rPr>
          <w:rFonts w:ascii="Avenir Next" w:hAnsi="Avenir Next" w:cs="Arial"/>
          <w:sz w:val="22"/>
          <w:szCs w:val="22"/>
          <w:highlight w:val="yellow"/>
        </w:rPr>
      </w:pPr>
      <w:r w:rsidRPr="00E62DD1">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Prrafodelista"/>
        <w:rPr>
          <w:rFonts w:ascii="Avenir Next" w:hAnsi="Avenir Next" w:cs="Arial"/>
          <w:sz w:val="22"/>
          <w:szCs w:val="22"/>
        </w:rPr>
      </w:pPr>
    </w:p>
    <w:p w14:paraId="78CB7E14" w14:textId="77777777" w:rsidR="006514CD" w:rsidRPr="00CC5ECB" w:rsidRDefault="006514CD" w:rsidP="006514CD">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Prrafodelista"/>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Prrafodelista"/>
        <w:rPr>
          <w:rFonts w:ascii="Avenir Next" w:eastAsiaTheme="minorHAnsi" w:hAnsi="Avenir Next" w:cs="Arial"/>
          <w:sz w:val="22"/>
          <w:szCs w:val="22"/>
          <w:lang w:val="en-GB"/>
        </w:rPr>
      </w:pPr>
    </w:p>
    <w:p w14:paraId="02BB2BD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Prrafodelista"/>
        <w:rPr>
          <w:rFonts w:ascii="Avenir Next" w:eastAsiaTheme="minorHAnsi" w:hAnsi="Avenir Next" w:cs="Arial"/>
          <w:sz w:val="22"/>
          <w:szCs w:val="22"/>
          <w:lang w:val="en-GB"/>
        </w:rPr>
      </w:pPr>
    </w:p>
    <w:p w14:paraId="25D835A2" w14:textId="77777777" w:rsidR="00D761ED" w:rsidRPr="003F0E36" w:rsidRDefault="00D761ED" w:rsidP="00D761ED">
      <w:pPr>
        <w:pStyle w:val="Prrafodelista"/>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3F0E3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527AC" w:rsidRDefault="00AD76EF" w:rsidP="00AD76EF">
      <w:pPr>
        <w:pStyle w:val="Prrafodelista"/>
        <w:numPr>
          <w:ilvl w:val="0"/>
          <w:numId w:val="17"/>
        </w:numPr>
        <w:ind w:left="426"/>
        <w:jc w:val="both"/>
        <w:rPr>
          <w:rFonts w:ascii="Avenir Next" w:hAnsi="Avenir Next" w:cs="Arial"/>
          <w:sz w:val="22"/>
          <w:szCs w:val="22"/>
          <w:highlight w:val="yellow"/>
        </w:rPr>
      </w:pPr>
      <w:r w:rsidRPr="006527AC">
        <w:rPr>
          <w:rFonts w:ascii="Avenir Next" w:hAnsi="Avenir Next" w:cs="Arial"/>
          <w:sz w:val="22"/>
          <w:szCs w:val="22"/>
          <w:highlight w:val="yellow"/>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Prrafodelista"/>
        <w:numPr>
          <w:ilvl w:val="0"/>
          <w:numId w:val="17"/>
        </w:numPr>
        <w:ind w:left="426"/>
        <w:jc w:val="both"/>
        <w:rPr>
          <w:rFonts w:ascii="Avenir Next" w:hAnsi="Avenir Next" w:cs="Arial"/>
          <w:sz w:val="22"/>
          <w:szCs w:val="22"/>
        </w:rPr>
      </w:pPr>
      <w:r w:rsidRPr="00DA42DA">
        <w:rPr>
          <w:rFonts w:ascii="Avenir Next" w:hAnsi="Avenir Next" w:cs="Arial"/>
          <w:sz w:val="22"/>
          <w:szCs w:val="22"/>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1247C5" w:rsidRDefault="008E5941" w:rsidP="008E5941">
      <w:pPr>
        <w:pStyle w:val="Prrafodelista"/>
        <w:numPr>
          <w:ilvl w:val="0"/>
          <w:numId w:val="22"/>
        </w:numPr>
        <w:ind w:left="426"/>
        <w:jc w:val="both"/>
        <w:rPr>
          <w:rFonts w:ascii="Avenir Next" w:eastAsiaTheme="minorHAnsi" w:hAnsi="Avenir Next" w:cs="Arial"/>
          <w:sz w:val="22"/>
          <w:szCs w:val="22"/>
          <w:highlight w:val="yellow"/>
          <w:lang w:val="en-GB"/>
        </w:rPr>
      </w:pPr>
      <w:r w:rsidRPr="001247C5">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3827B5" w:rsidRDefault="009661DE" w:rsidP="009661DE">
      <w:pPr>
        <w:pStyle w:val="Prrafodelista"/>
        <w:numPr>
          <w:ilvl w:val="0"/>
          <w:numId w:val="23"/>
        </w:numPr>
        <w:ind w:left="426"/>
        <w:jc w:val="both"/>
        <w:rPr>
          <w:rFonts w:ascii="Avenir Next" w:hAnsi="Avenir Next" w:cs="Arial"/>
          <w:sz w:val="22"/>
          <w:szCs w:val="22"/>
          <w:highlight w:val="yellow"/>
        </w:rPr>
      </w:pPr>
      <w:r w:rsidRPr="003827B5">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Prrafodelista"/>
        <w:rPr>
          <w:rFonts w:ascii="Avenir Next" w:hAnsi="Avenir Next" w:cs="Arial"/>
          <w:sz w:val="22"/>
          <w:szCs w:val="22"/>
        </w:rPr>
      </w:pPr>
    </w:p>
    <w:p w14:paraId="78182C5D" w14:textId="546DA5EC" w:rsidR="004F3F1F" w:rsidRPr="004F3F1F" w:rsidRDefault="009661DE" w:rsidP="004F3F1F">
      <w:pPr>
        <w:pStyle w:val="Prrafodelista"/>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257605" w:rsidRDefault="003B3A0D" w:rsidP="003B3A0D">
      <w:pPr>
        <w:pStyle w:val="Prrafodelista"/>
        <w:numPr>
          <w:ilvl w:val="0"/>
          <w:numId w:val="24"/>
        </w:numPr>
        <w:ind w:left="426"/>
        <w:jc w:val="both"/>
        <w:rPr>
          <w:rFonts w:ascii="Avenir Next" w:hAnsi="Avenir Next" w:cs="Arial"/>
          <w:sz w:val="22"/>
          <w:szCs w:val="22"/>
          <w:highlight w:val="yellow"/>
        </w:rPr>
      </w:pPr>
      <w:r w:rsidRPr="00257605">
        <w:rPr>
          <w:rFonts w:ascii="Avenir Next" w:hAnsi="Avenir Next" w:cs="Arial"/>
          <w:sz w:val="22"/>
          <w:szCs w:val="22"/>
          <w:highlight w:val="yellow"/>
        </w:rPr>
        <w:t xml:space="preserve">This statement is untrue because universalism corresponds well to </w:t>
      </w:r>
      <w:proofErr w:type="spellStart"/>
      <w:r w:rsidRPr="00257605">
        <w:rPr>
          <w:rFonts w:ascii="Avenir Next" w:hAnsi="Avenir Next" w:cs="Arial"/>
          <w:sz w:val="22"/>
          <w:szCs w:val="22"/>
          <w:highlight w:val="yellow"/>
        </w:rPr>
        <w:t>globali</w:t>
      </w:r>
      <w:r w:rsidR="00142E15" w:rsidRPr="00257605">
        <w:rPr>
          <w:rFonts w:ascii="Avenir Next" w:hAnsi="Avenir Next" w:cs="Arial"/>
          <w:sz w:val="22"/>
          <w:szCs w:val="22"/>
          <w:highlight w:val="yellow"/>
        </w:rPr>
        <w:t>s</w:t>
      </w:r>
      <w:r w:rsidRPr="00257605">
        <w:rPr>
          <w:rFonts w:ascii="Avenir Next" w:hAnsi="Avenir Next" w:cs="Arial"/>
          <w:sz w:val="22"/>
          <w:szCs w:val="22"/>
          <w:highlight w:val="yellow"/>
        </w:rPr>
        <w:t>ation</w:t>
      </w:r>
      <w:proofErr w:type="spellEnd"/>
      <w:r w:rsidRPr="00257605">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Prrafodelista"/>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7100D3D" w14:textId="0FA91FAF" w:rsidR="003F6960" w:rsidRDefault="003F6960" w:rsidP="00B06A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I present a comparison table </w:t>
      </w:r>
      <w:r w:rsidR="007B2E21">
        <w:rPr>
          <w:rFonts w:ascii="Avenir Next" w:hAnsi="Avenir Next" w:cs="Arial"/>
          <w:color w:val="808080" w:themeColor="background1" w:themeShade="80"/>
          <w:sz w:val="22"/>
          <w:szCs w:val="22"/>
          <w:lang w:val="en-GB"/>
        </w:rPr>
        <w:t xml:space="preserve">between insolvency law systems that have civil law roots with countries with historical roots in English law: </w:t>
      </w:r>
    </w:p>
    <w:p w14:paraId="0B34F00F" w14:textId="77777777" w:rsidR="007B2E21" w:rsidRDefault="007B2E21" w:rsidP="00B06AB6">
      <w:pPr>
        <w:jc w:val="both"/>
        <w:rPr>
          <w:rFonts w:ascii="Avenir Next" w:hAnsi="Avenir Next" w:cs="Arial"/>
          <w:color w:val="808080" w:themeColor="background1" w:themeShade="80"/>
          <w:sz w:val="22"/>
          <w:szCs w:val="22"/>
          <w:lang w:val="en-GB"/>
        </w:rPr>
      </w:pPr>
    </w:p>
    <w:tbl>
      <w:tblPr>
        <w:tblStyle w:val="Tablaconcuadrcula"/>
        <w:tblW w:w="0" w:type="auto"/>
        <w:tblLook w:val="04A0" w:firstRow="1" w:lastRow="0" w:firstColumn="1" w:lastColumn="0" w:noHBand="0" w:noVBand="1"/>
      </w:tblPr>
      <w:tblGrid>
        <w:gridCol w:w="4508"/>
        <w:gridCol w:w="4508"/>
      </w:tblGrid>
      <w:tr w:rsidR="007B2E21" w14:paraId="55EBFCCF" w14:textId="77777777" w:rsidTr="007B2E21">
        <w:tc>
          <w:tcPr>
            <w:tcW w:w="4508" w:type="dxa"/>
          </w:tcPr>
          <w:p w14:paraId="23D0FDED" w14:textId="43DE3B63" w:rsidR="007B2E21" w:rsidRPr="007B2E21" w:rsidRDefault="007B2E21" w:rsidP="007B2E21">
            <w:pPr>
              <w:jc w:val="center"/>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Civil law </w:t>
            </w:r>
            <w:r w:rsidR="000935DA">
              <w:rPr>
                <w:rFonts w:ascii="Avenir Next" w:hAnsi="Avenir Next" w:cs="Arial"/>
                <w:b/>
                <w:bCs/>
                <w:color w:val="808080" w:themeColor="background1" w:themeShade="80"/>
                <w:sz w:val="22"/>
                <w:szCs w:val="22"/>
                <w:lang w:val="en-GB"/>
              </w:rPr>
              <w:t xml:space="preserve">historical roots </w:t>
            </w:r>
            <w:r>
              <w:rPr>
                <w:rFonts w:ascii="Avenir Next" w:hAnsi="Avenir Next" w:cs="Arial"/>
                <w:b/>
                <w:bCs/>
                <w:color w:val="808080" w:themeColor="background1" w:themeShade="80"/>
                <w:sz w:val="22"/>
                <w:szCs w:val="22"/>
                <w:lang w:val="en-GB"/>
              </w:rPr>
              <w:t>countries</w:t>
            </w:r>
          </w:p>
        </w:tc>
        <w:tc>
          <w:tcPr>
            <w:tcW w:w="4508" w:type="dxa"/>
          </w:tcPr>
          <w:p w14:paraId="23AA437E" w14:textId="3F8D43EC" w:rsidR="007B2E21" w:rsidRPr="007B2E21" w:rsidRDefault="000935DA" w:rsidP="007B2E21">
            <w:pPr>
              <w:jc w:val="center"/>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English law historical root countries</w:t>
            </w:r>
          </w:p>
        </w:tc>
      </w:tr>
      <w:tr w:rsidR="007B2E21" w14:paraId="65FC15A9" w14:textId="77777777" w:rsidTr="007B2E21">
        <w:tc>
          <w:tcPr>
            <w:tcW w:w="4508" w:type="dxa"/>
          </w:tcPr>
          <w:p w14:paraId="212E4C22" w14:textId="78A27B5D" w:rsidR="004C7D61" w:rsidRPr="004C7D61" w:rsidRDefault="004C7D61" w:rsidP="004C7D61">
            <w:pPr>
              <w:jc w:val="both"/>
              <w:rPr>
                <w:rFonts w:ascii="Avenir Next" w:hAnsi="Avenir Next" w:cs="Arial"/>
                <w:color w:val="808080" w:themeColor="background1" w:themeShade="80"/>
                <w:sz w:val="22"/>
                <w:szCs w:val="22"/>
                <w:lang w:val="en-GB"/>
              </w:rPr>
            </w:pPr>
            <w:r w:rsidRPr="004C7D61">
              <w:rPr>
                <w:rFonts w:ascii="Avenir Next" w:hAnsi="Avenir Next" w:cs="Arial"/>
                <w:color w:val="808080" w:themeColor="background1" w:themeShade="80"/>
                <w:sz w:val="22"/>
                <w:szCs w:val="22"/>
                <w:lang w:val="en-GB"/>
              </w:rPr>
              <w:t>Notable examples include Germany, France, and Italy, as well as my own country, Guatemala. The insolvency systems in these countries were influenced by legislation that focused on debt collection procedures. Over time, these systems have evolved to include elements such as debtor rehabilitation and reorganisation. In Germany, for example, the insolvency law prioritises the restructuring of businesses to ensure their continuity, reflecting an approach to dealing with insolvency. In France, the system aims to strike a balance between the interests of debtors and creditors, with an emphasis on job preservation.</w:t>
            </w:r>
          </w:p>
          <w:p w14:paraId="082B6CA0" w14:textId="77777777" w:rsidR="004C7D61" w:rsidRPr="004C7D61" w:rsidRDefault="004C7D61" w:rsidP="004C7D61">
            <w:pPr>
              <w:jc w:val="both"/>
              <w:rPr>
                <w:rFonts w:ascii="Avenir Next" w:hAnsi="Avenir Next" w:cs="Arial"/>
                <w:color w:val="808080" w:themeColor="background1" w:themeShade="80"/>
                <w:sz w:val="22"/>
                <w:szCs w:val="22"/>
                <w:lang w:val="en-GB"/>
              </w:rPr>
            </w:pPr>
            <w:r w:rsidRPr="004C7D61">
              <w:rPr>
                <w:rFonts w:ascii="Avenir Next" w:hAnsi="Avenir Next" w:cs="Arial"/>
                <w:color w:val="808080" w:themeColor="background1" w:themeShade="80"/>
                <w:sz w:val="22"/>
                <w:szCs w:val="22"/>
                <w:lang w:val="en-GB"/>
              </w:rPr>
              <w:t xml:space="preserve">The main difference in the approach to debtors and creditors is the emphasis in civil law on helping debtors and giving them a chance to start again. </w:t>
            </w:r>
          </w:p>
          <w:p w14:paraId="594E6857" w14:textId="04F2F96A" w:rsidR="007B4C04" w:rsidRDefault="004C7D61" w:rsidP="004C7D61">
            <w:pPr>
              <w:jc w:val="both"/>
              <w:rPr>
                <w:rFonts w:ascii="Avenir Next" w:hAnsi="Avenir Next" w:cs="Arial"/>
                <w:color w:val="808080" w:themeColor="background1" w:themeShade="80"/>
                <w:sz w:val="22"/>
                <w:szCs w:val="22"/>
                <w:lang w:val="en-GB"/>
              </w:rPr>
            </w:pPr>
            <w:r w:rsidRPr="004C7D61">
              <w:rPr>
                <w:rFonts w:ascii="Avenir Next" w:hAnsi="Avenir Next" w:cs="Arial"/>
                <w:color w:val="808080" w:themeColor="background1" w:themeShade="80"/>
                <w:sz w:val="22"/>
                <w:szCs w:val="22"/>
                <w:lang w:val="en-GB"/>
              </w:rPr>
              <w:t>Civil law countries rely on comprehensive statutes within their civil codes or specific laws dedicated to insolvency matters.</w:t>
            </w:r>
          </w:p>
        </w:tc>
        <w:tc>
          <w:tcPr>
            <w:tcW w:w="4508" w:type="dxa"/>
          </w:tcPr>
          <w:p w14:paraId="2C74E337" w14:textId="77777777" w:rsidR="00AC2946" w:rsidRPr="00AC2946" w:rsidRDefault="00AC2946" w:rsidP="00AC2946">
            <w:pPr>
              <w:jc w:val="both"/>
              <w:rPr>
                <w:rFonts w:ascii="Avenir Next" w:hAnsi="Avenir Next" w:cs="Arial"/>
                <w:color w:val="808080" w:themeColor="background1" w:themeShade="80"/>
                <w:sz w:val="22"/>
                <w:szCs w:val="22"/>
                <w:lang w:val="en-GB"/>
              </w:rPr>
            </w:pPr>
            <w:r w:rsidRPr="00AC2946">
              <w:rPr>
                <w:rFonts w:ascii="Avenir Next" w:hAnsi="Avenir Next" w:cs="Arial"/>
                <w:color w:val="808080" w:themeColor="background1" w:themeShade="80"/>
                <w:sz w:val="22"/>
                <w:szCs w:val="22"/>
                <w:lang w:val="en-GB"/>
              </w:rPr>
              <w:t>The United Kingdom and former British colonies such as Australia and Canada are examples. English insolvency law developed independently of the common law. It has undergone significant changes since the 16th century. Historically, these systems focused on protecting creditors' rights and ensuring the distribution of assets. An important milestone in this regard was the UK's Insolvency Act 1986, which made advances in balancing the interests of debtors and creditors, while also including provisions for business rescue.</w:t>
            </w:r>
          </w:p>
          <w:p w14:paraId="1B3D763F" w14:textId="77777777" w:rsidR="00AC2946" w:rsidRPr="00AC2946" w:rsidRDefault="00AC2946" w:rsidP="00AC2946">
            <w:pPr>
              <w:jc w:val="both"/>
              <w:rPr>
                <w:rFonts w:ascii="Avenir Next" w:hAnsi="Avenir Next" w:cs="Arial"/>
                <w:color w:val="808080" w:themeColor="background1" w:themeShade="80"/>
                <w:sz w:val="22"/>
                <w:szCs w:val="22"/>
                <w:lang w:val="en-GB"/>
              </w:rPr>
            </w:pPr>
            <w:r w:rsidRPr="00AC2946">
              <w:rPr>
                <w:rFonts w:ascii="Avenir Next" w:hAnsi="Avenir Next" w:cs="Arial"/>
                <w:color w:val="808080" w:themeColor="background1" w:themeShade="80"/>
                <w:sz w:val="22"/>
                <w:szCs w:val="22"/>
                <w:lang w:val="en-GB"/>
              </w:rPr>
              <w:t>In Australia, the insolvency regime reflects an approach inspired by the Corporations Act 2001 and the Bankruptcy Act 1966. However, the emphasis is on protecting the interests of creditors.</w:t>
            </w:r>
          </w:p>
          <w:p w14:paraId="1FEE0A62" w14:textId="77777777" w:rsidR="00AC2946" w:rsidRPr="00AC2946" w:rsidRDefault="00AC2946" w:rsidP="00AC2946">
            <w:pPr>
              <w:jc w:val="both"/>
              <w:rPr>
                <w:rFonts w:ascii="Avenir Next" w:hAnsi="Avenir Next" w:cs="Arial"/>
                <w:color w:val="808080" w:themeColor="background1" w:themeShade="80"/>
                <w:sz w:val="22"/>
                <w:szCs w:val="22"/>
                <w:lang w:val="en-GB"/>
              </w:rPr>
            </w:pPr>
            <w:r w:rsidRPr="00AC2946">
              <w:rPr>
                <w:rFonts w:ascii="Avenir Next" w:hAnsi="Avenir Next" w:cs="Arial"/>
                <w:color w:val="808080" w:themeColor="background1" w:themeShade="80"/>
                <w:sz w:val="22"/>
                <w:szCs w:val="22"/>
                <w:lang w:val="en-GB"/>
              </w:rPr>
              <w:t xml:space="preserve">The English law approach to debtors and creditors has traditionally prioritised the rights of creditors and ensuring the distribution of assets. </w:t>
            </w:r>
          </w:p>
          <w:p w14:paraId="3005B4F6" w14:textId="0A110D9F" w:rsidR="001E365E" w:rsidRDefault="00AC2946" w:rsidP="00AC2946">
            <w:pPr>
              <w:jc w:val="both"/>
              <w:rPr>
                <w:rFonts w:ascii="Avenir Next" w:hAnsi="Avenir Next" w:cs="Arial"/>
                <w:color w:val="808080" w:themeColor="background1" w:themeShade="80"/>
                <w:sz w:val="22"/>
                <w:szCs w:val="22"/>
                <w:lang w:val="en-GB"/>
              </w:rPr>
            </w:pPr>
            <w:r w:rsidRPr="00AC2946">
              <w:rPr>
                <w:rFonts w:ascii="Avenir Next" w:hAnsi="Avenir Next" w:cs="Arial"/>
                <w:color w:val="808080" w:themeColor="background1" w:themeShade="80"/>
                <w:sz w:val="22"/>
                <w:szCs w:val="22"/>
                <w:lang w:val="en-GB"/>
              </w:rPr>
              <w:t>English law countries rely on a combination of statute and case law, with a strong emphasis on judgments and precedents.</w:t>
            </w:r>
          </w:p>
        </w:tc>
      </w:tr>
    </w:tbl>
    <w:p w14:paraId="18285CD6" w14:textId="77777777" w:rsidR="007B2E21" w:rsidRDefault="007B2E21" w:rsidP="00B06AB6">
      <w:pPr>
        <w:jc w:val="both"/>
        <w:rPr>
          <w:rFonts w:ascii="Avenir Next" w:hAnsi="Avenir Next" w:cs="Arial"/>
          <w:color w:val="808080" w:themeColor="background1" w:themeShade="80"/>
          <w:sz w:val="22"/>
          <w:szCs w:val="22"/>
          <w:lang w:val="en-GB"/>
        </w:rPr>
      </w:pPr>
    </w:p>
    <w:p w14:paraId="304C2FB2" w14:textId="09733096" w:rsidR="00CC7728" w:rsidRPr="00DA42DA" w:rsidRDefault="00B06AB6" w:rsidP="00B06AB6">
      <w:pPr>
        <w:jc w:val="both"/>
        <w:rPr>
          <w:rFonts w:ascii="Avenir Next" w:hAnsi="Avenir Next" w:cs="Arial"/>
          <w:color w:val="808080" w:themeColor="background1" w:themeShade="80"/>
          <w:sz w:val="22"/>
          <w:szCs w:val="22"/>
          <w:lang w:val="en-GB"/>
        </w:rPr>
      </w:pPr>
      <w:r w:rsidRPr="00B06AB6">
        <w:rPr>
          <w:rFonts w:ascii="Avenir Next" w:hAnsi="Avenir Next" w:cs="Arial"/>
          <w:color w:val="808080" w:themeColor="background1" w:themeShade="80"/>
          <w:sz w:val="22"/>
          <w:szCs w:val="22"/>
          <w:lang w:val="en-GB"/>
        </w:rPr>
        <w:t>In summary, while there is a convergence of insolvency practices influenced by the UNCITRAL Model Law on Cross-Border Insolvency, there are still significant differences between civil law and English law jurisdictions due to their historical development and legal traditions.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5B9187AF" w14:textId="10C94447" w:rsidR="00602F0C" w:rsidRPr="00602F0C" w:rsidRDefault="00602F0C" w:rsidP="00602F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602F0C">
        <w:rPr>
          <w:rFonts w:ascii="Avenir Next" w:hAnsi="Avenir Next" w:cs="Arial"/>
          <w:color w:val="808080" w:themeColor="background1" w:themeShade="80"/>
          <w:sz w:val="22"/>
          <w:szCs w:val="22"/>
          <w:lang w:val="en-GB"/>
        </w:rPr>
        <w:t xml:space="preserve">he differences between universalism, modified </w:t>
      </w:r>
      <w:r w:rsidR="00C86E7A" w:rsidRPr="00602F0C">
        <w:rPr>
          <w:rFonts w:ascii="Avenir Next" w:hAnsi="Avenir Next" w:cs="Arial"/>
          <w:color w:val="808080" w:themeColor="background1" w:themeShade="80"/>
          <w:sz w:val="22"/>
          <w:szCs w:val="22"/>
          <w:lang w:val="en-GB"/>
        </w:rPr>
        <w:t>universalism,</w:t>
      </w:r>
      <w:r w:rsidRPr="00602F0C">
        <w:rPr>
          <w:rFonts w:ascii="Avenir Next" w:hAnsi="Avenir Next" w:cs="Arial"/>
          <w:color w:val="808080" w:themeColor="background1" w:themeShade="80"/>
          <w:sz w:val="22"/>
          <w:szCs w:val="22"/>
          <w:lang w:val="en-GB"/>
        </w:rPr>
        <w:t xml:space="preserve"> and territorialism in the context of insolvency law</w:t>
      </w:r>
      <w:r w:rsidR="00C86E7A">
        <w:rPr>
          <w:rFonts w:ascii="Avenir Next" w:hAnsi="Avenir Next" w:cs="Arial"/>
          <w:color w:val="808080" w:themeColor="background1" w:themeShade="80"/>
          <w:sz w:val="22"/>
          <w:szCs w:val="22"/>
          <w:lang w:val="en-GB"/>
        </w:rPr>
        <w:t xml:space="preserve"> is</w:t>
      </w:r>
      <w:r w:rsidRPr="00602F0C">
        <w:rPr>
          <w:rFonts w:ascii="Avenir Next" w:hAnsi="Avenir Next" w:cs="Arial"/>
          <w:color w:val="808080" w:themeColor="background1" w:themeShade="80"/>
          <w:sz w:val="22"/>
          <w:szCs w:val="22"/>
          <w:lang w:val="en-GB"/>
        </w:rPr>
        <w:t xml:space="preserve"> as follows</w:t>
      </w:r>
      <w:r w:rsidR="00C86E7A">
        <w:rPr>
          <w:rFonts w:ascii="Avenir Next" w:hAnsi="Avenir Next" w:cs="Arial"/>
          <w:color w:val="808080" w:themeColor="background1" w:themeShade="80"/>
          <w:sz w:val="22"/>
          <w:szCs w:val="22"/>
          <w:lang w:val="en-GB"/>
        </w:rPr>
        <w:t>:</w:t>
      </w:r>
    </w:p>
    <w:p w14:paraId="790F187E" w14:textId="77777777" w:rsidR="00602F0C" w:rsidRPr="00602F0C" w:rsidRDefault="00602F0C" w:rsidP="00602F0C">
      <w:pPr>
        <w:jc w:val="both"/>
        <w:rPr>
          <w:rFonts w:ascii="Avenir Next" w:hAnsi="Avenir Next" w:cs="Arial"/>
          <w:color w:val="808080" w:themeColor="background1" w:themeShade="80"/>
          <w:sz w:val="22"/>
          <w:szCs w:val="22"/>
          <w:lang w:val="en-GB"/>
        </w:rPr>
      </w:pPr>
    </w:p>
    <w:p w14:paraId="3A8BA9DB" w14:textId="77777777" w:rsidR="00C86E7A" w:rsidRDefault="00602F0C" w:rsidP="00602F0C">
      <w:pPr>
        <w:pStyle w:val="Prrafodelista"/>
        <w:numPr>
          <w:ilvl w:val="0"/>
          <w:numId w:val="35"/>
        </w:numPr>
        <w:jc w:val="both"/>
        <w:rPr>
          <w:rFonts w:ascii="Avenir Next" w:hAnsi="Avenir Next" w:cs="Arial"/>
          <w:color w:val="808080" w:themeColor="background1" w:themeShade="80"/>
          <w:sz w:val="22"/>
          <w:szCs w:val="22"/>
          <w:lang w:val="en-GB"/>
        </w:rPr>
      </w:pPr>
      <w:r w:rsidRPr="00C86E7A">
        <w:rPr>
          <w:rFonts w:ascii="Avenir Next" w:hAnsi="Avenir Next" w:cs="Arial"/>
          <w:color w:val="808080" w:themeColor="background1" w:themeShade="80"/>
          <w:sz w:val="22"/>
          <w:szCs w:val="22"/>
          <w:lang w:val="en-GB"/>
        </w:rPr>
        <w:t>Universalism</w:t>
      </w:r>
      <w:r w:rsidR="00C86E7A">
        <w:rPr>
          <w:rFonts w:ascii="Avenir Next" w:hAnsi="Avenir Next" w:cs="Arial"/>
          <w:color w:val="808080" w:themeColor="background1" w:themeShade="80"/>
          <w:sz w:val="22"/>
          <w:szCs w:val="22"/>
          <w:lang w:val="en-GB"/>
        </w:rPr>
        <w:t>:</w:t>
      </w:r>
      <w:r w:rsidRPr="00C86E7A">
        <w:rPr>
          <w:rFonts w:ascii="Avenir Next" w:hAnsi="Avenir Next" w:cs="Arial"/>
          <w:color w:val="808080" w:themeColor="background1" w:themeShade="80"/>
          <w:sz w:val="22"/>
          <w:szCs w:val="22"/>
          <w:lang w:val="en-GB"/>
        </w:rPr>
        <w:t xml:space="preserve"> This principle advocates the consolidation of insolvency proceedings that may take place in jurisdictions under a single insolvency law. Typically, this is done in the jurisdiction where the debtor's centre of interest (COMI) is located. Under universalism, the law of the "proceeding" (lex concursus) is given effect. The objective is to promote a cross-jurisdictional approach to insolvency proceedings that minimises conflicts of law and ensures fair treatment of creditors worldwide.</w:t>
      </w:r>
    </w:p>
    <w:p w14:paraId="210089DC" w14:textId="77777777" w:rsidR="00C86E7A" w:rsidRDefault="00602F0C" w:rsidP="00602F0C">
      <w:pPr>
        <w:pStyle w:val="Prrafodelista"/>
        <w:numPr>
          <w:ilvl w:val="0"/>
          <w:numId w:val="35"/>
        </w:numPr>
        <w:jc w:val="both"/>
        <w:rPr>
          <w:rFonts w:ascii="Avenir Next" w:hAnsi="Avenir Next" w:cs="Arial"/>
          <w:color w:val="808080" w:themeColor="background1" w:themeShade="80"/>
          <w:sz w:val="22"/>
          <w:szCs w:val="22"/>
          <w:lang w:val="en-GB"/>
        </w:rPr>
      </w:pPr>
      <w:r w:rsidRPr="00C86E7A">
        <w:rPr>
          <w:rFonts w:ascii="Avenir Next" w:hAnsi="Avenir Next" w:cs="Arial"/>
          <w:color w:val="808080" w:themeColor="background1" w:themeShade="80"/>
          <w:sz w:val="22"/>
          <w:szCs w:val="22"/>
          <w:lang w:val="en-GB"/>
        </w:rPr>
        <w:lastRenderedPageBreak/>
        <w:t>Modified universalism</w:t>
      </w:r>
      <w:r w:rsidR="00C86E7A">
        <w:rPr>
          <w:rFonts w:ascii="Avenir Next" w:hAnsi="Avenir Next" w:cs="Arial"/>
          <w:color w:val="808080" w:themeColor="background1" w:themeShade="80"/>
          <w:sz w:val="22"/>
          <w:szCs w:val="22"/>
          <w:lang w:val="en-GB"/>
        </w:rPr>
        <w:t xml:space="preserve">: </w:t>
      </w:r>
      <w:r w:rsidRPr="00C86E7A">
        <w:rPr>
          <w:rFonts w:ascii="Avenir Next" w:hAnsi="Avenir Next" w:cs="Arial"/>
          <w:color w:val="808080" w:themeColor="background1" w:themeShade="80"/>
          <w:sz w:val="22"/>
          <w:szCs w:val="22"/>
          <w:lang w:val="en-GB"/>
        </w:rPr>
        <w:t xml:space="preserve"> </w:t>
      </w:r>
      <w:r w:rsidR="00C86E7A" w:rsidRPr="00C86E7A">
        <w:rPr>
          <w:rFonts w:ascii="Avenir Next" w:hAnsi="Avenir Next" w:cs="Arial"/>
          <w:color w:val="808080" w:themeColor="background1" w:themeShade="80"/>
          <w:sz w:val="22"/>
          <w:szCs w:val="22"/>
          <w:lang w:val="en-GB"/>
        </w:rPr>
        <w:t>generally,</w:t>
      </w:r>
      <w:r w:rsidRPr="00C86E7A">
        <w:rPr>
          <w:rFonts w:ascii="Avenir Next" w:hAnsi="Avenir Next" w:cs="Arial"/>
          <w:color w:val="808080" w:themeColor="background1" w:themeShade="80"/>
          <w:sz w:val="22"/>
          <w:szCs w:val="22"/>
          <w:lang w:val="en-GB"/>
        </w:rPr>
        <w:t xml:space="preserve"> refers to an attitude between universalism and territorialism. It recognises that primary authority should be given to the insolvency process (universalism), but also allows for certain exceptions or adaptations for local or secondary processes. This approach seeks to strike a balance between efficiency and respect for the diversity of legal systems and interests.</w:t>
      </w:r>
      <w:r w:rsidR="00C86E7A">
        <w:rPr>
          <w:rFonts w:ascii="Avenir Next" w:hAnsi="Avenir Next" w:cs="Arial"/>
          <w:color w:val="808080" w:themeColor="background1" w:themeShade="80"/>
          <w:sz w:val="22"/>
          <w:szCs w:val="22"/>
          <w:lang w:val="en-GB"/>
        </w:rPr>
        <w:t xml:space="preserve"> </w:t>
      </w:r>
      <w:r w:rsidRPr="00C86E7A">
        <w:rPr>
          <w:rFonts w:ascii="Avenir Next" w:hAnsi="Avenir Next" w:cs="Arial"/>
          <w:color w:val="808080" w:themeColor="background1" w:themeShade="80"/>
          <w:sz w:val="22"/>
          <w:szCs w:val="22"/>
          <w:lang w:val="en-GB"/>
        </w:rPr>
        <w:t>It allows for a degree of coordination and cooperation between insolvency proceedings and ancillary proceedings in different jurisdictions, thereby incorporating aspects of both universalism and territorialism.</w:t>
      </w:r>
    </w:p>
    <w:p w14:paraId="174EABC4" w14:textId="48A59F37" w:rsidR="00602F0C" w:rsidRPr="00C86E7A" w:rsidRDefault="00602F0C" w:rsidP="00602F0C">
      <w:pPr>
        <w:pStyle w:val="Prrafodelista"/>
        <w:numPr>
          <w:ilvl w:val="0"/>
          <w:numId w:val="35"/>
        </w:numPr>
        <w:jc w:val="both"/>
        <w:rPr>
          <w:rFonts w:ascii="Avenir Next" w:hAnsi="Avenir Next" w:cs="Arial"/>
          <w:color w:val="808080" w:themeColor="background1" w:themeShade="80"/>
          <w:sz w:val="22"/>
          <w:szCs w:val="22"/>
          <w:lang w:val="en-GB"/>
        </w:rPr>
      </w:pPr>
      <w:r w:rsidRPr="00C86E7A">
        <w:rPr>
          <w:rFonts w:ascii="Avenir Next" w:hAnsi="Avenir Next" w:cs="Arial"/>
          <w:color w:val="808080" w:themeColor="background1" w:themeShade="80"/>
          <w:sz w:val="22"/>
          <w:szCs w:val="22"/>
          <w:lang w:val="en-GB"/>
        </w:rPr>
        <w:t>Territorialism</w:t>
      </w:r>
      <w:r w:rsidR="00C86E7A">
        <w:rPr>
          <w:rFonts w:ascii="Avenir Next" w:hAnsi="Avenir Next" w:cs="Arial"/>
          <w:color w:val="808080" w:themeColor="background1" w:themeShade="80"/>
          <w:sz w:val="22"/>
          <w:szCs w:val="22"/>
          <w:lang w:val="en-GB"/>
        </w:rPr>
        <w:t>:</w:t>
      </w:r>
      <w:r w:rsidRPr="00C86E7A">
        <w:rPr>
          <w:rFonts w:ascii="Avenir Next" w:hAnsi="Avenir Next" w:cs="Arial"/>
          <w:color w:val="808080" w:themeColor="background1" w:themeShade="80"/>
          <w:sz w:val="22"/>
          <w:szCs w:val="22"/>
          <w:lang w:val="en-GB"/>
        </w:rPr>
        <w:t xml:space="preserve"> on the other hand, suggests that the consequences of an insolvency proceeding are limited to the country in which it is opened. This approach may result in insolvency proceedings taking place in different jurisdictions, each governed by local laws. It prioritises the sovereignty of each country's system. It limits the effects of an insolvency proceeding to the assets and creditors within that particular country. This can lead to procedures and potential disparities in the treatment of creditors in different jurisdictions.</w:t>
      </w:r>
    </w:p>
    <w:p w14:paraId="40204815" w14:textId="77777777" w:rsidR="00602F0C" w:rsidRPr="00602F0C" w:rsidRDefault="00602F0C" w:rsidP="00602F0C">
      <w:pPr>
        <w:jc w:val="both"/>
        <w:rPr>
          <w:rFonts w:ascii="Avenir Next" w:hAnsi="Avenir Next" w:cs="Arial"/>
          <w:color w:val="808080" w:themeColor="background1" w:themeShade="80"/>
          <w:sz w:val="22"/>
          <w:szCs w:val="22"/>
          <w:lang w:val="en-GB"/>
        </w:rPr>
      </w:pPr>
    </w:p>
    <w:p w14:paraId="216D3C8D" w14:textId="317A2B37" w:rsidR="00DA42DA" w:rsidRPr="00DA42DA" w:rsidRDefault="00602F0C" w:rsidP="00602F0C">
      <w:pPr>
        <w:jc w:val="both"/>
        <w:rPr>
          <w:rFonts w:ascii="Avenir Next" w:hAnsi="Avenir Next" w:cs="Arial"/>
          <w:color w:val="808080" w:themeColor="background1" w:themeShade="80"/>
          <w:sz w:val="22"/>
          <w:szCs w:val="22"/>
          <w:lang w:val="en-GB"/>
        </w:rPr>
      </w:pPr>
      <w:r w:rsidRPr="00602F0C">
        <w:rPr>
          <w:rFonts w:ascii="Avenir Next" w:hAnsi="Avenir Next" w:cs="Arial"/>
          <w:color w:val="808080" w:themeColor="background1" w:themeShade="80"/>
          <w:sz w:val="22"/>
          <w:szCs w:val="22"/>
          <w:lang w:val="en-GB"/>
        </w:rPr>
        <w:t>In summary, universalism advocates one applicable insolvency proceeding based on the debtor's centre of main interests (COMI), while territorialism supports multiple independent proceedings in each jurisdiction where the debtor has assets. Modified universalism seeks a basis by recognising the importance of the process while allowing for local proceedings where necessary to respect local legal systems and interests.</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25BE9F10" w14:textId="1CDD172A" w:rsidR="00182492" w:rsidRPr="00182492" w:rsidRDefault="00182492" w:rsidP="00182492">
      <w:pPr>
        <w:jc w:val="both"/>
        <w:rPr>
          <w:rFonts w:ascii="Avenir Next" w:hAnsi="Avenir Next" w:cs="Arial"/>
          <w:color w:val="808080" w:themeColor="background1" w:themeShade="80"/>
          <w:sz w:val="22"/>
          <w:szCs w:val="22"/>
          <w:lang w:val="en-GB"/>
        </w:rPr>
      </w:pPr>
      <w:r w:rsidRPr="00182492">
        <w:rPr>
          <w:rFonts w:ascii="Avenir Next" w:hAnsi="Avenir Next" w:cs="Arial"/>
          <w:color w:val="808080" w:themeColor="background1" w:themeShade="80"/>
          <w:sz w:val="22"/>
          <w:szCs w:val="22"/>
          <w:lang w:val="en-GB"/>
        </w:rPr>
        <w:t>Several Latin American countries have adopted or are considering adopting the UNCITRAL Model Law. This move aims to harmonise standards and improve cooperation in insolvency proceedings. It is an important step towards harmonising practices and streamlining cross-border insolvency proceedings, making them more efficient and predictable.</w:t>
      </w:r>
      <w:r>
        <w:rPr>
          <w:rFonts w:ascii="Avenir Next" w:hAnsi="Avenir Next" w:cs="Arial"/>
          <w:color w:val="808080" w:themeColor="background1" w:themeShade="80"/>
          <w:sz w:val="22"/>
          <w:szCs w:val="22"/>
          <w:lang w:val="en-GB"/>
        </w:rPr>
        <w:t xml:space="preserve"> </w:t>
      </w:r>
      <w:r w:rsidRPr="00182492">
        <w:rPr>
          <w:rFonts w:ascii="Avenir Next" w:hAnsi="Avenir Next" w:cs="Arial"/>
          <w:color w:val="808080" w:themeColor="background1" w:themeShade="80"/>
          <w:sz w:val="22"/>
          <w:szCs w:val="22"/>
          <w:lang w:val="en-GB"/>
        </w:rPr>
        <w:t>Other countries such as Argentina, Colombia, Costa Rica and Peru have recently updated their insolvency laws.  These reforms reflect efforts to modernise and align with contemporary business practices and international norms.</w:t>
      </w:r>
      <w:r>
        <w:rPr>
          <w:rFonts w:ascii="Avenir Next" w:hAnsi="Avenir Next" w:cs="Arial"/>
          <w:color w:val="808080" w:themeColor="background1" w:themeShade="80"/>
          <w:sz w:val="22"/>
          <w:szCs w:val="22"/>
          <w:lang w:val="en-GB"/>
        </w:rPr>
        <w:t xml:space="preserve"> </w:t>
      </w:r>
      <w:r w:rsidRPr="00182492">
        <w:rPr>
          <w:rFonts w:ascii="Avenir Next" w:hAnsi="Avenir Next" w:cs="Arial"/>
          <w:color w:val="808080" w:themeColor="background1" w:themeShade="80"/>
          <w:sz w:val="22"/>
          <w:szCs w:val="22"/>
          <w:lang w:val="en-GB"/>
        </w:rPr>
        <w:t>In contrast, Brazil and Mexico, being larger economies, still operate under older, more formalistic laws that lack effective enforcement and are perceived as outdated in relation to current business practices. There is also a tendency in these countries to prioritise the preservation of businesses and employment over the rights of creditors.</w:t>
      </w:r>
    </w:p>
    <w:p w14:paraId="1CE8E9A1" w14:textId="77777777" w:rsidR="00182492" w:rsidRPr="00182492" w:rsidRDefault="00182492" w:rsidP="00182492">
      <w:pPr>
        <w:jc w:val="both"/>
        <w:rPr>
          <w:rFonts w:ascii="Avenir Next" w:hAnsi="Avenir Next" w:cs="Arial"/>
          <w:color w:val="808080" w:themeColor="background1" w:themeShade="80"/>
          <w:sz w:val="22"/>
          <w:szCs w:val="22"/>
          <w:lang w:val="en-GB"/>
        </w:rPr>
      </w:pPr>
      <w:r w:rsidRPr="00182492">
        <w:rPr>
          <w:rFonts w:ascii="Avenir Next" w:hAnsi="Avenir Next" w:cs="Arial"/>
          <w:color w:val="808080" w:themeColor="background1" w:themeShade="80"/>
          <w:sz w:val="22"/>
          <w:szCs w:val="22"/>
          <w:lang w:val="en-GB"/>
        </w:rPr>
        <w:t>In my country, Guatemala, the UNCITRAL Model Law was published in February 2022. The new insolvency law is designed to facilitate the resolution of credit obligations for individuals and companies, emphasising the continuity and restructuring of distressed businesses to meet creditors' obligations. It introduces flexible options for dealing with insolvency, including voluntary insolvency (with debtor control under supervision) and necessary insolvency (administered by a liquidator). It establishes the role of an insolvency administrator to protect and preserve the debtor's assets. A reorganisation plan is drawn up, focusing on the recovery of loans and the continuity of the debtor's business activities.  The law simplifies procedures related to insolvency proceedings and provides for specific jurisdictional rules.</w:t>
      </w:r>
    </w:p>
    <w:p w14:paraId="7283D695" w14:textId="3F68F628" w:rsidR="00FB41BD" w:rsidRPr="00FB41BD" w:rsidRDefault="00182492" w:rsidP="00182492">
      <w:pPr>
        <w:jc w:val="both"/>
        <w:rPr>
          <w:rFonts w:ascii="Avenir Next" w:hAnsi="Avenir Next" w:cs="Arial"/>
          <w:color w:val="808080" w:themeColor="background1" w:themeShade="80"/>
          <w:sz w:val="22"/>
          <w:szCs w:val="22"/>
          <w:lang w:val="en-GB"/>
        </w:rPr>
      </w:pPr>
      <w:r w:rsidRPr="00182492">
        <w:rPr>
          <w:rFonts w:ascii="Avenir Next" w:hAnsi="Avenir Next" w:cs="Arial"/>
          <w:color w:val="808080" w:themeColor="background1" w:themeShade="80"/>
          <w:sz w:val="22"/>
          <w:szCs w:val="22"/>
          <w:lang w:val="en-GB"/>
        </w:rPr>
        <w:t xml:space="preserve">In conclusion, the insolvency law landscape in Latin America is undergoing a significant transformation, characterised by a trend towards harmonisation with global standards, as evidenced by the adoption or consideration of the UNCITRAL Model Law by several countries. </w:t>
      </w:r>
    </w:p>
    <w:p w14:paraId="6A803E53" w14:textId="77777777" w:rsidR="004417C1" w:rsidRDefault="004417C1" w:rsidP="00384F24">
      <w:pPr>
        <w:jc w:val="both"/>
        <w:rPr>
          <w:rFonts w:ascii="Avenir Next" w:hAnsi="Avenir Next" w:cs="Arial"/>
          <w:color w:val="808080" w:themeColor="background1" w:themeShade="80"/>
          <w:sz w:val="22"/>
          <w:szCs w:val="22"/>
          <w:lang w:val="en-GB"/>
        </w:rPr>
      </w:pPr>
    </w:p>
    <w:p w14:paraId="4A9037FD" w14:textId="77777777" w:rsidR="008B517D" w:rsidRDefault="008B517D" w:rsidP="00384F24">
      <w:pPr>
        <w:jc w:val="both"/>
        <w:rPr>
          <w:rFonts w:ascii="Avenir Next" w:hAnsi="Avenir Next" w:cs="Arial"/>
          <w:sz w:val="22"/>
          <w:szCs w:val="22"/>
          <w:lang w:val="en-GB"/>
        </w:rPr>
      </w:pPr>
    </w:p>
    <w:p w14:paraId="540590A0" w14:textId="77777777" w:rsidR="00697ED7" w:rsidRDefault="00697ED7" w:rsidP="00384F24">
      <w:pPr>
        <w:jc w:val="both"/>
        <w:rPr>
          <w:rFonts w:ascii="Avenir Next" w:hAnsi="Avenir Next" w:cs="Arial"/>
          <w:sz w:val="22"/>
          <w:szCs w:val="22"/>
          <w:lang w:val="en-GB"/>
        </w:rPr>
      </w:pPr>
    </w:p>
    <w:p w14:paraId="728FAC87" w14:textId="77777777" w:rsidR="00697ED7" w:rsidRPr="004216EA" w:rsidRDefault="00697ED7"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5CFF5AF" w14:textId="5A5F4F27"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 xml:space="preserve">The terms 'bankruptcy' and 'insolvency' are often used interchangeably in financial discussions. However, this usage may oversimplify the differences and legal implications associated with each term. </w:t>
      </w:r>
      <w:r w:rsidRPr="008116BF">
        <w:rPr>
          <w:rFonts w:ascii="Avenir Next" w:hAnsi="Avenir Next" w:cs="Arial"/>
          <w:color w:val="808080" w:themeColor="background1" w:themeShade="80"/>
          <w:sz w:val="22"/>
          <w:szCs w:val="22"/>
          <w:lang w:val="en-GB"/>
        </w:rPr>
        <w:t>To</w:t>
      </w:r>
      <w:r w:rsidRPr="008116BF">
        <w:rPr>
          <w:rFonts w:ascii="Avenir Next" w:hAnsi="Avenir Next" w:cs="Arial"/>
          <w:color w:val="808080" w:themeColor="background1" w:themeShade="80"/>
          <w:sz w:val="22"/>
          <w:szCs w:val="22"/>
          <w:lang w:val="en-GB"/>
        </w:rPr>
        <w:t xml:space="preserve"> determine whether it is appropriate to use these terms, it is important to examine their meanings, characteristics and how they are applied to both companies and individuals.</w:t>
      </w:r>
    </w:p>
    <w:p w14:paraId="76111A2E"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45CA7127" w14:textId="64042991"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1. Meaning of "bankruptcy" and "insolvency"</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h</w:t>
      </w:r>
      <w:r w:rsidRPr="008116BF">
        <w:rPr>
          <w:rFonts w:ascii="Avenir Next" w:hAnsi="Avenir Next" w:cs="Arial"/>
          <w:color w:val="808080" w:themeColor="background1" w:themeShade="80"/>
          <w:sz w:val="22"/>
          <w:szCs w:val="22"/>
          <w:lang w:val="en-GB"/>
        </w:rPr>
        <w:t xml:space="preserve">istorically, derives from the phrase "banca </w:t>
      </w:r>
      <w:proofErr w:type="spellStart"/>
      <w:r w:rsidRPr="008116BF">
        <w:rPr>
          <w:rFonts w:ascii="Avenir Next" w:hAnsi="Avenir Next" w:cs="Arial"/>
          <w:color w:val="808080" w:themeColor="background1" w:themeShade="80"/>
          <w:sz w:val="22"/>
          <w:szCs w:val="22"/>
          <w:lang w:val="en-GB"/>
        </w:rPr>
        <w:t>rotta</w:t>
      </w:r>
      <w:proofErr w:type="spellEnd"/>
      <w:r w:rsidRPr="008116BF">
        <w:rPr>
          <w:rFonts w:ascii="Avenir Next" w:hAnsi="Avenir Next" w:cs="Arial"/>
          <w:color w:val="808080" w:themeColor="background1" w:themeShade="80"/>
          <w:sz w:val="22"/>
          <w:szCs w:val="22"/>
          <w:lang w:val="en-GB"/>
        </w:rPr>
        <w:t>", which translates as a bank, symbolising a merchant's inability to continue his business. In this context, bankruptcy refers to a process by which a court declares that an individual or entity is unable to meet its debt obligations. This declaration sets in motion a process that focuses on the settlement of debts.</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on the other hand,</w:t>
      </w:r>
      <w:r w:rsidRPr="008116BF">
        <w:rPr>
          <w:rFonts w:ascii="Avenir Next" w:hAnsi="Avenir Next" w:cs="Arial"/>
          <w:color w:val="808080" w:themeColor="background1" w:themeShade="80"/>
          <w:sz w:val="22"/>
          <w:szCs w:val="22"/>
          <w:lang w:val="en-GB"/>
        </w:rPr>
        <w:t xml:space="preserve"> refers to a state in which an individual or legal entity is unable to pay its debts as they fall due. Insolvency is primarily considered a condition rather than a strictly defined legal status and does not always lead to bankruptcy proceedings.</w:t>
      </w:r>
    </w:p>
    <w:p w14:paraId="0263D08B"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153F6666" w14:textId="6912BA66"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 xml:space="preserve">2. </w:t>
      </w:r>
      <w:r>
        <w:rPr>
          <w:rFonts w:ascii="Avenir Next" w:hAnsi="Avenir Next" w:cs="Arial"/>
          <w:color w:val="808080" w:themeColor="background1" w:themeShade="80"/>
          <w:sz w:val="22"/>
          <w:szCs w:val="22"/>
          <w:lang w:val="en-GB"/>
        </w:rPr>
        <w:t xml:space="preserve">Essential </w:t>
      </w:r>
      <w:r w:rsidRPr="008116BF">
        <w:rPr>
          <w:rFonts w:ascii="Avenir Next" w:hAnsi="Avenir Next" w:cs="Arial"/>
          <w:color w:val="808080" w:themeColor="background1" w:themeShade="80"/>
          <w:sz w:val="22"/>
          <w:szCs w:val="22"/>
          <w:lang w:val="en-GB"/>
        </w:rPr>
        <w:t>characteristics</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The primary characteristic that distinguishes bankruptcy is its recognised status.</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The process of bankruptcy involves a procedure whereby debtors and creditors appear before a court to value the debtor's assets for distribution. This can result in the discharge of debts, providing the debtor with a fresh start with protection.</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On the other hand, bankruptcy focuses primarily on aspects. It refers to a situation where liabilities exceed assets or where a company is unable to repay its debts on time. Insolvency can be temporary. It can sometimes be resolved without the need for legal action.</w:t>
      </w:r>
    </w:p>
    <w:p w14:paraId="3C4821D5"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5B9D1F51" w14:textId="26CC59F3" w:rsidR="008116BF" w:rsidRPr="008116BF" w:rsidRDefault="008116BF" w:rsidP="008116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Pr="008116BF">
        <w:rPr>
          <w:rFonts w:ascii="Avenir Next" w:hAnsi="Avenir Next" w:cs="Arial"/>
          <w:color w:val="808080" w:themeColor="background1" w:themeShade="80"/>
          <w:sz w:val="22"/>
          <w:szCs w:val="22"/>
          <w:lang w:val="en-GB"/>
        </w:rPr>
        <w:t>Differences in Application to Corporations and Individuals:</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For companies, insolvency does not automatically lead to bankruptcy. Companies may be able to negotiate with creditors to restructure their debts or explore alternative financing solutions. Corporate insolvency often involves either court-supervised restructuring or liquidation.</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In contrast, individuals facing insolvency are more likely to enter bankruptcy in jurisdictions with comprehensive frameworks for personal debt restructuring. The consequences of bankruptcy for individuals can include the sale of assets and have a significant impact on their credit rating.</w:t>
      </w:r>
    </w:p>
    <w:p w14:paraId="35C7437D"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71773D47" w14:textId="5FDDD9B4" w:rsidR="00DA42DA" w:rsidRPr="00DA42DA"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It's important to note that while 'bankruptcy' and 'insolvency' are related concepts, they should not be used interchangeably.</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 xml:space="preserve">Insolvency refers to a situation that may or may not eventually lead to bankruptcy proceedings. The way in which this applies to companies as opposed to individuals highlights some differences. For companies, there are ways of dealing with insolvency without resorting to bankruptcy. For individuals, however, insolvency is more likely to result in the need for bankruptcy proceedings. It's important for financial professionals to understand these differences </w:t>
      </w:r>
      <w:r w:rsidRPr="008116BF">
        <w:rPr>
          <w:rFonts w:ascii="Avenir Next" w:hAnsi="Avenir Next" w:cs="Arial"/>
          <w:color w:val="808080" w:themeColor="background1" w:themeShade="80"/>
          <w:sz w:val="22"/>
          <w:szCs w:val="22"/>
          <w:lang w:val="en-GB"/>
        </w:rPr>
        <w:t>to</w:t>
      </w:r>
      <w:r w:rsidRPr="008116BF">
        <w:rPr>
          <w:rFonts w:ascii="Avenir Next" w:hAnsi="Avenir Next" w:cs="Arial"/>
          <w:color w:val="808080" w:themeColor="background1" w:themeShade="80"/>
          <w:sz w:val="22"/>
          <w:szCs w:val="22"/>
          <w:lang w:val="en-GB"/>
        </w:rPr>
        <w:t xml:space="preserve"> provide advice and for debtors and creditors alike to understand their rights and options when facing financial difficulties.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lastRenderedPageBreak/>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13E4E82" w14:textId="723D0F65"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 xml:space="preserve">The resolution of cross-border insolvencies involving parties and assets in multiple jurisdictions presents a unique set of challenges. The complexities of establishing a framework for cross-border insolvency arise from various legal, </w:t>
      </w:r>
      <w:r w:rsidRPr="008116BF">
        <w:rPr>
          <w:rFonts w:ascii="Avenir Next" w:hAnsi="Avenir Next" w:cs="Arial"/>
          <w:color w:val="808080" w:themeColor="background1" w:themeShade="80"/>
          <w:sz w:val="22"/>
          <w:szCs w:val="22"/>
          <w:lang w:val="en-GB"/>
        </w:rPr>
        <w:t>economic,</w:t>
      </w:r>
      <w:r w:rsidRPr="008116BF">
        <w:rPr>
          <w:rFonts w:ascii="Avenir Next" w:hAnsi="Avenir Next" w:cs="Arial"/>
          <w:color w:val="808080" w:themeColor="background1" w:themeShade="80"/>
          <w:sz w:val="22"/>
          <w:szCs w:val="22"/>
          <w:lang w:val="en-GB"/>
        </w:rPr>
        <w:t xml:space="preserve"> and cultural factors inherent in the international landscape. This </w:t>
      </w:r>
      <w:r>
        <w:rPr>
          <w:rFonts w:ascii="Avenir Next" w:hAnsi="Avenir Next" w:cs="Arial"/>
          <w:color w:val="808080" w:themeColor="background1" w:themeShade="80"/>
          <w:sz w:val="22"/>
          <w:szCs w:val="22"/>
          <w:lang w:val="en-GB"/>
        </w:rPr>
        <w:t>essay</w:t>
      </w:r>
      <w:r w:rsidRPr="008116BF">
        <w:rPr>
          <w:rFonts w:ascii="Avenir Next" w:hAnsi="Avenir Next" w:cs="Arial"/>
          <w:color w:val="808080" w:themeColor="background1" w:themeShade="80"/>
          <w:sz w:val="22"/>
          <w:szCs w:val="22"/>
          <w:lang w:val="en-GB"/>
        </w:rPr>
        <w:t xml:space="preserve"> seeks to explore these challenges by shedding light on the difficulties encountered in harmonising laws and practices across jurisdictions.</w:t>
      </w:r>
    </w:p>
    <w:p w14:paraId="1A174DB6"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0D83C336" w14:textId="4BEDBFBF"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Diversity of legal systems</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 xml:space="preserve">A major obstacle is the divergence of systems between countries. Jurisdictions adhere to either statutory or common law traditions, each of which has developed its own approach to insolvency. Unifying these frameworks into a single global system is a complex endeavour that requires reconciling fundamental differences in legal principles, </w:t>
      </w:r>
      <w:r w:rsidR="00B33CEB" w:rsidRPr="008116BF">
        <w:rPr>
          <w:rFonts w:ascii="Avenir Next" w:hAnsi="Avenir Next" w:cs="Arial"/>
          <w:color w:val="808080" w:themeColor="background1" w:themeShade="80"/>
          <w:sz w:val="22"/>
          <w:szCs w:val="22"/>
          <w:lang w:val="en-GB"/>
        </w:rPr>
        <w:t>procedures,</w:t>
      </w:r>
      <w:r w:rsidRPr="008116BF">
        <w:rPr>
          <w:rFonts w:ascii="Avenir Next" w:hAnsi="Avenir Next" w:cs="Arial"/>
          <w:color w:val="808080" w:themeColor="background1" w:themeShade="80"/>
          <w:sz w:val="22"/>
          <w:szCs w:val="22"/>
          <w:lang w:val="en-GB"/>
        </w:rPr>
        <w:t xml:space="preserve"> and priorities.</w:t>
      </w:r>
    </w:p>
    <w:p w14:paraId="12E4956F"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126FA233" w14:textId="403BBCD4"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2. Differences in insolvency laws</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Insolvency laws vary in their focus (debtor vs. creditor rights), procedures (reorganisation vs. liquidation) and outcomes. Some countries prioritise preserving the debtor's business and facilitating its rehabilitation, while others emphasise maximising creditor recoveries. A global framework must take account of these priorities, which do not reflect legal preferences but also economic and social policies.</w:t>
      </w:r>
    </w:p>
    <w:p w14:paraId="5FAE33CD"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5D9F827C" w14:textId="0F9E018E"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Economic factors</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The way people think about bankruptcy and debt can vary greatly from one culture to another. In some societies there is a stigma attached to bankruptcy, which can affect people's willingness to participate in insolvency proceedings. The level of development also plays a role in shaping insolvency laws. Developed economies may have advanced legal systems, which may make it more difficult to integrate into a global framework.</w:t>
      </w:r>
    </w:p>
    <w:p w14:paraId="4B5DB95F"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5CEDBE0C" w14:textId="2278D5EB"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4. Jurisdiction and conflict of laws</w:t>
      </w:r>
      <w:r>
        <w:rPr>
          <w:rFonts w:ascii="Avenir Next" w:hAnsi="Avenir Next" w:cs="Arial"/>
          <w:color w:val="808080" w:themeColor="background1" w:themeShade="80"/>
          <w:sz w:val="22"/>
          <w:szCs w:val="22"/>
          <w:lang w:val="en-GB"/>
        </w:rPr>
        <w:t>:</w:t>
      </w:r>
      <w:r w:rsidRPr="008116BF">
        <w:rPr>
          <w:rFonts w:ascii="Avenir Next" w:hAnsi="Avenir Next" w:cs="Arial"/>
          <w:color w:val="808080" w:themeColor="background1" w:themeShade="80"/>
          <w:sz w:val="22"/>
          <w:szCs w:val="22"/>
          <w:lang w:val="en-GB"/>
        </w:rPr>
        <w:t xml:space="preserve"> Determining jurisdiction in cases where insolvency crosses borders can be quite complicated, particularly where different parties have claims in different jurisdictions. Resolving these conflicts requires an understanding of the systems and agreement on which jurisdictions' laws should prevail.</w:t>
      </w:r>
    </w:p>
    <w:p w14:paraId="27A0CCA5"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10438294" w14:textId="4F20D080"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5. Enforcement of foreign judgments</w:t>
      </w:r>
      <w:r>
        <w:rPr>
          <w:rFonts w:ascii="Avenir Next" w:hAnsi="Avenir Next" w:cs="Arial"/>
          <w:color w:val="808080" w:themeColor="background1" w:themeShade="80"/>
          <w:sz w:val="22"/>
          <w:szCs w:val="22"/>
          <w:lang w:val="en-GB"/>
        </w:rPr>
        <w:t>:</w:t>
      </w:r>
      <w:r w:rsidRPr="008116BF">
        <w:rPr>
          <w:rFonts w:ascii="Avenir Next" w:hAnsi="Avenir Next" w:cs="Arial"/>
          <w:color w:val="808080" w:themeColor="background1" w:themeShade="80"/>
          <w:sz w:val="22"/>
          <w:szCs w:val="22"/>
          <w:lang w:val="en-GB"/>
        </w:rPr>
        <w:t xml:space="preserve"> Recognising and enforcing insolvency judgments from one jurisdiction in another is a challenge. Each country has its own set of standards for recognising judgments and may be reluctant to enforce judgments that go against its domestic policies or interests.</w:t>
      </w:r>
    </w:p>
    <w:p w14:paraId="08F51866"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5F054C1B" w14:textId="6F770574" w:rsidR="008116BF" w:rsidRPr="008116BF"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6. International cooperation and coordination</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 xml:space="preserve">Successful cross-border insolvency proceedings depend on cooperation and coordination. This can be hampered by differences in legal systems, economic </w:t>
      </w:r>
      <w:r w:rsidRPr="008116BF">
        <w:rPr>
          <w:rFonts w:ascii="Avenir Next" w:hAnsi="Avenir Next" w:cs="Arial"/>
          <w:color w:val="808080" w:themeColor="background1" w:themeShade="80"/>
          <w:sz w:val="22"/>
          <w:szCs w:val="22"/>
          <w:lang w:val="en-GB"/>
        </w:rPr>
        <w:t>interests,</w:t>
      </w:r>
      <w:r w:rsidRPr="008116BF">
        <w:rPr>
          <w:rFonts w:ascii="Avenir Next" w:hAnsi="Avenir Next" w:cs="Arial"/>
          <w:color w:val="808080" w:themeColor="background1" w:themeShade="80"/>
          <w:sz w:val="22"/>
          <w:szCs w:val="22"/>
          <w:lang w:val="en-GB"/>
        </w:rPr>
        <w:t xml:space="preserve"> and political relationships.</w:t>
      </w:r>
      <w:r>
        <w:rPr>
          <w:rFonts w:ascii="Avenir Next" w:hAnsi="Avenir Next" w:cs="Arial"/>
          <w:color w:val="808080" w:themeColor="background1" w:themeShade="80"/>
          <w:sz w:val="22"/>
          <w:szCs w:val="22"/>
          <w:lang w:val="en-GB"/>
        </w:rPr>
        <w:t xml:space="preserve"> </w:t>
      </w:r>
      <w:r w:rsidRPr="008116BF">
        <w:rPr>
          <w:rFonts w:ascii="Avenir Next" w:hAnsi="Avenir Next" w:cs="Arial"/>
          <w:color w:val="808080" w:themeColor="background1" w:themeShade="80"/>
          <w:sz w:val="22"/>
          <w:szCs w:val="22"/>
          <w:lang w:val="en-GB"/>
        </w:rPr>
        <w:t>The creation of mechanisms for cooperation, such as common protocols or international agreements, is a challenge because of the number of parties involved.</w:t>
      </w:r>
    </w:p>
    <w:p w14:paraId="69458671" w14:textId="77777777" w:rsidR="008116BF" w:rsidRPr="008116BF" w:rsidRDefault="008116BF" w:rsidP="008116BF">
      <w:pPr>
        <w:jc w:val="both"/>
        <w:rPr>
          <w:rFonts w:ascii="Avenir Next" w:hAnsi="Avenir Next" w:cs="Arial"/>
          <w:color w:val="808080" w:themeColor="background1" w:themeShade="80"/>
          <w:sz w:val="22"/>
          <w:szCs w:val="22"/>
          <w:lang w:val="en-GB"/>
        </w:rPr>
      </w:pPr>
    </w:p>
    <w:p w14:paraId="6B5CF002" w14:textId="4A915332" w:rsidR="00DA42DA" w:rsidRPr="00DA42DA" w:rsidRDefault="008116BF" w:rsidP="008116BF">
      <w:pPr>
        <w:jc w:val="both"/>
        <w:rPr>
          <w:rFonts w:ascii="Avenir Next" w:hAnsi="Avenir Next" w:cs="Arial"/>
          <w:color w:val="808080" w:themeColor="background1" w:themeShade="80"/>
          <w:sz w:val="22"/>
          <w:szCs w:val="22"/>
          <w:lang w:val="en-GB"/>
        </w:rPr>
      </w:pPr>
      <w:r w:rsidRPr="008116BF">
        <w:rPr>
          <w:rFonts w:ascii="Avenir Next" w:hAnsi="Avenir Next" w:cs="Arial"/>
          <w:color w:val="808080" w:themeColor="background1" w:themeShade="80"/>
          <w:sz w:val="22"/>
          <w:szCs w:val="22"/>
          <w:lang w:val="en-GB"/>
        </w:rPr>
        <w:t xml:space="preserve">There are many obstacles to establishing a system for dealing with cross-border insolvency. These challenges arise from differences in systems, different insolvency laws, cultural and economic factors, conflicts between jurisdictions, difficulties in enforcement and the need for cooperation. While initiatives such as the UNCITRAL Model Law on Cross-Border Insolvency are steps forward, standardisation to fully integrate these elements into a coherent global framework remains an ongoing and complex endeavour. Successfully addressing these challenges requires not only the alignment of practices, but also an understanding of the broader economic, </w:t>
      </w:r>
      <w:r w:rsidRPr="008116BF">
        <w:rPr>
          <w:rFonts w:ascii="Avenir Next" w:hAnsi="Avenir Next" w:cs="Arial"/>
          <w:color w:val="808080" w:themeColor="background1" w:themeShade="80"/>
          <w:sz w:val="22"/>
          <w:szCs w:val="22"/>
          <w:lang w:val="en-GB"/>
        </w:rPr>
        <w:t>cultural,</w:t>
      </w:r>
      <w:r w:rsidRPr="008116BF">
        <w:rPr>
          <w:rFonts w:ascii="Avenir Next" w:hAnsi="Avenir Next" w:cs="Arial"/>
          <w:color w:val="808080" w:themeColor="background1" w:themeShade="80"/>
          <w:sz w:val="22"/>
          <w:szCs w:val="22"/>
          <w:lang w:val="en-GB"/>
        </w:rPr>
        <w:t xml:space="preserve"> and political contexts that shape insolvency laws and procedures around the world.</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4823428C" w14:textId="77777777" w:rsidR="00EB4E55" w:rsidRPr="00EB4E55" w:rsidRDefault="00EB4E55" w:rsidP="00EB4E55">
      <w:pPr>
        <w:jc w:val="both"/>
        <w:rPr>
          <w:rFonts w:ascii="Avenir Next" w:hAnsi="Avenir Next" w:cs="Arial"/>
          <w:color w:val="808080" w:themeColor="background1" w:themeShade="80"/>
          <w:sz w:val="22"/>
          <w:szCs w:val="22"/>
          <w:lang w:val="en-GB"/>
        </w:rPr>
      </w:pPr>
      <w:r w:rsidRPr="00EB4E55">
        <w:rPr>
          <w:rFonts w:ascii="Avenir Next" w:hAnsi="Avenir Next" w:cs="Arial"/>
          <w:color w:val="808080" w:themeColor="background1" w:themeShade="80"/>
          <w:sz w:val="22"/>
          <w:szCs w:val="22"/>
          <w:lang w:val="en-GB"/>
        </w:rPr>
        <w:t>When analysing insolvency, it is essential to understand the distinction between "law" and "soft law" as it affects the operation and implementation of legal instruments in different jurisdictions. The purpose of this paper is to examine the definitions of these terms, provide examples and assess their effectiveness in addressing the challenges posed by insolvency.</w:t>
      </w:r>
    </w:p>
    <w:p w14:paraId="37AF5924" w14:textId="77777777" w:rsidR="00EB4E55" w:rsidRPr="00EB4E55" w:rsidRDefault="00EB4E55" w:rsidP="00EB4E55">
      <w:pPr>
        <w:jc w:val="both"/>
        <w:rPr>
          <w:rFonts w:ascii="Avenir Next" w:hAnsi="Avenir Next" w:cs="Arial"/>
          <w:color w:val="808080" w:themeColor="background1" w:themeShade="80"/>
          <w:sz w:val="22"/>
          <w:szCs w:val="22"/>
          <w:lang w:val="en-GB"/>
        </w:rPr>
      </w:pPr>
    </w:p>
    <w:p w14:paraId="02BA0FF1" w14:textId="2BF916E6" w:rsidR="00EB4E55" w:rsidRPr="00EB4E55" w:rsidRDefault="00EB4E55" w:rsidP="00EB4E55">
      <w:pPr>
        <w:jc w:val="both"/>
        <w:rPr>
          <w:rFonts w:ascii="Avenir Next" w:hAnsi="Avenir Next" w:cs="Arial"/>
          <w:b/>
          <w:bCs/>
          <w:color w:val="808080" w:themeColor="background1" w:themeShade="80"/>
          <w:sz w:val="22"/>
          <w:szCs w:val="22"/>
          <w:lang w:val="en-GB"/>
        </w:rPr>
      </w:pPr>
      <w:r w:rsidRPr="00EB4E55">
        <w:rPr>
          <w:rFonts w:ascii="Avenir Next" w:hAnsi="Avenir Next" w:cs="Arial"/>
          <w:b/>
          <w:bCs/>
          <w:color w:val="808080" w:themeColor="background1" w:themeShade="80"/>
          <w:sz w:val="22"/>
          <w:szCs w:val="22"/>
          <w:lang w:val="en-GB"/>
        </w:rPr>
        <w:t>1. Understanding hard law</w:t>
      </w:r>
      <w:r>
        <w:rPr>
          <w:rFonts w:ascii="Avenir Next" w:hAnsi="Avenir Next" w:cs="Arial"/>
          <w:b/>
          <w:bCs/>
          <w:color w:val="808080" w:themeColor="background1" w:themeShade="80"/>
          <w:sz w:val="22"/>
          <w:szCs w:val="22"/>
          <w:lang w:val="en-GB"/>
        </w:rPr>
        <w:t xml:space="preserve">: </w:t>
      </w:r>
      <w:r w:rsidRPr="00EB4E55">
        <w:rPr>
          <w:rFonts w:ascii="Avenir Next" w:hAnsi="Avenir Next" w:cs="Arial"/>
          <w:color w:val="808080" w:themeColor="background1" w:themeShade="80"/>
          <w:sz w:val="22"/>
          <w:szCs w:val="22"/>
          <w:lang w:val="en-GB"/>
        </w:rPr>
        <w:t>The term "law" refers to binding rules and regulations that can be enforced in a court of law. In the context of insolvency, hard law typically includes treaties, international conventions and national laws that have been formally ratified by participating countries.</w:t>
      </w:r>
      <w:r>
        <w:rPr>
          <w:rFonts w:ascii="Avenir Next" w:hAnsi="Avenir Next" w:cs="Arial"/>
          <w:b/>
          <w:bCs/>
          <w:color w:val="808080" w:themeColor="background1" w:themeShade="80"/>
          <w:sz w:val="22"/>
          <w:szCs w:val="22"/>
          <w:lang w:val="en-GB"/>
        </w:rPr>
        <w:t xml:space="preserve"> </w:t>
      </w:r>
      <w:r w:rsidRPr="00EB4E55">
        <w:rPr>
          <w:rFonts w:ascii="Avenir Next" w:hAnsi="Avenir Next" w:cs="Arial"/>
          <w:color w:val="808080" w:themeColor="background1" w:themeShade="80"/>
          <w:sz w:val="22"/>
          <w:szCs w:val="22"/>
          <w:lang w:val="en-GB"/>
        </w:rPr>
        <w:t>A notable example of hard law in insolvency is the European Union's Insolvency Regulation. This Regulation is binding on all EU Member States. It provides a framework for dealing with cross-border insolvency cases within Europe. It includes provisions on jurisdiction, recognition of insolvency proceedings and coordination between member states.</w:t>
      </w:r>
    </w:p>
    <w:p w14:paraId="37024022" w14:textId="77777777" w:rsidR="00EB4E55" w:rsidRPr="00EB4E55" w:rsidRDefault="00EB4E55" w:rsidP="00EB4E55">
      <w:pPr>
        <w:jc w:val="both"/>
        <w:rPr>
          <w:rFonts w:ascii="Avenir Next" w:hAnsi="Avenir Next" w:cs="Arial"/>
          <w:color w:val="808080" w:themeColor="background1" w:themeShade="80"/>
          <w:sz w:val="22"/>
          <w:szCs w:val="22"/>
          <w:lang w:val="en-GB"/>
        </w:rPr>
      </w:pPr>
    </w:p>
    <w:p w14:paraId="37EAAAC0" w14:textId="1BB02E43" w:rsidR="00EB4E55" w:rsidRPr="00EB4E55" w:rsidRDefault="00EB4E55" w:rsidP="00EB4E55">
      <w:pPr>
        <w:jc w:val="both"/>
        <w:rPr>
          <w:rFonts w:ascii="Avenir Next" w:hAnsi="Avenir Next" w:cs="Arial"/>
          <w:b/>
          <w:bCs/>
          <w:color w:val="808080" w:themeColor="background1" w:themeShade="80"/>
          <w:sz w:val="22"/>
          <w:szCs w:val="22"/>
          <w:lang w:val="en-GB"/>
        </w:rPr>
      </w:pPr>
      <w:r w:rsidRPr="00EB4E55">
        <w:rPr>
          <w:rFonts w:ascii="Avenir Next" w:hAnsi="Avenir Next" w:cs="Arial"/>
          <w:b/>
          <w:bCs/>
          <w:color w:val="808080" w:themeColor="background1" w:themeShade="80"/>
          <w:sz w:val="22"/>
          <w:szCs w:val="22"/>
          <w:lang w:val="en-GB"/>
        </w:rPr>
        <w:t>2. Understanding soft law</w:t>
      </w:r>
      <w:r>
        <w:rPr>
          <w:rFonts w:ascii="Avenir Next" w:hAnsi="Avenir Next" w:cs="Arial"/>
          <w:b/>
          <w:bCs/>
          <w:color w:val="808080" w:themeColor="background1" w:themeShade="80"/>
          <w:sz w:val="22"/>
          <w:szCs w:val="22"/>
          <w:lang w:val="en-GB"/>
        </w:rPr>
        <w:t xml:space="preserve">: </w:t>
      </w:r>
      <w:r w:rsidRPr="00EB4E55">
        <w:rPr>
          <w:rFonts w:ascii="Avenir Next" w:hAnsi="Avenir Next" w:cs="Arial"/>
          <w:color w:val="808080" w:themeColor="background1" w:themeShade="80"/>
          <w:sz w:val="22"/>
          <w:szCs w:val="22"/>
          <w:lang w:val="en-GB"/>
        </w:rPr>
        <w:t>soft</w:t>
      </w:r>
      <w:r w:rsidRPr="00EB4E55">
        <w:rPr>
          <w:rFonts w:ascii="Avenir Next" w:hAnsi="Avenir Next" w:cs="Arial"/>
          <w:color w:val="808080" w:themeColor="background1" w:themeShade="80"/>
          <w:sz w:val="22"/>
          <w:szCs w:val="22"/>
          <w:lang w:val="en-GB"/>
        </w:rPr>
        <w:t xml:space="preserve"> law, on the other hand, consists of binding guidelines, principles and standards that influence legal practice but are not enforceable.</w:t>
      </w:r>
      <w:r>
        <w:rPr>
          <w:rFonts w:ascii="Avenir Next" w:hAnsi="Avenir Next" w:cs="Arial"/>
          <w:b/>
          <w:bCs/>
          <w:color w:val="808080" w:themeColor="background1" w:themeShade="80"/>
          <w:sz w:val="22"/>
          <w:szCs w:val="22"/>
          <w:lang w:val="en-GB"/>
        </w:rPr>
        <w:t xml:space="preserve"> </w:t>
      </w:r>
      <w:r w:rsidRPr="00EB4E55">
        <w:rPr>
          <w:rFonts w:ascii="Avenir Next" w:hAnsi="Avenir Next" w:cs="Arial"/>
          <w:color w:val="808080" w:themeColor="background1" w:themeShade="80"/>
          <w:sz w:val="22"/>
          <w:szCs w:val="22"/>
          <w:lang w:val="en-GB"/>
        </w:rPr>
        <w:t>Soft law instruments are often used to provide guidance and promote harmonisation in areas where implementation of the law is complicated.</w:t>
      </w:r>
      <w:r>
        <w:rPr>
          <w:rFonts w:ascii="Avenir Next" w:hAnsi="Avenir Next" w:cs="Arial"/>
          <w:b/>
          <w:bCs/>
          <w:color w:val="808080" w:themeColor="background1" w:themeShade="80"/>
          <w:sz w:val="22"/>
          <w:szCs w:val="22"/>
          <w:lang w:val="en-GB"/>
        </w:rPr>
        <w:t xml:space="preserve"> </w:t>
      </w:r>
      <w:r w:rsidRPr="00EB4E55">
        <w:rPr>
          <w:rFonts w:ascii="Avenir Next" w:hAnsi="Avenir Next" w:cs="Arial"/>
          <w:color w:val="808080" w:themeColor="background1" w:themeShade="80"/>
          <w:sz w:val="22"/>
          <w:szCs w:val="22"/>
          <w:lang w:val="en-GB"/>
        </w:rPr>
        <w:t>Take the UNCITRAL Model Law on Cross-Border Insolvency as an example. Although it is not binding, it provides a model framework that countries can adopt or modify to suit their legislation. Its purpose is to facilitate cooperation and coordination in cross-border insolvency cases and to promote legal harmonisation without imposing binding obligations.</w:t>
      </w:r>
    </w:p>
    <w:p w14:paraId="40A55AEC" w14:textId="77777777" w:rsidR="00EB4E55" w:rsidRPr="00EB4E55" w:rsidRDefault="00EB4E55" w:rsidP="00EB4E55">
      <w:pPr>
        <w:jc w:val="both"/>
        <w:rPr>
          <w:rFonts w:ascii="Avenir Next" w:hAnsi="Avenir Next" w:cs="Arial"/>
          <w:color w:val="808080" w:themeColor="background1" w:themeShade="80"/>
          <w:sz w:val="22"/>
          <w:szCs w:val="22"/>
          <w:lang w:val="en-GB"/>
        </w:rPr>
      </w:pPr>
    </w:p>
    <w:p w14:paraId="2B933981" w14:textId="25651795" w:rsidR="00EB4E55" w:rsidRPr="00EB4E55" w:rsidRDefault="00EB4E55" w:rsidP="00EB4E55">
      <w:pPr>
        <w:jc w:val="both"/>
        <w:rPr>
          <w:rFonts w:ascii="Avenir Next" w:hAnsi="Avenir Next" w:cs="Arial"/>
          <w:b/>
          <w:bCs/>
          <w:color w:val="808080" w:themeColor="background1" w:themeShade="80"/>
          <w:sz w:val="22"/>
          <w:szCs w:val="22"/>
          <w:lang w:val="en-GB"/>
        </w:rPr>
      </w:pPr>
      <w:r w:rsidRPr="00EB4E55">
        <w:rPr>
          <w:rFonts w:ascii="Avenir Next" w:hAnsi="Avenir Next" w:cs="Arial"/>
          <w:b/>
          <w:bCs/>
          <w:color w:val="808080" w:themeColor="background1" w:themeShade="80"/>
          <w:sz w:val="22"/>
          <w:szCs w:val="22"/>
          <w:lang w:val="en-GB"/>
        </w:rPr>
        <w:t>3. The success of hard and soft law</w:t>
      </w:r>
      <w:r>
        <w:rPr>
          <w:rFonts w:ascii="Avenir Next" w:hAnsi="Avenir Next" w:cs="Arial"/>
          <w:b/>
          <w:bCs/>
          <w:color w:val="808080" w:themeColor="background1" w:themeShade="80"/>
          <w:sz w:val="22"/>
          <w:szCs w:val="22"/>
          <w:lang w:val="en-GB"/>
        </w:rPr>
        <w:t xml:space="preserve">: </w:t>
      </w:r>
      <w:r w:rsidRPr="00EB4E55">
        <w:rPr>
          <w:rFonts w:ascii="Avenir Next" w:hAnsi="Avenir Next" w:cs="Arial"/>
          <w:color w:val="808080" w:themeColor="background1" w:themeShade="80"/>
          <w:sz w:val="22"/>
          <w:szCs w:val="22"/>
          <w:lang w:val="en-GB"/>
        </w:rPr>
        <w:t>The success of hard law lies in its enforceability and the legal certainty it provides. For example, the EU Insolvency Regulation has significantly streamlined cross-border insolvency proceedings within the European Union. However, the development and ratification of law can be slow and fraught with challenges that limit its scope and adaptability.</w:t>
      </w:r>
      <w:r>
        <w:rPr>
          <w:rFonts w:ascii="Avenir Next" w:hAnsi="Avenir Next" w:cs="Arial"/>
          <w:b/>
          <w:bCs/>
          <w:color w:val="808080" w:themeColor="background1" w:themeShade="80"/>
          <w:sz w:val="22"/>
          <w:szCs w:val="22"/>
          <w:lang w:val="en-GB"/>
        </w:rPr>
        <w:t xml:space="preserve"> </w:t>
      </w:r>
      <w:r w:rsidRPr="00EB4E55">
        <w:rPr>
          <w:rFonts w:ascii="Avenir Next" w:hAnsi="Avenir Next" w:cs="Arial"/>
          <w:color w:val="808080" w:themeColor="background1" w:themeShade="80"/>
          <w:sz w:val="22"/>
          <w:szCs w:val="22"/>
          <w:lang w:val="en-GB"/>
        </w:rPr>
        <w:t>The strength of soft law lies in its flexibility and ability to adapt to legal systems. The UNCITRAL Model Law, for example, has been influential in shaping insolvency law and promoting international cooperation. However, due to its binding nature, adoption and implementation can vary widely, leading to inconsistencies and difficulties in cross-border recognition and enforcement.</w:t>
      </w:r>
    </w:p>
    <w:p w14:paraId="1880723F" w14:textId="77777777" w:rsidR="00EB4E55" w:rsidRPr="00EB4E55" w:rsidRDefault="00EB4E55" w:rsidP="00EB4E55">
      <w:pPr>
        <w:jc w:val="both"/>
        <w:rPr>
          <w:rFonts w:ascii="Avenir Next" w:hAnsi="Avenir Next" w:cs="Arial"/>
          <w:color w:val="808080" w:themeColor="background1" w:themeShade="80"/>
          <w:sz w:val="22"/>
          <w:szCs w:val="22"/>
          <w:lang w:val="en-GB"/>
        </w:rPr>
      </w:pPr>
    </w:p>
    <w:p w14:paraId="774AB1EE" w14:textId="569CC84A" w:rsidR="006A44B2" w:rsidRPr="00DA42DA" w:rsidRDefault="00EB4E55" w:rsidP="00EB4E55">
      <w:pPr>
        <w:jc w:val="both"/>
        <w:rPr>
          <w:rFonts w:ascii="Avenir Next" w:hAnsi="Avenir Next" w:cs="Arial"/>
          <w:color w:val="808080" w:themeColor="background1" w:themeShade="80"/>
          <w:sz w:val="22"/>
          <w:szCs w:val="22"/>
          <w:lang w:val="en-GB"/>
        </w:rPr>
      </w:pPr>
      <w:r w:rsidRPr="00EB4E55">
        <w:rPr>
          <w:rFonts w:ascii="Avenir Next" w:hAnsi="Avenir Next" w:cs="Arial"/>
          <w:color w:val="808080" w:themeColor="background1" w:themeShade="80"/>
          <w:sz w:val="22"/>
          <w:szCs w:val="22"/>
          <w:lang w:val="en-GB"/>
        </w:rPr>
        <w:t xml:space="preserve">The complexity of insolvency can be effectively addressed through a combination of soft laws. While hard laws provide certainty and enforceability, their effectiveness can be hampered by the complex processes involved in international lawmaking and ratification. Soft laws, on the other hand, offer flexibility and the ability to adapt to legal systems, but their success depends on voluntary adoption and implementation by individual countries. It is essential to strike a balance between these two types of law </w:t>
      </w:r>
      <w:r w:rsidRPr="00EB4E55">
        <w:rPr>
          <w:rFonts w:ascii="Avenir Next" w:hAnsi="Avenir Next" w:cs="Arial"/>
          <w:color w:val="808080" w:themeColor="background1" w:themeShade="80"/>
          <w:sz w:val="22"/>
          <w:szCs w:val="22"/>
          <w:lang w:val="en-GB"/>
        </w:rPr>
        <w:t>to</w:t>
      </w:r>
      <w:r w:rsidRPr="00EB4E55">
        <w:rPr>
          <w:rFonts w:ascii="Avenir Next" w:hAnsi="Avenir Next" w:cs="Arial"/>
          <w:color w:val="808080" w:themeColor="background1" w:themeShade="80"/>
          <w:sz w:val="22"/>
          <w:szCs w:val="22"/>
          <w:lang w:val="en-GB"/>
        </w:rPr>
        <w:t xml:space="preserve"> create a functional framework for dealing with insolvency issues. By harnessing the strengths of both soft laws, we can address these challenges and create a cohesive international insolvency regime that works efficiently.</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w:t>
      </w:r>
      <w:r w:rsidRPr="00F85C0B">
        <w:rPr>
          <w:rFonts w:ascii="Avenir Next" w:hAnsi="Avenir Next" w:cs="Arial"/>
          <w:sz w:val="22"/>
          <w:szCs w:val="22"/>
        </w:rPr>
        <w:lastRenderedPageBreak/>
        <w:t xml:space="preserve">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00DF1EAC"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r w:rsidR="00C21596" w:rsidRPr="00F85C0B">
        <w:rPr>
          <w:rFonts w:ascii="Avenir Next" w:hAnsi="Avenir Next" w:cs="Arial"/>
          <w:sz w:val="22"/>
          <w:szCs w:val="22"/>
        </w:rPr>
        <w:t>countries,</w:t>
      </w:r>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41AD25C0"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r w:rsidR="00C21596" w:rsidRPr="00F85C0B">
        <w:rPr>
          <w:rFonts w:ascii="Avenir Next" w:hAnsi="Avenir Next" w:cs="Arial"/>
          <w:sz w:val="22"/>
          <w:szCs w:val="28"/>
        </w:rPr>
        <w:t>Africa,</w:t>
      </w:r>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6D8C22D2"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Prrafodelista"/>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DACBC36" w14:textId="3FE3DE31" w:rsidR="00EC49A5" w:rsidRPr="00EC49A5" w:rsidRDefault="00EC49A5" w:rsidP="00EC49A5">
      <w:pPr>
        <w:jc w:val="both"/>
        <w:rPr>
          <w:rFonts w:ascii="Avenir Next" w:hAnsi="Avenir Next" w:cs="Arial"/>
          <w:color w:val="808080" w:themeColor="background1" w:themeShade="80"/>
          <w:sz w:val="22"/>
          <w:szCs w:val="22"/>
          <w:lang w:val="en-GB"/>
        </w:rPr>
      </w:pPr>
      <w:r w:rsidRPr="00EC49A5">
        <w:rPr>
          <w:rFonts w:ascii="Avenir Next" w:hAnsi="Avenir Next" w:cs="Arial"/>
          <w:color w:val="808080" w:themeColor="background1" w:themeShade="80"/>
          <w:sz w:val="22"/>
          <w:szCs w:val="22"/>
          <w:lang w:val="en-GB"/>
        </w:rPr>
        <w:t xml:space="preserve">I would like to advise the estate representative the relevant English cross-border sources for recognition under English law. The following points need to be </w:t>
      </w:r>
      <w:r w:rsidRPr="00EC49A5">
        <w:rPr>
          <w:rFonts w:ascii="Avenir Next" w:hAnsi="Avenir Next" w:cs="Arial"/>
          <w:color w:val="808080" w:themeColor="background1" w:themeShade="80"/>
          <w:sz w:val="22"/>
          <w:szCs w:val="22"/>
          <w:lang w:val="en-GB"/>
        </w:rPr>
        <w:t>considered.</w:t>
      </w:r>
    </w:p>
    <w:p w14:paraId="66BD4D1D" w14:textId="77777777" w:rsidR="00EC49A5" w:rsidRPr="00EC49A5" w:rsidRDefault="00EC49A5" w:rsidP="00EC49A5">
      <w:pPr>
        <w:jc w:val="both"/>
        <w:rPr>
          <w:rFonts w:ascii="Avenir Next" w:hAnsi="Avenir Next" w:cs="Arial"/>
          <w:color w:val="808080" w:themeColor="background1" w:themeShade="80"/>
          <w:sz w:val="22"/>
          <w:szCs w:val="22"/>
          <w:lang w:val="en-GB"/>
        </w:rPr>
      </w:pPr>
    </w:p>
    <w:p w14:paraId="07444827" w14:textId="7188A8AA" w:rsidR="00EC49A5" w:rsidRPr="00EC49A5" w:rsidRDefault="00EC49A5" w:rsidP="00EC49A5">
      <w:pPr>
        <w:jc w:val="both"/>
        <w:rPr>
          <w:rFonts w:ascii="Avenir Next" w:hAnsi="Avenir Next" w:cs="Arial"/>
          <w:color w:val="808080" w:themeColor="background1" w:themeShade="80"/>
          <w:sz w:val="22"/>
          <w:szCs w:val="22"/>
          <w:lang w:val="en-GB"/>
        </w:rPr>
      </w:pPr>
      <w:r w:rsidRPr="00EC49A5">
        <w:rPr>
          <w:rFonts w:ascii="Avenir Next" w:hAnsi="Avenir Next" w:cs="Arial"/>
          <w:color w:val="808080" w:themeColor="background1" w:themeShade="80"/>
          <w:sz w:val="22"/>
          <w:szCs w:val="22"/>
          <w:lang w:val="en-GB"/>
        </w:rPr>
        <w:t>1. UNCITRAL Model Law on Cross Border Insolvency</w:t>
      </w:r>
      <w:r>
        <w:rPr>
          <w:rFonts w:ascii="Avenir Next" w:hAnsi="Avenir Next" w:cs="Arial"/>
          <w:color w:val="808080" w:themeColor="background1" w:themeShade="80"/>
          <w:sz w:val="22"/>
          <w:szCs w:val="22"/>
          <w:lang w:val="en-GB"/>
        </w:rPr>
        <w:t>:</w:t>
      </w:r>
      <w:r w:rsidRPr="00EC49A5">
        <w:rPr>
          <w:rFonts w:ascii="Avenir Next" w:hAnsi="Avenir Next" w:cs="Arial"/>
          <w:color w:val="808080" w:themeColor="background1" w:themeShade="80"/>
          <w:sz w:val="22"/>
          <w:szCs w:val="22"/>
          <w:lang w:val="en-GB"/>
        </w:rPr>
        <w:t xml:space="preserve"> It is worth noting that the United Kingdom has adopted and implemented the UNCITRAL Model Law on Cross Border Insolvency. This law provides a framework for the recognition of insolvency proceedings and facilitates cooperation between courts and insolvency practitioners from different jurisdictions. In this case, it would be possible for the liquidator to apply to the English courts for recognition of its liquidation proceedings as either a "foreign main proceeding" or a "foreign non main proceeding", depending on whether Norton Cars </w:t>
      </w:r>
      <w:proofErr w:type="spellStart"/>
      <w:r w:rsidRPr="00EC49A5">
        <w:rPr>
          <w:rFonts w:ascii="Avenir Next" w:hAnsi="Avenir Next" w:cs="Arial"/>
          <w:color w:val="808080" w:themeColor="background1" w:themeShade="80"/>
          <w:sz w:val="22"/>
          <w:szCs w:val="22"/>
          <w:lang w:val="en-GB"/>
        </w:rPr>
        <w:t>Incs</w:t>
      </w:r>
      <w:proofErr w:type="spellEnd"/>
      <w:r w:rsidRPr="00EC49A5">
        <w:rPr>
          <w:rFonts w:ascii="Avenir Next" w:hAnsi="Avenir Next" w:cs="Arial"/>
          <w:color w:val="808080" w:themeColor="background1" w:themeShade="80"/>
          <w:sz w:val="22"/>
          <w:szCs w:val="22"/>
          <w:lang w:val="en-GB"/>
        </w:rPr>
        <w:t>' centre of main interests (COMI) is in the United States or whether it has an establishment there.</w:t>
      </w:r>
    </w:p>
    <w:p w14:paraId="6190A1E2" w14:textId="77777777" w:rsidR="00EC49A5" w:rsidRPr="00EC49A5" w:rsidRDefault="00EC49A5" w:rsidP="00EC49A5">
      <w:pPr>
        <w:jc w:val="both"/>
        <w:rPr>
          <w:rFonts w:ascii="Avenir Next" w:hAnsi="Avenir Next" w:cs="Arial"/>
          <w:color w:val="808080" w:themeColor="background1" w:themeShade="80"/>
          <w:sz w:val="22"/>
          <w:szCs w:val="22"/>
          <w:lang w:val="en-GB"/>
        </w:rPr>
      </w:pPr>
    </w:p>
    <w:p w14:paraId="049F5144" w14:textId="0BDAAA1F" w:rsidR="00EC49A5" w:rsidRPr="00EC49A5" w:rsidRDefault="00EC49A5" w:rsidP="00EC49A5">
      <w:pPr>
        <w:jc w:val="both"/>
        <w:rPr>
          <w:rFonts w:ascii="Avenir Next" w:hAnsi="Avenir Next" w:cs="Arial"/>
          <w:color w:val="808080" w:themeColor="background1" w:themeShade="80"/>
          <w:sz w:val="22"/>
          <w:szCs w:val="22"/>
          <w:lang w:val="en-GB"/>
        </w:rPr>
      </w:pPr>
      <w:r w:rsidRPr="00EC49A5">
        <w:rPr>
          <w:rFonts w:ascii="Avenir Next" w:hAnsi="Avenir Next" w:cs="Arial"/>
          <w:color w:val="808080" w:themeColor="background1" w:themeShade="80"/>
          <w:sz w:val="22"/>
          <w:szCs w:val="22"/>
          <w:lang w:val="en-GB"/>
        </w:rPr>
        <w:t>2. English Insolvency Act 1986 and Cross Border Insolvency Regulations 2006</w:t>
      </w:r>
      <w:r>
        <w:rPr>
          <w:rFonts w:ascii="Avenir Next" w:hAnsi="Avenir Next" w:cs="Arial"/>
          <w:color w:val="808080" w:themeColor="background1" w:themeShade="80"/>
          <w:sz w:val="22"/>
          <w:szCs w:val="22"/>
          <w:lang w:val="en-GB"/>
        </w:rPr>
        <w:t>:</w:t>
      </w:r>
      <w:r w:rsidRPr="00EC49A5">
        <w:rPr>
          <w:rFonts w:ascii="Avenir Next" w:hAnsi="Avenir Next" w:cs="Arial"/>
          <w:color w:val="808080" w:themeColor="background1" w:themeShade="80"/>
          <w:sz w:val="22"/>
          <w:szCs w:val="22"/>
          <w:lang w:val="en-GB"/>
        </w:rPr>
        <w:t xml:space="preserve"> Another important aspect to consider is that, by incorporating provisions of the UNCITRAL Model Law, the English Insolvency Act 1986, together with amendments made by the Cross Border Insolvency Regulations 2006, allows for the recognition of US insolvency proceedings in England. Such recognition would confer the power to administer the assets of the company located in England under the supervision of a court.</w:t>
      </w:r>
    </w:p>
    <w:p w14:paraId="6EFD6256" w14:textId="77777777" w:rsidR="00EC49A5" w:rsidRPr="00EC49A5" w:rsidRDefault="00EC49A5" w:rsidP="00EC49A5">
      <w:pPr>
        <w:jc w:val="both"/>
        <w:rPr>
          <w:rFonts w:ascii="Avenir Next" w:hAnsi="Avenir Next" w:cs="Arial"/>
          <w:color w:val="808080" w:themeColor="background1" w:themeShade="80"/>
          <w:sz w:val="22"/>
          <w:szCs w:val="22"/>
          <w:lang w:val="en-GB"/>
        </w:rPr>
      </w:pPr>
    </w:p>
    <w:p w14:paraId="1BF6F908" w14:textId="173966E9" w:rsidR="00EC49A5" w:rsidRPr="00EC49A5" w:rsidRDefault="00EC49A5" w:rsidP="00EC49A5">
      <w:pPr>
        <w:jc w:val="both"/>
        <w:rPr>
          <w:rFonts w:ascii="Avenir Next" w:hAnsi="Avenir Next" w:cs="Arial"/>
          <w:color w:val="808080" w:themeColor="background1" w:themeShade="80"/>
          <w:sz w:val="22"/>
          <w:szCs w:val="22"/>
          <w:lang w:val="en-GB"/>
        </w:rPr>
      </w:pPr>
      <w:r w:rsidRPr="00EC49A5">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w:t>
      </w:r>
      <w:r w:rsidRPr="00EC49A5">
        <w:rPr>
          <w:rFonts w:ascii="Avenir Next" w:hAnsi="Avenir Next" w:cs="Arial"/>
          <w:color w:val="808080" w:themeColor="background1" w:themeShade="80"/>
          <w:sz w:val="22"/>
          <w:szCs w:val="22"/>
          <w:lang w:val="en-GB"/>
        </w:rPr>
        <w:t xml:space="preserve">Despite the UK's withdrawal from the European Union, there may still be provisions that apply to cases commenced before the end of the transitional period. However, as Norton Cars Inc. has moved its registered office from the UK. Now has its Centre of Interest (COMI) in Italy, this may limit the applicability of the EU Insolvency Regulation in this </w:t>
      </w:r>
      <w:r w:rsidR="00C21596" w:rsidRPr="00EC49A5">
        <w:rPr>
          <w:rFonts w:ascii="Avenir Next" w:hAnsi="Avenir Next" w:cs="Arial"/>
          <w:color w:val="808080" w:themeColor="background1" w:themeShade="80"/>
          <w:sz w:val="22"/>
          <w:szCs w:val="22"/>
          <w:lang w:val="en-GB"/>
        </w:rPr>
        <w:t>case</w:t>
      </w:r>
      <w:r w:rsidRPr="00EC49A5">
        <w:rPr>
          <w:rFonts w:ascii="Avenir Next" w:hAnsi="Avenir Next" w:cs="Arial"/>
          <w:color w:val="808080" w:themeColor="background1" w:themeShade="80"/>
          <w:sz w:val="22"/>
          <w:szCs w:val="22"/>
          <w:lang w:val="en-GB"/>
        </w:rPr>
        <w:t>.</w:t>
      </w:r>
    </w:p>
    <w:p w14:paraId="6CBC5FCD" w14:textId="77777777" w:rsidR="00EC49A5" w:rsidRPr="00EC49A5" w:rsidRDefault="00EC49A5" w:rsidP="00EC49A5">
      <w:pPr>
        <w:jc w:val="both"/>
        <w:rPr>
          <w:rFonts w:ascii="Avenir Next" w:hAnsi="Avenir Next" w:cs="Arial"/>
          <w:color w:val="808080" w:themeColor="background1" w:themeShade="80"/>
          <w:sz w:val="22"/>
          <w:szCs w:val="22"/>
          <w:lang w:val="en-GB"/>
        </w:rPr>
      </w:pPr>
    </w:p>
    <w:p w14:paraId="4184BAFC" w14:textId="499EF059" w:rsidR="002253D8" w:rsidRPr="002253D8" w:rsidRDefault="00EC49A5" w:rsidP="00EC49A5">
      <w:pPr>
        <w:jc w:val="both"/>
        <w:rPr>
          <w:rFonts w:ascii="Avenir Next" w:hAnsi="Avenir Next" w:cs="Arial"/>
          <w:color w:val="808080" w:themeColor="background1" w:themeShade="80"/>
          <w:sz w:val="22"/>
          <w:szCs w:val="22"/>
          <w:lang w:val="en-GB"/>
        </w:rPr>
      </w:pPr>
      <w:r w:rsidRPr="00EC49A5">
        <w:rPr>
          <w:rFonts w:ascii="Avenir Next" w:hAnsi="Avenir Next" w:cs="Arial"/>
          <w:color w:val="808080" w:themeColor="background1" w:themeShade="80"/>
          <w:sz w:val="22"/>
          <w:szCs w:val="22"/>
          <w:lang w:val="en-GB"/>
        </w:rPr>
        <w:t>To</w:t>
      </w:r>
      <w:r w:rsidRPr="00EC49A5">
        <w:rPr>
          <w:rFonts w:ascii="Avenir Next" w:hAnsi="Avenir Next" w:cs="Arial"/>
          <w:color w:val="808080" w:themeColor="background1" w:themeShade="80"/>
          <w:sz w:val="22"/>
          <w:szCs w:val="22"/>
          <w:lang w:val="en-GB"/>
        </w:rPr>
        <w:t xml:space="preserve"> deal effectively with Norton Cars Inc's assets located in England, it is advisable for the liquidator to rely on the UNCITRAL Model Law on Cross Border Insolvency. This has been incorporated into English law by the Insolvency Act 1986 and the Cross Border Insolvency Regulations 2006. The liquidator </w:t>
      </w:r>
      <w:r w:rsidRPr="00EC49A5">
        <w:rPr>
          <w:rFonts w:ascii="Avenir Next" w:hAnsi="Avenir Next" w:cs="Arial"/>
          <w:color w:val="808080" w:themeColor="background1" w:themeShade="80"/>
          <w:sz w:val="22"/>
          <w:szCs w:val="22"/>
          <w:lang w:val="en-GB"/>
        </w:rPr>
        <w:lastRenderedPageBreak/>
        <w:t xml:space="preserve">should apply to the courts for recognition of the US liquidation proceedings, which would give him the power to effectively administer the assets of Norton Cars </w:t>
      </w:r>
      <w:proofErr w:type="spellStart"/>
      <w:r w:rsidRPr="00EC49A5">
        <w:rPr>
          <w:rFonts w:ascii="Avenir Next" w:hAnsi="Avenir Next" w:cs="Arial"/>
          <w:color w:val="808080" w:themeColor="background1" w:themeShade="80"/>
          <w:sz w:val="22"/>
          <w:szCs w:val="22"/>
          <w:lang w:val="en-GB"/>
        </w:rPr>
        <w:t>Incs</w:t>
      </w:r>
      <w:proofErr w:type="spellEnd"/>
      <w:r w:rsidRPr="00EC49A5">
        <w:rPr>
          <w:rFonts w:ascii="Avenir Next" w:hAnsi="Avenir Next" w:cs="Arial"/>
          <w:color w:val="808080" w:themeColor="background1" w:themeShade="80"/>
          <w:sz w:val="22"/>
          <w:szCs w:val="22"/>
          <w:lang w:val="en-GB"/>
        </w:rPr>
        <w:t xml:space="preserve"> located in England.</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385355B0" w14:textId="039A06A0" w:rsidR="006861E5" w:rsidRPr="006861E5" w:rsidRDefault="006861E5" w:rsidP="006861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w:t>
      </w:r>
      <w:r w:rsidRPr="006861E5">
        <w:rPr>
          <w:rFonts w:ascii="Avenir Next" w:hAnsi="Avenir Next" w:cs="Arial"/>
          <w:color w:val="808080" w:themeColor="background1" w:themeShade="80"/>
          <w:sz w:val="22"/>
          <w:szCs w:val="22"/>
          <w:lang w:val="en-GB"/>
        </w:rPr>
        <w:t xml:space="preserve"> the sources and the preferred location for the initiation of the primary proceedings in </w:t>
      </w:r>
      <w:r>
        <w:rPr>
          <w:rFonts w:ascii="Avenir Next" w:hAnsi="Avenir Next" w:cs="Arial"/>
          <w:color w:val="808080" w:themeColor="background1" w:themeShade="80"/>
          <w:sz w:val="22"/>
          <w:szCs w:val="22"/>
          <w:lang w:val="en-GB"/>
        </w:rPr>
        <w:t>these</w:t>
      </w:r>
      <w:r w:rsidRPr="006861E5">
        <w:rPr>
          <w:rFonts w:ascii="Avenir Next" w:hAnsi="Avenir Next" w:cs="Arial"/>
          <w:color w:val="808080" w:themeColor="background1" w:themeShade="80"/>
          <w:sz w:val="22"/>
          <w:szCs w:val="22"/>
          <w:lang w:val="en-GB"/>
        </w:rPr>
        <w:t xml:space="preserve"> cross-border insolvency case between Italy and Germany</w:t>
      </w:r>
      <w:r>
        <w:rPr>
          <w:rFonts w:ascii="Avenir Next" w:hAnsi="Avenir Next" w:cs="Arial"/>
          <w:color w:val="808080" w:themeColor="background1" w:themeShade="80"/>
          <w:sz w:val="22"/>
          <w:szCs w:val="22"/>
          <w:lang w:val="en-GB"/>
        </w:rPr>
        <w:t>, the following a</w:t>
      </w:r>
      <w:r w:rsidRPr="006861E5">
        <w:rPr>
          <w:rFonts w:ascii="Avenir Next" w:hAnsi="Avenir Next" w:cs="Arial"/>
          <w:color w:val="808080" w:themeColor="background1" w:themeShade="80"/>
          <w:sz w:val="22"/>
          <w:szCs w:val="22"/>
          <w:lang w:val="en-GB"/>
        </w:rPr>
        <w:t>ppropriate legal sources</w:t>
      </w:r>
      <w:r>
        <w:rPr>
          <w:rFonts w:ascii="Avenir Next" w:hAnsi="Avenir Next" w:cs="Arial"/>
          <w:color w:val="808080" w:themeColor="background1" w:themeShade="80"/>
          <w:sz w:val="22"/>
          <w:szCs w:val="22"/>
          <w:lang w:val="en-GB"/>
        </w:rPr>
        <w:t xml:space="preserve"> must be considered:</w:t>
      </w:r>
    </w:p>
    <w:p w14:paraId="700B0771" w14:textId="77777777" w:rsidR="006861E5" w:rsidRPr="006861E5" w:rsidRDefault="006861E5" w:rsidP="006861E5">
      <w:pPr>
        <w:jc w:val="both"/>
        <w:rPr>
          <w:rFonts w:ascii="Avenir Next" w:hAnsi="Avenir Next" w:cs="Arial"/>
          <w:color w:val="808080" w:themeColor="background1" w:themeShade="80"/>
          <w:sz w:val="22"/>
          <w:szCs w:val="22"/>
          <w:lang w:val="en-GB"/>
        </w:rPr>
      </w:pPr>
    </w:p>
    <w:p w14:paraId="72297754" w14:textId="2BA277F3" w:rsidR="006861E5" w:rsidRPr="006861E5" w:rsidRDefault="006861E5" w:rsidP="006861E5">
      <w:pPr>
        <w:jc w:val="both"/>
        <w:rPr>
          <w:rFonts w:ascii="Avenir Next" w:hAnsi="Avenir Next" w:cs="Arial"/>
          <w:color w:val="808080" w:themeColor="background1" w:themeShade="80"/>
          <w:sz w:val="22"/>
          <w:szCs w:val="22"/>
          <w:lang w:val="en-GB"/>
        </w:rPr>
      </w:pPr>
      <w:r w:rsidRPr="006861E5">
        <w:rPr>
          <w:rFonts w:ascii="Avenir Next" w:hAnsi="Avenir Next" w:cs="Arial"/>
          <w:color w:val="808080" w:themeColor="background1" w:themeShade="80"/>
          <w:sz w:val="22"/>
          <w:szCs w:val="22"/>
          <w:lang w:val="en-GB"/>
        </w:rPr>
        <w:t>1. European Union's Insolvency Regulation (Recast)</w:t>
      </w:r>
      <w:r>
        <w:rPr>
          <w:rFonts w:ascii="Avenir Next" w:hAnsi="Avenir Next" w:cs="Arial"/>
          <w:color w:val="808080" w:themeColor="background1" w:themeShade="80"/>
          <w:sz w:val="22"/>
          <w:szCs w:val="22"/>
          <w:lang w:val="en-GB"/>
        </w:rPr>
        <w:t>:</w:t>
      </w:r>
      <w:r w:rsidRPr="006861E5">
        <w:rPr>
          <w:rFonts w:ascii="Avenir Next" w:hAnsi="Avenir Next" w:cs="Arial"/>
          <w:color w:val="808080" w:themeColor="background1" w:themeShade="80"/>
          <w:sz w:val="22"/>
          <w:szCs w:val="22"/>
          <w:lang w:val="en-GB"/>
        </w:rPr>
        <w:t xml:space="preserve"> As both Italy and Germany are members of the European Union, we should primarily refer to the European Union's Insolvency Regulation (Recast) when dealing with cross-border insolvency cases between these two countries. This Regulation lays down rules on jurisdiction, </w:t>
      </w:r>
      <w:r w:rsidRPr="006861E5">
        <w:rPr>
          <w:rFonts w:ascii="Avenir Next" w:hAnsi="Avenir Next" w:cs="Arial"/>
          <w:color w:val="808080" w:themeColor="background1" w:themeShade="80"/>
          <w:sz w:val="22"/>
          <w:szCs w:val="22"/>
          <w:lang w:val="en-GB"/>
        </w:rPr>
        <w:t>recognition,</w:t>
      </w:r>
      <w:r w:rsidRPr="006861E5">
        <w:rPr>
          <w:rFonts w:ascii="Avenir Next" w:hAnsi="Avenir Next" w:cs="Arial"/>
          <w:color w:val="808080" w:themeColor="background1" w:themeShade="80"/>
          <w:sz w:val="22"/>
          <w:szCs w:val="22"/>
          <w:lang w:val="en-GB"/>
        </w:rPr>
        <w:t xml:space="preserve"> and coordination of insolvency proceedings between EU Member States.</w:t>
      </w:r>
    </w:p>
    <w:p w14:paraId="3BD3C654" w14:textId="77777777" w:rsidR="006861E5" w:rsidRPr="006861E5" w:rsidRDefault="006861E5" w:rsidP="006861E5">
      <w:pPr>
        <w:jc w:val="both"/>
        <w:rPr>
          <w:rFonts w:ascii="Avenir Next" w:hAnsi="Avenir Next" w:cs="Arial"/>
          <w:color w:val="808080" w:themeColor="background1" w:themeShade="80"/>
          <w:sz w:val="22"/>
          <w:szCs w:val="22"/>
          <w:lang w:val="en-GB"/>
        </w:rPr>
      </w:pPr>
    </w:p>
    <w:p w14:paraId="466C653F" w14:textId="6C587BE6" w:rsidR="006861E5" w:rsidRPr="006861E5" w:rsidRDefault="006861E5" w:rsidP="006861E5">
      <w:pPr>
        <w:jc w:val="both"/>
        <w:rPr>
          <w:rFonts w:ascii="Avenir Next" w:hAnsi="Avenir Next" w:cs="Arial"/>
          <w:color w:val="808080" w:themeColor="background1" w:themeShade="80"/>
          <w:sz w:val="22"/>
          <w:szCs w:val="22"/>
          <w:lang w:val="en-GB"/>
        </w:rPr>
      </w:pPr>
      <w:r w:rsidRPr="006861E5">
        <w:rPr>
          <w:rFonts w:ascii="Avenir Next" w:hAnsi="Avenir Next" w:cs="Arial"/>
          <w:color w:val="808080" w:themeColor="background1" w:themeShade="80"/>
          <w:sz w:val="22"/>
          <w:szCs w:val="22"/>
          <w:lang w:val="en-GB"/>
        </w:rPr>
        <w:t>2. UNCITRAL Model Law on Cross Border Insolvency</w:t>
      </w:r>
      <w:r>
        <w:rPr>
          <w:rFonts w:ascii="Avenir Next" w:hAnsi="Avenir Next" w:cs="Arial"/>
          <w:color w:val="808080" w:themeColor="background1" w:themeShade="80"/>
          <w:sz w:val="22"/>
          <w:szCs w:val="22"/>
          <w:lang w:val="en-GB"/>
        </w:rPr>
        <w:t>:</w:t>
      </w:r>
      <w:r w:rsidRPr="006861E5">
        <w:rPr>
          <w:rFonts w:ascii="Avenir Next" w:hAnsi="Avenir Next" w:cs="Arial"/>
          <w:color w:val="808080" w:themeColor="background1" w:themeShade="80"/>
          <w:sz w:val="22"/>
          <w:szCs w:val="22"/>
          <w:lang w:val="en-GB"/>
        </w:rPr>
        <w:t xml:space="preserve"> While it is important to prioritise the EU Insolvency Regulation for matters involving EU member states such as Italy and Germany, we can also consider referring to the UNCITRAL Model Law as a resource. This Model Law provides principles or guidelines that may be relevant in areas not explicitly covered by the EU Regulation.</w:t>
      </w:r>
    </w:p>
    <w:p w14:paraId="47750ED5" w14:textId="77777777" w:rsidR="006861E5" w:rsidRPr="006861E5" w:rsidRDefault="006861E5" w:rsidP="006861E5">
      <w:pPr>
        <w:jc w:val="both"/>
        <w:rPr>
          <w:rFonts w:ascii="Avenir Next" w:hAnsi="Avenir Next" w:cs="Arial"/>
          <w:color w:val="808080" w:themeColor="background1" w:themeShade="80"/>
          <w:sz w:val="22"/>
          <w:szCs w:val="22"/>
          <w:lang w:val="en-GB"/>
        </w:rPr>
      </w:pPr>
    </w:p>
    <w:p w14:paraId="1B7159F1" w14:textId="010BC5B6" w:rsidR="006861E5" w:rsidRPr="006861E5" w:rsidRDefault="006861E5" w:rsidP="006861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w:t>
      </w:r>
      <w:r w:rsidRPr="006861E5">
        <w:rPr>
          <w:rFonts w:ascii="Avenir Next" w:hAnsi="Avenir Next" w:cs="Arial"/>
          <w:color w:val="808080" w:themeColor="background1" w:themeShade="80"/>
          <w:sz w:val="22"/>
          <w:szCs w:val="22"/>
          <w:lang w:val="en-GB"/>
        </w:rPr>
        <w:t>Venue of the main proceedings</w:t>
      </w:r>
      <w:r>
        <w:rPr>
          <w:rFonts w:ascii="Avenir Next" w:hAnsi="Avenir Next" w:cs="Arial"/>
          <w:color w:val="808080" w:themeColor="background1" w:themeShade="80"/>
          <w:sz w:val="22"/>
          <w:szCs w:val="22"/>
          <w:lang w:val="en-GB"/>
        </w:rPr>
        <w:t xml:space="preserve">: </w:t>
      </w:r>
      <w:r w:rsidRPr="006861E5">
        <w:rPr>
          <w:rFonts w:ascii="Avenir Next" w:hAnsi="Avenir Next" w:cs="Arial"/>
          <w:color w:val="808080" w:themeColor="background1" w:themeShade="80"/>
          <w:sz w:val="22"/>
          <w:szCs w:val="22"/>
          <w:lang w:val="en-GB"/>
        </w:rPr>
        <w:t>Determining where insolvency proceedings should be opened depends on identifying the company's centre of main interests (COMI). Under the EU Insolvency Regulation, it is generally appropriate to open insolvency proceedings in the Member State where the debtor's COMI is located. The registered office is usually presumed to be its COMI unless proven otherwise.</w:t>
      </w:r>
    </w:p>
    <w:p w14:paraId="66942EA4" w14:textId="77777777" w:rsidR="006861E5" w:rsidRPr="006861E5" w:rsidRDefault="006861E5" w:rsidP="006861E5">
      <w:pPr>
        <w:jc w:val="both"/>
        <w:rPr>
          <w:rFonts w:ascii="Avenir Next" w:hAnsi="Avenir Next" w:cs="Arial"/>
          <w:color w:val="808080" w:themeColor="background1" w:themeShade="80"/>
          <w:sz w:val="22"/>
          <w:szCs w:val="22"/>
          <w:lang w:val="en-GB"/>
        </w:rPr>
      </w:pPr>
    </w:p>
    <w:p w14:paraId="4C1424CC" w14:textId="1FDB6DB2" w:rsidR="006861E5" w:rsidRPr="006861E5" w:rsidRDefault="006861E5" w:rsidP="006861E5">
      <w:pPr>
        <w:jc w:val="both"/>
        <w:rPr>
          <w:rFonts w:ascii="Avenir Next" w:hAnsi="Avenir Next" w:cs="Arial"/>
          <w:color w:val="808080" w:themeColor="background1" w:themeShade="80"/>
          <w:sz w:val="22"/>
          <w:szCs w:val="22"/>
          <w:lang w:val="en-GB"/>
        </w:rPr>
      </w:pPr>
      <w:r w:rsidRPr="006861E5">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w:t>
      </w:r>
      <w:r w:rsidRPr="006861E5">
        <w:rPr>
          <w:rFonts w:ascii="Avenir Next" w:hAnsi="Avenir Next" w:cs="Arial"/>
          <w:color w:val="808080" w:themeColor="background1" w:themeShade="80"/>
          <w:sz w:val="22"/>
          <w:szCs w:val="22"/>
          <w:lang w:val="en-GB"/>
        </w:rPr>
        <w:t>Since Norton Cars Inc. moved its COMI to Italy after the UK left the EU and its management is based in Italy, it seems appropriate to open insolvency proceedings in Italy. The EU Insolvency Regulation recognises the location of management as a factor in determining COMI.</w:t>
      </w:r>
    </w:p>
    <w:p w14:paraId="3BD4790E" w14:textId="77777777" w:rsidR="006861E5" w:rsidRPr="006861E5" w:rsidRDefault="006861E5" w:rsidP="006861E5">
      <w:pPr>
        <w:jc w:val="both"/>
        <w:rPr>
          <w:rFonts w:ascii="Avenir Next" w:hAnsi="Avenir Next" w:cs="Arial"/>
          <w:color w:val="808080" w:themeColor="background1" w:themeShade="80"/>
          <w:sz w:val="22"/>
          <w:szCs w:val="22"/>
          <w:lang w:val="en-GB"/>
        </w:rPr>
      </w:pPr>
    </w:p>
    <w:p w14:paraId="6134EAD8" w14:textId="7598F226" w:rsidR="006861E5" w:rsidRPr="006861E5" w:rsidRDefault="006861E5" w:rsidP="006861E5">
      <w:pPr>
        <w:jc w:val="both"/>
        <w:rPr>
          <w:rFonts w:ascii="Avenir Next" w:hAnsi="Avenir Next" w:cs="Arial"/>
          <w:color w:val="808080" w:themeColor="background1" w:themeShade="80"/>
          <w:sz w:val="22"/>
          <w:szCs w:val="22"/>
          <w:lang w:val="en-GB"/>
        </w:rPr>
      </w:pPr>
      <w:r w:rsidRPr="006861E5">
        <w:rPr>
          <w:rFonts w:ascii="Avenir Next" w:hAnsi="Avenir Next" w:cs="Arial"/>
          <w:color w:val="808080" w:themeColor="background1" w:themeShade="80"/>
          <w:sz w:val="22"/>
          <w:szCs w:val="22"/>
          <w:lang w:val="en-GB"/>
        </w:rPr>
        <w:t xml:space="preserve">2. Although Norton Cars </w:t>
      </w:r>
      <w:proofErr w:type="spellStart"/>
      <w:r w:rsidRPr="006861E5">
        <w:rPr>
          <w:rFonts w:ascii="Avenir Next" w:hAnsi="Avenir Next" w:cs="Arial"/>
          <w:color w:val="808080" w:themeColor="background1" w:themeShade="80"/>
          <w:sz w:val="22"/>
          <w:szCs w:val="22"/>
          <w:lang w:val="en-GB"/>
        </w:rPr>
        <w:t>Incs</w:t>
      </w:r>
      <w:proofErr w:type="spellEnd"/>
      <w:r w:rsidRPr="006861E5">
        <w:rPr>
          <w:rFonts w:ascii="Avenir Next" w:hAnsi="Avenir Next" w:cs="Arial"/>
          <w:color w:val="808080" w:themeColor="background1" w:themeShade="80"/>
          <w:sz w:val="22"/>
          <w:szCs w:val="22"/>
          <w:lang w:val="en-GB"/>
        </w:rPr>
        <w:t xml:space="preserve">' main activities take place in Germany, it is not only the location of the activities that determines the COMI. The COMI is typically associated with where senior management conducts the </w:t>
      </w:r>
      <w:r w:rsidRPr="006861E5">
        <w:rPr>
          <w:rFonts w:ascii="Avenir Next" w:hAnsi="Avenir Next" w:cs="Arial"/>
          <w:color w:val="808080" w:themeColor="background1" w:themeShade="80"/>
          <w:sz w:val="22"/>
          <w:szCs w:val="22"/>
          <w:lang w:val="en-GB"/>
        </w:rPr>
        <w:t>company’s</w:t>
      </w:r>
      <w:r w:rsidRPr="006861E5">
        <w:rPr>
          <w:rFonts w:ascii="Avenir Next" w:hAnsi="Avenir Next" w:cs="Arial"/>
          <w:color w:val="808080" w:themeColor="background1" w:themeShade="80"/>
          <w:sz w:val="22"/>
          <w:szCs w:val="22"/>
          <w:lang w:val="en-GB"/>
        </w:rPr>
        <w:t xml:space="preserve"> affairs, which in this case is Italy.</w:t>
      </w:r>
    </w:p>
    <w:p w14:paraId="46225BBA" w14:textId="77777777" w:rsidR="006861E5" w:rsidRPr="006861E5" w:rsidRDefault="006861E5" w:rsidP="006861E5">
      <w:pPr>
        <w:jc w:val="both"/>
        <w:rPr>
          <w:rFonts w:ascii="Avenir Next" w:hAnsi="Avenir Next" w:cs="Arial"/>
          <w:color w:val="808080" w:themeColor="background1" w:themeShade="80"/>
          <w:sz w:val="22"/>
          <w:szCs w:val="22"/>
          <w:lang w:val="en-GB"/>
        </w:rPr>
      </w:pPr>
    </w:p>
    <w:p w14:paraId="69938086" w14:textId="7476D193" w:rsidR="002253D8" w:rsidRPr="00DA42DA" w:rsidRDefault="006861E5" w:rsidP="006861E5">
      <w:pPr>
        <w:jc w:val="both"/>
        <w:rPr>
          <w:rFonts w:ascii="Avenir Next" w:hAnsi="Avenir Next" w:cs="Arial"/>
          <w:color w:val="808080" w:themeColor="background1" w:themeShade="80"/>
          <w:sz w:val="22"/>
          <w:szCs w:val="22"/>
          <w:lang w:val="en-GB"/>
        </w:rPr>
      </w:pPr>
      <w:r w:rsidRPr="006861E5">
        <w:rPr>
          <w:rFonts w:ascii="Avenir Next" w:hAnsi="Avenir Next" w:cs="Arial"/>
          <w:color w:val="808080" w:themeColor="background1" w:themeShade="80"/>
          <w:sz w:val="22"/>
          <w:szCs w:val="22"/>
          <w:lang w:val="en-GB"/>
        </w:rPr>
        <w:t xml:space="preserve">In this cross-border insolvency case involving Italy and Germany, it is appropriate to use the EU Insolvency Regulation as the main legal reference. Given that the COMI of Norton Cars </w:t>
      </w:r>
      <w:proofErr w:type="spellStart"/>
      <w:r w:rsidRPr="006861E5">
        <w:rPr>
          <w:rFonts w:ascii="Avenir Next" w:hAnsi="Avenir Next" w:cs="Arial"/>
          <w:color w:val="808080" w:themeColor="background1" w:themeShade="80"/>
          <w:sz w:val="22"/>
          <w:szCs w:val="22"/>
          <w:lang w:val="en-GB"/>
        </w:rPr>
        <w:t>Incs</w:t>
      </w:r>
      <w:proofErr w:type="spellEnd"/>
      <w:r w:rsidRPr="006861E5">
        <w:rPr>
          <w:rFonts w:ascii="Avenir Next" w:hAnsi="Avenir Next" w:cs="Arial"/>
          <w:color w:val="808080" w:themeColor="background1" w:themeShade="80"/>
          <w:sz w:val="22"/>
          <w:szCs w:val="22"/>
          <w:lang w:val="en-GB"/>
        </w:rPr>
        <w:t xml:space="preserve"> is now in Italy and that its management operates from there, the opening of insolvency proceedings in Italy is consistent with the requirements of the EU Insolvency Regulation. The location of the management and the relocation of the COMI to Italy are factors that outweigh any significance attached to activities in Germany in determining the jurisdiction for the primary proceedings.</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lastRenderedPageBreak/>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901F33D" w14:textId="706B41E3" w:rsidR="00CE0B35" w:rsidRPr="00CE0B35" w:rsidRDefault="00CE0B35" w:rsidP="00CE0B35">
      <w:pPr>
        <w:jc w:val="both"/>
        <w:rPr>
          <w:rFonts w:ascii="Avenir Next" w:hAnsi="Avenir Next" w:cs="Arial"/>
          <w:color w:val="808080" w:themeColor="background1" w:themeShade="80"/>
          <w:sz w:val="22"/>
          <w:szCs w:val="22"/>
          <w:lang w:val="en-GB"/>
        </w:rPr>
      </w:pPr>
      <w:r w:rsidRPr="00CE0B35">
        <w:rPr>
          <w:rFonts w:ascii="Avenir Next" w:hAnsi="Avenir Next" w:cs="Arial"/>
          <w:color w:val="808080" w:themeColor="background1" w:themeShade="80"/>
          <w:sz w:val="22"/>
          <w:szCs w:val="22"/>
          <w:lang w:val="en-GB"/>
        </w:rPr>
        <w:t>Based on the information provided and general legal principles, it is important to note that courts in India, South Africa or Australia are not empowered to apply the EU Insolvency Regulation (Recast) when determining the recognition of an EU insolvency practitioner duly appointed under that Regulation. Here's why</w:t>
      </w:r>
      <w:r>
        <w:rPr>
          <w:rFonts w:ascii="Avenir Next" w:hAnsi="Avenir Next" w:cs="Arial"/>
          <w:color w:val="808080" w:themeColor="background1" w:themeShade="80"/>
          <w:sz w:val="22"/>
          <w:szCs w:val="22"/>
          <w:lang w:val="en-GB"/>
        </w:rPr>
        <w:t>:</w:t>
      </w:r>
    </w:p>
    <w:p w14:paraId="1ADD3BB6" w14:textId="77777777" w:rsidR="00CE0B35" w:rsidRPr="00CE0B35" w:rsidRDefault="00CE0B35" w:rsidP="00CE0B35">
      <w:pPr>
        <w:jc w:val="both"/>
        <w:rPr>
          <w:rFonts w:ascii="Avenir Next" w:hAnsi="Avenir Next" w:cs="Arial"/>
          <w:color w:val="808080" w:themeColor="background1" w:themeShade="80"/>
          <w:sz w:val="22"/>
          <w:szCs w:val="22"/>
          <w:lang w:val="en-GB"/>
        </w:rPr>
      </w:pPr>
    </w:p>
    <w:p w14:paraId="344872B6" w14:textId="3EF1A36D" w:rsidR="00CE0B35" w:rsidRPr="00CE0B35" w:rsidRDefault="00CE0B35" w:rsidP="00CE0B35">
      <w:pPr>
        <w:jc w:val="both"/>
        <w:rPr>
          <w:rFonts w:ascii="Avenir Next" w:hAnsi="Avenir Next" w:cs="Arial"/>
          <w:color w:val="808080" w:themeColor="background1" w:themeShade="80"/>
          <w:sz w:val="22"/>
          <w:szCs w:val="22"/>
          <w:lang w:val="en-GB"/>
        </w:rPr>
      </w:pPr>
      <w:r w:rsidRPr="00CE0B35">
        <w:rPr>
          <w:rFonts w:ascii="Avenir Next" w:hAnsi="Avenir Next" w:cs="Arial"/>
          <w:color w:val="808080" w:themeColor="background1" w:themeShade="80"/>
          <w:sz w:val="22"/>
          <w:szCs w:val="22"/>
          <w:lang w:val="en-GB"/>
        </w:rPr>
        <w:t xml:space="preserve">1.The EU (Recast) Insolvency Regulation is a framework that applies specifically within the European Union. It is binding on EU Member States. It has no legal authority or applicability in non-EU countries such as India, South </w:t>
      </w:r>
      <w:r w:rsidRPr="00CE0B35">
        <w:rPr>
          <w:rFonts w:ascii="Avenir Next" w:hAnsi="Avenir Next" w:cs="Arial"/>
          <w:color w:val="808080" w:themeColor="background1" w:themeShade="80"/>
          <w:sz w:val="22"/>
          <w:szCs w:val="22"/>
          <w:lang w:val="en-GB"/>
        </w:rPr>
        <w:t>Africa,</w:t>
      </w:r>
      <w:r w:rsidRPr="00CE0B35">
        <w:rPr>
          <w:rFonts w:ascii="Avenir Next" w:hAnsi="Avenir Next" w:cs="Arial"/>
          <w:color w:val="808080" w:themeColor="background1" w:themeShade="80"/>
          <w:sz w:val="22"/>
          <w:szCs w:val="22"/>
          <w:lang w:val="en-GB"/>
        </w:rPr>
        <w:t xml:space="preserve"> and Australia.</w:t>
      </w:r>
    </w:p>
    <w:p w14:paraId="5A656F6E" w14:textId="77777777" w:rsidR="00CE0B35" w:rsidRPr="00CE0B35" w:rsidRDefault="00CE0B35" w:rsidP="00CE0B35">
      <w:pPr>
        <w:jc w:val="both"/>
        <w:rPr>
          <w:rFonts w:ascii="Avenir Next" w:hAnsi="Avenir Next" w:cs="Arial"/>
          <w:color w:val="808080" w:themeColor="background1" w:themeShade="80"/>
          <w:sz w:val="22"/>
          <w:szCs w:val="22"/>
          <w:lang w:val="en-GB"/>
        </w:rPr>
      </w:pPr>
    </w:p>
    <w:p w14:paraId="0070BB76" w14:textId="379393AA" w:rsidR="00CE0B35" w:rsidRPr="00CE0B35" w:rsidRDefault="00CE0B35" w:rsidP="00CE0B35">
      <w:pPr>
        <w:jc w:val="both"/>
        <w:rPr>
          <w:rFonts w:ascii="Avenir Next" w:hAnsi="Avenir Next" w:cs="Arial"/>
          <w:color w:val="808080" w:themeColor="background1" w:themeShade="80"/>
          <w:sz w:val="22"/>
          <w:szCs w:val="22"/>
          <w:lang w:val="en-GB"/>
        </w:rPr>
      </w:pPr>
      <w:r w:rsidRPr="00CE0B35">
        <w:rPr>
          <w:rFonts w:ascii="Avenir Next" w:hAnsi="Avenir Next" w:cs="Arial"/>
          <w:color w:val="808080" w:themeColor="background1" w:themeShade="80"/>
          <w:sz w:val="22"/>
          <w:szCs w:val="22"/>
          <w:lang w:val="en-GB"/>
        </w:rPr>
        <w:t>2. National Insolvency Laws; In countries outside the European Union, including India, South Africa and Australia, the recognition of insolvency proceedings (including those from the EU) is usually governed by their national insolvency laws or any applicable international treaties or conventions to which they are a party. These countries may have their own criteria and procedures for recognising and cooperating with foreign insolvency proceedings.</w:t>
      </w:r>
    </w:p>
    <w:p w14:paraId="73BD127E" w14:textId="77777777" w:rsidR="00CE0B35" w:rsidRPr="00CE0B35" w:rsidRDefault="00CE0B35" w:rsidP="00CE0B35">
      <w:pPr>
        <w:jc w:val="both"/>
        <w:rPr>
          <w:rFonts w:ascii="Avenir Next" w:hAnsi="Avenir Next" w:cs="Arial"/>
          <w:color w:val="808080" w:themeColor="background1" w:themeShade="80"/>
          <w:sz w:val="22"/>
          <w:szCs w:val="22"/>
          <w:lang w:val="en-GB"/>
        </w:rPr>
      </w:pPr>
    </w:p>
    <w:p w14:paraId="3781AACE" w14:textId="6AA9D4D9" w:rsidR="002253D8" w:rsidRPr="002253D8" w:rsidRDefault="00CE0B35" w:rsidP="00CE0B35">
      <w:pPr>
        <w:jc w:val="both"/>
        <w:rPr>
          <w:rFonts w:ascii="Avenir Next" w:hAnsi="Avenir Next" w:cs="Arial"/>
          <w:color w:val="808080" w:themeColor="background1" w:themeShade="80"/>
          <w:sz w:val="22"/>
          <w:szCs w:val="22"/>
          <w:lang w:val="en-GB"/>
        </w:rPr>
      </w:pPr>
      <w:r w:rsidRPr="00CE0B35">
        <w:rPr>
          <w:rFonts w:ascii="Avenir Next" w:hAnsi="Avenir Next" w:cs="Arial"/>
          <w:color w:val="808080" w:themeColor="background1" w:themeShade="80"/>
          <w:sz w:val="22"/>
          <w:szCs w:val="22"/>
          <w:lang w:val="en-GB"/>
        </w:rPr>
        <w:t xml:space="preserve">In summary, while Indian, South </w:t>
      </w:r>
      <w:r w:rsidRPr="00CE0B35">
        <w:rPr>
          <w:rFonts w:ascii="Avenir Next" w:hAnsi="Avenir Next" w:cs="Arial"/>
          <w:color w:val="808080" w:themeColor="background1" w:themeShade="80"/>
          <w:sz w:val="22"/>
          <w:szCs w:val="22"/>
          <w:lang w:val="en-GB"/>
        </w:rPr>
        <w:t>African,</w:t>
      </w:r>
      <w:r w:rsidRPr="00CE0B35">
        <w:rPr>
          <w:rFonts w:ascii="Avenir Next" w:hAnsi="Avenir Next" w:cs="Arial"/>
          <w:color w:val="808080" w:themeColor="background1" w:themeShade="80"/>
          <w:sz w:val="22"/>
          <w:szCs w:val="22"/>
          <w:lang w:val="en-GB"/>
        </w:rPr>
        <w:t xml:space="preserve"> or Australian courts wouldn't directly apply the EU Insolvency Regulation (Recast), they could still Cooperate with EU insolvency proceedings through their national laws or by taking into account general principles of international comity and reciprocity.</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Prrafodelista"/>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Prrafodelista"/>
        <w:ind w:left="426"/>
        <w:jc w:val="both"/>
        <w:rPr>
          <w:rFonts w:ascii="Avenir Next" w:hAnsi="Avenir Next" w:cs="Arial"/>
          <w:sz w:val="22"/>
          <w:szCs w:val="28"/>
        </w:rPr>
      </w:pPr>
    </w:p>
    <w:p w14:paraId="1BDD3179" w14:textId="1F6820B2" w:rsidR="00CE0B35" w:rsidRPr="007C69B1" w:rsidRDefault="007C69B1" w:rsidP="002253D8">
      <w:pPr>
        <w:jc w:val="both"/>
        <w:rPr>
          <w:rFonts w:ascii="Avenir Next" w:hAnsi="Avenir Next" w:cs="Arial"/>
          <w:color w:val="808080" w:themeColor="background1" w:themeShade="80"/>
          <w:sz w:val="22"/>
          <w:szCs w:val="28"/>
          <w:lang w:val="en-GB"/>
        </w:rPr>
      </w:pPr>
      <w:r w:rsidRPr="007C69B1">
        <w:rPr>
          <w:rFonts w:ascii="Avenir Next" w:hAnsi="Avenir Next" w:cs="Arial"/>
          <w:color w:val="808080" w:themeColor="background1" w:themeShade="80"/>
          <w:sz w:val="22"/>
          <w:szCs w:val="28"/>
          <w:lang w:val="en-GB"/>
        </w:rPr>
        <w:t>As the insolvency proceedings have been initiated by law and both Italy and the Netherlands are members of the European Union (EU), the primary legal framework for the insolvency proceedings is the Insolvency Regulation (Recast) of the EU. This Regulation allows for the recognition of insolvency proceedings in the Netherlands.</w:t>
      </w:r>
      <w:r w:rsidRPr="007C69B1">
        <w:rPr>
          <w:rFonts w:ascii="Avenir Next" w:hAnsi="Avenir Next" w:cs="Arial"/>
          <w:color w:val="808080" w:themeColor="background1" w:themeShade="80"/>
          <w:sz w:val="22"/>
          <w:szCs w:val="28"/>
          <w:lang w:val="en-GB"/>
        </w:rPr>
        <w:t xml:space="preserve"> </w:t>
      </w:r>
      <w:r w:rsidRPr="007C69B1">
        <w:rPr>
          <w:rFonts w:ascii="Avenir Next" w:hAnsi="Avenir Next" w:cs="Arial"/>
          <w:color w:val="808080" w:themeColor="background1" w:themeShade="80"/>
          <w:sz w:val="22"/>
          <w:szCs w:val="28"/>
          <w:lang w:val="en-GB"/>
        </w:rPr>
        <w:t>Dutch law will apply to security interests located in the Netherlands. The EU Insolvency Regulation states that while insolvency proceedings are recognised in all EU Member States, their effect on the rights of creditors or parties in relation to assets located in the territory of another Member State is governed by the law of that Member State. Therefore, Dutch law would govern security interests in assets located in the Netherlands.</w:t>
      </w:r>
    </w:p>
    <w:p w14:paraId="4A7721EF" w14:textId="77777777" w:rsidR="007C69B1" w:rsidRPr="004827A3" w:rsidRDefault="007C69B1" w:rsidP="002253D8">
      <w:pPr>
        <w:jc w:val="both"/>
        <w:rPr>
          <w:rFonts w:ascii="Avenir Next" w:hAnsi="Avenir Next" w:cs="Arial"/>
          <w:sz w:val="24"/>
          <w:lang w:val="en-GB"/>
        </w:rPr>
      </w:pPr>
    </w:p>
    <w:p w14:paraId="60277E5E" w14:textId="3070976F" w:rsidR="004827A3" w:rsidRDefault="004827A3" w:rsidP="00E64302">
      <w:pPr>
        <w:pStyle w:val="Prrafodelista"/>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20A1609" w14:textId="78BB10C5" w:rsidR="007C69B1" w:rsidRPr="007C69B1" w:rsidRDefault="007C69B1" w:rsidP="007C69B1">
      <w:pPr>
        <w:jc w:val="both"/>
        <w:rPr>
          <w:rFonts w:ascii="Avenir Next" w:hAnsi="Avenir Next" w:cs="Arial"/>
          <w:color w:val="808080" w:themeColor="background1" w:themeShade="80"/>
          <w:sz w:val="22"/>
          <w:szCs w:val="28"/>
        </w:rPr>
      </w:pPr>
      <w:r w:rsidRPr="007C69B1">
        <w:rPr>
          <w:rFonts w:ascii="Avenir Next" w:hAnsi="Avenir Next" w:cs="Arial"/>
          <w:color w:val="808080" w:themeColor="background1" w:themeShade="80"/>
          <w:sz w:val="22"/>
          <w:szCs w:val="28"/>
        </w:rPr>
        <w:t>As Australia is not part of the European Union (EU), the EU Insolvency Regulation does not apply. Instead, Australian insolvency law governs the recognition and handling of insolvency. As Australia has adopted the UNCITRAL Model Law on Cross Border Insolvency, this Model Law could serve as a framework for the recognition of insolvency proceedings in Australia.</w:t>
      </w:r>
    </w:p>
    <w:p w14:paraId="57FBF730" w14:textId="2408AC02" w:rsidR="007C69B1" w:rsidRPr="007C69B1" w:rsidRDefault="007C69B1" w:rsidP="007C69B1">
      <w:pPr>
        <w:jc w:val="both"/>
        <w:rPr>
          <w:rFonts w:ascii="Avenir Next" w:hAnsi="Avenir Next" w:cs="Arial"/>
          <w:color w:val="808080" w:themeColor="background1" w:themeShade="80"/>
          <w:sz w:val="22"/>
          <w:szCs w:val="28"/>
        </w:rPr>
      </w:pPr>
      <w:r w:rsidRPr="007C69B1">
        <w:rPr>
          <w:rFonts w:ascii="Avenir Next" w:hAnsi="Avenir Next" w:cs="Arial"/>
          <w:color w:val="808080" w:themeColor="background1" w:themeShade="80"/>
          <w:sz w:val="22"/>
          <w:szCs w:val="28"/>
        </w:rPr>
        <w:lastRenderedPageBreak/>
        <w:t xml:space="preserve">In the case of Real Rights of Security, Australian law would govern the rights of security over assets located in Australia. In cross-border insolvencies, the general principle is that the law of the jurisdiction where the assets are located (lex situs) determines rights over those assets. Consequently, any security interest over Norton Cars </w:t>
      </w:r>
      <w:proofErr w:type="spellStart"/>
      <w:r w:rsidRPr="007C69B1">
        <w:rPr>
          <w:rFonts w:ascii="Avenir Next" w:hAnsi="Avenir Next" w:cs="Arial"/>
          <w:color w:val="808080" w:themeColor="background1" w:themeShade="80"/>
          <w:sz w:val="22"/>
          <w:szCs w:val="28"/>
        </w:rPr>
        <w:t>Incs</w:t>
      </w:r>
      <w:proofErr w:type="spellEnd"/>
      <w:r w:rsidRPr="007C69B1">
        <w:rPr>
          <w:rFonts w:ascii="Avenir Next" w:hAnsi="Avenir Next" w:cs="Arial"/>
          <w:color w:val="808080" w:themeColor="background1" w:themeShade="80"/>
          <w:sz w:val="22"/>
          <w:szCs w:val="28"/>
        </w:rPr>
        <w:t>' assets in Australia would be governed by the law of Australia.</w:t>
      </w:r>
    </w:p>
    <w:p w14:paraId="7846D4D0" w14:textId="77777777" w:rsidR="007C69B1" w:rsidRPr="007C69B1" w:rsidRDefault="007C69B1" w:rsidP="007C69B1">
      <w:pPr>
        <w:jc w:val="both"/>
        <w:rPr>
          <w:rFonts w:ascii="Avenir Next" w:hAnsi="Avenir Next" w:cs="Arial"/>
          <w:color w:val="808080" w:themeColor="background1" w:themeShade="80"/>
          <w:sz w:val="22"/>
          <w:szCs w:val="28"/>
        </w:rPr>
      </w:pPr>
    </w:p>
    <w:p w14:paraId="6714BB71" w14:textId="77777777" w:rsidR="007C69B1" w:rsidRPr="00CE0B35" w:rsidRDefault="007C69B1" w:rsidP="007C69B1">
      <w:pPr>
        <w:jc w:val="both"/>
        <w:rPr>
          <w:rFonts w:ascii="Avenir Next" w:hAnsi="Avenir Next" w:cs="Arial"/>
          <w:color w:val="808080" w:themeColor="background1" w:themeShade="80"/>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7ABD" w14:textId="77777777" w:rsidR="007F3913" w:rsidRDefault="007F3913" w:rsidP="00241B44">
      <w:r>
        <w:separator/>
      </w:r>
    </w:p>
  </w:endnote>
  <w:endnote w:type="continuationSeparator" w:id="0">
    <w:p w14:paraId="7D069668" w14:textId="77777777" w:rsidR="007F3913" w:rsidRDefault="007F39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Piedepgina"/>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Piedepgin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Piedepgina"/>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5B4627CC" w:rsidR="00B64A85" w:rsidRPr="00297BDF" w:rsidRDefault="00981B42" w:rsidP="0052732A">
    <w:pPr>
      <w:pStyle w:val="Piedepgina"/>
      <w:ind w:right="360"/>
      <w:rPr>
        <w:rFonts w:ascii="Avenir Next" w:hAnsi="Avenir Next" w:cs="Arial"/>
        <w:sz w:val="22"/>
        <w:szCs w:val="22"/>
      </w:rPr>
    </w:pPr>
    <w:r w:rsidRPr="00981B42">
      <w:rPr>
        <w:rFonts w:ascii="Avenir Next" w:hAnsi="Avenir Next" w:cs="Arial"/>
        <w:sz w:val="22"/>
        <w:szCs w:val="22"/>
      </w:rPr>
      <w:t>202324-1408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601A" w14:textId="77777777" w:rsidR="007F3913" w:rsidRDefault="007F3913" w:rsidP="00241B44">
      <w:r>
        <w:separator/>
      </w:r>
    </w:p>
  </w:footnote>
  <w:footnote w:type="continuationSeparator" w:id="0">
    <w:p w14:paraId="675EB2C5" w14:textId="77777777" w:rsidR="007F3913" w:rsidRDefault="007F39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A7E"/>
    <w:multiLevelType w:val="hybridMultilevel"/>
    <w:tmpl w:val="777C365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3"/>
  </w:num>
  <w:num w:numId="4" w16cid:durableId="737018892">
    <w:abstractNumId w:val="5"/>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1"/>
  </w:num>
  <w:num w:numId="12" w16cid:durableId="2144808366">
    <w:abstractNumId w:val="30"/>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1"/>
  </w:num>
  <w:num w:numId="23" w16cid:durableId="1308701288">
    <w:abstractNumId w:val="25"/>
  </w:num>
  <w:num w:numId="24" w16cid:durableId="1716081525">
    <w:abstractNumId w:val="2"/>
  </w:num>
  <w:num w:numId="25" w16cid:durableId="797064315">
    <w:abstractNumId w:val="31"/>
  </w:num>
  <w:num w:numId="26" w16cid:durableId="824904852">
    <w:abstractNumId w:val="34"/>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4"/>
  </w:num>
  <w:num w:numId="34" w16cid:durableId="1912503881">
    <w:abstractNumId w:val="13"/>
  </w:num>
  <w:num w:numId="35" w16cid:durableId="30883131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5DA"/>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B7B0F"/>
    <w:rsid w:val="000C0377"/>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7C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492"/>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65E"/>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57605"/>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4110"/>
    <w:rsid w:val="0036565C"/>
    <w:rsid w:val="0036625E"/>
    <w:rsid w:val="00367162"/>
    <w:rsid w:val="00372CD4"/>
    <w:rsid w:val="0037386C"/>
    <w:rsid w:val="0037465A"/>
    <w:rsid w:val="0038255B"/>
    <w:rsid w:val="003827B5"/>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788"/>
    <w:rsid w:val="003B3A0D"/>
    <w:rsid w:val="003B3C5F"/>
    <w:rsid w:val="003C1451"/>
    <w:rsid w:val="003C2017"/>
    <w:rsid w:val="003C4471"/>
    <w:rsid w:val="003C473E"/>
    <w:rsid w:val="003D0A6D"/>
    <w:rsid w:val="003D100A"/>
    <w:rsid w:val="003D21B1"/>
    <w:rsid w:val="003D3045"/>
    <w:rsid w:val="003D3410"/>
    <w:rsid w:val="003D4300"/>
    <w:rsid w:val="003D485F"/>
    <w:rsid w:val="003D4CC1"/>
    <w:rsid w:val="003D6AC4"/>
    <w:rsid w:val="003D7B57"/>
    <w:rsid w:val="003E004D"/>
    <w:rsid w:val="003E064D"/>
    <w:rsid w:val="003E0B16"/>
    <w:rsid w:val="003E2D1B"/>
    <w:rsid w:val="003E2E7C"/>
    <w:rsid w:val="003E67D1"/>
    <w:rsid w:val="003F0B80"/>
    <w:rsid w:val="003F0E36"/>
    <w:rsid w:val="003F500E"/>
    <w:rsid w:val="003F655E"/>
    <w:rsid w:val="003F6960"/>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6E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C7C28"/>
    <w:rsid w:val="004C7D61"/>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2B25"/>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2F0C"/>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7AC"/>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1E5"/>
    <w:rsid w:val="00686C53"/>
    <w:rsid w:val="00687A1D"/>
    <w:rsid w:val="00692852"/>
    <w:rsid w:val="00695A40"/>
    <w:rsid w:val="00697EA1"/>
    <w:rsid w:val="00697ED7"/>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2E21"/>
    <w:rsid w:val="007B3B1B"/>
    <w:rsid w:val="007B4C04"/>
    <w:rsid w:val="007B5180"/>
    <w:rsid w:val="007B5791"/>
    <w:rsid w:val="007B5F0B"/>
    <w:rsid w:val="007C0111"/>
    <w:rsid w:val="007C0260"/>
    <w:rsid w:val="007C0663"/>
    <w:rsid w:val="007C1FCC"/>
    <w:rsid w:val="007C2831"/>
    <w:rsid w:val="007C2AA1"/>
    <w:rsid w:val="007C2BE7"/>
    <w:rsid w:val="007C3439"/>
    <w:rsid w:val="007C6201"/>
    <w:rsid w:val="007C69B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3913"/>
    <w:rsid w:val="007F41F8"/>
    <w:rsid w:val="007F5B4C"/>
    <w:rsid w:val="00801B30"/>
    <w:rsid w:val="00803BE9"/>
    <w:rsid w:val="00804000"/>
    <w:rsid w:val="0080454E"/>
    <w:rsid w:val="00804C32"/>
    <w:rsid w:val="00806302"/>
    <w:rsid w:val="00806382"/>
    <w:rsid w:val="00807119"/>
    <w:rsid w:val="008071D5"/>
    <w:rsid w:val="00807FE8"/>
    <w:rsid w:val="008116BF"/>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1726"/>
    <w:rsid w:val="008B40E7"/>
    <w:rsid w:val="008B4681"/>
    <w:rsid w:val="008B4B58"/>
    <w:rsid w:val="008B517D"/>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772"/>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1B42"/>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1F8C"/>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073"/>
    <w:rsid w:val="00AB1B60"/>
    <w:rsid w:val="00AB5A37"/>
    <w:rsid w:val="00AB61D6"/>
    <w:rsid w:val="00AB685C"/>
    <w:rsid w:val="00AB6C2D"/>
    <w:rsid w:val="00AC08F7"/>
    <w:rsid w:val="00AC126D"/>
    <w:rsid w:val="00AC2946"/>
    <w:rsid w:val="00AC3075"/>
    <w:rsid w:val="00AC36E5"/>
    <w:rsid w:val="00AC3839"/>
    <w:rsid w:val="00AC7082"/>
    <w:rsid w:val="00AD0662"/>
    <w:rsid w:val="00AD1B6B"/>
    <w:rsid w:val="00AD2F73"/>
    <w:rsid w:val="00AD331C"/>
    <w:rsid w:val="00AD57A5"/>
    <w:rsid w:val="00AD65A8"/>
    <w:rsid w:val="00AD74AD"/>
    <w:rsid w:val="00AD76EF"/>
    <w:rsid w:val="00AD7A9A"/>
    <w:rsid w:val="00AE027F"/>
    <w:rsid w:val="00AE4D6F"/>
    <w:rsid w:val="00AF228E"/>
    <w:rsid w:val="00AF455B"/>
    <w:rsid w:val="00AF5899"/>
    <w:rsid w:val="00B0123F"/>
    <w:rsid w:val="00B04004"/>
    <w:rsid w:val="00B06AB6"/>
    <w:rsid w:val="00B12F13"/>
    <w:rsid w:val="00B14819"/>
    <w:rsid w:val="00B17AA9"/>
    <w:rsid w:val="00B20235"/>
    <w:rsid w:val="00B221FF"/>
    <w:rsid w:val="00B2292D"/>
    <w:rsid w:val="00B246B1"/>
    <w:rsid w:val="00B26B31"/>
    <w:rsid w:val="00B30A70"/>
    <w:rsid w:val="00B32674"/>
    <w:rsid w:val="00B333FE"/>
    <w:rsid w:val="00B33CEB"/>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1596"/>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6E7A"/>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0B35"/>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2DD1"/>
    <w:rsid w:val="00E6302B"/>
    <w:rsid w:val="00E64302"/>
    <w:rsid w:val="00E6452F"/>
    <w:rsid w:val="00E64F45"/>
    <w:rsid w:val="00E6525B"/>
    <w:rsid w:val="00E6742D"/>
    <w:rsid w:val="00E71CB0"/>
    <w:rsid w:val="00E72F8D"/>
    <w:rsid w:val="00E7537E"/>
    <w:rsid w:val="00E7793C"/>
    <w:rsid w:val="00E77C3D"/>
    <w:rsid w:val="00E80299"/>
    <w:rsid w:val="00E81FBE"/>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4E55"/>
    <w:rsid w:val="00EB6668"/>
    <w:rsid w:val="00EB6A2F"/>
    <w:rsid w:val="00EC3875"/>
    <w:rsid w:val="00EC49A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41BD"/>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uentedeprrafopredeter"/>
    <w:rsid w:val="00AB1B60"/>
  </w:style>
  <w:style w:type="character" w:customStyle="1" w:styleId="cf01">
    <w:name w:val="cf01"/>
    <w:basedOn w:val="Fuentedeprrafopredeter"/>
    <w:rsid w:val="00F85C0B"/>
    <w:rPr>
      <w:rFonts w:ascii="Segoe UI" w:hAnsi="Segoe UI" w:cs="Segoe UI" w:hint="default"/>
      <w:sz w:val="18"/>
      <w:szCs w:val="18"/>
    </w:rPr>
  </w:style>
  <w:style w:type="table" w:styleId="Tablaconcuadrcula">
    <w:name w:val="Table Grid"/>
    <w:basedOn w:val="Tablanormal"/>
    <w:uiPriority w:val="39"/>
    <w:rsid w:val="007B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6379</Words>
  <Characters>35088</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Lucia Chavez</cp:lastModifiedBy>
  <cp:revision>39</cp:revision>
  <cp:lastPrinted>2020-06-12T02:43:00Z</cp:lastPrinted>
  <dcterms:created xsi:type="dcterms:W3CDTF">2023-11-13T01:17:00Z</dcterms:created>
  <dcterms:modified xsi:type="dcterms:W3CDTF">2023-11-15T15:43:00Z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