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975BFD" w:rsidRDefault="00806382" w:rsidP="00806382">
      <w:pPr>
        <w:pStyle w:val="ListParagraph"/>
        <w:numPr>
          <w:ilvl w:val="0"/>
          <w:numId w:val="15"/>
        </w:numPr>
        <w:ind w:left="425" w:hanging="357"/>
        <w:jc w:val="both"/>
        <w:rPr>
          <w:rFonts w:ascii="Avenir Next" w:hAnsi="Avenir Next" w:cs="Arial"/>
          <w:sz w:val="22"/>
          <w:szCs w:val="22"/>
          <w:highlight w:val="yellow"/>
        </w:rPr>
      </w:pPr>
      <w:r w:rsidRPr="00975BFD">
        <w:rPr>
          <w:rFonts w:ascii="Avenir Next" w:hAnsi="Avenir Next" w:cs="Arial"/>
          <w:sz w:val="22"/>
          <w:szCs w:val="22"/>
          <w:highlight w:val="yellow"/>
        </w:rPr>
        <w:t xml:space="preserve">This statement is untrue since the word </w:t>
      </w:r>
      <w:r w:rsidR="00823AB4" w:rsidRPr="00975BFD">
        <w:rPr>
          <w:rFonts w:ascii="Avenir Next" w:hAnsi="Avenir Next" w:cs="Arial"/>
          <w:sz w:val="22"/>
          <w:szCs w:val="22"/>
          <w:highlight w:val="yellow"/>
        </w:rPr>
        <w:t>“</w:t>
      </w:r>
      <w:r w:rsidRPr="00975BFD">
        <w:rPr>
          <w:rFonts w:ascii="Avenir Next" w:hAnsi="Avenir Next" w:cs="Arial"/>
          <w:sz w:val="22"/>
          <w:szCs w:val="22"/>
          <w:highlight w:val="yellow"/>
        </w:rPr>
        <w:t>bankruptcy</w:t>
      </w:r>
      <w:r w:rsidR="00823AB4" w:rsidRPr="00975BFD">
        <w:rPr>
          <w:rFonts w:ascii="Avenir Next" w:hAnsi="Avenir Next" w:cs="Arial"/>
          <w:sz w:val="22"/>
          <w:szCs w:val="22"/>
          <w:highlight w:val="yellow"/>
        </w:rPr>
        <w:t>”</w:t>
      </w:r>
      <w:r w:rsidRPr="00975BF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1A5FF0" w:rsidRDefault="001211E6" w:rsidP="001211E6">
      <w:pPr>
        <w:pStyle w:val="ListParagraph"/>
        <w:numPr>
          <w:ilvl w:val="0"/>
          <w:numId w:val="16"/>
        </w:numPr>
        <w:ind w:left="426"/>
        <w:jc w:val="both"/>
        <w:rPr>
          <w:rFonts w:ascii="Avenir Next" w:hAnsi="Avenir Next" w:cs="Arial"/>
          <w:sz w:val="22"/>
          <w:szCs w:val="22"/>
          <w:highlight w:val="yellow"/>
        </w:rPr>
      </w:pPr>
      <w:r w:rsidRPr="001A5FF0">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3D4A7A"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3D4A7A">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101227">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C2574B" w:rsidRDefault="006514CD" w:rsidP="006514CD">
      <w:pPr>
        <w:pStyle w:val="ListParagraph"/>
        <w:numPr>
          <w:ilvl w:val="0"/>
          <w:numId w:val="19"/>
        </w:numPr>
        <w:ind w:left="425" w:hanging="357"/>
        <w:jc w:val="both"/>
        <w:rPr>
          <w:rFonts w:ascii="Avenir Next" w:hAnsi="Avenir Next" w:cs="Arial"/>
          <w:sz w:val="22"/>
          <w:szCs w:val="22"/>
          <w:highlight w:val="yellow"/>
        </w:rPr>
      </w:pPr>
      <w:r w:rsidRPr="00C2574B">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C54470"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C54470">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69B05DBE" w14:textId="77777777" w:rsidR="006B42A6" w:rsidRDefault="006B42A6" w:rsidP="008071D5">
      <w:pPr>
        <w:jc w:val="both"/>
        <w:rPr>
          <w:rFonts w:ascii="Avenir Next Demi Bold" w:hAnsi="Avenir Next Demi Bold" w:cs="Arial"/>
          <w:b/>
          <w:bCs/>
          <w:sz w:val="22"/>
          <w:szCs w:val="22"/>
        </w:rPr>
      </w:pPr>
    </w:p>
    <w:p w14:paraId="7A4344AB" w14:textId="2314A2A5"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C541BA" w:rsidRDefault="00AD76EF" w:rsidP="00AD76EF">
      <w:pPr>
        <w:pStyle w:val="ListParagraph"/>
        <w:numPr>
          <w:ilvl w:val="0"/>
          <w:numId w:val="17"/>
        </w:numPr>
        <w:ind w:left="426"/>
        <w:jc w:val="both"/>
        <w:rPr>
          <w:rFonts w:ascii="Avenir Next" w:hAnsi="Avenir Next" w:cs="Arial"/>
          <w:sz w:val="22"/>
          <w:szCs w:val="22"/>
          <w:highlight w:val="yellow"/>
        </w:rPr>
      </w:pPr>
      <w:r w:rsidRPr="00C541BA">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C67588"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C67588">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6C6BF7" w:rsidRDefault="009661DE" w:rsidP="009661DE">
      <w:pPr>
        <w:pStyle w:val="ListParagraph"/>
        <w:numPr>
          <w:ilvl w:val="0"/>
          <w:numId w:val="23"/>
        </w:numPr>
        <w:ind w:left="426"/>
        <w:jc w:val="both"/>
        <w:rPr>
          <w:rFonts w:ascii="Avenir Next" w:hAnsi="Avenir Next" w:cs="Arial"/>
          <w:sz w:val="22"/>
          <w:szCs w:val="22"/>
          <w:highlight w:val="yellow"/>
        </w:rPr>
      </w:pPr>
      <w:r w:rsidRPr="006C6BF7">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Opponents of universalism often argue that universalism is difficult to achieve because of the effects of globali</w:t>
      </w:r>
      <w:r>
        <w:rPr>
          <w:rFonts w:ascii="Avenir Next" w:hAnsi="Avenir Next" w:cs="Arial"/>
          <w:sz w:val="22"/>
          <w:szCs w:val="22"/>
        </w:rPr>
        <w:t>s</w:t>
      </w:r>
      <w:r w:rsidRPr="00AE314A">
        <w:rPr>
          <w:rFonts w:ascii="Avenir Next" w:hAnsi="Avenir Next" w:cs="Arial"/>
          <w:sz w:val="22"/>
          <w:szCs w:val="22"/>
        </w:rPr>
        <w:t xml:space="preserve">ation.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r w:rsidR="004A2B2C">
        <w:rPr>
          <w:rFonts w:ascii="Avenir Next" w:hAnsi="Avenir Next"/>
          <w:sz w:val="22"/>
          <w:szCs w:val="22"/>
        </w:rPr>
        <w:t>centre</w:t>
      </w:r>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105BD1" w:rsidRDefault="003B3A0D" w:rsidP="003B3A0D">
      <w:pPr>
        <w:pStyle w:val="ListParagraph"/>
        <w:numPr>
          <w:ilvl w:val="0"/>
          <w:numId w:val="24"/>
        </w:numPr>
        <w:ind w:left="426"/>
        <w:jc w:val="both"/>
        <w:rPr>
          <w:rFonts w:ascii="Avenir Next" w:hAnsi="Avenir Next" w:cs="Arial"/>
          <w:sz w:val="22"/>
          <w:szCs w:val="22"/>
          <w:highlight w:val="yellow"/>
        </w:rPr>
      </w:pPr>
      <w:r w:rsidRPr="00105BD1">
        <w:rPr>
          <w:rFonts w:ascii="Avenir Next" w:hAnsi="Avenir Next" w:cs="Arial"/>
          <w:sz w:val="22"/>
          <w:szCs w:val="22"/>
          <w:highlight w:val="yellow"/>
        </w:rPr>
        <w:t>This statement is untrue because universalism corresponds well to globali</w:t>
      </w:r>
      <w:r w:rsidR="00142E15" w:rsidRPr="00105BD1">
        <w:rPr>
          <w:rFonts w:ascii="Avenir Next" w:hAnsi="Avenir Next" w:cs="Arial"/>
          <w:sz w:val="22"/>
          <w:szCs w:val="22"/>
          <w:highlight w:val="yellow"/>
        </w:rPr>
        <w:t>s</w:t>
      </w:r>
      <w:r w:rsidRPr="00105BD1">
        <w:rPr>
          <w:rFonts w:ascii="Avenir Next" w:hAnsi="Avenir Next" w:cs="Arial"/>
          <w:sz w:val="22"/>
          <w:szCs w:val="22"/>
          <w:highlight w:val="yellow"/>
        </w:rPr>
        <w:t xml:space="preserve">ation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 xml:space="preserve">ation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r w:rsidR="004A2B2C">
        <w:rPr>
          <w:rFonts w:ascii="Avenir Next" w:hAnsi="Avenir Next"/>
          <w:sz w:val="22"/>
          <w:szCs w:val="22"/>
        </w:rPr>
        <w:t>centre</w:t>
      </w:r>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386F18">
        <w:rPr>
          <w:rFonts w:ascii="Avenir Next" w:hAnsi="Avenir Next" w:cs="Arial"/>
          <w:sz w:val="22"/>
          <w:szCs w:val="22"/>
          <w:lang w:val="en-GB"/>
        </w:rPr>
        <w:t>Briefly discuss and compare countries whose insolvency law systems have historical roots in civil law with countries whose insolvency law systems have historical roots in English law.</w:t>
      </w:r>
      <w:r>
        <w:rPr>
          <w:rFonts w:ascii="Avenir Next" w:hAnsi="Avenir Next" w:cs="Arial"/>
          <w:sz w:val="22"/>
          <w:szCs w:val="22"/>
          <w:lang w:val="en-GB"/>
        </w:rPr>
        <w:t xml:space="preserve"> </w:t>
      </w:r>
    </w:p>
    <w:p w14:paraId="14448419" w14:textId="77777777" w:rsidR="00DA42DA" w:rsidRDefault="00DA42DA" w:rsidP="00692852">
      <w:pPr>
        <w:jc w:val="both"/>
        <w:rPr>
          <w:rFonts w:ascii="Avenir Next" w:hAnsi="Avenir Next" w:cs="Arial"/>
          <w:sz w:val="22"/>
          <w:szCs w:val="22"/>
          <w:lang w:val="en-GB"/>
        </w:rPr>
      </w:pPr>
    </w:p>
    <w:p w14:paraId="20554C81" w14:textId="172F55CE" w:rsidR="007F3E17" w:rsidRDefault="00AD5AD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Examples of countries </w:t>
      </w:r>
      <w:r w:rsidRPr="00AD5ADB">
        <w:rPr>
          <w:rFonts w:ascii="Avenir Next" w:hAnsi="Avenir Next" w:cs="Arial"/>
          <w:color w:val="808080" w:themeColor="background1" w:themeShade="80"/>
          <w:sz w:val="22"/>
          <w:szCs w:val="22"/>
          <w:lang w:val="en-GB"/>
        </w:rPr>
        <w:t xml:space="preserve">whose insolvency law systems have historical roots in </w:t>
      </w:r>
      <w:r w:rsidR="00724BBF">
        <w:rPr>
          <w:rFonts w:ascii="Avenir Next" w:hAnsi="Avenir Next" w:cs="Arial"/>
          <w:color w:val="808080" w:themeColor="background1" w:themeShade="80"/>
          <w:sz w:val="22"/>
          <w:szCs w:val="22"/>
          <w:lang w:val="en-GB"/>
        </w:rPr>
        <w:t xml:space="preserve">civil law are </w:t>
      </w:r>
      <w:r w:rsidR="00B56A43">
        <w:rPr>
          <w:rFonts w:ascii="Avenir Next" w:hAnsi="Avenir Next" w:cs="Arial"/>
          <w:color w:val="808080" w:themeColor="background1" w:themeShade="80"/>
          <w:sz w:val="22"/>
          <w:szCs w:val="22"/>
          <w:lang w:val="en-GB"/>
        </w:rPr>
        <w:t>those influenced by Roman or Germanic law, including Germany</w:t>
      </w:r>
      <w:r w:rsidR="007A5283">
        <w:rPr>
          <w:rFonts w:ascii="Avenir Next" w:hAnsi="Avenir Next" w:cs="Arial"/>
          <w:color w:val="808080" w:themeColor="background1" w:themeShade="80"/>
          <w:sz w:val="22"/>
          <w:szCs w:val="22"/>
          <w:lang w:val="en-GB"/>
        </w:rPr>
        <w:t>, France</w:t>
      </w:r>
      <w:r w:rsidR="00127D6F">
        <w:rPr>
          <w:rFonts w:ascii="Avenir Next" w:hAnsi="Avenir Next" w:cs="Arial"/>
          <w:color w:val="808080" w:themeColor="background1" w:themeShade="80"/>
          <w:sz w:val="22"/>
          <w:szCs w:val="22"/>
          <w:lang w:val="en-GB"/>
        </w:rPr>
        <w:t>,</w:t>
      </w:r>
      <w:r w:rsidR="00B37C8A">
        <w:rPr>
          <w:rFonts w:ascii="Avenir Next" w:hAnsi="Avenir Next" w:cs="Arial"/>
          <w:color w:val="808080" w:themeColor="background1" w:themeShade="80"/>
          <w:sz w:val="22"/>
          <w:szCs w:val="22"/>
          <w:lang w:val="en-GB"/>
        </w:rPr>
        <w:t xml:space="preserve"> Italy</w:t>
      </w:r>
      <w:r w:rsidR="007F3E17">
        <w:rPr>
          <w:rFonts w:ascii="Avenir Next" w:hAnsi="Avenir Next" w:cs="Arial"/>
          <w:color w:val="808080" w:themeColor="background1" w:themeShade="80"/>
          <w:sz w:val="22"/>
          <w:szCs w:val="22"/>
          <w:lang w:val="en-GB"/>
        </w:rPr>
        <w:t>,</w:t>
      </w:r>
      <w:r w:rsidR="00127D6F">
        <w:rPr>
          <w:rFonts w:ascii="Avenir Next" w:hAnsi="Avenir Next" w:cs="Arial"/>
          <w:color w:val="808080" w:themeColor="background1" w:themeShade="80"/>
          <w:sz w:val="22"/>
          <w:szCs w:val="22"/>
          <w:lang w:val="en-GB"/>
        </w:rPr>
        <w:t xml:space="preserve"> the Netherlands</w:t>
      </w:r>
      <w:r w:rsidR="007F3E17">
        <w:rPr>
          <w:rFonts w:ascii="Avenir Next" w:hAnsi="Avenir Next" w:cs="Arial"/>
          <w:color w:val="808080" w:themeColor="background1" w:themeShade="80"/>
          <w:sz w:val="22"/>
          <w:szCs w:val="22"/>
          <w:lang w:val="en-GB"/>
        </w:rPr>
        <w:t xml:space="preserve"> and Portugal</w:t>
      </w:r>
      <w:r w:rsidR="00B37C8A">
        <w:rPr>
          <w:rFonts w:ascii="Avenir Next" w:hAnsi="Avenir Next" w:cs="Arial"/>
          <w:color w:val="808080" w:themeColor="background1" w:themeShade="80"/>
          <w:sz w:val="22"/>
          <w:szCs w:val="22"/>
          <w:lang w:val="en-GB"/>
        </w:rPr>
        <w:t xml:space="preserve">. </w:t>
      </w:r>
      <w:r w:rsidR="006F4368">
        <w:rPr>
          <w:rFonts w:ascii="Avenir Next" w:hAnsi="Avenir Next" w:cs="Arial"/>
          <w:color w:val="808080" w:themeColor="background1" w:themeShade="80"/>
          <w:sz w:val="22"/>
          <w:szCs w:val="22"/>
          <w:lang w:val="en-GB"/>
        </w:rPr>
        <w:t xml:space="preserve">South America is also generally civil law-based. </w:t>
      </w:r>
      <w:r w:rsidR="00B37C8A">
        <w:rPr>
          <w:rFonts w:ascii="Avenir Next" w:hAnsi="Avenir Next" w:cs="Arial"/>
          <w:color w:val="808080" w:themeColor="background1" w:themeShade="80"/>
          <w:sz w:val="22"/>
          <w:szCs w:val="22"/>
          <w:lang w:val="en-GB"/>
        </w:rPr>
        <w:t xml:space="preserve">Examples of countries </w:t>
      </w:r>
      <w:r w:rsidR="00B37C8A" w:rsidRPr="00AD5ADB">
        <w:rPr>
          <w:rFonts w:ascii="Avenir Next" w:hAnsi="Avenir Next" w:cs="Arial"/>
          <w:color w:val="808080" w:themeColor="background1" w:themeShade="80"/>
          <w:sz w:val="22"/>
          <w:szCs w:val="22"/>
          <w:lang w:val="en-GB"/>
        </w:rPr>
        <w:t xml:space="preserve">whose insolvency law systems have historical roots in </w:t>
      </w:r>
      <w:r>
        <w:rPr>
          <w:rFonts w:ascii="Avenir Next" w:hAnsi="Avenir Next" w:cs="Arial"/>
          <w:color w:val="808080" w:themeColor="background1" w:themeShade="80"/>
          <w:sz w:val="22"/>
          <w:szCs w:val="22"/>
          <w:lang w:val="en-GB"/>
        </w:rPr>
        <w:t xml:space="preserve">English law include Australia, New </w:t>
      </w:r>
      <w:r w:rsidR="00C23294">
        <w:rPr>
          <w:rFonts w:ascii="Avenir Next" w:hAnsi="Avenir Next" w:cs="Arial"/>
          <w:color w:val="808080" w:themeColor="background1" w:themeShade="80"/>
          <w:sz w:val="22"/>
          <w:szCs w:val="22"/>
          <w:lang w:val="en-GB"/>
        </w:rPr>
        <w:t>Zealand</w:t>
      </w:r>
      <w:r w:rsidR="008A2948">
        <w:rPr>
          <w:rFonts w:ascii="Avenir Next" w:hAnsi="Avenir Next" w:cs="Arial"/>
          <w:color w:val="808080" w:themeColor="background1" w:themeShade="80"/>
          <w:sz w:val="22"/>
          <w:szCs w:val="22"/>
          <w:lang w:val="en-GB"/>
        </w:rPr>
        <w:t xml:space="preserve">, India </w:t>
      </w:r>
      <w:r w:rsidR="008C7BBC">
        <w:rPr>
          <w:rFonts w:ascii="Avenir Next" w:hAnsi="Avenir Next" w:cs="Arial"/>
          <w:color w:val="808080" w:themeColor="background1" w:themeShade="80"/>
          <w:sz w:val="22"/>
          <w:szCs w:val="22"/>
          <w:lang w:val="en-GB"/>
        </w:rPr>
        <w:t>and the USA</w:t>
      </w:r>
      <w:r w:rsidR="007F3E17">
        <w:rPr>
          <w:rFonts w:ascii="Avenir Next" w:hAnsi="Avenir Next" w:cs="Arial"/>
          <w:color w:val="808080" w:themeColor="background1" w:themeShade="80"/>
          <w:sz w:val="22"/>
          <w:szCs w:val="22"/>
          <w:lang w:val="en-GB"/>
        </w:rPr>
        <w:t>.</w:t>
      </w:r>
      <w:r w:rsidR="00400539">
        <w:rPr>
          <w:rFonts w:ascii="Avenir Next" w:hAnsi="Avenir Next" w:cs="Arial"/>
          <w:color w:val="808080" w:themeColor="background1" w:themeShade="80"/>
          <w:sz w:val="22"/>
          <w:szCs w:val="22"/>
          <w:lang w:val="en-GB"/>
        </w:rPr>
        <w:t xml:space="preserve"> </w:t>
      </w:r>
      <w:r w:rsidR="00C20CC2">
        <w:rPr>
          <w:rFonts w:ascii="Avenir Next" w:hAnsi="Avenir Next" w:cs="Arial"/>
          <w:color w:val="808080" w:themeColor="background1" w:themeShade="80"/>
          <w:sz w:val="22"/>
          <w:szCs w:val="22"/>
          <w:lang w:val="en-GB"/>
        </w:rPr>
        <w:t xml:space="preserve">African countries’ insolvency law systems tend to </w:t>
      </w:r>
      <w:r w:rsidR="006310DA">
        <w:rPr>
          <w:rFonts w:ascii="Avenir Next" w:hAnsi="Avenir Next" w:cs="Arial"/>
          <w:color w:val="808080" w:themeColor="background1" w:themeShade="80"/>
          <w:sz w:val="22"/>
          <w:szCs w:val="22"/>
          <w:lang w:val="en-GB"/>
        </w:rPr>
        <w:t>follow</w:t>
      </w:r>
      <w:r w:rsidR="00C20CC2">
        <w:rPr>
          <w:rFonts w:ascii="Avenir Next" w:hAnsi="Avenir Next" w:cs="Arial"/>
          <w:color w:val="808080" w:themeColor="background1" w:themeShade="80"/>
          <w:sz w:val="22"/>
          <w:szCs w:val="22"/>
          <w:lang w:val="en-GB"/>
        </w:rPr>
        <w:t xml:space="preserve"> former colonial influence, e.g. </w:t>
      </w:r>
      <w:r w:rsidR="00AD4E0E">
        <w:rPr>
          <w:rFonts w:ascii="Avenir Next" w:hAnsi="Avenir Next" w:cs="Arial"/>
          <w:color w:val="808080" w:themeColor="background1" w:themeShade="80"/>
          <w:sz w:val="22"/>
          <w:szCs w:val="22"/>
          <w:lang w:val="en-GB"/>
        </w:rPr>
        <w:t xml:space="preserve">Eastern African countries such as </w:t>
      </w:r>
      <w:r w:rsidR="00C87DC7">
        <w:rPr>
          <w:rFonts w:ascii="Avenir Next" w:hAnsi="Avenir Next" w:cs="Arial"/>
          <w:color w:val="808080" w:themeColor="background1" w:themeShade="80"/>
          <w:sz w:val="22"/>
          <w:szCs w:val="22"/>
          <w:lang w:val="en-GB"/>
        </w:rPr>
        <w:t xml:space="preserve">Tanzania and </w:t>
      </w:r>
      <w:r w:rsidR="00AD4E0E">
        <w:rPr>
          <w:rFonts w:ascii="Avenir Next" w:hAnsi="Avenir Next" w:cs="Arial"/>
          <w:color w:val="808080" w:themeColor="background1" w:themeShade="80"/>
          <w:sz w:val="22"/>
          <w:szCs w:val="22"/>
          <w:lang w:val="en-GB"/>
        </w:rPr>
        <w:t>Kenya,</w:t>
      </w:r>
      <w:r w:rsidR="00C87DC7">
        <w:rPr>
          <w:rFonts w:ascii="Avenir Next" w:hAnsi="Avenir Next" w:cs="Arial"/>
          <w:color w:val="808080" w:themeColor="background1" w:themeShade="80"/>
          <w:sz w:val="22"/>
          <w:szCs w:val="22"/>
          <w:lang w:val="en-GB"/>
        </w:rPr>
        <w:t xml:space="preserve"> and Nigeria,</w:t>
      </w:r>
      <w:r w:rsidR="00AD4E0E">
        <w:rPr>
          <w:rFonts w:ascii="Avenir Next" w:hAnsi="Avenir Next" w:cs="Arial"/>
          <w:color w:val="808080" w:themeColor="background1" w:themeShade="80"/>
          <w:sz w:val="22"/>
          <w:szCs w:val="22"/>
          <w:lang w:val="en-GB"/>
        </w:rPr>
        <w:t xml:space="preserve"> Botswana and Zambia</w:t>
      </w:r>
      <w:r w:rsidR="006310DA">
        <w:rPr>
          <w:rFonts w:ascii="Avenir Next" w:hAnsi="Avenir Next" w:cs="Arial"/>
          <w:color w:val="808080" w:themeColor="background1" w:themeShade="80"/>
          <w:sz w:val="22"/>
          <w:szCs w:val="22"/>
          <w:lang w:val="en-GB"/>
        </w:rPr>
        <w:t xml:space="preserve"> follow England</w:t>
      </w:r>
      <w:r w:rsidR="00C87DC7">
        <w:rPr>
          <w:rFonts w:ascii="Avenir Next" w:hAnsi="Avenir Next" w:cs="Arial"/>
          <w:color w:val="808080" w:themeColor="background1" w:themeShade="80"/>
          <w:sz w:val="22"/>
          <w:szCs w:val="22"/>
          <w:lang w:val="en-GB"/>
        </w:rPr>
        <w:t>,</w:t>
      </w:r>
      <w:r w:rsidR="006310DA">
        <w:rPr>
          <w:rFonts w:ascii="Avenir Next" w:hAnsi="Avenir Next" w:cs="Arial"/>
          <w:color w:val="808080" w:themeColor="background1" w:themeShade="80"/>
          <w:sz w:val="22"/>
          <w:szCs w:val="22"/>
          <w:lang w:val="en-GB"/>
        </w:rPr>
        <w:t xml:space="preserve"> whereas </w:t>
      </w:r>
      <w:r w:rsidR="0043780C">
        <w:rPr>
          <w:rFonts w:ascii="Avenir Next" w:hAnsi="Avenir Next" w:cs="Arial"/>
          <w:color w:val="808080" w:themeColor="background1" w:themeShade="80"/>
          <w:sz w:val="22"/>
          <w:szCs w:val="22"/>
          <w:lang w:val="en-GB"/>
        </w:rPr>
        <w:t xml:space="preserve">Western African countries and </w:t>
      </w:r>
      <w:r w:rsidR="00BF5D95">
        <w:rPr>
          <w:rFonts w:ascii="Avenir Next" w:hAnsi="Avenir Next" w:cs="Arial"/>
          <w:color w:val="808080" w:themeColor="background1" w:themeShade="80"/>
          <w:sz w:val="22"/>
          <w:szCs w:val="22"/>
          <w:lang w:val="en-GB"/>
        </w:rPr>
        <w:t xml:space="preserve">Angola and Mozambique follow civil law countries. </w:t>
      </w:r>
      <w:r w:rsidR="00F17BB2">
        <w:rPr>
          <w:rFonts w:ascii="Avenir Next" w:hAnsi="Avenir Next" w:cs="Arial"/>
          <w:color w:val="808080" w:themeColor="background1" w:themeShade="80"/>
          <w:sz w:val="22"/>
          <w:szCs w:val="22"/>
          <w:lang w:val="en-GB"/>
        </w:rPr>
        <w:t xml:space="preserve">The UAE is an interesting </w:t>
      </w:r>
      <w:r w:rsidR="00604927">
        <w:rPr>
          <w:rFonts w:ascii="Avenir Next" w:hAnsi="Avenir Next" w:cs="Arial"/>
          <w:color w:val="808080" w:themeColor="background1" w:themeShade="80"/>
          <w:sz w:val="22"/>
          <w:szCs w:val="22"/>
          <w:lang w:val="en-GB"/>
        </w:rPr>
        <w:t>country</w:t>
      </w:r>
      <w:r w:rsidR="00F17BB2">
        <w:rPr>
          <w:rFonts w:ascii="Avenir Next" w:hAnsi="Avenir Next" w:cs="Arial"/>
          <w:color w:val="808080" w:themeColor="background1" w:themeShade="80"/>
          <w:sz w:val="22"/>
          <w:szCs w:val="22"/>
          <w:lang w:val="en-GB"/>
        </w:rPr>
        <w:t>, as the ‘onshore UAE’ operates a civil law system, whereas the financial free zones with their own insolvency laws (DIFC and ADGM)</w:t>
      </w:r>
      <w:r w:rsidR="00604927">
        <w:rPr>
          <w:rFonts w:ascii="Avenir Next" w:hAnsi="Avenir Next" w:cs="Arial"/>
          <w:color w:val="808080" w:themeColor="background1" w:themeShade="80"/>
          <w:sz w:val="22"/>
          <w:szCs w:val="22"/>
          <w:lang w:val="en-GB"/>
        </w:rPr>
        <w:t xml:space="preserve"> operate a common law system. </w:t>
      </w:r>
    </w:p>
    <w:p w14:paraId="4D5299F3" w14:textId="77777777" w:rsidR="00400539" w:rsidRDefault="00400539" w:rsidP="00692852">
      <w:pPr>
        <w:jc w:val="both"/>
        <w:rPr>
          <w:rFonts w:ascii="Avenir Next" w:hAnsi="Avenir Next" w:cs="Arial"/>
          <w:color w:val="808080" w:themeColor="background1" w:themeShade="80"/>
          <w:sz w:val="22"/>
          <w:szCs w:val="22"/>
          <w:lang w:val="en-GB"/>
        </w:rPr>
      </w:pPr>
    </w:p>
    <w:p w14:paraId="22BEB281" w14:textId="60DD8F56" w:rsidR="00400539" w:rsidRDefault="003D7DB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is difficult to </w:t>
      </w:r>
      <w:r w:rsidR="00400539">
        <w:rPr>
          <w:rFonts w:ascii="Avenir Next" w:hAnsi="Avenir Next" w:cs="Arial"/>
          <w:color w:val="808080" w:themeColor="background1" w:themeShade="80"/>
          <w:sz w:val="22"/>
          <w:szCs w:val="22"/>
          <w:lang w:val="en-GB"/>
        </w:rPr>
        <w:t>compar</w:t>
      </w:r>
      <w:r>
        <w:rPr>
          <w:rFonts w:ascii="Avenir Next" w:hAnsi="Avenir Next" w:cs="Arial"/>
          <w:color w:val="808080" w:themeColor="background1" w:themeShade="80"/>
          <w:sz w:val="22"/>
          <w:szCs w:val="22"/>
          <w:lang w:val="en-GB"/>
        </w:rPr>
        <w:t xml:space="preserve">e </w:t>
      </w:r>
      <w:r w:rsidR="00604927">
        <w:rPr>
          <w:rFonts w:ascii="Avenir Next" w:hAnsi="Avenir Next" w:cs="Arial"/>
          <w:color w:val="808080" w:themeColor="background1" w:themeShade="80"/>
          <w:sz w:val="22"/>
          <w:szCs w:val="22"/>
          <w:lang w:val="en-GB"/>
        </w:rPr>
        <w:t xml:space="preserve">civil law </w:t>
      </w:r>
      <w:r>
        <w:rPr>
          <w:rFonts w:ascii="Avenir Next" w:hAnsi="Avenir Next" w:cs="Arial"/>
          <w:color w:val="808080" w:themeColor="background1" w:themeShade="80"/>
          <w:sz w:val="22"/>
          <w:szCs w:val="22"/>
          <w:lang w:val="en-GB"/>
        </w:rPr>
        <w:t xml:space="preserve">and English (or common) law </w:t>
      </w:r>
      <w:r w:rsidR="00604927">
        <w:rPr>
          <w:rFonts w:ascii="Avenir Next" w:hAnsi="Avenir Next" w:cs="Arial"/>
          <w:color w:val="808080" w:themeColor="background1" w:themeShade="80"/>
          <w:sz w:val="22"/>
          <w:szCs w:val="22"/>
          <w:lang w:val="en-GB"/>
        </w:rPr>
        <w:t xml:space="preserve">jurisdictions </w:t>
      </w:r>
      <w:r w:rsidR="00AB155F">
        <w:rPr>
          <w:rFonts w:ascii="Avenir Next" w:hAnsi="Avenir Next" w:cs="Arial"/>
          <w:color w:val="808080" w:themeColor="background1" w:themeShade="80"/>
          <w:sz w:val="22"/>
          <w:szCs w:val="22"/>
          <w:lang w:val="en-GB"/>
        </w:rPr>
        <w:t>using a broad-brush approach</w:t>
      </w:r>
      <w:r>
        <w:rPr>
          <w:rFonts w:ascii="Avenir Next" w:hAnsi="Avenir Next" w:cs="Arial"/>
          <w:color w:val="808080" w:themeColor="background1" w:themeShade="80"/>
          <w:sz w:val="22"/>
          <w:szCs w:val="22"/>
          <w:lang w:val="en-GB"/>
        </w:rPr>
        <w:t xml:space="preserve"> as</w:t>
      </w:r>
      <w:r w:rsidR="00EE371C">
        <w:rPr>
          <w:rFonts w:ascii="Avenir Next" w:hAnsi="Avenir Next" w:cs="Arial"/>
          <w:color w:val="808080" w:themeColor="background1" w:themeShade="80"/>
          <w:sz w:val="22"/>
          <w:szCs w:val="22"/>
          <w:lang w:val="en-GB"/>
        </w:rPr>
        <w:t xml:space="preserve"> </w:t>
      </w:r>
      <w:r w:rsidR="00AB155F">
        <w:rPr>
          <w:rFonts w:ascii="Avenir Next" w:hAnsi="Avenir Next" w:cs="Arial"/>
          <w:color w:val="808080" w:themeColor="background1" w:themeShade="80"/>
          <w:sz w:val="22"/>
          <w:szCs w:val="22"/>
          <w:lang w:val="en-GB"/>
        </w:rPr>
        <w:t>one may opine that</w:t>
      </w:r>
      <w:r w:rsidR="00EE371C">
        <w:rPr>
          <w:rFonts w:ascii="Avenir Next" w:hAnsi="Avenir Next" w:cs="Arial"/>
          <w:color w:val="808080" w:themeColor="background1" w:themeShade="80"/>
          <w:sz w:val="22"/>
          <w:szCs w:val="22"/>
          <w:lang w:val="en-GB"/>
        </w:rPr>
        <w:t xml:space="preserve"> civil law systems </w:t>
      </w:r>
      <w:r w:rsidR="00C0650A">
        <w:rPr>
          <w:rFonts w:ascii="Avenir Next" w:hAnsi="Avenir Next" w:cs="Arial"/>
          <w:color w:val="808080" w:themeColor="background1" w:themeShade="80"/>
          <w:sz w:val="22"/>
          <w:szCs w:val="22"/>
          <w:lang w:val="en-GB"/>
        </w:rPr>
        <w:t>were historically pro-creditor with English law-based jurisdictions such as the USA being heavily pro-debtor</w:t>
      </w:r>
      <w:r w:rsidR="00EE371C">
        <w:rPr>
          <w:rFonts w:ascii="Avenir Next" w:hAnsi="Avenir Next" w:cs="Arial"/>
          <w:color w:val="808080" w:themeColor="background1" w:themeShade="80"/>
          <w:sz w:val="22"/>
          <w:szCs w:val="22"/>
          <w:lang w:val="en-GB"/>
        </w:rPr>
        <w:t>, however England</w:t>
      </w:r>
      <w:r w:rsidR="007855EB">
        <w:rPr>
          <w:rFonts w:ascii="Avenir Next" w:hAnsi="Avenir Next" w:cs="Arial"/>
          <w:color w:val="808080" w:themeColor="background1" w:themeShade="80"/>
          <w:sz w:val="22"/>
          <w:szCs w:val="22"/>
          <w:lang w:val="en-GB"/>
        </w:rPr>
        <w:t xml:space="preserve"> was initially heavily pro-creditor before changes came about, including </w:t>
      </w:r>
      <w:r w:rsidR="00AB155F">
        <w:rPr>
          <w:rFonts w:ascii="Avenir Next" w:hAnsi="Avenir Next" w:cs="Arial"/>
          <w:color w:val="808080" w:themeColor="background1" w:themeShade="80"/>
          <w:sz w:val="22"/>
          <w:szCs w:val="22"/>
          <w:lang w:val="en-GB"/>
        </w:rPr>
        <w:t>by way of statute</w:t>
      </w:r>
      <w:r w:rsidR="000959A9">
        <w:rPr>
          <w:rFonts w:ascii="Avenir Next" w:hAnsi="Avenir Next" w:cs="Arial"/>
          <w:color w:val="808080" w:themeColor="background1" w:themeShade="80"/>
          <w:sz w:val="22"/>
          <w:szCs w:val="22"/>
          <w:lang w:val="en-GB"/>
        </w:rPr>
        <w:t xml:space="preserve"> (e.g. the Statu</w:t>
      </w:r>
      <w:r w:rsidR="005C6F2B">
        <w:rPr>
          <w:rFonts w:ascii="Avenir Next" w:hAnsi="Avenir Next" w:cs="Arial"/>
          <w:color w:val="808080" w:themeColor="background1" w:themeShade="80"/>
          <w:sz w:val="22"/>
          <w:szCs w:val="22"/>
          <w:lang w:val="en-GB"/>
        </w:rPr>
        <w:t>te of Ann 1705)</w:t>
      </w:r>
      <w:r w:rsidR="00AB155F">
        <w:rPr>
          <w:rFonts w:ascii="Avenir Next" w:hAnsi="Avenir Next" w:cs="Arial"/>
          <w:color w:val="808080" w:themeColor="background1" w:themeShade="80"/>
          <w:sz w:val="22"/>
          <w:szCs w:val="22"/>
          <w:lang w:val="en-GB"/>
        </w:rPr>
        <w:t xml:space="preserve">. </w:t>
      </w:r>
      <w:r w:rsidR="00BF3469">
        <w:rPr>
          <w:rFonts w:ascii="Avenir Next" w:hAnsi="Avenir Next" w:cs="Arial"/>
          <w:color w:val="808080" w:themeColor="background1" w:themeShade="80"/>
          <w:sz w:val="22"/>
          <w:szCs w:val="22"/>
          <w:lang w:val="en-GB"/>
        </w:rPr>
        <w:t xml:space="preserve">Some general differences between systems include </w:t>
      </w:r>
      <w:r w:rsidR="00A34B1E">
        <w:rPr>
          <w:rFonts w:ascii="Avenir Next" w:hAnsi="Avenir Next" w:cs="Arial"/>
          <w:color w:val="808080" w:themeColor="background1" w:themeShade="80"/>
          <w:sz w:val="22"/>
          <w:szCs w:val="22"/>
          <w:lang w:val="en-GB"/>
        </w:rPr>
        <w:t xml:space="preserve">how security rights are classified and how employee and government claims are dealt with. </w:t>
      </w:r>
    </w:p>
    <w:p w14:paraId="1B2A5753" w14:textId="77777777" w:rsidR="00E41DAE" w:rsidRDefault="00E41DAE" w:rsidP="00692852">
      <w:pPr>
        <w:jc w:val="both"/>
        <w:rPr>
          <w:rFonts w:ascii="Avenir Next" w:hAnsi="Avenir Next" w:cs="Arial"/>
          <w:color w:val="808080" w:themeColor="background1" w:themeShade="80"/>
          <w:sz w:val="22"/>
          <w:szCs w:val="22"/>
          <w:lang w:val="en-GB"/>
        </w:rPr>
      </w:pPr>
    </w:p>
    <w:p w14:paraId="2F10FCA7" w14:textId="541178CE" w:rsidR="0041273E" w:rsidRDefault="005C102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terms of comparisons between civil and common law countries, </w:t>
      </w:r>
      <w:r w:rsidR="005306C9">
        <w:rPr>
          <w:rFonts w:ascii="Avenir Next" w:hAnsi="Avenir Next" w:cs="Arial"/>
          <w:color w:val="808080" w:themeColor="background1" w:themeShade="80"/>
          <w:sz w:val="22"/>
          <w:szCs w:val="22"/>
          <w:lang w:val="en-GB"/>
        </w:rPr>
        <w:t xml:space="preserve">as set out above, </w:t>
      </w:r>
      <w:r>
        <w:rPr>
          <w:rFonts w:ascii="Avenir Next" w:hAnsi="Avenir Next" w:cs="Arial"/>
          <w:color w:val="808080" w:themeColor="background1" w:themeShade="80"/>
          <w:sz w:val="22"/>
          <w:szCs w:val="22"/>
          <w:lang w:val="en-GB"/>
        </w:rPr>
        <w:t>the USA (common law roots)</w:t>
      </w:r>
      <w:r w:rsidR="005306C9">
        <w:rPr>
          <w:rFonts w:ascii="Avenir Next" w:hAnsi="Avenir Next" w:cs="Arial"/>
          <w:color w:val="808080" w:themeColor="background1" w:themeShade="80"/>
          <w:sz w:val="22"/>
          <w:szCs w:val="22"/>
          <w:lang w:val="en-GB"/>
        </w:rPr>
        <w:t xml:space="preserve"> is heavily pro-debtor and</w:t>
      </w:r>
      <w:r>
        <w:rPr>
          <w:rFonts w:ascii="Avenir Next" w:hAnsi="Avenir Next" w:cs="Arial"/>
          <w:color w:val="808080" w:themeColor="background1" w:themeShade="80"/>
          <w:sz w:val="22"/>
          <w:szCs w:val="22"/>
          <w:lang w:val="en-GB"/>
        </w:rPr>
        <w:t xml:space="preserve"> </w:t>
      </w:r>
      <w:r w:rsidR="005306C9">
        <w:rPr>
          <w:rFonts w:ascii="Avenir Next" w:hAnsi="Avenir Next" w:cs="Arial"/>
          <w:color w:val="808080" w:themeColor="background1" w:themeShade="80"/>
          <w:sz w:val="22"/>
          <w:szCs w:val="22"/>
          <w:lang w:val="en-GB"/>
        </w:rPr>
        <w:t xml:space="preserve">takes a very liberal approach to the concept of a ‘fresh start’, with </w:t>
      </w:r>
      <w:r w:rsidR="00DB1240">
        <w:rPr>
          <w:rFonts w:ascii="Avenir Next" w:hAnsi="Avenir Next" w:cs="Arial"/>
          <w:color w:val="808080" w:themeColor="background1" w:themeShade="80"/>
          <w:sz w:val="22"/>
          <w:szCs w:val="22"/>
          <w:lang w:val="en-GB"/>
        </w:rPr>
        <w:t xml:space="preserve">Chapter 11 </w:t>
      </w:r>
      <w:r w:rsidR="00F06C48">
        <w:rPr>
          <w:rFonts w:ascii="Avenir Next" w:hAnsi="Avenir Next" w:cs="Arial"/>
          <w:color w:val="808080" w:themeColor="background1" w:themeShade="80"/>
          <w:sz w:val="22"/>
          <w:szCs w:val="22"/>
          <w:lang w:val="en-GB"/>
        </w:rPr>
        <w:t xml:space="preserve">of the US Bankruptcy Code being world-renown as the gold standard in </w:t>
      </w:r>
      <w:r w:rsidR="001B374B">
        <w:rPr>
          <w:rFonts w:ascii="Avenir Next" w:hAnsi="Avenir Next" w:cs="Arial"/>
          <w:color w:val="808080" w:themeColor="background1" w:themeShade="80"/>
          <w:sz w:val="22"/>
          <w:szCs w:val="22"/>
          <w:lang w:val="en-GB"/>
        </w:rPr>
        <w:t>reorganisation and rescue.</w:t>
      </w:r>
      <w:r>
        <w:rPr>
          <w:rFonts w:ascii="Avenir Next" w:hAnsi="Avenir Next" w:cs="Arial"/>
          <w:color w:val="808080" w:themeColor="background1" w:themeShade="80"/>
          <w:sz w:val="22"/>
          <w:szCs w:val="22"/>
          <w:lang w:val="en-GB"/>
        </w:rPr>
        <w:t xml:space="preserve"> </w:t>
      </w:r>
      <w:r w:rsidR="00E24845">
        <w:rPr>
          <w:rFonts w:ascii="Avenir Next" w:hAnsi="Avenir Next" w:cs="Arial"/>
          <w:color w:val="808080" w:themeColor="background1" w:themeShade="80"/>
          <w:sz w:val="22"/>
          <w:szCs w:val="22"/>
          <w:lang w:val="en-GB"/>
        </w:rPr>
        <w:t>R</w:t>
      </w:r>
      <w:r w:rsidR="00E24845" w:rsidRPr="00E24845">
        <w:rPr>
          <w:rFonts w:ascii="Avenir Next" w:hAnsi="Avenir Next" w:cs="Arial"/>
          <w:color w:val="808080" w:themeColor="background1" w:themeShade="80"/>
          <w:sz w:val="22"/>
          <w:szCs w:val="22"/>
          <w:lang w:val="en-GB"/>
        </w:rPr>
        <w:t>eorganisation and rescue</w:t>
      </w:r>
      <w:r w:rsidR="00E24845">
        <w:rPr>
          <w:rFonts w:ascii="Avenir Next" w:hAnsi="Avenir Next" w:cs="Arial"/>
          <w:color w:val="808080" w:themeColor="background1" w:themeShade="80"/>
          <w:sz w:val="22"/>
          <w:szCs w:val="22"/>
          <w:lang w:val="en-GB"/>
        </w:rPr>
        <w:t xml:space="preserve"> has been </w:t>
      </w:r>
      <w:r w:rsidR="00C27752">
        <w:rPr>
          <w:rFonts w:ascii="Avenir Next" w:hAnsi="Avenir Next" w:cs="Arial"/>
          <w:color w:val="808080" w:themeColor="background1" w:themeShade="80"/>
          <w:sz w:val="22"/>
          <w:szCs w:val="22"/>
          <w:lang w:val="en-GB"/>
        </w:rPr>
        <w:t>one of the main areas of reform over recent years</w:t>
      </w:r>
      <w:r w:rsidR="00A37366">
        <w:rPr>
          <w:rFonts w:ascii="Avenir Next" w:hAnsi="Avenir Next" w:cs="Arial"/>
          <w:color w:val="808080" w:themeColor="background1" w:themeShade="80"/>
          <w:sz w:val="22"/>
          <w:szCs w:val="22"/>
          <w:lang w:val="en-GB"/>
        </w:rPr>
        <w:t xml:space="preserve"> </w:t>
      </w:r>
      <w:r w:rsidR="00C27752">
        <w:rPr>
          <w:rFonts w:ascii="Avenir Next" w:hAnsi="Avenir Next" w:cs="Arial"/>
          <w:color w:val="808080" w:themeColor="background1" w:themeShade="80"/>
          <w:sz w:val="22"/>
          <w:szCs w:val="22"/>
          <w:lang w:val="en-GB"/>
        </w:rPr>
        <w:t xml:space="preserve">so it is difficult to </w:t>
      </w:r>
      <w:r w:rsidR="004C02FC">
        <w:rPr>
          <w:rFonts w:ascii="Avenir Next" w:hAnsi="Avenir Next" w:cs="Arial"/>
          <w:color w:val="808080" w:themeColor="background1" w:themeShade="80"/>
          <w:sz w:val="22"/>
          <w:szCs w:val="22"/>
          <w:lang w:val="en-GB"/>
        </w:rPr>
        <w:t>specify</w:t>
      </w:r>
      <w:r w:rsidR="00C05206">
        <w:rPr>
          <w:rFonts w:ascii="Avenir Next" w:hAnsi="Avenir Next" w:cs="Arial"/>
          <w:color w:val="808080" w:themeColor="background1" w:themeShade="80"/>
          <w:sz w:val="22"/>
          <w:szCs w:val="22"/>
          <w:lang w:val="en-GB"/>
        </w:rPr>
        <w:t xml:space="preserve"> jurisdictions which remain heavily pro-debtor</w:t>
      </w:r>
      <w:r w:rsidR="00A37366">
        <w:rPr>
          <w:rFonts w:ascii="Avenir Next" w:hAnsi="Avenir Next" w:cs="Arial"/>
          <w:color w:val="808080" w:themeColor="background1" w:themeShade="80"/>
          <w:sz w:val="22"/>
          <w:szCs w:val="22"/>
          <w:lang w:val="en-GB"/>
        </w:rPr>
        <w:t>, although I understand that South Africa</w:t>
      </w:r>
      <w:r w:rsidR="00711E66">
        <w:rPr>
          <w:rFonts w:ascii="Avenir Next" w:hAnsi="Avenir Next" w:cs="Arial"/>
          <w:color w:val="808080" w:themeColor="background1" w:themeShade="80"/>
          <w:sz w:val="22"/>
          <w:szCs w:val="22"/>
          <w:lang w:val="en-GB"/>
        </w:rPr>
        <w:t xml:space="preserve"> (which has a mixed common and civil law-based system)</w:t>
      </w:r>
      <w:r w:rsidR="00A37366">
        <w:rPr>
          <w:rFonts w:ascii="Avenir Next" w:hAnsi="Avenir Next" w:cs="Arial"/>
          <w:color w:val="808080" w:themeColor="background1" w:themeShade="80"/>
          <w:sz w:val="22"/>
          <w:szCs w:val="22"/>
          <w:lang w:val="en-GB"/>
        </w:rPr>
        <w:t xml:space="preserve"> remains as such</w:t>
      </w:r>
      <w:r w:rsidR="00256214">
        <w:rPr>
          <w:rFonts w:ascii="Avenir Next" w:hAnsi="Avenir Next" w:cs="Arial"/>
          <w:color w:val="808080" w:themeColor="background1" w:themeShade="80"/>
          <w:sz w:val="22"/>
          <w:szCs w:val="22"/>
          <w:lang w:val="en-GB"/>
        </w:rPr>
        <w:t>: “</w:t>
      </w:r>
      <w:r w:rsidR="00256214" w:rsidRPr="00256214">
        <w:rPr>
          <w:rFonts w:ascii="Avenir Next" w:hAnsi="Avenir Next" w:cs="Arial"/>
          <w:i/>
          <w:iCs/>
          <w:color w:val="808080" w:themeColor="background1" w:themeShade="80"/>
          <w:sz w:val="22"/>
          <w:szCs w:val="22"/>
          <w:lang w:val="en-GB"/>
        </w:rPr>
        <w:t>South African insolvency law has traditionally been, and is still regarded as, a pro-creditor system</w:t>
      </w:r>
      <w:r w:rsidR="00256214" w:rsidRPr="00256214">
        <w:rPr>
          <w:rFonts w:ascii="Avenir Next" w:hAnsi="Avenir Next" w:cs="Arial"/>
          <w:color w:val="808080" w:themeColor="background1" w:themeShade="80"/>
          <w:sz w:val="22"/>
          <w:szCs w:val="22"/>
          <w:lang w:val="en-GB"/>
        </w:rPr>
        <w:t>.</w:t>
      </w:r>
      <w:r w:rsidR="00256214">
        <w:rPr>
          <w:rFonts w:ascii="Avenir Next" w:hAnsi="Avenir Next" w:cs="Arial"/>
          <w:color w:val="808080" w:themeColor="background1" w:themeShade="80"/>
          <w:sz w:val="22"/>
          <w:szCs w:val="22"/>
          <w:lang w:val="en-GB"/>
        </w:rPr>
        <w:t>”</w:t>
      </w:r>
      <w:r w:rsidR="00256214">
        <w:rPr>
          <w:rStyle w:val="FootnoteReference"/>
          <w:rFonts w:ascii="Avenir Next" w:hAnsi="Avenir Next" w:cs="Arial"/>
          <w:color w:val="808080" w:themeColor="background1" w:themeShade="80"/>
          <w:sz w:val="22"/>
          <w:szCs w:val="22"/>
          <w:lang w:val="en-GB"/>
        </w:rPr>
        <w:footnoteReference w:id="1"/>
      </w:r>
    </w:p>
    <w:p w14:paraId="1979096B" w14:textId="77777777" w:rsidR="0041273E" w:rsidRDefault="0041273E" w:rsidP="00692852">
      <w:pPr>
        <w:jc w:val="both"/>
        <w:rPr>
          <w:rFonts w:ascii="Avenir Next" w:hAnsi="Avenir Next" w:cs="Arial"/>
          <w:color w:val="808080" w:themeColor="background1" w:themeShade="80"/>
          <w:sz w:val="22"/>
          <w:szCs w:val="22"/>
          <w:lang w:val="en-GB"/>
        </w:rPr>
      </w:pPr>
    </w:p>
    <w:p w14:paraId="65575ABC" w14:textId="02CC71ED" w:rsidR="00E41DAE" w:rsidRPr="00DA42DA" w:rsidRDefault="0041273E"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Other differences </w:t>
      </w:r>
      <w:r w:rsidR="004D1D06">
        <w:rPr>
          <w:rFonts w:ascii="Avenir Next" w:hAnsi="Avenir Next" w:cs="Arial"/>
          <w:color w:val="808080" w:themeColor="background1" w:themeShade="80"/>
          <w:sz w:val="22"/>
          <w:szCs w:val="22"/>
          <w:lang w:val="en-GB"/>
        </w:rPr>
        <w:t>include whether jurisdictions have single, unified insolvency laws for corporates and individuals.</w:t>
      </w:r>
      <w:r w:rsidR="003F6DE8">
        <w:rPr>
          <w:rFonts w:ascii="Avenir Next" w:hAnsi="Avenir Next" w:cs="Arial"/>
          <w:color w:val="808080" w:themeColor="background1" w:themeShade="80"/>
          <w:sz w:val="22"/>
          <w:szCs w:val="22"/>
          <w:lang w:val="en-GB"/>
        </w:rPr>
        <w:t xml:space="preserve"> For example, Spain (civil law roots) has unified insolvency laws, whereas Australia (common law roots) has</w:t>
      </w:r>
      <w:r w:rsidR="00F1154A">
        <w:rPr>
          <w:rFonts w:ascii="Avenir Next" w:hAnsi="Avenir Next" w:cs="Arial"/>
          <w:color w:val="808080" w:themeColor="background1" w:themeShade="80"/>
          <w:sz w:val="22"/>
          <w:szCs w:val="22"/>
          <w:lang w:val="en-GB"/>
        </w:rPr>
        <w:t xml:space="preserve"> a law for corporates and a law for individuals.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6AE48DD3" w14:textId="0172AEE8" w:rsidR="00664511" w:rsidRDefault="00A54433" w:rsidP="00664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w:t>
      </w:r>
      <w:r w:rsidR="00984476">
        <w:rPr>
          <w:rFonts w:ascii="Avenir Next" w:hAnsi="Avenir Next" w:cs="Arial"/>
          <w:color w:val="808080" w:themeColor="background1" w:themeShade="80"/>
          <w:sz w:val="22"/>
          <w:szCs w:val="22"/>
          <w:lang w:val="en-GB"/>
        </w:rPr>
        <w:t xml:space="preserve">considers </w:t>
      </w:r>
      <w:r w:rsidR="00D24D8C">
        <w:rPr>
          <w:rFonts w:ascii="Avenir Next" w:hAnsi="Avenir Next" w:cs="Arial"/>
          <w:color w:val="808080" w:themeColor="background1" w:themeShade="80"/>
          <w:sz w:val="22"/>
          <w:szCs w:val="22"/>
          <w:lang w:val="en-GB"/>
        </w:rPr>
        <w:t xml:space="preserve">an approach that envisages </w:t>
      </w:r>
      <w:r w:rsidR="00984476">
        <w:rPr>
          <w:rFonts w:ascii="Avenir Next" w:hAnsi="Avenir Next" w:cs="Arial"/>
          <w:color w:val="808080" w:themeColor="background1" w:themeShade="80"/>
          <w:sz w:val="22"/>
          <w:szCs w:val="22"/>
          <w:lang w:val="en-GB"/>
        </w:rPr>
        <w:t>insolvency process</w:t>
      </w:r>
      <w:r w:rsidR="00D24D8C">
        <w:rPr>
          <w:rFonts w:ascii="Avenir Next" w:hAnsi="Avenir Next" w:cs="Arial"/>
          <w:color w:val="808080" w:themeColor="background1" w:themeShade="80"/>
          <w:sz w:val="22"/>
          <w:szCs w:val="22"/>
          <w:lang w:val="en-GB"/>
        </w:rPr>
        <w:t>es</w:t>
      </w:r>
      <w:r w:rsidR="003E407D">
        <w:rPr>
          <w:rFonts w:ascii="Avenir Next" w:hAnsi="Avenir Next" w:cs="Arial"/>
          <w:color w:val="808080" w:themeColor="background1" w:themeShade="80"/>
          <w:sz w:val="22"/>
          <w:szCs w:val="22"/>
          <w:lang w:val="en-GB"/>
        </w:rPr>
        <w:t xml:space="preserve"> </w:t>
      </w:r>
      <w:r w:rsidR="003B7203">
        <w:rPr>
          <w:rFonts w:ascii="Avenir Next" w:hAnsi="Avenir Next" w:cs="Arial"/>
          <w:color w:val="808080" w:themeColor="background1" w:themeShade="80"/>
          <w:sz w:val="22"/>
          <w:szCs w:val="22"/>
          <w:lang w:val="en-GB"/>
        </w:rPr>
        <w:t xml:space="preserve">originating in </w:t>
      </w:r>
      <w:r w:rsidR="001C425D">
        <w:rPr>
          <w:rFonts w:ascii="Avenir Next" w:hAnsi="Avenir Next" w:cs="Arial"/>
          <w:color w:val="808080" w:themeColor="background1" w:themeShade="80"/>
          <w:sz w:val="22"/>
          <w:szCs w:val="22"/>
          <w:lang w:val="en-GB"/>
        </w:rPr>
        <w:t xml:space="preserve">different jurisdictions </w:t>
      </w:r>
      <w:r w:rsidR="00664511" w:rsidRPr="00664511">
        <w:rPr>
          <w:rFonts w:ascii="Avenir Next" w:hAnsi="Avenir Next" w:cs="Arial"/>
          <w:color w:val="808080" w:themeColor="background1" w:themeShade="80"/>
          <w:sz w:val="22"/>
          <w:szCs w:val="22"/>
          <w:lang w:val="en-GB"/>
        </w:rPr>
        <w:t>being channelled through a single jurisdiction, to the exclusion of others</w:t>
      </w:r>
      <w:r w:rsidR="00664511">
        <w:rPr>
          <w:rFonts w:ascii="Avenir Next" w:hAnsi="Avenir Next" w:cs="Arial"/>
          <w:color w:val="808080" w:themeColor="background1" w:themeShade="80"/>
          <w:sz w:val="22"/>
          <w:szCs w:val="22"/>
          <w:lang w:val="en-GB"/>
        </w:rPr>
        <w:t xml:space="preserve">. </w:t>
      </w:r>
      <w:r w:rsidR="00664511" w:rsidRPr="00664511">
        <w:rPr>
          <w:rFonts w:ascii="Avenir Next" w:hAnsi="Avenir Next" w:cs="Arial"/>
          <w:color w:val="808080" w:themeColor="background1" w:themeShade="80"/>
          <w:sz w:val="22"/>
          <w:szCs w:val="22"/>
          <w:lang w:val="en-GB"/>
        </w:rPr>
        <w:t>Accordingly, one set of courts</w:t>
      </w:r>
      <w:r w:rsidR="00664511">
        <w:rPr>
          <w:rFonts w:ascii="Avenir Next" w:hAnsi="Avenir Next" w:cs="Arial"/>
          <w:color w:val="808080" w:themeColor="background1" w:themeShade="80"/>
          <w:sz w:val="22"/>
          <w:szCs w:val="22"/>
          <w:lang w:val="en-GB"/>
        </w:rPr>
        <w:t xml:space="preserve"> </w:t>
      </w:r>
      <w:r w:rsidR="00664511" w:rsidRPr="00664511">
        <w:rPr>
          <w:rFonts w:ascii="Avenir Next" w:hAnsi="Avenir Next" w:cs="Arial"/>
          <w:color w:val="808080" w:themeColor="background1" w:themeShade="80"/>
          <w:sz w:val="22"/>
          <w:szCs w:val="22"/>
          <w:lang w:val="en-GB"/>
        </w:rPr>
        <w:t>(in the relevant jurisdiction) would be seised of the matter of the debtor’s insolvency</w:t>
      </w:r>
      <w:r w:rsidR="00664511">
        <w:rPr>
          <w:rFonts w:ascii="Avenir Next" w:hAnsi="Avenir Next" w:cs="Arial"/>
          <w:color w:val="808080" w:themeColor="background1" w:themeShade="80"/>
          <w:sz w:val="22"/>
          <w:szCs w:val="22"/>
          <w:lang w:val="en-GB"/>
        </w:rPr>
        <w:t xml:space="preserve"> </w:t>
      </w:r>
      <w:r w:rsidR="00664511" w:rsidRPr="00664511">
        <w:rPr>
          <w:rFonts w:ascii="Avenir Next" w:hAnsi="Avenir Next" w:cs="Arial"/>
          <w:color w:val="808080" w:themeColor="background1" w:themeShade="80"/>
          <w:sz w:val="22"/>
          <w:szCs w:val="22"/>
          <w:lang w:val="en-GB"/>
        </w:rPr>
        <w:t>or bankruptcy proceedings and theoretically, it would not be possible to commence proceedings or</w:t>
      </w:r>
      <w:r w:rsidR="00664511">
        <w:rPr>
          <w:rFonts w:ascii="Avenir Next" w:hAnsi="Avenir Next" w:cs="Arial"/>
          <w:color w:val="808080" w:themeColor="background1" w:themeShade="80"/>
          <w:sz w:val="22"/>
          <w:szCs w:val="22"/>
          <w:lang w:val="en-GB"/>
        </w:rPr>
        <w:t xml:space="preserve"> </w:t>
      </w:r>
      <w:r w:rsidR="00664511" w:rsidRPr="00664511">
        <w:rPr>
          <w:rFonts w:ascii="Avenir Next" w:hAnsi="Avenir Next" w:cs="Arial"/>
          <w:color w:val="808080" w:themeColor="background1" w:themeShade="80"/>
          <w:sz w:val="22"/>
          <w:szCs w:val="22"/>
          <w:lang w:val="en-GB"/>
        </w:rPr>
        <w:t>execute judgments in other jurisdictions. Similarly, there would be one appointment to taken by an officeholder (noting that some appointments may be joint / panel) in the relevant jurisdiction, and the officeholder would consider and deal with the interests of all creditors, worldwide.</w:t>
      </w:r>
      <w:r w:rsidR="00664511">
        <w:rPr>
          <w:rFonts w:ascii="Avenir Next" w:hAnsi="Avenir Next" w:cs="Arial"/>
          <w:color w:val="808080" w:themeColor="background1" w:themeShade="80"/>
          <w:sz w:val="22"/>
          <w:szCs w:val="22"/>
          <w:lang w:val="en-GB"/>
        </w:rPr>
        <w:t xml:space="preserve"> In terms of recognition and effect, it is envisaged </w:t>
      </w:r>
      <w:r w:rsidR="00A14F9B">
        <w:rPr>
          <w:rFonts w:ascii="Avenir Next" w:hAnsi="Avenir Next" w:cs="Arial"/>
          <w:color w:val="808080" w:themeColor="background1" w:themeShade="80"/>
          <w:sz w:val="22"/>
          <w:szCs w:val="22"/>
          <w:lang w:val="en-GB"/>
        </w:rPr>
        <w:t>that</w:t>
      </w:r>
      <w:r w:rsidR="0020063B">
        <w:rPr>
          <w:rFonts w:ascii="Avenir Next" w:hAnsi="Avenir Next" w:cs="Arial"/>
          <w:color w:val="808080" w:themeColor="background1" w:themeShade="80"/>
          <w:sz w:val="22"/>
          <w:szCs w:val="22"/>
          <w:lang w:val="en-GB"/>
        </w:rPr>
        <w:t xml:space="preserve"> </w:t>
      </w:r>
      <w:r w:rsidR="00664511">
        <w:rPr>
          <w:rFonts w:ascii="Avenir Next" w:hAnsi="Avenir Next" w:cs="Arial"/>
          <w:color w:val="808080" w:themeColor="background1" w:themeShade="80"/>
          <w:sz w:val="22"/>
          <w:szCs w:val="22"/>
          <w:lang w:val="en-GB"/>
        </w:rPr>
        <w:t xml:space="preserve">other states / jurisdictions recognise and give </w:t>
      </w:r>
      <w:r w:rsidR="0020063B">
        <w:rPr>
          <w:rFonts w:ascii="Avenir Next" w:hAnsi="Avenir Next" w:cs="Arial"/>
          <w:color w:val="808080" w:themeColor="background1" w:themeShade="80"/>
          <w:sz w:val="22"/>
          <w:szCs w:val="22"/>
          <w:lang w:val="en-GB"/>
        </w:rPr>
        <w:t xml:space="preserve">effect </w:t>
      </w:r>
      <w:r w:rsidR="00664511">
        <w:rPr>
          <w:rFonts w:ascii="Avenir Next" w:hAnsi="Avenir Next" w:cs="Arial"/>
          <w:color w:val="808080" w:themeColor="background1" w:themeShade="80"/>
          <w:sz w:val="22"/>
          <w:szCs w:val="22"/>
          <w:lang w:val="en-GB"/>
        </w:rPr>
        <w:t xml:space="preserve">to that </w:t>
      </w:r>
      <w:r w:rsidR="00664511">
        <w:rPr>
          <w:rFonts w:ascii="Avenir Next" w:hAnsi="Avenir Next" w:cs="Arial"/>
          <w:color w:val="808080" w:themeColor="background1" w:themeShade="80"/>
          <w:sz w:val="22"/>
          <w:szCs w:val="22"/>
          <w:lang w:val="en-GB"/>
        </w:rPr>
        <w:lastRenderedPageBreak/>
        <w:t>one set of insolvency proceedings</w:t>
      </w:r>
      <w:r w:rsidR="001D31AD">
        <w:rPr>
          <w:rFonts w:ascii="Avenir Next" w:hAnsi="Avenir Next" w:cs="Arial"/>
          <w:color w:val="808080" w:themeColor="background1" w:themeShade="80"/>
          <w:sz w:val="22"/>
          <w:szCs w:val="22"/>
          <w:lang w:val="en-GB"/>
        </w:rPr>
        <w:t xml:space="preserve"> and recognise that it has extraterritorial effect in their states / jurisdictions</w:t>
      </w:r>
      <w:r w:rsidR="00664511">
        <w:rPr>
          <w:rFonts w:ascii="Avenir Next" w:hAnsi="Avenir Next" w:cs="Arial"/>
          <w:color w:val="808080" w:themeColor="background1" w:themeShade="80"/>
          <w:sz w:val="22"/>
          <w:szCs w:val="22"/>
          <w:lang w:val="en-GB"/>
        </w:rPr>
        <w:t xml:space="preserve"> </w:t>
      </w:r>
      <w:r w:rsidR="007E3EBA">
        <w:rPr>
          <w:rFonts w:ascii="Avenir Next" w:hAnsi="Avenir Next" w:cs="Arial"/>
          <w:color w:val="808080" w:themeColor="background1" w:themeShade="80"/>
          <w:sz w:val="22"/>
          <w:szCs w:val="22"/>
          <w:lang w:val="en-GB"/>
        </w:rPr>
        <w:t xml:space="preserve">in respect of </w:t>
      </w:r>
      <w:r w:rsidR="00664511">
        <w:rPr>
          <w:rFonts w:ascii="Avenir Next" w:hAnsi="Avenir Next" w:cs="Arial"/>
          <w:color w:val="808080" w:themeColor="background1" w:themeShade="80"/>
          <w:sz w:val="22"/>
          <w:szCs w:val="22"/>
          <w:lang w:val="en-GB"/>
        </w:rPr>
        <w:t>a debtor’s</w:t>
      </w:r>
      <w:r w:rsidR="007E3EBA">
        <w:rPr>
          <w:rFonts w:ascii="Avenir Next" w:hAnsi="Avenir Next" w:cs="Arial"/>
          <w:color w:val="808080" w:themeColor="background1" w:themeShade="80"/>
          <w:sz w:val="22"/>
          <w:szCs w:val="22"/>
          <w:lang w:val="en-GB"/>
        </w:rPr>
        <w:t xml:space="preserve"> </w:t>
      </w:r>
      <w:r w:rsidR="007C65B9">
        <w:rPr>
          <w:rFonts w:ascii="Avenir Next" w:hAnsi="Avenir Next" w:cs="Arial"/>
          <w:color w:val="808080" w:themeColor="background1" w:themeShade="80"/>
          <w:sz w:val="22"/>
          <w:szCs w:val="22"/>
          <w:lang w:val="en-GB"/>
        </w:rPr>
        <w:t xml:space="preserve">worldwide </w:t>
      </w:r>
      <w:r w:rsidR="007E3EBA">
        <w:rPr>
          <w:rFonts w:ascii="Avenir Next" w:hAnsi="Avenir Next" w:cs="Arial"/>
          <w:color w:val="808080" w:themeColor="background1" w:themeShade="80"/>
          <w:sz w:val="22"/>
          <w:szCs w:val="22"/>
          <w:lang w:val="en-GB"/>
        </w:rPr>
        <w:t>assets</w:t>
      </w:r>
      <w:r w:rsidR="00840B9A">
        <w:rPr>
          <w:rFonts w:ascii="Avenir Next" w:hAnsi="Avenir Next" w:cs="Arial"/>
          <w:color w:val="808080" w:themeColor="background1" w:themeShade="80"/>
          <w:sz w:val="22"/>
          <w:szCs w:val="22"/>
          <w:lang w:val="en-GB"/>
        </w:rPr>
        <w:t xml:space="preserve">. </w:t>
      </w:r>
    </w:p>
    <w:p w14:paraId="737D1FAB" w14:textId="77777777" w:rsidR="00664511" w:rsidRDefault="00664511" w:rsidP="00664511">
      <w:pPr>
        <w:jc w:val="both"/>
        <w:rPr>
          <w:rFonts w:ascii="Avenir Next" w:hAnsi="Avenir Next" w:cs="Arial"/>
          <w:color w:val="808080" w:themeColor="background1" w:themeShade="80"/>
          <w:sz w:val="22"/>
          <w:szCs w:val="22"/>
          <w:lang w:val="en-GB"/>
        </w:rPr>
      </w:pPr>
    </w:p>
    <w:p w14:paraId="28D76307" w14:textId="4EE6D01A" w:rsidR="001D31AD" w:rsidRDefault="0003281C" w:rsidP="00664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is a paired back version of universalism and </w:t>
      </w:r>
      <w:r w:rsidR="00F32F90">
        <w:rPr>
          <w:rFonts w:ascii="Avenir Next" w:hAnsi="Avenir Next" w:cs="Arial"/>
          <w:color w:val="808080" w:themeColor="background1" w:themeShade="80"/>
          <w:sz w:val="22"/>
          <w:szCs w:val="22"/>
          <w:lang w:val="en-GB"/>
        </w:rPr>
        <w:t>envisages ‘main [insolvency] proceedings’ in the Centre of Main Interests (</w:t>
      </w:r>
      <w:r w:rsidR="00F32F90" w:rsidRPr="001D31AD">
        <w:rPr>
          <w:rFonts w:ascii="Avenir Next" w:hAnsi="Avenir Next" w:cs="Arial"/>
          <w:b/>
          <w:bCs/>
          <w:color w:val="808080" w:themeColor="background1" w:themeShade="80"/>
          <w:sz w:val="22"/>
          <w:szCs w:val="22"/>
          <w:lang w:val="en-GB"/>
        </w:rPr>
        <w:t>COMI</w:t>
      </w:r>
      <w:r w:rsidR="00F32F90">
        <w:rPr>
          <w:rFonts w:ascii="Avenir Next" w:hAnsi="Avenir Next" w:cs="Arial"/>
          <w:color w:val="808080" w:themeColor="background1" w:themeShade="80"/>
          <w:sz w:val="22"/>
          <w:szCs w:val="22"/>
          <w:lang w:val="en-GB"/>
        </w:rPr>
        <w:t>)</w:t>
      </w:r>
      <w:r w:rsidR="00F30A4C">
        <w:rPr>
          <w:rFonts w:ascii="Avenir Next" w:hAnsi="Avenir Next" w:cs="Arial"/>
          <w:color w:val="808080" w:themeColor="background1" w:themeShade="80"/>
          <w:sz w:val="22"/>
          <w:szCs w:val="22"/>
          <w:lang w:val="en-GB"/>
        </w:rPr>
        <w:t xml:space="preserve"> with ‘secondary [insolvency] proceedings’ taking place in other jurisdictions in which the debtor has assets</w:t>
      </w:r>
      <w:r w:rsidR="009678C2">
        <w:rPr>
          <w:rFonts w:ascii="Avenir Next" w:hAnsi="Avenir Next" w:cs="Arial"/>
          <w:color w:val="808080" w:themeColor="background1" w:themeShade="80"/>
          <w:sz w:val="22"/>
          <w:szCs w:val="22"/>
          <w:lang w:val="en-GB"/>
        </w:rPr>
        <w:t xml:space="preserve">. </w:t>
      </w:r>
      <w:r w:rsidR="00205214">
        <w:rPr>
          <w:rFonts w:ascii="Avenir Next" w:hAnsi="Avenir Next" w:cs="Arial"/>
          <w:color w:val="808080" w:themeColor="background1" w:themeShade="80"/>
          <w:sz w:val="22"/>
          <w:szCs w:val="22"/>
          <w:lang w:val="en-GB"/>
        </w:rPr>
        <w:t>S</w:t>
      </w:r>
      <w:r w:rsidR="00AF60CA">
        <w:rPr>
          <w:rFonts w:ascii="Avenir Next" w:hAnsi="Avenir Next" w:cs="Arial"/>
          <w:color w:val="808080" w:themeColor="background1" w:themeShade="80"/>
          <w:sz w:val="22"/>
          <w:szCs w:val="22"/>
          <w:lang w:val="en-GB"/>
        </w:rPr>
        <w:t>ubject to the relevant court’s rules / applicable laws</w:t>
      </w:r>
      <w:r w:rsidR="00205214">
        <w:rPr>
          <w:rFonts w:ascii="Avenir Next" w:hAnsi="Avenir Next" w:cs="Arial"/>
          <w:color w:val="808080" w:themeColor="background1" w:themeShade="80"/>
          <w:sz w:val="22"/>
          <w:szCs w:val="22"/>
          <w:lang w:val="en-GB"/>
        </w:rPr>
        <w:t xml:space="preserve"> in the main and secondary jurisdictions, the </w:t>
      </w:r>
      <w:r w:rsidR="00245CD2">
        <w:rPr>
          <w:rFonts w:ascii="Avenir Next" w:hAnsi="Avenir Next" w:cs="Arial"/>
          <w:color w:val="808080" w:themeColor="background1" w:themeShade="80"/>
          <w:sz w:val="22"/>
          <w:szCs w:val="22"/>
          <w:lang w:val="en-GB"/>
        </w:rPr>
        <w:t xml:space="preserve">idea is that the courts co-operate with one another </w:t>
      </w:r>
      <w:r w:rsidR="005D3F5F">
        <w:rPr>
          <w:rFonts w:ascii="Avenir Next" w:hAnsi="Avenir Next" w:cs="Arial"/>
          <w:color w:val="808080" w:themeColor="background1" w:themeShade="80"/>
          <w:sz w:val="22"/>
          <w:szCs w:val="22"/>
          <w:lang w:val="en-GB"/>
        </w:rPr>
        <w:t>as regards the insolvency proceedings</w:t>
      </w:r>
      <w:r w:rsidR="001D31AD">
        <w:rPr>
          <w:rFonts w:ascii="Avenir Next" w:hAnsi="Avenir Next" w:cs="Arial"/>
          <w:color w:val="808080" w:themeColor="background1" w:themeShade="80"/>
          <w:sz w:val="22"/>
          <w:szCs w:val="22"/>
          <w:lang w:val="en-GB"/>
        </w:rPr>
        <w:t xml:space="preserve"> so as to recognise and give effect to, as far as possible, proceedings in other jurisdictions</w:t>
      </w:r>
      <w:r w:rsidR="00245CD2">
        <w:rPr>
          <w:rFonts w:ascii="Avenir Next" w:hAnsi="Avenir Next" w:cs="Arial"/>
          <w:color w:val="808080" w:themeColor="background1" w:themeShade="80"/>
          <w:sz w:val="22"/>
          <w:szCs w:val="22"/>
          <w:lang w:val="en-GB"/>
        </w:rPr>
        <w:t xml:space="preserve">. </w:t>
      </w:r>
    </w:p>
    <w:p w14:paraId="6F22B57E" w14:textId="77777777" w:rsidR="001D31AD" w:rsidRDefault="001D31AD" w:rsidP="00664511">
      <w:pPr>
        <w:jc w:val="both"/>
        <w:rPr>
          <w:rFonts w:ascii="Avenir Next" w:hAnsi="Avenir Next" w:cs="Arial"/>
          <w:color w:val="808080" w:themeColor="background1" w:themeShade="80"/>
          <w:sz w:val="22"/>
          <w:szCs w:val="22"/>
          <w:lang w:val="en-GB"/>
        </w:rPr>
      </w:pPr>
    </w:p>
    <w:p w14:paraId="216D3C8D" w14:textId="2F46EC5F" w:rsidR="00DA42DA" w:rsidRPr="00DA42DA" w:rsidRDefault="00840B9A" w:rsidP="0066451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Territorialism take</w:t>
      </w:r>
      <w:r w:rsidR="00D1188B">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opposite view</w:t>
      </w:r>
      <w:r w:rsidR="00CF237B">
        <w:rPr>
          <w:rFonts w:ascii="Avenir Next" w:hAnsi="Avenir Next" w:cs="Arial"/>
          <w:color w:val="808080" w:themeColor="background1" w:themeShade="80"/>
          <w:sz w:val="22"/>
          <w:szCs w:val="22"/>
          <w:lang w:val="en-GB"/>
        </w:rPr>
        <w:t xml:space="preserve"> to u</w:t>
      </w:r>
      <w:r w:rsidR="00CF237B" w:rsidRPr="00CF237B">
        <w:rPr>
          <w:rFonts w:ascii="Avenir Next" w:hAnsi="Avenir Next" w:cs="Arial"/>
          <w:color w:val="808080" w:themeColor="background1" w:themeShade="80"/>
          <w:sz w:val="22"/>
          <w:szCs w:val="22"/>
          <w:lang w:val="en-GB"/>
        </w:rPr>
        <w:t>niversalism</w:t>
      </w:r>
      <w:r>
        <w:rPr>
          <w:rFonts w:ascii="Avenir Next" w:hAnsi="Avenir Next" w:cs="Arial"/>
          <w:color w:val="808080" w:themeColor="background1" w:themeShade="80"/>
          <w:sz w:val="22"/>
          <w:szCs w:val="22"/>
          <w:lang w:val="en-GB"/>
        </w:rPr>
        <w:t xml:space="preserve">, i.e. that </w:t>
      </w:r>
      <w:r w:rsidR="00D1188B">
        <w:rPr>
          <w:rFonts w:ascii="Avenir Next" w:hAnsi="Avenir Next" w:cs="Arial"/>
          <w:color w:val="808080" w:themeColor="background1" w:themeShade="80"/>
          <w:sz w:val="22"/>
          <w:szCs w:val="22"/>
          <w:lang w:val="en-GB"/>
        </w:rPr>
        <w:t xml:space="preserve">insolvency proceedings </w:t>
      </w:r>
      <w:r w:rsidR="005B3C0C">
        <w:rPr>
          <w:rFonts w:ascii="Avenir Next" w:hAnsi="Avenir Next" w:cs="Arial"/>
          <w:color w:val="808080" w:themeColor="background1" w:themeShade="80"/>
          <w:sz w:val="22"/>
          <w:szCs w:val="22"/>
          <w:lang w:val="en-GB"/>
        </w:rPr>
        <w:t xml:space="preserve">may </w:t>
      </w:r>
      <w:r w:rsidR="00D1188B">
        <w:rPr>
          <w:rFonts w:ascii="Avenir Next" w:hAnsi="Avenir Next" w:cs="Arial"/>
          <w:color w:val="808080" w:themeColor="background1" w:themeShade="80"/>
          <w:sz w:val="22"/>
          <w:szCs w:val="22"/>
          <w:lang w:val="en-GB"/>
        </w:rPr>
        <w:t xml:space="preserve">be brought </w:t>
      </w:r>
      <w:r w:rsidR="00BF19D0">
        <w:rPr>
          <w:rFonts w:ascii="Avenir Next" w:hAnsi="Avenir Next" w:cs="Arial"/>
          <w:color w:val="808080" w:themeColor="background1" w:themeShade="80"/>
          <w:sz w:val="22"/>
          <w:szCs w:val="22"/>
          <w:lang w:val="en-GB"/>
        </w:rPr>
        <w:t xml:space="preserve">by creditors </w:t>
      </w:r>
      <w:r w:rsidR="00C7195D">
        <w:rPr>
          <w:rFonts w:ascii="Avenir Next" w:hAnsi="Avenir Next" w:cs="Arial"/>
          <w:color w:val="808080" w:themeColor="background1" w:themeShade="80"/>
          <w:sz w:val="22"/>
          <w:szCs w:val="22"/>
          <w:lang w:val="en-GB"/>
        </w:rPr>
        <w:t>in accordance with</w:t>
      </w:r>
      <w:r w:rsidR="005721E7">
        <w:rPr>
          <w:rFonts w:ascii="Avenir Next" w:hAnsi="Avenir Next" w:cs="Arial"/>
          <w:color w:val="808080" w:themeColor="background1" w:themeShade="80"/>
          <w:sz w:val="22"/>
          <w:szCs w:val="22"/>
          <w:lang w:val="en-GB"/>
        </w:rPr>
        <w:t xml:space="preserve"> </w:t>
      </w:r>
      <w:r w:rsidR="00932FA0">
        <w:rPr>
          <w:rFonts w:ascii="Avenir Next" w:hAnsi="Avenir Next" w:cs="Arial"/>
          <w:color w:val="808080" w:themeColor="background1" w:themeShade="80"/>
          <w:sz w:val="22"/>
          <w:szCs w:val="22"/>
          <w:lang w:val="en-GB"/>
        </w:rPr>
        <w:t xml:space="preserve">various </w:t>
      </w:r>
      <w:r w:rsidR="005721E7">
        <w:rPr>
          <w:rFonts w:ascii="Avenir Next" w:hAnsi="Avenir Next" w:cs="Arial"/>
          <w:color w:val="808080" w:themeColor="background1" w:themeShade="80"/>
          <w:sz w:val="22"/>
          <w:szCs w:val="22"/>
          <w:lang w:val="en-GB"/>
        </w:rPr>
        <w:t>domesti</w:t>
      </w:r>
      <w:r w:rsidR="00C7195D">
        <w:rPr>
          <w:rFonts w:ascii="Avenir Next" w:hAnsi="Avenir Next" w:cs="Arial"/>
          <w:color w:val="808080" w:themeColor="background1" w:themeShade="80"/>
          <w:sz w:val="22"/>
          <w:szCs w:val="22"/>
          <w:lang w:val="en-GB"/>
        </w:rPr>
        <w:t>c</w:t>
      </w:r>
      <w:r w:rsidR="005721E7">
        <w:rPr>
          <w:rFonts w:ascii="Avenir Next" w:hAnsi="Avenir Next" w:cs="Arial"/>
          <w:color w:val="808080" w:themeColor="background1" w:themeShade="80"/>
          <w:sz w:val="22"/>
          <w:szCs w:val="22"/>
          <w:lang w:val="en-GB"/>
        </w:rPr>
        <w:t xml:space="preserve"> laws</w:t>
      </w:r>
      <w:r w:rsidR="00C7195D">
        <w:rPr>
          <w:rFonts w:ascii="Avenir Next" w:hAnsi="Avenir Next" w:cs="Arial"/>
          <w:color w:val="808080" w:themeColor="background1" w:themeShade="80"/>
          <w:sz w:val="22"/>
          <w:szCs w:val="22"/>
          <w:lang w:val="en-GB"/>
        </w:rPr>
        <w:t xml:space="preserve">, i.e. </w:t>
      </w:r>
      <w:r w:rsidR="00D1188B">
        <w:rPr>
          <w:rFonts w:ascii="Avenir Next" w:hAnsi="Avenir Next" w:cs="Arial"/>
          <w:color w:val="808080" w:themeColor="background1" w:themeShade="80"/>
          <w:sz w:val="22"/>
          <w:szCs w:val="22"/>
          <w:lang w:val="en-GB"/>
        </w:rPr>
        <w:t xml:space="preserve">in each </w:t>
      </w:r>
      <w:r w:rsidR="00240ED7">
        <w:rPr>
          <w:rFonts w:ascii="Avenir Next" w:hAnsi="Avenir Next" w:cs="Arial"/>
          <w:color w:val="808080" w:themeColor="background1" w:themeShade="80"/>
          <w:sz w:val="22"/>
          <w:szCs w:val="22"/>
          <w:lang w:val="en-GB"/>
        </w:rPr>
        <w:t>jurisdiction in which the debtor has assets</w:t>
      </w:r>
      <w:r w:rsidR="00C7195D">
        <w:rPr>
          <w:rFonts w:ascii="Avenir Next" w:hAnsi="Avenir Next" w:cs="Arial"/>
          <w:color w:val="808080" w:themeColor="background1" w:themeShade="80"/>
          <w:sz w:val="22"/>
          <w:szCs w:val="22"/>
          <w:lang w:val="en-GB"/>
        </w:rPr>
        <w:t>,</w:t>
      </w:r>
      <w:r w:rsidR="00240ED7">
        <w:rPr>
          <w:rFonts w:ascii="Avenir Next" w:hAnsi="Avenir Next" w:cs="Arial"/>
          <w:color w:val="808080" w:themeColor="background1" w:themeShade="80"/>
          <w:sz w:val="22"/>
          <w:szCs w:val="22"/>
          <w:lang w:val="en-GB"/>
        </w:rPr>
        <w:t xml:space="preserve"> </w:t>
      </w:r>
      <w:r w:rsidR="00BF19D0">
        <w:rPr>
          <w:rFonts w:ascii="Avenir Next" w:hAnsi="Avenir Next" w:cs="Arial"/>
          <w:color w:val="808080" w:themeColor="background1" w:themeShade="80"/>
          <w:sz w:val="22"/>
          <w:szCs w:val="22"/>
          <w:lang w:val="en-GB"/>
        </w:rPr>
        <w:t xml:space="preserve">and that those proceedings </w:t>
      </w:r>
      <w:r w:rsidR="00A94281">
        <w:rPr>
          <w:rFonts w:ascii="Avenir Next" w:hAnsi="Avenir Next" w:cs="Arial"/>
          <w:color w:val="808080" w:themeColor="background1" w:themeShade="80"/>
          <w:sz w:val="22"/>
          <w:szCs w:val="22"/>
          <w:lang w:val="en-GB"/>
        </w:rPr>
        <w:t>are</w:t>
      </w:r>
      <w:r w:rsidR="00BF19D0">
        <w:rPr>
          <w:rFonts w:ascii="Avenir Next" w:hAnsi="Avenir Next" w:cs="Arial"/>
          <w:color w:val="808080" w:themeColor="background1" w:themeShade="80"/>
          <w:sz w:val="22"/>
          <w:szCs w:val="22"/>
          <w:lang w:val="en-GB"/>
        </w:rPr>
        <w:t xml:space="preserve"> territorially limited </w:t>
      </w:r>
      <w:r w:rsidR="00DD77AF">
        <w:rPr>
          <w:rFonts w:ascii="Avenir Next" w:hAnsi="Avenir Next" w:cs="Arial"/>
          <w:color w:val="808080" w:themeColor="background1" w:themeShade="80"/>
          <w:sz w:val="22"/>
          <w:szCs w:val="22"/>
          <w:lang w:val="en-GB"/>
        </w:rPr>
        <w:t>in terms of dealing with the assets</w:t>
      </w:r>
      <w:r w:rsidR="00A94281">
        <w:rPr>
          <w:rFonts w:ascii="Avenir Next" w:hAnsi="Avenir Next" w:cs="Arial"/>
          <w:color w:val="808080" w:themeColor="background1" w:themeShade="80"/>
          <w:sz w:val="22"/>
          <w:szCs w:val="22"/>
          <w:lang w:val="en-GB"/>
        </w:rPr>
        <w:t xml:space="preserve"> in a liquidation</w:t>
      </w:r>
      <w:r w:rsidR="00DD77AF">
        <w:rPr>
          <w:rFonts w:ascii="Avenir Next" w:hAnsi="Avenir Next" w:cs="Arial"/>
          <w:color w:val="808080" w:themeColor="background1" w:themeShade="80"/>
          <w:sz w:val="22"/>
          <w:szCs w:val="22"/>
          <w:lang w:val="en-GB"/>
        </w:rPr>
        <w:t>.</w:t>
      </w:r>
      <w:r w:rsidR="00A94281">
        <w:rPr>
          <w:rFonts w:ascii="Avenir Next" w:hAnsi="Avenir Next" w:cs="Arial"/>
          <w:color w:val="808080" w:themeColor="background1" w:themeShade="80"/>
          <w:sz w:val="22"/>
          <w:szCs w:val="22"/>
          <w:lang w:val="en-GB"/>
        </w:rPr>
        <w:t xml:space="preserve"> </w:t>
      </w:r>
      <w:r w:rsidR="001D31AD">
        <w:rPr>
          <w:rFonts w:ascii="Avenir Next" w:hAnsi="Avenir Next" w:cs="Arial"/>
          <w:color w:val="808080" w:themeColor="background1" w:themeShade="80"/>
          <w:sz w:val="22"/>
          <w:szCs w:val="22"/>
          <w:lang w:val="en-GB"/>
        </w:rPr>
        <w:t>Territorialism</w:t>
      </w:r>
      <w:r w:rsidR="001D31AD" w:rsidRPr="001D31AD">
        <w:rPr>
          <w:rFonts w:ascii="Avenir Next" w:hAnsi="Avenir Next" w:cs="Arial"/>
          <w:color w:val="808080" w:themeColor="background1" w:themeShade="80"/>
          <w:sz w:val="22"/>
          <w:szCs w:val="22"/>
          <w:lang w:val="en-GB"/>
        </w:rPr>
        <w:t xml:space="preserve"> </w:t>
      </w:r>
      <w:r w:rsidR="001D31AD">
        <w:rPr>
          <w:rFonts w:ascii="Avenir Next" w:hAnsi="Avenir Next" w:cs="Arial"/>
          <w:color w:val="808080" w:themeColor="background1" w:themeShade="80"/>
          <w:sz w:val="22"/>
          <w:szCs w:val="22"/>
          <w:lang w:val="en-GB"/>
        </w:rPr>
        <w:t xml:space="preserve">envisages </w:t>
      </w:r>
      <w:r w:rsidR="001D31AD" w:rsidRPr="001D31AD">
        <w:rPr>
          <w:rFonts w:ascii="Avenir Next" w:hAnsi="Avenir Next" w:cs="Arial"/>
          <w:color w:val="808080" w:themeColor="background1" w:themeShade="80"/>
          <w:sz w:val="22"/>
          <w:szCs w:val="22"/>
          <w:lang w:val="en-GB"/>
        </w:rPr>
        <w:t xml:space="preserve">an officeholder </w:t>
      </w:r>
      <w:r w:rsidR="001D31AD">
        <w:rPr>
          <w:rFonts w:ascii="Avenir Next" w:hAnsi="Avenir Next" w:cs="Arial"/>
          <w:color w:val="808080" w:themeColor="background1" w:themeShade="80"/>
          <w:sz w:val="22"/>
          <w:szCs w:val="22"/>
          <w:lang w:val="en-GB"/>
        </w:rPr>
        <w:t xml:space="preserve">being </w:t>
      </w:r>
      <w:r w:rsidR="001D31AD" w:rsidRPr="001D31AD">
        <w:rPr>
          <w:rFonts w:ascii="Avenir Next" w:hAnsi="Avenir Next" w:cs="Arial"/>
          <w:color w:val="808080" w:themeColor="background1" w:themeShade="80"/>
          <w:sz w:val="22"/>
          <w:szCs w:val="22"/>
          <w:lang w:val="en-GB"/>
        </w:rPr>
        <w:t>appointed in each jurisdiction to consider and deal only with assets / rights / liabilities, etc. in that jurisdiction. Accordingly, foreign creditors (with qualifying interests / rights) would potentially need to seek recourse in various jurisdictions, depending on where the relevant asset / insolvency proceeding was taking place, and could end up in a situation where they are pursuing a claim against a debtor (with entities in different jurisdictions) considered insolvent in one jurisdiction but not in another</w:t>
      </w:r>
      <w:r w:rsidR="001D31AD">
        <w:rPr>
          <w:rFonts w:ascii="Avenir Next" w:hAnsi="Avenir Next" w:cs="Arial"/>
          <w:color w:val="808080" w:themeColor="background1" w:themeShade="80"/>
          <w:sz w:val="22"/>
          <w:szCs w:val="22"/>
          <w:lang w:val="en-GB"/>
        </w:rPr>
        <w:t xml:space="preserve"> – which may create issues with recognition and effect (of foreign proceedings)</w:t>
      </w:r>
      <w:r w:rsidR="001D31AD" w:rsidRPr="001D31AD">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 xml:space="preserve">in </w:t>
      </w:r>
      <w:r w:rsidRPr="0069790A">
        <w:rPr>
          <w:rFonts w:ascii="Avenir Next" w:hAnsi="Avenir Next" w:cs="Arial"/>
          <w:sz w:val="22"/>
          <w:szCs w:val="22"/>
          <w:lang w:val="en-GB"/>
        </w:rPr>
        <w:t xml:space="preserve">Latin </w:t>
      </w:r>
      <w:r w:rsidRPr="005F4DB6">
        <w:rPr>
          <w:rFonts w:ascii="Avenir Next" w:hAnsi="Avenir Next" w:cs="Arial"/>
          <w:sz w:val="22"/>
          <w:szCs w:val="22"/>
          <w:lang w:val="en-GB"/>
        </w:rPr>
        <w:t>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085F2C93" w:rsidR="00DA42DA" w:rsidRDefault="00002D7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Latin American </w:t>
      </w:r>
      <w:r w:rsidR="009350D5">
        <w:rPr>
          <w:rFonts w:ascii="Avenir Next" w:hAnsi="Avenir Next" w:cs="Arial"/>
          <w:color w:val="808080" w:themeColor="background1" w:themeShade="80"/>
          <w:sz w:val="22"/>
          <w:szCs w:val="22"/>
          <w:lang w:val="en-GB"/>
        </w:rPr>
        <w:t xml:space="preserve">initiatives taken to address </w:t>
      </w:r>
      <w:r w:rsidR="009350D5" w:rsidRPr="009350D5">
        <w:rPr>
          <w:rFonts w:ascii="Avenir Next" w:hAnsi="Avenir Next" w:cs="Arial"/>
          <w:color w:val="808080" w:themeColor="background1" w:themeShade="80"/>
          <w:sz w:val="22"/>
          <w:szCs w:val="22"/>
          <w:lang w:val="en-GB"/>
        </w:rPr>
        <w:t>international insolvency issues</w:t>
      </w:r>
      <w:r w:rsidR="009350D5">
        <w:rPr>
          <w:rFonts w:ascii="Avenir Next" w:hAnsi="Avenir Next" w:cs="Arial"/>
          <w:color w:val="808080" w:themeColor="background1" w:themeShade="80"/>
          <w:sz w:val="22"/>
          <w:szCs w:val="22"/>
          <w:lang w:val="en-GB"/>
        </w:rPr>
        <w:t xml:space="preserve"> include the following: </w:t>
      </w:r>
    </w:p>
    <w:p w14:paraId="5CA8A7CC" w14:textId="77777777" w:rsidR="009350D5" w:rsidRDefault="009350D5" w:rsidP="00DA42DA">
      <w:pPr>
        <w:jc w:val="both"/>
        <w:rPr>
          <w:rFonts w:ascii="Avenir Next" w:hAnsi="Avenir Next" w:cs="Arial"/>
          <w:color w:val="808080" w:themeColor="background1" w:themeShade="80"/>
          <w:sz w:val="22"/>
          <w:szCs w:val="22"/>
          <w:lang w:val="en-GB"/>
        </w:rPr>
      </w:pPr>
    </w:p>
    <w:p w14:paraId="583509A2" w14:textId="189A1EBA" w:rsidR="0094193A" w:rsidRDefault="00236E8F" w:rsidP="00805BE2">
      <w:pPr>
        <w:pStyle w:val="ListParagraph"/>
        <w:numPr>
          <w:ilvl w:val="0"/>
          <w:numId w:val="36"/>
        </w:numPr>
        <w:jc w:val="both"/>
        <w:rPr>
          <w:rFonts w:ascii="Avenir Next" w:hAnsi="Avenir Next" w:cs="Arial"/>
          <w:color w:val="808080" w:themeColor="background1" w:themeShade="80"/>
          <w:sz w:val="22"/>
          <w:szCs w:val="22"/>
          <w:lang w:val="en-GB"/>
        </w:rPr>
      </w:pPr>
      <w:r w:rsidRPr="0094193A">
        <w:rPr>
          <w:rFonts w:ascii="Avenir Next" w:hAnsi="Avenir Next" w:cs="Arial"/>
          <w:color w:val="808080" w:themeColor="background1" w:themeShade="80"/>
          <w:sz w:val="22"/>
          <w:szCs w:val="22"/>
          <w:lang w:val="en-GB"/>
        </w:rPr>
        <w:t>Montevideo Treaty on International Commercial Law (188</w:t>
      </w:r>
      <w:r w:rsidR="00D33E53" w:rsidRPr="0094193A">
        <w:rPr>
          <w:rFonts w:ascii="Avenir Next" w:hAnsi="Avenir Next" w:cs="Arial"/>
          <w:color w:val="808080" w:themeColor="background1" w:themeShade="80"/>
          <w:sz w:val="22"/>
          <w:szCs w:val="22"/>
          <w:lang w:val="en-GB"/>
        </w:rPr>
        <w:t>9)</w:t>
      </w:r>
      <w:r w:rsidR="0094193A" w:rsidRPr="0094193A">
        <w:rPr>
          <w:rFonts w:ascii="Avenir Next" w:hAnsi="Avenir Next" w:cs="Arial"/>
          <w:color w:val="808080" w:themeColor="background1" w:themeShade="80"/>
          <w:sz w:val="22"/>
          <w:szCs w:val="22"/>
          <w:lang w:val="en-GB"/>
        </w:rPr>
        <w:t xml:space="preserve"> (</w:t>
      </w:r>
      <w:r w:rsidR="0094193A" w:rsidRPr="0094193A">
        <w:rPr>
          <w:rFonts w:ascii="Avenir Next" w:hAnsi="Avenir Next" w:cs="Arial"/>
          <w:b/>
          <w:bCs/>
          <w:color w:val="808080" w:themeColor="background1" w:themeShade="80"/>
          <w:sz w:val="22"/>
          <w:szCs w:val="22"/>
          <w:lang w:val="en-GB"/>
        </w:rPr>
        <w:t xml:space="preserve">MV </w:t>
      </w:r>
      <w:r w:rsidR="007E5BC0">
        <w:rPr>
          <w:rFonts w:ascii="Avenir Next" w:hAnsi="Avenir Next" w:cs="Arial"/>
          <w:b/>
          <w:bCs/>
          <w:color w:val="808080" w:themeColor="background1" w:themeShade="80"/>
          <w:sz w:val="22"/>
          <w:szCs w:val="22"/>
          <w:lang w:val="en-GB"/>
        </w:rPr>
        <w:t>ICL</w:t>
      </w:r>
      <w:r w:rsidR="0094193A">
        <w:rPr>
          <w:rFonts w:ascii="Avenir Next" w:hAnsi="Avenir Next" w:cs="Arial"/>
          <w:color w:val="808080" w:themeColor="background1" w:themeShade="80"/>
          <w:sz w:val="22"/>
          <w:szCs w:val="22"/>
          <w:lang w:val="en-GB"/>
        </w:rPr>
        <w:t>)</w:t>
      </w:r>
    </w:p>
    <w:p w14:paraId="1C7AA64B" w14:textId="6B997B5E" w:rsidR="00D33E53" w:rsidRPr="0094193A" w:rsidRDefault="0094193A" w:rsidP="00805BE2">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D33E53" w:rsidRPr="0094193A">
        <w:rPr>
          <w:rFonts w:ascii="Avenir Next" w:hAnsi="Avenir Next" w:cs="Arial"/>
          <w:color w:val="808080" w:themeColor="background1" w:themeShade="80"/>
          <w:sz w:val="22"/>
          <w:szCs w:val="22"/>
          <w:lang w:val="en-GB"/>
        </w:rPr>
        <w:t>ontevideo Treaty on International Commercial Terre</w:t>
      </w:r>
      <w:r w:rsidR="00311253" w:rsidRPr="0094193A">
        <w:rPr>
          <w:rFonts w:ascii="Avenir Next" w:hAnsi="Avenir Next" w:cs="Arial"/>
          <w:color w:val="808080" w:themeColor="background1" w:themeShade="80"/>
          <w:sz w:val="22"/>
          <w:szCs w:val="22"/>
          <w:lang w:val="en-GB"/>
        </w:rPr>
        <w:t xml:space="preserve">strial </w:t>
      </w:r>
      <w:r w:rsidR="00D33E53" w:rsidRPr="0094193A">
        <w:rPr>
          <w:rFonts w:ascii="Avenir Next" w:hAnsi="Avenir Next" w:cs="Arial"/>
          <w:color w:val="808080" w:themeColor="background1" w:themeShade="80"/>
          <w:sz w:val="22"/>
          <w:szCs w:val="22"/>
          <w:lang w:val="en-GB"/>
        </w:rPr>
        <w:t>Law</w:t>
      </w:r>
      <w:r w:rsidR="00311253" w:rsidRPr="0094193A">
        <w:rPr>
          <w:rFonts w:ascii="Avenir Next" w:hAnsi="Avenir Next" w:cs="Arial"/>
          <w:color w:val="808080" w:themeColor="background1" w:themeShade="80"/>
          <w:sz w:val="22"/>
          <w:szCs w:val="22"/>
          <w:lang w:val="en-GB"/>
        </w:rPr>
        <w:t xml:space="preserve"> (1940)</w:t>
      </w:r>
      <w:r>
        <w:rPr>
          <w:rFonts w:ascii="Avenir Next" w:hAnsi="Avenir Next" w:cs="Arial"/>
          <w:color w:val="808080" w:themeColor="background1" w:themeShade="80"/>
          <w:sz w:val="22"/>
          <w:szCs w:val="22"/>
          <w:lang w:val="en-GB"/>
        </w:rPr>
        <w:t xml:space="preserve"> (</w:t>
      </w:r>
      <w:r w:rsidRPr="007E5BC0">
        <w:rPr>
          <w:rFonts w:ascii="Avenir Next" w:hAnsi="Avenir Next" w:cs="Arial"/>
          <w:b/>
          <w:bCs/>
          <w:color w:val="808080" w:themeColor="background1" w:themeShade="80"/>
          <w:sz w:val="22"/>
          <w:szCs w:val="22"/>
          <w:lang w:val="en-GB"/>
        </w:rPr>
        <w:t>MV</w:t>
      </w:r>
      <w:r w:rsidR="007E5BC0" w:rsidRPr="007E5BC0">
        <w:rPr>
          <w:rFonts w:ascii="Avenir Next" w:hAnsi="Avenir Next" w:cs="Arial"/>
          <w:b/>
          <w:bCs/>
          <w:color w:val="808080" w:themeColor="background1" w:themeShade="80"/>
          <w:sz w:val="22"/>
          <w:szCs w:val="22"/>
          <w:lang w:val="en-GB"/>
        </w:rPr>
        <w:t xml:space="preserve"> CTL</w:t>
      </w:r>
      <w:r w:rsidR="007E5BC0">
        <w:rPr>
          <w:rFonts w:ascii="Avenir Next" w:hAnsi="Avenir Next" w:cs="Arial"/>
          <w:color w:val="808080" w:themeColor="background1" w:themeShade="80"/>
          <w:sz w:val="22"/>
          <w:szCs w:val="22"/>
          <w:lang w:val="en-GB"/>
        </w:rPr>
        <w:t>)</w:t>
      </w:r>
    </w:p>
    <w:p w14:paraId="3147D007" w14:textId="1E33BF5A" w:rsidR="00311253" w:rsidRDefault="00311253" w:rsidP="00311253">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Montevideo Treaty on International </w:t>
      </w:r>
      <w:r w:rsidR="00C2345D">
        <w:rPr>
          <w:rFonts w:ascii="Avenir Next" w:hAnsi="Avenir Next" w:cs="Arial"/>
          <w:color w:val="808080" w:themeColor="background1" w:themeShade="80"/>
          <w:sz w:val="22"/>
          <w:szCs w:val="22"/>
          <w:lang w:val="en-GB"/>
        </w:rPr>
        <w:t>Procedural</w:t>
      </w:r>
      <w:r>
        <w:rPr>
          <w:rFonts w:ascii="Avenir Next" w:hAnsi="Avenir Next" w:cs="Arial"/>
          <w:color w:val="808080" w:themeColor="background1" w:themeShade="80"/>
          <w:sz w:val="22"/>
          <w:szCs w:val="22"/>
          <w:lang w:val="en-GB"/>
        </w:rPr>
        <w:t xml:space="preserve"> Law (1940)</w:t>
      </w:r>
      <w:r w:rsidR="007E5BC0">
        <w:rPr>
          <w:rFonts w:ascii="Avenir Next" w:hAnsi="Avenir Next" w:cs="Arial"/>
          <w:color w:val="808080" w:themeColor="background1" w:themeShade="80"/>
          <w:sz w:val="22"/>
          <w:szCs w:val="22"/>
          <w:lang w:val="en-GB"/>
        </w:rPr>
        <w:t xml:space="preserve"> (</w:t>
      </w:r>
      <w:r w:rsidR="007E5BC0" w:rsidRPr="007E5BC0">
        <w:rPr>
          <w:rFonts w:ascii="Avenir Next" w:hAnsi="Avenir Next" w:cs="Arial"/>
          <w:b/>
          <w:bCs/>
          <w:color w:val="808080" w:themeColor="background1" w:themeShade="80"/>
          <w:sz w:val="22"/>
          <w:szCs w:val="22"/>
          <w:lang w:val="en-GB"/>
        </w:rPr>
        <w:t>MV IPL</w:t>
      </w:r>
      <w:r w:rsidR="007E5BC0">
        <w:rPr>
          <w:rFonts w:ascii="Avenir Next" w:hAnsi="Avenir Next" w:cs="Arial"/>
          <w:color w:val="808080" w:themeColor="background1" w:themeShade="80"/>
          <w:sz w:val="22"/>
          <w:szCs w:val="22"/>
          <w:lang w:val="en-GB"/>
        </w:rPr>
        <w:t>)</w:t>
      </w:r>
    </w:p>
    <w:p w14:paraId="61D10B26" w14:textId="413AA2D3" w:rsidR="00843867" w:rsidRDefault="00843867" w:rsidP="00843867">
      <w:pPr>
        <w:pStyle w:val="ListParagraph"/>
        <w:ind w:left="4320"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(together, the </w:t>
      </w:r>
      <w:r w:rsidRPr="00843867">
        <w:rPr>
          <w:rFonts w:ascii="Avenir Next" w:hAnsi="Avenir Next" w:cs="Arial"/>
          <w:b/>
          <w:bCs/>
          <w:color w:val="808080" w:themeColor="background1" w:themeShade="80"/>
          <w:sz w:val="22"/>
          <w:szCs w:val="22"/>
          <w:lang w:val="en-GB"/>
        </w:rPr>
        <w:t>MV Treaties</w:t>
      </w:r>
      <w:r>
        <w:rPr>
          <w:rFonts w:ascii="Avenir Next" w:hAnsi="Avenir Next" w:cs="Arial"/>
          <w:color w:val="808080" w:themeColor="background1" w:themeShade="80"/>
          <w:sz w:val="22"/>
          <w:szCs w:val="22"/>
          <w:lang w:val="en-GB"/>
        </w:rPr>
        <w:t>)</w:t>
      </w:r>
    </w:p>
    <w:p w14:paraId="1AC82C4F" w14:textId="2C1575E0" w:rsidR="00311253" w:rsidRDefault="00C2345D" w:rsidP="009350D5">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Havana Convention on Private International Law </w:t>
      </w:r>
      <w:r w:rsidR="00885518">
        <w:rPr>
          <w:rFonts w:ascii="Avenir Next" w:hAnsi="Avenir Next" w:cs="Arial"/>
          <w:color w:val="808080" w:themeColor="background1" w:themeShade="80"/>
          <w:sz w:val="22"/>
          <w:szCs w:val="22"/>
          <w:lang w:val="en-GB"/>
        </w:rPr>
        <w:t>(1928)</w:t>
      </w:r>
      <w:r w:rsidR="007E5BC0">
        <w:rPr>
          <w:rFonts w:ascii="Avenir Next" w:hAnsi="Avenir Next" w:cs="Arial"/>
          <w:color w:val="808080" w:themeColor="background1" w:themeShade="80"/>
          <w:sz w:val="22"/>
          <w:szCs w:val="22"/>
          <w:lang w:val="en-GB"/>
        </w:rPr>
        <w:t xml:space="preserve"> (the </w:t>
      </w:r>
      <w:r w:rsidR="007E5BC0" w:rsidRPr="007E5BC0">
        <w:rPr>
          <w:rFonts w:ascii="Avenir Next" w:hAnsi="Avenir Next" w:cs="Arial"/>
          <w:b/>
          <w:bCs/>
          <w:color w:val="808080" w:themeColor="background1" w:themeShade="80"/>
          <w:sz w:val="22"/>
          <w:szCs w:val="22"/>
          <w:lang w:val="en-GB"/>
        </w:rPr>
        <w:t>Bustamante Code</w:t>
      </w:r>
      <w:r w:rsidR="007E5BC0">
        <w:rPr>
          <w:rFonts w:ascii="Avenir Next" w:hAnsi="Avenir Next" w:cs="Arial"/>
          <w:color w:val="808080" w:themeColor="background1" w:themeShade="80"/>
          <w:sz w:val="22"/>
          <w:szCs w:val="22"/>
          <w:lang w:val="en-GB"/>
        </w:rPr>
        <w:t>)</w:t>
      </w:r>
    </w:p>
    <w:p w14:paraId="7EBC8F78" w14:textId="77777777" w:rsidR="0069790A" w:rsidRDefault="0069790A" w:rsidP="0050741E">
      <w:pPr>
        <w:jc w:val="both"/>
        <w:rPr>
          <w:rFonts w:ascii="Avenir Next" w:hAnsi="Avenir Next" w:cs="Arial"/>
          <w:color w:val="808080" w:themeColor="background1" w:themeShade="80"/>
          <w:sz w:val="22"/>
          <w:szCs w:val="22"/>
          <w:lang w:val="en-GB"/>
        </w:rPr>
      </w:pPr>
    </w:p>
    <w:p w14:paraId="2A114B7B" w14:textId="77777777" w:rsidR="003D03BF" w:rsidRDefault="00FA6F53" w:rsidP="005074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E42770">
        <w:rPr>
          <w:rFonts w:ascii="Avenir Next" w:hAnsi="Avenir Next" w:cs="Arial"/>
          <w:color w:val="808080" w:themeColor="background1" w:themeShade="80"/>
          <w:sz w:val="22"/>
          <w:szCs w:val="22"/>
          <w:lang w:val="en-GB"/>
        </w:rPr>
        <w:t xml:space="preserve">MV </w:t>
      </w:r>
      <w:r w:rsidR="00E42770" w:rsidRPr="00F53254">
        <w:rPr>
          <w:rFonts w:ascii="Avenir Next" w:hAnsi="Avenir Next" w:cs="Arial"/>
          <w:color w:val="808080" w:themeColor="background1" w:themeShade="80"/>
          <w:sz w:val="22"/>
          <w:szCs w:val="22"/>
          <w:lang w:val="en-GB"/>
        </w:rPr>
        <w:t xml:space="preserve">ICL deals with personal and corporate </w:t>
      </w:r>
      <w:r w:rsidR="00F903E6" w:rsidRPr="00F53254">
        <w:rPr>
          <w:rFonts w:ascii="Avenir Next" w:hAnsi="Avenir Next" w:cs="Arial"/>
          <w:color w:val="808080" w:themeColor="background1" w:themeShade="80"/>
          <w:sz w:val="22"/>
          <w:szCs w:val="22"/>
          <w:lang w:val="en-GB"/>
        </w:rPr>
        <w:t>“</w:t>
      </w:r>
      <w:r w:rsidR="00E42770" w:rsidRPr="00F53254">
        <w:rPr>
          <w:rFonts w:ascii="Avenir Next" w:hAnsi="Avenir Next" w:cs="Arial"/>
          <w:i/>
          <w:iCs/>
          <w:color w:val="808080" w:themeColor="background1" w:themeShade="80"/>
          <w:sz w:val="22"/>
          <w:szCs w:val="22"/>
          <w:lang w:val="en-GB"/>
        </w:rPr>
        <w:t>insolvency</w:t>
      </w:r>
      <w:r w:rsidR="00F903E6" w:rsidRPr="00F53254">
        <w:rPr>
          <w:rFonts w:ascii="Avenir Next" w:hAnsi="Avenir Next" w:cs="Arial"/>
          <w:color w:val="808080" w:themeColor="background1" w:themeShade="80"/>
          <w:sz w:val="22"/>
          <w:szCs w:val="22"/>
          <w:lang w:val="en-GB"/>
        </w:rPr>
        <w:t>”</w:t>
      </w:r>
      <w:r w:rsidR="00E42770" w:rsidRPr="00F53254">
        <w:rPr>
          <w:rFonts w:ascii="Avenir Next" w:hAnsi="Avenir Next" w:cs="Arial"/>
          <w:color w:val="808080" w:themeColor="background1" w:themeShade="80"/>
          <w:sz w:val="22"/>
          <w:szCs w:val="22"/>
          <w:lang w:val="en-GB"/>
        </w:rPr>
        <w:t>.</w:t>
      </w:r>
      <w:r w:rsidR="00F65DF8">
        <w:rPr>
          <w:rStyle w:val="FootnoteReference"/>
          <w:rFonts w:ascii="Avenir Next" w:hAnsi="Avenir Next" w:cs="Arial"/>
          <w:color w:val="808080" w:themeColor="background1" w:themeShade="80"/>
          <w:sz w:val="22"/>
          <w:szCs w:val="22"/>
          <w:lang w:val="en-GB"/>
        </w:rPr>
        <w:footnoteReference w:id="2"/>
      </w:r>
      <w:r w:rsidR="00F65DF8" w:rsidRPr="00F53254">
        <w:rPr>
          <w:rFonts w:ascii="Avenir Next" w:hAnsi="Avenir Next" w:cs="Arial"/>
          <w:color w:val="808080" w:themeColor="background1" w:themeShade="80"/>
          <w:sz w:val="22"/>
          <w:szCs w:val="22"/>
          <w:lang w:val="en-GB"/>
        </w:rPr>
        <w:t xml:space="preserve"> </w:t>
      </w:r>
      <w:r w:rsidR="00E42770" w:rsidRPr="00F53254">
        <w:rPr>
          <w:rFonts w:ascii="Avenir Next" w:hAnsi="Avenir Next" w:cs="Arial"/>
          <w:color w:val="808080" w:themeColor="background1" w:themeShade="80"/>
          <w:sz w:val="22"/>
          <w:szCs w:val="22"/>
          <w:lang w:val="en-GB"/>
        </w:rPr>
        <w:t xml:space="preserve"> The </w:t>
      </w:r>
      <w:r w:rsidR="00DA5849" w:rsidRPr="00F53254">
        <w:rPr>
          <w:rFonts w:ascii="Avenir Next" w:hAnsi="Avenir Next" w:cs="Arial"/>
          <w:color w:val="808080" w:themeColor="background1" w:themeShade="80"/>
          <w:sz w:val="22"/>
          <w:szCs w:val="22"/>
          <w:lang w:val="en-GB"/>
        </w:rPr>
        <w:t xml:space="preserve">MV CTL contains </w:t>
      </w:r>
      <w:r w:rsidR="00EB6736" w:rsidRPr="00F53254">
        <w:rPr>
          <w:rFonts w:ascii="Avenir Next" w:hAnsi="Avenir Next" w:cs="Arial"/>
          <w:color w:val="808080" w:themeColor="background1" w:themeShade="80"/>
          <w:sz w:val="22"/>
          <w:szCs w:val="22"/>
          <w:lang w:val="en-GB"/>
        </w:rPr>
        <w:t xml:space="preserve">a section on </w:t>
      </w:r>
      <w:r w:rsidR="00F903E6" w:rsidRPr="00F53254">
        <w:rPr>
          <w:rFonts w:ascii="Avenir Next" w:hAnsi="Avenir Next" w:cs="Arial"/>
          <w:color w:val="808080" w:themeColor="background1" w:themeShade="80"/>
          <w:sz w:val="22"/>
          <w:szCs w:val="22"/>
          <w:lang w:val="en-GB"/>
        </w:rPr>
        <w:t>“</w:t>
      </w:r>
      <w:r w:rsidR="00EB6736" w:rsidRPr="00F53254">
        <w:rPr>
          <w:rFonts w:ascii="Avenir Next" w:hAnsi="Avenir Next" w:cs="Arial"/>
          <w:i/>
          <w:iCs/>
          <w:color w:val="808080" w:themeColor="background1" w:themeShade="80"/>
          <w:sz w:val="22"/>
          <w:szCs w:val="22"/>
          <w:lang w:val="en-GB"/>
        </w:rPr>
        <w:t>bankruptcy</w:t>
      </w:r>
      <w:r w:rsidR="00F903E6" w:rsidRPr="00F53254">
        <w:rPr>
          <w:rFonts w:ascii="Avenir Next" w:hAnsi="Avenir Next" w:cs="Arial"/>
          <w:color w:val="808080" w:themeColor="background1" w:themeShade="80"/>
          <w:sz w:val="22"/>
          <w:szCs w:val="22"/>
          <w:lang w:val="en-GB"/>
        </w:rPr>
        <w:t>”</w:t>
      </w:r>
      <w:r w:rsidR="00031012">
        <w:rPr>
          <w:rFonts w:ascii="Avenir Next" w:hAnsi="Avenir Next" w:cs="Arial"/>
          <w:color w:val="808080" w:themeColor="background1" w:themeShade="80"/>
          <w:sz w:val="22"/>
          <w:szCs w:val="22"/>
          <w:lang w:val="en-GB"/>
        </w:rPr>
        <w:t>.</w:t>
      </w:r>
      <w:r w:rsidR="00910CD3">
        <w:rPr>
          <w:rStyle w:val="FootnoteReference"/>
          <w:rFonts w:ascii="Avenir Next" w:hAnsi="Avenir Next" w:cs="Arial"/>
          <w:color w:val="808080" w:themeColor="background1" w:themeShade="80"/>
          <w:sz w:val="22"/>
          <w:szCs w:val="22"/>
          <w:lang w:val="en-GB"/>
        </w:rPr>
        <w:footnoteReference w:id="3"/>
      </w:r>
      <w:r w:rsidR="00910CD3" w:rsidRPr="00F53254">
        <w:rPr>
          <w:rFonts w:ascii="Avenir Next" w:hAnsi="Avenir Next" w:cs="Arial"/>
          <w:color w:val="808080" w:themeColor="background1" w:themeShade="80"/>
          <w:sz w:val="22"/>
          <w:szCs w:val="22"/>
          <w:lang w:val="en-GB"/>
        </w:rPr>
        <w:t xml:space="preserve"> </w:t>
      </w:r>
      <w:r w:rsidR="00B84999" w:rsidRPr="00F53254">
        <w:rPr>
          <w:rFonts w:ascii="Avenir Next" w:hAnsi="Avenir Next" w:cs="Arial"/>
          <w:color w:val="808080" w:themeColor="background1" w:themeShade="80"/>
          <w:sz w:val="22"/>
          <w:szCs w:val="22"/>
          <w:lang w:val="en-GB"/>
        </w:rPr>
        <w:t>T</w:t>
      </w:r>
      <w:r w:rsidR="00EB6736" w:rsidRPr="00F53254">
        <w:rPr>
          <w:rFonts w:ascii="Avenir Next" w:hAnsi="Avenir Next" w:cs="Arial"/>
          <w:color w:val="808080" w:themeColor="background1" w:themeShade="80"/>
          <w:sz w:val="22"/>
          <w:szCs w:val="22"/>
          <w:lang w:val="en-GB"/>
        </w:rPr>
        <w:t>he MV IPL contains a section on creditors’ meetings.</w:t>
      </w:r>
      <w:r w:rsidR="00031012">
        <w:rPr>
          <w:rStyle w:val="FootnoteReference"/>
          <w:rFonts w:ascii="Avenir Next" w:hAnsi="Avenir Next" w:cs="Arial"/>
          <w:color w:val="808080" w:themeColor="background1" w:themeShade="80"/>
          <w:sz w:val="22"/>
          <w:szCs w:val="22"/>
          <w:lang w:val="en-GB"/>
        </w:rPr>
        <w:footnoteReference w:id="4"/>
      </w:r>
      <w:r w:rsidR="00EB6736">
        <w:rPr>
          <w:rFonts w:ascii="Avenir Next" w:hAnsi="Avenir Next" w:cs="Arial"/>
          <w:color w:val="808080" w:themeColor="background1" w:themeShade="80"/>
          <w:sz w:val="22"/>
          <w:szCs w:val="22"/>
          <w:lang w:val="en-GB"/>
        </w:rPr>
        <w:t xml:space="preserve"> </w:t>
      </w:r>
      <w:r w:rsidR="00943678">
        <w:rPr>
          <w:rFonts w:ascii="Avenir Next" w:hAnsi="Avenir Next" w:cs="Arial"/>
          <w:color w:val="808080" w:themeColor="background1" w:themeShade="80"/>
          <w:sz w:val="22"/>
          <w:szCs w:val="22"/>
          <w:lang w:val="en-GB"/>
        </w:rPr>
        <w:t>One of the primary differences between those initiatives is that n</w:t>
      </w:r>
      <w:r w:rsidR="009B6EE8">
        <w:rPr>
          <w:rFonts w:ascii="Avenir Next" w:hAnsi="Avenir Next" w:cs="Arial"/>
          <w:color w:val="808080" w:themeColor="background1" w:themeShade="80"/>
          <w:sz w:val="22"/>
          <w:szCs w:val="22"/>
          <w:lang w:val="en-GB"/>
        </w:rPr>
        <w:t xml:space="preserve">ot all </w:t>
      </w:r>
      <w:r w:rsidR="00F53254">
        <w:rPr>
          <w:rFonts w:ascii="Avenir Next" w:hAnsi="Avenir Next" w:cs="Arial"/>
          <w:color w:val="808080" w:themeColor="background1" w:themeShade="80"/>
          <w:sz w:val="22"/>
          <w:szCs w:val="22"/>
          <w:lang w:val="en-GB"/>
        </w:rPr>
        <w:t xml:space="preserve">Latin American </w:t>
      </w:r>
      <w:r w:rsidR="007271A8">
        <w:rPr>
          <w:rFonts w:ascii="Avenir Next" w:hAnsi="Avenir Next" w:cs="Arial"/>
          <w:color w:val="808080" w:themeColor="background1" w:themeShade="80"/>
          <w:sz w:val="22"/>
          <w:szCs w:val="22"/>
          <w:lang w:val="en-GB"/>
        </w:rPr>
        <w:t>countries</w:t>
      </w:r>
      <w:r w:rsidR="00F53254">
        <w:rPr>
          <w:rFonts w:ascii="Avenir Next" w:hAnsi="Avenir Next" w:cs="Arial"/>
          <w:color w:val="808080" w:themeColor="background1" w:themeShade="80"/>
          <w:sz w:val="22"/>
          <w:szCs w:val="22"/>
          <w:lang w:val="en-GB"/>
        </w:rPr>
        <w:t xml:space="preserve"> have ratified the various treaties, and so it is necessary to consider the application</w:t>
      </w:r>
      <w:r w:rsidR="005F4CB3">
        <w:rPr>
          <w:rFonts w:ascii="Avenir Next" w:hAnsi="Avenir Next" w:cs="Arial"/>
          <w:color w:val="808080" w:themeColor="background1" w:themeShade="80"/>
          <w:sz w:val="22"/>
          <w:szCs w:val="22"/>
          <w:lang w:val="en-GB"/>
        </w:rPr>
        <w:t xml:space="preserve"> of such treaties</w:t>
      </w:r>
      <w:r w:rsidR="00F53254">
        <w:rPr>
          <w:rFonts w:ascii="Avenir Next" w:hAnsi="Avenir Next" w:cs="Arial"/>
          <w:color w:val="808080" w:themeColor="background1" w:themeShade="80"/>
          <w:sz w:val="22"/>
          <w:szCs w:val="22"/>
          <w:lang w:val="en-GB"/>
        </w:rPr>
        <w:t xml:space="preserve"> on a case by case basis. </w:t>
      </w:r>
    </w:p>
    <w:p w14:paraId="5B7FCD15" w14:textId="77777777" w:rsidR="003D03BF" w:rsidRDefault="003D03BF" w:rsidP="0050741E">
      <w:pPr>
        <w:jc w:val="both"/>
        <w:rPr>
          <w:rFonts w:ascii="Avenir Next" w:hAnsi="Avenir Next" w:cs="Arial"/>
          <w:color w:val="808080" w:themeColor="background1" w:themeShade="80"/>
          <w:sz w:val="22"/>
          <w:szCs w:val="22"/>
          <w:lang w:val="en-GB"/>
        </w:rPr>
      </w:pPr>
    </w:p>
    <w:p w14:paraId="23932892" w14:textId="707F1D31" w:rsidR="00843867" w:rsidRDefault="00843867" w:rsidP="005074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MV Treaties </w:t>
      </w:r>
      <w:r w:rsidR="002650D4">
        <w:rPr>
          <w:rFonts w:ascii="Avenir Next" w:hAnsi="Avenir Next" w:cs="Arial"/>
          <w:color w:val="808080" w:themeColor="background1" w:themeShade="80"/>
          <w:sz w:val="22"/>
          <w:szCs w:val="22"/>
          <w:lang w:val="en-GB"/>
        </w:rPr>
        <w:t>deal with matters such as the allocation of bankruptcy jurisdiction</w:t>
      </w:r>
      <w:r w:rsidR="00DA7ABD">
        <w:rPr>
          <w:rFonts w:ascii="Avenir Next" w:hAnsi="Avenir Next" w:cs="Arial"/>
          <w:color w:val="808080" w:themeColor="background1" w:themeShade="80"/>
          <w:sz w:val="22"/>
          <w:szCs w:val="22"/>
          <w:lang w:val="en-GB"/>
        </w:rPr>
        <w:t xml:space="preserve"> based on a commercial debtor’s domicile</w:t>
      </w:r>
      <w:r w:rsidR="002A71B5">
        <w:rPr>
          <w:rFonts w:ascii="Avenir Next" w:hAnsi="Avenir Next" w:cs="Arial"/>
          <w:color w:val="808080" w:themeColor="background1" w:themeShade="80"/>
          <w:sz w:val="22"/>
          <w:szCs w:val="22"/>
          <w:lang w:val="en-GB"/>
        </w:rPr>
        <w:t xml:space="preserve"> or</w:t>
      </w:r>
      <w:r w:rsidR="00A855A3">
        <w:rPr>
          <w:rFonts w:ascii="Avenir Next" w:hAnsi="Avenir Next" w:cs="Arial"/>
          <w:color w:val="808080" w:themeColor="background1" w:themeShade="80"/>
          <w:sz w:val="22"/>
          <w:szCs w:val="22"/>
          <w:lang w:val="en-GB"/>
        </w:rPr>
        <w:t>, where the debtor has “</w:t>
      </w:r>
      <w:r w:rsidR="00A855A3" w:rsidRPr="00A855A3">
        <w:rPr>
          <w:rFonts w:ascii="Avenir Next" w:hAnsi="Avenir Next" w:cs="Arial"/>
          <w:i/>
          <w:iCs/>
          <w:color w:val="808080" w:themeColor="background1" w:themeShade="80"/>
          <w:sz w:val="22"/>
          <w:szCs w:val="22"/>
          <w:lang w:val="en-GB"/>
        </w:rPr>
        <w:t>economically autonomous businesses</w:t>
      </w:r>
      <w:r w:rsidR="00A855A3">
        <w:rPr>
          <w:rFonts w:ascii="Avenir Next" w:hAnsi="Avenir Next" w:cs="Arial"/>
          <w:color w:val="808080" w:themeColor="background1" w:themeShade="80"/>
          <w:sz w:val="22"/>
          <w:szCs w:val="22"/>
          <w:lang w:val="en-GB"/>
        </w:rPr>
        <w:t>”</w:t>
      </w:r>
      <w:r w:rsidR="00A855A3">
        <w:rPr>
          <w:rStyle w:val="FootnoteReference"/>
          <w:rFonts w:ascii="Avenir Next" w:hAnsi="Avenir Next" w:cs="Arial"/>
          <w:color w:val="808080" w:themeColor="background1" w:themeShade="80"/>
          <w:sz w:val="22"/>
          <w:szCs w:val="22"/>
          <w:lang w:val="en-GB"/>
        </w:rPr>
        <w:footnoteReference w:id="5"/>
      </w:r>
      <w:r w:rsidR="00A855A3">
        <w:rPr>
          <w:rFonts w:ascii="Avenir Next" w:hAnsi="Avenir Next" w:cs="Arial"/>
          <w:color w:val="808080" w:themeColor="background1" w:themeShade="80"/>
          <w:sz w:val="22"/>
          <w:szCs w:val="22"/>
          <w:lang w:val="en-GB"/>
        </w:rPr>
        <w:t xml:space="preserve"> in different states,</w:t>
      </w:r>
      <w:r w:rsidR="000F189D">
        <w:rPr>
          <w:rFonts w:ascii="Avenir Next" w:hAnsi="Avenir Next" w:cs="Arial"/>
          <w:color w:val="808080" w:themeColor="background1" w:themeShade="80"/>
          <w:sz w:val="22"/>
          <w:szCs w:val="22"/>
          <w:lang w:val="en-GB"/>
        </w:rPr>
        <w:t xml:space="preserve"> it envisages parallel proceedings. </w:t>
      </w:r>
      <w:r w:rsidR="00FC4C86">
        <w:rPr>
          <w:rFonts w:ascii="Avenir Next" w:hAnsi="Avenir Next" w:cs="Arial"/>
          <w:color w:val="808080" w:themeColor="background1" w:themeShade="80"/>
          <w:sz w:val="22"/>
          <w:szCs w:val="22"/>
          <w:lang w:val="en-GB"/>
        </w:rPr>
        <w:t xml:space="preserve">Although there may </w:t>
      </w:r>
      <w:r w:rsidR="00182B64">
        <w:rPr>
          <w:rFonts w:ascii="Avenir Next" w:hAnsi="Avenir Next" w:cs="Arial"/>
          <w:color w:val="808080" w:themeColor="background1" w:themeShade="80"/>
          <w:sz w:val="22"/>
          <w:szCs w:val="22"/>
          <w:lang w:val="en-GB"/>
        </w:rPr>
        <w:t xml:space="preserve">also </w:t>
      </w:r>
      <w:r w:rsidR="00FC4C86">
        <w:rPr>
          <w:rFonts w:ascii="Avenir Next" w:hAnsi="Avenir Next" w:cs="Arial"/>
          <w:color w:val="808080" w:themeColor="background1" w:themeShade="80"/>
          <w:sz w:val="22"/>
          <w:szCs w:val="22"/>
          <w:lang w:val="en-GB"/>
        </w:rPr>
        <w:t xml:space="preserve">be parallel proceedings in </w:t>
      </w:r>
      <w:r w:rsidR="000F189D">
        <w:rPr>
          <w:rFonts w:ascii="Avenir Next" w:hAnsi="Avenir Next" w:cs="Arial"/>
          <w:color w:val="808080" w:themeColor="background1" w:themeShade="80"/>
          <w:sz w:val="22"/>
          <w:szCs w:val="22"/>
          <w:lang w:val="en-GB"/>
        </w:rPr>
        <w:t xml:space="preserve">Bustamante Code </w:t>
      </w:r>
      <w:r w:rsidR="00FC4C86">
        <w:rPr>
          <w:rFonts w:ascii="Avenir Next" w:hAnsi="Avenir Next" w:cs="Arial"/>
          <w:color w:val="808080" w:themeColor="background1" w:themeShade="80"/>
          <w:sz w:val="22"/>
          <w:szCs w:val="22"/>
          <w:lang w:val="en-GB"/>
        </w:rPr>
        <w:t>countries</w:t>
      </w:r>
      <w:r w:rsidR="00FE4245">
        <w:rPr>
          <w:rFonts w:ascii="Avenir Next" w:hAnsi="Avenir Next" w:cs="Arial"/>
          <w:color w:val="808080" w:themeColor="background1" w:themeShade="80"/>
          <w:sz w:val="22"/>
          <w:szCs w:val="22"/>
          <w:lang w:val="en-GB"/>
        </w:rPr>
        <w:t xml:space="preserve"> that contain “</w:t>
      </w:r>
      <w:r w:rsidR="00FE4245" w:rsidRPr="006126F7">
        <w:rPr>
          <w:rFonts w:ascii="Avenir Next" w:hAnsi="Avenir Next" w:cs="Arial"/>
          <w:i/>
          <w:iCs/>
          <w:color w:val="808080" w:themeColor="background1" w:themeShade="80"/>
          <w:sz w:val="22"/>
          <w:szCs w:val="22"/>
          <w:lang w:val="en-GB"/>
        </w:rPr>
        <w:t xml:space="preserve">commercial establishments operating entirely </w:t>
      </w:r>
      <w:r w:rsidR="00A350CF" w:rsidRPr="006126F7">
        <w:rPr>
          <w:rFonts w:ascii="Avenir Next" w:hAnsi="Avenir Next" w:cs="Arial"/>
          <w:i/>
          <w:iCs/>
          <w:color w:val="808080" w:themeColor="background1" w:themeShade="80"/>
          <w:sz w:val="22"/>
          <w:szCs w:val="22"/>
          <w:lang w:val="en-GB"/>
        </w:rPr>
        <w:t>separately economically</w:t>
      </w:r>
      <w:r w:rsidR="009332B5">
        <w:rPr>
          <w:rFonts w:ascii="Avenir Next" w:hAnsi="Avenir Next" w:cs="Arial"/>
          <w:color w:val="808080" w:themeColor="background1" w:themeShade="80"/>
          <w:sz w:val="22"/>
          <w:szCs w:val="22"/>
          <w:lang w:val="en-GB"/>
        </w:rPr>
        <w:t>”</w:t>
      </w:r>
      <w:r w:rsidR="00A350CF">
        <w:rPr>
          <w:rStyle w:val="FootnoteReference"/>
          <w:rFonts w:ascii="Avenir Next" w:hAnsi="Avenir Next" w:cs="Arial"/>
          <w:color w:val="808080" w:themeColor="background1" w:themeShade="80"/>
          <w:sz w:val="22"/>
          <w:szCs w:val="22"/>
          <w:lang w:val="en-GB"/>
        </w:rPr>
        <w:footnoteReference w:id="6"/>
      </w:r>
      <w:r w:rsidR="00FC4C86">
        <w:rPr>
          <w:rFonts w:ascii="Avenir Next" w:hAnsi="Avenir Next" w:cs="Arial"/>
          <w:color w:val="808080" w:themeColor="background1" w:themeShade="80"/>
          <w:sz w:val="22"/>
          <w:szCs w:val="22"/>
          <w:lang w:val="en-GB"/>
        </w:rPr>
        <w:t xml:space="preserve"> </w:t>
      </w:r>
      <w:r w:rsidR="009332B5">
        <w:rPr>
          <w:rFonts w:ascii="Avenir Next" w:hAnsi="Avenir Next" w:cs="Arial"/>
          <w:color w:val="808080" w:themeColor="background1" w:themeShade="80"/>
          <w:sz w:val="22"/>
          <w:szCs w:val="22"/>
          <w:lang w:val="en-GB"/>
        </w:rPr>
        <w:t xml:space="preserve">(Article 415) </w:t>
      </w:r>
      <w:r w:rsidR="00FC4C86">
        <w:rPr>
          <w:rFonts w:ascii="Avenir Next" w:hAnsi="Avenir Next" w:cs="Arial"/>
          <w:color w:val="808080" w:themeColor="background1" w:themeShade="80"/>
          <w:sz w:val="22"/>
          <w:szCs w:val="22"/>
          <w:lang w:val="en-GB"/>
        </w:rPr>
        <w:t xml:space="preserve">the Bustamante Code provides stronger support for </w:t>
      </w:r>
      <w:r w:rsidR="00492F28">
        <w:rPr>
          <w:rFonts w:ascii="Avenir Next" w:hAnsi="Avenir Next" w:cs="Arial"/>
          <w:color w:val="808080" w:themeColor="background1" w:themeShade="80"/>
          <w:sz w:val="22"/>
          <w:szCs w:val="22"/>
          <w:lang w:val="en-GB"/>
        </w:rPr>
        <w:t>a univer</w:t>
      </w:r>
      <w:r w:rsidR="00F140CE">
        <w:rPr>
          <w:rFonts w:ascii="Avenir Next" w:hAnsi="Avenir Next" w:cs="Arial"/>
          <w:color w:val="808080" w:themeColor="background1" w:themeShade="80"/>
          <w:sz w:val="22"/>
          <w:szCs w:val="22"/>
          <w:lang w:val="en-GB"/>
        </w:rPr>
        <w:t>salist</w:t>
      </w:r>
      <w:r w:rsidR="003F5E3B">
        <w:rPr>
          <w:rFonts w:ascii="Avenir Next" w:hAnsi="Avenir Next" w:cs="Arial"/>
          <w:color w:val="808080" w:themeColor="background1" w:themeShade="80"/>
          <w:sz w:val="22"/>
          <w:szCs w:val="22"/>
          <w:lang w:val="en-GB"/>
        </w:rPr>
        <w:t xml:space="preserve"> </w:t>
      </w:r>
      <w:r w:rsidR="00050384">
        <w:rPr>
          <w:rFonts w:ascii="Avenir Next" w:hAnsi="Avenir Next" w:cs="Arial"/>
          <w:color w:val="808080" w:themeColor="background1" w:themeShade="80"/>
          <w:sz w:val="22"/>
          <w:szCs w:val="22"/>
          <w:lang w:val="en-GB"/>
        </w:rPr>
        <w:t>approach</w:t>
      </w:r>
      <w:r w:rsidR="006F77EA">
        <w:rPr>
          <w:rFonts w:ascii="Avenir Next" w:hAnsi="Avenir Next" w:cs="Arial"/>
          <w:color w:val="808080" w:themeColor="background1" w:themeShade="80"/>
          <w:sz w:val="22"/>
          <w:szCs w:val="22"/>
          <w:lang w:val="en-GB"/>
        </w:rPr>
        <w:t xml:space="preserve"> (Article 414)</w:t>
      </w:r>
      <w:r w:rsidR="00FC4C86">
        <w:rPr>
          <w:rFonts w:ascii="Avenir Next" w:hAnsi="Avenir Next" w:cs="Arial"/>
          <w:color w:val="808080" w:themeColor="background1" w:themeShade="80"/>
          <w:sz w:val="22"/>
          <w:szCs w:val="22"/>
          <w:lang w:val="en-GB"/>
        </w:rPr>
        <w:t xml:space="preserve"> </w:t>
      </w:r>
      <w:r w:rsidR="004C60CB">
        <w:rPr>
          <w:rFonts w:ascii="Avenir Next" w:hAnsi="Avenir Next" w:cs="Arial"/>
          <w:color w:val="808080" w:themeColor="background1" w:themeShade="80"/>
          <w:sz w:val="22"/>
          <w:szCs w:val="22"/>
          <w:lang w:val="en-GB"/>
        </w:rPr>
        <w:t xml:space="preserve">and therefore universal </w:t>
      </w:r>
      <w:r w:rsidR="009332B5">
        <w:rPr>
          <w:rFonts w:ascii="Avenir Next" w:hAnsi="Avenir Next" w:cs="Arial"/>
          <w:color w:val="808080" w:themeColor="background1" w:themeShade="80"/>
          <w:sz w:val="22"/>
          <w:szCs w:val="22"/>
          <w:lang w:val="en-GB"/>
        </w:rPr>
        <w:t xml:space="preserve">recognition / </w:t>
      </w:r>
      <w:r w:rsidR="004C60CB">
        <w:rPr>
          <w:rFonts w:ascii="Avenir Next" w:hAnsi="Avenir Next" w:cs="Arial"/>
          <w:color w:val="808080" w:themeColor="background1" w:themeShade="80"/>
          <w:sz w:val="22"/>
          <w:szCs w:val="22"/>
          <w:lang w:val="en-GB"/>
        </w:rPr>
        <w:t xml:space="preserve">effect amongst Bustamante Code </w:t>
      </w:r>
      <w:r w:rsidR="004C60CB">
        <w:rPr>
          <w:rFonts w:ascii="Avenir Next" w:hAnsi="Avenir Next" w:cs="Arial"/>
          <w:color w:val="808080" w:themeColor="background1" w:themeShade="80"/>
          <w:sz w:val="22"/>
          <w:szCs w:val="22"/>
          <w:lang w:val="en-GB"/>
        </w:rPr>
        <w:lastRenderedPageBreak/>
        <w:t>countries</w:t>
      </w:r>
      <w:r w:rsidR="009332B5">
        <w:rPr>
          <w:rFonts w:ascii="Avenir Next" w:hAnsi="Avenir Next" w:cs="Arial"/>
          <w:color w:val="808080" w:themeColor="background1" w:themeShade="80"/>
          <w:sz w:val="22"/>
          <w:szCs w:val="22"/>
          <w:lang w:val="en-GB"/>
        </w:rPr>
        <w:t xml:space="preserve"> is bolstered</w:t>
      </w:r>
      <w:r w:rsidR="00FC4C86">
        <w:rPr>
          <w:rFonts w:ascii="Avenir Next" w:hAnsi="Avenir Next" w:cs="Arial"/>
          <w:color w:val="808080" w:themeColor="background1" w:themeShade="80"/>
          <w:sz w:val="22"/>
          <w:szCs w:val="22"/>
          <w:lang w:val="en-GB"/>
        </w:rPr>
        <w:t xml:space="preserve">. </w:t>
      </w:r>
      <w:r w:rsidR="004C60CB">
        <w:rPr>
          <w:rFonts w:ascii="Avenir Next" w:hAnsi="Avenir Next" w:cs="Arial"/>
          <w:color w:val="808080" w:themeColor="background1" w:themeShade="80"/>
          <w:sz w:val="22"/>
          <w:szCs w:val="22"/>
          <w:lang w:val="en-GB"/>
        </w:rPr>
        <w:t>However</w:t>
      </w:r>
      <w:r w:rsidR="006126F7">
        <w:rPr>
          <w:rFonts w:ascii="Avenir Next" w:hAnsi="Avenir Next" w:cs="Arial"/>
          <w:color w:val="808080" w:themeColor="background1" w:themeShade="80"/>
          <w:sz w:val="22"/>
          <w:szCs w:val="22"/>
          <w:lang w:val="en-GB"/>
        </w:rPr>
        <w:t xml:space="preserve">, there are no co-operation provisions </w:t>
      </w:r>
      <w:r w:rsidR="004C60CB">
        <w:rPr>
          <w:rFonts w:ascii="Avenir Next" w:hAnsi="Avenir Next" w:cs="Arial"/>
          <w:color w:val="808080" w:themeColor="background1" w:themeShade="80"/>
          <w:sz w:val="22"/>
          <w:szCs w:val="22"/>
          <w:lang w:val="en-GB"/>
        </w:rPr>
        <w:t xml:space="preserve">in the Bustamante Code </w:t>
      </w:r>
      <w:r w:rsidR="006126F7">
        <w:rPr>
          <w:rFonts w:ascii="Avenir Next" w:hAnsi="Avenir Next" w:cs="Arial"/>
          <w:color w:val="808080" w:themeColor="background1" w:themeShade="80"/>
          <w:sz w:val="22"/>
          <w:szCs w:val="22"/>
          <w:lang w:val="en-GB"/>
        </w:rPr>
        <w:t xml:space="preserve">where parallel proceedings are on foot. </w:t>
      </w:r>
    </w:p>
    <w:p w14:paraId="6E416D2A" w14:textId="77777777" w:rsidR="00B860D0" w:rsidRDefault="00B860D0" w:rsidP="0050741E">
      <w:pPr>
        <w:jc w:val="both"/>
        <w:rPr>
          <w:rFonts w:ascii="Avenir Next" w:hAnsi="Avenir Next" w:cs="Arial"/>
          <w:color w:val="808080" w:themeColor="background1" w:themeShade="80"/>
          <w:sz w:val="22"/>
          <w:szCs w:val="22"/>
          <w:lang w:val="en-GB"/>
        </w:rPr>
      </w:pPr>
    </w:p>
    <w:p w14:paraId="7EA4A56C" w14:textId="38FBDB6C" w:rsidR="00B860D0" w:rsidRPr="0050741E" w:rsidRDefault="00765135" w:rsidP="005074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B860D0">
        <w:rPr>
          <w:rFonts w:ascii="Avenir Next" w:hAnsi="Avenir Next" w:cs="Arial"/>
          <w:color w:val="808080" w:themeColor="background1" w:themeShade="80"/>
          <w:sz w:val="22"/>
          <w:szCs w:val="22"/>
          <w:lang w:val="en-GB"/>
        </w:rPr>
        <w:t xml:space="preserve">Student note: </w:t>
      </w:r>
      <w:r w:rsidR="00065F1F">
        <w:rPr>
          <w:rFonts w:ascii="Avenir Next" w:hAnsi="Avenir Next" w:cs="Arial"/>
          <w:color w:val="808080" w:themeColor="background1" w:themeShade="80"/>
          <w:sz w:val="22"/>
          <w:szCs w:val="22"/>
          <w:lang w:val="en-GB"/>
        </w:rPr>
        <w:t>Guidance Text footnote 131 reference at p59 (</w:t>
      </w:r>
      <w:hyperlink r:id="rId12" w:history="1">
        <w:r w:rsidR="00F855A2" w:rsidRPr="00721868">
          <w:rPr>
            <w:rStyle w:val="Hyperlink"/>
            <w:rFonts w:ascii="Avenir Next" w:hAnsi="Avenir Next" w:cs="Arial"/>
            <w:sz w:val="22"/>
            <w:szCs w:val="22"/>
            <w:lang w:val="en-GB"/>
          </w:rPr>
          <w:t>https://www.uncitral.org/pdf/english/texts/general/Register Texts Vol2.pdf</w:t>
        </w:r>
      </w:hyperlink>
      <w:r w:rsidR="00065F1F" w:rsidRPr="00065F1F">
        <w:rPr>
          <w:rFonts w:ascii="Avenir Next" w:hAnsi="Avenir Next" w:cs="Arial"/>
          <w:color w:val="808080" w:themeColor="background1" w:themeShade="80"/>
          <w:sz w:val="22"/>
          <w:szCs w:val="22"/>
          <w:lang w:val="en-GB"/>
        </w:rPr>
        <w:t>.</w:t>
      </w:r>
      <w:r w:rsidR="00F855A2">
        <w:rPr>
          <w:rFonts w:ascii="Avenir Next" w:hAnsi="Avenir Next" w:cs="Arial"/>
          <w:color w:val="808080" w:themeColor="background1" w:themeShade="80"/>
          <w:sz w:val="22"/>
          <w:szCs w:val="22"/>
          <w:lang w:val="en-GB"/>
        </w:rPr>
        <w:t>) does not exist</w:t>
      </w:r>
      <w:r>
        <w:rPr>
          <w:rFonts w:ascii="Avenir Next" w:hAnsi="Avenir Next" w:cs="Arial"/>
          <w:color w:val="808080" w:themeColor="background1" w:themeShade="80"/>
          <w:sz w:val="22"/>
          <w:szCs w:val="22"/>
          <w:lang w:val="en-GB"/>
        </w:rPr>
        <w:t xml:space="preserve"> (with or without the full-stop at the end)</w:t>
      </w:r>
      <w:r w:rsidR="00F855A2">
        <w:rPr>
          <w:rFonts w:ascii="Avenir Next" w:hAnsi="Avenir Next" w:cs="Arial"/>
          <w:color w:val="808080" w:themeColor="background1" w:themeShade="80"/>
          <w:sz w:val="22"/>
          <w:szCs w:val="22"/>
          <w:lang w:val="en-GB"/>
        </w:rPr>
        <w:t>: “</w:t>
      </w:r>
      <w:r w:rsidR="00F855A2" w:rsidRPr="00765135">
        <w:rPr>
          <w:rFonts w:ascii="Avenir Next" w:hAnsi="Avenir Next" w:cs="Arial"/>
          <w:i/>
          <w:iCs/>
          <w:color w:val="808080" w:themeColor="background1" w:themeShade="80"/>
          <w:sz w:val="22"/>
          <w:szCs w:val="22"/>
          <w:lang w:val="en-GB"/>
        </w:rPr>
        <w:t>The requested URL was not found on this server</w:t>
      </w:r>
      <w:r w:rsidR="00F855A2">
        <w:rPr>
          <w:rFonts w:ascii="Avenir Next" w:hAnsi="Avenir Next" w:cs="Arial"/>
          <w:color w:val="808080" w:themeColor="background1" w:themeShade="80"/>
          <w:sz w:val="22"/>
          <w:szCs w:val="22"/>
          <w:lang w:val="en-GB"/>
        </w:rPr>
        <w:t xml:space="preserve">” and the Fletcher text at footnote reference </w:t>
      </w:r>
      <w:r>
        <w:rPr>
          <w:rFonts w:ascii="Avenir Next" w:hAnsi="Avenir Next" w:cs="Arial"/>
          <w:color w:val="808080" w:themeColor="background1" w:themeShade="80"/>
          <w:sz w:val="22"/>
          <w:szCs w:val="22"/>
          <w:lang w:val="en-GB"/>
        </w:rPr>
        <w:t xml:space="preserve">130 at p59 </w:t>
      </w:r>
      <w:r w:rsidR="00DF0C6F">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s not available for free.]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(i)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4C90006" w14:textId="13AC1FBC" w:rsidR="00384B27" w:rsidRPr="00384B27" w:rsidRDefault="00384B27" w:rsidP="006A57DA">
      <w:pPr>
        <w:jc w:val="both"/>
        <w:rPr>
          <w:rFonts w:ascii="Avenir Next" w:hAnsi="Avenir Next" w:cs="Arial"/>
          <w:b/>
          <w:bCs/>
          <w:color w:val="808080" w:themeColor="background1" w:themeShade="80"/>
          <w:sz w:val="22"/>
          <w:szCs w:val="22"/>
          <w:lang w:val="en-GB"/>
        </w:rPr>
      </w:pPr>
      <w:r w:rsidRPr="00384B27">
        <w:rPr>
          <w:rFonts w:ascii="Avenir Next" w:hAnsi="Avenir Next" w:cs="Arial"/>
          <w:b/>
          <w:bCs/>
          <w:color w:val="808080" w:themeColor="background1" w:themeShade="80"/>
          <w:sz w:val="22"/>
          <w:szCs w:val="22"/>
          <w:lang w:val="en-GB"/>
        </w:rPr>
        <w:t>(i) What meaning may be ascribed to “bankruptcy” and “insolvency”?</w:t>
      </w:r>
    </w:p>
    <w:p w14:paraId="15575E65" w14:textId="77777777" w:rsidR="00384B27" w:rsidRDefault="00384B27" w:rsidP="006A57DA">
      <w:pPr>
        <w:jc w:val="both"/>
        <w:rPr>
          <w:rFonts w:ascii="Avenir Next" w:hAnsi="Avenir Next" w:cs="Arial"/>
          <w:color w:val="808080" w:themeColor="background1" w:themeShade="80"/>
          <w:sz w:val="22"/>
          <w:szCs w:val="22"/>
          <w:lang w:val="en-GB"/>
        </w:rPr>
      </w:pPr>
    </w:p>
    <w:p w14:paraId="0D5903CD" w14:textId="0716C30E" w:rsidR="006A57DA" w:rsidRDefault="001F18FB" w:rsidP="006A57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certain circumstances, I agree that the terms </w:t>
      </w:r>
      <w:r w:rsidR="00570A82">
        <w:rPr>
          <w:rFonts w:ascii="Avenir Next" w:hAnsi="Avenir Next" w:cs="Arial"/>
          <w:color w:val="808080" w:themeColor="background1" w:themeShade="80"/>
          <w:sz w:val="22"/>
          <w:szCs w:val="22"/>
          <w:lang w:val="en-GB"/>
        </w:rPr>
        <w:t>may be used interchangeably</w:t>
      </w:r>
      <w:r w:rsidR="00824A29">
        <w:rPr>
          <w:rFonts w:ascii="Avenir Next" w:hAnsi="Avenir Next" w:cs="Arial"/>
          <w:color w:val="808080" w:themeColor="background1" w:themeShade="80"/>
          <w:sz w:val="22"/>
          <w:szCs w:val="22"/>
          <w:lang w:val="en-GB"/>
        </w:rPr>
        <w:t xml:space="preserve">. Indeed. Fletcher </w:t>
      </w:r>
      <w:r w:rsidR="00481055">
        <w:rPr>
          <w:rFonts w:ascii="Avenir Next" w:hAnsi="Avenir Next" w:cs="Arial"/>
          <w:color w:val="808080" w:themeColor="background1" w:themeShade="80"/>
          <w:sz w:val="22"/>
          <w:szCs w:val="22"/>
          <w:lang w:val="en-GB"/>
        </w:rPr>
        <w:t xml:space="preserve">states that </w:t>
      </w:r>
      <w:r w:rsidR="000A68CF">
        <w:rPr>
          <w:rFonts w:ascii="Avenir Next" w:hAnsi="Avenir Next" w:cs="Arial"/>
          <w:color w:val="808080" w:themeColor="background1" w:themeShade="80"/>
          <w:sz w:val="22"/>
          <w:szCs w:val="22"/>
          <w:lang w:val="en-GB"/>
        </w:rPr>
        <w:t>‘</w:t>
      </w:r>
      <w:r w:rsidR="00481055">
        <w:rPr>
          <w:rFonts w:ascii="Avenir Next" w:hAnsi="Avenir Next" w:cs="Arial"/>
          <w:color w:val="808080" w:themeColor="background1" w:themeShade="80"/>
          <w:sz w:val="22"/>
          <w:szCs w:val="22"/>
          <w:lang w:val="en-GB"/>
        </w:rPr>
        <w:t>the terms are used a synonyms in may systems</w:t>
      </w:r>
      <w:r w:rsidR="000A68CF">
        <w:rPr>
          <w:rFonts w:ascii="Avenir Next" w:hAnsi="Avenir Next" w:cs="Arial"/>
          <w:color w:val="808080" w:themeColor="background1" w:themeShade="80"/>
          <w:sz w:val="22"/>
          <w:szCs w:val="22"/>
          <w:lang w:val="en-GB"/>
        </w:rPr>
        <w:t>’</w:t>
      </w:r>
      <w:r w:rsidR="00481055">
        <w:rPr>
          <w:rStyle w:val="FootnoteReference"/>
          <w:rFonts w:ascii="Avenir Next" w:hAnsi="Avenir Next" w:cs="Arial"/>
          <w:color w:val="808080" w:themeColor="background1" w:themeShade="80"/>
          <w:sz w:val="22"/>
          <w:szCs w:val="22"/>
          <w:lang w:val="en-GB"/>
        </w:rPr>
        <w:footnoteReference w:id="7"/>
      </w:r>
      <w:r w:rsidR="00E9760B">
        <w:rPr>
          <w:rFonts w:ascii="Avenir Next" w:hAnsi="Avenir Next" w:cs="Arial"/>
          <w:color w:val="808080" w:themeColor="background1" w:themeShade="80"/>
          <w:sz w:val="22"/>
          <w:szCs w:val="22"/>
          <w:lang w:val="en-GB"/>
        </w:rPr>
        <w:t xml:space="preserve"> </w:t>
      </w:r>
      <w:r w:rsidR="006A57DA">
        <w:rPr>
          <w:rFonts w:ascii="Avenir Next" w:hAnsi="Avenir Next" w:cs="Arial"/>
          <w:color w:val="808080" w:themeColor="background1" w:themeShade="80"/>
          <w:sz w:val="22"/>
          <w:szCs w:val="22"/>
          <w:lang w:val="en-GB"/>
        </w:rPr>
        <w:t>but in my view, the terms should only be used interchangeably at a very high level because once you drill down into the meaning of each term, the grammatical composition, and depending on the relevant jurisdiction and context, the terms may mean different things</w:t>
      </w:r>
      <w:r w:rsidR="00CB1DE9">
        <w:rPr>
          <w:rFonts w:ascii="Avenir Next" w:hAnsi="Avenir Next" w:cs="Arial"/>
          <w:color w:val="808080" w:themeColor="background1" w:themeShade="80"/>
          <w:sz w:val="22"/>
          <w:szCs w:val="22"/>
          <w:lang w:val="en-GB"/>
        </w:rPr>
        <w:t>, as explained below</w:t>
      </w:r>
      <w:r w:rsidR="006A57DA">
        <w:rPr>
          <w:rFonts w:ascii="Avenir Next" w:hAnsi="Avenir Next" w:cs="Arial"/>
          <w:color w:val="808080" w:themeColor="background1" w:themeShade="80"/>
          <w:sz w:val="22"/>
          <w:szCs w:val="22"/>
          <w:lang w:val="en-GB"/>
        </w:rPr>
        <w:t xml:space="preserve">. </w:t>
      </w:r>
    </w:p>
    <w:p w14:paraId="69CC5E0D" w14:textId="2AF398FB" w:rsidR="006A57DA" w:rsidRDefault="006A57DA" w:rsidP="00E9760B">
      <w:pPr>
        <w:jc w:val="both"/>
        <w:rPr>
          <w:rFonts w:ascii="Avenir Next" w:hAnsi="Avenir Next" w:cs="Arial"/>
          <w:color w:val="808080" w:themeColor="background1" w:themeShade="80"/>
          <w:sz w:val="22"/>
          <w:szCs w:val="22"/>
          <w:lang w:val="en-GB"/>
        </w:rPr>
      </w:pPr>
    </w:p>
    <w:p w14:paraId="34AA000D" w14:textId="097B234C" w:rsidR="00491084" w:rsidRDefault="00B4746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example, ‘bankruptcy’ is </w:t>
      </w:r>
      <w:r w:rsidR="007500EE">
        <w:rPr>
          <w:rFonts w:ascii="Avenir Next" w:hAnsi="Avenir Next" w:cs="Arial"/>
          <w:color w:val="808080" w:themeColor="background1" w:themeShade="80"/>
          <w:sz w:val="22"/>
          <w:szCs w:val="22"/>
          <w:lang w:val="en-GB"/>
        </w:rPr>
        <w:t>often</w:t>
      </w:r>
      <w:r>
        <w:rPr>
          <w:rFonts w:ascii="Avenir Next" w:hAnsi="Avenir Next" w:cs="Arial"/>
          <w:color w:val="808080" w:themeColor="background1" w:themeShade="80"/>
          <w:sz w:val="22"/>
          <w:szCs w:val="22"/>
          <w:lang w:val="en-GB"/>
        </w:rPr>
        <w:t xml:space="preserve"> used to describe </w:t>
      </w:r>
      <w:r w:rsidR="006F32F7">
        <w:rPr>
          <w:rFonts w:ascii="Avenir Next" w:hAnsi="Avenir Next" w:cs="Arial"/>
          <w:color w:val="808080" w:themeColor="background1" w:themeShade="80"/>
          <w:sz w:val="22"/>
          <w:szCs w:val="22"/>
          <w:lang w:val="en-GB"/>
        </w:rPr>
        <w:t>a</w:t>
      </w:r>
      <w:r w:rsidR="007500EE">
        <w:rPr>
          <w:rFonts w:ascii="Avenir Next" w:hAnsi="Avenir Next" w:cs="Arial"/>
          <w:color w:val="808080" w:themeColor="background1" w:themeShade="80"/>
          <w:sz w:val="22"/>
          <w:szCs w:val="22"/>
          <w:lang w:val="en-GB"/>
        </w:rPr>
        <w:t xml:space="preserve">n </w:t>
      </w:r>
      <w:r w:rsidR="00B424D6">
        <w:rPr>
          <w:rFonts w:ascii="Avenir Next" w:hAnsi="Avenir Next" w:cs="Arial"/>
          <w:color w:val="808080" w:themeColor="background1" w:themeShade="80"/>
          <w:sz w:val="22"/>
          <w:szCs w:val="22"/>
          <w:lang w:val="en-GB"/>
        </w:rPr>
        <w:t>individual</w:t>
      </w:r>
      <w:r w:rsidR="007500EE">
        <w:rPr>
          <w:rFonts w:ascii="Avenir Next" w:hAnsi="Avenir Next" w:cs="Arial"/>
          <w:color w:val="808080" w:themeColor="background1" w:themeShade="80"/>
          <w:sz w:val="22"/>
          <w:szCs w:val="22"/>
          <w:lang w:val="en-GB"/>
        </w:rPr>
        <w:t xml:space="preserve">’s </w:t>
      </w:r>
      <w:r w:rsidR="008E629E">
        <w:rPr>
          <w:rFonts w:ascii="Avenir Next" w:hAnsi="Avenir Next" w:cs="Arial"/>
          <w:color w:val="808080" w:themeColor="background1" w:themeShade="80"/>
          <w:sz w:val="22"/>
          <w:szCs w:val="22"/>
          <w:lang w:val="en-GB"/>
        </w:rPr>
        <w:t xml:space="preserve">formal </w:t>
      </w:r>
      <w:r w:rsidR="0079402A">
        <w:rPr>
          <w:rFonts w:ascii="Avenir Next" w:hAnsi="Avenir Next" w:cs="Arial"/>
          <w:color w:val="808080" w:themeColor="background1" w:themeShade="80"/>
          <w:sz w:val="22"/>
          <w:szCs w:val="22"/>
          <w:lang w:val="en-GB"/>
        </w:rPr>
        <w:t xml:space="preserve">financial </w:t>
      </w:r>
      <w:r w:rsidR="007500EE">
        <w:rPr>
          <w:rFonts w:ascii="Avenir Next" w:hAnsi="Avenir Next" w:cs="Arial"/>
          <w:color w:val="808080" w:themeColor="background1" w:themeShade="80"/>
          <w:sz w:val="22"/>
          <w:szCs w:val="22"/>
          <w:lang w:val="en-GB"/>
        </w:rPr>
        <w:t>status</w:t>
      </w:r>
      <w:r w:rsidR="00571CE6">
        <w:rPr>
          <w:rFonts w:ascii="Avenir Next" w:hAnsi="Avenir Next" w:cs="Arial"/>
          <w:color w:val="808080" w:themeColor="background1" w:themeShade="80"/>
          <w:sz w:val="22"/>
          <w:szCs w:val="22"/>
          <w:lang w:val="en-GB"/>
        </w:rPr>
        <w:t>,</w:t>
      </w:r>
      <w:r w:rsidR="00B424D6">
        <w:rPr>
          <w:rFonts w:ascii="Avenir Next" w:hAnsi="Avenir Next" w:cs="Arial"/>
          <w:color w:val="808080" w:themeColor="background1" w:themeShade="80"/>
          <w:sz w:val="22"/>
          <w:szCs w:val="22"/>
          <w:lang w:val="en-GB"/>
        </w:rPr>
        <w:t xml:space="preserve"> </w:t>
      </w:r>
      <w:r w:rsidR="00571CE6">
        <w:rPr>
          <w:rFonts w:ascii="Avenir Next" w:hAnsi="Avenir Next" w:cs="Arial"/>
          <w:color w:val="808080" w:themeColor="background1" w:themeShade="80"/>
          <w:sz w:val="22"/>
          <w:szCs w:val="22"/>
          <w:lang w:val="en-GB"/>
        </w:rPr>
        <w:t xml:space="preserve">i.e. ‘Joe has been declared bankrupt’. </w:t>
      </w:r>
      <w:r w:rsidR="00AE3334">
        <w:rPr>
          <w:rFonts w:ascii="Avenir Next" w:hAnsi="Avenir Next" w:cs="Arial"/>
          <w:color w:val="808080" w:themeColor="background1" w:themeShade="80"/>
          <w:sz w:val="22"/>
          <w:szCs w:val="22"/>
          <w:lang w:val="en-GB"/>
        </w:rPr>
        <w:t>Such description</w:t>
      </w:r>
      <w:r w:rsidR="00A30F9C">
        <w:rPr>
          <w:rFonts w:ascii="Avenir Next" w:hAnsi="Avenir Next" w:cs="Arial"/>
          <w:color w:val="808080" w:themeColor="background1" w:themeShade="80"/>
          <w:sz w:val="22"/>
          <w:szCs w:val="22"/>
          <w:lang w:val="en-GB"/>
        </w:rPr>
        <w:t xml:space="preserve"> </w:t>
      </w:r>
      <w:r w:rsidR="008E629E">
        <w:rPr>
          <w:rFonts w:ascii="Avenir Next" w:hAnsi="Avenir Next" w:cs="Arial"/>
          <w:color w:val="808080" w:themeColor="background1" w:themeShade="80"/>
          <w:sz w:val="22"/>
          <w:szCs w:val="22"/>
          <w:lang w:val="en-GB"/>
        </w:rPr>
        <w:t>indicates</w:t>
      </w:r>
      <w:r w:rsidR="00A30F9C">
        <w:rPr>
          <w:rFonts w:ascii="Avenir Next" w:hAnsi="Avenir Next" w:cs="Arial"/>
          <w:color w:val="808080" w:themeColor="background1" w:themeShade="80"/>
          <w:sz w:val="22"/>
          <w:szCs w:val="22"/>
          <w:lang w:val="en-GB"/>
        </w:rPr>
        <w:t xml:space="preserve"> that an action has been taken by, for example, a court</w:t>
      </w:r>
      <w:r w:rsidR="0079402A">
        <w:rPr>
          <w:rFonts w:ascii="Avenir Next" w:hAnsi="Avenir Next" w:cs="Arial"/>
          <w:color w:val="808080" w:themeColor="background1" w:themeShade="80"/>
          <w:sz w:val="22"/>
          <w:szCs w:val="22"/>
          <w:lang w:val="en-GB"/>
        </w:rPr>
        <w:t>,</w:t>
      </w:r>
      <w:r w:rsidR="0043395D">
        <w:rPr>
          <w:rFonts w:ascii="Avenir Next" w:hAnsi="Avenir Next" w:cs="Arial"/>
          <w:color w:val="808080" w:themeColor="background1" w:themeShade="80"/>
          <w:sz w:val="22"/>
          <w:szCs w:val="22"/>
          <w:lang w:val="en-GB"/>
        </w:rPr>
        <w:t xml:space="preserve"> in order to record the crystallisation of Joe’s </w:t>
      </w:r>
      <w:r w:rsidR="00CB3763">
        <w:rPr>
          <w:rFonts w:ascii="Avenir Next" w:hAnsi="Avenir Next" w:cs="Arial"/>
          <w:color w:val="808080" w:themeColor="background1" w:themeShade="80"/>
          <w:sz w:val="22"/>
          <w:szCs w:val="22"/>
          <w:lang w:val="en-GB"/>
        </w:rPr>
        <w:t xml:space="preserve">financial </w:t>
      </w:r>
      <w:r w:rsidR="0079402A">
        <w:rPr>
          <w:rFonts w:ascii="Avenir Next" w:hAnsi="Avenir Next" w:cs="Arial"/>
          <w:color w:val="808080" w:themeColor="background1" w:themeShade="80"/>
          <w:sz w:val="22"/>
          <w:szCs w:val="22"/>
          <w:lang w:val="en-GB"/>
        </w:rPr>
        <w:t>status as ‘</w:t>
      </w:r>
      <w:r w:rsidR="0043395D">
        <w:rPr>
          <w:rFonts w:ascii="Avenir Next" w:hAnsi="Avenir Next" w:cs="Arial"/>
          <w:color w:val="808080" w:themeColor="background1" w:themeShade="80"/>
          <w:sz w:val="22"/>
          <w:szCs w:val="22"/>
          <w:lang w:val="en-GB"/>
        </w:rPr>
        <w:t>bankrupt</w:t>
      </w:r>
      <w:r w:rsidR="0079402A">
        <w:rPr>
          <w:rFonts w:ascii="Avenir Next" w:hAnsi="Avenir Next" w:cs="Arial"/>
          <w:color w:val="808080" w:themeColor="background1" w:themeShade="80"/>
          <w:sz w:val="22"/>
          <w:szCs w:val="22"/>
          <w:lang w:val="en-GB"/>
        </w:rPr>
        <w:t>’</w:t>
      </w:r>
      <w:r w:rsidR="0043395D">
        <w:rPr>
          <w:rFonts w:ascii="Avenir Next" w:hAnsi="Avenir Next" w:cs="Arial"/>
          <w:color w:val="808080" w:themeColor="background1" w:themeShade="80"/>
          <w:sz w:val="22"/>
          <w:szCs w:val="22"/>
          <w:lang w:val="en-GB"/>
        </w:rPr>
        <w:t>. A</w:t>
      </w:r>
      <w:r w:rsidR="00571CE6">
        <w:rPr>
          <w:rFonts w:ascii="Avenir Next" w:hAnsi="Avenir Next" w:cs="Arial"/>
          <w:color w:val="808080" w:themeColor="background1" w:themeShade="80"/>
          <w:sz w:val="22"/>
          <w:szCs w:val="22"/>
          <w:lang w:val="en-GB"/>
        </w:rPr>
        <w:t xml:space="preserve"> company</w:t>
      </w:r>
      <w:r w:rsidR="0043395D">
        <w:rPr>
          <w:rFonts w:ascii="Avenir Next" w:hAnsi="Avenir Next" w:cs="Arial"/>
          <w:color w:val="808080" w:themeColor="background1" w:themeShade="80"/>
          <w:sz w:val="22"/>
          <w:szCs w:val="22"/>
          <w:lang w:val="en-GB"/>
        </w:rPr>
        <w:t xml:space="preserve"> could also be said to have been declared bankrupt or to be bankrupt</w:t>
      </w:r>
      <w:r w:rsidR="00571CE6">
        <w:rPr>
          <w:rFonts w:ascii="Avenir Next" w:hAnsi="Avenir Next" w:cs="Arial"/>
          <w:color w:val="808080" w:themeColor="background1" w:themeShade="80"/>
          <w:sz w:val="22"/>
          <w:szCs w:val="22"/>
          <w:lang w:val="en-GB"/>
        </w:rPr>
        <w:t>,</w:t>
      </w:r>
      <w:r w:rsidR="00491084">
        <w:rPr>
          <w:rFonts w:ascii="Avenir Next" w:hAnsi="Avenir Next" w:cs="Arial"/>
          <w:color w:val="808080" w:themeColor="background1" w:themeShade="80"/>
          <w:sz w:val="22"/>
          <w:szCs w:val="22"/>
          <w:lang w:val="en-GB"/>
        </w:rPr>
        <w:t xml:space="preserve"> again, by a court order</w:t>
      </w:r>
      <w:r w:rsidR="00344890">
        <w:rPr>
          <w:rFonts w:ascii="Avenir Next" w:hAnsi="Avenir Next" w:cs="Arial"/>
          <w:color w:val="808080" w:themeColor="background1" w:themeShade="80"/>
          <w:sz w:val="22"/>
          <w:szCs w:val="22"/>
          <w:lang w:val="en-GB"/>
        </w:rPr>
        <w:t>,</w:t>
      </w:r>
      <w:r w:rsidR="00EF76B9">
        <w:rPr>
          <w:rFonts w:ascii="Avenir Next" w:hAnsi="Avenir Next" w:cs="Arial"/>
          <w:color w:val="808080" w:themeColor="background1" w:themeShade="80"/>
          <w:sz w:val="22"/>
          <w:szCs w:val="22"/>
          <w:lang w:val="en-GB"/>
        </w:rPr>
        <w:t xml:space="preserve"> but more specific terms are often used to describe the formal procedure</w:t>
      </w:r>
      <w:r w:rsidR="00344890">
        <w:rPr>
          <w:rFonts w:ascii="Avenir Next" w:hAnsi="Avenir Next" w:cs="Arial"/>
          <w:color w:val="808080" w:themeColor="background1" w:themeShade="80"/>
          <w:sz w:val="22"/>
          <w:szCs w:val="22"/>
          <w:lang w:val="en-GB"/>
        </w:rPr>
        <w:t xml:space="preserve"> that the company is part of</w:t>
      </w:r>
      <w:r w:rsidR="00EF76B9">
        <w:rPr>
          <w:rFonts w:ascii="Avenir Next" w:hAnsi="Avenir Next" w:cs="Arial"/>
          <w:color w:val="808080" w:themeColor="background1" w:themeShade="80"/>
          <w:sz w:val="22"/>
          <w:szCs w:val="22"/>
          <w:lang w:val="en-GB"/>
        </w:rPr>
        <w:t>,</w:t>
      </w:r>
      <w:r w:rsidR="00344890">
        <w:rPr>
          <w:rFonts w:ascii="Avenir Next" w:hAnsi="Avenir Next" w:cs="Arial"/>
          <w:color w:val="808080" w:themeColor="background1" w:themeShade="80"/>
          <w:sz w:val="22"/>
          <w:szCs w:val="22"/>
          <w:lang w:val="en-GB"/>
        </w:rPr>
        <w:t xml:space="preserve"> </w:t>
      </w:r>
      <w:r w:rsidR="00EF76B9">
        <w:rPr>
          <w:rFonts w:ascii="Avenir Next" w:hAnsi="Avenir Next" w:cs="Arial"/>
          <w:color w:val="808080" w:themeColor="background1" w:themeShade="80"/>
          <w:sz w:val="22"/>
          <w:szCs w:val="22"/>
          <w:lang w:val="en-GB"/>
        </w:rPr>
        <w:t>such as ‘in liquidation’, ‘in administration’ etc.</w:t>
      </w:r>
      <w:r w:rsidR="00491084">
        <w:rPr>
          <w:rFonts w:ascii="Avenir Next" w:hAnsi="Avenir Next" w:cs="Arial"/>
          <w:color w:val="808080" w:themeColor="background1" w:themeShade="80"/>
          <w:sz w:val="22"/>
          <w:szCs w:val="22"/>
          <w:lang w:val="en-GB"/>
        </w:rPr>
        <w:t xml:space="preserve"> </w:t>
      </w:r>
      <w:r w:rsidR="009561A0">
        <w:rPr>
          <w:rFonts w:ascii="Avenir Next" w:hAnsi="Avenir Next" w:cs="Arial"/>
          <w:color w:val="808080" w:themeColor="background1" w:themeShade="80"/>
          <w:sz w:val="22"/>
          <w:szCs w:val="22"/>
          <w:lang w:val="en-GB"/>
        </w:rPr>
        <w:t xml:space="preserve">Accordingly, my view is that ‘bankruptcy’ describes a formal financial status </w:t>
      </w:r>
      <w:r w:rsidR="00563092">
        <w:rPr>
          <w:rFonts w:ascii="Avenir Next" w:hAnsi="Avenir Next" w:cs="Arial"/>
          <w:color w:val="808080" w:themeColor="background1" w:themeShade="80"/>
          <w:sz w:val="22"/>
          <w:szCs w:val="22"/>
          <w:lang w:val="en-GB"/>
        </w:rPr>
        <w:t xml:space="preserve">following the order of a court (or other relevant authority). </w:t>
      </w:r>
    </w:p>
    <w:p w14:paraId="7C029077" w14:textId="77777777" w:rsidR="00491084" w:rsidRDefault="00491084" w:rsidP="00DA42DA">
      <w:pPr>
        <w:jc w:val="both"/>
        <w:rPr>
          <w:rFonts w:ascii="Avenir Next" w:hAnsi="Avenir Next" w:cs="Arial"/>
          <w:color w:val="808080" w:themeColor="background1" w:themeShade="80"/>
          <w:sz w:val="22"/>
          <w:szCs w:val="22"/>
          <w:lang w:val="en-GB"/>
        </w:rPr>
      </w:pPr>
    </w:p>
    <w:p w14:paraId="5BD64891" w14:textId="5EF1F107" w:rsidR="00055BC3" w:rsidRDefault="00E8124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00563092">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w:t>
      </w:r>
      <w:r w:rsidR="0056309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is most commonly used in a corporate context</w:t>
      </w:r>
      <w:r w:rsidR="00E074C5">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also describes a financial status, </w:t>
      </w:r>
      <w:r w:rsidR="00E074C5">
        <w:rPr>
          <w:rFonts w:ascii="Avenir Next" w:hAnsi="Avenir Next" w:cs="Arial"/>
          <w:color w:val="808080" w:themeColor="background1" w:themeShade="80"/>
          <w:sz w:val="22"/>
          <w:szCs w:val="22"/>
          <w:lang w:val="en-GB"/>
        </w:rPr>
        <w:t xml:space="preserve">however the fact that a company is insolvent does not necessarily mean that it </w:t>
      </w:r>
      <w:r w:rsidR="00367B45">
        <w:rPr>
          <w:rFonts w:ascii="Avenir Next" w:hAnsi="Avenir Next" w:cs="Arial"/>
          <w:color w:val="808080" w:themeColor="background1" w:themeShade="80"/>
          <w:sz w:val="22"/>
          <w:szCs w:val="22"/>
          <w:lang w:val="en-GB"/>
        </w:rPr>
        <w:t>has been</w:t>
      </w:r>
      <w:r w:rsidR="00E074C5">
        <w:rPr>
          <w:rFonts w:ascii="Avenir Next" w:hAnsi="Avenir Next" w:cs="Arial"/>
          <w:color w:val="808080" w:themeColor="background1" w:themeShade="80"/>
          <w:sz w:val="22"/>
          <w:szCs w:val="22"/>
          <w:lang w:val="en-GB"/>
        </w:rPr>
        <w:t xml:space="preserve"> or will be put into a formal insolvency or bankruptcy process.</w:t>
      </w:r>
      <w:r>
        <w:rPr>
          <w:rFonts w:ascii="Avenir Next" w:hAnsi="Avenir Next" w:cs="Arial"/>
          <w:color w:val="808080" w:themeColor="background1" w:themeShade="80"/>
          <w:sz w:val="22"/>
          <w:szCs w:val="22"/>
          <w:lang w:val="en-GB"/>
        </w:rPr>
        <w:t xml:space="preserve"> </w:t>
      </w:r>
      <w:r w:rsidR="00421518">
        <w:rPr>
          <w:rFonts w:ascii="Avenir Next" w:hAnsi="Avenir Next" w:cs="Arial"/>
          <w:color w:val="808080" w:themeColor="background1" w:themeShade="80"/>
          <w:sz w:val="22"/>
          <w:szCs w:val="22"/>
          <w:lang w:val="en-GB"/>
        </w:rPr>
        <w:t>For example, in many jurisdictions, a company can be ‘balance sheet’ or ‘cash flow’ insolvent</w:t>
      </w:r>
      <w:r w:rsidR="00E074C5">
        <w:rPr>
          <w:rFonts w:ascii="Avenir Next" w:hAnsi="Avenir Next" w:cs="Arial"/>
          <w:color w:val="808080" w:themeColor="background1" w:themeShade="80"/>
          <w:sz w:val="22"/>
          <w:szCs w:val="22"/>
          <w:lang w:val="en-GB"/>
        </w:rPr>
        <w:t xml:space="preserve"> for a period of time</w:t>
      </w:r>
      <w:r w:rsidR="00E83BA3">
        <w:rPr>
          <w:rFonts w:ascii="Avenir Next" w:hAnsi="Avenir Next" w:cs="Arial"/>
          <w:color w:val="808080" w:themeColor="background1" w:themeShade="80"/>
          <w:sz w:val="22"/>
          <w:szCs w:val="22"/>
          <w:lang w:val="en-GB"/>
        </w:rPr>
        <w:t xml:space="preserve"> and in some markets, it is common for that status to be encountered on a cyclical </w:t>
      </w:r>
      <w:r w:rsidR="00367B45">
        <w:rPr>
          <w:rFonts w:ascii="Avenir Next" w:hAnsi="Avenir Next" w:cs="Arial"/>
          <w:color w:val="808080" w:themeColor="background1" w:themeShade="80"/>
          <w:sz w:val="22"/>
          <w:szCs w:val="22"/>
          <w:lang w:val="en-GB"/>
        </w:rPr>
        <w:t xml:space="preserve">basis </w:t>
      </w:r>
      <w:r w:rsidR="00E83BA3">
        <w:rPr>
          <w:rFonts w:ascii="Avenir Next" w:hAnsi="Avenir Next" w:cs="Arial"/>
          <w:color w:val="808080" w:themeColor="background1" w:themeShade="80"/>
          <w:sz w:val="22"/>
          <w:szCs w:val="22"/>
          <w:lang w:val="en-GB"/>
        </w:rPr>
        <w:t xml:space="preserve">as part of the company’s </w:t>
      </w:r>
      <w:r w:rsidR="008C5FD3">
        <w:rPr>
          <w:rFonts w:ascii="Avenir Next" w:hAnsi="Avenir Next" w:cs="Arial"/>
          <w:color w:val="808080" w:themeColor="background1" w:themeShade="80"/>
          <w:sz w:val="22"/>
          <w:szCs w:val="22"/>
          <w:lang w:val="en-GB"/>
        </w:rPr>
        <w:t>operations.</w:t>
      </w:r>
      <w:r w:rsidR="00E83BA3">
        <w:rPr>
          <w:rFonts w:ascii="Avenir Next" w:hAnsi="Avenir Next" w:cs="Arial"/>
          <w:color w:val="808080" w:themeColor="background1" w:themeShade="80"/>
          <w:sz w:val="22"/>
          <w:szCs w:val="22"/>
          <w:lang w:val="en-GB"/>
        </w:rPr>
        <w:t xml:space="preserve"> </w:t>
      </w:r>
    </w:p>
    <w:p w14:paraId="02B875DC" w14:textId="798E2401" w:rsidR="00384B27" w:rsidRDefault="00384B27" w:rsidP="00DA42DA">
      <w:pPr>
        <w:jc w:val="both"/>
        <w:rPr>
          <w:rFonts w:ascii="Avenir Next" w:hAnsi="Avenir Next" w:cs="Arial"/>
          <w:color w:val="808080" w:themeColor="background1" w:themeShade="80"/>
          <w:sz w:val="22"/>
          <w:szCs w:val="22"/>
          <w:lang w:val="en-GB"/>
        </w:rPr>
      </w:pPr>
    </w:p>
    <w:p w14:paraId="5D082536" w14:textId="1BB28823" w:rsidR="00384B27" w:rsidRPr="00384B27" w:rsidRDefault="00384B27" w:rsidP="00DA42DA">
      <w:pPr>
        <w:jc w:val="both"/>
        <w:rPr>
          <w:rFonts w:ascii="Avenir Next" w:hAnsi="Avenir Next" w:cs="Arial"/>
          <w:b/>
          <w:bCs/>
          <w:color w:val="808080" w:themeColor="background1" w:themeShade="80"/>
          <w:sz w:val="22"/>
          <w:szCs w:val="22"/>
          <w:lang w:val="en-GB"/>
        </w:rPr>
      </w:pPr>
      <w:r w:rsidRPr="00384B27">
        <w:rPr>
          <w:rFonts w:ascii="Avenir Next" w:hAnsi="Avenir Next" w:cs="Arial"/>
          <w:b/>
          <w:bCs/>
          <w:color w:val="808080" w:themeColor="background1" w:themeShade="80"/>
          <w:sz w:val="22"/>
          <w:szCs w:val="22"/>
          <w:lang w:val="en-GB"/>
        </w:rPr>
        <w:t>(ii) The essential characteristics of “bankruptcy” and “insolvency”</w:t>
      </w:r>
    </w:p>
    <w:p w14:paraId="50A513F5" w14:textId="77777777" w:rsidR="00E9760B" w:rsidRDefault="00E9760B" w:rsidP="00DA42DA">
      <w:pPr>
        <w:jc w:val="both"/>
        <w:rPr>
          <w:rFonts w:ascii="Avenir Next" w:hAnsi="Avenir Next" w:cs="Arial"/>
          <w:color w:val="808080" w:themeColor="background1" w:themeShade="80"/>
          <w:sz w:val="22"/>
          <w:szCs w:val="22"/>
          <w:lang w:val="en-GB"/>
        </w:rPr>
      </w:pPr>
    </w:p>
    <w:p w14:paraId="4D168CE3" w14:textId="15E3EDBD" w:rsidR="00C42E6F" w:rsidRPr="00C42E6F" w:rsidRDefault="00D7761D" w:rsidP="00C42E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Wood</w:t>
      </w:r>
      <w:r w:rsidR="00A54A3E">
        <w:rPr>
          <w:rStyle w:val="FootnoteReference"/>
          <w:rFonts w:ascii="Avenir Next" w:hAnsi="Avenir Next" w:cs="Arial"/>
          <w:color w:val="808080" w:themeColor="background1" w:themeShade="80"/>
          <w:sz w:val="22"/>
          <w:szCs w:val="22"/>
          <w:lang w:val="en-GB"/>
        </w:rPr>
        <w:footnoteReference w:id="8"/>
      </w:r>
      <w:r w:rsidR="00DC6A83">
        <w:rPr>
          <w:rFonts w:ascii="Avenir Next" w:hAnsi="Avenir Next" w:cs="Arial"/>
          <w:color w:val="808080" w:themeColor="background1" w:themeShade="80"/>
          <w:sz w:val="22"/>
          <w:szCs w:val="22"/>
          <w:lang w:val="en-GB"/>
        </w:rPr>
        <w:t xml:space="preserve"> lists some potential essential features of insolvency</w:t>
      </w:r>
      <w:r w:rsidR="00292834">
        <w:rPr>
          <w:rFonts w:ascii="Avenir Next" w:hAnsi="Avenir Next" w:cs="Arial"/>
          <w:color w:val="808080" w:themeColor="background1" w:themeShade="80"/>
          <w:sz w:val="22"/>
          <w:szCs w:val="22"/>
          <w:lang w:val="en-GB"/>
        </w:rPr>
        <w:t xml:space="preserve"> or bankruptcy</w:t>
      </w:r>
      <w:r w:rsidR="00DC6A83">
        <w:rPr>
          <w:rFonts w:ascii="Avenir Next" w:hAnsi="Avenir Next" w:cs="Arial"/>
          <w:color w:val="808080" w:themeColor="background1" w:themeShade="80"/>
          <w:sz w:val="22"/>
          <w:szCs w:val="22"/>
          <w:lang w:val="en-GB"/>
        </w:rPr>
        <w:t xml:space="preserve"> </w:t>
      </w:r>
      <w:r w:rsidR="00292834">
        <w:rPr>
          <w:rFonts w:ascii="Avenir Next" w:hAnsi="Avenir Next" w:cs="Arial"/>
          <w:color w:val="808080" w:themeColor="background1" w:themeShade="80"/>
          <w:sz w:val="22"/>
          <w:szCs w:val="22"/>
          <w:lang w:val="en-GB"/>
        </w:rPr>
        <w:t>‘</w:t>
      </w:r>
      <w:r w:rsidR="00E87A58" w:rsidRPr="00C526A3">
        <w:rPr>
          <w:rFonts w:ascii="Avenir Next" w:hAnsi="Avenir Next" w:cs="Arial"/>
          <w:i/>
          <w:iCs/>
          <w:color w:val="808080" w:themeColor="background1" w:themeShade="80"/>
          <w:sz w:val="22"/>
          <w:szCs w:val="22"/>
          <w:lang w:val="en-GB"/>
        </w:rPr>
        <w:t>law</w:t>
      </w:r>
      <w:r w:rsidR="00292834">
        <w:rPr>
          <w:rFonts w:ascii="Avenir Next" w:hAnsi="Avenir Next" w:cs="Arial"/>
          <w:i/>
          <w:iCs/>
          <w:color w:val="808080" w:themeColor="background1" w:themeShade="80"/>
          <w:sz w:val="22"/>
          <w:szCs w:val="22"/>
          <w:lang w:val="en-GB"/>
        </w:rPr>
        <w:t>’</w:t>
      </w:r>
      <w:r w:rsidR="008C30AF">
        <w:rPr>
          <w:rFonts w:ascii="Avenir Next" w:hAnsi="Avenir Next" w:cs="Arial"/>
          <w:i/>
          <w:iCs/>
          <w:color w:val="808080" w:themeColor="background1" w:themeShade="80"/>
          <w:sz w:val="22"/>
          <w:szCs w:val="22"/>
          <w:lang w:val="en-GB"/>
        </w:rPr>
        <w:t xml:space="preserve"> </w:t>
      </w:r>
      <w:r w:rsidR="008C30AF" w:rsidRPr="008C30AF">
        <w:rPr>
          <w:rFonts w:ascii="Avenir Next" w:hAnsi="Avenir Next" w:cs="Arial"/>
          <w:color w:val="808080" w:themeColor="background1" w:themeShade="80"/>
          <w:sz w:val="22"/>
          <w:szCs w:val="22"/>
          <w:lang w:val="en-GB"/>
        </w:rPr>
        <w:t>(with exceptions)</w:t>
      </w:r>
      <w:r w:rsidR="00CB1DE9">
        <w:rPr>
          <w:rFonts w:ascii="Avenir Next" w:hAnsi="Avenir Next" w:cs="Arial"/>
          <w:color w:val="808080" w:themeColor="background1" w:themeShade="80"/>
          <w:sz w:val="22"/>
          <w:szCs w:val="22"/>
          <w:lang w:val="en-GB"/>
        </w:rPr>
        <w:t>.</w:t>
      </w:r>
      <w:r w:rsidR="00703DC8">
        <w:rPr>
          <w:rFonts w:ascii="Avenir Next" w:hAnsi="Avenir Next" w:cs="Arial"/>
          <w:color w:val="808080" w:themeColor="background1" w:themeShade="80"/>
          <w:sz w:val="22"/>
          <w:szCs w:val="22"/>
          <w:lang w:val="en-GB"/>
        </w:rPr>
        <w:t xml:space="preserve"> </w:t>
      </w:r>
      <w:r w:rsidR="00CB1DE9">
        <w:rPr>
          <w:rFonts w:ascii="Avenir Next" w:hAnsi="Avenir Next" w:cs="Arial"/>
          <w:color w:val="808080" w:themeColor="background1" w:themeShade="80"/>
          <w:sz w:val="22"/>
          <w:szCs w:val="22"/>
          <w:lang w:val="en-GB"/>
        </w:rPr>
        <w:t>I</w:t>
      </w:r>
      <w:r w:rsidR="00703DC8">
        <w:rPr>
          <w:rFonts w:ascii="Avenir Next" w:hAnsi="Avenir Next" w:cs="Arial"/>
          <w:color w:val="808080" w:themeColor="background1" w:themeShade="80"/>
          <w:sz w:val="22"/>
          <w:szCs w:val="22"/>
          <w:lang w:val="en-GB"/>
        </w:rPr>
        <w:t>n my view,</w:t>
      </w:r>
      <w:r w:rsidR="00C526A3" w:rsidRPr="00C526A3">
        <w:rPr>
          <w:rFonts w:ascii="Avenir Next" w:hAnsi="Avenir Next" w:cs="Arial"/>
          <w:color w:val="808080" w:themeColor="background1" w:themeShade="80"/>
          <w:sz w:val="22"/>
          <w:szCs w:val="22"/>
          <w:lang w:val="en-GB"/>
        </w:rPr>
        <w:t xml:space="preserve"> </w:t>
      </w:r>
      <w:r w:rsidR="00C526A3">
        <w:rPr>
          <w:rFonts w:ascii="Avenir Next" w:hAnsi="Avenir Next" w:cs="Arial"/>
          <w:color w:val="808080" w:themeColor="background1" w:themeShade="80"/>
          <w:sz w:val="22"/>
          <w:szCs w:val="22"/>
          <w:lang w:val="en-GB"/>
        </w:rPr>
        <w:t>these</w:t>
      </w:r>
      <w:r w:rsidR="000E1CF9">
        <w:rPr>
          <w:rFonts w:ascii="Avenir Next" w:hAnsi="Avenir Next" w:cs="Arial"/>
          <w:color w:val="808080" w:themeColor="background1" w:themeShade="80"/>
          <w:sz w:val="22"/>
          <w:szCs w:val="22"/>
          <w:lang w:val="en-GB"/>
        </w:rPr>
        <w:t xml:space="preserve"> features </w:t>
      </w:r>
      <w:r w:rsidR="00C526A3">
        <w:rPr>
          <w:rFonts w:ascii="Avenir Next" w:hAnsi="Avenir Next" w:cs="Arial"/>
          <w:color w:val="808080" w:themeColor="background1" w:themeShade="80"/>
          <w:sz w:val="22"/>
          <w:szCs w:val="22"/>
          <w:lang w:val="en-GB"/>
        </w:rPr>
        <w:t xml:space="preserve">could apply </w:t>
      </w:r>
      <w:r w:rsidR="00703DC8">
        <w:rPr>
          <w:rFonts w:ascii="Avenir Next" w:hAnsi="Avenir Next" w:cs="Arial"/>
          <w:color w:val="808080" w:themeColor="background1" w:themeShade="80"/>
          <w:sz w:val="22"/>
          <w:szCs w:val="22"/>
          <w:lang w:val="en-GB"/>
        </w:rPr>
        <w:t xml:space="preserve">similarly </w:t>
      </w:r>
      <w:r w:rsidR="00C526A3">
        <w:rPr>
          <w:rFonts w:ascii="Avenir Next" w:hAnsi="Avenir Next" w:cs="Arial"/>
          <w:color w:val="808080" w:themeColor="background1" w:themeShade="80"/>
          <w:sz w:val="22"/>
          <w:szCs w:val="22"/>
          <w:lang w:val="en-GB"/>
        </w:rPr>
        <w:t xml:space="preserve">to the concepts </w:t>
      </w:r>
      <w:r w:rsidR="00703DC8">
        <w:rPr>
          <w:rFonts w:ascii="Avenir Next" w:hAnsi="Avenir Next" w:cs="Arial"/>
          <w:color w:val="808080" w:themeColor="background1" w:themeShade="80"/>
          <w:sz w:val="22"/>
          <w:szCs w:val="22"/>
          <w:lang w:val="en-GB"/>
        </w:rPr>
        <w:t>of bankruptcy and insolvency:</w:t>
      </w:r>
      <w:r w:rsidR="00C42E6F">
        <w:rPr>
          <w:rFonts w:ascii="Avenir Next" w:hAnsi="Avenir Next" w:cs="Arial"/>
          <w:color w:val="808080" w:themeColor="background1" w:themeShade="80"/>
          <w:sz w:val="22"/>
          <w:szCs w:val="22"/>
          <w:lang w:val="en-GB"/>
        </w:rPr>
        <w:t xml:space="preserve"> (i) m</w:t>
      </w:r>
      <w:r w:rsidR="00C42E6F" w:rsidRPr="00C42E6F">
        <w:rPr>
          <w:rFonts w:ascii="Avenir Next" w:hAnsi="Avenir Next" w:cs="Arial"/>
          <w:color w:val="808080" w:themeColor="background1" w:themeShade="80"/>
          <w:sz w:val="22"/>
          <w:szCs w:val="22"/>
          <w:lang w:val="en-GB"/>
        </w:rPr>
        <w:t>oratorium</w:t>
      </w:r>
      <w:r w:rsidR="00C42E6F">
        <w:rPr>
          <w:rFonts w:ascii="Avenir Next" w:hAnsi="Avenir Next" w:cs="Arial"/>
          <w:color w:val="808080" w:themeColor="background1" w:themeShade="80"/>
          <w:sz w:val="22"/>
          <w:szCs w:val="22"/>
          <w:lang w:val="en-GB"/>
        </w:rPr>
        <w:t xml:space="preserve">; </w:t>
      </w:r>
      <w:r w:rsidR="006B127A">
        <w:rPr>
          <w:rFonts w:ascii="Avenir Next" w:hAnsi="Avenir Next" w:cs="Arial"/>
          <w:color w:val="808080" w:themeColor="background1" w:themeShade="80"/>
          <w:sz w:val="22"/>
          <w:szCs w:val="22"/>
          <w:lang w:val="en-GB"/>
        </w:rPr>
        <w:t>(ii)</w:t>
      </w:r>
      <w:r w:rsidR="000E1CF9">
        <w:rPr>
          <w:rFonts w:ascii="Avenir Next" w:hAnsi="Avenir Next" w:cs="Arial"/>
          <w:color w:val="808080" w:themeColor="background1" w:themeShade="80"/>
          <w:sz w:val="22"/>
          <w:szCs w:val="22"/>
          <w:lang w:val="en-GB"/>
        </w:rPr>
        <w:t xml:space="preserve"> </w:t>
      </w:r>
      <w:r w:rsidR="00B32062">
        <w:rPr>
          <w:rFonts w:ascii="Avenir Next" w:hAnsi="Avenir Next" w:cs="Arial"/>
          <w:color w:val="808080" w:themeColor="background1" w:themeShade="80"/>
          <w:sz w:val="22"/>
          <w:szCs w:val="22"/>
          <w:lang w:val="en-GB"/>
        </w:rPr>
        <w:t>collation of assets to distribute amongst creditors; (iii)</w:t>
      </w:r>
      <w:r w:rsidR="002A63E0">
        <w:rPr>
          <w:rFonts w:ascii="Avenir Next" w:hAnsi="Avenir Next" w:cs="Arial"/>
          <w:color w:val="808080" w:themeColor="background1" w:themeShade="80"/>
          <w:sz w:val="22"/>
          <w:szCs w:val="22"/>
          <w:lang w:val="en-GB"/>
        </w:rPr>
        <w:t xml:space="preserve"> creditors paid pari passu (subject to priority rights and preferences). </w:t>
      </w:r>
    </w:p>
    <w:p w14:paraId="25AFD33F" w14:textId="77777777" w:rsidR="00703DC8" w:rsidRDefault="00703DC8" w:rsidP="00DA42DA">
      <w:pPr>
        <w:jc w:val="both"/>
        <w:rPr>
          <w:rFonts w:ascii="Avenir Next" w:hAnsi="Avenir Next" w:cs="Arial"/>
          <w:color w:val="808080" w:themeColor="background1" w:themeShade="80"/>
          <w:sz w:val="22"/>
          <w:szCs w:val="22"/>
          <w:lang w:val="en-GB"/>
        </w:rPr>
      </w:pPr>
    </w:p>
    <w:p w14:paraId="174843DF" w14:textId="77777777" w:rsidR="00CB1DE9" w:rsidRDefault="00CF4AA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Sealy and Hooley</w:t>
      </w:r>
      <w:r w:rsidR="00CA07F4">
        <w:rPr>
          <w:rStyle w:val="FootnoteReference"/>
          <w:rFonts w:ascii="Avenir Next" w:hAnsi="Avenir Next" w:cs="Arial"/>
          <w:color w:val="808080" w:themeColor="background1" w:themeShade="80"/>
          <w:sz w:val="22"/>
          <w:szCs w:val="22"/>
          <w:lang w:val="en-GB"/>
        </w:rPr>
        <w:footnoteReference w:id="9"/>
      </w:r>
      <w:r>
        <w:rPr>
          <w:rFonts w:ascii="Avenir Next" w:hAnsi="Avenir Next" w:cs="Arial"/>
          <w:color w:val="808080" w:themeColor="background1" w:themeShade="80"/>
          <w:sz w:val="22"/>
          <w:szCs w:val="22"/>
          <w:lang w:val="en-GB"/>
        </w:rPr>
        <w:t xml:space="preserve"> </w:t>
      </w:r>
      <w:r w:rsidR="00292834">
        <w:rPr>
          <w:rFonts w:ascii="Avenir Next" w:hAnsi="Avenir Next" w:cs="Arial"/>
          <w:color w:val="808080" w:themeColor="background1" w:themeShade="80"/>
          <w:sz w:val="22"/>
          <w:szCs w:val="22"/>
          <w:lang w:val="en-GB"/>
        </w:rPr>
        <w:t>agree with the common features</w:t>
      </w:r>
      <w:r w:rsidR="00CB1DE9">
        <w:rPr>
          <w:rFonts w:ascii="Avenir Next" w:hAnsi="Avenir Next" w:cs="Arial"/>
          <w:color w:val="808080" w:themeColor="background1" w:themeShade="80"/>
          <w:sz w:val="22"/>
          <w:szCs w:val="22"/>
          <w:lang w:val="en-GB"/>
        </w:rPr>
        <w:t xml:space="preserve"> of insolvency or bankruptcy</w:t>
      </w:r>
      <w:r w:rsidR="00292834">
        <w:rPr>
          <w:rFonts w:ascii="Avenir Next" w:hAnsi="Avenir Next" w:cs="Arial"/>
          <w:color w:val="808080" w:themeColor="background1" w:themeShade="80"/>
          <w:sz w:val="22"/>
          <w:szCs w:val="22"/>
          <w:lang w:val="en-GB"/>
        </w:rPr>
        <w:t xml:space="preserve"> being </w:t>
      </w:r>
      <w:r w:rsidR="00CA56B5">
        <w:rPr>
          <w:rFonts w:ascii="Avenir Next" w:hAnsi="Avenir Next" w:cs="Arial"/>
          <w:color w:val="808080" w:themeColor="background1" w:themeShade="80"/>
          <w:sz w:val="22"/>
          <w:szCs w:val="22"/>
          <w:lang w:val="en-GB"/>
        </w:rPr>
        <w:t>pari passu distribution (with exceptions) and add</w:t>
      </w:r>
      <w:r w:rsidR="00CA07F4">
        <w:rPr>
          <w:rFonts w:ascii="Avenir Next" w:hAnsi="Avenir Next" w:cs="Arial"/>
          <w:color w:val="808080" w:themeColor="background1" w:themeShade="80"/>
          <w:sz w:val="22"/>
          <w:szCs w:val="22"/>
          <w:lang w:val="en-GB"/>
        </w:rPr>
        <w:t>: fair dealing amongst creditors, investigation of reasons for financial failure, and to reclaim voidable dispositions.</w:t>
      </w:r>
      <w:r w:rsidR="00292834">
        <w:rPr>
          <w:rFonts w:ascii="Avenir Next" w:hAnsi="Avenir Next" w:cs="Arial"/>
          <w:color w:val="808080" w:themeColor="background1" w:themeShade="80"/>
          <w:sz w:val="22"/>
          <w:szCs w:val="22"/>
          <w:lang w:val="en-GB"/>
        </w:rPr>
        <w:t xml:space="preserve"> </w:t>
      </w:r>
    </w:p>
    <w:p w14:paraId="728502B3" w14:textId="77777777" w:rsidR="00CB1DE9" w:rsidRDefault="00CB1DE9" w:rsidP="00DA42DA">
      <w:pPr>
        <w:jc w:val="both"/>
        <w:rPr>
          <w:rFonts w:ascii="Avenir Next" w:hAnsi="Avenir Next" w:cs="Arial"/>
          <w:color w:val="808080" w:themeColor="background1" w:themeShade="80"/>
          <w:sz w:val="22"/>
          <w:szCs w:val="22"/>
          <w:lang w:val="en-GB"/>
        </w:rPr>
      </w:pPr>
    </w:p>
    <w:p w14:paraId="28A66480" w14:textId="39358360" w:rsidR="006A57DA" w:rsidRDefault="00384B2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would add </w:t>
      </w:r>
      <w:r w:rsidR="00CB1DE9">
        <w:rPr>
          <w:rFonts w:ascii="Avenir Next" w:hAnsi="Avenir Next" w:cs="Arial"/>
          <w:color w:val="808080" w:themeColor="background1" w:themeShade="80"/>
          <w:sz w:val="22"/>
          <w:szCs w:val="22"/>
          <w:lang w:val="en-GB"/>
        </w:rPr>
        <w:t xml:space="preserve">the following essential characteristic of bankruptcy and insolvency: the </w:t>
      </w:r>
      <w:r w:rsidRPr="00384B27">
        <w:rPr>
          <w:rFonts w:ascii="Avenir Next" w:hAnsi="Avenir Next" w:cs="Arial"/>
          <w:color w:val="808080" w:themeColor="background1" w:themeShade="80"/>
          <w:sz w:val="22"/>
          <w:szCs w:val="22"/>
          <w:lang w:val="en-GB"/>
        </w:rPr>
        <w:t>imposition of liability or sanctions</w:t>
      </w:r>
      <w:r>
        <w:rPr>
          <w:rFonts w:ascii="Avenir Next" w:hAnsi="Avenir Next" w:cs="Arial"/>
          <w:color w:val="808080" w:themeColor="background1" w:themeShade="80"/>
          <w:sz w:val="22"/>
          <w:szCs w:val="22"/>
          <w:lang w:val="en-GB"/>
        </w:rPr>
        <w:t xml:space="preserve"> where an individual (in a personal or corporate context) has abused his/her position, to, for example, obtain credit improperly or </w:t>
      </w:r>
      <w:r w:rsidR="00092F16">
        <w:rPr>
          <w:rFonts w:ascii="Avenir Next" w:hAnsi="Avenir Next" w:cs="Arial"/>
          <w:color w:val="808080" w:themeColor="background1" w:themeShade="80"/>
          <w:sz w:val="22"/>
          <w:szCs w:val="22"/>
          <w:lang w:val="en-GB"/>
        </w:rPr>
        <w:t>create voidable dispositions / inappropriate preferences</w:t>
      </w:r>
      <w:r w:rsidR="00CB1DE9">
        <w:rPr>
          <w:rFonts w:ascii="Avenir Next" w:hAnsi="Avenir Next" w:cs="Arial"/>
          <w:color w:val="808080" w:themeColor="background1" w:themeShade="80"/>
          <w:sz w:val="22"/>
          <w:szCs w:val="22"/>
          <w:lang w:val="en-GB"/>
        </w:rPr>
        <w:t xml:space="preserve"> or otherwise seek to defraud creditors / avoid their rights being effective</w:t>
      </w:r>
      <w:r w:rsidR="00092F16">
        <w:rPr>
          <w:rFonts w:ascii="Avenir Next" w:hAnsi="Avenir Next" w:cs="Arial"/>
          <w:color w:val="808080" w:themeColor="background1" w:themeShade="80"/>
          <w:sz w:val="22"/>
          <w:szCs w:val="22"/>
          <w:lang w:val="en-GB"/>
        </w:rPr>
        <w:t xml:space="preserve">. </w:t>
      </w:r>
    </w:p>
    <w:p w14:paraId="76D1E474" w14:textId="6D3628EE" w:rsidR="00CB1DE9" w:rsidRDefault="00CB1DE9" w:rsidP="00DA42DA">
      <w:pPr>
        <w:jc w:val="both"/>
        <w:rPr>
          <w:rFonts w:ascii="Avenir Next" w:hAnsi="Avenir Next" w:cs="Arial"/>
          <w:color w:val="808080" w:themeColor="background1" w:themeShade="80"/>
          <w:sz w:val="22"/>
          <w:szCs w:val="22"/>
          <w:lang w:val="en-GB"/>
        </w:rPr>
      </w:pPr>
    </w:p>
    <w:p w14:paraId="51CD16CA" w14:textId="00FB6BEC" w:rsidR="00CB1DE9" w:rsidRDefault="00CB1DE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I accept that </w:t>
      </w:r>
      <w:r w:rsidRPr="00CB1DE9">
        <w:rPr>
          <w:rFonts w:ascii="Avenir Next" w:hAnsi="Avenir Next" w:cs="Arial"/>
          <w:color w:val="808080" w:themeColor="background1" w:themeShade="80"/>
          <w:sz w:val="22"/>
          <w:szCs w:val="22"/>
          <w:lang w:val="en-GB"/>
        </w:rPr>
        <w:t>bankruptcy and insolvency</w:t>
      </w:r>
      <w:r>
        <w:rPr>
          <w:rFonts w:ascii="Avenir Next" w:hAnsi="Avenir Next" w:cs="Arial"/>
          <w:color w:val="808080" w:themeColor="background1" w:themeShade="80"/>
          <w:sz w:val="22"/>
          <w:szCs w:val="22"/>
          <w:lang w:val="en-GB"/>
        </w:rPr>
        <w:t xml:space="preserve"> do have common essential characteristics, my view remains that </w:t>
      </w:r>
      <w:r w:rsidRPr="00CB1DE9">
        <w:rPr>
          <w:rFonts w:ascii="Avenir Next" w:hAnsi="Avenir Next" w:cs="Arial"/>
          <w:color w:val="808080" w:themeColor="background1" w:themeShade="80"/>
          <w:sz w:val="22"/>
          <w:szCs w:val="22"/>
          <w:lang w:val="en-GB"/>
        </w:rPr>
        <w:t>the terms should only be used interchangeably at a very high level</w:t>
      </w:r>
      <w:r>
        <w:rPr>
          <w:rFonts w:ascii="Avenir Next" w:hAnsi="Avenir Next" w:cs="Arial"/>
          <w:color w:val="808080" w:themeColor="background1" w:themeShade="80"/>
          <w:sz w:val="22"/>
          <w:szCs w:val="22"/>
          <w:lang w:val="en-GB"/>
        </w:rPr>
        <w:t xml:space="preserve">, given the inherent differences between the two, as summarised above and below. </w:t>
      </w:r>
    </w:p>
    <w:p w14:paraId="75FA39AA" w14:textId="77777777" w:rsidR="0078289A" w:rsidRDefault="0078289A" w:rsidP="00DA42DA">
      <w:pPr>
        <w:jc w:val="both"/>
        <w:rPr>
          <w:rFonts w:ascii="Avenir Next" w:hAnsi="Avenir Next" w:cs="Arial"/>
          <w:color w:val="808080" w:themeColor="background1" w:themeShade="80"/>
          <w:sz w:val="22"/>
          <w:szCs w:val="22"/>
          <w:lang w:val="en-GB"/>
        </w:rPr>
      </w:pPr>
    </w:p>
    <w:p w14:paraId="7B081B2B" w14:textId="6640FDED" w:rsidR="00384B27" w:rsidRPr="00384B27" w:rsidRDefault="00384B27" w:rsidP="00DA42DA">
      <w:pPr>
        <w:jc w:val="both"/>
        <w:rPr>
          <w:rFonts w:ascii="Avenir Next" w:hAnsi="Avenir Next" w:cs="Arial"/>
          <w:b/>
          <w:bCs/>
          <w:color w:val="808080" w:themeColor="background1" w:themeShade="80"/>
          <w:sz w:val="22"/>
          <w:szCs w:val="22"/>
          <w:lang w:val="en-GB"/>
        </w:rPr>
      </w:pPr>
      <w:r w:rsidRPr="00384B27">
        <w:rPr>
          <w:rFonts w:ascii="Avenir Next" w:hAnsi="Avenir Next" w:cs="Arial"/>
          <w:b/>
          <w:bCs/>
          <w:color w:val="808080" w:themeColor="background1" w:themeShade="80"/>
          <w:sz w:val="22"/>
          <w:szCs w:val="22"/>
          <w:lang w:val="en-GB"/>
        </w:rPr>
        <w:t xml:space="preserve">(iii) </w:t>
      </w:r>
      <w:r>
        <w:rPr>
          <w:rFonts w:ascii="Avenir Next" w:hAnsi="Avenir Next" w:cs="Arial"/>
          <w:b/>
          <w:bCs/>
          <w:color w:val="808080" w:themeColor="background1" w:themeShade="80"/>
          <w:sz w:val="22"/>
          <w:szCs w:val="22"/>
          <w:lang w:val="en-GB"/>
        </w:rPr>
        <w:t>D</w:t>
      </w:r>
      <w:r w:rsidRPr="00384B27">
        <w:rPr>
          <w:rFonts w:ascii="Avenir Next" w:hAnsi="Avenir Next" w:cs="Arial"/>
          <w:b/>
          <w:bCs/>
          <w:color w:val="808080" w:themeColor="background1" w:themeShade="80"/>
          <w:sz w:val="22"/>
          <w:szCs w:val="22"/>
          <w:lang w:val="en-GB"/>
        </w:rPr>
        <w:t>ifferences that may arise when a “bankruptcy” / “insolvency” involves a corporation rather than an individual</w:t>
      </w:r>
    </w:p>
    <w:p w14:paraId="0A8E99E4" w14:textId="77777777" w:rsidR="00384B27" w:rsidRDefault="00384B27" w:rsidP="00DA42DA">
      <w:pPr>
        <w:jc w:val="both"/>
        <w:rPr>
          <w:rFonts w:ascii="Avenir Next" w:hAnsi="Avenir Next" w:cs="Arial"/>
          <w:color w:val="808080" w:themeColor="background1" w:themeShade="80"/>
          <w:sz w:val="22"/>
          <w:szCs w:val="22"/>
          <w:lang w:val="en-GB"/>
        </w:rPr>
      </w:pPr>
    </w:p>
    <w:p w14:paraId="1174134A" w14:textId="749E614F" w:rsidR="0078289A" w:rsidRPr="00DA42DA" w:rsidRDefault="0078289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Differences arising between bankruptcy / insolvency of an individual and a company include </w:t>
      </w:r>
      <w:r w:rsidR="00AB4257">
        <w:rPr>
          <w:rFonts w:ascii="Avenir Next" w:hAnsi="Avenir Next" w:cs="Arial"/>
          <w:color w:val="808080" w:themeColor="background1" w:themeShade="80"/>
          <w:sz w:val="22"/>
          <w:szCs w:val="22"/>
          <w:lang w:val="en-GB"/>
        </w:rPr>
        <w:t xml:space="preserve">(i) corporate rescue or preservation of a company </w:t>
      </w:r>
      <w:r w:rsidR="006A57DA">
        <w:rPr>
          <w:rFonts w:ascii="Avenir Next" w:hAnsi="Avenir Next" w:cs="Arial"/>
          <w:color w:val="808080" w:themeColor="background1" w:themeShade="80"/>
          <w:sz w:val="22"/>
          <w:szCs w:val="22"/>
          <w:lang w:val="en-GB"/>
        </w:rPr>
        <w:t xml:space="preserve">(or part thereof) </w:t>
      </w:r>
      <w:r w:rsidR="00AB4257">
        <w:rPr>
          <w:rFonts w:ascii="Avenir Next" w:hAnsi="Avenir Next" w:cs="Arial"/>
          <w:color w:val="808080" w:themeColor="background1" w:themeShade="80"/>
          <w:sz w:val="22"/>
          <w:szCs w:val="22"/>
          <w:lang w:val="en-GB"/>
        </w:rPr>
        <w:t>versus protection from harassment for an individual</w:t>
      </w:r>
      <w:r w:rsidR="00384B27">
        <w:rPr>
          <w:rFonts w:ascii="Avenir Next" w:hAnsi="Avenir Next" w:cs="Arial"/>
          <w:color w:val="808080" w:themeColor="background1" w:themeShade="80"/>
          <w:sz w:val="22"/>
          <w:szCs w:val="22"/>
          <w:lang w:val="en-GB"/>
        </w:rPr>
        <w:t xml:space="preserve"> / the concept of a ‘fresh start’</w:t>
      </w:r>
      <w:r w:rsidR="00AB4257">
        <w:rPr>
          <w:rFonts w:ascii="Avenir Next" w:hAnsi="Avenir Next" w:cs="Arial"/>
          <w:color w:val="808080" w:themeColor="background1" w:themeShade="80"/>
          <w:sz w:val="22"/>
          <w:szCs w:val="22"/>
          <w:lang w:val="en-GB"/>
        </w:rPr>
        <w:t>; (ii)</w:t>
      </w:r>
      <w:r w:rsidR="00F32F84">
        <w:rPr>
          <w:rFonts w:ascii="Avenir Next" w:hAnsi="Avenir Next" w:cs="Arial"/>
          <w:color w:val="808080" w:themeColor="background1" w:themeShade="80"/>
          <w:sz w:val="22"/>
          <w:szCs w:val="22"/>
          <w:lang w:val="en-GB"/>
        </w:rPr>
        <w:t xml:space="preserve"> the fact of </w:t>
      </w:r>
      <w:r w:rsidR="00BF08F5">
        <w:rPr>
          <w:rFonts w:ascii="Avenir Next" w:hAnsi="Avenir Next" w:cs="Arial"/>
          <w:color w:val="808080" w:themeColor="background1" w:themeShade="80"/>
          <w:sz w:val="22"/>
          <w:szCs w:val="22"/>
          <w:lang w:val="en-GB"/>
        </w:rPr>
        <w:t>excluded</w:t>
      </w:r>
      <w:r w:rsidR="00F32F84">
        <w:rPr>
          <w:rFonts w:ascii="Avenir Next" w:hAnsi="Avenir Next" w:cs="Arial"/>
          <w:color w:val="808080" w:themeColor="background1" w:themeShade="80"/>
          <w:sz w:val="22"/>
          <w:szCs w:val="22"/>
          <w:lang w:val="en-GB"/>
        </w:rPr>
        <w:t xml:space="preserve"> / exempt assets from the creditor ‘pot’ for individuals</w:t>
      </w:r>
      <w:r w:rsidR="00384B27">
        <w:rPr>
          <w:rFonts w:ascii="Avenir Next" w:hAnsi="Avenir Next" w:cs="Arial"/>
          <w:color w:val="808080" w:themeColor="background1" w:themeShade="80"/>
          <w:sz w:val="22"/>
          <w:szCs w:val="22"/>
          <w:lang w:val="en-GB"/>
        </w:rPr>
        <w:t xml:space="preserve"> whereas </w:t>
      </w:r>
      <w:r w:rsidR="00384B27" w:rsidRPr="006A57DA">
        <w:rPr>
          <w:rFonts w:ascii="Avenir Next" w:hAnsi="Avenir Next" w:cs="Arial"/>
          <w:color w:val="808080" w:themeColor="background1" w:themeShade="80"/>
          <w:sz w:val="22"/>
          <w:szCs w:val="22"/>
          <w:lang w:val="en-GB"/>
        </w:rPr>
        <w:t>exclusions are not generally found in corporate insolvency regimes (although can be agreed in consensual, informal proceedings)</w:t>
      </w:r>
      <w:r w:rsidR="00F32F84">
        <w:rPr>
          <w:rFonts w:ascii="Avenir Next" w:hAnsi="Avenir Next" w:cs="Arial"/>
          <w:color w:val="808080" w:themeColor="background1" w:themeShade="80"/>
          <w:sz w:val="22"/>
          <w:szCs w:val="22"/>
          <w:lang w:val="en-GB"/>
        </w:rPr>
        <w:t>; (iii) the fact that whilst ultimately you can liquidate and dissolve a company, you cannot (</w:t>
      </w:r>
      <w:r w:rsidR="006A57DA" w:rsidRPr="006A57DA">
        <w:rPr>
          <w:rFonts w:ascii="Avenir Next" w:hAnsi="Avenir Next" w:cs="Arial"/>
          <w:color w:val="808080" w:themeColor="background1" w:themeShade="80"/>
          <w:sz w:val="22"/>
          <w:szCs w:val="22"/>
          <w:lang w:val="en-GB"/>
        </w:rPr>
        <w:t>historical practices aside</w:t>
      </w:r>
      <w:r w:rsidR="00F32F84">
        <w:rPr>
          <w:rFonts w:ascii="Avenir Next" w:hAnsi="Avenir Next" w:cs="Arial"/>
          <w:color w:val="808080" w:themeColor="background1" w:themeShade="80"/>
          <w:sz w:val="22"/>
          <w:szCs w:val="22"/>
          <w:lang w:val="en-GB"/>
        </w:rPr>
        <w:t>) dissolve an individual</w:t>
      </w:r>
      <w:r w:rsidR="00384B27">
        <w:rPr>
          <w:rFonts w:ascii="Avenir Next" w:hAnsi="Avenir Next" w:cs="Arial"/>
          <w:color w:val="808080" w:themeColor="background1" w:themeShade="80"/>
          <w:sz w:val="22"/>
          <w:szCs w:val="22"/>
          <w:lang w:val="en-GB"/>
        </w:rPr>
        <w:t>.</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0F6DC6">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418B082C" w14:textId="77777777" w:rsidR="003269C5" w:rsidRPr="00D41802" w:rsidRDefault="003269C5" w:rsidP="003269C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Westbrook, an advocate for universalism, has identified </w:t>
      </w:r>
      <w:r w:rsidRPr="00715D3A">
        <w:rPr>
          <w:rFonts w:ascii="Avenir Next" w:hAnsi="Avenir Next" w:cs="Arial"/>
          <w:color w:val="7B7B7B" w:themeColor="accent3" w:themeShade="BF"/>
          <w:sz w:val="22"/>
          <w:szCs w:val="22"/>
          <w:lang w:val="en-GB"/>
        </w:rPr>
        <w:t>nine key issues in cross-border</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cases: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(1) standing for (recognition of) the foreign representative;</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(2) moratorium on creditor actions;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(3) creditor participation;</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(4) executory contracts;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(5) co-ordinated claims procedures;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(6) priorities and preferences;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(7) avoidance provision powers;</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(8) discharges; and</w:t>
      </w:r>
      <w:r>
        <w:rPr>
          <w:rFonts w:ascii="Avenir Next" w:hAnsi="Avenir Next" w:cs="Arial"/>
          <w:color w:val="7B7B7B" w:themeColor="accent3" w:themeShade="BF"/>
          <w:sz w:val="22"/>
          <w:szCs w:val="22"/>
          <w:lang w:val="en-GB"/>
        </w:rPr>
        <w:t xml:space="preserve"> </w:t>
      </w:r>
      <w:r w:rsidRPr="00715D3A">
        <w:rPr>
          <w:rFonts w:ascii="Avenir Next" w:hAnsi="Avenir Next" w:cs="Arial"/>
          <w:color w:val="7B7B7B" w:themeColor="accent3" w:themeShade="BF"/>
          <w:sz w:val="22"/>
          <w:szCs w:val="22"/>
          <w:lang w:val="en-GB"/>
        </w:rPr>
        <w:t>(9) conflict-of-law issues.</w:t>
      </w:r>
      <w:r>
        <w:rPr>
          <w:rStyle w:val="FootnoteReference"/>
          <w:rFonts w:ascii="Avenir Next" w:hAnsi="Avenir Next" w:cs="Arial"/>
          <w:color w:val="7B7B7B" w:themeColor="accent3" w:themeShade="BF"/>
          <w:sz w:val="22"/>
          <w:szCs w:val="22"/>
          <w:lang w:val="en-GB"/>
        </w:rPr>
        <w:footnoteReference w:id="10"/>
      </w:r>
    </w:p>
    <w:p w14:paraId="581F3D99" w14:textId="77777777" w:rsidR="003269C5" w:rsidRDefault="003269C5" w:rsidP="00DA42DA">
      <w:pPr>
        <w:jc w:val="both"/>
        <w:rPr>
          <w:rFonts w:ascii="Avenir Next" w:hAnsi="Avenir Next" w:cs="Arial"/>
          <w:color w:val="808080" w:themeColor="background1" w:themeShade="80"/>
          <w:sz w:val="22"/>
          <w:szCs w:val="22"/>
          <w:lang w:val="en-GB"/>
        </w:rPr>
      </w:pPr>
    </w:p>
    <w:p w14:paraId="77C9743A" w14:textId="1CBCACAB" w:rsidR="000F6DC6" w:rsidRDefault="003269C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d</w:t>
      </w:r>
      <w:r w:rsidR="00C73386">
        <w:rPr>
          <w:rFonts w:ascii="Avenir Next" w:hAnsi="Avenir Next" w:cs="Arial"/>
          <w:color w:val="808080" w:themeColor="background1" w:themeShade="80"/>
          <w:sz w:val="22"/>
          <w:szCs w:val="22"/>
          <w:lang w:val="en-GB"/>
        </w:rPr>
        <w:t xml:space="preserve">ifferent jurisdictions </w:t>
      </w:r>
      <w:r w:rsidR="00EB4FB1">
        <w:rPr>
          <w:rFonts w:ascii="Avenir Next" w:hAnsi="Avenir Next" w:cs="Arial"/>
          <w:color w:val="808080" w:themeColor="background1" w:themeShade="80"/>
          <w:sz w:val="22"/>
          <w:szCs w:val="22"/>
          <w:lang w:val="en-GB"/>
        </w:rPr>
        <w:t xml:space="preserve">have </w:t>
      </w:r>
      <w:r>
        <w:rPr>
          <w:rFonts w:ascii="Avenir Next" w:hAnsi="Avenir Next" w:cs="Arial"/>
          <w:color w:val="808080" w:themeColor="background1" w:themeShade="80"/>
          <w:sz w:val="22"/>
          <w:szCs w:val="22"/>
          <w:lang w:val="en-GB"/>
        </w:rPr>
        <w:t xml:space="preserve">adopted different </w:t>
      </w:r>
      <w:r w:rsidR="00C16873">
        <w:rPr>
          <w:rFonts w:ascii="Avenir Next" w:hAnsi="Avenir Next" w:cs="Arial"/>
          <w:color w:val="808080" w:themeColor="background1" w:themeShade="80"/>
          <w:sz w:val="22"/>
          <w:szCs w:val="22"/>
          <w:lang w:val="en-GB"/>
        </w:rPr>
        <w:t xml:space="preserve">language and </w:t>
      </w:r>
      <w:r>
        <w:rPr>
          <w:rFonts w:ascii="Avenir Next" w:hAnsi="Avenir Next" w:cs="Arial"/>
          <w:color w:val="808080" w:themeColor="background1" w:themeShade="80"/>
          <w:sz w:val="22"/>
          <w:szCs w:val="22"/>
          <w:lang w:val="en-GB"/>
        </w:rPr>
        <w:t xml:space="preserve">meanings </w:t>
      </w:r>
      <w:r w:rsidR="00EB4FB1">
        <w:rPr>
          <w:rFonts w:ascii="Avenir Next" w:hAnsi="Avenir Next" w:cs="Arial"/>
          <w:color w:val="808080" w:themeColor="background1" w:themeShade="80"/>
          <w:sz w:val="22"/>
          <w:szCs w:val="22"/>
          <w:lang w:val="en-GB"/>
        </w:rPr>
        <w:t xml:space="preserve">of the term ‘insolvency’ and </w:t>
      </w:r>
      <w:r w:rsidR="00C16873">
        <w:rPr>
          <w:rFonts w:ascii="Avenir Next" w:hAnsi="Avenir Next" w:cs="Arial"/>
          <w:color w:val="808080" w:themeColor="background1" w:themeShade="80"/>
          <w:sz w:val="22"/>
          <w:szCs w:val="22"/>
          <w:lang w:val="en-GB"/>
        </w:rPr>
        <w:t xml:space="preserve">adopt </w:t>
      </w:r>
      <w:r>
        <w:rPr>
          <w:rFonts w:ascii="Avenir Next" w:hAnsi="Avenir Next" w:cs="Arial"/>
          <w:color w:val="808080" w:themeColor="background1" w:themeShade="80"/>
          <w:sz w:val="22"/>
          <w:szCs w:val="22"/>
          <w:lang w:val="en-GB"/>
        </w:rPr>
        <w:t xml:space="preserve">different views on when, for example, </w:t>
      </w:r>
      <w:r w:rsidR="00EB4FB1">
        <w:rPr>
          <w:rFonts w:ascii="Avenir Next" w:hAnsi="Avenir Next" w:cs="Arial"/>
          <w:color w:val="808080" w:themeColor="background1" w:themeShade="80"/>
          <w:sz w:val="22"/>
          <w:szCs w:val="22"/>
          <w:lang w:val="en-GB"/>
        </w:rPr>
        <w:t>a company (or individual) is deemed to be insolvent</w:t>
      </w:r>
      <w:r w:rsidR="00591426">
        <w:rPr>
          <w:rFonts w:ascii="Avenir Next" w:hAnsi="Avenir Next" w:cs="Arial"/>
          <w:color w:val="808080" w:themeColor="background1" w:themeShade="80"/>
          <w:sz w:val="22"/>
          <w:szCs w:val="22"/>
          <w:lang w:val="en-GB"/>
        </w:rPr>
        <w:t xml:space="preserve"> and the dates on which a debtor is put into a formal </w:t>
      </w:r>
      <w:r>
        <w:rPr>
          <w:rFonts w:ascii="Avenir Next" w:hAnsi="Avenir Next" w:cs="Arial"/>
          <w:color w:val="808080" w:themeColor="background1" w:themeShade="80"/>
          <w:sz w:val="22"/>
          <w:szCs w:val="22"/>
          <w:lang w:val="en-GB"/>
        </w:rPr>
        <w:t xml:space="preserve">insolvency </w:t>
      </w:r>
      <w:r w:rsidR="00591426">
        <w:rPr>
          <w:rFonts w:ascii="Avenir Next" w:hAnsi="Avenir Next" w:cs="Arial"/>
          <w:color w:val="808080" w:themeColor="background1" w:themeShade="80"/>
          <w:sz w:val="22"/>
          <w:szCs w:val="22"/>
          <w:lang w:val="en-GB"/>
        </w:rPr>
        <w:t>process</w:t>
      </w:r>
      <w:r w:rsidR="00EB4FB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There </w:t>
      </w:r>
      <w:r w:rsidR="002C16E5">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also a plethora of the types of insolvency proceedings that may be utilised in different jurisdictions.</w:t>
      </w:r>
      <w:r w:rsidR="00EB4FB1">
        <w:rPr>
          <w:rFonts w:ascii="Avenir Next" w:hAnsi="Avenir Next" w:cs="Arial"/>
          <w:color w:val="808080" w:themeColor="background1" w:themeShade="80"/>
          <w:sz w:val="22"/>
          <w:szCs w:val="22"/>
          <w:lang w:val="en-GB"/>
        </w:rPr>
        <w:t xml:space="preserve"> </w:t>
      </w:r>
      <w:r w:rsidR="00C16873">
        <w:rPr>
          <w:rFonts w:ascii="Avenir Next" w:hAnsi="Avenir Next" w:cs="Arial"/>
          <w:color w:val="808080" w:themeColor="background1" w:themeShade="80"/>
          <w:sz w:val="22"/>
          <w:szCs w:val="22"/>
          <w:lang w:val="en-GB"/>
        </w:rPr>
        <w:t xml:space="preserve">As discussed in the Guidance </w:t>
      </w:r>
      <w:r w:rsidR="001D19FF">
        <w:rPr>
          <w:rFonts w:ascii="Avenir Next" w:hAnsi="Avenir Next" w:cs="Arial"/>
          <w:color w:val="808080" w:themeColor="background1" w:themeShade="80"/>
          <w:sz w:val="22"/>
          <w:szCs w:val="22"/>
          <w:lang w:val="en-GB"/>
        </w:rPr>
        <w:t>Text</w:t>
      </w:r>
      <w:r w:rsidR="00C16873">
        <w:rPr>
          <w:rFonts w:ascii="Avenir Next" w:hAnsi="Avenir Next" w:cs="Arial"/>
          <w:color w:val="808080" w:themeColor="background1" w:themeShade="80"/>
          <w:sz w:val="22"/>
          <w:szCs w:val="22"/>
          <w:lang w:val="en-GB"/>
        </w:rPr>
        <w:t>, ‘at an international level it may be quite difficult to define the term “insolvency”’.</w:t>
      </w:r>
      <w:r w:rsidR="00C16873">
        <w:rPr>
          <w:rStyle w:val="FootnoteReference"/>
          <w:rFonts w:ascii="Avenir Next" w:hAnsi="Avenir Next" w:cs="Arial"/>
          <w:color w:val="808080" w:themeColor="background1" w:themeShade="80"/>
          <w:sz w:val="22"/>
          <w:szCs w:val="22"/>
          <w:lang w:val="en-GB"/>
        </w:rPr>
        <w:footnoteReference w:id="11"/>
      </w:r>
      <w:r w:rsidR="00A5363C">
        <w:rPr>
          <w:rFonts w:ascii="Avenir Next" w:hAnsi="Avenir Next" w:cs="Arial"/>
          <w:color w:val="808080" w:themeColor="background1" w:themeShade="80"/>
          <w:sz w:val="22"/>
          <w:szCs w:val="22"/>
          <w:lang w:val="en-GB"/>
        </w:rPr>
        <w:t xml:space="preserve"> </w:t>
      </w:r>
      <w:r w:rsidR="00EB4FB1">
        <w:rPr>
          <w:rFonts w:ascii="Avenir Next" w:hAnsi="Avenir Next" w:cs="Arial"/>
          <w:color w:val="808080" w:themeColor="background1" w:themeShade="80"/>
          <w:sz w:val="22"/>
          <w:szCs w:val="22"/>
          <w:lang w:val="en-GB"/>
        </w:rPr>
        <w:t xml:space="preserve">This </w:t>
      </w:r>
      <w:r w:rsidR="002C16E5">
        <w:rPr>
          <w:rFonts w:ascii="Avenir Next" w:hAnsi="Avenir Next" w:cs="Arial"/>
          <w:color w:val="808080" w:themeColor="background1" w:themeShade="80"/>
          <w:sz w:val="22"/>
          <w:szCs w:val="22"/>
          <w:lang w:val="en-GB"/>
        </w:rPr>
        <w:t xml:space="preserve">creates a </w:t>
      </w:r>
      <w:r w:rsidR="00FC0E2C">
        <w:rPr>
          <w:rFonts w:ascii="Avenir Next" w:hAnsi="Avenir Next" w:cs="Arial"/>
          <w:color w:val="808080" w:themeColor="background1" w:themeShade="80"/>
          <w:sz w:val="22"/>
          <w:szCs w:val="22"/>
          <w:lang w:val="en-GB"/>
        </w:rPr>
        <w:t xml:space="preserve">fundamental </w:t>
      </w:r>
      <w:r>
        <w:rPr>
          <w:rFonts w:ascii="Avenir Next" w:hAnsi="Avenir Next" w:cs="Arial"/>
          <w:color w:val="808080" w:themeColor="background1" w:themeShade="80"/>
          <w:sz w:val="22"/>
          <w:szCs w:val="22"/>
          <w:lang w:val="en-GB"/>
        </w:rPr>
        <w:t xml:space="preserve">difficultly in terms of classifying </w:t>
      </w:r>
      <w:r w:rsidR="00FC0E2C">
        <w:rPr>
          <w:rFonts w:ascii="Avenir Next" w:hAnsi="Avenir Next" w:cs="Arial"/>
          <w:color w:val="808080" w:themeColor="background1" w:themeShade="80"/>
          <w:sz w:val="22"/>
          <w:szCs w:val="22"/>
          <w:lang w:val="en-GB"/>
        </w:rPr>
        <w:t xml:space="preserve">the financial status of </w:t>
      </w:r>
      <w:r>
        <w:rPr>
          <w:rFonts w:ascii="Avenir Next" w:hAnsi="Avenir Next" w:cs="Arial"/>
          <w:color w:val="808080" w:themeColor="background1" w:themeShade="80"/>
          <w:sz w:val="22"/>
          <w:szCs w:val="22"/>
          <w:lang w:val="en-GB"/>
        </w:rPr>
        <w:t>a</w:t>
      </w:r>
      <w:r w:rsidR="00FC0E2C">
        <w:rPr>
          <w:rFonts w:ascii="Avenir Next" w:hAnsi="Avenir Next" w:cs="Arial"/>
          <w:color w:val="808080" w:themeColor="background1" w:themeShade="80"/>
          <w:sz w:val="22"/>
          <w:szCs w:val="22"/>
          <w:lang w:val="en-GB"/>
        </w:rPr>
        <w:t xml:space="preserve"> debtor</w:t>
      </w:r>
      <w:r w:rsidR="002C16E5">
        <w:rPr>
          <w:rFonts w:ascii="Avenir Next" w:hAnsi="Avenir Next" w:cs="Arial"/>
          <w:color w:val="808080" w:themeColor="background1" w:themeShade="80"/>
          <w:sz w:val="22"/>
          <w:szCs w:val="22"/>
          <w:lang w:val="en-GB"/>
        </w:rPr>
        <w:t xml:space="preserve"> across jurisdictions</w:t>
      </w:r>
      <w:r w:rsidR="00EC01B6">
        <w:rPr>
          <w:rFonts w:ascii="Avenir Next" w:hAnsi="Avenir Next" w:cs="Arial"/>
          <w:color w:val="808080" w:themeColor="background1" w:themeShade="80"/>
          <w:sz w:val="22"/>
          <w:szCs w:val="22"/>
          <w:lang w:val="en-GB"/>
        </w:rPr>
        <w:t>,</w:t>
      </w:r>
      <w:r w:rsidR="00FC0E2C">
        <w:rPr>
          <w:rFonts w:ascii="Avenir Next" w:hAnsi="Avenir Next" w:cs="Arial"/>
          <w:color w:val="808080" w:themeColor="background1" w:themeShade="80"/>
          <w:sz w:val="22"/>
          <w:szCs w:val="22"/>
          <w:lang w:val="en-GB"/>
        </w:rPr>
        <w:t xml:space="preserve"> </w:t>
      </w:r>
      <w:r w:rsidR="0032776D">
        <w:rPr>
          <w:rFonts w:ascii="Avenir Next" w:hAnsi="Avenir Next" w:cs="Arial"/>
          <w:color w:val="808080" w:themeColor="background1" w:themeShade="80"/>
          <w:sz w:val="22"/>
          <w:szCs w:val="22"/>
          <w:lang w:val="en-GB"/>
        </w:rPr>
        <w:t xml:space="preserve">in that one jurisdiction may consider </w:t>
      </w:r>
      <w:r>
        <w:rPr>
          <w:rFonts w:ascii="Avenir Next" w:hAnsi="Avenir Next" w:cs="Arial"/>
          <w:color w:val="808080" w:themeColor="background1" w:themeShade="80"/>
          <w:sz w:val="22"/>
          <w:szCs w:val="22"/>
          <w:lang w:val="en-GB"/>
        </w:rPr>
        <w:t>a</w:t>
      </w:r>
      <w:r w:rsidR="0032776D">
        <w:rPr>
          <w:rFonts w:ascii="Avenir Next" w:hAnsi="Avenir Next" w:cs="Arial"/>
          <w:color w:val="808080" w:themeColor="background1" w:themeShade="80"/>
          <w:sz w:val="22"/>
          <w:szCs w:val="22"/>
          <w:lang w:val="en-GB"/>
        </w:rPr>
        <w:t xml:space="preserve"> debtor to be insolvent, whereas another </w:t>
      </w:r>
      <w:r w:rsidR="00EC01B6">
        <w:rPr>
          <w:rFonts w:ascii="Avenir Next" w:hAnsi="Avenir Next" w:cs="Arial"/>
          <w:color w:val="808080" w:themeColor="background1" w:themeShade="80"/>
          <w:sz w:val="22"/>
          <w:szCs w:val="22"/>
          <w:lang w:val="en-GB"/>
        </w:rPr>
        <w:t>may</w:t>
      </w:r>
      <w:r w:rsidR="0032776D">
        <w:rPr>
          <w:rFonts w:ascii="Avenir Next" w:hAnsi="Avenir Next" w:cs="Arial"/>
          <w:color w:val="808080" w:themeColor="background1" w:themeShade="80"/>
          <w:sz w:val="22"/>
          <w:szCs w:val="22"/>
          <w:lang w:val="en-GB"/>
        </w:rPr>
        <w:t xml:space="preserve"> not.</w:t>
      </w:r>
      <w:r w:rsidR="00EC01B6">
        <w:rPr>
          <w:rFonts w:ascii="Avenir Next" w:hAnsi="Avenir Next" w:cs="Arial"/>
          <w:color w:val="808080" w:themeColor="background1" w:themeShade="80"/>
          <w:sz w:val="22"/>
          <w:szCs w:val="22"/>
          <w:lang w:val="en-GB"/>
        </w:rPr>
        <w:t xml:space="preserve"> </w:t>
      </w:r>
      <w:r w:rsidR="008A4446">
        <w:rPr>
          <w:rFonts w:ascii="Avenir Next" w:hAnsi="Avenir Next" w:cs="Arial"/>
          <w:color w:val="7B7B7B" w:themeColor="accent3" w:themeShade="BF"/>
          <w:sz w:val="22"/>
          <w:szCs w:val="22"/>
          <w:lang w:val="en-GB"/>
        </w:rPr>
        <w:t>For example, a global enterprise debtor may be considered insolvent in one jurisdiction, but not in another</w:t>
      </w:r>
      <w:r w:rsidR="00A5363C">
        <w:rPr>
          <w:rFonts w:ascii="Avenir Next" w:hAnsi="Avenir Next" w:cs="Arial"/>
          <w:color w:val="7B7B7B" w:themeColor="accent3" w:themeShade="BF"/>
          <w:sz w:val="22"/>
          <w:szCs w:val="22"/>
          <w:lang w:val="en-GB"/>
        </w:rPr>
        <w:t xml:space="preserve">. </w:t>
      </w:r>
      <w:r w:rsidR="002A007F">
        <w:rPr>
          <w:rFonts w:ascii="Avenir Next" w:hAnsi="Avenir Next" w:cs="Arial"/>
          <w:color w:val="808080" w:themeColor="background1" w:themeShade="80"/>
          <w:sz w:val="22"/>
          <w:szCs w:val="22"/>
          <w:lang w:val="en-GB"/>
        </w:rPr>
        <w:t>Th</w:t>
      </w:r>
      <w:r w:rsidR="00C16873">
        <w:rPr>
          <w:rFonts w:ascii="Avenir Next" w:hAnsi="Avenir Next" w:cs="Arial"/>
          <w:color w:val="808080" w:themeColor="background1" w:themeShade="80"/>
          <w:sz w:val="22"/>
          <w:szCs w:val="22"/>
          <w:lang w:val="en-GB"/>
        </w:rPr>
        <w:t>e differen</w:t>
      </w:r>
      <w:r w:rsidR="00A5363C">
        <w:rPr>
          <w:rFonts w:ascii="Avenir Next" w:hAnsi="Avenir Next" w:cs="Arial"/>
          <w:color w:val="808080" w:themeColor="background1" w:themeShade="80"/>
          <w:sz w:val="22"/>
          <w:szCs w:val="22"/>
          <w:lang w:val="en-GB"/>
        </w:rPr>
        <w:t xml:space="preserve">t </w:t>
      </w:r>
      <w:r w:rsidR="00C16873">
        <w:rPr>
          <w:rFonts w:ascii="Avenir Next" w:hAnsi="Avenir Next" w:cs="Arial"/>
          <w:color w:val="808080" w:themeColor="background1" w:themeShade="80"/>
          <w:sz w:val="22"/>
          <w:szCs w:val="22"/>
          <w:lang w:val="en-GB"/>
        </w:rPr>
        <w:t xml:space="preserve">classifications of relevant financial status also </w:t>
      </w:r>
      <w:r w:rsidR="002A007F">
        <w:rPr>
          <w:rFonts w:ascii="Avenir Next" w:hAnsi="Avenir Next" w:cs="Arial"/>
          <w:color w:val="808080" w:themeColor="background1" w:themeShade="80"/>
          <w:sz w:val="22"/>
          <w:szCs w:val="22"/>
          <w:lang w:val="en-GB"/>
        </w:rPr>
        <w:t xml:space="preserve">create challenges including identifying </w:t>
      </w:r>
      <w:r w:rsidR="00971580">
        <w:rPr>
          <w:rFonts w:ascii="Avenir Next" w:hAnsi="Avenir Next" w:cs="Arial"/>
          <w:color w:val="808080" w:themeColor="background1" w:themeShade="80"/>
          <w:sz w:val="22"/>
          <w:szCs w:val="22"/>
          <w:lang w:val="en-GB"/>
        </w:rPr>
        <w:t xml:space="preserve">when an insolvency practitioner may be appointed and </w:t>
      </w:r>
      <w:r w:rsidR="002A007F">
        <w:rPr>
          <w:rFonts w:ascii="Avenir Next" w:hAnsi="Avenir Next" w:cs="Arial"/>
          <w:color w:val="808080" w:themeColor="background1" w:themeShade="80"/>
          <w:sz w:val="22"/>
          <w:szCs w:val="22"/>
          <w:lang w:val="en-GB"/>
        </w:rPr>
        <w:t>any ‘trigger’ dates from which certain periods begin to run</w:t>
      </w:r>
      <w:r w:rsidR="00215DD4">
        <w:rPr>
          <w:rFonts w:ascii="Avenir Next" w:hAnsi="Avenir Next" w:cs="Arial"/>
          <w:color w:val="808080" w:themeColor="background1" w:themeShade="80"/>
          <w:sz w:val="22"/>
          <w:szCs w:val="22"/>
          <w:lang w:val="en-GB"/>
        </w:rPr>
        <w:t xml:space="preserve"> in different jurisdictions in cross-border situations</w:t>
      </w:r>
      <w:r w:rsidR="002A007F">
        <w:rPr>
          <w:rFonts w:ascii="Avenir Next" w:hAnsi="Avenir Next" w:cs="Arial"/>
          <w:color w:val="808080" w:themeColor="background1" w:themeShade="80"/>
          <w:sz w:val="22"/>
          <w:szCs w:val="22"/>
          <w:lang w:val="en-GB"/>
        </w:rPr>
        <w:t>, e.g. a look-back period</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lastRenderedPageBreak/>
        <w:t xml:space="preserve">and issues around recognition and enforcement of insolvency proceedings </w:t>
      </w:r>
      <w:r w:rsidR="00215DD4">
        <w:rPr>
          <w:rFonts w:ascii="Avenir Next" w:hAnsi="Avenir Next" w:cs="Arial"/>
          <w:color w:val="808080" w:themeColor="background1" w:themeShade="80"/>
          <w:sz w:val="22"/>
          <w:szCs w:val="22"/>
          <w:lang w:val="en-GB"/>
        </w:rPr>
        <w:t>/ insolvency practitioner appointments</w:t>
      </w:r>
      <w:r>
        <w:rPr>
          <w:rFonts w:ascii="Avenir Next" w:hAnsi="Avenir Next" w:cs="Arial"/>
          <w:color w:val="808080" w:themeColor="background1" w:themeShade="80"/>
          <w:sz w:val="22"/>
          <w:szCs w:val="22"/>
          <w:lang w:val="en-GB"/>
        </w:rPr>
        <w:t>.</w:t>
      </w:r>
      <w:r w:rsidR="00A5363C">
        <w:rPr>
          <w:rFonts w:ascii="Avenir Next" w:hAnsi="Avenir Next" w:cs="Arial"/>
          <w:color w:val="808080" w:themeColor="background1" w:themeShade="80"/>
          <w:sz w:val="22"/>
          <w:szCs w:val="22"/>
          <w:lang w:val="en-GB"/>
        </w:rPr>
        <w:t xml:space="preserve"> These </w:t>
      </w:r>
      <w:r w:rsidR="00215DD4">
        <w:rPr>
          <w:rFonts w:ascii="Avenir Next" w:hAnsi="Avenir Next" w:cs="Arial"/>
          <w:color w:val="808080" w:themeColor="background1" w:themeShade="80"/>
          <w:sz w:val="22"/>
          <w:szCs w:val="22"/>
          <w:lang w:val="en-GB"/>
        </w:rPr>
        <w:t xml:space="preserve">difficulties are recognised by </w:t>
      </w:r>
      <w:r w:rsidR="00A5363C">
        <w:rPr>
          <w:rFonts w:ascii="Avenir Next" w:hAnsi="Avenir Next" w:cs="Arial"/>
          <w:color w:val="808080" w:themeColor="background1" w:themeShade="80"/>
          <w:sz w:val="22"/>
          <w:szCs w:val="22"/>
          <w:lang w:val="en-GB"/>
        </w:rPr>
        <w:t>Westbrook’s nine key issues.</w:t>
      </w:r>
      <w:r>
        <w:rPr>
          <w:rFonts w:ascii="Avenir Next" w:hAnsi="Avenir Next" w:cs="Arial"/>
          <w:color w:val="808080" w:themeColor="background1" w:themeShade="80"/>
          <w:sz w:val="22"/>
          <w:szCs w:val="22"/>
          <w:lang w:val="en-GB"/>
        </w:rPr>
        <w:t xml:space="preserve"> </w:t>
      </w:r>
    </w:p>
    <w:p w14:paraId="7B097309" w14:textId="77777777" w:rsidR="000F6DC6" w:rsidRDefault="000F6DC6" w:rsidP="00DA42DA">
      <w:pPr>
        <w:jc w:val="both"/>
        <w:rPr>
          <w:rFonts w:ascii="Avenir Next" w:hAnsi="Avenir Next" w:cs="Arial"/>
          <w:color w:val="808080" w:themeColor="background1" w:themeShade="80"/>
          <w:sz w:val="22"/>
          <w:szCs w:val="22"/>
          <w:lang w:val="en-GB"/>
        </w:rPr>
      </w:pPr>
    </w:p>
    <w:p w14:paraId="7170130A" w14:textId="6AF17A8B" w:rsidR="00FC0E2C" w:rsidRPr="00A5363C" w:rsidRDefault="000F6DC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different classifications</w:t>
      </w:r>
      <w:r w:rsidR="00A5363C">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of insolvency </w:t>
      </w:r>
      <w:r w:rsidR="00A5363C">
        <w:rPr>
          <w:rFonts w:ascii="Avenir Next" w:hAnsi="Avenir Next" w:cs="Arial"/>
          <w:color w:val="7B7B7B" w:themeColor="accent3" w:themeShade="BF"/>
          <w:sz w:val="22"/>
          <w:szCs w:val="22"/>
          <w:lang w:val="en-GB"/>
        </w:rPr>
        <w:t xml:space="preserve">also </w:t>
      </w:r>
      <w:r w:rsidR="00A5363C">
        <w:rPr>
          <w:rFonts w:ascii="Avenir Next" w:hAnsi="Avenir Next" w:cs="Arial"/>
          <w:color w:val="808080" w:themeColor="background1" w:themeShade="80"/>
          <w:sz w:val="22"/>
          <w:szCs w:val="22"/>
          <w:lang w:val="en-GB"/>
        </w:rPr>
        <w:t>create a divergence of approach (across different jurisdictions) in terms of how a creditor may pursue an unpaid debt, meaning that</w:t>
      </w:r>
      <w:r w:rsidR="00A5363C">
        <w:rPr>
          <w:rFonts w:ascii="Avenir Next" w:hAnsi="Avenir Next" w:cs="Arial"/>
          <w:color w:val="7B7B7B" w:themeColor="accent3" w:themeShade="BF"/>
          <w:sz w:val="22"/>
          <w:szCs w:val="22"/>
          <w:lang w:val="en-GB"/>
        </w:rPr>
        <w:t xml:space="preserve"> a creditor may have various different debt recovery options </w:t>
      </w:r>
      <w:r>
        <w:rPr>
          <w:rFonts w:ascii="Avenir Next" w:hAnsi="Avenir Next" w:cs="Arial"/>
          <w:color w:val="7B7B7B" w:themeColor="accent3" w:themeShade="BF"/>
          <w:sz w:val="22"/>
          <w:szCs w:val="22"/>
          <w:lang w:val="en-GB"/>
        </w:rPr>
        <w:t xml:space="preserve">(supported or not by insolvency-related procedures) </w:t>
      </w:r>
      <w:r w:rsidR="00A5363C">
        <w:rPr>
          <w:rFonts w:ascii="Avenir Next" w:hAnsi="Avenir Next" w:cs="Arial"/>
          <w:color w:val="7B7B7B" w:themeColor="accent3" w:themeShade="BF"/>
          <w:sz w:val="22"/>
          <w:szCs w:val="22"/>
          <w:lang w:val="en-GB"/>
        </w:rPr>
        <w:t>in different jurisdictions.</w:t>
      </w:r>
    </w:p>
    <w:p w14:paraId="124B31C0" w14:textId="77777777" w:rsidR="00FC0E2C" w:rsidRDefault="00FC0E2C" w:rsidP="00DA42DA">
      <w:pPr>
        <w:jc w:val="both"/>
        <w:rPr>
          <w:rFonts w:ascii="Avenir Next" w:hAnsi="Avenir Next" w:cs="Arial"/>
          <w:color w:val="808080" w:themeColor="background1" w:themeShade="80"/>
          <w:sz w:val="22"/>
          <w:szCs w:val="22"/>
          <w:lang w:val="en-GB"/>
        </w:rPr>
      </w:pPr>
    </w:p>
    <w:p w14:paraId="2358405B" w14:textId="3DE09F5C" w:rsidR="002C16E5" w:rsidRDefault="0014373D" w:rsidP="002C16E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relevant terminology </w:t>
      </w:r>
      <w:r w:rsidR="00AB42B6">
        <w:rPr>
          <w:rFonts w:ascii="Avenir Next" w:hAnsi="Avenir Next" w:cs="Arial"/>
          <w:color w:val="7B7B7B" w:themeColor="accent3" w:themeShade="BF"/>
          <w:sz w:val="22"/>
          <w:szCs w:val="22"/>
          <w:lang w:val="en-GB"/>
        </w:rPr>
        <w:t xml:space="preserve">(often defined by reference to a particular jurisdiction’s domestic laws) </w:t>
      </w:r>
      <w:r>
        <w:rPr>
          <w:rFonts w:ascii="Avenir Next" w:hAnsi="Avenir Next" w:cs="Arial"/>
          <w:color w:val="7B7B7B" w:themeColor="accent3" w:themeShade="BF"/>
          <w:sz w:val="22"/>
          <w:szCs w:val="22"/>
          <w:lang w:val="en-GB"/>
        </w:rPr>
        <w:t xml:space="preserve">can have different meanings and impacts in different jurisdictions, e.g. ‘secured creditor’, ‘security interest’, ‘security rights’, and one of the major difficulties encountered when dealing with </w:t>
      </w:r>
      <w:r w:rsidRPr="004D1EE3">
        <w:rPr>
          <w:rFonts w:ascii="Avenir Next" w:hAnsi="Avenir Next" w:cs="Arial"/>
          <w:color w:val="7B7B7B" w:themeColor="accent3" w:themeShade="BF"/>
          <w:sz w:val="22"/>
          <w:szCs w:val="22"/>
          <w:lang w:val="en-GB"/>
        </w:rPr>
        <w:t>insolvency law in a cross-border context</w:t>
      </w:r>
      <w:r>
        <w:rPr>
          <w:rFonts w:ascii="Avenir Next" w:hAnsi="Avenir Next" w:cs="Arial"/>
          <w:color w:val="7B7B7B" w:themeColor="accent3" w:themeShade="BF"/>
          <w:sz w:val="22"/>
          <w:szCs w:val="22"/>
          <w:lang w:val="en-GB"/>
        </w:rPr>
        <w:t xml:space="preserve"> is how to deal with security (referred to in the </w:t>
      </w:r>
      <w:r w:rsidR="001D19FF">
        <w:rPr>
          <w:rFonts w:ascii="Avenir Next" w:hAnsi="Avenir Next" w:cs="Arial"/>
          <w:color w:val="7B7B7B" w:themeColor="accent3" w:themeShade="BF"/>
          <w:sz w:val="22"/>
          <w:szCs w:val="22"/>
          <w:lang w:val="en-GB"/>
        </w:rPr>
        <w:t>G</w:t>
      </w:r>
      <w:r>
        <w:rPr>
          <w:rFonts w:ascii="Avenir Next" w:hAnsi="Avenir Next" w:cs="Arial"/>
          <w:color w:val="7B7B7B" w:themeColor="accent3" w:themeShade="BF"/>
          <w:sz w:val="22"/>
          <w:szCs w:val="22"/>
          <w:lang w:val="en-GB"/>
        </w:rPr>
        <w:t xml:space="preserve">uidance </w:t>
      </w:r>
      <w:r w:rsidR="001D19FF">
        <w:rPr>
          <w:rFonts w:ascii="Avenir Next" w:hAnsi="Avenir Next" w:cs="Arial"/>
          <w:color w:val="7B7B7B" w:themeColor="accent3" w:themeShade="BF"/>
          <w:sz w:val="22"/>
          <w:szCs w:val="22"/>
          <w:lang w:val="en-GB"/>
        </w:rPr>
        <w:t>Text</w:t>
      </w:r>
      <w:r>
        <w:rPr>
          <w:rFonts w:ascii="Avenir Next" w:hAnsi="Avenir Next" w:cs="Arial"/>
          <w:color w:val="7B7B7B" w:themeColor="accent3" w:themeShade="BF"/>
          <w:sz w:val="22"/>
          <w:szCs w:val="22"/>
          <w:lang w:val="en-GB"/>
        </w:rPr>
        <w:t xml:space="preserve"> as ‘real security’)</w:t>
      </w:r>
      <w:r w:rsidR="003269C5">
        <w:rPr>
          <w:rFonts w:ascii="Avenir Next" w:hAnsi="Avenir Next" w:cs="Arial"/>
          <w:color w:val="7B7B7B" w:themeColor="accent3" w:themeShade="BF"/>
          <w:sz w:val="22"/>
          <w:szCs w:val="22"/>
          <w:lang w:val="en-GB"/>
        </w:rPr>
        <w:t xml:space="preserve"> and priority rights</w:t>
      </w:r>
      <w:r>
        <w:rPr>
          <w:rFonts w:ascii="Avenir Next" w:hAnsi="Avenir Next" w:cs="Arial"/>
          <w:color w:val="7B7B7B" w:themeColor="accent3" w:themeShade="BF"/>
          <w:sz w:val="22"/>
          <w:szCs w:val="22"/>
          <w:lang w:val="en-GB"/>
        </w:rPr>
        <w:t>.</w:t>
      </w:r>
      <w:r w:rsidR="002D42E4">
        <w:rPr>
          <w:rFonts w:ascii="Avenir Next" w:hAnsi="Avenir Next" w:cs="Arial"/>
          <w:color w:val="7B7B7B" w:themeColor="accent3" w:themeShade="BF"/>
          <w:sz w:val="22"/>
          <w:szCs w:val="22"/>
          <w:lang w:val="en-GB"/>
        </w:rPr>
        <w:t xml:space="preserve"> The difficulty stems from the fact that the different forms of security available to a creditor are invariably founded in domestic law. The primary issue is that not all jurisdictions recognise all the different types of security or the priorities afforded by such in foreign jurisdictions. An example is floating charges, which afford priority on distribution in an English insolvency (or other common law-based insolvency processes) but are generally not recognised as a concept in the USA (or other civil law-based insolvency processes). </w:t>
      </w:r>
      <w:r w:rsidR="002C16E5">
        <w:rPr>
          <w:rFonts w:ascii="Avenir Next" w:hAnsi="Avenir Next" w:cs="Arial"/>
          <w:color w:val="7B7B7B" w:themeColor="accent3" w:themeShade="BF"/>
          <w:sz w:val="22"/>
          <w:szCs w:val="22"/>
          <w:lang w:val="en-GB"/>
        </w:rPr>
        <w:t xml:space="preserve"> </w:t>
      </w:r>
      <w:r w:rsidR="002C16E5" w:rsidRPr="002C16E5">
        <w:rPr>
          <w:rFonts w:ascii="Avenir Next" w:hAnsi="Avenir Next" w:cs="Arial"/>
          <w:color w:val="7B7B7B" w:themeColor="accent3" w:themeShade="BF"/>
          <w:sz w:val="22"/>
          <w:szCs w:val="22"/>
          <w:lang w:val="en-GB"/>
        </w:rPr>
        <w:t>Omar states that</w:t>
      </w:r>
      <w:r w:rsidR="002C16E5">
        <w:rPr>
          <w:rFonts w:ascii="Avenir Next" w:hAnsi="Avenir Next" w:cs="Arial"/>
          <w:color w:val="7B7B7B" w:themeColor="accent3" w:themeShade="BF"/>
          <w:sz w:val="22"/>
          <w:szCs w:val="22"/>
          <w:lang w:val="en-GB"/>
        </w:rPr>
        <w:t>:</w:t>
      </w:r>
      <w:r w:rsidR="002C16E5" w:rsidRPr="002C16E5">
        <w:rPr>
          <w:rFonts w:ascii="Avenir Next" w:hAnsi="Avenir Next" w:cs="Arial"/>
          <w:color w:val="7B7B7B" w:themeColor="accent3" w:themeShade="BF"/>
          <w:sz w:val="22"/>
          <w:szCs w:val="22"/>
          <w:lang w:val="en-GB"/>
        </w:rPr>
        <w:t xml:space="preserve"> </w:t>
      </w:r>
    </w:p>
    <w:p w14:paraId="08DD7F72" w14:textId="77777777" w:rsidR="002C16E5" w:rsidRDefault="002C16E5" w:rsidP="002C16E5">
      <w:pPr>
        <w:jc w:val="both"/>
        <w:rPr>
          <w:rFonts w:ascii="Avenir Next" w:hAnsi="Avenir Next" w:cs="Arial"/>
          <w:color w:val="7B7B7B" w:themeColor="accent3" w:themeShade="BF"/>
          <w:sz w:val="22"/>
          <w:szCs w:val="22"/>
          <w:lang w:val="en-GB"/>
        </w:rPr>
      </w:pPr>
    </w:p>
    <w:p w14:paraId="262F429A" w14:textId="686D77B9" w:rsidR="00C952A2" w:rsidRDefault="002C16E5" w:rsidP="002C16E5">
      <w:pPr>
        <w:ind w:left="720"/>
        <w:jc w:val="both"/>
        <w:rPr>
          <w:rFonts w:ascii="Avenir Next" w:hAnsi="Avenir Next" w:cs="Arial"/>
          <w:color w:val="7B7B7B" w:themeColor="accent3" w:themeShade="BF"/>
          <w:sz w:val="22"/>
          <w:szCs w:val="22"/>
          <w:lang w:val="en-GB"/>
        </w:rPr>
      </w:pPr>
      <w:r w:rsidRPr="002C16E5">
        <w:rPr>
          <w:rFonts w:ascii="Avenir Next" w:hAnsi="Avenir Next" w:cs="Arial"/>
          <w:i/>
          <w:iCs/>
          <w:color w:val="7B7B7B" w:themeColor="accent3" w:themeShade="BF"/>
          <w:sz w:val="22"/>
          <w:szCs w:val="22"/>
          <w:lang w:val="en-GB"/>
        </w:rPr>
        <w:t>“</w:t>
      </w:r>
      <w:r>
        <w:rPr>
          <w:rFonts w:ascii="Avenir Next" w:hAnsi="Avenir Next" w:cs="Arial"/>
          <w:i/>
          <w:iCs/>
          <w:color w:val="7B7B7B" w:themeColor="accent3" w:themeShade="BF"/>
          <w:sz w:val="22"/>
          <w:szCs w:val="22"/>
          <w:lang w:val="en-GB"/>
        </w:rPr>
        <w:t>A</w:t>
      </w:r>
      <w:r w:rsidRPr="002C16E5">
        <w:rPr>
          <w:rFonts w:ascii="Avenir Next" w:hAnsi="Avenir Next" w:cs="Arial"/>
          <w:i/>
          <w:iCs/>
          <w:color w:val="7B7B7B" w:themeColor="accent3" w:themeShade="BF"/>
          <w:sz w:val="22"/>
          <w:szCs w:val="22"/>
          <w:lang w:val="en-GB"/>
        </w:rPr>
        <w:t>part from the general situation of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r w:rsidRPr="002C16E5">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w:t>
      </w:r>
      <w:r>
        <w:rPr>
          <w:rStyle w:val="FootnoteReference"/>
          <w:rFonts w:ascii="Avenir Next" w:hAnsi="Avenir Next" w:cs="Arial"/>
          <w:color w:val="7B7B7B" w:themeColor="accent3" w:themeShade="BF"/>
          <w:sz w:val="22"/>
          <w:szCs w:val="22"/>
          <w:lang w:val="en-GB"/>
        </w:rPr>
        <w:footnoteReference w:id="12"/>
      </w:r>
    </w:p>
    <w:p w14:paraId="4A96D850" w14:textId="77777777" w:rsidR="000F6DC6" w:rsidRPr="002C16E5" w:rsidRDefault="000F6DC6" w:rsidP="002C16E5">
      <w:pPr>
        <w:ind w:left="720"/>
        <w:jc w:val="both"/>
        <w:rPr>
          <w:rFonts w:ascii="Avenir Next" w:hAnsi="Avenir Next" w:cs="Arial"/>
          <w:color w:val="7B7B7B" w:themeColor="accent3" w:themeShade="BF"/>
          <w:sz w:val="22"/>
          <w:szCs w:val="22"/>
          <w:lang w:val="en-GB"/>
        </w:rPr>
      </w:pPr>
    </w:p>
    <w:p w14:paraId="0805A686" w14:textId="529486C8" w:rsidR="002C16E5" w:rsidRDefault="000F6DC6" w:rsidP="00692852">
      <w:pPr>
        <w:widowControl w:val="0"/>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Again, these difficulties </w:t>
      </w:r>
      <w:r w:rsidR="00215DD4">
        <w:rPr>
          <w:rFonts w:ascii="Avenir Next" w:hAnsi="Avenir Next" w:cs="Arial"/>
          <w:color w:val="808080" w:themeColor="background1" w:themeShade="80"/>
          <w:sz w:val="22"/>
          <w:szCs w:val="22"/>
          <w:lang w:val="en-GB"/>
        </w:rPr>
        <w:t>are recognised by</w:t>
      </w:r>
      <w:r>
        <w:rPr>
          <w:rFonts w:ascii="Avenir Next" w:hAnsi="Avenir Next" w:cs="Arial"/>
          <w:color w:val="808080" w:themeColor="background1" w:themeShade="80"/>
          <w:sz w:val="22"/>
          <w:szCs w:val="22"/>
          <w:lang w:val="en-GB"/>
        </w:rPr>
        <w:t xml:space="preserve"> Westbrook’s nine key issues.</w:t>
      </w:r>
    </w:p>
    <w:p w14:paraId="2FE90319" w14:textId="77777777" w:rsidR="009F513C" w:rsidRDefault="009F513C" w:rsidP="009F513C">
      <w:pPr>
        <w:jc w:val="both"/>
        <w:rPr>
          <w:rFonts w:ascii="Avenir Next" w:hAnsi="Avenir Next" w:cs="Arial"/>
          <w:color w:val="808080" w:themeColor="background1" w:themeShade="80"/>
          <w:sz w:val="22"/>
          <w:szCs w:val="22"/>
          <w:lang w:val="en-GB"/>
        </w:rPr>
      </w:pPr>
    </w:p>
    <w:p w14:paraId="2703921B" w14:textId="19289998" w:rsidR="009F513C" w:rsidRPr="009F513C" w:rsidRDefault="009F513C" w:rsidP="009F51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UNCITRAL</w:t>
      </w:r>
      <w:r w:rsidRPr="009F513C">
        <w:rPr>
          <w:rFonts w:ascii="Avenir Next" w:hAnsi="Avenir Next" w:cs="Arial"/>
          <w:color w:val="808080" w:themeColor="background1" w:themeShade="80"/>
          <w:sz w:val="22"/>
          <w:szCs w:val="22"/>
          <w:lang w:val="en-GB"/>
        </w:rPr>
        <w:t xml:space="preserve"> Legislative Guide </w:t>
      </w:r>
      <w:r>
        <w:rPr>
          <w:rFonts w:ascii="Avenir Next" w:hAnsi="Avenir Next" w:cs="Arial"/>
          <w:color w:val="808080" w:themeColor="background1" w:themeShade="80"/>
          <w:sz w:val="22"/>
          <w:szCs w:val="22"/>
          <w:lang w:val="en-GB"/>
        </w:rPr>
        <w:t xml:space="preserve">on Insolvency Law </w:t>
      </w:r>
      <w:r w:rsidRPr="009F513C">
        <w:rPr>
          <w:rFonts w:ascii="Avenir Next" w:hAnsi="Avenir Next" w:cs="Arial"/>
          <w:color w:val="808080" w:themeColor="background1" w:themeShade="80"/>
          <w:sz w:val="22"/>
          <w:szCs w:val="22"/>
          <w:lang w:val="en-GB"/>
        </w:rPr>
        <w:t xml:space="preserve">provides a comprehensive statement of the key objectives and principles that should be reflected in a </w:t>
      </w:r>
      <w:r>
        <w:rPr>
          <w:rFonts w:ascii="Avenir Next" w:hAnsi="Avenir Next" w:cs="Arial"/>
          <w:color w:val="808080" w:themeColor="background1" w:themeShade="80"/>
          <w:sz w:val="22"/>
          <w:szCs w:val="22"/>
          <w:lang w:val="en-GB"/>
        </w:rPr>
        <w:t>s</w:t>
      </w:r>
      <w:r w:rsidRPr="009F513C">
        <w:rPr>
          <w:rFonts w:ascii="Avenir Next" w:hAnsi="Avenir Next" w:cs="Arial"/>
          <w:color w:val="808080" w:themeColor="background1" w:themeShade="80"/>
          <w:sz w:val="22"/>
          <w:szCs w:val="22"/>
          <w:lang w:val="en-GB"/>
        </w:rPr>
        <w:t>tate's insolvency laws</w:t>
      </w:r>
      <w:r>
        <w:rPr>
          <w:rStyle w:val="FootnoteReference"/>
          <w:rFonts w:ascii="Avenir Next" w:hAnsi="Avenir Next" w:cs="Arial"/>
          <w:color w:val="808080" w:themeColor="background1" w:themeShade="80"/>
          <w:sz w:val="22"/>
          <w:szCs w:val="22"/>
          <w:lang w:val="en-GB"/>
        </w:rPr>
        <w:footnoteReference w:id="13"/>
      </w:r>
      <w:r>
        <w:rPr>
          <w:rFonts w:ascii="Avenir Next" w:hAnsi="Avenir Next" w:cs="Arial"/>
          <w:color w:val="808080" w:themeColor="background1" w:themeShade="80"/>
          <w:sz w:val="22"/>
          <w:szCs w:val="22"/>
          <w:lang w:val="en-GB"/>
        </w:rPr>
        <w:t xml:space="preserve"> and is divided into five parts, thus providing support for the proposition that common essential features are relevant to, and aid, international trade and finance. </w:t>
      </w:r>
    </w:p>
    <w:p w14:paraId="1D5E676E" w14:textId="77777777" w:rsidR="000F6DC6" w:rsidRDefault="000F6DC6" w:rsidP="00692852">
      <w:pPr>
        <w:widowControl w:val="0"/>
        <w:ind w:left="720" w:hanging="720"/>
        <w:jc w:val="both"/>
        <w:rPr>
          <w:rFonts w:ascii="Avenir Next Demi Bold" w:hAnsi="Avenir Next Demi Bold" w:cs="Arial"/>
          <w:b/>
          <w:bCs/>
          <w:sz w:val="22"/>
          <w:szCs w:val="22"/>
          <w:shd w:val="clear" w:color="auto" w:fill="FFFFFF"/>
          <w:lang w:val="en-GB"/>
        </w:rPr>
      </w:pPr>
    </w:p>
    <w:p w14:paraId="4B3595C7" w14:textId="1FA7EB9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10B2211C" w14:textId="7FEBF243" w:rsidR="00261407" w:rsidRDefault="0010470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Hard law is </w:t>
      </w:r>
      <w:r w:rsidR="00E11C08">
        <w:rPr>
          <w:rFonts w:ascii="Avenir Next" w:hAnsi="Avenir Next" w:cs="Arial"/>
          <w:color w:val="808080" w:themeColor="background1" w:themeShade="80"/>
          <w:sz w:val="22"/>
          <w:szCs w:val="22"/>
          <w:lang w:val="en-GB"/>
        </w:rPr>
        <w:t>legislation enacted in a particular jurisdiction by way of statute</w:t>
      </w:r>
      <w:r w:rsidR="00662FDC">
        <w:rPr>
          <w:rFonts w:ascii="Avenir Next" w:hAnsi="Avenir Next" w:cs="Arial"/>
          <w:color w:val="808080" w:themeColor="background1" w:themeShade="80"/>
          <w:sz w:val="22"/>
          <w:szCs w:val="22"/>
          <w:lang w:val="en-GB"/>
        </w:rPr>
        <w:t xml:space="preserve">, which includes domestic laws and international treaties </w:t>
      </w:r>
      <w:r w:rsidR="00000AF8">
        <w:rPr>
          <w:rFonts w:ascii="Avenir Next" w:hAnsi="Avenir Next" w:cs="Arial"/>
          <w:color w:val="808080" w:themeColor="background1" w:themeShade="80"/>
          <w:sz w:val="22"/>
          <w:szCs w:val="22"/>
          <w:lang w:val="en-GB"/>
        </w:rPr>
        <w:t>(</w:t>
      </w:r>
      <w:r w:rsidR="00662FDC">
        <w:rPr>
          <w:rFonts w:ascii="Avenir Next" w:hAnsi="Avenir Next" w:cs="Arial"/>
          <w:color w:val="808080" w:themeColor="background1" w:themeShade="80"/>
          <w:sz w:val="22"/>
          <w:szCs w:val="22"/>
          <w:lang w:val="en-GB"/>
        </w:rPr>
        <w:t xml:space="preserve">when so adopted </w:t>
      </w:r>
      <w:r w:rsidR="00411A36">
        <w:rPr>
          <w:rFonts w:ascii="Avenir Next" w:hAnsi="Avenir Next" w:cs="Arial"/>
          <w:color w:val="808080" w:themeColor="background1" w:themeShade="80"/>
          <w:sz w:val="22"/>
          <w:szCs w:val="22"/>
          <w:lang w:val="en-GB"/>
        </w:rPr>
        <w:t xml:space="preserve">as binding </w:t>
      </w:r>
      <w:r w:rsidR="003F4D6C">
        <w:rPr>
          <w:rFonts w:ascii="Avenir Next" w:hAnsi="Avenir Next" w:cs="Arial"/>
          <w:color w:val="808080" w:themeColor="background1" w:themeShade="80"/>
          <w:sz w:val="22"/>
          <w:szCs w:val="22"/>
          <w:lang w:val="en-GB"/>
        </w:rPr>
        <w:t>so as to</w:t>
      </w:r>
      <w:r w:rsidR="00D15A39">
        <w:rPr>
          <w:rFonts w:ascii="Avenir Next" w:hAnsi="Avenir Next" w:cs="Arial"/>
          <w:color w:val="808080" w:themeColor="background1" w:themeShade="80"/>
          <w:sz w:val="22"/>
          <w:szCs w:val="22"/>
          <w:lang w:val="en-GB"/>
        </w:rPr>
        <w:t xml:space="preserve"> affect</w:t>
      </w:r>
      <w:r w:rsidR="00662FDC">
        <w:rPr>
          <w:rFonts w:ascii="Avenir Next" w:hAnsi="Avenir Next" w:cs="Arial"/>
          <w:color w:val="808080" w:themeColor="background1" w:themeShade="80"/>
          <w:sz w:val="22"/>
          <w:szCs w:val="22"/>
          <w:lang w:val="en-GB"/>
        </w:rPr>
        <w:t xml:space="preserve"> </w:t>
      </w:r>
      <w:r w:rsidR="003D7535">
        <w:rPr>
          <w:rFonts w:ascii="Avenir Next" w:hAnsi="Avenir Next" w:cs="Arial"/>
          <w:color w:val="808080" w:themeColor="background1" w:themeShade="80"/>
          <w:sz w:val="22"/>
          <w:szCs w:val="22"/>
          <w:lang w:val="en-GB"/>
        </w:rPr>
        <w:t>domestic law</w:t>
      </w:r>
      <w:r w:rsidR="00000AF8">
        <w:rPr>
          <w:rFonts w:ascii="Avenir Next" w:hAnsi="Avenir Next" w:cs="Arial"/>
          <w:color w:val="808080" w:themeColor="background1" w:themeShade="80"/>
          <w:sz w:val="22"/>
          <w:szCs w:val="22"/>
          <w:lang w:val="en-GB"/>
        </w:rPr>
        <w:t>)</w:t>
      </w:r>
      <w:r w:rsidR="00E11C08">
        <w:rPr>
          <w:rFonts w:ascii="Avenir Next" w:hAnsi="Avenir Next" w:cs="Arial"/>
          <w:color w:val="808080" w:themeColor="background1" w:themeShade="80"/>
          <w:sz w:val="22"/>
          <w:szCs w:val="22"/>
          <w:lang w:val="en-GB"/>
        </w:rPr>
        <w:t xml:space="preserve">. </w:t>
      </w:r>
      <w:r w:rsidR="00B912C6">
        <w:rPr>
          <w:rFonts w:ascii="Avenir Next" w:hAnsi="Avenir Next" w:cs="Arial"/>
          <w:color w:val="808080" w:themeColor="background1" w:themeShade="80"/>
          <w:sz w:val="22"/>
          <w:szCs w:val="22"/>
          <w:lang w:val="en-GB"/>
        </w:rPr>
        <w:t xml:space="preserve">Hard law is prescriptive and (subject to the wording thereof) often mandates compliance. </w:t>
      </w:r>
      <w:r w:rsidR="00261407">
        <w:rPr>
          <w:rFonts w:ascii="Avenir Next" w:hAnsi="Avenir Next" w:cs="Arial"/>
          <w:color w:val="808080" w:themeColor="background1" w:themeShade="80"/>
          <w:sz w:val="22"/>
          <w:szCs w:val="22"/>
          <w:lang w:val="en-GB"/>
        </w:rPr>
        <w:t xml:space="preserve">Examples of hard law are domestic insolvency laws, such as the </w:t>
      </w:r>
      <w:r w:rsidR="00261407" w:rsidRPr="00261407">
        <w:rPr>
          <w:rFonts w:ascii="Avenir Next" w:hAnsi="Avenir Next" w:cs="Arial"/>
          <w:color w:val="808080" w:themeColor="background1" w:themeShade="80"/>
          <w:sz w:val="22"/>
          <w:szCs w:val="22"/>
          <w:lang w:val="en-GB"/>
        </w:rPr>
        <w:t>UAE Federal Bankruptcy Law 2016</w:t>
      </w:r>
      <w:r w:rsidR="00261407">
        <w:rPr>
          <w:rFonts w:ascii="Avenir Next" w:hAnsi="Avenir Next" w:cs="Arial"/>
          <w:color w:val="808080" w:themeColor="background1" w:themeShade="80"/>
          <w:sz w:val="22"/>
          <w:szCs w:val="22"/>
          <w:lang w:val="en-GB"/>
        </w:rPr>
        <w:t xml:space="preserve"> </w:t>
      </w:r>
      <w:r w:rsidR="00AB7C4F">
        <w:rPr>
          <w:rFonts w:ascii="Avenir Next" w:hAnsi="Avenir Next" w:cs="Arial"/>
          <w:color w:val="808080" w:themeColor="background1" w:themeShade="80"/>
          <w:sz w:val="22"/>
          <w:szCs w:val="22"/>
          <w:lang w:val="en-GB"/>
        </w:rPr>
        <w:t>or</w:t>
      </w:r>
      <w:r w:rsidR="00261407">
        <w:rPr>
          <w:rFonts w:ascii="Avenir Next" w:hAnsi="Avenir Next" w:cs="Arial"/>
          <w:color w:val="808080" w:themeColor="background1" w:themeShade="80"/>
          <w:sz w:val="22"/>
          <w:szCs w:val="22"/>
          <w:lang w:val="en-GB"/>
        </w:rPr>
        <w:t xml:space="preserve"> the English Insolvency Act 1986, or domestic laws ratifying and incorporating treaties </w:t>
      </w:r>
      <w:r w:rsidR="00AB7C4F">
        <w:rPr>
          <w:rFonts w:ascii="Avenir Next" w:hAnsi="Avenir Next" w:cs="Arial"/>
          <w:color w:val="808080" w:themeColor="background1" w:themeShade="80"/>
          <w:sz w:val="22"/>
          <w:szCs w:val="22"/>
          <w:lang w:val="en-GB"/>
        </w:rPr>
        <w:t>/</w:t>
      </w:r>
      <w:r w:rsidR="00261407">
        <w:rPr>
          <w:rFonts w:ascii="Avenir Next" w:hAnsi="Avenir Next" w:cs="Arial"/>
          <w:color w:val="808080" w:themeColor="background1" w:themeShade="80"/>
          <w:sz w:val="22"/>
          <w:szCs w:val="22"/>
          <w:lang w:val="en-GB"/>
        </w:rPr>
        <w:t xml:space="preserve"> conventions</w:t>
      </w:r>
      <w:r w:rsidR="00AB7C4F">
        <w:rPr>
          <w:rFonts w:ascii="Avenir Next" w:hAnsi="Avenir Next" w:cs="Arial"/>
          <w:color w:val="808080" w:themeColor="background1" w:themeShade="80"/>
          <w:sz w:val="22"/>
          <w:szCs w:val="22"/>
          <w:lang w:val="en-GB"/>
        </w:rPr>
        <w:t xml:space="preserve"> / regulations</w:t>
      </w:r>
      <w:r w:rsidR="00261407">
        <w:rPr>
          <w:rFonts w:ascii="Avenir Next" w:hAnsi="Avenir Next" w:cs="Arial"/>
          <w:color w:val="808080" w:themeColor="background1" w:themeShade="80"/>
          <w:sz w:val="22"/>
          <w:szCs w:val="22"/>
          <w:lang w:val="en-GB"/>
        </w:rPr>
        <w:t xml:space="preserve"> </w:t>
      </w:r>
      <w:r w:rsidR="00B912C6">
        <w:rPr>
          <w:rFonts w:ascii="Avenir Next" w:hAnsi="Avenir Next" w:cs="Arial"/>
          <w:color w:val="808080" w:themeColor="background1" w:themeShade="80"/>
          <w:sz w:val="22"/>
          <w:szCs w:val="22"/>
          <w:lang w:val="en-GB"/>
        </w:rPr>
        <w:t xml:space="preserve">into domestic law </w:t>
      </w:r>
      <w:r w:rsidR="00261407">
        <w:rPr>
          <w:rFonts w:ascii="Avenir Next" w:hAnsi="Avenir Next" w:cs="Arial"/>
          <w:color w:val="808080" w:themeColor="background1" w:themeShade="80"/>
          <w:sz w:val="22"/>
          <w:szCs w:val="22"/>
          <w:lang w:val="en-GB"/>
        </w:rPr>
        <w:t xml:space="preserve">such as </w:t>
      </w:r>
      <w:r w:rsidR="00AB7C4F">
        <w:rPr>
          <w:rFonts w:ascii="Avenir Next" w:hAnsi="Avenir Next" w:cs="Arial"/>
          <w:color w:val="808080" w:themeColor="background1" w:themeShade="80"/>
          <w:sz w:val="22"/>
          <w:szCs w:val="22"/>
          <w:lang w:val="en-GB"/>
        </w:rPr>
        <w:t xml:space="preserve">the </w:t>
      </w:r>
      <w:r w:rsidR="00AB7C4F" w:rsidRPr="00AB7C4F">
        <w:rPr>
          <w:rFonts w:ascii="Avenir Next" w:hAnsi="Avenir Next" w:cs="Arial"/>
          <w:color w:val="808080" w:themeColor="background1" w:themeShade="80"/>
          <w:sz w:val="22"/>
          <w:szCs w:val="22"/>
          <w:lang w:val="en-GB"/>
        </w:rPr>
        <w:t>European Union Withdrawal Act 2018</w:t>
      </w:r>
      <w:r w:rsidR="00AB7C4F">
        <w:rPr>
          <w:rFonts w:ascii="Avenir Next" w:hAnsi="Avenir Next" w:cs="Arial"/>
          <w:color w:val="808080" w:themeColor="background1" w:themeShade="80"/>
          <w:sz w:val="22"/>
          <w:szCs w:val="22"/>
          <w:lang w:val="en-GB"/>
        </w:rPr>
        <w:t xml:space="preserve"> which incorporates </w:t>
      </w:r>
      <w:r w:rsidR="00AB7C4F" w:rsidRPr="00AB7C4F">
        <w:rPr>
          <w:rFonts w:ascii="Avenir Next" w:hAnsi="Avenir Next" w:cs="Arial"/>
          <w:color w:val="808080" w:themeColor="background1" w:themeShade="80"/>
          <w:sz w:val="22"/>
          <w:szCs w:val="22"/>
          <w:lang w:val="en-GB"/>
        </w:rPr>
        <w:t>Regulation (EU) 2015/848 of the European Parliament and of the Council of 20 May 2015 on insolvency proceedings (recast)</w:t>
      </w:r>
      <w:r w:rsidR="00AB7C4F">
        <w:rPr>
          <w:rFonts w:ascii="Avenir Next" w:hAnsi="Avenir Next" w:cs="Arial"/>
          <w:color w:val="808080" w:themeColor="background1" w:themeShade="80"/>
          <w:sz w:val="22"/>
          <w:szCs w:val="22"/>
          <w:lang w:val="en-GB"/>
        </w:rPr>
        <w:t xml:space="preserve"> </w:t>
      </w:r>
      <w:r w:rsidR="00AB7C4F" w:rsidRPr="00AB7C4F">
        <w:rPr>
          <w:rFonts w:ascii="Avenir Next" w:hAnsi="Avenir Next" w:cs="Arial"/>
          <w:color w:val="808080" w:themeColor="background1" w:themeShade="80"/>
          <w:sz w:val="22"/>
          <w:szCs w:val="22"/>
          <w:lang w:val="en-GB"/>
        </w:rPr>
        <w:t>into English law</w:t>
      </w:r>
      <w:r w:rsidR="004B10D9">
        <w:rPr>
          <w:rFonts w:ascii="Avenir Next" w:hAnsi="Avenir Next" w:cs="Arial"/>
          <w:color w:val="808080" w:themeColor="background1" w:themeShade="80"/>
          <w:sz w:val="22"/>
          <w:szCs w:val="22"/>
          <w:lang w:val="en-GB"/>
        </w:rPr>
        <w:t>,</w:t>
      </w:r>
      <w:r w:rsidR="00AB7C4F" w:rsidRPr="00AB7C4F">
        <w:rPr>
          <w:rFonts w:ascii="Avenir Next" w:hAnsi="Avenir Next" w:cs="Arial"/>
          <w:color w:val="808080" w:themeColor="background1" w:themeShade="80"/>
          <w:sz w:val="22"/>
          <w:szCs w:val="22"/>
          <w:lang w:val="en-GB"/>
        </w:rPr>
        <w:t xml:space="preserve"> </w:t>
      </w:r>
      <w:r w:rsidR="00AB7C4F">
        <w:rPr>
          <w:rFonts w:ascii="Avenir Next" w:hAnsi="Avenir Next" w:cs="Arial"/>
          <w:color w:val="808080" w:themeColor="background1" w:themeShade="80"/>
          <w:sz w:val="22"/>
          <w:szCs w:val="22"/>
          <w:lang w:val="en-GB"/>
        </w:rPr>
        <w:t xml:space="preserve">post Brexit. </w:t>
      </w:r>
    </w:p>
    <w:p w14:paraId="32DE252E" w14:textId="77777777" w:rsidR="00261407" w:rsidRDefault="00261407" w:rsidP="00692852">
      <w:pPr>
        <w:jc w:val="both"/>
        <w:rPr>
          <w:rFonts w:ascii="Avenir Next" w:hAnsi="Avenir Next" w:cs="Arial"/>
          <w:color w:val="808080" w:themeColor="background1" w:themeShade="80"/>
          <w:sz w:val="22"/>
          <w:szCs w:val="22"/>
          <w:lang w:val="en-GB"/>
        </w:rPr>
      </w:pPr>
    </w:p>
    <w:p w14:paraId="337A4250" w14:textId="3141D772" w:rsidR="00C952A2" w:rsidRDefault="00E11C08" w:rsidP="00692852">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Soft law </w:t>
      </w:r>
      <w:r w:rsidR="003D7535">
        <w:rPr>
          <w:rFonts w:ascii="Avenir Next" w:hAnsi="Avenir Next" w:cs="Arial"/>
          <w:color w:val="808080" w:themeColor="background1" w:themeShade="80"/>
          <w:sz w:val="22"/>
          <w:szCs w:val="22"/>
          <w:lang w:val="en-GB"/>
        </w:rPr>
        <w:t>is</w:t>
      </w:r>
      <w:r w:rsidR="00C67729">
        <w:rPr>
          <w:rFonts w:ascii="Avenir Next" w:hAnsi="Avenir Next" w:cs="Arial"/>
          <w:color w:val="808080" w:themeColor="background1" w:themeShade="80"/>
          <w:sz w:val="22"/>
          <w:szCs w:val="22"/>
          <w:lang w:val="en-GB"/>
        </w:rPr>
        <w:t xml:space="preserve"> instruments such as </w:t>
      </w:r>
      <w:r w:rsidR="007439A1">
        <w:rPr>
          <w:rFonts w:ascii="Avenir Next" w:hAnsi="Avenir Next" w:cs="Arial"/>
          <w:color w:val="808080" w:themeColor="background1" w:themeShade="80"/>
          <w:sz w:val="22"/>
          <w:szCs w:val="22"/>
          <w:lang w:val="en-GB"/>
        </w:rPr>
        <w:t xml:space="preserve">non-binding </w:t>
      </w:r>
      <w:r w:rsidR="003D7535">
        <w:rPr>
          <w:rFonts w:ascii="Avenir Next" w:hAnsi="Avenir Next" w:cs="Arial"/>
          <w:color w:val="7B7B7B" w:themeColor="accent3" w:themeShade="BF"/>
          <w:sz w:val="22"/>
          <w:szCs w:val="22"/>
          <w:lang w:val="en-GB"/>
        </w:rPr>
        <w:t>memoranda of guidance / co-operation</w:t>
      </w:r>
      <w:r w:rsidR="00B912C6">
        <w:rPr>
          <w:rFonts w:ascii="Avenir Next" w:hAnsi="Avenir Next" w:cs="Arial"/>
          <w:color w:val="7B7B7B" w:themeColor="accent3" w:themeShade="BF"/>
          <w:sz w:val="22"/>
          <w:szCs w:val="22"/>
          <w:lang w:val="en-GB"/>
        </w:rPr>
        <w:t xml:space="preserve"> (such as the JIN </w:t>
      </w:r>
      <w:r w:rsidR="00B912C6" w:rsidRPr="00B912C6">
        <w:rPr>
          <w:rFonts w:ascii="Avenir Next" w:hAnsi="Avenir Next" w:cs="Arial"/>
          <w:color w:val="7B7B7B" w:themeColor="accent3" w:themeShade="BF"/>
          <w:sz w:val="22"/>
          <w:szCs w:val="22"/>
          <w:lang w:val="en-GB"/>
        </w:rPr>
        <w:t>Guidelines for Communication and Cooperation between Courts in Cross-Border Insolvency Matters</w:t>
      </w:r>
      <w:r w:rsidR="00B912C6">
        <w:rPr>
          <w:rFonts w:ascii="Avenir Next" w:hAnsi="Avenir Next" w:cs="Arial"/>
          <w:color w:val="7B7B7B" w:themeColor="accent3" w:themeShade="BF"/>
          <w:sz w:val="22"/>
          <w:szCs w:val="22"/>
          <w:lang w:val="en-GB"/>
        </w:rPr>
        <w:t xml:space="preserve">) </w:t>
      </w:r>
      <w:r w:rsidR="004B10D9">
        <w:rPr>
          <w:rFonts w:ascii="Avenir Next" w:hAnsi="Avenir Next" w:cs="Arial"/>
          <w:color w:val="7B7B7B" w:themeColor="accent3" w:themeShade="BF"/>
          <w:sz w:val="22"/>
          <w:szCs w:val="22"/>
          <w:lang w:val="en-GB"/>
        </w:rPr>
        <w:t>which states may recommend compliance with or</w:t>
      </w:r>
      <w:r w:rsidR="00B912C6">
        <w:rPr>
          <w:rFonts w:ascii="Avenir Next" w:hAnsi="Avenir Next" w:cs="Arial"/>
          <w:color w:val="7B7B7B" w:themeColor="accent3" w:themeShade="BF"/>
          <w:sz w:val="22"/>
          <w:szCs w:val="22"/>
          <w:lang w:val="en-GB"/>
        </w:rPr>
        <w:t xml:space="preserve"> model laws</w:t>
      </w:r>
      <w:r w:rsidR="00B912C6" w:rsidRPr="00B912C6">
        <w:rPr>
          <w:rFonts w:ascii="Avenir Next" w:hAnsi="Avenir Next" w:cs="Arial"/>
          <w:color w:val="7B7B7B" w:themeColor="accent3" w:themeShade="BF"/>
          <w:sz w:val="22"/>
          <w:szCs w:val="22"/>
          <w:lang w:val="en-GB"/>
        </w:rPr>
        <w:t xml:space="preserve"> </w:t>
      </w:r>
      <w:r w:rsidR="00B912C6">
        <w:rPr>
          <w:rFonts w:ascii="Avenir Next" w:hAnsi="Avenir Next" w:cs="Arial"/>
          <w:color w:val="7B7B7B" w:themeColor="accent3" w:themeShade="BF"/>
          <w:sz w:val="22"/>
          <w:szCs w:val="22"/>
          <w:lang w:val="en-GB"/>
        </w:rPr>
        <w:t xml:space="preserve">(such as </w:t>
      </w:r>
      <w:r w:rsidR="00B912C6" w:rsidRPr="00E22F84">
        <w:rPr>
          <w:rFonts w:ascii="Avenir Next" w:hAnsi="Avenir Next" w:cs="Arial"/>
          <w:color w:val="7B7B7B" w:themeColor="accent3" w:themeShade="BF"/>
          <w:sz w:val="22"/>
          <w:szCs w:val="22"/>
          <w:lang w:val="en-GB"/>
        </w:rPr>
        <w:t>the UNCITRAL Model Law on Cross-Border Insolvency</w:t>
      </w:r>
      <w:r w:rsidR="005535E9">
        <w:rPr>
          <w:rFonts w:ascii="Avenir Next" w:hAnsi="Avenir Next" w:cs="Arial"/>
          <w:color w:val="7B7B7B" w:themeColor="accent3" w:themeShade="BF"/>
          <w:sz w:val="22"/>
          <w:szCs w:val="22"/>
          <w:lang w:val="en-GB"/>
        </w:rPr>
        <w:t xml:space="preserve"> (</w:t>
      </w:r>
      <w:r w:rsidR="005535E9" w:rsidRPr="0044012F">
        <w:rPr>
          <w:rFonts w:ascii="Avenir Next" w:hAnsi="Avenir Next" w:cs="Arial"/>
          <w:b/>
          <w:bCs/>
          <w:color w:val="7B7B7B" w:themeColor="accent3" w:themeShade="BF"/>
          <w:sz w:val="22"/>
          <w:szCs w:val="22"/>
          <w:lang w:val="en-GB"/>
        </w:rPr>
        <w:t>MLCBI</w:t>
      </w:r>
      <w:r w:rsidR="005535E9">
        <w:rPr>
          <w:rFonts w:ascii="Avenir Next" w:hAnsi="Avenir Next" w:cs="Arial"/>
          <w:color w:val="7B7B7B" w:themeColor="accent3" w:themeShade="BF"/>
          <w:sz w:val="22"/>
          <w:szCs w:val="22"/>
          <w:lang w:val="en-GB"/>
        </w:rPr>
        <w:t>)</w:t>
      </w:r>
      <w:r w:rsidR="00B912C6">
        <w:rPr>
          <w:rFonts w:ascii="Avenir Next" w:hAnsi="Avenir Next" w:cs="Arial"/>
          <w:color w:val="7B7B7B" w:themeColor="accent3" w:themeShade="BF"/>
          <w:sz w:val="22"/>
          <w:szCs w:val="22"/>
          <w:lang w:val="en-GB"/>
        </w:rPr>
        <w:t xml:space="preserve">) </w:t>
      </w:r>
      <w:r w:rsidR="004B10D9">
        <w:rPr>
          <w:rFonts w:ascii="Avenir Next" w:hAnsi="Avenir Next" w:cs="Arial"/>
          <w:color w:val="7B7B7B" w:themeColor="accent3" w:themeShade="BF"/>
          <w:sz w:val="22"/>
          <w:szCs w:val="22"/>
          <w:lang w:val="en-GB"/>
        </w:rPr>
        <w:t>which</w:t>
      </w:r>
      <w:r w:rsidR="00B912C6">
        <w:rPr>
          <w:rFonts w:ascii="Avenir Next" w:hAnsi="Avenir Next" w:cs="Arial"/>
          <w:color w:val="7B7B7B" w:themeColor="accent3" w:themeShade="BF"/>
          <w:sz w:val="22"/>
          <w:szCs w:val="22"/>
          <w:lang w:val="en-GB"/>
        </w:rPr>
        <w:t xml:space="preserve"> s</w:t>
      </w:r>
      <w:r w:rsidR="001C2547">
        <w:rPr>
          <w:rFonts w:ascii="Avenir Next" w:hAnsi="Avenir Next" w:cs="Arial"/>
          <w:color w:val="7B7B7B" w:themeColor="accent3" w:themeShade="BF"/>
          <w:sz w:val="22"/>
          <w:szCs w:val="22"/>
          <w:lang w:val="en-GB"/>
        </w:rPr>
        <w:t xml:space="preserve">tates </w:t>
      </w:r>
      <w:r w:rsidR="00B912C6">
        <w:rPr>
          <w:rFonts w:ascii="Avenir Next" w:hAnsi="Avenir Next" w:cs="Arial"/>
          <w:color w:val="7B7B7B" w:themeColor="accent3" w:themeShade="BF"/>
          <w:sz w:val="22"/>
          <w:szCs w:val="22"/>
          <w:lang w:val="en-GB"/>
        </w:rPr>
        <w:t>may</w:t>
      </w:r>
      <w:r w:rsidR="001C2547">
        <w:rPr>
          <w:rFonts w:ascii="Avenir Next" w:hAnsi="Avenir Next" w:cs="Arial"/>
          <w:color w:val="7B7B7B" w:themeColor="accent3" w:themeShade="BF"/>
          <w:sz w:val="22"/>
          <w:szCs w:val="22"/>
          <w:lang w:val="en-GB"/>
        </w:rPr>
        <w:t xml:space="preserve"> </w:t>
      </w:r>
      <w:r w:rsidR="00B912C6">
        <w:rPr>
          <w:rFonts w:ascii="Avenir Next" w:hAnsi="Avenir Next" w:cs="Arial"/>
          <w:color w:val="7B7B7B" w:themeColor="accent3" w:themeShade="BF"/>
          <w:sz w:val="22"/>
          <w:szCs w:val="22"/>
          <w:lang w:val="en-GB"/>
        </w:rPr>
        <w:t>adopt</w:t>
      </w:r>
      <w:r w:rsidR="001C2547">
        <w:rPr>
          <w:rFonts w:ascii="Avenir Next" w:hAnsi="Avenir Next" w:cs="Arial"/>
          <w:color w:val="7B7B7B" w:themeColor="accent3" w:themeShade="BF"/>
          <w:sz w:val="22"/>
          <w:szCs w:val="22"/>
          <w:lang w:val="en-GB"/>
        </w:rPr>
        <w:t xml:space="preserve"> </w:t>
      </w:r>
      <w:r w:rsidR="001C2547" w:rsidRPr="00920652">
        <w:rPr>
          <w:rFonts w:ascii="Avenir Next" w:hAnsi="Avenir Next" w:cs="Arial"/>
          <w:color w:val="7B7B7B" w:themeColor="accent3" w:themeShade="BF"/>
          <w:sz w:val="22"/>
          <w:szCs w:val="22"/>
          <w:lang w:val="en-GB"/>
        </w:rPr>
        <w:t>(in full or as amended)</w:t>
      </w:r>
      <w:r w:rsidR="00B912C6">
        <w:rPr>
          <w:rFonts w:ascii="Avenir Next" w:hAnsi="Avenir Next" w:cs="Arial"/>
          <w:color w:val="7B7B7B" w:themeColor="accent3" w:themeShade="BF"/>
          <w:sz w:val="22"/>
          <w:szCs w:val="22"/>
          <w:lang w:val="en-GB"/>
        </w:rPr>
        <w:t xml:space="preserve">. </w:t>
      </w:r>
      <w:r w:rsidR="00261407">
        <w:rPr>
          <w:rFonts w:ascii="Avenir Next" w:hAnsi="Avenir Next" w:cs="Arial"/>
          <w:color w:val="7B7B7B" w:themeColor="accent3" w:themeShade="BF"/>
          <w:sz w:val="22"/>
          <w:szCs w:val="22"/>
          <w:lang w:val="en-GB"/>
        </w:rPr>
        <w:t>S</w:t>
      </w:r>
      <w:r w:rsidR="00261407" w:rsidRPr="00261407">
        <w:rPr>
          <w:rFonts w:ascii="Avenir Next" w:hAnsi="Avenir Next" w:cs="Arial"/>
          <w:color w:val="7B7B7B" w:themeColor="accent3" w:themeShade="BF"/>
          <w:sz w:val="22"/>
          <w:szCs w:val="22"/>
          <w:lang w:val="en-GB"/>
        </w:rPr>
        <w:t xml:space="preserve">oft law </w:t>
      </w:r>
      <w:r w:rsidR="00261407">
        <w:rPr>
          <w:rFonts w:ascii="Avenir Next" w:hAnsi="Avenir Next" w:cs="Arial"/>
          <w:color w:val="7B7B7B" w:themeColor="accent3" w:themeShade="BF"/>
          <w:sz w:val="22"/>
          <w:szCs w:val="22"/>
          <w:lang w:val="en-GB"/>
        </w:rPr>
        <w:t>generally</w:t>
      </w:r>
      <w:r w:rsidR="00261407" w:rsidRPr="00261407">
        <w:rPr>
          <w:rFonts w:ascii="Avenir Next" w:hAnsi="Avenir Next" w:cs="Arial"/>
          <w:color w:val="7B7B7B" w:themeColor="accent3" w:themeShade="BF"/>
          <w:sz w:val="22"/>
          <w:szCs w:val="22"/>
          <w:lang w:val="en-GB"/>
        </w:rPr>
        <w:t xml:space="preserve"> contains best practice to be considered when countries revise their own insolvency legislation</w:t>
      </w:r>
      <w:r w:rsidR="00261407">
        <w:rPr>
          <w:rFonts w:ascii="Avenir Next" w:hAnsi="Avenir Next" w:cs="Arial"/>
          <w:color w:val="7B7B7B" w:themeColor="accent3" w:themeShade="BF"/>
          <w:sz w:val="22"/>
          <w:szCs w:val="22"/>
          <w:lang w:val="en-GB"/>
        </w:rPr>
        <w:t xml:space="preserve">. </w:t>
      </w:r>
      <w:r w:rsidR="00B912C6">
        <w:rPr>
          <w:rFonts w:ascii="Avenir Next" w:hAnsi="Avenir Next" w:cs="Arial"/>
          <w:color w:val="7B7B7B" w:themeColor="accent3" w:themeShade="BF"/>
          <w:sz w:val="22"/>
          <w:szCs w:val="22"/>
          <w:lang w:val="en-GB"/>
        </w:rPr>
        <w:t xml:space="preserve">Soft law becomes hard law once </w:t>
      </w:r>
      <w:r w:rsidR="004B10D9">
        <w:rPr>
          <w:rFonts w:ascii="Avenir Next" w:hAnsi="Avenir Next" w:cs="Arial"/>
          <w:color w:val="7B7B7B" w:themeColor="accent3" w:themeShade="BF"/>
          <w:sz w:val="22"/>
          <w:szCs w:val="22"/>
          <w:lang w:val="en-GB"/>
        </w:rPr>
        <w:t xml:space="preserve">formally </w:t>
      </w:r>
      <w:r w:rsidR="00B912C6">
        <w:rPr>
          <w:rFonts w:ascii="Avenir Next" w:hAnsi="Avenir Next" w:cs="Arial"/>
          <w:color w:val="7B7B7B" w:themeColor="accent3" w:themeShade="BF"/>
          <w:sz w:val="22"/>
          <w:szCs w:val="22"/>
          <w:lang w:val="en-GB"/>
        </w:rPr>
        <w:t xml:space="preserve">incorporated </w:t>
      </w:r>
      <w:r w:rsidR="004B10D9">
        <w:rPr>
          <w:rFonts w:ascii="Avenir Next" w:hAnsi="Avenir Next" w:cs="Arial"/>
          <w:color w:val="7B7B7B" w:themeColor="accent3" w:themeShade="BF"/>
          <w:sz w:val="22"/>
          <w:szCs w:val="22"/>
          <w:lang w:val="en-GB"/>
        </w:rPr>
        <w:t>into domestic law, e.g. by</w:t>
      </w:r>
      <w:r w:rsidR="004B10D9" w:rsidRPr="004B10D9">
        <w:rPr>
          <w:rFonts w:ascii="Avenir Next" w:hAnsi="Avenir Next" w:cs="Arial"/>
          <w:color w:val="7B7B7B" w:themeColor="accent3" w:themeShade="BF"/>
          <w:sz w:val="22"/>
          <w:szCs w:val="22"/>
          <w:lang w:val="en-GB"/>
        </w:rPr>
        <w:t xml:space="preserve"> Article 117(3) </w:t>
      </w:r>
      <w:r w:rsidR="004B10D9">
        <w:rPr>
          <w:rFonts w:ascii="Avenir Next" w:hAnsi="Avenir Next" w:cs="Arial"/>
          <w:color w:val="7B7B7B" w:themeColor="accent3" w:themeShade="BF"/>
          <w:sz w:val="22"/>
          <w:szCs w:val="22"/>
          <w:lang w:val="en-GB"/>
        </w:rPr>
        <w:t xml:space="preserve">and Schedule 4 </w:t>
      </w:r>
      <w:r w:rsidR="004B10D9" w:rsidRPr="004B10D9">
        <w:rPr>
          <w:rFonts w:ascii="Avenir Next" w:hAnsi="Avenir Next" w:cs="Arial"/>
          <w:color w:val="7B7B7B" w:themeColor="accent3" w:themeShade="BF"/>
          <w:sz w:val="22"/>
          <w:szCs w:val="22"/>
          <w:lang w:val="en-GB"/>
        </w:rPr>
        <w:t>of the DIFC Insolvency Law 2019</w:t>
      </w:r>
      <w:r w:rsidR="004B10D9">
        <w:rPr>
          <w:rFonts w:ascii="Avenir Next" w:hAnsi="Avenir Next" w:cs="Arial"/>
          <w:color w:val="7B7B7B" w:themeColor="accent3" w:themeShade="BF"/>
          <w:sz w:val="22"/>
          <w:szCs w:val="22"/>
          <w:lang w:val="en-GB"/>
        </w:rPr>
        <w:t>,</w:t>
      </w:r>
      <w:r w:rsidR="004B10D9" w:rsidRPr="004B10D9">
        <w:rPr>
          <w:rFonts w:ascii="Avenir Next" w:hAnsi="Avenir Next" w:cs="Arial"/>
          <w:color w:val="7B7B7B" w:themeColor="accent3" w:themeShade="BF"/>
          <w:sz w:val="22"/>
          <w:szCs w:val="22"/>
          <w:lang w:val="en-GB"/>
        </w:rPr>
        <w:t xml:space="preserve"> the </w:t>
      </w:r>
      <w:r w:rsidR="004B10D9" w:rsidRPr="005535E9">
        <w:rPr>
          <w:rFonts w:ascii="Avenir Next" w:hAnsi="Avenir Next" w:cs="Arial"/>
          <w:color w:val="7B7B7B" w:themeColor="accent3" w:themeShade="BF"/>
          <w:sz w:val="22"/>
          <w:szCs w:val="22"/>
          <w:lang w:val="en-GB"/>
        </w:rPr>
        <w:t>MLCBI</w:t>
      </w:r>
      <w:r w:rsidR="004B10D9">
        <w:rPr>
          <w:rFonts w:ascii="Avenir Next" w:hAnsi="Avenir Next" w:cs="Arial"/>
          <w:color w:val="7B7B7B" w:themeColor="accent3" w:themeShade="BF"/>
          <w:sz w:val="22"/>
          <w:szCs w:val="22"/>
          <w:lang w:val="en-GB"/>
        </w:rPr>
        <w:t xml:space="preserve"> has been incorporated into the DIFC’s domestic insolvency law (</w:t>
      </w:r>
      <w:r w:rsidR="004B10D9" w:rsidRPr="004B10D9">
        <w:rPr>
          <w:rFonts w:ascii="Avenir Next" w:hAnsi="Avenir Next" w:cs="Arial"/>
          <w:color w:val="7B7B7B" w:themeColor="accent3" w:themeShade="BF"/>
          <w:sz w:val="22"/>
          <w:szCs w:val="22"/>
          <w:lang w:val="en-GB"/>
        </w:rPr>
        <w:t>with certain modifications for application in the DIFC</w:t>
      </w:r>
      <w:r w:rsidR="004B10D9">
        <w:rPr>
          <w:rFonts w:ascii="Avenir Next" w:hAnsi="Avenir Next" w:cs="Arial"/>
          <w:color w:val="7B7B7B" w:themeColor="accent3" w:themeShade="BF"/>
          <w:sz w:val="22"/>
          <w:szCs w:val="22"/>
          <w:lang w:val="en-GB"/>
        </w:rPr>
        <w:t>)</w:t>
      </w:r>
      <w:r w:rsidR="004B10D9" w:rsidRPr="004B10D9">
        <w:rPr>
          <w:rFonts w:ascii="Avenir Next" w:hAnsi="Avenir Next" w:cs="Arial"/>
          <w:color w:val="7B7B7B" w:themeColor="accent3" w:themeShade="BF"/>
          <w:sz w:val="22"/>
          <w:szCs w:val="22"/>
          <w:lang w:val="en-GB"/>
        </w:rPr>
        <w:t>.</w:t>
      </w:r>
    </w:p>
    <w:p w14:paraId="10C3DCAF" w14:textId="44F5D275" w:rsidR="004B10D9" w:rsidRDefault="004B10D9" w:rsidP="00692852">
      <w:pPr>
        <w:jc w:val="both"/>
        <w:rPr>
          <w:rFonts w:ascii="Avenir Next" w:hAnsi="Avenir Next" w:cs="Arial"/>
          <w:color w:val="7B7B7B" w:themeColor="accent3" w:themeShade="BF"/>
          <w:sz w:val="22"/>
          <w:szCs w:val="22"/>
          <w:lang w:val="en-GB"/>
        </w:rPr>
      </w:pPr>
    </w:p>
    <w:p w14:paraId="00A7EAF6" w14:textId="7B911EF5" w:rsidR="008E50C7" w:rsidRDefault="004B10D9" w:rsidP="0069285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 set out in the Guidance </w:t>
      </w:r>
      <w:r w:rsidR="001D19FF">
        <w:rPr>
          <w:rFonts w:ascii="Avenir Next" w:hAnsi="Avenir Next" w:cs="Arial"/>
          <w:color w:val="7B7B7B" w:themeColor="accent3" w:themeShade="BF"/>
          <w:sz w:val="22"/>
          <w:szCs w:val="22"/>
          <w:lang w:val="en-GB"/>
        </w:rPr>
        <w:t>Text</w:t>
      </w:r>
      <w:r w:rsidR="008E50C7">
        <w:rPr>
          <w:rFonts w:ascii="Avenir Next" w:hAnsi="Avenir Next" w:cs="Arial"/>
          <w:color w:val="7B7B7B" w:themeColor="accent3" w:themeShade="BF"/>
          <w:sz w:val="22"/>
          <w:szCs w:val="22"/>
          <w:lang w:val="en-GB"/>
        </w:rPr>
        <w:t>,</w:t>
      </w:r>
      <w:r w:rsidR="008E50C7">
        <w:rPr>
          <w:rStyle w:val="FootnoteReference"/>
          <w:rFonts w:ascii="Avenir Next" w:hAnsi="Avenir Next" w:cs="Arial"/>
          <w:color w:val="7B7B7B" w:themeColor="accent3" w:themeShade="BF"/>
          <w:sz w:val="22"/>
          <w:szCs w:val="22"/>
          <w:lang w:val="en-GB"/>
        </w:rPr>
        <w:footnoteReference w:id="14"/>
      </w:r>
      <w:r>
        <w:rPr>
          <w:rFonts w:ascii="Avenir Next" w:hAnsi="Avenir Next" w:cs="Arial"/>
          <w:color w:val="7B7B7B" w:themeColor="accent3" w:themeShade="BF"/>
          <w:sz w:val="22"/>
          <w:szCs w:val="22"/>
          <w:lang w:val="en-GB"/>
        </w:rPr>
        <w:t xml:space="preserve"> </w:t>
      </w:r>
      <w:r w:rsidR="008E50C7">
        <w:rPr>
          <w:rFonts w:ascii="Avenir Next" w:hAnsi="Avenir Next" w:cs="Arial"/>
          <w:color w:val="7B7B7B" w:themeColor="accent3" w:themeShade="BF"/>
          <w:sz w:val="22"/>
          <w:szCs w:val="22"/>
          <w:lang w:val="en-GB"/>
        </w:rPr>
        <w:t>there has been varying success achieved by ‘hard law’ solutions in the context of addressing international insolvency law issues. For example, European efforts at achieving multilateral insolvency conventions (i.e. by way of ‘hard law’) were unsuccessful for many years. More success has been achieved by the European Insolvency Regulation (EIR) 2000, however in terms of ‘soft law’,</w:t>
      </w:r>
      <w:r w:rsidR="004438A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 MLCBI is considered the most successful </w:t>
      </w:r>
      <w:r w:rsidR="008E50C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soft law</w:t>
      </w:r>
      <w:r w:rsidR="008E50C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approach to</w:t>
      </w:r>
      <w:r w:rsidR="008E50C7">
        <w:rPr>
          <w:rFonts w:ascii="Avenir Next" w:hAnsi="Avenir Next" w:cs="Arial"/>
          <w:color w:val="7B7B7B" w:themeColor="accent3" w:themeShade="BF"/>
          <w:sz w:val="22"/>
          <w:szCs w:val="22"/>
          <w:lang w:val="en-GB"/>
        </w:rPr>
        <w:t xml:space="preserve"> dealing with international insolvency law issues to</w:t>
      </w:r>
      <w:r>
        <w:rPr>
          <w:rFonts w:ascii="Avenir Next" w:hAnsi="Avenir Next" w:cs="Arial"/>
          <w:color w:val="7B7B7B" w:themeColor="accent3" w:themeShade="BF"/>
          <w:sz w:val="22"/>
          <w:szCs w:val="22"/>
          <w:lang w:val="en-GB"/>
        </w:rPr>
        <w:t xml:space="preserve"> date</w:t>
      </w:r>
      <w:r w:rsidR="008E50C7">
        <w:rPr>
          <w:rFonts w:ascii="Avenir Next" w:hAnsi="Avenir Next" w:cs="Arial"/>
          <w:color w:val="7B7B7B" w:themeColor="accent3" w:themeShade="BF"/>
          <w:sz w:val="22"/>
          <w:szCs w:val="22"/>
          <w:lang w:val="en-GB"/>
        </w:rPr>
        <w:t>.</w:t>
      </w:r>
      <w:r w:rsidR="004438AB">
        <w:rPr>
          <w:rFonts w:ascii="Avenir Next" w:hAnsi="Avenir Next" w:cs="Arial"/>
          <w:color w:val="7B7B7B" w:themeColor="accent3" w:themeShade="BF"/>
          <w:sz w:val="22"/>
          <w:szCs w:val="22"/>
          <w:lang w:val="en-GB"/>
        </w:rPr>
        <w:t xml:space="preserve"> </w:t>
      </w:r>
    </w:p>
    <w:p w14:paraId="3DAA36E8" w14:textId="77777777" w:rsidR="0098739C" w:rsidRPr="004216EA" w:rsidRDefault="0098739C"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F52D8">
        <w:rPr>
          <w:rFonts w:ascii="Avenir Next" w:hAnsi="Avenir Next" w:cs="Arial"/>
          <w:sz w:val="22"/>
          <w:szCs w:val="22"/>
        </w:rPr>
        <w:t xml:space="preserve">Norton Cars Inc is a registered company that manufactures sports cars. </w:t>
      </w:r>
      <w:r w:rsidRPr="00FF52D8">
        <w:rPr>
          <w:rStyle w:val="cf01"/>
          <w:rFonts w:ascii="Avenir Next" w:hAnsi="Avenir Next" w:cs="Arial"/>
          <w:sz w:val="22"/>
          <w:szCs w:val="22"/>
        </w:rPr>
        <w:t>The company was initially incorporated in the USA and at the time operated from there.</w:t>
      </w:r>
      <w:r w:rsidR="00A641E0" w:rsidRPr="00FF52D8">
        <w:rPr>
          <w:rStyle w:val="cf01"/>
          <w:rFonts w:ascii="Avenir Next" w:hAnsi="Avenir Next" w:cs="Arial"/>
          <w:sz w:val="22"/>
          <w:szCs w:val="22"/>
        </w:rPr>
        <w:t xml:space="preserve"> </w:t>
      </w:r>
      <w:r w:rsidR="008E4F14" w:rsidRPr="00FF52D8">
        <w:rPr>
          <w:rFonts w:ascii="Avenir Next" w:hAnsi="Avenir Next" w:cs="Arial"/>
          <w:sz w:val="22"/>
          <w:szCs w:val="22"/>
        </w:rPr>
        <w:t>The company’s</w:t>
      </w:r>
      <w:r w:rsidRPr="00FF52D8">
        <w:rPr>
          <w:rFonts w:ascii="Avenir Next" w:hAnsi="Avenir Next" w:cs="Arial"/>
          <w:sz w:val="22"/>
          <w:szCs w:val="22"/>
        </w:rPr>
        <w:t xml:space="preserve"> main place of business as well as its headquarters were later moved to   Nottingham (England), but the COMI then moved to Italy when the UK exited</w:t>
      </w:r>
      <w:r w:rsidRPr="00F85C0B">
        <w:rPr>
          <w:rFonts w:ascii="Avenir Next" w:hAnsi="Avenir Next" w:cs="Arial"/>
          <w:sz w:val="22"/>
          <w:szCs w:val="22"/>
        </w:rPr>
        <w:t xml:space="preserve">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sidRPr="00FF52D8">
        <w:rPr>
          <w:rFonts w:ascii="Avenir Next" w:hAnsi="Avenir Next" w:cs="Arial"/>
          <w:sz w:val="22"/>
          <w:szCs w:val="28"/>
        </w:rPr>
        <w:t>Inc</w:t>
      </w:r>
      <w:r w:rsidRPr="00FF52D8">
        <w:rPr>
          <w:rFonts w:ascii="Avenir Next" w:hAnsi="Avenir Next" w:cs="Arial"/>
          <w:sz w:val="22"/>
          <w:szCs w:val="28"/>
        </w:rPr>
        <w:t xml:space="preserve"> has filed for liquidation in terms of American law at the time when the </w:t>
      </w:r>
      <w:r w:rsidR="00FF0BFE" w:rsidRPr="00FF52D8">
        <w:rPr>
          <w:rFonts w:ascii="Avenir Next" w:hAnsi="Avenir Next" w:cs="Arial"/>
          <w:sz w:val="22"/>
          <w:szCs w:val="28"/>
        </w:rPr>
        <w:t>h</w:t>
      </w:r>
      <w:r w:rsidRPr="00FF52D8">
        <w:rPr>
          <w:rFonts w:ascii="Avenir Next" w:hAnsi="Avenir Next" w:cs="Arial"/>
          <w:sz w:val="22"/>
          <w:szCs w:val="28"/>
        </w:rPr>
        <w:t>eadquarters were still in England.</w:t>
      </w:r>
      <w:r w:rsidRPr="00DB5A5A">
        <w:rPr>
          <w:rFonts w:ascii="Avenir Next" w:hAnsi="Avenir Next" w:cs="Arial"/>
          <w:sz w:val="22"/>
          <w:szCs w:val="28"/>
        </w:rPr>
        <w:t xml:space="preserve">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1EEA8409" w14:textId="7584897D" w:rsidR="00FF52D8" w:rsidRDefault="005120C3" w:rsidP="00DB5A5A">
      <w:pPr>
        <w:jc w:val="both"/>
        <w:rPr>
          <w:rFonts w:ascii="Avenir Next" w:hAnsi="Avenir Next" w:cs="Arial"/>
          <w:color w:val="7B7B7B" w:themeColor="accent3" w:themeShade="BF"/>
          <w:sz w:val="22"/>
          <w:szCs w:val="22"/>
          <w:lang w:val="en-GB"/>
        </w:rPr>
      </w:pPr>
      <w:r>
        <w:rPr>
          <w:rFonts w:ascii="Avenir Next" w:hAnsi="Avenir Next" w:cs="Arial"/>
          <w:color w:val="808080" w:themeColor="background1" w:themeShade="80"/>
          <w:sz w:val="22"/>
          <w:szCs w:val="22"/>
          <w:lang w:val="en-GB"/>
        </w:rPr>
        <w:t xml:space="preserve">Both </w:t>
      </w:r>
      <w:r w:rsidR="001F19E2">
        <w:rPr>
          <w:rFonts w:ascii="Avenir Next" w:hAnsi="Avenir Next" w:cs="Arial"/>
          <w:color w:val="808080" w:themeColor="background1" w:themeShade="80"/>
          <w:sz w:val="22"/>
          <w:szCs w:val="22"/>
          <w:lang w:val="en-GB"/>
        </w:rPr>
        <w:t>England</w:t>
      </w:r>
      <w:r>
        <w:rPr>
          <w:rFonts w:ascii="Avenir Next" w:hAnsi="Avenir Next" w:cs="Arial"/>
          <w:color w:val="808080" w:themeColor="background1" w:themeShade="80"/>
          <w:sz w:val="22"/>
          <w:szCs w:val="22"/>
          <w:lang w:val="en-GB"/>
        </w:rPr>
        <w:t xml:space="preserve"> and the US</w:t>
      </w:r>
      <w:r w:rsidR="000D7EAD">
        <w:rPr>
          <w:rFonts w:ascii="Avenir Next" w:hAnsi="Avenir Next" w:cs="Arial"/>
          <w:color w:val="808080" w:themeColor="background1" w:themeShade="80"/>
          <w:sz w:val="22"/>
          <w:szCs w:val="22"/>
          <w:lang w:val="en-GB"/>
        </w:rPr>
        <w:t>A</w:t>
      </w:r>
      <w:r w:rsidR="001F19E2">
        <w:rPr>
          <w:rFonts w:ascii="Avenir Next" w:hAnsi="Avenir Next" w:cs="Arial"/>
          <w:color w:val="808080" w:themeColor="background1" w:themeShade="80"/>
          <w:sz w:val="22"/>
          <w:szCs w:val="22"/>
          <w:lang w:val="en-GB"/>
        </w:rPr>
        <w:t xml:space="preserve"> ha</w:t>
      </w:r>
      <w:r>
        <w:rPr>
          <w:rFonts w:ascii="Avenir Next" w:hAnsi="Avenir Next" w:cs="Arial"/>
          <w:color w:val="808080" w:themeColor="background1" w:themeShade="80"/>
          <w:sz w:val="22"/>
          <w:szCs w:val="22"/>
          <w:lang w:val="en-GB"/>
        </w:rPr>
        <w:t>ve</w:t>
      </w:r>
      <w:r w:rsidR="001F19E2">
        <w:rPr>
          <w:rFonts w:ascii="Avenir Next" w:hAnsi="Avenir Next" w:cs="Arial"/>
          <w:color w:val="808080" w:themeColor="background1" w:themeShade="80"/>
          <w:sz w:val="22"/>
          <w:szCs w:val="22"/>
          <w:lang w:val="en-GB"/>
        </w:rPr>
        <w:t xml:space="preserve"> adopted the </w:t>
      </w:r>
      <w:r w:rsidR="001F19E2" w:rsidRPr="00920652">
        <w:rPr>
          <w:rFonts w:ascii="Avenir Next" w:hAnsi="Avenir Next" w:cs="Arial"/>
          <w:color w:val="7B7B7B" w:themeColor="accent3" w:themeShade="BF"/>
          <w:sz w:val="22"/>
          <w:szCs w:val="22"/>
          <w:lang w:val="en-GB"/>
        </w:rPr>
        <w:t>UNCITRAL Model Law on Cross-Border Insolvency</w:t>
      </w:r>
      <w:r w:rsidR="001F19E2">
        <w:rPr>
          <w:rFonts w:ascii="Avenir Next" w:hAnsi="Avenir Next" w:cs="Arial"/>
          <w:color w:val="7B7B7B" w:themeColor="accent3" w:themeShade="BF"/>
          <w:sz w:val="22"/>
          <w:szCs w:val="22"/>
          <w:lang w:val="en-GB"/>
        </w:rPr>
        <w:t xml:space="preserve"> (</w:t>
      </w:r>
      <w:r w:rsidR="001F19E2" w:rsidRPr="001F19E2">
        <w:rPr>
          <w:rFonts w:ascii="Avenir Next" w:hAnsi="Avenir Next" w:cs="Arial"/>
          <w:b/>
          <w:bCs/>
          <w:color w:val="7B7B7B" w:themeColor="accent3" w:themeShade="BF"/>
          <w:sz w:val="22"/>
          <w:szCs w:val="22"/>
          <w:lang w:val="en-GB"/>
        </w:rPr>
        <w:t>MLCBI</w:t>
      </w:r>
      <w:r w:rsidR="001F19E2">
        <w:rPr>
          <w:rFonts w:ascii="Avenir Next" w:hAnsi="Avenir Next" w:cs="Arial"/>
          <w:color w:val="7B7B7B" w:themeColor="accent3" w:themeShade="BF"/>
          <w:sz w:val="22"/>
          <w:szCs w:val="22"/>
          <w:lang w:val="en-GB"/>
        </w:rPr>
        <w:t>)</w:t>
      </w:r>
      <w:r w:rsidR="002429E1">
        <w:rPr>
          <w:rFonts w:ascii="Avenir Next" w:hAnsi="Avenir Next" w:cs="Arial"/>
          <w:color w:val="7B7B7B" w:themeColor="accent3" w:themeShade="BF"/>
          <w:sz w:val="22"/>
          <w:szCs w:val="22"/>
          <w:lang w:val="en-GB"/>
        </w:rPr>
        <w:t xml:space="preserve">. </w:t>
      </w:r>
    </w:p>
    <w:p w14:paraId="6A6513C6" w14:textId="77777777" w:rsidR="00FF52D8" w:rsidRDefault="00FF52D8" w:rsidP="00DB5A5A">
      <w:pPr>
        <w:jc w:val="both"/>
        <w:rPr>
          <w:rFonts w:ascii="Avenir Next" w:hAnsi="Avenir Next" w:cs="Arial"/>
          <w:color w:val="7B7B7B" w:themeColor="accent3" w:themeShade="BF"/>
          <w:sz w:val="22"/>
          <w:szCs w:val="22"/>
          <w:lang w:val="en-GB"/>
        </w:rPr>
      </w:pPr>
    </w:p>
    <w:p w14:paraId="174F6CCC" w14:textId="77777777" w:rsidR="00FF52D8" w:rsidRDefault="002429E1" w:rsidP="00DB5A5A">
      <w:pPr>
        <w:jc w:val="both"/>
        <w:rPr>
          <w:rFonts w:ascii="Avenir Next" w:hAnsi="Avenir Next" w:cs="Arial"/>
          <w:i/>
          <w:iCs/>
          <w:color w:val="7B7B7B" w:themeColor="accent3" w:themeShade="BF"/>
          <w:sz w:val="22"/>
          <w:szCs w:val="22"/>
          <w:lang w:val="en-GB"/>
        </w:rPr>
      </w:pPr>
      <w:r>
        <w:rPr>
          <w:rFonts w:ascii="Avenir Next" w:hAnsi="Avenir Next" w:cs="Arial"/>
          <w:color w:val="7B7B7B" w:themeColor="accent3" w:themeShade="BF"/>
          <w:sz w:val="22"/>
          <w:szCs w:val="22"/>
          <w:lang w:val="en-GB"/>
        </w:rPr>
        <w:t xml:space="preserve">Article 15(1) of </w:t>
      </w:r>
      <w:r w:rsidRPr="0044012F">
        <w:rPr>
          <w:rFonts w:ascii="Avenir Next" w:hAnsi="Avenir Next" w:cs="Arial"/>
          <w:color w:val="7B7B7B" w:themeColor="accent3" w:themeShade="BF"/>
          <w:sz w:val="22"/>
          <w:szCs w:val="22"/>
          <w:lang w:val="en-GB"/>
        </w:rPr>
        <w:t xml:space="preserve">the </w:t>
      </w:r>
      <w:r w:rsidRPr="002429E1">
        <w:rPr>
          <w:rFonts w:ascii="Avenir Next" w:hAnsi="Avenir Next" w:cs="Arial"/>
          <w:color w:val="7B7B7B" w:themeColor="accent3" w:themeShade="BF"/>
          <w:sz w:val="22"/>
          <w:szCs w:val="22"/>
          <w:lang w:val="en-GB"/>
        </w:rPr>
        <w:t>MLCBI</w:t>
      </w:r>
      <w:r>
        <w:rPr>
          <w:rFonts w:ascii="Avenir Next" w:hAnsi="Avenir Next" w:cs="Arial"/>
          <w:color w:val="7B7B7B" w:themeColor="accent3" w:themeShade="BF"/>
          <w:sz w:val="22"/>
          <w:szCs w:val="22"/>
          <w:lang w:val="en-GB"/>
        </w:rPr>
        <w:t xml:space="preserve"> provides:</w:t>
      </w:r>
      <w:r w:rsidRPr="0044012F">
        <w:rPr>
          <w:rFonts w:ascii="Avenir Next" w:hAnsi="Avenir Next" w:cs="Arial"/>
          <w:i/>
          <w:iCs/>
          <w:color w:val="7B7B7B" w:themeColor="accent3" w:themeShade="BF"/>
          <w:sz w:val="22"/>
          <w:szCs w:val="22"/>
          <w:lang w:val="en-GB"/>
        </w:rPr>
        <w:t xml:space="preserve"> “[a] foreign representative may apply to the court for recognition of the foreign proceeding in which the foreign representative has been appointed.”</w:t>
      </w:r>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Article 4 of the </w:t>
      </w:r>
      <w:r>
        <w:rPr>
          <w:rFonts w:ascii="Avenir Next" w:hAnsi="Avenir Next" w:cs="Arial"/>
          <w:color w:val="7B7B7B" w:themeColor="accent3" w:themeShade="BF"/>
          <w:sz w:val="22"/>
          <w:szCs w:val="22"/>
          <w:lang w:val="en-GB"/>
        </w:rPr>
        <w:lastRenderedPageBreak/>
        <w:t xml:space="preserve">MLCBI provides: </w:t>
      </w:r>
      <w:r w:rsidRPr="00422ECE">
        <w:rPr>
          <w:rFonts w:ascii="Avenir Next" w:hAnsi="Avenir Next" w:cs="Arial"/>
          <w:i/>
          <w:iCs/>
          <w:color w:val="7B7B7B" w:themeColor="accent3" w:themeShade="BF"/>
          <w:sz w:val="22"/>
          <w:szCs w:val="22"/>
          <w:lang w:val="en-GB"/>
        </w:rPr>
        <w:t xml:space="preserve">“The functions referred to in this Law relating to recognition of foreign proceedings and cooperation with foreign courts shall be performed by [the </w:t>
      </w:r>
      <w:r>
        <w:rPr>
          <w:rFonts w:ascii="Avenir Next" w:hAnsi="Avenir Next" w:cs="Arial"/>
          <w:i/>
          <w:iCs/>
          <w:color w:val="7B7B7B" w:themeColor="accent3" w:themeShade="BF"/>
          <w:sz w:val="22"/>
          <w:szCs w:val="22"/>
          <w:lang w:val="en-GB"/>
        </w:rPr>
        <w:t>English Court</w:t>
      </w:r>
      <w:r w:rsidRPr="00422ECE">
        <w:rPr>
          <w:rFonts w:ascii="Avenir Next" w:hAnsi="Avenir Next" w:cs="Arial"/>
          <w:i/>
          <w:iCs/>
          <w:color w:val="7B7B7B" w:themeColor="accent3" w:themeShade="BF"/>
          <w:sz w:val="22"/>
          <w:szCs w:val="22"/>
          <w:lang w:val="en-GB"/>
        </w:rPr>
        <w:t>].”</w:t>
      </w:r>
      <w:r w:rsidRPr="00B42B31">
        <w:t xml:space="preserve"> </w:t>
      </w:r>
      <w:r w:rsidRPr="002429E1">
        <w:rPr>
          <w:rFonts w:ascii="Avenir Next" w:hAnsi="Avenir Next" w:cs="Arial"/>
          <w:color w:val="808080" w:themeColor="background1" w:themeShade="80"/>
          <w:sz w:val="22"/>
          <w:szCs w:val="22"/>
          <w:lang w:val="en-GB"/>
        </w:rPr>
        <w:t xml:space="preserve">Article 5 provides: </w:t>
      </w:r>
      <w:r>
        <w:rPr>
          <w:rFonts w:ascii="Avenir Next" w:hAnsi="Avenir Next" w:cs="Arial"/>
          <w:color w:val="808080" w:themeColor="background1" w:themeShade="80"/>
          <w:sz w:val="22"/>
          <w:szCs w:val="22"/>
          <w:lang w:val="en-GB"/>
        </w:rPr>
        <w:t>“</w:t>
      </w:r>
      <w:r w:rsidRPr="002429E1">
        <w:rPr>
          <w:rFonts w:ascii="Avenir Next" w:hAnsi="Avenir Next" w:cs="Arial"/>
          <w:i/>
          <w:iCs/>
          <w:color w:val="808080" w:themeColor="background1" w:themeShade="80"/>
          <w:sz w:val="22"/>
          <w:szCs w:val="22"/>
          <w:lang w:val="en-GB"/>
        </w:rPr>
        <w:t>A [US estate representative] is authorized to act in a foreign State on behalf of a proceeding under [English law], as permitted by the applicable foreign law</w:t>
      </w:r>
      <w:r w:rsidRPr="002429E1">
        <w:rPr>
          <w:rFonts w:ascii="Avenir Next" w:hAnsi="Avenir Next" w:cs="Arial"/>
          <w:color w:val="808080" w:themeColor="background1" w:themeShade="80"/>
          <w:sz w:val="22"/>
          <w:szCs w:val="22"/>
          <w:lang w:val="en-GB"/>
        </w:rPr>
        <w:t xml:space="preserve">.” </w:t>
      </w:r>
      <w:r w:rsidRPr="00B42B31">
        <w:rPr>
          <w:rFonts w:ascii="Avenir Next" w:hAnsi="Avenir Next" w:cs="Arial"/>
          <w:color w:val="7B7B7B" w:themeColor="accent3" w:themeShade="BF"/>
          <w:sz w:val="22"/>
          <w:szCs w:val="22"/>
          <w:lang w:val="en-GB"/>
        </w:rPr>
        <w:t xml:space="preserve">Article 9 provides: </w:t>
      </w:r>
      <w:r>
        <w:t>“</w:t>
      </w:r>
      <w:r w:rsidRPr="00B42B31">
        <w:rPr>
          <w:rFonts w:ascii="Avenir Next" w:hAnsi="Avenir Next" w:cs="Arial"/>
          <w:i/>
          <w:iCs/>
          <w:color w:val="7B7B7B" w:themeColor="accent3" w:themeShade="BF"/>
          <w:sz w:val="22"/>
          <w:szCs w:val="22"/>
          <w:lang w:val="en-GB"/>
        </w:rPr>
        <w:t>A foreign representative is entitled to apply directly to a court in this State</w:t>
      </w:r>
      <w:r w:rsidR="00FF52D8">
        <w:rPr>
          <w:rFonts w:ascii="Avenir Next" w:hAnsi="Avenir Next" w:cs="Arial"/>
          <w:i/>
          <w:iCs/>
          <w:color w:val="7B7B7B" w:themeColor="accent3" w:themeShade="BF"/>
          <w:sz w:val="22"/>
          <w:szCs w:val="22"/>
          <w:lang w:val="en-GB"/>
        </w:rPr>
        <w:t>.”</w:t>
      </w:r>
    </w:p>
    <w:p w14:paraId="6B19FEB0" w14:textId="77777777" w:rsidR="00FF52D8" w:rsidRDefault="00FF52D8" w:rsidP="00DB5A5A">
      <w:pPr>
        <w:jc w:val="both"/>
        <w:rPr>
          <w:rFonts w:ascii="Avenir Next" w:hAnsi="Avenir Next" w:cs="Arial"/>
          <w:i/>
          <w:iCs/>
          <w:color w:val="7B7B7B" w:themeColor="accent3" w:themeShade="BF"/>
          <w:sz w:val="22"/>
          <w:szCs w:val="22"/>
          <w:lang w:val="en-GB"/>
        </w:rPr>
      </w:pPr>
    </w:p>
    <w:p w14:paraId="2C021713" w14:textId="6DAFF34C" w:rsidR="00FF0707" w:rsidRPr="002429E1" w:rsidRDefault="002429E1" w:rsidP="00DB5A5A">
      <w:pPr>
        <w:jc w:val="both"/>
      </w:pPr>
      <w:r>
        <w:rPr>
          <w:rFonts w:ascii="Avenir Next" w:hAnsi="Avenir Next" w:cs="Arial"/>
          <w:color w:val="7B7B7B" w:themeColor="accent3" w:themeShade="BF"/>
          <w:sz w:val="22"/>
          <w:szCs w:val="22"/>
          <w:lang w:val="en-GB"/>
        </w:rPr>
        <w:t>Accordingly,</w:t>
      </w:r>
      <w:r w:rsidR="00FF0707">
        <w:rPr>
          <w:rFonts w:ascii="Avenir Next" w:hAnsi="Avenir Next" w:cs="Arial"/>
          <w:color w:val="7B7B7B" w:themeColor="accent3" w:themeShade="BF"/>
          <w:sz w:val="22"/>
          <w:szCs w:val="22"/>
          <w:lang w:val="en-GB"/>
        </w:rPr>
        <w:t xml:space="preserve"> </w:t>
      </w:r>
      <w:r w:rsidR="00997553">
        <w:rPr>
          <w:rFonts w:ascii="Avenir Next" w:hAnsi="Avenir Next" w:cs="Arial"/>
          <w:color w:val="7B7B7B" w:themeColor="accent3" w:themeShade="BF"/>
          <w:sz w:val="22"/>
          <w:szCs w:val="22"/>
          <w:lang w:val="en-GB"/>
        </w:rPr>
        <w:t>the US</w:t>
      </w:r>
      <w:r w:rsidR="00EE2618">
        <w:rPr>
          <w:rFonts w:ascii="Avenir Next" w:hAnsi="Avenir Next" w:cs="Arial"/>
          <w:color w:val="7B7B7B" w:themeColor="accent3" w:themeShade="BF"/>
          <w:sz w:val="22"/>
          <w:szCs w:val="22"/>
          <w:lang w:val="en-GB"/>
        </w:rPr>
        <w:t xml:space="preserve"> estate representative is able to </w:t>
      </w:r>
      <w:r w:rsidR="009C67E3">
        <w:rPr>
          <w:rFonts w:ascii="Avenir Next" w:hAnsi="Avenir Next" w:cs="Arial"/>
          <w:color w:val="7B7B7B" w:themeColor="accent3" w:themeShade="BF"/>
          <w:sz w:val="22"/>
          <w:szCs w:val="22"/>
          <w:lang w:val="en-GB"/>
        </w:rPr>
        <w:t>use the provisions of the MLCBI to seek recognition of her status</w:t>
      </w:r>
      <w:r>
        <w:rPr>
          <w:rFonts w:ascii="Avenir Next" w:hAnsi="Avenir Next" w:cs="Arial"/>
          <w:color w:val="7B7B7B" w:themeColor="accent3" w:themeShade="BF"/>
          <w:sz w:val="22"/>
          <w:szCs w:val="22"/>
          <w:lang w:val="en-GB"/>
        </w:rPr>
        <w:t xml:space="preserve"> and of the foreign</w:t>
      </w:r>
      <w:r w:rsidR="00FF52D8">
        <w:rPr>
          <w:rFonts w:ascii="Avenir Next" w:hAnsi="Avenir Next" w:cs="Arial"/>
          <w:color w:val="7B7B7B" w:themeColor="accent3" w:themeShade="BF"/>
          <w:sz w:val="22"/>
          <w:szCs w:val="22"/>
          <w:lang w:val="en-GB"/>
        </w:rPr>
        <w:t xml:space="preserve"> (US)</w:t>
      </w:r>
      <w:r>
        <w:rPr>
          <w:rFonts w:ascii="Avenir Next" w:hAnsi="Avenir Next" w:cs="Arial"/>
          <w:color w:val="7B7B7B" w:themeColor="accent3" w:themeShade="BF"/>
          <w:sz w:val="22"/>
          <w:szCs w:val="22"/>
          <w:lang w:val="en-GB"/>
        </w:rPr>
        <w:t xml:space="preserve"> proceedings in order to </w:t>
      </w:r>
      <w:r w:rsidRPr="002429E1">
        <w:rPr>
          <w:rFonts w:ascii="Avenir Next" w:hAnsi="Avenir Next" w:cs="Arial"/>
          <w:color w:val="7B7B7B" w:themeColor="accent3" w:themeShade="BF"/>
          <w:sz w:val="22"/>
          <w:szCs w:val="22"/>
          <w:lang w:val="en-GB"/>
        </w:rPr>
        <w:t>deal with the assets of Norton Cars Inc situated in England</w:t>
      </w:r>
      <w:r w:rsidR="009C67E3">
        <w:rPr>
          <w:rFonts w:ascii="Avenir Next" w:hAnsi="Avenir Next" w:cs="Arial"/>
          <w:color w:val="7B7B7B" w:themeColor="accent3" w:themeShade="BF"/>
          <w:sz w:val="22"/>
          <w:szCs w:val="22"/>
          <w:lang w:val="en-GB"/>
        </w:rPr>
        <w:t xml:space="preserve">. </w:t>
      </w:r>
      <w:r w:rsidR="00FF52D8">
        <w:rPr>
          <w:rFonts w:ascii="Avenir Next" w:hAnsi="Avenir Next" w:cs="Arial"/>
          <w:color w:val="7B7B7B" w:themeColor="accent3" w:themeShade="BF"/>
          <w:sz w:val="22"/>
          <w:szCs w:val="22"/>
          <w:lang w:val="en-GB"/>
        </w:rPr>
        <w:t>Relief available to the US estate representative is predominantly set out at Articles 19-21 of the MLCBI.</w:t>
      </w:r>
    </w:p>
    <w:p w14:paraId="02D46722" w14:textId="77777777" w:rsidR="00FF0707" w:rsidRDefault="00FF0707" w:rsidP="00DB5A5A">
      <w:pPr>
        <w:jc w:val="both"/>
        <w:rPr>
          <w:rFonts w:ascii="Avenir Next" w:hAnsi="Avenir Next" w:cs="Arial"/>
          <w:color w:val="7B7B7B" w:themeColor="accent3" w:themeShade="BF"/>
          <w:sz w:val="22"/>
          <w:szCs w:val="22"/>
          <w:lang w:val="en-GB"/>
        </w:rPr>
      </w:pPr>
    </w:p>
    <w:p w14:paraId="7D974945" w14:textId="3352689F" w:rsidR="009C67E3" w:rsidRDefault="009C67E3" w:rsidP="00DB5A5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w:t>
      </w:r>
      <w:r w:rsidR="00BD2B73">
        <w:rPr>
          <w:rFonts w:ascii="Avenir Next" w:hAnsi="Avenir Next" w:cs="Arial"/>
          <w:color w:val="7B7B7B" w:themeColor="accent3" w:themeShade="BF"/>
          <w:sz w:val="22"/>
          <w:szCs w:val="22"/>
          <w:lang w:val="en-GB"/>
        </w:rPr>
        <w:t xml:space="preserve">pursuant to </w:t>
      </w:r>
      <w:r w:rsidR="00BC6708">
        <w:rPr>
          <w:rFonts w:ascii="Avenir Next" w:hAnsi="Avenir Next" w:cs="Arial"/>
          <w:color w:val="7B7B7B" w:themeColor="accent3" w:themeShade="BF"/>
          <w:sz w:val="22"/>
          <w:szCs w:val="22"/>
          <w:lang w:val="en-GB"/>
        </w:rPr>
        <w:t xml:space="preserve">Section 426 of </w:t>
      </w:r>
      <w:r>
        <w:rPr>
          <w:rFonts w:ascii="Avenir Next" w:hAnsi="Avenir Next" w:cs="Arial"/>
          <w:color w:val="7B7B7B" w:themeColor="accent3" w:themeShade="BF"/>
          <w:sz w:val="22"/>
          <w:szCs w:val="22"/>
          <w:lang w:val="en-GB"/>
        </w:rPr>
        <w:t>the English Insolvency Act 1986</w:t>
      </w:r>
      <w:r w:rsidR="00BC6708">
        <w:rPr>
          <w:rFonts w:ascii="Avenir Next" w:hAnsi="Avenir Next" w:cs="Arial"/>
          <w:color w:val="7B7B7B" w:themeColor="accent3" w:themeShade="BF"/>
          <w:sz w:val="22"/>
          <w:szCs w:val="22"/>
          <w:lang w:val="en-GB"/>
        </w:rPr>
        <w:t xml:space="preserve">, the English Court should </w:t>
      </w:r>
      <w:r w:rsidR="00162E99">
        <w:rPr>
          <w:rFonts w:ascii="Avenir Next" w:hAnsi="Avenir Next" w:cs="Arial"/>
          <w:color w:val="7B7B7B" w:themeColor="accent3" w:themeShade="BF"/>
          <w:sz w:val="22"/>
          <w:szCs w:val="22"/>
          <w:lang w:val="en-GB"/>
        </w:rPr>
        <w:t>recognise the status of the US estate representative</w:t>
      </w:r>
      <w:r w:rsidR="007F4ADD">
        <w:rPr>
          <w:rFonts w:ascii="Avenir Next" w:hAnsi="Avenir Next" w:cs="Arial"/>
          <w:color w:val="7B7B7B" w:themeColor="accent3" w:themeShade="BF"/>
          <w:sz w:val="22"/>
          <w:szCs w:val="22"/>
          <w:lang w:val="en-GB"/>
        </w:rPr>
        <w:t xml:space="preserve"> and permit her authority to </w:t>
      </w:r>
      <w:r w:rsidR="002F73AE">
        <w:rPr>
          <w:rFonts w:ascii="Avenir Next" w:hAnsi="Avenir Next" w:cs="Arial"/>
          <w:color w:val="7B7B7B" w:themeColor="accent3" w:themeShade="BF"/>
          <w:sz w:val="22"/>
          <w:szCs w:val="22"/>
          <w:lang w:val="en-GB"/>
        </w:rPr>
        <w:t xml:space="preserve">gain control over and </w:t>
      </w:r>
      <w:r w:rsidR="007F4ADD">
        <w:rPr>
          <w:rFonts w:ascii="Avenir Next" w:hAnsi="Avenir Next" w:cs="Arial"/>
          <w:color w:val="7B7B7B" w:themeColor="accent3" w:themeShade="BF"/>
          <w:sz w:val="22"/>
          <w:szCs w:val="22"/>
          <w:lang w:val="en-GB"/>
        </w:rPr>
        <w:t>deal with Norton Cars’ assets in</w:t>
      </w:r>
      <w:r w:rsidR="00C32982">
        <w:rPr>
          <w:rFonts w:ascii="Avenir Next" w:hAnsi="Avenir Next" w:cs="Arial"/>
          <w:color w:val="7B7B7B" w:themeColor="accent3" w:themeShade="BF"/>
          <w:sz w:val="22"/>
          <w:szCs w:val="22"/>
          <w:lang w:val="en-GB"/>
        </w:rPr>
        <w:t xml:space="preserve"> England. </w:t>
      </w:r>
      <w:r w:rsidR="00530565">
        <w:rPr>
          <w:rFonts w:ascii="Avenir Next" w:hAnsi="Avenir Next" w:cs="Arial"/>
          <w:color w:val="7B7B7B" w:themeColor="accent3" w:themeShade="BF"/>
          <w:sz w:val="22"/>
          <w:szCs w:val="22"/>
          <w:lang w:val="en-GB"/>
        </w:rPr>
        <w:t xml:space="preserve">The English Court </w:t>
      </w:r>
      <w:r w:rsidR="00290A68">
        <w:rPr>
          <w:rFonts w:ascii="Avenir Next" w:hAnsi="Avenir Next" w:cs="Arial"/>
          <w:color w:val="7B7B7B" w:themeColor="accent3" w:themeShade="BF"/>
          <w:sz w:val="22"/>
          <w:szCs w:val="22"/>
          <w:lang w:val="en-GB"/>
        </w:rPr>
        <w:t xml:space="preserve">may apply English law </w:t>
      </w:r>
      <w:r w:rsidR="0090334E">
        <w:rPr>
          <w:rFonts w:ascii="Avenir Next" w:hAnsi="Avenir Next" w:cs="Arial"/>
          <w:color w:val="7B7B7B" w:themeColor="accent3" w:themeShade="BF"/>
          <w:sz w:val="22"/>
          <w:szCs w:val="22"/>
          <w:lang w:val="en-GB"/>
        </w:rPr>
        <w:t>or the relevant US law</w:t>
      </w:r>
      <w:r w:rsidR="00332F2A">
        <w:rPr>
          <w:rFonts w:ascii="Avenir Next" w:hAnsi="Avenir Next" w:cs="Arial"/>
          <w:color w:val="7B7B7B" w:themeColor="accent3" w:themeShade="BF"/>
          <w:sz w:val="22"/>
          <w:szCs w:val="22"/>
          <w:lang w:val="en-GB"/>
        </w:rPr>
        <w:t xml:space="preserve"> (s426(5))</w:t>
      </w:r>
      <w:r w:rsidR="0090334E">
        <w:rPr>
          <w:rFonts w:ascii="Avenir Next" w:hAnsi="Avenir Next" w:cs="Arial"/>
          <w:color w:val="7B7B7B" w:themeColor="accent3" w:themeShade="BF"/>
          <w:sz w:val="22"/>
          <w:szCs w:val="22"/>
          <w:lang w:val="en-GB"/>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215247">
        <w:rPr>
          <w:rFonts w:ascii="Avenir Next Demi Bold" w:hAnsi="Avenir Next Demi Bold" w:cs="Arial"/>
          <w:b/>
          <w:bCs/>
          <w:sz w:val="22"/>
          <w:szCs w:val="22"/>
          <w:lang w:val="en-GB"/>
        </w:rPr>
        <w:t xml:space="preserve">Question 4.2 [Maximum </w:t>
      </w:r>
      <w:r w:rsidR="00231CAE" w:rsidRPr="00215247">
        <w:rPr>
          <w:rFonts w:ascii="Avenir Next Demi Bold" w:hAnsi="Avenir Next Demi Bold" w:cs="Arial"/>
          <w:b/>
          <w:bCs/>
          <w:sz w:val="22"/>
          <w:szCs w:val="22"/>
          <w:lang w:val="en-GB"/>
        </w:rPr>
        <w:t>4</w:t>
      </w:r>
      <w:r w:rsidRPr="00215247">
        <w:rPr>
          <w:rFonts w:ascii="Avenir Next Demi Bold" w:hAnsi="Avenir Next Demi Bold" w:cs="Arial"/>
          <w:b/>
          <w:bCs/>
          <w:sz w:val="22"/>
          <w:szCs w:val="22"/>
          <w:lang w:val="en-GB"/>
        </w:rPr>
        <w:t xml:space="preserve"> marks]</w:t>
      </w:r>
      <w:r w:rsidRPr="00F3144D">
        <w:rPr>
          <w:rFonts w:ascii="Avenir Next Demi Bold" w:hAnsi="Avenir Next Demi Bold" w:cs="Arial"/>
          <w:b/>
          <w:bCs/>
          <w:sz w:val="22"/>
          <w:szCs w:val="22"/>
          <w:lang w:val="en-GB"/>
        </w:rPr>
        <w:t xml:space="preserve">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1C00450E" w14:textId="77777777" w:rsidR="00CB28DA" w:rsidRDefault="001D19FF"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2015 (</w:t>
      </w:r>
      <w:r w:rsidRPr="001D19FF">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 appl</w:t>
      </w:r>
      <w:r w:rsidR="00192152">
        <w:rPr>
          <w:rFonts w:ascii="Avenir Next" w:hAnsi="Avenir Next" w:cs="Arial"/>
          <w:color w:val="808080" w:themeColor="background1" w:themeShade="80"/>
          <w:sz w:val="22"/>
          <w:szCs w:val="22"/>
          <w:lang w:val="en-GB"/>
        </w:rPr>
        <w:t>ies</w:t>
      </w:r>
      <w:r>
        <w:rPr>
          <w:rFonts w:ascii="Avenir Next" w:hAnsi="Avenir Next" w:cs="Arial"/>
          <w:color w:val="808080" w:themeColor="background1" w:themeShade="80"/>
          <w:sz w:val="22"/>
          <w:szCs w:val="22"/>
          <w:lang w:val="en-GB"/>
        </w:rPr>
        <w:t xml:space="preserve"> in both Germany and Italy. As set out in the Guidance Text,</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w:t>
      </w:r>
      <w:r w:rsidR="00192152">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he EIR allocates jurisdictional competence to the courts of the member state</w:t>
      </w:r>
      <w:r w:rsidR="00192152">
        <w:rPr>
          <w:rFonts w:ascii="Avenir Next" w:hAnsi="Avenir Next" w:cs="Arial"/>
          <w:color w:val="808080" w:themeColor="background1" w:themeShade="80"/>
          <w:sz w:val="22"/>
          <w:szCs w:val="22"/>
          <w:lang w:val="en-GB"/>
        </w:rPr>
        <w:t xml:space="preserve"> within which the COMI is situated. </w:t>
      </w:r>
      <w:r w:rsidR="00006C3F">
        <w:rPr>
          <w:rFonts w:ascii="Avenir Next" w:hAnsi="Avenir Next" w:cs="Arial"/>
          <w:color w:val="808080" w:themeColor="background1" w:themeShade="80"/>
          <w:sz w:val="22"/>
          <w:szCs w:val="22"/>
          <w:lang w:val="en-GB"/>
        </w:rPr>
        <w:t xml:space="preserve">However, subsidiary proceedings </w:t>
      </w:r>
      <w:r w:rsidR="003F3AF3">
        <w:rPr>
          <w:rFonts w:ascii="Avenir Next" w:hAnsi="Avenir Next" w:cs="Arial"/>
          <w:color w:val="808080" w:themeColor="background1" w:themeShade="80"/>
          <w:sz w:val="22"/>
          <w:szCs w:val="22"/>
          <w:lang w:val="en-GB"/>
        </w:rPr>
        <w:t xml:space="preserve">(secondary to the main insolvency proceeding) </w:t>
      </w:r>
      <w:r w:rsidR="00006C3F">
        <w:rPr>
          <w:rFonts w:ascii="Avenir Next" w:hAnsi="Avenir Next" w:cs="Arial"/>
          <w:color w:val="808080" w:themeColor="background1" w:themeShade="80"/>
          <w:sz w:val="22"/>
          <w:szCs w:val="22"/>
          <w:lang w:val="en-GB"/>
        </w:rPr>
        <w:t xml:space="preserve">are also permitted. </w:t>
      </w:r>
      <w:r w:rsidR="00192152">
        <w:rPr>
          <w:rFonts w:ascii="Avenir Next" w:hAnsi="Avenir Next" w:cs="Arial"/>
          <w:color w:val="808080" w:themeColor="background1" w:themeShade="80"/>
          <w:sz w:val="22"/>
          <w:szCs w:val="22"/>
          <w:lang w:val="en-GB"/>
        </w:rPr>
        <w:t xml:space="preserve">Accordingly, </w:t>
      </w:r>
      <w:r w:rsidR="00006C3F">
        <w:rPr>
          <w:rFonts w:ascii="Avenir Next" w:hAnsi="Avenir Next" w:cs="Arial"/>
          <w:color w:val="808080" w:themeColor="background1" w:themeShade="80"/>
          <w:sz w:val="22"/>
          <w:szCs w:val="22"/>
          <w:lang w:val="en-GB"/>
        </w:rPr>
        <w:t xml:space="preserve">in order to determine </w:t>
      </w:r>
      <w:r w:rsidR="00386AFB">
        <w:rPr>
          <w:rFonts w:ascii="Avenir Next" w:hAnsi="Avenir Next" w:cs="Arial"/>
          <w:color w:val="808080" w:themeColor="background1" w:themeShade="80"/>
          <w:sz w:val="22"/>
          <w:szCs w:val="22"/>
          <w:lang w:val="en-GB"/>
        </w:rPr>
        <w:t>where</w:t>
      </w:r>
      <w:r w:rsidR="0014364D">
        <w:rPr>
          <w:rFonts w:ascii="Avenir Next" w:hAnsi="Avenir Next" w:cs="Arial"/>
          <w:color w:val="808080" w:themeColor="background1" w:themeShade="80"/>
          <w:sz w:val="22"/>
          <w:szCs w:val="22"/>
          <w:lang w:val="en-GB"/>
        </w:rPr>
        <w:t xml:space="preserve"> the main insolvency proceeding should be commence</w:t>
      </w:r>
      <w:r w:rsidR="00735B34">
        <w:rPr>
          <w:rFonts w:ascii="Avenir Next" w:hAnsi="Avenir Next" w:cs="Arial"/>
          <w:color w:val="808080" w:themeColor="background1" w:themeShade="80"/>
          <w:sz w:val="22"/>
          <w:szCs w:val="22"/>
          <w:lang w:val="en-GB"/>
        </w:rPr>
        <w:t>d,</w:t>
      </w:r>
      <w:r w:rsidR="00006C3F">
        <w:rPr>
          <w:rFonts w:ascii="Avenir Next" w:hAnsi="Avenir Next" w:cs="Arial"/>
          <w:color w:val="808080" w:themeColor="background1" w:themeShade="80"/>
          <w:sz w:val="22"/>
          <w:szCs w:val="22"/>
          <w:lang w:val="en-GB"/>
        </w:rPr>
        <w:t xml:space="preserve"> </w:t>
      </w:r>
      <w:r w:rsidR="00192152">
        <w:rPr>
          <w:rFonts w:ascii="Avenir Next" w:hAnsi="Avenir Next" w:cs="Arial"/>
          <w:color w:val="808080" w:themeColor="background1" w:themeShade="80"/>
          <w:sz w:val="22"/>
          <w:szCs w:val="22"/>
          <w:lang w:val="en-GB"/>
        </w:rPr>
        <w:t>it is necessary to consider which jurisdiction the COMI is</w:t>
      </w:r>
      <w:r w:rsidR="00080877">
        <w:rPr>
          <w:rFonts w:ascii="Avenir Next" w:hAnsi="Avenir Next" w:cs="Arial"/>
          <w:color w:val="808080" w:themeColor="background1" w:themeShade="80"/>
          <w:sz w:val="22"/>
          <w:szCs w:val="22"/>
          <w:lang w:val="en-GB"/>
        </w:rPr>
        <w:t xml:space="preserve"> in: Italy or Germany.</w:t>
      </w:r>
      <w:r w:rsidR="00152047">
        <w:rPr>
          <w:rFonts w:ascii="Avenir Next" w:hAnsi="Avenir Next" w:cs="Arial"/>
          <w:color w:val="808080" w:themeColor="background1" w:themeShade="80"/>
          <w:sz w:val="22"/>
          <w:szCs w:val="22"/>
          <w:lang w:val="en-GB"/>
        </w:rPr>
        <w:t xml:space="preserve"> </w:t>
      </w:r>
    </w:p>
    <w:p w14:paraId="4B61F573" w14:textId="77777777" w:rsidR="00CB28DA" w:rsidRDefault="00CB28DA" w:rsidP="00692852">
      <w:pPr>
        <w:jc w:val="both"/>
        <w:rPr>
          <w:rFonts w:ascii="Avenir Next" w:hAnsi="Avenir Next" w:cs="Arial"/>
          <w:color w:val="808080" w:themeColor="background1" w:themeShade="80"/>
          <w:sz w:val="22"/>
          <w:szCs w:val="22"/>
          <w:lang w:val="en-GB"/>
        </w:rPr>
      </w:pPr>
    </w:p>
    <w:p w14:paraId="4741EAEA" w14:textId="55C98D30" w:rsidR="00090B23" w:rsidRDefault="0015204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question </w:t>
      </w:r>
      <w:r w:rsidR="00BA451D">
        <w:rPr>
          <w:rFonts w:ascii="Avenir Next" w:hAnsi="Avenir Next" w:cs="Arial"/>
          <w:color w:val="808080" w:themeColor="background1" w:themeShade="80"/>
          <w:sz w:val="22"/>
          <w:szCs w:val="22"/>
          <w:lang w:val="en-GB"/>
        </w:rPr>
        <w:t xml:space="preserve">states that the COMI is Italy, however pursuant to </w:t>
      </w:r>
      <w:r w:rsidR="00797F1D">
        <w:rPr>
          <w:rFonts w:ascii="Avenir Next" w:hAnsi="Avenir Next" w:cs="Arial"/>
          <w:color w:val="808080" w:themeColor="background1" w:themeShade="80"/>
          <w:sz w:val="22"/>
          <w:szCs w:val="22"/>
          <w:lang w:val="en-GB"/>
        </w:rPr>
        <w:t>Recital</w:t>
      </w:r>
      <w:r w:rsidR="00BA451D">
        <w:rPr>
          <w:rFonts w:ascii="Avenir Next" w:hAnsi="Avenir Next" w:cs="Arial"/>
          <w:color w:val="808080" w:themeColor="background1" w:themeShade="80"/>
          <w:sz w:val="22"/>
          <w:szCs w:val="22"/>
          <w:lang w:val="en-GB"/>
        </w:rPr>
        <w:t xml:space="preserve"> 30 of the EIR, the presumption</w:t>
      </w:r>
      <w:r w:rsidR="00A7095C">
        <w:rPr>
          <w:rFonts w:ascii="Avenir Next" w:hAnsi="Avenir Next" w:cs="Arial"/>
          <w:color w:val="808080" w:themeColor="background1" w:themeShade="80"/>
          <w:sz w:val="22"/>
          <w:szCs w:val="22"/>
          <w:lang w:val="en-GB"/>
        </w:rPr>
        <w:t>s</w:t>
      </w:r>
      <w:r w:rsidR="00BA451D">
        <w:rPr>
          <w:rFonts w:ascii="Avenir Next" w:hAnsi="Avenir Next" w:cs="Arial"/>
          <w:color w:val="808080" w:themeColor="background1" w:themeShade="80"/>
          <w:sz w:val="22"/>
          <w:szCs w:val="22"/>
          <w:lang w:val="en-GB"/>
        </w:rPr>
        <w:t xml:space="preserve"> of </w:t>
      </w:r>
      <w:r w:rsidR="00A7095C">
        <w:rPr>
          <w:rFonts w:ascii="Avenir Next" w:hAnsi="Avenir Next" w:cs="Arial"/>
          <w:color w:val="808080" w:themeColor="background1" w:themeShade="80"/>
          <w:sz w:val="22"/>
          <w:szCs w:val="22"/>
          <w:lang w:val="en-GB"/>
        </w:rPr>
        <w:t>a</w:t>
      </w:r>
      <w:r w:rsidR="00BA451D">
        <w:rPr>
          <w:rFonts w:ascii="Avenir Next" w:hAnsi="Avenir Next" w:cs="Arial"/>
          <w:color w:val="808080" w:themeColor="background1" w:themeShade="80"/>
          <w:sz w:val="22"/>
          <w:szCs w:val="22"/>
          <w:lang w:val="en-GB"/>
        </w:rPr>
        <w:t xml:space="preserve"> COMI are rebuttable.</w:t>
      </w:r>
      <w:r w:rsidR="00080877">
        <w:rPr>
          <w:rFonts w:ascii="Avenir Next" w:hAnsi="Avenir Next" w:cs="Arial"/>
          <w:color w:val="808080" w:themeColor="background1" w:themeShade="80"/>
          <w:sz w:val="22"/>
          <w:szCs w:val="22"/>
          <w:lang w:val="en-GB"/>
        </w:rPr>
        <w:t xml:space="preserve"> </w:t>
      </w:r>
      <w:r w:rsidR="00950BAC">
        <w:rPr>
          <w:rFonts w:ascii="Avenir Next" w:hAnsi="Avenir Next" w:cs="Arial"/>
          <w:color w:val="808080" w:themeColor="background1" w:themeShade="80"/>
          <w:sz w:val="22"/>
          <w:szCs w:val="22"/>
          <w:lang w:val="en-GB"/>
        </w:rPr>
        <w:t xml:space="preserve">There is no </w:t>
      </w:r>
      <w:r w:rsidR="00AE75AB">
        <w:rPr>
          <w:rFonts w:ascii="Avenir Next" w:hAnsi="Avenir Next" w:cs="Arial"/>
          <w:color w:val="808080" w:themeColor="background1" w:themeShade="80"/>
          <w:sz w:val="22"/>
          <w:szCs w:val="22"/>
          <w:lang w:val="en-GB"/>
        </w:rPr>
        <w:t xml:space="preserve">specific </w:t>
      </w:r>
      <w:r w:rsidR="00950BAC">
        <w:rPr>
          <w:rFonts w:ascii="Avenir Next" w:hAnsi="Avenir Next" w:cs="Arial"/>
          <w:color w:val="808080" w:themeColor="background1" w:themeShade="80"/>
          <w:sz w:val="22"/>
          <w:szCs w:val="22"/>
          <w:lang w:val="en-GB"/>
        </w:rPr>
        <w:t xml:space="preserve">definition of COMI in the EIR, however </w:t>
      </w:r>
      <w:r w:rsidR="00AE75AB">
        <w:rPr>
          <w:rFonts w:ascii="Avenir Next" w:hAnsi="Avenir Next" w:cs="Arial"/>
          <w:color w:val="808080" w:themeColor="background1" w:themeShade="80"/>
          <w:sz w:val="22"/>
          <w:szCs w:val="22"/>
          <w:lang w:val="en-GB"/>
        </w:rPr>
        <w:t xml:space="preserve">Article 3.1 provides: </w:t>
      </w:r>
      <w:r w:rsidR="00AE75AB" w:rsidRPr="00AE75AB">
        <w:rPr>
          <w:rFonts w:ascii="Avenir Next" w:hAnsi="Avenir Next" w:cs="Arial"/>
          <w:i/>
          <w:iCs/>
          <w:color w:val="808080" w:themeColor="background1" w:themeShade="80"/>
          <w:sz w:val="22"/>
          <w:szCs w:val="22"/>
          <w:lang w:val="en-GB"/>
        </w:rPr>
        <w:t>“The centre of main interests shall be the place where the debtor conducts the administration of its interests on a regular basis and which is ascertainable by third parties. In the case of a company or legal person, the place of the registered office shall be presumed to be the centre of its main interests in the absence of proof to the contrary.”</w:t>
      </w:r>
      <w:r w:rsidR="00103844">
        <w:rPr>
          <w:rFonts w:ascii="Avenir Next" w:hAnsi="Avenir Next" w:cs="Arial"/>
          <w:color w:val="808080" w:themeColor="background1" w:themeShade="80"/>
          <w:sz w:val="22"/>
          <w:szCs w:val="22"/>
          <w:lang w:val="en-GB"/>
        </w:rPr>
        <w:t xml:space="preserve"> Accordingly, </w:t>
      </w:r>
      <w:r w:rsidR="00950BAC">
        <w:rPr>
          <w:rFonts w:ascii="Avenir Next" w:hAnsi="Avenir Next" w:cs="Arial"/>
          <w:color w:val="808080" w:themeColor="background1" w:themeShade="80"/>
          <w:sz w:val="22"/>
          <w:szCs w:val="22"/>
          <w:lang w:val="en-GB"/>
        </w:rPr>
        <w:t xml:space="preserve">it is </w:t>
      </w:r>
      <w:r>
        <w:rPr>
          <w:rFonts w:ascii="Avenir Next" w:hAnsi="Avenir Next" w:cs="Arial"/>
          <w:color w:val="808080" w:themeColor="background1" w:themeShade="80"/>
          <w:sz w:val="22"/>
          <w:szCs w:val="22"/>
          <w:lang w:val="en-GB"/>
        </w:rPr>
        <w:t>advisable</w:t>
      </w:r>
      <w:r w:rsidR="00950BAC">
        <w:rPr>
          <w:rFonts w:ascii="Avenir Next" w:hAnsi="Avenir Next" w:cs="Arial"/>
          <w:color w:val="808080" w:themeColor="background1" w:themeShade="80"/>
          <w:sz w:val="22"/>
          <w:szCs w:val="22"/>
          <w:lang w:val="en-GB"/>
        </w:rPr>
        <w:t xml:space="preserve"> to </w:t>
      </w:r>
      <w:r>
        <w:rPr>
          <w:rFonts w:ascii="Avenir Next" w:hAnsi="Avenir Next" w:cs="Arial"/>
          <w:color w:val="808080" w:themeColor="background1" w:themeShade="80"/>
          <w:sz w:val="22"/>
          <w:szCs w:val="22"/>
          <w:lang w:val="en-GB"/>
        </w:rPr>
        <w:t>consider the</w:t>
      </w:r>
      <w:r w:rsidRPr="00152047">
        <w:rPr>
          <w:rFonts w:ascii="Avenir Next" w:hAnsi="Avenir Next" w:cs="Arial"/>
          <w:color w:val="808080" w:themeColor="background1" w:themeShade="80"/>
          <w:sz w:val="22"/>
          <w:szCs w:val="22"/>
          <w:lang w:val="en-GB"/>
        </w:rPr>
        <w:t xml:space="preserve"> registered office</w:t>
      </w:r>
      <w:r w:rsidR="00A659B2">
        <w:rPr>
          <w:rFonts w:ascii="Avenir Next" w:hAnsi="Avenir Next" w:cs="Arial"/>
          <w:color w:val="808080" w:themeColor="background1" w:themeShade="80"/>
          <w:sz w:val="22"/>
          <w:szCs w:val="22"/>
          <w:lang w:val="en-GB"/>
        </w:rPr>
        <w:t xml:space="preserve"> and</w:t>
      </w:r>
      <w:r w:rsidRPr="00152047">
        <w:rPr>
          <w:rFonts w:ascii="Avenir Next" w:hAnsi="Avenir Next" w:cs="Arial"/>
          <w:color w:val="808080" w:themeColor="background1" w:themeShade="80"/>
          <w:sz w:val="22"/>
          <w:szCs w:val="22"/>
          <w:lang w:val="en-GB"/>
        </w:rPr>
        <w:t xml:space="preserve"> the principal place of business </w:t>
      </w:r>
      <w:r w:rsidR="00A659B2">
        <w:rPr>
          <w:rFonts w:ascii="Avenir Next" w:hAnsi="Avenir Next" w:cs="Arial"/>
          <w:color w:val="808080" w:themeColor="background1" w:themeShade="80"/>
          <w:sz w:val="22"/>
          <w:szCs w:val="22"/>
          <w:lang w:val="en-GB"/>
        </w:rPr>
        <w:t>of a corporate debtor</w:t>
      </w:r>
      <w:r w:rsidR="00BA7892">
        <w:rPr>
          <w:rFonts w:ascii="Avenir Next" w:hAnsi="Avenir Next" w:cs="Arial"/>
          <w:color w:val="808080" w:themeColor="background1" w:themeShade="80"/>
          <w:sz w:val="22"/>
          <w:szCs w:val="22"/>
          <w:lang w:val="en-GB"/>
        </w:rPr>
        <w:t xml:space="preserve"> when determining the COMI</w:t>
      </w:r>
      <w:r w:rsidR="00BA451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90B23">
        <w:rPr>
          <w:rFonts w:ascii="Avenir Next" w:hAnsi="Avenir Next" w:cs="Arial"/>
          <w:color w:val="808080" w:themeColor="background1" w:themeShade="80"/>
          <w:sz w:val="22"/>
          <w:szCs w:val="22"/>
          <w:lang w:val="en-GB"/>
        </w:rPr>
        <w:t xml:space="preserve">Further, </w:t>
      </w:r>
      <w:r w:rsidR="00BA7892">
        <w:rPr>
          <w:rFonts w:ascii="Avenir Next" w:hAnsi="Avenir Next" w:cs="Arial"/>
          <w:color w:val="808080" w:themeColor="background1" w:themeShade="80"/>
          <w:sz w:val="22"/>
          <w:szCs w:val="22"/>
          <w:lang w:val="en-GB"/>
        </w:rPr>
        <w:t xml:space="preserve">the </w:t>
      </w:r>
      <w:r w:rsidR="00090B23">
        <w:rPr>
          <w:rFonts w:ascii="Avenir Next" w:hAnsi="Avenir Next" w:cs="Arial"/>
          <w:color w:val="808080" w:themeColor="background1" w:themeShade="80"/>
          <w:sz w:val="22"/>
          <w:szCs w:val="22"/>
          <w:lang w:val="en-GB"/>
        </w:rPr>
        <w:t>c</w:t>
      </w:r>
      <w:r w:rsidR="00582C82" w:rsidRPr="00582C82">
        <w:rPr>
          <w:rFonts w:ascii="Avenir Next" w:hAnsi="Avenir Next" w:cs="Arial"/>
          <w:color w:val="808080" w:themeColor="background1" w:themeShade="80"/>
          <w:sz w:val="22"/>
          <w:szCs w:val="22"/>
          <w:lang w:val="en-GB"/>
        </w:rPr>
        <w:t>entre of management and supervision</w:t>
      </w:r>
      <w:r w:rsidR="00582C82">
        <w:rPr>
          <w:rFonts w:ascii="Avenir Next" w:hAnsi="Avenir Next" w:cs="Arial"/>
          <w:color w:val="808080" w:themeColor="background1" w:themeShade="80"/>
          <w:sz w:val="22"/>
          <w:szCs w:val="22"/>
          <w:lang w:val="en-GB"/>
        </w:rPr>
        <w:t xml:space="preserve"> </w:t>
      </w:r>
      <w:r w:rsidR="004E19D8">
        <w:rPr>
          <w:rFonts w:ascii="Avenir Next" w:hAnsi="Avenir Next" w:cs="Arial"/>
          <w:color w:val="808080" w:themeColor="background1" w:themeShade="80"/>
          <w:sz w:val="22"/>
          <w:szCs w:val="22"/>
          <w:lang w:val="en-GB"/>
        </w:rPr>
        <w:t>will be</w:t>
      </w:r>
      <w:r w:rsidR="001E7E4F">
        <w:rPr>
          <w:rFonts w:ascii="Avenir Next" w:hAnsi="Avenir Next" w:cs="Arial"/>
          <w:color w:val="808080" w:themeColor="background1" w:themeShade="80"/>
          <w:sz w:val="22"/>
          <w:szCs w:val="22"/>
          <w:lang w:val="en-GB"/>
        </w:rPr>
        <w:t xml:space="preserve"> influential factors</w:t>
      </w:r>
      <w:r w:rsidR="00090B23">
        <w:rPr>
          <w:rFonts w:ascii="Avenir Next" w:hAnsi="Avenir Next" w:cs="Arial"/>
          <w:color w:val="808080" w:themeColor="background1" w:themeShade="80"/>
          <w:sz w:val="22"/>
          <w:szCs w:val="22"/>
          <w:lang w:val="en-GB"/>
        </w:rPr>
        <w:t>,</w:t>
      </w:r>
      <w:r w:rsidR="001E7E4F">
        <w:rPr>
          <w:rFonts w:ascii="Avenir Next" w:hAnsi="Avenir Next" w:cs="Arial"/>
          <w:color w:val="808080" w:themeColor="background1" w:themeShade="80"/>
          <w:sz w:val="22"/>
          <w:szCs w:val="22"/>
          <w:lang w:val="en-GB"/>
        </w:rPr>
        <w:t xml:space="preserve"> and as the management of Norton Cars is directed from Italy, it is strongly arguable that Italy is the COMI</w:t>
      </w:r>
      <w:r w:rsidR="00090B23">
        <w:rPr>
          <w:rFonts w:ascii="Avenir Next" w:hAnsi="Avenir Next" w:cs="Arial"/>
          <w:color w:val="808080" w:themeColor="background1" w:themeShade="80"/>
          <w:sz w:val="22"/>
          <w:szCs w:val="22"/>
          <w:lang w:val="en-GB"/>
        </w:rPr>
        <w:t>. On that basis,</w:t>
      </w:r>
      <w:r w:rsidR="001E7E4F">
        <w:rPr>
          <w:rFonts w:ascii="Avenir Next" w:hAnsi="Avenir Next" w:cs="Arial"/>
          <w:color w:val="808080" w:themeColor="background1" w:themeShade="80"/>
          <w:sz w:val="22"/>
          <w:szCs w:val="22"/>
          <w:lang w:val="en-GB"/>
        </w:rPr>
        <w:t xml:space="preserve"> the </w:t>
      </w:r>
      <w:r w:rsidR="00595929">
        <w:rPr>
          <w:rFonts w:ascii="Avenir Next" w:hAnsi="Avenir Next" w:cs="Arial"/>
          <w:color w:val="808080" w:themeColor="background1" w:themeShade="80"/>
          <w:sz w:val="22"/>
          <w:szCs w:val="22"/>
          <w:lang w:val="en-GB"/>
        </w:rPr>
        <w:t>country in which the main insolvency proceeding should be commenced</w:t>
      </w:r>
      <w:r w:rsidR="00090B23">
        <w:rPr>
          <w:rFonts w:ascii="Avenir Next" w:hAnsi="Avenir Next" w:cs="Arial"/>
          <w:color w:val="808080" w:themeColor="background1" w:themeShade="80"/>
          <w:sz w:val="22"/>
          <w:szCs w:val="22"/>
          <w:lang w:val="en-GB"/>
        </w:rPr>
        <w:t xml:space="preserve"> is Italy</w:t>
      </w:r>
      <w:r w:rsidR="00595929">
        <w:rPr>
          <w:rFonts w:ascii="Avenir Next" w:hAnsi="Avenir Next" w:cs="Arial"/>
          <w:color w:val="808080" w:themeColor="background1" w:themeShade="80"/>
          <w:sz w:val="22"/>
          <w:szCs w:val="22"/>
          <w:lang w:val="en-GB"/>
        </w:rPr>
        <w:t xml:space="preserve">. </w:t>
      </w:r>
    </w:p>
    <w:p w14:paraId="489DCBFB" w14:textId="77777777" w:rsidR="00090B23" w:rsidRDefault="00090B23" w:rsidP="00692852">
      <w:pPr>
        <w:jc w:val="both"/>
        <w:rPr>
          <w:rFonts w:ascii="Avenir Next" w:hAnsi="Avenir Next" w:cs="Arial"/>
          <w:color w:val="808080" w:themeColor="background1" w:themeShade="80"/>
          <w:sz w:val="22"/>
          <w:szCs w:val="22"/>
          <w:lang w:val="en-GB"/>
        </w:rPr>
      </w:pPr>
    </w:p>
    <w:p w14:paraId="0D3B1D18" w14:textId="404B4273" w:rsidR="004E1D03" w:rsidRDefault="0020112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Recital</w:t>
      </w:r>
      <w:r w:rsidR="00FE1B28">
        <w:rPr>
          <w:rFonts w:ascii="Avenir Next" w:hAnsi="Avenir Next" w:cs="Arial"/>
          <w:color w:val="808080" w:themeColor="background1" w:themeShade="80"/>
          <w:sz w:val="22"/>
          <w:szCs w:val="22"/>
          <w:lang w:val="en-GB"/>
        </w:rPr>
        <w:t xml:space="preserve"> 23 of the EIR permits secondary </w:t>
      </w:r>
      <w:r w:rsidR="008B1098">
        <w:rPr>
          <w:rFonts w:ascii="Avenir Next" w:hAnsi="Avenir Next" w:cs="Arial"/>
          <w:color w:val="808080" w:themeColor="background1" w:themeShade="80"/>
          <w:sz w:val="22"/>
          <w:szCs w:val="22"/>
          <w:lang w:val="en-GB"/>
        </w:rPr>
        <w:t>/ subsidiary proceedings which</w:t>
      </w:r>
      <w:r w:rsidR="008B1098" w:rsidRPr="008B1098">
        <w:rPr>
          <w:rFonts w:ascii="Avenir Next" w:hAnsi="Avenir Next" w:cs="Arial"/>
          <w:color w:val="808080" w:themeColor="background1" w:themeShade="80"/>
          <w:sz w:val="22"/>
          <w:szCs w:val="22"/>
          <w:lang w:val="en-GB"/>
        </w:rPr>
        <w:t xml:space="preserve"> </w:t>
      </w:r>
      <w:r w:rsidR="008B1098">
        <w:rPr>
          <w:rFonts w:ascii="Avenir Next" w:hAnsi="Avenir Next" w:cs="Arial"/>
          <w:color w:val="808080" w:themeColor="background1" w:themeShade="80"/>
          <w:sz w:val="22"/>
          <w:szCs w:val="22"/>
          <w:lang w:val="en-GB"/>
        </w:rPr>
        <w:t>“</w:t>
      </w:r>
      <w:r w:rsidR="008B1098" w:rsidRPr="008B1098">
        <w:rPr>
          <w:rFonts w:ascii="Avenir Next" w:hAnsi="Avenir Next" w:cs="Arial"/>
          <w:i/>
          <w:iCs/>
          <w:color w:val="808080" w:themeColor="background1" w:themeShade="80"/>
          <w:sz w:val="22"/>
          <w:szCs w:val="22"/>
          <w:lang w:val="en-GB"/>
        </w:rPr>
        <w:t>may be opened in the Member State where the debtor has an establishment</w:t>
      </w:r>
      <w:r w:rsidR="008B1098">
        <w:rPr>
          <w:rFonts w:ascii="Avenir Next" w:hAnsi="Avenir Next" w:cs="Arial"/>
          <w:color w:val="808080" w:themeColor="background1" w:themeShade="80"/>
          <w:sz w:val="22"/>
          <w:szCs w:val="22"/>
          <w:lang w:val="en-GB"/>
        </w:rPr>
        <w:t xml:space="preserve">”. </w:t>
      </w:r>
      <w:r w:rsidR="003C590A">
        <w:rPr>
          <w:rFonts w:ascii="Avenir Next" w:hAnsi="Avenir Next" w:cs="Arial"/>
          <w:color w:val="808080" w:themeColor="background1" w:themeShade="80"/>
          <w:sz w:val="22"/>
          <w:szCs w:val="22"/>
          <w:lang w:val="en-GB"/>
        </w:rPr>
        <w:t xml:space="preserve">Article </w:t>
      </w:r>
      <w:r w:rsidR="006F1485">
        <w:rPr>
          <w:rFonts w:ascii="Avenir Next" w:hAnsi="Avenir Next" w:cs="Arial"/>
          <w:color w:val="808080" w:themeColor="background1" w:themeShade="80"/>
          <w:sz w:val="22"/>
          <w:szCs w:val="22"/>
          <w:lang w:val="en-GB"/>
        </w:rPr>
        <w:t>3.</w:t>
      </w:r>
      <w:r w:rsidR="00872B7F">
        <w:rPr>
          <w:rFonts w:ascii="Avenir Next" w:hAnsi="Avenir Next" w:cs="Arial"/>
          <w:color w:val="808080" w:themeColor="background1" w:themeShade="80"/>
          <w:sz w:val="22"/>
          <w:szCs w:val="22"/>
          <w:lang w:val="en-GB"/>
        </w:rPr>
        <w:t>2</w:t>
      </w:r>
      <w:r w:rsidR="006F1485">
        <w:rPr>
          <w:rFonts w:ascii="Avenir Next" w:hAnsi="Avenir Next" w:cs="Arial"/>
          <w:color w:val="808080" w:themeColor="background1" w:themeShade="80"/>
          <w:sz w:val="22"/>
          <w:szCs w:val="22"/>
          <w:lang w:val="en-GB"/>
        </w:rPr>
        <w:t xml:space="preserve"> support</w:t>
      </w:r>
      <w:r w:rsidR="00872B7F">
        <w:rPr>
          <w:rFonts w:ascii="Avenir Next" w:hAnsi="Avenir Next" w:cs="Arial"/>
          <w:color w:val="808080" w:themeColor="background1" w:themeShade="80"/>
          <w:sz w:val="22"/>
          <w:szCs w:val="22"/>
          <w:lang w:val="en-GB"/>
        </w:rPr>
        <w:t>s</w:t>
      </w:r>
      <w:r w:rsidR="006F1485">
        <w:rPr>
          <w:rFonts w:ascii="Avenir Next" w:hAnsi="Avenir Next" w:cs="Arial"/>
          <w:color w:val="808080" w:themeColor="background1" w:themeShade="80"/>
          <w:sz w:val="22"/>
          <w:szCs w:val="22"/>
          <w:lang w:val="en-GB"/>
        </w:rPr>
        <w:t xml:space="preserve"> that proposition. </w:t>
      </w:r>
      <w:r w:rsidR="00A80DAA">
        <w:rPr>
          <w:rFonts w:ascii="Avenir Next" w:hAnsi="Avenir Next" w:cs="Arial"/>
          <w:color w:val="808080" w:themeColor="background1" w:themeShade="80"/>
          <w:sz w:val="22"/>
          <w:szCs w:val="22"/>
          <w:lang w:val="en-GB"/>
        </w:rPr>
        <w:t xml:space="preserve">Chapter III deals in detail with secondary insolvency proceedings. </w:t>
      </w:r>
      <w:r w:rsidR="00595929">
        <w:rPr>
          <w:rFonts w:ascii="Avenir Next" w:hAnsi="Avenir Next" w:cs="Arial"/>
          <w:color w:val="808080" w:themeColor="background1" w:themeShade="80"/>
          <w:sz w:val="22"/>
          <w:szCs w:val="22"/>
          <w:lang w:val="en-GB"/>
        </w:rPr>
        <w:t xml:space="preserve">Germany </w:t>
      </w:r>
      <w:r w:rsidR="009574FB">
        <w:rPr>
          <w:rFonts w:ascii="Avenir Next" w:hAnsi="Avenir Next" w:cs="Arial"/>
          <w:color w:val="808080" w:themeColor="background1" w:themeShade="80"/>
          <w:sz w:val="22"/>
          <w:szCs w:val="22"/>
          <w:lang w:val="en-GB"/>
        </w:rPr>
        <w:t>is the location of Norton Cars’ main operations and therefore</w:t>
      </w:r>
      <w:r w:rsidR="00765AAE">
        <w:rPr>
          <w:rFonts w:ascii="Avenir Next" w:hAnsi="Avenir Next" w:cs="Arial"/>
          <w:color w:val="808080" w:themeColor="background1" w:themeShade="80"/>
          <w:sz w:val="22"/>
          <w:szCs w:val="22"/>
          <w:lang w:val="en-GB"/>
        </w:rPr>
        <w:t xml:space="preserve">, </w:t>
      </w:r>
      <w:r w:rsidR="00BC04A4">
        <w:rPr>
          <w:rFonts w:ascii="Avenir Next" w:hAnsi="Avenir Next" w:cs="Arial"/>
          <w:color w:val="808080" w:themeColor="background1" w:themeShade="80"/>
          <w:sz w:val="22"/>
          <w:szCs w:val="22"/>
          <w:lang w:val="en-GB"/>
        </w:rPr>
        <w:t>the insolvency practitioner may request that se</w:t>
      </w:r>
      <w:r w:rsidR="00A85A91">
        <w:rPr>
          <w:rFonts w:ascii="Avenir Next" w:hAnsi="Avenir Next" w:cs="Arial"/>
          <w:color w:val="808080" w:themeColor="background1" w:themeShade="80"/>
          <w:sz w:val="22"/>
          <w:szCs w:val="22"/>
          <w:lang w:val="en-GB"/>
        </w:rPr>
        <w:t>condary insolvency proceedings are opened in Germany vis-a-vis Norton Cars’ assets in Germany</w:t>
      </w:r>
      <w:r w:rsidR="008A5D79">
        <w:rPr>
          <w:rFonts w:ascii="Avenir Next" w:hAnsi="Avenir Next" w:cs="Arial"/>
          <w:color w:val="808080" w:themeColor="background1" w:themeShade="80"/>
          <w:sz w:val="22"/>
          <w:szCs w:val="22"/>
          <w:lang w:val="en-GB"/>
        </w:rPr>
        <w:t xml:space="preserve"> (and indeed, </w:t>
      </w:r>
      <w:r>
        <w:rPr>
          <w:rFonts w:ascii="Avenir Next" w:hAnsi="Avenir Next" w:cs="Arial"/>
          <w:color w:val="808080" w:themeColor="background1" w:themeShade="80"/>
          <w:sz w:val="22"/>
          <w:szCs w:val="22"/>
          <w:lang w:val="en-GB"/>
        </w:rPr>
        <w:t>Recital</w:t>
      </w:r>
      <w:r w:rsidR="008A5D79">
        <w:rPr>
          <w:rFonts w:ascii="Avenir Next" w:hAnsi="Avenir Next" w:cs="Arial"/>
          <w:color w:val="808080" w:themeColor="background1" w:themeShade="80"/>
          <w:sz w:val="22"/>
          <w:szCs w:val="22"/>
          <w:lang w:val="en-GB"/>
        </w:rPr>
        <w:t xml:space="preserve"> 23 of the EIR limits secondary proceedings in assets in the secondary state)</w:t>
      </w:r>
      <w:r w:rsidR="00A85A91">
        <w:rPr>
          <w:rFonts w:ascii="Avenir Next" w:hAnsi="Avenir Next" w:cs="Arial"/>
          <w:color w:val="808080" w:themeColor="background1" w:themeShade="80"/>
          <w:sz w:val="22"/>
          <w:szCs w:val="22"/>
          <w:lang w:val="en-GB"/>
        </w:rPr>
        <w:t xml:space="preserve">. </w:t>
      </w:r>
    </w:p>
    <w:p w14:paraId="7F7AD05A" w14:textId="77777777" w:rsidR="00A85A91" w:rsidRDefault="00A85A91" w:rsidP="00692852">
      <w:pPr>
        <w:jc w:val="both"/>
        <w:rPr>
          <w:rFonts w:ascii="Avenir Next" w:hAnsi="Avenir Next" w:cs="Arial"/>
          <w:color w:val="808080" w:themeColor="background1" w:themeShade="80"/>
          <w:sz w:val="22"/>
          <w:szCs w:val="22"/>
          <w:lang w:val="en-GB"/>
        </w:rPr>
      </w:pPr>
    </w:p>
    <w:p w14:paraId="523CC771" w14:textId="1D7E09FB" w:rsidR="00A85A91" w:rsidRDefault="0020112D"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Pursuant to Article 7.1 of the EIR, </w:t>
      </w:r>
      <w:r w:rsidR="006B72FC">
        <w:rPr>
          <w:rFonts w:ascii="Avenir Next" w:hAnsi="Avenir Next" w:cs="Arial"/>
          <w:color w:val="808080" w:themeColor="background1" w:themeShade="80"/>
          <w:sz w:val="22"/>
          <w:szCs w:val="22"/>
          <w:lang w:val="en-GB"/>
        </w:rPr>
        <w:t>“</w:t>
      </w:r>
      <w:r w:rsidR="006B72FC" w:rsidRPr="006B72FC">
        <w:rPr>
          <w:rFonts w:ascii="Avenir Next" w:hAnsi="Avenir Next" w:cs="Arial"/>
          <w:i/>
          <w:iCs/>
          <w:color w:val="808080" w:themeColor="background1" w:themeShade="80"/>
          <w:sz w:val="22"/>
          <w:szCs w:val="22"/>
          <w:lang w:val="en-GB"/>
        </w:rPr>
        <w:t>the law applicable to insolvency proceedings and their effects shall be that of the Member State within the territory of which such proceedings are opened</w:t>
      </w:r>
      <w:r w:rsidR="006B72FC">
        <w:rPr>
          <w:rFonts w:ascii="Avenir Next" w:hAnsi="Avenir Next" w:cs="Arial"/>
          <w:color w:val="808080" w:themeColor="background1" w:themeShade="80"/>
          <w:sz w:val="22"/>
          <w:szCs w:val="22"/>
          <w:lang w:val="en-GB"/>
        </w:rPr>
        <w:t>”. Accordingly,</w:t>
      </w:r>
      <w:r w:rsidR="006B72FC" w:rsidRPr="006B72F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7A235F">
        <w:rPr>
          <w:rFonts w:ascii="Avenir Next" w:hAnsi="Avenir Next" w:cs="Arial"/>
          <w:color w:val="808080" w:themeColor="background1" w:themeShade="80"/>
          <w:sz w:val="22"/>
          <w:szCs w:val="22"/>
          <w:lang w:val="en-GB"/>
        </w:rPr>
        <w:t xml:space="preserve">he </w:t>
      </w:r>
      <w:r w:rsidR="003A27CF">
        <w:rPr>
          <w:rFonts w:ascii="Avenir Next" w:hAnsi="Avenir Next" w:cs="Arial"/>
          <w:color w:val="808080" w:themeColor="background1" w:themeShade="80"/>
          <w:sz w:val="22"/>
          <w:szCs w:val="22"/>
          <w:lang w:val="en-GB"/>
        </w:rPr>
        <w:t xml:space="preserve">domestic insolvency </w:t>
      </w:r>
      <w:r w:rsidR="007A235F">
        <w:rPr>
          <w:rFonts w:ascii="Avenir Next" w:hAnsi="Avenir Next" w:cs="Arial"/>
          <w:color w:val="808080" w:themeColor="background1" w:themeShade="80"/>
          <w:sz w:val="22"/>
          <w:szCs w:val="22"/>
          <w:lang w:val="en-GB"/>
        </w:rPr>
        <w:t>laws of</w:t>
      </w:r>
      <w:r w:rsidR="00AF2C2E">
        <w:rPr>
          <w:rFonts w:ascii="Avenir Next" w:hAnsi="Avenir Next" w:cs="Arial"/>
          <w:color w:val="808080" w:themeColor="background1" w:themeShade="80"/>
          <w:sz w:val="22"/>
          <w:szCs w:val="22"/>
          <w:lang w:val="en-GB"/>
        </w:rPr>
        <w:t xml:space="preserve"> </w:t>
      </w:r>
      <w:r w:rsidR="007A235F">
        <w:rPr>
          <w:rFonts w:ascii="Avenir Next" w:hAnsi="Avenir Next" w:cs="Arial"/>
          <w:color w:val="808080" w:themeColor="background1" w:themeShade="80"/>
          <w:sz w:val="22"/>
          <w:szCs w:val="22"/>
          <w:lang w:val="en-GB"/>
        </w:rPr>
        <w:t>Italy</w:t>
      </w:r>
      <w:r w:rsidR="00AF2C2E">
        <w:rPr>
          <w:rFonts w:ascii="Avenir Next" w:hAnsi="Avenir Next" w:cs="Arial"/>
          <w:color w:val="808080" w:themeColor="background1" w:themeShade="80"/>
          <w:sz w:val="22"/>
          <w:szCs w:val="22"/>
          <w:lang w:val="en-GB"/>
        </w:rPr>
        <w:t xml:space="preserve"> (for the main proceeding) and Germany </w:t>
      </w:r>
      <w:r w:rsidR="00CB2BA2">
        <w:rPr>
          <w:rFonts w:ascii="Avenir Next" w:hAnsi="Avenir Next" w:cs="Arial"/>
          <w:color w:val="808080" w:themeColor="background1" w:themeShade="80"/>
          <w:sz w:val="22"/>
          <w:szCs w:val="22"/>
          <w:lang w:val="en-GB"/>
        </w:rPr>
        <w:t>(for the secondary proceeding)</w:t>
      </w:r>
      <w:r w:rsidR="007A235F">
        <w:rPr>
          <w:rFonts w:ascii="Avenir Next" w:hAnsi="Avenir Next" w:cs="Arial"/>
          <w:color w:val="808080" w:themeColor="background1" w:themeShade="80"/>
          <w:sz w:val="22"/>
          <w:szCs w:val="22"/>
          <w:lang w:val="en-GB"/>
        </w:rPr>
        <w:t xml:space="preserve"> </w:t>
      </w:r>
      <w:r w:rsidR="003A27CF">
        <w:rPr>
          <w:rFonts w:ascii="Avenir Next" w:hAnsi="Avenir Next" w:cs="Arial"/>
          <w:color w:val="808080" w:themeColor="background1" w:themeShade="80"/>
          <w:sz w:val="22"/>
          <w:szCs w:val="22"/>
          <w:lang w:val="en-GB"/>
        </w:rPr>
        <w:t xml:space="preserve">must also be considered. </w:t>
      </w:r>
    </w:p>
    <w:p w14:paraId="364E6998" w14:textId="77777777" w:rsidR="00BA451D" w:rsidRPr="009F0C5A" w:rsidRDefault="00BA451D"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3A27CF">
        <w:rPr>
          <w:rFonts w:ascii="Avenir Next Demi Bold" w:hAnsi="Avenir Next Demi Bold" w:cs="Arial"/>
          <w:b/>
          <w:bCs/>
          <w:sz w:val="22"/>
          <w:szCs w:val="22"/>
          <w:lang w:val="en-GB"/>
        </w:rPr>
        <w:t xml:space="preserve">Question 4.3 [Maximum </w:t>
      </w:r>
      <w:r w:rsidR="00745A5B" w:rsidRPr="003A27CF">
        <w:rPr>
          <w:rFonts w:ascii="Avenir Next Demi Bold" w:hAnsi="Avenir Next Demi Bold" w:cs="Arial"/>
          <w:b/>
          <w:bCs/>
          <w:sz w:val="22"/>
          <w:szCs w:val="22"/>
          <w:lang w:val="en-GB"/>
        </w:rPr>
        <w:t>1</w:t>
      </w:r>
      <w:r w:rsidRPr="003A27CF">
        <w:rPr>
          <w:rFonts w:ascii="Avenir Next Demi Bold" w:hAnsi="Avenir Next Demi Bold" w:cs="Arial"/>
          <w:b/>
          <w:bCs/>
          <w:sz w:val="22"/>
          <w:szCs w:val="22"/>
          <w:lang w:val="en-GB"/>
        </w:rPr>
        <w:t xml:space="preserve"> mark]</w:t>
      </w:r>
      <w:r w:rsidRPr="00F3144D">
        <w:rPr>
          <w:rFonts w:ascii="Avenir Next Demi Bold" w:hAnsi="Avenir Next Demi Bold" w:cs="Arial"/>
          <w:b/>
          <w:bCs/>
          <w:sz w:val="22"/>
          <w:szCs w:val="22"/>
          <w:lang w:val="en-GB"/>
        </w:rPr>
        <w:t xml:space="preserve">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022554B" w:rsidR="002253D8" w:rsidRPr="002253D8" w:rsidRDefault="00F83795"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14B8A90C"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55698B8" w:rsidR="002253D8" w:rsidRDefault="00E92429" w:rsidP="00E92429">
      <w:pPr>
        <w:ind w:left="426"/>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7.1 of the EIR provides: </w:t>
      </w:r>
      <w:r w:rsidRPr="00E92429">
        <w:rPr>
          <w:rFonts w:ascii="Avenir Next" w:hAnsi="Avenir Next" w:cs="Arial"/>
          <w:i/>
          <w:iCs/>
          <w:color w:val="808080" w:themeColor="background1" w:themeShade="80"/>
          <w:sz w:val="22"/>
          <w:szCs w:val="22"/>
          <w:lang w:val="en-GB"/>
        </w:rPr>
        <w:t>“Save as otherwise provided in this Regulation, the law applicable to insolvency proceedings and their effects shall be that of the Member State within the territory of which such proceedings are opened (the ‘State of the opening of proceedings’).”</w:t>
      </w:r>
    </w:p>
    <w:p w14:paraId="66746F2C" w14:textId="77777777" w:rsidR="00942D91" w:rsidRDefault="00942D91" w:rsidP="00E92429">
      <w:pPr>
        <w:ind w:left="426"/>
        <w:jc w:val="both"/>
        <w:rPr>
          <w:rFonts w:ascii="Avenir Next" w:hAnsi="Avenir Next" w:cs="Arial"/>
          <w:color w:val="808080" w:themeColor="background1" w:themeShade="80"/>
          <w:sz w:val="22"/>
          <w:szCs w:val="22"/>
          <w:lang w:val="en-GB"/>
        </w:rPr>
      </w:pPr>
    </w:p>
    <w:p w14:paraId="0DCDB3E7" w14:textId="6E22171E" w:rsidR="00942D91" w:rsidRDefault="00942D91" w:rsidP="00E92429">
      <w:pPr>
        <w:ind w:left="426"/>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Article 7.2</w:t>
      </w:r>
      <w:r w:rsidR="0091238D">
        <w:rPr>
          <w:rFonts w:ascii="Avenir Next" w:hAnsi="Avenir Next" w:cs="Arial"/>
          <w:color w:val="808080" w:themeColor="background1" w:themeShade="80"/>
          <w:sz w:val="22"/>
          <w:szCs w:val="22"/>
          <w:lang w:val="en-GB"/>
        </w:rPr>
        <w:t xml:space="preserve"> </w:t>
      </w:r>
      <w:r w:rsidR="005B63B1">
        <w:rPr>
          <w:rFonts w:ascii="Avenir Next" w:hAnsi="Avenir Next" w:cs="Arial"/>
          <w:color w:val="808080" w:themeColor="background1" w:themeShade="80"/>
          <w:sz w:val="22"/>
          <w:szCs w:val="22"/>
          <w:lang w:val="en-GB"/>
        </w:rPr>
        <w:t xml:space="preserve">provides: </w:t>
      </w:r>
      <w:r w:rsidR="005B63B1" w:rsidRPr="005B63B1">
        <w:rPr>
          <w:rFonts w:ascii="Avenir Next" w:hAnsi="Avenir Next" w:cs="Arial"/>
          <w:i/>
          <w:iCs/>
          <w:color w:val="808080" w:themeColor="background1" w:themeShade="80"/>
          <w:sz w:val="22"/>
          <w:szCs w:val="22"/>
          <w:lang w:val="en-GB"/>
        </w:rPr>
        <w:t>“</w:t>
      </w:r>
      <w:r w:rsidR="0091238D">
        <w:rPr>
          <w:rFonts w:ascii="Avenir Next" w:hAnsi="Avenir Next" w:cs="Arial"/>
          <w:i/>
          <w:iCs/>
          <w:color w:val="808080" w:themeColor="background1" w:themeShade="80"/>
          <w:sz w:val="22"/>
          <w:szCs w:val="22"/>
          <w:lang w:val="en-GB"/>
        </w:rPr>
        <w:t xml:space="preserve">(b) </w:t>
      </w:r>
      <w:r w:rsidR="005B63B1" w:rsidRPr="005B63B1">
        <w:rPr>
          <w:rFonts w:ascii="Avenir Next" w:hAnsi="Avenir Next" w:cs="Arial"/>
          <w:i/>
          <w:iCs/>
          <w:color w:val="808080" w:themeColor="background1" w:themeShade="80"/>
          <w:sz w:val="22"/>
          <w:szCs w:val="22"/>
          <w:lang w:val="en-GB"/>
        </w:rPr>
        <w:t>The law of the State of the opening of proceedings shall determine the conditions for the opening of those proceedings, their conduct and their closure. In particular, it shall determine the following:</w:t>
      </w:r>
      <w:r w:rsidR="005B63B1" w:rsidRPr="005B63B1">
        <w:rPr>
          <w:i/>
          <w:iCs/>
        </w:rPr>
        <w:t xml:space="preserve"> </w:t>
      </w:r>
      <w:r w:rsidR="005B63B1" w:rsidRPr="005B63B1">
        <w:rPr>
          <w:rFonts w:ascii="Avenir Next" w:hAnsi="Avenir Next" w:cs="Arial"/>
          <w:i/>
          <w:iCs/>
          <w:color w:val="808080" w:themeColor="background1" w:themeShade="80"/>
          <w:sz w:val="22"/>
          <w:szCs w:val="22"/>
          <w:lang w:val="en-GB"/>
        </w:rPr>
        <w:t>the assets which form part of the insolvency estate and the treatment of assets acquired by or devolving on the debtor after the opening of the insolvency proceedings;</w:t>
      </w:r>
      <w:r w:rsidR="0091238D">
        <w:rPr>
          <w:rFonts w:ascii="Avenir Next" w:hAnsi="Avenir Next" w:cs="Arial"/>
          <w:i/>
          <w:iCs/>
          <w:color w:val="808080" w:themeColor="background1" w:themeShade="80"/>
          <w:sz w:val="22"/>
          <w:szCs w:val="22"/>
          <w:lang w:val="en-GB"/>
        </w:rPr>
        <w:t xml:space="preserve">… (i) </w:t>
      </w:r>
      <w:r w:rsidR="0091238D" w:rsidRPr="0091238D">
        <w:rPr>
          <w:rFonts w:ascii="Avenir Next" w:hAnsi="Avenir Next" w:cs="Arial"/>
          <w:i/>
          <w:iCs/>
          <w:color w:val="808080" w:themeColor="background1" w:themeShade="80"/>
          <w:sz w:val="22"/>
          <w:szCs w:val="22"/>
          <w:lang w:val="en-GB"/>
        </w:rPr>
        <w:t>the rules governing the distribution of proceeds from the realisation of assets, the ranking of claims and the rights of creditors who have obtained partial satisfaction after the opening of insolvency proceedings by virtue of a right in rem or through a set-off;</w:t>
      </w:r>
      <w:r w:rsidR="0091238D">
        <w:rPr>
          <w:rFonts w:ascii="Avenir Next" w:hAnsi="Avenir Next" w:cs="Arial"/>
          <w:i/>
          <w:iCs/>
          <w:color w:val="808080" w:themeColor="background1" w:themeShade="80"/>
          <w:sz w:val="22"/>
          <w:szCs w:val="22"/>
          <w:lang w:val="en-GB"/>
        </w:rPr>
        <w:t>”</w:t>
      </w:r>
    </w:p>
    <w:p w14:paraId="4633E9EB" w14:textId="77777777" w:rsidR="00B87192" w:rsidRDefault="00B87192" w:rsidP="00E92429">
      <w:pPr>
        <w:ind w:left="426"/>
        <w:jc w:val="both"/>
        <w:rPr>
          <w:rFonts w:ascii="Avenir Next" w:hAnsi="Avenir Next" w:cs="Arial"/>
          <w:i/>
          <w:iCs/>
          <w:color w:val="808080" w:themeColor="background1" w:themeShade="80"/>
          <w:sz w:val="22"/>
          <w:szCs w:val="22"/>
          <w:lang w:val="en-GB"/>
        </w:rPr>
      </w:pPr>
    </w:p>
    <w:p w14:paraId="67596178" w14:textId="3732AB45" w:rsidR="00B87192" w:rsidRPr="00B87192" w:rsidRDefault="00B87192" w:rsidP="00E92429">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w:t>
      </w:r>
      <w:r w:rsidR="00F315AF">
        <w:rPr>
          <w:rFonts w:ascii="Avenir Next" w:hAnsi="Avenir Next" w:cs="Arial"/>
          <w:color w:val="808080" w:themeColor="background1" w:themeShade="80"/>
          <w:sz w:val="22"/>
          <w:szCs w:val="22"/>
          <w:lang w:val="en-GB"/>
        </w:rPr>
        <w:t>on the basis that</w:t>
      </w:r>
      <w:r w:rsidR="006E3C7A">
        <w:rPr>
          <w:rFonts w:ascii="Avenir Next" w:hAnsi="Avenir Next" w:cs="Arial"/>
          <w:color w:val="808080" w:themeColor="background1" w:themeShade="80"/>
          <w:sz w:val="22"/>
          <w:szCs w:val="22"/>
          <w:lang w:val="en-GB"/>
        </w:rPr>
        <w:t>:</w:t>
      </w:r>
      <w:r w:rsidR="00F315AF">
        <w:rPr>
          <w:rFonts w:ascii="Avenir Next" w:hAnsi="Avenir Next" w:cs="Arial"/>
          <w:color w:val="808080" w:themeColor="background1" w:themeShade="80"/>
          <w:sz w:val="22"/>
          <w:szCs w:val="22"/>
          <w:lang w:val="en-GB"/>
        </w:rPr>
        <w:t xml:space="preserve"> </w:t>
      </w:r>
      <w:r w:rsidR="00654762">
        <w:rPr>
          <w:rFonts w:ascii="Avenir Next" w:hAnsi="Avenir Next" w:cs="Arial"/>
          <w:color w:val="808080" w:themeColor="background1" w:themeShade="80"/>
          <w:sz w:val="22"/>
          <w:szCs w:val="22"/>
          <w:lang w:val="en-GB"/>
        </w:rPr>
        <w:t xml:space="preserve">(a) </w:t>
      </w:r>
      <w:r w:rsidR="00F315AF">
        <w:rPr>
          <w:rFonts w:ascii="Avenir Next" w:hAnsi="Avenir Next" w:cs="Arial"/>
          <w:color w:val="808080" w:themeColor="background1" w:themeShade="80"/>
          <w:sz w:val="22"/>
          <w:szCs w:val="22"/>
          <w:lang w:val="en-GB"/>
        </w:rPr>
        <w:t>insolvency proceedings were commenced in Italy</w:t>
      </w:r>
      <w:r w:rsidR="00654762">
        <w:rPr>
          <w:rFonts w:ascii="Avenir Next" w:hAnsi="Avenir Next" w:cs="Arial"/>
          <w:color w:val="808080" w:themeColor="background1" w:themeShade="80"/>
          <w:sz w:val="22"/>
          <w:szCs w:val="22"/>
          <w:lang w:val="en-GB"/>
        </w:rPr>
        <w:t>; and (b)</w:t>
      </w:r>
      <w:r w:rsidR="005457D9">
        <w:rPr>
          <w:rFonts w:ascii="Avenir Next" w:hAnsi="Avenir Next" w:cs="Arial"/>
          <w:color w:val="808080" w:themeColor="background1" w:themeShade="80"/>
          <w:sz w:val="22"/>
          <w:szCs w:val="22"/>
          <w:lang w:val="en-GB"/>
        </w:rPr>
        <w:t xml:space="preserve"> Italy and the Netherlands are Member States to the EIR, it is arguable that</w:t>
      </w:r>
      <w:r w:rsidR="00F315A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Italian law will apply to </w:t>
      </w:r>
      <w:r w:rsidR="00C64EC8">
        <w:rPr>
          <w:rFonts w:ascii="Avenir Next" w:hAnsi="Avenir Next" w:cs="Arial"/>
          <w:color w:val="808080" w:themeColor="background1" w:themeShade="80"/>
          <w:sz w:val="22"/>
          <w:szCs w:val="22"/>
          <w:lang w:val="en-GB"/>
        </w:rPr>
        <w:t>t</w:t>
      </w:r>
      <w:r w:rsidR="00C64EC8" w:rsidRPr="00C64EC8">
        <w:rPr>
          <w:rFonts w:ascii="Avenir Next" w:hAnsi="Avenir Next" w:cs="Arial"/>
          <w:color w:val="808080" w:themeColor="background1" w:themeShade="80"/>
          <w:sz w:val="22"/>
          <w:szCs w:val="22"/>
          <w:lang w:val="en-GB"/>
        </w:rPr>
        <w:t xml:space="preserve">he real rights of security </w:t>
      </w:r>
      <w:r w:rsidR="00C64EC8">
        <w:rPr>
          <w:rFonts w:ascii="Avenir Next" w:hAnsi="Avenir Next" w:cs="Arial"/>
          <w:color w:val="808080" w:themeColor="background1" w:themeShade="80"/>
          <w:sz w:val="22"/>
          <w:szCs w:val="22"/>
          <w:lang w:val="en-GB"/>
        </w:rPr>
        <w:t xml:space="preserve">of assets </w:t>
      </w:r>
      <w:r w:rsidR="00C64EC8" w:rsidRPr="00C64EC8">
        <w:rPr>
          <w:rFonts w:ascii="Avenir Next" w:hAnsi="Avenir Next" w:cs="Arial"/>
          <w:color w:val="808080" w:themeColor="background1" w:themeShade="80"/>
          <w:sz w:val="22"/>
          <w:szCs w:val="22"/>
          <w:lang w:val="en-GB"/>
        </w:rPr>
        <w:t>situated in the Netherlands</w:t>
      </w:r>
      <w:r w:rsidR="00275D92">
        <w:rPr>
          <w:rFonts w:ascii="Avenir Next" w:hAnsi="Avenir Next" w:cs="Arial"/>
          <w:color w:val="808080" w:themeColor="background1" w:themeShade="80"/>
          <w:sz w:val="22"/>
          <w:szCs w:val="22"/>
          <w:lang w:val="en-GB"/>
        </w:rPr>
        <w:t>.</w:t>
      </w:r>
      <w:r w:rsidR="00986D4B">
        <w:rPr>
          <w:rFonts w:ascii="Avenir Next" w:hAnsi="Avenir Next" w:cs="Arial"/>
          <w:color w:val="808080" w:themeColor="background1" w:themeShade="80"/>
          <w:sz w:val="22"/>
          <w:szCs w:val="22"/>
          <w:lang w:val="en-GB"/>
        </w:rPr>
        <w:t xml:space="preserve"> I note that as a general rule, a branch of a company does not have a distinct legal personality, which may support the preceding proposition. </w:t>
      </w:r>
    </w:p>
    <w:p w14:paraId="68820C87" w14:textId="77777777" w:rsidR="004827A3" w:rsidRPr="004827A3" w:rsidRDefault="004827A3" w:rsidP="002253D8">
      <w:pPr>
        <w:jc w:val="both"/>
        <w:rPr>
          <w:rFonts w:ascii="Avenir Next" w:hAnsi="Avenir Next" w:cs="Arial"/>
          <w:sz w:val="24"/>
          <w:lang w:val="en-GB"/>
        </w:rPr>
      </w:pPr>
    </w:p>
    <w:p w14:paraId="60277E5E" w14:textId="2FC95F8D"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7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4BE3F4A4" w14:textId="71D50F31" w:rsidR="00EA693C" w:rsidRPr="00980811" w:rsidRDefault="0030520A" w:rsidP="0098081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Articles </w:t>
      </w:r>
      <w:r w:rsidR="00316AE4">
        <w:rPr>
          <w:rFonts w:ascii="Avenir Next" w:hAnsi="Avenir Next" w:cs="Arial"/>
          <w:color w:val="808080" w:themeColor="background1" w:themeShade="80"/>
          <w:sz w:val="22"/>
          <w:szCs w:val="22"/>
          <w:lang w:val="en-GB"/>
        </w:rPr>
        <w:t>7.1 and 7.2</w:t>
      </w:r>
      <w:r w:rsidR="0022350F">
        <w:rPr>
          <w:rFonts w:ascii="Avenir Next" w:hAnsi="Avenir Next" w:cs="Arial"/>
          <w:color w:val="808080" w:themeColor="background1" w:themeShade="80"/>
          <w:sz w:val="22"/>
          <w:szCs w:val="22"/>
          <w:lang w:val="en-GB"/>
        </w:rPr>
        <w:t xml:space="preserve"> refer</w:t>
      </w:r>
      <w:r w:rsidR="006D1468">
        <w:rPr>
          <w:rFonts w:ascii="Avenir Next" w:hAnsi="Avenir Next" w:cs="Arial"/>
          <w:color w:val="808080" w:themeColor="background1" w:themeShade="80"/>
          <w:sz w:val="22"/>
          <w:szCs w:val="22"/>
          <w:lang w:val="en-GB"/>
        </w:rPr>
        <w:t xml:space="preserve"> to Member States. Australia is not a Member State to the EIR. </w:t>
      </w:r>
      <w:r w:rsidR="00EA693C">
        <w:rPr>
          <w:rFonts w:ascii="Avenir Next" w:hAnsi="Avenir Next" w:cs="Arial"/>
          <w:color w:val="808080" w:themeColor="background1" w:themeShade="80"/>
          <w:sz w:val="22"/>
          <w:szCs w:val="22"/>
          <w:lang w:val="en-GB"/>
        </w:rPr>
        <w:t xml:space="preserve">Australia </w:t>
      </w:r>
      <w:r w:rsidR="00E74278">
        <w:rPr>
          <w:rFonts w:ascii="Avenir Next" w:hAnsi="Avenir Next" w:cs="Arial"/>
          <w:color w:val="808080" w:themeColor="background1" w:themeShade="80"/>
          <w:sz w:val="22"/>
          <w:szCs w:val="22"/>
          <w:lang w:val="en-GB"/>
        </w:rPr>
        <w:t>has adopted the MLCBI</w:t>
      </w:r>
      <w:r w:rsidR="007064B0">
        <w:rPr>
          <w:rFonts w:ascii="Avenir Next" w:hAnsi="Avenir Next" w:cs="Arial"/>
          <w:color w:val="808080" w:themeColor="background1" w:themeShade="80"/>
          <w:sz w:val="22"/>
          <w:szCs w:val="22"/>
          <w:lang w:val="en-GB"/>
        </w:rPr>
        <w:t xml:space="preserve"> and the UNCITRAL Model Law on Secured Transactions, </w:t>
      </w:r>
      <w:r w:rsidR="009C763F">
        <w:rPr>
          <w:rFonts w:ascii="Avenir Next" w:hAnsi="Avenir Next" w:cs="Arial"/>
          <w:color w:val="808080" w:themeColor="background1" w:themeShade="80"/>
          <w:sz w:val="22"/>
          <w:szCs w:val="22"/>
          <w:lang w:val="en-GB"/>
        </w:rPr>
        <w:t>however</w:t>
      </w:r>
      <w:r w:rsidR="0057703E">
        <w:rPr>
          <w:rFonts w:ascii="Avenir Next" w:hAnsi="Avenir Next" w:cs="Arial"/>
          <w:color w:val="808080" w:themeColor="background1" w:themeShade="80"/>
          <w:sz w:val="22"/>
          <w:szCs w:val="22"/>
          <w:lang w:val="en-GB"/>
        </w:rPr>
        <w:t xml:space="preserve"> Italy has not. </w:t>
      </w:r>
      <w:r w:rsidR="00582B3E">
        <w:rPr>
          <w:rFonts w:ascii="Avenir Next" w:hAnsi="Avenir Next" w:cs="Arial"/>
          <w:color w:val="808080" w:themeColor="background1" w:themeShade="80"/>
          <w:sz w:val="22"/>
          <w:szCs w:val="22"/>
          <w:lang w:val="en-GB"/>
        </w:rPr>
        <w:t xml:space="preserve">On the basis that </w:t>
      </w:r>
      <w:r w:rsidR="004E550C">
        <w:rPr>
          <w:rFonts w:ascii="Avenir Next" w:hAnsi="Avenir Next" w:cs="Arial"/>
          <w:color w:val="808080" w:themeColor="background1" w:themeShade="80"/>
          <w:sz w:val="22"/>
          <w:szCs w:val="22"/>
          <w:lang w:val="en-GB"/>
        </w:rPr>
        <w:t>an insolvency proceeding has been commenced in Australia, m</w:t>
      </w:r>
      <w:r w:rsidR="00AC54BE">
        <w:rPr>
          <w:rFonts w:ascii="Avenir Next" w:hAnsi="Avenir Next" w:cs="Arial"/>
          <w:color w:val="808080" w:themeColor="background1" w:themeShade="80"/>
          <w:sz w:val="22"/>
          <w:szCs w:val="22"/>
          <w:lang w:val="en-GB"/>
        </w:rPr>
        <w:t xml:space="preserve">y view is that </w:t>
      </w:r>
      <w:r w:rsidR="00572B1C">
        <w:rPr>
          <w:rFonts w:ascii="Avenir Next" w:hAnsi="Avenir Next" w:cs="Arial"/>
          <w:color w:val="808080" w:themeColor="background1" w:themeShade="80"/>
          <w:sz w:val="22"/>
          <w:szCs w:val="22"/>
          <w:lang w:val="en-GB"/>
        </w:rPr>
        <w:t>Australian law applies to the real rights of security</w:t>
      </w:r>
      <w:r w:rsidR="004E550C">
        <w:rPr>
          <w:rFonts w:ascii="Avenir Next" w:hAnsi="Avenir Next" w:cs="Arial"/>
          <w:color w:val="808080" w:themeColor="background1" w:themeShade="80"/>
          <w:sz w:val="22"/>
          <w:szCs w:val="22"/>
          <w:lang w:val="en-GB"/>
        </w:rPr>
        <w:t xml:space="preserve"> </w:t>
      </w:r>
      <w:r w:rsidR="003F3A00">
        <w:rPr>
          <w:rFonts w:ascii="Avenir Next" w:hAnsi="Avenir Next" w:cs="Arial"/>
          <w:color w:val="808080" w:themeColor="background1" w:themeShade="80"/>
          <w:sz w:val="22"/>
          <w:szCs w:val="22"/>
          <w:lang w:val="en-GB"/>
        </w:rPr>
        <w:t>vis-a-vis</w:t>
      </w:r>
      <w:r w:rsidR="004E550C">
        <w:rPr>
          <w:rFonts w:ascii="Avenir Next" w:hAnsi="Avenir Next" w:cs="Arial"/>
          <w:color w:val="808080" w:themeColor="background1" w:themeShade="80"/>
          <w:sz w:val="22"/>
          <w:szCs w:val="22"/>
          <w:lang w:val="en-GB"/>
        </w:rPr>
        <w:t xml:space="preserve"> assets situated in Australia</w:t>
      </w:r>
      <w:r w:rsidR="00371FA4">
        <w:rPr>
          <w:rFonts w:ascii="Avenir Next" w:hAnsi="Avenir Next" w:cs="Arial"/>
          <w:color w:val="808080" w:themeColor="background1" w:themeShade="80"/>
          <w:sz w:val="22"/>
          <w:szCs w:val="22"/>
          <w:lang w:val="en-GB"/>
        </w:rPr>
        <w:t xml:space="preserve">. </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412FBE7" w14:textId="72863C4B" w:rsidR="001E23FD" w:rsidRPr="00775CD1" w:rsidRDefault="00C606C3" w:rsidP="00775CD1">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sectPr w:rsidR="001E23FD" w:rsidRPr="00775CD1"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EE25" w14:textId="77777777" w:rsidR="008E6D12" w:rsidRDefault="008E6D12" w:rsidP="00241B44">
      <w:r>
        <w:separator/>
      </w:r>
    </w:p>
  </w:endnote>
  <w:endnote w:type="continuationSeparator" w:id="0">
    <w:p w14:paraId="6C7ADF13" w14:textId="77777777" w:rsidR="008E6D12" w:rsidRDefault="008E6D1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C483C82" w:rsidR="00B64A85" w:rsidRPr="00297BDF" w:rsidRDefault="002B1ED4" w:rsidP="0052732A">
    <w:pPr>
      <w:pStyle w:val="Footer"/>
      <w:ind w:right="360"/>
      <w:rPr>
        <w:rFonts w:ascii="Avenir Next" w:hAnsi="Avenir Next" w:cs="Arial"/>
        <w:sz w:val="22"/>
        <w:szCs w:val="22"/>
      </w:rPr>
    </w:pPr>
    <w:r w:rsidRPr="00667313">
      <w:rPr>
        <w:rFonts w:ascii="Avenir Next" w:hAnsi="Avenir Next" w:cs="Arial"/>
        <w:sz w:val="22"/>
        <w:szCs w:val="22"/>
      </w:rPr>
      <w:t>FC202324-</w:t>
    </w:r>
    <w:r>
      <w:rPr>
        <w:rFonts w:ascii="Avenir Next" w:hAnsi="Avenir Next" w:cs="Arial"/>
        <w:sz w:val="22"/>
        <w:szCs w:val="22"/>
      </w:rPr>
      <w:t>1373</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AB98" w14:textId="77777777" w:rsidR="008E6D12" w:rsidRDefault="008E6D12" w:rsidP="00241B44">
      <w:r>
        <w:separator/>
      </w:r>
    </w:p>
  </w:footnote>
  <w:footnote w:type="continuationSeparator" w:id="0">
    <w:p w14:paraId="2C71FD9C" w14:textId="77777777" w:rsidR="008E6D12" w:rsidRDefault="008E6D12" w:rsidP="00241B44">
      <w:r>
        <w:continuationSeparator/>
      </w:r>
    </w:p>
  </w:footnote>
  <w:footnote w:id="1">
    <w:p w14:paraId="34F1F6FE" w14:textId="0223A67E" w:rsidR="00256214" w:rsidRPr="00A42E48" w:rsidRDefault="00256214">
      <w:pPr>
        <w:pStyle w:val="FootnoteText"/>
        <w:rPr>
          <w:color w:val="808080" w:themeColor="background1" w:themeShade="80"/>
        </w:rPr>
      </w:pPr>
      <w:r w:rsidRPr="0058293A">
        <w:rPr>
          <w:rStyle w:val="FootnoteReference"/>
          <w:color w:val="808080" w:themeColor="background1" w:themeShade="80"/>
        </w:rPr>
        <w:footnoteRef/>
      </w:r>
      <w:r w:rsidRPr="0058293A">
        <w:rPr>
          <w:color w:val="808080" w:themeColor="background1" w:themeShade="80"/>
        </w:rPr>
        <w:t xml:space="preserve"> </w:t>
      </w:r>
      <w:r w:rsidR="008F1AC7" w:rsidRPr="0058293A">
        <w:rPr>
          <w:color w:val="808080" w:themeColor="background1" w:themeShade="80"/>
        </w:rPr>
        <w:t>The Pro-Creditor Approach in South African Insolvency Law and the Possible Impact of the Constitution  André BORAINE, Roger EVANS</w:t>
      </w:r>
      <w:r w:rsidR="0058293A" w:rsidRPr="0058293A">
        <w:rPr>
          <w:color w:val="808080" w:themeColor="background1" w:themeShade="80"/>
        </w:rPr>
        <w:t>,</w:t>
      </w:r>
      <w:r w:rsidR="008F1AC7" w:rsidRPr="0058293A">
        <w:rPr>
          <w:color w:val="808080" w:themeColor="background1" w:themeShade="80"/>
        </w:rPr>
        <w:t xml:space="preserve"> Melanie ROESTOFF and Lienne STEYN</w:t>
      </w:r>
      <w:r w:rsidR="0058293A" w:rsidRPr="0058293A">
        <w:rPr>
          <w:color w:val="808080" w:themeColor="background1" w:themeShade="80"/>
        </w:rPr>
        <w:t xml:space="preserve"> (2015) 3 NIBLeJ 5 </w:t>
      </w:r>
      <w:hyperlink r:id="rId1" w:history="1">
        <w:r w:rsidR="0058293A" w:rsidRPr="0058293A">
          <w:rPr>
            <w:rStyle w:val="Hyperlink"/>
            <w:color w:val="808080" w:themeColor="background1" w:themeShade="80"/>
          </w:rPr>
          <w:t>Roestoff “The Pro-Creditor Approach in South African Insolvency Law and the Possible - (2015) 3 - Studocu</w:t>
        </w:r>
      </w:hyperlink>
      <w:r w:rsidR="0058293A" w:rsidRPr="0058293A">
        <w:rPr>
          <w:color w:val="808080" w:themeColor="background1" w:themeShade="80"/>
        </w:rPr>
        <w:t xml:space="preserve"> Accessed 15 November 2023</w:t>
      </w:r>
    </w:p>
  </w:footnote>
  <w:footnote w:id="2">
    <w:p w14:paraId="0A81E76B" w14:textId="77777777" w:rsidR="00F65DF8" w:rsidRPr="00F53254" w:rsidRDefault="00F65DF8" w:rsidP="00F65DF8">
      <w:pPr>
        <w:pStyle w:val="FootnoteText"/>
        <w:rPr>
          <w:lang w:val="en-GB"/>
        </w:rPr>
      </w:pPr>
      <w:r w:rsidRPr="00910CD3">
        <w:rPr>
          <w:rStyle w:val="FootnoteReference"/>
          <w:color w:val="808080" w:themeColor="background1" w:themeShade="80"/>
        </w:rPr>
        <w:footnoteRef/>
      </w:r>
      <w:r w:rsidRPr="00910CD3">
        <w:rPr>
          <w:color w:val="808080" w:themeColor="background1" w:themeShade="80"/>
        </w:rPr>
        <w:t xml:space="preserve"> </w:t>
      </w:r>
      <w:r w:rsidRPr="00910CD3">
        <w:rPr>
          <w:color w:val="808080" w:themeColor="background1" w:themeShade="80"/>
          <w:lang w:val="en-GB"/>
        </w:rPr>
        <w:t>Guidance Text, paragraph 6.4.2.1, p60</w:t>
      </w:r>
    </w:p>
  </w:footnote>
  <w:footnote w:id="3">
    <w:p w14:paraId="36908D27" w14:textId="77777777" w:rsidR="00910CD3" w:rsidRPr="00F53254" w:rsidRDefault="00910CD3" w:rsidP="00910CD3">
      <w:pPr>
        <w:pStyle w:val="FootnoteText"/>
        <w:rPr>
          <w:lang w:val="en-GB"/>
        </w:rPr>
      </w:pPr>
      <w:r w:rsidRPr="00910CD3">
        <w:rPr>
          <w:rStyle w:val="FootnoteReference"/>
          <w:color w:val="808080" w:themeColor="background1" w:themeShade="80"/>
        </w:rPr>
        <w:footnoteRef/>
      </w:r>
      <w:r w:rsidRPr="00910CD3">
        <w:rPr>
          <w:color w:val="808080" w:themeColor="background1" w:themeShade="80"/>
        </w:rPr>
        <w:t xml:space="preserve"> </w:t>
      </w:r>
      <w:r w:rsidRPr="00910CD3">
        <w:rPr>
          <w:color w:val="808080" w:themeColor="background1" w:themeShade="80"/>
          <w:lang w:val="en-GB"/>
        </w:rPr>
        <w:t>Guidance Text, paragraph 6.4.2.1, p60</w:t>
      </w:r>
    </w:p>
  </w:footnote>
  <w:footnote w:id="4">
    <w:p w14:paraId="243A5F4A" w14:textId="0C7B680E" w:rsidR="00031012" w:rsidRPr="00031012" w:rsidRDefault="00031012">
      <w:pPr>
        <w:pStyle w:val="FootnoteText"/>
        <w:rPr>
          <w:color w:val="808080" w:themeColor="background1" w:themeShade="80"/>
          <w:lang w:val="en-GB"/>
        </w:rPr>
      </w:pPr>
      <w:r w:rsidRPr="00031012">
        <w:rPr>
          <w:rStyle w:val="FootnoteReference"/>
          <w:color w:val="808080" w:themeColor="background1" w:themeShade="80"/>
        </w:rPr>
        <w:footnoteRef/>
      </w:r>
      <w:r w:rsidRPr="00031012">
        <w:rPr>
          <w:color w:val="808080" w:themeColor="background1" w:themeShade="80"/>
        </w:rPr>
        <w:t xml:space="preserve"> </w:t>
      </w:r>
      <w:r w:rsidRPr="00031012">
        <w:rPr>
          <w:color w:val="808080" w:themeColor="background1" w:themeShade="80"/>
          <w:lang w:val="en-GB"/>
        </w:rPr>
        <w:t>Guidance Text, paragraph 6.4.2.1, p60</w:t>
      </w:r>
    </w:p>
  </w:footnote>
  <w:footnote w:id="5">
    <w:p w14:paraId="47C3169B" w14:textId="1236D175" w:rsidR="00A855A3" w:rsidRPr="00A855A3" w:rsidRDefault="00A855A3">
      <w:pPr>
        <w:pStyle w:val="FootnoteText"/>
        <w:rPr>
          <w:lang w:val="en-GB"/>
        </w:rPr>
      </w:pPr>
      <w:r w:rsidRPr="00A855A3">
        <w:rPr>
          <w:rStyle w:val="FootnoteReference"/>
          <w:color w:val="808080" w:themeColor="background1" w:themeShade="80"/>
        </w:rPr>
        <w:footnoteRef/>
      </w:r>
      <w:r w:rsidRPr="00A855A3">
        <w:rPr>
          <w:color w:val="808080" w:themeColor="background1" w:themeShade="80"/>
        </w:rPr>
        <w:t xml:space="preserve"> </w:t>
      </w:r>
      <w:r w:rsidRPr="00A855A3">
        <w:rPr>
          <w:color w:val="808080" w:themeColor="background1" w:themeShade="80"/>
          <w:lang w:val="en-GB"/>
        </w:rPr>
        <w:t>G</w:t>
      </w:r>
      <w:r w:rsidRPr="00910CD3">
        <w:rPr>
          <w:color w:val="808080" w:themeColor="background1" w:themeShade="80"/>
          <w:lang w:val="en-GB"/>
        </w:rPr>
        <w:t>uidance Text, paragraph 6.4.2.1, p60</w:t>
      </w:r>
    </w:p>
  </w:footnote>
  <w:footnote w:id="6">
    <w:p w14:paraId="2C7BF284" w14:textId="23B25E49" w:rsidR="00A350CF" w:rsidRPr="00A350CF" w:rsidRDefault="00A350CF">
      <w:pPr>
        <w:pStyle w:val="FootnoteText"/>
        <w:rPr>
          <w:lang w:val="en-GB"/>
        </w:rPr>
      </w:pPr>
      <w:r w:rsidRPr="00A855A3">
        <w:rPr>
          <w:rStyle w:val="FootnoteReference"/>
          <w:color w:val="808080" w:themeColor="background1" w:themeShade="80"/>
        </w:rPr>
        <w:footnoteRef/>
      </w:r>
      <w:r w:rsidRPr="00A855A3">
        <w:rPr>
          <w:color w:val="808080" w:themeColor="background1" w:themeShade="80"/>
        </w:rPr>
        <w:t xml:space="preserve"> </w:t>
      </w:r>
      <w:r w:rsidRPr="00A855A3">
        <w:rPr>
          <w:color w:val="808080" w:themeColor="background1" w:themeShade="80"/>
          <w:lang w:val="en-GB"/>
        </w:rPr>
        <w:t>G</w:t>
      </w:r>
      <w:r w:rsidRPr="00910CD3">
        <w:rPr>
          <w:color w:val="808080" w:themeColor="background1" w:themeShade="80"/>
          <w:lang w:val="en-GB"/>
        </w:rPr>
        <w:t>uidance Text, paragraph 6.4.2.</w:t>
      </w:r>
      <w:r>
        <w:rPr>
          <w:color w:val="808080" w:themeColor="background1" w:themeShade="80"/>
          <w:lang w:val="en-GB"/>
        </w:rPr>
        <w:t>2</w:t>
      </w:r>
      <w:r w:rsidRPr="00910CD3">
        <w:rPr>
          <w:color w:val="808080" w:themeColor="background1" w:themeShade="80"/>
          <w:lang w:val="en-GB"/>
        </w:rPr>
        <w:t>, p6</w:t>
      </w:r>
      <w:r>
        <w:rPr>
          <w:color w:val="808080" w:themeColor="background1" w:themeShade="80"/>
          <w:lang w:val="en-GB"/>
        </w:rPr>
        <w:t>1</w:t>
      </w:r>
    </w:p>
  </w:footnote>
  <w:footnote w:id="7">
    <w:p w14:paraId="76B5825C" w14:textId="7A41924B" w:rsidR="00481055" w:rsidRPr="00A13F86" w:rsidRDefault="00481055" w:rsidP="00A13F86">
      <w:pPr>
        <w:pStyle w:val="FootnoteText"/>
      </w:pPr>
      <w:r w:rsidRPr="00A54A3E">
        <w:rPr>
          <w:rStyle w:val="FootnoteReference"/>
          <w:color w:val="808080" w:themeColor="background1" w:themeShade="80"/>
        </w:rPr>
        <w:footnoteRef/>
      </w:r>
      <w:r w:rsidRPr="00A54A3E">
        <w:rPr>
          <w:color w:val="808080" w:themeColor="background1" w:themeShade="80"/>
        </w:rPr>
        <w:t xml:space="preserve"> </w:t>
      </w:r>
      <w:r w:rsidR="000A68CF" w:rsidRPr="00A54A3E">
        <w:rPr>
          <w:color w:val="808080" w:themeColor="background1" w:themeShade="80"/>
        </w:rPr>
        <w:t>I</w:t>
      </w:r>
      <w:r w:rsidR="00A13F86" w:rsidRPr="00A54A3E">
        <w:rPr>
          <w:color w:val="808080" w:themeColor="background1" w:themeShade="80"/>
        </w:rPr>
        <w:t xml:space="preserve"> F Fletcher, The Law of Insolvency, London (Sweet and Maxwell, 5th ed, 2017), Ch 1</w:t>
      </w:r>
    </w:p>
  </w:footnote>
  <w:footnote w:id="8">
    <w:p w14:paraId="0B836921" w14:textId="1E3D533A" w:rsidR="00A54A3E" w:rsidRPr="00A54A3E" w:rsidRDefault="00A54A3E">
      <w:pPr>
        <w:pStyle w:val="FootnoteText"/>
        <w:rPr>
          <w:lang w:val="en-GB"/>
        </w:rPr>
      </w:pPr>
      <w:r w:rsidRPr="00A54A3E">
        <w:rPr>
          <w:rStyle w:val="FootnoteReference"/>
          <w:color w:val="808080" w:themeColor="background1" w:themeShade="80"/>
        </w:rPr>
        <w:footnoteRef/>
      </w:r>
      <w:r w:rsidRPr="00A54A3E">
        <w:rPr>
          <w:color w:val="808080" w:themeColor="background1" w:themeShade="80"/>
        </w:rPr>
        <w:t xml:space="preserve"> P R Wood, Principles of International Insolvency (Sweet and Maxwell Ltd, 2007)</w:t>
      </w:r>
    </w:p>
  </w:footnote>
  <w:footnote w:id="9">
    <w:p w14:paraId="2DE09963" w14:textId="60E3C7E1" w:rsidR="00CA07F4" w:rsidRPr="00CA07F4" w:rsidRDefault="00CA07F4">
      <w:pPr>
        <w:pStyle w:val="FootnoteText"/>
        <w:rPr>
          <w:lang w:val="en-GB"/>
        </w:rPr>
      </w:pPr>
      <w:r w:rsidRPr="00FD2A22">
        <w:rPr>
          <w:rStyle w:val="FootnoteReference"/>
          <w:color w:val="808080" w:themeColor="background1" w:themeShade="80"/>
        </w:rPr>
        <w:footnoteRef/>
      </w:r>
      <w:r w:rsidRPr="00FD2A22">
        <w:rPr>
          <w:color w:val="808080" w:themeColor="background1" w:themeShade="80"/>
        </w:rPr>
        <w:t xml:space="preserve"> </w:t>
      </w:r>
      <w:r w:rsidR="00FD2A22" w:rsidRPr="00FD2A22">
        <w:rPr>
          <w:color w:val="808080" w:themeColor="background1" w:themeShade="80"/>
        </w:rPr>
        <w:t>In M A Clarke et al, Commercial Law (Oxford University Press, 2017), chap 28</w:t>
      </w:r>
    </w:p>
  </w:footnote>
  <w:footnote w:id="10">
    <w:p w14:paraId="0DC567EA" w14:textId="521312F7" w:rsidR="003269C5" w:rsidRPr="00D41802" w:rsidRDefault="003269C5" w:rsidP="003269C5">
      <w:pPr>
        <w:pStyle w:val="FootnoteText"/>
      </w:pPr>
      <w:r w:rsidRPr="00D41802">
        <w:rPr>
          <w:rStyle w:val="FootnoteReference"/>
          <w:color w:val="808080" w:themeColor="background1" w:themeShade="80"/>
        </w:rPr>
        <w:footnoteRef/>
      </w:r>
      <w:r w:rsidRPr="00D41802">
        <w:rPr>
          <w:color w:val="808080" w:themeColor="background1" w:themeShade="80"/>
        </w:rPr>
        <w:t xml:space="preserve"> See J L Westbrook, "Developments in Transnational Bankruptcy", (1995) 39, St Louis University Law Journal 753, pp 753 - 757</w:t>
      </w:r>
    </w:p>
  </w:footnote>
  <w:footnote w:id="11">
    <w:p w14:paraId="4FC2F921" w14:textId="40CB6D90" w:rsidR="00C16873" w:rsidRPr="00C16873" w:rsidRDefault="00C16873">
      <w:pPr>
        <w:pStyle w:val="FootnoteText"/>
        <w:rPr>
          <w:lang w:val="en-GB"/>
        </w:rPr>
      </w:pPr>
      <w:r w:rsidRPr="00215DD4">
        <w:rPr>
          <w:rStyle w:val="FootnoteReference"/>
          <w:color w:val="808080" w:themeColor="background1" w:themeShade="80"/>
        </w:rPr>
        <w:footnoteRef/>
      </w:r>
      <w:r w:rsidRPr="00215DD4">
        <w:rPr>
          <w:color w:val="808080" w:themeColor="background1" w:themeShade="80"/>
        </w:rPr>
        <w:t xml:space="preserve"> Module 1 Guidance Text, Introduction to International Insolvency Law 2023/2024, </w:t>
      </w:r>
      <w:r w:rsidRPr="00215DD4">
        <w:rPr>
          <w:color w:val="808080" w:themeColor="background1" w:themeShade="80"/>
          <w:lang w:val="en-GB"/>
        </w:rPr>
        <w:t>paragraph 5.3</w:t>
      </w:r>
      <w:r w:rsidR="004B10D9">
        <w:rPr>
          <w:color w:val="808080" w:themeColor="background1" w:themeShade="80"/>
          <w:lang w:val="en-GB"/>
        </w:rPr>
        <w:t>, p41,</w:t>
      </w:r>
      <w:r w:rsidRPr="00215DD4">
        <w:rPr>
          <w:color w:val="808080" w:themeColor="background1" w:themeShade="80"/>
          <w:lang w:val="en-GB"/>
        </w:rPr>
        <w:t xml:space="preserve"> citing “On insolvency or collective proceedings, see further H Eidenmuller, “What is an insolvency proceedings?” (2018) 92 American Bankruptcy Law Journal, p53</w:t>
      </w:r>
    </w:p>
  </w:footnote>
  <w:footnote w:id="12">
    <w:p w14:paraId="40716F86" w14:textId="3D6518F7" w:rsidR="002C16E5" w:rsidRPr="002C16E5" w:rsidRDefault="002C16E5">
      <w:pPr>
        <w:pStyle w:val="FootnoteText"/>
        <w:rPr>
          <w:lang w:val="en-GB"/>
        </w:rPr>
      </w:pPr>
      <w:r w:rsidRPr="002C16E5">
        <w:rPr>
          <w:rStyle w:val="FootnoteReference"/>
          <w:color w:val="808080" w:themeColor="background1" w:themeShade="80"/>
        </w:rPr>
        <w:footnoteRef/>
      </w:r>
      <w:r w:rsidRPr="002C16E5">
        <w:rPr>
          <w:color w:val="808080" w:themeColor="background1" w:themeShade="80"/>
        </w:rPr>
        <w:t xml:space="preserve"> </w:t>
      </w:r>
      <w:r w:rsidRPr="002C16E5">
        <w:rPr>
          <w:color w:val="808080" w:themeColor="background1" w:themeShade="80"/>
          <w:lang w:val="en-GB"/>
        </w:rPr>
        <w:t>P J Omar, “The Landscape of International Insolvency”, (2002), 11, p175</w:t>
      </w:r>
    </w:p>
  </w:footnote>
  <w:footnote w:id="13">
    <w:p w14:paraId="459928F2" w14:textId="0FA09578" w:rsidR="009F513C" w:rsidRPr="009F513C" w:rsidRDefault="009F513C">
      <w:pPr>
        <w:pStyle w:val="FootnoteText"/>
        <w:rPr>
          <w:color w:val="808080" w:themeColor="background1" w:themeShade="80"/>
          <w:lang w:val="en-GB"/>
        </w:rPr>
      </w:pPr>
      <w:r w:rsidRPr="009F513C">
        <w:rPr>
          <w:rStyle w:val="FootnoteReference"/>
          <w:color w:val="808080" w:themeColor="background1" w:themeShade="80"/>
        </w:rPr>
        <w:footnoteRef/>
      </w:r>
      <w:r w:rsidRPr="009F513C">
        <w:rPr>
          <w:color w:val="808080" w:themeColor="background1" w:themeShade="80"/>
        </w:rPr>
        <w:t xml:space="preserve"> </w:t>
      </w:r>
      <w:r w:rsidR="002A25A3" w:rsidRPr="002A25A3">
        <w:rPr>
          <w:color w:val="808080" w:themeColor="background1" w:themeShade="80"/>
          <w:lang w:val="en-GB"/>
        </w:rPr>
        <w:t>UNCITRAL website:</w:t>
      </w:r>
      <w:r w:rsidR="002A25A3" w:rsidRPr="002A25A3">
        <w:rPr>
          <w:color w:val="808080" w:themeColor="background1" w:themeShade="80"/>
        </w:rPr>
        <w:t xml:space="preserve"> </w:t>
      </w:r>
      <w:hyperlink r:id="rId2" w:history="1">
        <w:r w:rsidRPr="009F513C">
          <w:rPr>
            <w:rStyle w:val="Hyperlink"/>
            <w:color w:val="808080" w:themeColor="background1" w:themeShade="80"/>
          </w:rPr>
          <w:t>https://uncitral.un.org/en/texts/insolvency/legislativeguides/insolvency_law</w:t>
        </w:r>
      </w:hyperlink>
      <w:r w:rsidRPr="009F513C">
        <w:rPr>
          <w:color w:val="808080" w:themeColor="background1" w:themeShade="80"/>
        </w:rPr>
        <w:t>, accessed 12 November 2023</w:t>
      </w:r>
    </w:p>
  </w:footnote>
  <w:footnote w:id="14">
    <w:p w14:paraId="453A6895" w14:textId="77777777" w:rsidR="008E50C7" w:rsidRPr="004B10D9" w:rsidRDefault="008E50C7" w:rsidP="008E50C7">
      <w:pPr>
        <w:pStyle w:val="FootnoteText"/>
        <w:rPr>
          <w:lang w:val="en-GB"/>
        </w:rPr>
      </w:pPr>
      <w:r w:rsidRPr="009F513C">
        <w:rPr>
          <w:rStyle w:val="FootnoteReference"/>
          <w:color w:val="808080" w:themeColor="background1" w:themeShade="80"/>
        </w:rPr>
        <w:footnoteRef/>
      </w:r>
      <w:r w:rsidRPr="009F513C">
        <w:rPr>
          <w:color w:val="808080" w:themeColor="background1" w:themeShade="80"/>
        </w:rPr>
        <w:t xml:space="preserve"> Module 1 Guidance Text, paragraph 6.1.3.3, p47</w:t>
      </w:r>
    </w:p>
  </w:footnote>
  <w:footnote w:id="15">
    <w:p w14:paraId="0BD22396" w14:textId="7FC499C8" w:rsidR="001D19FF" w:rsidRPr="001D19FF" w:rsidRDefault="001D19FF">
      <w:pPr>
        <w:pStyle w:val="FootnoteText"/>
        <w:rPr>
          <w:lang w:val="en-GB"/>
        </w:rPr>
      </w:pPr>
      <w:r>
        <w:rPr>
          <w:rStyle w:val="FootnoteReference"/>
        </w:rPr>
        <w:footnoteRef/>
      </w:r>
      <w:r>
        <w:t xml:space="preserve"> </w:t>
      </w:r>
      <w:r w:rsidRPr="009F513C">
        <w:rPr>
          <w:color w:val="808080" w:themeColor="background1" w:themeShade="80"/>
        </w:rPr>
        <w:t>Module 1 Guidance Text, paragraph 6.</w:t>
      </w:r>
      <w:r>
        <w:rPr>
          <w:color w:val="808080" w:themeColor="background1" w:themeShade="80"/>
        </w:rPr>
        <w:t>4.3.</w:t>
      </w:r>
      <w:r w:rsidR="00192152">
        <w:rPr>
          <w:color w:val="808080" w:themeColor="background1" w:themeShade="80"/>
        </w:rPr>
        <w:t>3</w:t>
      </w:r>
      <w:r w:rsidRPr="009F513C">
        <w:rPr>
          <w:color w:val="808080" w:themeColor="background1" w:themeShade="80"/>
        </w:rPr>
        <w:t>, p</w:t>
      </w:r>
      <w:r>
        <w:rPr>
          <w:color w:val="808080" w:themeColor="background1" w:themeShade="80"/>
        </w:rPr>
        <w:t>6</w:t>
      </w:r>
      <w:r w:rsidR="00192152">
        <w:rPr>
          <w:color w:val="808080" w:themeColor="background1" w:themeShade="80"/>
        </w:rPr>
        <w:t>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540DAC"/>
    <w:multiLevelType w:val="hybridMultilevel"/>
    <w:tmpl w:val="85E6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D212EF9"/>
    <w:multiLevelType w:val="hybridMultilevel"/>
    <w:tmpl w:val="6BAE9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3"/>
  </w:num>
  <w:num w:numId="3" w16cid:durableId="1558668659">
    <w:abstractNumId w:val="2"/>
  </w:num>
  <w:num w:numId="4" w16cid:durableId="737018892">
    <w:abstractNumId w:val="5"/>
  </w:num>
  <w:num w:numId="5" w16cid:durableId="1158809076">
    <w:abstractNumId w:val="23"/>
  </w:num>
  <w:num w:numId="6" w16cid:durableId="415711827">
    <w:abstractNumId w:val="29"/>
  </w:num>
  <w:num w:numId="7" w16cid:durableId="1401949473">
    <w:abstractNumId w:val="16"/>
  </w:num>
  <w:num w:numId="8" w16cid:durableId="269552992">
    <w:abstractNumId w:val="34"/>
  </w:num>
  <w:num w:numId="9" w16cid:durableId="1367413161">
    <w:abstractNumId w:val="15"/>
  </w:num>
  <w:num w:numId="10" w16cid:durableId="220823057">
    <w:abstractNumId w:val="30"/>
  </w:num>
  <w:num w:numId="11" w16cid:durableId="858086195">
    <w:abstractNumId w:val="12"/>
  </w:num>
  <w:num w:numId="12" w16cid:durableId="2144808366">
    <w:abstractNumId w:val="31"/>
  </w:num>
  <w:num w:numId="13" w16cid:durableId="1139104618">
    <w:abstractNumId w:val="22"/>
  </w:num>
  <w:num w:numId="14" w16cid:durableId="1203787949">
    <w:abstractNumId w:val="21"/>
  </w:num>
  <w:num w:numId="15" w16cid:durableId="1140149903">
    <w:abstractNumId w:val="7"/>
  </w:num>
  <w:num w:numId="16" w16cid:durableId="1714226930">
    <w:abstractNumId w:val="24"/>
  </w:num>
  <w:num w:numId="17" w16cid:durableId="1711415350">
    <w:abstractNumId w:val="19"/>
  </w:num>
  <w:num w:numId="18" w16cid:durableId="35542391">
    <w:abstractNumId w:val="20"/>
  </w:num>
  <w:num w:numId="19" w16cid:durableId="2050493181">
    <w:abstractNumId w:val="27"/>
  </w:num>
  <w:num w:numId="20" w16cid:durableId="1469859581">
    <w:abstractNumId w:val="11"/>
  </w:num>
  <w:num w:numId="21" w16cid:durableId="408573765">
    <w:abstractNumId w:val="18"/>
  </w:num>
  <w:num w:numId="22" w16cid:durableId="482936912">
    <w:abstractNumId w:val="0"/>
  </w:num>
  <w:num w:numId="23" w16cid:durableId="1308701288">
    <w:abstractNumId w:val="26"/>
  </w:num>
  <w:num w:numId="24" w16cid:durableId="1716081525">
    <w:abstractNumId w:val="1"/>
  </w:num>
  <w:num w:numId="25" w16cid:durableId="797064315">
    <w:abstractNumId w:val="32"/>
  </w:num>
  <w:num w:numId="26" w16cid:durableId="824904852">
    <w:abstractNumId w:val="35"/>
  </w:num>
  <w:num w:numId="27" w16cid:durableId="372002461">
    <w:abstractNumId w:val="10"/>
  </w:num>
  <w:num w:numId="28" w16cid:durableId="1256015074">
    <w:abstractNumId w:val="9"/>
  </w:num>
  <w:num w:numId="29" w16cid:durableId="1376738983">
    <w:abstractNumId w:val="8"/>
  </w:num>
  <w:num w:numId="30" w16cid:durableId="1903177138">
    <w:abstractNumId w:val="13"/>
  </w:num>
  <w:num w:numId="31" w16cid:durableId="1164859915">
    <w:abstractNumId w:val="4"/>
  </w:num>
  <w:num w:numId="32" w16cid:durableId="684208392">
    <w:abstractNumId w:val="17"/>
  </w:num>
  <w:num w:numId="33" w16cid:durableId="732118212">
    <w:abstractNumId w:val="25"/>
  </w:num>
  <w:num w:numId="34" w16cid:durableId="1912503881">
    <w:abstractNumId w:val="14"/>
  </w:num>
  <w:num w:numId="35" w16cid:durableId="619847770">
    <w:abstractNumId w:val="3"/>
  </w:num>
  <w:num w:numId="36" w16cid:durableId="16238823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0AF8"/>
    <w:rsid w:val="00002D7A"/>
    <w:rsid w:val="00003D8F"/>
    <w:rsid w:val="0000420A"/>
    <w:rsid w:val="00004AE7"/>
    <w:rsid w:val="00006C3F"/>
    <w:rsid w:val="00010BA0"/>
    <w:rsid w:val="00015EE6"/>
    <w:rsid w:val="00020557"/>
    <w:rsid w:val="0002322B"/>
    <w:rsid w:val="000250C7"/>
    <w:rsid w:val="00025C83"/>
    <w:rsid w:val="0002690C"/>
    <w:rsid w:val="00031012"/>
    <w:rsid w:val="00031918"/>
    <w:rsid w:val="0003281C"/>
    <w:rsid w:val="000329A6"/>
    <w:rsid w:val="00034C0C"/>
    <w:rsid w:val="00037621"/>
    <w:rsid w:val="000419D4"/>
    <w:rsid w:val="00043365"/>
    <w:rsid w:val="000436F0"/>
    <w:rsid w:val="00043960"/>
    <w:rsid w:val="00044D46"/>
    <w:rsid w:val="00045088"/>
    <w:rsid w:val="00045438"/>
    <w:rsid w:val="00045904"/>
    <w:rsid w:val="00045DC7"/>
    <w:rsid w:val="00046789"/>
    <w:rsid w:val="00050384"/>
    <w:rsid w:val="000521C4"/>
    <w:rsid w:val="00052A5E"/>
    <w:rsid w:val="0005310B"/>
    <w:rsid w:val="00054EC2"/>
    <w:rsid w:val="00055BC3"/>
    <w:rsid w:val="00055EB9"/>
    <w:rsid w:val="00057BF2"/>
    <w:rsid w:val="0006130F"/>
    <w:rsid w:val="00062D42"/>
    <w:rsid w:val="00062E85"/>
    <w:rsid w:val="000649D1"/>
    <w:rsid w:val="00064C44"/>
    <w:rsid w:val="00065166"/>
    <w:rsid w:val="00065F1F"/>
    <w:rsid w:val="00066AE7"/>
    <w:rsid w:val="0007091D"/>
    <w:rsid w:val="00076483"/>
    <w:rsid w:val="00080757"/>
    <w:rsid w:val="00080877"/>
    <w:rsid w:val="0008155B"/>
    <w:rsid w:val="000815BB"/>
    <w:rsid w:val="00081A63"/>
    <w:rsid w:val="00082609"/>
    <w:rsid w:val="0008457E"/>
    <w:rsid w:val="000851CC"/>
    <w:rsid w:val="00085349"/>
    <w:rsid w:val="00085D4B"/>
    <w:rsid w:val="00086BDD"/>
    <w:rsid w:val="00090933"/>
    <w:rsid w:val="00090B23"/>
    <w:rsid w:val="00092378"/>
    <w:rsid w:val="00092F16"/>
    <w:rsid w:val="00093BE8"/>
    <w:rsid w:val="00093FE2"/>
    <w:rsid w:val="0009471C"/>
    <w:rsid w:val="0009504E"/>
    <w:rsid w:val="000959A9"/>
    <w:rsid w:val="000977DC"/>
    <w:rsid w:val="000A01B9"/>
    <w:rsid w:val="000A0C1B"/>
    <w:rsid w:val="000A20CB"/>
    <w:rsid w:val="000A3ECD"/>
    <w:rsid w:val="000A68CF"/>
    <w:rsid w:val="000A68ED"/>
    <w:rsid w:val="000A74CA"/>
    <w:rsid w:val="000A74D4"/>
    <w:rsid w:val="000B5B93"/>
    <w:rsid w:val="000B5FF1"/>
    <w:rsid w:val="000B609F"/>
    <w:rsid w:val="000B6B56"/>
    <w:rsid w:val="000D0C9F"/>
    <w:rsid w:val="000D55A8"/>
    <w:rsid w:val="000D57BE"/>
    <w:rsid w:val="000D6876"/>
    <w:rsid w:val="000D7EAD"/>
    <w:rsid w:val="000E0165"/>
    <w:rsid w:val="000E1CF9"/>
    <w:rsid w:val="000E318F"/>
    <w:rsid w:val="000E3A82"/>
    <w:rsid w:val="000E3C5A"/>
    <w:rsid w:val="000E406D"/>
    <w:rsid w:val="000E4841"/>
    <w:rsid w:val="000E5CB4"/>
    <w:rsid w:val="000F0DC0"/>
    <w:rsid w:val="000F0FFF"/>
    <w:rsid w:val="000F1677"/>
    <w:rsid w:val="000F189D"/>
    <w:rsid w:val="000F3387"/>
    <w:rsid w:val="000F3D6C"/>
    <w:rsid w:val="000F58B0"/>
    <w:rsid w:val="000F6DC6"/>
    <w:rsid w:val="00100A77"/>
    <w:rsid w:val="00101227"/>
    <w:rsid w:val="00101707"/>
    <w:rsid w:val="00102F47"/>
    <w:rsid w:val="00103844"/>
    <w:rsid w:val="0010470F"/>
    <w:rsid w:val="00105BD1"/>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27D6F"/>
    <w:rsid w:val="00131D42"/>
    <w:rsid w:val="0013278B"/>
    <w:rsid w:val="00133E6F"/>
    <w:rsid w:val="00135FFC"/>
    <w:rsid w:val="00136505"/>
    <w:rsid w:val="0014171F"/>
    <w:rsid w:val="00142E15"/>
    <w:rsid w:val="0014364D"/>
    <w:rsid w:val="0014373D"/>
    <w:rsid w:val="00145A39"/>
    <w:rsid w:val="0014622C"/>
    <w:rsid w:val="00147A2C"/>
    <w:rsid w:val="00150F6C"/>
    <w:rsid w:val="00152047"/>
    <w:rsid w:val="00152348"/>
    <w:rsid w:val="0015328F"/>
    <w:rsid w:val="0015456D"/>
    <w:rsid w:val="00161F1B"/>
    <w:rsid w:val="001620AF"/>
    <w:rsid w:val="00162829"/>
    <w:rsid w:val="00162E99"/>
    <w:rsid w:val="0016472D"/>
    <w:rsid w:val="00164B28"/>
    <w:rsid w:val="001677CC"/>
    <w:rsid w:val="0017107C"/>
    <w:rsid w:val="00173647"/>
    <w:rsid w:val="00180548"/>
    <w:rsid w:val="00180AC4"/>
    <w:rsid w:val="00180B1E"/>
    <w:rsid w:val="00180CCE"/>
    <w:rsid w:val="00181438"/>
    <w:rsid w:val="0018267A"/>
    <w:rsid w:val="001826E6"/>
    <w:rsid w:val="00182779"/>
    <w:rsid w:val="00182B64"/>
    <w:rsid w:val="001830DF"/>
    <w:rsid w:val="00183285"/>
    <w:rsid w:val="001833C2"/>
    <w:rsid w:val="00192152"/>
    <w:rsid w:val="00193AB3"/>
    <w:rsid w:val="00193AD3"/>
    <w:rsid w:val="001966D9"/>
    <w:rsid w:val="00197963"/>
    <w:rsid w:val="001A5FF0"/>
    <w:rsid w:val="001A620B"/>
    <w:rsid w:val="001A716A"/>
    <w:rsid w:val="001A7E9A"/>
    <w:rsid w:val="001A7ECF"/>
    <w:rsid w:val="001B0F70"/>
    <w:rsid w:val="001B374B"/>
    <w:rsid w:val="001B3C35"/>
    <w:rsid w:val="001B5016"/>
    <w:rsid w:val="001B6CEE"/>
    <w:rsid w:val="001C1FF8"/>
    <w:rsid w:val="001C2547"/>
    <w:rsid w:val="001C425D"/>
    <w:rsid w:val="001C45FC"/>
    <w:rsid w:val="001C594A"/>
    <w:rsid w:val="001D19FF"/>
    <w:rsid w:val="001D1BF7"/>
    <w:rsid w:val="001D31AD"/>
    <w:rsid w:val="001D4862"/>
    <w:rsid w:val="001D632F"/>
    <w:rsid w:val="001D7EF2"/>
    <w:rsid w:val="001E1FB4"/>
    <w:rsid w:val="001E2205"/>
    <w:rsid w:val="001E23FD"/>
    <w:rsid w:val="001E25B9"/>
    <w:rsid w:val="001E392F"/>
    <w:rsid w:val="001E49E0"/>
    <w:rsid w:val="001E7B5A"/>
    <w:rsid w:val="001E7E4F"/>
    <w:rsid w:val="001F0BCF"/>
    <w:rsid w:val="001F1478"/>
    <w:rsid w:val="001F18FB"/>
    <w:rsid w:val="001F19E2"/>
    <w:rsid w:val="001F2AF5"/>
    <w:rsid w:val="001F45FE"/>
    <w:rsid w:val="001F5204"/>
    <w:rsid w:val="001F603D"/>
    <w:rsid w:val="001F7412"/>
    <w:rsid w:val="001F7C77"/>
    <w:rsid w:val="0020063B"/>
    <w:rsid w:val="0020112D"/>
    <w:rsid w:val="00201386"/>
    <w:rsid w:val="00202C2B"/>
    <w:rsid w:val="00205214"/>
    <w:rsid w:val="00205B31"/>
    <w:rsid w:val="0020725B"/>
    <w:rsid w:val="0020730B"/>
    <w:rsid w:val="0021242E"/>
    <w:rsid w:val="00212B14"/>
    <w:rsid w:val="00215247"/>
    <w:rsid w:val="00215DD4"/>
    <w:rsid w:val="00216499"/>
    <w:rsid w:val="002164C0"/>
    <w:rsid w:val="00216CB4"/>
    <w:rsid w:val="002173C5"/>
    <w:rsid w:val="0022350F"/>
    <w:rsid w:val="00223780"/>
    <w:rsid w:val="002253D8"/>
    <w:rsid w:val="00225AC3"/>
    <w:rsid w:val="0022719C"/>
    <w:rsid w:val="00231611"/>
    <w:rsid w:val="00231CAE"/>
    <w:rsid w:val="00231F38"/>
    <w:rsid w:val="002362AB"/>
    <w:rsid w:val="00236E8F"/>
    <w:rsid w:val="002400DB"/>
    <w:rsid w:val="002406A4"/>
    <w:rsid w:val="00240ED7"/>
    <w:rsid w:val="0024116D"/>
    <w:rsid w:val="00241B44"/>
    <w:rsid w:val="002429E1"/>
    <w:rsid w:val="00245CD2"/>
    <w:rsid w:val="00245EFB"/>
    <w:rsid w:val="002526C5"/>
    <w:rsid w:val="002529D2"/>
    <w:rsid w:val="0025386E"/>
    <w:rsid w:val="00254AB3"/>
    <w:rsid w:val="00256214"/>
    <w:rsid w:val="00261407"/>
    <w:rsid w:val="002638B0"/>
    <w:rsid w:val="002650D4"/>
    <w:rsid w:val="0026510C"/>
    <w:rsid w:val="0026647A"/>
    <w:rsid w:val="002668D3"/>
    <w:rsid w:val="00266F17"/>
    <w:rsid w:val="002672D0"/>
    <w:rsid w:val="00270D04"/>
    <w:rsid w:val="0027242B"/>
    <w:rsid w:val="0027299F"/>
    <w:rsid w:val="00275182"/>
    <w:rsid w:val="00275946"/>
    <w:rsid w:val="00275D92"/>
    <w:rsid w:val="00276414"/>
    <w:rsid w:val="00276FEA"/>
    <w:rsid w:val="0028252D"/>
    <w:rsid w:val="00284EBE"/>
    <w:rsid w:val="00286720"/>
    <w:rsid w:val="002872E1"/>
    <w:rsid w:val="00287B2E"/>
    <w:rsid w:val="00287D4D"/>
    <w:rsid w:val="00290116"/>
    <w:rsid w:val="00290A68"/>
    <w:rsid w:val="00292834"/>
    <w:rsid w:val="0029433F"/>
    <w:rsid w:val="00294829"/>
    <w:rsid w:val="00295742"/>
    <w:rsid w:val="0029690F"/>
    <w:rsid w:val="00297288"/>
    <w:rsid w:val="00297BDF"/>
    <w:rsid w:val="002A007F"/>
    <w:rsid w:val="002A0E8C"/>
    <w:rsid w:val="002A25A3"/>
    <w:rsid w:val="002A2A60"/>
    <w:rsid w:val="002A3815"/>
    <w:rsid w:val="002A63E0"/>
    <w:rsid w:val="002A6646"/>
    <w:rsid w:val="002A71B5"/>
    <w:rsid w:val="002A74AB"/>
    <w:rsid w:val="002A7ECE"/>
    <w:rsid w:val="002B1C45"/>
    <w:rsid w:val="002B1ED4"/>
    <w:rsid w:val="002B2970"/>
    <w:rsid w:val="002C0F1C"/>
    <w:rsid w:val="002C1227"/>
    <w:rsid w:val="002C13C8"/>
    <w:rsid w:val="002C16E5"/>
    <w:rsid w:val="002C259C"/>
    <w:rsid w:val="002C3547"/>
    <w:rsid w:val="002D0021"/>
    <w:rsid w:val="002D10A3"/>
    <w:rsid w:val="002D2356"/>
    <w:rsid w:val="002D295D"/>
    <w:rsid w:val="002D3473"/>
    <w:rsid w:val="002D42E4"/>
    <w:rsid w:val="002E37B7"/>
    <w:rsid w:val="002E4A02"/>
    <w:rsid w:val="002E4A1F"/>
    <w:rsid w:val="002E66F4"/>
    <w:rsid w:val="002F14C5"/>
    <w:rsid w:val="002F1956"/>
    <w:rsid w:val="002F2B8D"/>
    <w:rsid w:val="002F3440"/>
    <w:rsid w:val="002F3B17"/>
    <w:rsid w:val="002F5876"/>
    <w:rsid w:val="002F5DD8"/>
    <w:rsid w:val="002F73AE"/>
    <w:rsid w:val="002F75A3"/>
    <w:rsid w:val="002F75CD"/>
    <w:rsid w:val="002F7EB5"/>
    <w:rsid w:val="0030201F"/>
    <w:rsid w:val="00303C2F"/>
    <w:rsid w:val="0030520A"/>
    <w:rsid w:val="0030558B"/>
    <w:rsid w:val="00306E87"/>
    <w:rsid w:val="00310FC2"/>
    <w:rsid w:val="00311253"/>
    <w:rsid w:val="003134B4"/>
    <w:rsid w:val="003144EF"/>
    <w:rsid w:val="00316AE4"/>
    <w:rsid w:val="0032538A"/>
    <w:rsid w:val="00326292"/>
    <w:rsid w:val="00326415"/>
    <w:rsid w:val="003269C5"/>
    <w:rsid w:val="0032776D"/>
    <w:rsid w:val="00330937"/>
    <w:rsid w:val="00330C51"/>
    <w:rsid w:val="00330F31"/>
    <w:rsid w:val="003326F0"/>
    <w:rsid w:val="00332F2A"/>
    <w:rsid w:val="00334648"/>
    <w:rsid w:val="00336CA6"/>
    <w:rsid w:val="0033768C"/>
    <w:rsid w:val="00337938"/>
    <w:rsid w:val="0034061C"/>
    <w:rsid w:val="00340769"/>
    <w:rsid w:val="00341A65"/>
    <w:rsid w:val="00341AA6"/>
    <w:rsid w:val="00342E57"/>
    <w:rsid w:val="00344890"/>
    <w:rsid w:val="003500E5"/>
    <w:rsid w:val="00355B57"/>
    <w:rsid w:val="00361A0A"/>
    <w:rsid w:val="00361DF9"/>
    <w:rsid w:val="00363D71"/>
    <w:rsid w:val="0036565C"/>
    <w:rsid w:val="0036625E"/>
    <w:rsid w:val="00367162"/>
    <w:rsid w:val="00367B45"/>
    <w:rsid w:val="00371FA4"/>
    <w:rsid w:val="00372CD4"/>
    <w:rsid w:val="0037386C"/>
    <w:rsid w:val="0037465A"/>
    <w:rsid w:val="0038255B"/>
    <w:rsid w:val="00382C98"/>
    <w:rsid w:val="0038325E"/>
    <w:rsid w:val="00384604"/>
    <w:rsid w:val="00384B27"/>
    <w:rsid w:val="00384E3D"/>
    <w:rsid w:val="00384F24"/>
    <w:rsid w:val="00385041"/>
    <w:rsid w:val="0038533C"/>
    <w:rsid w:val="00385D73"/>
    <w:rsid w:val="00386AFB"/>
    <w:rsid w:val="00386F18"/>
    <w:rsid w:val="00391B12"/>
    <w:rsid w:val="003937B9"/>
    <w:rsid w:val="003948D5"/>
    <w:rsid w:val="003957FD"/>
    <w:rsid w:val="00396821"/>
    <w:rsid w:val="00396CE5"/>
    <w:rsid w:val="003979A3"/>
    <w:rsid w:val="00397D3A"/>
    <w:rsid w:val="003A00FE"/>
    <w:rsid w:val="003A051E"/>
    <w:rsid w:val="003A066C"/>
    <w:rsid w:val="003A0BBE"/>
    <w:rsid w:val="003A2448"/>
    <w:rsid w:val="003A27CF"/>
    <w:rsid w:val="003A2F5D"/>
    <w:rsid w:val="003A3128"/>
    <w:rsid w:val="003A5AD1"/>
    <w:rsid w:val="003A60FF"/>
    <w:rsid w:val="003A696A"/>
    <w:rsid w:val="003B170F"/>
    <w:rsid w:val="003B3A0D"/>
    <w:rsid w:val="003B3C5F"/>
    <w:rsid w:val="003B7203"/>
    <w:rsid w:val="003C1451"/>
    <w:rsid w:val="003C2017"/>
    <w:rsid w:val="003C4471"/>
    <w:rsid w:val="003C590A"/>
    <w:rsid w:val="003D03BF"/>
    <w:rsid w:val="003D0A6D"/>
    <w:rsid w:val="003D100A"/>
    <w:rsid w:val="003D3045"/>
    <w:rsid w:val="003D3410"/>
    <w:rsid w:val="003D4300"/>
    <w:rsid w:val="003D485F"/>
    <w:rsid w:val="003D4A7A"/>
    <w:rsid w:val="003D67AA"/>
    <w:rsid w:val="003D6AC4"/>
    <w:rsid w:val="003D7535"/>
    <w:rsid w:val="003D7B57"/>
    <w:rsid w:val="003D7DB8"/>
    <w:rsid w:val="003E004D"/>
    <w:rsid w:val="003E064D"/>
    <w:rsid w:val="003E0B16"/>
    <w:rsid w:val="003E10DF"/>
    <w:rsid w:val="003E2D1B"/>
    <w:rsid w:val="003E2E7C"/>
    <w:rsid w:val="003E407D"/>
    <w:rsid w:val="003E67D1"/>
    <w:rsid w:val="003F0B80"/>
    <w:rsid w:val="003F3A00"/>
    <w:rsid w:val="003F3AF3"/>
    <w:rsid w:val="003F4D6C"/>
    <w:rsid w:val="003F500E"/>
    <w:rsid w:val="003F5E3B"/>
    <w:rsid w:val="003F655E"/>
    <w:rsid w:val="003F6DE8"/>
    <w:rsid w:val="003F74D9"/>
    <w:rsid w:val="00400539"/>
    <w:rsid w:val="00400920"/>
    <w:rsid w:val="00403F09"/>
    <w:rsid w:val="00404EF7"/>
    <w:rsid w:val="00405DC1"/>
    <w:rsid w:val="00411A36"/>
    <w:rsid w:val="00411E1B"/>
    <w:rsid w:val="0041273E"/>
    <w:rsid w:val="00414BF9"/>
    <w:rsid w:val="00415DFF"/>
    <w:rsid w:val="00415F1F"/>
    <w:rsid w:val="004174FA"/>
    <w:rsid w:val="0042108F"/>
    <w:rsid w:val="004214D4"/>
    <w:rsid w:val="00421518"/>
    <w:rsid w:val="004216EA"/>
    <w:rsid w:val="004235F4"/>
    <w:rsid w:val="00426969"/>
    <w:rsid w:val="00426B64"/>
    <w:rsid w:val="00430FED"/>
    <w:rsid w:val="0043395D"/>
    <w:rsid w:val="00434A8C"/>
    <w:rsid w:val="00436447"/>
    <w:rsid w:val="00437297"/>
    <w:rsid w:val="0043780C"/>
    <w:rsid w:val="00437ABE"/>
    <w:rsid w:val="00440AC5"/>
    <w:rsid w:val="00440EDD"/>
    <w:rsid w:val="004417C1"/>
    <w:rsid w:val="004438AB"/>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055"/>
    <w:rsid w:val="00481FC8"/>
    <w:rsid w:val="0048258B"/>
    <w:rsid w:val="004827A3"/>
    <w:rsid w:val="00482FE3"/>
    <w:rsid w:val="00484689"/>
    <w:rsid w:val="00486065"/>
    <w:rsid w:val="00486776"/>
    <w:rsid w:val="004868BB"/>
    <w:rsid w:val="004874EA"/>
    <w:rsid w:val="00491084"/>
    <w:rsid w:val="00491675"/>
    <w:rsid w:val="00492F28"/>
    <w:rsid w:val="00493855"/>
    <w:rsid w:val="00497558"/>
    <w:rsid w:val="00497CF9"/>
    <w:rsid w:val="004A27CB"/>
    <w:rsid w:val="004A2B2C"/>
    <w:rsid w:val="004A57DD"/>
    <w:rsid w:val="004A7B51"/>
    <w:rsid w:val="004A7D71"/>
    <w:rsid w:val="004A7EF3"/>
    <w:rsid w:val="004B0EBE"/>
    <w:rsid w:val="004B10C5"/>
    <w:rsid w:val="004B10D9"/>
    <w:rsid w:val="004B11FD"/>
    <w:rsid w:val="004B23A2"/>
    <w:rsid w:val="004B25E4"/>
    <w:rsid w:val="004B428D"/>
    <w:rsid w:val="004B607C"/>
    <w:rsid w:val="004C02FC"/>
    <w:rsid w:val="004C0B53"/>
    <w:rsid w:val="004C1DA6"/>
    <w:rsid w:val="004C1FCA"/>
    <w:rsid w:val="004C5E4F"/>
    <w:rsid w:val="004C60CB"/>
    <w:rsid w:val="004C7030"/>
    <w:rsid w:val="004D1A5A"/>
    <w:rsid w:val="004D1D06"/>
    <w:rsid w:val="004D2FFF"/>
    <w:rsid w:val="004D3721"/>
    <w:rsid w:val="004D64F9"/>
    <w:rsid w:val="004D687E"/>
    <w:rsid w:val="004E19D8"/>
    <w:rsid w:val="004E1D03"/>
    <w:rsid w:val="004E3528"/>
    <w:rsid w:val="004E4224"/>
    <w:rsid w:val="004E550C"/>
    <w:rsid w:val="004E5A14"/>
    <w:rsid w:val="004E622C"/>
    <w:rsid w:val="004E64DB"/>
    <w:rsid w:val="004F1534"/>
    <w:rsid w:val="004F2DD1"/>
    <w:rsid w:val="004F301B"/>
    <w:rsid w:val="004F3375"/>
    <w:rsid w:val="004F3F1F"/>
    <w:rsid w:val="004F55F1"/>
    <w:rsid w:val="004F5FDF"/>
    <w:rsid w:val="0050156C"/>
    <w:rsid w:val="005041DA"/>
    <w:rsid w:val="00504AFA"/>
    <w:rsid w:val="005059A4"/>
    <w:rsid w:val="0050741E"/>
    <w:rsid w:val="005120C3"/>
    <w:rsid w:val="00515756"/>
    <w:rsid w:val="00515F63"/>
    <w:rsid w:val="005177FE"/>
    <w:rsid w:val="0052263B"/>
    <w:rsid w:val="00524728"/>
    <w:rsid w:val="00524840"/>
    <w:rsid w:val="00525459"/>
    <w:rsid w:val="00525C99"/>
    <w:rsid w:val="0052732A"/>
    <w:rsid w:val="00527527"/>
    <w:rsid w:val="00530010"/>
    <w:rsid w:val="00530565"/>
    <w:rsid w:val="005306C9"/>
    <w:rsid w:val="00530CA0"/>
    <w:rsid w:val="00532283"/>
    <w:rsid w:val="005323A7"/>
    <w:rsid w:val="005331CA"/>
    <w:rsid w:val="005337E0"/>
    <w:rsid w:val="00533CF3"/>
    <w:rsid w:val="0053523A"/>
    <w:rsid w:val="00537970"/>
    <w:rsid w:val="00537CF8"/>
    <w:rsid w:val="00540E3A"/>
    <w:rsid w:val="00541CA4"/>
    <w:rsid w:val="00542E08"/>
    <w:rsid w:val="005433D7"/>
    <w:rsid w:val="00543941"/>
    <w:rsid w:val="00544127"/>
    <w:rsid w:val="005457D9"/>
    <w:rsid w:val="005508BB"/>
    <w:rsid w:val="005535E9"/>
    <w:rsid w:val="00553EB2"/>
    <w:rsid w:val="00555C4D"/>
    <w:rsid w:val="00560534"/>
    <w:rsid w:val="00563092"/>
    <w:rsid w:val="0056391B"/>
    <w:rsid w:val="005650E2"/>
    <w:rsid w:val="00566D80"/>
    <w:rsid w:val="00567AD7"/>
    <w:rsid w:val="00570A82"/>
    <w:rsid w:val="005716C3"/>
    <w:rsid w:val="00571CE6"/>
    <w:rsid w:val="005721E7"/>
    <w:rsid w:val="00572B1C"/>
    <w:rsid w:val="00573594"/>
    <w:rsid w:val="00575B2D"/>
    <w:rsid w:val="0057703E"/>
    <w:rsid w:val="005800D0"/>
    <w:rsid w:val="0058293A"/>
    <w:rsid w:val="00582B3E"/>
    <w:rsid w:val="00582C82"/>
    <w:rsid w:val="005833D0"/>
    <w:rsid w:val="005846F3"/>
    <w:rsid w:val="005859D2"/>
    <w:rsid w:val="0058622F"/>
    <w:rsid w:val="005865D6"/>
    <w:rsid w:val="00586968"/>
    <w:rsid w:val="00590880"/>
    <w:rsid w:val="00590FE6"/>
    <w:rsid w:val="00591426"/>
    <w:rsid w:val="00591631"/>
    <w:rsid w:val="00592E7F"/>
    <w:rsid w:val="00592F82"/>
    <w:rsid w:val="005936B3"/>
    <w:rsid w:val="005953ED"/>
    <w:rsid w:val="00595929"/>
    <w:rsid w:val="00595B58"/>
    <w:rsid w:val="005966E3"/>
    <w:rsid w:val="005A0CCA"/>
    <w:rsid w:val="005A2152"/>
    <w:rsid w:val="005A2194"/>
    <w:rsid w:val="005A2628"/>
    <w:rsid w:val="005A383D"/>
    <w:rsid w:val="005A43F4"/>
    <w:rsid w:val="005A5ACB"/>
    <w:rsid w:val="005A726D"/>
    <w:rsid w:val="005B0BB2"/>
    <w:rsid w:val="005B1440"/>
    <w:rsid w:val="005B2AA0"/>
    <w:rsid w:val="005B3C0C"/>
    <w:rsid w:val="005B503A"/>
    <w:rsid w:val="005B63B1"/>
    <w:rsid w:val="005B67AC"/>
    <w:rsid w:val="005C01B0"/>
    <w:rsid w:val="005C1024"/>
    <w:rsid w:val="005C2790"/>
    <w:rsid w:val="005C36E9"/>
    <w:rsid w:val="005C3B3A"/>
    <w:rsid w:val="005C41CF"/>
    <w:rsid w:val="005C4FF2"/>
    <w:rsid w:val="005C6778"/>
    <w:rsid w:val="005C6F2B"/>
    <w:rsid w:val="005D0511"/>
    <w:rsid w:val="005D3437"/>
    <w:rsid w:val="005D3F5F"/>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4CB3"/>
    <w:rsid w:val="005F4DB6"/>
    <w:rsid w:val="005F5449"/>
    <w:rsid w:val="005F6059"/>
    <w:rsid w:val="0060397D"/>
    <w:rsid w:val="00604723"/>
    <w:rsid w:val="00604927"/>
    <w:rsid w:val="00610388"/>
    <w:rsid w:val="00612092"/>
    <w:rsid w:val="006126F7"/>
    <w:rsid w:val="00612CA5"/>
    <w:rsid w:val="00614858"/>
    <w:rsid w:val="006153EC"/>
    <w:rsid w:val="00616E52"/>
    <w:rsid w:val="006208BB"/>
    <w:rsid w:val="00621A17"/>
    <w:rsid w:val="0062260C"/>
    <w:rsid w:val="00627CC9"/>
    <w:rsid w:val="00627E7B"/>
    <w:rsid w:val="00630542"/>
    <w:rsid w:val="00630727"/>
    <w:rsid w:val="006310DA"/>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762"/>
    <w:rsid w:val="00654C2F"/>
    <w:rsid w:val="00655438"/>
    <w:rsid w:val="00657087"/>
    <w:rsid w:val="0065715A"/>
    <w:rsid w:val="006578EC"/>
    <w:rsid w:val="00662FDC"/>
    <w:rsid w:val="006643E7"/>
    <w:rsid w:val="00664511"/>
    <w:rsid w:val="006661EF"/>
    <w:rsid w:val="006746CB"/>
    <w:rsid w:val="00677AEB"/>
    <w:rsid w:val="00680EF2"/>
    <w:rsid w:val="00682663"/>
    <w:rsid w:val="00682A3E"/>
    <w:rsid w:val="006850AE"/>
    <w:rsid w:val="00686C53"/>
    <w:rsid w:val="00687A1D"/>
    <w:rsid w:val="00692852"/>
    <w:rsid w:val="00695A40"/>
    <w:rsid w:val="0069790A"/>
    <w:rsid w:val="00697EA1"/>
    <w:rsid w:val="006A051A"/>
    <w:rsid w:val="006A2646"/>
    <w:rsid w:val="006A44B2"/>
    <w:rsid w:val="006A57DA"/>
    <w:rsid w:val="006A6530"/>
    <w:rsid w:val="006A695F"/>
    <w:rsid w:val="006A6D1D"/>
    <w:rsid w:val="006B127A"/>
    <w:rsid w:val="006B2893"/>
    <w:rsid w:val="006B37B2"/>
    <w:rsid w:val="006B42A6"/>
    <w:rsid w:val="006B435A"/>
    <w:rsid w:val="006B4539"/>
    <w:rsid w:val="006B4C64"/>
    <w:rsid w:val="006B5AE8"/>
    <w:rsid w:val="006B72FC"/>
    <w:rsid w:val="006C5CE2"/>
    <w:rsid w:val="006C6BF7"/>
    <w:rsid w:val="006D0529"/>
    <w:rsid w:val="006D0605"/>
    <w:rsid w:val="006D1468"/>
    <w:rsid w:val="006D176A"/>
    <w:rsid w:val="006D564C"/>
    <w:rsid w:val="006D6BD5"/>
    <w:rsid w:val="006E1CB0"/>
    <w:rsid w:val="006E254C"/>
    <w:rsid w:val="006E2974"/>
    <w:rsid w:val="006E3C7A"/>
    <w:rsid w:val="006E481A"/>
    <w:rsid w:val="006E5298"/>
    <w:rsid w:val="006E6A1F"/>
    <w:rsid w:val="006E6A6A"/>
    <w:rsid w:val="006E77B0"/>
    <w:rsid w:val="006E7EAB"/>
    <w:rsid w:val="006F1485"/>
    <w:rsid w:val="006F18EB"/>
    <w:rsid w:val="006F2E9B"/>
    <w:rsid w:val="006F32F7"/>
    <w:rsid w:val="006F4368"/>
    <w:rsid w:val="006F6B2E"/>
    <w:rsid w:val="006F734A"/>
    <w:rsid w:val="006F77EA"/>
    <w:rsid w:val="00700D83"/>
    <w:rsid w:val="00701137"/>
    <w:rsid w:val="00703DC8"/>
    <w:rsid w:val="00704852"/>
    <w:rsid w:val="00704C24"/>
    <w:rsid w:val="00705A77"/>
    <w:rsid w:val="007064B0"/>
    <w:rsid w:val="00707321"/>
    <w:rsid w:val="007074E9"/>
    <w:rsid w:val="00707954"/>
    <w:rsid w:val="00707BC5"/>
    <w:rsid w:val="00711E66"/>
    <w:rsid w:val="00713CA6"/>
    <w:rsid w:val="00713DA4"/>
    <w:rsid w:val="007142FA"/>
    <w:rsid w:val="00714BF1"/>
    <w:rsid w:val="00715D3A"/>
    <w:rsid w:val="00717B6D"/>
    <w:rsid w:val="00721383"/>
    <w:rsid w:val="007216AD"/>
    <w:rsid w:val="00724BBF"/>
    <w:rsid w:val="00726E9A"/>
    <w:rsid w:val="007271A8"/>
    <w:rsid w:val="00727864"/>
    <w:rsid w:val="007333CC"/>
    <w:rsid w:val="007335D8"/>
    <w:rsid w:val="0073399A"/>
    <w:rsid w:val="00734FD4"/>
    <w:rsid w:val="00735B34"/>
    <w:rsid w:val="007369C7"/>
    <w:rsid w:val="00741BCD"/>
    <w:rsid w:val="00741D74"/>
    <w:rsid w:val="00743531"/>
    <w:rsid w:val="007439A1"/>
    <w:rsid w:val="007452BB"/>
    <w:rsid w:val="00745A5B"/>
    <w:rsid w:val="00746139"/>
    <w:rsid w:val="007462D9"/>
    <w:rsid w:val="00746A22"/>
    <w:rsid w:val="007500EE"/>
    <w:rsid w:val="00751986"/>
    <w:rsid w:val="0075428A"/>
    <w:rsid w:val="00756ABD"/>
    <w:rsid w:val="007576A3"/>
    <w:rsid w:val="007603F5"/>
    <w:rsid w:val="00760A70"/>
    <w:rsid w:val="00760BB2"/>
    <w:rsid w:val="0076181C"/>
    <w:rsid w:val="00764DB0"/>
    <w:rsid w:val="00765135"/>
    <w:rsid w:val="00765AAE"/>
    <w:rsid w:val="00765D82"/>
    <w:rsid w:val="007671EB"/>
    <w:rsid w:val="0076764D"/>
    <w:rsid w:val="0076766F"/>
    <w:rsid w:val="00770DF5"/>
    <w:rsid w:val="0077498C"/>
    <w:rsid w:val="00775CD1"/>
    <w:rsid w:val="00777070"/>
    <w:rsid w:val="007815D1"/>
    <w:rsid w:val="0078289A"/>
    <w:rsid w:val="00782B3F"/>
    <w:rsid w:val="00784128"/>
    <w:rsid w:val="007849D8"/>
    <w:rsid w:val="007855EB"/>
    <w:rsid w:val="0078662F"/>
    <w:rsid w:val="00790B4C"/>
    <w:rsid w:val="0079206E"/>
    <w:rsid w:val="00793173"/>
    <w:rsid w:val="0079402A"/>
    <w:rsid w:val="007958F0"/>
    <w:rsid w:val="00797E1B"/>
    <w:rsid w:val="00797F1D"/>
    <w:rsid w:val="007A12A4"/>
    <w:rsid w:val="007A235F"/>
    <w:rsid w:val="007A5283"/>
    <w:rsid w:val="007A74D3"/>
    <w:rsid w:val="007B1E13"/>
    <w:rsid w:val="007B3B1B"/>
    <w:rsid w:val="007B5180"/>
    <w:rsid w:val="007B5F0B"/>
    <w:rsid w:val="007C0111"/>
    <w:rsid w:val="007C0260"/>
    <w:rsid w:val="007C0663"/>
    <w:rsid w:val="007C1FCC"/>
    <w:rsid w:val="007C2831"/>
    <w:rsid w:val="007C2AA1"/>
    <w:rsid w:val="007C2BE7"/>
    <w:rsid w:val="007C3439"/>
    <w:rsid w:val="007C6201"/>
    <w:rsid w:val="007C65B9"/>
    <w:rsid w:val="007D0348"/>
    <w:rsid w:val="007D03E9"/>
    <w:rsid w:val="007D13C6"/>
    <w:rsid w:val="007D1E28"/>
    <w:rsid w:val="007D47FB"/>
    <w:rsid w:val="007D7C92"/>
    <w:rsid w:val="007D7E30"/>
    <w:rsid w:val="007E1154"/>
    <w:rsid w:val="007E1212"/>
    <w:rsid w:val="007E3AA5"/>
    <w:rsid w:val="007E3ADF"/>
    <w:rsid w:val="007E3EBA"/>
    <w:rsid w:val="007E41A0"/>
    <w:rsid w:val="007E43C3"/>
    <w:rsid w:val="007E530F"/>
    <w:rsid w:val="007E5BC0"/>
    <w:rsid w:val="007E6BA4"/>
    <w:rsid w:val="007F19A2"/>
    <w:rsid w:val="007F21A1"/>
    <w:rsid w:val="007F3E17"/>
    <w:rsid w:val="007F41F8"/>
    <w:rsid w:val="007F4ADD"/>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4A29"/>
    <w:rsid w:val="00827849"/>
    <w:rsid w:val="008279C0"/>
    <w:rsid w:val="00840B9A"/>
    <w:rsid w:val="00841E70"/>
    <w:rsid w:val="00843867"/>
    <w:rsid w:val="00845226"/>
    <w:rsid w:val="008473AA"/>
    <w:rsid w:val="00851A7A"/>
    <w:rsid w:val="00852883"/>
    <w:rsid w:val="00852F37"/>
    <w:rsid w:val="008571F6"/>
    <w:rsid w:val="00857A02"/>
    <w:rsid w:val="00861E51"/>
    <w:rsid w:val="00870B96"/>
    <w:rsid w:val="008723F3"/>
    <w:rsid w:val="00872B7F"/>
    <w:rsid w:val="00873246"/>
    <w:rsid w:val="008741BD"/>
    <w:rsid w:val="00875E2E"/>
    <w:rsid w:val="00880F99"/>
    <w:rsid w:val="00881DA8"/>
    <w:rsid w:val="00881DE6"/>
    <w:rsid w:val="008837A6"/>
    <w:rsid w:val="008841E5"/>
    <w:rsid w:val="00884D7C"/>
    <w:rsid w:val="00885518"/>
    <w:rsid w:val="0089145D"/>
    <w:rsid w:val="00896FD7"/>
    <w:rsid w:val="00897428"/>
    <w:rsid w:val="008A15DA"/>
    <w:rsid w:val="008A2948"/>
    <w:rsid w:val="008A30C3"/>
    <w:rsid w:val="008A30EE"/>
    <w:rsid w:val="008A4446"/>
    <w:rsid w:val="008A4DF2"/>
    <w:rsid w:val="008A5D79"/>
    <w:rsid w:val="008A6841"/>
    <w:rsid w:val="008A6CFE"/>
    <w:rsid w:val="008B1098"/>
    <w:rsid w:val="008B40E7"/>
    <w:rsid w:val="008B4681"/>
    <w:rsid w:val="008B4B58"/>
    <w:rsid w:val="008B5333"/>
    <w:rsid w:val="008B5476"/>
    <w:rsid w:val="008B6223"/>
    <w:rsid w:val="008B7746"/>
    <w:rsid w:val="008B7CB8"/>
    <w:rsid w:val="008C0772"/>
    <w:rsid w:val="008C165D"/>
    <w:rsid w:val="008C30AF"/>
    <w:rsid w:val="008C4066"/>
    <w:rsid w:val="008C5FD3"/>
    <w:rsid w:val="008C66E0"/>
    <w:rsid w:val="008C7BBC"/>
    <w:rsid w:val="008D0122"/>
    <w:rsid w:val="008D3E17"/>
    <w:rsid w:val="008D5D34"/>
    <w:rsid w:val="008D7718"/>
    <w:rsid w:val="008E1E0A"/>
    <w:rsid w:val="008E220E"/>
    <w:rsid w:val="008E3339"/>
    <w:rsid w:val="008E3ADC"/>
    <w:rsid w:val="008E4F14"/>
    <w:rsid w:val="008E50C7"/>
    <w:rsid w:val="008E5941"/>
    <w:rsid w:val="008E629E"/>
    <w:rsid w:val="008E64D3"/>
    <w:rsid w:val="008E6D12"/>
    <w:rsid w:val="008E6F11"/>
    <w:rsid w:val="008F1AC7"/>
    <w:rsid w:val="008F20FC"/>
    <w:rsid w:val="008F3248"/>
    <w:rsid w:val="008F50C4"/>
    <w:rsid w:val="008F5FFE"/>
    <w:rsid w:val="0090037B"/>
    <w:rsid w:val="0090334E"/>
    <w:rsid w:val="00905A43"/>
    <w:rsid w:val="009064FE"/>
    <w:rsid w:val="009078CE"/>
    <w:rsid w:val="009078FC"/>
    <w:rsid w:val="009108EF"/>
    <w:rsid w:val="00910CD3"/>
    <w:rsid w:val="00911C23"/>
    <w:rsid w:val="0091238D"/>
    <w:rsid w:val="00912C79"/>
    <w:rsid w:val="00913FB9"/>
    <w:rsid w:val="00915010"/>
    <w:rsid w:val="0091528C"/>
    <w:rsid w:val="009173D1"/>
    <w:rsid w:val="009177F1"/>
    <w:rsid w:val="0092350E"/>
    <w:rsid w:val="00923CCC"/>
    <w:rsid w:val="00926D10"/>
    <w:rsid w:val="009275FE"/>
    <w:rsid w:val="00932FA0"/>
    <w:rsid w:val="009332B5"/>
    <w:rsid w:val="009350D5"/>
    <w:rsid w:val="009355DB"/>
    <w:rsid w:val="00936BDC"/>
    <w:rsid w:val="00940C1F"/>
    <w:rsid w:val="0094193A"/>
    <w:rsid w:val="00942123"/>
    <w:rsid w:val="0094263A"/>
    <w:rsid w:val="00942D91"/>
    <w:rsid w:val="00943678"/>
    <w:rsid w:val="00943E90"/>
    <w:rsid w:val="009466B4"/>
    <w:rsid w:val="00946EE0"/>
    <w:rsid w:val="0095029B"/>
    <w:rsid w:val="00950BAC"/>
    <w:rsid w:val="0095207B"/>
    <w:rsid w:val="009521C5"/>
    <w:rsid w:val="0095223A"/>
    <w:rsid w:val="009533CB"/>
    <w:rsid w:val="00953B5C"/>
    <w:rsid w:val="0095526F"/>
    <w:rsid w:val="00955CE0"/>
    <w:rsid w:val="009561A0"/>
    <w:rsid w:val="009574FB"/>
    <w:rsid w:val="009609CA"/>
    <w:rsid w:val="00961BC2"/>
    <w:rsid w:val="00962045"/>
    <w:rsid w:val="009661DE"/>
    <w:rsid w:val="00966E44"/>
    <w:rsid w:val="00966EAE"/>
    <w:rsid w:val="009678C2"/>
    <w:rsid w:val="009703BD"/>
    <w:rsid w:val="009708BB"/>
    <w:rsid w:val="00971580"/>
    <w:rsid w:val="009727DF"/>
    <w:rsid w:val="009729E8"/>
    <w:rsid w:val="00975009"/>
    <w:rsid w:val="00975640"/>
    <w:rsid w:val="00975B29"/>
    <w:rsid w:val="00975BFD"/>
    <w:rsid w:val="00976DA5"/>
    <w:rsid w:val="009773BA"/>
    <w:rsid w:val="00980811"/>
    <w:rsid w:val="00980DF0"/>
    <w:rsid w:val="00981608"/>
    <w:rsid w:val="00981ABC"/>
    <w:rsid w:val="00984476"/>
    <w:rsid w:val="00984680"/>
    <w:rsid w:val="00986D4B"/>
    <w:rsid w:val="0098739C"/>
    <w:rsid w:val="00990F04"/>
    <w:rsid w:val="00991272"/>
    <w:rsid w:val="00991428"/>
    <w:rsid w:val="00992676"/>
    <w:rsid w:val="00997553"/>
    <w:rsid w:val="00997A85"/>
    <w:rsid w:val="009A0501"/>
    <w:rsid w:val="009A2BCA"/>
    <w:rsid w:val="009A4050"/>
    <w:rsid w:val="009A5354"/>
    <w:rsid w:val="009A6A10"/>
    <w:rsid w:val="009A7172"/>
    <w:rsid w:val="009B04B6"/>
    <w:rsid w:val="009B0723"/>
    <w:rsid w:val="009B07AD"/>
    <w:rsid w:val="009B0883"/>
    <w:rsid w:val="009B15E2"/>
    <w:rsid w:val="009B6EE8"/>
    <w:rsid w:val="009C0B8E"/>
    <w:rsid w:val="009C13AF"/>
    <w:rsid w:val="009C1527"/>
    <w:rsid w:val="009C1BC8"/>
    <w:rsid w:val="009C2442"/>
    <w:rsid w:val="009C2628"/>
    <w:rsid w:val="009C26AB"/>
    <w:rsid w:val="009C27B1"/>
    <w:rsid w:val="009C5201"/>
    <w:rsid w:val="009C67E3"/>
    <w:rsid w:val="009C687D"/>
    <w:rsid w:val="009C763F"/>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513C"/>
    <w:rsid w:val="00A02198"/>
    <w:rsid w:val="00A047EE"/>
    <w:rsid w:val="00A057CA"/>
    <w:rsid w:val="00A075F8"/>
    <w:rsid w:val="00A136AF"/>
    <w:rsid w:val="00A13F86"/>
    <w:rsid w:val="00A13F8F"/>
    <w:rsid w:val="00A149B7"/>
    <w:rsid w:val="00A14F9B"/>
    <w:rsid w:val="00A16247"/>
    <w:rsid w:val="00A177BC"/>
    <w:rsid w:val="00A17930"/>
    <w:rsid w:val="00A2274A"/>
    <w:rsid w:val="00A235B7"/>
    <w:rsid w:val="00A249AC"/>
    <w:rsid w:val="00A27A7A"/>
    <w:rsid w:val="00A301D1"/>
    <w:rsid w:val="00A30F9C"/>
    <w:rsid w:val="00A31881"/>
    <w:rsid w:val="00A34B1E"/>
    <w:rsid w:val="00A350CF"/>
    <w:rsid w:val="00A37366"/>
    <w:rsid w:val="00A40529"/>
    <w:rsid w:val="00A407EF"/>
    <w:rsid w:val="00A411B7"/>
    <w:rsid w:val="00A42023"/>
    <w:rsid w:val="00A42E48"/>
    <w:rsid w:val="00A45800"/>
    <w:rsid w:val="00A46B4C"/>
    <w:rsid w:val="00A5117B"/>
    <w:rsid w:val="00A5363C"/>
    <w:rsid w:val="00A54433"/>
    <w:rsid w:val="00A54A3E"/>
    <w:rsid w:val="00A560B6"/>
    <w:rsid w:val="00A566E3"/>
    <w:rsid w:val="00A56CF7"/>
    <w:rsid w:val="00A56DBC"/>
    <w:rsid w:val="00A60074"/>
    <w:rsid w:val="00A641E0"/>
    <w:rsid w:val="00A646E2"/>
    <w:rsid w:val="00A651A9"/>
    <w:rsid w:val="00A659B2"/>
    <w:rsid w:val="00A6627C"/>
    <w:rsid w:val="00A67683"/>
    <w:rsid w:val="00A7095C"/>
    <w:rsid w:val="00A71019"/>
    <w:rsid w:val="00A73460"/>
    <w:rsid w:val="00A73B60"/>
    <w:rsid w:val="00A80DAA"/>
    <w:rsid w:val="00A81029"/>
    <w:rsid w:val="00A82AFB"/>
    <w:rsid w:val="00A8485D"/>
    <w:rsid w:val="00A855A3"/>
    <w:rsid w:val="00A85A91"/>
    <w:rsid w:val="00A86584"/>
    <w:rsid w:val="00A86B29"/>
    <w:rsid w:val="00A86CEC"/>
    <w:rsid w:val="00A87BFA"/>
    <w:rsid w:val="00A90BDB"/>
    <w:rsid w:val="00A94281"/>
    <w:rsid w:val="00A94F10"/>
    <w:rsid w:val="00A96062"/>
    <w:rsid w:val="00A96489"/>
    <w:rsid w:val="00A96BB0"/>
    <w:rsid w:val="00A97D88"/>
    <w:rsid w:val="00AA0E39"/>
    <w:rsid w:val="00AA1F76"/>
    <w:rsid w:val="00AA23CE"/>
    <w:rsid w:val="00AA2CBD"/>
    <w:rsid w:val="00AA5A58"/>
    <w:rsid w:val="00AA670C"/>
    <w:rsid w:val="00AB0119"/>
    <w:rsid w:val="00AB155F"/>
    <w:rsid w:val="00AB1B60"/>
    <w:rsid w:val="00AB4257"/>
    <w:rsid w:val="00AB42B6"/>
    <w:rsid w:val="00AB5A37"/>
    <w:rsid w:val="00AB61D6"/>
    <w:rsid w:val="00AB6398"/>
    <w:rsid w:val="00AB685C"/>
    <w:rsid w:val="00AB6C2D"/>
    <w:rsid w:val="00AB7C4F"/>
    <w:rsid w:val="00AC08F7"/>
    <w:rsid w:val="00AC126D"/>
    <w:rsid w:val="00AC3075"/>
    <w:rsid w:val="00AC36E5"/>
    <w:rsid w:val="00AC3839"/>
    <w:rsid w:val="00AC54BE"/>
    <w:rsid w:val="00AC7082"/>
    <w:rsid w:val="00AD0662"/>
    <w:rsid w:val="00AD1B6B"/>
    <w:rsid w:val="00AD331C"/>
    <w:rsid w:val="00AD4E0E"/>
    <w:rsid w:val="00AD57A5"/>
    <w:rsid w:val="00AD5ADB"/>
    <w:rsid w:val="00AD65A8"/>
    <w:rsid w:val="00AD74AD"/>
    <w:rsid w:val="00AD76EF"/>
    <w:rsid w:val="00AD7982"/>
    <w:rsid w:val="00AD7A9A"/>
    <w:rsid w:val="00AE027F"/>
    <w:rsid w:val="00AE3334"/>
    <w:rsid w:val="00AE4D6F"/>
    <w:rsid w:val="00AE75AB"/>
    <w:rsid w:val="00AF228E"/>
    <w:rsid w:val="00AF2C2E"/>
    <w:rsid w:val="00AF455B"/>
    <w:rsid w:val="00AF5899"/>
    <w:rsid w:val="00AF60CA"/>
    <w:rsid w:val="00B0123F"/>
    <w:rsid w:val="00B04004"/>
    <w:rsid w:val="00B12F13"/>
    <w:rsid w:val="00B14819"/>
    <w:rsid w:val="00B17AA9"/>
    <w:rsid w:val="00B20235"/>
    <w:rsid w:val="00B221FF"/>
    <w:rsid w:val="00B2292D"/>
    <w:rsid w:val="00B246B1"/>
    <w:rsid w:val="00B26B31"/>
    <w:rsid w:val="00B30A70"/>
    <w:rsid w:val="00B32062"/>
    <w:rsid w:val="00B32674"/>
    <w:rsid w:val="00B333FE"/>
    <w:rsid w:val="00B3503B"/>
    <w:rsid w:val="00B366EC"/>
    <w:rsid w:val="00B378FA"/>
    <w:rsid w:val="00B37C8A"/>
    <w:rsid w:val="00B42352"/>
    <w:rsid w:val="00B424D6"/>
    <w:rsid w:val="00B47469"/>
    <w:rsid w:val="00B51227"/>
    <w:rsid w:val="00B51975"/>
    <w:rsid w:val="00B52E4D"/>
    <w:rsid w:val="00B54F90"/>
    <w:rsid w:val="00B55C9E"/>
    <w:rsid w:val="00B56A43"/>
    <w:rsid w:val="00B56B95"/>
    <w:rsid w:val="00B5761D"/>
    <w:rsid w:val="00B607DF"/>
    <w:rsid w:val="00B6409C"/>
    <w:rsid w:val="00B64845"/>
    <w:rsid w:val="00B64A85"/>
    <w:rsid w:val="00B66053"/>
    <w:rsid w:val="00B7193E"/>
    <w:rsid w:val="00B72999"/>
    <w:rsid w:val="00B72FD7"/>
    <w:rsid w:val="00B7353B"/>
    <w:rsid w:val="00B736DF"/>
    <w:rsid w:val="00B74FBD"/>
    <w:rsid w:val="00B82586"/>
    <w:rsid w:val="00B829A3"/>
    <w:rsid w:val="00B84999"/>
    <w:rsid w:val="00B84CE9"/>
    <w:rsid w:val="00B860D0"/>
    <w:rsid w:val="00B86537"/>
    <w:rsid w:val="00B86DB1"/>
    <w:rsid w:val="00B87192"/>
    <w:rsid w:val="00B87869"/>
    <w:rsid w:val="00B87A61"/>
    <w:rsid w:val="00B912C6"/>
    <w:rsid w:val="00B92D5B"/>
    <w:rsid w:val="00B9417E"/>
    <w:rsid w:val="00B948AE"/>
    <w:rsid w:val="00B94934"/>
    <w:rsid w:val="00BA1648"/>
    <w:rsid w:val="00BA2637"/>
    <w:rsid w:val="00BA2919"/>
    <w:rsid w:val="00BA35FF"/>
    <w:rsid w:val="00BA451D"/>
    <w:rsid w:val="00BA7892"/>
    <w:rsid w:val="00BB09FD"/>
    <w:rsid w:val="00BB0F2B"/>
    <w:rsid w:val="00BB5A37"/>
    <w:rsid w:val="00BB6955"/>
    <w:rsid w:val="00BB6F7A"/>
    <w:rsid w:val="00BC04A4"/>
    <w:rsid w:val="00BC1043"/>
    <w:rsid w:val="00BC3FD8"/>
    <w:rsid w:val="00BC48EB"/>
    <w:rsid w:val="00BC4A7D"/>
    <w:rsid w:val="00BC585F"/>
    <w:rsid w:val="00BC5898"/>
    <w:rsid w:val="00BC5D7D"/>
    <w:rsid w:val="00BC6708"/>
    <w:rsid w:val="00BC6BCE"/>
    <w:rsid w:val="00BC7F2E"/>
    <w:rsid w:val="00BD0299"/>
    <w:rsid w:val="00BD0F7F"/>
    <w:rsid w:val="00BD23B4"/>
    <w:rsid w:val="00BD288F"/>
    <w:rsid w:val="00BD2B73"/>
    <w:rsid w:val="00BD3363"/>
    <w:rsid w:val="00BD3F18"/>
    <w:rsid w:val="00BD64FB"/>
    <w:rsid w:val="00BD71D7"/>
    <w:rsid w:val="00BD7D49"/>
    <w:rsid w:val="00BE0E34"/>
    <w:rsid w:val="00BE2464"/>
    <w:rsid w:val="00BE7006"/>
    <w:rsid w:val="00BF08F5"/>
    <w:rsid w:val="00BF19D0"/>
    <w:rsid w:val="00BF2B49"/>
    <w:rsid w:val="00BF2E7A"/>
    <w:rsid w:val="00BF3469"/>
    <w:rsid w:val="00BF3D02"/>
    <w:rsid w:val="00BF40B9"/>
    <w:rsid w:val="00BF50F7"/>
    <w:rsid w:val="00BF5D90"/>
    <w:rsid w:val="00BF5D95"/>
    <w:rsid w:val="00C00231"/>
    <w:rsid w:val="00C01017"/>
    <w:rsid w:val="00C02F29"/>
    <w:rsid w:val="00C04632"/>
    <w:rsid w:val="00C05206"/>
    <w:rsid w:val="00C0650A"/>
    <w:rsid w:val="00C07B0B"/>
    <w:rsid w:val="00C15A16"/>
    <w:rsid w:val="00C16873"/>
    <w:rsid w:val="00C1724E"/>
    <w:rsid w:val="00C20337"/>
    <w:rsid w:val="00C20AFE"/>
    <w:rsid w:val="00C20CC2"/>
    <w:rsid w:val="00C227BF"/>
    <w:rsid w:val="00C22A25"/>
    <w:rsid w:val="00C23294"/>
    <w:rsid w:val="00C2345D"/>
    <w:rsid w:val="00C2574B"/>
    <w:rsid w:val="00C26E4B"/>
    <w:rsid w:val="00C27752"/>
    <w:rsid w:val="00C27CF8"/>
    <w:rsid w:val="00C31102"/>
    <w:rsid w:val="00C31C63"/>
    <w:rsid w:val="00C32982"/>
    <w:rsid w:val="00C33C84"/>
    <w:rsid w:val="00C3453F"/>
    <w:rsid w:val="00C34A50"/>
    <w:rsid w:val="00C35026"/>
    <w:rsid w:val="00C35671"/>
    <w:rsid w:val="00C35B77"/>
    <w:rsid w:val="00C376EB"/>
    <w:rsid w:val="00C4187E"/>
    <w:rsid w:val="00C42E6F"/>
    <w:rsid w:val="00C444EC"/>
    <w:rsid w:val="00C44FFC"/>
    <w:rsid w:val="00C45A03"/>
    <w:rsid w:val="00C46EC1"/>
    <w:rsid w:val="00C50F86"/>
    <w:rsid w:val="00C526A3"/>
    <w:rsid w:val="00C53E2C"/>
    <w:rsid w:val="00C541BA"/>
    <w:rsid w:val="00C54470"/>
    <w:rsid w:val="00C550C8"/>
    <w:rsid w:val="00C56136"/>
    <w:rsid w:val="00C56B61"/>
    <w:rsid w:val="00C56D56"/>
    <w:rsid w:val="00C570AC"/>
    <w:rsid w:val="00C5730D"/>
    <w:rsid w:val="00C60631"/>
    <w:rsid w:val="00C606C3"/>
    <w:rsid w:val="00C620F4"/>
    <w:rsid w:val="00C629CB"/>
    <w:rsid w:val="00C64EC8"/>
    <w:rsid w:val="00C673EB"/>
    <w:rsid w:val="00C67588"/>
    <w:rsid w:val="00C67729"/>
    <w:rsid w:val="00C7195D"/>
    <w:rsid w:val="00C71F4F"/>
    <w:rsid w:val="00C72848"/>
    <w:rsid w:val="00C73386"/>
    <w:rsid w:val="00C750BA"/>
    <w:rsid w:val="00C7736C"/>
    <w:rsid w:val="00C80272"/>
    <w:rsid w:val="00C82D87"/>
    <w:rsid w:val="00C8712A"/>
    <w:rsid w:val="00C87DC7"/>
    <w:rsid w:val="00C92A0D"/>
    <w:rsid w:val="00C952A2"/>
    <w:rsid w:val="00C963D3"/>
    <w:rsid w:val="00CA07F4"/>
    <w:rsid w:val="00CA0B50"/>
    <w:rsid w:val="00CA1802"/>
    <w:rsid w:val="00CA4002"/>
    <w:rsid w:val="00CA56B5"/>
    <w:rsid w:val="00CA6E99"/>
    <w:rsid w:val="00CB1DE9"/>
    <w:rsid w:val="00CB262C"/>
    <w:rsid w:val="00CB28DA"/>
    <w:rsid w:val="00CB2BA2"/>
    <w:rsid w:val="00CB2CBB"/>
    <w:rsid w:val="00CB3763"/>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37B"/>
    <w:rsid w:val="00CF2819"/>
    <w:rsid w:val="00CF497E"/>
    <w:rsid w:val="00CF4AA3"/>
    <w:rsid w:val="00CF4F9D"/>
    <w:rsid w:val="00CF5AD8"/>
    <w:rsid w:val="00CF70DC"/>
    <w:rsid w:val="00CF717B"/>
    <w:rsid w:val="00D068C5"/>
    <w:rsid w:val="00D07F87"/>
    <w:rsid w:val="00D1188B"/>
    <w:rsid w:val="00D148DC"/>
    <w:rsid w:val="00D15A39"/>
    <w:rsid w:val="00D1688E"/>
    <w:rsid w:val="00D17FDC"/>
    <w:rsid w:val="00D223E4"/>
    <w:rsid w:val="00D24D8C"/>
    <w:rsid w:val="00D2550E"/>
    <w:rsid w:val="00D256C6"/>
    <w:rsid w:val="00D25F51"/>
    <w:rsid w:val="00D27BC8"/>
    <w:rsid w:val="00D33E53"/>
    <w:rsid w:val="00D35229"/>
    <w:rsid w:val="00D35ADE"/>
    <w:rsid w:val="00D35EAE"/>
    <w:rsid w:val="00D41802"/>
    <w:rsid w:val="00D4685B"/>
    <w:rsid w:val="00D5192B"/>
    <w:rsid w:val="00D57C59"/>
    <w:rsid w:val="00D60215"/>
    <w:rsid w:val="00D60874"/>
    <w:rsid w:val="00D63EFD"/>
    <w:rsid w:val="00D6588F"/>
    <w:rsid w:val="00D676F1"/>
    <w:rsid w:val="00D714E4"/>
    <w:rsid w:val="00D761ED"/>
    <w:rsid w:val="00D7761D"/>
    <w:rsid w:val="00D829EB"/>
    <w:rsid w:val="00D84752"/>
    <w:rsid w:val="00D86851"/>
    <w:rsid w:val="00D86A74"/>
    <w:rsid w:val="00D86B3B"/>
    <w:rsid w:val="00D8748A"/>
    <w:rsid w:val="00D905E4"/>
    <w:rsid w:val="00D910D5"/>
    <w:rsid w:val="00D93196"/>
    <w:rsid w:val="00D931A2"/>
    <w:rsid w:val="00DA42DA"/>
    <w:rsid w:val="00DA42EF"/>
    <w:rsid w:val="00DA5849"/>
    <w:rsid w:val="00DA7ABD"/>
    <w:rsid w:val="00DB1240"/>
    <w:rsid w:val="00DB1A35"/>
    <w:rsid w:val="00DB243C"/>
    <w:rsid w:val="00DB482A"/>
    <w:rsid w:val="00DB56F2"/>
    <w:rsid w:val="00DB5A5A"/>
    <w:rsid w:val="00DB5D9B"/>
    <w:rsid w:val="00DB6D01"/>
    <w:rsid w:val="00DB6EF5"/>
    <w:rsid w:val="00DC2A3F"/>
    <w:rsid w:val="00DC2BEC"/>
    <w:rsid w:val="00DC2FDB"/>
    <w:rsid w:val="00DC3089"/>
    <w:rsid w:val="00DC38CC"/>
    <w:rsid w:val="00DC4420"/>
    <w:rsid w:val="00DC6681"/>
    <w:rsid w:val="00DC6A83"/>
    <w:rsid w:val="00DD01DA"/>
    <w:rsid w:val="00DD0802"/>
    <w:rsid w:val="00DD0B2C"/>
    <w:rsid w:val="00DD19C6"/>
    <w:rsid w:val="00DD2E11"/>
    <w:rsid w:val="00DD4E68"/>
    <w:rsid w:val="00DD526C"/>
    <w:rsid w:val="00DD59B5"/>
    <w:rsid w:val="00DD6923"/>
    <w:rsid w:val="00DD77AF"/>
    <w:rsid w:val="00DD7AD7"/>
    <w:rsid w:val="00DE03AF"/>
    <w:rsid w:val="00DE097E"/>
    <w:rsid w:val="00DE121C"/>
    <w:rsid w:val="00DE3097"/>
    <w:rsid w:val="00DE475E"/>
    <w:rsid w:val="00DE6633"/>
    <w:rsid w:val="00DF056D"/>
    <w:rsid w:val="00DF0C6F"/>
    <w:rsid w:val="00DF4D51"/>
    <w:rsid w:val="00DF4EE3"/>
    <w:rsid w:val="00DF687B"/>
    <w:rsid w:val="00DF75F8"/>
    <w:rsid w:val="00DF7A3A"/>
    <w:rsid w:val="00DF7AD4"/>
    <w:rsid w:val="00E009E1"/>
    <w:rsid w:val="00E00C00"/>
    <w:rsid w:val="00E00E54"/>
    <w:rsid w:val="00E01C69"/>
    <w:rsid w:val="00E0310C"/>
    <w:rsid w:val="00E041F9"/>
    <w:rsid w:val="00E05837"/>
    <w:rsid w:val="00E074C5"/>
    <w:rsid w:val="00E07C5A"/>
    <w:rsid w:val="00E10A73"/>
    <w:rsid w:val="00E11922"/>
    <w:rsid w:val="00E11C08"/>
    <w:rsid w:val="00E12C13"/>
    <w:rsid w:val="00E15BA9"/>
    <w:rsid w:val="00E161D2"/>
    <w:rsid w:val="00E177E2"/>
    <w:rsid w:val="00E17BF1"/>
    <w:rsid w:val="00E22DE4"/>
    <w:rsid w:val="00E22F84"/>
    <w:rsid w:val="00E24845"/>
    <w:rsid w:val="00E25FB8"/>
    <w:rsid w:val="00E26E19"/>
    <w:rsid w:val="00E31DF3"/>
    <w:rsid w:val="00E36845"/>
    <w:rsid w:val="00E37049"/>
    <w:rsid w:val="00E4126D"/>
    <w:rsid w:val="00E41DAE"/>
    <w:rsid w:val="00E42770"/>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4278"/>
    <w:rsid w:val="00E7537E"/>
    <w:rsid w:val="00E7793C"/>
    <w:rsid w:val="00E77C3D"/>
    <w:rsid w:val="00E80299"/>
    <w:rsid w:val="00E8124B"/>
    <w:rsid w:val="00E8272F"/>
    <w:rsid w:val="00E83BA3"/>
    <w:rsid w:val="00E84DA5"/>
    <w:rsid w:val="00E84DD5"/>
    <w:rsid w:val="00E86549"/>
    <w:rsid w:val="00E86D64"/>
    <w:rsid w:val="00E87A58"/>
    <w:rsid w:val="00E909F0"/>
    <w:rsid w:val="00E90B4B"/>
    <w:rsid w:val="00E90D47"/>
    <w:rsid w:val="00E91BE6"/>
    <w:rsid w:val="00E92429"/>
    <w:rsid w:val="00E92DA7"/>
    <w:rsid w:val="00E93993"/>
    <w:rsid w:val="00E950C0"/>
    <w:rsid w:val="00E9597C"/>
    <w:rsid w:val="00E9760B"/>
    <w:rsid w:val="00EA0879"/>
    <w:rsid w:val="00EA0913"/>
    <w:rsid w:val="00EA0F45"/>
    <w:rsid w:val="00EA4D77"/>
    <w:rsid w:val="00EA5317"/>
    <w:rsid w:val="00EA6550"/>
    <w:rsid w:val="00EA693C"/>
    <w:rsid w:val="00EA7BAB"/>
    <w:rsid w:val="00EB02BE"/>
    <w:rsid w:val="00EB0816"/>
    <w:rsid w:val="00EB146B"/>
    <w:rsid w:val="00EB21D4"/>
    <w:rsid w:val="00EB2845"/>
    <w:rsid w:val="00EB45AC"/>
    <w:rsid w:val="00EB488B"/>
    <w:rsid w:val="00EB4FB1"/>
    <w:rsid w:val="00EB6668"/>
    <w:rsid w:val="00EB6736"/>
    <w:rsid w:val="00EB6A2F"/>
    <w:rsid w:val="00EC01B6"/>
    <w:rsid w:val="00EC3875"/>
    <w:rsid w:val="00EC549E"/>
    <w:rsid w:val="00EC6E55"/>
    <w:rsid w:val="00ED0BC4"/>
    <w:rsid w:val="00ED151E"/>
    <w:rsid w:val="00ED3CDA"/>
    <w:rsid w:val="00ED55E5"/>
    <w:rsid w:val="00ED617A"/>
    <w:rsid w:val="00EE1A0E"/>
    <w:rsid w:val="00EE2618"/>
    <w:rsid w:val="00EE371C"/>
    <w:rsid w:val="00EE4971"/>
    <w:rsid w:val="00EE5A48"/>
    <w:rsid w:val="00EE5F7D"/>
    <w:rsid w:val="00EE6390"/>
    <w:rsid w:val="00EE7278"/>
    <w:rsid w:val="00EF090E"/>
    <w:rsid w:val="00EF16B6"/>
    <w:rsid w:val="00EF1B1A"/>
    <w:rsid w:val="00EF2D08"/>
    <w:rsid w:val="00EF5705"/>
    <w:rsid w:val="00EF6653"/>
    <w:rsid w:val="00EF76B9"/>
    <w:rsid w:val="00F033DA"/>
    <w:rsid w:val="00F0424E"/>
    <w:rsid w:val="00F06C48"/>
    <w:rsid w:val="00F106CE"/>
    <w:rsid w:val="00F1096A"/>
    <w:rsid w:val="00F1154A"/>
    <w:rsid w:val="00F12AA4"/>
    <w:rsid w:val="00F12F7B"/>
    <w:rsid w:val="00F13FB1"/>
    <w:rsid w:val="00F140CE"/>
    <w:rsid w:val="00F15181"/>
    <w:rsid w:val="00F1640B"/>
    <w:rsid w:val="00F17BB2"/>
    <w:rsid w:val="00F2025D"/>
    <w:rsid w:val="00F20842"/>
    <w:rsid w:val="00F27CD8"/>
    <w:rsid w:val="00F30351"/>
    <w:rsid w:val="00F30A4C"/>
    <w:rsid w:val="00F3144D"/>
    <w:rsid w:val="00F315AF"/>
    <w:rsid w:val="00F32F84"/>
    <w:rsid w:val="00F32F90"/>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254"/>
    <w:rsid w:val="00F54776"/>
    <w:rsid w:val="00F5524B"/>
    <w:rsid w:val="00F5710B"/>
    <w:rsid w:val="00F61DD2"/>
    <w:rsid w:val="00F62000"/>
    <w:rsid w:val="00F63720"/>
    <w:rsid w:val="00F65DF8"/>
    <w:rsid w:val="00F65FB6"/>
    <w:rsid w:val="00F66AFF"/>
    <w:rsid w:val="00F71433"/>
    <w:rsid w:val="00F71CE8"/>
    <w:rsid w:val="00F738B0"/>
    <w:rsid w:val="00F801C5"/>
    <w:rsid w:val="00F83231"/>
    <w:rsid w:val="00F83795"/>
    <w:rsid w:val="00F855A2"/>
    <w:rsid w:val="00F85A51"/>
    <w:rsid w:val="00F85C0B"/>
    <w:rsid w:val="00F85DB2"/>
    <w:rsid w:val="00F903E6"/>
    <w:rsid w:val="00F91FA7"/>
    <w:rsid w:val="00F95955"/>
    <w:rsid w:val="00F96AF1"/>
    <w:rsid w:val="00F97C5B"/>
    <w:rsid w:val="00FA29FD"/>
    <w:rsid w:val="00FA2A46"/>
    <w:rsid w:val="00FA3739"/>
    <w:rsid w:val="00FA3D50"/>
    <w:rsid w:val="00FA43E7"/>
    <w:rsid w:val="00FA6635"/>
    <w:rsid w:val="00FA6F53"/>
    <w:rsid w:val="00FB2C81"/>
    <w:rsid w:val="00FB6703"/>
    <w:rsid w:val="00FB7C8F"/>
    <w:rsid w:val="00FB7D52"/>
    <w:rsid w:val="00FB7D6D"/>
    <w:rsid w:val="00FC0E2C"/>
    <w:rsid w:val="00FC2741"/>
    <w:rsid w:val="00FC30E1"/>
    <w:rsid w:val="00FC337F"/>
    <w:rsid w:val="00FC374A"/>
    <w:rsid w:val="00FC4C86"/>
    <w:rsid w:val="00FC4F43"/>
    <w:rsid w:val="00FC5D26"/>
    <w:rsid w:val="00FC7B47"/>
    <w:rsid w:val="00FD0169"/>
    <w:rsid w:val="00FD035C"/>
    <w:rsid w:val="00FD1240"/>
    <w:rsid w:val="00FD1A35"/>
    <w:rsid w:val="00FD2A22"/>
    <w:rsid w:val="00FD36C5"/>
    <w:rsid w:val="00FD5B6F"/>
    <w:rsid w:val="00FD6126"/>
    <w:rsid w:val="00FD6310"/>
    <w:rsid w:val="00FD719B"/>
    <w:rsid w:val="00FD7C7B"/>
    <w:rsid w:val="00FE0371"/>
    <w:rsid w:val="00FE0B6A"/>
    <w:rsid w:val="00FE1B28"/>
    <w:rsid w:val="00FE1D12"/>
    <w:rsid w:val="00FE2122"/>
    <w:rsid w:val="00FE2A86"/>
    <w:rsid w:val="00FE4245"/>
    <w:rsid w:val="00FE5706"/>
    <w:rsid w:val="00FE6330"/>
    <w:rsid w:val="00FF0707"/>
    <w:rsid w:val="00FF0BFE"/>
    <w:rsid w:val="00FF0D81"/>
    <w:rsid w:val="00FF22DC"/>
    <w:rsid w:val="00FF296F"/>
    <w:rsid w:val="00FF332F"/>
    <w:rsid w:val="00FF3529"/>
    <w:rsid w:val="00FF374B"/>
    <w:rsid w:val="00FF52D8"/>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9F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citral.org/pdf/english/texts/general/Register%20Texts%20Vol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uncitral.un.org/en/texts/insolvency/legislativeguides/insolvency_law" TargetMode="External"/><Relationship Id="rId1" Type="http://schemas.openxmlformats.org/officeDocument/2006/relationships/hyperlink" Target="https://www.studocu.com/en-za/document/university-of-johannesburg/law-of-insolvency/roestoff-the-pro-creditor-approach-in-south-african-insolvency-law-and-the-possible/24677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Nicola</cp:lastModifiedBy>
  <cp:revision>205</cp:revision>
  <cp:lastPrinted>2020-06-12T02:43:00Z</cp:lastPrinted>
  <dcterms:created xsi:type="dcterms:W3CDTF">2023-11-12T14:13:00Z</dcterms:created>
  <dcterms:modified xsi:type="dcterms:W3CDTF">2023-11-15T15:17:00Z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