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0F113C">
        <w:rPr>
          <w:rFonts w:ascii="Avenir Next" w:hAnsi="Avenir Next" w:cs="Arial"/>
          <w:sz w:val="22"/>
          <w:szCs w:val="22"/>
          <w:highlight w:val="yellow"/>
        </w:rPr>
        <w:t xml:space="preserve">This statement is untrue since the word </w:t>
      </w:r>
      <w:r w:rsidR="00823AB4" w:rsidRPr="000F113C">
        <w:rPr>
          <w:rFonts w:ascii="Avenir Next" w:hAnsi="Avenir Next" w:cs="Arial"/>
          <w:sz w:val="22"/>
          <w:szCs w:val="22"/>
          <w:highlight w:val="yellow"/>
        </w:rPr>
        <w:t>“</w:t>
      </w:r>
      <w:r w:rsidRPr="000F113C">
        <w:rPr>
          <w:rFonts w:ascii="Avenir Next" w:hAnsi="Avenir Next" w:cs="Arial"/>
          <w:sz w:val="22"/>
          <w:szCs w:val="22"/>
          <w:highlight w:val="yellow"/>
        </w:rPr>
        <w:t>bankruptcy</w:t>
      </w:r>
      <w:r w:rsidR="00823AB4" w:rsidRPr="000F113C">
        <w:rPr>
          <w:rFonts w:ascii="Avenir Next" w:hAnsi="Avenir Next" w:cs="Arial"/>
          <w:sz w:val="22"/>
          <w:szCs w:val="22"/>
          <w:highlight w:val="yellow"/>
        </w:rPr>
        <w:t>”</w:t>
      </w:r>
      <w:r w:rsidRPr="000F113C">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C51A21" w:rsidRDefault="001211E6" w:rsidP="001211E6">
      <w:pPr>
        <w:pStyle w:val="ListParagraph"/>
        <w:numPr>
          <w:ilvl w:val="0"/>
          <w:numId w:val="16"/>
        </w:numPr>
        <w:ind w:left="426"/>
        <w:jc w:val="both"/>
        <w:rPr>
          <w:rFonts w:ascii="Avenir Next" w:hAnsi="Avenir Next" w:cs="Arial"/>
          <w:sz w:val="22"/>
          <w:szCs w:val="22"/>
          <w:highlight w:val="yellow"/>
        </w:rPr>
      </w:pPr>
      <w:r w:rsidRPr="00C51A21">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C95FE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939DB">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593CA5">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790F67">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r>
        <w:rPr>
          <w:rFonts w:ascii="Avenir Next" w:eastAsiaTheme="minorHAnsi" w:hAnsi="Avenir Next" w:cs="Arial"/>
          <w:sz w:val="22"/>
          <w:szCs w:val="22"/>
          <w:lang w:val="en-GB"/>
        </w:rPr>
        <w:t>.</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ListParagraph"/>
        <w:numPr>
          <w:ilvl w:val="0"/>
          <w:numId w:val="17"/>
        </w:numPr>
        <w:ind w:left="426"/>
        <w:jc w:val="both"/>
        <w:rPr>
          <w:rFonts w:ascii="Avenir Next" w:hAnsi="Avenir Next" w:cs="Arial"/>
          <w:sz w:val="22"/>
          <w:szCs w:val="22"/>
        </w:rPr>
      </w:pPr>
      <w:r w:rsidRPr="002711E9">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42D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F82B82">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r w:rsidRPr="00DA42DA">
        <w:rPr>
          <w:rFonts w:ascii="Avenir Next" w:eastAsiaTheme="minorHAnsi" w:hAnsi="Avenir Next" w:cs="Arial"/>
          <w:sz w:val="22"/>
          <w:szCs w:val="22"/>
          <w:lang w:val="en-GB"/>
        </w:rPr>
        <w:t>.</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81743E">
        <w:rPr>
          <w:rFonts w:ascii="Avenir Next" w:hAnsi="Avenir Next" w:cs="Arial"/>
          <w:sz w:val="22"/>
          <w:szCs w:val="22"/>
          <w:highlight w:val="yellow"/>
        </w:rPr>
        <w:t>This statement is true because the Model Law on Cross-border Insolvency has been adopted by numerous States and is gaining momentum as an influential response to international insolvency law issues</w:t>
      </w:r>
      <w:r w:rsidRPr="00DA42DA">
        <w:rPr>
          <w:rFonts w:ascii="Avenir Next" w:hAnsi="Avenir Next" w:cs="Arial"/>
          <w:sz w:val="22"/>
          <w:szCs w:val="22"/>
        </w:rPr>
        <w:t xml:space="preserve">.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C376A8">
        <w:rPr>
          <w:rFonts w:ascii="Avenir Next" w:hAnsi="Avenir Next" w:cs="Arial"/>
          <w:sz w:val="22"/>
          <w:szCs w:val="22"/>
          <w:highlight w:val="yellow"/>
        </w:rPr>
        <w:t xml:space="preserve">This statement is true because modified universalism enables a </w:t>
      </w:r>
      <w:r w:rsidRPr="00C376A8">
        <w:rPr>
          <w:rFonts w:ascii="Avenir Next" w:hAnsi="Avenir Next"/>
          <w:sz w:val="22"/>
          <w:szCs w:val="22"/>
          <w:highlight w:val="yellow"/>
        </w:rPr>
        <w:t xml:space="preserve">“main proceeding” to be opened in the State where the </w:t>
      </w:r>
      <w:proofErr w:type="spellStart"/>
      <w:r w:rsidR="004A2B2C" w:rsidRPr="00C376A8">
        <w:rPr>
          <w:rFonts w:ascii="Avenir Next" w:hAnsi="Avenir Next"/>
          <w:sz w:val="22"/>
          <w:szCs w:val="22"/>
          <w:highlight w:val="yellow"/>
        </w:rPr>
        <w:t>centre</w:t>
      </w:r>
      <w:proofErr w:type="spellEnd"/>
      <w:r w:rsidRPr="00C376A8">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25257A2B" w:rsidR="00DA42DA" w:rsidRDefault="00DA42DA" w:rsidP="00692852">
      <w:pPr>
        <w:jc w:val="both"/>
        <w:rPr>
          <w:rFonts w:ascii="Avenir Next" w:hAnsi="Avenir Next" w:cs="Arial"/>
          <w:sz w:val="22"/>
          <w:szCs w:val="22"/>
          <w:lang w:val="en-GB"/>
        </w:rPr>
      </w:pPr>
    </w:p>
    <w:p w14:paraId="29CC7D18" w14:textId="474C3424" w:rsidR="00380C5F" w:rsidRDefault="00380C5F" w:rsidP="00692852">
      <w:pPr>
        <w:jc w:val="both"/>
        <w:rPr>
          <w:rFonts w:ascii="Avenir Next" w:hAnsi="Avenir Next" w:cs="Arial"/>
          <w:sz w:val="22"/>
          <w:szCs w:val="22"/>
          <w:lang w:val="en-GB"/>
        </w:rPr>
      </w:pPr>
      <w:r>
        <w:rPr>
          <w:rFonts w:ascii="Avenir Next" w:hAnsi="Avenir Next" w:cs="Arial"/>
          <w:sz w:val="22"/>
          <w:szCs w:val="22"/>
          <w:lang w:val="en-GB"/>
        </w:rPr>
        <w:t>Civil law systems</w:t>
      </w:r>
      <w:r w:rsidR="003D0296">
        <w:rPr>
          <w:rFonts w:ascii="Avenir Next" w:hAnsi="Avenir Next" w:cs="Arial"/>
          <w:sz w:val="22"/>
          <w:szCs w:val="22"/>
          <w:lang w:val="en-GB"/>
        </w:rPr>
        <w:t xml:space="preserve"> (</w:t>
      </w:r>
      <w:r w:rsidR="003D0296">
        <w:rPr>
          <w:rFonts w:ascii="Avenir Next" w:hAnsi="Avenir Next" w:cs="Arial"/>
          <w:i/>
          <w:sz w:val="22"/>
          <w:szCs w:val="22"/>
          <w:lang w:val="en-GB"/>
        </w:rPr>
        <w:t xml:space="preserve">e.g. </w:t>
      </w:r>
      <w:r w:rsidR="003D0296">
        <w:rPr>
          <w:rFonts w:ascii="Avenir Next" w:hAnsi="Avenir Next" w:cs="Arial"/>
          <w:sz w:val="22"/>
          <w:szCs w:val="22"/>
          <w:lang w:val="en-GB"/>
        </w:rPr>
        <w:t>France)</w:t>
      </w:r>
      <w:r>
        <w:rPr>
          <w:rFonts w:ascii="Avenir Next" w:hAnsi="Avenir Next" w:cs="Arial"/>
          <w:sz w:val="22"/>
          <w:szCs w:val="22"/>
          <w:lang w:val="en-GB"/>
        </w:rPr>
        <w:t xml:space="preserve"> historically developed, at least in part, from Roman law,</w:t>
      </w:r>
      <w:r>
        <w:rPr>
          <w:rStyle w:val="FootnoteReference"/>
          <w:rFonts w:ascii="Avenir Next" w:hAnsi="Avenir Next" w:cs="Arial"/>
          <w:sz w:val="22"/>
          <w:szCs w:val="22"/>
          <w:lang w:val="en-GB"/>
        </w:rPr>
        <w:footnoteReference w:id="1"/>
      </w:r>
      <w:r>
        <w:rPr>
          <w:rFonts w:ascii="Avenir Next" w:hAnsi="Avenir Next" w:cs="Arial"/>
          <w:sz w:val="22"/>
          <w:szCs w:val="22"/>
          <w:lang w:val="en-GB"/>
        </w:rPr>
        <w:t xml:space="preserve"> whereas common law systems historically developed from English common law. In terms of bankruptcy, Fletcher has identified roots from Roman law within civil law systems, including the concept of forced liquidation of assets (</w:t>
      </w:r>
      <w:r>
        <w:rPr>
          <w:rFonts w:ascii="Avenir Next" w:hAnsi="Avenir Next" w:cs="Arial"/>
          <w:i/>
          <w:sz w:val="22"/>
          <w:szCs w:val="22"/>
          <w:lang w:val="en-GB"/>
        </w:rPr>
        <w:t xml:space="preserve">distraction </w:t>
      </w:r>
      <w:proofErr w:type="spellStart"/>
      <w:r>
        <w:rPr>
          <w:rFonts w:ascii="Avenir Next" w:hAnsi="Avenir Next" w:cs="Arial"/>
          <w:i/>
          <w:sz w:val="22"/>
          <w:szCs w:val="22"/>
          <w:lang w:val="en-GB"/>
        </w:rPr>
        <w:t>bonorum</w:t>
      </w:r>
      <w:proofErr w:type="spellEnd"/>
      <w:r>
        <w:rPr>
          <w:rFonts w:ascii="Avenir Next" w:hAnsi="Avenir Next" w:cs="Arial"/>
          <w:sz w:val="22"/>
          <w:szCs w:val="22"/>
          <w:lang w:val="en-GB"/>
        </w:rPr>
        <w:t>).</w:t>
      </w:r>
      <w:r>
        <w:rPr>
          <w:rStyle w:val="FootnoteReference"/>
          <w:rFonts w:ascii="Avenir Next" w:hAnsi="Avenir Next" w:cs="Arial"/>
          <w:sz w:val="22"/>
          <w:szCs w:val="22"/>
          <w:lang w:val="en-GB"/>
        </w:rPr>
        <w:footnoteReference w:id="2"/>
      </w:r>
      <w:r>
        <w:rPr>
          <w:rFonts w:ascii="Avenir Next" w:hAnsi="Avenir Next" w:cs="Arial"/>
          <w:sz w:val="22"/>
          <w:szCs w:val="22"/>
          <w:lang w:val="en-GB"/>
        </w:rPr>
        <w:t xml:space="preserve">  English common law has develop with various historical </w:t>
      </w:r>
      <w:r w:rsidR="00897141">
        <w:rPr>
          <w:rFonts w:ascii="Avenir Next" w:hAnsi="Avenir Next" w:cs="Arial"/>
          <w:sz w:val="22"/>
          <w:szCs w:val="22"/>
          <w:lang w:val="en-GB"/>
        </w:rPr>
        <w:t>statutes</w:t>
      </w:r>
      <w:r>
        <w:rPr>
          <w:rFonts w:ascii="Avenir Next" w:hAnsi="Avenir Next" w:cs="Arial"/>
          <w:sz w:val="22"/>
          <w:szCs w:val="22"/>
          <w:lang w:val="en-GB"/>
        </w:rPr>
        <w:t>, such as the Statute of Ann 1705 (which provided for discharge) and, more recently, the Insolvency Act 1986.</w:t>
      </w:r>
      <w:r>
        <w:rPr>
          <w:rStyle w:val="FootnoteReference"/>
          <w:rFonts w:ascii="Avenir Next" w:hAnsi="Avenir Next" w:cs="Arial"/>
          <w:sz w:val="22"/>
          <w:szCs w:val="22"/>
          <w:lang w:val="en-GB"/>
        </w:rPr>
        <w:footnoteReference w:id="3"/>
      </w:r>
      <w:r>
        <w:rPr>
          <w:rFonts w:ascii="Avenir Next" w:hAnsi="Avenir Next" w:cs="Arial"/>
          <w:sz w:val="22"/>
          <w:szCs w:val="22"/>
          <w:lang w:val="en-GB"/>
        </w:rPr>
        <w:t xml:space="preserve"> A distinction between the systems is that common law is far more case-law-based, whereas civil law systems have a code which is applied, with far less emphasis </w:t>
      </w:r>
      <w:r w:rsidR="005555EB">
        <w:rPr>
          <w:rFonts w:ascii="Avenir Next" w:hAnsi="Avenir Next" w:cs="Arial"/>
          <w:sz w:val="22"/>
          <w:szCs w:val="22"/>
          <w:lang w:val="en-GB"/>
        </w:rPr>
        <w:t xml:space="preserve">(if at all) </w:t>
      </w:r>
      <w:r>
        <w:rPr>
          <w:rFonts w:ascii="Avenir Next" w:hAnsi="Avenir Next" w:cs="Arial"/>
          <w:sz w:val="22"/>
          <w:szCs w:val="22"/>
          <w:lang w:val="en-GB"/>
        </w:rPr>
        <w:t xml:space="preserve">upon precedents derived from case law.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04A96E0" w:rsidR="00E17BF1" w:rsidRDefault="00E17BF1" w:rsidP="00692852">
      <w:pPr>
        <w:jc w:val="both"/>
        <w:rPr>
          <w:rFonts w:ascii="Avenir Next" w:hAnsi="Avenir Next" w:cs="Arial"/>
          <w:sz w:val="22"/>
          <w:szCs w:val="22"/>
          <w:lang w:val="en-GB"/>
        </w:rPr>
      </w:pPr>
    </w:p>
    <w:p w14:paraId="788AFFB0" w14:textId="34DC355A" w:rsidR="00030F0E" w:rsidRPr="004216EA" w:rsidRDefault="00030F0E" w:rsidP="00692852">
      <w:pPr>
        <w:jc w:val="both"/>
        <w:rPr>
          <w:rFonts w:ascii="Avenir Next" w:hAnsi="Avenir Next" w:cs="Arial"/>
          <w:sz w:val="22"/>
          <w:szCs w:val="22"/>
          <w:lang w:val="en-GB"/>
        </w:rPr>
      </w:pPr>
      <w:r w:rsidRPr="00B21393">
        <w:rPr>
          <w:rFonts w:ascii="Avenir Next" w:hAnsi="Avenir Next" w:cs="Arial"/>
          <w:sz w:val="22"/>
          <w:szCs w:val="22"/>
          <w:lang w:val="en-GB"/>
        </w:rPr>
        <w:t>Un</w:t>
      </w:r>
      <w:r>
        <w:rPr>
          <w:rFonts w:ascii="Avenir Next" w:hAnsi="Avenir Next" w:cs="Arial"/>
          <w:sz w:val="22"/>
          <w:szCs w:val="22"/>
          <w:lang w:val="en-GB"/>
        </w:rPr>
        <w:t>iversalism is the theory that in an insolvency situation the relevant debtor’s debts and assets, across the globe, should be subject to one insolvency proceeding only</w:t>
      </w:r>
      <w:r w:rsidR="002E15D5">
        <w:rPr>
          <w:rFonts w:ascii="Avenir Next" w:hAnsi="Avenir Next" w:cs="Arial"/>
          <w:sz w:val="22"/>
          <w:szCs w:val="22"/>
          <w:lang w:val="en-GB"/>
        </w:rPr>
        <w:t>.</w:t>
      </w:r>
      <w:r>
        <w:rPr>
          <w:rStyle w:val="FootnoteReference"/>
          <w:rFonts w:ascii="Avenir Next" w:hAnsi="Avenir Next" w:cs="Arial"/>
          <w:sz w:val="22"/>
          <w:szCs w:val="22"/>
          <w:lang w:val="en-GB"/>
        </w:rPr>
        <w:footnoteReference w:id="4"/>
      </w:r>
      <w:r>
        <w:rPr>
          <w:rFonts w:ascii="Avenir Next" w:hAnsi="Avenir Next" w:cs="Arial"/>
          <w:sz w:val="22"/>
          <w:szCs w:val="22"/>
          <w:lang w:val="en-GB"/>
        </w:rPr>
        <w:t xml:space="preserve"> Modified universalism is where a ‘main proceed</w:t>
      </w:r>
      <w:r w:rsidR="00480E82">
        <w:rPr>
          <w:rFonts w:ascii="Avenir Next" w:hAnsi="Avenir Next" w:cs="Arial"/>
          <w:sz w:val="22"/>
          <w:szCs w:val="22"/>
          <w:lang w:val="en-GB"/>
        </w:rPr>
        <w:t>ing</w:t>
      </w:r>
      <w:r>
        <w:rPr>
          <w:rFonts w:ascii="Avenir Next" w:hAnsi="Avenir Next" w:cs="Arial"/>
          <w:sz w:val="22"/>
          <w:szCs w:val="22"/>
          <w:lang w:val="en-GB"/>
        </w:rPr>
        <w:t>’ is opened in a state which has been determined to be the Centre of Main Interest and which, in turn, is assisted with secondary proceedings in other states.</w:t>
      </w:r>
      <w:r>
        <w:rPr>
          <w:rStyle w:val="FootnoteReference"/>
          <w:rFonts w:ascii="Avenir Next" w:hAnsi="Avenir Next" w:cs="Arial"/>
          <w:sz w:val="22"/>
          <w:szCs w:val="22"/>
          <w:lang w:val="en-GB"/>
        </w:rPr>
        <w:footnoteReference w:id="5"/>
      </w:r>
      <w:r w:rsidR="00571DDF">
        <w:rPr>
          <w:rFonts w:ascii="Avenir Next" w:hAnsi="Avenir Next" w:cs="Arial"/>
          <w:sz w:val="22"/>
          <w:szCs w:val="22"/>
          <w:lang w:val="en-GB"/>
        </w:rPr>
        <w:t xml:space="preserve"> Territorialism encapsulates the opposing view of universalism, in that insolvency processes can be commenced in multiple states and be limited, in terms of territory, to the various states in which they are commenced.</w:t>
      </w:r>
      <w:r w:rsidR="00571DDF">
        <w:rPr>
          <w:rStyle w:val="FootnoteReference"/>
          <w:rFonts w:ascii="Avenir Next" w:hAnsi="Avenir Next" w:cs="Arial"/>
          <w:sz w:val="22"/>
          <w:szCs w:val="22"/>
          <w:lang w:val="en-GB"/>
        </w:rPr>
        <w:footnoteReference w:id="6"/>
      </w:r>
    </w:p>
    <w:p w14:paraId="216D3C8D" w14:textId="7B07AB7B" w:rsidR="00DA42DA" w:rsidRPr="00DA42DA" w:rsidRDefault="00DA42DA" w:rsidP="00DA42DA">
      <w:pPr>
        <w:jc w:val="both"/>
        <w:rPr>
          <w:rFonts w:ascii="Avenir Next" w:hAnsi="Avenir Next" w:cs="Arial"/>
          <w:color w:val="808080" w:themeColor="background1" w:themeShade="80"/>
          <w:sz w:val="22"/>
          <w:szCs w:val="22"/>
          <w:lang w:val="en-GB"/>
        </w:rPr>
      </w:pP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3F996776" w:rsidR="00FF0D81" w:rsidRDefault="00FF0D81" w:rsidP="00692852">
      <w:pPr>
        <w:jc w:val="both"/>
        <w:rPr>
          <w:rFonts w:ascii="Avenir Next" w:hAnsi="Avenir Next" w:cs="Arial"/>
          <w:sz w:val="22"/>
          <w:szCs w:val="22"/>
          <w:lang w:val="en-GB"/>
        </w:rPr>
      </w:pPr>
    </w:p>
    <w:p w14:paraId="7B22DFEC" w14:textId="7017A849" w:rsidR="005D6265" w:rsidRPr="004216EA" w:rsidRDefault="005D6265" w:rsidP="00692852">
      <w:pPr>
        <w:jc w:val="both"/>
        <w:rPr>
          <w:rFonts w:ascii="Avenir Next" w:hAnsi="Avenir Next" w:cs="Arial"/>
          <w:sz w:val="22"/>
          <w:szCs w:val="22"/>
          <w:lang w:val="en-GB"/>
        </w:rPr>
      </w:pPr>
      <w:r>
        <w:rPr>
          <w:rFonts w:ascii="Avenir Next" w:hAnsi="Avenir Next" w:cs="Arial"/>
          <w:sz w:val="22"/>
          <w:szCs w:val="22"/>
          <w:lang w:val="en-GB"/>
        </w:rPr>
        <w:t>Various treaties have been adopted in Latin America on commerce that have incorporated a chapter on insolvency, including the Montevideo Treaties (1889 and 1940), as well as the Havana Convention on Private International Law (1928).</w:t>
      </w:r>
      <w:r>
        <w:rPr>
          <w:rStyle w:val="FootnoteReference"/>
          <w:rFonts w:ascii="Avenir Next" w:hAnsi="Avenir Next" w:cs="Arial"/>
          <w:sz w:val="22"/>
          <w:szCs w:val="22"/>
          <w:lang w:val="en-GB"/>
        </w:rPr>
        <w:footnoteReference w:id="7"/>
      </w:r>
      <w:r>
        <w:rPr>
          <w:rFonts w:ascii="Avenir Next" w:hAnsi="Avenir Next" w:cs="Arial"/>
          <w:sz w:val="22"/>
          <w:szCs w:val="22"/>
          <w:lang w:val="en-GB"/>
        </w:rPr>
        <w:t xml:space="preserve"> The Havana Convention is more beneficial than the Montevideo Treaties in respect of enabling a single proceeding with universal application </w:t>
      </w:r>
      <w:r w:rsidR="00A54BD7">
        <w:rPr>
          <w:rFonts w:ascii="Avenir Next" w:hAnsi="Avenir Next" w:cs="Arial"/>
          <w:sz w:val="22"/>
          <w:szCs w:val="22"/>
          <w:lang w:val="en-GB"/>
        </w:rPr>
        <w:t>in the region affected by the treaty – in particular, Article 414 provides that if a commercial debtor has only one civil or commercial domicile there can only be one preventive proceeding in insolvency.</w:t>
      </w:r>
      <w:r w:rsidR="00A54BD7">
        <w:rPr>
          <w:rStyle w:val="FootnoteReference"/>
          <w:rFonts w:ascii="Avenir Next" w:hAnsi="Avenir Next" w:cs="Arial"/>
          <w:sz w:val="22"/>
          <w:szCs w:val="22"/>
          <w:lang w:val="en-GB"/>
        </w:rPr>
        <w:footnoteReference w:id="8"/>
      </w:r>
      <w:r w:rsidR="00A54BD7">
        <w:rPr>
          <w:rFonts w:ascii="Avenir Next" w:hAnsi="Avenir Next" w:cs="Arial"/>
          <w:sz w:val="22"/>
          <w:szCs w:val="22"/>
          <w:lang w:val="en-GB"/>
        </w:rPr>
        <w:t xml:space="preserve"> That being said, concurrent proceedings in Havana Convention States can arise where there are commercial establishments which operate in economic separation, such that the Convention, in this respect, has a similar approach to the Montevideo Treaties of enabling a single proceeding where the debtor intermittently trades in more than a single State, or only has agents or branches in another state which is a contracting state.</w:t>
      </w:r>
      <w:r w:rsidR="00A54BD7">
        <w:rPr>
          <w:rStyle w:val="FootnoteReference"/>
          <w:rFonts w:ascii="Avenir Next" w:hAnsi="Avenir Next" w:cs="Arial"/>
          <w:sz w:val="22"/>
          <w:szCs w:val="22"/>
          <w:lang w:val="en-GB"/>
        </w:rPr>
        <w:footnoteReference w:id="9"/>
      </w:r>
    </w:p>
    <w:p w14:paraId="61900735" w14:textId="0C1FEB7A" w:rsidR="00DA42DA" w:rsidRPr="00DA42DA" w:rsidRDefault="00DA42DA" w:rsidP="00DA42DA">
      <w:pPr>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35EC2C2A" w:rsidR="008E3ADC" w:rsidRDefault="008E3ADC" w:rsidP="00692852">
      <w:pPr>
        <w:jc w:val="both"/>
        <w:rPr>
          <w:rFonts w:ascii="Avenir Next" w:hAnsi="Avenir Next" w:cs="Arial"/>
          <w:sz w:val="22"/>
          <w:szCs w:val="22"/>
          <w:lang w:val="en-GB"/>
        </w:rPr>
      </w:pPr>
    </w:p>
    <w:p w14:paraId="1C00934B" w14:textId="733A9AEB" w:rsidR="005D7E26" w:rsidRPr="00AA123D" w:rsidRDefault="005D7E26" w:rsidP="005D7E26">
      <w:pPr>
        <w:jc w:val="both"/>
        <w:rPr>
          <w:rFonts w:ascii="Avenir Next" w:hAnsi="Avenir Next" w:cs="Arial"/>
          <w:sz w:val="22"/>
          <w:szCs w:val="22"/>
          <w:lang w:val="en-GB"/>
        </w:rPr>
      </w:pPr>
      <w:r>
        <w:rPr>
          <w:rFonts w:ascii="Avenir Next" w:hAnsi="Avenir Next" w:cs="Arial"/>
          <w:sz w:val="22"/>
          <w:szCs w:val="22"/>
          <w:lang w:val="en-GB"/>
        </w:rPr>
        <w:t>I do not agree with this statement</w:t>
      </w:r>
      <w:r w:rsidR="003F2752">
        <w:rPr>
          <w:rFonts w:ascii="Avenir Next" w:hAnsi="Avenir Next" w:cs="Arial"/>
          <w:sz w:val="22"/>
          <w:szCs w:val="22"/>
          <w:lang w:val="en-GB"/>
        </w:rPr>
        <w:t>, despite the fact that the two words are, as Fletch</w:t>
      </w:r>
      <w:r w:rsidR="00AA123D">
        <w:rPr>
          <w:rFonts w:ascii="Avenir Next" w:hAnsi="Avenir Next" w:cs="Arial"/>
          <w:sz w:val="22"/>
          <w:szCs w:val="22"/>
          <w:lang w:val="en-GB"/>
        </w:rPr>
        <w:t>er</w:t>
      </w:r>
      <w:r w:rsidR="003F2752">
        <w:rPr>
          <w:rFonts w:ascii="Avenir Next" w:hAnsi="Avenir Next" w:cs="Arial"/>
          <w:sz w:val="22"/>
          <w:szCs w:val="22"/>
          <w:lang w:val="en-GB"/>
        </w:rPr>
        <w:t xml:space="preserve"> points out, synonymous in </w:t>
      </w:r>
      <w:r w:rsidR="003F2752" w:rsidRPr="00333DC7">
        <w:rPr>
          <w:rFonts w:ascii="Avenir Next" w:hAnsi="Avenir Next" w:cs="Arial"/>
          <w:sz w:val="22"/>
          <w:szCs w:val="22"/>
          <w:u w:val="single"/>
          <w:lang w:val="en-GB"/>
        </w:rPr>
        <w:t>many</w:t>
      </w:r>
      <w:r w:rsidR="003F2752">
        <w:rPr>
          <w:rFonts w:ascii="Avenir Next" w:hAnsi="Avenir Next" w:cs="Arial"/>
          <w:sz w:val="22"/>
          <w:szCs w:val="22"/>
          <w:lang w:val="en-GB"/>
        </w:rPr>
        <w:t xml:space="preserve"> systems</w:t>
      </w:r>
      <w:r w:rsidR="00AA123D">
        <w:rPr>
          <w:rFonts w:ascii="Avenir Next" w:hAnsi="Avenir Next" w:cs="Arial"/>
          <w:sz w:val="22"/>
          <w:szCs w:val="22"/>
          <w:lang w:val="en-GB"/>
        </w:rPr>
        <w:t>,</w:t>
      </w:r>
      <w:r w:rsidR="003F2752">
        <w:rPr>
          <w:rStyle w:val="FootnoteReference"/>
          <w:rFonts w:ascii="Avenir Next" w:hAnsi="Avenir Next" w:cs="Arial"/>
          <w:sz w:val="22"/>
          <w:szCs w:val="22"/>
          <w:lang w:val="en-GB"/>
        </w:rPr>
        <w:footnoteReference w:id="10"/>
      </w:r>
      <w:r w:rsidR="00AA123D">
        <w:rPr>
          <w:rFonts w:ascii="Avenir Next" w:hAnsi="Avenir Next" w:cs="Arial"/>
          <w:sz w:val="22"/>
          <w:szCs w:val="22"/>
          <w:lang w:val="en-GB"/>
        </w:rPr>
        <w:t xml:space="preserve"> (but not </w:t>
      </w:r>
      <w:r w:rsidR="00AA123D">
        <w:rPr>
          <w:rFonts w:ascii="Avenir Next" w:hAnsi="Avenir Next" w:cs="Arial"/>
          <w:sz w:val="22"/>
          <w:szCs w:val="22"/>
          <w:u w:val="single"/>
          <w:lang w:val="en-GB"/>
        </w:rPr>
        <w:t>all</w:t>
      </w:r>
      <w:r w:rsidR="00AA123D">
        <w:rPr>
          <w:rFonts w:ascii="Avenir Next" w:hAnsi="Avenir Next" w:cs="Arial"/>
          <w:sz w:val="22"/>
          <w:szCs w:val="22"/>
          <w:lang w:val="en-GB"/>
        </w:rPr>
        <w:t xml:space="preserve"> systems).</w:t>
      </w:r>
      <w:r>
        <w:rPr>
          <w:rFonts w:ascii="Avenir Next" w:hAnsi="Avenir Next" w:cs="Arial"/>
          <w:sz w:val="22"/>
          <w:szCs w:val="22"/>
          <w:lang w:val="en-GB"/>
        </w:rPr>
        <w:t xml:space="preserve"> The two words can mean different things in different legal systems. </w:t>
      </w:r>
      <w:r w:rsidR="003F2752">
        <w:rPr>
          <w:rFonts w:ascii="Avenir Next" w:hAnsi="Avenir Next" w:cs="Arial"/>
          <w:sz w:val="22"/>
          <w:szCs w:val="22"/>
          <w:lang w:val="en-GB"/>
        </w:rPr>
        <w:t>For example, in Australia an insolvency of a corporation is generally referred to as “insolvency” but “bankruptcy” is generally the term used in respect of insolvency proceedings in the context of a natural person, or individual.</w:t>
      </w:r>
      <w:r w:rsidR="003F2752">
        <w:rPr>
          <w:rStyle w:val="FootnoteReference"/>
          <w:rFonts w:ascii="Avenir Next" w:hAnsi="Avenir Next" w:cs="Arial"/>
          <w:sz w:val="22"/>
          <w:szCs w:val="22"/>
          <w:lang w:val="en-GB"/>
        </w:rPr>
        <w:footnoteReference w:id="11"/>
      </w:r>
      <w:r w:rsidR="003F2752">
        <w:rPr>
          <w:rFonts w:ascii="Avenir Next" w:hAnsi="Avenir Next" w:cs="Arial"/>
          <w:sz w:val="22"/>
          <w:szCs w:val="22"/>
          <w:lang w:val="en-GB"/>
        </w:rPr>
        <w:t xml:space="preserve"> Similarly, an explanation, regarding differences between the words, can be advanced which is that sometimes “insolvency” refers to the debtor’s state of financial affairs, whereas “bankruptcy” denotes the formal state of being placed into formal bankruptcy proceedings.</w:t>
      </w:r>
      <w:r w:rsidR="003F2752">
        <w:rPr>
          <w:rStyle w:val="FootnoteReference"/>
          <w:rFonts w:ascii="Avenir Next" w:hAnsi="Avenir Next" w:cs="Arial"/>
          <w:sz w:val="22"/>
          <w:szCs w:val="22"/>
          <w:lang w:val="en-GB"/>
        </w:rPr>
        <w:footnoteReference w:id="12"/>
      </w:r>
      <w:r w:rsidR="009B279B">
        <w:rPr>
          <w:rFonts w:ascii="Avenir Next" w:hAnsi="Avenir Next" w:cs="Arial"/>
          <w:sz w:val="22"/>
          <w:szCs w:val="22"/>
          <w:lang w:val="en-GB"/>
        </w:rPr>
        <w:t xml:space="preserve"> Subtle differences in terminology can take into account differences in objectives, as regards insolvency for individuals vis-à-vis corporations, such as Seal and Hooley’s distinctions, including that</w:t>
      </w:r>
      <w:r w:rsidR="00AA123D">
        <w:rPr>
          <w:rFonts w:ascii="Avenir Next" w:hAnsi="Avenir Next" w:cs="Arial"/>
          <w:sz w:val="22"/>
          <w:szCs w:val="22"/>
          <w:lang w:val="en-GB"/>
        </w:rPr>
        <w:t>,</w:t>
      </w:r>
      <w:r w:rsidR="009B279B">
        <w:rPr>
          <w:rFonts w:ascii="Avenir Next" w:hAnsi="Avenir Next" w:cs="Arial"/>
          <w:sz w:val="22"/>
          <w:szCs w:val="22"/>
          <w:lang w:val="en-GB"/>
        </w:rPr>
        <w:t xml:space="preserve"> in respect of individuals</w:t>
      </w:r>
      <w:r w:rsidR="00AA123D">
        <w:rPr>
          <w:rFonts w:ascii="Avenir Next" w:hAnsi="Avenir Next" w:cs="Arial"/>
          <w:sz w:val="22"/>
          <w:szCs w:val="22"/>
          <w:lang w:val="en-GB"/>
        </w:rPr>
        <w:t>,</w:t>
      </w:r>
      <w:r w:rsidR="009B279B">
        <w:rPr>
          <w:rFonts w:ascii="Avenir Next" w:hAnsi="Avenir Next" w:cs="Arial"/>
          <w:sz w:val="22"/>
          <w:szCs w:val="22"/>
          <w:lang w:val="en-GB"/>
        </w:rPr>
        <w:t xml:space="preserve"> the objectives of the proceedings include protecting individual debtors from harassment, to enable the individual to make a fresh start, and so on, whereas in the context of corporations the emphasis is, of course, preservation of the business, or sustainable components of it, and not necessarily the company.</w:t>
      </w:r>
      <w:r w:rsidR="009B279B">
        <w:rPr>
          <w:rStyle w:val="FootnoteReference"/>
          <w:rFonts w:ascii="Avenir Next" w:hAnsi="Avenir Next" w:cs="Arial"/>
          <w:sz w:val="22"/>
          <w:szCs w:val="22"/>
          <w:lang w:val="en-GB"/>
        </w:rPr>
        <w:footnoteReference w:id="13"/>
      </w:r>
      <w:r w:rsidR="009B279B">
        <w:rPr>
          <w:rFonts w:ascii="Avenir Next" w:hAnsi="Avenir Next" w:cs="Arial"/>
          <w:sz w:val="22"/>
          <w:szCs w:val="22"/>
          <w:lang w:val="en-GB"/>
        </w:rPr>
        <w:t xml:space="preserve"> In that regard, there is utility in using the two words to mean different things, rather than the two words being purely synonymous. Etymologically speaking, this would also accord with the origins of “bankruptcy” as having a more person</w:t>
      </w:r>
      <w:r w:rsidR="00AA123D">
        <w:rPr>
          <w:rFonts w:ascii="Avenir Next" w:hAnsi="Avenir Next" w:cs="Arial"/>
          <w:sz w:val="22"/>
          <w:szCs w:val="22"/>
          <w:lang w:val="en-GB"/>
        </w:rPr>
        <w:t>al</w:t>
      </w:r>
      <w:r w:rsidR="009B279B">
        <w:rPr>
          <w:rFonts w:ascii="Avenir Next" w:hAnsi="Avenir Next" w:cs="Arial"/>
          <w:sz w:val="22"/>
          <w:szCs w:val="22"/>
          <w:lang w:val="en-GB"/>
        </w:rPr>
        <w:t xml:space="preserve"> dimension </w:t>
      </w:r>
      <w:r w:rsidR="00AA123D">
        <w:rPr>
          <w:rFonts w:ascii="Avenir Next" w:hAnsi="Avenir Next" w:cs="Arial"/>
          <w:sz w:val="22"/>
          <w:szCs w:val="22"/>
          <w:lang w:val="en-GB"/>
        </w:rPr>
        <w:t>–</w:t>
      </w:r>
      <w:r w:rsidR="009B279B">
        <w:rPr>
          <w:rFonts w:ascii="Avenir Next" w:hAnsi="Avenir Next" w:cs="Arial"/>
          <w:sz w:val="22"/>
          <w:szCs w:val="22"/>
          <w:lang w:val="en-GB"/>
        </w:rPr>
        <w:t xml:space="preserve"> </w:t>
      </w:r>
      <w:r w:rsidR="00AA123D">
        <w:rPr>
          <w:rFonts w:ascii="Avenir Next" w:hAnsi="Avenir Next" w:cs="Arial"/>
          <w:i/>
          <w:sz w:val="22"/>
          <w:szCs w:val="22"/>
          <w:lang w:val="en-GB"/>
        </w:rPr>
        <w:t xml:space="preserve">banca </w:t>
      </w:r>
      <w:proofErr w:type="spellStart"/>
      <w:r w:rsidR="00AA123D">
        <w:rPr>
          <w:rFonts w:ascii="Avenir Next" w:hAnsi="Avenir Next" w:cs="Arial"/>
          <w:i/>
          <w:sz w:val="22"/>
          <w:szCs w:val="22"/>
          <w:lang w:val="en-GB"/>
        </w:rPr>
        <w:t>rotta</w:t>
      </w:r>
      <w:proofErr w:type="spellEnd"/>
      <w:r w:rsidR="00AA123D">
        <w:rPr>
          <w:rFonts w:ascii="Avenir Next" w:hAnsi="Avenir Next" w:cs="Arial"/>
          <w:i/>
          <w:sz w:val="22"/>
          <w:szCs w:val="22"/>
          <w:lang w:val="en-GB"/>
        </w:rPr>
        <w:t xml:space="preserve"> </w:t>
      </w:r>
      <w:r w:rsidR="00AA123D">
        <w:rPr>
          <w:rFonts w:ascii="Avenir Next" w:hAnsi="Avenir Next" w:cs="Arial"/>
          <w:sz w:val="22"/>
          <w:szCs w:val="22"/>
          <w:lang w:val="en-GB"/>
        </w:rPr>
        <w:t>– the Italian for “break the bench”.</w:t>
      </w:r>
      <w:r w:rsidR="00AA123D">
        <w:rPr>
          <w:rStyle w:val="FootnoteReference"/>
          <w:rFonts w:ascii="Avenir Next" w:hAnsi="Avenir Next" w:cs="Arial"/>
          <w:sz w:val="22"/>
          <w:szCs w:val="22"/>
          <w:lang w:val="en-GB"/>
        </w:rPr>
        <w:footnoteReference w:id="14"/>
      </w:r>
      <w:r w:rsidR="00AA123D">
        <w:rPr>
          <w:rFonts w:ascii="Avenir Next" w:hAnsi="Avenir Next" w:cs="Arial"/>
          <w:sz w:val="22"/>
          <w:szCs w:val="22"/>
          <w:lang w:val="en-GB"/>
        </w:rPr>
        <w:t xml:space="preserve"> </w:t>
      </w:r>
    </w:p>
    <w:p w14:paraId="0BB023C1" w14:textId="7F585F5A" w:rsidR="005D7E26" w:rsidRDefault="005D7E26"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5285AF12" w:rsidR="00411E1B" w:rsidRDefault="00411E1B" w:rsidP="00692852">
      <w:pPr>
        <w:jc w:val="both"/>
        <w:rPr>
          <w:rFonts w:ascii="Avenir Next" w:hAnsi="Avenir Next" w:cs="Arial"/>
          <w:sz w:val="22"/>
          <w:szCs w:val="22"/>
          <w:lang w:val="en-GB"/>
        </w:rPr>
      </w:pPr>
    </w:p>
    <w:p w14:paraId="6EFEC04F" w14:textId="69CCF03A" w:rsidR="00F2211E" w:rsidRDefault="00F2211E" w:rsidP="00F2211E">
      <w:pPr>
        <w:jc w:val="both"/>
        <w:rPr>
          <w:rFonts w:ascii="Avenir Next" w:hAnsi="Avenir Next" w:cs="Arial"/>
          <w:sz w:val="22"/>
          <w:szCs w:val="22"/>
          <w:lang w:val="en-GB"/>
        </w:rPr>
      </w:pPr>
      <w:r>
        <w:rPr>
          <w:rFonts w:ascii="Avenir Next" w:hAnsi="Avenir Next" w:cs="Arial"/>
          <w:sz w:val="22"/>
          <w:szCs w:val="22"/>
          <w:lang w:val="en-GB"/>
        </w:rPr>
        <w:t>Various difficulties arise,</w:t>
      </w:r>
      <w:r w:rsidR="00440C2B">
        <w:rPr>
          <w:rFonts w:ascii="Avenir Next" w:hAnsi="Avenir Next" w:cs="Arial"/>
          <w:sz w:val="22"/>
          <w:szCs w:val="22"/>
          <w:lang w:val="en-GB"/>
        </w:rPr>
        <w:t xml:space="preserve"> which have been identified by Westbrook,</w:t>
      </w:r>
      <w:r>
        <w:rPr>
          <w:rFonts w:ascii="Avenir Next" w:hAnsi="Avenir Next" w:cs="Arial"/>
          <w:sz w:val="22"/>
          <w:szCs w:val="22"/>
          <w:lang w:val="en-GB"/>
        </w:rPr>
        <w:t xml:space="preserve"> including: </w:t>
      </w:r>
    </w:p>
    <w:p w14:paraId="4BF22971" w14:textId="4C7CD133" w:rsidR="00450129" w:rsidRDefault="00450129" w:rsidP="00F2211E">
      <w:pPr>
        <w:pStyle w:val="ListParagraph"/>
        <w:numPr>
          <w:ilvl w:val="0"/>
          <w:numId w:val="37"/>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Standing;</w:t>
      </w:r>
    </w:p>
    <w:p w14:paraId="6B72654B" w14:textId="11A1FE8A" w:rsidR="00450129" w:rsidRDefault="00450129" w:rsidP="00F2211E">
      <w:pPr>
        <w:pStyle w:val="ListParagraph"/>
        <w:numPr>
          <w:ilvl w:val="0"/>
          <w:numId w:val="37"/>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Moratorium on actions by creditors;</w:t>
      </w:r>
    </w:p>
    <w:p w14:paraId="0CFCED5D" w14:textId="0EAEB985" w:rsidR="00450129" w:rsidRDefault="00450129" w:rsidP="00F2211E">
      <w:pPr>
        <w:pStyle w:val="ListParagraph"/>
        <w:numPr>
          <w:ilvl w:val="0"/>
          <w:numId w:val="37"/>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Participation by creditors; </w:t>
      </w:r>
    </w:p>
    <w:p w14:paraId="600FE9EF" w14:textId="72BEC8EF" w:rsidR="00450129" w:rsidRDefault="00450129" w:rsidP="00F2211E">
      <w:pPr>
        <w:pStyle w:val="ListParagraph"/>
        <w:numPr>
          <w:ilvl w:val="0"/>
          <w:numId w:val="37"/>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Contracts which are executory;</w:t>
      </w:r>
    </w:p>
    <w:p w14:paraId="1C2F6459" w14:textId="45270A7D" w:rsidR="00450129" w:rsidRDefault="00450129" w:rsidP="00F2211E">
      <w:pPr>
        <w:pStyle w:val="ListParagraph"/>
        <w:numPr>
          <w:ilvl w:val="0"/>
          <w:numId w:val="37"/>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Claims procedures which are co-ordinated; </w:t>
      </w:r>
    </w:p>
    <w:p w14:paraId="05CA48DC" w14:textId="267692C6" w:rsidR="00450129" w:rsidRDefault="00450129" w:rsidP="00F2211E">
      <w:pPr>
        <w:pStyle w:val="ListParagraph"/>
        <w:numPr>
          <w:ilvl w:val="0"/>
          <w:numId w:val="37"/>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Preferences and priorities;</w:t>
      </w:r>
    </w:p>
    <w:p w14:paraId="2DE988BA" w14:textId="61736201" w:rsidR="00450129" w:rsidRDefault="00450129" w:rsidP="00F2211E">
      <w:pPr>
        <w:pStyle w:val="ListParagraph"/>
        <w:numPr>
          <w:ilvl w:val="0"/>
          <w:numId w:val="37"/>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Powers on avoidance provisions</w:t>
      </w:r>
    </w:p>
    <w:p w14:paraId="2283BBB3" w14:textId="7B42B26F" w:rsidR="00450129" w:rsidRDefault="00450129" w:rsidP="00F2211E">
      <w:pPr>
        <w:pStyle w:val="ListParagraph"/>
        <w:numPr>
          <w:ilvl w:val="0"/>
          <w:numId w:val="37"/>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Discharges; and </w:t>
      </w:r>
    </w:p>
    <w:p w14:paraId="22EB7C32" w14:textId="3F7418BF" w:rsidR="00450129" w:rsidRDefault="00450129" w:rsidP="00F2211E">
      <w:pPr>
        <w:pStyle w:val="ListParagraph"/>
        <w:numPr>
          <w:ilvl w:val="0"/>
          <w:numId w:val="37"/>
        </w:numPr>
        <w:ind w:left="360"/>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Issues on conflict of laws.</w:t>
      </w:r>
      <w:r>
        <w:rPr>
          <w:rStyle w:val="FootnoteReference"/>
          <w:rFonts w:ascii="Avenir Next" w:hAnsi="Avenir Next" w:cs="Arial"/>
          <w:sz w:val="22"/>
          <w:szCs w:val="22"/>
          <w:shd w:val="clear" w:color="auto" w:fill="FFFFFF"/>
          <w:lang w:val="en-GB"/>
        </w:rPr>
        <w:footnoteReference w:id="15"/>
      </w:r>
    </w:p>
    <w:p w14:paraId="607C9C7B" w14:textId="77777777" w:rsidR="00450129" w:rsidRDefault="00450129" w:rsidP="00450129">
      <w:pPr>
        <w:pStyle w:val="ListParagraph"/>
        <w:ind w:left="360"/>
        <w:jc w:val="both"/>
        <w:rPr>
          <w:rFonts w:ascii="Avenir Next" w:hAnsi="Avenir Next" w:cs="Arial"/>
          <w:sz w:val="22"/>
          <w:szCs w:val="22"/>
          <w:shd w:val="clear" w:color="auto" w:fill="FFFFFF"/>
          <w:lang w:val="en-GB"/>
        </w:rPr>
      </w:pPr>
    </w:p>
    <w:p w14:paraId="1803C430" w14:textId="52857FDF" w:rsidR="00F2211E" w:rsidRPr="00450129" w:rsidRDefault="00450129" w:rsidP="00450129">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lastRenderedPageBreak/>
        <w:t>Other issues include d</w:t>
      </w:r>
      <w:r w:rsidR="00F2211E" w:rsidRPr="00450129">
        <w:rPr>
          <w:rFonts w:ascii="Avenir Next" w:hAnsi="Avenir Next" w:cs="Arial"/>
          <w:sz w:val="22"/>
          <w:szCs w:val="22"/>
          <w:shd w:val="clear" w:color="auto" w:fill="FFFFFF"/>
          <w:lang w:val="en-GB"/>
        </w:rPr>
        <w:t>ifferences in definition of ‘insolvency’ across different systems</w:t>
      </w:r>
      <w:r w:rsidR="00662863">
        <w:rPr>
          <w:rFonts w:ascii="Avenir Next" w:hAnsi="Avenir Next" w:cs="Arial"/>
          <w:sz w:val="22"/>
          <w:szCs w:val="22"/>
          <w:shd w:val="clear" w:color="auto" w:fill="FFFFFF"/>
          <w:lang w:val="en-GB"/>
        </w:rPr>
        <w:t xml:space="preserve"> (</w:t>
      </w:r>
      <w:r w:rsidR="00662863">
        <w:rPr>
          <w:rFonts w:ascii="Avenir Next" w:hAnsi="Avenir Next" w:cs="Arial"/>
          <w:i/>
          <w:sz w:val="22"/>
          <w:szCs w:val="22"/>
          <w:shd w:val="clear" w:color="auto" w:fill="FFFFFF"/>
          <w:lang w:val="en-GB"/>
        </w:rPr>
        <w:t xml:space="preserve">e.g. </w:t>
      </w:r>
      <w:proofErr w:type="spellStart"/>
      <w:r w:rsidR="00662863">
        <w:rPr>
          <w:rFonts w:ascii="Avenir Next" w:hAnsi="Avenir Next" w:cs="Arial"/>
          <w:sz w:val="22"/>
          <w:szCs w:val="22"/>
          <w:shd w:val="clear" w:color="auto" w:fill="FFFFFF"/>
          <w:lang w:val="en-GB"/>
        </w:rPr>
        <w:t>Friman</w:t>
      </w:r>
      <w:proofErr w:type="spellEnd"/>
      <w:r w:rsidR="00662863">
        <w:rPr>
          <w:rFonts w:ascii="Avenir Next" w:hAnsi="Avenir Next" w:cs="Arial"/>
          <w:sz w:val="22"/>
          <w:szCs w:val="22"/>
          <w:shd w:val="clear" w:color="auto" w:fill="FFFFFF"/>
          <w:lang w:val="en-GB"/>
        </w:rPr>
        <w:t xml:space="preserve"> on common insolvency language),</w:t>
      </w:r>
      <w:r>
        <w:rPr>
          <w:rFonts w:ascii="Avenir Next" w:hAnsi="Avenir Next" w:cs="Arial"/>
          <w:sz w:val="22"/>
          <w:szCs w:val="22"/>
          <w:shd w:val="clear" w:color="auto" w:fill="FFFFFF"/>
          <w:lang w:val="en-GB"/>
        </w:rPr>
        <w:t xml:space="preserve"> and differing approaches in national law (</w:t>
      </w:r>
      <w:r>
        <w:rPr>
          <w:rFonts w:ascii="Avenir Next" w:hAnsi="Avenir Next" w:cs="Arial"/>
          <w:i/>
          <w:sz w:val="22"/>
          <w:szCs w:val="22"/>
          <w:shd w:val="clear" w:color="auto" w:fill="FFFFFF"/>
          <w:lang w:val="en-GB"/>
        </w:rPr>
        <w:t xml:space="preserve">e.g. </w:t>
      </w:r>
      <w:r>
        <w:rPr>
          <w:rFonts w:ascii="Avenir Next" w:hAnsi="Avenir Next" w:cs="Arial"/>
          <w:sz w:val="22"/>
          <w:szCs w:val="22"/>
          <w:shd w:val="clear" w:color="auto" w:fill="FFFFFF"/>
          <w:lang w:val="en-GB"/>
        </w:rPr>
        <w:t>civil contra common law and systems being more or less pro creditor etc).</w:t>
      </w:r>
      <w:r w:rsidR="00662863">
        <w:rPr>
          <w:rStyle w:val="FootnoteReference"/>
          <w:rFonts w:ascii="Avenir Next" w:hAnsi="Avenir Next" w:cs="Arial"/>
          <w:sz w:val="22"/>
          <w:szCs w:val="22"/>
          <w:shd w:val="clear" w:color="auto" w:fill="FFFFFF"/>
          <w:lang w:val="en-GB"/>
        </w:rPr>
        <w:footnoteReference w:id="16"/>
      </w:r>
      <w:r>
        <w:rPr>
          <w:rFonts w:ascii="Avenir Next" w:hAnsi="Avenir Next" w:cs="Arial"/>
          <w:sz w:val="22"/>
          <w:szCs w:val="22"/>
          <w:shd w:val="clear" w:color="auto" w:fill="FFFFFF"/>
          <w:lang w:val="en-GB"/>
        </w:rPr>
        <w:t xml:space="preserv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33D14A9D" w:rsidR="009C26AB" w:rsidRDefault="009C26AB" w:rsidP="00692852">
      <w:pPr>
        <w:jc w:val="both"/>
        <w:rPr>
          <w:rFonts w:ascii="Avenir Next" w:hAnsi="Avenir Next"/>
          <w:sz w:val="22"/>
          <w:szCs w:val="22"/>
          <w:lang w:val="en-GB"/>
        </w:rPr>
      </w:pPr>
    </w:p>
    <w:p w14:paraId="7F283A7B" w14:textId="688DA966" w:rsidR="004A2FE2" w:rsidRDefault="004A2FE2" w:rsidP="00692852">
      <w:pPr>
        <w:jc w:val="both"/>
        <w:rPr>
          <w:rFonts w:ascii="Avenir Next" w:hAnsi="Avenir Next"/>
          <w:sz w:val="22"/>
          <w:szCs w:val="22"/>
          <w:lang w:val="en-GB"/>
        </w:rPr>
      </w:pPr>
      <w:r>
        <w:rPr>
          <w:rFonts w:ascii="Avenir Next" w:hAnsi="Avenir Next"/>
          <w:sz w:val="22"/>
          <w:szCs w:val="22"/>
          <w:lang w:val="en-GB"/>
        </w:rPr>
        <w:t xml:space="preserve">Hard law generally refers to binding legal obligations within a state’s legal system which can be enforced on the parties within that system (including creditors and debtors), whereas soft law does not have the same normative quality, but is still </w:t>
      </w:r>
      <w:r w:rsidRPr="004A2FE2">
        <w:rPr>
          <w:rFonts w:ascii="Avenir Next" w:hAnsi="Avenir Next"/>
          <w:sz w:val="22"/>
          <w:szCs w:val="22"/>
          <w:u w:val="single"/>
          <w:lang w:val="en-GB"/>
        </w:rPr>
        <w:t>capable</w:t>
      </w:r>
      <w:r>
        <w:rPr>
          <w:rFonts w:ascii="Avenir Next" w:hAnsi="Avenir Next"/>
          <w:sz w:val="22"/>
          <w:szCs w:val="22"/>
          <w:lang w:val="en-GB"/>
        </w:rPr>
        <w:t xml:space="preserve"> of having legal effects – an example being the UNCITRAL Model Law – which has no legal effect unless adopted by the legal system of a state which chooses to adopt the Model law.</w:t>
      </w:r>
      <w:r>
        <w:rPr>
          <w:rStyle w:val="FootnoteReference"/>
          <w:rFonts w:ascii="Avenir Next" w:hAnsi="Avenir Next"/>
          <w:sz w:val="22"/>
          <w:szCs w:val="22"/>
          <w:lang w:val="en-GB"/>
        </w:rPr>
        <w:footnoteReference w:id="17"/>
      </w:r>
      <w:r w:rsidR="005D3E58">
        <w:rPr>
          <w:rFonts w:ascii="Avenir Next" w:hAnsi="Avenir Next"/>
          <w:sz w:val="22"/>
          <w:szCs w:val="22"/>
          <w:lang w:val="en-GB"/>
        </w:rPr>
        <w:t xml:space="preserve"> An example of hard law would be the </w:t>
      </w:r>
      <w:bookmarkStart w:id="0" w:name="_GoBack"/>
      <w:r w:rsidR="005D3E58" w:rsidRPr="00355048">
        <w:rPr>
          <w:rFonts w:ascii="Avenir Next" w:hAnsi="Avenir Next"/>
          <w:b/>
          <w:sz w:val="22"/>
          <w:szCs w:val="22"/>
          <w:lang w:val="en-GB"/>
        </w:rPr>
        <w:t>Insolvency Act 1986</w:t>
      </w:r>
      <w:r w:rsidR="005D3E58">
        <w:rPr>
          <w:rFonts w:ascii="Avenir Next" w:hAnsi="Avenir Next"/>
          <w:sz w:val="22"/>
          <w:szCs w:val="22"/>
          <w:lang w:val="en-GB"/>
        </w:rPr>
        <w:t xml:space="preserve"> </w:t>
      </w:r>
      <w:bookmarkEnd w:id="0"/>
      <w:r w:rsidR="005D3E58">
        <w:rPr>
          <w:rFonts w:ascii="Avenir Next" w:hAnsi="Avenir Next"/>
          <w:sz w:val="22"/>
          <w:szCs w:val="22"/>
          <w:lang w:val="en-GB"/>
        </w:rPr>
        <w:t xml:space="preserve">(England &amp; Wales).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3A7C1D4D" w:rsidR="002253D8" w:rsidRDefault="002253D8" w:rsidP="00DB5A5A">
      <w:pPr>
        <w:jc w:val="both"/>
        <w:rPr>
          <w:rFonts w:ascii="Avenir Next" w:hAnsi="Avenir Next" w:cs="Arial"/>
          <w:sz w:val="22"/>
          <w:szCs w:val="28"/>
        </w:rPr>
      </w:pPr>
    </w:p>
    <w:p w14:paraId="467CF953" w14:textId="7DC80F3F" w:rsidR="007618A5" w:rsidRPr="00FA0C7D" w:rsidRDefault="00566312" w:rsidP="00F64A8D">
      <w:pPr>
        <w:jc w:val="both"/>
        <w:rPr>
          <w:rFonts w:ascii="Avenir Next" w:hAnsi="Avenir Next" w:cs="Arial"/>
          <w:sz w:val="22"/>
          <w:szCs w:val="28"/>
        </w:rPr>
      </w:pPr>
      <w:r>
        <w:rPr>
          <w:rFonts w:ascii="Avenir Next" w:hAnsi="Avenir Next" w:cs="Arial"/>
          <w:sz w:val="22"/>
          <w:szCs w:val="28"/>
        </w:rPr>
        <w:t xml:space="preserve">The main applicable English law provision is the </w:t>
      </w:r>
      <w:r w:rsidR="00916296" w:rsidRPr="00CB3692">
        <w:rPr>
          <w:rFonts w:ascii="Avenir Next" w:hAnsi="Avenir Next" w:cs="Arial"/>
          <w:b/>
          <w:sz w:val="22"/>
          <w:szCs w:val="28"/>
        </w:rPr>
        <w:t>Cross-Border Insolvency Regulations 2006</w:t>
      </w:r>
      <w:r w:rsidR="00916296" w:rsidRPr="00916296">
        <w:rPr>
          <w:rFonts w:ascii="Avenir Next" w:hAnsi="Avenir Next" w:cs="Arial"/>
          <w:sz w:val="22"/>
          <w:szCs w:val="28"/>
        </w:rPr>
        <w:t xml:space="preserve"> (SI 2006/1030)</w:t>
      </w:r>
      <w:r w:rsidR="003F1905">
        <w:rPr>
          <w:rFonts w:ascii="Avenir Next" w:hAnsi="Avenir Next" w:cs="Arial"/>
          <w:sz w:val="22"/>
          <w:szCs w:val="28"/>
        </w:rPr>
        <w:t xml:space="preserve"> (‘</w:t>
      </w:r>
      <w:r w:rsidR="003F1905">
        <w:rPr>
          <w:rFonts w:ascii="Avenir Next" w:hAnsi="Avenir Next" w:cs="Arial"/>
          <w:b/>
          <w:sz w:val="22"/>
          <w:szCs w:val="28"/>
        </w:rPr>
        <w:t>CBIR</w:t>
      </w:r>
      <w:r w:rsidR="003F1905">
        <w:rPr>
          <w:rFonts w:ascii="Avenir Next" w:hAnsi="Avenir Next" w:cs="Arial"/>
          <w:sz w:val="22"/>
          <w:szCs w:val="28"/>
        </w:rPr>
        <w:t>’)</w:t>
      </w:r>
      <w:r>
        <w:rPr>
          <w:rFonts w:ascii="Avenir Next" w:hAnsi="Avenir Next" w:cs="Arial"/>
          <w:sz w:val="22"/>
          <w:szCs w:val="28"/>
        </w:rPr>
        <w:t xml:space="preserve">, which adopted the UNCITRAL Model Law within the legal system of England &amp; Wales. </w:t>
      </w:r>
      <w:r w:rsidR="003F1905">
        <w:rPr>
          <w:rFonts w:ascii="Avenir Next" w:hAnsi="Avenir Next" w:cs="Arial"/>
          <w:sz w:val="22"/>
          <w:szCs w:val="28"/>
        </w:rPr>
        <w:t xml:space="preserve">Under the </w:t>
      </w:r>
      <w:r w:rsidR="003F1905">
        <w:rPr>
          <w:rFonts w:ascii="Avenir Next" w:hAnsi="Avenir Next" w:cs="Arial"/>
          <w:b/>
          <w:sz w:val="22"/>
          <w:szCs w:val="28"/>
        </w:rPr>
        <w:t>CBIR, Reg 2</w:t>
      </w:r>
      <w:r w:rsidR="003F1905">
        <w:rPr>
          <w:rFonts w:ascii="Avenir Next" w:hAnsi="Avenir Next" w:cs="Arial"/>
          <w:sz w:val="22"/>
          <w:szCs w:val="28"/>
        </w:rPr>
        <w:t xml:space="preserve"> the Model Law, as contained within </w:t>
      </w:r>
      <w:r w:rsidR="003F1905">
        <w:rPr>
          <w:rFonts w:ascii="Avenir Next" w:hAnsi="Avenir Next" w:cs="Arial"/>
          <w:b/>
          <w:sz w:val="22"/>
          <w:szCs w:val="28"/>
        </w:rPr>
        <w:t>Schedule 1</w:t>
      </w:r>
      <w:r w:rsidR="003F1905">
        <w:rPr>
          <w:rFonts w:ascii="Avenir Next" w:hAnsi="Avenir Next" w:cs="Arial"/>
          <w:sz w:val="22"/>
          <w:szCs w:val="28"/>
        </w:rPr>
        <w:t xml:space="preserve"> of the </w:t>
      </w:r>
      <w:r w:rsidR="003F1905">
        <w:rPr>
          <w:rFonts w:ascii="Avenir Next" w:hAnsi="Avenir Next" w:cs="Arial"/>
          <w:b/>
          <w:sz w:val="22"/>
          <w:szCs w:val="28"/>
        </w:rPr>
        <w:t>CBIR</w:t>
      </w:r>
      <w:r w:rsidR="003F1905">
        <w:rPr>
          <w:rFonts w:ascii="Avenir Next" w:hAnsi="Avenir Next" w:cs="Arial"/>
          <w:sz w:val="22"/>
          <w:szCs w:val="28"/>
        </w:rPr>
        <w:t xml:space="preserve"> has the force of law within England &amp; Wales. Norton Cars Inc could, therefore, apply under the </w:t>
      </w:r>
      <w:r w:rsidR="003F1905">
        <w:rPr>
          <w:rFonts w:ascii="Avenir Next" w:hAnsi="Avenir Next" w:cs="Arial"/>
          <w:b/>
          <w:sz w:val="22"/>
          <w:szCs w:val="28"/>
        </w:rPr>
        <w:t xml:space="preserve">CBIR, Sch 1, Chapter </w:t>
      </w:r>
      <w:r w:rsidR="003F1905">
        <w:rPr>
          <w:rFonts w:ascii="Avenir Next" w:hAnsi="Avenir Next" w:cs="Arial"/>
          <w:b/>
          <w:sz w:val="22"/>
          <w:szCs w:val="28"/>
        </w:rPr>
        <w:lastRenderedPageBreak/>
        <w:t>II</w:t>
      </w:r>
      <w:r w:rsidR="003F1905">
        <w:rPr>
          <w:rFonts w:ascii="Avenir Next" w:hAnsi="Avenir Next" w:cs="Arial"/>
          <w:sz w:val="22"/>
          <w:szCs w:val="28"/>
        </w:rPr>
        <w:t xml:space="preserve"> (more specifically, </w:t>
      </w:r>
      <w:r w:rsidR="003F1905">
        <w:rPr>
          <w:rFonts w:ascii="Avenir Next" w:hAnsi="Avenir Next" w:cs="Arial"/>
          <w:b/>
          <w:sz w:val="22"/>
          <w:szCs w:val="28"/>
        </w:rPr>
        <w:t>Article 9</w:t>
      </w:r>
      <w:r w:rsidR="003F1905">
        <w:rPr>
          <w:rFonts w:ascii="Avenir Next" w:hAnsi="Avenir Next" w:cs="Arial"/>
          <w:sz w:val="22"/>
          <w:szCs w:val="28"/>
        </w:rPr>
        <w:t xml:space="preserve"> thereof) as a foreign representative. </w:t>
      </w:r>
      <w:r w:rsidR="003F1905">
        <w:rPr>
          <w:rFonts w:ascii="Avenir Next" w:hAnsi="Avenir Next" w:cs="Arial"/>
          <w:b/>
          <w:sz w:val="22"/>
          <w:szCs w:val="28"/>
        </w:rPr>
        <w:t>Schedule 1, Chapter II</w:t>
      </w:r>
      <w:r w:rsidR="00F64A8D">
        <w:rPr>
          <w:rFonts w:ascii="Avenir Next" w:hAnsi="Avenir Next" w:cs="Arial"/>
          <w:b/>
          <w:sz w:val="22"/>
          <w:szCs w:val="28"/>
        </w:rPr>
        <w:t>, Article 13(1)</w:t>
      </w:r>
      <w:r w:rsidR="00F64A8D">
        <w:rPr>
          <w:rFonts w:ascii="Avenir Next" w:hAnsi="Avenir Next" w:cs="Arial"/>
          <w:sz w:val="22"/>
          <w:szCs w:val="28"/>
        </w:rPr>
        <w:t xml:space="preserve"> also states, in that regard that </w:t>
      </w:r>
      <w:r w:rsidR="00F64A8D" w:rsidRPr="00F64A8D">
        <w:rPr>
          <w:rFonts w:ascii="Avenir Next" w:hAnsi="Avenir Next" w:cs="Arial"/>
          <w:i/>
          <w:sz w:val="22"/>
          <w:szCs w:val="28"/>
        </w:rPr>
        <w:t>“…foreign creditors have the same rights regarding the commencement of, and participation in, a proceeding under British insolvency law as creditors in Great Britain.”</w:t>
      </w:r>
      <w:r w:rsidR="003F1905">
        <w:rPr>
          <w:rFonts w:ascii="Avenir Next" w:hAnsi="Avenir Next" w:cs="Arial"/>
          <w:sz w:val="22"/>
          <w:szCs w:val="28"/>
        </w:rPr>
        <w:t xml:space="preserve">  </w:t>
      </w:r>
      <w:r w:rsidR="00593422">
        <w:rPr>
          <w:rFonts w:ascii="Avenir Next" w:hAnsi="Avenir Next" w:cs="Arial"/>
          <w:sz w:val="22"/>
          <w:szCs w:val="28"/>
        </w:rPr>
        <w:t xml:space="preserve">Furthermore, Norton Cars could seek recognition of the liquidation proceedings under American law via the </w:t>
      </w:r>
      <w:r w:rsidR="00593422">
        <w:rPr>
          <w:rFonts w:ascii="Avenir Next" w:hAnsi="Avenir Next" w:cs="Arial"/>
          <w:b/>
          <w:sz w:val="22"/>
          <w:szCs w:val="28"/>
        </w:rPr>
        <w:t>CBIR, Schedule 1, Article 15</w:t>
      </w:r>
      <w:r w:rsidR="00593422">
        <w:rPr>
          <w:rFonts w:ascii="Avenir Next" w:hAnsi="Avenir Next" w:cs="Arial"/>
          <w:sz w:val="22"/>
          <w:szCs w:val="28"/>
        </w:rPr>
        <w:t xml:space="preserve">. </w:t>
      </w:r>
      <w:r w:rsidR="00FA0C7D">
        <w:rPr>
          <w:rFonts w:ascii="Avenir Next" w:hAnsi="Avenir Next" w:cs="Arial"/>
          <w:sz w:val="22"/>
          <w:szCs w:val="28"/>
        </w:rPr>
        <w:t xml:space="preserve">Given that the question states that the HQ is still in England at the time of these proceedings I suspect that the US proceedings would be a foreign proceeding, rather than a foreign </w:t>
      </w:r>
      <w:r w:rsidR="00FA0C7D">
        <w:rPr>
          <w:rFonts w:ascii="Avenir Next" w:hAnsi="Avenir Next" w:cs="Arial"/>
          <w:sz w:val="22"/>
          <w:szCs w:val="28"/>
          <w:u w:val="single"/>
        </w:rPr>
        <w:t>main</w:t>
      </w:r>
      <w:r w:rsidR="00FA0C7D">
        <w:rPr>
          <w:rFonts w:ascii="Avenir Next" w:hAnsi="Avenir Next" w:cs="Arial"/>
          <w:sz w:val="22"/>
          <w:szCs w:val="28"/>
        </w:rPr>
        <w:t xml:space="preserve"> proceeding (as per </w:t>
      </w:r>
      <w:r w:rsidR="00FA0C7D">
        <w:rPr>
          <w:rFonts w:ascii="Avenir Next" w:hAnsi="Avenir Next" w:cs="Arial"/>
          <w:b/>
          <w:sz w:val="22"/>
          <w:szCs w:val="28"/>
        </w:rPr>
        <w:t>Article 17</w:t>
      </w:r>
      <w:r w:rsidR="00FA0C7D">
        <w:rPr>
          <w:rFonts w:ascii="Avenir Next" w:hAnsi="Avenir Next" w:cs="Arial"/>
          <w:sz w:val="22"/>
          <w:szCs w:val="28"/>
        </w:rPr>
        <w:t xml:space="preserve">).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1754C1AA" w:rsidR="002253D8" w:rsidRDefault="002253D8" w:rsidP="009F0C5A">
      <w:pPr>
        <w:jc w:val="both"/>
        <w:rPr>
          <w:rFonts w:ascii="Avenir Next" w:hAnsi="Avenir Next" w:cs="Arial"/>
          <w:sz w:val="22"/>
          <w:szCs w:val="28"/>
        </w:rPr>
      </w:pPr>
    </w:p>
    <w:p w14:paraId="29964810" w14:textId="13793789" w:rsidR="00492B52" w:rsidRDefault="00492B52" w:rsidP="009F0C5A">
      <w:pPr>
        <w:jc w:val="both"/>
        <w:rPr>
          <w:rFonts w:ascii="Avenir Next" w:hAnsi="Avenir Next" w:cs="Arial"/>
          <w:sz w:val="22"/>
          <w:szCs w:val="28"/>
        </w:rPr>
      </w:pPr>
      <w:r>
        <w:rPr>
          <w:rFonts w:ascii="Avenir Next" w:hAnsi="Avenir Next" w:cs="Arial"/>
          <w:sz w:val="22"/>
          <w:szCs w:val="28"/>
        </w:rPr>
        <w:t xml:space="preserve">Given that Italy and Germany are obviously both EU member states the appropriate source of law would be </w:t>
      </w:r>
      <w:r w:rsidRPr="00492B52">
        <w:rPr>
          <w:rFonts w:ascii="Avenir Next" w:hAnsi="Avenir Next" w:cs="Arial"/>
          <w:b/>
          <w:sz w:val="22"/>
          <w:szCs w:val="28"/>
        </w:rPr>
        <w:t>Regulation (EU) 2015/848</w:t>
      </w:r>
      <w:r>
        <w:rPr>
          <w:rFonts w:ascii="Avenir Next" w:hAnsi="Avenir Next" w:cs="Arial"/>
          <w:sz w:val="22"/>
          <w:szCs w:val="28"/>
        </w:rPr>
        <w:t>, governing international insolvencies within the Union. Pursuant to that provision</w:t>
      </w:r>
      <w:r w:rsidR="00B72B80">
        <w:rPr>
          <w:rFonts w:ascii="Avenir Next" w:hAnsi="Avenir Next" w:cs="Arial"/>
          <w:sz w:val="22"/>
          <w:szCs w:val="28"/>
        </w:rPr>
        <w:t>,</w:t>
      </w:r>
      <w:r>
        <w:rPr>
          <w:rFonts w:ascii="Avenir Next" w:hAnsi="Avenir Next" w:cs="Arial"/>
          <w:sz w:val="22"/>
          <w:szCs w:val="28"/>
        </w:rPr>
        <w:t xml:space="preserve"> </w:t>
      </w:r>
      <w:r>
        <w:rPr>
          <w:rFonts w:ascii="Avenir Next" w:hAnsi="Avenir Next" w:cs="Arial"/>
          <w:b/>
          <w:sz w:val="22"/>
          <w:szCs w:val="28"/>
        </w:rPr>
        <w:t>Article 3</w:t>
      </w:r>
      <w:r>
        <w:rPr>
          <w:rFonts w:ascii="Avenir Next" w:hAnsi="Avenir Next" w:cs="Arial"/>
          <w:sz w:val="22"/>
          <w:szCs w:val="28"/>
        </w:rPr>
        <w:t xml:space="preserve"> stipulates that</w:t>
      </w:r>
      <w:r w:rsidR="00BE4E20">
        <w:rPr>
          <w:rFonts w:ascii="Avenir Next" w:hAnsi="Avenir Next" w:cs="Arial"/>
          <w:sz w:val="22"/>
          <w:szCs w:val="28"/>
        </w:rPr>
        <w:t xml:space="preserve"> the Court of the Member State where the COMI is located shall have jurisdiction to open insolvency </w:t>
      </w:r>
      <w:r w:rsidR="0035318D">
        <w:rPr>
          <w:rFonts w:ascii="Avenir Next" w:hAnsi="Avenir Next" w:cs="Arial"/>
          <w:sz w:val="22"/>
          <w:szCs w:val="28"/>
        </w:rPr>
        <w:t>proceedings which are termed ‘main insolvency proceedings’, and that:</w:t>
      </w:r>
    </w:p>
    <w:p w14:paraId="3ABD03AD" w14:textId="0042D513" w:rsidR="00BE4E20" w:rsidRDefault="00BE4E20" w:rsidP="009F0C5A">
      <w:pPr>
        <w:jc w:val="both"/>
        <w:rPr>
          <w:rFonts w:ascii="Avenir Next" w:hAnsi="Avenir Next" w:cs="Arial"/>
          <w:sz w:val="22"/>
          <w:szCs w:val="28"/>
        </w:rPr>
      </w:pPr>
    </w:p>
    <w:p w14:paraId="1EF4E97C" w14:textId="15FEE993" w:rsidR="00BE4E20" w:rsidRPr="0035318D" w:rsidRDefault="0035318D" w:rsidP="00BE4E20">
      <w:pPr>
        <w:jc w:val="both"/>
        <w:rPr>
          <w:rFonts w:ascii="Avenir Next" w:hAnsi="Avenir Next" w:cs="Arial"/>
          <w:i/>
          <w:sz w:val="22"/>
          <w:szCs w:val="28"/>
        </w:rPr>
      </w:pPr>
      <w:r w:rsidRPr="0035318D">
        <w:rPr>
          <w:rFonts w:ascii="Avenir Next" w:hAnsi="Avenir Next" w:cs="Arial"/>
          <w:i/>
          <w:sz w:val="22"/>
          <w:szCs w:val="28"/>
        </w:rPr>
        <w:t>“</w:t>
      </w:r>
      <w:r w:rsidR="00BE4E20" w:rsidRPr="0035318D">
        <w:rPr>
          <w:rFonts w:ascii="Avenir Next" w:hAnsi="Avenir Next" w:cs="Arial"/>
          <w:i/>
          <w:sz w:val="22"/>
          <w:szCs w:val="28"/>
        </w:rPr>
        <w:t xml:space="preserve">The </w:t>
      </w:r>
      <w:proofErr w:type="spellStart"/>
      <w:r w:rsidR="00BE4E20" w:rsidRPr="0035318D">
        <w:rPr>
          <w:rFonts w:ascii="Avenir Next" w:hAnsi="Avenir Next" w:cs="Arial"/>
          <w:i/>
          <w:sz w:val="22"/>
          <w:szCs w:val="28"/>
        </w:rPr>
        <w:t>centre</w:t>
      </w:r>
      <w:proofErr w:type="spellEnd"/>
      <w:r w:rsidR="00BE4E20" w:rsidRPr="0035318D">
        <w:rPr>
          <w:rFonts w:ascii="Avenir Next" w:hAnsi="Avenir Next" w:cs="Arial"/>
          <w:i/>
          <w:sz w:val="22"/>
          <w:szCs w:val="28"/>
        </w:rPr>
        <w:t xml:space="preserve"> of main interests shall be the place where the debtor conducts the administration of its interests on a regular basis and which is ascertainable by third parties</w:t>
      </w:r>
      <w:r w:rsidRPr="0035318D">
        <w:rPr>
          <w:rFonts w:ascii="Avenir Next" w:hAnsi="Avenir Next" w:cs="Arial"/>
          <w:i/>
          <w:sz w:val="22"/>
          <w:szCs w:val="28"/>
        </w:rPr>
        <w:t xml:space="preserve">. </w:t>
      </w:r>
      <w:r w:rsidR="00BE4E20" w:rsidRPr="0035318D">
        <w:rPr>
          <w:rFonts w:ascii="Avenir Next" w:hAnsi="Avenir Next" w:cs="Arial"/>
          <w:i/>
          <w:sz w:val="22"/>
          <w:szCs w:val="28"/>
        </w:rPr>
        <w:t xml:space="preserve">In the case of a company or legal person, the place of the registered office shall be presumed to be the </w:t>
      </w:r>
      <w:proofErr w:type="spellStart"/>
      <w:r w:rsidR="00BE4E20" w:rsidRPr="0035318D">
        <w:rPr>
          <w:rFonts w:ascii="Avenir Next" w:hAnsi="Avenir Next" w:cs="Arial"/>
          <w:i/>
          <w:sz w:val="22"/>
          <w:szCs w:val="28"/>
        </w:rPr>
        <w:t>centre</w:t>
      </w:r>
      <w:proofErr w:type="spellEnd"/>
      <w:r w:rsidR="00BE4E20" w:rsidRPr="0035318D">
        <w:rPr>
          <w:rFonts w:ascii="Avenir Next" w:hAnsi="Avenir Next" w:cs="Arial"/>
          <w:i/>
          <w:sz w:val="22"/>
          <w:szCs w:val="28"/>
        </w:rPr>
        <w:t xml:space="preserve"> of its main interests in the absence of proof to the contrary. That presumption shall only apply if the registered office has not been moved to another Member State within the 3-month period prior to the request for the opening of insolvency proceedings.</w:t>
      </w:r>
      <w:r w:rsidRPr="0035318D">
        <w:rPr>
          <w:rFonts w:ascii="Avenir Next" w:hAnsi="Avenir Next" w:cs="Arial"/>
          <w:i/>
          <w:sz w:val="22"/>
          <w:szCs w:val="28"/>
        </w:rPr>
        <w:t>”</w:t>
      </w:r>
    </w:p>
    <w:p w14:paraId="71EF4B1E" w14:textId="0421BACF" w:rsidR="00492B52" w:rsidRDefault="00492B52" w:rsidP="009F0C5A">
      <w:pPr>
        <w:jc w:val="both"/>
        <w:rPr>
          <w:rFonts w:ascii="Avenir Next" w:hAnsi="Avenir Next" w:cs="Arial"/>
          <w:sz w:val="22"/>
          <w:szCs w:val="28"/>
        </w:rPr>
      </w:pPr>
    </w:p>
    <w:p w14:paraId="1D0842E3" w14:textId="774A1C2E" w:rsidR="00492B52" w:rsidRPr="0035318D" w:rsidRDefault="0035318D" w:rsidP="009F0C5A">
      <w:pPr>
        <w:jc w:val="both"/>
        <w:rPr>
          <w:rFonts w:ascii="Avenir Next" w:hAnsi="Avenir Next" w:cs="Arial"/>
          <w:sz w:val="22"/>
          <w:szCs w:val="28"/>
        </w:rPr>
      </w:pPr>
      <w:r>
        <w:rPr>
          <w:rFonts w:ascii="Avenir Next" w:hAnsi="Avenir Next" w:cs="Arial"/>
          <w:sz w:val="22"/>
          <w:szCs w:val="28"/>
        </w:rPr>
        <w:t xml:space="preserve">Accordingly, given that the COMI is in Italy, and the company’s management is directed from Italy, proceedings should be opened in Italy under </w:t>
      </w:r>
      <w:r>
        <w:rPr>
          <w:rFonts w:ascii="Avenir Next" w:hAnsi="Avenir Next" w:cs="Arial"/>
          <w:b/>
          <w:sz w:val="22"/>
          <w:szCs w:val="28"/>
        </w:rPr>
        <w:t>Article 3</w:t>
      </w:r>
      <w:r>
        <w:rPr>
          <w:rFonts w:ascii="Avenir Next" w:hAnsi="Avenir Next" w:cs="Arial"/>
          <w:sz w:val="22"/>
          <w:szCs w:val="28"/>
        </w:rPr>
        <w:t xml:space="preserve"> and </w:t>
      </w:r>
      <w:r>
        <w:rPr>
          <w:rFonts w:ascii="Avenir Next" w:hAnsi="Avenir Next" w:cs="Arial"/>
          <w:sz w:val="22"/>
          <w:szCs w:val="28"/>
          <w:u w:val="single"/>
        </w:rPr>
        <w:t>not</w:t>
      </w:r>
      <w:r>
        <w:rPr>
          <w:rFonts w:ascii="Avenir Next" w:hAnsi="Avenir Next" w:cs="Arial"/>
          <w:sz w:val="22"/>
          <w:szCs w:val="28"/>
        </w:rPr>
        <w:t xml:space="preserve"> Germany. </w:t>
      </w:r>
    </w:p>
    <w:p w14:paraId="0BF0E315" w14:textId="77777777" w:rsidR="00492B52" w:rsidRPr="00492B52" w:rsidRDefault="00492B52" w:rsidP="009F0C5A">
      <w:pPr>
        <w:jc w:val="both"/>
        <w:rPr>
          <w:rFonts w:ascii="Avenir Next" w:hAnsi="Avenir Next" w:cs="Arial"/>
          <w:sz w:val="22"/>
          <w:szCs w:val="28"/>
        </w:rPr>
      </w:pP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2DDBF91A" w:rsidR="002253D8" w:rsidRDefault="002253D8" w:rsidP="007815D1">
      <w:pPr>
        <w:jc w:val="both"/>
        <w:rPr>
          <w:rFonts w:ascii="Avenir Next" w:hAnsi="Avenir Next" w:cs="Arial"/>
          <w:sz w:val="22"/>
          <w:szCs w:val="28"/>
        </w:rPr>
      </w:pPr>
    </w:p>
    <w:p w14:paraId="6AF02F30" w14:textId="7A59FDF5" w:rsidR="009C7FA5" w:rsidRDefault="009C7FA5" w:rsidP="007815D1">
      <w:pPr>
        <w:jc w:val="both"/>
        <w:rPr>
          <w:rFonts w:ascii="Avenir Next" w:hAnsi="Avenir Next" w:cs="Arial"/>
          <w:sz w:val="22"/>
          <w:szCs w:val="28"/>
        </w:rPr>
      </w:pPr>
      <w:r>
        <w:rPr>
          <w:rFonts w:ascii="Avenir Next" w:hAnsi="Avenir Next" w:cs="Arial"/>
          <w:sz w:val="22"/>
          <w:szCs w:val="28"/>
        </w:rPr>
        <w:t>No. The EU Regulation cannot have the effect of unilaterally imposing its requirements on third (</w:t>
      </w:r>
      <w:r>
        <w:rPr>
          <w:rFonts w:ascii="Avenir Next" w:hAnsi="Avenir Next" w:cs="Arial"/>
          <w:i/>
          <w:sz w:val="22"/>
          <w:szCs w:val="28"/>
        </w:rPr>
        <w:t xml:space="preserve">i.e. </w:t>
      </w:r>
      <w:r>
        <w:rPr>
          <w:rFonts w:ascii="Avenir Next" w:hAnsi="Avenir Next" w:cs="Arial"/>
          <w:sz w:val="22"/>
          <w:szCs w:val="28"/>
        </w:rPr>
        <w:t xml:space="preserve">Non-EU) countries.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00143A52" w:rsidR="002253D8" w:rsidRDefault="002253D8" w:rsidP="002253D8">
      <w:pPr>
        <w:pStyle w:val="ListParagraph"/>
        <w:ind w:left="426"/>
        <w:jc w:val="both"/>
        <w:rPr>
          <w:rFonts w:ascii="Avenir Next" w:hAnsi="Avenir Next" w:cs="Arial"/>
          <w:sz w:val="22"/>
          <w:szCs w:val="28"/>
        </w:rPr>
      </w:pPr>
    </w:p>
    <w:p w14:paraId="520E184A" w14:textId="18D23454" w:rsidR="008625FB" w:rsidRPr="008625FB" w:rsidRDefault="00EE73F2" w:rsidP="008625FB">
      <w:pPr>
        <w:pStyle w:val="ListParagraph"/>
        <w:ind w:left="426"/>
        <w:jc w:val="both"/>
        <w:rPr>
          <w:rFonts w:ascii="Avenir Next" w:hAnsi="Avenir Next" w:cs="Arial"/>
          <w:sz w:val="22"/>
          <w:szCs w:val="28"/>
        </w:rPr>
      </w:pPr>
      <w:r>
        <w:rPr>
          <w:rFonts w:ascii="Avenir Next" w:hAnsi="Avenir Next" w:cs="Arial"/>
          <w:sz w:val="22"/>
          <w:szCs w:val="28"/>
        </w:rPr>
        <w:t xml:space="preserve">Italian law in respect of the proceeding, as per </w:t>
      </w:r>
      <w:r w:rsidRPr="00723F4C">
        <w:rPr>
          <w:rFonts w:ascii="Avenir Next" w:hAnsi="Avenir Next" w:cs="Arial"/>
          <w:b/>
          <w:sz w:val="22"/>
          <w:szCs w:val="28"/>
        </w:rPr>
        <w:t>Article 7</w:t>
      </w:r>
      <w:r>
        <w:rPr>
          <w:rFonts w:ascii="Avenir Next" w:hAnsi="Avenir Next" w:cs="Arial"/>
          <w:sz w:val="22"/>
          <w:szCs w:val="28"/>
        </w:rPr>
        <w:t xml:space="preserve"> of the Regulation. </w:t>
      </w:r>
      <w:r w:rsidR="008625FB">
        <w:rPr>
          <w:rFonts w:ascii="Avenir Next" w:hAnsi="Avenir Next" w:cs="Arial"/>
          <w:sz w:val="22"/>
          <w:szCs w:val="28"/>
        </w:rPr>
        <w:t xml:space="preserve">Moreover, </w:t>
      </w:r>
      <w:r w:rsidR="008625FB" w:rsidRPr="00723F4C">
        <w:rPr>
          <w:rFonts w:ascii="Avenir Next" w:hAnsi="Avenir Next" w:cs="Arial"/>
          <w:b/>
          <w:sz w:val="22"/>
          <w:szCs w:val="28"/>
        </w:rPr>
        <w:t>Article 20</w:t>
      </w:r>
      <w:r w:rsidR="008625FB">
        <w:rPr>
          <w:rFonts w:ascii="Avenir Next" w:hAnsi="Avenir Next" w:cs="Arial"/>
          <w:sz w:val="22"/>
          <w:szCs w:val="28"/>
        </w:rPr>
        <w:t xml:space="preserve"> ensures that the Italian judgment opening proceedings must be </w:t>
      </w:r>
      <w:proofErr w:type="spellStart"/>
      <w:r w:rsidR="008625FB">
        <w:rPr>
          <w:rFonts w:ascii="Avenir Next" w:hAnsi="Avenir Next" w:cs="Arial"/>
          <w:sz w:val="22"/>
          <w:szCs w:val="28"/>
        </w:rPr>
        <w:t>recogni</w:t>
      </w:r>
      <w:r w:rsidR="00723F4C">
        <w:rPr>
          <w:rFonts w:ascii="Avenir Next" w:hAnsi="Avenir Next" w:cs="Arial"/>
          <w:sz w:val="22"/>
          <w:szCs w:val="28"/>
        </w:rPr>
        <w:t>s</w:t>
      </w:r>
      <w:r w:rsidR="008625FB">
        <w:rPr>
          <w:rFonts w:ascii="Avenir Next" w:hAnsi="Avenir Next" w:cs="Arial"/>
          <w:sz w:val="22"/>
          <w:szCs w:val="28"/>
        </w:rPr>
        <w:t>ed</w:t>
      </w:r>
      <w:proofErr w:type="spellEnd"/>
      <w:r w:rsidR="008625FB">
        <w:rPr>
          <w:rFonts w:ascii="Avenir Next" w:hAnsi="Avenir Next" w:cs="Arial"/>
          <w:sz w:val="22"/>
          <w:szCs w:val="28"/>
        </w:rPr>
        <w:t xml:space="preserve"> in the Netherlands. However, as per </w:t>
      </w:r>
      <w:r w:rsidR="008625FB" w:rsidRPr="00723F4C">
        <w:rPr>
          <w:rFonts w:ascii="Avenir Next" w:hAnsi="Avenir Next" w:cs="Arial"/>
          <w:b/>
          <w:sz w:val="22"/>
          <w:szCs w:val="28"/>
        </w:rPr>
        <w:t>Article 21(3</w:t>
      </w:r>
      <w:r w:rsidR="008625FB">
        <w:rPr>
          <w:rFonts w:ascii="Avenir Next" w:hAnsi="Avenir Next" w:cs="Arial"/>
          <w:sz w:val="22"/>
          <w:szCs w:val="28"/>
        </w:rPr>
        <w:t xml:space="preserve">), </w:t>
      </w:r>
      <w:r w:rsidR="008625FB" w:rsidRPr="008625FB">
        <w:rPr>
          <w:rFonts w:ascii="Avenir Next" w:hAnsi="Avenir Next" w:cs="Arial"/>
          <w:i/>
          <w:sz w:val="22"/>
          <w:szCs w:val="28"/>
        </w:rPr>
        <w:t xml:space="preserve">“In exercising its powers, the insolvency practitioner shall comply with the law of the Member State within the territory of which it intends to take action, in particular with regard to procedures for the </w:t>
      </w:r>
      <w:proofErr w:type="spellStart"/>
      <w:r w:rsidR="008625FB" w:rsidRPr="008625FB">
        <w:rPr>
          <w:rFonts w:ascii="Avenir Next" w:hAnsi="Avenir Next" w:cs="Arial"/>
          <w:i/>
          <w:sz w:val="22"/>
          <w:szCs w:val="28"/>
        </w:rPr>
        <w:t>realisation</w:t>
      </w:r>
      <w:proofErr w:type="spellEnd"/>
      <w:r w:rsidR="008625FB" w:rsidRPr="008625FB">
        <w:rPr>
          <w:rFonts w:ascii="Avenir Next" w:hAnsi="Avenir Next" w:cs="Arial"/>
          <w:i/>
          <w:sz w:val="22"/>
          <w:szCs w:val="28"/>
        </w:rPr>
        <w:t xml:space="preserve"> of assets”.</w:t>
      </w:r>
      <w:r w:rsidR="008625FB">
        <w:rPr>
          <w:rFonts w:ascii="Avenir Next" w:hAnsi="Avenir Next" w:cs="Arial"/>
          <w:i/>
          <w:sz w:val="22"/>
          <w:szCs w:val="28"/>
        </w:rPr>
        <w:t xml:space="preserve"> </w:t>
      </w:r>
      <w:r w:rsidR="008625FB">
        <w:rPr>
          <w:rFonts w:ascii="Avenir Next" w:hAnsi="Avenir Next" w:cs="Arial"/>
          <w:sz w:val="22"/>
          <w:szCs w:val="28"/>
        </w:rPr>
        <w:t xml:space="preserve">So, on that basis, </w:t>
      </w:r>
      <w:r w:rsidR="00BE4529">
        <w:rPr>
          <w:rFonts w:ascii="Avenir Next" w:hAnsi="Avenir Next" w:cs="Arial"/>
          <w:sz w:val="22"/>
          <w:szCs w:val="28"/>
        </w:rPr>
        <w:t xml:space="preserve">there may be the application of Dutch law in respect of the real rights of security. </w:t>
      </w:r>
      <w:r w:rsidR="001A289B">
        <w:rPr>
          <w:rFonts w:ascii="Avenir Next" w:hAnsi="Avenir Next" w:cs="Arial"/>
          <w:sz w:val="22"/>
          <w:szCs w:val="28"/>
        </w:rPr>
        <w:t xml:space="preserve"> </w:t>
      </w:r>
    </w:p>
    <w:p w14:paraId="30CB3DF2" w14:textId="77777777" w:rsidR="00A25351" w:rsidRDefault="00A25351" w:rsidP="002253D8">
      <w:pPr>
        <w:pStyle w:val="ListParagraph"/>
        <w:ind w:left="426"/>
        <w:jc w:val="both"/>
        <w:rPr>
          <w:rFonts w:ascii="Avenir Next" w:hAnsi="Avenir Next" w:cs="Arial"/>
          <w:sz w:val="22"/>
          <w:szCs w:val="28"/>
        </w:rPr>
      </w:pPr>
    </w:p>
    <w:p w14:paraId="68820C87" w14:textId="77777777" w:rsidR="004827A3" w:rsidRPr="004827A3" w:rsidRDefault="004827A3" w:rsidP="002253D8">
      <w:pPr>
        <w:jc w:val="both"/>
        <w:rPr>
          <w:rFonts w:ascii="Avenir Next" w:hAnsi="Avenir Next" w:cs="Arial"/>
          <w:sz w:val="24"/>
          <w:lang w:val="en-GB"/>
        </w:rPr>
      </w:pPr>
    </w:p>
    <w:p w14:paraId="60277E5E" w14:textId="7360570E"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51F8B351" w14:textId="2F81410F" w:rsidR="00FE2F2A" w:rsidRDefault="00FE2F2A" w:rsidP="00FE2F2A">
      <w:pPr>
        <w:jc w:val="both"/>
        <w:rPr>
          <w:rFonts w:ascii="Avenir Next" w:hAnsi="Avenir Next" w:cs="Arial"/>
          <w:sz w:val="22"/>
          <w:szCs w:val="28"/>
        </w:rPr>
      </w:pPr>
    </w:p>
    <w:p w14:paraId="0CA99D44" w14:textId="17AA6468" w:rsidR="00FE2F2A" w:rsidRPr="0025288D" w:rsidRDefault="00FE2F2A" w:rsidP="00234F66">
      <w:pPr>
        <w:ind w:left="450"/>
        <w:jc w:val="both"/>
        <w:rPr>
          <w:rFonts w:ascii="Avenir Next" w:hAnsi="Avenir Next" w:cs="Arial"/>
          <w:sz w:val="22"/>
          <w:szCs w:val="28"/>
        </w:rPr>
      </w:pPr>
      <w:r>
        <w:rPr>
          <w:rFonts w:ascii="Avenir Next" w:hAnsi="Avenir Next" w:cs="Arial"/>
          <w:sz w:val="22"/>
          <w:szCs w:val="28"/>
        </w:rPr>
        <w:t>Australian law</w:t>
      </w:r>
      <w:r w:rsidR="00EE73F2">
        <w:rPr>
          <w:rFonts w:ascii="Avenir Next" w:hAnsi="Avenir Next" w:cs="Arial"/>
          <w:sz w:val="22"/>
          <w:szCs w:val="28"/>
        </w:rPr>
        <w:t xml:space="preserve"> </w:t>
      </w:r>
      <w:r w:rsidR="00234F66">
        <w:rPr>
          <w:rFonts w:ascii="Avenir Next" w:hAnsi="Avenir Next" w:cs="Arial"/>
          <w:sz w:val="22"/>
          <w:szCs w:val="28"/>
        </w:rPr>
        <w:t xml:space="preserve">will apply to the insolvency proceeding and also </w:t>
      </w:r>
      <w:r w:rsidR="00EE73F2">
        <w:rPr>
          <w:rFonts w:ascii="Avenir Next" w:hAnsi="Avenir Next" w:cs="Arial"/>
          <w:sz w:val="22"/>
          <w:szCs w:val="28"/>
        </w:rPr>
        <w:t>the real rights of security</w:t>
      </w:r>
      <w:r w:rsidR="00234F66">
        <w:rPr>
          <w:rFonts w:ascii="Avenir Next" w:hAnsi="Avenir Next" w:cs="Arial"/>
          <w:sz w:val="22"/>
          <w:szCs w:val="28"/>
        </w:rPr>
        <w:t xml:space="preserve"> situated there</w:t>
      </w:r>
      <w:r>
        <w:rPr>
          <w:rFonts w:ascii="Avenir Next" w:hAnsi="Avenir Next" w:cs="Arial"/>
          <w:sz w:val="22"/>
          <w:szCs w:val="28"/>
        </w:rPr>
        <w:t>.</w:t>
      </w:r>
      <w:r w:rsidR="008625FB">
        <w:rPr>
          <w:rFonts w:ascii="Avenir Next" w:hAnsi="Avenir Next" w:cs="Arial"/>
          <w:sz w:val="22"/>
          <w:szCs w:val="28"/>
        </w:rPr>
        <w:t xml:space="preserve"> </w:t>
      </w:r>
      <w:r w:rsidR="0025288D">
        <w:rPr>
          <w:rFonts w:ascii="Avenir Next" w:hAnsi="Avenir Next" w:cs="Arial"/>
          <w:sz w:val="22"/>
          <w:szCs w:val="28"/>
        </w:rPr>
        <w:t xml:space="preserve">Australia is obviously not a Member State of the EU and not bound by the </w:t>
      </w:r>
      <w:r w:rsidR="0025288D">
        <w:rPr>
          <w:rFonts w:ascii="Avenir Next" w:hAnsi="Avenir Next" w:cs="Arial"/>
          <w:b/>
          <w:sz w:val="22"/>
          <w:szCs w:val="28"/>
        </w:rPr>
        <w:t>Regulation</w:t>
      </w:r>
      <w:r w:rsidR="0025288D">
        <w:rPr>
          <w:rFonts w:ascii="Avenir Next" w:hAnsi="Avenir Next" w:cs="Arial"/>
          <w:sz w:val="22"/>
          <w:szCs w:val="28"/>
        </w:rPr>
        <w:t xml:space="preserve">. Similarly, the law applicable to the real rights of security would be Australian law. </w:t>
      </w:r>
    </w:p>
    <w:p w14:paraId="2026248A" w14:textId="77777777" w:rsidR="002253D8" w:rsidRDefault="002253D8" w:rsidP="002253D8">
      <w:pPr>
        <w:jc w:val="both"/>
        <w:rPr>
          <w:rFonts w:ascii="Avenir Next" w:hAnsi="Avenir Next" w:cs="Arial"/>
          <w:sz w:val="22"/>
          <w:szCs w:val="28"/>
        </w:rPr>
      </w:pP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F3C8ED5" w:rsidR="00B64A85" w:rsidRDefault="00682D78" w:rsidP="0052732A">
    <w:pPr>
      <w:pStyle w:val="Footer"/>
      <w:ind w:right="360"/>
      <w:rPr>
        <w:rFonts w:ascii="Avenir Next" w:hAnsi="Avenir Next" w:cs="Arial"/>
        <w:sz w:val="22"/>
        <w:szCs w:val="22"/>
      </w:rPr>
    </w:pPr>
    <w:r w:rsidRPr="00682D78">
      <w:rPr>
        <w:rFonts w:ascii="Avenir Next" w:hAnsi="Avenir Next" w:cs="Arial"/>
        <w:sz w:val="22"/>
        <w:szCs w:val="22"/>
      </w:rPr>
      <w:t>FC202324-1447</w:t>
    </w:r>
    <w:r w:rsidR="00B64A85" w:rsidRPr="00297BDF">
      <w:rPr>
        <w:rFonts w:ascii="Avenir Next" w:hAnsi="Avenir Next" w:cs="Arial"/>
        <w:sz w:val="22"/>
        <w:szCs w:val="22"/>
      </w:rPr>
      <w:t>.assessment1summative</w:t>
    </w:r>
  </w:p>
  <w:p w14:paraId="31B29779" w14:textId="23ED0B66" w:rsidR="00066787" w:rsidRPr="00297BDF" w:rsidRDefault="00066787" w:rsidP="00066787">
    <w:pPr>
      <w:pStyle w:val="Footer"/>
      <w:ind w:right="360"/>
      <w:rPr>
        <w:rFonts w:ascii="Avenir Next" w:hAnsi="Avenir Next"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07EC" w14:textId="239E6011" w:rsidR="00066787" w:rsidRDefault="00066787">
    <w:pPr>
      <w:pStyle w:val="Footer"/>
    </w:pPr>
  </w:p>
  <w:p w14:paraId="0DD825CD" w14:textId="371D04C6" w:rsidR="00066787" w:rsidRDefault="00066787" w:rsidP="0006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 w:id="1">
    <w:p w14:paraId="2F9CEEDA" w14:textId="636CF977" w:rsidR="00380C5F" w:rsidRDefault="00380C5F">
      <w:pPr>
        <w:pStyle w:val="FootnoteText"/>
      </w:pPr>
      <w:r>
        <w:rPr>
          <w:rStyle w:val="FootnoteReference"/>
        </w:rPr>
        <w:footnoteRef/>
      </w:r>
      <w:r>
        <w:t xml:space="preserve"> Module 1 Guidance Te</w:t>
      </w:r>
      <w:r w:rsidR="00614854">
        <w:t>x</w:t>
      </w:r>
      <w:r>
        <w:t>t, p 4.</w:t>
      </w:r>
    </w:p>
  </w:footnote>
  <w:footnote w:id="2">
    <w:p w14:paraId="0122F1B4" w14:textId="7513296E" w:rsidR="00380C5F" w:rsidRDefault="00380C5F">
      <w:pPr>
        <w:pStyle w:val="FootnoteText"/>
      </w:pPr>
      <w:r>
        <w:rPr>
          <w:rStyle w:val="FootnoteReference"/>
        </w:rPr>
        <w:footnoteRef/>
      </w:r>
      <w:r>
        <w:t xml:space="preserve"> Ibid.</w:t>
      </w:r>
    </w:p>
  </w:footnote>
  <w:footnote w:id="3">
    <w:p w14:paraId="74367D15" w14:textId="4AEB48FB" w:rsidR="00380C5F" w:rsidRDefault="00380C5F">
      <w:pPr>
        <w:pStyle w:val="FootnoteText"/>
      </w:pPr>
      <w:r>
        <w:rPr>
          <w:rStyle w:val="FootnoteReference"/>
        </w:rPr>
        <w:footnoteRef/>
      </w:r>
      <w:r>
        <w:t xml:space="preserve"> Ibid 6.</w:t>
      </w:r>
    </w:p>
  </w:footnote>
  <w:footnote w:id="4">
    <w:p w14:paraId="56A33B33" w14:textId="77777777" w:rsidR="00030F0E" w:rsidRDefault="00030F0E" w:rsidP="00030F0E">
      <w:pPr>
        <w:pStyle w:val="FootnoteText"/>
      </w:pPr>
      <w:r>
        <w:rPr>
          <w:rStyle w:val="FootnoteReference"/>
        </w:rPr>
        <w:footnoteRef/>
      </w:r>
      <w:r>
        <w:t xml:space="preserve"> Ibid, p 37</w:t>
      </w:r>
    </w:p>
  </w:footnote>
  <w:footnote w:id="5">
    <w:p w14:paraId="397E8CD3" w14:textId="331A9202" w:rsidR="00030F0E" w:rsidRDefault="00030F0E">
      <w:pPr>
        <w:pStyle w:val="FootnoteText"/>
      </w:pPr>
      <w:r>
        <w:rPr>
          <w:rStyle w:val="FootnoteReference"/>
        </w:rPr>
        <w:footnoteRef/>
      </w:r>
      <w:r>
        <w:t xml:space="preserve"> Ibid, p 40</w:t>
      </w:r>
    </w:p>
  </w:footnote>
  <w:footnote w:id="6">
    <w:p w14:paraId="7159C317" w14:textId="0AD6D20E" w:rsidR="00571DDF" w:rsidRDefault="00571DDF">
      <w:pPr>
        <w:pStyle w:val="FootnoteText"/>
      </w:pPr>
      <w:r>
        <w:rPr>
          <w:rStyle w:val="FootnoteReference"/>
        </w:rPr>
        <w:footnoteRef/>
      </w:r>
      <w:r>
        <w:t xml:space="preserve"> Ibid, 38. </w:t>
      </w:r>
    </w:p>
  </w:footnote>
  <w:footnote w:id="7">
    <w:p w14:paraId="1F98E9D1" w14:textId="4C16F3AE" w:rsidR="005D6265" w:rsidRDefault="005D6265">
      <w:pPr>
        <w:pStyle w:val="FootnoteText"/>
      </w:pPr>
      <w:r>
        <w:rPr>
          <w:rStyle w:val="FootnoteReference"/>
        </w:rPr>
        <w:footnoteRef/>
      </w:r>
      <w:r>
        <w:t xml:space="preserve"> Ibid, 59. </w:t>
      </w:r>
    </w:p>
  </w:footnote>
  <w:footnote w:id="8">
    <w:p w14:paraId="09889ECF" w14:textId="3A723D3A" w:rsidR="00A54BD7" w:rsidRDefault="00A54BD7">
      <w:pPr>
        <w:pStyle w:val="FootnoteText"/>
      </w:pPr>
      <w:r>
        <w:rPr>
          <w:rStyle w:val="FootnoteReference"/>
        </w:rPr>
        <w:footnoteRef/>
      </w:r>
      <w:r>
        <w:t xml:space="preserve"> Ibid, 61</w:t>
      </w:r>
      <w:r w:rsidR="00614854">
        <w:t xml:space="preserve"> – content paraphrased</w:t>
      </w:r>
      <w:r>
        <w:t xml:space="preserve">. </w:t>
      </w:r>
    </w:p>
  </w:footnote>
  <w:footnote w:id="9">
    <w:p w14:paraId="569FDB80" w14:textId="1C75D50A" w:rsidR="00A54BD7" w:rsidRDefault="00A54BD7">
      <w:pPr>
        <w:pStyle w:val="FootnoteText"/>
      </w:pPr>
      <w:r>
        <w:rPr>
          <w:rStyle w:val="FootnoteReference"/>
        </w:rPr>
        <w:footnoteRef/>
      </w:r>
      <w:r>
        <w:t xml:space="preserve"> Ibid. </w:t>
      </w:r>
    </w:p>
  </w:footnote>
  <w:footnote w:id="10">
    <w:p w14:paraId="1918A908" w14:textId="76DA4A2A" w:rsidR="003F2752" w:rsidRDefault="003F2752">
      <w:pPr>
        <w:pStyle w:val="FootnoteText"/>
      </w:pPr>
      <w:r>
        <w:rPr>
          <w:rStyle w:val="FootnoteReference"/>
        </w:rPr>
        <w:footnoteRef/>
      </w:r>
      <w:r>
        <w:t xml:space="preserve"> Ibid, 18</w:t>
      </w:r>
    </w:p>
  </w:footnote>
  <w:footnote w:id="11">
    <w:p w14:paraId="78F09FAC" w14:textId="6279EE52" w:rsidR="003F2752" w:rsidRDefault="003F2752">
      <w:pPr>
        <w:pStyle w:val="FootnoteText"/>
      </w:pPr>
      <w:r>
        <w:rPr>
          <w:rStyle w:val="FootnoteReference"/>
        </w:rPr>
        <w:footnoteRef/>
      </w:r>
      <w:r>
        <w:t xml:space="preserve"> Ibid, p 18. </w:t>
      </w:r>
    </w:p>
  </w:footnote>
  <w:footnote w:id="12">
    <w:p w14:paraId="20318B98" w14:textId="04221668" w:rsidR="003F2752" w:rsidRDefault="003F2752">
      <w:pPr>
        <w:pStyle w:val="FootnoteText"/>
      </w:pPr>
      <w:r>
        <w:rPr>
          <w:rStyle w:val="FootnoteReference"/>
        </w:rPr>
        <w:footnoteRef/>
      </w:r>
      <w:r>
        <w:t xml:space="preserve"> Ibid. </w:t>
      </w:r>
    </w:p>
  </w:footnote>
  <w:footnote w:id="13">
    <w:p w14:paraId="4233F686" w14:textId="0F32003F" w:rsidR="009B279B" w:rsidRDefault="009B279B">
      <w:pPr>
        <w:pStyle w:val="FootnoteText"/>
      </w:pPr>
      <w:r>
        <w:rPr>
          <w:rStyle w:val="FootnoteReference"/>
        </w:rPr>
        <w:footnoteRef/>
      </w:r>
      <w:r>
        <w:t xml:space="preserve"> Ibid.</w:t>
      </w:r>
    </w:p>
  </w:footnote>
  <w:footnote w:id="14">
    <w:p w14:paraId="78CD66C0" w14:textId="6045A254" w:rsidR="00AA123D" w:rsidRDefault="00AA123D">
      <w:pPr>
        <w:pStyle w:val="FootnoteText"/>
      </w:pPr>
      <w:r>
        <w:rPr>
          <w:rStyle w:val="FootnoteReference"/>
        </w:rPr>
        <w:footnoteRef/>
      </w:r>
      <w:r>
        <w:t xml:space="preserve"> Reference to the Italian obtain</w:t>
      </w:r>
      <w:r w:rsidR="00B65B6E">
        <w:t>ed</w:t>
      </w:r>
      <w:r>
        <w:t xml:space="preserve"> from the </w:t>
      </w:r>
      <w:r w:rsidR="00B65B6E">
        <w:t>Guidance Text</w:t>
      </w:r>
      <w:r>
        <w:t xml:space="preserve">, p 4. </w:t>
      </w:r>
    </w:p>
  </w:footnote>
  <w:footnote w:id="15">
    <w:p w14:paraId="63E62A08" w14:textId="204E5348" w:rsidR="00450129" w:rsidRDefault="00450129">
      <w:pPr>
        <w:pStyle w:val="FootnoteText"/>
      </w:pPr>
      <w:r>
        <w:rPr>
          <w:rStyle w:val="FootnoteReference"/>
        </w:rPr>
        <w:footnoteRef/>
      </w:r>
      <w:r>
        <w:t xml:space="preserve"> </w:t>
      </w:r>
      <w:r w:rsidR="00BF28C8">
        <w:t xml:space="preserve">Paraphrased from </w:t>
      </w:r>
      <w:r w:rsidR="00B65B6E">
        <w:t>Guidance Text</w:t>
      </w:r>
      <w:r>
        <w:t xml:space="preserve">, 42. </w:t>
      </w:r>
    </w:p>
  </w:footnote>
  <w:footnote w:id="16">
    <w:p w14:paraId="668771D1" w14:textId="61DE1F1B" w:rsidR="00662863" w:rsidRDefault="00662863">
      <w:pPr>
        <w:pStyle w:val="FootnoteText"/>
      </w:pPr>
      <w:r>
        <w:rPr>
          <w:rStyle w:val="FootnoteReference"/>
        </w:rPr>
        <w:footnoteRef/>
      </w:r>
      <w:r>
        <w:t xml:space="preserve"> Ibid, 41. </w:t>
      </w:r>
    </w:p>
  </w:footnote>
  <w:footnote w:id="17">
    <w:p w14:paraId="7F9C3FFA" w14:textId="0AE39042" w:rsidR="004A2FE2" w:rsidRDefault="004A2FE2">
      <w:pPr>
        <w:pStyle w:val="FootnoteText"/>
      </w:pPr>
      <w:r>
        <w:rPr>
          <w:rStyle w:val="FootnoteReference"/>
        </w:rPr>
        <w:footnoteRef/>
      </w:r>
      <w:r>
        <w:t xml:space="preserve"> Ibid, 47.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560805"/>
    <w:multiLevelType w:val="hybridMultilevel"/>
    <w:tmpl w:val="62DE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782F6C"/>
    <w:multiLevelType w:val="hybridMultilevel"/>
    <w:tmpl w:val="F63E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6" w15:restartNumberingAfterBreak="0">
    <w:nsid w:val="7E4B452D"/>
    <w:multiLevelType w:val="hybridMultilevel"/>
    <w:tmpl w:val="FB2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3"/>
  </w:num>
  <w:num w:numId="4">
    <w:abstractNumId w:val="5"/>
  </w:num>
  <w:num w:numId="5">
    <w:abstractNumId w:val="23"/>
  </w:num>
  <w:num w:numId="6">
    <w:abstractNumId w:val="29"/>
  </w:num>
  <w:num w:numId="7">
    <w:abstractNumId w:val="15"/>
  </w:num>
  <w:num w:numId="8">
    <w:abstractNumId w:val="34"/>
  </w:num>
  <w:num w:numId="9">
    <w:abstractNumId w:val="14"/>
  </w:num>
  <w:num w:numId="10">
    <w:abstractNumId w:val="30"/>
  </w:num>
  <w:num w:numId="11">
    <w:abstractNumId w:val="11"/>
  </w:num>
  <w:num w:numId="12">
    <w:abstractNumId w:val="31"/>
  </w:num>
  <w:num w:numId="13">
    <w:abstractNumId w:val="22"/>
  </w:num>
  <w:num w:numId="14">
    <w:abstractNumId w:val="21"/>
  </w:num>
  <w:num w:numId="15">
    <w:abstractNumId w:val="6"/>
  </w:num>
  <w:num w:numId="16">
    <w:abstractNumId w:val="24"/>
  </w:num>
  <w:num w:numId="17">
    <w:abstractNumId w:val="18"/>
  </w:num>
  <w:num w:numId="18">
    <w:abstractNumId w:val="20"/>
  </w:num>
  <w:num w:numId="19">
    <w:abstractNumId w:val="27"/>
  </w:num>
  <w:num w:numId="20">
    <w:abstractNumId w:val="10"/>
  </w:num>
  <w:num w:numId="21">
    <w:abstractNumId w:val="17"/>
  </w:num>
  <w:num w:numId="22">
    <w:abstractNumId w:val="0"/>
  </w:num>
  <w:num w:numId="23">
    <w:abstractNumId w:val="26"/>
  </w:num>
  <w:num w:numId="24">
    <w:abstractNumId w:val="1"/>
  </w:num>
  <w:num w:numId="25">
    <w:abstractNumId w:val="32"/>
  </w:num>
  <w:num w:numId="26">
    <w:abstractNumId w:val="35"/>
  </w:num>
  <w:num w:numId="27">
    <w:abstractNumId w:val="9"/>
  </w:num>
  <w:num w:numId="28">
    <w:abstractNumId w:val="8"/>
  </w:num>
  <w:num w:numId="29">
    <w:abstractNumId w:val="7"/>
  </w:num>
  <w:num w:numId="30">
    <w:abstractNumId w:val="12"/>
  </w:num>
  <w:num w:numId="31">
    <w:abstractNumId w:val="4"/>
  </w:num>
  <w:num w:numId="32">
    <w:abstractNumId w:val="16"/>
  </w:num>
  <w:num w:numId="33">
    <w:abstractNumId w:val="25"/>
  </w:num>
  <w:num w:numId="34">
    <w:abstractNumId w:val="13"/>
  </w:num>
  <w:num w:numId="35">
    <w:abstractNumId w:val="36"/>
  </w:num>
  <w:num w:numId="36">
    <w:abstractNumId w:val="2"/>
  </w:num>
  <w:num w:numId="3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0F0E"/>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787"/>
    <w:rsid w:val="00066AE7"/>
    <w:rsid w:val="0007091D"/>
    <w:rsid w:val="000741EA"/>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095B"/>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13C"/>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289B"/>
    <w:rsid w:val="001A620B"/>
    <w:rsid w:val="001A716A"/>
    <w:rsid w:val="001A7E9A"/>
    <w:rsid w:val="001A7ECF"/>
    <w:rsid w:val="001B0F70"/>
    <w:rsid w:val="001B2FB5"/>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4F66"/>
    <w:rsid w:val="002362AB"/>
    <w:rsid w:val="002400DB"/>
    <w:rsid w:val="002406A4"/>
    <w:rsid w:val="0024116D"/>
    <w:rsid w:val="00241B44"/>
    <w:rsid w:val="00245EFB"/>
    <w:rsid w:val="002526C5"/>
    <w:rsid w:val="0025288D"/>
    <w:rsid w:val="002529D2"/>
    <w:rsid w:val="0025386E"/>
    <w:rsid w:val="00254AB3"/>
    <w:rsid w:val="002638B0"/>
    <w:rsid w:val="00263ACF"/>
    <w:rsid w:val="0026510C"/>
    <w:rsid w:val="0026647A"/>
    <w:rsid w:val="002668D3"/>
    <w:rsid w:val="00266F17"/>
    <w:rsid w:val="002672D0"/>
    <w:rsid w:val="00270D04"/>
    <w:rsid w:val="002711E9"/>
    <w:rsid w:val="0027242B"/>
    <w:rsid w:val="0027299F"/>
    <w:rsid w:val="00275182"/>
    <w:rsid w:val="00275946"/>
    <w:rsid w:val="00276414"/>
    <w:rsid w:val="00276FEA"/>
    <w:rsid w:val="0028252D"/>
    <w:rsid w:val="00284EBE"/>
    <w:rsid w:val="00285887"/>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16C"/>
    <w:rsid w:val="002B1C45"/>
    <w:rsid w:val="002B2970"/>
    <w:rsid w:val="002C1227"/>
    <w:rsid w:val="002C13C8"/>
    <w:rsid w:val="002C259C"/>
    <w:rsid w:val="002C3547"/>
    <w:rsid w:val="002D0021"/>
    <w:rsid w:val="002D10A3"/>
    <w:rsid w:val="002D2356"/>
    <w:rsid w:val="002D295D"/>
    <w:rsid w:val="002D3473"/>
    <w:rsid w:val="002D388C"/>
    <w:rsid w:val="002E15D5"/>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3DC7"/>
    <w:rsid w:val="00334648"/>
    <w:rsid w:val="00336CA6"/>
    <w:rsid w:val="0033768C"/>
    <w:rsid w:val="00337938"/>
    <w:rsid w:val="00340769"/>
    <w:rsid w:val="00341A65"/>
    <w:rsid w:val="00341AA6"/>
    <w:rsid w:val="00342E57"/>
    <w:rsid w:val="003500E5"/>
    <w:rsid w:val="0035318D"/>
    <w:rsid w:val="00355048"/>
    <w:rsid w:val="00355B57"/>
    <w:rsid w:val="00361A0A"/>
    <w:rsid w:val="00361DF9"/>
    <w:rsid w:val="00363D71"/>
    <w:rsid w:val="0036565C"/>
    <w:rsid w:val="0036625E"/>
    <w:rsid w:val="00367162"/>
    <w:rsid w:val="00372CD4"/>
    <w:rsid w:val="0037386C"/>
    <w:rsid w:val="0037465A"/>
    <w:rsid w:val="00380C5F"/>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10DE"/>
    <w:rsid w:val="003A2448"/>
    <w:rsid w:val="003A2F5D"/>
    <w:rsid w:val="003A3128"/>
    <w:rsid w:val="003A5AD1"/>
    <w:rsid w:val="003A60FF"/>
    <w:rsid w:val="003A696A"/>
    <w:rsid w:val="003B170F"/>
    <w:rsid w:val="003B3A0D"/>
    <w:rsid w:val="003B3C5F"/>
    <w:rsid w:val="003C1451"/>
    <w:rsid w:val="003C2017"/>
    <w:rsid w:val="003C4471"/>
    <w:rsid w:val="003C473E"/>
    <w:rsid w:val="003D0296"/>
    <w:rsid w:val="003D0A6D"/>
    <w:rsid w:val="003D100A"/>
    <w:rsid w:val="003D3045"/>
    <w:rsid w:val="003D3410"/>
    <w:rsid w:val="003D3BF5"/>
    <w:rsid w:val="003D4300"/>
    <w:rsid w:val="003D485F"/>
    <w:rsid w:val="003D6AC4"/>
    <w:rsid w:val="003D7B57"/>
    <w:rsid w:val="003E004D"/>
    <w:rsid w:val="003E064D"/>
    <w:rsid w:val="003E0B16"/>
    <w:rsid w:val="003E2D1B"/>
    <w:rsid w:val="003E2E7C"/>
    <w:rsid w:val="003E67D1"/>
    <w:rsid w:val="003F0B80"/>
    <w:rsid w:val="003F1905"/>
    <w:rsid w:val="003F2752"/>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C2B"/>
    <w:rsid w:val="00440EDD"/>
    <w:rsid w:val="004417C1"/>
    <w:rsid w:val="00444284"/>
    <w:rsid w:val="004442F1"/>
    <w:rsid w:val="00445CE6"/>
    <w:rsid w:val="00446987"/>
    <w:rsid w:val="00450129"/>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0E82"/>
    <w:rsid w:val="00481FC8"/>
    <w:rsid w:val="0048258B"/>
    <w:rsid w:val="004827A3"/>
    <w:rsid w:val="00482FE3"/>
    <w:rsid w:val="00484689"/>
    <w:rsid w:val="00486065"/>
    <w:rsid w:val="00486776"/>
    <w:rsid w:val="004868BB"/>
    <w:rsid w:val="00491675"/>
    <w:rsid w:val="00492B52"/>
    <w:rsid w:val="00493855"/>
    <w:rsid w:val="00497558"/>
    <w:rsid w:val="00497CF9"/>
    <w:rsid w:val="004A27CB"/>
    <w:rsid w:val="004A2B2C"/>
    <w:rsid w:val="004A2FE2"/>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5EB"/>
    <w:rsid w:val="00555C4D"/>
    <w:rsid w:val="00560534"/>
    <w:rsid w:val="0056391B"/>
    <w:rsid w:val="005650E2"/>
    <w:rsid w:val="00566312"/>
    <w:rsid w:val="00566D80"/>
    <w:rsid w:val="00567AD7"/>
    <w:rsid w:val="005716C3"/>
    <w:rsid w:val="00571DDF"/>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422"/>
    <w:rsid w:val="005936B3"/>
    <w:rsid w:val="00593CA5"/>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3E58"/>
    <w:rsid w:val="005D41C6"/>
    <w:rsid w:val="005D43E0"/>
    <w:rsid w:val="005D5579"/>
    <w:rsid w:val="005D58A3"/>
    <w:rsid w:val="005D5FD0"/>
    <w:rsid w:val="005D6265"/>
    <w:rsid w:val="005D72F3"/>
    <w:rsid w:val="005D7E26"/>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4"/>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2863"/>
    <w:rsid w:val="006643E7"/>
    <w:rsid w:val="006661EF"/>
    <w:rsid w:val="006746CB"/>
    <w:rsid w:val="00677AEB"/>
    <w:rsid w:val="00680EF2"/>
    <w:rsid w:val="00682663"/>
    <w:rsid w:val="00682A3E"/>
    <w:rsid w:val="00682D78"/>
    <w:rsid w:val="006850AE"/>
    <w:rsid w:val="00686C53"/>
    <w:rsid w:val="00687A1D"/>
    <w:rsid w:val="00692852"/>
    <w:rsid w:val="0069417A"/>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063B"/>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3F4C"/>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18A5"/>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0F67"/>
    <w:rsid w:val="0079206E"/>
    <w:rsid w:val="00793173"/>
    <w:rsid w:val="007958F0"/>
    <w:rsid w:val="00797E1B"/>
    <w:rsid w:val="007A12A4"/>
    <w:rsid w:val="007B1E13"/>
    <w:rsid w:val="007B3227"/>
    <w:rsid w:val="007B3B1B"/>
    <w:rsid w:val="007B5180"/>
    <w:rsid w:val="007B5F0B"/>
    <w:rsid w:val="007C0111"/>
    <w:rsid w:val="007C0260"/>
    <w:rsid w:val="007C0663"/>
    <w:rsid w:val="007C1FCC"/>
    <w:rsid w:val="007C2831"/>
    <w:rsid w:val="007C2AA1"/>
    <w:rsid w:val="007C2BE7"/>
    <w:rsid w:val="007C3439"/>
    <w:rsid w:val="007C3AF7"/>
    <w:rsid w:val="007C6201"/>
    <w:rsid w:val="007D0348"/>
    <w:rsid w:val="007D03E9"/>
    <w:rsid w:val="007D0491"/>
    <w:rsid w:val="007D13C6"/>
    <w:rsid w:val="007D1E28"/>
    <w:rsid w:val="007D3C97"/>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24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1743E"/>
    <w:rsid w:val="00823AB4"/>
    <w:rsid w:val="0082483F"/>
    <w:rsid w:val="00827849"/>
    <w:rsid w:val="008279C0"/>
    <w:rsid w:val="00840272"/>
    <w:rsid w:val="00841E70"/>
    <w:rsid w:val="00845226"/>
    <w:rsid w:val="008473AA"/>
    <w:rsid w:val="00851A7A"/>
    <w:rsid w:val="00852883"/>
    <w:rsid w:val="00852F37"/>
    <w:rsid w:val="00854B98"/>
    <w:rsid w:val="008571F6"/>
    <w:rsid w:val="00857A02"/>
    <w:rsid w:val="00861E51"/>
    <w:rsid w:val="008625FB"/>
    <w:rsid w:val="00870B96"/>
    <w:rsid w:val="008723F3"/>
    <w:rsid w:val="00873246"/>
    <w:rsid w:val="00875E2E"/>
    <w:rsid w:val="00880F99"/>
    <w:rsid w:val="00881DA8"/>
    <w:rsid w:val="00881DE6"/>
    <w:rsid w:val="008837A6"/>
    <w:rsid w:val="008841E5"/>
    <w:rsid w:val="00884D7C"/>
    <w:rsid w:val="0089145D"/>
    <w:rsid w:val="00896FD7"/>
    <w:rsid w:val="00897141"/>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37A5"/>
    <w:rsid w:val="00905A43"/>
    <w:rsid w:val="009064FE"/>
    <w:rsid w:val="009078CE"/>
    <w:rsid w:val="009078FC"/>
    <w:rsid w:val="009108EF"/>
    <w:rsid w:val="00911C23"/>
    <w:rsid w:val="00912C79"/>
    <w:rsid w:val="009133C9"/>
    <w:rsid w:val="00913FB9"/>
    <w:rsid w:val="00915010"/>
    <w:rsid w:val="0091528C"/>
    <w:rsid w:val="00916296"/>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279B"/>
    <w:rsid w:val="009C0B8E"/>
    <w:rsid w:val="009C1527"/>
    <w:rsid w:val="009C1BC8"/>
    <w:rsid w:val="009C2442"/>
    <w:rsid w:val="009C2628"/>
    <w:rsid w:val="009C26AB"/>
    <w:rsid w:val="009C27B1"/>
    <w:rsid w:val="009C5201"/>
    <w:rsid w:val="009C687D"/>
    <w:rsid w:val="009C7F17"/>
    <w:rsid w:val="009C7FA5"/>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1089"/>
    <w:rsid w:val="00A2274A"/>
    <w:rsid w:val="00A235B7"/>
    <w:rsid w:val="00A249AC"/>
    <w:rsid w:val="00A25351"/>
    <w:rsid w:val="00A27A7A"/>
    <w:rsid w:val="00A301D1"/>
    <w:rsid w:val="00A31881"/>
    <w:rsid w:val="00A40529"/>
    <w:rsid w:val="00A407EF"/>
    <w:rsid w:val="00A411B7"/>
    <w:rsid w:val="00A42023"/>
    <w:rsid w:val="00A45800"/>
    <w:rsid w:val="00A46B4C"/>
    <w:rsid w:val="00A5117B"/>
    <w:rsid w:val="00A54BD7"/>
    <w:rsid w:val="00A560B6"/>
    <w:rsid w:val="00A5655E"/>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23D"/>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56C"/>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5B6E"/>
    <w:rsid w:val="00B66053"/>
    <w:rsid w:val="00B7193E"/>
    <w:rsid w:val="00B72999"/>
    <w:rsid w:val="00B72B80"/>
    <w:rsid w:val="00B72FD7"/>
    <w:rsid w:val="00B736DF"/>
    <w:rsid w:val="00B74FBD"/>
    <w:rsid w:val="00B77851"/>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E4529"/>
    <w:rsid w:val="00BE4E20"/>
    <w:rsid w:val="00BF28C8"/>
    <w:rsid w:val="00BF2B49"/>
    <w:rsid w:val="00BF2E7A"/>
    <w:rsid w:val="00BF3D02"/>
    <w:rsid w:val="00BF40B9"/>
    <w:rsid w:val="00BF50F7"/>
    <w:rsid w:val="00BF5D90"/>
    <w:rsid w:val="00C00231"/>
    <w:rsid w:val="00C01017"/>
    <w:rsid w:val="00C02F29"/>
    <w:rsid w:val="00C04632"/>
    <w:rsid w:val="00C07B0B"/>
    <w:rsid w:val="00C07C89"/>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A8"/>
    <w:rsid w:val="00C376EB"/>
    <w:rsid w:val="00C4187E"/>
    <w:rsid w:val="00C444EC"/>
    <w:rsid w:val="00C44FFC"/>
    <w:rsid w:val="00C45A03"/>
    <w:rsid w:val="00C46EC1"/>
    <w:rsid w:val="00C50F86"/>
    <w:rsid w:val="00C51A21"/>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5FE5"/>
    <w:rsid w:val="00C963D3"/>
    <w:rsid w:val="00CA0B50"/>
    <w:rsid w:val="00CA1802"/>
    <w:rsid w:val="00CA6E99"/>
    <w:rsid w:val="00CB262C"/>
    <w:rsid w:val="00CB2CBB"/>
    <w:rsid w:val="00CB3692"/>
    <w:rsid w:val="00CB3EB6"/>
    <w:rsid w:val="00CB5F67"/>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500F"/>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39DB"/>
    <w:rsid w:val="00D95B4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E73F2"/>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211E"/>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4A8D"/>
    <w:rsid w:val="00F65FB6"/>
    <w:rsid w:val="00F66AFF"/>
    <w:rsid w:val="00F71433"/>
    <w:rsid w:val="00F71CE8"/>
    <w:rsid w:val="00F738B0"/>
    <w:rsid w:val="00F801C5"/>
    <w:rsid w:val="00F82B82"/>
    <w:rsid w:val="00F83231"/>
    <w:rsid w:val="00F85A51"/>
    <w:rsid w:val="00F85C0B"/>
    <w:rsid w:val="00F85DB2"/>
    <w:rsid w:val="00F91FA7"/>
    <w:rsid w:val="00F95955"/>
    <w:rsid w:val="00F96AF1"/>
    <w:rsid w:val="00F97C5B"/>
    <w:rsid w:val="00FA0C7D"/>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2F2A"/>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0949979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purl.org/dc/dcmitype/"/>
    <ds:schemaRef ds:uri="http://www.w3.org/XML/1998/namespace"/>
    <ds:schemaRef ds:uri="http://schemas.microsoft.com/office/2006/documentManagement/types"/>
    <ds:schemaRef ds:uri="d0ad2d52-4869-465d-a93a-001fa21a593d"/>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21de7b9-cad9-43f2-8459-9b1b4f9894e2"/>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ECDF5-A874-47F1-A64D-6B2B4672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Sellick</cp:lastModifiedBy>
  <cp:revision>23</cp:revision>
  <cp:lastPrinted>2020-06-12T02:43:00Z</cp:lastPrinted>
  <dcterms:created xsi:type="dcterms:W3CDTF">2023-11-15T14:15:00Z</dcterms:created>
  <dcterms:modified xsi:type="dcterms:W3CDTF">2023-11-15T14:52:00Z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iManageFooter">
    <vt:lpwstr>103665966v1</vt:lpwstr>
  </property>
</Properties>
</file>