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47C95" w:rsidRDefault="00806382" w:rsidP="00806382">
      <w:pPr>
        <w:pStyle w:val="ListParagraph"/>
        <w:numPr>
          <w:ilvl w:val="0"/>
          <w:numId w:val="15"/>
        </w:numPr>
        <w:ind w:left="425" w:hanging="357"/>
        <w:jc w:val="both"/>
        <w:rPr>
          <w:rFonts w:ascii="Avenir Next" w:hAnsi="Avenir Next" w:cs="Arial"/>
          <w:sz w:val="22"/>
          <w:szCs w:val="22"/>
          <w:highlight w:val="yellow"/>
        </w:rPr>
      </w:pPr>
      <w:r w:rsidRPr="00747C95">
        <w:rPr>
          <w:rFonts w:ascii="Avenir Next" w:hAnsi="Avenir Next" w:cs="Arial"/>
          <w:sz w:val="22"/>
          <w:szCs w:val="22"/>
          <w:highlight w:val="yellow"/>
        </w:rPr>
        <w:t xml:space="preserve">This statement is untrue since the word </w:t>
      </w:r>
      <w:r w:rsidR="00823AB4" w:rsidRPr="00747C95">
        <w:rPr>
          <w:rFonts w:ascii="Avenir Next" w:hAnsi="Avenir Next" w:cs="Arial"/>
          <w:sz w:val="22"/>
          <w:szCs w:val="22"/>
          <w:highlight w:val="yellow"/>
        </w:rPr>
        <w:t>“</w:t>
      </w:r>
      <w:r w:rsidRPr="00747C95">
        <w:rPr>
          <w:rFonts w:ascii="Avenir Next" w:hAnsi="Avenir Next" w:cs="Arial"/>
          <w:sz w:val="22"/>
          <w:szCs w:val="22"/>
          <w:highlight w:val="yellow"/>
        </w:rPr>
        <w:t>bankruptcy</w:t>
      </w:r>
      <w:r w:rsidR="00823AB4" w:rsidRPr="00747C95">
        <w:rPr>
          <w:rFonts w:ascii="Avenir Next" w:hAnsi="Avenir Next" w:cs="Arial"/>
          <w:sz w:val="22"/>
          <w:szCs w:val="22"/>
          <w:highlight w:val="yellow"/>
        </w:rPr>
        <w:t>”</w:t>
      </w:r>
      <w:r w:rsidRPr="00747C95">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12C6C" w:rsidRDefault="001211E6" w:rsidP="001211E6">
      <w:pPr>
        <w:pStyle w:val="ListParagraph"/>
        <w:numPr>
          <w:ilvl w:val="0"/>
          <w:numId w:val="16"/>
        </w:numPr>
        <w:ind w:left="426"/>
        <w:jc w:val="both"/>
        <w:rPr>
          <w:rFonts w:ascii="Avenir Next" w:hAnsi="Avenir Next" w:cs="Arial"/>
          <w:sz w:val="22"/>
          <w:szCs w:val="22"/>
          <w:highlight w:val="yellow"/>
        </w:rPr>
      </w:pPr>
      <w:r w:rsidRPr="00E12C6C">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166FE"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166F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12C6C">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E76A4A" w:rsidRDefault="006514CD" w:rsidP="006514CD">
      <w:pPr>
        <w:pStyle w:val="ListParagraph"/>
        <w:numPr>
          <w:ilvl w:val="0"/>
          <w:numId w:val="19"/>
        </w:numPr>
        <w:ind w:left="425" w:hanging="357"/>
        <w:jc w:val="both"/>
        <w:rPr>
          <w:rFonts w:ascii="Avenir Next" w:hAnsi="Avenir Next" w:cs="Arial"/>
          <w:sz w:val="22"/>
          <w:szCs w:val="22"/>
          <w:highlight w:val="yellow"/>
        </w:rPr>
      </w:pPr>
      <w:r w:rsidRPr="00DA42DA">
        <w:rPr>
          <w:rFonts w:ascii="Avenir Next" w:hAnsi="Avenir Next" w:cs="Arial"/>
          <w:sz w:val="22"/>
          <w:szCs w:val="22"/>
        </w:rPr>
        <w:t>T</w:t>
      </w:r>
      <w:r w:rsidRPr="00E76A4A">
        <w:rPr>
          <w:rFonts w:ascii="Avenir Next" w:hAnsi="Avenir Next" w:cs="Arial"/>
          <w:sz w:val="22"/>
          <w:szCs w:val="22"/>
          <w:highlight w:val="yellow"/>
        </w:rPr>
        <w: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FA1F2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FA1F2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166FE" w:rsidRDefault="00AD76EF" w:rsidP="00AD76EF">
      <w:pPr>
        <w:pStyle w:val="ListParagraph"/>
        <w:numPr>
          <w:ilvl w:val="0"/>
          <w:numId w:val="17"/>
        </w:numPr>
        <w:ind w:left="426"/>
        <w:jc w:val="both"/>
        <w:rPr>
          <w:rFonts w:ascii="Avenir Next" w:hAnsi="Avenir Next" w:cs="Arial"/>
          <w:sz w:val="22"/>
          <w:szCs w:val="22"/>
          <w:highlight w:val="yellow"/>
        </w:rPr>
      </w:pPr>
      <w:r w:rsidRPr="00C166FE">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A1F26"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A1F26">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9E6472" w:rsidRDefault="009661DE" w:rsidP="009661DE">
      <w:pPr>
        <w:pStyle w:val="ListParagraph"/>
        <w:numPr>
          <w:ilvl w:val="0"/>
          <w:numId w:val="23"/>
        </w:numPr>
        <w:ind w:left="426"/>
        <w:jc w:val="both"/>
        <w:rPr>
          <w:rFonts w:ascii="Avenir Next" w:hAnsi="Avenir Next" w:cs="Arial"/>
          <w:sz w:val="22"/>
          <w:szCs w:val="22"/>
          <w:highlight w:val="yellow"/>
        </w:rPr>
      </w:pPr>
      <w:r w:rsidRPr="009E647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15E4E" w:rsidRDefault="003B3A0D" w:rsidP="003B3A0D">
      <w:pPr>
        <w:pStyle w:val="ListParagraph"/>
        <w:numPr>
          <w:ilvl w:val="0"/>
          <w:numId w:val="24"/>
        </w:numPr>
        <w:ind w:left="426"/>
        <w:jc w:val="both"/>
        <w:rPr>
          <w:rFonts w:ascii="Avenir Next" w:hAnsi="Avenir Next" w:cs="Arial"/>
          <w:sz w:val="22"/>
          <w:szCs w:val="22"/>
          <w:highlight w:val="yellow"/>
        </w:rPr>
      </w:pPr>
      <w:r w:rsidRPr="00515E4E">
        <w:rPr>
          <w:rFonts w:ascii="Avenir Next" w:hAnsi="Avenir Next" w:cs="Arial"/>
          <w:sz w:val="22"/>
          <w:szCs w:val="22"/>
          <w:highlight w:val="yellow"/>
        </w:rPr>
        <w:t xml:space="preserve">This statement is untrue because universalism corresponds well to </w:t>
      </w:r>
      <w:proofErr w:type="spellStart"/>
      <w:r w:rsidRPr="00515E4E">
        <w:rPr>
          <w:rFonts w:ascii="Avenir Next" w:hAnsi="Avenir Next" w:cs="Arial"/>
          <w:sz w:val="22"/>
          <w:szCs w:val="22"/>
          <w:highlight w:val="yellow"/>
        </w:rPr>
        <w:t>globali</w:t>
      </w:r>
      <w:r w:rsidR="00142E15" w:rsidRPr="00515E4E">
        <w:rPr>
          <w:rFonts w:ascii="Avenir Next" w:hAnsi="Avenir Next" w:cs="Arial"/>
          <w:sz w:val="22"/>
          <w:szCs w:val="22"/>
          <w:highlight w:val="yellow"/>
        </w:rPr>
        <w:t>s</w:t>
      </w:r>
      <w:r w:rsidRPr="00515E4E">
        <w:rPr>
          <w:rFonts w:ascii="Avenir Next" w:hAnsi="Avenir Next" w:cs="Arial"/>
          <w:sz w:val="22"/>
          <w:szCs w:val="22"/>
          <w:highlight w:val="yellow"/>
        </w:rPr>
        <w:t>ation</w:t>
      </w:r>
      <w:proofErr w:type="spellEnd"/>
      <w:r w:rsidRPr="00515E4E">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B8C1244" w14:textId="55B55652" w:rsidR="00DA42DA" w:rsidRDefault="00CD62D0" w:rsidP="00CD62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England, unsurprisingly has its historical roots in English law (governing both England and Wales), and the rules are set out extensively in the Insolvency Act 1986 covering both individual and corporate insolvency. </w:t>
      </w:r>
      <w:r w:rsidR="006E3711">
        <w:rPr>
          <w:rFonts w:ascii="Avenir Next" w:hAnsi="Avenir Next" w:cs="Arial"/>
          <w:color w:val="808080" w:themeColor="background1" w:themeShade="80"/>
          <w:sz w:val="22"/>
          <w:szCs w:val="22"/>
          <w:lang w:val="en-GB"/>
        </w:rPr>
        <w:t xml:space="preserve">The Statute of </w:t>
      </w:r>
      <w:proofErr w:type="spellStart"/>
      <w:r w:rsidR="006E3711">
        <w:rPr>
          <w:rFonts w:ascii="Avenir Next" w:hAnsi="Avenir Next" w:cs="Arial"/>
          <w:color w:val="808080" w:themeColor="background1" w:themeShade="80"/>
          <w:sz w:val="22"/>
          <w:szCs w:val="22"/>
          <w:lang w:val="en-GB"/>
        </w:rPr>
        <w:t>Malbridge</w:t>
      </w:r>
      <w:proofErr w:type="spellEnd"/>
      <w:r w:rsidR="006E3711">
        <w:rPr>
          <w:rFonts w:ascii="Avenir Next" w:hAnsi="Avenir Next" w:cs="Arial"/>
          <w:color w:val="808080" w:themeColor="background1" w:themeShade="80"/>
          <w:sz w:val="22"/>
          <w:szCs w:val="22"/>
          <w:lang w:val="en-GB"/>
        </w:rPr>
        <w:t xml:space="preserve"> 1267 introduced imprisonment for debtors, which was later abolished by the Debtors Act 1869. The English Bankruptcy Act 1542 is credited which bringing about two important principle of modern day insolvency tool (1) collective participation by creditors and (2) </w:t>
      </w:r>
      <w:proofErr w:type="spellStart"/>
      <w:r w:rsidR="006E3711">
        <w:rPr>
          <w:rFonts w:ascii="Avenir Next" w:hAnsi="Avenir Next" w:cs="Arial"/>
          <w:color w:val="808080" w:themeColor="background1" w:themeShade="80"/>
          <w:sz w:val="22"/>
          <w:szCs w:val="22"/>
          <w:lang w:val="en-GB"/>
        </w:rPr>
        <w:t>pari</w:t>
      </w:r>
      <w:proofErr w:type="spellEnd"/>
      <w:r w:rsidR="006E3711">
        <w:rPr>
          <w:rFonts w:ascii="Avenir Next" w:hAnsi="Avenir Next" w:cs="Arial"/>
          <w:color w:val="808080" w:themeColor="background1" w:themeShade="80"/>
          <w:sz w:val="22"/>
          <w:szCs w:val="22"/>
          <w:lang w:val="en-GB"/>
        </w:rPr>
        <w:t xml:space="preserve"> </w:t>
      </w:r>
      <w:proofErr w:type="spellStart"/>
      <w:r w:rsidR="006E3711">
        <w:rPr>
          <w:rFonts w:ascii="Avenir Next" w:hAnsi="Avenir Next" w:cs="Arial"/>
          <w:color w:val="808080" w:themeColor="background1" w:themeShade="80"/>
          <w:sz w:val="22"/>
          <w:szCs w:val="22"/>
          <w:lang w:val="en-GB"/>
        </w:rPr>
        <w:t>passu</w:t>
      </w:r>
      <w:proofErr w:type="spellEnd"/>
      <w:r w:rsidR="006E3711">
        <w:rPr>
          <w:rFonts w:ascii="Avenir Next" w:hAnsi="Avenir Next" w:cs="Arial"/>
          <w:color w:val="808080" w:themeColor="background1" w:themeShade="80"/>
          <w:sz w:val="22"/>
          <w:szCs w:val="22"/>
          <w:lang w:val="en-GB"/>
        </w:rPr>
        <w:t xml:space="preserve">, which ensures that </w:t>
      </w:r>
      <w:r w:rsidR="006E3711" w:rsidRPr="006E3711">
        <w:rPr>
          <w:rFonts w:ascii="Avenir Next" w:hAnsi="Avenir Next" w:cs="Arial"/>
          <w:color w:val="808080" w:themeColor="background1" w:themeShade="80"/>
          <w:sz w:val="22"/>
          <w:szCs w:val="22"/>
          <w:lang w:val="en-GB"/>
        </w:rPr>
        <w:t>creditors to a</w:t>
      </w:r>
      <w:r w:rsidR="006E3711">
        <w:rPr>
          <w:rFonts w:ascii="Avenir Next" w:hAnsi="Avenir Next" w:cs="Arial"/>
          <w:color w:val="808080" w:themeColor="background1" w:themeShade="80"/>
          <w:sz w:val="22"/>
          <w:szCs w:val="22"/>
          <w:lang w:val="en-GB"/>
        </w:rPr>
        <w:t xml:space="preserve">n estate are treated equally. </w:t>
      </w:r>
      <w:r w:rsidR="006E3711">
        <w:rPr>
          <w:rStyle w:val="FootnoteReference"/>
          <w:rFonts w:ascii="Avenir Next" w:hAnsi="Avenir Next" w:cs="Arial"/>
          <w:color w:val="808080" w:themeColor="background1" w:themeShade="80"/>
          <w:sz w:val="22"/>
          <w:szCs w:val="22"/>
          <w:lang w:val="en-GB"/>
        </w:rPr>
        <w:footnoteReference w:id="1"/>
      </w:r>
    </w:p>
    <w:p w14:paraId="57BEF7BC" w14:textId="74D494C8" w:rsidR="00CD62D0" w:rsidRDefault="00CD62D0" w:rsidP="00CD62D0">
      <w:pPr>
        <w:jc w:val="both"/>
        <w:rPr>
          <w:rFonts w:ascii="Avenir Next" w:hAnsi="Avenir Next" w:cs="Arial"/>
          <w:color w:val="808080" w:themeColor="background1" w:themeShade="80"/>
          <w:sz w:val="22"/>
          <w:szCs w:val="22"/>
          <w:lang w:val="en-GB"/>
        </w:rPr>
      </w:pPr>
    </w:p>
    <w:p w14:paraId="1A5CBD76" w14:textId="3E5A8D45" w:rsidR="00CD62D0" w:rsidRDefault="00CD62D0" w:rsidP="00CD62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American law in respect of insolvency was based on the Bankruptcy Code 1978 (civil law), is </w:t>
      </w:r>
      <w:r w:rsidR="00F32301">
        <w:rPr>
          <w:rFonts w:ascii="Avenir Next" w:hAnsi="Avenir Next" w:cs="Arial"/>
          <w:color w:val="808080" w:themeColor="background1" w:themeShade="80"/>
          <w:sz w:val="22"/>
          <w:szCs w:val="22"/>
          <w:lang w:val="en-GB"/>
        </w:rPr>
        <w:t>notorious</w:t>
      </w:r>
      <w:r>
        <w:rPr>
          <w:rFonts w:ascii="Avenir Next" w:hAnsi="Avenir Next" w:cs="Arial"/>
          <w:color w:val="808080" w:themeColor="background1" w:themeShade="80"/>
          <w:sz w:val="22"/>
          <w:szCs w:val="22"/>
          <w:lang w:val="en-GB"/>
        </w:rPr>
        <w:t xml:space="preserve"> for being pro-debtor and its </w:t>
      </w:r>
      <w:r w:rsidR="00E96BA2">
        <w:rPr>
          <w:rFonts w:ascii="Avenir Next" w:hAnsi="Avenir Next" w:cs="Arial"/>
          <w:color w:val="808080" w:themeColor="background1" w:themeShade="80"/>
          <w:sz w:val="22"/>
          <w:szCs w:val="22"/>
          <w:lang w:val="en-GB"/>
        </w:rPr>
        <w:t>law, which is federal, applies to</w:t>
      </w:r>
      <w:r>
        <w:rPr>
          <w:rFonts w:ascii="Avenir Next" w:hAnsi="Avenir Next" w:cs="Arial"/>
          <w:color w:val="808080" w:themeColor="background1" w:themeShade="80"/>
          <w:sz w:val="22"/>
          <w:szCs w:val="22"/>
          <w:lang w:val="en-GB"/>
        </w:rPr>
        <w:t xml:space="preserve"> all states. </w:t>
      </w:r>
      <w:r w:rsidR="00E96BA2">
        <w:rPr>
          <w:rFonts w:ascii="Avenir Next" w:hAnsi="Avenir Next" w:cs="Arial"/>
          <w:color w:val="808080" w:themeColor="background1" w:themeShade="80"/>
          <w:sz w:val="22"/>
          <w:szCs w:val="22"/>
          <w:lang w:val="en-GB"/>
        </w:rPr>
        <w:t>It does not have separate legislation for individuals and corporations, both are dealt with under the Code (and its various amends).</w:t>
      </w:r>
    </w:p>
    <w:p w14:paraId="55BA6BDC" w14:textId="759AC906" w:rsidR="00E96BA2" w:rsidRDefault="00E96BA2" w:rsidP="00CD62D0">
      <w:pPr>
        <w:jc w:val="both"/>
        <w:rPr>
          <w:rFonts w:ascii="Avenir Next" w:hAnsi="Avenir Next" w:cs="Arial"/>
          <w:color w:val="808080" w:themeColor="background1" w:themeShade="80"/>
          <w:sz w:val="22"/>
          <w:szCs w:val="22"/>
          <w:lang w:val="en-GB"/>
        </w:rPr>
      </w:pPr>
    </w:p>
    <w:p w14:paraId="4E1EE59D" w14:textId="617CE7B7" w:rsidR="00E96BA2" w:rsidRDefault="00E96BA2" w:rsidP="00CD62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 and corporate insolvency is dealt with in two separate pieces of legislation under Australian law, the Bankruptcy Act 1966 and the Corporations act 2001 respectively. Australia, unsurprisingly, as commonwealth country has its roots in English law. </w:t>
      </w:r>
    </w:p>
    <w:p w14:paraId="0FD234EB" w14:textId="063D7C88" w:rsidR="00E96BA2" w:rsidRDefault="00E96BA2" w:rsidP="00CD62D0">
      <w:pPr>
        <w:jc w:val="both"/>
        <w:rPr>
          <w:rFonts w:ascii="Avenir Next" w:hAnsi="Avenir Next" w:cs="Arial"/>
          <w:color w:val="808080" w:themeColor="background1" w:themeShade="80"/>
          <w:sz w:val="22"/>
          <w:szCs w:val="22"/>
          <w:lang w:val="en-GB"/>
        </w:rPr>
      </w:pPr>
    </w:p>
    <w:p w14:paraId="3B914396" w14:textId="5EB8AA12" w:rsidR="00E96BA2" w:rsidRDefault="00E96BA2" w:rsidP="00CD62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European countries have their routes entrenched in civil law. </w:t>
      </w:r>
    </w:p>
    <w:p w14:paraId="6D61617B" w14:textId="5AE9B15C" w:rsidR="00E96BA2" w:rsidRDefault="00E96BA2" w:rsidP="00CD62D0">
      <w:pPr>
        <w:jc w:val="both"/>
        <w:rPr>
          <w:rFonts w:ascii="Avenir Next" w:hAnsi="Avenir Next" w:cs="Arial"/>
          <w:color w:val="808080" w:themeColor="background1" w:themeShade="80"/>
          <w:sz w:val="22"/>
          <w:szCs w:val="22"/>
          <w:lang w:val="en-GB"/>
        </w:rPr>
      </w:pPr>
    </w:p>
    <w:p w14:paraId="52460577" w14:textId="234EAB51" w:rsidR="00E96BA2" w:rsidRDefault="00E96BA2" w:rsidP="00CD62D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 as a country formerly subject to English colonial powers has its laws largely based around the English system. India’s insolvency laws too are deeply entrenched in an older version of English law distinguishing between individual and corporate insolvency. </w:t>
      </w:r>
    </w:p>
    <w:p w14:paraId="1C0F0C4F" w14:textId="594C30EF" w:rsidR="00B41A03" w:rsidRDefault="00B41A03" w:rsidP="00CD62D0">
      <w:pPr>
        <w:jc w:val="both"/>
        <w:rPr>
          <w:rFonts w:ascii="Avenir Next" w:hAnsi="Avenir Next" w:cs="Arial"/>
          <w:color w:val="808080" w:themeColor="background1" w:themeShade="80"/>
          <w:sz w:val="22"/>
          <w:szCs w:val="22"/>
          <w:lang w:val="en-GB"/>
        </w:rPr>
      </w:pPr>
    </w:p>
    <w:p w14:paraId="760D83C2" w14:textId="406BA7CE" w:rsidR="00CD62D0" w:rsidRDefault="00B41A03" w:rsidP="00614E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Chinses insolvency laws are heavily rooted</w:t>
      </w:r>
      <w:r w:rsidR="00F32301">
        <w:rPr>
          <w:rFonts w:ascii="Avenir Next" w:hAnsi="Avenir Next" w:cs="Arial"/>
          <w:color w:val="808080" w:themeColor="background1" w:themeShade="80"/>
          <w:sz w:val="22"/>
          <w:szCs w:val="22"/>
          <w:lang w:val="en-GB"/>
        </w:rPr>
        <w:t xml:space="preserve"> in civil code.</w:t>
      </w:r>
    </w:p>
    <w:p w14:paraId="7D114EC4" w14:textId="65FBADED" w:rsidR="00FD025E" w:rsidRDefault="00FD025E" w:rsidP="00614EFE">
      <w:pPr>
        <w:jc w:val="both"/>
        <w:rPr>
          <w:rFonts w:ascii="Avenir Next" w:hAnsi="Avenir Next" w:cs="Arial"/>
          <w:color w:val="808080" w:themeColor="background1" w:themeShade="80"/>
          <w:sz w:val="22"/>
          <w:szCs w:val="22"/>
          <w:lang w:val="en-GB"/>
        </w:rPr>
      </w:pPr>
    </w:p>
    <w:p w14:paraId="034C4B8C" w14:textId="74AB56F2" w:rsidR="00FD025E" w:rsidRDefault="00FD025E" w:rsidP="00614E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Italy has a Civil Code which is founded on civil law and can be traced back to Roman law and Table 3 of the Twelve Tables. The terms “bankruptcy” is derived from the Italian language and the term “</w:t>
      </w:r>
      <w:proofErr w:type="spellStart"/>
      <w:r>
        <w:rPr>
          <w:rFonts w:ascii="Avenir Next" w:hAnsi="Avenir Next" w:cs="Arial"/>
          <w:color w:val="808080" w:themeColor="background1" w:themeShade="80"/>
          <w:sz w:val="22"/>
          <w:szCs w:val="22"/>
          <w:lang w:val="en-GB"/>
        </w:rPr>
        <w:t>banca</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rotta</w:t>
      </w:r>
      <w:proofErr w:type="spellEnd"/>
      <w:r>
        <w:rPr>
          <w:rFonts w:ascii="Avenir Next" w:hAnsi="Avenir Next" w:cs="Arial"/>
          <w:color w:val="808080" w:themeColor="background1" w:themeShade="80"/>
          <w:sz w:val="22"/>
          <w:szCs w:val="22"/>
          <w:lang w:val="en-GB"/>
        </w:rPr>
        <w:t xml:space="preserve">” which literally means </w:t>
      </w:r>
      <w:r w:rsidR="00A75F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broken bench</w:t>
      </w:r>
      <w:r w:rsidR="00A75F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was born out of the scenario where a merchant who operated his business</w:t>
      </w:r>
      <w:r w:rsidR="0047755F">
        <w:rPr>
          <w:rFonts w:ascii="Avenir Next" w:hAnsi="Avenir Next" w:cs="Arial"/>
          <w:color w:val="808080" w:themeColor="background1" w:themeShade="80"/>
          <w:sz w:val="22"/>
          <w:szCs w:val="22"/>
          <w:lang w:val="en-GB"/>
        </w:rPr>
        <w:t xml:space="preserve"> from a stall who </w:t>
      </w:r>
      <w:r>
        <w:rPr>
          <w:rFonts w:ascii="Avenir Next" w:hAnsi="Avenir Next" w:cs="Arial"/>
          <w:color w:val="808080" w:themeColor="background1" w:themeShade="80"/>
          <w:sz w:val="22"/>
          <w:szCs w:val="22"/>
          <w:lang w:val="en-GB"/>
        </w:rPr>
        <w:t xml:space="preserve">could </w:t>
      </w:r>
      <w:r w:rsidR="00A75FD5">
        <w:rPr>
          <w:rFonts w:ascii="Avenir Next" w:hAnsi="Avenir Next" w:cs="Arial"/>
          <w:color w:val="808080" w:themeColor="background1" w:themeShade="80"/>
          <w:sz w:val="22"/>
          <w:szCs w:val="22"/>
          <w:lang w:val="en-GB"/>
        </w:rPr>
        <w:t>not pay his debt,</w:t>
      </w:r>
      <w:r>
        <w:rPr>
          <w:rFonts w:ascii="Avenir Next" w:hAnsi="Avenir Next" w:cs="Arial"/>
          <w:color w:val="808080" w:themeColor="background1" w:themeShade="80"/>
          <w:sz w:val="22"/>
          <w:szCs w:val="22"/>
          <w:lang w:val="en-GB"/>
        </w:rPr>
        <w:t xml:space="preserve"> had his</w:t>
      </w:r>
      <w:r w:rsidR="00A75FD5">
        <w:rPr>
          <w:rFonts w:ascii="Avenir Next" w:hAnsi="Avenir Next" w:cs="Arial"/>
          <w:color w:val="808080" w:themeColor="background1" w:themeShade="80"/>
          <w:sz w:val="22"/>
          <w:szCs w:val="22"/>
          <w:lang w:val="en-GB"/>
        </w:rPr>
        <w:t xml:space="preserve"> business closed by breaking his stall. </w:t>
      </w:r>
    </w:p>
    <w:p w14:paraId="5F71A8A8" w14:textId="77777777" w:rsidR="00CD62D0" w:rsidRDefault="00CD62D0"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89CEDDC" w:rsidR="00DA42DA" w:rsidRPr="00DA42DA" w:rsidRDefault="00C4787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Universalism is an approach that proposes the initiation of one pro</w:t>
      </w:r>
      <w:r w:rsidR="00BC3E63">
        <w:rPr>
          <w:rFonts w:ascii="Avenir Next" w:hAnsi="Avenir Next" w:cs="Arial"/>
          <w:color w:val="808080" w:themeColor="background1" w:themeShade="80"/>
          <w:sz w:val="22"/>
          <w:szCs w:val="22"/>
          <w:lang w:val="en-GB"/>
        </w:rPr>
        <w:t>ceeding in respect of</w:t>
      </w:r>
      <w:r>
        <w:rPr>
          <w:rFonts w:ascii="Avenir Next" w:hAnsi="Avenir Next" w:cs="Arial"/>
          <w:color w:val="808080" w:themeColor="background1" w:themeShade="80"/>
          <w:sz w:val="22"/>
          <w:szCs w:val="22"/>
          <w:lang w:val="en-GB"/>
        </w:rPr>
        <w:t xml:space="preserve"> the debtor’s assets wherever located globally, and where the office holder is given the powers necessary to gain control over the assets. Modified universalism is, as the name suggests, based around a universal approach with the only difference being that </w:t>
      </w:r>
      <w:r w:rsidR="00BC3E63">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proceedings can also be commenced in another state with the requirement that those states cooperate with one another. </w:t>
      </w:r>
      <w:r w:rsidR="00BC3E63">
        <w:rPr>
          <w:rFonts w:ascii="Avenir Next" w:hAnsi="Avenir Next" w:cs="Arial"/>
          <w:color w:val="808080" w:themeColor="background1" w:themeShade="80"/>
          <w:sz w:val="22"/>
          <w:szCs w:val="22"/>
          <w:lang w:val="en-GB"/>
        </w:rPr>
        <w:t xml:space="preserve">Territorialism allows for the commencement of insolvency proceedings in any country where the debtor has assets.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DE63707" w14:textId="2BF9A35D" w:rsidR="00AF5A49" w:rsidRDefault="00CD16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South America</w:t>
      </w:r>
      <w:r w:rsidR="00EC0174">
        <w:rPr>
          <w:rFonts w:ascii="Avenir Next" w:hAnsi="Avenir Next" w:cs="Arial"/>
          <w:color w:val="808080" w:themeColor="background1" w:themeShade="80"/>
          <w:sz w:val="22"/>
          <w:szCs w:val="22"/>
          <w:lang w:val="en-GB"/>
        </w:rPr>
        <w:t>n countries are</w:t>
      </w:r>
      <w:r>
        <w:rPr>
          <w:rFonts w:ascii="Avenir Next" w:hAnsi="Avenir Next" w:cs="Arial"/>
          <w:color w:val="808080" w:themeColor="background1" w:themeShade="80"/>
          <w:sz w:val="22"/>
          <w:szCs w:val="22"/>
          <w:lang w:val="en-GB"/>
        </w:rPr>
        <w:t xml:space="preserve"> known to have one of the most unified </w:t>
      </w:r>
      <w:r w:rsidR="003A554A">
        <w:rPr>
          <w:rFonts w:ascii="Avenir Next" w:hAnsi="Avenir Next" w:cs="Arial"/>
          <w:color w:val="808080" w:themeColor="background1" w:themeShade="80"/>
          <w:sz w:val="22"/>
          <w:szCs w:val="22"/>
          <w:lang w:val="en-GB"/>
        </w:rPr>
        <w:t xml:space="preserve">systems in the </w:t>
      </w:r>
      <w:r w:rsidR="00EC0174">
        <w:rPr>
          <w:rFonts w:ascii="Avenir Next" w:hAnsi="Avenir Next" w:cs="Arial"/>
          <w:color w:val="808080" w:themeColor="background1" w:themeShade="80"/>
          <w:sz w:val="22"/>
          <w:szCs w:val="22"/>
          <w:lang w:val="en-GB"/>
        </w:rPr>
        <w:t>world and have their laws rooted in civil law</w:t>
      </w:r>
      <w:r w:rsidR="001A0678">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
      </w:r>
      <w:r w:rsidR="001A0678">
        <w:rPr>
          <w:rFonts w:ascii="Avenir Next" w:hAnsi="Avenir Next" w:cs="Arial"/>
          <w:color w:val="808080" w:themeColor="background1" w:themeShade="80"/>
          <w:sz w:val="22"/>
          <w:szCs w:val="22"/>
          <w:lang w:val="en-GB"/>
        </w:rPr>
        <w:t xml:space="preserve"> Treaties between the Latin American States include (1) the Montevideo Treaty (1889) (the “</w:t>
      </w:r>
      <w:r w:rsidR="001A0678" w:rsidRPr="001A0678">
        <w:rPr>
          <w:rFonts w:ascii="Avenir Next" w:hAnsi="Avenir Next" w:cs="Arial"/>
          <w:b/>
          <w:color w:val="808080" w:themeColor="background1" w:themeShade="80"/>
          <w:sz w:val="22"/>
          <w:szCs w:val="22"/>
          <w:lang w:val="en-GB"/>
        </w:rPr>
        <w:t>1889 Treaty”</w:t>
      </w:r>
      <w:r w:rsidR="001A0678">
        <w:rPr>
          <w:rFonts w:ascii="Avenir Next" w:hAnsi="Avenir Next" w:cs="Arial"/>
          <w:color w:val="808080" w:themeColor="background1" w:themeShade="80"/>
          <w:sz w:val="22"/>
          <w:szCs w:val="22"/>
          <w:lang w:val="en-GB"/>
        </w:rPr>
        <w:t xml:space="preserve">) and (1940) (the </w:t>
      </w:r>
      <w:r w:rsidR="001A0678" w:rsidRPr="001A0678">
        <w:rPr>
          <w:rFonts w:ascii="Avenir Next" w:hAnsi="Avenir Next" w:cs="Arial"/>
          <w:b/>
          <w:color w:val="808080" w:themeColor="background1" w:themeShade="80"/>
          <w:sz w:val="22"/>
          <w:szCs w:val="22"/>
          <w:lang w:val="en-GB"/>
        </w:rPr>
        <w:t>“1940 Treaty”</w:t>
      </w:r>
      <w:r w:rsidR="001A0678">
        <w:rPr>
          <w:rFonts w:ascii="Avenir Next" w:hAnsi="Avenir Next" w:cs="Arial"/>
          <w:color w:val="808080" w:themeColor="background1" w:themeShade="80"/>
          <w:sz w:val="22"/>
          <w:szCs w:val="22"/>
          <w:lang w:val="en-GB"/>
        </w:rPr>
        <w:t>) and (2) the Havana Convention on Private International Law (1928) (Bustamante Code)</w:t>
      </w:r>
      <w:r w:rsidR="0093450C">
        <w:rPr>
          <w:rFonts w:ascii="Avenir Next" w:hAnsi="Avenir Next" w:cs="Arial"/>
          <w:color w:val="808080" w:themeColor="background1" w:themeShade="80"/>
          <w:sz w:val="22"/>
          <w:szCs w:val="22"/>
          <w:lang w:val="en-GB"/>
        </w:rPr>
        <w:t xml:space="preserve"> (the “Havana Convention”)</w:t>
      </w:r>
      <w:r w:rsidR="001A0678">
        <w:rPr>
          <w:rFonts w:ascii="Avenir Next" w:hAnsi="Avenir Next" w:cs="Arial"/>
          <w:color w:val="808080" w:themeColor="background1" w:themeShade="80"/>
          <w:sz w:val="22"/>
          <w:szCs w:val="22"/>
          <w:lang w:val="en-GB"/>
        </w:rPr>
        <w:t>. The 1889 treaty was ratified</w:t>
      </w:r>
      <w:r w:rsidR="008C71DE">
        <w:rPr>
          <w:rFonts w:ascii="Avenir Next" w:hAnsi="Avenir Next" w:cs="Arial"/>
          <w:color w:val="808080" w:themeColor="background1" w:themeShade="80"/>
          <w:sz w:val="22"/>
          <w:szCs w:val="22"/>
          <w:lang w:val="en-GB"/>
        </w:rPr>
        <w:t xml:space="preserve"> by six </w:t>
      </w:r>
      <w:r w:rsidR="001A0678">
        <w:rPr>
          <w:rFonts w:ascii="Avenir Next" w:hAnsi="Avenir Next" w:cs="Arial"/>
          <w:color w:val="808080" w:themeColor="background1" w:themeShade="80"/>
          <w:sz w:val="22"/>
          <w:szCs w:val="22"/>
          <w:lang w:val="en-GB"/>
        </w:rPr>
        <w:t>countries</w:t>
      </w:r>
      <w:r w:rsidR="008C71DE">
        <w:rPr>
          <w:rFonts w:ascii="Avenir Next" w:hAnsi="Avenir Next" w:cs="Arial"/>
          <w:color w:val="808080" w:themeColor="background1" w:themeShade="80"/>
          <w:sz w:val="22"/>
          <w:szCs w:val="22"/>
          <w:lang w:val="en-GB"/>
        </w:rPr>
        <w:t xml:space="preserve"> while the 1940 treaty by only 3</w:t>
      </w:r>
      <w:r w:rsidR="001A0678">
        <w:rPr>
          <w:rFonts w:ascii="Avenir Next" w:hAnsi="Avenir Next" w:cs="Arial"/>
          <w:color w:val="808080" w:themeColor="background1" w:themeShade="80"/>
          <w:sz w:val="22"/>
          <w:szCs w:val="22"/>
          <w:lang w:val="en-GB"/>
        </w:rPr>
        <w:t>.</w:t>
      </w:r>
      <w:r w:rsidR="008C71DE">
        <w:rPr>
          <w:rFonts w:ascii="Avenir Next" w:hAnsi="Avenir Next" w:cs="Arial"/>
          <w:color w:val="808080" w:themeColor="background1" w:themeShade="80"/>
          <w:sz w:val="22"/>
          <w:szCs w:val="22"/>
          <w:lang w:val="en-GB"/>
        </w:rPr>
        <w:t xml:space="preserve"> </w:t>
      </w:r>
    </w:p>
    <w:p w14:paraId="15486D33" w14:textId="3909D162" w:rsidR="008C71DE" w:rsidRDefault="008C71DE" w:rsidP="00DA42DA">
      <w:pPr>
        <w:jc w:val="both"/>
        <w:rPr>
          <w:rFonts w:ascii="Avenir Next" w:hAnsi="Avenir Next" w:cs="Arial"/>
          <w:color w:val="808080" w:themeColor="background1" w:themeShade="80"/>
          <w:sz w:val="22"/>
          <w:szCs w:val="22"/>
          <w:lang w:val="en-GB"/>
        </w:rPr>
      </w:pPr>
    </w:p>
    <w:p w14:paraId="48B27025" w14:textId="76042D8A" w:rsidR="008C71DE" w:rsidRDefault="008C71D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personal and corporate insolvency are provided for under the 1889 Treaty and it decides bankruptcy jurisdiction based on the debtor’s commercial domicile in the following way: (1) where a debtor trades in more than on State or has branches or agents in other States, but has a commercial domicile in one State then the 1889 Treaty provides for one set of proceedings in the State where the commercial domicile is located and (2) if the debtor has more than one economically autonomous businesses in different States</w:t>
      </w:r>
      <w:r w:rsidR="00731BC7">
        <w:rPr>
          <w:rFonts w:ascii="Avenir Next" w:hAnsi="Avenir Next" w:cs="Arial"/>
          <w:color w:val="808080" w:themeColor="background1" w:themeShade="80"/>
          <w:sz w:val="22"/>
          <w:szCs w:val="22"/>
          <w:lang w:val="en-GB"/>
        </w:rPr>
        <w:t xml:space="preserve"> acting independently of one another, the 1889 Treaty provides that concurrent proceedings in both States can be commenced. When insolvency proceedings are open in one of the States, then a local creditor in another State containing an economically autonomous business may open bankruptcy proceedings in that State or take other civil action against the Debtor.</w:t>
      </w:r>
      <w:r w:rsidR="00731BC7">
        <w:rPr>
          <w:rStyle w:val="FootnoteReference"/>
          <w:rFonts w:ascii="Avenir Next" w:hAnsi="Avenir Next" w:cs="Arial"/>
          <w:color w:val="808080" w:themeColor="background1" w:themeShade="80"/>
          <w:sz w:val="22"/>
          <w:szCs w:val="22"/>
          <w:lang w:val="en-GB"/>
        </w:rPr>
        <w:footnoteReference w:id="3"/>
      </w:r>
    </w:p>
    <w:p w14:paraId="19540491" w14:textId="2E535356" w:rsidR="0093450C" w:rsidRDefault="0093450C" w:rsidP="00DA42DA">
      <w:pPr>
        <w:jc w:val="both"/>
        <w:rPr>
          <w:rFonts w:ascii="Avenir Next" w:hAnsi="Avenir Next" w:cs="Arial"/>
          <w:color w:val="808080" w:themeColor="background1" w:themeShade="80"/>
          <w:sz w:val="22"/>
          <w:szCs w:val="22"/>
          <w:lang w:val="en-GB"/>
        </w:rPr>
      </w:pPr>
    </w:p>
    <w:p w14:paraId="4DB0D180" w14:textId="2443EDED" w:rsidR="0093450C" w:rsidRPr="00DA42DA" w:rsidRDefault="0093450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was concluded in 1928 between 15 Latin and Middle American States. The Havana Convention is leans towards a more unified and solitary proceedings as opposed to the two differing approaches under the 1889 Treaty. The main difference between the two treaties is that under the Havana convention, where there are concurrent proceedings, it does not provide procedures for co-operation of any concurrent proceeding. It accepts that insolvency proceedings commenced in one </w:t>
      </w:r>
      <w:proofErr w:type="gramStart"/>
      <w:r>
        <w:rPr>
          <w:rFonts w:ascii="Avenir Next" w:hAnsi="Avenir Next" w:cs="Arial"/>
          <w:color w:val="808080" w:themeColor="background1" w:themeShade="80"/>
          <w:sz w:val="22"/>
          <w:szCs w:val="22"/>
          <w:lang w:val="en-GB"/>
        </w:rPr>
        <w:t>member</w:t>
      </w:r>
      <w:proofErr w:type="gramEnd"/>
      <w:r>
        <w:rPr>
          <w:rFonts w:ascii="Avenir Next" w:hAnsi="Avenir Next" w:cs="Arial"/>
          <w:color w:val="808080" w:themeColor="background1" w:themeShade="80"/>
          <w:sz w:val="22"/>
          <w:szCs w:val="22"/>
          <w:lang w:val="en-GB"/>
        </w:rPr>
        <w:t xml:space="preserve"> State will have extraterritorial effects in another member State.</w:t>
      </w:r>
      <w:r>
        <w:rPr>
          <w:rStyle w:val="FootnoteReference"/>
          <w:rFonts w:ascii="Avenir Next" w:hAnsi="Avenir Next" w:cs="Arial"/>
          <w:color w:val="808080" w:themeColor="background1" w:themeShade="80"/>
          <w:sz w:val="22"/>
          <w:szCs w:val="22"/>
          <w:lang w:val="en-GB"/>
        </w:rPr>
        <w:footnoteReference w:id="4"/>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02B2F8B7"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w:t>
      </w:r>
      <w:r w:rsidR="0038056E">
        <w:rPr>
          <w:rFonts w:ascii="Avenir Next" w:hAnsi="Avenir Next" w:cs="Arial"/>
          <w:sz w:val="22"/>
          <w:szCs w:val="22"/>
          <w:lang w:val="en-GB"/>
        </w:rPr>
        <w:t>terchangeably. Discuss whether o</w:t>
      </w:r>
      <w:r>
        <w:rPr>
          <w:rFonts w:ascii="Avenir Next" w:hAnsi="Avenir Next" w:cs="Arial"/>
          <w:sz w:val="22"/>
          <w:szCs w:val="22"/>
          <w:lang w:val="en-GB"/>
        </w:rPr>
        <w:t>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188526A" w14:textId="5B91AB1C" w:rsidR="003073B2" w:rsidRDefault="003073B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terms “bankruptcy” and “insolvency” cannot be used interchangeably. Both terms will have different meanings dependent on the jurisdiction. For example in Denmark bankruptcy is a term used when referring to both individuals and companies.</w:t>
      </w:r>
    </w:p>
    <w:p w14:paraId="2F4268B9" w14:textId="77777777" w:rsidR="003073B2" w:rsidRDefault="003073B2" w:rsidP="00DA42DA">
      <w:pPr>
        <w:jc w:val="both"/>
        <w:rPr>
          <w:rFonts w:ascii="Avenir Next" w:hAnsi="Avenir Next" w:cs="Arial"/>
          <w:color w:val="808080" w:themeColor="background1" w:themeShade="80"/>
          <w:sz w:val="22"/>
          <w:szCs w:val="22"/>
          <w:lang w:val="en-GB"/>
        </w:rPr>
      </w:pPr>
    </w:p>
    <w:p w14:paraId="5C3CB84A" w14:textId="31408B20" w:rsidR="007556A8" w:rsidRDefault="00164620" w:rsidP="007556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English law, the term “bankruptcy” is </w:t>
      </w:r>
      <w:r w:rsidR="003073B2">
        <w:rPr>
          <w:rFonts w:ascii="Avenir Next" w:hAnsi="Avenir Next" w:cs="Arial"/>
          <w:color w:val="808080" w:themeColor="background1" w:themeShade="80"/>
          <w:sz w:val="22"/>
          <w:szCs w:val="22"/>
          <w:lang w:val="en-GB"/>
        </w:rPr>
        <w:t xml:space="preserve">only </w:t>
      </w:r>
      <w:r>
        <w:rPr>
          <w:rFonts w:ascii="Avenir Next" w:hAnsi="Avenir Next" w:cs="Arial"/>
          <w:color w:val="808080" w:themeColor="background1" w:themeShade="80"/>
          <w:sz w:val="22"/>
          <w:szCs w:val="22"/>
          <w:lang w:val="en-GB"/>
        </w:rPr>
        <w:t>applicable to an individual in circumstances where a party owed a sum greater than GBP5</w:t>
      </w:r>
      <w:proofErr w:type="gramStart"/>
      <w:r>
        <w:rPr>
          <w:rFonts w:ascii="Avenir Next" w:hAnsi="Avenir Next" w:cs="Arial"/>
          <w:color w:val="808080" w:themeColor="background1" w:themeShade="80"/>
          <w:sz w:val="22"/>
          <w:szCs w:val="22"/>
          <w:lang w:val="en-GB"/>
        </w:rPr>
        <w:t>,000</w:t>
      </w:r>
      <w:proofErr w:type="gramEnd"/>
      <w:r w:rsidR="003073B2">
        <w:rPr>
          <w:rFonts w:ascii="Avenir Next" w:hAnsi="Avenir Next" w:cs="Arial"/>
          <w:color w:val="808080" w:themeColor="background1" w:themeShade="80"/>
          <w:sz w:val="22"/>
          <w:szCs w:val="22"/>
          <w:lang w:val="en-GB"/>
        </w:rPr>
        <w:t xml:space="preserve"> makes an</w:t>
      </w:r>
      <w:r>
        <w:rPr>
          <w:rFonts w:ascii="Avenir Next" w:hAnsi="Avenir Next" w:cs="Arial"/>
          <w:color w:val="808080" w:themeColor="background1" w:themeShade="80"/>
          <w:sz w:val="22"/>
          <w:szCs w:val="22"/>
          <w:lang w:val="en-GB"/>
        </w:rPr>
        <w:t xml:space="preserve"> application to court for the debtor to be made bankrupt,</w:t>
      </w:r>
      <w:r w:rsidR="007556A8">
        <w:rPr>
          <w:rFonts w:ascii="Avenir Next" w:hAnsi="Avenir Next" w:cs="Arial"/>
          <w:color w:val="808080" w:themeColor="background1" w:themeShade="80"/>
          <w:sz w:val="22"/>
          <w:szCs w:val="22"/>
          <w:lang w:val="en-GB"/>
        </w:rPr>
        <w:t xml:space="preserve"> and the court </w:t>
      </w:r>
      <w:r>
        <w:rPr>
          <w:rFonts w:ascii="Avenir Next" w:hAnsi="Avenir Next" w:cs="Arial"/>
          <w:color w:val="808080" w:themeColor="background1" w:themeShade="80"/>
          <w:sz w:val="22"/>
          <w:szCs w:val="22"/>
          <w:lang w:val="en-GB"/>
        </w:rPr>
        <w:t>grant</w:t>
      </w:r>
      <w:r w:rsidR="007556A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bankruptcy order.</w:t>
      </w:r>
      <w:r w:rsidR="003073B2">
        <w:rPr>
          <w:rFonts w:ascii="Avenir Next" w:hAnsi="Avenir Next" w:cs="Arial"/>
          <w:color w:val="808080" w:themeColor="background1" w:themeShade="80"/>
          <w:sz w:val="22"/>
          <w:szCs w:val="22"/>
          <w:lang w:val="en-GB"/>
        </w:rPr>
        <w:t xml:space="preserve"> Under English law t</w:t>
      </w:r>
      <w:r>
        <w:rPr>
          <w:rFonts w:ascii="Avenir Next" w:hAnsi="Avenir Next" w:cs="Arial"/>
          <w:color w:val="808080" w:themeColor="background1" w:themeShade="80"/>
          <w:sz w:val="22"/>
          <w:szCs w:val="22"/>
          <w:lang w:val="en-GB"/>
        </w:rPr>
        <w:t>he term “Insolvency” is applicable to companies and corporations</w:t>
      </w:r>
      <w:r w:rsidR="003073B2">
        <w:rPr>
          <w:rFonts w:ascii="Avenir Next" w:hAnsi="Avenir Next" w:cs="Arial"/>
          <w:color w:val="808080" w:themeColor="background1" w:themeShade="80"/>
          <w:sz w:val="22"/>
          <w:szCs w:val="22"/>
          <w:lang w:val="en-GB"/>
        </w:rPr>
        <w:t>.</w:t>
      </w:r>
      <w:r w:rsidR="007556A8">
        <w:rPr>
          <w:rFonts w:ascii="Avenir Next" w:hAnsi="Avenir Next" w:cs="Arial"/>
          <w:color w:val="808080" w:themeColor="background1" w:themeShade="80"/>
          <w:sz w:val="22"/>
          <w:szCs w:val="22"/>
          <w:lang w:val="en-GB"/>
        </w:rPr>
        <w:t xml:space="preserve"> In an English Court, in respect of an insolvent company, an application can be made by a person owed more than GBP750 for its winding up in circumstances where the Company is deemed to be unable to pay its debt as they fall due. </w:t>
      </w:r>
    </w:p>
    <w:p w14:paraId="0A10CD0A" w14:textId="77777777" w:rsidR="003073B2" w:rsidRDefault="003073B2" w:rsidP="00DA42DA">
      <w:pPr>
        <w:jc w:val="both"/>
        <w:rPr>
          <w:rFonts w:ascii="Avenir Next" w:hAnsi="Avenir Next" w:cs="Arial"/>
          <w:color w:val="808080" w:themeColor="background1" w:themeShade="80"/>
          <w:sz w:val="22"/>
          <w:szCs w:val="22"/>
          <w:lang w:val="en-GB"/>
        </w:rPr>
      </w:pPr>
    </w:p>
    <w:p w14:paraId="7BCF600A" w14:textId="6C3B1FF9" w:rsidR="003073B2" w:rsidRDefault="003073B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Depending on the</w:t>
      </w:r>
      <w:r w:rsidR="00164620">
        <w:rPr>
          <w:rFonts w:ascii="Avenir Next" w:hAnsi="Avenir Next" w:cs="Arial"/>
          <w:color w:val="808080" w:themeColor="background1" w:themeShade="80"/>
          <w:sz w:val="22"/>
          <w:szCs w:val="22"/>
          <w:lang w:val="en-GB"/>
        </w:rPr>
        <w:t xml:space="preserve"> jurisdiction</w:t>
      </w:r>
      <w:r>
        <w:rPr>
          <w:rFonts w:ascii="Avenir Next" w:hAnsi="Avenir Next" w:cs="Arial"/>
          <w:color w:val="808080" w:themeColor="background1" w:themeShade="80"/>
          <w:sz w:val="22"/>
          <w:szCs w:val="22"/>
          <w:lang w:val="en-GB"/>
        </w:rPr>
        <w:t>, bankruptcy or insolvency</w:t>
      </w:r>
      <w:r w:rsidR="00164620">
        <w:rPr>
          <w:rFonts w:ascii="Avenir Next" w:hAnsi="Avenir Next" w:cs="Arial"/>
          <w:color w:val="808080" w:themeColor="background1" w:themeShade="80"/>
          <w:sz w:val="22"/>
          <w:szCs w:val="22"/>
          <w:lang w:val="en-GB"/>
        </w:rPr>
        <w:t xml:space="preserve"> will be</w:t>
      </w:r>
      <w:r>
        <w:rPr>
          <w:rFonts w:ascii="Avenir Next" w:hAnsi="Avenir Next" w:cs="Arial"/>
          <w:color w:val="808080" w:themeColor="background1" w:themeShade="80"/>
          <w:sz w:val="22"/>
          <w:szCs w:val="22"/>
          <w:lang w:val="en-GB"/>
        </w:rPr>
        <w:t xml:space="preserve"> determined by reference to </w:t>
      </w:r>
      <w:r w:rsidR="00164620">
        <w:rPr>
          <w:rFonts w:ascii="Avenir Next" w:hAnsi="Avenir Next" w:cs="Arial"/>
          <w:color w:val="808080" w:themeColor="background1" w:themeShade="80"/>
          <w:sz w:val="22"/>
          <w:szCs w:val="22"/>
          <w:lang w:val="en-GB"/>
        </w:rPr>
        <w:t>either balance sheet insolvency, which means that on an analysis of a company’s accounting books, the liabilities are greater than the assets, or cash</w:t>
      </w:r>
      <w:r w:rsidR="00E87E61">
        <w:rPr>
          <w:rFonts w:ascii="Avenir Next" w:hAnsi="Avenir Next" w:cs="Arial"/>
          <w:color w:val="808080" w:themeColor="background1" w:themeShade="80"/>
          <w:sz w:val="22"/>
          <w:szCs w:val="22"/>
          <w:lang w:val="en-GB"/>
        </w:rPr>
        <w:t xml:space="preserve"> </w:t>
      </w:r>
      <w:r w:rsidR="00164620">
        <w:rPr>
          <w:rFonts w:ascii="Avenir Next" w:hAnsi="Avenir Next" w:cs="Arial"/>
          <w:color w:val="808080" w:themeColor="background1" w:themeShade="80"/>
          <w:sz w:val="22"/>
          <w:szCs w:val="22"/>
          <w:lang w:val="en-GB"/>
        </w:rPr>
        <w:t xml:space="preserve">flow insolvency, which is where a company is declared insolvent if it cannot pay its debts as they fall due. </w:t>
      </w:r>
    </w:p>
    <w:p w14:paraId="3346978F" w14:textId="1DB25E89" w:rsidR="004D68A3" w:rsidRDefault="004D68A3" w:rsidP="00DA42DA">
      <w:pPr>
        <w:jc w:val="both"/>
        <w:rPr>
          <w:rFonts w:ascii="Avenir Next" w:hAnsi="Avenir Next" w:cs="Arial"/>
          <w:color w:val="808080" w:themeColor="background1" w:themeShade="80"/>
          <w:sz w:val="22"/>
          <w:szCs w:val="22"/>
          <w:lang w:val="en-GB"/>
        </w:rPr>
      </w:pPr>
    </w:p>
    <w:p w14:paraId="5EE17BEB" w14:textId="002E7E82" w:rsidR="004D68A3" w:rsidRDefault="004D68A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certain exceptions made with respect to an individual’s bankruptcy. Under English law for example, an individual’s tools of trade are</w:t>
      </w:r>
      <w:r w:rsidR="008C609C">
        <w:rPr>
          <w:rFonts w:ascii="Avenir Next" w:hAnsi="Avenir Next" w:cs="Arial"/>
          <w:color w:val="808080" w:themeColor="background1" w:themeShade="80"/>
          <w:sz w:val="22"/>
          <w:szCs w:val="22"/>
          <w:lang w:val="en-GB"/>
        </w:rPr>
        <w:t xml:space="preserve"> exempt from the rest of his estate</w:t>
      </w:r>
      <w:r>
        <w:rPr>
          <w:rFonts w:ascii="Avenir Next" w:hAnsi="Avenir Next" w:cs="Arial"/>
          <w:color w:val="808080" w:themeColor="background1" w:themeShade="80"/>
          <w:sz w:val="22"/>
          <w:szCs w:val="22"/>
          <w:lang w:val="en-GB"/>
        </w:rPr>
        <w:t xml:space="preserve">, since the law recognises that the individual still needs to make a living and it can also assist the individual in repayment to creditors. </w:t>
      </w:r>
      <w:r w:rsidR="00304415">
        <w:rPr>
          <w:rFonts w:ascii="Avenir Next" w:hAnsi="Avenir Next" w:cs="Arial"/>
          <w:color w:val="808080" w:themeColor="background1" w:themeShade="80"/>
          <w:sz w:val="22"/>
          <w:szCs w:val="22"/>
          <w:lang w:val="en-GB"/>
        </w:rPr>
        <w:t>Further in an individual bankruptcy certain assets such as household goods can be exem</w:t>
      </w:r>
      <w:r w:rsidR="00E52C3F">
        <w:rPr>
          <w:rFonts w:ascii="Avenir Next" w:hAnsi="Avenir Next" w:cs="Arial"/>
          <w:color w:val="808080" w:themeColor="background1" w:themeShade="80"/>
          <w:sz w:val="22"/>
          <w:szCs w:val="22"/>
          <w:lang w:val="en-GB"/>
        </w:rPr>
        <w:t>pt or excluded from the estate.</w:t>
      </w:r>
      <w:r w:rsidR="00E52C3F">
        <w:rPr>
          <w:rStyle w:val="FootnoteReference"/>
          <w:rFonts w:ascii="Avenir Next" w:hAnsi="Avenir Next" w:cs="Arial"/>
          <w:color w:val="808080" w:themeColor="background1" w:themeShade="80"/>
          <w:sz w:val="22"/>
          <w:szCs w:val="22"/>
          <w:lang w:val="en-GB"/>
        </w:rPr>
        <w:footnoteReference w:id="5"/>
      </w:r>
    </w:p>
    <w:p w14:paraId="2B59980E" w14:textId="61A9E795" w:rsidR="00304415" w:rsidRDefault="00304415" w:rsidP="00DA42DA">
      <w:pPr>
        <w:jc w:val="both"/>
        <w:rPr>
          <w:rFonts w:ascii="Avenir Next" w:hAnsi="Avenir Next" w:cs="Arial"/>
          <w:color w:val="808080" w:themeColor="background1" w:themeShade="80"/>
          <w:sz w:val="22"/>
          <w:szCs w:val="22"/>
          <w:lang w:val="en-GB"/>
        </w:rPr>
      </w:pPr>
    </w:p>
    <w:p w14:paraId="4E262901" w14:textId="43D5145C" w:rsidR="00304415" w:rsidRDefault="0030441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in respect of insolvent companies, they are “dissolved” in a way which is not applicable to an individual.</w:t>
      </w:r>
      <w:r w:rsidR="00E52C3F">
        <w:rPr>
          <w:rFonts w:ascii="Avenir Next" w:hAnsi="Avenir Next" w:cs="Arial"/>
          <w:color w:val="808080" w:themeColor="background1" w:themeShade="80"/>
          <w:sz w:val="22"/>
          <w:szCs w:val="22"/>
          <w:lang w:val="en-GB"/>
        </w:rPr>
        <w:t xml:space="preserve"> Individuals who have been made bankrupt will be affected on a more personal level. Their credit score will be negatively affected, meaning they may have difficulty taking out a loan, credit card or mortgage, including not being able to assume certain position</w:t>
      </w:r>
      <w:r w:rsidR="000D2E48">
        <w:rPr>
          <w:rFonts w:ascii="Avenir Next" w:hAnsi="Avenir Next" w:cs="Arial"/>
          <w:color w:val="808080" w:themeColor="background1" w:themeShade="80"/>
          <w:sz w:val="22"/>
          <w:szCs w:val="22"/>
          <w:lang w:val="en-GB"/>
        </w:rPr>
        <w:t>s</w:t>
      </w:r>
      <w:r w:rsidR="00E52C3F">
        <w:rPr>
          <w:rFonts w:ascii="Avenir Next" w:hAnsi="Avenir Next" w:cs="Arial"/>
          <w:color w:val="808080" w:themeColor="background1" w:themeShade="80"/>
          <w:sz w:val="22"/>
          <w:szCs w:val="22"/>
          <w:lang w:val="en-GB"/>
        </w:rPr>
        <w:t xml:space="preserve"> of trust in public office, such as being a member of parliament. On the contrary, officers in a company will </w:t>
      </w:r>
      <w:r w:rsidR="00C80390">
        <w:rPr>
          <w:rFonts w:ascii="Avenir Next" w:hAnsi="Avenir Next" w:cs="Arial"/>
          <w:color w:val="808080" w:themeColor="background1" w:themeShade="80"/>
          <w:sz w:val="22"/>
          <w:szCs w:val="22"/>
          <w:lang w:val="en-GB"/>
        </w:rPr>
        <w:t>have</w:t>
      </w:r>
      <w:r w:rsidR="00E52C3F">
        <w:rPr>
          <w:rFonts w:ascii="Avenir Next" w:hAnsi="Avenir Next" w:cs="Arial"/>
          <w:color w:val="808080" w:themeColor="background1" w:themeShade="80"/>
          <w:sz w:val="22"/>
          <w:szCs w:val="22"/>
          <w:lang w:val="en-GB"/>
        </w:rPr>
        <w:t xml:space="preserve"> their liability limited to the assets of the</w:t>
      </w:r>
      <w:r w:rsidR="00C80390">
        <w:rPr>
          <w:rFonts w:ascii="Avenir Next" w:hAnsi="Avenir Next" w:cs="Arial"/>
          <w:color w:val="808080" w:themeColor="background1" w:themeShade="80"/>
          <w:sz w:val="22"/>
          <w:szCs w:val="22"/>
          <w:lang w:val="en-GB"/>
        </w:rPr>
        <w:t xml:space="preserve"> company, unless there has been a fraud element involved</w:t>
      </w:r>
      <w:r w:rsidR="000D2E48">
        <w:rPr>
          <w:rFonts w:ascii="Avenir Next" w:hAnsi="Avenir Next" w:cs="Arial"/>
          <w:color w:val="808080" w:themeColor="background1" w:themeShade="80"/>
          <w:sz w:val="22"/>
          <w:szCs w:val="22"/>
          <w:lang w:val="en-GB"/>
        </w:rPr>
        <w:t xml:space="preserve"> during their time as officer in</w:t>
      </w:r>
      <w:r w:rsidR="00C80390">
        <w:rPr>
          <w:rFonts w:ascii="Avenir Next" w:hAnsi="Avenir Next" w:cs="Arial"/>
          <w:color w:val="808080" w:themeColor="background1" w:themeShade="80"/>
          <w:sz w:val="22"/>
          <w:szCs w:val="22"/>
          <w:lang w:val="en-GB"/>
        </w:rPr>
        <w:t xml:space="preserve"> a company.</w:t>
      </w:r>
    </w:p>
    <w:p w14:paraId="6B6ADF2E" w14:textId="77777777" w:rsidR="003073B2" w:rsidRPr="00DA42DA" w:rsidRDefault="003073B2"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08A305A" w14:textId="77777777" w:rsidR="004C2FB0" w:rsidRDefault="00E87E6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harmonisation of global cross border insolvency laws proves a challenge primarily because of the</w:t>
      </w:r>
      <w:r w:rsidR="00164620">
        <w:rPr>
          <w:rFonts w:ascii="Avenir Next" w:hAnsi="Avenir Next" w:cs="Arial"/>
          <w:color w:val="808080" w:themeColor="background1" w:themeShade="80"/>
          <w:sz w:val="22"/>
          <w:szCs w:val="22"/>
          <w:lang w:val="en-GB"/>
        </w:rPr>
        <w:t xml:space="preserve"> numerous cultural differences which underpin a country’s approach to insolvency meaning that no one country’s approach will be entirely aligned with another’</w:t>
      </w:r>
      <w:r>
        <w:rPr>
          <w:rFonts w:ascii="Avenir Next" w:hAnsi="Avenir Next" w:cs="Arial"/>
          <w:color w:val="808080" w:themeColor="background1" w:themeShade="80"/>
          <w:sz w:val="22"/>
          <w:szCs w:val="22"/>
          <w:lang w:val="en-GB"/>
        </w:rPr>
        <w:t>s and the respective laws will reflect those differences. A country’s policy will have developed over hundreds of years, and be</w:t>
      </w:r>
      <w:r w:rsidR="007556A8">
        <w:rPr>
          <w:rFonts w:ascii="Avenir Next" w:hAnsi="Avenir Next" w:cs="Arial"/>
          <w:color w:val="808080" w:themeColor="background1" w:themeShade="80"/>
          <w:sz w:val="22"/>
          <w:szCs w:val="22"/>
          <w:lang w:val="en-GB"/>
        </w:rPr>
        <w:t xml:space="preserve"> largely</w:t>
      </w:r>
      <w:r>
        <w:rPr>
          <w:rFonts w:ascii="Avenir Next" w:hAnsi="Avenir Next" w:cs="Arial"/>
          <w:color w:val="808080" w:themeColor="background1" w:themeShade="80"/>
          <w:sz w:val="22"/>
          <w:szCs w:val="22"/>
          <w:lang w:val="en-GB"/>
        </w:rPr>
        <w:t xml:space="preserve"> reflective of that country’s history</w:t>
      </w:r>
      <w:r w:rsidR="007556A8">
        <w:rPr>
          <w:rFonts w:ascii="Avenir Next" w:hAnsi="Avenir Next" w:cs="Arial"/>
          <w:color w:val="808080" w:themeColor="background1" w:themeShade="80"/>
          <w:sz w:val="22"/>
          <w:szCs w:val="22"/>
          <w:lang w:val="en-GB"/>
        </w:rPr>
        <w:t xml:space="preserve"> and political leaders</w:t>
      </w:r>
      <w:r>
        <w:rPr>
          <w:rFonts w:ascii="Avenir Next" w:hAnsi="Avenir Next" w:cs="Arial"/>
          <w:color w:val="808080" w:themeColor="background1" w:themeShade="80"/>
          <w:sz w:val="22"/>
          <w:szCs w:val="22"/>
          <w:lang w:val="en-GB"/>
        </w:rPr>
        <w:t xml:space="preserve"> and as a consequence,</w:t>
      </w:r>
      <w:r w:rsidR="007556A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very unique</w:t>
      </w:r>
      <w:r w:rsidR="0055567E">
        <w:rPr>
          <w:rFonts w:ascii="Avenir Next" w:hAnsi="Avenir Next" w:cs="Arial"/>
          <w:color w:val="808080" w:themeColor="background1" w:themeShade="80"/>
          <w:sz w:val="22"/>
          <w:szCs w:val="22"/>
          <w:lang w:val="en-GB"/>
        </w:rPr>
        <w:t xml:space="preserve"> in nature</w:t>
      </w:r>
      <w:r w:rsidR="00824B9D">
        <w:rPr>
          <w:rFonts w:ascii="Avenir Next" w:hAnsi="Avenir Next" w:cs="Arial"/>
          <w:color w:val="808080" w:themeColor="background1" w:themeShade="80"/>
          <w:sz w:val="22"/>
          <w:szCs w:val="22"/>
          <w:lang w:val="en-GB"/>
        </w:rPr>
        <w:t>. Along with the differing policy considerations, each country also has its own set of rules in respect of general areas of law</w:t>
      </w:r>
      <w:r w:rsidR="004C2FB0">
        <w:rPr>
          <w:rFonts w:ascii="Avenir Next" w:hAnsi="Avenir Next" w:cs="Arial"/>
          <w:color w:val="808080" w:themeColor="background1" w:themeShade="80"/>
          <w:sz w:val="22"/>
          <w:szCs w:val="22"/>
          <w:lang w:val="en-GB"/>
        </w:rPr>
        <w:t xml:space="preserve"> such as how it deals with security rights of the approach to labour issues</w:t>
      </w:r>
      <w:r w:rsidR="00824B9D">
        <w:rPr>
          <w:rFonts w:ascii="Avenir Next" w:hAnsi="Avenir Next" w:cs="Arial"/>
          <w:color w:val="808080" w:themeColor="background1" w:themeShade="80"/>
          <w:sz w:val="22"/>
          <w:szCs w:val="22"/>
          <w:lang w:val="en-GB"/>
        </w:rPr>
        <w:t>.</w:t>
      </w:r>
      <w:r w:rsidR="00553C58">
        <w:rPr>
          <w:rFonts w:ascii="Avenir Next" w:hAnsi="Avenir Next" w:cs="Arial"/>
          <w:color w:val="808080" w:themeColor="background1" w:themeShade="80"/>
          <w:sz w:val="22"/>
          <w:szCs w:val="22"/>
          <w:lang w:val="en-GB"/>
        </w:rPr>
        <w:t xml:space="preserve"> </w:t>
      </w:r>
    </w:p>
    <w:p w14:paraId="71105419" w14:textId="77777777" w:rsidR="004C2FB0" w:rsidRDefault="004C2FB0" w:rsidP="00DA42DA">
      <w:pPr>
        <w:jc w:val="both"/>
        <w:rPr>
          <w:rFonts w:ascii="Avenir Next" w:hAnsi="Avenir Next" w:cs="Arial"/>
          <w:color w:val="808080" w:themeColor="background1" w:themeShade="80"/>
          <w:sz w:val="22"/>
          <w:szCs w:val="22"/>
          <w:lang w:val="en-GB"/>
        </w:rPr>
      </w:pPr>
    </w:p>
    <w:p w14:paraId="2EFFE070" w14:textId="54C16975" w:rsidR="00B13CD1" w:rsidRDefault="004C2FB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differences revolve around how systems operate as a whole, whether it be pro-debtor or pro-creditor. Systems which adopt the same approach will find it easier to adopt laws of a similar nature to allow insolvency issues to be dealt with more easily than countries who do not. </w:t>
      </w:r>
      <w:r w:rsidR="00B13CD1">
        <w:rPr>
          <w:rFonts w:ascii="Avenir Next" w:hAnsi="Avenir Next" w:cs="Arial"/>
          <w:color w:val="808080" w:themeColor="background1" w:themeShade="80"/>
          <w:sz w:val="22"/>
          <w:szCs w:val="22"/>
          <w:lang w:val="en-GB"/>
        </w:rPr>
        <w:t xml:space="preserve">For example the USA is known for having a system which generally favours creditors. </w:t>
      </w:r>
    </w:p>
    <w:p w14:paraId="139783E8" w14:textId="77777777" w:rsidR="00B13CD1" w:rsidRDefault="00B13CD1" w:rsidP="00DA42DA">
      <w:pPr>
        <w:jc w:val="both"/>
        <w:rPr>
          <w:rFonts w:ascii="Avenir Next" w:hAnsi="Avenir Next" w:cs="Arial"/>
          <w:color w:val="808080" w:themeColor="background1" w:themeShade="80"/>
          <w:sz w:val="22"/>
          <w:szCs w:val="22"/>
          <w:lang w:val="en-GB"/>
        </w:rPr>
      </w:pPr>
    </w:p>
    <w:p w14:paraId="0CE70F63" w14:textId="6F181217" w:rsidR="00B13CD1" w:rsidRDefault="00553C5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Depending on which jurisdiction, the differences mean that in many cases there is a high degree of incompatibility.</w:t>
      </w:r>
      <w:r w:rsidR="007279D4">
        <w:rPr>
          <w:rFonts w:ascii="Avenir Next" w:hAnsi="Avenir Next" w:cs="Arial"/>
          <w:color w:val="808080" w:themeColor="background1" w:themeShade="80"/>
          <w:sz w:val="22"/>
          <w:szCs w:val="22"/>
          <w:lang w:val="en-GB"/>
        </w:rPr>
        <w:t xml:space="preserve"> </w:t>
      </w:r>
      <w:r w:rsidR="004C2FB0">
        <w:rPr>
          <w:rFonts w:ascii="Avenir Next" w:hAnsi="Avenir Next" w:cs="Arial"/>
          <w:color w:val="808080" w:themeColor="background1" w:themeShade="80"/>
          <w:sz w:val="22"/>
          <w:szCs w:val="22"/>
          <w:lang w:val="en-GB"/>
        </w:rPr>
        <w:t>Further difficulties arise subject to</w:t>
      </w:r>
      <w:r w:rsidR="007279D4">
        <w:rPr>
          <w:rFonts w:ascii="Avenir Next" w:hAnsi="Avenir Next" w:cs="Arial"/>
          <w:color w:val="808080" w:themeColor="background1" w:themeShade="80"/>
          <w:sz w:val="22"/>
          <w:szCs w:val="22"/>
          <w:lang w:val="en-GB"/>
        </w:rPr>
        <w:t xml:space="preserve"> the basis on which a country’</w:t>
      </w:r>
      <w:r w:rsidR="00B13CD1">
        <w:rPr>
          <w:rFonts w:ascii="Avenir Next" w:hAnsi="Avenir Next" w:cs="Arial"/>
          <w:color w:val="808080" w:themeColor="background1" w:themeShade="80"/>
          <w:sz w:val="22"/>
          <w:szCs w:val="22"/>
          <w:lang w:val="en-GB"/>
        </w:rPr>
        <w:t>s legal system is founded</w:t>
      </w:r>
      <w:r w:rsidR="007279D4">
        <w:rPr>
          <w:rFonts w:ascii="Avenir Next" w:hAnsi="Avenir Next" w:cs="Arial"/>
          <w:color w:val="808080" w:themeColor="background1" w:themeShade="80"/>
          <w:sz w:val="22"/>
          <w:szCs w:val="22"/>
          <w:lang w:val="en-GB"/>
        </w:rPr>
        <w:t>, be it civil law or English law</w:t>
      </w:r>
      <w:r w:rsidR="004C2FB0">
        <w:rPr>
          <w:rFonts w:ascii="Avenir Next" w:hAnsi="Avenir Next" w:cs="Arial"/>
          <w:color w:val="808080" w:themeColor="background1" w:themeShade="80"/>
          <w:sz w:val="22"/>
          <w:szCs w:val="22"/>
          <w:lang w:val="en-GB"/>
        </w:rPr>
        <w:t xml:space="preserve"> (English common law)</w:t>
      </w:r>
      <w:r w:rsidR="007279D4">
        <w:rPr>
          <w:rFonts w:ascii="Avenir Next" w:hAnsi="Avenir Next" w:cs="Arial"/>
          <w:color w:val="808080" w:themeColor="background1" w:themeShade="80"/>
          <w:sz w:val="22"/>
          <w:szCs w:val="22"/>
          <w:lang w:val="en-GB"/>
        </w:rPr>
        <w:t>. Where two countries both adopt an English law approach, it is easier to create channels through which countries can arrange their insolvency laws</w:t>
      </w:r>
      <w:r w:rsidR="004C2FB0">
        <w:rPr>
          <w:rFonts w:ascii="Avenir Next" w:hAnsi="Avenir Next" w:cs="Arial"/>
          <w:color w:val="808080" w:themeColor="background1" w:themeShade="80"/>
          <w:sz w:val="22"/>
          <w:szCs w:val="22"/>
          <w:lang w:val="en-GB"/>
        </w:rPr>
        <w:t xml:space="preserve"> (and amendments)</w:t>
      </w:r>
      <w:r w:rsidR="007279D4">
        <w:rPr>
          <w:rFonts w:ascii="Avenir Next" w:hAnsi="Avenir Next" w:cs="Arial"/>
          <w:color w:val="808080" w:themeColor="background1" w:themeShade="80"/>
          <w:sz w:val="22"/>
          <w:szCs w:val="22"/>
          <w:lang w:val="en-GB"/>
        </w:rPr>
        <w:t xml:space="preserve"> in such a way as to allow for cross border elements of insolvency to be resolved more easily. </w:t>
      </w:r>
    </w:p>
    <w:p w14:paraId="3A055B70" w14:textId="77777777" w:rsidR="00B13CD1" w:rsidRDefault="00B13CD1" w:rsidP="00DA42DA">
      <w:pPr>
        <w:jc w:val="both"/>
        <w:rPr>
          <w:rFonts w:ascii="Avenir Next" w:hAnsi="Avenir Next" w:cs="Arial"/>
          <w:color w:val="808080" w:themeColor="background1" w:themeShade="80"/>
          <w:sz w:val="22"/>
          <w:szCs w:val="22"/>
          <w:lang w:val="en-GB"/>
        </w:rPr>
      </w:pPr>
    </w:p>
    <w:p w14:paraId="6B5CF002" w14:textId="1A04BD2C" w:rsidR="00DA42DA" w:rsidRDefault="007279D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00B13CD1">
        <w:rPr>
          <w:rFonts w:ascii="Avenir Next" w:hAnsi="Avenir Next" w:cs="Arial"/>
          <w:color w:val="808080" w:themeColor="background1" w:themeShade="80"/>
          <w:sz w:val="22"/>
          <w:szCs w:val="22"/>
          <w:lang w:val="en-GB"/>
        </w:rPr>
        <w:t>English insolvency</w:t>
      </w:r>
      <w:r>
        <w:rPr>
          <w:rFonts w:ascii="Avenir Next" w:hAnsi="Avenir Next" w:cs="Arial"/>
          <w:color w:val="808080" w:themeColor="background1" w:themeShade="80"/>
          <w:sz w:val="22"/>
          <w:szCs w:val="22"/>
          <w:lang w:val="en-GB"/>
        </w:rPr>
        <w:t xml:space="preserve"> law both personal and corporate bankruptcy are dealt with under one piece of legislation, the Insolvency Act 1986, Spain adopts the same approach under the Spanish Insolvency Act 2003. India adopts an older version of the English approach which maintains the separation between personal and corporate bankruptcy. </w:t>
      </w:r>
    </w:p>
    <w:p w14:paraId="42D9FDE7" w14:textId="5359344D" w:rsidR="004C2FB0" w:rsidRDefault="004C2FB0" w:rsidP="00DA42DA">
      <w:pPr>
        <w:jc w:val="both"/>
        <w:rPr>
          <w:rFonts w:ascii="Avenir Next" w:hAnsi="Avenir Next" w:cs="Arial"/>
          <w:color w:val="808080" w:themeColor="background1" w:themeShade="80"/>
          <w:sz w:val="22"/>
          <w:szCs w:val="22"/>
          <w:lang w:val="en-GB"/>
        </w:rPr>
      </w:pPr>
    </w:p>
    <w:p w14:paraId="30C5B073" w14:textId="77777777" w:rsidR="00B56F4E" w:rsidRDefault="00B56F4E" w:rsidP="00B56F4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Then there is the issue of terminology where different countries utilise the same words, but which have different meanings. </w:t>
      </w:r>
    </w:p>
    <w:p w14:paraId="7143DD18" w14:textId="77777777" w:rsidR="00B56F4E" w:rsidRDefault="00B56F4E" w:rsidP="00B56F4E">
      <w:pPr>
        <w:jc w:val="both"/>
        <w:rPr>
          <w:rFonts w:ascii="Avenir Next" w:hAnsi="Avenir Next" w:cs="Arial"/>
          <w:color w:val="808080" w:themeColor="background1" w:themeShade="80"/>
          <w:sz w:val="22"/>
          <w:szCs w:val="22"/>
          <w:lang w:val="en-GB"/>
        </w:rPr>
      </w:pPr>
    </w:p>
    <w:p w14:paraId="20384D22" w14:textId="7783089B" w:rsidR="004C2FB0" w:rsidRDefault="00B56F4E" w:rsidP="00B56F4E">
      <w:pPr>
        <w:jc w:val="both"/>
        <w:rPr>
          <w:rFonts w:ascii="Avenir Next" w:hAnsi="Avenir Next" w:cs="Arial"/>
          <w:color w:val="808080" w:themeColor="background1" w:themeShade="80"/>
          <w:sz w:val="22"/>
          <w:szCs w:val="22"/>
          <w:lang w:val="en-GB"/>
        </w:rPr>
      </w:pPr>
      <w:r w:rsidRPr="00B56F4E">
        <w:rPr>
          <w:rFonts w:ascii="Avenir Next" w:hAnsi="Avenir Next" w:cs="Arial"/>
          <w:color w:val="808080" w:themeColor="background1" w:themeShade="80"/>
          <w:sz w:val="22"/>
          <w:szCs w:val="22"/>
          <w:lang w:val="en-GB"/>
        </w:rPr>
        <w:t>Many terms such as “secured creditor”, “security interest”,</w:t>
      </w:r>
      <w:r>
        <w:rPr>
          <w:rFonts w:ascii="Avenir Next" w:hAnsi="Avenir Next" w:cs="Arial"/>
          <w:color w:val="808080" w:themeColor="background1" w:themeShade="80"/>
          <w:sz w:val="22"/>
          <w:szCs w:val="22"/>
          <w:lang w:val="en-GB"/>
        </w:rPr>
        <w:t xml:space="preserve"> </w:t>
      </w:r>
      <w:r w:rsidRPr="00B56F4E">
        <w:rPr>
          <w:rFonts w:ascii="Avenir Next" w:hAnsi="Avenir Next" w:cs="Arial"/>
          <w:color w:val="808080" w:themeColor="background1" w:themeShade="80"/>
          <w:sz w:val="22"/>
          <w:szCs w:val="22"/>
          <w:lang w:val="en-GB"/>
        </w:rPr>
        <w:t>“liquidation” and “reorganization” may have fundamentally different meanings</w:t>
      </w:r>
      <w:r>
        <w:rPr>
          <w:rFonts w:ascii="Avenir Next" w:hAnsi="Avenir Next" w:cs="Arial"/>
          <w:color w:val="808080" w:themeColor="background1" w:themeShade="80"/>
          <w:sz w:val="22"/>
          <w:szCs w:val="22"/>
          <w:lang w:val="en-GB"/>
        </w:rPr>
        <w:t xml:space="preserve"> </w:t>
      </w:r>
      <w:r w:rsidRPr="00B56F4E">
        <w:rPr>
          <w:rFonts w:ascii="Avenir Next" w:hAnsi="Avenir Next" w:cs="Arial"/>
          <w:color w:val="808080" w:themeColor="background1" w:themeShade="80"/>
          <w:sz w:val="22"/>
          <w:szCs w:val="22"/>
          <w:lang w:val="en-GB"/>
        </w:rPr>
        <w:t>in different jurisdictions. An explanation of the use of the term in the</w:t>
      </w:r>
      <w:r>
        <w:rPr>
          <w:rFonts w:ascii="Avenir Next" w:hAnsi="Avenir Next" w:cs="Arial"/>
          <w:color w:val="808080" w:themeColor="background1" w:themeShade="80"/>
          <w:sz w:val="22"/>
          <w:szCs w:val="22"/>
          <w:lang w:val="en-GB"/>
        </w:rPr>
        <w:t xml:space="preserve"> </w:t>
      </w:r>
      <w:r w:rsidRPr="00B56F4E">
        <w:rPr>
          <w:rFonts w:ascii="Avenir Next" w:hAnsi="Avenir Next" w:cs="Arial"/>
          <w:color w:val="808080" w:themeColor="background1" w:themeShade="80"/>
          <w:sz w:val="22"/>
          <w:szCs w:val="22"/>
          <w:lang w:val="en-GB"/>
        </w:rPr>
        <w:t>Guide may assist in ensuring that the concepts discussed are clear and widely</w:t>
      </w:r>
      <w:r>
        <w:rPr>
          <w:rFonts w:ascii="Avenir Next" w:hAnsi="Avenir Next" w:cs="Arial"/>
          <w:color w:val="808080" w:themeColor="background1" w:themeShade="80"/>
          <w:sz w:val="22"/>
          <w:szCs w:val="22"/>
          <w:lang w:val="en-GB"/>
        </w:rPr>
        <w:t xml:space="preserve"> </w:t>
      </w:r>
      <w:r w:rsidRPr="00B56F4E">
        <w:rPr>
          <w:rFonts w:ascii="Avenir Next" w:hAnsi="Avenir Next" w:cs="Arial"/>
          <w:color w:val="808080" w:themeColor="background1" w:themeShade="80"/>
          <w:sz w:val="22"/>
          <w:szCs w:val="22"/>
          <w:lang w:val="en-GB"/>
        </w:rPr>
        <w:t>understood</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6"/>
      </w:r>
    </w:p>
    <w:p w14:paraId="78EE21C2" w14:textId="56CC35E0" w:rsidR="000416D7" w:rsidRDefault="000416D7" w:rsidP="00B56F4E">
      <w:pPr>
        <w:jc w:val="both"/>
        <w:rPr>
          <w:rFonts w:ascii="Avenir Next" w:hAnsi="Avenir Next" w:cs="Arial"/>
          <w:color w:val="808080" w:themeColor="background1" w:themeShade="80"/>
          <w:sz w:val="22"/>
          <w:szCs w:val="22"/>
          <w:lang w:val="en-GB"/>
        </w:rPr>
      </w:pPr>
    </w:p>
    <w:p w14:paraId="733BC889" w14:textId="283BD8A8" w:rsidR="000416D7" w:rsidRPr="00DA42DA" w:rsidRDefault="000416D7" w:rsidP="000416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approach taken when deciding when someone is insolvent is also different. Two different approaches are </w:t>
      </w:r>
      <w:r w:rsidRPr="000416D7">
        <w:rPr>
          <w:rFonts w:ascii="Avenir Next" w:hAnsi="Avenir Next" w:cs="Arial"/>
          <w:color w:val="808080" w:themeColor="background1" w:themeShade="80"/>
          <w:sz w:val="22"/>
          <w:szCs w:val="22"/>
          <w:lang w:val="en-GB"/>
        </w:rPr>
        <w:t>when a debtor is generally unable to pay its debts as</w:t>
      </w:r>
      <w:r>
        <w:rPr>
          <w:rFonts w:ascii="Avenir Next" w:hAnsi="Avenir Next" w:cs="Arial"/>
          <w:color w:val="808080" w:themeColor="background1" w:themeShade="80"/>
          <w:sz w:val="22"/>
          <w:szCs w:val="22"/>
          <w:lang w:val="en-GB"/>
        </w:rPr>
        <w:t xml:space="preserve"> </w:t>
      </w:r>
      <w:r w:rsidRPr="000416D7">
        <w:rPr>
          <w:rFonts w:ascii="Avenir Next" w:hAnsi="Avenir Next" w:cs="Arial"/>
          <w:color w:val="808080" w:themeColor="background1" w:themeShade="80"/>
          <w:sz w:val="22"/>
          <w:szCs w:val="22"/>
          <w:lang w:val="en-GB"/>
        </w:rPr>
        <w:t>they mature or when its liabilities</w:t>
      </w:r>
      <w:r>
        <w:rPr>
          <w:rFonts w:ascii="Avenir Next" w:hAnsi="Avenir Next" w:cs="Arial"/>
          <w:color w:val="808080" w:themeColor="background1" w:themeShade="80"/>
          <w:sz w:val="22"/>
          <w:szCs w:val="22"/>
          <w:lang w:val="en-GB"/>
        </w:rPr>
        <w:t xml:space="preserve"> exceed the value of its assets.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4BCF1165"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37F0167E" w:rsidR="006A44B2" w:rsidRDefault="00AD52A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to which countries become signatories, become domestic laws enforceable in court meaning that its citizen and entities become bound by them</w:t>
      </w:r>
      <w:r w:rsidR="007556A8">
        <w:rPr>
          <w:rStyle w:val="FootnoteReference"/>
          <w:rFonts w:ascii="Avenir Next" w:hAnsi="Avenir Next" w:cs="Arial"/>
          <w:color w:val="808080" w:themeColor="background1" w:themeShade="80"/>
          <w:sz w:val="22"/>
          <w:szCs w:val="22"/>
          <w:lang w:val="en-GB"/>
        </w:rPr>
        <w:footnoteReference w:id="7"/>
      </w:r>
      <w:r>
        <w:rPr>
          <w:rFonts w:ascii="Avenir Next" w:hAnsi="Avenir Next" w:cs="Arial"/>
          <w:color w:val="808080" w:themeColor="background1" w:themeShade="80"/>
          <w:sz w:val="22"/>
          <w:szCs w:val="22"/>
          <w:lang w:val="en-GB"/>
        </w:rPr>
        <w:t>.</w:t>
      </w:r>
      <w:r w:rsidR="005940FF">
        <w:rPr>
          <w:rFonts w:ascii="Avenir Next" w:hAnsi="Avenir Next" w:cs="Arial"/>
          <w:color w:val="808080" w:themeColor="background1" w:themeShade="80"/>
          <w:sz w:val="22"/>
          <w:szCs w:val="22"/>
          <w:lang w:val="en-GB"/>
        </w:rPr>
        <w:t xml:space="preserve"> This is known as “hard law”.</w:t>
      </w:r>
      <w:r>
        <w:rPr>
          <w:rFonts w:ascii="Avenir Next" w:hAnsi="Avenir Next" w:cs="Arial"/>
          <w:color w:val="808080" w:themeColor="background1" w:themeShade="80"/>
          <w:sz w:val="22"/>
          <w:szCs w:val="22"/>
          <w:lang w:val="en-GB"/>
        </w:rPr>
        <w:t xml:space="preserve"> </w:t>
      </w:r>
      <w:r w:rsidR="0055567E">
        <w:rPr>
          <w:rFonts w:ascii="Avenir Next" w:hAnsi="Avenir Next" w:cs="Arial"/>
          <w:color w:val="808080" w:themeColor="background1" w:themeShade="80"/>
          <w:sz w:val="22"/>
          <w:szCs w:val="22"/>
          <w:lang w:val="en-GB"/>
        </w:rPr>
        <w:t>An example of a succes</w:t>
      </w:r>
      <w:r w:rsidR="003073B2">
        <w:rPr>
          <w:rFonts w:ascii="Avenir Next" w:hAnsi="Avenir Next" w:cs="Arial"/>
          <w:color w:val="808080" w:themeColor="background1" w:themeShade="80"/>
          <w:sz w:val="22"/>
          <w:szCs w:val="22"/>
          <w:lang w:val="en-GB"/>
        </w:rPr>
        <w:t>sful multilateral treaty is the</w:t>
      </w:r>
      <w:r w:rsidR="0055567E" w:rsidRPr="0055567E">
        <w:rPr>
          <w:rFonts w:ascii="Avenir Next" w:hAnsi="Avenir Next" w:cs="Arial"/>
          <w:color w:val="808080" w:themeColor="background1" w:themeShade="80"/>
          <w:sz w:val="22"/>
          <w:szCs w:val="22"/>
          <w:lang w:val="en-GB"/>
        </w:rPr>
        <w:t xml:space="preserve"> Nordic Bankruptcy Convention of 7 November 193</w:t>
      </w:r>
      <w:r w:rsidR="0055567E">
        <w:rPr>
          <w:rFonts w:ascii="Avenir Next" w:hAnsi="Avenir Next" w:cs="Arial"/>
          <w:color w:val="808080" w:themeColor="background1" w:themeShade="80"/>
          <w:sz w:val="22"/>
          <w:szCs w:val="22"/>
          <w:lang w:val="en-GB"/>
        </w:rPr>
        <w:t>3.</w:t>
      </w:r>
      <w:r w:rsidR="0055567E" w:rsidRPr="0055567E">
        <w:rPr>
          <w:rFonts w:ascii="Avenir Next" w:hAnsi="Avenir Next" w:cs="Arial"/>
          <w:color w:val="808080" w:themeColor="background1" w:themeShade="80"/>
          <w:sz w:val="22"/>
          <w:szCs w:val="22"/>
          <w:lang w:val="en-GB"/>
        </w:rPr>
        <w:t xml:space="preserve"> According to the convention, a bankruptcy declared in one Nordic country is recognised in the other Nordic countries as automatically applying to the bankrupt's property in those countries. (Bankruptcy here refers to both individuals and corporates.)</w:t>
      </w:r>
      <w:r w:rsidR="003073B2">
        <w:rPr>
          <w:rStyle w:val="FootnoteReference"/>
          <w:rFonts w:ascii="Avenir Next" w:hAnsi="Avenir Next" w:cs="Arial"/>
          <w:color w:val="808080" w:themeColor="background1" w:themeShade="80"/>
          <w:sz w:val="22"/>
          <w:szCs w:val="22"/>
          <w:lang w:val="en-GB"/>
        </w:rPr>
        <w:footnoteReference w:id="8"/>
      </w:r>
      <w:r w:rsidR="00F8219A">
        <w:rPr>
          <w:rFonts w:ascii="Avenir Next" w:hAnsi="Avenir Next" w:cs="Arial"/>
          <w:color w:val="808080" w:themeColor="background1" w:themeShade="80"/>
          <w:sz w:val="22"/>
          <w:szCs w:val="22"/>
          <w:lang w:val="en-GB"/>
        </w:rPr>
        <w:t xml:space="preserve"> </w:t>
      </w:r>
    </w:p>
    <w:p w14:paraId="29ED3718" w14:textId="5BC544B6" w:rsidR="00F8219A" w:rsidRDefault="00F8219A" w:rsidP="006A44B2">
      <w:pPr>
        <w:jc w:val="both"/>
        <w:rPr>
          <w:rFonts w:ascii="Avenir Next" w:hAnsi="Avenir Next" w:cs="Arial"/>
          <w:color w:val="808080" w:themeColor="background1" w:themeShade="80"/>
          <w:sz w:val="22"/>
          <w:szCs w:val="22"/>
          <w:lang w:val="en-GB"/>
        </w:rPr>
      </w:pPr>
    </w:p>
    <w:p w14:paraId="39E9D05C" w14:textId="54435D4F" w:rsidR="00F8219A" w:rsidRDefault="00F8219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2000 has achieved success and influenced broader multilateral developments i</w:t>
      </w:r>
      <w:r w:rsidR="005940FF">
        <w:rPr>
          <w:rFonts w:ascii="Avenir Next" w:hAnsi="Avenir Next" w:cs="Arial"/>
          <w:color w:val="808080" w:themeColor="background1" w:themeShade="80"/>
          <w:sz w:val="22"/>
          <w:szCs w:val="22"/>
          <w:lang w:val="en-GB"/>
        </w:rPr>
        <w:t>n international insolvency law achieving harmonisation of insolvency laws between Member States allowing for the insolvency process to work effectively.</w:t>
      </w:r>
    </w:p>
    <w:p w14:paraId="375F8A66" w14:textId="77777777" w:rsidR="009225DA" w:rsidRDefault="009225DA" w:rsidP="006A44B2">
      <w:pPr>
        <w:jc w:val="both"/>
        <w:rPr>
          <w:rFonts w:ascii="Avenir Next" w:hAnsi="Avenir Next" w:cs="Arial"/>
          <w:color w:val="808080" w:themeColor="background1" w:themeShade="80"/>
          <w:sz w:val="22"/>
          <w:szCs w:val="22"/>
          <w:lang w:val="en-GB"/>
        </w:rPr>
      </w:pPr>
    </w:p>
    <w:p w14:paraId="16C7C43F" w14:textId="785C39CC" w:rsidR="00AC2066" w:rsidRDefault="005940F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C2066">
        <w:rPr>
          <w:rFonts w:ascii="Avenir Next" w:hAnsi="Avenir Next" w:cs="Arial"/>
          <w:color w:val="808080" w:themeColor="background1" w:themeShade="80"/>
          <w:sz w:val="22"/>
          <w:szCs w:val="22"/>
          <w:lang w:val="en-GB"/>
        </w:rPr>
        <w:t xml:space="preserve">authors </w:t>
      </w:r>
      <w:r>
        <w:rPr>
          <w:rFonts w:ascii="Avenir Next" w:hAnsi="Avenir Next" w:cs="Arial"/>
          <w:color w:val="808080" w:themeColor="background1" w:themeShade="80"/>
          <w:sz w:val="22"/>
          <w:szCs w:val="22"/>
          <w:lang w:val="en-GB"/>
        </w:rPr>
        <w:t>of “soft law” could be said to adopt a softer approach to implementation and harmonisation of insolvency laws,</w:t>
      </w:r>
      <w:r w:rsidR="00AC2066">
        <w:rPr>
          <w:rFonts w:ascii="Avenir Next" w:hAnsi="Avenir Next" w:cs="Arial"/>
          <w:color w:val="808080" w:themeColor="background1" w:themeShade="80"/>
          <w:sz w:val="22"/>
          <w:szCs w:val="22"/>
          <w:lang w:val="en-GB"/>
        </w:rPr>
        <w:t xml:space="preserve"> in that they </w:t>
      </w:r>
      <w:r>
        <w:rPr>
          <w:rFonts w:ascii="Avenir Next" w:hAnsi="Avenir Next" w:cs="Arial"/>
          <w:color w:val="808080" w:themeColor="background1" w:themeShade="80"/>
          <w:sz w:val="22"/>
          <w:szCs w:val="22"/>
          <w:lang w:val="en-GB"/>
        </w:rPr>
        <w:t xml:space="preserve">does not require states to become signatories. </w:t>
      </w:r>
      <w:r w:rsidR="00AC2066">
        <w:rPr>
          <w:rFonts w:ascii="Avenir Next" w:hAnsi="Avenir Next" w:cs="Arial"/>
          <w:color w:val="808080" w:themeColor="background1" w:themeShade="80"/>
          <w:sz w:val="22"/>
          <w:szCs w:val="22"/>
          <w:lang w:val="en-GB"/>
        </w:rPr>
        <w:t>They makes recommendations of what they consider to be in the best interests of those wishing to develop their insolvency regimes and leave it up to the Member State to decide (1) whether they wish to adopt the recommendations</w:t>
      </w:r>
      <w:r w:rsidR="00524CCB">
        <w:rPr>
          <w:rFonts w:ascii="Avenir Next" w:hAnsi="Avenir Next" w:cs="Arial"/>
          <w:color w:val="808080" w:themeColor="background1" w:themeShade="80"/>
          <w:sz w:val="22"/>
          <w:szCs w:val="22"/>
          <w:lang w:val="en-GB"/>
        </w:rPr>
        <w:t xml:space="preserve"> </w:t>
      </w:r>
      <w:r w:rsidR="00AC2066">
        <w:rPr>
          <w:rFonts w:ascii="Avenir Next" w:hAnsi="Avenir Next" w:cs="Arial"/>
          <w:color w:val="808080" w:themeColor="background1" w:themeShade="80"/>
          <w:sz w:val="22"/>
          <w:szCs w:val="22"/>
          <w:lang w:val="en-GB"/>
        </w:rPr>
        <w:t xml:space="preserve">(2) the extent to which they wish to adopt the recommendations and (3) the way in which they adopt the recommendations. </w:t>
      </w:r>
    </w:p>
    <w:p w14:paraId="2B25FC0F" w14:textId="77777777" w:rsidR="00AC2066" w:rsidRDefault="00AC2066" w:rsidP="006A44B2">
      <w:pPr>
        <w:jc w:val="both"/>
        <w:rPr>
          <w:rFonts w:ascii="Avenir Next" w:hAnsi="Avenir Next" w:cs="Arial"/>
          <w:color w:val="808080" w:themeColor="background1" w:themeShade="80"/>
          <w:sz w:val="22"/>
          <w:szCs w:val="22"/>
          <w:lang w:val="en-GB"/>
        </w:rPr>
      </w:pPr>
    </w:p>
    <w:p w14:paraId="4B77DFE2" w14:textId="58B6DE49" w:rsidR="005940FF" w:rsidRPr="00DA42DA" w:rsidRDefault="00AC206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successful example of this is a Model Law on Cross-border Insolvency which was draft legislation authored by the United Nations Commission on International Trade Law. It has been adopted by a growing number of states.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3784B4E2"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w:t>
      </w:r>
      <w:r w:rsidR="00A6002E">
        <w:rPr>
          <w:rFonts w:ascii="Avenir Next" w:hAnsi="Avenir Next" w:cs="Arial"/>
          <w:sz w:val="22"/>
          <w:szCs w:val="22"/>
        </w:rPr>
        <w:t xml:space="preserve">dquarters were later moved to </w:t>
      </w:r>
      <w:r w:rsidRPr="00F85C0B">
        <w:rPr>
          <w:rFonts w:ascii="Avenir Next" w:hAnsi="Avenir Next" w:cs="Arial"/>
          <w:sz w:val="22"/>
          <w:szCs w:val="22"/>
        </w:rPr>
        <w:t xml:space="preserve">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74E9A2CE"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1C1E2368" w:rsidR="002253D8" w:rsidRPr="002253D8" w:rsidRDefault="00A6002E"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She should use section 426(5) of the Insolvency Act 1986 (UK)</w:t>
      </w:r>
      <w:r w:rsidR="001A113D">
        <w:rPr>
          <w:rFonts w:ascii="Avenir Next" w:hAnsi="Avenir Next" w:cs="Arial"/>
          <w:color w:val="808080" w:themeColor="background1" w:themeShade="80"/>
          <w:sz w:val="22"/>
          <w:szCs w:val="22"/>
          <w:lang w:val="en-GB"/>
        </w:rPr>
        <w:t xml:space="preserve"> which</w:t>
      </w:r>
      <w:r>
        <w:rPr>
          <w:rFonts w:ascii="Avenir Next" w:hAnsi="Avenir Next" w:cs="Arial"/>
          <w:color w:val="808080" w:themeColor="background1" w:themeShade="80"/>
          <w:sz w:val="22"/>
          <w:szCs w:val="22"/>
          <w:lang w:val="en-GB"/>
        </w:rPr>
        <w:t xml:space="preserve"> authoris</w:t>
      </w:r>
      <w:r w:rsidR="001A113D">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the local court to apply, in relation to any matters specified in the request, the insolvency law which is applicable by either court in relation to comparable matters falling with its jurisdiction”</w:t>
      </w:r>
      <w:r w:rsidR="001A113D">
        <w:rPr>
          <w:rFonts w:ascii="Avenir Next" w:hAnsi="Avenir Next" w:cs="Arial"/>
          <w:color w:val="808080" w:themeColor="background1" w:themeShade="80"/>
          <w:sz w:val="22"/>
          <w:szCs w:val="22"/>
          <w:lang w:val="en-GB"/>
        </w:rPr>
        <w:t>.</w:t>
      </w:r>
      <w:r w:rsidR="001A113D">
        <w:rPr>
          <w:rStyle w:val="FootnoteReference"/>
          <w:rFonts w:ascii="Avenir Next" w:hAnsi="Avenir Next" w:cs="Arial"/>
          <w:color w:val="808080" w:themeColor="background1" w:themeShade="80"/>
          <w:sz w:val="22"/>
          <w:szCs w:val="22"/>
          <w:lang w:val="en-GB"/>
        </w:rPr>
        <w:footnoteReference w:id="9"/>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41E5F82" w:rsidR="002253D8" w:rsidRPr="00DA42DA" w:rsidRDefault="004E7F22"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1996 the European Union passed a Council Regulation on Insolvency Proceedings known as the European Insolvency Regulation “EIR” applicable between member states including as in our scenario, Italy and Germany. The EIR allocates primary jurisdiction based on the centre of the debtor’s main interests, i.e. Italy. It does however allow for the possibility of subsidiary proceedings in other member states where the debtor has an establishment which is defined under the EIR as “any place of operations …” i.e. Germany. So in our scenario the main insolvency proceeding would be opened in Italy and the subsidiary proceeding in Germany.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65A5455C" w14:textId="210931E8" w:rsidR="002253D8"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78CC468D" w14:textId="77777777" w:rsidR="006F146C" w:rsidRDefault="006F146C" w:rsidP="007815D1">
      <w:pPr>
        <w:jc w:val="both"/>
        <w:rPr>
          <w:rFonts w:ascii="Avenir Next" w:hAnsi="Avenir Next" w:cs="Arial"/>
          <w:sz w:val="22"/>
          <w:szCs w:val="28"/>
        </w:rPr>
      </w:pPr>
    </w:p>
    <w:p w14:paraId="3781AACE" w14:textId="5099D508" w:rsidR="002253D8" w:rsidRPr="002253D8" w:rsidRDefault="006F146C"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Regulation is only applicable to </w:t>
      </w:r>
      <w:r w:rsidR="00504C5F">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ember States </w:t>
      </w:r>
      <w:r w:rsidR="00504C5F">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European Union.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33E7F91" w:rsidR="002253D8" w:rsidRPr="00DA42DA" w:rsidRDefault="00EE7CC2"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EIR</w:t>
      </w:r>
      <w:bookmarkStart w:id="0" w:name="_GoBack"/>
      <w:bookmarkEnd w:id="0"/>
      <w:r>
        <w:rPr>
          <w:rFonts w:ascii="Avenir Next" w:hAnsi="Avenir Next" w:cs="Arial"/>
          <w:color w:val="808080" w:themeColor="background1" w:themeShade="80"/>
          <w:sz w:val="22"/>
          <w:szCs w:val="22"/>
          <w:lang w:val="en-GB"/>
        </w:rPr>
        <w:t xml:space="preserve"> Recast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4CDEFC92" w14:textId="77777777" w:rsidR="00504C5F" w:rsidRPr="00DA42DA" w:rsidRDefault="00504C5F" w:rsidP="00504C5F">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UNCITRAL Model Law on Secured Transactions (2016)</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9CD1974"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EE7CC2">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7B7FC25E" w14:textId="77777777" w:rsidR="00747C95" w:rsidRPr="00747C95" w:rsidRDefault="00747C95" w:rsidP="00747C95">
    <w:pPr>
      <w:pStyle w:val="Footer"/>
      <w:ind w:right="360"/>
      <w:rPr>
        <w:rFonts w:ascii="Avenir Next" w:hAnsi="Avenir Next" w:cs="Arial"/>
        <w:sz w:val="22"/>
        <w:szCs w:val="22"/>
      </w:rPr>
    </w:pPr>
    <w:r w:rsidRPr="00747C95">
      <w:rPr>
        <w:rFonts w:ascii="Avenir Next" w:hAnsi="Avenir Next" w:cs="Arial"/>
        <w:sz w:val="22"/>
        <w:szCs w:val="22"/>
      </w:rPr>
      <w:t>202324-1380.assessment1summative</w:t>
    </w:r>
  </w:p>
  <w:p w14:paraId="12ABA5E1" w14:textId="0BACB3F0" w:rsidR="00B64A85" w:rsidRPr="00297BDF" w:rsidRDefault="00B64A85" w:rsidP="00747C95">
    <w:pPr>
      <w:pStyle w:val="Footer"/>
      <w:ind w:right="360"/>
      <w:rPr>
        <w:rFonts w:ascii="Avenir Next" w:hAnsi="Avenir Nex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38C5" w14:textId="1F41BD29" w:rsidR="00747C95" w:rsidRPr="00747C95" w:rsidRDefault="00747C95" w:rsidP="00747C95">
    <w:pPr>
      <w:pStyle w:val="Footer"/>
      <w:ind w:right="360"/>
      <w:rPr>
        <w:rFonts w:ascii="Avenir Next" w:hAnsi="Avenir Next" w:cs="Arial"/>
        <w:sz w:val="22"/>
        <w:szCs w:val="22"/>
      </w:rPr>
    </w:pPr>
    <w:r w:rsidRPr="00747C95">
      <w:rPr>
        <w:rFonts w:ascii="Avenir Next" w:hAnsi="Avenir Next" w:cs="Arial"/>
        <w:sz w:val="22"/>
        <w:szCs w:val="22"/>
      </w:rPr>
      <w:t>202324-1380.assessment1summative</w:t>
    </w:r>
  </w:p>
  <w:p w14:paraId="6682C508" w14:textId="77777777" w:rsidR="00747C95" w:rsidRDefault="0074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 w:id="1">
    <w:p w14:paraId="28BD5C4F" w14:textId="6EA288CE" w:rsidR="006E3711" w:rsidRDefault="006E3711">
      <w:pPr>
        <w:pStyle w:val="FootnoteText"/>
      </w:pPr>
      <w:r>
        <w:rPr>
          <w:rStyle w:val="FootnoteReference"/>
        </w:rPr>
        <w:footnoteRef/>
      </w:r>
      <w:r>
        <w:t xml:space="preserve"> Page 5 of Foundation Certificate in International insolvency law – Module 1 Guidance text – Introduction to International Insolvency</w:t>
      </w:r>
    </w:p>
  </w:footnote>
  <w:footnote w:id="2">
    <w:p w14:paraId="18C2C0B2" w14:textId="0BF54400" w:rsidR="00CD1650" w:rsidRDefault="00CD1650">
      <w:pPr>
        <w:pStyle w:val="FootnoteText"/>
      </w:pPr>
      <w:r>
        <w:rPr>
          <w:rStyle w:val="FootnoteReference"/>
        </w:rPr>
        <w:footnoteRef/>
      </w:r>
      <w:r>
        <w:t xml:space="preserve"> </w:t>
      </w:r>
      <w:r w:rsidR="0038056E">
        <w:t xml:space="preserve">Page 11 of </w:t>
      </w:r>
      <w:r>
        <w:t>Foundation Certificate in International insolvency law – Module 1 Guidance text – Introduction to International Insolvency</w:t>
      </w:r>
    </w:p>
  </w:footnote>
  <w:footnote w:id="3">
    <w:p w14:paraId="462C213F" w14:textId="45FC0E24" w:rsidR="00731BC7" w:rsidRDefault="00731BC7">
      <w:pPr>
        <w:pStyle w:val="FootnoteText"/>
      </w:pPr>
      <w:r>
        <w:rPr>
          <w:rStyle w:val="FootnoteReference"/>
        </w:rPr>
        <w:footnoteRef/>
      </w:r>
      <w:r>
        <w:t xml:space="preserve"> Page 60 </w:t>
      </w:r>
      <w:r>
        <w:t>of Foundation Certificate in International insolvency law – Module 1 Guidance text – Introduction to International Insolvency</w:t>
      </w:r>
    </w:p>
  </w:footnote>
  <w:footnote w:id="4">
    <w:p w14:paraId="5D0B5CC9" w14:textId="73C3A476" w:rsidR="0093450C" w:rsidRDefault="0093450C">
      <w:pPr>
        <w:pStyle w:val="FootnoteText"/>
      </w:pPr>
      <w:r>
        <w:rPr>
          <w:rStyle w:val="FootnoteReference"/>
        </w:rPr>
        <w:footnoteRef/>
      </w:r>
      <w:r>
        <w:t xml:space="preserve"> </w:t>
      </w:r>
      <w:proofErr w:type="spellStart"/>
      <w:r>
        <w:t>Paragrap</w:t>
      </w:r>
      <w:proofErr w:type="spellEnd"/>
      <w:r>
        <w:t xml:space="preserve"> 2, Page 62</w:t>
      </w:r>
      <w:r w:rsidRPr="0093450C">
        <w:t xml:space="preserve"> </w:t>
      </w:r>
      <w:r>
        <w:t>of Foundation Certificate in International insolvency law – Module 1 Guidance text – Introduction to International Insolvency</w:t>
      </w:r>
    </w:p>
  </w:footnote>
  <w:footnote w:id="5">
    <w:p w14:paraId="12B7EB44" w14:textId="11513B6E" w:rsidR="00E52C3F" w:rsidRDefault="00E52C3F">
      <w:pPr>
        <w:pStyle w:val="FootnoteText"/>
      </w:pPr>
      <w:r>
        <w:rPr>
          <w:rStyle w:val="FootnoteReference"/>
        </w:rPr>
        <w:footnoteRef/>
      </w:r>
      <w:r>
        <w:t xml:space="preserve"> Page 21 of Foundation Certificate in International insolvency law – Module 1 Guidance text – Introduction to International Insolvency</w:t>
      </w:r>
    </w:p>
  </w:footnote>
  <w:footnote w:id="6">
    <w:p w14:paraId="1A2FC455" w14:textId="46125DBF" w:rsidR="00B56F4E" w:rsidRDefault="00B56F4E">
      <w:pPr>
        <w:pStyle w:val="FootnoteText"/>
      </w:pPr>
      <w:r>
        <w:rPr>
          <w:rStyle w:val="FootnoteReference"/>
        </w:rPr>
        <w:footnoteRef/>
      </w:r>
      <w:r>
        <w:t xml:space="preserve"> </w:t>
      </w:r>
      <w:r w:rsidRPr="00B56F4E">
        <w:t>Legislative Guide on Insolvency Law</w:t>
      </w:r>
    </w:p>
  </w:footnote>
  <w:footnote w:id="7">
    <w:p w14:paraId="79CAC064" w14:textId="671A2E5C" w:rsidR="007556A8" w:rsidRDefault="007556A8">
      <w:pPr>
        <w:pStyle w:val="FootnoteText"/>
      </w:pPr>
      <w:r>
        <w:rPr>
          <w:rStyle w:val="FootnoteReference"/>
        </w:rPr>
        <w:footnoteRef/>
      </w:r>
      <w:r>
        <w:t xml:space="preserve"> </w:t>
      </w:r>
      <w:r w:rsidR="00F8219A" w:rsidRPr="00F8219A">
        <w:t>Page 11 of Foundation Certificate in International insolvency law – Module 1 Guidance text – Introduction to International Insolvency</w:t>
      </w:r>
    </w:p>
  </w:footnote>
  <w:footnote w:id="8">
    <w:p w14:paraId="65FBDC15" w14:textId="600DAE54" w:rsidR="003073B2" w:rsidRDefault="003073B2">
      <w:pPr>
        <w:pStyle w:val="FootnoteText"/>
      </w:pPr>
      <w:r>
        <w:rPr>
          <w:rStyle w:val="FootnoteReference"/>
        </w:rPr>
        <w:footnoteRef/>
      </w:r>
      <w:r>
        <w:t xml:space="preserve"> </w:t>
      </w:r>
      <w:hyperlink r:id="rId1" w:history="1">
        <w:r>
          <w:rPr>
            <w:rStyle w:val="Hyperlink"/>
          </w:rPr>
          <w:t>Nordic Bankruptcy Convention | Practical Law (thomsonreuters.com)</w:t>
        </w:r>
      </w:hyperlink>
    </w:p>
  </w:footnote>
  <w:footnote w:id="9">
    <w:p w14:paraId="4B411011" w14:textId="268D64CF" w:rsidR="001A113D" w:rsidRDefault="001A113D">
      <w:pPr>
        <w:pStyle w:val="FootnoteText"/>
      </w:pPr>
      <w:r>
        <w:rPr>
          <w:rStyle w:val="FootnoteReference"/>
        </w:rPr>
        <w:footnoteRef/>
      </w:r>
      <w:r>
        <w:t xml:space="preserve"> Page 51</w:t>
      </w:r>
      <w:r w:rsidRPr="00F8219A">
        <w:t xml:space="preserve"> of Foundation Certificate in International insolvency law – Module 1 Guidance text – Introduction to International Insolvency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6"/>
  </w:num>
  <w:num w:numId="2">
    <w:abstractNumId w:val="31"/>
  </w:num>
  <w:num w:numId="3">
    <w:abstractNumId w:val="2"/>
  </w:num>
  <w:num w:numId="4">
    <w:abstractNumId w:val="4"/>
  </w:num>
  <w:num w:numId="5">
    <w:abstractNumId w:val="21"/>
  </w:num>
  <w:num w:numId="6">
    <w:abstractNumId w:val="27"/>
  </w:num>
  <w:num w:numId="7">
    <w:abstractNumId w:val="14"/>
  </w:num>
  <w:num w:numId="8">
    <w:abstractNumId w:val="32"/>
  </w:num>
  <w:num w:numId="9">
    <w:abstractNumId w:val="13"/>
  </w:num>
  <w:num w:numId="10">
    <w:abstractNumId w:val="28"/>
  </w:num>
  <w:num w:numId="11">
    <w:abstractNumId w:val="10"/>
  </w:num>
  <w:num w:numId="12">
    <w:abstractNumId w:val="29"/>
  </w:num>
  <w:num w:numId="13">
    <w:abstractNumId w:val="20"/>
  </w:num>
  <w:num w:numId="14">
    <w:abstractNumId w:val="19"/>
  </w:num>
  <w:num w:numId="15">
    <w:abstractNumId w:val="5"/>
  </w:num>
  <w:num w:numId="16">
    <w:abstractNumId w:val="22"/>
  </w:num>
  <w:num w:numId="17">
    <w:abstractNumId w:val="17"/>
  </w:num>
  <w:num w:numId="18">
    <w:abstractNumId w:val="18"/>
  </w:num>
  <w:num w:numId="19">
    <w:abstractNumId w:val="25"/>
  </w:num>
  <w:num w:numId="20">
    <w:abstractNumId w:val="9"/>
  </w:num>
  <w:num w:numId="21">
    <w:abstractNumId w:val="16"/>
  </w:num>
  <w:num w:numId="22">
    <w:abstractNumId w:val="0"/>
  </w:num>
  <w:num w:numId="23">
    <w:abstractNumId w:val="24"/>
  </w:num>
  <w:num w:numId="24">
    <w:abstractNumId w:val="1"/>
  </w:num>
  <w:num w:numId="25">
    <w:abstractNumId w:val="30"/>
  </w:num>
  <w:num w:numId="26">
    <w:abstractNumId w:val="33"/>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3"/>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195B"/>
    <w:rsid w:val="000329A6"/>
    <w:rsid w:val="00034C0C"/>
    <w:rsid w:val="00037621"/>
    <w:rsid w:val="000416D7"/>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2E48"/>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620"/>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0678"/>
    <w:rsid w:val="001A113D"/>
    <w:rsid w:val="001A620B"/>
    <w:rsid w:val="001A716A"/>
    <w:rsid w:val="001A7E9A"/>
    <w:rsid w:val="001A7ECF"/>
    <w:rsid w:val="001B0F70"/>
    <w:rsid w:val="001B5016"/>
    <w:rsid w:val="001B6CEE"/>
    <w:rsid w:val="001C45FC"/>
    <w:rsid w:val="001C594A"/>
    <w:rsid w:val="001D0DFF"/>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B39"/>
    <w:rsid w:val="002F7EB5"/>
    <w:rsid w:val="0030201F"/>
    <w:rsid w:val="00303C2F"/>
    <w:rsid w:val="00304415"/>
    <w:rsid w:val="0030558B"/>
    <w:rsid w:val="00306E87"/>
    <w:rsid w:val="003073B2"/>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056E"/>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54A"/>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4521"/>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755F"/>
    <w:rsid w:val="00481FC8"/>
    <w:rsid w:val="0048258B"/>
    <w:rsid w:val="004827A3"/>
    <w:rsid w:val="00482FE3"/>
    <w:rsid w:val="00484689"/>
    <w:rsid w:val="00486065"/>
    <w:rsid w:val="00486776"/>
    <w:rsid w:val="004868BB"/>
    <w:rsid w:val="00491675"/>
    <w:rsid w:val="00493855"/>
    <w:rsid w:val="00497558"/>
    <w:rsid w:val="00497CF9"/>
    <w:rsid w:val="004A2088"/>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2FB0"/>
    <w:rsid w:val="004C5E4F"/>
    <w:rsid w:val="004C7030"/>
    <w:rsid w:val="004D1A5A"/>
    <w:rsid w:val="004D2FFF"/>
    <w:rsid w:val="004D3721"/>
    <w:rsid w:val="004D64F9"/>
    <w:rsid w:val="004D687E"/>
    <w:rsid w:val="004D68A3"/>
    <w:rsid w:val="004E1D03"/>
    <w:rsid w:val="004E2D4E"/>
    <w:rsid w:val="004E3528"/>
    <w:rsid w:val="004E4224"/>
    <w:rsid w:val="004E5A14"/>
    <w:rsid w:val="004E622C"/>
    <w:rsid w:val="004E64DB"/>
    <w:rsid w:val="004E7F22"/>
    <w:rsid w:val="004F1534"/>
    <w:rsid w:val="004F2DD1"/>
    <w:rsid w:val="004F301B"/>
    <w:rsid w:val="004F3375"/>
    <w:rsid w:val="004F3F1F"/>
    <w:rsid w:val="004F55F1"/>
    <w:rsid w:val="004F5FDF"/>
    <w:rsid w:val="0050156C"/>
    <w:rsid w:val="00504AFA"/>
    <w:rsid w:val="00504C5F"/>
    <w:rsid w:val="005059A4"/>
    <w:rsid w:val="00515756"/>
    <w:rsid w:val="00515E4E"/>
    <w:rsid w:val="00515F63"/>
    <w:rsid w:val="005177FE"/>
    <w:rsid w:val="0052263B"/>
    <w:rsid w:val="00524728"/>
    <w:rsid w:val="00524840"/>
    <w:rsid w:val="00524CCB"/>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C58"/>
    <w:rsid w:val="00553EB2"/>
    <w:rsid w:val="0055567E"/>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40FF"/>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4EFE"/>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0BE"/>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3711"/>
    <w:rsid w:val="006E481A"/>
    <w:rsid w:val="006E5298"/>
    <w:rsid w:val="006E6A1F"/>
    <w:rsid w:val="006E6A6A"/>
    <w:rsid w:val="006E77B0"/>
    <w:rsid w:val="006F146C"/>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279D4"/>
    <w:rsid w:val="00731BC7"/>
    <w:rsid w:val="007333CC"/>
    <w:rsid w:val="007335D8"/>
    <w:rsid w:val="0073399A"/>
    <w:rsid w:val="00734FD4"/>
    <w:rsid w:val="007369C7"/>
    <w:rsid w:val="00741BCD"/>
    <w:rsid w:val="00741D74"/>
    <w:rsid w:val="00743531"/>
    <w:rsid w:val="007452BB"/>
    <w:rsid w:val="00745A5B"/>
    <w:rsid w:val="007462D9"/>
    <w:rsid w:val="00746A22"/>
    <w:rsid w:val="00747C95"/>
    <w:rsid w:val="00751986"/>
    <w:rsid w:val="0075428A"/>
    <w:rsid w:val="007556A8"/>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4B9D"/>
    <w:rsid w:val="00827849"/>
    <w:rsid w:val="008279C0"/>
    <w:rsid w:val="00841E70"/>
    <w:rsid w:val="00845226"/>
    <w:rsid w:val="008473AA"/>
    <w:rsid w:val="00851A7A"/>
    <w:rsid w:val="00852883"/>
    <w:rsid w:val="00852F37"/>
    <w:rsid w:val="008571F6"/>
    <w:rsid w:val="00857A02"/>
    <w:rsid w:val="00861E51"/>
    <w:rsid w:val="0086701C"/>
    <w:rsid w:val="00870B96"/>
    <w:rsid w:val="008723F3"/>
    <w:rsid w:val="00873246"/>
    <w:rsid w:val="00875E2E"/>
    <w:rsid w:val="00880F99"/>
    <w:rsid w:val="00881DA8"/>
    <w:rsid w:val="00881DE6"/>
    <w:rsid w:val="008837A6"/>
    <w:rsid w:val="008841E5"/>
    <w:rsid w:val="00884D7C"/>
    <w:rsid w:val="00887AC2"/>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09C"/>
    <w:rsid w:val="008C66E0"/>
    <w:rsid w:val="008C71DE"/>
    <w:rsid w:val="008D0122"/>
    <w:rsid w:val="008D0F9E"/>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25DA"/>
    <w:rsid w:val="0092350E"/>
    <w:rsid w:val="00923CCC"/>
    <w:rsid w:val="00926D10"/>
    <w:rsid w:val="009275FE"/>
    <w:rsid w:val="0093450C"/>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254"/>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6472"/>
    <w:rsid w:val="009F0C29"/>
    <w:rsid w:val="009F0C5A"/>
    <w:rsid w:val="00A02198"/>
    <w:rsid w:val="00A047EE"/>
    <w:rsid w:val="00A057CA"/>
    <w:rsid w:val="00A136AF"/>
    <w:rsid w:val="00A13F8F"/>
    <w:rsid w:val="00A1431E"/>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2E"/>
    <w:rsid w:val="00A60074"/>
    <w:rsid w:val="00A641E0"/>
    <w:rsid w:val="00A646E2"/>
    <w:rsid w:val="00A651A9"/>
    <w:rsid w:val="00A6627C"/>
    <w:rsid w:val="00A70B3C"/>
    <w:rsid w:val="00A71019"/>
    <w:rsid w:val="00A73B60"/>
    <w:rsid w:val="00A75FD5"/>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2066"/>
    <w:rsid w:val="00AC3075"/>
    <w:rsid w:val="00AC36E5"/>
    <w:rsid w:val="00AC3839"/>
    <w:rsid w:val="00AC7082"/>
    <w:rsid w:val="00AD0662"/>
    <w:rsid w:val="00AD1B6B"/>
    <w:rsid w:val="00AD331C"/>
    <w:rsid w:val="00AD52AA"/>
    <w:rsid w:val="00AD57A5"/>
    <w:rsid w:val="00AD65A8"/>
    <w:rsid w:val="00AD74AD"/>
    <w:rsid w:val="00AD76EF"/>
    <w:rsid w:val="00AD7A9A"/>
    <w:rsid w:val="00AE027F"/>
    <w:rsid w:val="00AE4D6F"/>
    <w:rsid w:val="00AF2259"/>
    <w:rsid w:val="00AF228E"/>
    <w:rsid w:val="00AF455B"/>
    <w:rsid w:val="00AF5899"/>
    <w:rsid w:val="00AF5A49"/>
    <w:rsid w:val="00B0123F"/>
    <w:rsid w:val="00B04004"/>
    <w:rsid w:val="00B12F13"/>
    <w:rsid w:val="00B13CD1"/>
    <w:rsid w:val="00B14819"/>
    <w:rsid w:val="00B17AA9"/>
    <w:rsid w:val="00B20235"/>
    <w:rsid w:val="00B221FF"/>
    <w:rsid w:val="00B2292D"/>
    <w:rsid w:val="00B246B1"/>
    <w:rsid w:val="00B26B31"/>
    <w:rsid w:val="00B30A70"/>
    <w:rsid w:val="00B32674"/>
    <w:rsid w:val="00B333FE"/>
    <w:rsid w:val="00B3503B"/>
    <w:rsid w:val="00B366EC"/>
    <w:rsid w:val="00B378FA"/>
    <w:rsid w:val="00B41A03"/>
    <w:rsid w:val="00B42352"/>
    <w:rsid w:val="00B51227"/>
    <w:rsid w:val="00B51975"/>
    <w:rsid w:val="00B52E4D"/>
    <w:rsid w:val="00B54F90"/>
    <w:rsid w:val="00B55C9E"/>
    <w:rsid w:val="00B56B95"/>
    <w:rsid w:val="00B56F4E"/>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E6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66FE"/>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4787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0390"/>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1650"/>
    <w:rsid w:val="00CD34DB"/>
    <w:rsid w:val="00CD377A"/>
    <w:rsid w:val="00CD4998"/>
    <w:rsid w:val="00CD499F"/>
    <w:rsid w:val="00CD62D0"/>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31"/>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5F39"/>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2C6C"/>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2C3F"/>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6A4A"/>
    <w:rsid w:val="00E7793C"/>
    <w:rsid w:val="00E77C3D"/>
    <w:rsid w:val="00E80299"/>
    <w:rsid w:val="00E8272F"/>
    <w:rsid w:val="00E84DA5"/>
    <w:rsid w:val="00E84DD5"/>
    <w:rsid w:val="00E86549"/>
    <w:rsid w:val="00E86D64"/>
    <w:rsid w:val="00E87E61"/>
    <w:rsid w:val="00E909F0"/>
    <w:rsid w:val="00E90B4B"/>
    <w:rsid w:val="00E90D47"/>
    <w:rsid w:val="00E91BE6"/>
    <w:rsid w:val="00E92DA7"/>
    <w:rsid w:val="00E93993"/>
    <w:rsid w:val="00E950C0"/>
    <w:rsid w:val="00E9597C"/>
    <w:rsid w:val="00E96BA2"/>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0174"/>
    <w:rsid w:val="00EC3875"/>
    <w:rsid w:val="00EC549E"/>
    <w:rsid w:val="00EC6E55"/>
    <w:rsid w:val="00ED0BC4"/>
    <w:rsid w:val="00ED151E"/>
    <w:rsid w:val="00ED3CDA"/>
    <w:rsid w:val="00ED617A"/>
    <w:rsid w:val="00EE1A0E"/>
    <w:rsid w:val="00EE4971"/>
    <w:rsid w:val="00EE5A48"/>
    <w:rsid w:val="00EE5F7D"/>
    <w:rsid w:val="00EE6390"/>
    <w:rsid w:val="00EE7278"/>
    <w:rsid w:val="00EE7CC2"/>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2301"/>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219A"/>
    <w:rsid w:val="00F83231"/>
    <w:rsid w:val="00F85A51"/>
    <w:rsid w:val="00F85C0B"/>
    <w:rsid w:val="00F85DB2"/>
    <w:rsid w:val="00F91B84"/>
    <w:rsid w:val="00F91FA7"/>
    <w:rsid w:val="00F95955"/>
    <w:rsid w:val="00F96AF1"/>
    <w:rsid w:val="00F97C5B"/>
    <w:rsid w:val="00FA1F26"/>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25E"/>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styleId="EndnoteText">
    <w:name w:val="endnote text"/>
    <w:basedOn w:val="Normal"/>
    <w:link w:val="EndnoteTextChar"/>
    <w:uiPriority w:val="99"/>
    <w:semiHidden/>
    <w:unhideWhenUsed/>
    <w:rsid w:val="00CD1650"/>
    <w:rPr>
      <w:szCs w:val="20"/>
    </w:rPr>
  </w:style>
  <w:style w:type="character" w:customStyle="1" w:styleId="EndnoteTextChar">
    <w:name w:val="Endnote Text Char"/>
    <w:basedOn w:val="DefaultParagraphFont"/>
    <w:link w:val="EndnoteText"/>
    <w:uiPriority w:val="99"/>
    <w:semiHidden/>
    <w:rsid w:val="00CD1650"/>
    <w:rPr>
      <w:rFonts w:eastAsia="Times New Roman"/>
      <w:sz w:val="20"/>
      <w:szCs w:val="20"/>
    </w:rPr>
  </w:style>
  <w:style w:type="character" w:styleId="EndnoteReference">
    <w:name w:val="endnote reference"/>
    <w:basedOn w:val="DefaultParagraphFont"/>
    <w:uiPriority w:val="99"/>
    <w:semiHidden/>
    <w:unhideWhenUsed/>
    <w:rsid w:val="00CD1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5-504-9659?contextData=(sc.Default)&amp;transitionType=Default&amp;firstPag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d0ad2d52-4869-465d-a93a-001fa21a593d"/>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21de7b9-cad9-43f2-8459-9b1b4f9894e2"/>
    <ds:schemaRef ds:uri="http://www.w3.org/XML/1998/namespace"/>
    <ds:schemaRef ds:uri="http://purl.org/dc/dcmitype/"/>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E07E56B0-0EC4-4D8A-983D-E33C40B2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Norton | Campbells</cp:lastModifiedBy>
  <cp:revision>57</cp:revision>
  <cp:lastPrinted>2020-06-12T02:43:00Z</cp:lastPrinted>
  <dcterms:created xsi:type="dcterms:W3CDTF">2023-07-14T10:19:00Z</dcterms:created>
  <dcterms:modified xsi:type="dcterms:W3CDTF">2023-11-15T12:19:00Z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