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proofErr w:type="gramStart"/>
      <w:r w:rsidR="00180AC4" w:rsidRPr="004216EA">
        <w:rPr>
          <w:rFonts w:ascii="Avenir Next" w:hAnsi="Avenir Next" w:cs="Arial"/>
          <w:bCs/>
          <w:sz w:val="22"/>
          <w:szCs w:val="22"/>
          <w:lang w:val="en-GB"/>
        </w:rPr>
        <w:t>In order to</w:t>
      </w:r>
      <w:proofErr w:type="gramEnd"/>
      <w:r w:rsidR="00180AC4" w:rsidRPr="004216EA">
        <w:rPr>
          <w:rFonts w:ascii="Avenir Next" w:hAnsi="Avenir Next" w:cs="Arial"/>
          <w:bCs/>
          <w:sz w:val="22"/>
          <w:szCs w:val="22"/>
          <w:lang w:val="en-GB"/>
        </w:rPr>
        <w:t xml:space="preserve">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83ACE" w:rsidRDefault="00806382" w:rsidP="00806382">
      <w:pPr>
        <w:pStyle w:val="ListParagraph"/>
        <w:numPr>
          <w:ilvl w:val="0"/>
          <w:numId w:val="15"/>
        </w:numPr>
        <w:ind w:left="425" w:hanging="357"/>
        <w:jc w:val="both"/>
        <w:rPr>
          <w:rFonts w:ascii="Avenir Next" w:hAnsi="Avenir Next" w:cs="Arial"/>
          <w:sz w:val="22"/>
          <w:szCs w:val="22"/>
          <w:highlight w:val="yellow"/>
        </w:rPr>
      </w:pPr>
      <w:r w:rsidRPr="00083ACE">
        <w:rPr>
          <w:rFonts w:ascii="Avenir Next" w:hAnsi="Avenir Next" w:cs="Arial"/>
          <w:sz w:val="22"/>
          <w:szCs w:val="22"/>
          <w:highlight w:val="yellow"/>
        </w:rPr>
        <w:t xml:space="preserve">This statement is untrue since the word </w:t>
      </w:r>
      <w:r w:rsidR="00823AB4" w:rsidRPr="00083ACE">
        <w:rPr>
          <w:rFonts w:ascii="Avenir Next" w:hAnsi="Avenir Next" w:cs="Arial"/>
          <w:sz w:val="22"/>
          <w:szCs w:val="22"/>
          <w:highlight w:val="yellow"/>
        </w:rPr>
        <w:t>“</w:t>
      </w:r>
      <w:r w:rsidRPr="00083ACE">
        <w:rPr>
          <w:rFonts w:ascii="Avenir Next" w:hAnsi="Avenir Next" w:cs="Arial"/>
          <w:sz w:val="22"/>
          <w:szCs w:val="22"/>
          <w:highlight w:val="yellow"/>
        </w:rPr>
        <w:t>bankruptcy</w:t>
      </w:r>
      <w:r w:rsidR="00823AB4" w:rsidRPr="00083ACE">
        <w:rPr>
          <w:rFonts w:ascii="Avenir Next" w:hAnsi="Avenir Next" w:cs="Arial"/>
          <w:sz w:val="22"/>
          <w:szCs w:val="22"/>
          <w:highlight w:val="yellow"/>
        </w:rPr>
        <w:t>”</w:t>
      </w:r>
      <w:r w:rsidRPr="00083ACE">
        <w:rPr>
          <w:rFonts w:ascii="Avenir Next" w:hAnsi="Avenir Next" w:cs="Arial"/>
          <w:sz w:val="22"/>
          <w:szCs w:val="22"/>
          <w:highlight w:val="yellow"/>
        </w:rPr>
        <w:t xml:space="preserve"> </w:t>
      </w:r>
      <w:proofErr w:type="gramStart"/>
      <w:r w:rsidRPr="00083ACE">
        <w:rPr>
          <w:rFonts w:ascii="Avenir Next" w:hAnsi="Avenir Next" w:cs="Arial"/>
          <w:sz w:val="22"/>
          <w:szCs w:val="22"/>
          <w:highlight w:val="yellow"/>
        </w:rPr>
        <w:t>is believed</w:t>
      </w:r>
      <w:proofErr w:type="gramEnd"/>
      <w:r w:rsidRPr="00083ACE">
        <w:rPr>
          <w:rFonts w:ascii="Avenir Next" w:hAnsi="Avenir Next" w:cs="Arial"/>
          <w:sz w:val="22"/>
          <w:szCs w:val="22"/>
          <w:highlight w:val="yellow"/>
        </w:rPr>
        <w:t xml:space="preserve">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w:t>
      </w:r>
      <w:proofErr w:type="gramStart"/>
      <w:r w:rsidRPr="00DA42DA">
        <w:rPr>
          <w:rFonts w:ascii="Avenir Next" w:hAnsi="Avenir Next" w:cs="Arial"/>
          <w:sz w:val="22"/>
          <w:szCs w:val="22"/>
        </w:rPr>
        <w:t>is believed</w:t>
      </w:r>
      <w:proofErr w:type="gramEnd"/>
      <w:r w:rsidRPr="00DA42DA">
        <w:rPr>
          <w:rFonts w:ascii="Avenir Next" w:hAnsi="Avenir Next" w:cs="Arial"/>
          <w:sz w:val="22"/>
          <w:szCs w:val="22"/>
        </w:rPr>
        <w:t xml:space="preserve">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83ACE" w:rsidRDefault="001211E6" w:rsidP="001211E6">
      <w:pPr>
        <w:pStyle w:val="ListParagraph"/>
        <w:numPr>
          <w:ilvl w:val="0"/>
          <w:numId w:val="16"/>
        </w:numPr>
        <w:ind w:left="426"/>
        <w:jc w:val="both"/>
        <w:rPr>
          <w:rFonts w:ascii="Avenir Next" w:hAnsi="Avenir Next" w:cs="Arial"/>
          <w:sz w:val="22"/>
          <w:szCs w:val="22"/>
          <w:highlight w:val="yellow"/>
        </w:rPr>
      </w:pPr>
      <w:r w:rsidRPr="00083ACE">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w:t>
      </w:r>
      <w:proofErr w:type="gramStart"/>
      <w:r>
        <w:rPr>
          <w:rFonts w:ascii="Avenir Next" w:hAnsi="Avenir Next" w:cs="Arial"/>
          <w:sz w:val="22"/>
          <w:szCs w:val="22"/>
        </w:rPr>
        <w:t>be completed</w:t>
      </w:r>
      <w:proofErr w:type="gramEnd"/>
      <w:r>
        <w:rPr>
          <w:rFonts w:ascii="Avenir Next" w:hAnsi="Avenir Next" w:cs="Arial"/>
          <w:sz w:val="22"/>
          <w:szCs w:val="22"/>
        </w:rPr>
        <w:t xml:space="preserve">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w:t>
      </w:r>
      <w:proofErr w:type="gramStart"/>
      <w:r w:rsidRPr="0067589E">
        <w:rPr>
          <w:rFonts w:ascii="Avenir Next" w:hAnsi="Avenir Next" w:cs="Arial"/>
          <w:sz w:val="22"/>
          <w:szCs w:val="22"/>
        </w:rPr>
        <w:t>generally be</w:t>
      </w:r>
      <w:proofErr w:type="gramEnd"/>
      <w:r w:rsidRPr="0067589E">
        <w:rPr>
          <w:rFonts w:ascii="Avenir Next" w:hAnsi="Avenir Next" w:cs="Arial"/>
          <w:sz w:val="22"/>
          <w:szCs w:val="22"/>
        </w:rPr>
        <w:t xml:space="preserv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A German court has issued a judgment in a German insolvency which has a connection with England</w:t>
      </w:r>
      <w:proofErr w:type="gramStart"/>
      <w:r w:rsidRPr="004216EA">
        <w:rPr>
          <w:rFonts w:ascii="Avenir Next" w:hAnsi="Avenir Next" w:cs="Arial"/>
          <w:sz w:val="22"/>
          <w:szCs w:val="22"/>
        </w:rPr>
        <w:t xml:space="preserve">.  </w:t>
      </w:r>
      <w:proofErr w:type="gramEnd"/>
      <w:r w:rsidRPr="004216EA">
        <w:rPr>
          <w:rFonts w:ascii="Avenir Next" w:hAnsi="Avenir Next" w:cs="Arial"/>
          <w:sz w:val="22"/>
          <w:szCs w:val="22"/>
        </w:rPr>
        <w:t>The foreign insolvency office holder seeks recognition and enforcement in an English court of the insolvency order made in the German insolvency proceedings</w:t>
      </w:r>
      <w:proofErr w:type="gramStart"/>
      <w:r w:rsidRPr="004216EA">
        <w:rPr>
          <w:rFonts w:ascii="Avenir Next" w:hAnsi="Avenir Next" w:cs="Arial"/>
          <w:sz w:val="22"/>
          <w:szCs w:val="22"/>
        </w:rPr>
        <w:t xml:space="preserve">.  </w:t>
      </w:r>
      <w:proofErr w:type="gramEnd"/>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83AC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83AC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083ACE">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proofErr w:type="gramStart"/>
      <w:r w:rsidR="00DA42DA">
        <w:rPr>
          <w:rFonts w:ascii="Avenir Next" w:hAnsi="Avenir Next" w:cs="Arial"/>
          <w:sz w:val="22"/>
          <w:szCs w:val="22"/>
        </w:rPr>
        <w:t>”</w:t>
      </w:r>
      <w:r>
        <w:rPr>
          <w:rFonts w:ascii="Avenir Next" w:hAnsi="Avenir Next" w:cs="Arial"/>
          <w:sz w:val="22"/>
          <w:szCs w:val="22"/>
        </w:rPr>
        <w:t>,</w:t>
      </w:r>
      <w:proofErr w:type="gramEnd"/>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083ACE" w:rsidRDefault="006514CD" w:rsidP="006514CD">
      <w:pPr>
        <w:pStyle w:val="ListParagraph"/>
        <w:numPr>
          <w:ilvl w:val="0"/>
          <w:numId w:val="19"/>
        </w:numPr>
        <w:ind w:left="425" w:hanging="357"/>
        <w:jc w:val="both"/>
        <w:rPr>
          <w:rFonts w:ascii="Avenir Next" w:hAnsi="Avenir Next" w:cs="Arial"/>
          <w:sz w:val="22"/>
          <w:szCs w:val="22"/>
          <w:highlight w:val="yellow"/>
        </w:rPr>
      </w:pPr>
      <w:r w:rsidRPr="00083ACE">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 xml:space="preserve">and is why there has been </w:t>
      </w:r>
      <w:proofErr w:type="gramStart"/>
      <w:r>
        <w:rPr>
          <w:rFonts w:ascii="Avenir Next" w:hAnsi="Avenir Next" w:cs="Arial"/>
          <w:sz w:val="22"/>
          <w:szCs w:val="22"/>
        </w:rPr>
        <w:t>great success</w:t>
      </w:r>
      <w:proofErr w:type="gramEnd"/>
      <w:r>
        <w:rPr>
          <w:rFonts w:ascii="Avenir Next" w:hAnsi="Avenir Next" w:cs="Arial"/>
          <w:sz w:val="22"/>
          <w:szCs w:val="22"/>
        </w:rPr>
        <w:t xml:space="preserve">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083ACE"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083ACE">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w:t>
      </w:r>
      <w:proofErr w:type="gramStart"/>
      <w:r w:rsidRPr="0067589E">
        <w:rPr>
          <w:rFonts w:ascii="Avenir Next" w:hAnsi="Avenir Next" w:cs="Arial"/>
          <w:sz w:val="22"/>
          <w:szCs w:val="22"/>
        </w:rPr>
        <w:t xml:space="preserve">.  </w:t>
      </w:r>
      <w:proofErr w:type="gramEnd"/>
      <w:r w:rsidRPr="0067589E">
        <w:rPr>
          <w:rFonts w:ascii="Avenir Next" w:hAnsi="Avenir Next" w:cs="Arial"/>
          <w:sz w:val="22"/>
          <w:szCs w:val="22"/>
        </w:rPr>
        <w:t>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83ACE" w:rsidRDefault="00AD76EF" w:rsidP="00AD76EF">
      <w:pPr>
        <w:pStyle w:val="ListParagraph"/>
        <w:numPr>
          <w:ilvl w:val="0"/>
          <w:numId w:val="17"/>
        </w:numPr>
        <w:ind w:left="426"/>
        <w:jc w:val="both"/>
        <w:rPr>
          <w:rFonts w:ascii="Avenir Next" w:hAnsi="Avenir Next" w:cs="Arial"/>
          <w:sz w:val="22"/>
          <w:szCs w:val="22"/>
          <w:highlight w:val="yellow"/>
        </w:rPr>
      </w:pPr>
      <w:r w:rsidRPr="00083AC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83AC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83AC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 xml:space="preserve">This statement is true because, while some may incorporate other legal traditions, every African nation is </w:t>
      </w:r>
      <w:proofErr w:type="gramStart"/>
      <w:r>
        <w:rPr>
          <w:rFonts w:ascii="Avenir Next" w:hAnsi="Avenir Next" w:cs="Arial"/>
          <w:sz w:val="22"/>
          <w:szCs w:val="22"/>
        </w:rPr>
        <w:t>largely based</w:t>
      </w:r>
      <w:proofErr w:type="gramEnd"/>
      <w:r>
        <w:rPr>
          <w:rFonts w:ascii="Avenir Next" w:hAnsi="Avenir Next" w:cs="Arial"/>
          <w:sz w:val="22"/>
          <w:szCs w:val="22"/>
        </w:rPr>
        <w:t xml:space="preserve">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083ACE" w:rsidRDefault="009661DE" w:rsidP="009661DE">
      <w:pPr>
        <w:pStyle w:val="ListParagraph"/>
        <w:numPr>
          <w:ilvl w:val="0"/>
          <w:numId w:val="23"/>
        </w:numPr>
        <w:ind w:left="426"/>
        <w:jc w:val="both"/>
        <w:rPr>
          <w:rFonts w:ascii="Avenir Next" w:hAnsi="Avenir Next" w:cs="Arial"/>
          <w:sz w:val="22"/>
          <w:szCs w:val="22"/>
          <w:highlight w:val="yellow"/>
        </w:rPr>
      </w:pPr>
      <w:r w:rsidRPr="00083ACE">
        <w:rPr>
          <w:rFonts w:ascii="Avenir Next" w:hAnsi="Avenir Next" w:cs="Arial"/>
          <w:sz w:val="22"/>
          <w:szCs w:val="22"/>
          <w:highlight w:val="yellow"/>
        </w:rPr>
        <w:t xml:space="preserve">This statement is true because the Model Law on Cross-border Insolvency has been adopted by </w:t>
      </w:r>
      <w:proofErr w:type="gramStart"/>
      <w:r w:rsidRPr="00083ACE">
        <w:rPr>
          <w:rFonts w:ascii="Avenir Next" w:hAnsi="Avenir Next" w:cs="Arial"/>
          <w:sz w:val="22"/>
          <w:szCs w:val="22"/>
          <w:highlight w:val="yellow"/>
        </w:rPr>
        <w:t>numerous</w:t>
      </w:r>
      <w:proofErr w:type="gramEnd"/>
      <w:r w:rsidRPr="00083ACE">
        <w:rPr>
          <w:rFonts w:ascii="Avenir Next" w:hAnsi="Avenir Next" w:cs="Arial"/>
          <w:sz w:val="22"/>
          <w:szCs w:val="22"/>
          <w:highlight w:val="yellow"/>
        </w:rPr>
        <w:t xml:space="preserve">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w:t>
      </w:r>
      <w:proofErr w:type="gramStart"/>
      <w:r w:rsidRPr="0067589E">
        <w:rPr>
          <w:rFonts w:ascii="Avenir Next" w:hAnsi="Avenir Next"/>
          <w:sz w:val="22"/>
          <w:szCs w:val="22"/>
        </w:rPr>
        <w:t>be opened</w:t>
      </w:r>
      <w:proofErr w:type="gramEnd"/>
      <w:r w:rsidRPr="0067589E">
        <w:rPr>
          <w:rFonts w:ascii="Avenir Next" w:hAnsi="Avenir Next"/>
          <w:sz w:val="22"/>
          <w:szCs w:val="22"/>
        </w:rPr>
        <w:t xml:space="preserve">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83ACE" w:rsidRDefault="003B3A0D" w:rsidP="003B3A0D">
      <w:pPr>
        <w:pStyle w:val="ListParagraph"/>
        <w:numPr>
          <w:ilvl w:val="0"/>
          <w:numId w:val="24"/>
        </w:numPr>
        <w:ind w:left="426"/>
        <w:jc w:val="both"/>
        <w:rPr>
          <w:rFonts w:ascii="Avenir Next" w:hAnsi="Avenir Next" w:cs="Arial"/>
          <w:sz w:val="22"/>
          <w:szCs w:val="22"/>
          <w:highlight w:val="yellow"/>
        </w:rPr>
      </w:pPr>
      <w:r w:rsidRPr="00083ACE">
        <w:rPr>
          <w:rFonts w:ascii="Avenir Next" w:hAnsi="Avenir Next" w:cs="Arial"/>
          <w:sz w:val="22"/>
          <w:szCs w:val="22"/>
          <w:highlight w:val="yellow"/>
        </w:rPr>
        <w:t>This statement is untrue because universalism corresponds well to globali</w:t>
      </w:r>
      <w:r w:rsidR="00142E15" w:rsidRPr="00083ACE">
        <w:rPr>
          <w:rFonts w:ascii="Avenir Next" w:hAnsi="Avenir Next" w:cs="Arial"/>
          <w:sz w:val="22"/>
          <w:szCs w:val="22"/>
          <w:highlight w:val="yellow"/>
        </w:rPr>
        <w:t>s</w:t>
      </w:r>
      <w:r w:rsidRPr="00083ACE">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w:t>
      </w:r>
      <w:proofErr w:type="gramStart"/>
      <w:r w:rsidRPr="0005281F">
        <w:rPr>
          <w:rFonts w:ascii="Avenir Next" w:hAnsi="Avenir Next"/>
          <w:sz w:val="22"/>
          <w:szCs w:val="22"/>
        </w:rPr>
        <w:t>be opened</w:t>
      </w:r>
      <w:proofErr w:type="gramEnd"/>
      <w:r w:rsidRPr="0005281F">
        <w:rPr>
          <w:rFonts w:ascii="Avenir Next" w:hAnsi="Avenir Next"/>
          <w:sz w:val="22"/>
          <w:szCs w:val="22"/>
        </w:rPr>
        <w:t xml:space="preserve">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4FC8F68" w14:textId="77777777"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Insolvency law systems tend to be classified as either having historical roots from “English Common Law” or “Civil Law”, with the biggest difference relating to </w:t>
      </w:r>
      <w:proofErr w:type="gramStart"/>
      <w:r w:rsidRPr="00083ACE">
        <w:rPr>
          <w:rFonts w:ascii="Avenir Next" w:hAnsi="Avenir Next" w:cs="Arial"/>
          <w:color w:val="808080" w:themeColor="background1" w:themeShade="80"/>
          <w:sz w:val="22"/>
          <w:szCs w:val="22"/>
          <w:lang w:val="en-GB"/>
        </w:rPr>
        <w:t>whether or not</w:t>
      </w:r>
      <w:proofErr w:type="gramEnd"/>
      <w:r w:rsidRPr="00083ACE">
        <w:rPr>
          <w:rFonts w:ascii="Avenir Next" w:hAnsi="Avenir Next" w:cs="Arial"/>
          <w:color w:val="808080" w:themeColor="background1" w:themeShade="80"/>
          <w:sz w:val="22"/>
          <w:szCs w:val="22"/>
          <w:lang w:val="en-GB"/>
        </w:rPr>
        <w:t xml:space="preserve"> a system adopts a more codified or case law legal system. English Common Law places reliance on precedence and historical judicial decisions whereas “Civil Law” adopts a rule-based approach to law. </w:t>
      </w:r>
    </w:p>
    <w:p w14:paraId="0DBF1ACC"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68163CB4" w14:textId="6896C250"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roots of “Civil Law” </w:t>
      </w:r>
      <w:r w:rsidR="00570904" w:rsidRPr="00083ACE">
        <w:rPr>
          <w:rFonts w:ascii="Avenir Next" w:hAnsi="Avenir Next" w:cs="Arial"/>
          <w:color w:val="808080" w:themeColor="background1" w:themeShade="80"/>
          <w:sz w:val="22"/>
          <w:szCs w:val="22"/>
          <w:lang w:val="en-GB"/>
        </w:rPr>
        <w:t>are</w:t>
      </w:r>
      <w:r w:rsidRPr="00083ACE">
        <w:rPr>
          <w:rFonts w:ascii="Avenir Next" w:hAnsi="Avenir Next" w:cs="Arial"/>
          <w:color w:val="808080" w:themeColor="background1" w:themeShade="80"/>
          <w:sz w:val="22"/>
          <w:szCs w:val="22"/>
          <w:lang w:val="en-GB"/>
        </w:rPr>
        <w:t xml:space="preserve"> largely formulated from the Roman law. Examples of English Common Law systems includes English, American and Australian insolvency laws. </w:t>
      </w:r>
      <w:r w:rsidR="00570904" w:rsidRPr="00083ACE">
        <w:rPr>
          <w:rFonts w:ascii="Avenir Next" w:hAnsi="Avenir Next" w:cs="Arial"/>
          <w:color w:val="808080" w:themeColor="background1" w:themeShade="80"/>
          <w:sz w:val="22"/>
          <w:szCs w:val="22"/>
          <w:lang w:val="en-GB"/>
        </w:rPr>
        <w:t>Whereas</w:t>
      </w:r>
      <w:r w:rsidRPr="00083ACE">
        <w:rPr>
          <w:rFonts w:ascii="Avenir Next" w:hAnsi="Avenir Next" w:cs="Arial"/>
          <w:color w:val="808080" w:themeColor="background1" w:themeShade="80"/>
          <w:sz w:val="22"/>
          <w:szCs w:val="22"/>
          <w:lang w:val="en-GB"/>
        </w:rPr>
        <w:t xml:space="preserve"> systems which have historical roots in civil law include Dutch, French, German and Spanish insolvency law. </w:t>
      </w:r>
    </w:p>
    <w:p w14:paraId="2FBB0B9E"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3823C0E0" w14:textId="77777777"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It has been noted that English Common Law systems tend to be more inclined to pursue a universalism approach to jurisdiction whereas Civil Law systems prefer a territorial approach. </w:t>
      </w:r>
    </w:p>
    <w:p w14:paraId="2A009C97"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304C2FB2" w14:textId="4EAB120A" w:rsidR="00CC7728"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It should however be noted that classification of insolvency law systems as having historical roots from “English Common Law”, or “Civil Law” is highly aggregated. These systems encompass a broad range of principles which have been modified and implemented differently over many years. As such insolvency law systems should be assessed individually to accurately understand the nuances of each system.</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777B51DD" w14:textId="0954D34B"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The principle of universalism, modified universalism and territorialism all relate to different approaches to how cross-border insolvency cases are handled. These different principles use jurisdiction as a main factor when undergoing insolvency proceedings.</w:t>
      </w:r>
      <w:r>
        <w:rPr>
          <w:rFonts w:ascii="Avenir Next" w:hAnsi="Avenir Next" w:cs="Arial"/>
          <w:color w:val="808080" w:themeColor="background1" w:themeShade="80"/>
          <w:sz w:val="22"/>
          <w:szCs w:val="22"/>
          <w:lang w:val="en-GB"/>
        </w:rPr>
        <w:t xml:space="preserve"> </w:t>
      </w:r>
    </w:p>
    <w:p w14:paraId="6287B29C"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510081F9" w14:textId="46E61CEA"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“Universalism” principle adopts an </w:t>
      </w:r>
      <w:r w:rsidR="00570904" w:rsidRPr="00083ACE">
        <w:rPr>
          <w:rFonts w:ascii="Avenir Next" w:hAnsi="Avenir Next" w:cs="Arial"/>
          <w:color w:val="808080" w:themeColor="background1" w:themeShade="80"/>
          <w:sz w:val="22"/>
          <w:szCs w:val="22"/>
          <w:lang w:val="en-GB"/>
        </w:rPr>
        <w:t>all-inclusive</w:t>
      </w:r>
      <w:r w:rsidRPr="00083ACE">
        <w:rPr>
          <w:rFonts w:ascii="Avenir Next" w:hAnsi="Avenir Next" w:cs="Arial"/>
          <w:color w:val="808080" w:themeColor="background1" w:themeShade="80"/>
          <w:sz w:val="22"/>
          <w:szCs w:val="22"/>
          <w:lang w:val="en-GB"/>
        </w:rPr>
        <w:t xml:space="preserve"> approach where there should only be one insolvency proceeding which accounts for </w:t>
      </w:r>
      <w:proofErr w:type="gramStart"/>
      <w:r w:rsidRPr="00083ACE">
        <w:rPr>
          <w:rFonts w:ascii="Avenir Next" w:hAnsi="Avenir Next" w:cs="Arial"/>
          <w:color w:val="808080" w:themeColor="background1" w:themeShade="80"/>
          <w:sz w:val="22"/>
          <w:szCs w:val="22"/>
          <w:lang w:val="en-GB"/>
        </w:rPr>
        <w:t>all of</w:t>
      </w:r>
      <w:proofErr w:type="gramEnd"/>
      <w:r w:rsidRPr="00083ACE">
        <w:rPr>
          <w:rFonts w:ascii="Avenir Next" w:hAnsi="Avenir Next" w:cs="Arial"/>
          <w:color w:val="808080" w:themeColor="background1" w:themeShade="80"/>
          <w:sz w:val="22"/>
          <w:szCs w:val="22"/>
          <w:lang w:val="en-GB"/>
        </w:rPr>
        <w:t xml:space="preserve"> a </w:t>
      </w:r>
      <w:r w:rsidR="00570904" w:rsidRPr="00083ACE">
        <w:rPr>
          <w:rFonts w:ascii="Avenir Next" w:hAnsi="Avenir Next" w:cs="Arial"/>
          <w:color w:val="808080" w:themeColor="background1" w:themeShade="80"/>
          <w:sz w:val="22"/>
          <w:szCs w:val="22"/>
          <w:lang w:val="en-GB"/>
        </w:rPr>
        <w:t>debtor’s</w:t>
      </w:r>
      <w:r w:rsidRPr="00083ACE">
        <w:rPr>
          <w:rFonts w:ascii="Avenir Next" w:hAnsi="Avenir Next" w:cs="Arial"/>
          <w:color w:val="808080" w:themeColor="background1" w:themeShade="80"/>
          <w:sz w:val="22"/>
          <w:szCs w:val="22"/>
          <w:lang w:val="en-GB"/>
        </w:rPr>
        <w:t xml:space="preserve"> assets and debts worldwide. As such, the main jurisdiction, being the centre of debtor’s interests, will have full coverage of all assets and debts worldwide, regardless of jurisdiction. All creditors would have the opportunity to participate in the same proceedings and would be covered by the same applicable principles of insolvency. </w:t>
      </w:r>
    </w:p>
    <w:p w14:paraId="30C0686D"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1B86FC82" w14:textId="26693492"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“Territorialism” approach opposes the Universalism principle as it follows the approach that insolvency proceedings are within the bounds of each state in which the proceedings are undertaken. Therefore, multiple proceedings may be undertaken simultaneously, with each proceeding being confined to the </w:t>
      </w:r>
      <w:r w:rsidR="00570904" w:rsidRPr="00083ACE">
        <w:rPr>
          <w:rFonts w:ascii="Avenir Next" w:hAnsi="Avenir Next" w:cs="Arial"/>
          <w:color w:val="808080" w:themeColor="background1" w:themeShade="80"/>
          <w:sz w:val="22"/>
          <w:szCs w:val="22"/>
          <w:lang w:val="en-GB"/>
        </w:rPr>
        <w:t>debtors’</w:t>
      </w:r>
      <w:r w:rsidRPr="00083ACE">
        <w:rPr>
          <w:rFonts w:ascii="Avenir Next" w:hAnsi="Avenir Next" w:cs="Arial"/>
          <w:color w:val="808080" w:themeColor="background1" w:themeShade="80"/>
          <w:sz w:val="22"/>
          <w:szCs w:val="22"/>
          <w:lang w:val="en-GB"/>
        </w:rPr>
        <w:t xml:space="preserve"> assets and debts within the specified state. </w:t>
      </w:r>
    </w:p>
    <w:p w14:paraId="35493856"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216D3C8D" w14:textId="51846B0C" w:rsidR="00DA42DA"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“Modified Universalism” principal is an adaptation of the Universalism and Territorialism </w:t>
      </w:r>
      <w:r w:rsidR="00570904" w:rsidRPr="00083ACE">
        <w:rPr>
          <w:rFonts w:ascii="Avenir Next" w:hAnsi="Avenir Next" w:cs="Arial"/>
          <w:color w:val="808080" w:themeColor="background1" w:themeShade="80"/>
          <w:sz w:val="22"/>
          <w:szCs w:val="22"/>
          <w:lang w:val="en-GB"/>
        </w:rPr>
        <w:t>principle and</w:t>
      </w:r>
      <w:r w:rsidRPr="00083ACE">
        <w:rPr>
          <w:rFonts w:ascii="Avenir Next" w:hAnsi="Avenir Next" w:cs="Arial"/>
          <w:color w:val="808080" w:themeColor="background1" w:themeShade="80"/>
          <w:sz w:val="22"/>
          <w:szCs w:val="22"/>
          <w:lang w:val="en-GB"/>
        </w:rPr>
        <w:t xml:space="preserve"> is based off the concept that the</w:t>
      </w:r>
      <w:r w:rsidR="00570904">
        <w:rPr>
          <w:rFonts w:ascii="Avenir Next" w:hAnsi="Avenir Next" w:cs="Arial"/>
          <w:color w:val="808080" w:themeColor="background1" w:themeShade="80"/>
          <w:sz w:val="22"/>
          <w:szCs w:val="22"/>
          <w:lang w:val="en-GB"/>
        </w:rPr>
        <w:t xml:space="preserve">re </w:t>
      </w:r>
      <w:r w:rsidRPr="00083ACE">
        <w:rPr>
          <w:rFonts w:ascii="Avenir Next" w:hAnsi="Avenir Next" w:cs="Arial"/>
          <w:color w:val="808080" w:themeColor="background1" w:themeShade="80"/>
          <w:sz w:val="22"/>
          <w:szCs w:val="22"/>
          <w:lang w:val="en-GB"/>
        </w:rPr>
        <w:t>would be a primary insolvency proceeding in the centre of main interest, with secondary proceedings supporting the primary proceeding. Therefore, courts would be working together throughout the proceedings.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E160E5E" w14:textId="77777777"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lastRenderedPageBreak/>
        <w:t xml:space="preserve">Latin America have undertaking multilateral agreements for solving international insolvency issues. The Montevideo (1889 and 1940) and Havana Convention (1928) on Private International Law treaties had been entered into by multiple Latin American countries </w:t>
      </w:r>
      <w:proofErr w:type="gramStart"/>
      <w:r w:rsidRPr="00083ACE">
        <w:rPr>
          <w:rFonts w:ascii="Avenir Next" w:hAnsi="Avenir Next" w:cs="Arial"/>
          <w:color w:val="808080" w:themeColor="background1" w:themeShade="80"/>
          <w:sz w:val="22"/>
          <w:szCs w:val="22"/>
          <w:lang w:val="en-GB"/>
        </w:rPr>
        <w:t>in an attempt to</w:t>
      </w:r>
      <w:proofErr w:type="gramEnd"/>
      <w:r w:rsidRPr="00083ACE">
        <w:rPr>
          <w:rFonts w:ascii="Avenir Next" w:hAnsi="Avenir Next" w:cs="Arial"/>
          <w:color w:val="808080" w:themeColor="background1" w:themeShade="80"/>
          <w:sz w:val="22"/>
          <w:szCs w:val="22"/>
          <w:lang w:val="en-GB"/>
        </w:rPr>
        <w:t xml:space="preserve"> establish a guideline to international bankruptcy or insolvency. </w:t>
      </w:r>
    </w:p>
    <w:p w14:paraId="3813951F"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3F321905" w14:textId="62CE54B4"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1989 Montevideo treaty covers both individual and corporate insolvency and is based off the premise that insolvency proceedings should be based on the </w:t>
      </w:r>
      <w:r w:rsidR="00570904" w:rsidRPr="00083ACE">
        <w:rPr>
          <w:rFonts w:ascii="Avenir Next" w:hAnsi="Avenir Next" w:cs="Arial"/>
          <w:color w:val="808080" w:themeColor="background1" w:themeShade="80"/>
          <w:sz w:val="22"/>
          <w:szCs w:val="22"/>
          <w:lang w:val="en-GB"/>
        </w:rPr>
        <w:t>debtor’s</w:t>
      </w:r>
      <w:r w:rsidRPr="00083ACE">
        <w:rPr>
          <w:rFonts w:ascii="Avenir Next" w:hAnsi="Avenir Next" w:cs="Arial"/>
          <w:color w:val="808080" w:themeColor="background1" w:themeShade="80"/>
          <w:sz w:val="22"/>
          <w:szCs w:val="22"/>
          <w:lang w:val="en-GB"/>
        </w:rPr>
        <w:t xml:space="preserve"> commercial domicile. If an entity is commercially domiciled in one state and occasionally performs economic activities in other </w:t>
      </w:r>
      <w:r w:rsidR="00570904" w:rsidRPr="00083ACE">
        <w:rPr>
          <w:rFonts w:ascii="Avenir Next" w:hAnsi="Avenir Next" w:cs="Arial"/>
          <w:color w:val="808080" w:themeColor="background1" w:themeShade="80"/>
          <w:sz w:val="22"/>
          <w:szCs w:val="22"/>
          <w:lang w:val="en-GB"/>
        </w:rPr>
        <w:t>states,</w:t>
      </w:r>
      <w:r w:rsidRPr="00083ACE">
        <w:rPr>
          <w:rFonts w:ascii="Avenir Next" w:hAnsi="Avenir Next" w:cs="Arial"/>
          <w:color w:val="808080" w:themeColor="background1" w:themeShade="80"/>
          <w:sz w:val="22"/>
          <w:szCs w:val="22"/>
          <w:lang w:val="en-GB"/>
        </w:rPr>
        <w:t xml:space="preserve"> then the proceeding should be held in the commercially domiciled state exclusively and all the </w:t>
      </w:r>
      <w:r w:rsidR="00570904" w:rsidRPr="00083ACE">
        <w:rPr>
          <w:rFonts w:ascii="Avenir Next" w:hAnsi="Avenir Next" w:cs="Arial"/>
          <w:color w:val="808080" w:themeColor="background1" w:themeShade="80"/>
          <w:sz w:val="22"/>
          <w:szCs w:val="22"/>
          <w:lang w:val="en-GB"/>
        </w:rPr>
        <w:t>debtors’</w:t>
      </w:r>
      <w:r w:rsidRPr="00083ACE">
        <w:rPr>
          <w:rFonts w:ascii="Avenir Next" w:hAnsi="Avenir Next" w:cs="Arial"/>
          <w:color w:val="808080" w:themeColor="background1" w:themeShade="80"/>
          <w:sz w:val="22"/>
          <w:szCs w:val="22"/>
          <w:lang w:val="en-GB"/>
        </w:rPr>
        <w:t xml:space="preserve"> assets and debts should be considered in that state regardless of jurisdiction. Should an entity have two or more entities which are completely autonomous to one another and in different states, local creditors in the other state may undertake separate proceedings against the </w:t>
      </w:r>
      <w:r w:rsidR="00570904" w:rsidRPr="00083ACE">
        <w:rPr>
          <w:rFonts w:ascii="Avenir Next" w:hAnsi="Avenir Next" w:cs="Arial"/>
          <w:color w:val="808080" w:themeColor="background1" w:themeShade="80"/>
          <w:sz w:val="22"/>
          <w:szCs w:val="22"/>
          <w:lang w:val="en-GB"/>
        </w:rPr>
        <w:t>debtors’</w:t>
      </w:r>
      <w:r w:rsidRPr="00083ACE">
        <w:rPr>
          <w:rFonts w:ascii="Avenir Next" w:hAnsi="Avenir Next" w:cs="Arial"/>
          <w:color w:val="808080" w:themeColor="background1" w:themeShade="80"/>
          <w:sz w:val="22"/>
          <w:szCs w:val="22"/>
          <w:lang w:val="en-GB"/>
        </w:rPr>
        <w:t xml:space="preserve"> separate entities. As such </w:t>
      </w:r>
      <w:r w:rsidR="00570904" w:rsidRPr="00083ACE">
        <w:rPr>
          <w:rFonts w:ascii="Avenir Next" w:hAnsi="Avenir Next" w:cs="Arial"/>
          <w:color w:val="808080" w:themeColor="background1" w:themeShade="80"/>
          <w:sz w:val="22"/>
          <w:szCs w:val="22"/>
          <w:lang w:val="en-GB"/>
        </w:rPr>
        <w:t>these treaties</w:t>
      </w:r>
      <w:r w:rsidRPr="00083ACE">
        <w:rPr>
          <w:rFonts w:ascii="Avenir Next" w:hAnsi="Avenir Next" w:cs="Arial"/>
          <w:color w:val="808080" w:themeColor="background1" w:themeShade="80"/>
          <w:sz w:val="22"/>
          <w:szCs w:val="22"/>
          <w:lang w:val="en-GB"/>
        </w:rPr>
        <w:t xml:space="preserve"> provides procedures for co-operation between proceedings which are run concurrently.</w:t>
      </w:r>
    </w:p>
    <w:p w14:paraId="2DC4185B"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61900735" w14:textId="7FF6ABBB" w:rsidR="00DA42DA"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The Havana Convention is more supportive of a universal approach to international insolvency proceedings than the Montevideo treaty. It has similar guidelines based on where an entity is commercially domiciled and similar view on the treatment of autonomous economic activities. The biggest difference is that the Havana Convention does not provide procedures for co-operation of any concurrent proceedings. It should also be noted that there are different countries who have adopted each treaty and as such each country will apply the principals set out to the treaty they have adopted.</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DA5E7C5" w14:textId="52AF9063"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terms “Insolvency” and “Bankruptcy” are often used </w:t>
      </w:r>
      <w:r w:rsidR="00570904" w:rsidRPr="00083ACE">
        <w:rPr>
          <w:rFonts w:ascii="Avenir Next" w:hAnsi="Avenir Next" w:cs="Arial"/>
          <w:color w:val="808080" w:themeColor="background1" w:themeShade="80"/>
          <w:sz w:val="22"/>
          <w:szCs w:val="22"/>
          <w:lang w:val="en-GB"/>
        </w:rPr>
        <w:t>interchangeably;</w:t>
      </w:r>
      <w:r w:rsidRPr="00083ACE">
        <w:rPr>
          <w:rFonts w:ascii="Avenir Next" w:hAnsi="Avenir Next" w:cs="Arial"/>
          <w:color w:val="808080" w:themeColor="background1" w:themeShade="80"/>
          <w:sz w:val="22"/>
          <w:szCs w:val="22"/>
          <w:lang w:val="en-GB"/>
        </w:rPr>
        <w:t xml:space="preserve"> </w:t>
      </w:r>
      <w:r w:rsidR="00570904" w:rsidRPr="00083ACE">
        <w:rPr>
          <w:rFonts w:ascii="Avenir Next" w:hAnsi="Avenir Next" w:cs="Arial"/>
          <w:color w:val="808080" w:themeColor="background1" w:themeShade="80"/>
          <w:sz w:val="22"/>
          <w:szCs w:val="22"/>
          <w:lang w:val="en-GB"/>
        </w:rPr>
        <w:t>however,</w:t>
      </w:r>
      <w:r w:rsidRPr="00083ACE">
        <w:rPr>
          <w:rFonts w:ascii="Avenir Next" w:hAnsi="Avenir Next" w:cs="Arial"/>
          <w:color w:val="808080" w:themeColor="background1" w:themeShade="80"/>
          <w:sz w:val="22"/>
          <w:szCs w:val="22"/>
          <w:lang w:val="en-GB"/>
        </w:rPr>
        <w:t xml:space="preserve"> the definition of each </w:t>
      </w:r>
      <w:r w:rsidR="00570904" w:rsidRPr="00083ACE">
        <w:rPr>
          <w:rFonts w:ascii="Avenir Next" w:hAnsi="Avenir Next" w:cs="Arial"/>
          <w:color w:val="808080" w:themeColor="background1" w:themeShade="80"/>
          <w:sz w:val="22"/>
          <w:szCs w:val="22"/>
          <w:lang w:val="en-GB"/>
        </w:rPr>
        <w:t>term</w:t>
      </w:r>
      <w:r w:rsidRPr="00083ACE">
        <w:rPr>
          <w:rFonts w:ascii="Avenir Next" w:hAnsi="Avenir Next" w:cs="Arial"/>
          <w:color w:val="808080" w:themeColor="background1" w:themeShade="80"/>
          <w:sz w:val="22"/>
          <w:szCs w:val="22"/>
          <w:lang w:val="en-GB"/>
        </w:rPr>
        <w:t xml:space="preserve"> is </w:t>
      </w:r>
      <w:r w:rsidR="00570904" w:rsidRPr="00083ACE">
        <w:rPr>
          <w:rFonts w:ascii="Avenir Next" w:hAnsi="Avenir Next" w:cs="Arial"/>
          <w:color w:val="808080" w:themeColor="background1" w:themeShade="80"/>
          <w:sz w:val="22"/>
          <w:szCs w:val="22"/>
          <w:lang w:val="en-GB"/>
        </w:rPr>
        <w:t>dependent</w:t>
      </w:r>
      <w:r w:rsidRPr="00083ACE">
        <w:rPr>
          <w:rFonts w:ascii="Avenir Next" w:hAnsi="Avenir Next" w:cs="Arial"/>
          <w:color w:val="808080" w:themeColor="background1" w:themeShade="80"/>
          <w:sz w:val="22"/>
          <w:szCs w:val="22"/>
          <w:lang w:val="en-GB"/>
        </w:rPr>
        <w:t xml:space="preserve"> on where the terms </w:t>
      </w:r>
      <w:r w:rsidR="00570904" w:rsidRPr="00083ACE">
        <w:rPr>
          <w:rFonts w:ascii="Avenir Next" w:hAnsi="Avenir Next" w:cs="Arial"/>
          <w:color w:val="808080" w:themeColor="background1" w:themeShade="80"/>
          <w:sz w:val="22"/>
          <w:szCs w:val="22"/>
          <w:lang w:val="en-GB"/>
        </w:rPr>
        <w:t>are</w:t>
      </w:r>
      <w:r w:rsidRPr="00083ACE">
        <w:rPr>
          <w:rFonts w:ascii="Avenir Next" w:hAnsi="Avenir Next" w:cs="Arial"/>
          <w:color w:val="808080" w:themeColor="background1" w:themeShade="80"/>
          <w:sz w:val="22"/>
          <w:szCs w:val="22"/>
          <w:lang w:val="en-GB"/>
        </w:rPr>
        <w:t xml:space="preserve"> used. Different countries may have different interpretations of each term. For example, in Australia the term “Bankruptcy” is associated to an individual whereas the term “Insolvency” is associated with a corporation. An alternative interpretation of each includes “insolvency” being the state of financial affairs whereas “bankruptcy” is the state of formally being put into bankruptcy.</w:t>
      </w:r>
    </w:p>
    <w:p w14:paraId="2A2E9B57"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40B947EF" w14:textId="77777777" w:rsidR="00083ACE" w:rsidRP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essential characteristics of “bankruptcy” and “insolvency” can be noted below: </w:t>
      </w:r>
    </w:p>
    <w:p w14:paraId="1F096DB9" w14:textId="3751ECC0" w:rsidR="00083ACE" w:rsidRPr="00083ACE" w:rsidRDefault="00083ACE" w:rsidP="00083ACE">
      <w:pPr>
        <w:pStyle w:val="ListParagraph"/>
        <w:numPr>
          <w:ilvl w:val="0"/>
          <w:numId w:val="36"/>
        </w:num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At the point of insolvency or bankruptcy, the actions of each individual creditor against the debtor are stayed.</w:t>
      </w:r>
    </w:p>
    <w:p w14:paraId="47C31A23" w14:textId="6DAE8B47" w:rsidR="00083ACE" w:rsidRPr="00083ACE" w:rsidRDefault="00083ACE" w:rsidP="00083ACE">
      <w:pPr>
        <w:pStyle w:val="ListParagraph"/>
        <w:numPr>
          <w:ilvl w:val="0"/>
          <w:numId w:val="36"/>
        </w:num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assets of the debtors are pooled and treated as a collective source of funds/ resources to satisfy all creditor positions. </w:t>
      </w:r>
    </w:p>
    <w:p w14:paraId="22CE98F1" w14:textId="1814178B" w:rsidR="00083ACE" w:rsidRPr="00083ACE" w:rsidRDefault="00083ACE" w:rsidP="00083ACE">
      <w:pPr>
        <w:pStyle w:val="ListParagraph"/>
        <w:numPr>
          <w:ilvl w:val="0"/>
          <w:numId w:val="36"/>
        </w:num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disposition of recoveries are pari passu, and prorated based on each individual creditors claim. </w:t>
      </w:r>
    </w:p>
    <w:p w14:paraId="565FC444" w14:textId="77777777" w:rsidR="00083ACE" w:rsidRDefault="00083ACE" w:rsidP="00083ACE">
      <w:pPr>
        <w:jc w:val="both"/>
        <w:rPr>
          <w:rFonts w:ascii="Avenir Next" w:hAnsi="Avenir Next" w:cs="Arial"/>
          <w:color w:val="808080" w:themeColor="background1" w:themeShade="80"/>
          <w:sz w:val="22"/>
          <w:szCs w:val="22"/>
          <w:lang w:val="en-GB"/>
        </w:rPr>
      </w:pPr>
    </w:p>
    <w:p w14:paraId="6ACE226D" w14:textId="2BFAFA44" w:rsidR="00083ACE" w:rsidRP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These proceedings are often set out differently depending on whether the debtor is an individual or a corporation, with the objective of achieving the following: </w:t>
      </w:r>
    </w:p>
    <w:p w14:paraId="010B9761" w14:textId="2056524D" w:rsidR="00083ACE" w:rsidRPr="00083ACE" w:rsidRDefault="00083ACE" w:rsidP="00083ACE">
      <w:pPr>
        <w:pStyle w:val="ListParagraph"/>
        <w:numPr>
          <w:ilvl w:val="0"/>
          <w:numId w:val="38"/>
        </w:num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Corporations: the objective would be to preserve the company, or part thereof, which may include proceedings against individuals who may have abused their powers and as </w:t>
      </w:r>
      <w:r w:rsidRPr="00083ACE">
        <w:rPr>
          <w:rFonts w:ascii="Avenir Next" w:hAnsi="Avenir Next" w:cs="Arial"/>
          <w:color w:val="808080" w:themeColor="background1" w:themeShade="80"/>
          <w:sz w:val="22"/>
          <w:szCs w:val="22"/>
          <w:lang w:val="en-GB"/>
        </w:rPr>
        <w:lastRenderedPageBreak/>
        <w:t xml:space="preserve">such the corporation would undertake action against the individual in their personal capacity. </w:t>
      </w:r>
    </w:p>
    <w:p w14:paraId="34BB0761" w14:textId="366BEC31" w:rsidR="00083ACE" w:rsidRPr="00083ACE" w:rsidRDefault="00083ACE" w:rsidP="00083ACE">
      <w:pPr>
        <w:pStyle w:val="ListParagraph"/>
        <w:numPr>
          <w:ilvl w:val="0"/>
          <w:numId w:val="38"/>
        </w:num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Individuals: the objective would be to protect the individual (debtor) from harassment form creditors. In essence, proceedings would be undertaken to assist the debtor with a fresh start through assistance in reducing indebtedness by making contributions from the individual current and future estate. Individual may also be protected against complete disposition of resources </w:t>
      </w:r>
      <w:proofErr w:type="gramStart"/>
      <w:r w:rsidRPr="00083ACE">
        <w:rPr>
          <w:rFonts w:ascii="Avenir Next" w:hAnsi="Avenir Next" w:cs="Arial"/>
          <w:color w:val="808080" w:themeColor="background1" w:themeShade="80"/>
          <w:sz w:val="22"/>
          <w:szCs w:val="22"/>
          <w:lang w:val="en-GB"/>
        </w:rPr>
        <w:t>in order for</w:t>
      </w:r>
      <w:proofErr w:type="gramEnd"/>
      <w:r w:rsidRPr="00083ACE">
        <w:rPr>
          <w:rFonts w:ascii="Avenir Next" w:hAnsi="Avenir Next" w:cs="Arial"/>
          <w:color w:val="808080" w:themeColor="background1" w:themeShade="80"/>
          <w:sz w:val="22"/>
          <w:szCs w:val="22"/>
          <w:lang w:val="en-GB"/>
        </w:rPr>
        <w:t xml:space="preserve"> the individual to support themselves and their dependants. </w:t>
      </w:r>
    </w:p>
    <w:p w14:paraId="58F507D5" w14:textId="77777777" w:rsidR="00083ACE" w:rsidRDefault="00083ACE" w:rsidP="00083ACE">
      <w:pPr>
        <w:jc w:val="both"/>
        <w:rPr>
          <w:rFonts w:ascii="Avenir Next" w:hAnsi="Avenir Next" w:cs="Arial"/>
          <w:color w:val="808080" w:themeColor="background1" w:themeShade="80"/>
          <w:sz w:val="22"/>
          <w:szCs w:val="22"/>
          <w:lang w:val="en-GB"/>
        </w:rPr>
      </w:pPr>
    </w:p>
    <w:p w14:paraId="71773D47" w14:textId="58F20D4C" w:rsidR="00DA42DA" w:rsidRP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One common characteristic between both proceedings against individuals and corporations would be the distribution of recoveries pari passu, the fair treatment of debtors by creditors, to reclaim dispositions that had been distributed unfairly and to investigate the reason for having to undergo the proceeding.</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0ECF9BA" w14:textId="1BD78E42"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most fundamental difficulty in developing a single global cross-border insolvency system is that there is not a global court which is able to deal with these proceedings. This is largely </w:t>
      </w:r>
      <w:proofErr w:type="gramStart"/>
      <w:r w:rsidRPr="00083ACE">
        <w:rPr>
          <w:rFonts w:ascii="Avenir Next" w:hAnsi="Avenir Next" w:cs="Arial"/>
          <w:color w:val="808080" w:themeColor="background1" w:themeShade="80"/>
          <w:sz w:val="22"/>
          <w:szCs w:val="22"/>
          <w:lang w:val="en-GB"/>
        </w:rPr>
        <w:t>as a result of</w:t>
      </w:r>
      <w:proofErr w:type="gramEnd"/>
      <w:r w:rsidRPr="00083ACE">
        <w:rPr>
          <w:rFonts w:ascii="Avenir Next" w:hAnsi="Avenir Next" w:cs="Arial"/>
          <w:color w:val="808080" w:themeColor="background1" w:themeShade="80"/>
          <w:sz w:val="22"/>
          <w:szCs w:val="22"/>
          <w:lang w:val="en-GB"/>
        </w:rPr>
        <w:t xml:space="preserve"> the difficulties in determining an international insolvency language which is understood globally. As previously </w:t>
      </w:r>
      <w:r w:rsidR="00570904" w:rsidRPr="00083ACE">
        <w:rPr>
          <w:rFonts w:ascii="Avenir Next" w:hAnsi="Avenir Next" w:cs="Arial"/>
          <w:color w:val="808080" w:themeColor="background1" w:themeShade="80"/>
          <w:sz w:val="22"/>
          <w:szCs w:val="22"/>
          <w:lang w:val="en-GB"/>
        </w:rPr>
        <w:t>mentioned,</w:t>
      </w:r>
      <w:r w:rsidRPr="00083ACE">
        <w:rPr>
          <w:rFonts w:ascii="Avenir Next" w:hAnsi="Avenir Next" w:cs="Arial"/>
          <w:color w:val="808080" w:themeColor="background1" w:themeShade="80"/>
          <w:sz w:val="22"/>
          <w:szCs w:val="22"/>
          <w:lang w:val="en-GB"/>
        </w:rPr>
        <w:t xml:space="preserve"> there are different interpretations of the term insolvency and its applicability to different type of debtors. Additionally, different countries/ jurisdictions have different norms when considering creditor positions and the priorities which should be asserted within insolvency proceedings. These differences may be attributed to different domestic laws, cultural </w:t>
      </w:r>
      <w:proofErr w:type="gramStart"/>
      <w:r w:rsidRPr="00083ACE">
        <w:rPr>
          <w:rFonts w:ascii="Avenir Next" w:hAnsi="Avenir Next" w:cs="Arial"/>
          <w:color w:val="808080" w:themeColor="background1" w:themeShade="80"/>
          <w:sz w:val="22"/>
          <w:szCs w:val="22"/>
          <w:lang w:val="en-GB"/>
        </w:rPr>
        <w:t>norms</w:t>
      </w:r>
      <w:proofErr w:type="gramEnd"/>
      <w:r w:rsidRPr="00083ACE">
        <w:rPr>
          <w:rFonts w:ascii="Avenir Next" w:hAnsi="Avenir Next" w:cs="Arial"/>
          <w:color w:val="808080" w:themeColor="background1" w:themeShade="80"/>
          <w:sz w:val="22"/>
          <w:szCs w:val="22"/>
          <w:lang w:val="en-GB"/>
        </w:rPr>
        <w:t xml:space="preserve"> and the current state of the local economy/ economic activities. </w:t>
      </w:r>
    </w:p>
    <w:p w14:paraId="36FB27DD"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6B5CF002" w14:textId="4E35591E" w:rsidR="00DA42DA"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In addition to the above, further difficulties may include recognition of foreign representation, difficulties in enforcing moratorium on individual creditor claims globally as well as difficulties </w:t>
      </w:r>
      <w:proofErr w:type="gramStart"/>
      <w:r w:rsidRPr="00083ACE">
        <w:rPr>
          <w:rFonts w:ascii="Avenir Next" w:hAnsi="Avenir Next" w:cs="Arial"/>
          <w:color w:val="808080" w:themeColor="background1" w:themeShade="80"/>
          <w:sz w:val="22"/>
          <w:szCs w:val="22"/>
          <w:lang w:val="en-GB"/>
        </w:rPr>
        <w:t>as a result of</w:t>
      </w:r>
      <w:proofErr w:type="gramEnd"/>
      <w:r w:rsidRPr="00083ACE">
        <w:rPr>
          <w:rFonts w:ascii="Avenir Next" w:hAnsi="Avenir Next" w:cs="Arial"/>
          <w:color w:val="808080" w:themeColor="background1" w:themeShade="80"/>
          <w:sz w:val="22"/>
          <w:szCs w:val="22"/>
          <w:lang w:val="en-GB"/>
        </w:rPr>
        <w:t xml:space="preserve"> language barriers and communication platforms when communicating with creditors.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49E2078" w14:textId="42B14032"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“Hard Law” refers to legally binding guidelines which are enforceable by legal action, whereas “Soft Law” refers to guidelines and codes which are not compulsory, however parties may elect to adopt these guidelines. Examples of Soft law would be the United Nations Commission for International Trade </w:t>
      </w:r>
      <w:r w:rsidR="00570904" w:rsidRPr="00083ACE">
        <w:rPr>
          <w:rFonts w:ascii="Avenir Next" w:hAnsi="Avenir Next" w:cs="Arial"/>
          <w:color w:val="808080" w:themeColor="background1" w:themeShade="80"/>
          <w:sz w:val="22"/>
          <w:szCs w:val="22"/>
          <w:lang w:val="en-GB"/>
        </w:rPr>
        <w:t>Law (</w:t>
      </w:r>
      <w:r w:rsidRPr="00083ACE">
        <w:rPr>
          <w:rFonts w:ascii="Avenir Next" w:hAnsi="Avenir Next" w:cs="Arial"/>
          <w:color w:val="808080" w:themeColor="background1" w:themeShade="80"/>
          <w:sz w:val="22"/>
          <w:szCs w:val="22"/>
          <w:lang w:val="en-GB"/>
        </w:rPr>
        <w:t xml:space="preserve">UNCITRAL) Model Law on Cross Border Insolvency which are guidelines designed to assist states in developing international insolvency best practises. This would be an example of soft law which is not enforceable. On the other hand, an example of Hard Law would be the European Insolvency Regulation (EIR), which when adopted is enforceable. </w:t>
      </w:r>
    </w:p>
    <w:p w14:paraId="5838D497"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774AB1EE" w14:textId="01507A88" w:rsidR="006A44B2"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It has been noted that there has been varying success when it comes to hard law in international insolvency proceedings, with more success noted through soft law. The EIR has been adopted by many jurisdictions and has bridged the gap between different insolvency laws in different states.  Thereby achieve achieving a more global standard (which may involve slight adaptations) of insolvency guidelines.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 xml:space="preserve">The company </w:t>
      </w:r>
      <w:proofErr w:type="gramStart"/>
      <w:r w:rsidRPr="00F85C0B">
        <w:rPr>
          <w:rStyle w:val="cf01"/>
          <w:rFonts w:ascii="Avenir Next" w:hAnsi="Avenir Next" w:cs="Arial"/>
          <w:sz w:val="22"/>
          <w:szCs w:val="22"/>
        </w:rPr>
        <w:t>was initially incorporated</w:t>
      </w:r>
      <w:proofErr w:type="gramEnd"/>
      <w:r w:rsidRPr="00F85C0B">
        <w:rPr>
          <w:rStyle w:val="cf01"/>
          <w:rFonts w:ascii="Avenir Next" w:hAnsi="Avenir Next" w:cs="Arial"/>
          <w:sz w:val="22"/>
          <w:szCs w:val="22"/>
        </w:rPr>
        <w:t xml:space="preserve">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t>
      </w:r>
      <w:proofErr w:type="gramStart"/>
      <w:r w:rsidRPr="00F85C0B">
        <w:rPr>
          <w:rFonts w:ascii="Avenir Next" w:hAnsi="Avenir Next" w:cs="Arial"/>
          <w:sz w:val="22"/>
          <w:szCs w:val="22"/>
        </w:rPr>
        <w:t>were later moved</w:t>
      </w:r>
      <w:proofErr w:type="gramEnd"/>
      <w:r w:rsidRPr="00F85C0B">
        <w:rPr>
          <w:rFonts w:ascii="Avenir Next" w:hAnsi="Avenir Next" w:cs="Arial"/>
          <w:sz w:val="22"/>
          <w:szCs w:val="22"/>
        </w:rPr>
        <w:t xml:space="preserve">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E148FA1" w14:textId="77777777" w:rsidR="00083ACE"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 xml:space="preserve">The main piece of legislation which guides insolvency in England is the Insolvency Act of 1986. In 2006 England adopted the UNCITRAL Model Law on Cross Border Insolvency, as such these would be suggested sources </w:t>
      </w:r>
      <w:proofErr w:type="gramStart"/>
      <w:r w:rsidRPr="00083ACE">
        <w:rPr>
          <w:rFonts w:ascii="Avenir Next" w:hAnsi="Avenir Next" w:cs="Arial"/>
          <w:color w:val="808080" w:themeColor="background1" w:themeShade="80"/>
          <w:sz w:val="22"/>
          <w:szCs w:val="22"/>
          <w:lang w:val="en-GB"/>
        </w:rPr>
        <w:t>in order to</w:t>
      </w:r>
      <w:proofErr w:type="gramEnd"/>
      <w:r w:rsidRPr="00083ACE">
        <w:rPr>
          <w:rFonts w:ascii="Avenir Next" w:hAnsi="Avenir Next" w:cs="Arial"/>
          <w:color w:val="808080" w:themeColor="background1" w:themeShade="80"/>
          <w:sz w:val="22"/>
          <w:szCs w:val="22"/>
          <w:lang w:val="en-GB"/>
        </w:rPr>
        <w:t xml:space="preserve"> request recognition in terms of English Law in order to deal with the assets of Norton Cars Inc situated in England. </w:t>
      </w:r>
    </w:p>
    <w:p w14:paraId="27BC21EF" w14:textId="77777777" w:rsidR="00083ACE" w:rsidRPr="00083ACE" w:rsidRDefault="00083ACE" w:rsidP="00083ACE">
      <w:pPr>
        <w:jc w:val="both"/>
        <w:rPr>
          <w:rFonts w:ascii="Avenir Next" w:hAnsi="Avenir Next" w:cs="Arial"/>
          <w:color w:val="808080" w:themeColor="background1" w:themeShade="80"/>
          <w:sz w:val="22"/>
          <w:szCs w:val="22"/>
          <w:lang w:val="en-GB"/>
        </w:rPr>
      </w:pPr>
    </w:p>
    <w:p w14:paraId="4184BAFC" w14:textId="4F27D21F" w:rsidR="002253D8" w:rsidRPr="002253D8"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It should also be noted that both the United States of America and England had participated in the inaugural Judicial Insolvency Network (JIN) in October of 2016. At the conference members contributed to the drafting of the Guidelines for Communication and Cooperation between Courts in Cross-Border Insolvency matters. As such these guidelines would provide a useful source for requesting recognition in terms of English Law.</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t>
      </w:r>
      <w:proofErr w:type="gramStart"/>
      <w:r w:rsidRPr="009F0C5A">
        <w:rPr>
          <w:rFonts w:ascii="Avenir Next" w:hAnsi="Avenir Next" w:cs="Arial"/>
          <w:sz w:val="22"/>
          <w:szCs w:val="28"/>
        </w:rPr>
        <w:t>was directed</w:t>
      </w:r>
      <w:proofErr w:type="gramEnd"/>
      <w:r w:rsidRPr="009F0C5A">
        <w:rPr>
          <w:rFonts w:ascii="Avenir Next" w:hAnsi="Avenir Next" w:cs="Arial"/>
          <w:sz w:val="22"/>
          <w:szCs w:val="28"/>
        </w:rPr>
        <w:t xml:space="preserve">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EC457E4" w:rsidR="002253D8" w:rsidRPr="00DA42DA" w:rsidRDefault="00083ACE" w:rsidP="002253D8">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lastRenderedPageBreak/>
        <w:t xml:space="preserve">When considering the </w:t>
      </w:r>
      <w:r w:rsidRPr="00083ACE">
        <w:rPr>
          <w:rFonts w:ascii="Avenir Next" w:hAnsi="Avenir Next" w:cs="Arial"/>
          <w:color w:val="808080" w:themeColor="background1" w:themeShade="80"/>
          <w:sz w:val="22"/>
          <w:szCs w:val="22"/>
          <w:lang w:val="en-GB"/>
        </w:rPr>
        <w:t>cross-border</w:t>
      </w:r>
      <w:r w:rsidRPr="00083ACE">
        <w:rPr>
          <w:rFonts w:ascii="Avenir Next" w:hAnsi="Avenir Next" w:cs="Arial"/>
          <w:color w:val="808080" w:themeColor="background1" w:themeShade="80"/>
          <w:sz w:val="22"/>
          <w:szCs w:val="22"/>
          <w:lang w:val="en-GB"/>
        </w:rPr>
        <w:t xml:space="preserve"> insolvency matter between Italy and Germany the European Insolvency Regulation (Recast) (“EIR”) needs to be considered. The EIR allocates jurisdictional rights based on the entities centre of main interests (“COMI”). Therefore, the insolvency matter will have a primary (main) jurisdiction in Italy, given that this is Norton Cars COMI. It should however be noted that as Germany has the “main operations” of the company it would be acknowledged that Germany is a place of operation where human means and assets are utilised for economic activity which in turn means the German operation meets the definition of and “establishment” in terms of the EIR. The EIR permits subsidiary territorial proceedings in these jurisdictions, which could be independent proceedings or secondary proceedings depending on when the proceeding is undertaken.</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6F2ACBD" w:rsidR="002253D8" w:rsidRPr="002253D8" w:rsidRDefault="00083ACE" w:rsidP="007815D1">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The EIR (Recast) had undergone amendments in December 2021. Amendments included the recognition of insolvency proceedings outside of the EU. As such, the foreign court would be eligible to apply the EU (Recast) Insolvency Regulation when considering the recognition of an EU insolvency representative duly appointed in terms of the EU regulation.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 xml:space="preserve">For purposes of this part question assume that an insolvency procedure has </w:t>
      </w:r>
      <w:proofErr w:type="gramStart"/>
      <w:r w:rsidRPr="004827A3">
        <w:rPr>
          <w:rFonts w:ascii="Avenir Next" w:hAnsi="Avenir Next" w:cs="Arial"/>
          <w:sz w:val="22"/>
          <w:szCs w:val="28"/>
        </w:rPr>
        <w:t>been opened</w:t>
      </w:r>
      <w:proofErr w:type="gramEnd"/>
      <w:r w:rsidRPr="004827A3">
        <w:rPr>
          <w:rFonts w:ascii="Avenir Next" w:hAnsi="Avenir Next" w:cs="Arial"/>
          <w:sz w:val="22"/>
          <w:szCs w:val="28"/>
        </w:rPr>
        <w:t xml:space="preserve">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xml:space="preserve">, in the Netherlands and Australia where the company is operating through external branches of the company respectively, but such assets are subject to real rights of security established in terms of Dutch and Australian </w:t>
      </w:r>
      <w:proofErr w:type="gramStart"/>
      <w:r w:rsidRPr="004827A3">
        <w:rPr>
          <w:rFonts w:ascii="Avenir Next" w:hAnsi="Avenir Next" w:cs="Arial"/>
          <w:sz w:val="22"/>
          <w:szCs w:val="28"/>
        </w:rPr>
        <w:t>law</w:t>
      </w:r>
      <w:proofErr w:type="gramEnd"/>
      <w:r w:rsidRPr="004827A3">
        <w:rPr>
          <w:rFonts w:ascii="Avenir Next" w:hAnsi="Avenir Next" w:cs="Arial"/>
          <w:sz w:val="22"/>
          <w:szCs w:val="28"/>
        </w:rPr>
        <w:t xml:space="preserve">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w:t>
      </w:r>
      <w:proofErr w:type="gramStart"/>
      <w:r w:rsidRPr="004827A3">
        <w:rPr>
          <w:rFonts w:ascii="Avenir Next" w:hAnsi="Avenir Next" w:cs="Arial"/>
          <w:sz w:val="22"/>
          <w:szCs w:val="28"/>
        </w:rPr>
        <w:t>3</w:t>
      </w:r>
      <w:proofErr w:type="gramEnd"/>
      <w:r w:rsidRPr="004827A3">
        <w:rPr>
          <w:rFonts w:ascii="Avenir Next" w:hAnsi="Avenir Next" w:cs="Arial"/>
          <w:sz w:val="22"/>
          <w:szCs w:val="28"/>
        </w:rPr>
        <w:t xml:space="preserve">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DB6186C" w:rsidR="002253D8" w:rsidRPr="00DA42DA" w:rsidRDefault="00083ACE" w:rsidP="00083ACE">
      <w:pPr>
        <w:jc w:val="both"/>
        <w:rPr>
          <w:rFonts w:ascii="Avenir Next" w:hAnsi="Avenir Next" w:cs="Arial"/>
          <w:color w:val="808080" w:themeColor="background1" w:themeShade="80"/>
          <w:sz w:val="22"/>
          <w:szCs w:val="22"/>
          <w:lang w:val="en-GB"/>
        </w:rPr>
      </w:pPr>
      <w:r w:rsidRPr="00083ACE">
        <w:rPr>
          <w:rFonts w:ascii="Avenir Next" w:hAnsi="Avenir Next" w:cs="Arial"/>
          <w:color w:val="808080" w:themeColor="background1" w:themeShade="80"/>
          <w:sz w:val="22"/>
          <w:szCs w:val="22"/>
          <w:lang w:val="en-GB"/>
        </w:rPr>
        <w:t>The European Insolvency Regulation (“EIR”) (Recast) allocates jurisdictional rights based on the entities centre of main interests (“COMI”). Therefore, as the COMI moved to Italy, the insolvency procedure had been opened in terms of Italian law and an Italian insolvent estate representative has been appointed. It should however be noted that Netherlands meets the definition of an “establishment” in terms of the EIR (Recast) as it is a place of operation where human means and assets are utilised for economic activity. The EIR permits subsidiary territorial proceedings in these jurisdictions, which could be independent proceedings or secondary proceedings depending on when the proceeding is undertaken. As the assets had been identified post undergoing the Italian insolvency procedure, this would be a secondary proceeding.</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w:t>
      </w:r>
      <w:proofErr w:type="gramStart"/>
      <w:r w:rsidRPr="004827A3">
        <w:rPr>
          <w:rFonts w:ascii="Avenir Next" w:hAnsi="Avenir Next" w:cs="Arial"/>
          <w:sz w:val="22"/>
          <w:szCs w:val="28"/>
        </w:rPr>
        <w:t>3</w:t>
      </w:r>
      <w:proofErr w:type="gramEnd"/>
      <w:r w:rsidRPr="004827A3">
        <w:rPr>
          <w:rFonts w:ascii="Avenir Next" w:hAnsi="Avenir Next" w:cs="Arial"/>
          <w:sz w:val="22"/>
          <w:szCs w:val="28"/>
        </w:rPr>
        <w:t xml:space="preserve">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09AD0F12" w:rsidR="002253D8" w:rsidRPr="00DA42DA" w:rsidRDefault="00570904" w:rsidP="00570904">
      <w:pPr>
        <w:jc w:val="both"/>
        <w:rPr>
          <w:rFonts w:ascii="Avenir Next" w:hAnsi="Avenir Next" w:cs="Arial"/>
          <w:color w:val="808080" w:themeColor="background1" w:themeShade="80"/>
          <w:sz w:val="22"/>
          <w:szCs w:val="22"/>
          <w:lang w:val="en-GB"/>
        </w:rPr>
      </w:pPr>
      <w:r w:rsidRPr="00570904">
        <w:rPr>
          <w:rFonts w:ascii="Avenir Next" w:hAnsi="Avenir Next" w:cs="Arial"/>
          <w:color w:val="808080" w:themeColor="background1" w:themeShade="80"/>
          <w:sz w:val="22"/>
          <w:szCs w:val="22"/>
          <w:lang w:val="en-GB"/>
        </w:rPr>
        <w:t>As there are Australian assets which are not part of the EU, these assets could be subject to an insolvency proceeding in Australia. Should such a proceeding be undertaken the Australian Corporations Act 2001 would be applicable as this proceeding relates to a corporate insolvency.  This Australian law is based on English Common Law and Australia has adopted the UNCITRAL Model Law on Cross Border Insolvency. Therefore, cooperation and coordination as a strategy to address international insolvency matters will be applied.</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504E" w14:textId="77777777" w:rsidR="006D2674" w:rsidRDefault="006D2674" w:rsidP="00241B44">
      <w:r>
        <w:separator/>
      </w:r>
    </w:p>
  </w:endnote>
  <w:endnote w:type="continuationSeparator" w:id="0">
    <w:p w14:paraId="106B3779" w14:textId="77777777" w:rsidR="006D2674" w:rsidRDefault="006D26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A7D5AE9" w:rsidR="00B64A85" w:rsidRPr="00297BDF" w:rsidRDefault="00C213AB" w:rsidP="0052732A">
    <w:pPr>
      <w:pStyle w:val="Footer"/>
      <w:ind w:right="360"/>
      <w:rPr>
        <w:rFonts w:ascii="Avenir Next" w:hAnsi="Avenir Next" w:cs="Arial"/>
        <w:sz w:val="22"/>
        <w:szCs w:val="22"/>
      </w:rPr>
    </w:pPr>
    <w:r>
      <w:rPr>
        <w:rFonts w:ascii="Avenir Next" w:hAnsi="Avenir Next" w:cs="Arial"/>
        <w:sz w:val="22"/>
        <w:szCs w:val="22"/>
      </w:rPr>
      <w:t>202324-1406</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47AF" w14:textId="77777777" w:rsidR="00C213AB" w:rsidRDefault="00C2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BD3D" w14:textId="77777777" w:rsidR="006D2674" w:rsidRDefault="006D2674" w:rsidP="00241B44">
      <w:r>
        <w:separator/>
      </w:r>
    </w:p>
  </w:footnote>
  <w:footnote w:type="continuationSeparator" w:id="0">
    <w:p w14:paraId="665D3A88" w14:textId="77777777" w:rsidR="006D2674" w:rsidRDefault="006D267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A349" w14:textId="77777777" w:rsidR="00C213AB" w:rsidRDefault="00C2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537" w14:textId="77777777" w:rsidR="00C213AB" w:rsidRDefault="00C21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E001" w14:textId="77777777" w:rsidR="00C213AB" w:rsidRDefault="00C2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674"/>
    <w:multiLevelType w:val="hybridMultilevel"/>
    <w:tmpl w:val="BE86CB8A"/>
    <w:lvl w:ilvl="0" w:tplc="E9E21A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21CAD"/>
    <w:multiLevelType w:val="hybridMultilevel"/>
    <w:tmpl w:val="79C86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5E80AD8"/>
    <w:multiLevelType w:val="hybridMultilevel"/>
    <w:tmpl w:val="70EE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546ACF"/>
    <w:multiLevelType w:val="hybridMultilevel"/>
    <w:tmpl w:val="2070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5"/>
  </w:num>
  <w:num w:numId="3" w16cid:durableId="1558668659">
    <w:abstractNumId w:val="3"/>
  </w:num>
  <w:num w:numId="4" w16cid:durableId="737018892">
    <w:abstractNumId w:val="6"/>
  </w:num>
  <w:num w:numId="5" w16cid:durableId="1158809076">
    <w:abstractNumId w:val="24"/>
  </w:num>
  <w:num w:numId="6" w16cid:durableId="415711827">
    <w:abstractNumId w:val="31"/>
  </w:num>
  <w:num w:numId="7" w16cid:durableId="1401949473">
    <w:abstractNumId w:val="16"/>
  </w:num>
  <w:num w:numId="8" w16cid:durableId="269552992">
    <w:abstractNumId w:val="36"/>
  </w:num>
  <w:num w:numId="9" w16cid:durableId="1367413161">
    <w:abstractNumId w:val="15"/>
  </w:num>
  <w:num w:numId="10" w16cid:durableId="220823057">
    <w:abstractNumId w:val="32"/>
  </w:num>
  <w:num w:numId="11" w16cid:durableId="858086195">
    <w:abstractNumId w:val="12"/>
  </w:num>
  <w:num w:numId="12" w16cid:durableId="2144808366">
    <w:abstractNumId w:val="33"/>
  </w:num>
  <w:num w:numId="13" w16cid:durableId="1139104618">
    <w:abstractNumId w:val="23"/>
  </w:num>
  <w:num w:numId="14" w16cid:durableId="1203787949">
    <w:abstractNumId w:val="22"/>
  </w:num>
  <w:num w:numId="15" w16cid:durableId="1140149903">
    <w:abstractNumId w:val="7"/>
  </w:num>
  <w:num w:numId="16" w16cid:durableId="1714226930">
    <w:abstractNumId w:val="25"/>
  </w:num>
  <w:num w:numId="17" w16cid:durableId="1711415350">
    <w:abstractNumId w:val="20"/>
  </w:num>
  <w:num w:numId="18" w16cid:durableId="35542391">
    <w:abstractNumId w:val="21"/>
  </w:num>
  <w:num w:numId="19" w16cid:durableId="2050493181">
    <w:abstractNumId w:val="28"/>
  </w:num>
  <w:num w:numId="20" w16cid:durableId="1469859581">
    <w:abstractNumId w:val="11"/>
  </w:num>
  <w:num w:numId="21" w16cid:durableId="408573765">
    <w:abstractNumId w:val="18"/>
  </w:num>
  <w:num w:numId="22" w16cid:durableId="482936912">
    <w:abstractNumId w:val="1"/>
  </w:num>
  <w:num w:numId="23" w16cid:durableId="1308701288">
    <w:abstractNumId w:val="27"/>
  </w:num>
  <w:num w:numId="24" w16cid:durableId="1716081525">
    <w:abstractNumId w:val="2"/>
  </w:num>
  <w:num w:numId="25" w16cid:durableId="797064315">
    <w:abstractNumId w:val="34"/>
  </w:num>
  <w:num w:numId="26" w16cid:durableId="824904852">
    <w:abstractNumId w:val="37"/>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840900323">
    <w:abstractNumId w:val="5"/>
  </w:num>
  <w:num w:numId="36" w16cid:durableId="1645622365">
    <w:abstractNumId w:val="29"/>
  </w:num>
  <w:num w:numId="37" w16cid:durableId="426849341">
    <w:abstractNumId w:val="19"/>
  </w:num>
  <w:num w:numId="38" w16cid:durableId="146835168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ACE"/>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1BF"/>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0904"/>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2674"/>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13AB"/>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662">
      <w:bodyDiv w:val="1"/>
      <w:marLeft w:val="0"/>
      <w:marRight w:val="0"/>
      <w:marTop w:val="0"/>
      <w:marBottom w:val="0"/>
      <w:divBdr>
        <w:top w:val="none" w:sz="0" w:space="0" w:color="auto"/>
        <w:left w:val="none" w:sz="0" w:space="0" w:color="auto"/>
        <w:bottom w:val="none" w:sz="0" w:space="0" w:color="auto"/>
        <w:right w:val="none" w:sz="0" w:space="0" w:color="auto"/>
      </w:divBdr>
    </w:div>
    <w:div w:id="112752736">
      <w:bodyDiv w:val="1"/>
      <w:marLeft w:val="0"/>
      <w:marRight w:val="0"/>
      <w:marTop w:val="0"/>
      <w:marBottom w:val="0"/>
      <w:divBdr>
        <w:top w:val="none" w:sz="0" w:space="0" w:color="auto"/>
        <w:left w:val="none" w:sz="0" w:space="0" w:color="auto"/>
        <w:bottom w:val="none" w:sz="0" w:space="0" w:color="auto"/>
        <w:right w:val="none" w:sz="0" w:space="0" w:color="auto"/>
      </w:divBdr>
    </w:div>
    <w:div w:id="19269100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57500038">
      <w:bodyDiv w:val="1"/>
      <w:marLeft w:val="0"/>
      <w:marRight w:val="0"/>
      <w:marTop w:val="0"/>
      <w:marBottom w:val="0"/>
      <w:divBdr>
        <w:top w:val="none" w:sz="0" w:space="0" w:color="auto"/>
        <w:left w:val="none" w:sz="0" w:space="0" w:color="auto"/>
        <w:bottom w:val="none" w:sz="0" w:space="0" w:color="auto"/>
        <w:right w:val="none" w:sz="0" w:space="0" w:color="auto"/>
      </w:divBdr>
    </w:div>
    <w:div w:id="1096024785">
      <w:bodyDiv w:val="1"/>
      <w:marLeft w:val="0"/>
      <w:marRight w:val="0"/>
      <w:marTop w:val="0"/>
      <w:marBottom w:val="0"/>
      <w:divBdr>
        <w:top w:val="none" w:sz="0" w:space="0" w:color="auto"/>
        <w:left w:val="none" w:sz="0" w:space="0" w:color="auto"/>
        <w:bottom w:val="none" w:sz="0" w:space="0" w:color="auto"/>
        <w:right w:val="none" w:sz="0" w:space="0" w:color="auto"/>
      </w:divBdr>
    </w:div>
    <w:div w:id="1247181034">
      <w:bodyDiv w:val="1"/>
      <w:marLeft w:val="0"/>
      <w:marRight w:val="0"/>
      <w:marTop w:val="0"/>
      <w:marBottom w:val="0"/>
      <w:divBdr>
        <w:top w:val="none" w:sz="0" w:space="0" w:color="auto"/>
        <w:left w:val="none" w:sz="0" w:space="0" w:color="auto"/>
        <w:bottom w:val="none" w:sz="0" w:space="0" w:color="auto"/>
        <w:right w:val="none" w:sz="0" w:space="0" w:color="auto"/>
      </w:divBdr>
    </w:div>
    <w:div w:id="1270577895">
      <w:bodyDiv w:val="1"/>
      <w:marLeft w:val="0"/>
      <w:marRight w:val="0"/>
      <w:marTop w:val="0"/>
      <w:marBottom w:val="0"/>
      <w:divBdr>
        <w:top w:val="none" w:sz="0" w:space="0" w:color="auto"/>
        <w:left w:val="none" w:sz="0" w:space="0" w:color="auto"/>
        <w:bottom w:val="none" w:sz="0" w:space="0" w:color="auto"/>
        <w:right w:val="none" w:sz="0" w:space="0" w:color="auto"/>
      </w:divBdr>
    </w:div>
    <w:div w:id="1276788215">
      <w:bodyDiv w:val="1"/>
      <w:marLeft w:val="0"/>
      <w:marRight w:val="0"/>
      <w:marTop w:val="0"/>
      <w:marBottom w:val="0"/>
      <w:divBdr>
        <w:top w:val="none" w:sz="0" w:space="0" w:color="auto"/>
        <w:left w:val="none" w:sz="0" w:space="0" w:color="auto"/>
        <w:bottom w:val="none" w:sz="0" w:space="0" w:color="auto"/>
        <w:right w:val="none" w:sz="0" w:space="0" w:color="auto"/>
      </w:divBdr>
    </w:div>
    <w:div w:id="1689134607">
      <w:bodyDiv w:val="1"/>
      <w:marLeft w:val="0"/>
      <w:marRight w:val="0"/>
      <w:marTop w:val="0"/>
      <w:marBottom w:val="0"/>
      <w:divBdr>
        <w:top w:val="none" w:sz="0" w:space="0" w:color="auto"/>
        <w:left w:val="none" w:sz="0" w:space="0" w:color="auto"/>
        <w:bottom w:val="none" w:sz="0" w:space="0" w:color="auto"/>
        <w:right w:val="none" w:sz="0" w:space="0" w:color="auto"/>
      </w:divBdr>
    </w:div>
    <w:div w:id="1797799666">
      <w:bodyDiv w:val="1"/>
      <w:marLeft w:val="0"/>
      <w:marRight w:val="0"/>
      <w:marTop w:val="0"/>
      <w:marBottom w:val="0"/>
      <w:divBdr>
        <w:top w:val="none" w:sz="0" w:space="0" w:color="auto"/>
        <w:left w:val="none" w:sz="0" w:space="0" w:color="auto"/>
        <w:bottom w:val="none" w:sz="0" w:space="0" w:color="auto"/>
        <w:right w:val="none" w:sz="0" w:space="0" w:color="auto"/>
      </w:divBdr>
    </w:div>
    <w:div w:id="181386350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9032751">
      <w:bodyDiv w:val="1"/>
      <w:marLeft w:val="0"/>
      <w:marRight w:val="0"/>
      <w:marTop w:val="0"/>
      <w:marBottom w:val="0"/>
      <w:divBdr>
        <w:top w:val="none" w:sz="0" w:space="0" w:color="auto"/>
        <w:left w:val="none" w:sz="0" w:space="0" w:color="auto"/>
        <w:bottom w:val="none" w:sz="0" w:space="0" w:color="auto"/>
        <w:right w:val="none" w:sz="0" w:space="0" w:color="auto"/>
      </w:divBdr>
    </w:div>
    <w:div w:id="21218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Paterson, Warren</cp:lastModifiedBy>
  <cp:revision>3</cp:revision>
  <cp:lastPrinted>2020-06-12T02:43:00Z</cp:lastPrinted>
  <dcterms:created xsi:type="dcterms:W3CDTF">2023-11-15T09:37:00Z</dcterms:created>
  <dcterms:modified xsi:type="dcterms:W3CDTF">2023-11-15T09:43:00Z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